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重庆市交通运输委员会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关于印发《重庆市高速公路路产损失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赔偿标准（2025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 w:bidi="ar"/>
        </w:rPr>
        <w:t>年版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）》的通知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渝交规〔2025〕10号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市交通执法总队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，高速集团，各高速公路经营企业，相关单位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为保障高速公路安全畅通，优化高速公路路产赔偿收费标准，按照《重庆市高速公路管理办法》及《重庆市公路路产损失赔偿费征收使用管理暂行办法》有关规定，现将《重庆市高速公路路产损失赔偿标准（2025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 w:bidi="ar"/>
        </w:rPr>
        <w:t>年版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）》印发给你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们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" w:eastAsia="zh-CN" w:bidi="ar"/>
        </w:rPr>
        <w:t>，自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>2025年9月1日起施行。</w:t>
      </w:r>
      <w:bookmarkStart w:id="11" w:name="_GoBack"/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附件：《重庆市高速公路路产损失赔偿标准（2025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" w:eastAsia="zh-CN" w:bidi="ar"/>
        </w:rPr>
        <w:t>年版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）》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eastAsia="方正仿宋_GBK"/>
          <w:lang w:val="en" w:bidi="ar"/>
        </w:rPr>
      </w:pPr>
    </w:p>
    <w:p>
      <w:pPr>
        <w:pStyle w:val="2"/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eastAsia="方正仿宋_GBK"/>
          <w:lang w:val="en"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4800" w:firstLineChars="1500"/>
        <w:jc w:val="right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重庆市交通运输委员会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2025年6月</w:t>
      </w:r>
      <w:r>
        <w:rPr>
          <w:rFonts w:hint="default" w:ascii="Times New Roman" w:hAnsi="Times New Roman" w:eastAsia="方正仿宋_GBK"/>
          <w:kern w:val="0"/>
          <w:sz w:val="32"/>
          <w:szCs w:val="32"/>
          <w:lang w:val="en" w:bidi="ar"/>
        </w:rPr>
        <w:t>27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" w:bidi="ar"/>
        </w:rPr>
        <w:t>日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 w:bidi="ar"/>
        </w:rPr>
        <w:br w:type="page"/>
      </w:r>
    </w:p>
    <w:p>
      <w:pPr>
        <w:widowControl/>
        <w:spacing w:line="580" w:lineRule="exact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" w:bidi="ar"/>
        </w:rPr>
      </w:pPr>
      <w:r>
        <w:rPr>
          <w:rFonts w:hint="eastAsia" w:ascii="Times New Roman" w:hAnsi="方正黑体_GBK" w:eastAsia="方正黑体_GBK" w:cs="方正黑体_GBK"/>
          <w:kern w:val="0"/>
          <w:sz w:val="32"/>
          <w:szCs w:val="32"/>
          <w:lang w:val="en" w:bidi="ar"/>
        </w:rPr>
        <w:t>附件：</w:t>
      </w:r>
    </w:p>
    <w:p>
      <w:pPr>
        <w:pStyle w:val="2"/>
        <w:jc w:val="center"/>
        <w:rPr>
          <w:rFonts w:hint="default" w:ascii="Times New Roman" w:eastAsia="方正小标宋_GBK"/>
          <w:lang w:val="en-US" w:eastAsia="zh-CN"/>
        </w:rPr>
      </w:pPr>
      <w:bookmarkStart w:id="0" w:name="OLE_LINK6"/>
      <w:r>
        <w:rPr>
          <w:rFonts w:ascii="Times New Roman" w:eastAsia="方正小标宋_GBK" w:cs="宋体"/>
          <w:sz w:val="44"/>
          <w:szCs w:val="44"/>
        </w:rPr>
        <w:t>重庆</w:t>
      </w:r>
      <w:r>
        <w:rPr>
          <w:rFonts w:ascii="Times New Roman" w:eastAsia="方正小标宋_GBK" w:cs="宋体"/>
          <w:sz w:val="44"/>
          <w:szCs w:val="44"/>
          <w:lang w:val="en"/>
        </w:rPr>
        <w:t>市</w:t>
      </w:r>
      <w:r>
        <w:rPr>
          <w:rFonts w:ascii="Times New Roman" w:eastAsia="方正小标宋_GBK" w:cs="宋体"/>
          <w:sz w:val="44"/>
          <w:szCs w:val="44"/>
        </w:rPr>
        <w:t>高速公路路产损失赔偿标准</w:t>
      </w:r>
      <w:bookmarkEnd w:id="0"/>
      <w:r>
        <w:rPr>
          <w:rFonts w:hint="eastAsia" w:ascii="Times New Roman" w:eastAsia="方正小标宋_GBK" w:cs="宋体"/>
          <w:sz w:val="44"/>
          <w:szCs w:val="44"/>
          <w:lang w:eastAsia="zh-CN"/>
        </w:rPr>
        <w:t>（</w:t>
      </w:r>
      <w:r>
        <w:rPr>
          <w:rFonts w:hint="eastAsia" w:ascii="Times New Roman" w:eastAsia="方正小标宋_GBK" w:cs="宋体"/>
          <w:sz w:val="44"/>
          <w:szCs w:val="44"/>
          <w:lang w:val="en-US" w:eastAsia="zh-CN"/>
        </w:rPr>
        <w:t>2025年版</w:t>
      </w:r>
      <w:r>
        <w:rPr>
          <w:rFonts w:hint="eastAsia" w:ascii="Times New Roman" w:eastAsia="方正小标宋_GBK" w:cs="宋体"/>
          <w:sz w:val="44"/>
          <w:szCs w:val="44"/>
          <w:lang w:eastAsia="zh-CN"/>
        </w:rPr>
        <w:t>）</w:t>
      </w:r>
    </w:p>
    <w:tbl>
      <w:tblPr>
        <w:tblStyle w:val="8"/>
        <w:tblW w:w="4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85"/>
        <w:gridCol w:w="3085"/>
        <w:gridCol w:w="1312"/>
        <w:gridCol w:w="118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_GBK"/>
                <w:b/>
                <w:color w:val="000000"/>
                <w:kern w:val="0"/>
                <w:sz w:val="24"/>
              </w:rPr>
              <w:t>损失赔偿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收费项目名称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计费单位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bookmarkStart w:id="1" w:name="OLE_LINK4"/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计算说明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一、路面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水泥混凝土路面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372" w:type="pct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以规则方形计算面积，不足1平方米按1平方米计。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沥青混凝土路面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372" w:type="pct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水泥路面划痕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72" w:type="pct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缝宽或深度超过</w:t>
            </w:r>
            <w:r>
              <w:rPr>
                <w:rFonts w:ascii="Times New Roman" w:hAnsi="Times New Roman" w:eastAsia="方正仿宋_GBK"/>
                <w:color w:val="000000"/>
                <w:spacing w:val="-10"/>
                <w:kern w:val="0"/>
                <w:sz w:val="24"/>
              </w:rPr>
              <w:t>1厘米，按损坏路面赔偿。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沥青路面划痕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72" w:type="pct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污染路面（杂物类）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72" w:type="pct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bookmarkStart w:id="2" w:name="OLE_LINK8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自行清除，如不能清除按此标准收取费用，不足1平方米按1平方米计。一次性清理收费不超过5000元。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污染路面（工业废水及油污类）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372" w:type="pct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bookmarkStart w:id="3" w:name="OLE_LINK1"/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二、</w:t>
            </w:r>
            <w:bookmarkEnd w:id="3"/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排水防护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混凝土路缘石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混凝土边沟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边沟盖板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bookmarkStart w:id="4" w:name="OLE_LINK9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隧道检修道盖板，参照此收费标准。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水篦子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</w:rPr>
              <w:t>三、安全设施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安全隔离墩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隔离水码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防撞桶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两波护栏板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5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按损坏护栏板整板长度进行赔偿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三波护栏板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" cy="76200"/>
                  <wp:effectExtent l="0" t="0" r="0" b="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按损坏护栏板整板长度进行赔偿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护栏弯头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中央开口活动栅栏（插拔式）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1140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中央开口活动栅栏（伸缩式）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钢筋砼防撞护栏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1160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钢管防撞护栏（每根）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护栏托架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防眩板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锥标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弹性立柱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圆形防撞立柱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方形防撞立柱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立柱混凝土基础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防抛网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bookmarkStart w:id="5" w:name="OLE_LINK10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按损坏网整片面积进行赔偿</w:t>
            </w:r>
            <w:bookmarkEnd w:id="5"/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四、附属设施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附着式轮廓标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柱式轮廓标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太阳能导向标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反光道钉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百米桩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声屏障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按损坏板整片面积进行赔偿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反光标志面板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弯道反光导向标志牌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油漆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五、公路绿化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bookmarkStart w:id="6" w:name="OLE_LINK3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绿化树：</w:t>
            </w:r>
            <w:bookmarkEnd w:id="6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胸径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不足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20厘米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珍惜名贵树种均按实际价格进行赔付。以胸径为5厘米的绿化树（200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元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）为基数，5厘米以下按5厘米计费，每增加1厘米，增加40元。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ind w:firstLine="960" w:firstLineChars="400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胸径20厘米及以上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株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以胸径为20厘米的绿化树（1000元）为基数，每增加1厘米，增加100元。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人工草坪、绿地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bookmarkStart w:id="7" w:name="OLE_LINK2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灌木：</w:t>
            </w:r>
            <w:bookmarkEnd w:id="7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冠</w:t>
            </w:r>
            <w:bookmarkStart w:id="8" w:name="OLE_LINK7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幅</w:t>
            </w:r>
            <w:bookmarkEnd w:id="8"/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50厘米及以下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窝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ind w:firstLine="720" w:firstLineChars="300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冠幅50厘米以上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窝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以冠径为50厘米的灌木（50元）为基数，每增加10厘米，增加50元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六、机电设施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隧道光电标志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1910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隧道广播扬声器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1410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手动栏杆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1470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lang w:bidi="ar"/>
              </w:rPr>
              <w:t>七、其他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因工程建设挖掘损毁的，按照原功能、原标准恢复后，不收取赔偿费用；不能恢复的，按收费标准赔偿。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其他未列项目，由双方协商确定或邀请评估机构单独评估，评估费用由造成损坏方承担。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以上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项目收费均包含公路修复所需的交通组织、安装、调试等费用。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楷体_GBK"/>
                <w:b/>
                <w:color w:val="000000"/>
                <w:kern w:val="0"/>
                <w:sz w:val="24"/>
              </w:rPr>
              <w:t>路产占用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收费项目名称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计费单位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收费标准（元）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bookmarkStart w:id="9" w:name="OLE_LINK5"/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计算说明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一、临时占用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公路路面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平方米·天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72" w:type="pct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临时占用是指占用时间较短、且不得修建永久性建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（构）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筑物的占用，占用不足一天按一天计，最高限额按24个月计算。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公路路肩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平方米·天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72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公路边沟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平方米·天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公路用地范围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平方米·天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pct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二、永久占用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跨越公路架设管线、电缆、电线等（直径小于10厘米）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直径不足10厘米按10厘米计，长度不足1米按1米计；直径每增加1</w:t>
            </w:r>
            <w:r>
              <w:rPr>
                <w:rFonts w:ascii="Times New Roman" w:hAnsi="Times New Roman" w:eastAsia="方正仿宋_GBK"/>
                <w:spacing w:val="-10"/>
                <w:kern w:val="0"/>
                <w:sz w:val="24"/>
              </w:rPr>
              <w:t>厘米，收费单价增加15元</w:t>
            </w:r>
            <w:r>
              <w:rPr>
                <w:rFonts w:hint="eastAsia" w:ascii="Times New Roman" w:hAnsi="Times New Roman" w:eastAsia="方正仿宋_GBK"/>
                <w:spacing w:val="-1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穿越公路架设管线、电缆、电线等（直径小于10厘米）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直径不足10厘米按10</w:t>
            </w:r>
            <w:r>
              <w:rPr>
                <w:rFonts w:ascii="Times New Roman" w:hAnsi="Times New Roman" w:eastAsia="方正仿宋_GBK"/>
                <w:spacing w:val="-6"/>
                <w:kern w:val="0"/>
                <w:sz w:val="24"/>
              </w:rPr>
              <w:t>厘米计，长度不足1米按1米计；直径每增加1厘米，收费单价增加17.5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元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穿越、跨越公路修建道路、桥梁、铁路等结构物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平方米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穿、跨越公路以占用面积计取（即：按照上跨或下穿结构物在公路用地范围内的投影面积）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公路用地占用（设置管线、电缆）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米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长度不足1米按1米计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bookmarkStart w:id="10" w:name="OLE_LINK11"/>
            <w:r>
              <w:rPr>
                <w:rFonts w:ascii="Times New Roman" w:hAnsi="Times New Roman" w:eastAsia="方正楷体_GBK"/>
                <w:b/>
                <w:color w:val="000000"/>
                <w:kern w:val="0"/>
                <w:sz w:val="24"/>
              </w:rPr>
              <w:t>超限运输监护服务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4"/>
              </w:rPr>
              <w:t>序号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收费项目名称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计费单位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收费金额（元）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计算说明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超限运输护送费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辆</w:t>
            </w:r>
            <w:r>
              <w:rPr>
                <w:rFonts w:hint="eastAsia" w:ascii="Times New Roman" w:hAnsi="Times New Roman" w:eastAsia="方正楷体_GBK" w:cs="方正楷体_GBK"/>
                <w:kern w:val="0"/>
                <w:sz w:val="24"/>
              </w:rPr>
              <w:t>·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公里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372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（1）N</w:t>
            </w:r>
            <w:r>
              <w:rPr>
                <w:rFonts w:ascii="Times New Roman" w:hAnsi="Times New Roman" w:eastAsia="方正仿宋_GBK"/>
                <w:sz w:val="24"/>
              </w:rPr>
              <w:t>≥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100000kg（N为车货总质量）;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（2）L≥28米（L为车货总长度）;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（3）W≥3.75米＜W（W为车货总宽度）;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（4）H≥4.5米（H为车货总高度）;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（5）达到上述任一条件需要委托公路管理机构护送的,均按此计取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pStyle w:val="2"/>
        <w:spacing w:line="20" w:lineRule="exact"/>
        <w:rPr>
          <w:rFonts w:ascii="Times New Roma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1.05pt;height:0pt;width:442.2pt;z-index:251661312;mso-width-relative:page;mso-height-relative:page;" filled="f" stroked="t" coordsize="21600,21600" o:gfxdata="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IVU9MAAAAH&#10;AQAADwAAAAAAAAABACAAAAAiAAAAZHJzL2Rvd25yZXYueG1sUEsBAhQAFAAAAAgAh07iQAlkppH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重庆市交通运输委员会发布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1143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14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9pt;width:442.2pt;z-index:251660288;mso-width-relative:page;mso-height-relative:page;" filled="f" stroked="t" coordsize="21600,21600" o:gfxdata="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A7KHUAAAABwEAAA8AAAAAAAAAAQAgAAAAIgAAAGRycy9kb3ducmV2LnhtbFBLAQIU&#10;ABQAAAAIAIdO4kD+BNfB9wEAAME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交通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DFlNWI5OGY4MjQ4MTdlNjFlOWI0ZDY1NzAyMDMifQ=="/>
  </w:docVars>
  <w:rsids>
    <w:rsidRoot w:val="00172A27"/>
    <w:rsid w:val="00172A27"/>
    <w:rsid w:val="001975B8"/>
    <w:rsid w:val="001C13E4"/>
    <w:rsid w:val="00332C01"/>
    <w:rsid w:val="00336965"/>
    <w:rsid w:val="00670CF9"/>
    <w:rsid w:val="007E2A81"/>
    <w:rsid w:val="009E7D10"/>
    <w:rsid w:val="00A267E6"/>
    <w:rsid w:val="00EA2562"/>
    <w:rsid w:val="00EF2CCF"/>
    <w:rsid w:val="00F85489"/>
    <w:rsid w:val="00FA754C"/>
    <w:rsid w:val="019E71BD"/>
    <w:rsid w:val="01E93D58"/>
    <w:rsid w:val="04B679C3"/>
    <w:rsid w:val="05F07036"/>
    <w:rsid w:val="06E00104"/>
    <w:rsid w:val="07D76026"/>
    <w:rsid w:val="080F63D8"/>
    <w:rsid w:val="0843129B"/>
    <w:rsid w:val="09341458"/>
    <w:rsid w:val="098254C2"/>
    <w:rsid w:val="0A766EDE"/>
    <w:rsid w:val="0AD64BE8"/>
    <w:rsid w:val="0B0912D7"/>
    <w:rsid w:val="0E025194"/>
    <w:rsid w:val="0EEF0855"/>
    <w:rsid w:val="11DB7C71"/>
    <w:rsid w:val="1374212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B6466D1"/>
    <w:rsid w:val="2C6D42C9"/>
    <w:rsid w:val="2DD05FE1"/>
    <w:rsid w:val="2EAE3447"/>
    <w:rsid w:val="31A15F24"/>
    <w:rsid w:val="36FB1DF0"/>
    <w:rsid w:val="395347B5"/>
    <w:rsid w:val="39A232A0"/>
    <w:rsid w:val="39E745AA"/>
    <w:rsid w:val="3B5A6BBB"/>
    <w:rsid w:val="3C570AF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A9299-8CA5-4124-B89E-0E5198E1C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jtj</cp:lastModifiedBy>
  <cp:lastPrinted>2022-06-06T16:09:00Z</cp:lastPrinted>
  <dcterms:modified xsi:type="dcterms:W3CDTF">2025-07-25T09:54:06Z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48C61CB29D3F4D9384F5922CF0F7FFB4</vt:lpwstr>
  </property>
</Properties>
</file>