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adjustRightInd/>
        <w:spacing w:line="600" w:lineRule="exact"/>
        <w:ind w:left="0" w:right="0" w:rightChars="0" w:firstLine="560" w:firstLineChars="200"/>
        <w:textAlignment w:val="auto"/>
        <w:rPr>
          <w:rFonts w:hint="eastAsia"/>
          <w:color w:val="000000"/>
          <w:sz w:val="28"/>
        </w:rPr>
      </w:pPr>
    </w:p>
    <w:p>
      <w:pPr>
        <w:keepNext w:val="0"/>
        <w:keepLines w:val="0"/>
        <w:pageBreakBefore w:val="0"/>
        <w:widowControl w:val="0"/>
        <w:kinsoku/>
        <w:wordWrap/>
        <w:topLinePunct w:val="0"/>
        <w:bidi w:val="0"/>
        <w:adjustRightInd/>
        <w:spacing w:line="600" w:lineRule="exact"/>
        <w:ind w:left="0" w:right="0" w:rightChars="0" w:firstLine="560" w:firstLineChars="200"/>
        <w:textAlignment w:val="auto"/>
        <w:rPr>
          <w:rFonts w:hint="eastAsia"/>
          <w:color w:val="000000"/>
          <w:sz w:val="28"/>
        </w:rPr>
      </w:pPr>
    </w:p>
    <w:p>
      <w:pPr>
        <w:keepNext w:val="0"/>
        <w:keepLines w:val="0"/>
        <w:pageBreakBefore w:val="0"/>
        <w:widowControl w:val="0"/>
        <w:kinsoku/>
        <w:wordWrap/>
        <w:overflowPunct/>
        <w:topLinePunct w:val="0"/>
        <w:autoSpaceDE/>
        <w:autoSpaceDN/>
        <w:bidi w:val="0"/>
        <w:adjustRightInd/>
        <w:snapToGrid w:val="0"/>
        <w:spacing w:line="600" w:lineRule="exact"/>
        <w:ind w:left="0" w:right="0" w:rightChars="0" w:firstLine="0" w:firstLineChars="0"/>
        <w:jc w:val="center"/>
        <w:textAlignment w:val="auto"/>
        <w:rPr>
          <w:rFonts w:hint="eastAsia" w:eastAsia="方正小标宋_GBK"/>
          <w:bCs/>
          <w:sz w:val="44"/>
          <w:szCs w:val="44"/>
        </w:rPr>
      </w:pPr>
      <w:bookmarkStart w:id="0" w:name="BodyEnd"/>
      <w:bookmarkEnd w:id="0"/>
      <w:r>
        <w:rPr>
          <w:rFonts w:hint="eastAsia" w:eastAsia="方正小标宋_GBK"/>
          <w:sz w:val="44"/>
          <w:szCs w:val="44"/>
        </w:rPr>
        <w:t>重庆市交通运输委员会关于</w:t>
      </w:r>
      <w:r>
        <w:rPr>
          <w:rFonts w:hint="eastAsia" w:eastAsia="方正小标宋_GBK"/>
          <w:bCs/>
          <w:sz w:val="44"/>
          <w:szCs w:val="44"/>
        </w:rPr>
        <w:t>印发</w:t>
      </w:r>
    </w:p>
    <w:p>
      <w:pPr>
        <w:keepNext w:val="0"/>
        <w:keepLines w:val="0"/>
        <w:pageBreakBefore w:val="0"/>
        <w:widowControl w:val="0"/>
        <w:kinsoku/>
        <w:wordWrap/>
        <w:overflowPunct/>
        <w:topLinePunct w:val="0"/>
        <w:autoSpaceDE/>
        <w:autoSpaceDN/>
        <w:bidi w:val="0"/>
        <w:adjustRightInd/>
        <w:snapToGrid w:val="0"/>
        <w:spacing w:line="600" w:lineRule="exact"/>
        <w:ind w:left="0" w:right="0" w:rightChars="0" w:firstLine="0" w:firstLineChars="0"/>
        <w:jc w:val="center"/>
        <w:textAlignment w:val="auto"/>
        <w:rPr>
          <w:rFonts w:hint="eastAsia" w:eastAsia="方正小标宋_GBK"/>
          <w:sz w:val="44"/>
          <w:szCs w:val="44"/>
        </w:rPr>
      </w:pPr>
      <w:r>
        <w:rPr>
          <w:rFonts w:hint="eastAsia" w:eastAsia="方正小标宋_GBK"/>
          <w:sz w:val="44"/>
          <w:szCs w:val="44"/>
        </w:rPr>
        <w:t>《</w:t>
      </w:r>
      <w:r>
        <w:rPr>
          <w:rFonts w:hint="eastAsia" w:eastAsia="方正小标宋_GBK"/>
          <w:bCs/>
          <w:sz w:val="44"/>
          <w:szCs w:val="44"/>
        </w:rPr>
        <w:t>重庆市水运工程设计变更管理办法</w:t>
      </w:r>
      <w:r>
        <w:rPr>
          <w:rFonts w:hint="eastAsia" w:eastAsia="方正小标宋_GBK"/>
          <w:sz w:val="44"/>
          <w:szCs w:val="44"/>
        </w:rPr>
        <w:t>》的通知</w:t>
      </w:r>
    </w:p>
    <w:p>
      <w:pPr>
        <w:keepNext w:val="0"/>
        <w:keepLines w:val="0"/>
        <w:pageBreakBefore w:val="0"/>
        <w:widowControl w:val="0"/>
        <w:kinsoku/>
        <w:wordWrap/>
        <w:overflowPunct/>
        <w:topLinePunct w:val="0"/>
        <w:autoSpaceDE/>
        <w:autoSpaceDN/>
        <w:bidi w:val="0"/>
        <w:adjustRightInd/>
        <w:snapToGrid w:val="0"/>
        <w:spacing w:line="600" w:lineRule="exact"/>
        <w:ind w:left="0" w:right="0" w:rightChars="0" w:firstLine="0" w:firstLineChars="0"/>
        <w:jc w:val="center"/>
        <w:textAlignment w:val="auto"/>
        <w:rPr>
          <w:rFonts w:hint="eastAsia" w:eastAsia="方正小标宋_GBK"/>
          <w:sz w:val="44"/>
          <w:szCs w:val="44"/>
        </w:rPr>
      </w:pPr>
      <w:r>
        <w:rPr>
          <w:rFonts w:hint="eastAsia" w:eastAsia="方正仿宋_GBK"/>
          <w:color w:val="000000"/>
          <w:sz w:val="32"/>
        </w:rPr>
        <w:t>渝交规〔2025〕6号</w:t>
      </w:r>
    </w:p>
    <w:p>
      <w:pPr>
        <w:keepNext w:val="0"/>
        <w:keepLines w:val="0"/>
        <w:pageBreakBefore w:val="0"/>
        <w:widowControl w:val="0"/>
        <w:kinsoku/>
        <w:wordWrap/>
        <w:overflowPunct w:val="0"/>
        <w:topLinePunct w:val="0"/>
        <w:bidi w:val="0"/>
        <w:adjustRightInd/>
        <w:spacing w:line="600" w:lineRule="exact"/>
        <w:ind w:left="0" w:right="0" w:rightChars="0" w:firstLine="640" w:firstLineChars="200"/>
        <w:textAlignment w:val="auto"/>
        <w:rPr>
          <w:rFonts w:hint="eastAsia" w:eastAsia="方正仿宋_GBK" w:cs="Nimbus Roman"/>
          <w:sz w:val="32"/>
          <w:szCs w:val="32"/>
        </w:rPr>
      </w:pPr>
    </w:p>
    <w:p>
      <w:pPr>
        <w:keepNext w:val="0"/>
        <w:keepLines w:val="0"/>
        <w:pageBreakBefore w:val="0"/>
        <w:widowControl w:val="0"/>
        <w:kinsoku/>
        <w:wordWrap/>
        <w:overflowPunct w:val="0"/>
        <w:topLinePunct w:val="0"/>
        <w:autoSpaceDE/>
        <w:autoSpaceDN/>
        <w:bidi w:val="0"/>
        <w:adjustRightInd/>
        <w:snapToGrid/>
        <w:spacing w:line="600" w:lineRule="exact"/>
        <w:ind w:left="0" w:right="0" w:rightChars="0" w:firstLine="0" w:firstLineChars="0"/>
        <w:textAlignment w:val="auto"/>
        <w:rPr>
          <w:rFonts w:eastAsia="方正仿宋_GBK" w:cs="Nimbus Roman"/>
          <w:sz w:val="32"/>
          <w:szCs w:val="32"/>
        </w:rPr>
      </w:pPr>
      <w:r>
        <w:rPr>
          <w:rFonts w:eastAsia="方正仿宋_GBK" w:cs="Nimbus Roman"/>
          <w:sz w:val="32"/>
          <w:szCs w:val="32"/>
        </w:rPr>
        <w:t>各区县（自治县）交通</w:t>
      </w:r>
      <w:r>
        <w:rPr>
          <w:rFonts w:hint="eastAsia" w:eastAsia="方正仿宋_GBK" w:cs="Nimbus Roman"/>
          <w:sz w:val="32"/>
          <w:szCs w:val="32"/>
        </w:rPr>
        <w:t>运输委</w:t>
      </w:r>
      <w:r>
        <w:rPr>
          <w:rFonts w:eastAsia="方正仿宋_GBK" w:cs="Nimbus Roman"/>
          <w:sz w:val="32"/>
          <w:szCs w:val="32"/>
        </w:rPr>
        <w:t>、两江新区城管局、高新区城市建设事务中心、万盛经开区交通运输局，</w:t>
      </w:r>
      <w:r>
        <w:rPr>
          <w:rFonts w:hint="eastAsia" w:eastAsia="方正仿宋_GBK" w:cs="Nimbus Roman"/>
          <w:sz w:val="32"/>
          <w:szCs w:val="32"/>
        </w:rPr>
        <w:t>市交通执法总队、市交通造价站，有关单位</w:t>
      </w:r>
      <w:r>
        <w:rPr>
          <w:rFonts w:eastAsia="方正仿宋_GBK" w:cs="Nimbus Roman"/>
          <w:sz w:val="32"/>
          <w:szCs w:val="32"/>
        </w:rPr>
        <w:t>：</w:t>
      </w:r>
    </w:p>
    <w:p>
      <w:pPr>
        <w:keepNext w:val="0"/>
        <w:keepLines w:val="0"/>
        <w:pageBreakBefore w:val="0"/>
        <w:widowControl w:val="0"/>
        <w:tabs>
          <w:tab w:val="left" w:pos="7920"/>
        </w:tabs>
        <w:kinsoku/>
        <w:wordWrap/>
        <w:topLinePunct w:val="0"/>
        <w:bidi w:val="0"/>
        <w:adjustRightInd/>
        <w:spacing w:line="600" w:lineRule="exact"/>
        <w:ind w:left="0" w:right="0" w:rightChars="0" w:firstLine="640" w:firstLineChars="200"/>
        <w:textAlignment w:val="auto"/>
        <w:rPr>
          <w:rFonts w:hint="eastAsia" w:ascii="Times New Roman" w:hAnsi="Times New Roman" w:eastAsia="方正仿宋_GBK" w:cs="Nimbus Roman"/>
          <w:color w:val="auto"/>
          <w:kern w:val="2"/>
          <w:sz w:val="32"/>
          <w:szCs w:val="32"/>
        </w:rPr>
      </w:pPr>
      <w:r>
        <w:rPr>
          <w:rFonts w:hint="eastAsia" w:eastAsia="方正仿宋_GBK"/>
          <w:color w:val="000000"/>
          <w:sz w:val="32"/>
          <w:szCs w:val="32"/>
        </w:rPr>
        <w:t>为进一步加强我市水运工程设计变更管理，</w:t>
      </w:r>
      <w:r>
        <w:rPr>
          <w:rFonts w:eastAsia="方正仿宋_GBK" w:cs="Nimbus Roman"/>
          <w:sz w:val="32"/>
          <w:szCs w:val="32"/>
        </w:rPr>
        <w:t>根据</w:t>
      </w:r>
      <w:r>
        <w:rPr>
          <w:rFonts w:hint="eastAsia" w:eastAsia="方正仿宋_GBK"/>
          <w:sz w:val="32"/>
          <w:szCs w:val="32"/>
        </w:rPr>
        <w:t>《中华人民共和国港口法》《中华人民共和国航道法》《建设工程质量管理条例》《建设工程勘察设计管理条例》《港口工程建设管理规定》《航道工程建设管理规定》等有关规定，结合我市实际，并</w:t>
      </w:r>
      <w:r>
        <w:rPr>
          <w:rFonts w:eastAsia="方正仿宋_GBK" w:cs="Nimbus Roman"/>
          <w:sz w:val="32"/>
          <w:szCs w:val="32"/>
        </w:rPr>
        <w:t>经202</w:t>
      </w:r>
      <w:r>
        <w:rPr>
          <w:rFonts w:hint="eastAsia" w:eastAsia="方正仿宋_GBK" w:cs="Nimbus Roman"/>
          <w:sz w:val="32"/>
          <w:szCs w:val="32"/>
        </w:rPr>
        <w:t>5</w:t>
      </w:r>
      <w:r>
        <w:rPr>
          <w:rFonts w:eastAsia="方正仿宋_GBK" w:cs="Nimbus Roman"/>
          <w:sz w:val="32"/>
          <w:szCs w:val="32"/>
        </w:rPr>
        <w:t>年第</w:t>
      </w:r>
      <w:r>
        <w:rPr>
          <w:rFonts w:hint="eastAsia" w:eastAsia="方正仿宋_GBK" w:cs="Nimbus Roman"/>
          <w:sz w:val="32"/>
          <w:szCs w:val="32"/>
        </w:rPr>
        <w:t>1</w:t>
      </w:r>
      <w:r>
        <w:rPr>
          <w:rFonts w:eastAsia="方正仿宋_GBK" w:cs="Nimbus Roman"/>
          <w:sz w:val="32"/>
          <w:szCs w:val="32"/>
        </w:rPr>
        <w:t>次</w:t>
      </w:r>
      <w:r>
        <w:rPr>
          <w:rFonts w:hint="eastAsia" w:eastAsia="方正仿宋_GBK" w:cs="Nimbus Roman"/>
          <w:sz w:val="32"/>
          <w:szCs w:val="32"/>
        </w:rPr>
        <w:t>主任</w:t>
      </w:r>
      <w:r>
        <w:rPr>
          <w:rFonts w:eastAsia="方正仿宋_GBK" w:cs="Nimbus Roman"/>
          <w:sz w:val="32"/>
          <w:szCs w:val="32"/>
        </w:rPr>
        <w:t>办公会审议通过，</w:t>
      </w:r>
      <w:r>
        <w:rPr>
          <w:rFonts w:hint="eastAsia" w:eastAsia="方正仿宋_GBK"/>
          <w:sz w:val="32"/>
          <w:szCs w:val="32"/>
        </w:rPr>
        <w:t>现将</w:t>
      </w:r>
      <w:r>
        <w:rPr>
          <w:rFonts w:hint="eastAsia" w:eastAsia="方正仿宋_GBK" w:cs="Nimbus Roman"/>
          <w:sz w:val="32"/>
          <w:szCs w:val="32"/>
        </w:rPr>
        <w:t>《重庆市水运工程设计变更管理办法》</w:t>
      </w:r>
      <w:r>
        <w:rPr>
          <w:rFonts w:eastAsia="方正仿宋_GBK" w:cs="Nimbus Roman"/>
          <w:sz w:val="32"/>
          <w:szCs w:val="32"/>
        </w:rPr>
        <w:t>印发你们，请遵照执行。</w:t>
      </w:r>
    </w:p>
    <w:p>
      <w:pPr>
        <w:pStyle w:val="15"/>
        <w:keepNext w:val="0"/>
        <w:keepLines w:val="0"/>
        <w:pageBreakBefore w:val="0"/>
        <w:widowControl w:val="0"/>
        <w:kinsoku/>
        <w:wordWrap/>
        <w:topLinePunct w:val="0"/>
        <w:bidi w:val="0"/>
        <w:adjustRightInd/>
        <w:spacing w:line="600" w:lineRule="exact"/>
        <w:ind w:left="0" w:right="0" w:rightChars="0" w:firstLine="640" w:firstLineChars="200"/>
        <w:textAlignment w:val="auto"/>
        <w:rPr>
          <w:rFonts w:hint="eastAsia" w:ascii="Times New Roman" w:hAnsi="Times New Roman" w:eastAsia="方正仿宋_GBK" w:cs="Nimbus Roman"/>
          <w:color w:val="auto"/>
          <w:kern w:val="2"/>
          <w:sz w:val="32"/>
          <w:szCs w:val="32"/>
        </w:rPr>
      </w:pPr>
    </w:p>
    <w:p>
      <w:pPr>
        <w:pStyle w:val="15"/>
        <w:keepNext w:val="0"/>
        <w:keepLines w:val="0"/>
        <w:pageBreakBefore w:val="0"/>
        <w:widowControl w:val="0"/>
        <w:kinsoku/>
        <w:wordWrap/>
        <w:overflowPunct/>
        <w:topLinePunct w:val="0"/>
        <w:bidi w:val="0"/>
        <w:adjustRightInd/>
        <w:snapToGrid/>
        <w:spacing w:line="600" w:lineRule="exact"/>
        <w:ind w:left="0" w:right="0" w:rightChars="0" w:firstLine="0" w:firstLineChars="0"/>
        <w:jc w:val="right"/>
        <w:textAlignment w:val="auto"/>
        <w:rPr>
          <w:rFonts w:hint="eastAsia" w:ascii="Times New Roman" w:hAnsi="Times New Roman" w:eastAsia="方正仿宋_GBK" w:cs="Nimbus Roman"/>
          <w:color w:val="auto"/>
          <w:sz w:val="32"/>
          <w:szCs w:val="32"/>
        </w:rPr>
      </w:pPr>
      <w:r>
        <w:rPr>
          <w:rFonts w:ascii="Times New Roman" w:hAnsi="Times New Roman" w:eastAsia="方正仿宋_GBK" w:cs="Nimbus Roman"/>
          <w:color w:val="auto"/>
          <w:sz w:val="32"/>
          <w:szCs w:val="32"/>
        </w:rPr>
        <w:t>重庆市交通</w:t>
      </w:r>
      <w:r>
        <w:rPr>
          <w:rFonts w:hint="eastAsia" w:ascii="Times New Roman" w:hAnsi="Times New Roman" w:eastAsia="方正仿宋_GBK" w:cs="Nimbus Roman"/>
          <w:color w:val="auto"/>
          <w:sz w:val="32"/>
          <w:szCs w:val="32"/>
        </w:rPr>
        <w:t>运输委员会</w:t>
      </w:r>
    </w:p>
    <w:p>
      <w:pPr>
        <w:keepNext w:val="0"/>
        <w:keepLines w:val="0"/>
        <w:pageBreakBefore w:val="0"/>
        <w:widowControl w:val="0"/>
        <w:kinsoku/>
        <w:wordWrap w:val="0"/>
        <w:overflowPunct/>
        <w:topLinePunct w:val="0"/>
        <w:bidi w:val="0"/>
        <w:adjustRightInd/>
        <w:snapToGrid/>
        <w:spacing w:line="600" w:lineRule="exact"/>
        <w:ind w:left="0" w:right="0" w:rightChars="0" w:firstLine="0" w:firstLineChars="0"/>
        <w:jc w:val="right"/>
        <w:textAlignment w:val="auto"/>
        <w:rPr>
          <w:rFonts w:hint="default" w:eastAsia="方正仿宋_GBK"/>
          <w:bCs/>
          <w:sz w:val="44"/>
          <w:szCs w:val="44"/>
          <w:lang w:val="en-US" w:eastAsia="zh-CN"/>
        </w:rPr>
      </w:pPr>
      <w:r>
        <w:rPr>
          <w:rFonts w:hint="eastAsia" w:eastAsia="方正仿宋_GBK"/>
          <w:sz w:val="32"/>
          <w:szCs w:val="32"/>
        </w:rPr>
        <w:t>2025年2月14日</w:t>
      </w:r>
      <w:r>
        <w:rPr>
          <w:rFonts w:hint="eastAsia" w:eastAsia="方正仿宋_GBK"/>
          <w:sz w:val="32"/>
          <w:szCs w:val="32"/>
          <w:lang w:val="en-US" w:eastAsia="zh-CN"/>
        </w:rPr>
        <w:t xml:space="preserve">  </w:t>
      </w:r>
    </w:p>
    <w:p>
      <w:pPr>
        <w:keepNext w:val="0"/>
        <w:keepLines w:val="0"/>
        <w:pageBreakBefore w:val="0"/>
        <w:widowControl w:val="0"/>
        <w:kinsoku/>
        <w:wordWrap/>
        <w:topLinePunct w:val="0"/>
        <w:bidi w:val="0"/>
        <w:adjustRightInd/>
        <w:snapToGrid w:val="0"/>
        <w:spacing w:line="600" w:lineRule="exact"/>
        <w:ind w:left="0" w:right="0" w:rightChars="0" w:firstLine="880" w:firstLineChars="200"/>
        <w:textAlignment w:val="auto"/>
        <w:rPr>
          <w:rFonts w:eastAsia="方正小标宋_GBK"/>
          <w:bCs/>
          <w:sz w:val="44"/>
          <w:szCs w:val="44"/>
        </w:rPr>
      </w:pPr>
    </w:p>
    <w:p>
      <w:pPr>
        <w:keepNext w:val="0"/>
        <w:keepLines w:val="0"/>
        <w:pageBreakBefore w:val="0"/>
        <w:widowControl w:val="0"/>
        <w:kinsoku/>
        <w:wordWrap/>
        <w:topLinePunct w:val="0"/>
        <w:bidi w:val="0"/>
        <w:adjustRightInd/>
        <w:snapToGrid w:val="0"/>
        <w:spacing w:line="600" w:lineRule="exact"/>
        <w:ind w:left="0" w:right="0" w:rightChars="0" w:firstLine="880" w:firstLineChars="200"/>
        <w:jc w:val="center"/>
        <w:textAlignment w:val="auto"/>
        <w:rPr>
          <w:rFonts w:hint="eastAsia" w:eastAsia="方正小标宋_GBK"/>
          <w:bCs/>
          <w:sz w:val="44"/>
          <w:szCs w:val="44"/>
        </w:rPr>
      </w:pPr>
    </w:p>
    <w:p>
      <w:pPr>
        <w:keepNext w:val="0"/>
        <w:keepLines w:val="0"/>
        <w:pageBreakBefore w:val="0"/>
        <w:widowControl w:val="0"/>
        <w:kinsoku/>
        <w:wordWrap/>
        <w:topLinePunct w:val="0"/>
        <w:bidi w:val="0"/>
        <w:adjustRightInd/>
        <w:snapToGrid w:val="0"/>
        <w:spacing w:line="600" w:lineRule="exact"/>
        <w:ind w:left="0" w:right="0" w:rightChars="0" w:firstLine="880" w:firstLineChars="200"/>
        <w:jc w:val="center"/>
        <w:textAlignment w:val="auto"/>
        <w:rPr>
          <w:rFonts w:hint="eastAsia" w:eastAsia="方正小标宋_GBK"/>
          <w:bCs/>
          <w:sz w:val="44"/>
          <w:szCs w:val="44"/>
        </w:rPr>
      </w:pPr>
    </w:p>
    <w:p>
      <w:pPr>
        <w:keepNext w:val="0"/>
        <w:keepLines w:val="0"/>
        <w:pageBreakBefore w:val="0"/>
        <w:widowControl w:val="0"/>
        <w:kinsoku/>
        <w:wordWrap/>
        <w:topLinePunct w:val="0"/>
        <w:bidi w:val="0"/>
        <w:adjustRightInd/>
        <w:snapToGrid w:val="0"/>
        <w:spacing w:line="600" w:lineRule="exact"/>
        <w:ind w:left="0" w:right="0" w:rightChars="0" w:firstLine="880" w:firstLineChars="200"/>
        <w:jc w:val="center"/>
        <w:textAlignment w:val="auto"/>
        <w:rPr>
          <w:rFonts w:hint="eastAsia" w:eastAsia="方正小标宋_GBK"/>
          <w:bCs/>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ind w:left="0" w:right="0" w:rightChars="0" w:firstLine="0" w:firstLineChars="0"/>
        <w:jc w:val="center"/>
        <w:textAlignment w:val="auto"/>
        <w:rPr>
          <w:rFonts w:hint="eastAsia" w:eastAsia="方正仿宋_GBK"/>
          <w:b/>
          <w:bCs/>
          <w:sz w:val="32"/>
        </w:rPr>
      </w:pPr>
      <w:r>
        <w:rPr>
          <w:rFonts w:hint="eastAsia" w:eastAsia="方正小标宋_GBK"/>
          <w:bCs/>
          <w:sz w:val="44"/>
          <w:szCs w:val="44"/>
        </w:rPr>
        <w:t>重庆市水运工程设计变更管理办法</w:t>
      </w:r>
    </w:p>
    <w:p>
      <w:pPr>
        <w:keepNext w:val="0"/>
        <w:keepLines w:val="0"/>
        <w:pageBreakBefore w:val="0"/>
        <w:widowControl w:val="0"/>
        <w:tabs>
          <w:tab w:val="center" w:pos="4422"/>
          <w:tab w:val="left" w:pos="7935"/>
        </w:tabs>
        <w:kinsoku/>
        <w:wordWrap/>
        <w:topLinePunct w:val="0"/>
        <w:bidi w:val="0"/>
        <w:adjustRightInd/>
        <w:snapToGrid w:val="0"/>
        <w:spacing w:line="600" w:lineRule="exact"/>
        <w:ind w:left="0" w:right="0" w:rightChars="0" w:firstLine="643" w:firstLineChars="200"/>
        <w:jc w:val="left"/>
        <w:textAlignment w:val="auto"/>
        <w:rPr>
          <w:rFonts w:hint="eastAsia" w:eastAsia="方正仿宋_GBK"/>
          <w:b/>
          <w:bCs/>
          <w:sz w:val="32"/>
        </w:rPr>
      </w:pP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第一条 </w:t>
      </w:r>
      <w:r>
        <w:rPr>
          <w:rFonts w:hint="eastAsia" w:eastAsia="方正仿宋_GBK"/>
          <w:sz w:val="32"/>
          <w:szCs w:val="32"/>
        </w:rPr>
        <w:t xml:space="preserve"> 为加强我市水运工程设计变更管理，规范设计变更行为，合理控制工程造价，确保工程质量，保护人民生命及财产安全，根据《中华人民共和国港口法》《中华人民共和国航道法》《建设工程质量管理条例》《建设工程勘察设计管理条例》《港口工程建设管理规定》《航道工程建设管理规定》等有关规定，结合我市水运工程建设实际情况，制定本办法。</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第二条 </w:t>
      </w:r>
      <w:r>
        <w:rPr>
          <w:rFonts w:hint="eastAsia" w:eastAsia="方正仿宋_GBK"/>
          <w:sz w:val="32"/>
          <w:szCs w:val="32"/>
        </w:rPr>
        <w:t xml:space="preserve"> 市各级交通运输主管部门批准初步设计或一阶段施工图设计的新建、改建、扩建水运工程的设计变更，应执行本办法。</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本办法所称设计变更，是指自水运工程初步设计批准之日起至通过竣工验收正式交付使用之日止，对已批准的初步设计文件（技术设计文件）或施工图设计文件所进行的修改、完善等活动。</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第三条</w:t>
      </w:r>
      <w:r>
        <w:rPr>
          <w:rFonts w:hint="eastAsia" w:eastAsia="方正仿宋_GBK"/>
          <w:sz w:val="32"/>
          <w:szCs w:val="32"/>
        </w:rPr>
        <w:t xml:space="preserve">  各级交通运输主管部门应当按照项目管理权限加强对水运工程设计变更活动的监督管理。项目单位应当加强对水运工程设计变更实施的管理，建立设计变更</w:t>
      </w:r>
      <w:r>
        <w:rPr>
          <w:rFonts w:hint="eastAsia" w:eastAsia="方正仿宋_GBK"/>
          <w:sz w:val="32"/>
          <w:szCs w:val="32"/>
          <w:lang w:val="en-US" w:eastAsia="zh-CN"/>
        </w:rPr>
        <w:t>台账</w:t>
      </w:r>
      <w:r>
        <w:rPr>
          <w:rFonts w:hint="eastAsia" w:eastAsia="方正仿宋_GBK"/>
          <w:sz w:val="32"/>
          <w:szCs w:val="32"/>
        </w:rPr>
        <w:t xml:space="preserve">。 </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第四条 </w:t>
      </w:r>
      <w:r>
        <w:rPr>
          <w:rFonts w:hint="eastAsia" w:eastAsia="方正仿宋_GBK"/>
          <w:sz w:val="32"/>
          <w:szCs w:val="32"/>
        </w:rPr>
        <w:t xml:space="preserve"> 设计变更应以优化、完善原设计为前提，以提高设计质量、节约资源、方便施工、保障施工安全、有利环保</w:t>
      </w:r>
      <w:r>
        <w:rPr>
          <w:rFonts w:hint="eastAsia" w:eastAsia="方正仿宋_GBK"/>
          <w:sz w:val="32"/>
          <w:szCs w:val="32"/>
          <w:lang w:val="en-US" w:eastAsia="zh-CN"/>
        </w:rPr>
        <w:t>和</w:t>
      </w:r>
      <w:r>
        <w:rPr>
          <w:rFonts w:hint="eastAsia" w:eastAsia="方正仿宋_GBK"/>
          <w:sz w:val="32"/>
          <w:szCs w:val="32"/>
        </w:rPr>
        <w:t>营运为目标，符合国家现行有关水运工程强制性标准和技术规范的要求，符合水运工程质量安全和使用功能的要求，符合环境保护的要求。</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eastAsia="方正仿宋_GBK"/>
          <w:sz w:val="32"/>
          <w:szCs w:val="32"/>
        </w:rPr>
      </w:pPr>
      <w:r>
        <w:rPr>
          <w:rFonts w:hint="eastAsia" w:eastAsia="方正黑体_GBK"/>
          <w:sz w:val="32"/>
          <w:szCs w:val="32"/>
        </w:rPr>
        <w:t>第五条</w:t>
      </w:r>
      <w:r>
        <w:rPr>
          <w:rFonts w:hint="eastAsia" w:eastAsia="方正仿宋_GBK"/>
          <w:sz w:val="32"/>
          <w:szCs w:val="32"/>
        </w:rPr>
        <w:t xml:space="preserve">  水运工程设计变更分为重大设计变更和一般设计变更。</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eastAsia="方正仿宋_GBK"/>
          <w:sz w:val="32"/>
          <w:szCs w:val="32"/>
        </w:rPr>
      </w:pPr>
      <w:r>
        <w:rPr>
          <w:rFonts w:hint="eastAsia" w:eastAsia="方正黑体_GBK"/>
          <w:sz w:val="32"/>
          <w:szCs w:val="32"/>
        </w:rPr>
        <w:t xml:space="preserve">第六条  </w:t>
      </w:r>
      <w:r>
        <w:rPr>
          <w:rFonts w:hint="eastAsia" w:eastAsia="方正仿宋_GBK"/>
          <w:sz w:val="32"/>
          <w:szCs w:val="32"/>
        </w:rPr>
        <w:t>有下列情形之一的称为重大设计变更，由原初步设计（技术设计文件）或施工图设计审批部门审批：</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（一）港口工程</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1．对工程总平面布置进行重大调整，主要包括水域设计水深、码头高程、水域布置形式、陆域生产区及辅助生产区主要布置形式等；</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2．改变主要水工建筑物结构型式，主要包括排架间距、码头平台宽度、基础型式、引桥结构型式等；调整主要建筑物结构型式，主要包括仓库、装卸楼、转运站、综合办公楼和候工楼等；</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3．改变主要装卸工艺方案，主要包括作业方式、装卸设备类型等；调整主要装卸工艺设备配置规模，主要包括设备数量、吊装能力等；</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ascii="Times New Roman" w:hAnsi="Times New Roman" w:eastAsia="方正仿宋_GBK"/>
          <w:sz w:val="32"/>
          <w:szCs w:val="32"/>
          <w:lang w:eastAsia="zh-CN"/>
        </w:rPr>
      </w:pPr>
      <w:r>
        <w:rPr>
          <w:rFonts w:ascii="Times New Roman" w:hAnsi="Times New Roman" w:eastAsia="方正仿宋_GBK"/>
          <w:sz w:val="32"/>
          <w:szCs w:val="32"/>
        </w:rPr>
        <w:t>4．供电方式发生重大改变</w:t>
      </w:r>
      <w:r>
        <w:rPr>
          <w:rFonts w:hint="eastAsia" w:ascii="Times New Roman" w:hAnsi="Times New Roman" w:eastAsia="方正仿宋_GBK"/>
          <w:sz w:val="32"/>
          <w:szCs w:val="32"/>
          <w:lang w:eastAsia="zh-CN"/>
        </w:rPr>
        <w:t>；</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5</w:t>
      </w:r>
      <w:r>
        <w:rPr>
          <w:rFonts w:ascii="Times New Roman" w:hAnsi="Times New Roman" w:eastAsia="方正仿宋_GBK"/>
          <w:sz w:val="32"/>
          <w:szCs w:val="32"/>
        </w:rPr>
        <w:t>．单次变更工程费用变化超过500万元；</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hint="default" w:ascii="Times New Roman" w:hAnsi="Times New Roman" w:eastAsia="方正仿宋_GBK"/>
          <w:sz w:val="32"/>
          <w:szCs w:val="32"/>
        </w:rPr>
        <w:t>6</w:t>
      </w:r>
      <w:r>
        <w:rPr>
          <w:rFonts w:ascii="Times New Roman" w:hAnsi="Times New Roman" w:eastAsia="方正仿宋_GBK"/>
          <w:sz w:val="32"/>
          <w:szCs w:val="32"/>
        </w:rPr>
        <w:t>．政府投资港口工程建设项目超出初步设计批准总概算但在项目批准的投资估算10%以内。</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（二）航道整治及疏浚工程</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1．连续调整航道轴线布置，改变主要建筑物的平面布置、高程和主要结构型式；</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jc w:val="left"/>
        <w:textAlignment w:val="auto"/>
        <w:rPr>
          <w:rFonts w:hint="default" w:ascii="Times New Roman" w:hAnsi="Times New Roman" w:eastAsia="方正仿宋_GBK"/>
          <w:sz w:val="32"/>
          <w:szCs w:val="32"/>
        </w:rPr>
      </w:pPr>
      <w:r>
        <w:rPr>
          <w:rFonts w:ascii="Times New Roman" w:hAnsi="Times New Roman" w:eastAsia="方正仿宋_GBK"/>
          <w:sz w:val="32"/>
          <w:szCs w:val="32"/>
        </w:rPr>
        <w:t>2．护岸、护滩、护底结构范围调整超过原设计范围</w:t>
      </w:r>
      <w:r>
        <w:rPr>
          <w:rFonts w:hint="default" w:ascii="Times New Roman" w:hAnsi="Times New Roman" w:eastAsia="方正仿宋_GBK"/>
          <w:sz w:val="32"/>
          <w:szCs w:val="32"/>
        </w:rPr>
        <w:t>15</w:t>
      </w:r>
      <w:r>
        <w:rPr>
          <w:rFonts w:ascii="Times New Roman" w:hAnsi="Times New Roman" w:eastAsia="方正仿宋_GBK"/>
          <w:sz w:val="32"/>
          <w:szCs w:val="32"/>
        </w:rPr>
        <w:t>%，维护基地、航标、清礁、疏浚工程量调整超过原设计工程量</w:t>
      </w:r>
      <w:r>
        <w:rPr>
          <w:rFonts w:hint="default" w:ascii="Times New Roman" w:hAnsi="Times New Roman" w:eastAsia="方正仿宋_GBK"/>
          <w:sz w:val="32"/>
          <w:szCs w:val="32"/>
        </w:rPr>
        <w:t>15</w:t>
      </w:r>
      <w:r>
        <w:rPr>
          <w:rFonts w:ascii="Times New Roman" w:hAnsi="Times New Roman" w:eastAsia="方正仿宋_GBK"/>
          <w:sz w:val="32"/>
          <w:szCs w:val="32"/>
        </w:rPr>
        <w:t>%；</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jc w:val="left"/>
        <w:textAlignment w:val="auto"/>
        <w:rPr>
          <w:rFonts w:ascii="Times New Roman" w:hAnsi="Times New Roman" w:eastAsia="方正仿宋_GBK"/>
          <w:sz w:val="32"/>
          <w:szCs w:val="32"/>
        </w:rPr>
      </w:pPr>
      <w:r>
        <w:rPr>
          <w:rFonts w:ascii="Times New Roman" w:hAnsi="Times New Roman" w:eastAsia="方正仿宋_GBK"/>
          <w:sz w:val="32"/>
          <w:szCs w:val="32"/>
        </w:rPr>
        <w:t>3．改变疏浚边线、设计底高程，调整疏浚工程抛泥区的控制高程。</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jc w:val="left"/>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4</w:t>
      </w:r>
      <w:r>
        <w:rPr>
          <w:rFonts w:ascii="Times New Roman" w:hAnsi="Times New Roman" w:eastAsia="方正仿宋_GBK"/>
          <w:sz w:val="32"/>
          <w:szCs w:val="32"/>
        </w:rPr>
        <w:t>．单次变更工程费用变化超过500万元；</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jc w:val="left"/>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5</w:t>
      </w:r>
      <w:r>
        <w:rPr>
          <w:rFonts w:ascii="Times New Roman" w:hAnsi="Times New Roman" w:eastAsia="方正仿宋_GBK"/>
          <w:sz w:val="32"/>
          <w:szCs w:val="32"/>
        </w:rPr>
        <w:t>．政府投资航道工程建设项目超出初步设计批准总概算但在项目批准的投资估算10%以内。</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（三）航运枢纽工程</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改变航运枢纽总体布置，改变主要建筑物的平面布置、高程和主要结构型式，改变主要水工建筑物的基础处理方式、消能防冲方式，调整主要配套工程、公用工程的规模和平面布置，调整辅助生产、生活建筑物规模超过原设计规模3%；</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2．改变工作闸阀门和启闭型式，改变升船机的驱动方式，改变通航建筑物的输水系统型式；</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3．改变水轮发电机组型式、单机容量、配置数量和重要技术参数；</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4．改变电站接入系统方式和电气主接线方案；</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5．改变施工导流标准、导流方式、导流建筑物型式；</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6．改变高压配电装置和高压引出线设计方案，改变电站控制运行方式及继电保护方案；</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7</w:t>
      </w:r>
      <w:r>
        <w:rPr>
          <w:rFonts w:ascii="Times New Roman" w:hAnsi="Times New Roman" w:eastAsia="方正仿宋_GBK"/>
          <w:sz w:val="32"/>
          <w:szCs w:val="32"/>
        </w:rPr>
        <w:t>．单次变更工程费用变化超过500万元；</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8</w:t>
      </w:r>
      <w:r>
        <w:rPr>
          <w:rFonts w:ascii="Times New Roman" w:hAnsi="Times New Roman" w:eastAsia="方正仿宋_GBK"/>
          <w:sz w:val="32"/>
          <w:szCs w:val="32"/>
        </w:rPr>
        <w:t>．政府投资航道工程建设项目超出初步设计批准总概算但在项目批准的投资估算10%以内。</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（四）通航建筑物工程</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1．改变通航建筑物平面布置、高程和主要结构型式，改变主要建筑物的基础处理方式、消能防冲方式，调整主要配套工程、公用工程的规模和平面布置，调整辅助生产、生活建筑物规模超过原设计规模3%；</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2．改变通航建筑物的输水系统型式、工作闸阀门和启闭型式，改变升船机的驱动方式；</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default" w:ascii="Times New Roman" w:hAnsi="Times New Roman" w:eastAsia="方正仿宋_GBK"/>
          <w:sz w:val="32"/>
          <w:szCs w:val="32"/>
        </w:rPr>
      </w:pPr>
      <w:r>
        <w:rPr>
          <w:rFonts w:ascii="Times New Roman" w:hAnsi="Times New Roman" w:eastAsia="方正仿宋_GBK"/>
          <w:sz w:val="32"/>
          <w:szCs w:val="32"/>
        </w:rPr>
        <w:t>3．改变施工导流标准、导流方式、导流建筑物型式；</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4</w:t>
      </w:r>
      <w:r>
        <w:rPr>
          <w:rFonts w:ascii="Times New Roman" w:hAnsi="Times New Roman" w:eastAsia="方正仿宋_GBK"/>
          <w:sz w:val="32"/>
          <w:szCs w:val="32"/>
        </w:rPr>
        <w:t>．单次变更工程费用变化超过500万元；</w:t>
      </w:r>
    </w:p>
    <w:p>
      <w:pPr>
        <w:pStyle w:val="5"/>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5</w:t>
      </w:r>
      <w:r>
        <w:rPr>
          <w:rFonts w:ascii="Times New Roman" w:hAnsi="Times New Roman" w:eastAsia="方正仿宋_GBK"/>
          <w:sz w:val="32"/>
          <w:szCs w:val="32"/>
        </w:rPr>
        <w:t>．政府投资航道工程建设项目超出初步设计批准总概算但在项目批准的投资估算10%以内。</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eastAsia="方正仿宋_GBK"/>
          <w:sz w:val="32"/>
          <w:szCs w:val="32"/>
        </w:rPr>
      </w:pPr>
      <w:r>
        <w:rPr>
          <w:rFonts w:hint="eastAsia" w:eastAsia="方正黑体_GBK"/>
          <w:sz w:val="32"/>
          <w:szCs w:val="32"/>
        </w:rPr>
        <w:t>第七条</w:t>
      </w:r>
      <w:r>
        <w:rPr>
          <w:rFonts w:hint="eastAsia" w:eastAsia="方正仿宋_GBK"/>
          <w:sz w:val="32"/>
          <w:szCs w:val="32"/>
        </w:rPr>
        <w:t xml:space="preserve">  一般设计变更是指除重大设计变更以外的其它设计变更，由项目单位负责审查，并负责对水运工程设计变更的实施进行管理。 </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第八条</w:t>
      </w:r>
      <w:r>
        <w:rPr>
          <w:rFonts w:hint="eastAsia" w:eastAsia="方正仿宋_GBK"/>
          <w:sz w:val="32"/>
          <w:szCs w:val="32"/>
        </w:rPr>
        <w:t xml:space="preserve">  水运工程重大设计变更实行审批制，未经审查批准的设计变更不得实施。经批准的设计变更，一般不得再次变更。</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任何单位或者个人不得违反本办法规定擅自变更已经批准的水运工程初步设计（技术设计文件）和施工图设计文件，不得肢解、合并设计变更。</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第九条 </w:t>
      </w:r>
      <w:r>
        <w:rPr>
          <w:rFonts w:hint="eastAsia" w:eastAsia="方正仿宋_GBK"/>
          <w:sz w:val="32"/>
          <w:szCs w:val="32"/>
        </w:rPr>
        <w:t>施工图设计相对初步设计阶段的变更可在施工图审批时一并审批确认。</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第十条</w:t>
      </w:r>
      <w:r>
        <w:rPr>
          <w:rFonts w:hint="eastAsia" w:eastAsia="方正仿宋_GBK"/>
          <w:sz w:val="32"/>
          <w:szCs w:val="32"/>
        </w:rPr>
        <w:t xml:space="preserve">  审批部门在批准设计变更时，可以委托另一设计单位进行技术审查咨询。受委托的设计单位资质等级应当不低于原设计文件编制单位资质等级。</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第十一条</w:t>
      </w:r>
      <w:r>
        <w:rPr>
          <w:rFonts w:hint="eastAsia" w:eastAsia="方正仿宋_GBK"/>
          <w:sz w:val="32"/>
          <w:szCs w:val="32"/>
        </w:rPr>
        <w:t xml:space="preserve">  水运工程勘察设计、施工及监理等单位可向项目单位提出设计变更建议，设计变更建议应以书面形式提出，并应注明变更理由。项目单位也可直接提出水运工程设计变更建议。其他单位提出重大设计变更建议的，应征求项目单位同意后由项目单位向审批部门提出水运工程设计变更的申请。</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第十二条</w:t>
      </w:r>
      <w:r>
        <w:rPr>
          <w:rFonts w:hint="eastAsia" w:eastAsia="方正仿宋_GBK"/>
          <w:sz w:val="32"/>
          <w:szCs w:val="32"/>
        </w:rPr>
        <w:t xml:space="preserve">  重大设计变更建议，项目单位经审查论证确认后，按照第六条规定向有管理权限的交通运输主管部门提出设计变更申请。设计变更申请材料包括以下内容：</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lang w:eastAsia="zh-CN"/>
        </w:rPr>
      </w:pPr>
      <w:r>
        <w:rPr>
          <w:rFonts w:hint="eastAsia" w:eastAsia="方正仿宋_GBK"/>
          <w:sz w:val="32"/>
          <w:szCs w:val="32"/>
        </w:rPr>
        <w:t>（一）设计变更申请书（详见附件1）</w:t>
      </w:r>
      <w:r>
        <w:rPr>
          <w:rFonts w:hint="eastAsia" w:eastAsia="方正仿宋_GBK"/>
          <w:sz w:val="32"/>
          <w:szCs w:val="32"/>
          <w:lang w:eastAsia="zh-CN"/>
        </w:rPr>
        <w:t>；</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（二）设计变更建议的调查核实情况、合理性论证情况；</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（三）原设计单位的书面意见（设计变更单位发生变化的）；</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（四）设计变更方案，包括拟变更设计的水运工程名称、项目基本情况、</w:t>
      </w:r>
      <w:bookmarkStart w:id="1" w:name="OLE_LINK1"/>
      <w:bookmarkStart w:id="2" w:name="OLE_LINK2"/>
      <w:r>
        <w:rPr>
          <w:rFonts w:hint="eastAsia" w:eastAsia="方正仿宋_GBK"/>
          <w:sz w:val="32"/>
          <w:szCs w:val="32"/>
        </w:rPr>
        <w:t>提出变更建议的单位</w:t>
      </w:r>
      <w:bookmarkEnd w:id="1"/>
      <w:bookmarkEnd w:id="2"/>
      <w:r>
        <w:rPr>
          <w:rFonts w:hint="eastAsia" w:eastAsia="方正仿宋_GBK"/>
          <w:sz w:val="32"/>
          <w:szCs w:val="32"/>
        </w:rPr>
        <w:t>、原设计单位、设计变更的类别、变更的主要内容、变更的主要理由、拟委托的变更勘察设计单位、预估的造价变更等内容，以及必要的勘察试验资料等；</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（五）申请人认为应当说明的其他事项。</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一般设计变更建议，由项目单位根据审查核实情况或者论证结果决定是否开展设计变更的勘察设计工作。</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第十三条</w:t>
      </w:r>
      <w:r>
        <w:rPr>
          <w:rFonts w:hint="eastAsia" w:eastAsia="方正仿宋_GBK"/>
          <w:sz w:val="32"/>
          <w:szCs w:val="32"/>
        </w:rPr>
        <w:t xml:space="preserve">  设计变更的审批单位在受理设计变更申请时，应当对申请材料的齐备性进行审查，符合条件的予以受理，不予受理的说明理由。</w:t>
      </w:r>
    </w:p>
    <w:p>
      <w:pPr>
        <w:pStyle w:val="4"/>
        <w:keepNext w:val="0"/>
        <w:keepLines w:val="0"/>
        <w:pageBreakBefore w:val="0"/>
        <w:widowControl w:val="0"/>
        <w:kinsoku/>
        <w:wordWrap/>
        <w:topLinePunct w:val="0"/>
        <w:bidi w:val="0"/>
        <w:adjustRightInd/>
        <w:spacing w:after="0" w:line="60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第十四条</w:t>
      </w:r>
      <w:r>
        <w:rPr>
          <w:rFonts w:hint="eastAsia" w:eastAsia="方正仿宋_GBK"/>
          <w:sz w:val="32"/>
          <w:szCs w:val="32"/>
        </w:rPr>
        <w:t xml:space="preserve">  重大设计变更的审批单位应当组织质量监督、造价等部门以及有关技术专家对设计变更申请进行审查，并将审查意见形成备忘录留存（详见附件</w:t>
      </w:r>
      <w:r>
        <w:rPr>
          <w:rFonts w:eastAsia="方正仿宋_GBK"/>
          <w:sz w:val="32"/>
          <w:szCs w:val="32"/>
          <w:lang w:val="en"/>
        </w:rPr>
        <w:t>2</w:t>
      </w:r>
      <w:r>
        <w:rPr>
          <w:rFonts w:hint="eastAsia" w:eastAsia="方正仿宋_GBK"/>
          <w:sz w:val="32"/>
          <w:szCs w:val="32"/>
        </w:rPr>
        <w:t>）。</w:t>
      </w:r>
    </w:p>
    <w:p>
      <w:pPr>
        <w:keepNext w:val="0"/>
        <w:keepLines w:val="0"/>
        <w:pageBreakBefore w:val="0"/>
        <w:widowControl w:val="0"/>
        <w:kinsoku/>
        <w:wordWrap/>
        <w:topLinePunct w:val="0"/>
        <w:bidi w:val="0"/>
        <w:adjustRightInd/>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第十五条 </w:t>
      </w:r>
      <w:r>
        <w:rPr>
          <w:rFonts w:hint="eastAsia" w:eastAsia="方正仿宋_GBK"/>
          <w:sz w:val="32"/>
          <w:szCs w:val="32"/>
        </w:rPr>
        <w:t xml:space="preserve"> 设计变更的审批单位受理变更申请后，应在</w:t>
      </w:r>
      <w:r>
        <w:rPr>
          <w:rFonts w:eastAsia="方正仿宋_GBK"/>
          <w:sz w:val="32"/>
          <w:szCs w:val="32"/>
        </w:rPr>
        <w:t>10</w:t>
      </w:r>
      <w:r>
        <w:rPr>
          <w:rFonts w:hint="eastAsia" w:eastAsia="方正仿宋_GBK"/>
          <w:sz w:val="32"/>
          <w:szCs w:val="32"/>
        </w:rPr>
        <w:t>个工作日内做出是否同意开展设计变更勘察设计工作的决定。需要专家评审的，所需时间不计算在上述期限内。交通行政许可决定书包括以下内容：</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eastAsia="方正仿宋_GBK"/>
          <w:sz w:val="32"/>
          <w:szCs w:val="32"/>
        </w:rPr>
      </w:pPr>
      <w:r>
        <w:rPr>
          <w:rFonts w:hint="eastAsia" w:eastAsia="方正仿宋_GBK"/>
          <w:sz w:val="32"/>
          <w:szCs w:val="32"/>
        </w:rPr>
        <w:t>（一）是否同意开展设计变更勘察设计的结论和理由；</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highlight w:val="none"/>
        </w:rPr>
      </w:pPr>
      <w:r>
        <w:rPr>
          <w:rFonts w:hint="eastAsia" w:eastAsia="方正仿宋_GBK"/>
          <w:sz w:val="32"/>
          <w:szCs w:val="32"/>
          <w:highlight w:val="none"/>
        </w:rPr>
        <w:t>（二）是否需要继续开展变更施工图设计；</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（三）对拟开展设计变更勘察设计的有关要求；</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（四）其他需要说明的事项。</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第十六条 </w:t>
      </w:r>
      <w:r>
        <w:rPr>
          <w:rFonts w:hint="eastAsia" w:eastAsia="方正仿宋_GBK"/>
          <w:sz w:val="32"/>
          <w:szCs w:val="32"/>
        </w:rPr>
        <w:t xml:space="preserve"> 同意开展设计变更勘察设计交通行政许可决定书发出后，项目单位应组织勘察设计单位及时完善设计变更文件的修编工作，并同时编制相应阶段的变更造价文件。</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设计变更的勘察设计原则上应当由水运工程项目的原勘察设计单位承担。经原勘察设计单位书面同意，项目单位也可选择其他具有相应资质的勘察设计单位承担。</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第十七条 </w:t>
      </w:r>
      <w:r>
        <w:rPr>
          <w:rFonts w:hint="eastAsia" w:eastAsia="方正仿宋_GBK"/>
          <w:sz w:val="32"/>
          <w:szCs w:val="32"/>
        </w:rPr>
        <w:t xml:space="preserve"> 重大设计变更在编制概算和预算文件时，应遵循以下原则：</w:t>
      </w:r>
    </w:p>
    <w:p>
      <w:pPr>
        <w:pStyle w:val="6"/>
        <w:keepNext w:val="0"/>
        <w:keepLines w:val="0"/>
        <w:pageBreakBefore w:val="0"/>
        <w:widowControl w:val="0"/>
        <w:kinsoku/>
        <w:wordWrap/>
        <w:topLinePunct w:val="0"/>
        <w:bidi w:val="0"/>
        <w:adjustRightInd/>
        <w:spacing w:after="0" w:line="600" w:lineRule="exact"/>
        <w:ind w:left="0" w:leftChars="0" w:right="0" w:rightChars="0" w:firstLine="640" w:firstLineChars="200"/>
        <w:textAlignment w:val="auto"/>
        <w:rPr>
          <w:rFonts w:hint="eastAsia" w:eastAsia="方正仿宋_GBK"/>
          <w:sz w:val="32"/>
          <w:szCs w:val="32"/>
        </w:rPr>
      </w:pPr>
      <w:r>
        <w:rPr>
          <w:rFonts w:hint="eastAsia" w:eastAsia="方正仿宋_GBK"/>
          <w:sz w:val="32"/>
          <w:szCs w:val="32"/>
        </w:rPr>
        <w:t>（一）设计变更概算可计算所有费用，设计变更预算只计算工程费用和建设用地费。</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pacing w:val="4"/>
          <w:sz w:val="32"/>
          <w:szCs w:val="32"/>
        </w:rPr>
      </w:pPr>
      <w:r>
        <w:rPr>
          <w:rFonts w:hint="eastAsia" w:eastAsia="方正仿宋_GBK"/>
          <w:sz w:val="32"/>
          <w:szCs w:val="32"/>
        </w:rPr>
        <w:t>（二）设计变更概、预算文件应依据交通运输部发布的概算预算编制规定及配套定额，以及我市相关规定和造价依据进行编制，其他专业工程的建安费按相应专业的造价依据计算。材料、设备单价可分别依据重庆市交通工程造价站（以下简称“市交通造价站”）发布的《重庆市交通工程材料价格信息》《重庆市交通工程机电设备参考价》确定，信息价中缺项的可参考重庆市住房和城乡建设工程造价总站发布的《重庆工程造价》并结合市场调查</w:t>
      </w:r>
      <w:r>
        <w:rPr>
          <w:rFonts w:hint="eastAsia" w:eastAsia="方正仿宋_GBK"/>
          <w:spacing w:val="4"/>
          <w:sz w:val="32"/>
          <w:szCs w:val="32"/>
        </w:rPr>
        <w:t>综合取定，均未公布的经市场调查取定，并应符合以下具体规定：</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1．初步设计阶段或工可阶段招标的项目，采用概算批复时</w:t>
      </w:r>
      <w:bookmarkStart w:id="3" w:name="_GoBack"/>
      <w:bookmarkEnd w:id="3"/>
      <w:r>
        <w:rPr>
          <w:rFonts w:hint="eastAsia" w:eastAsia="方正仿宋_GBK"/>
          <w:sz w:val="32"/>
          <w:szCs w:val="32"/>
        </w:rPr>
        <w:t>采用的造价依据及配套标准、规定，以及人工工日单价、材料和设备信息价；</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2．施工图阶段招标的项目，采用预算批复时采用的造价依据及配套标准、规定，未批复预算的采用投标截止日期时应采用的造价依据及配套标准、规定；采用投标截止日期时应采用的人工工日单价和已发布的最近一期材料、设备信息价；</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eastAsia="方正仿宋_GBK"/>
          <w:sz w:val="32"/>
          <w:szCs w:val="32"/>
        </w:rPr>
      </w:pPr>
      <w:r>
        <w:rPr>
          <w:rFonts w:hint="eastAsia" w:eastAsia="方正仿宋_GBK"/>
          <w:sz w:val="32"/>
          <w:szCs w:val="32"/>
        </w:rPr>
        <w:t>3．未包含在合同内的项目红线外的新增工程、因规划调整导致设计方案发生重大变化的重大设计变更和重新招标确定施工单位的项目，采用设计变更概算、预算送审时应采用的造价依据及配套标准、规定；设计变更概、预算编制采用送审时应采用的人工工日单价和已发布的最近一期材料、设备信息价，审查采用出具审查意见时应采用的人工工日单价和已发布的最近一期材料、设备信息价。</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第十八条 </w:t>
      </w:r>
      <w:r>
        <w:rPr>
          <w:rFonts w:hint="eastAsia" w:eastAsia="方正仿宋_GBK"/>
          <w:sz w:val="32"/>
          <w:szCs w:val="32"/>
        </w:rPr>
        <w:t>设计变更文件编制完成后，重大设计变更文件由项目单位按第六条规定报相关部门审批。一般设计变更文件由项目单位审查确认后决定是否实施。</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报审设计变更文件应当提交以下材料：</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pacing w:val="4"/>
          <w:sz w:val="32"/>
          <w:szCs w:val="32"/>
        </w:rPr>
      </w:pPr>
      <w:r>
        <w:rPr>
          <w:rFonts w:hint="eastAsia" w:eastAsia="方正仿宋_GBK"/>
          <w:sz w:val="32"/>
          <w:szCs w:val="32"/>
        </w:rPr>
        <w:t>（一）设</w:t>
      </w:r>
      <w:r>
        <w:rPr>
          <w:rFonts w:hint="eastAsia" w:eastAsia="方正仿宋_GBK"/>
          <w:spacing w:val="4"/>
          <w:sz w:val="32"/>
          <w:szCs w:val="32"/>
        </w:rPr>
        <w:t>计变更单位发生变化的，提交原设计单位的书面意见；</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（二）设计变更的勘察资料、设计图纸及原设计相应图纸；</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（三）工程量、投资变化对照清单和分项概、预算文件。</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第十九条 </w:t>
      </w:r>
      <w:r>
        <w:rPr>
          <w:rFonts w:hint="eastAsia" w:eastAsia="方正仿宋_GBK"/>
          <w:sz w:val="32"/>
          <w:szCs w:val="32"/>
        </w:rPr>
        <w:t xml:space="preserve"> 设计变更文件的审批应在10个工作日内完成。</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eastAsia="方正仿宋_GBK"/>
          <w:sz w:val="32"/>
          <w:szCs w:val="32"/>
        </w:rPr>
      </w:pPr>
      <w:r>
        <w:rPr>
          <w:rFonts w:hint="eastAsia" w:eastAsia="方正仿宋_GBK"/>
          <w:sz w:val="32"/>
          <w:szCs w:val="32"/>
        </w:rPr>
        <w:t>属于市交通运输委审批的设计变更，通过评审并修改完善后的概预算文件应当在1</w:t>
      </w:r>
      <w:r>
        <w:rPr>
          <w:rFonts w:eastAsia="方正仿宋_GBK"/>
          <w:sz w:val="32"/>
          <w:szCs w:val="32"/>
        </w:rPr>
        <w:t>0</w:t>
      </w:r>
      <w:r>
        <w:rPr>
          <w:rFonts w:hint="eastAsia" w:eastAsia="方正仿宋_GBK"/>
          <w:sz w:val="32"/>
          <w:szCs w:val="32"/>
        </w:rPr>
        <w:t>个工作日内报市交通造价站审查，市交通造价站在收到完整资料后原则上5个工作日内向市交通运输委提交审查意见。</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第二十条 </w:t>
      </w:r>
      <w:r>
        <w:rPr>
          <w:rFonts w:hint="eastAsia" w:eastAsia="方正仿宋_GBK"/>
          <w:sz w:val="32"/>
          <w:szCs w:val="32"/>
        </w:rPr>
        <w:t xml:space="preserve"> 对需要进行紧急抢险、抢水等特殊情况的水运工程重大设计变更，项目单位可先进行紧急抢险、抢水处理，并在10个工作日内按第六条规定书面报告相关审批部门，同时按照规定的程序办理设计变更审批手续，并附相关的影像资料说明紧急抢险、抢水的情形（详见附件</w:t>
      </w:r>
      <w:r>
        <w:rPr>
          <w:rFonts w:eastAsia="方正仿宋_GBK"/>
          <w:sz w:val="32"/>
          <w:szCs w:val="32"/>
          <w:lang w:val="en"/>
        </w:rPr>
        <w:t>3</w:t>
      </w:r>
      <w:r>
        <w:rPr>
          <w:rFonts w:hint="eastAsia" w:eastAsia="方正仿宋_GBK"/>
          <w:sz w:val="32"/>
          <w:szCs w:val="32"/>
        </w:rPr>
        <w:t>）。</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eastAsia="方正仿宋_GBK"/>
          <w:sz w:val="32"/>
          <w:szCs w:val="32"/>
        </w:rPr>
      </w:pPr>
      <w:r>
        <w:rPr>
          <w:rFonts w:hint="eastAsia" w:eastAsia="方正黑体_GBK"/>
          <w:sz w:val="32"/>
          <w:szCs w:val="32"/>
        </w:rPr>
        <w:t>第二十一条</w:t>
      </w:r>
      <w:r>
        <w:rPr>
          <w:rFonts w:hint="eastAsia" w:eastAsia="方正仿宋_GBK"/>
          <w:sz w:val="32"/>
          <w:szCs w:val="32"/>
        </w:rPr>
        <w:t xml:space="preserve">  水运工程设计变更工程的施工应当由原施工单位承担。原施工单位不具备承担设计变更工程的资质时，项目单位应根据招标投标相关规定另行选择施工单位。</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第二十二条 </w:t>
      </w:r>
      <w:r>
        <w:rPr>
          <w:rFonts w:hint="eastAsia" w:eastAsia="方正仿宋_GBK"/>
          <w:sz w:val="32"/>
          <w:szCs w:val="32"/>
        </w:rPr>
        <w:t>水运工程设计变更工程价款原则上应控制在批准的设计变更概预算范围内，设计变更工程价款的单价应按照签订的合同确定，合同未约定的应遵循以下原则确定：</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（一）本合同段工程量清单中已有相应子目单价或类似子目（工程范围、内容、质量要求基本相同）单价的，直接采用合同清单单价。</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二）工程变更项目的工程范围、内容、质量要求基本相同，但计量单位与本合同段工程量清单存在差异，可采用换算、类比、内插等方法间接使用工程量清单已有单价，形成变更工程的单价；工程项目变更后有部分工作内容改变，按上述方法并根据工程的实际情况进行适当调整后作为变更工程的单价。</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eastAsia="方正仿宋_GBK"/>
          <w:sz w:val="32"/>
          <w:szCs w:val="32"/>
        </w:rPr>
      </w:pPr>
      <w:r>
        <w:rPr>
          <w:rFonts w:hint="eastAsia" w:eastAsia="方正仿宋_GBK"/>
          <w:sz w:val="32"/>
          <w:szCs w:val="32"/>
        </w:rPr>
        <w:t>（三）若本合同段工程量清单中没有相同或类似子目单价的，可以采用本项目其他合同段的相同子目单价的平均价，或参照平均价并根据工程的实际情况进行适当调整后作为变更工程的单价。</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（四）若本合同段及本项目其它合同段没有相同子目或类似子目单价套用的，则根据本办法第十七条原则进行计算，并按本合同段中标价与最高投标限价的下浮幅度进行调整确定新增单价。</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（五）合同清单中有相应综合单价且仅变更材料的，则原综合单价不变，只调整材料价差。</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第二十</w:t>
      </w:r>
      <w:r>
        <w:rPr>
          <w:rFonts w:eastAsia="方正黑体_GBK"/>
          <w:sz w:val="32"/>
          <w:szCs w:val="32"/>
        </w:rPr>
        <w:t>三</w:t>
      </w:r>
      <w:r>
        <w:rPr>
          <w:rFonts w:hint="eastAsia" w:eastAsia="方正黑体_GBK"/>
          <w:sz w:val="32"/>
          <w:szCs w:val="32"/>
        </w:rPr>
        <w:t xml:space="preserve">条 </w:t>
      </w:r>
      <w:r>
        <w:rPr>
          <w:rFonts w:hint="eastAsia" w:eastAsia="方正仿宋_GBK"/>
          <w:sz w:val="32"/>
          <w:szCs w:val="32"/>
        </w:rPr>
        <w:t xml:space="preserve"> 各级交通运输主管部门发现设计变更降低服务水平或技术标准，或不符合法定条件的，应责令纠正或依法撤销行政许可。</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第二十</w:t>
      </w:r>
      <w:r>
        <w:rPr>
          <w:rFonts w:eastAsia="方正黑体_GBK"/>
          <w:sz w:val="32"/>
          <w:szCs w:val="32"/>
        </w:rPr>
        <w:t>四</w:t>
      </w:r>
      <w:r>
        <w:rPr>
          <w:rFonts w:hint="eastAsia" w:eastAsia="方正黑体_GBK"/>
          <w:sz w:val="32"/>
          <w:szCs w:val="32"/>
        </w:rPr>
        <w:t xml:space="preserve">条 </w:t>
      </w:r>
      <w:r>
        <w:rPr>
          <w:rFonts w:hint="eastAsia" w:eastAsia="方正仿宋_GBK"/>
          <w:sz w:val="32"/>
          <w:szCs w:val="32"/>
        </w:rPr>
        <w:t xml:space="preserve"> 由于水运工程勘察设计、施工等有关单位的过失引起工程设计变更或未及时开展变更设计及施工，并由于以上原因造成损失的，有关单位应当按合同约定承担相应的费用和相关责任。</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第二十</w:t>
      </w:r>
      <w:r>
        <w:rPr>
          <w:rFonts w:eastAsia="方正黑体_GBK"/>
          <w:sz w:val="32"/>
          <w:szCs w:val="32"/>
        </w:rPr>
        <w:t>五</w:t>
      </w:r>
      <w:r>
        <w:rPr>
          <w:rFonts w:hint="eastAsia" w:eastAsia="方正黑体_GBK"/>
          <w:sz w:val="32"/>
          <w:szCs w:val="32"/>
        </w:rPr>
        <w:t>条</w:t>
      </w:r>
      <w:r>
        <w:rPr>
          <w:rFonts w:hint="eastAsia" w:eastAsia="方正仿宋_GBK"/>
          <w:sz w:val="32"/>
          <w:szCs w:val="32"/>
        </w:rPr>
        <w:t xml:space="preserve">  按照本办法规定经过审查批准的水运工程设计变更，其费用变化纳入决算。未经批准的设计变更，其费用变化不得</w:t>
      </w:r>
      <w:r>
        <w:rPr>
          <w:rFonts w:hint="eastAsia" w:eastAsia="方正仿宋_GBK"/>
          <w:sz w:val="32"/>
          <w:szCs w:val="32"/>
          <w:lang w:eastAsia="zh-CN"/>
        </w:rPr>
        <w:t>纳</w:t>
      </w:r>
      <w:r>
        <w:rPr>
          <w:rFonts w:hint="eastAsia" w:eastAsia="方正仿宋_GBK"/>
          <w:sz w:val="32"/>
          <w:szCs w:val="32"/>
        </w:rPr>
        <w:t>入决算。</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第二十</w:t>
      </w:r>
      <w:r>
        <w:rPr>
          <w:rFonts w:eastAsia="方正黑体_GBK"/>
          <w:sz w:val="32"/>
          <w:szCs w:val="32"/>
        </w:rPr>
        <w:t>六</w:t>
      </w:r>
      <w:r>
        <w:rPr>
          <w:rFonts w:hint="eastAsia" w:eastAsia="方正黑体_GBK"/>
          <w:sz w:val="32"/>
          <w:szCs w:val="32"/>
        </w:rPr>
        <w:t xml:space="preserve">条  </w:t>
      </w:r>
      <w:r>
        <w:rPr>
          <w:rFonts w:hint="eastAsia" w:eastAsia="方正仿宋_GBK"/>
          <w:sz w:val="32"/>
          <w:szCs w:val="32"/>
        </w:rPr>
        <w:t>项目单位应当建立水运工程设计变更管理台</w:t>
      </w:r>
      <w:r>
        <w:rPr>
          <w:rFonts w:hint="eastAsia" w:eastAsia="方正仿宋_GBK"/>
          <w:sz w:val="32"/>
          <w:szCs w:val="32"/>
          <w:lang w:val="en-US" w:eastAsia="zh-CN"/>
        </w:rPr>
        <w:t>账</w:t>
      </w:r>
      <w:r>
        <w:rPr>
          <w:rFonts w:hint="eastAsia" w:eastAsia="方正仿宋_GBK"/>
          <w:sz w:val="32"/>
          <w:szCs w:val="32"/>
        </w:rPr>
        <w:t>，设计变更审批单位可对管理</w:t>
      </w:r>
      <w:r>
        <w:rPr>
          <w:rFonts w:hint="eastAsia" w:eastAsia="方正仿宋_GBK"/>
          <w:sz w:val="32"/>
          <w:szCs w:val="32"/>
          <w:lang w:val="en-US" w:eastAsia="zh-CN"/>
        </w:rPr>
        <w:t>台账</w:t>
      </w:r>
      <w:r>
        <w:rPr>
          <w:rFonts w:hint="eastAsia" w:eastAsia="方正仿宋_GBK"/>
          <w:sz w:val="32"/>
          <w:szCs w:val="32"/>
        </w:rPr>
        <w:t xml:space="preserve">进行检查。 </w:t>
      </w:r>
    </w:p>
    <w:p>
      <w:pPr>
        <w:keepNext w:val="0"/>
        <w:keepLines w:val="0"/>
        <w:pageBreakBefore w:val="0"/>
        <w:widowControl w:val="0"/>
        <w:kinsoku/>
        <w:wordWrap/>
        <w:topLinePunct w:val="0"/>
        <w:bidi w:val="0"/>
        <w:adjustRightInd/>
        <w:spacing w:line="600" w:lineRule="exact"/>
        <w:ind w:left="0" w:right="0" w:rightChars="0" w:firstLine="640" w:firstLineChars="200"/>
        <w:jc w:val="left"/>
        <w:textAlignment w:val="auto"/>
        <w:rPr>
          <w:rFonts w:hint="eastAsia" w:eastAsia="方正仿宋_GBK"/>
          <w:sz w:val="32"/>
          <w:szCs w:val="32"/>
        </w:rPr>
      </w:pPr>
      <w:r>
        <w:rPr>
          <w:rFonts w:hint="eastAsia" w:eastAsia="方正黑体_GBK"/>
          <w:sz w:val="32"/>
          <w:szCs w:val="32"/>
        </w:rPr>
        <w:t>第二十</w:t>
      </w:r>
      <w:r>
        <w:rPr>
          <w:rFonts w:eastAsia="方正黑体_GBK"/>
          <w:sz w:val="32"/>
          <w:szCs w:val="32"/>
        </w:rPr>
        <w:t>七</w:t>
      </w:r>
      <w:r>
        <w:rPr>
          <w:rFonts w:hint="eastAsia" w:eastAsia="方正黑体_GBK"/>
          <w:sz w:val="32"/>
          <w:szCs w:val="32"/>
        </w:rPr>
        <w:t>条</w:t>
      </w:r>
      <w:r>
        <w:rPr>
          <w:rFonts w:hint="eastAsia" w:eastAsia="方正仿宋_GBK"/>
          <w:sz w:val="32"/>
          <w:szCs w:val="32"/>
        </w:rPr>
        <w:t xml:space="preserve">  施工单位不按照批准的设计变更文件施工的，由项目单位督促整改或由交通运输主管部门责令改正；造成建设工程质量不符合规定质量标准的，</w:t>
      </w:r>
      <w:r>
        <w:rPr>
          <w:rFonts w:hint="eastAsia" w:eastAsia="方正仿宋_GBK"/>
          <w:sz w:val="32"/>
          <w:szCs w:val="32"/>
          <w:highlight w:val="none"/>
        </w:rPr>
        <w:t>负责返工、修理、赔偿</w:t>
      </w:r>
      <w:r>
        <w:rPr>
          <w:rFonts w:hint="eastAsia" w:eastAsia="方正仿宋_GBK"/>
          <w:sz w:val="32"/>
          <w:szCs w:val="32"/>
          <w:highlight w:val="none"/>
          <w:lang w:eastAsia="zh-CN"/>
        </w:rPr>
        <w:t>因此</w:t>
      </w:r>
      <w:r>
        <w:rPr>
          <w:rFonts w:hint="eastAsia" w:eastAsia="方正仿宋_GBK"/>
          <w:sz w:val="32"/>
          <w:szCs w:val="32"/>
          <w:highlight w:val="none"/>
        </w:rPr>
        <w:t>造成的损失，</w:t>
      </w:r>
      <w:r>
        <w:rPr>
          <w:rFonts w:hint="eastAsia" w:eastAsia="方正仿宋_GBK"/>
          <w:sz w:val="32"/>
          <w:szCs w:val="32"/>
        </w:rPr>
        <w:t>并按照《水运建设市场监督管理办法》等相关规定进行处理，按照《重庆市水运工程建设市场信用评价实施细则》规定进行扣分，视情节轻重依法通报、取消重庆市水运建设市场的准入资格等处理。</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第二十</w:t>
      </w:r>
      <w:r>
        <w:rPr>
          <w:rFonts w:eastAsia="方正黑体_GBK"/>
          <w:sz w:val="32"/>
          <w:szCs w:val="32"/>
        </w:rPr>
        <w:t>八</w:t>
      </w:r>
      <w:r>
        <w:rPr>
          <w:rFonts w:hint="eastAsia" w:eastAsia="方正黑体_GBK"/>
          <w:sz w:val="32"/>
          <w:szCs w:val="32"/>
        </w:rPr>
        <w:t>条</w:t>
      </w:r>
      <w:r>
        <w:rPr>
          <w:rFonts w:hint="eastAsia" w:eastAsia="方正仿宋_GBK"/>
          <w:sz w:val="32"/>
          <w:szCs w:val="32"/>
        </w:rPr>
        <w:t xml:space="preserve">  勘察设计单位因过失造成设计变更并带来重大损失的，按照《水运建设市场监督管理办法》等相关规定进行处理，并按照《重庆市水运工程建设市场信用评价实施细则》规定进行扣分，视情节轻重依法通报、取消重庆市水运建设市场的准入资格等处理。</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第</w:t>
      </w:r>
      <w:r>
        <w:rPr>
          <w:rFonts w:eastAsia="方正黑体_GBK"/>
          <w:sz w:val="32"/>
          <w:szCs w:val="32"/>
        </w:rPr>
        <w:t>二</w:t>
      </w:r>
      <w:r>
        <w:rPr>
          <w:rFonts w:hint="eastAsia" w:eastAsia="方正黑体_GBK"/>
          <w:sz w:val="32"/>
          <w:szCs w:val="32"/>
        </w:rPr>
        <w:t>十</w:t>
      </w:r>
      <w:r>
        <w:rPr>
          <w:rFonts w:eastAsia="方正黑体_GBK"/>
          <w:sz w:val="32"/>
          <w:szCs w:val="32"/>
        </w:rPr>
        <w:t>九</w:t>
      </w:r>
      <w:r>
        <w:rPr>
          <w:rFonts w:hint="eastAsia" w:eastAsia="方正黑体_GBK"/>
          <w:sz w:val="32"/>
          <w:szCs w:val="32"/>
        </w:rPr>
        <w:t xml:space="preserve">条 </w:t>
      </w:r>
      <w:r>
        <w:rPr>
          <w:rFonts w:hint="eastAsia" w:eastAsia="方正仿宋_GBK"/>
          <w:sz w:val="32"/>
          <w:szCs w:val="32"/>
        </w:rPr>
        <w:t xml:space="preserve"> 项目单位有以下行为之一的，由交通运输主管部门责令改正，并纳入信用评价；情节严重的，暂停项目执行；涉嫌犯罪的，依法移送司法机关： </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 xml:space="preserve">（一）不按照规定权限、条件和程序审查、报批水运工程设计变更文件的； </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 xml:space="preserve">（二）肢解水运工程设计变更规避审批的； </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（三）未经审查批准或者审查不合格，擅自实施设计变更的；</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仿宋_GBK"/>
          <w:sz w:val="32"/>
          <w:szCs w:val="32"/>
        </w:rPr>
        <w:t xml:space="preserve">（四）未按照第二十二条的规定确定变更费用及单价的。 </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r>
        <w:rPr>
          <w:rFonts w:hint="eastAsia" w:eastAsia="方正黑体_GBK"/>
          <w:sz w:val="32"/>
          <w:szCs w:val="32"/>
        </w:rPr>
        <w:t xml:space="preserve">第三十条 </w:t>
      </w:r>
      <w:r>
        <w:rPr>
          <w:rFonts w:hint="eastAsia" w:eastAsia="方正仿宋_GBK"/>
          <w:sz w:val="32"/>
          <w:szCs w:val="32"/>
        </w:rPr>
        <w:t xml:space="preserve"> 设计变更审批部门违反本办法规定，不按照规定权限、条件和程序审批水运工程设计变更文件的，由上级交通运输主管部门或纪检监察部门责令改正；造成严重后果的，对直接负责的主管人员和其他直接责任人员依法给予行政处分；涉嫌犯罪的，依法移送司法机关。 </w:t>
      </w:r>
    </w:p>
    <w:p>
      <w:pPr>
        <w:pStyle w:val="4"/>
        <w:keepNext w:val="0"/>
        <w:keepLines w:val="0"/>
        <w:pageBreakBefore w:val="0"/>
        <w:widowControl w:val="0"/>
        <w:kinsoku/>
        <w:wordWrap/>
        <w:topLinePunct w:val="0"/>
        <w:bidi w:val="0"/>
        <w:adjustRightInd/>
        <w:spacing w:after="0" w:line="60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第三十</w:t>
      </w:r>
      <w:r>
        <w:rPr>
          <w:rFonts w:eastAsia="方正黑体_GBK"/>
          <w:sz w:val="32"/>
          <w:szCs w:val="32"/>
        </w:rPr>
        <w:t>一</w:t>
      </w:r>
      <w:r>
        <w:rPr>
          <w:rFonts w:hint="eastAsia" w:eastAsia="方正黑体_GBK"/>
          <w:sz w:val="32"/>
          <w:szCs w:val="32"/>
        </w:rPr>
        <w:t>条</w:t>
      </w:r>
      <w:r>
        <w:rPr>
          <w:rFonts w:hint="eastAsia" w:eastAsia="方正仿宋_GBK"/>
          <w:sz w:val="32"/>
          <w:szCs w:val="32"/>
        </w:rPr>
        <w:t xml:space="preserve">  项目单位应按照本办法规定制定详细的一般设计变更管理规定，明确业主、设计、施工和监理等单位的责任以及变更办理流程、时间要求等，并作为与设计、施工和监理等单位签订合同的组成部分。</w:t>
      </w:r>
    </w:p>
    <w:p>
      <w:pPr>
        <w:pStyle w:val="4"/>
        <w:keepNext w:val="0"/>
        <w:keepLines w:val="0"/>
        <w:pageBreakBefore w:val="0"/>
        <w:widowControl w:val="0"/>
        <w:kinsoku/>
        <w:wordWrap/>
        <w:topLinePunct w:val="0"/>
        <w:bidi w:val="0"/>
        <w:adjustRightInd/>
        <w:spacing w:after="0" w:line="600" w:lineRule="exact"/>
        <w:ind w:left="0" w:leftChars="0" w:right="0" w:rightChars="0" w:firstLine="640" w:firstLineChars="200"/>
        <w:textAlignment w:val="auto"/>
        <w:rPr>
          <w:rFonts w:hint="eastAsia" w:eastAsia="方正仿宋_GBK"/>
          <w:sz w:val="32"/>
          <w:szCs w:val="32"/>
        </w:rPr>
      </w:pPr>
      <w:r>
        <w:rPr>
          <w:rFonts w:hint="eastAsia" w:eastAsia="方正黑体_GBK"/>
          <w:sz w:val="32"/>
          <w:szCs w:val="32"/>
        </w:rPr>
        <w:t>第三十</w:t>
      </w:r>
      <w:r>
        <w:rPr>
          <w:rFonts w:eastAsia="方正黑体_GBK"/>
          <w:sz w:val="32"/>
          <w:szCs w:val="32"/>
        </w:rPr>
        <w:t>二</w:t>
      </w:r>
      <w:r>
        <w:rPr>
          <w:rFonts w:hint="eastAsia" w:eastAsia="方正黑体_GBK"/>
          <w:sz w:val="32"/>
          <w:szCs w:val="32"/>
        </w:rPr>
        <w:t xml:space="preserve">条 </w:t>
      </w:r>
      <w:r>
        <w:rPr>
          <w:rFonts w:hint="eastAsia" w:eastAsia="方正仿宋_GBK"/>
          <w:sz w:val="32"/>
          <w:szCs w:val="32"/>
        </w:rPr>
        <w:t xml:space="preserve"> 本办法由市交通运输委负责解释，自2025年3月1日起施行</w:t>
      </w:r>
      <w:r>
        <w:rPr>
          <w:rFonts w:hint="eastAsia" w:eastAsia="方正仿宋_GBK" w:cs="方正仿宋_GBK"/>
          <w:sz w:val="32"/>
          <w:szCs w:val="32"/>
        </w:rPr>
        <w:t>。</w:t>
      </w:r>
      <w:r>
        <w:rPr>
          <w:rFonts w:hint="eastAsia" w:eastAsia="方正仿宋_GBK"/>
          <w:sz w:val="32"/>
          <w:szCs w:val="32"/>
        </w:rPr>
        <w:t>《重庆市港口工程建设管理办法的通知》（渝交规范〔20</w:t>
      </w:r>
      <w:r>
        <w:rPr>
          <w:rFonts w:eastAsia="方正仿宋_GBK"/>
          <w:sz w:val="32"/>
          <w:szCs w:val="32"/>
        </w:rPr>
        <w:t>20</w:t>
      </w:r>
      <w:r>
        <w:rPr>
          <w:rFonts w:hint="eastAsia" w:eastAsia="方正仿宋_GBK"/>
          <w:sz w:val="32"/>
          <w:szCs w:val="32"/>
        </w:rPr>
        <w:t>〕</w:t>
      </w:r>
      <w:r>
        <w:rPr>
          <w:rFonts w:eastAsia="方正仿宋_GBK"/>
          <w:sz w:val="32"/>
          <w:szCs w:val="32"/>
        </w:rPr>
        <w:t>7</w:t>
      </w:r>
      <w:r>
        <w:rPr>
          <w:rFonts w:hint="eastAsia" w:eastAsia="方正仿宋_GBK"/>
          <w:sz w:val="32"/>
          <w:szCs w:val="32"/>
        </w:rPr>
        <w:t>号）中关于水运工程设计变更的内容以本办法为准。</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hint="eastAsia" w:eastAsia="方正仿宋_GBK"/>
          <w:sz w:val="32"/>
          <w:szCs w:val="32"/>
        </w:rPr>
      </w:pP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eastAsia="方正仿宋_GBK"/>
          <w:sz w:val="32"/>
          <w:szCs w:val="32"/>
        </w:rPr>
      </w:pPr>
      <w:r>
        <w:rPr>
          <w:rFonts w:hint="eastAsia" w:eastAsia="方正仿宋_GBK"/>
          <w:sz w:val="32"/>
          <w:szCs w:val="32"/>
        </w:rPr>
        <w:t>附件：1．重庆市水运工程重大设计变更申请书</w:t>
      </w:r>
    </w:p>
    <w:p>
      <w:pPr>
        <w:keepNext w:val="0"/>
        <w:keepLines w:val="0"/>
        <w:pageBreakBefore w:val="0"/>
        <w:widowControl w:val="0"/>
        <w:kinsoku/>
        <w:wordWrap/>
        <w:topLinePunct w:val="0"/>
        <w:bidi w:val="0"/>
        <w:adjustRightInd/>
        <w:snapToGrid w:val="0"/>
        <w:spacing w:line="600" w:lineRule="exact"/>
        <w:ind w:left="0" w:right="0" w:rightChars="0" w:firstLine="1600" w:firstLineChars="500"/>
        <w:textAlignment w:val="auto"/>
        <w:rPr>
          <w:rFonts w:hint="eastAsia" w:eastAsia="方正仿宋_GBK"/>
          <w:sz w:val="32"/>
          <w:szCs w:val="32"/>
        </w:rPr>
      </w:pPr>
      <w:r>
        <w:rPr>
          <w:rFonts w:eastAsia="方正仿宋_GBK"/>
          <w:sz w:val="32"/>
          <w:szCs w:val="32"/>
        </w:rPr>
        <w:t>2</w:t>
      </w:r>
      <w:r>
        <w:rPr>
          <w:rFonts w:hint="eastAsia" w:eastAsia="方正仿宋_GBK"/>
          <w:sz w:val="32"/>
          <w:szCs w:val="32"/>
        </w:rPr>
        <w:t>．重庆市水运工程重大设计变更申请审查备忘录</w:t>
      </w:r>
    </w:p>
    <w:p>
      <w:pPr>
        <w:keepNext w:val="0"/>
        <w:keepLines w:val="0"/>
        <w:pageBreakBefore w:val="0"/>
        <w:widowControl w:val="0"/>
        <w:kinsoku/>
        <w:wordWrap/>
        <w:topLinePunct w:val="0"/>
        <w:bidi w:val="0"/>
        <w:adjustRightInd/>
        <w:snapToGrid w:val="0"/>
        <w:spacing w:line="600" w:lineRule="exact"/>
        <w:ind w:left="0" w:right="0" w:rightChars="0" w:firstLine="640" w:firstLineChars="200"/>
        <w:textAlignment w:val="auto"/>
        <w:rPr>
          <w:rFonts w:eastAsia="方正仿宋_GBK"/>
          <w:sz w:val="32"/>
          <w:szCs w:val="32"/>
        </w:rPr>
      </w:pPr>
      <w:r>
        <w:rPr>
          <w:rFonts w:hint="eastAsia" w:eastAsia="方正仿宋_GBK"/>
          <w:sz w:val="32"/>
          <w:szCs w:val="32"/>
        </w:rPr>
        <w:t xml:space="preserve">      </w:t>
      </w:r>
      <w:r>
        <w:rPr>
          <w:rFonts w:eastAsia="方正仿宋_GBK"/>
          <w:sz w:val="32"/>
          <w:szCs w:val="32"/>
        </w:rPr>
        <w:t>3</w:t>
      </w:r>
      <w:r>
        <w:rPr>
          <w:rFonts w:hint="eastAsia" w:eastAsia="方正仿宋_GBK"/>
          <w:sz w:val="32"/>
          <w:szCs w:val="32"/>
        </w:rPr>
        <w:t>．重庆市水运工程紧急抢险设计变更报告书</w:t>
      </w:r>
    </w:p>
    <w:p>
      <w:pPr>
        <w:keepNext w:val="0"/>
        <w:keepLines w:val="0"/>
        <w:pageBreakBefore w:val="0"/>
        <w:widowControl w:val="0"/>
        <w:kinsoku/>
        <w:wordWrap/>
        <w:topLinePunct w:val="0"/>
        <w:bidi w:val="0"/>
        <w:adjustRightInd/>
        <w:snapToGrid w:val="0"/>
        <w:spacing w:line="600" w:lineRule="exact"/>
        <w:ind w:left="0" w:right="0" w:rightChars="0" w:firstLine="1600" w:firstLineChars="500"/>
        <w:textAlignment w:val="auto"/>
        <w:rPr>
          <w:rFonts w:hint="eastAsia" w:eastAsia="方正仿宋_GBK"/>
          <w:sz w:val="32"/>
          <w:szCs w:val="32"/>
          <w:lang w:val="en-US" w:eastAsia="zh-CN"/>
        </w:rPr>
      </w:pPr>
      <w:r>
        <w:rPr>
          <w:rFonts w:eastAsia="方正仿宋_GBK"/>
          <w:sz w:val="32"/>
          <w:szCs w:val="32"/>
        </w:rPr>
        <w:t>4</w:t>
      </w:r>
      <w:r>
        <w:rPr>
          <w:rFonts w:hint="eastAsia" w:eastAsia="方正仿宋_GBK"/>
          <w:sz w:val="32"/>
          <w:szCs w:val="32"/>
        </w:rPr>
        <w:t>．重庆市水运工程设计变更管理</w:t>
      </w:r>
      <w:r>
        <w:rPr>
          <w:rFonts w:hint="eastAsia" w:eastAsia="方正仿宋_GBK"/>
          <w:sz w:val="32"/>
          <w:szCs w:val="32"/>
          <w:lang w:val="en-US" w:eastAsia="zh-CN"/>
        </w:rPr>
        <w:t>台账</w:t>
      </w:r>
    </w:p>
    <w:p>
      <w:pPr>
        <w:rPr>
          <w:rFonts w:hint="eastAsia" w:eastAsia="方正仿宋_GBK"/>
          <w:sz w:val="32"/>
          <w:szCs w:val="32"/>
          <w:lang w:val="en-US" w:eastAsia="zh-CN"/>
        </w:rPr>
      </w:pPr>
      <w:r>
        <w:rPr>
          <w:rFonts w:hint="eastAsia" w:eastAsia="方正仿宋_GBK"/>
          <w:sz w:val="32"/>
          <w:szCs w:val="32"/>
          <w:lang w:val="en-US" w:eastAsia="zh-CN"/>
        </w:rPr>
        <w:br w:type="page"/>
      </w:r>
    </w:p>
    <w:p>
      <w:pPr>
        <w:snapToGrid w:val="0"/>
        <w:spacing w:line="560" w:lineRule="exact"/>
        <w:rPr>
          <w:rFonts w:hint="eastAsia" w:eastAsia="方正仿宋_GBK"/>
          <w:sz w:val="32"/>
          <w:szCs w:val="32"/>
        </w:rPr>
      </w:pPr>
      <w:r>
        <w:rPr>
          <w:rFonts w:hint="eastAsia" w:eastAsia="方正黑体_GBK"/>
          <w:sz w:val="32"/>
          <w:szCs w:val="32"/>
        </w:rPr>
        <w:t>附件</w:t>
      </w:r>
      <w:r>
        <w:rPr>
          <w:rFonts w:eastAsia="方正黑体_GBK"/>
          <w:sz w:val="32"/>
          <w:szCs w:val="32"/>
        </w:rPr>
        <w:t>1</w:t>
      </w:r>
    </w:p>
    <w:p>
      <w:pPr>
        <w:snapToGrid w:val="0"/>
        <w:spacing w:line="560" w:lineRule="exact"/>
        <w:jc w:val="center"/>
        <w:rPr>
          <w:rFonts w:hint="eastAsia" w:eastAsia="方正小标宋_GBK"/>
          <w:sz w:val="44"/>
          <w:szCs w:val="44"/>
        </w:rPr>
      </w:pPr>
      <w:r>
        <w:rPr>
          <w:rFonts w:hint="eastAsia" w:eastAsia="方正小标宋_GBK"/>
          <w:sz w:val="44"/>
          <w:szCs w:val="44"/>
        </w:rPr>
        <w:t>重庆市水运工程重大设计变更申请书</w:t>
      </w:r>
    </w:p>
    <w:p>
      <w:pPr>
        <w:autoSpaceDE w:val="0"/>
        <w:snapToGrid w:val="0"/>
        <w:spacing w:line="400" w:lineRule="exact"/>
        <w:jc w:val="center"/>
        <w:rPr>
          <w:rFonts w:hint="eastAsia"/>
          <w:sz w:val="44"/>
          <w:szCs w:val="44"/>
        </w:rPr>
      </w:pPr>
    </w:p>
    <w:tbl>
      <w:tblPr>
        <w:tblStyle w:val="10"/>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160" w:type="dxa"/>
            <w:tcBorders>
              <w:top w:val="single" w:color="auto" w:sz="8"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项 目 名 称</w:t>
            </w:r>
          </w:p>
        </w:tc>
        <w:tc>
          <w:tcPr>
            <w:tcW w:w="6904" w:type="dxa"/>
            <w:tcBorders>
              <w:top w:val="single" w:color="auto" w:sz="8" w:space="0"/>
              <w:left w:val="single" w:color="auto" w:sz="4" w:space="0"/>
              <w:bottom w:val="single" w:color="auto" w:sz="4" w:space="0"/>
              <w:right w:val="single" w:color="auto" w:sz="8" w:space="0"/>
            </w:tcBorders>
            <w:noWrap w:val="0"/>
            <w:vAlign w:val="top"/>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pacing w:val="30"/>
                <w:sz w:val="28"/>
                <w:szCs w:val="28"/>
              </w:rPr>
            </w:pPr>
            <w:r>
              <w:rPr>
                <w:rFonts w:hint="eastAsia" w:eastAsia="方正黑体_GBK"/>
                <w:spacing w:val="30"/>
                <w:sz w:val="28"/>
                <w:szCs w:val="28"/>
              </w:rPr>
              <w:t>原设计单位</w:t>
            </w:r>
          </w:p>
        </w:tc>
        <w:tc>
          <w:tcPr>
            <w:tcW w:w="6904" w:type="dxa"/>
            <w:tcBorders>
              <w:top w:val="single" w:color="auto" w:sz="4" w:space="0"/>
              <w:left w:val="single" w:color="auto" w:sz="4" w:space="0"/>
              <w:bottom w:val="single" w:color="auto" w:sz="4" w:space="0"/>
              <w:right w:val="single" w:color="auto" w:sz="8" w:space="0"/>
            </w:tcBorders>
            <w:noWrap w:val="0"/>
            <w:vAlign w:val="top"/>
          </w:tcPr>
          <w:p>
            <w:pPr>
              <w:spacing w:line="360" w:lineRule="auto"/>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pacing w:val="-20"/>
                <w:sz w:val="28"/>
                <w:szCs w:val="28"/>
              </w:rPr>
            </w:pPr>
            <w:r>
              <w:rPr>
                <w:rFonts w:hint="eastAsia" w:eastAsia="方正黑体_GBK"/>
                <w:sz w:val="28"/>
                <w:szCs w:val="28"/>
              </w:rPr>
              <w:t>设计变更单位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提出变更建议单位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spacing w:line="360" w:lineRule="auto"/>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变更主要内容</w:t>
            </w:r>
          </w:p>
        </w:tc>
        <w:tc>
          <w:tcPr>
            <w:tcW w:w="6904"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预估造价变化</w:t>
            </w:r>
          </w:p>
        </w:tc>
        <w:tc>
          <w:tcPr>
            <w:tcW w:w="6904"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变更主要理由</w:t>
            </w:r>
          </w:p>
        </w:tc>
        <w:tc>
          <w:tcPr>
            <w:tcW w:w="6904" w:type="dxa"/>
            <w:tcBorders>
              <w:top w:val="single" w:color="auto" w:sz="4" w:space="0"/>
              <w:left w:val="single" w:color="auto" w:sz="4" w:space="0"/>
              <w:bottom w:val="single" w:color="auto" w:sz="4" w:space="0"/>
              <w:right w:val="single" w:color="auto" w:sz="8" w:space="0"/>
            </w:tcBorders>
            <w:noWrap w:val="0"/>
            <w:vAlign w:val="top"/>
          </w:tcPr>
          <w:p>
            <w:pPr>
              <w:widowControl/>
              <w:snapToGrid w:val="0"/>
              <w:spacing w:line="360" w:lineRule="auto"/>
              <w:ind w:firstLine="560" w:firstLineChars="200"/>
              <w:jc w:val="left"/>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附       件</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spacing w:line="260" w:lineRule="exact"/>
              <w:rPr>
                <w:rFonts w:hint="eastAsia" w:eastAsia="方正仿宋_GBK"/>
                <w:sz w:val="24"/>
                <w:szCs w:val="24"/>
              </w:rPr>
            </w:pPr>
            <w:r>
              <w:rPr>
                <w:rFonts w:hint="eastAsia" w:eastAsia="方正仿宋_GBK"/>
                <w:sz w:val="24"/>
                <w:szCs w:val="24"/>
              </w:rPr>
              <w:t>1．设计变更建议的调查核实情况、合理性论证情况；</w:t>
            </w:r>
          </w:p>
          <w:p>
            <w:pPr>
              <w:spacing w:line="260" w:lineRule="exact"/>
              <w:rPr>
                <w:rFonts w:hint="eastAsia" w:eastAsia="方正仿宋_GBK"/>
                <w:sz w:val="24"/>
                <w:szCs w:val="24"/>
              </w:rPr>
            </w:pPr>
            <w:r>
              <w:rPr>
                <w:rFonts w:hint="eastAsia" w:eastAsia="方正仿宋_GBK"/>
                <w:sz w:val="24"/>
                <w:szCs w:val="24"/>
              </w:rPr>
              <w:t>2．原设计单位的书面意见（设计变更单位发生变化的）；</w:t>
            </w:r>
          </w:p>
          <w:p>
            <w:pPr>
              <w:spacing w:line="260" w:lineRule="exact"/>
              <w:rPr>
                <w:rFonts w:hint="eastAsia" w:eastAsia="方正仿宋_GBK"/>
                <w:sz w:val="24"/>
                <w:szCs w:val="24"/>
              </w:rPr>
            </w:pPr>
            <w:r>
              <w:rPr>
                <w:rFonts w:hint="eastAsia" w:eastAsia="方正仿宋_GBK"/>
                <w:sz w:val="24"/>
                <w:szCs w:val="24"/>
              </w:rPr>
              <w:t>3．设计变更方案，包括拟设计变更的水运工程名称、项目基本情况、提出变更建议的单位、原设计单位、设计变更的类别、变更的主要内容、变更的主要理由、拟委托的变更勘察设计单位、预估的造价变更等内容，以及必要的勘察试验资料等；</w:t>
            </w:r>
          </w:p>
          <w:p>
            <w:pPr>
              <w:spacing w:line="260" w:lineRule="exact"/>
              <w:rPr>
                <w:rFonts w:hint="eastAsia" w:eastAsia="方正仿宋_GBK"/>
                <w:sz w:val="24"/>
                <w:szCs w:val="24"/>
              </w:rPr>
            </w:pPr>
            <w:r>
              <w:rPr>
                <w:rFonts w:hint="eastAsia" w:eastAsia="方正仿宋_GBK"/>
                <w:sz w:val="24"/>
                <w:szCs w:val="24"/>
              </w:rPr>
              <w:t>4．申请人认为应当说明的其他事项。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8"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申 请 单 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spacing w:line="260" w:lineRule="exact"/>
              <w:rPr>
                <w:rFonts w:hint="eastAsia" w:eastAsia="方正仿宋_GBK"/>
                <w:sz w:val="24"/>
                <w:szCs w:val="24"/>
              </w:rPr>
            </w:pPr>
            <w:r>
              <w:rPr>
                <w:rFonts w:hint="eastAsia" w:eastAsia="方正仿宋_GBK"/>
                <w:sz w:val="24"/>
                <w:szCs w:val="24"/>
              </w:rPr>
              <w:t>申请单位名称（公章）：</w:t>
            </w:r>
          </w:p>
          <w:p>
            <w:pPr>
              <w:spacing w:line="260" w:lineRule="exact"/>
              <w:rPr>
                <w:rFonts w:hint="eastAsia" w:eastAsia="方正仿宋_GBK"/>
                <w:sz w:val="24"/>
                <w:szCs w:val="24"/>
              </w:rPr>
            </w:pPr>
          </w:p>
          <w:p>
            <w:pPr>
              <w:spacing w:line="260" w:lineRule="exact"/>
              <w:rPr>
                <w:rFonts w:hint="eastAsia" w:eastAsia="方正仿宋_GBK"/>
                <w:sz w:val="24"/>
                <w:szCs w:val="24"/>
              </w:rPr>
            </w:pPr>
          </w:p>
          <w:p>
            <w:pPr>
              <w:spacing w:line="260" w:lineRule="exact"/>
              <w:rPr>
                <w:rFonts w:hint="eastAsia" w:eastAsia="方正仿宋_GBK"/>
                <w:sz w:val="24"/>
                <w:szCs w:val="24"/>
              </w:rPr>
            </w:pPr>
            <w:r>
              <w:rPr>
                <w:rFonts w:hint="eastAsia" w:eastAsia="方正仿宋_GBK"/>
                <w:sz w:val="24"/>
                <w:szCs w:val="24"/>
              </w:rPr>
              <w:t>法人代表（或授权代表）签字（章）：</w:t>
            </w:r>
          </w:p>
          <w:p>
            <w:pPr>
              <w:spacing w:line="260" w:lineRule="exact"/>
              <w:rPr>
                <w:rFonts w:hint="eastAsia" w:eastAsia="方正仿宋_GBK"/>
                <w:sz w:val="24"/>
                <w:szCs w:val="24"/>
              </w:rPr>
            </w:pPr>
          </w:p>
          <w:p>
            <w:pPr>
              <w:spacing w:line="260" w:lineRule="exact"/>
              <w:rPr>
                <w:rFonts w:hint="eastAsia" w:eastAsia="方正仿宋_GBK"/>
                <w:sz w:val="24"/>
                <w:szCs w:val="24"/>
              </w:rPr>
            </w:pPr>
          </w:p>
          <w:p>
            <w:pPr>
              <w:spacing w:line="260" w:lineRule="exact"/>
              <w:rPr>
                <w:rFonts w:hint="eastAsia" w:eastAsia="方正仿宋_GBK"/>
                <w:sz w:val="24"/>
                <w:szCs w:val="24"/>
              </w:rPr>
            </w:pPr>
            <w:r>
              <w:rPr>
                <w:rFonts w:hint="eastAsia" w:eastAsia="方正仿宋_GBK"/>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申 请 日 期</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spacing w:line="260" w:lineRule="exact"/>
              <w:rPr>
                <w:rFonts w:hint="eastAsia" w:eastAsia="方正仿宋_GBK"/>
                <w:sz w:val="24"/>
                <w:szCs w:val="24"/>
              </w:rPr>
            </w:pPr>
            <w:r>
              <w:rPr>
                <w:rFonts w:hint="eastAsia" w:eastAsia="方正仿宋_GBK"/>
                <w:sz w:val="24"/>
                <w:szCs w:val="24"/>
              </w:rPr>
              <w:t xml:space="preserve">   </w:t>
            </w:r>
            <w:r>
              <w:rPr>
                <w:rFonts w:hint="eastAsia" w:eastAsia="方正仿宋_GBK"/>
                <w:sz w:val="24"/>
                <w:szCs w:val="24"/>
                <w:u w:val="single"/>
              </w:rPr>
              <w:t xml:space="preserve">          </w:t>
            </w:r>
            <w:r>
              <w:rPr>
                <w:rFonts w:hint="eastAsia" w:eastAsia="方正仿宋_GBK"/>
                <w:sz w:val="24"/>
                <w:szCs w:val="24"/>
              </w:rPr>
              <w:t>年</w:t>
            </w:r>
            <w:r>
              <w:rPr>
                <w:rFonts w:hint="eastAsia" w:eastAsia="方正仿宋_GBK"/>
                <w:sz w:val="24"/>
                <w:szCs w:val="24"/>
                <w:u w:val="single"/>
              </w:rPr>
              <w:t xml:space="preserve">     </w:t>
            </w:r>
            <w:r>
              <w:rPr>
                <w:rFonts w:hint="eastAsia" w:eastAsia="方正仿宋_GBK"/>
                <w:sz w:val="24"/>
                <w:szCs w:val="24"/>
              </w:rPr>
              <w:t>月</w:t>
            </w:r>
            <w:r>
              <w:rPr>
                <w:rFonts w:hint="eastAsia" w:eastAsia="方正仿宋_GBK"/>
                <w:sz w:val="24"/>
                <w:szCs w:val="24"/>
                <w:u w:val="single"/>
              </w:rPr>
              <w:t xml:space="preserve">     </w:t>
            </w:r>
            <w:r>
              <w:rPr>
                <w:rFonts w:hint="eastAsia" w:eastAsia="方正仿宋_GBK"/>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2160" w:type="dxa"/>
            <w:tcBorders>
              <w:top w:val="single" w:color="auto" w:sz="4" w:space="0"/>
              <w:left w:val="single" w:color="auto" w:sz="8" w:space="0"/>
              <w:bottom w:val="single" w:color="auto" w:sz="8" w:space="0"/>
              <w:right w:val="single" w:color="auto" w:sz="4" w:space="0"/>
            </w:tcBorders>
            <w:noWrap w:val="0"/>
            <w:vAlign w:val="center"/>
          </w:tcPr>
          <w:p>
            <w:pPr>
              <w:spacing w:line="360" w:lineRule="exact"/>
              <w:jc w:val="center"/>
              <w:rPr>
                <w:rFonts w:hint="eastAsia" w:eastAsia="方正黑体_GBK"/>
                <w:spacing w:val="-20"/>
                <w:sz w:val="28"/>
                <w:szCs w:val="28"/>
              </w:rPr>
            </w:pPr>
            <w:r>
              <w:rPr>
                <w:rFonts w:hint="eastAsia" w:eastAsia="方正黑体_GBK"/>
                <w:spacing w:val="-20"/>
                <w:sz w:val="28"/>
                <w:szCs w:val="28"/>
              </w:rPr>
              <w:t>受理日期及编号</w:t>
            </w:r>
          </w:p>
        </w:tc>
        <w:tc>
          <w:tcPr>
            <w:tcW w:w="6904" w:type="dxa"/>
            <w:tcBorders>
              <w:top w:val="single" w:color="auto" w:sz="4" w:space="0"/>
              <w:left w:val="single" w:color="auto" w:sz="4" w:space="0"/>
              <w:bottom w:val="single" w:color="auto" w:sz="8" w:space="0"/>
              <w:right w:val="single" w:color="auto" w:sz="8" w:space="0"/>
            </w:tcBorders>
            <w:noWrap w:val="0"/>
            <w:vAlign w:val="center"/>
          </w:tcPr>
          <w:p>
            <w:pPr>
              <w:spacing w:line="260" w:lineRule="exact"/>
              <w:ind w:left="73" w:leftChars="35" w:firstLine="480" w:firstLineChars="200"/>
              <w:rPr>
                <w:rFonts w:hint="eastAsia" w:eastAsia="方正仿宋_GBK"/>
                <w:sz w:val="24"/>
                <w:szCs w:val="24"/>
              </w:rPr>
            </w:pPr>
            <w:r>
              <w:rPr>
                <w:rFonts w:hint="eastAsia" w:eastAsia="方正仿宋_GBK"/>
                <w:sz w:val="24"/>
                <w:szCs w:val="24"/>
                <w:u w:val="single"/>
              </w:rPr>
              <w:t xml:space="preserve">  （年）  </w:t>
            </w:r>
            <w:r>
              <w:rPr>
                <w:rFonts w:hint="eastAsia" w:eastAsia="方正仿宋_GBK"/>
                <w:sz w:val="24"/>
                <w:szCs w:val="24"/>
              </w:rPr>
              <w:t>—</w:t>
            </w:r>
            <w:r>
              <w:rPr>
                <w:rFonts w:hint="eastAsia" w:eastAsia="方正仿宋_GBK"/>
                <w:sz w:val="24"/>
                <w:szCs w:val="24"/>
                <w:u w:val="single"/>
              </w:rPr>
              <w:t>（月）</w:t>
            </w:r>
            <w:r>
              <w:rPr>
                <w:rFonts w:hint="eastAsia" w:eastAsia="方正仿宋_GBK"/>
                <w:sz w:val="24"/>
                <w:szCs w:val="24"/>
              </w:rPr>
              <w:t>—</w:t>
            </w:r>
            <w:r>
              <w:rPr>
                <w:rFonts w:hint="eastAsia" w:eastAsia="方正仿宋_GBK"/>
                <w:sz w:val="24"/>
                <w:szCs w:val="24"/>
                <w:u w:val="single"/>
              </w:rPr>
              <w:t>（日）</w:t>
            </w:r>
            <w:r>
              <w:rPr>
                <w:rFonts w:hint="eastAsia" w:eastAsia="方正仿宋_GBK"/>
                <w:sz w:val="24"/>
                <w:szCs w:val="24"/>
              </w:rPr>
              <w:t>—</w:t>
            </w:r>
            <w:r>
              <w:rPr>
                <w:rFonts w:hint="eastAsia" w:eastAsia="方正仿宋_GBK"/>
                <w:sz w:val="24"/>
                <w:szCs w:val="24"/>
                <w:u w:val="single"/>
              </w:rPr>
              <w:t>（序号）</w:t>
            </w:r>
          </w:p>
        </w:tc>
      </w:tr>
    </w:tbl>
    <w:p>
      <w:pPr>
        <w:snapToGrid w:val="0"/>
        <w:spacing w:line="594" w:lineRule="exact"/>
        <w:rPr>
          <w:rFonts w:hint="eastAsia" w:eastAsia="方正仿宋_GBK"/>
          <w:sz w:val="32"/>
          <w:szCs w:val="32"/>
          <w:lang w:val="en-US" w:eastAsia="zh-CN"/>
        </w:rPr>
      </w:pPr>
      <w:r>
        <w:rPr>
          <w:rFonts w:hint="eastAsia" w:eastAsia="方正仿宋_GBK"/>
          <w:sz w:val="24"/>
          <w:szCs w:val="24"/>
        </w:rPr>
        <w:t>注：一般设计变更可参照此表。</w:t>
      </w:r>
    </w:p>
    <w:p>
      <w:pPr>
        <w:spacing w:line="560" w:lineRule="exact"/>
        <w:rPr>
          <w:rFonts w:hint="eastAsia" w:eastAsia="方正黑体_GBK"/>
          <w:sz w:val="32"/>
          <w:szCs w:val="32"/>
        </w:rPr>
      </w:pPr>
      <w:r>
        <w:rPr>
          <w:rFonts w:hint="eastAsia" w:eastAsia="方正黑体_GBK"/>
          <w:sz w:val="32"/>
          <w:szCs w:val="32"/>
        </w:rPr>
        <w:t>附件2</w:t>
      </w:r>
    </w:p>
    <w:p>
      <w:pPr>
        <w:keepNext w:val="0"/>
        <w:keepLines w:val="0"/>
        <w:pageBreakBefore w:val="0"/>
        <w:widowControl w:val="0"/>
        <w:kinsoku/>
        <w:wordWrap/>
        <w:overflowPunct/>
        <w:topLinePunct w:val="0"/>
        <w:autoSpaceDE/>
        <w:autoSpaceDN/>
        <w:bidi w:val="0"/>
        <w:adjustRightInd/>
        <w:snapToGrid w:val="0"/>
        <w:spacing w:before="159" w:beforeLines="50" w:after="159" w:afterLines="50" w:line="560" w:lineRule="exact"/>
        <w:jc w:val="center"/>
        <w:textAlignment w:val="auto"/>
        <w:rPr>
          <w:rFonts w:hint="eastAsia" w:eastAsia="方正小标宋_GBK"/>
          <w:sz w:val="44"/>
          <w:szCs w:val="44"/>
        </w:rPr>
      </w:pPr>
      <w:r>
        <w:rPr>
          <w:rFonts w:hint="eastAsia" w:eastAsia="方正小标宋_GBK"/>
          <w:sz w:val="44"/>
          <w:szCs w:val="44"/>
        </w:rPr>
        <w:t>重庆市水运工程重大设计变更申请审查备忘录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3"/>
        <w:gridCol w:w="1434"/>
        <w:gridCol w:w="1252"/>
        <w:gridCol w:w="1433"/>
        <w:gridCol w:w="179"/>
        <w:gridCol w:w="3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3" w:type="dxa"/>
            <w:tcBorders>
              <w:top w:val="single" w:color="auto" w:sz="8" w:space="0"/>
              <w:left w:val="single" w:color="auto" w:sz="8" w:space="0"/>
              <w:bottom w:val="single" w:color="auto" w:sz="4" w:space="0"/>
              <w:right w:val="single" w:color="auto" w:sz="4" w:space="0"/>
            </w:tcBorders>
            <w:noWrap w:val="0"/>
            <w:vAlign w:val="center"/>
          </w:tcPr>
          <w:p>
            <w:pPr>
              <w:snapToGrid w:val="0"/>
              <w:spacing w:line="360" w:lineRule="exact"/>
              <w:jc w:val="center"/>
              <w:rPr>
                <w:rFonts w:hint="eastAsia" w:eastAsia="方正黑体_GBK"/>
                <w:sz w:val="28"/>
                <w:szCs w:val="28"/>
              </w:rPr>
            </w:pPr>
            <w:r>
              <w:rPr>
                <w:rFonts w:hint="eastAsia" w:eastAsia="方正黑体_GBK"/>
                <w:sz w:val="28"/>
                <w:szCs w:val="28"/>
              </w:rPr>
              <w:t>项目名称</w:t>
            </w:r>
          </w:p>
        </w:tc>
        <w:tc>
          <w:tcPr>
            <w:tcW w:w="7340" w:type="dxa"/>
            <w:gridSpan w:val="5"/>
            <w:tcBorders>
              <w:top w:val="single" w:color="auto" w:sz="8"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eastAsia="方正黑体_GBK"/>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3"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exact"/>
              <w:jc w:val="center"/>
              <w:rPr>
                <w:rFonts w:hint="eastAsia" w:eastAsia="方正黑体_GBK"/>
                <w:sz w:val="28"/>
                <w:szCs w:val="28"/>
              </w:rPr>
            </w:pPr>
            <w:r>
              <w:rPr>
                <w:rFonts w:hint="eastAsia" w:eastAsia="方正黑体_GBK"/>
                <w:sz w:val="28"/>
                <w:szCs w:val="28"/>
              </w:rPr>
              <w:t>变更内容</w:t>
            </w:r>
          </w:p>
        </w:tc>
        <w:tc>
          <w:tcPr>
            <w:tcW w:w="7340" w:type="dxa"/>
            <w:gridSpan w:val="5"/>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jc w:val="center"/>
              <w:rPr>
                <w:rFonts w:hint="eastAsia" w:eastAsia="方正黑体_GBK"/>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13"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exact"/>
              <w:jc w:val="center"/>
              <w:rPr>
                <w:rFonts w:hint="eastAsia" w:eastAsia="方正黑体_GBK"/>
                <w:sz w:val="28"/>
                <w:szCs w:val="28"/>
              </w:rPr>
            </w:pPr>
            <w:r>
              <w:rPr>
                <w:rFonts w:hint="eastAsia" w:eastAsia="方正黑体_GBK"/>
                <w:sz w:val="28"/>
                <w:szCs w:val="28"/>
              </w:rPr>
              <w:t>评审时间</w:t>
            </w:r>
          </w:p>
        </w:tc>
        <w:tc>
          <w:tcPr>
            <w:tcW w:w="268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eastAsia="方正黑体_GBK"/>
                <w:sz w:val="28"/>
                <w:szCs w:val="28"/>
              </w:rPr>
            </w:pPr>
          </w:p>
        </w:tc>
        <w:tc>
          <w:tcPr>
            <w:tcW w:w="161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exact"/>
              <w:jc w:val="center"/>
              <w:rPr>
                <w:rFonts w:hint="eastAsia" w:eastAsia="黑体"/>
                <w:sz w:val="28"/>
                <w:szCs w:val="28"/>
              </w:rPr>
            </w:pPr>
            <w:r>
              <w:rPr>
                <w:rFonts w:hint="eastAsia" w:eastAsia="黑体"/>
                <w:sz w:val="28"/>
                <w:szCs w:val="28"/>
              </w:rPr>
              <w:t>评审地点</w:t>
            </w:r>
          </w:p>
        </w:tc>
        <w:tc>
          <w:tcPr>
            <w:tcW w:w="3042" w:type="dxa"/>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exact"/>
              <w:jc w:val="center"/>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6" w:hRule="atLeast"/>
          <w:jc w:val="center"/>
        </w:trPr>
        <w:tc>
          <w:tcPr>
            <w:tcW w:w="1613" w:type="dxa"/>
            <w:tcBorders>
              <w:top w:val="single" w:color="auto" w:sz="4" w:space="0"/>
              <w:left w:val="single" w:color="auto" w:sz="8" w:space="0"/>
              <w:bottom w:val="single" w:color="auto" w:sz="4" w:space="0"/>
              <w:right w:val="single" w:color="auto" w:sz="4" w:space="0"/>
            </w:tcBorders>
            <w:noWrap w:val="0"/>
            <w:vAlign w:val="center"/>
          </w:tcPr>
          <w:p>
            <w:pPr>
              <w:snapToGrid w:val="0"/>
              <w:spacing w:line="360" w:lineRule="exact"/>
              <w:jc w:val="center"/>
              <w:rPr>
                <w:rFonts w:hint="eastAsia" w:eastAsia="方正黑体_GBK"/>
                <w:sz w:val="28"/>
                <w:szCs w:val="28"/>
              </w:rPr>
            </w:pPr>
            <w:r>
              <w:rPr>
                <w:rFonts w:hint="eastAsia" w:eastAsia="方正黑体_GBK"/>
                <w:sz w:val="28"/>
                <w:szCs w:val="28"/>
              </w:rPr>
              <w:t>评审纪要</w:t>
            </w:r>
          </w:p>
        </w:tc>
        <w:tc>
          <w:tcPr>
            <w:tcW w:w="7340" w:type="dxa"/>
            <w:gridSpan w:val="5"/>
            <w:tcBorders>
              <w:top w:val="single" w:color="auto" w:sz="4" w:space="0"/>
              <w:left w:val="single" w:color="auto" w:sz="4" w:space="0"/>
              <w:bottom w:val="single" w:color="auto" w:sz="4" w:space="0"/>
              <w:right w:val="single" w:color="auto" w:sz="8" w:space="0"/>
            </w:tcBorders>
            <w:noWrap w:val="0"/>
            <w:vAlign w:val="center"/>
          </w:tcPr>
          <w:p>
            <w:pPr>
              <w:snapToGrid w:val="0"/>
              <w:spacing w:line="360" w:lineRule="auto"/>
              <w:ind w:firstLine="560" w:firstLineChars="200"/>
              <w:jc w:val="center"/>
              <w:rPr>
                <w:rFonts w:hint="eastAsia" w:eastAsia="方正黑体_GBK"/>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3" w:type="dxa"/>
            <w:vMerge w:val="restart"/>
            <w:tcBorders>
              <w:top w:val="nil"/>
              <w:left w:val="single" w:color="auto" w:sz="8" w:space="0"/>
              <w:right w:val="single" w:color="auto" w:sz="4" w:space="0"/>
            </w:tcBorders>
            <w:noWrap w:val="0"/>
            <w:vAlign w:val="center"/>
          </w:tcPr>
          <w:p>
            <w:pPr>
              <w:snapToGrid w:val="0"/>
              <w:spacing w:line="360" w:lineRule="exact"/>
              <w:jc w:val="center"/>
              <w:rPr>
                <w:rFonts w:hint="eastAsia" w:eastAsia="方正黑体_GBK"/>
                <w:sz w:val="28"/>
                <w:szCs w:val="28"/>
              </w:rPr>
            </w:pPr>
            <w:r>
              <w:rPr>
                <w:rFonts w:hint="eastAsia" w:eastAsia="方正黑体_GBK"/>
                <w:sz w:val="28"/>
                <w:szCs w:val="28"/>
              </w:rPr>
              <w:t>审查人员</w:t>
            </w:r>
          </w:p>
        </w:tc>
        <w:tc>
          <w:tcPr>
            <w:tcW w:w="1434" w:type="dxa"/>
            <w:vMerge w:val="restart"/>
            <w:tcBorders>
              <w:top w:val="nil"/>
              <w:left w:val="single" w:color="auto" w:sz="4" w:space="0"/>
              <w:bottom w:val="single" w:color="auto" w:sz="4" w:space="0"/>
              <w:right w:val="single" w:color="auto" w:sz="4" w:space="0"/>
            </w:tcBorders>
            <w:noWrap w:val="0"/>
            <w:vAlign w:val="center"/>
          </w:tcPr>
          <w:p>
            <w:pPr>
              <w:snapToGrid w:val="0"/>
              <w:spacing w:line="360" w:lineRule="auto"/>
              <w:jc w:val="center"/>
              <w:rPr>
                <w:rFonts w:hint="eastAsia" w:eastAsia="方正黑体_GBK"/>
                <w:sz w:val="28"/>
                <w:szCs w:val="28"/>
              </w:rPr>
            </w:pPr>
            <w:r>
              <w:rPr>
                <w:rFonts w:hint="eastAsia" w:eastAsia="方正黑体_GBK"/>
                <w:sz w:val="28"/>
                <w:szCs w:val="28"/>
              </w:rPr>
              <w:t>邀请专家</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eastAsia="方正仿宋_GBK"/>
                <w:sz w:val="24"/>
                <w:szCs w:val="24"/>
              </w:rPr>
            </w:pPr>
            <w:r>
              <w:rPr>
                <w:rFonts w:hint="eastAsia"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snapToGrid w:val="0"/>
              <w:spacing w:line="260" w:lineRule="exact"/>
              <w:jc w:val="center"/>
              <w:rPr>
                <w:rFonts w:hint="eastAsia" w:eastAsia="方正仿宋_GBK"/>
                <w:sz w:val="24"/>
                <w:szCs w:val="24"/>
              </w:rPr>
            </w:pPr>
            <w:r>
              <w:rPr>
                <w:rFonts w:hint="eastAsia"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3" w:type="dxa"/>
            <w:vMerge w:val="continue"/>
            <w:tcBorders>
              <w:left w:val="single" w:color="auto" w:sz="8" w:space="0"/>
              <w:right w:val="single" w:color="auto" w:sz="4" w:space="0"/>
            </w:tcBorders>
            <w:noWrap w:val="0"/>
            <w:vAlign w:val="center"/>
          </w:tcPr>
          <w:p>
            <w:pPr>
              <w:widowControl/>
              <w:spacing w:line="360" w:lineRule="exact"/>
              <w:jc w:val="center"/>
              <w:rPr>
                <w:rFonts w:hint="eastAsia"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eastAsia="方正仿宋_GBK"/>
                <w:sz w:val="24"/>
                <w:szCs w:val="24"/>
              </w:rPr>
            </w:pPr>
            <w:r>
              <w:rPr>
                <w:rFonts w:hint="eastAsia"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spacing w:line="260" w:lineRule="exact"/>
              <w:jc w:val="center"/>
              <w:rPr>
                <w:rFonts w:hint="eastAsia" w:eastAsia="方正仿宋_GBK"/>
                <w:sz w:val="24"/>
                <w:szCs w:val="24"/>
              </w:rPr>
            </w:pPr>
            <w:r>
              <w:rPr>
                <w:rFonts w:hint="eastAsia"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3" w:type="dxa"/>
            <w:vMerge w:val="continue"/>
            <w:tcBorders>
              <w:left w:val="single" w:color="auto" w:sz="8" w:space="0"/>
              <w:right w:val="single" w:color="auto" w:sz="4" w:space="0"/>
            </w:tcBorders>
            <w:noWrap w:val="0"/>
            <w:vAlign w:val="center"/>
          </w:tcPr>
          <w:p>
            <w:pPr>
              <w:widowControl/>
              <w:spacing w:line="360" w:lineRule="exact"/>
              <w:jc w:val="center"/>
              <w:rPr>
                <w:rFonts w:hint="eastAsia"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eastAsia="方正仿宋_GBK"/>
                <w:sz w:val="24"/>
                <w:szCs w:val="24"/>
              </w:rPr>
            </w:pPr>
            <w:r>
              <w:rPr>
                <w:rFonts w:hint="eastAsia"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spacing w:line="260" w:lineRule="exact"/>
              <w:jc w:val="center"/>
              <w:rPr>
                <w:rFonts w:hint="eastAsia" w:eastAsia="方正仿宋_GBK"/>
                <w:sz w:val="24"/>
                <w:szCs w:val="24"/>
              </w:rPr>
            </w:pPr>
            <w:r>
              <w:rPr>
                <w:rFonts w:hint="eastAsia"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3" w:type="dxa"/>
            <w:vMerge w:val="continue"/>
            <w:tcBorders>
              <w:left w:val="single" w:color="auto" w:sz="8" w:space="0"/>
              <w:right w:val="single" w:color="auto" w:sz="4" w:space="0"/>
            </w:tcBorders>
            <w:noWrap w:val="0"/>
            <w:vAlign w:val="center"/>
          </w:tcPr>
          <w:p>
            <w:pPr>
              <w:widowControl/>
              <w:spacing w:line="360" w:lineRule="exact"/>
              <w:jc w:val="center"/>
              <w:rPr>
                <w:rFonts w:hint="eastAsia"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eastAsia="方正仿宋_GBK"/>
                <w:sz w:val="24"/>
                <w:szCs w:val="24"/>
              </w:rPr>
            </w:pPr>
            <w:r>
              <w:rPr>
                <w:rFonts w:hint="eastAsia"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spacing w:line="260" w:lineRule="exact"/>
              <w:jc w:val="center"/>
              <w:rPr>
                <w:rFonts w:hint="eastAsia" w:eastAsia="方正仿宋_GBK"/>
                <w:sz w:val="24"/>
                <w:szCs w:val="24"/>
              </w:rPr>
            </w:pPr>
            <w:r>
              <w:rPr>
                <w:rFonts w:hint="eastAsia"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3" w:type="dxa"/>
            <w:vMerge w:val="continue"/>
            <w:tcBorders>
              <w:left w:val="single" w:color="auto" w:sz="8" w:space="0"/>
              <w:right w:val="single" w:color="auto" w:sz="4" w:space="0"/>
            </w:tcBorders>
            <w:noWrap w:val="0"/>
            <w:vAlign w:val="center"/>
          </w:tcPr>
          <w:p>
            <w:pPr>
              <w:widowControl/>
              <w:spacing w:line="360" w:lineRule="exact"/>
              <w:jc w:val="center"/>
              <w:rPr>
                <w:rFonts w:hint="eastAsia"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eastAsia="方正仿宋_GBK"/>
                <w:sz w:val="24"/>
                <w:szCs w:val="24"/>
              </w:rPr>
            </w:pPr>
            <w:r>
              <w:rPr>
                <w:rFonts w:hint="eastAsia"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spacing w:line="260" w:lineRule="exact"/>
              <w:jc w:val="center"/>
              <w:rPr>
                <w:rFonts w:hint="eastAsia" w:eastAsia="方正仿宋_GBK"/>
                <w:sz w:val="24"/>
                <w:szCs w:val="24"/>
              </w:rPr>
            </w:pPr>
            <w:r>
              <w:rPr>
                <w:rFonts w:hint="eastAsia"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3" w:type="dxa"/>
            <w:vMerge w:val="continue"/>
            <w:tcBorders>
              <w:left w:val="single" w:color="auto" w:sz="8" w:space="0"/>
              <w:right w:val="single" w:color="auto" w:sz="4" w:space="0"/>
            </w:tcBorders>
            <w:noWrap w:val="0"/>
            <w:vAlign w:val="center"/>
          </w:tcPr>
          <w:p>
            <w:pPr>
              <w:widowControl/>
              <w:spacing w:line="360" w:lineRule="exact"/>
              <w:jc w:val="center"/>
              <w:rPr>
                <w:rFonts w:hint="eastAsia" w:eastAsia="方正黑体_GBK"/>
                <w:sz w:val="28"/>
                <w:szCs w:val="28"/>
              </w:rPr>
            </w:pPr>
          </w:p>
        </w:tc>
        <w:tc>
          <w:tcPr>
            <w:tcW w:w="0" w:type="auto"/>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eastAsia="方正黑体_GBK"/>
                <w:sz w:val="28"/>
                <w:szCs w:val="28"/>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eastAsia="方正仿宋_GBK"/>
                <w:sz w:val="24"/>
                <w:szCs w:val="24"/>
              </w:rPr>
            </w:pPr>
            <w:r>
              <w:rPr>
                <w:rFonts w:hint="eastAsia" w:eastAsia="方正仿宋_GBK"/>
                <w:sz w:val="24"/>
                <w:szCs w:val="24"/>
              </w:rPr>
              <w:t>（单位）</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spacing w:line="260" w:lineRule="exact"/>
              <w:jc w:val="center"/>
              <w:rPr>
                <w:rFonts w:hint="eastAsia" w:eastAsia="方正仿宋_GBK"/>
                <w:sz w:val="24"/>
                <w:szCs w:val="24"/>
              </w:rPr>
            </w:pPr>
            <w:r>
              <w:rPr>
                <w:rFonts w:hint="eastAsia"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3" w:type="dxa"/>
            <w:vMerge w:val="continue"/>
            <w:tcBorders>
              <w:left w:val="single" w:color="auto" w:sz="8" w:space="0"/>
              <w:right w:val="single" w:color="auto" w:sz="4" w:space="0"/>
            </w:tcBorders>
            <w:noWrap w:val="0"/>
            <w:vAlign w:val="center"/>
          </w:tcPr>
          <w:p>
            <w:pPr>
              <w:widowControl/>
              <w:spacing w:line="360" w:lineRule="exact"/>
              <w:jc w:val="center"/>
              <w:rPr>
                <w:rFonts w:hint="eastAsia" w:eastAsia="方正黑体_GBK"/>
                <w:sz w:val="28"/>
                <w:szCs w:val="28"/>
              </w:rPr>
            </w:pPr>
          </w:p>
        </w:tc>
        <w:tc>
          <w:tcPr>
            <w:tcW w:w="1434" w:type="dxa"/>
            <w:vMerge w:val="restart"/>
            <w:tcBorders>
              <w:top w:val="nil"/>
              <w:left w:val="single" w:color="auto" w:sz="4" w:space="0"/>
              <w:right w:val="single" w:color="auto" w:sz="4" w:space="0"/>
            </w:tcBorders>
            <w:noWrap w:val="0"/>
            <w:vAlign w:val="center"/>
          </w:tcPr>
          <w:p>
            <w:pPr>
              <w:snapToGrid w:val="0"/>
              <w:spacing w:line="360" w:lineRule="auto"/>
              <w:jc w:val="center"/>
              <w:rPr>
                <w:rFonts w:hint="eastAsia" w:eastAsia="方正黑体_GBK"/>
                <w:sz w:val="28"/>
                <w:szCs w:val="28"/>
                <w:u w:val="single"/>
              </w:rPr>
            </w:pPr>
            <w:r>
              <w:rPr>
                <w:rFonts w:hint="eastAsia" w:eastAsia="方正黑体_GBK"/>
                <w:sz w:val="28"/>
                <w:szCs w:val="28"/>
              </w:rPr>
              <w:t>参加部门</w:t>
            </w: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line="260" w:lineRule="exact"/>
              <w:jc w:val="center"/>
              <w:rPr>
                <w:rFonts w:hint="eastAsia" w:eastAsia="方正仿宋_GBK"/>
                <w:sz w:val="24"/>
                <w:szCs w:val="24"/>
              </w:rPr>
            </w:pPr>
            <w:r>
              <w:rPr>
                <w:rFonts w:hint="eastAsia" w:eastAsia="方正仿宋_GBK"/>
                <w:sz w:val="24"/>
                <w:szCs w:val="24"/>
              </w:rPr>
              <w:t>交通运输主管部门</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spacing w:line="260" w:lineRule="exact"/>
              <w:jc w:val="center"/>
              <w:rPr>
                <w:rFonts w:hint="eastAsia" w:eastAsia="方正仿宋_GBK"/>
                <w:sz w:val="24"/>
                <w:szCs w:val="24"/>
              </w:rPr>
            </w:pPr>
            <w:r>
              <w:rPr>
                <w:rFonts w:hint="eastAsia"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3" w:type="dxa"/>
            <w:vMerge w:val="continue"/>
            <w:tcBorders>
              <w:left w:val="single" w:color="auto" w:sz="8" w:space="0"/>
              <w:right w:val="single" w:color="auto" w:sz="4" w:space="0"/>
            </w:tcBorders>
            <w:noWrap w:val="0"/>
            <w:vAlign w:val="center"/>
          </w:tcPr>
          <w:p>
            <w:pPr>
              <w:widowControl/>
              <w:spacing w:line="360" w:lineRule="exact"/>
              <w:jc w:val="center"/>
              <w:rPr>
                <w:rFonts w:eastAsia="黑体"/>
                <w:sz w:val="28"/>
                <w:szCs w:val="28"/>
              </w:rPr>
            </w:pPr>
          </w:p>
        </w:tc>
        <w:tc>
          <w:tcPr>
            <w:tcW w:w="1434" w:type="dxa"/>
            <w:vMerge w:val="continue"/>
            <w:tcBorders>
              <w:left w:val="single" w:color="auto" w:sz="4" w:space="0"/>
              <w:right w:val="single" w:color="auto" w:sz="4" w:space="0"/>
            </w:tcBorders>
            <w:noWrap w:val="0"/>
            <w:vAlign w:val="center"/>
          </w:tcPr>
          <w:p>
            <w:pPr>
              <w:widowControl/>
              <w:jc w:val="left"/>
              <w:rPr>
                <w:sz w:val="28"/>
                <w:szCs w:val="28"/>
                <w:u w:val="single"/>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方正仿宋_GBK"/>
                <w:sz w:val="24"/>
                <w:szCs w:val="24"/>
              </w:rPr>
            </w:pPr>
            <w:r>
              <w:rPr>
                <w:rFonts w:hint="eastAsia" w:eastAsia="方正仿宋_GBK"/>
                <w:sz w:val="24"/>
                <w:szCs w:val="24"/>
              </w:rPr>
              <w:t>质量监督部门</w:t>
            </w:r>
          </w:p>
        </w:tc>
        <w:tc>
          <w:tcPr>
            <w:tcW w:w="3221" w:type="dxa"/>
            <w:gridSpan w:val="2"/>
            <w:tcBorders>
              <w:top w:val="single" w:color="auto" w:sz="4" w:space="0"/>
              <w:left w:val="single" w:color="auto" w:sz="4" w:space="0"/>
              <w:bottom w:val="single" w:color="auto" w:sz="4" w:space="0"/>
              <w:right w:val="single" w:color="auto" w:sz="8" w:space="0"/>
            </w:tcBorders>
            <w:noWrap w:val="0"/>
            <w:vAlign w:val="center"/>
          </w:tcPr>
          <w:p>
            <w:pPr>
              <w:spacing w:line="260" w:lineRule="exact"/>
              <w:jc w:val="center"/>
              <w:rPr>
                <w:rFonts w:hint="eastAsia" w:eastAsia="方正仿宋_GBK"/>
                <w:sz w:val="24"/>
                <w:szCs w:val="24"/>
              </w:rPr>
            </w:pPr>
            <w:r>
              <w:rPr>
                <w:rFonts w:hint="eastAsia"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3" w:type="dxa"/>
            <w:vMerge w:val="continue"/>
            <w:tcBorders>
              <w:left w:val="single" w:color="auto" w:sz="8" w:space="0"/>
              <w:right w:val="single" w:color="auto" w:sz="4" w:space="0"/>
            </w:tcBorders>
            <w:noWrap w:val="0"/>
            <w:vAlign w:val="center"/>
          </w:tcPr>
          <w:p>
            <w:pPr>
              <w:widowControl/>
              <w:spacing w:line="360" w:lineRule="exact"/>
              <w:jc w:val="center"/>
              <w:rPr>
                <w:rFonts w:eastAsia="黑体"/>
                <w:sz w:val="28"/>
                <w:szCs w:val="28"/>
              </w:rPr>
            </w:pPr>
          </w:p>
        </w:tc>
        <w:tc>
          <w:tcPr>
            <w:tcW w:w="1434" w:type="dxa"/>
            <w:vMerge w:val="continue"/>
            <w:tcBorders>
              <w:left w:val="single" w:color="auto" w:sz="4" w:space="0"/>
              <w:right w:val="single" w:color="auto" w:sz="4" w:space="0"/>
            </w:tcBorders>
            <w:noWrap w:val="0"/>
            <w:vAlign w:val="center"/>
          </w:tcPr>
          <w:p>
            <w:pPr>
              <w:widowControl/>
              <w:jc w:val="left"/>
              <w:rPr>
                <w:sz w:val="28"/>
                <w:szCs w:val="28"/>
                <w:u w:val="single"/>
              </w:rPr>
            </w:pPr>
          </w:p>
        </w:tc>
        <w:tc>
          <w:tcPr>
            <w:tcW w:w="268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eastAsia="方正仿宋_GBK"/>
                <w:sz w:val="24"/>
                <w:szCs w:val="24"/>
              </w:rPr>
            </w:pPr>
            <w:r>
              <w:rPr>
                <w:rFonts w:hint="eastAsia" w:eastAsia="方正仿宋_GBK"/>
                <w:sz w:val="24"/>
                <w:szCs w:val="24"/>
              </w:rPr>
              <w:t>造价部门</w:t>
            </w:r>
          </w:p>
        </w:tc>
        <w:tc>
          <w:tcPr>
            <w:tcW w:w="3221" w:type="dxa"/>
            <w:gridSpan w:val="2"/>
            <w:tcBorders>
              <w:top w:val="single" w:color="auto" w:sz="4" w:space="0"/>
              <w:left w:val="nil"/>
              <w:bottom w:val="single" w:color="auto" w:sz="4" w:space="0"/>
              <w:right w:val="single" w:color="auto" w:sz="8" w:space="0"/>
            </w:tcBorders>
            <w:noWrap w:val="0"/>
            <w:vAlign w:val="center"/>
          </w:tcPr>
          <w:p>
            <w:pPr>
              <w:snapToGrid w:val="0"/>
              <w:spacing w:line="260" w:lineRule="exact"/>
              <w:jc w:val="center"/>
              <w:rPr>
                <w:rFonts w:hint="eastAsia" w:eastAsia="方正仿宋_GBK"/>
                <w:sz w:val="24"/>
                <w:szCs w:val="24"/>
                <w:u w:val="single"/>
              </w:rPr>
            </w:pPr>
            <w:r>
              <w:rPr>
                <w:rFonts w:hint="eastAsia" w:eastAsia="方正仿宋_GBK"/>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613" w:type="dxa"/>
            <w:vMerge w:val="continue"/>
            <w:tcBorders>
              <w:left w:val="single" w:color="auto" w:sz="8" w:space="0"/>
              <w:bottom w:val="single" w:color="auto" w:sz="4" w:space="0"/>
              <w:right w:val="single" w:color="auto" w:sz="4" w:space="0"/>
            </w:tcBorders>
            <w:noWrap w:val="0"/>
            <w:vAlign w:val="center"/>
          </w:tcPr>
          <w:p>
            <w:pPr>
              <w:widowControl/>
              <w:spacing w:line="360" w:lineRule="exact"/>
              <w:jc w:val="center"/>
              <w:rPr>
                <w:rFonts w:eastAsia="黑体"/>
                <w:sz w:val="28"/>
                <w:szCs w:val="28"/>
              </w:rPr>
            </w:pPr>
          </w:p>
        </w:tc>
        <w:tc>
          <w:tcPr>
            <w:tcW w:w="1434" w:type="dxa"/>
            <w:vMerge w:val="continue"/>
            <w:tcBorders>
              <w:left w:val="single" w:color="auto" w:sz="4" w:space="0"/>
              <w:bottom w:val="single" w:color="auto" w:sz="4" w:space="0"/>
              <w:right w:val="single" w:color="auto" w:sz="4" w:space="0"/>
            </w:tcBorders>
            <w:noWrap w:val="0"/>
            <w:vAlign w:val="center"/>
          </w:tcPr>
          <w:p>
            <w:pPr>
              <w:widowControl/>
              <w:jc w:val="left"/>
              <w:rPr>
                <w:sz w:val="28"/>
                <w:szCs w:val="28"/>
                <w:u w:val="single"/>
              </w:rPr>
            </w:pPr>
          </w:p>
        </w:tc>
        <w:tc>
          <w:tcPr>
            <w:tcW w:w="2685" w:type="dxa"/>
            <w:gridSpan w:val="2"/>
            <w:tcBorders>
              <w:top w:val="single" w:color="auto" w:sz="4" w:space="0"/>
              <w:left w:val="single" w:color="auto" w:sz="4" w:space="0"/>
              <w:bottom w:val="single" w:color="auto" w:sz="8" w:space="0"/>
              <w:right w:val="single" w:color="auto" w:sz="4" w:space="0"/>
            </w:tcBorders>
            <w:noWrap w:val="0"/>
            <w:vAlign w:val="center"/>
          </w:tcPr>
          <w:p>
            <w:pPr>
              <w:spacing w:line="260" w:lineRule="exact"/>
              <w:jc w:val="center"/>
              <w:rPr>
                <w:rFonts w:hint="eastAsia" w:eastAsia="方正仿宋_GBK"/>
                <w:sz w:val="24"/>
                <w:szCs w:val="24"/>
              </w:rPr>
            </w:pPr>
            <w:r>
              <w:rPr>
                <w:rFonts w:hint="eastAsia" w:eastAsia="方正仿宋_GBK"/>
                <w:sz w:val="24"/>
                <w:szCs w:val="24"/>
              </w:rPr>
              <w:t>其他部门</w:t>
            </w:r>
          </w:p>
        </w:tc>
        <w:tc>
          <w:tcPr>
            <w:tcW w:w="3221" w:type="dxa"/>
            <w:gridSpan w:val="2"/>
            <w:tcBorders>
              <w:top w:val="single" w:color="auto" w:sz="4" w:space="0"/>
              <w:left w:val="nil"/>
              <w:bottom w:val="single" w:color="auto" w:sz="8" w:space="0"/>
              <w:right w:val="single" w:color="auto" w:sz="8" w:space="0"/>
            </w:tcBorders>
            <w:noWrap w:val="0"/>
            <w:vAlign w:val="center"/>
          </w:tcPr>
          <w:p>
            <w:pPr>
              <w:snapToGrid w:val="0"/>
              <w:spacing w:line="260" w:lineRule="exact"/>
              <w:jc w:val="center"/>
              <w:rPr>
                <w:rFonts w:hint="eastAsia" w:eastAsia="方正仿宋_GBK"/>
                <w:sz w:val="24"/>
                <w:szCs w:val="24"/>
                <w:u w:val="single"/>
              </w:rPr>
            </w:pPr>
            <w:r>
              <w:rPr>
                <w:rFonts w:hint="eastAsia" w:eastAsia="方正仿宋_GBK"/>
                <w:sz w:val="24"/>
                <w:szCs w:val="24"/>
              </w:rPr>
              <w:t>（签名）</w:t>
            </w:r>
          </w:p>
        </w:tc>
      </w:tr>
    </w:tbl>
    <w:p>
      <w:pPr>
        <w:rPr>
          <w:rFonts w:hint="eastAsia" w:eastAsia="方正仿宋_GBK"/>
          <w:sz w:val="24"/>
          <w:szCs w:val="24"/>
        </w:rPr>
      </w:pPr>
      <w:r>
        <w:rPr>
          <w:rFonts w:hint="eastAsia" w:eastAsia="方正仿宋_GBK"/>
          <w:sz w:val="24"/>
          <w:szCs w:val="24"/>
        </w:rPr>
        <w:t>注：一般设计变更可参照此表。</w:t>
      </w:r>
    </w:p>
    <w:p>
      <w:pPr>
        <w:rPr>
          <w:rFonts w:hint="eastAsia" w:eastAsia="方正仿宋_GBK"/>
          <w:sz w:val="24"/>
          <w:szCs w:val="24"/>
        </w:rPr>
      </w:pPr>
      <w:r>
        <w:rPr>
          <w:rFonts w:hint="eastAsia" w:eastAsia="方正仿宋_GBK"/>
          <w:sz w:val="24"/>
          <w:szCs w:val="24"/>
        </w:rPr>
        <w:br w:type="page"/>
      </w:r>
    </w:p>
    <w:p>
      <w:pPr>
        <w:spacing w:line="560" w:lineRule="exact"/>
        <w:rPr>
          <w:rFonts w:hint="eastAsia" w:eastAsia="方正小标宋_GBK"/>
          <w:sz w:val="44"/>
          <w:szCs w:val="44"/>
        </w:rPr>
      </w:pPr>
      <w:r>
        <w:rPr>
          <w:rFonts w:hint="eastAsia" w:eastAsia="方正黑体_GBK"/>
          <w:sz w:val="32"/>
          <w:szCs w:val="32"/>
        </w:rPr>
        <w:t>附件3</w:t>
      </w:r>
    </w:p>
    <w:p>
      <w:pPr>
        <w:keepNext w:val="0"/>
        <w:keepLines w:val="0"/>
        <w:pageBreakBefore w:val="0"/>
        <w:widowControl w:val="0"/>
        <w:kinsoku/>
        <w:wordWrap/>
        <w:overflowPunct/>
        <w:topLinePunct w:val="0"/>
        <w:autoSpaceDE/>
        <w:autoSpaceDN/>
        <w:bidi w:val="0"/>
        <w:adjustRightInd/>
        <w:snapToGrid/>
        <w:spacing w:before="159" w:beforeLines="50" w:after="159" w:afterLines="50" w:line="560" w:lineRule="exact"/>
        <w:jc w:val="center"/>
        <w:textAlignment w:val="auto"/>
        <w:rPr>
          <w:rFonts w:hint="eastAsia" w:eastAsia="方正小标宋_GBK"/>
          <w:sz w:val="44"/>
          <w:szCs w:val="44"/>
        </w:rPr>
      </w:pPr>
      <w:r>
        <w:rPr>
          <w:rFonts w:hint="eastAsia" w:eastAsia="方正小标宋_GBK"/>
          <w:sz w:val="44"/>
          <w:szCs w:val="44"/>
        </w:rPr>
        <w:t>重庆市水运工程紧急抢险重大设计变更报告书</w:t>
      </w:r>
    </w:p>
    <w:tbl>
      <w:tblPr>
        <w:tblStyle w:val="10"/>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0"/>
        <w:gridCol w:w="6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60" w:type="dxa"/>
            <w:tcBorders>
              <w:top w:val="single" w:color="auto" w:sz="8"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项 目 名 称</w:t>
            </w:r>
          </w:p>
        </w:tc>
        <w:tc>
          <w:tcPr>
            <w:tcW w:w="6904" w:type="dxa"/>
            <w:tcBorders>
              <w:top w:val="single" w:color="auto" w:sz="8" w:space="0"/>
              <w:left w:val="single" w:color="auto" w:sz="4" w:space="0"/>
              <w:bottom w:val="single" w:color="auto" w:sz="4" w:space="0"/>
              <w:right w:val="single" w:color="auto" w:sz="8" w:space="0"/>
            </w:tcBorders>
            <w:noWrap w:val="0"/>
            <w:vAlign w:val="top"/>
          </w:tcPr>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变更工程地点</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施工单位名称</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存在的主要紧急情况简述</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spacing w:line="360" w:lineRule="auto"/>
              <w:jc w:val="center"/>
              <w:rPr>
                <w:rFonts w:hint="eastAsia"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5" w:hRule="exac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初步采取的紧急措施简述</w:t>
            </w:r>
          </w:p>
        </w:tc>
        <w:tc>
          <w:tcPr>
            <w:tcW w:w="6904" w:type="dxa"/>
            <w:tcBorders>
              <w:top w:val="single" w:color="auto" w:sz="4" w:space="0"/>
              <w:left w:val="single" w:color="auto" w:sz="4" w:space="0"/>
              <w:bottom w:val="single" w:color="auto" w:sz="4" w:space="0"/>
              <w:right w:val="single" w:color="auto" w:sz="8" w:space="0"/>
            </w:tcBorders>
            <w:noWrap w:val="0"/>
            <w:vAlign w:val="top"/>
          </w:tcPr>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p>
            <w:pPr>
              <w:spacing w:line="360" w:lineRule="auto"/>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4"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报 告 单 位</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spacing w:line="300" w:lineRule="exact"/>
              <w:rPr>
                <w:rFonts w:hint="eastAsia" w:eastAsia="方正仿宋_GBK"/>
                <w:sz w:val="24"/>
                <w:szCs w:val="24"/>
              </w:rPr>
            </w:pPr>
            <w:r>
              <w:rPr>
                <w:rFonts w:hint="eastAsia" w:eastAsia="方正仿宋_GBK"/>
                <w:sz w:val="24"/>
                <w:szCs w:val="24"/>
              </w:rPr>
              <w:t>报告单位名称（公章）：</w:t>
            </w:r>
          </w:p>
          <w:p>
            <w:pPr>
              <w:spacing w:line="300" w:lineRule="exact"/>
              <w:rPr>
                <w:rFonts w:hint="eastAsia" w:eastAsia="方正仿宋_GBK"/>
                <w:sz w:val="24"/>
                <w:szCs w:val="24"/>
              </w:rPr>
            </w:pPr>
          </w:p>
          <w:p>
            <w:pPr>
              <w:spacing w:line="300" w:lineRule="exact"/>
              <w:rPr>
                <w:rFonts w:hint="eastAsia" w:eastAsia="方正仿宋_GBK"/>
                <w:sz w:val="24"/>
                <w:szCs w:val="24"/>
              </w:rPr>
            </w:pPr>
          </w:p>
          <w:p>
            <w:pPr>
              <w:spacing w:line="300" w:lineRule="exact"/>
              <w:rPr>
                <w:rFonts w:hint="eastAsia" w:eastAsia="方正仿宋_GBK"/>
                <w:sz w:val="24"/>
                <w:szCs w:val="24"/>
              </w:rPr>
            </w:pPr>
          </w:p>
          <w:p>
            <w:pPr>
              <w:spacing w:line="300" w:lineRule="exact"/>
              <w:rPr>
                <w:rFonts w:hint="eastAsia" w:eastAsia="方正仿宋_GBK"/>
                <w:sz w:val="24"/>
                <w:szCs w:val="24"/>
              </w:rPr>
            </w:pPr>
            <w:r>
              <w:rPr>
                <w:rFonts w:hint="eastAsia" w:eastAsia="方正仿宋_GBK"/>
                <w:sz w:val="24"/>
                <w:szCs w:val="24"/>
              </w:rPr>
              <w:t>法人代表（或授权代表）签字（章）：</w:t>
            </w:r>
          </w:p>
          <w:p>
            <w:pPr>
              <w:spacing w:line="300" w:lineRule="exact"/>
              <w:rPr>
                <w:rFonts w:hint="eastAsia" w:eastAsia="方正仿宋_GBK"/>
                <w:sz w:val="24"/>
                <w:szCs w:val="24"/>
              </w:rPr>
            </w:pPr>
          </w:p>
          <w:p>
            <w:pPr>
              <w:spacing w:line="300" w:lineRule="exact"/>
              <w:rPr>
                <w:rFonts w:hint="eastAsia" w:eastAsia="方正仿宋_GBK"/>
                <w:sz w:val="24"/>
                <w:szCs w:val="24"/>
              </w:rPr>
            </w:pPr>
          </w:p>
          <w:p>
            <w:pPr>
              <w:spacing w:line="300" w:lineRule="exact"/>
              <w:rPr>
                <w:rFonts w:hint="eastAsia" w:eastAsia="方正仿宋_GBK"/>
                <w:sz w:val="24"/>
                <w:szCs w:val="24"/>
              </w:rPr>
            </w:pPr>
          </w:p>
          <w:p>
            <w:pPr>
              <w:spacing w:line="300" w:lineRule="exact"/>
              <w:rPr>
                <w:rFonts w:hint="eastAsia" w:eastAsia="方正仿宋_GBK"/>
                <w:sz w:val="24"/>
                <w:szCs w:val="24"/>
              </w:rPr>
            </w:pPr>
            <w:r>
              <w:rPr>
                <w:rFonts w:hint="eastAsia" w:eastAsia="方正仿宋_GBK"/>
                <w:sz w:val="24"/>
                <w:szCs w:val="24"/>
              </w:rPr>
              <w:t>联系人：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2160" w:type="dxa"/>
            <w:tcBorders>
              <w:top w:val="single" w:color="auto" w:sz="4" w:space="0"/>
              <w:left w:val="single" w:color="auto" w:sz="8" w:space="0"/>
              <w:bottom w:val="single" w:color="auto" w:sz="4" w:space="0"/>
              <w:right w:val="single" w:color="auto" w:sz="4" w:space="0"/>
            </w:tcBorders>
            <w:noWrap w:val="0"/>
            <w:vAlign w:val="center"/>
          </w:tcPr>
          <w:p>
            <w:pPr>
              <w:spacing w:line="360" w:lineRule="exact"/>
              <w:jc w:val="center"/>
              <w:rPr>
                <w:rFonts w:hint="eastAsia" w:eastAsia="方正黑体_GBK"/>
                <w:sz w:val="28"/>
                <w:szCs w:val="28"/>
              </w:rPr>
            </w:pPr>
            <w:r>
              <w:rPr>
                <w:rFonts w:hint="eastAsia" w:eastAsia="方正黑体_GBK"/>
                <w:sz w:val="28"/>
                <w:szCs w:val="28"/>
              </w:rPr>
              <w:t>报 告 时 间</w:t>
            </w:r>
          </w:p>
        </w:tc>
        <w:tc>
          <w:tcPr>
            <w:tcW w:w="6904" w:type="dxa"/>
            <w:tcBorders>
              <w:top w:val="single" w:color="auto" w:sz="4" w:space="0"/>
              <w:left w:val="single" w:color="auto" w:sz="4" w:space="0"/>
              <w:bottom w:val="single" w:color="auto" w:sz="4" w:space="0"/>
              <w:right w:val="single" w:color="auto" w:sz="8" w:space="0"/>
            </w:tcBorders>
            <w:noWrap w:val="0"/>
            <w:vAlign w:val="center"/>
          </w:tcPr>
          <w:p>
            <w:pPr>
              <w:spacing w:line="300" w:lineRule="exact"/>
              <w:rPr>
                <w:rFonts w:hint="eastAsia" w:eastAsia="方正仿宋_GBK"/>
                <w:sz w:val="24"/>
                <w:szCs w:val="24"/>
              </w:rPr>
            </w:pPr>
            <w:r>
              <w:rPr>
                <w:rFonts w:hint="eastAsia" w:eastAsia="方正仿宋_GBK"/>
                <w:sz w:val="24"/>
                <w:szCs w:val="24"/>
              </w:rPr>
              <w:t xml:space="preserve">   </w:t>
            </w:r>
            <w:r>
              <w:rPr>
                <w:rFonts w:hint="eastAsia" w:eastAsia="方正仿宋_GBK"/>
                <w:sz w:val="24"/>
                <w:szCs w:val="24"/>
                <w:u w:val="single"/>
              </w:rPr>
              <w:t xml:space="preserve">          </w:t>
            </w:r>
            <w:r>
              <w:rPr>
                <w:rFonts w:hint="eastAsia" w:eastAsia="方正仿宋_GBK"/>
                <w:sz w:val="24"/>
                <w:szCs w:val="24"/>
              </w:rPr>
              <w:t>年</w:t>
            </w:r>
            <w:r>
              <w:rPr>
                <w:rFonts w:hint="eastAsia" w:eastAsia="方正仿宋_GBK"/>
                <w:sz w:val="24"/>
                <w:szCs w:val="24"/>
                <w:u w:val="single"/>
              </w:rPr>
              <w:t xml:space="preserve">     </w:t>
            </w:r>
            <w:r>
              <w:rPr>
                <w:rFonts w:hint="eastAsia" w:eastAsia="方正仿宋_GBK"/>
                <w:sz w:val="24"/>
                <w:szCs w:val="24"/>
              </w:rPr>
              <w:t>月</w:t>
            </w:r>
            <w:r>
              <w:rPr>
                <w:rFonts w:hint="eastAsia" w:eastAsia="方正仿宋_GBK"/>
                <w:sz w:val="24"/>
                <w:szCs w:val="24"/>
                <w:u w:val="single"/>
              </w:rPr>
              <w:t xml:space="preserve">     </w:t>
            </w:r>
            <w:r>
              <w:rPr>
                <w:rFonts w:hint="eastAsia" w:eastAsia="方正仿宋_GBK"/>
                <w:sz w:val="24"/>
                <w:szCs w:val="24"/>
              </w:rPr>
              <w:t>日</w:t>
            </w:r>
            <w:r>
              <w:rPr>
                <w:rFonts w:hint="eastAsia" w:eastAsia="方正仿宋_GBK"/>
                <w:sz w:val="24"/>
                <w:szCs w:val="24"/>
                <w:u w:val="single"/>
              </w:rPr>
              <w:t xml:space="preserve">     </w:t>
            </w:r>
            <w:r>
              <w:rPr>
                <w:rFonts w:hint="eastAsia" w:eastAsia="方正仿宋_GBK"/>
                <w:sz w:val="24"/>
                <w:szCs w:val="24"/>
              </w:rPr>
              <w:t xml:space="preserve"> 时</w:t>
            </w:r>
            <w:r>
              <w:rPr>
                <w:rFonts w:hint="eastAsia" w:eastAsia="方正仿宋_GBK"/>
                <w:sz w:val="24"/>
                <w:szCs w:val="24"/>
                <w:u w:val="single"/>
              </w:rPr>
              <w:t xml:space="preserve">     </w:t>
            </w:r>
            <w:r>
              <w:rPr>
                <w:rFonts w:hint="eastAsia" w:eastAsia="方正仿宋_GBK"/>
                <w:sz w:val="24"/>
                <w:szCs w:val="24"/>
              </w:rPr>
              <w:t>分</w:t>
            </w:r>
          </w:p>
        </w:tc>
      </w:tr>
    </w:tbl>
    <w:p>
      <w:pPr>
        <w:rPr>
          <w:rFonts w:hint="eastAsia" w:eastAsia="方正仿宋_GBK"/>
          <w:sz w:val="24"/>
          <w:szCs w:val="24"/>
        </w:rPr>
        <w:sectPr>
          <w:headerReference r:id="rId3" w:type="default"/>
          <w:footerReference r:id="rId4" w:type="default"/>
          <w:pgSz w:w="11906" w:h="16838"/>
          <w:pgMar w:top="1962" w:right="1474" w:bottom="1848" w:left="1587" w:header="851" w:footer="567" w:gutter="0"/>
          <w:pgNumType w:fmt="numberInDash"/>
          <w:cols w:space="0" w:num="1"/>
          <w:docGrid w:type="lines" w:linePitch="316" w:charSpace="0"/>
        </w:sectPr>
      </w:pPr>
    </w:p>
    <w:p>
      <w:pPr>
        <w:spacing w:line="360" w:lineRule="exact"/>
        <w:rPr>
          <w:rFonts w:hint="eastAsia" w:eastAsia="方正黑体_GBK"/>
          <w:sz w:val="32"/>
          <w:szCs w:val="32"/>
        </w:rPr>
      </w:pPr>
    </w:p>
    <w:p>
      <w:pPr>
        <w:spacing w:line="360" w:lineRule="exact"/>
        <w:rPr>
          <w:rFonts w:hint="eastAsia" w:eastAsia="方正小标宋_GBK"/>
          <w:sz w:val="44"/>
          <w:szCs w:val="44"/>
        </w:rPr>
      </w:pPr>
      <w:r>
        <w:rPr>
          <w:rFonts w:hint="eastAsia" w:eastAsia="方正黑体_GBK"/>
          <w:sz w:val="32"/>
          <w:szCs w:val="32"/>
        </w:rPr>
        <w:t>附件4</w:t>
      </w:r>
    </w:p>
    <w:p>
      <w:pPr>
        <w:keepNext w:val="0"/>
        <w:keepLines w:val="0"/>
        <w:pageBreakBefore w:val="0"/>
        <w:widowControl w:val="0"/>
        <w:kinsoku/>
        <w:wordWrap/>
        <w:overflowPunct/>
        <w:topLinePunct w:val="0"/>
        <w:autoSpaceDE/>
        <w:autoSpaceDN/>
        <w:bidi w:val="0"/>
        <w:adjustRightInd/>
        <w:snapToGrid/>
        <w:spacing w:before="159" w:beforeLines="50" w:after="159" w:afterLines="50" w:line="500" w:lineRule="exact"/>
        <w:jc w:val="center"/>
        <w:textAlignment w:val="auto"/>
        <w:rPr>
          <w:rFonts w:hint="eastAsia" w:eastAsia="方正小标宋_GBK"/>
          <w:sz w:val="44"/>
          <w:szCs w:val="44"/>
          <w:lang w:eastAsia="zh-CN"/>
        </w:rPr>
      </w:pPr>
      <w:r>
        <w:rPr>
          <w:rFonts w:hint="eastAsia" w:eastAsia="方正小标宋_GBK"/>
          <w:sz w:val="44"/>
          <w:szCs w:val="44"/>
        </w:rPr>
        <w:t>重庆市水运工程设计变更管理</w:t>
      </w:r>
      <w:r>
        <w:rPr>
          <w:rFonts w:hint="eastAsia" w:eastAsia="方正小标宋_GBK"/>
          <w:sz w:val="44"/>
          <w:szCs w:val="44"/>
          <w:lang w:val="en-US" w:eastAsia="zh-CN"/>
        </w:rPr>
        <w:t>台账</w:t>
      </w:r>
    </w:p>
    <w:tbl>
      <w:tblPr>
        <w:tblStyle w:val="10"/>
        <w:tblW w:w="13403" w:type="dxa"/>
        <w:jc w:val="center"/>
        <w:tblLayout w:type="autofit"/>
        <w:tblCellMar>
          <w:top w:w="0" w:type="dxa"/>
          <w:left w:w="108" w:type="dxa"/>
          <w:bottom w:w="0" w:type="dxa"/>
          <w:right w:w="108" w:type="dxa"/>
        </w:tblCellMar>
      </w:tblPr>
      <w:tblGrid>
        <w:gridCol w:w="514"/>
        <w:gridCol w:w="1125"/>
        <w:gridCol w:w="1144"/>
        <w:gridCol w:w="997"/>
        <w:gridCol w:w="767"/>
        <w:gridCol w:w="1116"/>
        <w:gridCol w:w="1089"/>
        <w:gridCol w:w="1029"/>
        <w:gridCol w:w="873"/>
        <w:gridCol w:w="1360"/>
        <w:gridCol w:w="1260"/>
        <w:gridCol w:w="1575"/>
        <w:gridCol w:w="554"/>
      </w:tblGrid>
      <w:tr>
        <w:tblPrEx>
          <w:tblCellMar>
            <w:top w:w="0" w:type="dxa"/>
            <w:left w:w="108" w:type="dxa"/>
            <w:bottom w:w="0" w:type="dxa"/>
            <w:right w:w="108" w:type="dxa"/>
          </w:tblCellMar>
        </w:tblPrEx>
        <w:trPr>
          <w:cantSplit/>
          <w:trHeight w:val="360" w:hRule="atLeast"/>
          <w:jc w:val="center"/>
        </w:trPr>
        <w:tc>
          <w:tcPr>
            <w:tcW w:w="514" w:type="dxa"/>
            <w:vMerge w:val="restart"/>
            <w:tcBorders>
              <w:top w:val="single" w:color="auto" w:sz="8" w:space="0"/>
              <w:left w:val="single" w:color="auto" w:sz="8" w:space="0"/>
              <w:bottom w:val="single" w:color="000000" w:sz="4" w:space="0"/>
              <w:right w:val="single" w:color="auto" w:sz="4"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序</w:t>
            </w:r>
          </w:p>
          <w:p>
            <w:pPr>
              <w:widowControl/>
              <w:spacing w:line="300" w:lineRule="exact"/>
              <w:jc w:val="center"/>
              <w:rPr>
                <w:rFonts w:hint="eastAsia" w:eastAsia="方正黑体_GBK"/>
                <w:bCs/>
                <w:sz w:val="24"/>
                <w:szCs w:val="24"/>
              </w:rPr>
            </w:pPr>
            <w:r>
              <w:rPr>
                <w:rFonts w:hint="eastAsia" w:eastAsia="方正黑体_GBK"/>
                <w:bCs/>
                <w:sz w:val="24"/>
                <w:szCs w:val="24"/>
              </w:rPr>
              <w:t>号</w:t>
            </w:r>
          </w:p>
        </w:tc>
        <w:tc>
          <w:tcPr>
            <w:tcW w:w="1125" w:type="dxa"/>
            <w:vMerge w:val="restart"/>
            <w:tcBorders>
              <w:top w:val="single" w:color="auto" w:sz="8" w:space="0"/>
              <w:left w:val="single" w:color="auto" w:sz="4" w:space="0"/>
              <w:bottom w:val="single" w:color="000000" w:sz="4" w:space="0"/>
              <w:right w:val="single" w:color="auto" w:sz="4"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项目</w:t>
            </w:r>
          </w:p>
          <w:p>
            <w:pPr>
              <w:widowControl/>
              <w:spacing w:line="300" w:lineRule="exact"/>
              <w:jc w:val="center"/>
              <w:rPr>
                <w:rFonts w:hint="eastAsia" w:eastAsia="方正黑体_GBK"/>
                <w:bCs/>
                <w:sz w:val="24"/>
                <w:szCs w:val="24"/>
              </w:rPr>
            </w:pPr>
            <w:r>
              <w:rPr>
                <w:rFonts w:hint="eastAsia" w:eastAsia="方正黑体_GBK"/>
                <w:bCs/>
                <w:sz w:val="24"/>
                <w:szCs w:val="24"/>
              </w:rPr>
              <w:t>名称</w:t>
            </w:r>
          </w:p>
        </w:tc>
        <w:tc>
          <w:tcPr>
            <w:tcW w:w="1144" w:type="dxa"/>
            <w:vMerge w:val="restart"/>
            <w:tcBorders>
              <w:top w:val="single" w:color="auto" w:sz="8" w:space="0"/>
              <w:left w:val="single" w:color="auto" w:sz="4" w:space="0"/>
              <w:bottom w:val="single" w:color="000000" w:sz="4" w:space="0"/>
              <w:right w:val="single" w:color="auto" w:sz="4"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合同段</w:t>
            </w:r>
          </w:p>
        </w:tc>
        <w:tc>
          <w:tcPr>
            <w:tcW w:w="997" w:type="dxa"/>
            <w:vMerge w:val="restart"/>
            <w:tcBorders>
              <w:top w:val="single" w:color="auto" w:sz="8" w:space="0"/>
              <w:left w:val="single" w:color="auto" w:sz="4" w:space="0"/>
              <w:bottom w:val="single" w:color="000000" w:sz="4" w:space="0"/>
              <w:right w:val="single" w:color="auto" w:sz="4"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施工</w:t>
            </w:r>
          </w:p>
          <w:p>
            <w:pPr>
              <w:widowControl/>
              <w:spacing w:line="300" w:lineRule="exact"/>
              <w:jc w:val="center"/>
              <w:rPr>
                <w:rFonts w:hint="eastAsia" w:eastAsia="方正黑体_GBK"/>
                <w:bCs/>
                <w:sz w:val="24"/>
                <w:szCs w:val="24"/>
              </w:rPr>
            </w:pPr>
            <w:r>
              <w:rPr>
                <w:rFonts w:hint="eastAsia" w:eastAsia="方正黑体_GBK"/>
                <w:bCs/>
                <w:sz w:val="24"/>
                <w:szCs w:val="24"/>
              </w:rPr>
              <w:t>单位</w:t>
            </w:r>
          </w:p>
        </w:tc>
        <w:tc>
          <w:tcPr>
            <w:tcW w:w="767"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变更原因</w:t>
            </w:r>
          </w:p>
        </w:tc>
        <w:tc>
          <w:tcPr>
            <w:tcW w:w="1116" w:type="dxa"/>
            <w:vMerge w:val="restart"/>
            <w:tcBorders>
              <w:top w:val="single" w:color="auto" w:sz="8" w:space="0"/>
              <w:left w:val="single" w:color="auto" w:sz="4" w:space="0"/>
              <w:bottom w:val="single" w:color="000000" w:sz="4" w:space="0"/>
              <w:right w:val="single" w:color="auto" w:sz="4"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变更</w:t>
            </w:r>
          </w:p>
          <w:p>
            <w:pPr>
              <w:widowControl/>
              <w:spacing w:line="300" w:lineRule="exact"/>
              <w:jc w:val="center"/>
              <w:rPr>
                <w:rFonts w:hint="eastAsia" w:eastAsia="方正黑体_GBK"/>
                <w:bCs/>
                <w:sz w:val="24"/>
                <w:szCs w:val="24"/>
              </w:rPr>
            </w:pPr>
            <w:r>
              <w:rPr>
                <w:rFonts w:hint="eastAsia" w:eastAsia="方正黑体_GBK"/>
                <w:bCs/>
                <w:sz w:val="24"/>
                <w:szCs w:val="24"/>
              </w:rPr>
              <w:t>方案</w:t>
            </w:r>
          </w:p>
        </w:tc>
        <w:tc>
          <w:tcPr>
            <w:tcW w:w="1089" w:type="dxa"/>
            <w:vMerge w:val="restart"/>
            <w:tcBorders>
              <w:top w:val="single" w:color="auto" w:sz="8" w:space="0"/>
              <w:left w:val="single" w:color="auto" w:sz="4" w:space="0"/>
              <w:bottom w:val="single" w:color="000000" w:sz="4" w:space="0"/>
              <w:right w:val="single" w:color="auto" w:sz="4"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变更前</w:t>
            </w:r>
          </w:p>
          <w:p>
            <w:pPr>
              <w:widowControl/>
              <w:spacing w:line="300" w:lineRule="exact"/>
              <w:jc w:val="center"/>
              <w:rPr>
                <w:rFonts w:hint="eastAsia" w:eastAsia="方正黑体_GBK"/>
                <w:bCs/>
                <w:sz w:val="24"/>
                <w:szCs w:val="24"/>
              </w:rPr>
            </w:pPr>
            <w:r>
              <w:rPr>
                <w:rFonts w:hint="eastAsia" w:eastAsia="方正黑体_GBK"/>
                <w:bCs/>
                <w:sz w:val="24"/>
                <w:szCs w:val="24"/>
              </w:rPr>
              <w:t>费用</w:t>
            </w:r>
          </w:p>
        </w:tc>
        <w:tc>
          <w:tcPr>
            <w:tcW w:w="1029"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变更后</w:t>
            </w:r>
          </w:p>
          <w:p>
            <w:pPr>
              <w:widowControl/>
              <w:spacing w:line="300" w:lineRule="exact"/>
              <w:jc w:val="center"/>
              <w:rPr>
                <w:rFonts w:hint="eastAsia" w:eastAsia="方正黑体_GBK"/>
                <w:bCs/>
                <w:sz w:val="24"/>
                <w:szCs w:val="24"/>
              </w:rPr>
            </w:pPr>
            <w:r>
              <w:rPr>
                <w:rFonts w:hint="eastAsia" w:eastAsia="方正黑体_GBK"/>
                <w:bCs/>
                <w:sz w:val="24"/>
                <w:szCs w:val="24"/>
              </w:rPr>
              <w:t>费用</w:t>
            </w:r>
          </w:p>
        </w:tc>
        <w:tc>
          <w:tcPr>
            <w:tcW w:w="873" w:type="dxa"/>
            <w:vMerge w:val="restart"/>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变更</w:t>
            </w:r>
          </w:p>
          <w:p>
            <w:pPr>
              <w:widowControl/>
              <w:spacing w:line="300" w:lineRule="exact"/>
              <w:jc w:val="center"/>
              <w:rPr>
                <w:rFonts w:hint="eastAsia" w:eastAsia="方正黑体_GBK"/>
                <w:bCs/>
                <w:sz w:val="24"/>
                <w:szCs w:val="24"/>
              </w:rPr>
            </w:pPr>
            <w:r>
              <w:rPr>
                <w:rFonts w:hint="eastAsia" w:eastAsia="方正黑体_GBK"/>
                <w:bCs/>
                <w:sz w:val="24"/>
                <w:szCs w:val="24"/>
              </w:rPr>
              <w:t>类型</w:t>
            </w:r>
          </w:p>
        </w:tc>
        <w:tc>
          <w:tcPr>
            <w:tcW w:w="1360" w:type="dxa"/>
            <w:tcBorders>
              <w:top w:val="single" w:color="auto" w:sz="8" w:space="0"/>
              <w:left w:val="nil"/>
              <w:bottom w:val="single" w:color="auto" w:sz="4" w:space="0"/>
              <w:right w:val="single" w:color="auto" w:sz="4"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变更申请日期</w:t>
            </w:r>
          </w:p>
        </w:tc>
        <w:tc>
          <w:tcPr>
            <w:tcW w:w="1260" w:type="dxa"/>
            <w:tcBorders>
              <w:top w:val="single" w:color="auto" w:sz="8" w:space="0"/>
              <w:left w:val="nil"/>
              <w:bottom w:val="single" w:color="auto" w:sz="4" w:space="0"/>
              <w:right w:val="single" w:color="auto" w:sz="4"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方案审查日期</w:t>
            </w:r>
          </w:p>
        </w:tc>
        <w:tc>
          <w:tcPr>
            <w:tcW w:w="1575" w:type="dxa"/>
            <w:tcBorders>
              <w:top w:val="single" w:color="auto" w:sz="8" w:space="0"/>
              <w:left w:val="nil"/>
              <w:bottom w:val="single" w:color="auto" w:sz="4" w:space="0"/>
              <w:right w:val="nil"/>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内审时间</w:t>
            </w:r>
          </w:p>
        </w:tc>
        <w:tc>
          <w:tcPr>
            <w:tcW w:w="554" w:type="dxa"/>
            <w:vMerge w:val="restart"/>
            <w:tcBorders>
              <w:top w:val="single" w:color="auto" w:sz="8" w:space="0"/>
              <w:left w:val="single" w:color="auto" w:sz="4" w:space="0"/>
              <w:bottom w:val="single" w:color="000000" w:sz="4" w:space="0"/>
              <w:right w:val="single" w:color="auto" w:sz="8"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备注</w:t>
            </w:r>
          </w:p>
        </w:tc>
      </w:tr>
      <w:tr>
        <w:tblPrEx>
          <w:tblCellMar>
            <w:top w:w="0" w:type="dxa"/>
            <w:left w:w="108" w:type="dxa"/>
            <w:bottom w:w="0" w:type="dxa"/>
            <w:right w:w="108" w:type="dxa"/>
          </w:tblCellMar>
        </w:tblPrEx>
        <w:trPr>
          <w:cantSplit/>
          <w:trHeight w:val="540" w:hRule="atLeast"/>
          <w:jc w:val="center"/>
        </w:trPr>
        <w:tc>
          <w:tcPr>
            <w:tcW w:w="514" w:type="dxa"/>
            <w:vMerge w:val="continue"/>
            <w:tcBorders>
              <w:top w:val="single" w:color="auto" w:sz="8" w:space="0"/>
              <w:left w:val="single" w:color="auto" w:sz="8"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p>
        </w:tc>
        <w:tc>
          <w:tcPr>
            <w:tcW w:w="1125"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p>
        </w:tc>
        <w:tc>
          <w:tcPr>
            <w:tcW w:w="1144"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p>
        </w:tc>
        <w:tc>
          <w:tcPr>
            <w:tcW w:w="997"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p>
        </w:tc>
        <w:tc>
          <w:tcPr>
            <w:tcW w:w="767"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p>
        </w:tc>
        <w:tc>
          <w:tcPr>
            <w:tcW w:w="1116"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p>
        </w:tc>
        <w:tc>
          <w:tcPr>
            <w:tcW w:w="108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p>
        </w:tc>
        <w:tc>
          <w:tcPr>
            <w:tcW w:w="1029"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p>
        </w:tc>
        <w:tc>
          <w:tcPr>
            <w:tcW w:w="873" w:type="dxa"/>
            <w:vMerge w:val="continue"/>
            <w:tcBorders>
              <w:top w:val="single" w:color="auto" w:sz="8" w:space="0"/>
              <w:left w:val="single" w:color="auto" w:sz="4" w:space="0"/>
              <w:bottom w:val="single" w:color="000000" w:sz="4" w:space="0"/>
              <w:right w:val="single" w:color="auto" w:sz="4" w:space="0"/>
            </w:tcBorders>
            <w:noWrap w:val="0"/>
            <w:vAlign w:val="center"/>
          </w:tcPr>
          <w:p>
            <w:pPr>
              <w:widowControl/>
              <w:spacing w:line="300" w:lineRule="exact"/>
              <w:jc w:val="center"/>
              <w:rPr>
                <w:rFonts w:hint="eastAsia" w:eastAsia="方正黑体_GBK"/>
                <w:bCs/>
                <w:sz w:val="24"/>
                <w:szCs w:val="24"/>
              </w:rPr>
            </w:pPr>
          </w:p>
        </w:tc>
        <w:tc>
          <w:tcPr>
            <w:tcW w:w="2620" w:type="dxa"/>
            <w:gridSpan w:val="2"/>
            <w:tcBorders>
              <w:top w:val="single" w:color="auto" w:sz="4" w:space="0"/>
              <w:left w:val="nil"/>
              <w:bottom w:val="single" w:color="auto" w:sz="4" w:space="0"/>
              <w:right w:val="single" w:color="000000" w:sz="4"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报交通运输主管部门审查项目</w:t>
            </w:r>
          </w:p>
        </w:tc>
        <w:tc>
          <w:tcPr>
            <w:tcW w:w="1575" w:type="dxa"/>
            <w:tcBorders>
              <w:top w:val="nil"/>
              <w:left w:val="nil"/>
              <w:bottom w:val="single" w:color="auto" w:sz="4" w:space="0"/>
              <w:right w:val="single" w:color="auto" w:sz="4" w:space="0"/>
            </w:tcBorders>
            <w:noWrap/>
            <w:vAlign w:val="center"/>
          </w:tcPr>
          <w:p>
            <w:pPr>
              <w:widowControl/>
              <w:spacing w:line="300" w:lineRule="exact"/>
              <w:jc w:val="center"/>
              <w:rPr>
                <w:rFonts w:hint="eastAsia" w:eastAsia="方正黑体_GBK"/>
                <w:bCs/>
                <w:sz w:val="24"/>
                <w:szCs w:val="24"/>
              </w:rPr>
            </w:pPr>
            <w:r>
              <w:rPr>
                <w:rFonts w:hint="eastAsia" w:eastAsia="方正黑体_GBK"/>
                <w:bCs/>
                <w:sz w:val="24"/>
                <w:szCs w:val="24"/>
              </w:rPr>
              <w:t>未报交通运输主管部门审查项目</w:t>
            </w:r>
          </w:p>
        </w:tc>
        <w:tc>
          <w:tcPr>
            <w:tcW w:w="554" w:type="dxa"/>
            <w:vMerge w:val="continue"/>
            <w:tcBorders>
              <w:top w:val="single" w:color="auto" w:sz="8" w:space="0"/>
              <w:left w:val="single" w:color="auto" w:sz="4" w:space="0"/>
              <w:bottom w:val="single" w:color="000000" w:sz="4" w:space="0"/>
              <w:right w:val="single" w:color="auto" w:sz="8" w:space="0"/>
            </w:tcBorders>
            <w:noWrap w:val="0"/>
            <w:vAlign w:val="center"/>
          </w:tcPr>
          <w:p>
            <w:pPr>
              <w:widowControl/>
              <w:spacing w:line="300" w:lineRule="exact"/>
              <w:jc w:val="center"/>
              <w:rPr>
                <w:rFonts w:hint="eastAsia" w:eastAsia="方正黑体_GBK"/>
                <w:bCs/>
                <w:sz w:val="24"/>
                <w:szCs w:val="24"/>
              </w:rPr>
            </w:pPr>
          </w:p>
        </w:tc>
      </w:tr>
      <w:tr>
        <w:tblPrEx>
          <w:tblCellMar>
            <w:top w:w="0" w:type="dxa"/>
            <w:left w:w="108" w:type="dxa"/>
            <w:bottom w:w="0" w:type="dxa"/>
            <w:right w:w="108" w:type="dxa"/>
          </w:tblCellMar>
        </w:tblPrEx>
        <w:trPr>
          <w:trHeight w:val="540" w:hRule="atLeast"/>
          <w:jc w:val="center"/>
        </w:trPr>
        <w:tc>
          <w:tcPr>
            <w:tcW w:w="514" w:type="dxa"/>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eastAsia="仿宋_GB2312"/>
                <w:sz w:val="28"/>
                <w:szCs w:val="28"/>
              </w:rPr>
            </w:pPr>
            <w:r>
              <w:rPr>
                <w:rFonts w:hint="eastAsia" w:eastAsia="仿宋_GB2312"/>
                <w:sz w:val="28"/>
                <w:szCs w:val="28"/>
              </w:rPr>
              <w:t>1</w:t>
            </w: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bCs/>
                <w:sz w:val="28"/>
                <w:szCs w:val="28"/>
              </w:rPr>
            </w:pPr>
          </w:p>
        </w:tc>
        <w:tc>
          <w:tcPr>
            <w:tcW w:w="1144" w:type="dxa"/>
            <w:tcBorders>
              <w:top w:val="nil"/>
              <w:left w:val="nil"/>
              <w:bottom w:val="single" w:color="auto" w:sz="4" w:space="0"/>
              <w:right w:val="single" w:color="auto" w:sz="4" w:space="0"/>
            </w:tcBorders>
            <w:noWrap w:val="0"/>
            <w:vAlign w:val="center"/>
          </w:tcPr>
          <w:p>
            <w:pPr>
              <w:widowControl/>
              <w:spacing w:line="300" w:lineRule="exact"/>
              <w:jc w:val="center"/>
              <w:rPr>
                <w:bCs/>
                <w:sz w:val="28"/>
                <w:szCs w:val="28"/>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bCs/>
                <w:sz w:val="28"/>
                <w:szCs w:val="28"/>
              </w:rPr>
            </w:pPr>
            <w:r>
              <w:rPr>
                <w:rFonts w:hint="eastAsia" w:hAnsi="宋体"/>
                <w:bCs/>
                <w:sz w:val="28"/>
                <w:szCs w:val="28"/>
              </w:rPr>
              <w:t>　</w:t>
            </w:r>
          </w:p>
        </w:tc>
        <w:tc>
          <w:tcPr>
            <w:tcW w:w="767" w:type="dxa"/>
            <w:tcBorders>
              <w:top w:val="nil"/>
              <w:left w:val="nil"/>
              <w:bottom w:val="single" w:color="auto" w:sz="4" w:space="0"/>
              <w:right w:val="single" w:color="auto" w:sz="4" w:space="0"/>
            </w:tcBorders>
            <w:noWrap w:val="0"/>
            <w:vAlign w:val="center"/>
          </w:tcPr>
          <w:p>
            <w:pPr>
              <w:widowControl/>
              <w:spacing w:line="300" w:lineRule="exact"/>
              <w:jc w:val="left"/>
              <w:rPr>
                <w:bCs/>
                <w:sz w:val="28"/>
                <w:szCs w:val="28"/>
              </w:rPr>
            </w:pPr>
          </w:p>
        </w:tc>
        <w:tc>
          <w:tcPr>
            <w:tcW w:w="1116" w:type="dxa"/>
            <w:tcBorders>
              <w:top w:val="nil"/>
              <w:left w:val="nil"/>
              <w:bottom w:val="single" w:color="auto" w:sz="4" w:space="0"/>
              <w:right w:val="single" w:color="auto" w:sz="4" w:space="0"/>
            </w:tcBorders>
            <w:noWrap w:val="0"/>
            <w:vAlign w:val="center"/>
          </w:tcPr>
          <w:p>
            <w:pPr>
              <w:widowControl/>
              <w:spacing w:line="300" w:lineRule="exact"/>
              <w:jc w:val="left"/>
              <w:rPr>
                <w:bCs/>
                <w:sz w:val="28"/>
                <w:szCs w:val="28"/>
              </w:rPr>
            </w:pPr>
            <w:r>
              <w:rPr>
                <w:rFonts w:hint="eastAsia" w:hAnsi="宋体"/>
                <w:bCs/>
                <w:sz w:val="28"/>
                <w:szCs w:val="28"/>
              </w:rPr>
              <w:t>　</w:t>
            </w:r>
          </w:p>
        </w:tc>
        <w:tc>
          <w:tcPr>
            <w:tcW w:w="1089" w:type="dxa"/>
            <w:tcBorders>
              <w:top w:val="nil"/>
              <w:left w:val="nil"/>
              <w:bottom w:val="single" w:color="auto" w:sz="4" w:space="0"/>
              <w:right w:val="single" w:color="auto" w:sz="4" w:space="0"/>
            </w:tcBorders>
            <w:noWrap w:val="0"/>
            <w:vAlign w:val="center"/>
          </w:tcPr>
          <w:p>
            <w:pPr>
              <w:widowControl/>
              <w:spacing w:line="300" w:lineRule="exact"/>
              <w:jc w:val="right"/>
              <w:rPr>
                <w:bCs/>
                <w:sz w:val="28"/>
                <w:szCs w:val="28"/>
              </w:rPr>
            </w:pPr>
          </w:p>
        </w:tc>
        <w:tc>
          <w:tcPr>
            <w:tcW w:w="1029" w:type="dxa"/>
            <w:tcBorders>
              <w:top w:val="nil"/>
              <w:left w:val="nil"/>
              <w:bottom w:val="single" w:color="auto" w:sz="4" w:space="0"/>
              <w:right w:val="single" w:color="auto" w:sz="4" w:space="0"/>
            </w:tcBorders>
            <w:noWrap w:val="0"/>
            <w:vAlign w:val="center"/>
          </w:tcPr>
          <w:p>
            <w:pPr>
              <w:spacing w:line="300" w:lineRule="exact"/>
              <w:jc w:val="right"/>
              <w:rPr>
                <w:bCs/>
                <w:sz w:val="28"/>
                <w:szCs w:val="28"/>
              </w:rPr>
            </w:pPr>
            <w:r>
              <w:rPr>
                <w:rFonts w:hint="eastAsia" w:hAnsi="宋体"/>
                <w:bCs/>
                <w:sz w:val="28"/>
                <w:szCs w:val="28"/>
              </w:rPr>
              <w:t>　</w:t>
            </w:r>
          </w:p>
        </w:tc>
        <w:tc>
          <w:tcPr>
            <w:tcW w:w="873" w:type="dxa"/>
            <w:tcBorders>
              <w:top w:val="nil"/>
              <w:left w:val="nil"/>
              <w:bottom w:val="single" w:color="auto" w:sz="4" w:space="0"/>
              <w:right w:val="single" w:color="auto" w:sz="4" w:space="0"/>
            </w:tcBorders>
            <w:noWrap w:val="0"/>
            <w:vAlign w:val="center"/>
          </w:tcPr>
          <w:p>
            <w:pPr>
              <w:widowControl/>
              <w:spacing w:line="300" w:lineRule="exact"/>
              <w:jc w:val="left"/>
              <w:rPr>
                <w:bCs/>
                <w:sz w:val="28"/>
                <w:szCs w:val="28"/>
              </w:rPr>
            </w:pPr>
            <w:r>
              <w:rPr>
                <w:rFonts w:hint="eastAsia" w:hAnsi="宋体"/>
                <w:bCs/>
                <w:sz w:val="28"/>
                <w:szCs w:val="28"/>
              </w:rPr>
              <w:t>　</w:t>
            </w:r>
          </w:p>
        </w:tc>
        <w:tc>
          <w:tcPr>
            <w:tcW w:w="1360" w:type="dxa"/>
            <w:tcBorders>
              <w:top w:val="nil"/>
              <w:left w:val="nil"/>
              <w:bottom w:val="single" w:color="auto" w:sz="4" w:space="0"/>
              <w:right w:val="single" w:color="auto" w:sz="4" w:space="0"/>
            </w:tcBorders>
            <w:noWrap/>
            <w:vAlign w:val="center"/>
          </w:tcPr>
          <w:p>
            <w:pPr>
              <w:widowControl/>
              <w:spacing w:line="300" w:lineRule="exact"/>
              <w:jc w:val="left"/>
              <w:rPr>
                <w:bCs/>
                <w:sz w:val="28"/>
                <w:szCs w:val="28"/>
              </w:rPr>
            </w:pPr>
            <w:r>
              <w:rPr>
                <w:rFonts w:hint="eastAsia" w:hAnsi="宋体"/>
                <w:bCs/>
                <w:sz w:val="28"/>
                <w:szCs w:val="28"/>
              </w:rPr>
              <w:t>　</w:t>
            </w:r>
          </w:p>
        </w:tc>
        <w:tc>
          <w:tcPr>
            <w:tcW w:w="1260" w:type="dxa"/>
            <w:tcBorders>
              <w:top w:val="nil"/>
              <w:left w:val="nil"/>
              <w:bottom w:val="single" w:color="auto" w:sz="4" w:space="0"/>
              <w:right w:val="single" w:color="auto" w:sz="4" w:space="0"/>
            </w:tcBorders>
            <w:noWrap/>
            <w:vAlign w:val="center"/>
          </w:tcPr>
          <w:p>
            <w:pPr>
              <w:widowControl/>
              <w:spacing w:line="300" w:lineRule="exact"/>
              <w:jc w:val="left"/>
              <w:rPr>
                <w:bCs/>
                <w:sz w:val="28"/>
                <w:szCs w:val="28"/>
              </w:rPr>
            </w:pPr>
            <w:r>
              <w:rPr>
                <w:rFonts w:hint="eastAsia" w:hAnsi="宋体"/>
                <w:bCs/>
                <w:sz w:val="28"/>
                <w:szCs w:val="28"/>
              </w:rPr>
              <w:t>　</w:t>
            </w:r>
          </w:p>
        </w:tc>
        <w:tc>
          <w:tcPr>
            <w:tcW w:w="1575" w:type="dxa"/>
            <w:tcBorders>
              <w:top w:val="nil"/>
              <w:left w:val="nil"/>
              <w:bottom w:val="single" w:color="auto" w:sz="4" w:space="0"/>
              <w:right w:val="nil"/>
            </w:tcBorders>
            <w:noWrap/>
            <w:vAlign w:val="center"/>
          </w:tcPr>
          <w:p>
            <w:pPr>
              <w:widowControl/>
              <w:spacing w:line="300" w:lineRule="exact"/>
              <w:jc w:val="left"/>
              <w:rPr>
                <w:bCs/>
                <w:sz w:val="28"/>
                <w:szCs w:val="28"/>
              </w:rPr>
            </w:pPr>
            <w:r>
              <w:rPr>
                <w:rFonts w:hint="eastAsia" w:hAnsi="宋体"/>
                <w:bCs/>
                <w:sz w:val="28"/>
                <w:szCs w:val="28"/>
              </w:rPr>
              <w:t>　</w:t>
            </w:r>
          </w:p>
        </w:tc>
        <w:tc>
          <w:tcPr>
            <w:tcW w:w="554" w:type="dxa"/>
            <w:tcBorders>
              <w:top w:val="nil"/>
              <w:left w:val="single" w:color="auto" w:sz="4" w:space="0"/>
              <w:bottom w:val="single" w:color="auto" w:sz="4" w:space="0"/>
              <w:right w:val="single" w:color="auto" w:sz="8" w:space="0"/>
            </w:tcBorders>
            <w:noWrap w:val="0"/>
            <w:vAlign w:val="center"/>
          </w:tcPr>
          <w:p>
            <w:pPr>
              <w:widowControl/>
              <w:spacing w:line="300" w:lineRule="exact"/>
              <w:jc w:val="left"/>
              <w:rPr>
                <w:bCs/>
                <w:sz w:val="28"/>
                <w:szCs w:val="28"/>
              </w:rPr>
            </w:pPr>
            <w:r>
              <w:rPr>
                <w:rFonts w:hint="eastAsia" w:hAnsi="宋体"/>
                <w:bCs/>
                <w:sz w:val="28"/>
                <w:szCs w:val="28"/>
              </w:rPr>
              <w:t>　</w:t>
            </w:r>
          </w:p>
        </w:tc>
      </w:tr>
      <w:tr>
        <w:tblPrEx>
          <w:tblCellMar>
            <w:top w:w="0" w:type="dxa"/>
            <w:left w:w="108" w:type="dxa"/>
            <w:bottom w:w="0" w:type="dxa"/>
            <w:right w:w="108" w:type="dxa"/>
          </w:tblCellMar>
        </w:tblPrEx>
        <w:trPr>
          <w:trHeight w:val="540" w:hRule="atLeast"/>
          <w:jc w:val="center"/>
        </w:trPr>
        <w:tc>
          <w:tcPr>
            <w:tcW w:w="514" w:type="dxa"/>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eastAsia="仿宋_GB2312"/>
                <w:sz w:val="28"/>
                <w:szCs w:val="28"/>
              </w:rPr>
            </w:pPr>
            <w:r>
              <w:rPr>
                <w:rFonts w:hint="eastAsia" w:eastAsia="仿宋_GB2312"/>
                <w:sz w:val="28"/>
                <w:szCs w:val="28"/>
              </w:rPr>
              <w:t>2</w:t>
            </w: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1144"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p>
        </w:tc>
        <w:tc>
          <w:tcPr>
            <w:tcW w:w="1116"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089" w:type="dxa"/>
            <w:tcBorders>
              <w:top w:val="nil"/>
              <w:left w:val="nil"/>
              <w:bottom w:val="single" w:color="auto" w:sz="4" w:space="0"/>
              <w:right w:val="single" w:color="auto" w:sz="4" w:space="0"/>
            </w:tcBorders>
            <w:noWrap w:val="0"/>
            <w:vAlign w:val="center"/>
          </w:tcPr>
          <w:p>
            <w:pPr>
              <w:widowControl/>
              <w:spacing w:line="300" w:lineRule="exact"/>
              <w:jc w:val="right"/>
              <w:rPr>
                <w:rFonts w:cs="宋体"/>
                <w:kern w:val="0"/>
                <w:sz w:val="16"/>
                <w:szCs w:val="16"/>
              </w:rPr>
            </w:pPr>
          </w:p>
        </w:tc>
        <w:tc>
          <w:tcPr>
            <w:tcW w:w="1029" w:type="dxa"/>
            <w:tcBorders>
              <w:top w:val="nil"/>
              <w:left w:val="nil"/>
              <w:bottom w:val="single" w:color="auto" w:sz="4" w:space="0"/>
              <w:right w:val="single" w:color="auto" w:sz="4" w:space="0"/>
            </w:tcBorders>
            <w:noWrap w:val="0"/>
            <w:vAlign w:val="center"/>
          </w:tcPr>
          <w:p>
            <w:pPr>
              <w:spacing w:line="300" w:lineRule="exact"/>
              <w:jc w:val="right"/>
              <w:rPr>
                <w:rFonts w:cs="宋体"/>
                <w:kern w:val="0"/>
                <w:sz w:val="16"/>
                <w:szCs w:val="16"/>
              </w:rPr>
            </w:pPr>
            <w:r>
              <w:rPr>
                <w:rFonts w:hint="eastAsia" w:hAnsi="宋体" w:cs="宋体"/>
                <w:kern w:val="0"/>
                <w:sz w:val="16"/>
                <w:szCs w:val="16"/>
              </w:rPr>
              <w:t>　</w:t>
            </w:r>
          </w:p>
        </w:tc>
        <w:tc>
          <w:tcPr>
            <w:tcW w:w="873"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spacing w:line="300" w:lineRule="exact"/>
              <w:jc w:val="left"/>
              <w:rPr>
                <w:kern w:val="0"/>
                <w:sz w:val="16"/>
                <w:szCs w:val="16"/>
              </w:rPr>
            </w:pPr>
            <w:r>
              <w:rPr>
                <w:kern w:val="0"/>
                <w:sz w:val="16"/>
                <w:szCs w:val="16"/>
              </w:rPr>
              <w:t>　</w:t>
            </w:r>
          </w:p>
        </w:tc>
        <w:tc>
          <w:tcPr>
            <w:tcW w:w="1575" w:type="dxa"/>
            <w:tcBorders>
              <w:top w:val="nil"/>
              <w:left w:val="nil"/>
              <w:bottom w:val="single" w:color="auto" w:sz="4" w:space="0"/>
              <w:right w:val="nil"/>
            </w:tcBorders>
            <w:noWrap/>
            <w:vAlign w:val="center"/>
          </w:tcPr>
          <w:p>
            <w:pPr>
              <w:widowControl/>
              <w:spacing w:line="300" w:lineRule="exact"/>
              <w:jc w:val="left"/>
              <w:rPr>
                <w:kern w:val="0"/>
                <w:sz w:val="16"/>
                <w:szCs w:val="16"/>
              </w:rPr>
            </w:pPr>
            <w:r>
              <w:rPr>
                <w:kern w:val="0"/>
                <w:sz w:val="16"/>
                <w:szCs w:val="16"/>
              </w:rPr>
              <w:t>　</w:t>
            </w:r>
          </w:p>
        </w:tc>
        <w:tc>
          <w:tcPr>
            <w:tcW w:w="554" w:type="dxa"/>
            <w:tcBorders>
              <w:top w:val="nil"/>
              <w:left w:val="single" w:color="auto" w:sz="4" w:space="0"/>
              <w:bottom w:val="single" w:color="auto" w:sz="4" w:space="0"/>
              <w:right w:val="single" w:color="auto" w:sz="8"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r>
      <w:tr>
        <w:tblPrEx>
          <w:tblCellMar>
            <w:top w:w="0" w:type="dxa"/>
            <w:left w:w="108" w:type="dxa"/>
            <w:bottom w:w="0" w:type="dxa"/>
            <w:right w:w="108" w:type="dxa"/>
          </w:tblCellMar>
        </w:tblPrEx>
        <w:trPr>
          <w:trHeight w:val="540" w:hRule="atLeast"/>
          <w:jc w:val="center"/>
        </w:trPr>
        <w:tc>
          <w:tcPr>
            <w:tcW w:w="514" w:type="dxa"/>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eastAsia="仿宋_GB2312"/>
                <w:sz w:val="28"/>
                <w:szCs w:val="28"/>
              </w:rPr>
            </w:pPr>
            <w:r>
              <w:rPr>
                <w:rFonts w:hint="eastAsia" w:eastAsia="仿宋_GB2312"/>
                <w:sz w:val="28"/>
                <w:szCs w:val="28"/>
              </w:rPr>
              <w:t>3</w:t>
            </w: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1144"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p>
        </w:tc>
        <w:tc>
          <w:tcPr>
            <w:tcW w:w="1116"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089" w:type="dxa"/>
            <w:tcBorders>
              <w:top w:val="nil"/>
              <w:left w:val="nil"/>
              <w:bottom w:val="single" w:color="auto" w:sz="4" w:space="0"/>
              <w:right w:val="single" w:color="auto" w:sz="4" w:space="0"/>
            </w:tcBorders>
            <w:noWrap w:val="0"/>
            <w:vAlign w:val="center"/>
          </w:tcPr>
          <w:p>
            <w:pPr>
              <w:widowControl/>
              <w:spacing w:line="300" w:lineRule="exact"/>
              <w:jc w:val="right"/>
              <w:rPr>
                <w:rFonts w:cs="宋体"/>
                <w:kern w:val="0"/>
                <w:sz w:val="16"/>
                <w:szCs w:val="16"/>
              </w:rPr>
            </w:pPr>
          </w:p>
        </w:tc>
        <w:tc>
          <w:tcPr>
            <w:tcW w:w="1029" w:type="dxa"/>
            <w:tcBorders>
              <w:top w:val="nil"/>
              <w:left w:val="nil"/>
              <w:bottom w:val="single" w:color="auto" w:sz="4" w:space="0"/>
              <w:right w:val="single" w:color="auto" w:sz="4" w:space="0"/>
            </w:tcBorders>
            <w:noWrap w:val="0"/>
            <w:vAlign w:val="center"/>
          </w:tcPr>
          <w:p>
            <w:pPr>
              <w:spacing w:line="300" w:lineRule="exact"/>
              <w:jc w:val="right"/>
              <w:rPr>
                <w:rFonts w:cs="宋体"/>
                <w:kern w:val="0"/>
                <w:sz w:val="16"/>
                <w:szCs w:val="16"/>
              </w:rPr>
            </w:pPr>
            <w:r>
              <w:rPr>
                <w:rFonts w:hint="eastAsia" w:hAnsi="宋体" w:cs="宋体"/>
                <w:kern w:val="0"/>
                <w:sz w:val="16"/>
                <w:szCs w:val="16"/>
              </w:rPr>
              <w:t>　</w:t>
            </w:r>
          </w:p>
        </w:tc>
        <w:tc>
          <w:tcPr>
            <w:tcW w:w="873"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575" w:type="dxa"/>
            <w:tcBorders>
              <w:top w:val="nil"/>
              <w:left w:val="nil"/>
              <w:bottom w:val="single" w:color="auto" w:sz="4" w:space="0"/>
              <w:right w:val="nil"/>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554" w:type="dxa"/>
            <w:tcBorders>
              <w:top w:val="nil"/>
              <w:left w:val="single" w:color="auto" w:sz="4" w:space="0"/>
              <w:bottom w:val="single" w:color="auto" w:sz="4" w:space="0"/>
              <w:right w:val="single" w:color="auto" w:sz="8"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r>
      <w:tr>
        <w:tblPrEx>
          <w:tblCellMar>
            <w:top w:w="0" w:type="dxa"/>
            <w:left w:w="108" w:type="dxa"/>
            <w:bottom w:w="0" w:type="dxa"/>
            <w:right w:w="108" w:type="dxa"/>
          </w:tblCellMar>
        </w:tblPrEx>
        <w:trPr>
          <w:trHeight w:val="540" w:hRule="atLeast"/>
          <w:jc w:val="center"/>
        </w:trPr>
        <w:tc>
          <w:tcPr>
            <w:tcW w:w="514" w:type="dxa"/>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eastAsia="仿宋_GB2312"/>
                <w:sz w:val="28"/>
                <w:szCs w:val="28"/>
              </w:rPr>
            </w:pPr>
            <w:r>
              <w:rPr>
                <w:rFonts w:hint="eastAsia" w:eastAsia="仿宋_GB2312"/>
                <w:sz w:val="28"/>
                <w:szCs w:val="28"/>
              </w:rPr>
              <w:t>4</w:t>
            </w: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1144"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kern w:val="0"/>
                <w:sz w:val="16"/>
                <w:szCs w:val="16"/>
              </w:rPr>
            </w:pPr>
            <w:r>
              <w:rPr>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pacing w:line="300" w:lineRule="exact"/>
              <w:jc w:val="left"/>
              <w:rPr>
                <w:kern w:val="0"/>
                <w:sz w:val="16"/>
                <w:szCs w:val="16"/>
              </w:rPr>
            </w:pPr>
          </w:p>
        </w:tc>
        <w:tc>
          <w:tcPr>
            <w:tcW w:w="1116"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089" w:type="dxa"/>
            <w:tcBorders>
              <w:top w:val="nil"/>
              <w:left w:val="nil"/>
              <w:bottom w:val="single" w:color="auto" w:sz="4" w:space="0"/>
              <w:right w:val="single" w:color="auto" w:sz="4" w:space="0"/>
            </w:tcBorders>
            <w:noWrap w:val="0"/>
            <w:vAlign w:val="center"/>
          </w:tcPr>
          <w:p>
            <w:pPr>
              <w:widowControl/>
              <w:spacing w:line="300" w:lineRule="exact"/>
              <w:jc w:val="right"/>
              <w:rPr>
                <w:rFonts w:cs="宋体"/>
                <w:kern w:val="0"/>
                <w:sz w:val="16"/>
                <w:szCs w:val="16"/>
              </w:rPr>
            </w:pPr>
          </w:p>
        </w:tc>
        <w:tc>
          <w:tcPr>
            <w:tcW w:w="1029" w:type="dxa"/>
            <w:tcBorders>
              <w:top w:val="nil"/>
              <w:left w:val="nil"/>
              <w:bottom w:val="single" w:color="auto" w:sz="4" w:space="0"/>
              <w:right w:val="single" w:color="auto" w:sz="4" w:space="0"/>
            </w:tcBorders>
            <w:noWrap w:val="0"/>
            <w:vAlign w:val="center"/>
          </w:tcPr>
          <w:p>
            <w:pPr>
              <w:spacing w:line="300" w:lineRule="exact"/>
              <w:jc w:val="right"/>
              <w:rPr>
                <w:rFonts w:cs="宋体"/>
                <w:kern w:val="0"/>
                <w:sz w:val="16"/>
                <w:szCs w:val="16"/>
              </w:rPr>
            </w:pPr>
            <w:r>
              <w:rPr>
                <w:rFonts w:hint="eastAsia" w:hAnsi="宋体" w:cs="宋体"/>
                <w:kern w:val="0"/>
                <w:sz w:val="16"/>
                <w:szCs w:val="16"/>
              </w:rPr>
              <w:t>　</w:t>
            </w:r>
          </w:p>
        </w:tc>
        <w:tc>
          <w:tcPr>
            <w:tcW w:w="873"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575" w:type="dxa"/>
            <w:tcBorders>
              <w:top w:val="nil"/>
              <w:left w:val="nil"/>
              <w:bottom w:val="single" w:color="auto" w:sz="4" w:space="0"/>
              <w:right w:val="nil"/>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554" w:type="dxa"/>
            <w:tcBorders>
              <w:top w:val="nil"/>
              <w:left w:val="single" w:color="auto" w:sz="4" w:space="0"/>
              <w:bottom w:val="single" w:color="auto" w:sz="4" w:space="0"/>
              <w:right w:val="single" w:color="auto" w:sz="8"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r>
      <w:tr>
        <w:tblPrEx>
          <w:tblCellMar>
            <w:top w:w="0" w:type="dxa"/>
            <w:left w:w="108" w:type="dxa"/>
            <w:bottom w:w="0" w:type="dxa"/>
            <w:right w:w="108" w:type="dxa"/>
          </w:tblCellMar>
        </w:tblPrEx>
        <w:trPr>
          <w:trHeight w:val="540" w:hRule="atLeast"/>
          <w:jc w:val="center"/>
        </w:trPr>
        <w:tc>
          <w:tcPr>
            <w:tcW w:w="514" w:type="dxa"/>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eastAsia="仿宋_GB2312"/>
                <w:sz w:val="28"/>
                <w:szCs w:val="28"/>
              </w:rPr>
            </w:pPr>
            <w:r>
              <w:rPr>
                <w:rFonts w:hint="eastAsia" w:eastAsia="仿宋_GB2312"/>
                <w:sz w:val="28"/>
                <w:szCs w:val="28"/>
              </w:rPr>
              <w:t>5</w:t>
            </w: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1144" w:type="dxa"/>
            <w:tcBorders>
              <w:top w:val="nil"/>
              <w:left w:val="nil"/>
              <w:bottom w:val="single" w:color="auto" w:sz="4" w:space="0"/>
              <w:right w:val="single" w:color="auto" w:sz="4" w:space="0"/>
            </w:tcBorders>
            <w:noWrap w:val="0"/>
            <w:vAlign w:val="center"/>
          </w:tcPr>
          <w:p>
            <w:pPr>
              <w:widowControl/>
              <w:spacing w:line="300" w:lineRule="exact"/>
              <w:jc w:val="center"/>
              <w:rPr>
                <w:kern w:val="0"/>
                <w:sz w:val="16"/>
                <w:szCs w:val="16"/>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p>
        </w:tc>
        <w:tc>
          <w:tcPr>
            <w:tcW w:w="1116"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089" w:type="dxa"/>
            <w:tcBorders>
              <w:top w:val="nil"/>
              <w:left w:val="nil"/>
              <w:bottom w:val="single" w:color="auto" w:sz="4" w:space="0"/>
              <w:right w:val="single" w:color="auto" w:sz="4" w:space="0"/>
            </w:tcBorders>
            <w:noWrap w:val="0"/>
            <w:vAlign w:val="center"/>
          </w:tcPr>
          <w:p>
            <w:pPr>
              <w:widowControl/>
              <w:spacing w:line="300" w:lineRule="exact"/>
              <w:jc w:val="right"/>
              <w:rPr>
                <w:rFonts w:cs="宋体"/>
                <w:kern w:val="0"/>
                <w:sz w:val="16"/>
                <w:szCs w:val="16"/>
              </w:rPr>
            </w:pPr>
          </w:p>
        </w:tc>
        <w:tc>
          <w:tcPr>
            <w:tcW w:w="1029" w:type="dxa"/>
            <w:tcBorders>
              <w:top w:val="nil"/>
              <w:left w:val="nil"/>
              <w:bottom w:val="single" w:color="auto" w:sz="4" w:space="0"/>
              <w:right w:val="single" w:color="auto" w:sz="4" w:space="0"/>
            </w:tcBorders>
            <w:noWrap w:val="0"/>
            <w:vAlign w:val="center"/>
          </w:tcPr>
          <w:p>
            <w:pPr>
              <w:spacing w:line="300" w:lineRule="exact"/>
              <w:jc w:val="right"/>
              <w:rPr>
                <w:rFonts w:cs="宋体"/>
                <w:kern w:val="0"/>
                <w:sz w:val="16"/>
                <w:szCs w:val="16"/>
              </w:rPr>
            </w:pPr>
            <w:r>
              <w:rPr>
                <w:rFonts w:hint="eastAsia" w:hAnsi="宋体" w:cs="宋体"/>
                <w:kern w:val="0"/>
                <w:sz w:val="16"/>
                <w:szCs w:val="16"/>
              </w:rPr>
              <w:t>　</w:t>
            </w:r>
          </w:p>
        </w:tc>
        <w:tc>
          <w:tcPr>
            <w:tcW w:w="873"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575" w:type="dxa"/>
            <w:tcBorders>
              <w:top w:val="nil"/>
              <w:left w:val="nil"/>
              <w:bottom w:val="single" w:color="auto" w:sz="4" w:space="0"/>
              <w:right w:val="nil"/>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554" w:type="dxa"/>
            <w:tcBorders>
              <w:top w:val="nil"/>
              <w:left w:val="single" w:color="auto" w:sz="4" w:space="0"/>
              <w:bottom w:val="single" w:color="auto" w:sz="4" w:space="0"/>
              <w:right w:val="single" w:color="auto" w:sz="8"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r>
      <w:tr>
        <w:tblPrEx>
          <w:tblCellMar>
            <w:top w:w="0" w:type="dxa"/>
            <w:left w:w="108" w:type="dxa"/>
            <w:bottom w:w="0" w:type="dxa"/>
            <w:right w:w="108" w:type="dxa"/>
          </w:tblCellMar>
        </w:tblPrEx>
        <w:trPr>
          <w:trHeight w:val="540" w:hRule="atLeast"/>
          <w:jc w:val="center"/>
        </w:trPr>
        <w:tc>
          <w:tcPr>
            <w:tcW w:w="514" w:type="dxa"/>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eastAsia="仿宋_GB2312"/>
                <w:sz w:val="28"/>
                <w:szCs w:val="28"/>
              </w:rPr>
            </w:pPr>
            <w:r>
              <w:rPr>
                <w:rFonts w:hint="eastAsia" w:eastAsia="仿宋_GB2312"/>
                <w:sz w:val="28"/>
                <w:szCs w:val="28"/>
              </w:rPr>
              <w:t>6</w:t>
            </w: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1144" w:type="dxa"/>
            <w:tcBorders>
              <w:top w:val="nil"/>
              <w:left w:val="nil"/>
              <w:bottom w:val="single" w:color="auto" w:sz="4" w:space="0"/>
              <w:right w:val="single" w:color="auto" w:sz="4" w:space="0"/>
            </w:tcBorders>
            <w:noWrap w:val="0"/>
            <w:vAlign w:val="center"/>
          </w:tcPr>
          <w:p>
            <w:pPr>
              <w:widowControl/>
              <w:spacing w:line="300" w:lineRule="exact"/>
              <w:jc w:val="center"/>
              <w:rPr>
                <w:kern w:val="0"/>
                <w:sz w:val="16"/>
                <w:szCs w:val="16"/>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p>
        </w:tc>
        <w:tc>
          <w:tcPr>
            <w:tcW w:w="1116"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089" w:type="dxa"/>
            <w:tcBorders>
              <w:top w:val="nil"/>
              <w:left w:val="nil"/>
              <w:bottom w:val="single" w:color="auto" w:sz="4" w:space="0"/>
              <w:right w:val="single" w:color="auto" w:sz="4" w:space="0"/>
            </w:tcBorders>
            <w:noWrap w:val="0"/>
            <w:vAlign w:val="center"/>
          </w:tcPr>
          <w:p>
            <w:pPr>
              <w:widowControl/>
              <w:spacing w:line="300" w:lineRule="exact"/>
              <w:jc w:val="right"/>
              <w:rPr>
                <w:rFonts w:cs="宋体"/>
                <w:kern w:val="0"/>
                <w:sz w:val="16"/>
                <w:szCs w:val="16"/>
              </w:rPr>
            </w:pPr>
          </w:p>
        </w:tc>
        <w:tc>
          <w:tcPr>
            <w:tcW w:w="1029" w:type="dxa"/>
            <w:tcBorders>
              <w:top w:val="nil"/>
              <w:left w:val="nil"/>
              <w:bottom w:val="single" w:color="auto" w:sz="4" w:space="0"/>
              <w:right w:val="single" w:color="auto" w:sz="4" w:space="0"/>
            </w:tcBorders>
            <w:noWrap w:val="0"/>
            <w:vAlign w:val="center"/>
          </w:tcPr>
          <w:p>
            <w:pPr>
              <w:spacing w:line="300" w:lineRule="exact"/>
              <w:jc w:val="right"/>
              <w:rPr>
                <w:rFonts w:cs="宋体"/>
                <w:kern w:val="0"/>
                <w:sz w:val="16"/>
                <w:szCs w:val="16"/>
              </w:rPr>
            </w:pPr>
            <w:r>
              <w:rPr>
                <w:rFonts w:hint="eastAsia" w:hAnsi="宋体" w:cs="宋体"/>
                <w:kern w:val="0"/>
                <w:sz w:val="16"/>
                <w:szCs w:val="16"/>
              </w:rPr>
              <w:t>　</w:t>
            </w:r>
          </w:p>
        </w:tc>
        <w:tc>
          <w:tcPr>
            <w:tcW w:w="873"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575" w:type="dxa"/>
            <w:tcBorders>
              <w:top w:val="nil"/>
              <w:left w:val="nil"/>
              <w:bottom w:val="single" w:color="auto" w:sz="4" w:space="0"/>
              <w:right w:val="nil"/>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554" w:type="dxa"/>
            <w:tcBorders>
              <w:top w:val="nil"/>
              <w:left w:val="single" w:color="auto" w:sz="4" w:space="0"/>
              <w:bottom w:val="single" w:color="auto" w:sz="4" w:space="0"/>
              <w:right w:val="single" w:color="auto" w:sz="8"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r>
      <w:tr>
        <w:tblPrEx>
          <w:tblCellMar>
            <w:top w:w="0" w:type="dxa"/>
            <w:left w:w="108" w:type="dxa"/>
            <w:bottom w:w="0" w:type="dxa"/>
            <w:right w:w="108" w:type="dxa"/>
          </w:tblCellMar>
        </w:tblPrEx>
        <w:trPr>
          <w:trHeight w:val="540" w:hRule="atLeast"/>
          <w:jc w:val="center"/>
        </w:trPr>
        <w:tc>
          <w:tcPr>
            <w:tcW w:w="514" w:type="dxa"/>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eastAsia="仿宋_GB2312"/>
                <w:sz w:val="28"/>
                <w:szCs w:val="28"/>
              </w:rPr>
            </w:pPr>
            <w:r>
              <w:rPr>
                <w:rFonts w:hint="eastAsia" w:eastAsia="仿宋_GB2312"/>
                <w:sz w:val="28"/>
                <w:szCs w:val="28"/>
              </w:rPr>
              <w:t>7</w:t>
            </w: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1144" w:type="dxa"/>
            <w:tcBorders>
              <w:top w:val="nil"/>
              <w:left w:val="nil"/>
              <w:bottom w:val="single" w:color="auto" w:sz="4" w:space="0"/>
              <w:right w:val="single" w:color="auto" w:sz="4" w:space="0"/>
            </w:tcBorders>
            <w:noWrap w:val="0"/>
            <w:vAlign w:val="center"/>
          </w:tcPr>
          <w:p>
            <w:pPr>
              <w:widowControl/>
              <w:spacing w:line="300" w:lineRule="exact"/>
              <w:jc w:val="center"/>
              <w:rPr>
                <w:kern w:val="0"/>
                <w:sz w:val="16"/>
                <w:szCs w:val="16"/>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p>
        </w:tc>
        <w:tc>
          <w:tcPr>
            <w:tcW w:w="1116"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089" w:type="dxa"/>
            <w:tcBorders>
              <w:top w:val="nil"/>
              <w:left w:val="nil"/>
              <w:bottom w:val="single" w:color="auto" w:sz="4" w:space="0"/>
              <w:right w:val="single" w:color="auto" w:sz="4" w:space="0"/>
            </w:tcBorders>
            <w:noWrap w:val="0"/>
            <w:vAlign w:val="center"/>
          </w:tcPr>
          <w:p>
            <w:pPr>
              <w:widowControl/>
              <w:spacing w:line="300" w:lineRule="exact"/>
              <w:jc w:val="right"/>
              <w:rPr>
                <w:rFonts w:cs="宋体"/>
                <w:kern w:val="0"/>
                <w:sz w:val="16"/>
                <w:szCs w:val="16"/>
              </w:rPr>
            </w:pPr>
          </w:p>
        </w:tc>
        <w:tc>
          <w:tcPr>
            <w:tcW w:w="1029" w:type="dxa"/>
            <w:tcBorders>
              <w:top w:val="nil"/>
              <w:left w:val="nil"/>
              <w:bottom w:val="single" w:color="auto" w:sz="4" w:space="0"/>
              <w:right w:val="single" w:color="auto" w:sz="4" w:space="0"/>
            </w:tcBorders>
            <w:noWrap w:val="0"/>
            <w:vAlign w:val="center"/>
          </w:tcPr>
          <w:p>
            <w:pPr>
              <w:spacing w:line="300" w:lineRule="exact"/>
              <w:jc w:val="right"/>
              <w:rPr>
                <w:rFonts w:cs="宋体"/>
                <w:kern w:val="0"/>
                <w:sz w:val="16"/>
                <w:szCs w:val="16"/>
              </w:rPr>
            </w:pPr>
            <w:r>
              <w:rPr>
                <w:rFonts w:hint="eastAsia" w:hAnsi="宋体" w:cs="宋体"/>
                <w:kern w:val="0"/>
                <w:sz w:val="16"/>
                <w:szCs w:val="16"/>
              </w:rPr>
              <w:t>　</w:t>
            </w:r>
          </w:p>
        </w:tc>
        <w:tc>
          <w:tcPr>
            <w:tcW w:w="873"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575" w:type="dxa"/>
            <w:tcBorders>
              <w:top w:val="nil"/>
              <w:left w:val="nil"/>
              <w:bottom w:val="single" w:color="auto" w:sz="4" w:space="0"/>
              <w:right w:val="nil"/>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554" w:type="dxa"/>
            <w:tcBorders>
              <w:top w:val="nil"/>
              <w:left w:val="single" w:color="auto" w:sz="4" w:space="0"/>
              <w:bottom w:val="single" w:color="auto" w:sz="4" w:space="0"/>
              <w:right w:val="single" w:color="auto" w:sz="8"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r>
      <w:tr>
        <w:tblPrEx>
          <w:tblCellMar>
            <w:top w:w="0" w:type="dxa"/>
            <w:left w:w="108" w:type="dxa"/>
            <w:bottom w:w="0" w:type="dxa"/>
            <w:right w:w="108" w:type="dxa"/>
          </w:tblCellMar>
        </w:tblPrEx>
        <w:trPr>
          <w:trHeight w:val="540" w:hRule="atLeast"/>
          <w:jc w:val="center"/>
        </w:trPr>
        <w:tc>
          <w:tcPr>
            <w:tcW w:w="514" w:type="dxa"/>
            <w:tcBorders>
              <w:top w:val="nil"/>
              <w:left w:val="single" w:color="auto" w:sz="8" w:space="0"/>
              <w:bottom w:val="single" w:color="auto" w:sz="4" w:space="0"/>
              <w:right w:val="single" w:color="auto" w:sz="4" w:space="0"/>
            </w:tcBorders>
            <w:noWrap w:val="0"/>
            <w:vAlign w:val="center"/>
          </w:tcPr>
          <w:p>
            <w:pPr>
              <w:widowControl/>
              <w:spacing w:line="300" w:lineRule="exact"/>
              <w:jc w:val="center"/>
              <w:rPr>
                <w:rFonts w:eastAsia="仿宋_GB2312"/>
                <w:sz w:val="28"/>
                <w:szCs w:val="28"/>
              </w:rPr>
            </w:pPr>
            <w:r>
              <w:rPr>
                <w:rFonts w:hint="eastAsia" w:eastAsia="仿宋_GB2312"/>
                <w:sz w:val="28"/>
                <w:szCs w:val="28"/>
              </w:rPr>
              <w:t>8</w:t>
            </w: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1144" w:type="dxa"/>
            <w:tcBorders>
              <w:top w:val="nil"/>
              <w:left w:val="nil"/>
              <w:bottom w:val="single" w:color="auto" w:sz="4" w:space="0"/>
              <w:right w:val="single" w:color="auto" w:sz="4" w:space="0"/>
            </w:tcBorders>
            <w:noWrap w:val="0"/>
            <w:vAlign w:val="center"/>
          </w:tcPr>
          <w:p>
            <w:pPr>
              <w:widowControl/>
              <w:spacing w:line="300" w:lineRule="exact"/>
              <w:jc w:val="center"/>
              <w:rPr>
                <w:kern w:val="0"/>
                <w:sz w:val="16"/>
                <w:szCs w:val="16"/>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p>
        </w:tc>
        <w:tc>
          <w:tcPr>
            <w:tcW w:w="1116"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089" w:type="dxa"/>
            <w:tcBorders>
              <w:top w:val="nil"/>
              <w:left w:val="nil"/>
              <w:bottom w:val="single" w:color="auto" w:sz="4" w:space="0"/>
              <w:right w:val="single" w:color="auto" w:sz="4" w:space="0"/>
            </w:tcBorders>
            <w:noWrap w:val="0"/>
            <w:vAlign w:val="center"/>
          </w:tcPr>
          <w:p>
            <w:pPr>
              <w:widowControl/>
              <w:spacing w:line="300" w:lineRule="exact"/>
              <w:jc w:val="right"/>
              <w:rPr>
                <w:rFonts w:cs="宋体"/>
                <w:kern w:val="0"/>
                <w:sz w:val="16"/>
                <w:szCs w:val="16"/>
              </w:rPr>
            </w:pPr>
          </w:p>
        </w:tc>
        <w:tc>
          <w:tcPr>
            <w:tcW w:w="1029" w:type="dxa"/>
            <w:tcBorders>
              <w:top w:val="nil"/>
              <w:left w:val="nil"/>
              <w:bottom w:val="single" w:color="auto" w:sz="4" w:space="0"/>
              <w:right w:val="single" w:color="auto" w:sz="4" w:space="0"/>
            </w:tcBorders>
            <w:noWrap w:val="0"/>
            <w:vAlign w:val="center"/>
          </w:tcPr>
          <w:p>
            <w:pPr>
              <w:spacing w:line="300" w:lineRule="exact"/>
              <w:jc w:val="right"/>
              <w:rPr>
                <w:rFonts w:cs="宋体"/>
                <w:kern w:val="0"/>
                <w:sz w:val="16"/>
                <w:szCs w:val="16"/>
              </w:rPr>
            </w:pPr>
            <w:r>
              <w:rPr>
                <w:rFonts w:hint="eastAsia" w:hAnsi="宋体" w:cs="宋体"/>
                <w:kern w:val="0"/>
                <w:sz w:val="16"/>
                <w:szCs w:val="16"/>
              </w:rPr>
              <w:t>　</w:t>
            </w:r>
          </w:p>
        </w:tc>
        <w:tc>
          <w:tcPr>
            <w:tcW w:w="873"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575" w:type="dxa"/>
            <w:tcBorders>
              <w:top w:val="nil"/>
              <w:left w:val="nil"/>
              <w:bottom w:val="single" w:color="auto" w:sz="4" w:space="0"/>
              <w:right w:val="nil"/>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554" w:type="dxa"/>
            <w:tcBorders>
              <w:top w:val="nil"/>
              <w:left w:val="single" w:color="auto" w:sz="4" w:space="0"/>
              <w:bottom w:val="single" w:color="auto" w:sz="4" w:space="0"/>
              <w:right w:val="single" w:color="auto" w:sz="8"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r>
      <w:tr>
        <w:tblPrEx>
          <w:tblCellMar>
            <w:top w:w="0" w:type="dxa"/>
            <w:left w:w="108" w:type="dxa"/>
            <w:bottom w:w="0" w:type="dxa"/>
            <w:right w:w="108" w:type="dxa"/>
          </w:tblCellMar>
        </w:tblPrEx>
        <w:trPr>
          <w:trHeight w:val="540" w:hRule="atLeast"/>
          <w:jc w:val="center"/>
        </w:trPr>
        <w:tc>
          <w:tcPr>
            <w:tcW w:w="514" w:type="dxa"/>
            <w:tcBorders>
              <w:top w:val="nil"/>
              <w:left w:val="single" w:color="auto" w:sz="8" w:space="0"/>
              <w:bottom w:val="single" w:color="auto" w:sz="4" w:space="0"/>
              <w:right w:val="single" w:color="auto" w:sz="4" w:space="0"/>
            </w:tcBorders>
            <w:noWrap w:val="0"/>
            <w:vAlign w:val="center"/>
          </w:tcPr>
          <w:p>
            <w:pPr>
              <w:widowControl/>
              <w:spacing w:line="300" w:lineRule="exact"/>
              <w:jc w:val="center"/>
              <w:rPr>
                <w:bCs/>
                <w:sz w:val="28"/>
                <w:szCs w:val="28"/>
              </w:rPr>
            </w:pPr>
            <w:r>
              <w:rPr>
                <w:rFonts w:hint="eastAsia"/>
                <w:bCs/>
                <w:sz w:val="28"/>
                <w:szCs w:val="28"/>
              </w:rPr>
              <w:t>…</w:t>
            </w:r>
          </w:p>
        </w:tc>
        <w:tc>
          <w:tcPr>
            <w:tcW w:w="1125" w:type="dxa"/>
            <w:tcBorders>
              <w:top w:val="nil"/>
              <w:left w:val="nil"/>
              <w:bottom w:val="single" w:color="auto" w:sz="4" w:space="0"/>
              <w:right w:val="single" w:color="auto" w:sz="4" w:space="0"/>
            </w:tcBorders>
            <w:noWrap w:val="0"/>
            <w:vAlign w:val="center"/>
          </w:tcPr>
          <w:p>
            <w:pPr>
              <w:widowControl/>
              <w:spacing w:line="300" w:lineRule="exact"/>
              <w:jc w:val="center"/>
              <w:rPr>
                <w:rFonts w:cs="宋体"/>
                <w:kern w:val="0"/>
                <w:sz w:val="16"/>
                <w:szCs w:val="16"/>
              </w:rPr>
            </w:pPr>
          </w:p>
        </w:tc>
        <w:tc>
          <w:tcPr>
            <w:tcW w:w="1144" w:type="dxa"/>
            <w:tcBorders>
              <w:top w:val="nil"/>
              <w:left w:val="nil"/>
              <w:bottom w:val="single" w:color="auto" w:sz="4" w:space="0"/>
              <w:right w:val="single" w:color="auto" w:sz="4" w:space="0"/>
            </w:tcBorders>
            <w:noWrap w:val="0"/>
            <w:vAlign w:val="center"/>
          </w:tcPr>
          <w:p>
            <w:pPr>
              <w:widowControl/>
              <w:spacing w:line="300" w:lineRule="exact"/>
              <w:jc w:val="center"/>
              <w:rPr>
                <w:kern w:val="0"/>
                <w:sz w:val="16"/>
                <w:szCs w:val="16"/>
              </w:rPr>
            </w:pPr>
          </w:p>
        </w:tc>
        <w:tc>
          <w:tcPr>
            <w:tcW w:w="99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767"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p>
        </w:tc>
        <w:tc>
          <w:tcPr>
            <w:tcW w:w="1116"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089" w:type="dxa"/>
            <w:tcBorders>
              <w:top w:val="nil"/>
              <w:left w:val="nil"/>
              <w:bottom w:val="single" w:color="auto" w:sz="4" w:space="0"/>
              <w:right w:val="single" w:color="auto" w:sz="4" w:space="0"/>
            </w:tcBorders>
            <w:noWrap w:val="0"/>
            <w:vAlign w:val="center"/>
          </w:tcPr>
          <w:p>
            <w:pPr>
              <w:widowControl/>
              <w:spacing w:line="300" w:lineRule="exact"/>
              <w:jc w:val="right"/>
              <w:rPr>
                <w:rFonts w:cs="宋体"/>
                <w:kern w:val="0"/>
                <w:sz w:val="16"/>
                <w:szCs w:val="16"/>
              </w:rPr>
            </w:pPr>
          </w:p>
        </w:tc>
        <w:tc>
          <w:tcPr>
            <w:tcW w:w="1029" w:type="dxa"/>
            <w:tcBorders>
              <w:top w:val="nil"/>
              <w:left w:val="nil"/>
              <w:bottom w:val="single" w:color="auto" w:sz="4" w:space="0"/>
              <w:right w:val="single" w:color="auto" w:sz="4" w:space="0"/>
            </w:tcBorders>
            <w:noWrap w:val="0"/>
            <w:vAlign w:val="center"/>
          </w:tcPr>
          <w:p>
            <w:pPr>
              <w:spacing w:line="300" w:lineRule="exact"/>
              <w:jc w:val="right"/>
              <w:rPr>
                <w:rFonts w:cs="宋体"/>
                <w:kern w:val="0"/>
                <w:sz w:val="16"/>
                <w:szCs w:val="16"/>
              </w:rPr>
            </w:pPr>
            <w:r>
              <w:rPr>
                <w:rFonts w:hint="eastAsia" w:hAnsi="宋体" w:cs="宋体"/>
                <w:kern w:val="0"/>
                <w:sz w:val="16"/>
                <w:szCs w:val="16"/>
              </w:rPr>
              <w:t>　</w:t>
            </w:r>
          </w:p>
        </w:tc>
        <w:tc>
          <w:tcPr>
            <w:tcW w:w="873" w:type="dxa"/>
            <w:tcBorders>
              <w:top w:val="nil"/>
              <w:left w:val="nil"/>
              <w:bottom w:val="single" w:color="auto" w:sz="4" w:space="0"/>
              <w:right w:val="single" w:color="auto" w:sz="4"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3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260" w:type="dxa"/>
            <w:tcBorders>
              <w:top w:val="nil"/>
              <w:left w:val="nil"/>
              <w:bottom w:val="single" w:color="auto" w:sz="4" w:space="0"/>
              <w:right w:val="single" w:color="auto" w:sz="4" w:space="0"/>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1575" w:type="dxa"/>
            <w:tcBorders>
              <w:top w:val="nil"/>
              <w:left w:val="nil"/>
              <w:bottom w:val="single" w:color="auto" w:sz="4" w:space="0"/>
              <w:right w:val="nil"/>
            </w:tcBorders>
            <w:noWrap/>
            <w:vAlign w:val="center"/>
          </w:tcPr>
          <w:p>
            <w:pPr>
              <w:widowControl/>
              <w:spacing w:line="300" w:lineRule="exact"/>
              <w:jc w:val="left"/>
              <w:rPr>
                <w:rFonts w:cs="宋体"/>
                <w:kern w:val="0"/>
                <w:sz w:val="16"/>
                <w:szCs w:val="16"/>
              </w:rPr>
            </w:pPr>
            <w:r>
              <w:rPr>
                <w:rFonts w:hint="eastAsia" w:hAnsi="宋体" w:cs="宋体"/>
                <w:kern w:val="0"/>
                <w:sz w:val="16"/>
                <w:szCs w:val="16"/>
              </w:rPr>
              <w:t>　</w:t>
            </w:r>
          </w:p>
        </w:tc>
        <w:tc>
          <w:tcPr>
            <w:tcW w:w="554" w:type="dxa"/>
            <w:tcBorders>
              <w:top w:val="nil"/>
              <w:left w:val="single" w:color="auto" w:sz="4" w:space="0"/>
              <w:bottom w:val="single" w:color="auto" w:sz="4" w:space="0"/>
              <w:right w:val="single" w:color="auto" w:sz="8" w:space="0"/>
            </w:tcBorders>
            <w:noWrap w:val="0"/>
            <w:vAlign w:val="center"/>
          </w:tcPr>
          <w:p>
            <w:pPr>
              <w:widowControl/>
              <w:spacing w:line="300" w:lineRule="exact"/>
              <w:jc w:val="left"/>
              <w:rPr>
                <w:rFonts w:cs="宋体"/>
                <w:kern w:val="0"/>
                <w:sz w:val="16"/>
                <w:szCs w:val="16"/>
              </w:rPr>
            </w:pPr>
            <w:r>
              <w:rPr>
                <w:rFonts w:hint="eastAsia" w:hAnsi="宋体" w:cs="宋体"/>
                <w:kern w:val="0"/>
                <w:sz w:val="16"/>
                <w:szCs w:val="16"/>
              </w:rPr>
              <w:t>　</w:t>
            </w:r>
          </w:p>
        </w:tc>
      </w:tr>
    </w:tbl>
    <w:p>
      <w:pPr>
        <w:rPr>
          <w:rFonts w:hint="eastAsia" w:eastAsia="方正仿宋_GBK"/>
          <w:sz w:val="24"/>
          <w:szCs w:val="24"/>
        </w:rPr>
      </w:pPr>
      <w:r>
        <w:rPr>
          <w:rFonts w:hint="eastAsia" w:hAnsi="方正仿宋_GBK" w:eastAsia="方正仿宋_GBK" w:cs="方正仿宋_GBK"/>
          <w:bCs/>
          <w:sz w:val="24"/>
          <w:szCs w:val="24"/>
        </w:rPr>
        <w:t>备注：本表填报的</w:t>
      </w:r>
      <w:r>
        <w:rPr>
          <w:rFonts w:hint="eastAsia" w:hAnsi="方正仿宋_GBK" w:eastAsia="方正仿宋_GBK" w:cs="方正仿宋_GBK"/>
          <w:bCs/>
          <w:sz w:val="24"/>
          <w:szCs w:val="24"/>
          <w:lang w:eastAsia="zh-CN"/>
        </w:rPr>
        <w:t>台账</w:t>
      </w:r>
      <w:r>
        <w:rPr>
          <w:rFonts w:hint="eastAsia" w:hAnsi="方正仿宋_GBK" w:eastAsia="方正仿宋_GBK" w:cs="方正仿宋_GBK"/>
          <w:bCs/>
          <w:sz w:val="24"/>
          <w:szCs w:val="24"/>
        </w:rPr>
        <w:t>为重大设计变更和一般设计变更，由项目单位建立档案备查。</w:t>
      </w:r>
    </w:p>
    <w:sectPr>
      <w:pgSz w:w="16838" w:h="11906" w:orient="landscape"/>
      <w:pgMar w:top="1587" w:right="1962" w:bottom="1474" w:left="1848" w:header="851" w:footer="340"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Nimbus Roman">
    <w:altName w:val="Segoe Print"/>
    <w:panose1 w:val="00000500000000000000"/>
    <w:charset w:val="00"/>
    <w:family w:val="auto"/>
    <w:pitch w:val="default"/>
    <w:sig w:usb0="00000000" w:usb1="00000000" w:usb2="00000000" w:usb3="00000000" w:csb0="600000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lNDFlNWI5OGY4MjQ4MTdlNjFlOWI0ZDY1NzAyMDM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86DEC"/>
    <w:rsid w:val="080F63D8"/>
    <w:rsid w:val="09341458"/>
    <w:rsid w:val="098254C2"/>
    <w:rsid w:val="0A766EDE"/>
    <w:rsid w:val="0AD64BE8"/>
    <w:rsid w:val="0B0912D7"/>
    <w:rsid w:val="0C8B2017"/>
    <w:rsid w:val="0C917B0E"/>
    <w:rsid w:val="0E025194"/>
    <w:rsid w:val="0EEF0855"/>
    <w:rsid w:val="108E1D30"/>
    <w:rsid w:val="11DB7C71"/>
    <w:rsid w:val="13742125"/>
    <w:rsid w:val="152D2DCA"/>
    <w:rsid w:val="15F2593B"/>
    <w:rsid w:val="187168EA"/>
    <w:rsid w:val="196673CA"/>
    <w:rsid w:val="1CF734C9"/>
    <w:rsid w:val="1D740DE4"/>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65810C1"/>
    <w:rsid w:val="4BC77339"/>
    <w:rsid w:val="4C9236C5"/>
    <w:rsid w:val="4E250A85"/>
    <w:rsid w:val="4FFD4925"/>
    <w:rsid w:val="505C172E"/>
    <w:rsid w:val="506405EA"/>
    <w:rsid w:val="52F46F0B"/>
    <w:rsid w:val="532B6A10"/>
    <w:rsid w:val="539E4E99"/>
    <w:rsid w:val="53D8014D"/>
    <w:rsid w:val="54AD4386"/>
    <w:rsid w:val="550C209A"/>
    <w:rsid w:val="55E064E0"/>
    <w:rsid w:val="572C6D10"/>
    <w:rsid w:val="57392849"/>
    <w:rsid w:val="5DC34279"/>
    <w:rsid w:val="5FCD688E"/>
    <w:rsid w:val="5FF9BDAA"/>
    <w:rsid w:val="600C4E86"/>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Indent"/>
    <w:basedOn w:val="1"/>
    <w:qFormat/>
    <w:uiPriority w:val="0"/>
    <w:pPr>
      <w:spacing w:after="120"/>
      <w:ind w:left="420" w:leftChars="200"/>
    </w:pPr>
  </w:style>
  <w:style w:type="paragraph" w:styleId="5">
    <w:name w:val="Plain Text"/>
    <w:basedOn w:val="1"/>
    <w:qFormat/>
    <w:uiPriority w:val="0"/>
    <w:rPr>
      <w:rFonts w:hint="eastAsia" w:ascii="宋体" w:hAnsi="Courier New"/>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Default"/>
    <w:qFormat/>
    <w:uiPriority w:val="0"/>
    <w:pPr>
      <w:widowControl w:val="0"/>
      <w:autoSpaceDE w:val="0"/>
      <w:autoSpaceDN w:val="0"/>
      <w:adjustRightInd w:val="0"/>
    </w:pPr>
    <w:rPr>
      <w:rFonts w:ascii="方正黑体_GBK" w:hAnsi="Calibri" w:eastAsia="方正黑体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293</Words>
  <Characters>303</Characters>
  <Lines>0</Lines>
  <Paragraphs>0</Paragraphs>
  <TotalTime>11</TotalTime>
  <ScaleCrop>false</ScaleCrop>
  <LinksUpToDate>false</LinksUpToDate>
  <CharactersWithSpaces>305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jtj</cp:lastModifiedBy>
  <cp:lastPrinted>2022-06-06T16:09:00Z</cp:lastPrinted>
  <dcterms:modified xsi:type="dcterms:W3CDTF">2025-04-10T06:44:19Z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