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eastAsia="仿宋_GB2312"/>
          <w:sz w:val="32"/>
        </w:rPr>
      </w:pPr>
    </w:p>
    <w:p w14:paraId="380D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28"/>
        </w:rPr>
      </w:pPr>
    </w:p>
    <w:p w14:paraId="560F7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重庆市交通运输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委员会关于</w:t>
      </w:r>
    </w:p>
    <w:p w14:paraId="6308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优化道路旅客运输政务服务事项办理的通知</w:t>
      </w:r>
    </w:p>
    <w:p w14:paraId="2CAC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仿宋_GBK"/>
          <w:color w:val="000000"/>
          <w:sz w:val="32"/>
        </w:rPr>
        <w:t>渝交规〔2024〕16号</w:t>
      </w:r>
    </w:p>
    <w:p w14:paraId="19A7B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</w:p>
    <w:p w14:paraId="00B14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eastAsia="方正仿宋_GBK"/>
          <w:color w:val="000000"/>
          <w:spacing w:val="-1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pacing w:val="-10"/>
          <w:sz w:val="32"/>
          <w:szCs w:val="32"/>
        </w:rPr>
        <w:t>区县（自治县）交通主管部门、市道路运输事务中心，相关企业：</w:t>
      </w:r>
    </w:p>
    <w:p w14:paraId="2131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为深入贯彻落实《中华人民共和国道路运输条例》、《道路旅客运输及客运站管理规定》的要求，进一步激发道路客运市场活力，优化道路旅客运输政务服务事项办理工作，现将有关事项通知如下。</w:t>
      </w:r>
    </w:p>
    <w:p w14:paraId="2CCD8B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一、强化道路客运企业信用评价结果应用</w:t>
      </w:r>
    </w:p>
    <w:p w14:paraId="6114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（一）对近2年无挂牌整改记录的道路客运企业，办理相关客运许可事项，分类确定审批经营期限：</w:t>
      </w:r>
    </w:p>
    <w:p w14:paraId="061D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1．近两年信用评价等级不低于A级（含A级）的，许可经营期限为4—8年；</w:t>
      </w:r>
    </w:p>
    <w:p w14:paraId="5178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2．近两年信用评价等级低于A级且不低于C级（含C级）的，许可经营期限为4年；</w:t>
      </w:r>
    </w:p>
    <w:p w14:paraId="74582F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hint="eastAsia" w:eastAsia="方正仿宋_GBK"/>
        </w:rPr>
      </w:pPr>
      <w:r>
        <w:rPr>
          <w:rFonts w:hint="eastAsia" w:eastAsia="方正仿宋_GBK"/>
          <w:color w:val="000000"/>
          <w:sz w:val="32"/>
          <w:szCs w:val="32"/>
        </w:rPr>
        <w:t>3．上一年度信用评价等级为D级的，在完成信用修复后，许可经营期限为4年。</w:t>
      </w:r>
    </w:p>
    <w:p w14:paraId="67A0D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（二）对近2年有挂牌整改记录的道路客运企业，摘牌后首次办理相关客运许可事项，许可经营期限为4年。</w:t>
      </w:r>
    </w:p>
    <w:p w14:paraId="65784D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二、实施车线分离管理</w:t>
      </w:r>
    </w:p>
    <w:p w14:paraId="26B457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除营运线路长度在800公里以上及镇通村的客运班线以外，班车客运不实行车辆与运力指标绑定管理，道路客运经营者可以灵活调配本企业符合车辆类型等级、技术等级要求的营运车辆使用本企业班车客运标志牌经营。</w:t>
      </w:r>
    </w:p>
    <w:p w14:paraId="050E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三、优化许可资料</w:t>
      </w:r>
    </w:p>
    <w:p w14:paraId="0008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（一）申请客运班线延续经营的，需提供：</w:t>
      </w:r>
    </w:p>
    <w:p w14:paraId="57DF7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1．申请表，其中注明企业近2年信用评价等级；</w:t>
      </w:r>
    </w:p>
    <w:p w14:paraId="14EAC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2．运输服务质量承诺书，其中需注明近2年挂牌整改情况，如已摘牌，需附摘牌通知书作为佐证材料；</w:t>
      </w:r>
    </w:p>
    <w:p w14:paraId="7B61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．拟投入车辆和聘用驾驶员承诺，如途径路线涉及县道及以下道路，需在拟投入车辆承诺中注明道路等级情况，拟聘用驾驶员承诺中需注明驾驶员取得符合线路要求的驾驶证、从业资格证的情况，以及近3年无重大事故；</w:t>
      </w:r>
    </w:p>
    <w:p w14:paraId="07B3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4．法定代表人居民身份证（如委托他人办理，仅需提供被委托人居民身份证和授权委托书）；</w:t>
      </w:r>
    </w:p>
    <w:p w14:paraId="74B21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5．800公里以上客运班线，还需提供安全风险评估报告，其中含趟次承诺情况和接驳运输开展情况。</w:t>
      </w:r>
    </w:p>
    <w:p w14:paraId="72F3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（二）申请客运班线新增、主体变更、线路变更的，除提供上述材料外，还需提供：</w:t>
      </w:r>
    </w:p>
    <w:p w14:paraId="773F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．申请表中注明新增或变更的原因；</w:t>
      </w:r>
    </w:p>
    <w:p w14:paraId="7346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．进站承诺或进站协议。</w:t>
      </w:r>
    </w:p>
    <w:p w14:paraId="2BFF80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（三）申请包车客运延续经营、新增、主体变更的，需提供：</w:t>
      </w:r>
    </w:p>
    <w:p w14:paraId="4BA9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．申请表，其中注明企业近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年信用评价等级、新增或变更的原因；</w:t>
      </w:r>
    </w:p>
    <w:p w14:paraId="729C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．运输服务质量承诺书，其中需注明近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年挂牌整改情况，如已摘牌，需附摘牌通知书作为佐证材料；</w:t>
      </w:r>
    </w:p>
    <w:p w14:paraId="4490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．拟投入车辆和聘用驾驶员承诺，拟聘用驾驶员承诺中需注明驾驶员取得符合线路要求的驾驶证、从业资格证的情况，以及近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年无重大事故；</w:t>
      </w:r>
    </w:p>
    <w:p w14:paraId="770DC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hint="eastAsia" w:eastAsia="方正仿宋_GBK"/>
          <w:color w:val="000000"/>
          <w:sz w:val="32"/>
          <w:szCs w:val="32"/>
        </w:rPr>
        <w:t>．法定代表人、被委托人居民身份证和授权委托书，其中延续经营免于提交法定代表人居民身份证。</w:t>
      </w:r>
    </w:p>
    <w:p w14:paraId="3708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四、优化800公里以上客运班线管理</w:t>
      </w:r>
    </w:p>
    <w:p w14:paraId="0C596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（一）经营期限</w:t>
      </w:r>
    </w:p>
    <w:p w14:paraId="553477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/>
        </w:rPr>
      </w:pPr>
      <w:r>
        <w:rPr>
          <w:rFonts w:hint="eastAsia" w:eastAsia="方正仿宋_GBK"/>
          <w:color w:val="000000"/>
          <w:sz w:val="32"/>
          <w:szCs w:val="32"/>
        </w:rPr>
        <w:t>800公里以上客运班线许可经营期限按4年办理。</w:t>
      </w:r>
    </w:p>
    <w:p w14:paraId="5568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（二）途径路线调整</w:t>
      </w:r>
    </w:p>
    <w:p w14:paraId="56654D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途径地区有新建成道路或路况条件更优的道路，运行时间减少，提升运行安全性和运行效率的，对变化调整线路部分进行安全风险评估后，准予进行途径线路变更。</w:t>
      </w:r>
    </w:p>
    <w:p w14:paraId="35BFB3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（三）起讫地调整</w:t>
      </w:r>
    </w:p>
    <w:p w14:paraId="6E5813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途径路线走向不发生变化，因缩短路线而产生起讫地变化的，需征得相关省市同意，并通过安全评估后，准予按重新许可方式进行调整变更。</w:t>
      </w:r>
    </w:p>
    <w:p w14:paraId="243FAF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（四）运营车辆调整</w:t>
      </w:r>
    </w:p>
    <w:p w14:paraId="1932B6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更换的车辆应同时满足：</w:t>
      </w:r>
      <w:r>
        <w:rPr>
          <w:rFonts w:hint="eastAsia" w:eastAsia="方正仿宋_GBK"/>
          <w:bCs/>
          <w:color w:val="000000"/>
          <w:sz w:val="32"/>
          <w:szCs w:val="32"/>
        </w:rPr>
        <w:t>一是</w:t>
      </w:r>
      <w:r>
        <w:rPr>
          <w:rFonts w:hint="eastAsia" w:eastAsia="方正仿宋_GBK"/>
          <w:color w:val="000000"/>
          <w:sz w:val="32"/>
          <w:szCs w:val="32"/>
        </w:rPr>
        <w:t>车况良好，使用年限不超过原车使用年限；</w:t>
      </w:r>
      <w:r>
        <w:rPr>
          <w:rFonts w:hint="eastAsia" w:eastAsia="方正仿宋_GBK"/>
          <w:bCs/>
          <w:color w:val="000000"/>
          <w:sz w:val="32"/>
          <w:szCs w:val="32"/>
        </w:rPr>
        <w:t>二是</w:t>
      </w:r>
      <w:r>
        <w:rPr>
          <w:rFonts w:hint="eastAsia" w:eastAsia="方正仿宋_GBK"/>
          <w:color w:val="000000"/>
          <w:sz w:val="32"/>
          <w:szCs w:val="32"/>
        </w:rPr>
        <w:t>车龄不超过4年；</w:t>
      </w:r>
      <w:r>
        <w:rPr>
          <w:rFonts w:hint="eastAsia" w:eastAsia="方正仿宋_GBK"/>
          <w:bCs/>
          <w:color w:val="000000"/>
          <w:sz w:val="32"/>
          <w:szCs w:val="32"/>
        </w:rPr>
        <w:t>三是</w:t>
      </w:r>
      <w:r>
        <w:rPr>
          <w:rFonts w:hint="eastAsia" w:eastAsia="方正仿宋_GBK"/>
          <w:color w:val="000000"/>
          <w:sz w:val="32"/>
          <w:szCs w:val="32"/>
        </w:rPr>
        <w:t>通过安全风险评估。</w:t>
      </w:r>
    </w:p>
    <w:p w14:paraId="5B03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（五）引导</w:t>
      </w:r>
      <w:r>
        <w:rPr>
          <w:rFonts w:eastAsia="方正楷体_GBK" w:cs="方正楷体_GBK"/>
          <w:color w:val="000000"/>
          <w:sz w:val="32"/>
          <w:szCs w:val="32"/>
        </w:rPr>
        <w:t>800</w:t>
      </w:r>
      <w:r>
        <w:rPr>
          <w:rFonts w:hint="eastAsia" w:hAnsi="方正楷体_GBK" w:eastAsia="方正楷体_GBK" w:cs="方正楷体_GBK"/>
          <w:color w:val="000000"/>
          <w:sz w:val="32"/>
          <w:szCs w:val="32"/>
        </w:rPr>
        <w:t>公里以上客运班线向包车客运进行调整</w:t>
      </w:r>
    </w:p>
    <w:p w14:paraId="6B6DD5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hAnsi="方正仿宋_GBK" w:eastAsia="方正仿宋_GBK" w:cs="方正仿宋_GBK"/>
          <w:sz w:val="32"/>
          <w:szCs w:val="32"/>
        </w:rPr>
        <w:t>鼓励引导全市</w:t>
      </w:r>
      <w:r>
        <w:rPr>
          <w:rFonts w:hint="eastAsia" w:eastAsia="方正仿宋_GBK" w:cs="方正仿宋_GBK"/>
          <w:sz w:val="32"/>
          <w:szCs w:val="32"/>
        </w:rPr>
        <w:t>800</w:t>
      </w:r>
      <w:r>
        <w:rPr>
          <w:rFonts w:hint="eastAsia" w:hAnsi="方正仿宋_GBK" w:eastAsia="方正仿宋_GBK" w:cs="方正仿宋_GBK"/>
          <w:sz w:val="32"/>
          <w:szCs w:val="32"/>
        </w:rPr>
        <w:t>公里以上客运班线向包车客运进行调整，支持</w:t>
      </w:r>
      <w:r>
        <w:rPr>
          <w:rFonts w:hint="eastAsia" w:eastAsia="方正仿宋_GBK" w:cs="方正仿宋_GBK"/>
          <w:sz w:val="32"/>
          <w:szCs w:val="32"/>
        </w:rPr>
        <w:t>800</w:t>
      </w:r>
      <w:r>
        <w:rPr>
          <w:rFonts w:hint="eastAsia" w:hAnsi="方正仿宋_GBK" w:eastAsia="方正仿宋_GBK" w:cs="方正仿宋_GBK"/>
          <w:sz w:val="32"/>
          <w:szCs w:val="32"/>
        </w:rPr>
        <w:t>公里以上客运班线按</w:t>
      </w:r>
      <w:r>
        <w:rPr>
          <w:rFonts w:hint="eastAsia" w:eastAsia="方正仿宋_GBK" w:cs="方正仿宋_GBK"/>
          <w:sz w:val="32"/>
          <w:szCs w:val="32"/>
        </w:rPr>
        <w:t>1:1</w:t>
      </w:r>
      <w:r>
        <w:rPr>
          <w:rFonts w:hint="eastAsia" w:hAnsi="方正仿宋_GBK" w:eastAsia="方正仿宋_GBK" w:cs="方正仿宋_GBK"/>
          <w:sz w:val="32"/>
          <w:szCs w:val="32"/>
        </w:rPr>
        <w:t>比例调整为包车客运指标。</w:t>
      </w:r>
    </w:p>
    <w:p w14:paraId="7D713F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五、优化包车车辆更新机制</w:t>
      </w:r>
    </w:p>
    <w:p w14:paraId="3674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鼓励引导经营者加快更新包车客运车辆，提高行业服务水平。参照班车客运运力指标管理方式，对包车客运运力指标和车辆管理机制实施优化，包车客运运力指标和车辆更新不再绑定，包车客运运力指标下线后，其运力指标经营期限未截止的仍然有效</w:t>
      </w:r>
      <w:r>
        <w:rPr>
          <w:rFonts w:hint="eastAsia" w:eastAsia="方正仿宋_GBK"/>
          <w:color w:val="000000"/>
          <w:spacing w:val="-10"/>
          <w:sz w:val="32"/>
          <w:szCs w:val="32"/>
        </w:rPr>
        <w:t>，包车客运企业可结合实际情况按规定更换符合条件的参营车辆。</w:t>
      </w:r>
    </w:p>
    <w:p w14:paraId="50C7BA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六、优化客运站管理</w:t>
      </w:r>
    </w:p>
    <w:p w14:paraId="5B9D4B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一端在中心城区的新增班线起讫点不再区分重庆、两路，统一为重庆，支持在中心城区各汽车站配载，已有线路逐渐引导融合。中心城区汽车站为：四公里汽车站、西永汽车站、重庆西站汽车站、巴南龙洲湾汽车站、渝北双凤桥汽车站（含重庆江北国际机场T3长途汽车站）、江南交通换乘枢纽、陈家坪汽车站、重庆汽车站、重庆北站南（北）广场汽车站、站务中心红旗河沟汽车站、站务中心长途汽车站、西部新城客运站。</w:t>
      </w:r>
    </w:p>
    <w:p w14:paraId="3D96B691">
      <w:pPr>
        <w:pStyle w:val="6"/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本通知自印发之日起实施，原《重庆市交通局关于开展全市800公里以上客运班线结构调整工作的通知》（渝交规〔2022〕4号）文件同时废止。</w:t>
      </w:r>
    </w:p>
    <w:p w14:paraId="38DC4E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特此通知</w:t>
      </w:r>
    </w:p>
    <w:p w14:paraId="40660F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</w:p>
    <w:p w14:paraId="148594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right="80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重庆市交通运输委员会</w:t>
      </w:r>
    </w:p>
    <w:p w14:paraId="6E3820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right="96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2024年12月13日</w:t>
      </w:r>
    </w:p>
    <w:p w14:paraId="5659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03EB"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90BA4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90BA4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86AB4B"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0288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09E5A69"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重庆市交通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C8C97"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59264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交通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jU1OGQwYTU2ZmFkMDkxYWIxZmE3NzA5MWIxZjYifQ=="/>
  </w:docVars>
  <w:rsids>
    <w:rsidRoot w:val="00172A27"/>
    <w:rsid w:val="00172A27"/>
    <w:rsid w:val="001975B8"/>
    <w:rsid w:val="00332C01"/>
    <w:rsid w:val="00336965"/>
    <w:rsid w:val="00670CF9"/>
    <w:rsid w:val="009E7D10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C8B201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E96C9C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next w:val="5"/>
    <w:uiPriority w:val="0"/>
    <w:pPr>
      <w:widowControl w:val="0"/>
      <w:snapToGrid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1796</Words>
  <Characters>1827</Characters>
  <Lines>0</Lines>
  <Paragraphs>0</Paragraphs>
  <TotalTime>3</TotalTime>
  <ScaleCrop>false</ScaleCrop>
  <LinksUpToDate>false</LinksUpToDate>
  <CharactersWithSpaces>1827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小段叻</cp:lastModifiedBy>
  <cp:lastPrinted>2022-06-06T16:09:00Z</cp:lastPrinted>
  <dcterms:modified xsi:type="dcterms:W3CDTF">2024-12-20T06:35:23Z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48C61CB29D3F4D9384F5922CF0F7FFB4</vt:lpwstr>
  </property>
</Properties>
</file>