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91017">
      <w:pPr>
        <w:keepNext w:val="0"/>
        <w:keepLines w:val="0"/>
        <w:pageBreakBefore w:val="0"/>
        <w:kinsoku/>
        <w:wordWrap/>
        <w:overflowPunct/>
        <w:topLinePunct w:val="0"/>
        <w:bidi w:val="0"/>
        <w:snapToGrid w:val="0"/>
        <w:spacing w:line="570" w:lineRule="exact"/>
        <w:jc w:val="center"/>
        <w:textAlignment w:val="auto"/>
        <w:rPr>
          <w:rFonts w:eastAsia="方正小标宋_GBK"/>
          <w:color w:val="000000"/>
          <w:spacing w:val="-16"/>
          <w:sz w:val="44"/>
          <w:szCs w:val="44"/>
        </w:rPr>
      </w:pPr>
    </w:p>
    <w:p w14:paraId="0296FA6E">
      <w:pPr>
        <w:keepNext w:val="0"/>
        <w:keepLines w:val="0"/>
        <w:pageBreakBefore w:val="0"/>
        <w:kinsoku/>
        <w:wordWrap/>
        <w:overflowPunct/>
        <w:topLinePunct w:val="0"/>
        <w:bidi w:val="0"/>
        <w:snapToGrid w:val="0"/>
        <w:spacing w:line="570" w:lineRule="exact"/>
        <w:jc w:val="center"/>
        <w:textAlignment w:val="auto"/>
        <w:rPr>
          <w:rFonts w:eastAsia="方正小标宋_GBK"/>
          <w:color w:val="000000"/>
          <w:spacing w:val="-16"/>
          <w:sz w:val="44"/>
          <w:szCs w:val="44"/>
        </w:rPr>
      </w:pPr>
    </w:p>
    <w:p w14:paraId="52308828">
      <w:pPr>
        <w:keepNext w:val="0"/>
        <w:keepLines w:val="0"/>
        <w:pageBreakBefore w:val="0"/>
        <w:kinsoku/>
        <w:wordWrap/>
        <w:overflowPunct/>
        <w:topLinePunct w:val="0"/>
        <w:bidi w:val="0"/>
        <w:snapToGrid w:val="0"/>
        <w:spacing w:line="570" w:lineRule="exact"/>
        <w:jc w:val="center"/>
        <w:textAlignment w:val="auto"/>
        <w:rPr>
          <w:rFonts w:hint="eastAsia" w:eastAsia="方正小标宋_GBK"/>
          <w:color w:val="000000"/>
          <w:spacing w:val="-16"/>
          <w:sz w:val="44"/>
          <w:szCs w:val="44"/>
          <w:lang w:val="en"/>
        </w:rPr>
      </w:pPr>
      <w:r>
        <w:rPr>
          <w:rFonts w:eastAsia="方正小标宋_GBK"/>
          <w:color w:val="000000"/>
          <w:spacing w:val="-16"/>
          <w:sz w:val="44"/>
          <w:szCs w:val="44"/>
        </w:rPr>
        <w:t>重庆市交通运输委员会</w:t>
      </w:r>
      <w:r>
        <w:rPr>
          <w:rFonts w:eastAsia="方正小标宋_GBK"/>
          <w:color w:val="000000"/>
          <w:spacing w:val="-16"/>
          <w:sz w:val="44"/>
          <w:szCs w:val="44"/>
          <w:lang w:val="en"/>
        </w:rPr>
        <w:t xml:space="preserve"> </w:t>
      </w:r>
      <w:r>
        <w:rPr>
          <w:rFonts w:hint="eastAsia" w:eastAsia="方正小标宋_GBK"/>
          <w:color w:val="000000"/>
          <w:spacing w:val="-16"/>
          <w:sz w:val="44"/>
          <w:szCs w:val="44"/>
          <w:lang w:val="en"/>
        </w:rPr>
        <w:t>重庆市发展和改革委员会</w:t>
      </w:r>
    </w:p>
    <w:p w14:paraId="59D4115D">
      <w:pPr>
        <w:keepNext w:val="0"/>
        <w:keepLines w:val="0"/>
        <w:pageBreakBefore w:val="0"/>
        <w:kinsoku/>
        <w:wordWrap/>
        <w:overflowPunct/>
        <w:topLinePunct w:val="0"/>
        <w:bidi w:val="0"/>
        <w:snapToGrid w:val="0"/>
        <w:spacing w:line="570" w:lineRule="exact"/>
        <w:jc w:val="center"/>
        <w:textAlignment w:val="auto"/>
        <w:rPr>
          <w:rFonts w:hint="eastAsia" w:eastAsia="方正小标宋_GBK"/>
          <w:bCs/>
          <w:color w:val="000000"/>
          <w:sz w:val="44"/>
          <w:szCs w:val="44"/>
        </w:rPr>
      </w:pPr>
      <w:r>
        <w:rPr>
          <w:rFonts w:eastAsia="方正小标宋_GBK"/>
          <w:color w:val="000000"/>
          <w:sz w:val="44"/>
          <w:szCs w:val="44"/>
        </w:rPr>
        <w:t>关于印发</w:t>
      </w:r>
      <w:r>
        <w:rPr>
          <w:rFonts w:eastAsia="方正小标宋_GBK"/>
          <w:bCs/>
          <w:color w:val="000000"/>
          <w:sz w:val="44"/>
          <w:szCs w:val="44"/>
        </w:rPr>
        <w:t>《重庆市</w:t>
      </w:r>
      <w:r>
        <w:rPr>
          <w:rFonts w:hint="eastAsia" w:eastAsia="方正小标宋_GBK"/>
          <w:bCs/>
          <w:color w:val="000000"/>
          <w:sz w:val="44"/>
          <w:szCs w:val="44"/>
        </w:rPr>
        <w:t>港口岸线使用审批</w:t>
      </w:r>
      <w:r>
        <w:rPr>
          <w:rFonts w:eastAsia="方正小标宋_GBK"/>
          <w:bCs/>
          <w:color w:val="000000"/>
          <w:sz w:val="44"/>
          <w:szCs w:val="44"/>
        </w:rPr>
        <w:t>管理</w:t>
      </w:r>
    </w:p>
    <w:p w14:paraId="203846C2">
      <w:pPr>
        <w:keepNext w:val="0"/>
        <w:keepLines w:val="0"/>
        <w:pageBreakBefore w:val="0"/>
        <w:kinsoku/>
        <w:wordWrap/>
        <w:overflowPunct/>
        <w:topLinePunct w:val="0"/>
        <w:bidi w:val="0"/>
        <w:snapToGrid w:val="0"/>
        <w:spacing w:line="570" w:lineRule="exact"/>
        <w:jc w:val="center"/>
        <w:textAlignment w:val="auto"/>
        <w:rPr>
          <w:rFonts w:eastAsia="方正小标宋_GBK"/>
          <w:color w:val="000000"/>
          <w:sz w:val="44"/>
          <w:szCs w:val="44"/>
        </w:rPr>
      </w:pPr>
      <w:r>
        <w:rPr>
          <w:rFonts w:eastAsia="方正小标宋_GBK"/>
          <w:bCs/>
          <w:color w:val="000000"/>
          <w:sz w:val="44"/>
          <w:szCs w:val="44"/>
        </w:rPr>
        <w:t>实施细则》</w:t>
      </w:r>
      <w:r>
        <w:rPr>
          <w:rFonts w:eastAsia="方正小标宋_GBK"/>
          <w:color w:val="000000"/>
          <w:sz w:val="44"/>
          <w:szCs w:val="44"/>
        </w:rPr>
        <w:t>的通知</w:t>
      </w:r>
    </w:p>
    <w:p w14:paraId="19AFD970">
      <w:pPr>
        <w:keepNext w:val="0"/>
        <w:keepLines w:val="0"/>
        <w:pageBreakBefore w:val="0"/>
        <w:kinsoku/>
        <w:wordWrap/>
        <w:overflowPunct/>
        <w:topLinePunct w:val="0"/>
        <w:bidi w:val="0"/>
        <w:snapToGrid w:val="0"/>
        <w:spacing w:line="570" w:lineRule="exact"/>
        <w:jc w:val="center"/>
        <w:textAlignment w:val="auto"/>
        <w:rPr>
          <w:rFonts w:eastAsia="方正小标宋_GBK"/>
          <w:color w:val="000000"/>
          <w:sz w:val="44"/>
          <w:szCs w:val="44"/>
        </w:rPr>
      </w:pPr>
      <w:r>
        <w:rPr>
          <w:rFonts w:eastAsia="方正仿宋_GBK"/>
          <w:color w:val="000000"/>
          <w:sz w:val="32"/>
        </w:rPr>
        <w:t>渝交</w:t>
      </w:r>
      <w:r>
        <w:rPr>
          <w:rFonts w:hint="eastAsia" w:eastAsia="方正仿宋_GBK"/>
          <w:color w:val="000000"/>
          <w:sz w:val="32"/>
        </w:rPr>
        <w:t>规</w:t>
      </w:r>
      <w:r>
        <w:rPr>
          <w:rFonts w:eastAsia="方正仿宋_GBK"/>
          <w:color w:val="000000"/>
          <w:sz w:val="32"/>
        </w:rPr>
        <w:t>〔202</w:t>
      </w:r>
      <w:r>
        <w:rPr>
          <w:rFonts w:hint="eastAsia" w:eastAsia="方正仿宋_GBK"/>
          <w:color w:val="000000"/>
          <w:sz w:val="32"/>
        </w:rPr>
        <w:t>4</w:t>
      </w:r>
      <w:r>
        <w:rPr>
          <w:rFonts w:eastAsia="方正仿宋_GBK"/>
          <w:color w:val="000000"/>
          <w:sz w:val="32"/>
        </w:rPr>
        <w:t>〕</w:t>
      </w:r>
      <w:r>
        <w:rPr>
          <w:rFonts w:hint="eastAsia" w:eastAsia="方正仿宋_GBK"/>
          <w:color w:val="000000"/>
          <w:sz w:val="32"/>
        </w:rPr>
        <w:t>7</w:t>
      </w:r>
      <w:r>
        <w:rPr>
          <w:rFonts w:eastAsia="方正仿宋_GBK"/>
          <w:color w:val="000000"/>
          <w:sz w:val="32"/>
        </w:rPr>
        <w:t>号</w:t>
      </w:r>
    </w:p>
    <w:p w14:paraId="1E3608F2">
      <w:pPr>
        <w:keepNext w:val="0"/>
        <w:keepLines w:val="0"/>
        <w:pageBreakBefore w:val="0"/>
        <w:kinsoku/>
        <w:wordWrap/>
        <w:overflowPunct/>
        <w:topLinePunct w:val="0"/>
        <w:bidi w:val="0"/>
        <w:adjustRightInd w:val="0"/>
        <w:snapToGrid w:val="0"/>
        <w:spacing w:line="570" w:lineRule="exact"/>
        <w:jc w:val="left"/>
        <w:textAlignment w:val="auto"/>
        <w:rPr>
          <w:bCs/>
          <w:color w:val="000000"/>
          <w:kern w:val="0"/>
          <w:szCs w:val="32"/>
          <w:shd w:val="clear" w:color="auto" w:fill="FFFFFF"/>
        </w:rPr>
      </w:pPr>
    </w:p>
    <w:p w14:paraId="7E70C58D">
      <w:pPr>
        <w:keepNext w:val="0"/>
        <w:keepLines w:val="0"/>
        <w:pageBreakBefore w:val="0"/>
        <w:kinsoku/>
        <w:wordWrap/>
        <w:overflowPunct/>
        <w:topLinePunct w:val="0"/>
        <w:bidi w:val="0"/>
        <w:spacing w:line="570" w:lineRule="exact"/>
        <w:jc w:val="left"/>
        <w:textAlignment w:val="auto"/>
        <w:rPr>
          <w:rFonts w:eastAsia="方正仿宋_GBK"/>
          <w:color w:val="000000"/>
          <w:kern w:val="0"/>
          <w:sz w:val="32"/>
          <w:szCs w:val="32"/>
        </w:rPr>
      </w:pPr>
      <w:r>
        <w:rPr>
          <w:rStyle w:val="14"/>
          <w:rFonts w:eastAsia="方正仿宋_GBK"/>
          <w:color w:val="000000"/>
          <w:spacing w:val="-6"/>
          <w:sz w:val="32"/>
          <w:szCs w:val="32"/>
        </w:rPr>
        <w:t>各区县（自治县）交通运输委</w:t>
      </w:r>
      <w:r>
        <w:rPr>
          <w:rStyle w:val="14"/>
          <w:rFonts w:hint="eastAsia" w:eastAsia="方正仿宋_GBK"/>
          <w:color w:val="000000"/>
          <w:spacing w:val="-6"/>
          <w:sz w:val="32"/>
          <w:szCs w:val="32"/>
        </w:rPr>
        <w:t>、发展改革委</w:t>
      </w:r>
      <w:r>
        <w:rPr>
          <w:rStyle w:val="14"/>
          <w:rFonts w:eastAsia="方正仿宋_GBK"/>
          <w:color w:val="000000"/>
          <w:spacing w:val="-6"/>
          <w:sz w:val="32"/>
          <w:szCs w:val="32"/>
        </w:rPr>
        <w:t>，委属</w:t>
      </w:r>
      <w:r>
        <w:rPr>
          <w:rStyle w:val="14"/>
          <w:rFonts w:hint="eastAsia" w:eastAsia="方正仿宋_GBK"/>
          <w:color w:val="000000"/>
          <w:spacing w:val="-6"/>
          <w:sz w:val="32"/>
          <w:szCs w:val="32"/>
        </w:rPr>
        <w:t>有关</w:t>
      </w:r>
      <w:r>
        <w:rPr>
          <w:rStyle w:val="14"/>
          <w:rFonts w:eastAsia="方正仿宋_GBK"/>
          <w:color w:val="000000"/>
          <w:spacing w:val="-6"/>
          <w:sz w:val="32"/>
          <w:szCs w:val="32"/>
        </w:rPr>
        <w:t>单位</w:t>
      </w:r>
      <w:r>
        <w:rPr>
          <w:rFonts w:eastAsia="方正仿宋_GBK"/>
          <w:color w:val="000000"/>
          <w:kern w:val="0"/>
          <w:sz w:val="32"/>
          <w:szCs w:val="32"/>
        </w:rPr>
        <w:t>：</w:t>
      </w:r>
    </w:p>
    <w:p w14:paraId="45AC155F">
      <w:pPr>
        <w:keepNext w:val="0"/>
        <w:keepLines w:val="0"/>
        <w:pageBreakBefore w:val="0"/>
        <w:widowControl/>
        <w:kinsoku/>
        <w:wordWrap/>
        <w:overflowPunct/>
        <w:topLinePunct w:val="0"/>
        <w:bidi w:val="0"/>
        <w:adjustRightInd w:val="0"/>
        <w:snapToGrid w:val="0"/>
        <w:spacing w:line="570" w:lineRule="exact"/>
        <w:ind w:firstLine="640" w:firstLineChars="200"/>
        <w:textAlignment w:val="auto"/>
        <w:rPr>
          <w:rFonts w:hint="eastAsia" w:ascii="Times New Roman" w:hAnsi="Times New Roman" w:eastAsia="方正仿宋_GBK" w:cs="Times New Roman"/>
          <w:sz w:val="32"/>
          <w:szCs w:val="32"/>
        </w:rPr>
      </w:pPr>
      <w:r>
        <w:rPr>
          <w:rFonts w:hint="eastAsia" w:eastAsia="方正仿宋_GBK"/>
          <w:color w:val="000000"/>
          <w:sz w:val="32"/>
          <w:szCs w:val="32"/>
        </w:rPr>
        <w:t>现将《重庆市港口岸线使用审批管理实施细则》</w:t>
      </w:r>
      <w:r>
        <w:rPr>
          <w:rFonts w:eastAsia="方正仿宋_GBK"/>
          <w:color w:val="000000"/>
          <w:kern w:val="0"/>
          <w:sz w:val="32"/>
          <w:szCs w:val="32"/>
        </w:rPr>
        <w:t>印发</w:t>
      </w:r>
      <w:r>
        <w:rPr>
          <w:rFonts w:hint="eastAsia" w:eastAsia="方正仿宋_GBK"/>
          <w:color w:val="000000"/>
          <w:kern w:val="0"/>
          <w:sz w:val="32"/>
          <w:szCs w:val="32"/>
        </w:rPr>
        <w:t>给</w:t>
      </w:r>
      <w:r>
        <w:rPr>
          <w:rFonts w:eastAsia="方正仿宋_GBK"/>
          <w:color w:val="000000"/>
          <w:kern w:val="0"/>
          <w:sz w:val="32"/>
          <w:szCs w:val="32"/>
        </w:rPr>
        <w:t>你们，请认真</w:t>
      </w:r>
      <w:r>
        <w:rPr>
          <w:rFonts w:hint="eastAsia" w:eastAsia="方正仿宋_GBK"/>
          <w:color w:val="000000"/>
          <w:kern w:val="0"/>
          <w:sz w:val="32"/>
          <w:szCs w:val="32"/>
        </w:rPr>
        <w:t>遵照</w:t>
      </w:r>
      <w:r>
        <w:rPr>
          <w:rFonts w:eastAsia="方正仿宋_GBK"/>
          <w:color w:val="000000"/>
          <w:kern w:val="0"/>
          <w:sz w:val="32"/>
          <w:szCs w:val="32"/>
        </w:rPr>
        <w:t>执行。</w:t>
      </w:r>
    </w:p>
    <w:p w14:paraId="7BD0D871">
      <w:pPr>
        <w:pStyle w:val="15"/>
        <w:keepNext w:val="0"/>
        <w:keepLines w:val="0"/>
        <w:pageBreakBefore w:val="0"/>
        <w:kinsoku/>
        <w:wordWrap/>
        <w:overflowPunct/>
        <w:topLinePunct w:val="0"/>
        <w:bidi w:val="0"/>
        <w:snapToGrid w:val="0"/>
        <w:spacing w:line="570" w:lineRule="exact"/>
        <w:textAlignment w:val="auto"/>
        <w:rPr>
          <w:rFonts w:hint="eastAsia" w:ascii="Times New Roman" w:hAnsi="Times New Roman" w:eastAsia="方正仿宋_GBK" w:cs="Times New Roman"/>
          <w:sz w:val="32"/>
          <w:szCs w:val="32"/>
        </w:rPr>
      </w:pPr>
    </w:p>
    <w:p w14:paraId="4F839A36">
      <w:pPr>
        <w:keepNext w:val="0"/>
        <w:keepLines w:val="0"/>
        <w:pageBreakBefore w:val="0"/>
        <w:kinsoku/>
        <w:wordWrap/>
        <w:overflowPunct/>
        <w:topLinePunct w:val="0"/>
        <w:bidi w:val="0"/>
        <w:spacing w:line="570" w:lineRule="exact"/>
        <w:jc w:val="right"/>
        <w:textAlignment w:val="auto"/>
        <w:rPr>
          <w:rFonts w:eastAsia="方正仿宋_GBK"/>
          <w:color w:val="000000"/>
          <w:sz w:val="32"/>
          <w:szCs w:val="32"/>
          <w:lang w:val="en"/>
        </w:rPr>
      </w:pPr>
      <w:r>
        <w:rPr>
          <w:color w:val="000000"/>
        </w:rPr>
        <w:t xml:space="preserve">      </w:t>
      </w:r>
      <w:r>
        <w:rPr>
          <w:rFonts w:eastAsia="方正仿宋_GBK"/>
          <w:color w:val="000000"/>
          <w:sz w:val="32"/>
          <w:szCs w:val="32"/>
        </w:rPr>
        <w:t xml:space="preserve"> 重庆市交通运输</w:t>
      </w:r>
      <w:r>
        <w:rPr>
          <w:rFonts w:eastAsia="方正仿宋_GBK"/>
          <w:color w:val="000000"/>
          <w:sz w:val="32"/>
          <w:szCs w:val="32"/>
          <w:lang w:val="en"/>
        </w:rPr>
        <w:t>委员会</w:t>
      </w:r>
      <w:r>
        <w:rPr>
          <w:rFonts w:hint="eastAsia" w:eastAsia="方正仿宋_GBK"/>
          <w:color w:val="000000"/>
          <w:sz w:val="32"/>
          <w:szCs w:val="32"/>
          <w:lang w:val="en-US" w:eastAsia="zh-CN"/>
        </w:rPr>
        <w:t xml:space="preserve">  </w:t>
      </w:r>
      <w:r>
        <w:rPr>
          <w:rFonts w:eastAsia="方正仿宋_GBK"/>
          <w:color w:val="000000"/>
          <w:sz w:val="32"/>
          <w:szCs w:val="32"/>
        </w:rPr>
        <w:t>重</w:t>
      </w:r>
      <w:r>
        <w:rPr>
          <w:rFonts w:hint="eastAsia" w:eastAsia="方正仿宋_GBK"/>
          <w:color w:val="000000"/>
          <w:sz w:val="32"/>
          <w:szCs w:val="32"/>
        </w:rPr>
        <w:t>庆市发展和改革委员会</w:t>
      </w:r>
    </w:p>
    <w:p w14:paraId="4889F222">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eastAsia="方正仿宋_GBK"/>
          <w:color w:val="000000"/>
          <w:sz w:val="32"/>
          <w:szCs w:val="32"/>
          <w:lang w:val="en-US" w:eastAsia="zh-CN"/>
        </w:rPr>
      </w:pPr>
      <w:r>
        <w:rPr>
          <w:rFonts w:eastAsia="方正仿宋_GBK"/>
          <w:color w:val="000000"/>
          <w:sz w:val="32"/>
          <w:szCs w:val="32"/>
        </w:rPr>
        <w:t>2024年1</w:t>
      </w:r>
      <w:r>
        <w:rPr>
          <w:rFonts w:hint="eastAsia" w:eastAsia="方正仿宋_GBK"/>
          <w:color w:val="000000"/>
          <w:sz w:val="32"/>
          <w:szCs w:val="32"/>
        </w:rPr>
        <w:t>1</w:t>
      </w:r>
      <w:r>
        <w:rPr>
          <w:rFonts w:eastAsia="方正仿宋_GBK"/>
          <w:color w:val="000000"/>
          <w:sz w:val="32"/>
          <w:szCs w:val="32"/>
        </w:rPr>
        <w:t>月</w:t>
      </w:r>
      <w:r>
        <w:rPr>
          <w:rFonts w:hint="eastAsia" w:eastAsia="方正仿宋_GBK"/>
          <w:color w:val="000000"/>
          <w:sz w:val="32"/>
          <w:szCs w:val="32"/>
        </w:rPr>
        <w:t>29</w:t>
      </w:r>
      <w:r>
        <w:rPr>
          <w:rFonts w:eastAsia="方正仿宋_GBK"/>
          <w:color w:val="000000"/>
          <w:sz w:val="32"/>
          <w:szCs w:val="32"/>
        </w:rPr>
        <w:t>日</w:t>
      </w:r>
      <w:r>
        <w:rPr>
          <w:rFonts w:hint="eastAsia" w:eastAsia="方正仿宋_GBK"/>
          <w:color w:val="000000"/>
          <w:sz w:val="32"/>
          <w:szCs w:val="32"/>
          <w:lang w:val="en-US" w:eastAsia="zh-CN"/>
        </w:rPr>
        <w:t xml:space="preserve">                </w:t>
      </w:r>
    </w:p>
    <w:p w14:paraId="19127786">
      <w:bookmarkStart w:id="0" w:name="_Hlk170811596"/>
      <w:bookmarkStart w:id="1" w:name="_Hlk177546754"/>
      <w:r>
        <w:br w:type="page"/>
      </w:r>
    </w:p>
    <w:p w14:paraId="2B59D574">
      <w:pPr>
        <w:pStyle w:val="2"/>
        <w:keepNext w:val="0"/>
        <w:keepLines w:val="0"/>
        <w:pageBreakBefore w:val="0"/>
        <w:kinsoku/>
        <w:wordWrap/>
        <w:overflowPunct/>
        <w:topLinePunct w:val="0"/>
        <w:bidi w:val="0"/>
        <w:spacing w:before="0" w:after="0" w:line="570" w:lineRule="exact"/>
        <w:textAlignment w:val="auto"/>
      </w:pPr>
    </w:p>
    <w:p w14:paraId="23333F5D">
      <w:pPr>
        <w:pStyle w:val="2"/>
        <w:keepNext w:val="0"/>
        <w:keepLines w:val="0"/>
        <w:pageBreakBefore w:val="0"/>
        <w:kinsoku/>
        <w:wordWrap/>
        <w:overflowPunct/>
        <w:topLinePunct w:val="0"/>
        <w:bidi w:val="0"/>
        <w:spacing w:before="0" w:after="0" w:line="570" w:lineRule="exact"/>
        <w:textAlignment w:val="auto"/>
      </w:pPr>
      <w:bookmarkStart w:id="2" w:name="_GoBack"/>
      <w:bookmarkEnd w:id="2"/>
      <w:r>
        <w:t>重庆市</w:t>
      </w:r>
      <w:r>
        <w:rPr>
          <w:rFonts w:hint="eastAsia"/>
        </w:rPr>
        <w:t>港口岸线使用审批管理实施细则</w:t>
      </w:r>
    </w:p>
    <w:p w14:paraId="3C5DBFE2">
      <w:pPr>
        <w:keepNext w:val="0"/>
        <w:keepLines w:val="0"/>
        <w:pageBreakBefore w:val="0"/>
        <w:kinsoku/>
        <w:wordWrap/>
        <w:overflowPunct/>
        <w:topLinePunct w:val="0"/>
        <w:bidi w:val="0"/>
        <w:spacing w:line="570" w:lineRule="exact"/>
        <w:textAlignment w:val="auto"/>
        <w:rPr>
          <w:rFonts w:hint="eastAsia" w:eastAsia="方正仿宋_GBK"/>
          <w:sz w:val="32"/>
          <w:szCs w:val="32"/>
          <w:shd w:val="clear" w:color="auto" w:fill="FFFFFF"/>
        </w:rPr>
      </w:pPr>
    </w:p>
    <w:p w14:paraId="5CBE3934">
      <w:pPr>
        <w:keepNext w:val="0"/>
        <w:keepLines w:val="0"/>
        <w:pageBreakBefore w:val="0"/>
        <w:kinsoku/>
        <w:wordWrap/>
        <w:overflowPunct/>
        <w:topLinePunct w:val="0"/>
        <w:bidi w:val="0"/>
        <w:spacing w:line="570" w:lineRule="exact"/>
        <w:ind w:firstLine="640" w:firstLineChars="200"/>
        <w:textAlignment w:val="auto"/>
        <w:rPr>
          <w:rFonts w:hint="eastAsia" w:eastAsia="仿宋_GB2312"/>
          <w:sz w:val="32"/>
          <w:szCs w:val="32"/>
        </w:rPr>
      </w:pPr>
      <w:r>
        <w:rPr>
          <w:rFonts w:hint="eastAsia" w:eastAsia="方正黑体_GBK" w:cs="方正仿宋_GBK"/>
          <w:sz w:val="32"/>
          <w:szCs w:val="32"/>
        </w:rPr>
        <w:t xml:space="preserve">第一条 </w:t>
      </w:r>
      <w:r>
        <w:rPr>
          <w:rFonts w:hint="eastAsia" w:eastAsia="方正仿宋_GBK" w:cs="方正仿宋_GBK"/>
          <w:sz w:val="32"/>
          <w:szCs w:val="32"/>
        </w:rPr>
        <w:t xml:space="preserve"> </w:t>
      </w:r>
      <w:r>
        <w:rPr>
          <w:rFonts w:hint="eastAsia" w:hAnsi="方正仿宋_GBK" w:eastAsia="方正仿宋_GBK" w:cs="方正仿宋_GBK"/>
          <w:sz w:val="32"/>
          <w:szCs w:val="32"/>
        </w:rPr>
        <w:t>为进一步规范港口岸线使用审批管理，保障港口岸线资源的合理开发与利用，根据《中华人民共和国港口法》《交通运输部</w:t>
      </w:r>
      <w:r>
        <w:rPr>
          <w:rFonts w:hint="eastAsia" w:eastAsia="方正仿宋_GBK" w:cs="方正仿宋_GBK"/>
          <w:sz w:val="32"/>
          <w:szCs w:val="32"/>
        </w:rPr>
        <w:t xml:space="preserve"> </w:t>
      </w:r>
      <w:r>
        <w:rPr>
          <w:rFonts w:hint="eastAsia" w:hAnsi="方正仿宋_GBK" w:eastAsia="方正仿宋_GBK" w:cs="方正仿宋_GBK"/>
          <w:sz w:val="32"/>
          <w:szCs w:val="32"/>
        </w:rPr>
        <w:t>国家发展改革委关于修改〈港口岸线使用审批管理办法〉的决定》等有关法律、法规和规章规定，结合本市实际，制定本实施细则</w:t>
      </w:r>
      <w:r>
        <w:rPr>
          <w:rFonts w:eastAsia="方正仿宋_GBK"/>
          <w:sz w:val="32"/>
          <w:szCs w:val="32"/>
          <w:shd w:val="clear" w:color="auto" w:fill="FFFFFF"/>
        </w:rPr>
        <w:t>。</w:t>
      </w:r>
      <w:r>
        <w:rPr>
          <w:rFonts w:eastAsia="方正仿宋_GBK"/>
          <w:b/>
          <w:bCs/>
          <w:sz w:val="32"/>
          <w:szCs w:val="32"/>
          <w:shd w:val="clear" w:color="auto" w:fill="FFFFFF"/>
        </w:rPr>
        <w:t xml:space="preserve">  </w:t>
      </w:r>
    </w:p>
    <w:p w14:paraId="19D4A925">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第二条 </w:t>
      </w:r>
      <w:r>
        <w:rPr>
          <w:rFonts w:hint="eastAsia" w:eastAsia="方正仿宋_GBK" w:cs="方正仿宋_GBK"/>
          <w:sz w:val="32"/>
          <w:szCs w:val="32"/>
        </w:rPr>
        <w:t xml:space="preserve"> </w:t>
      </w:r>
      <w:r>
        <w:rPr>
          <w:rFonts w:hint="eastAsia" w:hAnsi="方正仿宋_GBK" w:eastAsia="方正仿宋_GBK" w:cs="方正仿宋_GBK"/>
          <w:sz w:val="32"/>
          <w:szCs w:val="32"/>
        </w:rPr>
        <w:t>在本市港口总体规划区内建设码头等港口设施使用港口岸线，应当按照本细则开展岸线使用审批。</w:t>
      </w:r>
    </w:p>
    <w:p w14:paraId="7D4DC2F8">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hAnsi="方正仿宋_GBK" w:eastAsia="方正仿宋_GBK" w:cs="方正仿宋_GBK"/>
          <w:sz w:val="32"/>
          <w:szCs w:val="32"/>
        </w:rPr>
        <w:t>本细则所称港口设施，包括生产性客货运码头设施，以及为水上交通或水域管理提供公共服务的交通、公安、消防、武警、渔政、环卫、规划资源、水利、应急救援等非生产性支持保障系统码头</w:t>
      </w:r>
      <w:r>
        <w:rPr>
          <w:rFonts w:hint="eastAsia" w:hAnsi="方正仿宋_GBK" w:eastAsia="方正仿宋_GBK" w:cs="方正仿宋_GBK"/>
          <w:sz w:val="32"/>
          <w:szCs w:val="32"/>
          <w:shd w:val="clear" w:color="auto" w:fill="FFFFFF"/>
        </w:rPr>
        <w:t>。</w:t>
      </w:r>
    </w:p>
    <w:p w14:paraId="5FDA3F7F">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第三条 </w:t>
      </w:r>
      <w:r>
        <w:rPr>
          <w:rFonts w:hint="eastAsia" w:eastAsia="方正仿宋_GBK" w:cs="方正仿宋_GBK"/>
          <w:sz w:val="32"/>
          <w:szCs w:val="32"/>
        </w:rPr>
        <w:t xml:space="preserve"> </w:t>
      </w:r>
      <w:r>
        <w:rPr>
          <w:rFonts w:hint="eastAsia" w:hAnsi="方正仿宋_GBK" w:eastAsia="方正仿宋_GBK" w:cs="方正仿宋_GBK"/>
          <w:sz w:val="32"/>
          <w:szCs w:val="32"/>
        </w:rPr>
        <w:t>申请使用港口岸线的项目应符合重庆港总体规划以及港区专项规划、港区及作业区控制性详细规划，满足相关产业政策要求，遵循深水深用、节约高效、合理利用、有序开发的原则</w:t>
      </w:r>
      <w:r>
        <w:rPr>
          <w:rFonts w:hint="eastAsia" w:hAnsi="方正仿宋_GBK" w:eastAsia="方正仿宋_GBK" w:cs="方正仿宋_GBK"/>
          <w:color w:val="333333"/>
          <w:sz w:val="32"/>
          <w:szCs w:val="32"/>
          <w:shd w:val="clear" w:color="auto" w:fill="FFFFFF"/>
        </w:rPr>
        <w:t>。</w:t>
      </w:r>
    </w:p>
    <w:p w14:paraId="20834313">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第四条 </w:t>
      </w:r>
      <w:r>
        <w:rPr>
          <w:rFonts w:hint="eastAsia" w:eastAsia="方正仿宋_GBK" w:cs="方正仿宋_GBK"/>
          <w:sz w:val="32"/>
          <w:szCs w:val="32"/>
        </w:rPr>
        <w:t xml:space="preserve"> </w:t>
      </w:r>
      <w:r>
        <w:rPr>
          <w:rFonts w:hint="eastAsia" w:hAnsi="方正仿宋_GBK" w:eastAsia="方正仿宋_GBK" w:cs="方正仿宋_GBK"/>
          <w:sz w:val="32"/>
          <w:szCs w:val="32"/>
        </w:rPr>
        <w:t>港口岸线使用审批类型包括：</w:t>
      </w:r>
    </w:p>
    <w:p w14:paraId="37AB93E8">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（一）新建、改建、扩建港口设施使用港口岸线的审批。</w:t>
      </w:r>
    </w:p>
    <w:p w14:paraId="05162CDC">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（二）港口岸线使用许可的变更、注销。</w:t>
      </w:r>
    </w:p>
    <w:p w14:paraId="25EE3AAA">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（三）其他依法应办理港口岸线使用审批手续的情形。</w:t>
      </w:r>
    </w:p>
    <w:p w14:paraId="43F485C8">
      <w:pPr>
        <w:keepNext w:val="0"/>
        <w:keepLines w:val="0"/>
        <w:pageBreakBefore w:val="0"/>
        <w:kinsoku/>
        <w:wordWrap/>
        <w:overflowPunct/>
        <w:topLinePunct w:val="0"/>
        <w:bidi w:val="0"/>
        <w:spacing w:line="570" w:lineRule="exact"/>
        <w:ind w:firstLine="640" w:firstLineChars="200"/>
        <w:textAlignment w:val="auto"/>
        <w:rPr>
          <w:rFonts w:hint="eastAsia" w:eastAsia="方正仿宋_GBK"/>
          <w:sz w:val="32"/>
          <w:szCs w:val="32"/>
          <w:shd w:val="clear" w:color="auto" w:fill="FFFFFF"/>
        </w:rPr>
      </w:pPr>
      <w:r>
        <w:rPr>
          <w:rFonts w:hint="eastAsia" w:eastAsia="方正黑体_GBK" w:cs="方正仿宋_GBK"/>
          <w:sz w:val="32"/>
          <w:szCs w:val="32"/>
        </w:rPr>
        <w:t xml:space="preserve">第五条 </w:t>
      </w:r>
      <w:r>
        <w:rPr>
          <w:rFonts w:hint="eastAsia" w:eastAsia="方正仿宋_GBK" w:cs="方正仿宋_GBK"/>
          <w:sz w:val="32"/>
          <w:szCs w:val="32"/>
        </w:rPr>
        <w:t xml:space="preserve"> </w:t>
      </w:r>
      <w:r>
        <w:rPr>
          <w:rFonts w:hint="eastAsia" w:eastAsia="方正仿宋_GBK"/>
          <w:sz w:val="32"/>
          <w:szCs w:val="32"/>
        </w:rPr>
        <w:t>以下情形可以不另行办理使用港口岸线的审批手续：</w:t>
      </w:r>
    </w:p>
    <w:p w14:paraId="7E822308">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（一）国务院</w:t>
      </w:r>
      <w:r>
        <w:rPr>
          <w:rFonts w:hint="eastAsia" w:hAnsi="方正仿宋_GBK" w:eastAsia="方正仿宋_GBK" w:cs="方正仿宋_GBK"/>
          <w:sz w:val="32"/>
          <w:szCs w:val="32"/>
          <w:lang w:val="en-US" w:eastAsia="zh-CN"/>
        </w:rPr>
        <w:t>或者</w:t>
      </w:r>
      <w:r>
        <w:rPr>
          <w:rFonts w:hint="eastAsia" w:hAnsi="方正仿宋_GBK" w:eastAsia="方正仿宋_GBK" w:cs="方正仿宋_GBK"/>
          <w:sz w:val="32"/>
          <w:szCs w:val="32"/>
        </w:rPr>
        <w:t>国家发展改革委直接审批、核准的港口及</w:t>
      </w:r>
      <w:r>
        <w:rPr>
          <w:rFonts w:hint="eastAsia" w:hAnsi="方正仿宋_GBK" w:eastAsia="方正仿宋_GBK" w:cs="方正仿宋_GBK"/>
          <w:sz w:val="32"/>
          <w:szCs w:val="32"/>
          <w:lang w:eastAsia="zh-CN"/>
        </w:rPr>
        <w:t>其他使用港口岸线的</w:t>
      </w:r>
      <w:r>
        <w:rPr>
          <w:rFonts w:hint="eastAsia" w:hAnsi="方正仿宋_GBK" w:eastAsia="方正仿宋_GBK" w:cs="方正仿宋_GBK"/>
          <w:sz w:val="32"/>
          <w:szCs w:val="32"/>
        </w:rPr>
        <w:t>建设项目。</w:t>
      </w:r>
    </w:p>
    <w:p w14:paraId="2C8CB984">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（二）已按照《重庆市老码头技术检测与评估办法》规定通过评估且维持现状的老码头。</w:t>
      </w:r>
    </w:p>
    <w:p w14:paraId="36E57B9F">
      <w:pPr>
        <w:keepNext w:val="0"/>
        <w:keepLines w:val="0"/>
        <w:pageBreakBefore w:val="0"/>
        <w:kinsoku/>
        <w:wordWrap/>
        <w:overflowPunct/>
        <w:topLinePunct w:val="0"/>
        <w:bidi w:val="0"/>
        <w:spacing w:line="570" w:lineRule="exact"/>
        <w:ind w:firstLine="640" w:firstLineChars="200"/>
        <w:textAlignment w:val="auto"/>
        <w:rPr>
          <w:rFonts w:eastAsia="仿宋_GB2312"/>
          <w:sz w:val="32"/>
          <w:szCs w:val="32"/>
          <w:shd w:val="clear" w:color="auto" w:fill="FFFFFF"/>
        </w:rPr>
      </w:pPr>
      <w:r>
        <w:rPr>
          <w:rFonts w:hint="eastAsia" w:hAnsi="方正仿宋_GBK" w:eastAsia="方正仿宋_GBK" w:cs="方正仿宋_GBK"/>
          <w:sz w:val="32"/>
          <w:szCs w:val="32"/>
        </w:rPr>
        <w:t>（三）在已批准使用的港口岸线范围内不改变岸线使用长度、功能的港口装卸等工艺改造项目。</w:t>
      </w:r>
    </w:p>
    <w:p w14:paraId="26CDD1E8">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第六条 </w:t>
      </w:r>
      <w:r>
        <w:rPr>
          <w:rFonts w:hint="eastAsia" w:eastAsia="方正仿宋_GBK" w:cs="方正仿宋_GBK"/>
          <w:sz w:val="32"/>
          <w:szCs w:val="32"/>
        </w:rPr>
        <w:t xml:space="preserve"> </w:t>
      </w:r>
      <w:r>
        <w:rPr>
          <w:rFonts w:hint="eastAsia" w:hAnsi="方正仿宋_GBK" w:eastAsia="方正仿宋_GBK" w:cs="方正仿宋_GBK"/>
          <w:sz w:val="32"/>
          <w:szCs w:val="32"/>
        </w:rPr>
        <w:t>以下情形不纳入港口岸线使用审批的管理范围：</w:t>
      </w:r>
    </w:p>
    <w:p w14:paraId="10ABB2D1">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（一）使用封闭水域等未纳入港口总体规划的河道、湖泊自然岸线。</w:t>
      </w:r>
    </w:p>
    <w:p w14:paraId="3FC6BEBE">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（二）建设渔业港口设施和军事战备港口设施。</w:t>
      </w:r>
    </w:p>
    <w:p w14:paraId="387C9513">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（三）建设用于船舶修造的设施。</w:t>
      </w:r>
    </w:p>
    <w:p w14:paraId="572FD2B0">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（四）设置生产和生活取水设施。</w:t>
      </w:r>
    </w:p>
    <w:p w14:paraId="6C967515">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（五）设置不具备港口客货装卸运输功能、采取过驳作业的水上加油、能源加注站、水上服务区。</w:t>
      </w:r>
    </w:p>
    <w:p w14:paraId="5BE9BEBD">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（六）因重点工程项目建设和执行防汛等应急保障特殊任务设置</w:t>
      </w:r>
      <w:r>
        <w:rPr>
          <w:rFonts w:hint="eastAsia" w:hAnsi="方正仿宋_GBK" w:eastAsia="方正仿宋_GBK" w:cs="方正仿宋_GBK"/>
          <w:sz w:val="32"/>
          <w:szCs w:val="32"/>
          <w:lang w:val="en"/>
        </w:rPr>
        <w:t>的</w:t>
      </w:r>
      <w:r>
        <w:rPr>
          <w:rFonts w:hint="eastAsia" w:hAnsi="方正仿宋_GBK" w:eastAsia="方正仿宋_GBK" w:cs="方正仿宋_GBK"/>
          <w:sz w:val="32"/>
          <w:szCs w:val="32"/>
        </w:rPr>
        <w:t>临时性码头或装卸点。</w:t>
      </w:r>
    </w:p>
    <w:p w14:paraId="6D780A60">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hAnsi="方正仿宋_GBK" w:eastAsia="方正仿宋_GBK" w:cs="方正仿宋_GBK"/>
          <w:sz w:val="32"/>
          <w:szCs w:val="32"/>
        </w:rPr>
        <w:t>（七）建设体育、餐饮、娱乐、休闲等其他用途的非港口设施</w:t>
      </w:r>
      <w:r>
        <w:rPr>
          <w:rFonts w:hint="eastAsia" w:hAnsi="方正仿宋_GBK" w:eastAsia="方正仿宋_GBK" w:cs="方正仿宋_GBK"/>
          <w:sz w:val="32"/>
          <w:szCs w:val="32"/>
          <w:shd w:val="clear" w:color="auto" w:fill="FFFFFF"/>
        </w:rPr>
        <w:t>。</w:t>
      </w:r>
    </w:p>
    <w:p w14:paraId="207BCA43">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shd w:val="clear" w:color="auto" w:fill="FFFFFF"/>
        </w:rPr>
      </w:pPr>
      <w:r>
        <w:rPr>
          <w:rFonts w:hint="eastAsia" w:eastAsia="方正黑体_GBK" w:cs="方正仿宋_GBK"/>
          <w:sz w:val="32"/>
          <w:szCs w:val="32"/>
        </w:rPr>
        <w:t xml:space="preserve">第七条 </w:t>
      </w:r>
      <w:r>
        <w:rPr>
          <w:rFonts w:hint="eastAsia" w:eastAsia="方正仿宋_GBK" w:cs="方正仿宋_GBK"/>
          <w:sz w:val="32"/>
          <w:szCs w:val="32"/>
        </w:rPr>
        <w:t xml:space="preserve"> </w:t>
      </w:r>
      <w:r>
        <w:rPr>
          <w:rFonts w:hint="eastAsia" w:hAnsi="方正仿宋_GBK" w:eastAsia="方正仿宋_GBK" w:cs="方正仿宋_GBK"/>
          <w:sz w:val="32"/>
          <w:szCs w:val="32"/>
        </w:rPr>
        <w:t>市交通运输委主管全市的港口岸线工作，会同市发展改革委具体实施对市级审批权限的港口非深水岸线的使用审批工作</w:t>
      </w:r>
      <w:r>
        <w:rPr>
          <w:rFonts w:hint="eastAsia" w:hAnsi="方正仿宋_GBK" w:eastAsia="方正仿宋_GBK" w:cs="方正仿宋_GBK"/>
          <w:sz w:val="32"/>
          <w:szCs w:val="32"/>
          <w:shd w:val="clear" w:color="auto" w:fill="FFFFFF"/>
        </w:rPr>
        <w:t>。</w:t>
      </w:r>
    </w:p>
    <w:p w14:paraId="6B2795C4">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市港航海事中心具体承担市交通运输委职责范围内港口岸线审批有关事务性工作。</w:t>
      </w:r>
    </w:p>
    <w:p w14:paraId="3B346A07">
      <w:pPr>
        <w:keepNext w:val="0"/>
        <w:keepLines w:val="0"/>
        <w:pageBreakBefore w:val="0"/>
        <w:kinsoku/>
        <w:wordWrap/>
        <w:overflowPunct/>
        <w:topLinePunct w:val="0"/>
        <w:bidi w:val="0"/>
        <w:spacing w:line="570" w:lineRule="exact"/>
        <w:ind w:firstLine="640" w:firstLineChars="200"/>
        <w:textAlignment w:val="auto"/>
        <w:rPr>
          <w:rFonts w:hint="eastAsia" w:eastAsia="方正仿宋_GBK"/>
          <w:sz w:val="32"/>
          <w:szCs w:val="32"/>
          <w:shd w:val="clear" w:color="auto" w:fill="FFFFFF"/>
        </w:rPr>
      </w:pPr>
      <w:r>
        <w:rPr>
          <w:rFonts w:hint="eastAsia" w:hAnsi="方正仿宋_GBK" w:eastAsia="方正仿宋_GBK" w:cs="方正仿宋_GBK"/>
          <w:sz w:val="32"/>
          <w:szCs w:val="32"/>
        </w:rPr>
        <w:t>区县港口行政管理部门按照本细则和区县人民政府规定的职责，具体实施港口岸线使用审批的相关工作，并对使用港口深水岸线和市级审批的港口非深水岸线的使用申请进行初步审核和转报。</w:t>
      </w:r>
    </w:p>
    <w:p w14:paraId="6081D20E">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第八条 </w:t>
      </w:r>
      <w:r>
        <w:rPr>
          <w:rFonts w:hint="eastAsia" w:eastAsia="方正仿宋_GBK" w:cs="方正仿宋_GBK"/>
          <w:sz w:val="32"/>
          <w:szCs w:val="32"/>
        </w:rPr>
        <w:t xml:space="preserve"> </w:t>
      </w:r>
      <w:r>
        <w:rPr>
          <w:rFonts w:eastAsia="方正仿宋_GBK"/>
          <w:sz w:val="32"/>
          <w:szCs w:val="32"/>
        </w:rPr>
        <w:t>本细则所称港口岸线，含维持港口设施正常运营所需的相关水域和陆域</w:t>
      </w:r>
      <w:r>
        <w:rPr>
          <w:rFonts w:eastAsia="方正仿宋_GBK"/>
          <w:sz w:val="32"/>
          <w:szCs w:val="32"/>
          <w:shd w:val="clear" w:color="auto" w:fill="FFFFFF"/>
        </w:rPr>
        <w:t>。</w:t>
      </w:r>
    </w:p>
    <w:p w14:paraId="7B3B2BBE">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eastAsia="方正仿宋_GBK"/>
          <w:sz w:val="32"/>
          <w:szCs w:val="32"/>
        </w:rPr>
        <w:t>港口岸线分为港口深水岸线和非深水岸线。港口深水岸线和非深水岸线划分标准及范围按交通运输部公告执行。</w:t>
      </w:r>
    </w:p>
    <w:p w14:paraId="13AD8DB9">
      <w:pPr>
        <w:keepNext w:val="0"/>
        <w:keepLines w:val="0"/>
        <w:pageBreakBefore w:val="0"/>
        <w:kinsoku/>
        <w:wordWrap/>
        <w:overflowPunct/>
        <w:topLinePunct w:val="0"/>
        <w:bidi w:val="0"/>
        <w:spacing w:line="570" w:lineRule="exact"/>
        <w:ind w:firstLine="640" w:firstLineChars="200"/>
        <w:textAlignment w:val="auto"/>
        <w:rPr>
          <w:rFonts w:hint="eastAsia" w:eastAsia="仿宋_GB2312"/>
          <w:sz w:val="32"/>
          <w:szCs w:val="32"/>
          <w:shd w:val="clear" w:color="auto" w:fill="FFFFFF"/>
        </w:rPr>
      </w:pPr>
      <w:r>
        <w:rPr>
          <w:rFonts w:eastAsia="方正仿宋_GBK"/>
          <w:sz w:val="32"/>
          <w:szCs w:val="32"/>
        </w:rPr>
        <w:t>建设500吨级及以上泊位的港口非深水岸线由市级审批，建设500吨级以下泊位的港口非深水岸线由区县审</w:t>
      </w:r>
      <w:r>
        <w:rPr>
          <w:rFonts w:hint="eastAsia" w:eastAsia="方正仿宋_GBK"/>
          <w:sz w:val="32"/>
          <w:szCs w:val="32"/>
          <w:lang w:eastAsia="zh-CN"/>
        </w:rPr>
        <w:t>批</w:t>
      </w:r>
      <w:r>
        <w:rPr>
          <w:rFonts w:eastAsia="方正仿宋_GBK"/>
          <w:sz w:val="32"/>
          <w:szCs w:val="32"/>
        </w:rPr>
        <w:t>。</w:t>
      </w:r>
    </w:p>
    <w:p w14:paraId="5F33BF1C">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shd w:val="clear" w:color="auto" w:fill="FFFFFF"/>
        </w:rPr>
      </w:pPr>
      <w:r>
        <w:rPr>
          <w:rFonts w:hint="eastAsia" w:eastAsia="方正黑体_GBK" w:cs="方正仿宋_GBK"/>
          <w:sz w:val="32"/>
          <w:szCs w:val="32"/>
        </w:rPr>
        <w:t xml:space="preserve">第九条 </w:t>
      </w:r>
      <w:r>
        <w:rPr>
          <w:rFonts w:hint="eastAsia" w:eastAsia="方正仿宋_GBK" w:cs="方正仿宋_GBK"/>
          <w:sz w:val="32"/>
          <w:szCs w:val="32"/>
        </w:rPr>
        <w:t xml:space="preserve"> </w:t>
      </w:r>
      <w:r>
        <w:rPr>
          <w:rFonts w:hint="eastAsia" w:hAnsi="方正仿宋_GBK" w:eastAsia="方正仿宋_GBK" w:cs="方正仿宋_GBK"/>
          <w:sz w:val="32"/>
          <w:szCs w:val="32"/>
        </w:rPr>
        <w:t>需要使用港口岸线的建设项目，应当在报送项目申请报告或者可行性研究报告前，向所在区县港口行政管理部门提出港口岸线使用申请，申请材料包括：</w:t>
      </w:r>
    </w:p>
    <w:p w14:paraId="16FCF10F">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（一）港口岸线使用申请表，内容包括岸线长度、使用用途、泊位吨级、通过能力等；</w:t>
      </w:r>
    </w:p>
    <w:p w14:paraId="34063666">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（二）申请人营业执照、港口岸线使用方案及相关材料；</w:t>
      </w:r>
    </w:p>
    <w:p w14:paraId="66400FD9">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（三）建设项目工程可行性研究报告或者项目申请报告；</w:t>
      </w:r>
    </w:p>
    <w:p w14:paraId="66CC6B85">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（四）海事、航道部门关于建设项目的意见；</w:t>
      </w:r>
    </w:p>
    <w:p w14:paraId="309250A1">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（五）法律、法规规定的其他材料。</w:t>
      </w:r>
    </w:p>
    <w:p w14:paraId="4242916F">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hAnsi="方正仿宋_GBK" w:eastAsia="方正仿宋_GBK" w:cs="方正仿宋_GBK"/>
          <w:sz w:val="32"/>
          <w:szCs w:val="32"/>
        </w:rPr>
        <w:t>前款规定的港口（深水）岸线使用申请表样式，由交通运输部统一规定；港口（非深水）岸线使用申请表样式，由市交通运输委统一规定。</w:t>
      </w:r>
    </w:p>
    <w:p w14:paraId="3CF550C7">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第十条 </w:t>
      </w:r>
      <w:r>
        <w:rPr>
          <w:rFonts w:hint="eastAsia" w:eastAsia="方正仿宋_GBK" w:cs="方正仿宋_GBK"/>
          <w:sz w:val="32"/>
          <w:szCs w:val="32"/>
        </w:rPr>
        <w:t xml:space="preserve"> </w:t>
      </w:r>
      <w:r>
        <w:rPr>
          <w:rFonts w:hint="eastAsia" w:hAnsi="方正仿宋_GBK" w:eastAsia="方正仿宋_GBK" w:cs="方正仿宋_GBK"/>
          <w:sz w:val="32"/>
          <w:szCs w:val="32"/>
        </w:rPr>
        <w:t>港口所在地港口行政管理部门收到申请材料后，对申请材料符合法定形式的，应当当场受理；对申请材料不齐全或者不符合法定形式的，应当当场或者五个工作日内一次告知申请人需要补正的全部内容</w:t>
      </w:r>
      <w:r>
        <w:rPr>
          <w:rFonts w:hint="eastAsia" w:hAnsi="方正仿宋_GBK" w:eastAsia="方正仿宋_GBK" w:cs="方正仿宋_GBK"/>
          <w:sz w:val="32"/>
          <w:szCs w:val="32"/>
          <w:shd w:val="clear" w:color="auto" w:fill="FFFFFF"/>
        </w:rPr>
        <w:t>。</w:t>
      </w:r>
    </w:p>
    <w:p w14:paraId="02998130">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第十一条 </w:t>
      </w:r>
      <w:r>
        <w:rPr>
          <w:rFonts w:hint="eastAsia" w:eastAsia="方正仿宋_GBK" w:cs="方正仿宋_GBK"/>
          <w:sz w:val="32"/>
          <w:szCs w:val="32"/>
        </w:rPr>
        <w:t xml:space="preserve"> </w:t>
      </w:r>
      <w:r>
        <w:rPr>
          <w:rFonts w:hint="eastAsia" w:hAnsi="方正仿宋_GBK" w:eastAsia="方正仿宋_GBK" w:cs="方正仿宋_GBK"/>
          <w:sz w:val="32"/>
          <w:szCs w:val="32"/>
        </w:rPr>
        <w:t>使用港口深水岸线或市级审批港口非深水岸线的，区县港口行政管理部门收到申请后，应对申请使用的岸线进行现场核查，核实申请材料，转报至市交通运输委</w:t>
      </w:r>
      <w:r>
        <w:rPr>
          <w:rFonts w:hint="eastAsia" w:hAnsi="方正仿宋_GBK" w:eastAsia="方正仿宋_GBK" w:cs="方正仿宋_GBK"/>
          <w:sz w:val="32"/>
          <w:szCs w:val="32"/>
          <w:shd w:val="clear" w:color="auto" w:fill="FFFFFF"/>
        </w:rPr>
        <w:t>。</w:t>
      </w:r>
    </w:p>
    <w:p w14:paraId="333E4465">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shd w:val="clear" w:color="auto" w:fill="FFFFFF"/>
        </w:rPr>
      </w:pPr>
      <w:r>
        <w:rPr>
          <w:rFonts w:hint="eastAsia" w:eastAsia="方正黑体_GBK" w:cs="方正仿宋_GBK"/>
          <w:sz w:val="32"/>
          <w:szCs w:val="32"/>
        </w:rPr>
        <w:t xml:space="preserve">第十二条 </w:t>
      </w:r>
      <w:r>
        <w:rPr>
          <w:rFonts w:hint="eastAsia" w:eastAsia="方正仿宋_GBK" w:cs="方正仿宋_GBK"/>
          <w:sz w:val="32"/>
          <w:szCs w:val="32"/>
        </w:rPr>
        <w:t xml:space="preserve"> </w:t>
      </w:r>
      <w:r>
        <w:rPr>
          <w:rFonts w:hint="eastAsia" w:hAnsi="方正仿宋_GBK" w:eastAsia="方正仿宋_GBK" w:cs="方正仿宋_GBK"/>
          <w:sz w:val="32"/>
          <w:szCs w:val="32"/>
        </w:rPr>
        <w:t>使用港口深水岸线的，市交通运输委收到港口岸线使用申请材料后，应当组织市港航海事中心进行现场核查、出具</w:t>
      </w:r>
      <w:r>
        <w:rPr>
          <w:rFonts w:hint="eastAsia" w:hAnsi="方正仿宋_GBK" w:eastAsia="方正仿宋_GBK" w:cs="方正仿宋_GBK"/>
          <w:color w:val="000000"/>
          <w:sz w:val="32"/>
          <w:szCs w:val="32"/>
        </w:rPr>
        <w:t>书面核查报告，组织专家评审，并征求市发展改革委意见后，提出初审意见，连同申请材料报交通运输部</w:t>
      </w:r>
      <w:r>
        <w:rPr>
          <w:rFonts w:hint="eastAsia" w:hAnsi="方正仿宋_GBK" w:eastAsia="方正仿宋_GBK" w:cs="方正仿宋_GBK"/>
          <w:sz w:val="32"/>
          <w:szCs w:val="32"/>
          <w:shd w:val="clear" w:color="auto" w:fill="FFFFFF"/>
        </w:rPr>
        <w:t>。</w:t>
      </w:r>
    </w:p>
    <w:p w14:paraId="05E08BA0">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color w:val="000000"/>
          <w:sz w:val="32"/>
          <w:szCs w:val="32"/>
        </w:rPr>
        <w:t>区县</w:t>
      </w:r>
      <w:r>
        <w:rPr>
          <w:rFonts w:hint="eastAsia" w:hAnsi="方正仿宋_GBK" w:eastAsia="方正仿宋_GBK" w:cs="方正仿宋_GBK"/>
          <w:sz w:val="32"/>
          <w:szCs w:val="32"/>
        </w:rPr>
        <w:t>港口行政管理部门和</w:t>
      </w:r>
      <w:r>
        <w:rPr>
          <w:rFonts w:hint="eastAsia" w:hAnsi="方正仿宋_GBK" w:eastAsia="方正仿宋_GBK" w:cs="方正仿宋_GBK"/>
          <w:color w:val="000000"/>
          <w:sz w:val="32"/>
          <w:szCs w:val="32"/>
        </w:rPr>
        <w:t>市交通运输委应当在收到港口岸线使用申请材料后二十个工作日内完成现场核查、初审和转报工作。岸线使用专家评审所需时间不计算在期限内</w:t>
      </w:r>
      <w:r>
        <w:rPr>
          <w:rFonts w:hint="eastAsia" w:hAnsi="方正仿宋_GBK" w:eastAsia="方正仿宋_GBK" w:cs="方正仿宋_GBK"/>
          <w:sz w:val="32"/>
          <w:szCs w:val="32"/>
          <w:shd w:val="clear" w:color="auto" w:fill="FFFFFF"/>
        </w:rPr>
        <w:t>。</w:t>
      </w:r>
    </w:p>
    <w:p w14:paraId="640F455B">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shd w:val="clear" w:color="auto" w:fill="FFFFFF"/>
        </w:rPr>
      </w:pPr>
      <w:r>
        <w:rPr>
          <w:rFonts w:hint="eastAsia" w:eastAsia="方正黑体_GBK" w:cs="方正仿宋_GBK"/>
          <w:sz w:val="32"/>
          <w:szCs w:val="32"/>
        </w:rPr>
        <w:t xml:space="preserve">第十三条 </w:t>
      </w:r>
      <w:r>
        <w:rPr>
          <w:rFonts w:hint="eastAsia" w:eastAsia="方正仿宋_GBK" w:cs="方正仿宋_GBK"/>
          <w:sz w:val="32"/>
          <w:szCs w:val="32"/>
        </w:rPr>
        <w:t xml:space="preserve"> </w:t>
      </w:r>
      <w:r>
        <w:rPr>
          <w:rFonts w:hint="eastAsia" w:hAnsi="方正仿宋_GBK" w:eastAsia="方正仿宋_GBK" w:cs="方正仿宋_GBK"/>
          <w:color w:val="000000"/>
          <w:sz w:val="32"/>
          <w:szCs w:val="32"/>
        </w:rPr>
        <w:t>使用市级审批港口非深水岸线的，市交通运输委</w:t>
      </w:r>
      <w:r>
        <w:rPr>
          <w:rFonts w:hint="eastAsia" w:hAnsi="方正仿宋_GBK" w:eastAsia="方正仿宋_GBK" w:cs="方正仿宋_GBK"/>
          <w:sz w:val="32"/>
          <w:szCs w:val="32"/>
        </w:rPr>
        <w:t>收到港口岸线使用申请材料后，</w:t>
      </w:r>
      <w:r>
        <w:rPr>
          <w:rFonts w:hint="eastAsia" w:hAnsi="方正仿宋_GBK" w:eastAsia="方正仿宋_GBK" w:cs="方正仿宋_GBK"/>
          <w:color w:val="000000"/>
          <w:sz w:val="32"/>
          <w:szCs w:val="32"/>
        </w:rPr>
        <w:t>应当组织市港航海事中心进行现场核查、出具书面核查报告，组织专家评审，会同市发展改革委作出批准或不予批准的决定</w:t>
      </w:r>
      <w:r>
        <w:rPr>
          <w:rFonts w:eastAsia="方正仿宋_GBK"/>
          <w:sz w:val="32"/>
          <w:szCs w:val="32"/>
          <w:shd w:val="clear" w:color="auto" w:fill="FFFFFF"/>
        </w:rPr>
        <w:t>。</w:t>
      </w:r>
    </w:p>
    <w:p w14:paraId="0BF94194">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color w:val="000000"/>
          <w:sz w:val="32"/>
          <w:szCs w:val="32"/>
        </w:rPr>
      </w:pPr>
      <w:r>
        <w:rPr>
          <w:rFonts w:hint="eastAsia" w:hAnsi="方正仿宋_GBK" w:eastAsia="方正仿宋_GBK" w:cs="方正仿宋_GBK"/>
          <w:color w:val="000000"/>
          <w:sz w:val="32"/>
          <w:szCs w:val="32"/>
        </w:rPr>
        <w:t>市交通运输委应当在收到港口岸线使用申请材料后六个工作日内完成审查和批准。组织现场核查时间和岸线使用专家评审所需时间不计算在期限内。</w:t>
      </w:r>
    </w:p>
    <w:p w14:paraId="6D0B15EA">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eastAsia="方正黑体_GBK" w:cs="方正仿宋_GBK"/>
          <w:sz w:val="32"/>
          <w:szCs w:val="32"/>
        </w:rPr>
        <w:t xml:space="preserve">第十四条 </w:t>
      </w:r>
      <w:r>
        <w:rPr>
          <w:rFonts w:hint="eastAsia" w:eastAsia="方正仿宋_GBK" w:cs="方正仿宋_GBK"/>
          <w:sz w:val="32"/>
          <w:szCs w:val="32"/>
        </w:rPr>
        <w:t xml:space="preserve"> </w:t>
      </w:r>
      <w:r>
        <w:rPr>
          <w:rFonts w:hint="eastAsia" w:hAnsi="方正仿宋_GBK" w:eastAsia="方正仿宋_GBK" w:cs="方正仿宋_GBK"/>
          <w:sz w:val="32"/>
          <w:szCs w:val="32"/>
        </w:rPr>
        <w:t>港口岸线使用申请审查、专家评审的主要内容包括：</w:t>
      </w:r>
    </w:p>
    <w:p w14:paraId="653A706A">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（一）建设项目是否符合产业政策和港口规划；</w:t>
      </w:r>
    </w:p>
    <w:p w14:paraId="4D8BE030">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（二）建设项目的必要性分析；</w:t>
      </w:r>
    </w:p>
    <w:p w14:paraId="7D89D9B8">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（三）工程可行性研究报告或项目申请报告提出的岸线使用方案是否符合国家技术标准和规范；</w:t>
      </w:r>
    </w:p>
    <w:p w14:paraId="4810D665">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（四）岸线使用方案的合理性分析；</w:t>
      </w:r>
    </w:p>
    <w:p w14:paraId="28A7D508">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（五）岸线使用方案是否满足航道、通航安全的相关要求；</w:t>
      </w:r>
    </w:p>
    <w:p w14:paraId="080A5949">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（六）法律、法规和国家规定的其他要求。</w:t>
      </w:r>
    </w:p>
    <w:p w14:paraId="7A034A10">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第十五条 </w:t>
      </w:r>
      <w:r>
        <w:rPr>
          <w:rFonts w:hint="eastAsia" w:eastAsia="方正仿宋_GBK" w:cs="方正仿宋_GBK"/>
          <w:sz w:val="32"/>
          <w:szCs w:val="32"/>
        </w:rPr>
        <w:t xml:space="preserve"> </w:t>
      </w:r>
      <w:r>
        <w:rPr>
          <w:rFonts w:hint="eastAsia" w:hAnsi="方正仿宋_GBK" w:eastAsia="方正仿宋_GBK" w:cs="方正仿宋_GBK"/>
          <w:sz w:val="32"/>
          <w:szCs w:val="32"/>
        </w:rPr>
        <w:t>市级和区县港口岸线使用审批机关审查决定批准港口岸线使用申请的，应当出具港口岸线使用批准文件。区县港口岸线使用审批机关应将审批结果抄报市交通运输委。</w:t>
      </w:r>
    </w:p>
    <w:p w14:paraId="503074D2">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hAnsi="方正仿宋_GBK" w:eastAsia="方正仿宋_GBK" w:cs="方正仿宋_GBK"/>
          <w:sz w:val="32"/>
          <w:szCs w:val="32"/>
        </w:rPr>
        <w:t>审批机关不予批准使用港口岸线的，应当书面告知申请人，并且说明理由。</w:t>
      </w:r>
    </w:p>
    <w:p w14:paraId="6869172F">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eastAsia="方正黑体_GBK" w:cs="方正仿宋_GBK"/>
          <w:sz w:val="32"/>
          <w:szCs w:val="32"/>
        </w:rPr>
        <w:t xml:space="preserve">第十六条 </w:t>
      </w:r>
      <w:r>
        <w:rPr>
          <w:rFonts w:hint="eastAsia" w:eastAsia="方正仿宋_GBK" w:cs="方正仿宋_GBK"/>
          <w:sz w:val="32"/>
          <w:szCs w:val="32"/>
        </w:rPr>
        <w:t xml:space="preserve"> </w:t>
      </w:r>
      <w:r>
        <w:rPr>
          <w:rFonts w:hint="eastAsia" w:hAnsi="方正仿宋_GBK" w:eastAsia="方正仿宋_GBK" w:cs="方正仿宋_GBK"/>
          <w:sz w:val="32"/>
          <w:szCs w:val="32"/>
        </w:rPr>
        <w:t>港口岸线使用有效期不超过五十年。超过期限继续使用的，港口岸线使用人应当在期限届满三个月前向原批准机关提出申请。</w:t>
      </w:r>
    </w:p>
    <w:p w14:paraId="63998E24">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批准使用港口岸线的建设项目，应当在取得港口岸线批准文件后三年内开工建设</w:t>
      </w:r>
      <w:r>
        <w:rPr>
          <w:rFonts w:hint="eastAsia" w:hAnsi="方正仿宋_GBK" w:eastAsia="方正仿宋_GBK" w:cs="方正仿宋_GBK"/>
          <w:color w:val="000000"/>
          <w:sz w:val="32"/>
          <w:szCs w:val="32"/>
        </w:rPr>
        <w:t>。逾期未开工建设，批准文件失效。</w:t>
      </w:r>
    </w:p>
    <w:p w14:paraId="5F7BE7F3">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hAnsi="方正仿宋_GBK" w:eastAsia="方正仿宋_GBK" w:cs="方正仿宋_GBK"/>
          <w:sz w:val="32"/>
          <w:szCs w:val="32"/>
        </w:rPr>
        <w:t>批准文件失效后，如继续建设该项目需要使用港口岸线，应当重新办理港口岸线使用审批手续。</w:t>
      </w:r>
    </w:p>
    <w:p w14:paraId="4C4B6C9D">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第十七条 </w:t>
      </w:r>
      <w:r>
        <w:rPr>
          <w:rFonts w:hint="eastAsia" w:eastAsia="方正仿宋_GBK" w:cs="方正仿宋_GBK"/>
          <w:sz w:val="32"/>
          <w:szCs w:val="32"/>
        </w:rPr>
        <w:t xml:space="preserve"> </w:t>
      </w:r>
      <w:r>
        <w:rPr>
          <w:rFonts w:hint="eastAsia" w:hAnsi="方正仿宋_GBK" w:eastAsia="方正仿宋_GBK" w:cs="方正仿宋_GBK"/>
          <w:sz w:val="32"/>
          <w:szCs w:val="32"/>
        </w:rPr>
        <w:t>取得港口岸线使用批准文件后有下列情形之一的，由港口岸线使用审批机关依法收回港口岸线使用权，注销港口岸线使用批准文件，并向社会公布。</w:t>
      </w:r>
    </w:p>
    <w:p w14:paraId="279CB4F5">
      <w:pPr>
        <w:pStyle w:val="5"/>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（一）因港口总体规划调整，建设项目所使用的岸线不再作为港口岸线的；</w:t>
      </w:r>
    </w:p>
    <w:p w14:paraId="04FD03C7">
      <w:pPr>
        <w:pStyle w:val="5"/>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（二）有效期满未申请续期，或者申请续期未获批准的；</w:t>
      </w:r>
    </w:p>
    <w:p w14:paraId="6459AF5E">
      <w:pPr>
        <w:pStyle w:val="5"/>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（三）因项目法人依法终止等原因，不再使用港口岸线的；</w:t>
      </w:r>
    </w:p>
    <w:p w14:paraId="4F700954">
      <w:pPr>
        <w:pStyle w:val="5"/>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（四）港口岸线使用人将港口岸线使用权转给他人使用，未办理变更手续的；</w:t>
      </w:r>
    </w:p>
    <w:p w14:paraId="6BF52F9B">
      <w:pPr>
        <w:keepNext w:val="0"/>
        <w:keepLines w:val="0"/>
        <w:pageBreakBefore w:val="0"/>
        <w:kinsoku/>
        <w:wordWrap/>
        <w:overflowPunct/>
        <w:topLinePunct w:val="0"/>
        <w:bidi w:val="0"/>
        <w:spacing w:line="570" w:lineRule="exact"/>
        <w:ind w:firstLine="640" w:firstLineChars="200"/>
        <w:textAlignment w:val="auto"/>
        <w:rPr>
          <w:rFonts w:eastAsia="方正仿宋_GBK" w:cs="方正仿宋_GBK"/>
          <w:sz w:val="32"/>
          <w:szCs w:val="32"/>
        </w:rPr>
      </w:pPr>
      <w:r>
        <w:rPr>
          <w:rFonts w:hint="eastAsia" w:hAnsi="方正仿宋_GBK" w:eastAsia="方正仿宋_GBK" w:cs="方正仿宋_GBK"/>
          <w:sz w:val="32"/>
          <w:szCs w:val="32"/>
        </w:rPr>
        <w:t>（五）法律、法规规定应当注销的其他情形。</w:t>
      </w:r>
    </w:p>
    <w:p w14:paraId="253D95DE">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第十八条 </w:t>
      </w:r>
      <w:r>
        <w:rPr>
          <w:rFonts w:hint="eastAsia" w:eastAsia="方正仿宋_GBK" w:cs="方正仿宋_GBK"/>
          <w:sz w:val="32"/>
          <w:szCs w:val="32"/>
        </w:rPr>
        <w:t xml:space="preserve"> </w:t>
      </w:r>
      <w:r>
        <w:rPr>
          <w:rFonts w:hint="eastAsia" w:hAnsi="方正仿宋_GBK" w:eastAsia="方正仿宋_GBK" w:cs="方正仿宋_GBK"/>
          <w:sz w:val="32"/>
          <w:szCs w:val="32"/>
        </w:rPr>
        <w:t>批准使用港口岸线后，如因企业更名或者控股权转移导致岸线实际使用人发生改变，或者改变批准的岸线用途，应当按照本细则规定的程序报原批准机关审批。</w:t>
      </w:r>
    </w:p>
    <w:p w14:paraId="338E8DD3">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第十九条 </w:t>
      </w:r>
      <w:r>
        <w:rPr>
          <w:rFonts w:hint="eastAsia" w:eastAsia="方正仿宋_GBK" w:cs="方正仿宋_GBK"/>
          <w:sz w:val="32"/>
          <w:szCs w:val="32"/>
        </w:rPr>
        <w:t xml:space="preserve"> </w:t>
      </w:r>
      <w:r>
        <w:rPr>
          <w:rFonts w:hint="eastAsia" w:hAnsi="方正仿宋_GBK" w:eastAsia="方正仿宋_GBK" w:cs="方正仿宋_GBK"/>
          <w:sz w:val="32"/>
          <w:szCs w:val="32"/>
        </w:rPr>
        <w:t>港口行政管理部门应当及时在相关政府网站发布港口岸线使用批准情况的信息。</w:t>
      </w:r>
    </w:p>
    <w:p w14:paraId="2CBB509F">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第二十条 </w:t>
      </w:r>
      <w:r>
        <w:rPr>
          <w:rFonts w:hint="eastAsia" w:eastAsia="方正仿宋_GBK" w:cs="方正仿宋_GBK"/>
          <w:sz w:val="32"/>
          <w:szCs w:val="32"/>
        </w:rPr>
        <w:t xml:space="preserve"> </w:t>
      </w:r>
      <w:r>
        <w:rPr>
          <w:rFonts w:hint="eastAsia" w:hAnsi="方正仿宋_GBK" w:eastAsia="方正仿宋_GBK" w:cs="方正仿宋_GBK"/>
          <w:sz w:val="32"/>
          <w:szCs w:val="32"/>
        </w:rPr>
        <w:t>使用港口岸线的港口设施项目未取得港口岸线使用批准文件或者交通运输部关于使用港口岸线的意见，不予批准港口设施项目水上水下活动许可。</w:t>
      </w:r>
    </w:p>
    <w:p w14:paraId="09B1561D">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eastAsia="方正黑体_GBK" w:cs="方正仿宋_GBK"/>
          <w:sz w:val="32"/>
          <w:szCs w:val="32"/>
        </w:rPr>
        <w:t xml:space="preserve">第二十一条 </w:t>
      </w:r>
      <w:r>
        <w:rPr>
          <w:rFonts w:hint="eastAsia" w:eastAsia="方正仿宋_GBK" w:cs="方正仿宋_GBK"/>
          <w:sz w:val="32"/>
          <w:szCs w:val="32"/>
        </w:rPr>
        <w:t xml:space="preserve"> </w:t>
      </w:r>
      <w:r>
        <w:rPr>
          <w:rFonts w:hint="eastAsia" w:hAnsi="方正仿宋_GBK" w:eastAsia="方正仿宋_GBK" w:cs="方正仿宋_GBK"/>
          <w:sz w:val="32"/>
          <w:szCs w:val="32"/>
        </w:rPr>
        <w:t>港口行政管理部门应加强港口岸线使用审批后项目建设、运营期的跟踪监管，并将有关信用信息纳入信用管理。</w:t>
      </w:r>
      <w:r>
        <w:rPr>
          <w:rFonts w:hint="eastAsia" w:eastAsia="方正仿宋_GBK" w:cs="方正仿宋_GBK"/>
          <w:sz w:val="32"/>
          <w:szCs w:val="32"/>
        </w:rPr>
        <w:t xml:space="preserve"> </w:t>
      </w:r>
    </w:p>
    <w:p w14:paraId="610C521B">
      <w:pPr>
        <w:keepNext w:val="0"/>
        <w:keepLines w:val="0"/>
        <w:pageBreakBefore w:val="0"/>
        <w:kinsoku/>
        <w:wordWrap/>
        <w:overflowPunct/>
        <w:topLinePunct w:val="0"/>
        <w:bidi w:val="0"/>
        <w:spacing w:line="570" w:lineRule="exact"/>
        <w:ind w:firstLine="640" w:firstLineChars="200"/>
        <w:textAlignment w:val="auto"/>
        <w:rPr>
          <w:rFonts w:hint="eastAsia" w:eastAsia="方正仿宋_GBK" w:cs="方正仿宋_GBK"/>
          <w:sz w:val="32"/>
          <w:szCs w:val="32"/>
        </w:rPr>
      </w:pPr>
      <w:r>
        <w:rPr>
          <w:rFonts w:hint="eastAsia" w:hAnsi="方正仿宋_GBK" w:eastAsia="方正仿宋_GBK" w:cs="方正仿宋_GBK"/>
          <w:sz w:val="32"/>
          <w:szCs w:val="32"/>
        </w:rPr>
        <w:t>交通行政执法机构应加强日常巡查检查，对码头存在超出批准范围或功能使用</w:t>
      </w:r>
      <w:r>
        <w:rPr>
          <w:rFonts w:hint="eastAsia" w:hAnsi="方正仿宋_GBK" w:eastAsia="方正仿宋_GBK" w:cs="方正仿宋_GBK"/>
          <w:color w:val="000000"/>
          <w:sz w:val="32"/>
          <w:szCs w:val="32"/>
        </w:rPr>
        <w:t>岸线、违反规划建设港口设施或未经批准建设港口设施使用港口岸线等违法</w:t>
      </w:r>
      <w:r>
        <w:rPr>
          <w:rFonts w:hint="eastAsia" w:hAnsi="方正仿宋_GBK" w:eastAsia="方正仿宋_GBK" w:cs="方正仿宋_GBK"/>
          <w:sz w:val="32"/>
          <w:szCs w:val="32"/>
        </w:rPr>
        <w:t>行为及时依法查处。</w:t>
      </w:r>
    </w:p>
    <w:p w14:paraId="4A0FA9A7">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hAnsi="方正仿宋_GBK" w:eastAsia="方正仿宋_GBK" w:cs="方正仿宋_GBK"/>
          <w:sz w:val="32"/>
          <w:szCs w:val="32"/>
        </w:rPr>
        <w:t>港航海事机构应加强日常检查，对发现的违法违规使用港口岸线的情形及时通报交通行政执法机构。</w:t>
      </w:r>
    </w:p>
    <w:p w14:paraId="5A60EEE5">
      <w:pPr>
        <w:keepNext w:val="0"/>
        <w:keepLines w:val="0"/>
        <w:pageBreakBefore w:val="0"/>
        <w:kinsoku/>
        <w:wordWrap/>
        <w:overflowPunct/>
        <w:topLinePunct w:val="0"/>
        <w:bidi w:val="0"/>
        <w:spacing w:line="570" w:lineRule="exact"/>
        <w:ind w:firstLine="640" w:firstLineChars="200"/>
        <w:textAlignment w:val="auto"/>
        <w:rPr>
          <w:rFonts w:eastAsia="方正仿宋_GBK"/>
          <w:color w:val="FF0000"/>
          <w:sz w:val="32"/>
          <w:szCs w:val="32"/>
        </w:rPr>
      </w:pPr>
      <w:r>
        <w:rPr>
          <w:rFonts w:hint="eastAsia" w:eastAsia="方正黑体_GBK" w:cs="方正仿宋_GBK"/>
          <w:sz w:val="32"/>
          <w:szCs w:val="32"/>
        </w:rPr>
        <w:t xml:space="preserve">第二十二条 </w:t>
      </w:r>
      <w:r>
        <w:rPr>
          <w:rFonts w:hint="eastAsia" w:eastAsia="方正仿宋_GBK" w:cs="方正仿宋_GBK"/>
          <w:sz w:val="32"/>
          <w:szCs w:val="32"/>
        </w:rPr>
        <w:t xml:space="preserve"> </w:t>
      </w:r>
      <w:r>
        <w:rPr>
          <w:rFonts w:hint="eastAsia" w:hAnsi="方正仿宋_GBK" w:eastAsia="方正仿宋_GBK" w:cs="方正仿宋_GBK"/>
          <w:sz w:val="32"/>
          <w:szCs w:val="32"/>
        </w:rPr>
        <w:t>港口岸线使用审批机关及相关人员滥用职权、玩忽职守、徇私舞弊的，由有关行政主管部门予以行政处分；构成犯罪的，由司法机关依法追究刑事责任。</w:t>
      </w:r>
    </w:p>
    <w:p w14:paraId="7A064019">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第二十三条 </w:t>
      </w:r>
      <w:r>
        <w:rPr>
          <w:rFonts w:hint="eastAsia" w:eastAsia="方正仿宋_GBK" w:cs="方正仿宋_GBK"/>
          <w:sz w:val="32"/>
          <w:szCs w:val="32"/>
        </w:rPr>
        <w:t xml:space="preserve"> </w:t>
      </w:r>
      <w:r>
        <w:rPr>
          <w:rFonts w:hint="eastAsia" w:hAnsi="方正仿宋_GBK" w:eastAsia="方正仿宋_GBK" w:cs="方正仿宋_GBK"/>
          <w:sz w:val="32"/>
          <w:szCs w:val="32"/>
        </w:rPr>
        <w:t>港口岸线使用人隐瞒有关情况或者提供虚假材料申请岸线使用许可的，不予受理或者不予许可。港口岸线申请人以欺骗、贿赂等不当手段取得港口岸线使用许可的，应当予以撤销。</w:t>
      </w:r>
    </w:p>
    <w:p w14:paraId="76D68E51">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第二十四条 </w:t>
      </w:r>
      <w:r>
        <w:rPr>
          <w:rFonts w:hint="eastAsia" w:eastAsia="方正仿宋_GBK" w:cs="方正仿宋_GBK"/>
          <w:sz w:val="32"/>
          <w:szCs w:val="32"/>
        </w:rPr>
        <w:t xml:space="preserve"> </w:t>
      </w:r>
      <w:r>
        <w:rPr>
          <w:rFonts w:hint="eastAsia" w:hAnsi="方正仿宋_GBK" w:eastAsia="方正仿宋_GBK" w:cs="方正仿宋_GBK"/>
          <w:sz w:val="32"/>
          <w:szCs w:val="32"/>
        </w:rPr>
        <w:t>未按本细则规定取得使用港口岸线的批准，擅自使用岸线的，由交通行政执法机构依照《中华人民共和国港口法》第四十六条的规定予以处罚。</w:t>
      </w:r>
    </w:p>
    <w:p w14:paraId="36D00DDA">
      <w:pPr>
        <w:keepNext w:val="0"/>
        <w:keepLines w:val="0"/>
        <w:pageBreakBefore w:val="0"/>
        <w:kinsoku/>
        <w:wordWrap/>
        <w:overflowPunct/>
        <w:topLinePunct w:val="0"/>
        <w:bidi w:val="0"/>
        <w:spacing w:line="570" w:lineRule="exact"/>
        <w:ind w:firstLine="640" w:firstLineChars="200"/>
        <w:textAlignment w:val="auto"/>
        <w:rPr>
          <w:rFonts w:eastAsia="方正仿宋_GBK"/>
          <w:sz w:val="32"/>
          <w:szCs w:val="32"/>
        </w:rPr>
      </w:pPr>
      <w:r>
        <w:rPr>
          <w:rFonts w:hint="eastAsia" w:eastAsia="方正黑体_GBK" w:cs="方正仿宋_GBK"/>
          <w:sz w:val="32"/>
          <w:szCs w:val="32"/>
        </w:rPr>
        <w:t xml:space="preserve">第二十五条 </w:t>
      </w:r>
      <w:r>
        <w:rPr>
          <w:rFonts w:hint="eastAsia" w:eastAsia="方正仿宋_GBK" w:cs="方正仿宋_GBK"/>
          <w:sz w:val="32"/>
          <w:szCs w:val="32"/>
        </w:rPr>
        <w:t xml:space="preserve"> </w:t>
      </w:r>
      <w:r>
        <w:rPr>
          <w:rFonts w:hint="eastAsia" w:hAnsi="方正仿宋_GBK" w:eastAsia="方正仿宋_GBK" w:cs="方正仿宋_GBK"/>
          <w:sz w:val="32"/>
          <w:szCs w:val="32"/>
        </w:rPr>
        <w:t>本通知自发布之日起实施。</w:t>
      </w:r>
    </w:p>
    <w:bookmarkEnd w:id="0"/>
    <w:bookmarkEnd w:id="1"/>
    <w:p w14:paraId="407E4E50">
      <w:pPr>
        <w:keepNext w:val="0"/>
        <w:keepLines w:val="0"/>
        <w:pageBreakBefore w:val="0"/>
        <w:kinsoku/>
        <w:wordWrap/>
        <w:overflowPunct/>
        <w:topLinePunct w:val="0"/>
        <w:bidi w:val="0"/>
        <w:spacing w:line="570" w:lineRule="exact"/>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381F">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63BF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1C63BF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96C4EE8">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6813C374">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FF3C">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2679D8"/>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9108A1"/>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600" w:lineRule="exact"/>
      <w:jc w:val="center"/>
      <w:outlineLvl w:val="0"/>
    </w:pPr>
    <w:rPr>
      <w:rFonts w:eastAsia="方正小标宋_GBK"/>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next w:val="6"/>
    <w:qFormat/>
    <w:uiPriority w:val="0"/>
    <w:pPr>
      <w:widowControl w:val="0"/>
      <w:snapToGrid w:val="0"/>
      <w:spacing w:line="300" w:lineRule="auto"/>
      <w:jc w:val="both"/>
    </w:pPr>
    <w:rPr>
      <w:rFonts w:ascii="Times New Roman" w:hAnsi="Times New Roman" w:eastAsia="宋体" w:cs="Times New Roman"/>
      <w:kern w:val="2"/>
      <w:sz w:val="24"/>
      <w:lang w:val="en-US" w:eastAsia="zh-CN" w:bidi="ar-SA"/>
    </w:rPr>
  </w:style>
  <w:style w:type="paragraph" w:styleId="6">
    <w:name w:val="Balloon Text"/>
    <w:basedOn w:val="1"/>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 w:type="character" w:customStyle="1" w:styleId="14">
    <w:name w:val="NormalCharacter"/>
    <w:semiHidden/>
    <w:qFormat/>
    <w:uiPriority w:val="0"/>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2024-12-12T08:49:27Z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F8D061CE41D84155A8D78C86FA7BA3BC_13</vt:lpwstr>
  </property>
</Properties>
</file>