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325FF3">
      <w:pPr>
        <w:keepNext w:val="0"/>
        <w:keepLines w:val="0"/>
        <w:pageBreakBefore w:val="0"/>
        <w:widowControl w:val="0"/>
        <w:kinsoku/>
        <w:wordWrap/>
        <w:topLinePunct w:val="0"/>
        <w:bidi w:val="0"/>
        <w:adjustRightInd/>
        <w:spacing w:line="600" w:lineRule="exact"/>
        <w:textAlignment w:val="auto"/>
        <w:rPr>
          <w:rFonts w:hint="eastAsia" w:eastAsia="仿宋_GB2312"/>
          <w:sz w:val="32"/>
        </w:rPr>
      </w:pPr>
    </w:p>
    <w:p w14:paraId="77B7F943">
      <w:pPr>
        <w:keepNext w:val="0"/>
        <w:keepLines w:val="0"/>
        <w:pageBreakBefore w:val="0"/>
        <w:widowControl w:val="0"/>
        <w:kinsoku/>
        <w:wordWrap/>
        <w:topLinePunct w:val="0"/>
        <w:bidi w:val="0"/>
        <w:adjustRightInd/>
        <w:spacing w:line="600" w:lineRule="exact"/>
        <w:textAlignment w:val="auto"/>
        <w:rPr>
          <w:rFonts w:hint="eastAsia"/>
          <w:sz w:val="28"/>
        </w:rPr>
      </w:pPr>
    </w:p>
    <w:p w14:paraId="51A27C2A">
      <w:pPr>
        <w:keepNext w:val="0"/>
        <w:keepLines w:val="0"/>
        <w:pageBreakBefore w:val="0"/>
        <w:widowControl w:val="0"/>
        <w:kinsoku/>
        <w:wordWrap/>
        <w:topLinePunct w:val="0"/>
        <w:bidi w:val="0"/>
        <w:adjustRightInd/>
        <w:snapToGrid w:val="0"/>
        <w:spacing w:line="600" w:lineRule="exact"/>
        <w:jc w:val="center"/>
        <w:textAlignment w:val="auto"/>
        <w:rPr>
          <w:rFonts w:hint="eastAsia" w:eastAsia="方正小标宋_GBK"/>
          <w:sz w:val="44"/>
          <w:szCs w:val="44"/>
        </w:rPr>
      </w:pPr>
      <w:r>
        <w:rPr>
          <w:rFonts w:hint="eastAsia" w:eastAsia="方正小标宋_GBK"/>
          <w:sz w:val="44"/>
          <w:szCs w:val="44"/>
        </w:rPr>
        <w:t>重庆市交通运输委员会关于</w:t>
      </w:r>
    </w:p>
    <w:p w14:paraId="122DECBD">
      <w:pPr>
        <w:keepNext w:val="0"/>
        <w:keepLines w:val="0"/>
        <w:pageBreakBefore w:val="0"/>
        <w:widowControl w:val="0"/>
        <w:kinsoku/>
        <w:wordWrap/>
        <w:topLinePunct w:val="0"/>
        <w:bidi w:val="0"/>
        <w:adjustRightInd/>
        <w:snapToGrid w:val="0"/>
        <w:spacing w:line="600" w:lineRule="exact"/>
        <w:jc w:val="center"/>
        <w:textAlignment w:val="auto"/>
        <w:rPr>
          <w:rFonts w:hint="eastAsia" w:eastAsia="方正小标宋_GBK"/>
          <w:sz w:val="44"/>
          <w:szCs w:val="44"/>
        </w:rPr>
      </w:pPr>
      <w:r>
        <w:rPr>
          <w:rFonts w:hint="eastAsia" w:eastAsia="方正小标宋_GBK"/>
          <w:bCs/>
          <w:sz w:val="44"/>
          <w:szCs w:val="44"/>
        </w:rPr>
        <w:t>印发</w:t>
      </w:r>
      <w:r>
        <w:rPr>
          <w:rFonts w:hint="eastAsia" w:eastAsia="方正小标宋_GBK"/>
          <w:sz w:val="44"/>
          <w:szCs w:val="44"/>
        </w:rPr>
        <w:t>《重庆市水运工程造价管理办法》的通知</w:t>
      </w:r>
    </w:p>
    <w:p w14:paraId="66B7CB35">
      <w:pPr>
        <w:keepNext w:val="0"/>
        <w:keepLines w:val="0"/>
        <w:pageBreakBefore w:val="0"/>
        <w:widowControl w:val="0"/>
        <w:kinsoku/>
        <w:wordWrap/>
        <w:topLinePunct w:val="0"/>
        <w:bidi w:val="0"/>
        <w:adjustRightInd/>
        <w:snapToGrid w:val="0"/>
        <w:spacing w:line="600" w:lineRule="exact"/>
        <w:jc w:val="center"/>
        <w:textAlignment w:val="auto"/>
        <w:rPr>
          <w:rFonts w:hint="eastAsia" w:eastAsia="方正小标宋_GBK"/>
          <w:sz w:val="44"/>
          <w:szCs w:val="44"/>
        </w:rPr>
      </w:pPr>
      <w:r>
        <w:rPr>
          <w:rFonts w:hint="eastAsia" w:eastAsia="方正仿宋_GBK"/>
          <w:color w:val="000000"/>
          <w:sz w:val="32"/>
        </w:rPr>
        <w:t>渝交规〔2024〕1号</w:t>
      </w:r>
    </w:p>
    <w:p w14:paraId="00C4A957">
      <w:pPr>
        <w:keepNext w:val="0"/>
        <w:keepLines w:val="0"/>
        <w:pageBreakBefore w:val="0"/>
        <w:widowControl w:val="0"/>
        <w:kinsoku/>
        <w:wordWrap/>
        <w:overflowPunct w:val="0"/>
        <w:topLinePunct w:val="0"/>
        <w:bidi w:val="0"/>
        <w:adjustRightInd/>
        <w:spacing w:line="600" w:lineRule="exact"/>
        <w:textAlignment w:val="auto"/>
        <w:rPr>
          <w:rFonts w:hint="eastAsia" w:eastAsia="方正仿宋_GBK" w:cs="Nimbus Roman"/>
          <w:sz w:val="32"/>
          <w:szCs w:val="32"/>
        </w:rPr>
      </w:pPr>
    </w:p>
    <w:p w14:paraId="422E1129">
      <w:pPr>
        <w:keepNext w:val="0"/>
        <w:keepLines w:val="0"/>
        <w:pageBreakBefore w:val="0"/>
        <w:widowControl w:val="0"/>
        <w:kinsoku/>
        <w:wordWrap/>
        <w:overflowPunct w:val="0"/>
        <w:topLinePunct w:val="0"/>
        <w:bidi w:val="0"/>
        <w:adjustRightInd/>
        <w:spacing w:line="600" w:lineRule="exact"/>
        <w:textAlignment w:val="auto"/>
        <w:rPr>
          <w:rFonts w:eastAsia="方正仿宋_GBK" w:cs="Nimbus Roman"/>
          <w:sz w:val="32"/>
          <w:szCs w:val="32"/>
        </w:rPr>
      </w:pPr>
      <w:r>
        <w:rPr>
          <w:rFonts w:eastAsia="方正仿宋_GBK" w:cs="Nimbus Roman"/>
          <w:sz w:val="32"/>
          <w:szCs w:val="32"/>
        </w:rPr>
        <w:t>各区县（自治县）交通</w:t>
      </w:r>
      <w:r>
        <w:rPr>
          <w:rFonts w:hint="eastAsia" w:eastAsia="方正仿宋_GBK" w:cs="Nimbus Roman"/>
          <w:sz w:val="32"/>
          <w:szCs w:val="32"/>
        </w:rPr>
        <w:t>运输委</w:t>
      </w:r>
      <w:r>
        <w:rPr>
          <w:rFonts w:eastAsia="方正仿宋_GBK" w:cs="Nimbus Roman"/>
          <w:sz w:val="32"/>
          <w:szCs w:val="32"/>
        </w:rPr>
        <w:t>、万盛经开区交通运输局、两江新区城管局、高新区城市建设事务中心，</w:t>
      </w:r>
      <w:r>
        <w:rPr>
          <w:rFonts w:hint="eastAsia" w:eastAsia="方正仿宋_GBK" w:cs="Nimbus Roman"/>
          <w:sz w:val="32"/>
          <w:szCs w:val="32"/>
        </w:rPr>
        <w:t>市港航海事中心、市交通造价站，各在建项目建设单位，有关单位</w:t>
      </w:r>
      <w:r>
        <w:rPr>
          <w:rFonts w:eastAsia="方正仿宋_GBK" w:cs="Nimbus Roman"/>
          <w:sz w:val="32"/>
          <w:szCs w:val="32"/>
        </w:rPr>
        <w:t>：</w:t>
      </w:r>
    </w:p>
    <w:p w14:paraId="3CC70EBE">
      <w:pPr>
        <w:keepNext w:val="0"/>
        <w:keepLines w:val="0"/>
        <w:pageBreakBefore w:val="0"/>
        <w:widowControl w:val="0"/>
        <w:tabs>
          <w:tab w:val="left" w:pos="7920"/>
        </w:tabs>
        <w:kinsoku/>
        <w:wordWrap/>
        <w:topLinePunct w:val="0"/>
        <w:bidi w:val="0"/>
        <w:adjustRightInd/>
        <w:spacing w:line="600" w:lineRule="exact"/>
        <w:ind w:firstLine="640" w:firstLineChars="200"/>
        <w:textAlignment w:val="auto"/>
        <w:rPr>
          <w:rFonts w:eastAsia="方正仿宋_GBK" w:cs="Nimbus Roman"/>
          <w:sz w:val="32"/>
          <w:szCs w:val="32"/>
        </w:rPr>
      </w:pPr>
      <w:r>
        <w:rPr>
          <w:rFonts w:eastAsia="方正仿宋_GBK" w:cs="Nimbus Roman"/>
          <w:sz w:val="32"/>
          <w:szCs w:val="32"/>
        </w:rPr>
        <w:t>为进一步规范全市</w:t>
      </w:r>
      <w:r>
        <w:rPr>
          <w:rFonts w:hint="eastAsia" w:eastAsia="方正仿宋_GBK" w:cs="Nimbus Roman"/>
          <w:sz w:val="32"/>
          <w:szCs w:val="32"/>
        </w:rPr>
        <w:t>水运</w:t>
      </w:r>
      <w:r>
        <w:rPr>
          <w:rFonts w:eastAsia="方正仿宋_GBK" w:cs="Nimbus Roman"/>
          <w:sz w:val="32"/>
          <w:szCs w:val="32"/>
        </w:rPr>
        <w:t>工程造价监督管理，</w:t>
      </w:r>
      <w:r>
        <w:rPr>
          <w:rFonts w:hint="eastAsia" w:eastAsia="方正仿宋_GBK" w:cs="Nimbus Roman"/>
          <w:sz w:val="32"/>
          <w:szCs w:val="32"/>
        </w:rPr>
        <w:t>我委</w:t>
      </w:r>
      <w:r>
        <w:rPr>
          <w:rFonts w:eastAsia="方正仿宋_GBK" w:cs="Nimbus Roman"/>
          <w:sz w:val="32"/>
          <w:szCs w:val="32"/>
        </w:rPr>
        <w:t>根据交通运输部</w:t>
      </w:r>
      <w:r>
        <w:rPr>
          <w:rFonts w:hint="eastAsia" w:eastAsia="方正仿宋_GBK" w:cs="Nimbus Roman"/>
          <w:sz w:val="32"/>
          <w:szCs w:val="32"/>
        </w:rPr>
        <w:t>《水运建设市场监督管理办法》、《港口工程建设管理规定》、《航道工程建设管理规定》和</w:t>
      </w:r>
      <w:r>
        <w:rPr>
          <w:rFonts w:eastAsia="方正仿宋_GBK" w:cs="Nimbus Roman"/>
          <w:sz w:val="32"/>
          <w:szCs w:val="32"/>
        </w:rPr>
        <w:t>《重庆市建设工程造价管理规定》等有关规定，结合我市实际制定</w:t>
      </w:r>
      <w:r>
        <w:rPr>
          <w:rFonts w:hint="eastAsia" w:eastAsia="方正仿宋_GBK" w:cs="Nimbus Roman"/>
          <w:sz w:val="32"/>
          <w:szCs w:val="32"/>
        </w:rPr>
        <w:t>了《重庆市水运工程造价管理办法》，</w:t>
      </w:r>
      <w:r>
        <w:rPr>
          <w:rFonts w:eastAsia="方正仿宋_GBK" w:cs="Nimbus Roman"/>
          <w:sz w:val="32"/>
          <w:szCs w:val="32"/>
        </w:rPr>
        <w:t>已经202</w:t>
      </w:r>
      <w:r>
        <w:rPr>
          <w:rFonts w:hint="eastAsia" w:eastAsia="方正仿宋_GBK" w:cs="Nimbus Roman"/>
          <w:sz w:val="32"/>
          <w:szCs w:val="32"/>
        </w:rPr>
        <w:t>4</w:t>
      </w:r>
      <w:r>
        <w:rPr>
          <w:rFonts w:eastAsia="方正仿宋_GBK" w:cs="Nimbus Roman"/>
          <w:sz w:val="32"/>
          <w:szCs w:val="32"/>
        </w:rPr>
        <w:t>年第</w:t>
      </w:r>
      <w:r>
        <w:rPr>
          <w:rFonts w:hint="eastAsia" w:eastAsia="方正仿宋_GBK" w:cs="Nimbus Roman"/>
          <w:sz w:val="32"/>
          <w:szCs w:val="32"/>
        </w:rPr>
        <w:t>8</w:t>
      </w:r>
      <w:r>
        <w:rPr>
          <w:rFonts w:eastAsia="方正仿宋_GBK" w:cs="Nimbus Roman"/>
          <w:sz w:val="32"/>
          <w:szCs w:val="32"/>
        </w:rPr>
        <w:t>次</w:t>
      </w:r>
      <w:r>
        <w:rPr>
          <w:rFonts w:hint="eastAsia" w:eastAsia="方正仿宋_GBK" w:cs="Nimbus Roman"/>
          <w:sz w:val="32"/>
          <w:szCs w:val="32"/>
        </w:rPr>
        <w:t>主任</w:t>
      </w:r>
      <w:r>
        <w:rPr>
          <w:rFonts w:eastAsia="方正仿宋_GBK" w:cs="Nimbus Roman"/>
          <w:sz w:val="32"/>
          <w:szCs w:val="32"/>
        </w:rPr>
        <w:t>办公会审议通过，现印发你们，请遵照执行。</w:t>
      </w:r>
    </w:p>
    <w:p w14:paraId="3EB7A20A">
      <w:pPr>
        <w:pStyle w:val="11"/>
        <w:keepNext w:val="0"/>
        <w:keepLines w:val="0"/>
        <w:pageBreakBefore w:val="0"/>
        <w:widowControl w:val="0"/>
        <w:kinsoku/>
        <w:wordWrap/>
        <w:topLinePunct w:val="0"/>
        <w:bidi w:val="0"/>
        <w:adjustRightInd/>
        <w:spacing w:line="600" w:lineRule="exact"/>
        <w:textAlignment w:val="auto"/>
        <w:rPr>
          <w:rFonts w:hint="eastAsia" w:ascii="Times New Roman" w:hAnsi="Times New Roman" w:eastAsia="方正仿宋_GBK" w:cs="Nimbus Roman"/>
          <w:color w:val="auto"/>
          <w:kern w:val="2"/>
          <w:sz w:val="32"/>
          <w:szCs w:val="32"/>
        </w:rPr>
      </w:pPr>
    </w:p>
    <w:p w14:paraId="7802C099">
      <w:pPr>
        <w:pStyle w:val="11"/>
        <w:keepNext w:val="0"/>
        <w:keepLines w:val="0"/>
        <w:pageBreakBefore w:val="0"/>
        <w:widowControl w:val="0"/>
        <w:kinsoku/>
        <w:wordWrap w:val="0"/>
        <w:topLinePunct w:val="0"/>
        <w:bidi w:val="0"/>
        <w:adjustRightInd/>
        <w:spacing w:line="600" w:lineRule="exact"/>
        <w:ind w:firstLine="4800" w:firstLineChars="1500"/>
        <w:jc w:val="right"/>
        <w:textAlignment w:val="auto"/>
        <w:rPr>
          <w:rFonts w:hint="default" w:ascii="Times New Roman" w:hAnsi="Times New Roman" w:eastAsia="方正仿宋_GBK" w:cs="Nimbus Roman"/>
          <w:color w:val="auto"/>
          <w:sz w:val="32"/>
          <w:szCs w:val="32"/>
          <w:lang w:val="en-US" w:eastAsia="zh-CN"/>
        </w:rPr>
      </w:pPr>
      <w:r>
        <w:rPr>
          <w:rFonts w:ascii="Times New Roman" w:hAnsi="Times New Roman" w:eastAsia="方正仿宋_GBK" w:cs="Nimbus Roman"/>
          <w:color w:val="auto"/>
          <w:sz w:val="32"/>
          <w:szCs w:val="32"/>
        </w:rPr>
        <w:t>重庆市交通</w:t>
      </w:r>
      <w:r>
        <w:rPr>
          <w:rFonts w:hint="eastAsia" w:ascii="Times New Roman" w:hAnsi="Times New Roman" w:eastAsia="方正仿宋_GBK" w:cs="Nimbus Roman"/>
          <w:color w:val="auto"/>
          <w:sz w:val="32"/>
          <w:szCs w:val="32"/>
        </w:rPr>
        <w:t>运输委员会</w:t>
      </w:r>
      <w:r>
        <w:rPr>
          <w:rFonts w:hint="eastAsia" w:ascii="Times New Roman" w:hAnsi="Times New Roman" w:eastAsia="方正仿宋_GBK" w:cs="Nimbus Roman"/>
          <w:color w:val="auto"/>
          <w:sz w:val="32"/>
          <w:szCs w:val="32"/>
          <w:lang w:val="en-US" w:eastAsia="zh-CN"/>
        </w:rPr>
        <w:t xml:space="preserve">    </w:t>
      </w:r>
    </w:p>
    <w:p w14:paraId="71EC32DB">
      <w:pPr>
        <w:pStyle w:val="11"/>
        <w:keepNext w:val="0"/>
        <w:keepLines w:val="0"/>
        <w:pageBreakBefore w:val="0"/>
        <w:widowControl w:val="0"/>
        <w:kinsoku/>
        <w:wordWrap w:val="0"/>
        <w:topLinePunct w:val="0"/>
        <w:bidi w:val="0"/>
        <w:adjustRightInd/>
        <w:spacing w:line="600" w:lineRule="exact"/>
        <w:ind w:firstLine="5440" w:firstLineChars="1700"/>
        <w:jc w:val="right"/>
        <w:textAlignment w:val="auto"/>
        <w:rPr>
          <w:rFonts w:hint="default" w:ascii="Times New Roman" w:hAnsi="Times New Roman" w:eastAsia="方正仿宋_GBK"/>
          <w:color w:val="auto"/>
          <w:sz w:val="32"/>
          <w:szCs w:val="32"/>
          <w:lang w:val="en-US" w:eastAsia="zh-CN"/>
        </w:rPr>
      </w:pPr>
      <w:r>
        <w:rPr>
          <w:rFonts w:ascii="Times New Roman" w:hAnsi="Times New Roman" w:eastAsia="方正仿宋_GBK" w:cs="Nimbus Roman"/>
          <w:color w:val="auto"/>
          <w:sz w:val="32"/>
          <w:szCs w:val="32"/>
        </w:rPr>
        <w:t>202</w:t>
      </w:r>
      <w:r>
        <w:rPr>
          <w:rFonts w:hint="eastAsia" w:ascii="Times New Roman" w:hAnsi="Times New Roman" w:eastAsia="方正仿宋_GBK" w:cs="Nimbus Roman"/>
          <w:color w:val="auto"/>
          <w:sz w:val="32"/>
          <w:szCs w:val="32"/>
        </w:rPr>
        <w:t>4</w:t>
      </w:r>
      <w:r>
        <w:rPr>
          <w:rFonts w:ascii="Times New Roman" w:hAnsi="Times New Roman" w:eastAsia="方正仿宋_GBK" w:cs="Nimbus Roman"/>
          <w:color w:val="auto"/>
          <w:sz w:val="32"/>
          <w:szCs w:val="32"/>
        </w:rPr>
        <w:t>年</w:t>
      </w:r>
      <w:r>
        <w:rPr>
          <w:rFonts w:hint="eastAsia" w:ascii="Times New Roman" w:hAnsi="Times New Roman" w:eastAsia="方正仿宋_GBK" w:cs="Nimbus Roman"/>
          <w:color w:val="auto"/>
          <w:sz w:val="32"/>
          <w:szCs w:val="32"/>
        </w:rPr>
        <w:t>10</w:t>
      </w:r>
      <w:r>
        <w:rPr>
          <w:rFonts w:ascii="Times New Roman" w:hAnsi="Times New Roman" w:eastAsia="方正仿宋_GBK" w:cs="Nimbus Roman"/>
          <w:color w:val="auto"/>
          <w:sz w:val="32"/>
          <w:szCs w:val="32"/>
        </w:rPr>
        <w:t>月</w:t>
      </w:r>
      <w:r>
        <w:rPr>
          <w:rFonts w:hint="eastAsia" w:ascii="Times New Roman" w:hAnsi="Times New Roman" w:eastAsia="方正仿宋_GBK" w:cs="Nimbus Roman"/>
          <w:color w:val="auto"/>
          <w:sz w:val="32"/>
          <w:szCs w:val="32"/>
        </w:rPr>
        <w:t>11</w:t>
      </w:r>
      <w:r>
        <w:rPr>
          <w:rFonts w:ascii="Times New Roman" w:hAnsi="Times New Roman" w:eastAsia="方正仿宋_GBK" w:cs="Nimbus Roman"/>
          <w:color w:val="auto"/>
          <w:sz w:val="32"/>
          <w:szCs w:val="32"/>
        </w:rPr>
        <w:t>日</w:t>
      </w:r>
      <w:r>
        <w:rPr>
          <w:rFonts w:hint="eastAsia" w:ascii="Times New Roman" w:hAnsi="Times New Roman" w:eastAsia="方正仿宋_GBK" w:cs="Nimbus Roman"/>
          <w:color w:val="auto"/>
          <w:sz w:val="32"/>
          <w:szCs w:val="32"/>
          <w:lang w:val="en-US" w:eastAsia="zh-CN"/>
        </w:rPr>
        <w:t xml:space="preserve">       </w:t>
      </w:r>
    </w:p>
    <w:p w14:paraId="5992B396">
      <w:pPr>
        <w:keepNext w:val="0"/>
        <w:keepLines w:val="0"/>
        <w:pageBreakBefore w:val="0"/>
        <w:widowControl w:val="0"/>
        <w:kinsoku/>
        <w:wordWrap/>
        <w:topLinePunct w:val="0"/>
        <w:bidi w:val="0"/>
        <w:adjustRightInd/>
        <w:spacing w:line="600" w:lineRule="exact"/>
        <w:textAlignment w:val="auto"/>
        <w:rPr>
          <w:rFonts w:hint="eastAsia" w:eastAsia="方正小标宋_GBK" w:cs="Nimbus Roman"/>
          <w:sz w:val="44"/>
          <w:szCs w:val="44"/>
        </w:rPr>
      </w:pPr>
    </w:p>
    <w:p w14:paraId="41034AFB">
      <w:pPr>
        <w:keepNext w:val="0"/>
        <w:keepLines w:val="0"/>
        <w:pageBreakBefore w:val="0"/>
        <w:widowControl w:val="0"/>
        <w:kinsoku/>
        <w:wordWrap/>
        <w:topLinePunct w:val="0"/>
        <w:bidi w:val="0"/>
        <w:adjustRightInd/>
        <w:spacing w:line="600" w:lineRule="exact"/>
        <w:textAlignment w:val="auto"/>
        <w:rPr>
          <w:rFonts w:hint="eastAsia" w:eastAsia="方正小标宋_GBK" w:cs="Nimbus Roman"/>
          <w:sz w:val="44"/>
          <w:szCs w:val="44"/>
        </w:rPr>
      </w:pPr>
    </w:p>
    <w:p w14:paraId="3C6C7F9F">
      <w:pPr>
        <w:keepNext w:val="0"/>
        <w:keepLines w:val="0"/>
        <w:pageBreakBefore w:val="0"/>
        <w:widowControl w:val="0"/>
        <w:kinsoku/>
        <w:wordWrap/>
        <w:topLinePunct w:val="0"/>
        <w:bidi w:val="0"/>
        <w:adjustRightInd/>
        <w:spacing w:line="600" w:lineRule="exact"/>
        <w:textAlignment w:val="auto"/>
        <w:rPr>
          <w:rFonts w:hint="eastAsia" w:eastAsia="方正小标宋_GBK" w:cs="Nimbus Roman"/>
          <w:sz w:val="44"/>
          <w:szCs w:val="44"/>
        </w:rPr>
      </w:pPr>
    </w:p>
    <w:p w14:paraId="1382E2E0">
      <w:pPr>
        <w:keepNext w:val="0"/>
        <w:keepLines w:val="0"/>
        <w:pageBreakBefore w:val="0"/>
        <w:widowControl w:val="0"/>
        <w:kinsoku/>
        <w:wordWrap/>
        <w:topLinePunct w:val="0"/>
        <w:bidi w:val="0"/>
        <w:adjustRightInd/>
        <w:spacing w:line="600" w:lineRule="exact"/>
        <w:jc w:val="center"/>
        <w:textAlignment w:val="auto"/>
        <w:rPr>
          <w:rFonts w:hint="eastAsia" w:eastAsia="方正小标宋_GBK"/>
          <w:sz w:val="44"/>
          <w:szCs w:val="44"/>
        </w:rPr>
      </w:pPr>
    </w:p>
    <w:p w14:paraId="2EE3EA64">
      <w:pPr>
        <w:keepNext w:val="0"/>
        <w:keepLines w:val="0"/>
        <w:pageBreakBefore w:val="0"/>
        <w:widowControl w:val="0"/>
        <w:kinsoku/>
        <w:wordWrap/>
        <w:topLinePunct w:val="0"/>
        <w:bidi w:val="0"/>
        <w:adjustRightInd/>
        <w:spacing w:line="600" w:lineRule="exact"/>
        <w:jc w:val="center"/>
        <w:textAlignment w:val="auto"/>
        <w:rPr>
          <w:rFonts w:hint="eastAsia" w:eastAsia="方正小标宋_GBK"/>
          <w:sz w:val="44"/>
          <w:szCs w:val="44"/>
        </w:rPr>
      </w:pPr>
      <w:r>
        <w:rPr>
          <w:rFonts w:hint="eastAsia" w:eastAsia="方正小标宋_GBK"/>
          <w:sz w:val="44"/>
          <w:szCs w:val="44"/>
        </w:rPr>
        <w:t>重庆市水运工程造价管理办法</w:t>
      </w:r>
    </w:p>
    <w:p w14:paraId="40C1EA6A">
      <w:pPr>
        <w:keepNext w:val="0"/>
        <w:keepLines w:val="0"/>
        <w:pageBreakBefore w:val="0"/>
        <w:widowControl w:val="0"/>
        <w:kinsoku/>
        <w:wordWrap/>
        <w:topLinePunct w:val="0"/>
        <w:bidi w:val="0"/>
        <w:adjustRightInd/>
        <w:spacing w:line="600" w:lineRule="exact"/>
        <w:jc w:val="center"/>
        <w:textAlignment w:val="auto"/>
        <w:rPr>
          <w:rFonts w:eastAsia="方正小标宋_GBK"/>
          <w:sz w:val="44"/>
          <w:szCs w:val="44"/>
        </w:rPr>
      </w:pPr>
    </w:p>
    <w:p w14:paraId="71321172">
      <w:pPr>
        <w:pStyle w:val="12"/>
        <w:keepNext w:val="0"/>
        <w:keepLines w:val="0"/>
        <w:pageBreakBefore w:val="0"/>
        <w:widowControl w:val="0"/>
        <w:numPr>
          <w:ilvl w:val="0"/>
          <w:numId w:val="1"/>
        </w:numPr>
        <w:kinsoku/>
        <w:wordWrap/>
        <w:topLinePunct w:val="0"/>
        <w:bidi w:val="0"/>
        <w:adjustRightInd/>
        <w:spacing w:line="600" w:lineRule="exact"/>
        <w:ind w:left="743" w:hanging="743" w:firstLineChars="0"/>
        <w:jc w:val="center"/>
        <w:textAlignment w:val="auto"/>
        <w:outlineLvl w:val="0"/>
        <w:rPr>
          <w:rFonts w:hint="eastAsia" w:eastAsia="方正黑体_GBK"/>
          <w:sz w:val="32"/>
          <w:szCs w:val="32"/>
        </w:rPr>
      </w:pPr>
      <w:r>
        <w:rPr>
          <w:rFonts w:hint="eastAsia" w:eastAsia="方正黑体_GBK"/>
          <w:sz w:val="32"/>
          <w:szCs w:val="32"/>
        </w:rPr>
        <w:t>总则</w:t>
      </w:r>
    </w:p>
    <w:p w14:paraId="3E0B71E3">
      <w:pPr>
        <w:pStyle w:val="12"/>
        <w:keepNext w:val="0"/>
        <w:keepLines w:val="0"/>
        <w:pageBreakBefore w:val="0"/>
        <w:widowControl w:val="0"/>
        <w:kinsoku/>
        <w:wordWrap/>
        <w:topLinePunct w:val="0"/>
        <w:bidi w:val="0"/>
        <w:adjustRightInd/>
        <w:spacing w:line="600" w:lineRule="exact"/>
        <w:ind w:firstLine="0" w:firstLineChars="0"/>
        <w:jc w:val="center"/>
        <w:textAlignment w:val="auto"/>
        <w:outlineLvl w:val="0"/>
        <w:rPr>
          <w:rFonts w:hint="eastAsia" w:eastAsia="方正黑体_GBK"/>
          <w:sz w:val="32"/>
          <w:szCs w:val="32"/>
        </w:rPr>
      </w:pPr>
    </w:p>
    <w:p w14:paraId="2C379748">
      <w:pPr>
        <w:pStyle w:val="12"/>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sz w:val="32"/>
          <w:szCs w:val="32"/>
        </w:rPr>
      </w:pPr>
      <w:r>
        <w:rPr>
          <w:rFonts w:hint="eastAsia" w:ascii="方正楷体_GBK" w:hAnsi="Times New Roman" w:eastAsia="方正黑体_GBK" w:cs="Times New Roman"/>
          <w:b w:val="0"/>
          <w:kern w:val="2"/>
          <w:sz w:val="32"/>
          <w:szCs w:val="32"/>
          <w:lang w:val="en-US" w:eastAsia="zh-CN" w:bidi="ar-SA"/>
        </w:rPr>
        <w:t>第一条</w:t>
      </w:r>
      <w:r>
        <w:rPr>
          <w:rFonts w:hint="eastAsia" w:ascii="方正楷体_GBK" w:eastAsia="方正黑体_GBK" w:cs="Times New Roman"/>
          <w:b w:val="0"/>
          <w:kern w:val="2"/>
          <w:sz w:val="32"/>
          <w:szCs w:val="32"/>
          <w:lang w:val="en-US" w:eastAsia="zh-CN" w:bidi="ar-SA"/>
        </w:rPr>
        <w:t xml:space="preserve"> </w:t>
      </w:r>
      <w:r>
        <w:rPr>
          <w:rFonts w:hint="eastAsia" w:eastAsia="方正仿宋_GBK"/>
          <w:sz w:val="32"/>
          <w:szCs w:val="32"/>
        </w:rPr>
        <w:t>为加强水运工程造价管理，规范造价行为，合理确定和有效控制工程造价，保障工程质量和安全，维护工程建设各方的合法权益，根据《中华人民共和国港口法》《中华人民共和国航道法》、交通运输部《水运建设</w:t>
      </w:r>
      <w:bookmarkStart w:id="0" w:name="_GoBack"/>
      <w:bookmarkEnd w:id="0"/>
      <w:r>
        <w:rPr>
          <w:rFonts w:hint="eastAsia" w:eastAsia="方正仿宋_GBK"/>
          <w:sz w:val="32"/>
          <w:szCs w:val="32"/>
        </w:rPr>
        <w:t>市场监督管理办法》《港口工程建设管理规定》《航道工程建设管理规定》和《重庆市建设工程造价管理规定》等有关法律、行政法规及规章，结合本市实际，制定本办法。</w:t>
      </w:r>
    </w:p>
    <w:p w14:paraId="08167E99">
      <w:pPr>
        <w:pStyle w:val="12"/>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sz w:val="32"/>
          <w:szCs w:val="32"/>
        </w:rPr>
      </w:pPr>
      <w:r>
        <w:rPr>
          <w:rFonts w:hint="eastAsia" w:ascii="方正楷体_GBK" w:hAnsi="Times New Roman" w:eastAsia="方正黑体_GBK" w:cs="Times New Roman"/>
          <w:b w:val="0"/>
          <w:kern w:val="2"/>
          <w:sz w:val="32"/>
          <w:szCs w:val="32"/>
          <w:lang w:val="en-US" w:eastAsia="zh-CN" w:bidi="ar-SA"/>
        </w:rPr>
        <w:t>第二条</w:t>
      </w:r>
      <w:r>
        <w:rPr>
          <w:rFonts w:hint="eastAsia" w:ascii="方正楷体_GBK" w:eastAsia="方正黑体_GBK" w:cs="Times New Roman"/>
          <w:b w:val="0"/>
          <w:kern w:val="2"/>
          <w:sz w:val="32"/>
          <w:szCs w:val="32"/>
          <w:lang w:val="en-US" w:eastAsia="zh-CN" w:bidi="ar-SA"/>
        </w:rPr>
        <w:t xml:space="preserve"> </w:t>
      </w:r>
      <w:r>
        <w:rPr>
          <w:rFonts w:hint="eastAsia" w:eastAsia="方正仿宋_GBK"/>
          <w:sz w:val="32"/>
          <w:szCs w:val="32"/>
        </w:rPr>
        <w:t>在本市行政区域内的水运工程新建、扩建和改建（以下统称水运工程）的造价活动，适用本办法。</w:t>
      </w:r>
    </w:p>
    <w:p w14:paraId="359C92B7">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sz w:val="32"/>
          <w:szCs w:val="32"/>
        </w:rPr>
      </w:pPr>
      <w:r>
        <w:rPr>
          <w:rFonts w:hint="eastAsia" w:eastAsia="方正仿宋_GBK"/>
          <w:sz w:val="32"/>
          <w:szCs w:val="32"/>
        </w:rPr>
        <w:t>本办法所称水运工程造价活动，是指水运工程建设项目从筹建到竣工验收交付使用所需全部费用的确定与控制，包括投资估算、设计概算、施工图预算、标底或者最高投标限价、合同价、变更费用、工程结算、竣工决算等费用的确定与控制，以及造价依据制定、造价从业单位及从业人员管理、造价信息化和造价监督等水运工程全过程造价管理活动。</w:t>
      </w:r>
    </w:p>
    <w:p w14:paraId="42FBDFC4">
      <w:pPr>
        <w:pStyle w:val="12"/>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hint="eastAsia" w:eastAsia="方正仿宋_GBK"/>
          <w:sz w:val="32"/>
          <w:szCs w:val="32"/>
        </w:rPr>
      </w:pPr>
      <w:r>
        <w:rPr>
          <w:rFonts w:hint="eastAsia" w:ascii="方正楷体_GBK" w:hAnsi="Times New Roman" w:eastAsia="方正黑体_GBK" w:cs="Times New Roman"/>
          <w:b w:val="0"/>
          <w:kern w:val="2"/>
          <w:sz w:val="32"/>
          <w:szCs w:val="32"/>
          <w:lang w:val="en-US" w:eastAsia="zh-CN" w:bidi="ar-SA"/>
        </w:rPr>
        <w:t>第三条</w:t>
      </w:r>
      <w:r>
        <w:rPr>
          <w:rFonts w:hint="eastAsia" w:ascii="方正楷体_GBK" w:eastAsia="方正黑体_GBK" w:cs="Times New Roman"/>
          <w:b w:val="0"/>
          <w:kern w:val="2"/>
          <w:sz w:val="32"/>
          <w:szCs w:val="32"/>
          <w:lang w:val="en-US" w:eastAsia="zh-CN" w:bidi="ar-SA"/>
        </w:rPr>
        <w:t xml:space="preserve"> </w:t>
      </w:r>
      <w:r>
        <w:rPr>
          <w:rFonts w:hint="eastAsia" w:eastAsia="方正仿宋_GBK"/>
          <w:sz w:val="32"/>
          <w:szCs w:val="32"/>
        </w:rPr>
        <w:t>水运工程造价活动应当遵循客观科学、公平合理、诚实信用、厉行节约的原则。</w:t>
      </w:r>
    </w:p>
    <w:p w14:paraId="7C0F41F7">
      <w:pPr>
        <w:pStyle w:val="12"/>
        <w:keepNext w:val="0"/>
        <w:keepLines w:val="0"/>
        <w:pageBreakBefore w:val="0"/>
        <w:widowControl w:val="0"/>
        <w:kinsoku/>
        <w:wordWrap/>
        <w:topLinePunct w:val="0"/>
        <w:bidi w:val="0"/>
        <w:adjustRightInd/>
        <w:spacing w:line="600" w:lineRule="exact"/>
        <w:ind w:left="640" w:firstLine="0" w:firstLineChars="0"/>
        <w:textAlignment w:val="auto"/>
        <w:rPr>
          <w:rFonts w:eastAsia="方正仿宋_GBK"/>
          <w:sz w:val="32"/>
          <w:szCs w:val="32"/>
        </w:rPr>
      </w:pPr>
    </w:p>
    <w:p w14:paraId="35B6C339">
      <w:pPr>
        <w:pStyle w:val="12"/>
        <w:keepNext w:val="0"/>
        <w:keepLines w:val="0"/>
        <w:pageBreakBefore w:val="0"/>
        <w:widowControl w:val="0"/>
        <w:numPr>
          <w:ilvl w:val="0"/>
          <w:numId w:val="1"/>
        </w:numPr>
        <w:kinsoku/>
        <w:wordWrap/>
        <w:topLinePunct w:val="0"/>
        <w:bidi w:val="0"/>
        <w:adjustRightInd/>
        <w:spacing w:line="600" w:lineRule="exact"/>
        <w:ind w:left="743" w:hanging="743" w:firstLineChars="0"/>
        <w:jc w:val="center"/>
        <w:textAlignment w:val="auto"/>
        <w:outlineLvl w:val="0"/>
        <w:rPr>
          <w:rFonts w:hint="eastAsia" w:eastAsia="方正黑体_GBK"/>
          <w:sz w:val="32"/>
          <w:szCs w:val="32"/>
        </w:rPr>
      </w:pPr>
      <w:r>
        <w:rPr>
          <w:rFonts w:hint="eastAsia" w:eastAsia="方正黑体_GBK"/>
          <w:sz w:val="32"/>
          <w:szCs w:val="32"/>
        </w:rPr>
        <w:t>造价管理职责</w:t>
      </w:r>
    </w:p>
    <w:p w14:paraId="282A0AD3">
      <w:pPr>
        <w:pStyle w:val="12"/>
        <w:keepNext w:val="0"/>
        <w:keepLines w:val="0"/>
        <w:pageBreakBefore w:val="0"/>
        <w:widowControl w:val="0"/>
        <w:kinsoku/>
        <w:wordWrap/>
        <w:topLinePunct w:val="0"/>
        <w:bidi w:val="0"/>
        <w:adjustRightInd/>
        <w:spacing w:line="600" w:lineRule="exact"/>
        <w:ind w:firstLine="0" w:firstLineChars="0"/>
        <w:jc w:val="center"/>
        <w:textAlignment w:val="auto"/>
        <w:outlineLvl w:val="0"/>
        <w:rPr>
          <w:rFonts w:hint="eastAsia" w:eastAsia="方正黑体_GBK"/>
          <w:sz w:val="32"/>
          <w:szCs w:val="32"/>
        </w:rPr>
      </w:pPr>
    </w:p>
    <w:p w14:paraId="2470F9D0">
      <w:pPr>
        <w:pStyle w:val="12"/>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sz w:val="32"/>
          <w:szCs w:val="32"/>
        </w:rPr>
      </w:pPr>
      <w:r>
        <w:rPr>
          <w:rFonts w:hint="eastAsia" w:ascii="方正楷体_GBK" w:hAnsi="Times New Roman" w:eastAsia="方正黑体_GBK" w:cs="Times New Roman"/>
          <w:b w:val="0"/>
          <w:kern w:val="2"/>
          <w:sz w:val="32"/>
          <w:szCs w:val="32"/>
          <w:lang w:val="en-US" w:eastAsia="zh-CN" w:bidi="ar-SA"/>
        </w:rPr>
        <w:t>第四条</w:t>
      </w:r>
      <w:r>
        <w:rPr>
          <w:rFonts w:hint="eastAsia" w:ascii="方正楷体_GBK" w:eastAsia="方正黑体_GBK" w:cs="Times New Roman"/>
          <w:b w:val="0"/>
          <w:kern w:val="2"/>
          <w:sz w:val="32"/>
          <w:szCs w:val="32"/>
          <w:lang w:val="en-US" w:eastAsia="zh-CN" w:bidi="ar-SA"/>
        </w:rPr>
        <w:t xml:space="preserve"> </w:t>
      </w:r>
      <w:r>
        <w:rPr>
          <w:rFonts w:eastAsia="方正仿宋_GBK"/>
          <w:sz w:val="32"/>
          <w:szCs w:val="32"/>
        </w:rPr>
        <w:t>市交通运输主管部门</w:t>
      </w:r>
      <w:r>
        <w:rPr>
          <w:rFonts w:hint="eastAsia" w:eastAsia="方正仿宋_GBK"/>
          <w:sz w:val="32"/>
          <w:szCs w:val="32"/>
        </w:rPr>
        <w:t>负责全市水运工程造价管理工作，对区县（自治县）交通运输主管部门的造价管理工作进行指导。重庆市交通工程造价站（简称“市交通造价站”）负责水运工程造价管理的具体事务性工作。</w:t>
      </w:r>
    </w:p>
    <w:p w14:paraId="1639A2EE">
      <w:pPr>
        <w:keepNext w:val="0"/>
        <w:keepLines w:val="0"/>
        <w:pageBreakBefore w:val="0"/>
        <w:widowControl w:val="0"/>
        <w:kinsoku/>
        <w:wordWrap/>
        <w:topLinePunct w:val="0"/>
        <w:bidi w:val="0"/>
        <w:adjustRightInd/>
        <w:spacing w:line="600" w:lineRule="exact"/>
        <w:ind w:firstLine="640" w:firstLineChars="200"/>
        <w:textAlignment w:val="auto"/>
        <w:outlineLvl w:val="0"/>
        <w:rPr>
          <w:rFonts w:eastAsia="黑体"/>
          <w:sz w:val="32"/>
          <w:szCs w:val="32"/>
        </w:rPr>
      </w:pPr>
      <w:r>
        <w:rPr>
          <w:rFonts w:hint="eastAsia" w:eastAsia="方正仿宋_GBK"/>
          <w:sz w:val="32"/>
          <w:szCs w:val="32"/>
          <w:lang w:val="en"/>
        </w:rPr>
        <w:t>区县（自治县）交通运输主管部门按照职责分工负责本行政区域内水运工程造价管理工作，具体事务性工作由其设置的造价机构承担。</w:t>
      </w:r>
    </w:p>
    <w:p w14:paraId="01EFF898">
      <w:pPr>
        <w:pStyle w:val="13"/>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cs="Nimbus Roman"/>
          <w:sz w:val="32"/>
          <w:szCs w:val="32"/>
        </w:rPr>
      </w:pPr>
      <w:r>
        <w:rPr>
          <w:rFonts w:hint="eastAsia" w:ascii="方正楷体_GBK" w:hAnsi="Times New Roman" w:eastAsia="方正黑体_GBK" w:cs="Nimbus Roman"/>
          <w:b w:val="0"/>
          <w:kern w:val="2"/>
          <w:sz w:val="32"/>
          <w:szCs w:val="32"/>
          <w:lang w:val="en-US" w:eastAsia="zh-CN" w:bidi="ar-SA"/>
        </w:rPr>
        <w:t>第五条</w:t>
      </w:r>
      <w:r>
        <w:rPr>
          <w:rFonts w:hint="eastAsia" w:ascii="方正楷体_GBK" w:eastAsia="方正黑体_GBK" w:cs="Nimbus Roman"/>
          <w:b w:val="0"/>
          <w:kern w:val="2"/>
          <w:sz w:val="32"/>
          <w:szCs w:val="32"/>
          <w:lang w:val="en-US" w:eastAsia="zh-CN" w:bidi="ar-SA"/>
        </w:rPr>
        <w:t xml:space="preserve"> </w:t>
      </w:r>
      <w:r>
        <w:rPr>
          <w:rFonts w:eastAsia="方正仿宋_GBK" w:cs="Nimbus Roman"/>
          <w:sz w:val="32"/>
          <w:szCs w:val="32"/>
        </w:rPr>
        <w:t>交通运输主管部门应安排专（兼）职人员负责造价管理工作。造价机构应根据</w:t>
      </w:r>
      <w:r>
        <w:rPr>
          <w:rFonts w:hint="eastAsia" w:eastAsia="方正仿宋_GBK" w:cs="Nimbus Roman"/>
          <w:sz w:val="32"/>
          <w:szCs w:val="32"/>
        </w:rPr>
        <w:t>管理</w:t>
      </w:r>
      <w:r>
        <w:rPr>
          <w:rFonts w:eastAsia="方正仿宋_GBK" w:cs="Nimbus Roman"/>
          <w:sz w:val="32"/>
          <w:szCs w:val="32"/>
        </w:rPr>
        <w:t>职责和范围安排造价专业技术人员开展造价</w:t>
      </w:r>
      <w:r>
        <w:rPr>
          <w:rFonts w:hint="eastAsia" w:eastAsia="方正仿宋_GBK" w:cs="Nimbus Roman"/>
          <w:sz w:val="32"/>
          <w:szCs w:val="32"/>
        </w:rPr>
        <w:t>管理</w:t>
      </w:r>
      <w:r>
        <w:rPr>
          <w:rFonts w:eastAsia="方正仿宋_GBK" w:cs="Nimbus Roman"/>
          <w:sz w:val="32"/>
          <w:szCs w:val="32"/>
        </w:rPr>
        <w:t>事务性工作</w:t>
      </w:r>
      <w:r>
        <w:rPr>
          <w:rFonts w:hint="eastAsia" w:eastAsia="方正仿宋_GBK" w:cs="Nimbus Roman"/>
          <w:sz w:val="32"/>
          <w:szCs w:val="32"/>
        </w:rPr>
        <w:t>。交通运输主管部门、造价机构</w:t>
      </w:r>
      <w:r>
        <w:rPr>
          <w:rFonts w:eastAsia="方正仿宋_GBK" w:cs="Nimbus Roman"/>
          <w:sz w:val="32"/>
          <w:szCs w:val="32"/>
        </w:rPr>
        <w:t>可邀请工程造价方面的专家为</w:t>
      </w:r>
      <w:r>
        <w:rPr>
          <w:rFonts w:hint="eastAsia" w:eastAsia="方正仿宋_GBK" w:cs="Nimbus Roman"/>
          <w:sz w:val="32"/>
          <w:szCs w:val="32"/>
        </w:rPr>
        <w:t>管理</w:t>
      </w:r>
      <w:r>
        <w:rPr>
          <w:rFonts w:eastAsia="方正仿宋_GBK" w:cs="Nimbus Roman"/>
          <w:sz w:val="32"/>
          <w:szCs w:val="32"/>
        </w:rPr>
        <w:t>工作提供技术支持。</w:t>
      </w:r>
    </w:p>
    <w:p w14:paraId="35945B11">
      <w:pPr>
        <w:pStyle w:val="12"/>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outlineLvl w:val="0"/>
        <w:rPr>
          <w:rFonts w:eastAsia="黑体"/>
          <w:sz w:val="32"/>
          <w:szCs w:val="32"/>
        </w:rPr>
      </w:pPr>
      <w:r>
        <w:rPr>
          <w:rFonts w:hint="eastAsia" w:ascii="方正楷体_GBK" w:hAnsi="Times New Roman" w:eastAsia="方正黑体_GBK" w:cs="Times New Roman"/>
          <w:b w:val="0"/>
          <w:kern w:val="2"/>
          <w:sz w:val="32"/>
          <w:szCs w:val="32"/>
          <w:lang w:val="en-US" w:eastAsia="zh-CN" w:bidi="ar-SA"/>
        </w:rPr>
        <w:t>第六条</w:t>
      </w:r>
      <w:r>
        <w:rPr>
          <w:rFonts w:hint="eastAsia" w:ascii="方正楷体_GBK" w:eastAsia="方正黑体_GBK" w:cs="Times New Roman"/>
          <w:b w:val="0"/>
          <w:kern w:val="2"/>
          <w:sz w:val="32"/>
          <w:szCs w:val="32"/>
          <w:lang w:val="en-US" w:eastAsia="zh-CN" w:bidi="ar-SA"/>
        </w:rPr>
        <w:t xml:space="preserve"> </w:t>
      </w:r>
      <w:r>
        <w:rPr>
          <w:rFonts w:hint="eastAsia" w:eastAsia="方正仿宋_GBK"/>
          <w:sz w:val="32"/>
          <w:szCs w:val="32"/>
          <w:lang w:val="en"/>
        </w:rPr>
        <w:t>市交通造价站具体履行下列主要职责：</w:t>
      </w:r>
    </w:p>
    <w:p w14:paraId="6C4ED534">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sz w:val="32"/>
          <w:szCs w:val="32"/>
          <w:lang w:val="en"/>
        </w:rPr>
      </w:pPr>
      <w:r>
        <w:rPr>
          <w:rFonts w:hint="eastAsia" w:eastAsia="方正仿宋_GBK"/>
          <w:sz w:val="32"/>
          <w:szCs w:val="32"/>
          <w:lang w:val="en"/>
        </w:rPr>
        <w:t>（一）贯彻执行国家和上级部门有关水运工程造价管理的法律、法规、规章、制度以及造价行业标准；</w:t>
      </w:r>
    </w:p>
    <w:p w14:paraId="09F4F431">
      <w:pPr>
        <w:pStyle w:val="12"/>
        <w:keepNext w:val="0"/>
        <w:keepLines w:val="0"/>
        <w:pageBreakBefore w:val="0"/>
        <w:widowControl w:val="0"/>
        <w:kinsoku/>
        <w:wordWrap/>
        <w:topLinePunct w:val="0"/>
        <w:bidi w:val="0"/>
        <w:adjustRightInd/>
        <w:spacing w:line="600" w:lineRule="exact"/>
        <w:ind w:firstLine="640"/>
        <w:textAlignment w:val="auto"/>
        <w:rPr>
          <w:rFonts w:eastAsia="方正仿宋_GBK"/>
          <w:sz w:val="32"/>
          <w:szCs w:val="32"/>
          <w:lang w:val="en"/>
        </w:rPr>
      </w:pPr>
      <w:r>
        <w:rPr>
          <w:rFonts w:hint="eastAsia" w:eastAsia="方正仿宋_GBK"/>
          <w:sz w:val="32"/>
          <w:szCs w:val="32"/>
          <w:lang w:val="en"/>
        </w:rPr>
        <w:t>（二）负责本市水运工程造价依据的编制、修订、解释以及动态管理等工作；</w:t>
      </w:r>
    </w:p>
    <w:p w14:paraId="532E5652">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sz w:val="32"/>
          <w:szCs w:val="32"/>
          <w:lang w:val="en"/>
        </w:rPr>
      </w:pPr>
      <w:r>
        <w:rPr>
          <w:rFonts w:hint="eastAsia" w:eastAsia="方正仿宋_GBK"/>
          <w:sz w:val="32"/>
          <w:szCs w:val="32"/>
          <w:lang w:val="en"/>
        </w:rPr>
        <w:t>（三）发布本市水运工程造价信息；</w:t>
      </w:r>
    </w:p>
    <w:p w14:paraId="6229B05A">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sz w:val="32"/>
          <w:szCs w:val="32"/>
          <w:lang w:val="en"/>
        </w:rPr>
      </w:pPr>
      <w:r>
        <w:rPr>
          <w:rFonts w:hint="eastAsia" w:eastAsia="方正仿宋_GBK"/>
          <w:sz w:val="32"/>
          <w:szCs w:val="32"/>
          <w:lang w:val="en"/>
        </w:rPr>
        <w:t>（四）承担市交通运输主管部门审批水运工程建设项目的造价审查、造价监督管理事务性工作；</w:t>
      </w:r>
    </w:p>
    <w:p w14:paraId="29434772">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sz w:val="32"/>
          <w:szCs w:val="32"/>
          <w:lang w:val="en"/>
        </w:rPr>
      </w:pPr>
      <w:r>
        <w:rPr>
          <w:rFonts w:hint="eastAsia" w:eastAsia="方正仿宋_GBK"/>
          <w:sz w:val="32"/>
          <w:szCs w:val="32"/>
          <w:lang w:val="en"/>
        </w:rPr>
        <w:t>（五）负责本市行政区域内从事水运工程造价活动的单位和人员的监督管理事务性工作；</w:t>
      </w:r>
    </w:p>
    <w:p w14:paraId="655BFA5E">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sz w:val="32"/>
          <w:szCs w:val="32"/>
          <w:lang w:val="en"/>
        </w:rPr>
      </w:pPr>
      <w:r>
        <w:rPr>
          <w:rFonts w:hint="eastAsia" w:eastAsia="方正仿宋_GBK"/>
          <w:sz w:val="32"/>
          <w:szCs w:val="32"/>
          <w:lang w:val="en"/>
        </w:rPr>
        <w:t>（六）指导区县（自治县）水运工程造价监督管理业务工作；</w:t>
      </w:r>
    </w:p>
    <w:p w14:paraId="2234880C">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sz w:val="32"/>
          <w:szCs w:val="32"/>
          <w:lang w:val="en"/>
        </w:rPr>
      </w:pPr>
      <w:r>
        <w:rPr>
          <w:rFonts w:hint="eastAsia" w:eastAsia="方正仿宋_GBK"/>
          <w:sz w:val="32"/>
          <w:szCs w:val="32"/>
          <w:lang w:val="en"/>
        </w:rPr>
        <w:t>（七）承担市交通运输主管部门交办的其他水运工程造价管理事务性工作。</w:t>
      </w:r>
    </w:p>
    <w:p w14:paraId="2F17A28A">
      <w:pPr>
        <w:pStyle w:val="12"/>
        <w:keepNext w:val="0"/>
        <w:keepLines w:val="0"/>
        <w:pageBreakBefore w:val="0"/>
        <w:widowControl w:val="0"/>
        <w:numPr>
          <w:ilvl w:val="0"/>
          <w:numId w:val="0"/>
        </w:numPr>
        <w:kinsoku/>
        <w:wordWrap/>
        <w:topLinePunct w:val="0"/>
        <w:bidi w:val="0"/>
        <w:adjustRightInd/>
        <w:spacing w:line="600" w:lineRule="exact"/>
        <w:ind w:left="0" w:leftChars="0" w:firstLine="710" w:firstLineChars="0"/>
        <w:textAlignment w:val="auto"/>
        <w:outlineLvl w:val="0"/>
        <w:rPr>
          <w:rFonts w:eastAsia="方正仿宋_GBK"/>
          <w:sz w:val="32"/>
          <w:szCs w:val="32"/>
          <w:lang w:val="en"/>
        </w:rPr>
      </w:pPr>
      <w:r>
        <w:rPr>
          <w:rFonts w:hint="eastAsia" w:ascii="方正楷体_GBK" w:hAnsi="Times New Roman" w:eastAsia="方正黑体_GBK" w:cs="Times New Roman"/>
          <w:b w:val="0"/>
          <w:kern w:val="2"/>
          <w:sz w:val="32"/>
          <w:szCs w:val="32"/>
          <w:lang w:val="en-US" w:eastAsia="zh-CN" w:bidi="ar-SA"/>
        </w:rPr>
        <w:t>第七条</w:t>
      </w:r>
      <w:r>
        <w:rPr>
          <w:rFonts w:hint="eastAsia" w:eastAsia="方正仿宋_GBK"/>
          <w:sz w:val="32"/>
          <w:szCs w:val="32"/>
        </w:rPr>
        <w:t xml:space="preserve"> </w:t>
      </w:r>
      <w:r>
        <w:rPr>
          <w:rFonts w:hint="eastAsia" w:eastAsia="方正仿宋_GBK"/>
          <w:sz w:val="32"/>
          <w:szCs w:val="32"/>
          <w:lang w:val="en"/>
        </w:rPr>
        <w:t xml:space="preserve">项目单位承担水运工程造价控制的主体责任，在设计、施工等过程中，应履行下列职责： </w:t>
      </w:r>
    </w:p>
    <w:p w14:paraId="76B25660">
      <w:pPr>
        <w:keepNext w:val="0"/>
        <w:keepLines w:val="0"/>
        <w:pageBreakBefore w:val="0"/>
        <w:widowControl w:val="0"/>
        <w:kinsoku/>
        <w:wordWrap/>
        <w:topLinePunct w:val="0"/>
        <w:bidi w:val="0"/>
        <w:adjustRightInd/>
        <w:spacing w:line="600" w:lineRule="exact"/>
        <w:ind w:firstLine="640" w:firstLineChars="200"/>
        <w:textAlignment w:val="auto"/>
        <w:outlineLvl w:val="0"/>
        <w:rPr>
          <w:rFonts w:eastAsia="方正仿宋_GBK"/>
          <w:sz w:val="32"/>
          <w:szCs w:val="32"/>
          <w:lang w:val="en"/>
        </w:rPr>
      </w:pPr>
      <w:r>
        <w:rPr>
          <w:rFonts w:hint="eastAsia" w:eastAsia="方正仿宋_GBK"/>
          <w:sz w:val="32"/>
          <w:szCs w:val="32"/>
          <w:lang w:val="en"/>
        </w:rPr>
        <w:t xml:space="preserve">（一）严格履行基本建设程序，负责组织项目投资估算、设计概算、施工图预算、标底或者最高投标限价、变更费用、工程结算、竣工决算的编制，造价文件质量应符合相关要求，并将以上造价文件按照项目管理权限及时报送市交通造价站、区县（自治县）交通运输主管部门或其造价机构； </w:t>
      </w:r>
    </w:p>
    <w:p w14:paraId="17192F61">
      <w:pPr>
        <w:keepNext w:val="0"/>
        <w:keepLines w:val="0"/>
        <w:pageBreakBefore w:val="0"/>
        <w:widowControl w:val="0"/>
        <w:kinsoku/>
        <w:wordWrap/>
        <w:topLinePunct w:val="0"/>
        <w:bidi w:val="0"/>
        <w:adjustRightInd/>
        <w:spacing w:line="600" w:lineRule="exact"/>
        <w:ind w:firstLine="640" w:firstLineChars="200"/>
        <w:textAlignment w:val="auto"/>
        <w:outlineLvl w:val="0"/>
        <w:rPr>
          <w:rFonts w:eastAsia="方正仿宋_GBK"/>
          <w:sz w:val="32"/>
          <w:szCs w:val="32"/>
          <w:lang w:val="en"/>
        </w:rPr>
      </w:pPr>
      <w:r>
        <w:rPr>
          <w:rFonts w:hint="eastAsia" w:eastAsia="方正仿宋_GBK"/>
          <w:sz w:val="32"/>
          <w:szCs w:val="32"/>
          <w:lang w:val="en"/>
        </w:rPr>
        <w:t xml:space="preserve">（二）负责建立项目造价管理制度，对造价进行全过程管理和控制，建立水运工程造价管理台账，加强各阶段造价的对比分析和控制，实现设计概算控制目标； </w:t>
      </w:r>
    </w:p>
    <w:p w14:paraId="4970B302">
      <w:pPr>
        <w:pStyle w:val="12"/>
        <w:keepNext w:val="0"/>
        <w:keepLines w:val="0"/>
        <w:pageBreakBefore w:val="0"/>
        <w:widowControl w:val="0"/>
        <w:numPr>
          <w:ilvl w:val="0"/>
          <w:numId w:val="2"/>
        </w:numPr>
        <w:kinsoku/>
        <w:wordWrap/>
        <w:topLinePunct w:val="0"/>
        <w:bidi w:val="0"/>
        <w:adjustRightInd/>
        <w:spacing w:line="600" w:lineRule="exact"/>
        <w:ind w:left="0" w:firstLine="640"/>
        <w:textAlignment w:val="auto"/>
        <w:outlineLvl w:val="0"/>
        <w:rPr>
          <w:rFonts w:eastAsia="方正仿宋_GBK"/>
          <w:sz w:val="32"/>
          <w:szCs w:val="32"/>
          <w:lang w:val="en"/>
        </w:rPr>
      </w:pPr>
      <w:r>
        <w:rPr>
          <w:rFonts w:hint="eastAsia" w:eastAsia="方正仿宋_GBK"/>
          <w:sz w:val="32"/>
          <w:szCs w:val="32"/>
          <w:lang w:val="en"/>
        </w:rPr>
        <w:t xml:space="preserve">负责水运工程造价信息的收集、分析和报送； </w:t>
      </w:r>
    </w:p>
    <w:p w14:paraId="1F357A19">
      <w:pPr>
        <w:pStyle w:val="12"/>
        <w:keepNext w:val="0"/>
        <w:keepLines w:val="0"/>
        <w:pageBreakBefore w:val="0"/>
        <w:widowControl w:val="0"/>
        <w:kinsoku/>
        <w:wordWrap/>
        <w:topLinePunct w:val="0"/>
        <w:bidi w:val="0"/>
        <w:adjustRightInd/>
        <w:spacing w:line="600" w:lineRule="exact"/>
        <w:ind w:left="320" w:firstLine="320" w:firstLineChars="100"/>
        <w:textAlignment w:val="auto"/>
        <w:outlineLvl w:val="0"/>
        <w:rPr>
          <w:rFonts w:eastAsia="方正仿宋_GBK"/>
          <w:sz w:val="32"/>
          <w:szCs w:val="32"/>
          <w:lang w:val="en"/>
        </w:rPr>
      </w:pPr>
      <w:r>
        <w:rPr>
          <w:rFonts w:hint="eastAsia" w:eastAsia="方正仿宋_GBK"/>
          <w:sz w:val="32"/>
          <w:szCs w:val="32"/>
          <w:lang w:val="en"/>
        </w:rPr>
        <w:t xml:space="preserve">（四）依法应当履行的其他职责。 </w:t>
      </w:r>
    </w:p>
    <w:p w14:paraId="49329F3D">
      <w:pPr>
        <w:pStyle w:val="12"/>
        <w:keepNext w:val="0"/>
        <w:keepLines w:val="0"/>
        <w:pageBreakBefore w:val="0"/>
        <w:widowControl w:val="0"/>
        <w:numPr>
          <w:ilvl w:val="0"/>
          <w:numId w:val="0"/>
        </w:numPr>
        <w:kinsoku/>
        <w:wordWrap/>
        <w:topLinePunct w:val="0"/>
        <w:bidi w:val="0"/>
        <w:adjustRightInd/>
        <w:spacing w:line="600" w:lineRule="exact"/>
        <w:ind w:left="0" w:leftChars="0" w:firstLine="709" w:firstLineChars="0"/>
        <w:jc w:val="left"/>
        <w:textAlignment w:val="auto"/>
        <w:rPr>
          <w:rFonts w:hint="eastAsia" w:eastAsia="方正仿宋_GBK"/>
          <w:sz w:val="32"/>
          <w:szCs w:val="32"/>
        </w:rPr>
      </w:pPr>
      <w:r>
        <w:rPr>
          <w:rFonts w:hint="eastAsia" w:ascii="方正楷体_GBK" w:hAnsi="Times New Roman" w:eastAsia="方正黑体_GBK" w:cs="Times New Roman"/>
          <w:b w:val="0"/>
          <w:kern w:val="2"/>
          <w:sz w:val="32"/>
          <w:szCs w:val="32"/>
          <w:lang w:val="en-US" w:eastAsia="zh-CN" w:bidi="ar-SA"/>
        </w:rPr>
        <w:t>第八条</w:t>
      </w:r>
      <w:r>
        <w:rPr>
          <w:rFonts w:hint="eastAsia" w:eastAsia="方正仿宋_GBK"/>
          <w:sz w:val="32"/>
          <w:szCs w:val="32"/>
        </w:rPr>
        <w:t xml:space="preserve"> 勘察设计单位应当综合分析项目建设条件，结合项目使用功能，注重设计方案的技术经济比选，充分考虑工程质量、施工安全和运营维护需要，科学确定设计方案，准确计列工程数量，合理计算工程造价。</w:t>
      </w:r>
    </w:p>
    <w:p w14:paraId="775AA705">
      <w:pPr>
        <w:keepNext w:val="0"/>
        <w:keepLines w:val="0"/>
        <w:pageBreakBefore w:val="0"/>
        <w:widowControl w:val="0"/>
        <w:kinsoku/>
        <w:wordWrap/>
        <w:topLinePunct w:val="0"/>
        <w:bidi w:val="0"/>
        <w:adjustRightInd/>
        <w:spacing w:line="600" w:lineRule="exact"/>
        <w:ind w:firstLine="640" w:firstLineChars="200"/>
        <w:textAlignment w:val="auto"/>
        <w:outlineLvl w:val="0"/>
        <w:rPr>
          <w:rFonts w:eastAsia="方正仿宋_GBK"/>
          <w:sz w:val="32"/>
          <w:szCs w:val="32"/>
          <w:lang w:val="en"/>
        </w:rPr>
      </w:pPr>
      <w:r>
        <w:rPr>
          <w:rFonts w:hint="eastAsia" w:eastAsia="方正仿宋_GBK"/>
          <w:sz w:val="32"/>
          <w:szCs w:val="32"/>
        </w:rPr>
        <w:t>勘察设计单位应当对其编制的造价文件质量负责，做好前后阶段的造价对比，重点加强对设计概算超投资估算、施工图预算超设计概算等的预控。</w:t>
      </w:r>
    </w:p>
    <w:p w14:paraId="708E6555">
      <w:pPr>
        <w:pStyle w:val="12"/>
        <w:keepNext w:val="0"/>
        <w:keepLines w:val="0"/>
        <w:pageBreakBefore w:val="0"/>
        <w:widowControl w:val="0"/>
        <w:numPr>
          <w:ilvl w:val="0"/>
          <w:numId w:val="0"/>
        </w:numPr>
        <w:kinsoku/>
        <w:wordWrap/>
        <w:topLinePunct w:val="0"/>
        <w:bidi w:val="0"/>
        <w:adjustRightInd/>
        <w:spacing w:line="600" w:lineRule="exact"/>
        <w:ind w:left="0" w:leftChars="0" w:firstLine="710" w:firstLineChars="0"/>
        <w:textAlignment w:val="auto"/>
        <w:outlineLvl w:val="0"/>
        <w:rPr>
          <w:rFonts w:eastAsia="方正仿宋_GBK"/>
          <w:sz w:val="32"/>
          <w:szCs w:val="32"/>
          <w:lang w:val="en"/>
        </w:rPr>
      </w:pPr>
      <w:r>
        <w:rPr>
          <w:rFonts w:hint="eastAsia" w:ascii="方正楷体_GBK" w:hAnsi="Times New Roman" w:eastAsia="方正黑体_GBK" w:cs="Times New Roman"/>
          <w:b w:val="0"/>
          <w:kern w:val="2"/>
          <w:sz w:val="32"/>
          <w:szCs w:val="32"/>
          <w:lang w:val="en-US" w:eastAsia="zh-CN" w:bidi="ar-SA"/>
        </w:rPr>
        <w:t>第九条</w:t>
      </w:r>
      <w:r>
        <w:rPr>
          <w:rFonts w:hint="eastAsia" w:eastAsia="方正仿宋_GBK"/>
          <w:sz w:val="32"/>
          <w:szCs w:val="32"/>
        </w:rPr>
        <w:t xml:space="preserve"> </w:t>
      </w:r>
      <w:r>
        <w:rPr>
          <w:rFonts w:hint="eastAsia" w:eastAsia="方正仿宋_GBK"/>
          <w:sz w:val="32"/>
          <w:szCs w:val="32"/>
          <w:lang w:val="en"/>
        </w:rPr>
        <w:t xml:space="preserve">施工单位应当按照合同约定，编制工程计量与支付、合同变更费用、工程结算等造价文件，并对其编制的造价文件质量负责。 </w:t>
      </w:r>
    </w:p>
    <w:p w14:paraId="416222C7">
      <w:pPr>
        <w:pStyle w:val="12"/>
        <w:keepNext w:val="0"/>
        <w:keepLines w:val="0"/>
        <w:pageBreakBefore w:val="0"/>
        <w:widowControl w:val="0"/>
        <w:numPr>
          <w:ilvl w:val="0"/>
          <w:numId w:val="0"/>
        </w:numPr>
        <w:kinsoku/>
        <w:wordWrap/>
        <w:topLinePunct w:val="0"/>
        <w:bidi w:val="0"/>
        <w:adjustRightInd/>
        <w:spacing w:line="600" w:lineRule="exact"/>
        <w:ind w:left="0" w:leftChars="0" w:firstLine="710" w:firstLineChars="0"/>
        <w:textAlignment w:val="auto"/>
        <w:outlineLvl w:val="0"/>
        <w:rPr>
          <w:rFonts w:eastAsia="方正仿宋_GBK"/>
          <w:sz w:val="32"/>
          <w:szCs w:val="32"/>
          <w:lang w:val="en"/>
        </w:rPr>
      </w:pPr>
      <w:r>
        <w:rPr>
          <w:rFonts w:hint="eastAsia" w:ascii="方正楷体_GBK" w:hAnsi="Times New Roman" w:eastAsia="方正黑体_GBK" w:cs="Times New Roman"/>
          <w:b w:val="0"/>
          <w:kern w:val="2"/>
          <w:sz w:val="32"/>
          <w:szCs w:val="32"/>
          <w:lang w:val="en-US" w:eastAsia="zh-CN" w:bidi="ar-SA"/>
        </w:rPr>
        <w:t>第十条</w:t>
      </w:r>
      <w:r>
        <w:rPr>
          <w:rFonts w:hint="eastAsia" w:eastAsia="方正仿宋_GBK"/>
          <w:sz w:val="32"/>
          <w:szCs w:val="32"/>
        </w:rPr>
        <w:t xml:space="preserve"> </w:t>
      </w:r>
      <w:r>
        <w:rPr>
          <w:rFonts w:hint="eastAsia" w:eastAsia="方正仿宋_GBK"/>
          <w:sz w:val="32"/>
          <w:szCs w:val="32"/>
          <w:lang w:val="en"/>
        </w:rPr>
        <w:t>监理单位应当按照合同约定和相关标准、规范开展工程造价管理工作，对工程计量支付、工程变更、工程结算等相关造价文件进行审核，并对其审核的造价文件质量负责。</w:t>
      </w:r>
    </w:p>
    <w:p w14:paraId="10050793">
      <w:pPr>
        <w:pStyle w:val="12"/>
        <w:keepNext w:val="0"/>
        <w:keepLines w:val="0"/>
        <w:pageBreakBefore w:val="0"/>
        <w:widowControl w:val="0"/>
        <w:numPr>
          <w:ilvl w:val="0"/>
          <w:numId w:val="0"/>
        </w:numPr>
        <w:kinsoku/>
        <w:wordWrap/>
        <w:topLinePunct w:val="0"/>
        <w:bidi w:val="0"/>
        <w:adjustRightInd/>
        <w:spacing w:line="600" w:lineRule="exact"/>
        <w:ind w:left="0" w:leftChars="0" w:firstLine="710" w:firstLineChars="0"/>
        <w:textAlignment w:val="auto"/>
        <w:outlineLvl w:val="0"/>
        <w:rPr>
          <w:rFonts w:hint="eastAsia" w:eastAsia="方正仿宋_GBK"/>
          <w:sz w:val="32"/>
          <w:szCs w:val="32"/>
          <w:lang w:val="en"/>
        </w:rPr>
      </w:pPr>
      <w:r>
        <w:rPr>
          <w:rFonts w:hint="eastAsia" w:ascii="方正楷体_GBK" w:hAnsi="Times New Roman" w:eastAsia="方正黑体_GBK" w:cs="Times New Roman"/>
          <w:b w:val="0"/>
          <w:kern w:val="2"/>
          <w:sz w:val="32"/>
          <w:szCs w:val="32"/>
          <w:lang w:val="en-US" w:eastAsia="zh-CN" w:bidi="ar-SA"/>
        </w:rPr>
        <w:t>第十一条</w:t>
      </w:r>
      <w:r>
        <w:rPr>
          <w:rFonts w:hint="eastAsia" w:eastAsia="方正仿宋_GBK"/>
          <w:sz w:val="32"/>
          <w:szCs w:val="32"/>
        </w:rPr>
        <w:t xml:space="preserve"> </w:t>
      </w:r>
      <w:r>
        <w:rPr>
          <w:rFonts w:hint="eastAsia" w:eastAsia="方正仿宋_GBK"/>
          <w:sz w:val="32"/>
          <w:szCs w:val="32"/>
          <w:lang w:val="en"/>
        </w:rPr>
        <w:t>从事水运工程造价咨询服务的单位应当依法从事工程造价咨询活动，遵守相关执业准则和行为规范，出具的造价文件应当符合相关标准、规范等要求，并对其出具的造价文件的质量和真实性负责。</w:t>
      </w:r>
    </w:p>
    <w:p w14:paraId="3ECB678D">
      <w:pPr>
        <w:pStyle w:val="12"/>
        <w:keepNext w:val="0"/>
        <w:keepLines w:val="0"/>
        <w:pageBreakBefore w:val="0"/>
        <w:widowControl w:val="0"/>
        <w:numPr>
          <w:ilvl w:val="0"/>
          <w:numId w:val="0"/>
        </w:numPr>
        <w:kinsoku/>
        <w:wordWrap/>
        <w:topLinePunct w:val="0"/>
        <w:bidi w:val="0"/>
        <w:adjustRightInd/>
        <w:spacing w:line="600" w:lineRule="exact"/>
        <w:ind w:left="0" w:leftChars="0" w:firstLine="710" w:firstLineChars="0"/>
        <w:textAlignment w:val="auto"/>
        <w:outlineLvl w:val="0"/>
        <w:rPr>
          <w:rFonts w:hint="eastAsia" w:eastAsia="方正仿宋_GBK"/>
          <w:sz w:val="32"/>
          <w:szCs w:val="32"/>
          <w:lang w:val="en"/>
        </w:rPr>
      </w:pPr>
      <w:r>
        <w:rPr>
          <w:rFonts w:hint="eastAsia" w:ascii="方正楷体_GBK" w:hAnsi="Times New Roman" w:eastAsia="方正黑体_GBK" w:cs="Times New Roman"/>
          <w:b w:val="0"/>
          <w:kern w:val="2"/>
          <w:sz w:val="32"/>
          <w:szCs w:val="32"/>
          <w:lang w:val="en-US" w:eastAsia="zh-CN" w:bidi="ar-SA"/>
        </w:rPr>
        <w:t>第十二条</w:t>
      </w:r>
      <w:r>
        <w:rPr>
          <w:rFonts w:hint="eastAsia" w:eastAsia="方正仿宋_GBK"/>
          <w:sz w:val="32"/>
          <w:szCs w:val="32"/>
        </w:rPr>
        <w:t xml:space="preserve"> 从事水运</w:t>
      </w:r>
      <w:r>
        <w:rPr>
          <w:rFonts w:hint="eastAsia" w:eastAsia="方正仿宋_GBK"/>
          <w:sz w:val="32"/>
          <w:szCs w:val="32"/>
          <w:lang w:val="en"/>
        </w:rPr>
        <w:t>工程造价活动的从业人员应当依法取得相应的资格，并在资格许可范围内从事工程造价活动。</w:t>
      </w:r>
      <w:r>
        <w:rPr>
          <w:rFonts w:hint="eastAsia" w:eastAsia="方正仿宋_GBK"/>
          <w:sz w:val="32"/>
          <w:szCs w:val="32"/>
        </w:rPr>
        <w:t>水运</w:t>
      </w:r>
      <w:r>
        <w:rPr>
          <w:rFonts w:hint="eastAsia" w:eastAsia="方正仿宋_GBK"/>
          <w:sz w:val="32"/>
          <w:szCs w:val="32"/>
          <w:lang w:val="en"/>
        </w:rPr>
        <w:t>工程造价执业人员应当遵守相关执业准则和行为规范，具备相应的专业技术技能，在其编审的造价文件上签字、加盖执业章，对其编审造价文件的质量和真实性负责。</w:t>
      </w:r>
    </w:p>
    <w:p w14:paraId="2486555B">
      <w:pPr>
        <w:pStyle w:val="12"/>
        <w:keepNext w:val="0"/>
        <w:keepLines w:val="0"/>
        <w:pageBreakBefore w:val="0"/>
        <w:widowControl w:val="0"/>
        <w:kinsoku/>
        <w:wordWrap/>
        <w:topLinePunct w:val="0"/>
        <w:bidi w:val="0"/>
        <w:adjustRightInd/>
        <w:spacing w:line="600" w:lineRule="exact"/>
        <w:ind w:left="710" w:firstLine="0" w:firstLineChars="0"/>
        <w:textAlignment w:val="auto"/>
        <w:outlineLvl w:val="0"/>
        <w:rPr>
          <w:rFonts w:eastAsia="方正仿宋_GBK"/>
          <w:sz w:val="32"/>
          <w:szCs w:val="32"/>
          <w:lang w:val="en"/>
        </w:rPr>
      </w:pPr>
    </w:p>
    <w:p w14:paraId="59979791">
      <w:pPr>
        <w:pStyle w:val="12"/>
        <w:keepNext w:val="0"/>
        <w:keepLines w:val="0"/>
        <w:pageBreakBefore w:val="0"/>
        <w:widowControl w:val="0"/>
        <w:numPr>
          <w:ilvl w:val="0"/>
          <w:numId w:val="1"/>
        </w:numPr>
        <w:kinsoku/>
        <w:wordWrap/>
        <w:topLinePunct w:val="0"/>
        <w:bidi w:val="0"/>
        <w:adjustRightInd/>
        <w:spacing w:line="600" w:lineRule="exact"/>
        <w:ind w:left="743" w:hanging="743" w:firstLineChars="0"/>
        <w:jc w:val="center"/>
        <w:textAlignment w:val="auto"/>
        <w:outlineLvl w:val="0"/>
        <w:rPr>
          <w:rFonts w:hint="eastAsia" w:eastAsia="方正黑体_GBK"/>
          <w:sz w:val="32"/>
          <w:szCs w:val="32"/>
        </w:rPr>
      </w:pPr>
      <w:r>
        <w:rPr>
          <w:rFonts w:hint="eastAsia" w:eastAsia="方正黑体_GBK"/>
          <w:sz w:val="32"/>
          <w:szCs w:val="32"/>
        </w:rPr>
        <w:t>造价依据</w:t>
      </w:r>
    </w:p>
    <w:p w14:paraId="1ECB0A7E">
      <w:pPr>
        <w:pStyle w:val="12"/>
        <w:keepNext w:val="0"/>
        <w:keepLines w:val="0"/>
        <w:pageBreakBefore w:val="0"/>
        <w:widowControl w:val="0"/>
        <w:kinsoku/>
        <w:wordWrap/>
        <w:topLinePunct w:val="0"/>
        <w:bidi w:val="0"/>
        <w:adjustRightInd/>
        <w:spacing w:line="600" w:lineRule="exact"/>
        <w:ind w:firstLine="0" w:firstLineChars="0"/>
        <w:textAlignment w:val="auto"/>
        <w:outlineLvl w:val="0"/>
        <w:rPr>
          <w:rFonts w:hint="eastAsia" w:eastAsia="方正黑体_GBK"/>
          <w:sz w:val="32"/>
          <w:szCs w:val="32"/>
        </w:rPr>
      </w:pPr>
    </w:p>
    <w:p w14:paraId="5EDADD75">
      <w:pPr>
        <w:pStyle w:val="12"/>
        <w:keepNext w:val="0"/>
        <w:keepLines w:val="0"/>
        <w:pageBreakBefore w:val="0"/>
        <w:widowControl w:val="0"/>
        <w:numPr>
          <w:ilvl w:val="0"/>
          <w:numId w:val="0"/>
        </w:numPr>
        <w:kinsoku/>
        <w:wordWrap/>
        <w:topLinePunct w:val="0"/>
        <w:bidi w:val="0"/>
        <w:adjustRightInd/>
        <w:spacing w:line="600" w:lineRule="exact"/>
        <w:ind w:left="0" w:leftChars="0" w:firstLine="710" w:firstLineChars="0"/>
        <w:textAlignment w:val="auto"/>
        <w:outlineLvl w:val="0"/>
        <w:rPr>
          <w:rFonts w:eastAsia="方正仿宋_GBK"/>
          <w:sz w:val="32"/>
          <w:szCs w:val="32"/>
        </w:rPr>
      </w:pPr>
      <w:r>
        <w:rPr>
          <w:rFonts w:hint="eastAsia" w:ascii="方正楷体_GBK" w:hAnsi="Times New Roman" w:eastAsia="方正黑体_GBK" w:cs="Times New Roman"/>
          <w:b w:val="0"/>
          <w:kern w:val="2"/>
          <w:sz w:val="32"/>
          <w:szCs w:val="32"/>
          <w:lang w:val="en-US" w:eastAsia="zh-CN" w:bidi="ar-SA"/>
        </w:rPr>
        <w:t>第十三条</w:t>
      </w:r>
      <w:r>
        <w:rPr>
          <w:rFonts w:hint="eastAsia" w:eastAsia="方正仿宋_GBK"/>
          <w:sz w:val="32"/>
          <w:szCs w:val="32"/>
        </w:rPr>
        <w:t xml:space="preserve"> 市交通运输主管部门可以根据交通运输部发布的水运工程造价依据，结合本市实际和需要，组织制定补充性造价依据，市交通造价站具体负责编制工作。</w:t>
      </w:r>
    </w:p>
    <w:p w14:paraId="38121330">
      <w:pPr>
        <w:pStyle w:val="12"/>
        <w:keepNext w:val="0"/>
        <w:keepLines w:val="0"/>
        <w:pageBreakBefore w:val="0"/>
        <w:widowControl w:val="0"/>
        <w:kinsoku/>
        <w:wordWrap/>
        <w:topLinePunct w:val="0"/>
        <w:bidi w:val="0"/>
        <w:adjustRightInd/>
        <w:spacing w:line="600" w:lineRule="exact"/>
        <w:ind w:firstLine="640"/>
        <w:textAlignment w:val="auto"/>
        <w:rPr>
          <w:rFonts w:eastAsia="方正仿宋_GBK"/>
          <w:spacing w:val="-6"/>
          <w:sz w:val="32"/>
          <w:szCs w:val="32"/>
        </w:rPr>
      </w:pPr>
      <w:r>
        <w:rPr>
          <w:rFonts w:hint="eastAsia" w:eastAsia="方正仿宋_GBK"/>
          <w:sz w:val="32"/>
          <w:szCs w:val="32"/>
        </w:rPr>
        <w:t>编</w:t>
      </w:r>
      <w:r>
        <w:rPr>
          <w:rFonts w:hint="eastAsia" w:eastAsia="方正仿宋_GBK"/>
          <w:spacing w:val="-6"/>
          <w:sz w:val="32"/>
          <w:szCs w:val="32"/>
        </w:rPr>
        <w:t>制的补充性造价依据，应当公开征求意见并组织专家评审。</w:t>
      </w:r>
    </w:p>
    <w:p w14:paraId="0F9AE0A7">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sz w:val="32"/>
          <w:szCs w:val="32"/>
        </w:rPr>
      </w:pPr>
      <w:r>
        <w:rPr>
          <w:rFonts w:hint="eastAsia" w:eastAsia="方正仿宋_GBK"/>
          <w:sz w:val="32"/>
          <w:szCs w:val="32"/>
        </w:rPr>
        <w:t>前款所称造价依据，是指用于编制各阶段造价文件所依据的规</w:t>
      </w:r>
      <w:r>
        <w:rPr>
          <w:rFonts w:hint="eastAsia" w:eastAsia="方正仿宋_GBK"/>
          <w:spacing w:val="-6"/>
          <w:sz w:val="32"/>
          <w:szCs w:val="32"/>
        </w:rPr>
        <w:t>定、规则、定额、费用标准、造价指标以及其他相关的计价标准。</w:t>
      </w:r>
    </w:p>
    <w:p w14:paraId="1F81D698">
      <w:pPr>
        <w:pStyle w:val="12"/>
        <w:keepNext w:val="0"/>
        <w:keepLines w:val="0"/>
        <w:pageBreakBefore w:val="0"/>
        <w:widowControl w:val="0"/>
        <w:numPr>
          <w:ilvl w:val="0"/>
          <w:numId w:val="0"/>
        </w:numPr>
        <w:kinsoku/>
        <w:wordWrap/>
        <w:topLinePunct w:val="0"/>
        <w:bidi w:val="0"/>
        <w:adjustRightInd/>
        <w:spacing w:line="600" w:lineRule="exact"/>
        <w:ind w:left="0" w:leftChars="0" w:firstLine="709" w:firstLineChars="0"/>
        <w:textAlignment w:val="auto"/>
        <w:rPr>
          <w:rFonts w:hint="eastAsia" w:eastAsia="方正仿宋_GBK"/>
          <w:sz w:val="32"/>
          <w:szCs w:val="32"/>
        </w:rPr>
      </w:pPr>
      <w:r>
        <w:rPr>
          <w:rFonts w:hint="eastAsia" w:ascii="方正楷体_GBK" w:hAnsi="Times New Roman" w:eastAsia="方正黑体_GBK" w:cs="Times New Roman"/>
          <w:b w:val="0"/>
          <w:kern w:val="2"/>
          <w:sz w:val="32"/>
          <w:szCs w:val="32"/>
          <w:lang w:val="en-US" w:eastAsia="zh-CN" w:bidi="ar-SA"/>
        </w:rPr>
        <w:t>第十四条</w:t>
      </w:r>
      <w:r>
        <w:rPr>
          <w:rFonts w:hint="eastAsia" w:eastAsia="方正仿宋_GBK"/>
          <w:sz w:val="32"/>
          <w:szCs w:val="32"/>
        </w:rPr>
        <w:t xml:space="preserve"> 对交通运输主管部门制定的水运工程造价依据中未涵盖但水运工程需要的造价依据，水运工程项目单位应当根据该工程施工工艺要求等因素组织开展成本分析。鼓励项目单位编制补充性造价依据，并及时将编制的补充性造价依据和相关资料报送市交通造价站。</w:t>
      </w:r>
    </w:p>
    <w:p w14:paraId="6192F924">
      <w:pPr>
        <w:pStyle w:val="12"/>
        <w:keepNext w:val="0"/>
        <w:keepLines w:val="0"/>
        <w:pageBreakBefore w:val="0"/>
        <w:widowControl w:val="0"/>
        <w:numPr>
          <w:ilvl w:val="0"/>
          <w:numId w:val="0"/>
        </w:numPr>
        <w:kinsoku/>
        <w:wordWrap/>
        <w:topLinePunct w:val="0"/>
        <w:bidi w:val="0"/>
        <w:adjustRightInd/>
        <w:spacing w:line="600" w:lineRule="exact"/>
        <w:ind w:left="0" w:leftChars="0" w:firstLine="709" w:firstLineChars="0"/>
        <w:textAlignment w:val="auto"/>
        <w:rPr>
          <w:rFonts w:hint="eastAsia" w:eastAsia="方正仿宋_GBK"/>
          <w:sz w:val="32"/>
          <w:szCs w:val="32"/>
        </w:rPr>
      </w:pPr>
      <w:r>
        <w:rPr>
          <w:rFonts w:hint="eastAsia" w:ascii="方正楷体_GBK" w:hAnsi="Times New Roman" w:eastAsia="方正黑体_GBK" w:cs="Times New Roman"/>
          <w:b w:val="0"/>
          <w:kern w:val="2"/>
          <w:sz w:val="32"/>
          <w:szCs w:val="32"/>
          <w:lang w:val="en-US" w:eastAsia="zh-CN" w:bidi="ar-SA"/>
        </w:rPr>
        <w:t>第十五条</w:t>
      </w:r>
      <w:r>
        <w:rPr>
          <w:rFonts w:hint="eastAsia" w:eastAsia="方正仿宋_GBK"/>
          <w:sz w:val="32"/>
          <w:szCs w:val="32"/>
        </w:rPr>
        <w:t xml:space="preserve"> 市交通造价站应当及时开展造价依据的编制和修订工作，促进造价依据与水运技术进步相适应。水运工程项目、勘察设计、监理、施工、造价咨询等单位应当给予支持和配合。</w:t>
      </w:r>
    </w:p>
    <w:p w14:paraId="55EB3C9A">
      <w:pPr>
        <w:pStyle w:val="12"/>
        <w:keepNext w:val="0"/>
        <w:keepLines w:val="0"/>
        <w:pageBreakBefore w:val="0"/>
        <w:widowControl w:val="0"/>
        <w:numPr>
          <w:ilvl w:val="0"/>
          <w:numId w:val="0"/>
        </w:numPr>
        <w:kinsoku/>
        <w:wordWrap/>
        <w:topLinePunct w:val="0"/>
        <w:bidi w:val="0"/>
        <w:adjustRightInd/>
        <w:spacing w:line="600" w:lineRule="exact"/>
        <w:ind w:left="0" w:leftChars="0" w:firstLine="709" w:firstLineChars="0"/>
        <w:textAlignment w:val="auto"/>
        <w:rPr>
          <w:rFonts w:hint="eastAsia" w:eastAsia="方正仿宋_GBK"/>
          <w:sz w:val="32"/>
          <w:szCs w:val="32"/>
        </w:rPr>
      </w:pPr>
      <w:r>
        <w:rPr>
          <w:rFonts w:hint="eastAsia" w:ascii="方正楷体_GBK" w:hAnsi="Times New Roman" w:eastAsia="方正黑体_GBK" w:cs="Times New Roman"/>
          <w:b w:val="0"/>
          <w:kern w:val="2"/>
          <w:sz w:val="32"/>
          <w:szCs w:val="32"/>
          <w:lang w:val="en-US" w:eastAsia="zh-CN" w:bidi="ar-SA"/>
        </w:rPr>
        <w:t>第十六条</w:t>
      </w:r>
      <w:r>
        <w:rPr>
          <w:rFonts w:hint="eastAsia" w:eastAsia="方正仿宋_GBK"/>
          <w:sz w:val="32"/>
          <w:szCs w:val="32"/>
        </w:rPr>
        <w:t xml:space="preserve"> 编制造价文件使用的造价软件，应当符合水运造价依据，满足造价文件编制需要。</w:t>
      </w:r>
    </w:p>
    <w:p w14:paraId="6AF4DAA4">
      <w:pPr>
        <w:pStyle w:val="12"/>
        <w:keepNext w:val="0"/>
        <w:keepLines w:val="0"/>
        <w:pageBreakBefore w:val="0"/>
        <w:widowControl w:val="0"/>
        <w:kinsoku/>
        <w:wordWrap/>
        <w:topLinePunct w:val="0"/>
        <w:bidi w:val="0"/>
        <w:adjustRightInd/>
        <w:spacing w:line="600" w:lineRule="exact"/>
        <w:ind w:left="709" w:firstLine="0" w:firstLineChars="0"/>
        <w:textAlignment w:val="auto"/>
        <w:rPr>
          <w:rFonts w:hint="eastAsia" w:eastAsia="方正仿宋_GBK"/>
          <w:sz w:val="32"/>
          <w:szCs w:val="32"/>
        </w:rPr>
      </w:pPr>
    </w:p>
    <w:p w14:paraId="72B33327">
      <w:pPr>
        <w:pStyle w:val="12"/>
        <w:keepNext w:val="0"/>
        <w:keepLines w:val="0"/>
        <w:pageBreakBefore w:val="0"/>
        <w:widowControl w:val="0"/>
        <w:numPr>
          <w:ilvl w:val="0"/>
          <w:numId w:val="1"/>
        </w:numPr>
        <w:kinsoku/>
        <w:wordWrap/>
        <w:topLinePunct w:val="0"/>
        <w:bidi w:val="0"/>
        <w:adjustRightInd/>
        <w:spacing w:line="600" w:lineRule="exact"/>
        <w:ind w:left="743" w:hanging="743" w:firstLineChars="0"/>
        <w:jc w:val="center"/>
        <w:textAlignment w:val="auto"/>
        <w:outlineLvl w:val="0"/>
        <w:rPr>
          <w:rFonts w:hint="eastAsia" w:eastAsia="方正黑体_GBK"/>
          <w:sz w:val="32"/>
          <w:szCs w:val="32"/>
        </w:rPr>
      </w:pPr>
      <w:r>
        <w:rPr>
          <w:rFonts w:hint="eastAsia" w:eastAsia="方正黑体_GBK"/>
          <w:sz w:val="32"/>
          <w:szCs w:val="32"/>
        </w:rPr>
        <w:t>造价的确定和控制</w:t>
      </w:r>
    </w:p>
    <w:p w14:paraId="22D2B5BA">
      <w:pPr>
        <w:pStyle w:val="12"/>
        <w:keepNext w:val="0"/>
        <w:keepLines w:val="0"/>
        <w:pageBreakBefore w:val="0"/>
        <w:widowControl w:val="0"/>
        <w:kinsoku/>
        <w:wordWrap/>
        <w:topLinePunct w:val="0"/>
        <w:bidi w:val="0"/>
        <w:adjustRightInd/>
        <w:spacing w:line="600" w:lineRule="exact"/>
        <w:ind w:firstLine="0" w:firstLineChars="0"/>
        <w:jc w:val="center"/>
        <w:textAlignment w:val="auto"/>
        <w:outlineLvl w:val="0"/>
        <w:rPr>
          <w:rFonts w:hint="eastAsia" w:eastAsia="方正黑体_GBK"/>
          <w:sz w:val="32"/>
          <w:szCs w:val="32"/>
        </w:rPr>
      </w:pPr>
    </w:p>
    <w:p w14:paraId="44A78007">
      <w:pPr>
        <w:pStyle w:val="12"/>
        <w:keepNext w:val="0"/>
        <w:keepLines w:val="0"/>
        <w:pageBreakBefore w:val="0"/>
        <w:widowControl w:val="0"/>
        <w:numPr>
          <w:ilvl w:val="0"/>
          <w:numId w:val="0"/>
        </w:numPr>
        <w:kinsoku/>
        <w:wordWrap/>
        <w:topLinePunct w:val="0"/>
        <w:bidi w:val="0"/>
        <w:adjustRightInd/>
        <w:spacing w:line="600" w:lineRule="exact"/>
        <w:ind w:left="0" w:leftChars="0" w:firstLine="709" w:firstLineChars="0"/>
        <w:textAlignment w:val="auto"/>
        <w:rPr>
          <w:rFonts w:eastAsia="方正仿宋_GBK"/>
          <w:sz w:val="32"/>
          <w:szCs w:val="32"/>
        </w:rPr>
      </w:pPr>
      <w:r>
        <w:rPr>
          <w:rFonts w:hint="eastAsia" w:ascii="方正楷体_GBK" w:hAnsi="Times New Roman" w:eastAsia="方正黑体_GBK" w:cs="Times New Roman"/>
          <w:b w:val="0"/>
          <w:kern w:val="2"/>
          <w:sz w:val="32"/>
          <w:szCs w:val="32"/>
          <w:lang w:val="en-US" w:eastAsia="zh-CN" w:bidi="ar-SA"/>
        </w:rPr>
        <w:t>第十七条</w:t>
      </w:r>
      <w:r>
        <w:rPr>
          <w:rFonts w:hint="eastAsia" w:ascii="方正楷体_GBK" w:eastAsia="方正黑体_GBK" w:cs="Times New Roman"/>
          <w:b w:val="0"/>
          <w:kern w:val="2"/>
          <w:sz w:val="32"/>
          <w:szCs w:val="32"/>
          <w:lang w:val="en-US" w:eastAsia="zh-CN" w:bidi="ar-SA"/>
        </w:rPr>
        <w:t xml:space="preserve"> </w:t>
      </w:r>
      <w:r>
        <w:rPr>
          <w:rFonts w:hint="eastAsia" w:eastAsia="方正仿宋_GBK"/>
          <w:sz w:val="32"/>
          <w:szCs w:val="32"/>
        </w:rPr>
        <w:t>水运工程造价编制应当执行交通运输部制定的水运工程造价依据和市交通运输主管部门制定的补充性造价依据。水运工程造价依据中未包括的其他专业工程，可按相关专业造价依据执行。</w:t>
      </w:r>
    </w:p>
    <w:p w14:paraId="553ECBE5">
      <w:pPr>
        <w:pStyle w:val="12"/>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sz w:val="32"/>
          <w:szCs w:val="32"/>
        </w:rPr>
      </w:pPr>
      <w:r>
        <w:rPr>
          <w:rFonts w:hint="eastAsia" w:ascii="方正楷体_GBK" w:hAnsi="Times New Roman" w:eastAsia="方正黑体_GBK" w:cs="Times New Roman"/>
          <w:b w:val="0"/>
          <w:kern w:val="2"/>
          <w:sz w:val="32"/>
          <w:szCs w:val="32"/>
          <w:lang w:val="en-US" w:eastAsia="zh-CN" w:bidi="ar-SA"/>
        </w:rPr>
        <w:t>第十八条</w:t>
      </w:r>
      <w:r>
        <w:rPr>
          <w:rFonts w:hint="eastAsia" w:ascii="方正楷体_GBK" w:eastAsia="方正黑体_GBK" w:cs="Times New Roman"/>
          <w:b w:val="0"/>
          <w:kern w:val="2"/>
          <w:sz w:val="32"/>
          <w:szCs w:val="32"/>
          <w:lang w:val="en-US" w:eastAsia="zh-CN" w:bidi="ar-SA"/>
        </w:rPr>
        <w:t xml:space="preserve"> </w:t>
      </w:r>
      <w:r>
        <w:rPr>
          <w:rFonts w:hint="eastAsia" w:eastAsia="方正仿宋_GBK"/>
          <w:sz w:val="32"/>
          <w:szCs w:val="32"/>
        </w:rPr>
        <w:t>水运工程造价应当针对水运工程建设的不同阶段，根据项目的建设方案、工程规模、质量和安全等建设目标，结合建设条件等因素，按照相应的造价依据进行合理确定和有效控制。</w:t>
      </w:r>
    </w:p>
    <w:p w14:paraId="4F2152F1">
      <w:pPr>
        <w:pStyle w:val="6"/>
        <w:keepNext w:val="0"/>
        <w:keepLines w:val="0"/>
        <w:pageBreakBefore w:val="0"/>
        <w:widowControl w:val="0"/>
        <w:kinsoku/>
        <w:wordWrap/>
        <w:topLinePunct w:val="0"/>
        <w:bidi w:val="0"/>
        <w:adjustRightInd/>
        <w:spacing w:before="0" w:beforeAutospacing="0" w:after="0" w:afterAutospacing="0" w:line="600" w:lineRule="exact"/>
        <w:ind w:firstLine="640" w:firstLineChars="200"/>
        <w:jc w:val="both"/>
        <w:textAlignment w:val="auto"/>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水运工程造价文件编制、审查应符合《重庆市公路水运工程造价审查要求》和《重庆市公路水运工程造价编审指南》的规定。</w:t>
      </w:r>
    </w:p>
    <w:p w14:paraId="748401AD">
      <w:pPr>
        <w:pStyle w:val="12"/>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sz w:val="32"/>
          <w:szCs w:val="32"/>
        </w:rPr>
      </w:pPr>
      <w:r>
        <w:rPr>
          <w:rFonts w:hint="eastAsia" w:ascii="方正楷体_GBK" w:hAnsi="Times New Roman" w:eastAsia="方正黑体_GBK" w:cs="Times New Roman"/>
          <w:b w:val="0"/>
          <w:kern w:val="2"/>
          <w:sz w:val="32"/>
          <w:szCs w:val="32"/>
          <w:lang w:val="en-US" w:eastAsia="zh-CN" w:bidi="ar-SA"/>
        </w:rPr>
        <w:t>第十九条</w:t>
      </w:r>
      <w:r>
        <w:rPr>
          <w:rFonts w:hint="eastAsia" w:ascii="方正楷体_GBK" w:eastAsia="方正黑体_GBK" w:cs="Times New Roman"/>
          <w:b w:val="0"/>
          <w:kern w:val="2"/>
          <w:sz w:val="32"/>
          <w:szCs w:val="32"/>
          <w:lang w:val="en-US" w:eastAsia="zh-CN" w:bidi="ar-SA"/>
        </w:rPr>
        <w:t xml:space="preserve"> </w:t>
      </w:r>
      <w:r>
        <w:rPr>
          <w:rFonts w:hint="eastAsia" w:eastAsia="方正仿宋_GBK"/>
          <w:sz w:val="32"/>
          <w:szCs w:val="32"/>
        </w:rPr>
        <w:t>水运工程投资估算应当按照《水运工程建设项目投资估算编制规定》等规定编制，经审批或核准后的工程投资估算是控制概算的依据。</w:t>
      </w:r>
    </w:p>
    <w:p w14:paraId="1BFF2524">
      <w:pPr>
        <w:pStyle w:val="12"/>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sz w:val="32"/>
          <w:szCs w:val="32"/>
        </w:rPr>
      </w:pPr>
      <w:r>
        <w:rPr>
          <w:rFonts w:hint="eastAsia" w:ascii="方正楷体_GBK" w:hAnsi="Times New Roman" w:eastAsia="方正黑体_GBK" w:cs="Times New Roman"/>
          <w:b w:val="0"/>
          <w:kern w:val="2"/>
          <w:sz w:val="32"/>
          <w:szCs w:val="32"/>
          <w:lang w:val="en-US" w:eastAsia="zh-CN" w:bidi="ar-SA"/>
        </w:rPr>
        <w:t>第二十条</w:t>
      </w:r>
      <w:r>
        <w:rPr>
          <w:rFonts w:hint="eastAsia" w:ascii="方正楷体_GBK" w:eastAsia="方正黑体_GBK" w:cs="Times New Roman"/>
          <w:b w:val="0"/>
          <w:kern w:val="2"/>
          <w:sz w:val="32"/>
          <w:szCs w:val="32"/>
          <w:lang w:val="en-US" w:eastAsia="zh-CN" w:bidi="ar-SA"/>
        </w:rPr>
        <w:t xml:space="preserve"> </w:t>
      </w:r>
      <w:r>
        <w:rPr>
          <w:rFonts w:hint="eastAsia" w:eastAsia="方正仿宋_GBK"/>
          <w:sz w:val="32"/>
          <w:szCs w:val="32"/>
        </w:rPr>
        <w:t>水运工程设计概算和施工图预算应当按照《水运建设工程概算预算编制规定》等规定编制。</w:t>
      </w:r>
    </w:p>
    <w:p w14:paraId="79AB83C7">
      <w:pPr>
        <w:pStyle w:val="12"/>
        <w:keepNext w:val="0"/>
        <w:keepLines w:val="0"/>
        <w:pageBreakBefore w:val="0"/>
        <w:widowControl w:val="0"/>
        <w:kinsoku/>
        <w:wordWrap/>
        <w:topLinePunct w:val="0"/>
        <w:bidi w:val="0"/>
        <w:adjustRightInd/>
        <w:spacing w:line="600" w:lineRule="exact"/>
        <w:ind w:firstLine="640"/>
        <w:textAlignment w:val="auto"/>
        <w:rPr>
          <w:rFonts w:eastAsia="方正仿宋_GBK"/>
          <w:sz w:val="32"/>
          <w:szCs w:val="32"/>
        </w:rPr>
      </w:pPr>
      <w:r>
        <w:rPr>
          <w:rFonts w:hint="eastAsia" w:eastAsia="方正仿宋_GBK"/>
          <w:sz w:val="32"/>
          <w:szCs w:val="32"/>
        </w:rPr>
        <w:t>初步设计概算不得超过经审批或者核准的投资估算的10%。送审概算超过经审批或者核准投资估算但未超过1</w:t>
      </w:r>
      <w:r>
        <w:rPr>
          <w:rFonts w:eastAsia="方正仿宋_GBK"/>
          <w:sz w:val="32"/>
          <w:szCs w:val="32"/>
        </w:rPr>
        <w:t>0%</w:t>
      </w:r>
      <w:r>
        <w:rPr>
          <w:rFonts w:hint="eastAsia" w:eastAsia="方正仿宋_GBK"/>
          <w:sz w:val="32"/>
          <w:szCs w:val="32"/>
        </w:rPr>
        <w:t>的，应当进行原因分析，并形成书面报告作为概算的补充文件一并送审。</w:t>
      </w:r>
    </w:p>
    <w:p w14:paraId="33B1680F">
      <w:pPr>
        <w:pStyle w:val="12"/>
        <w:keepNext w:val="0"/>
        <w:keepLines w:val="0"/>
        <w:pageBreakBefore w:val="0"/>
        <w:widowControl w:val="0"/>
        <w:kinsoku/>
        <w:wordWrap/>
        <w:topLinePunct w:val="0"/>
        <w:bidi w:val="0"/>
        <w:adjustRightInd/>
        <w:spacing w:line="600" w:lineRule="exact"/>
        <w:ind w:firstLine="640"/>
        <w:textAlignment w:val="auto"/>
        <w:rPr>
          <w:rFonts w:eastAsia="方正仿宋_GBK"/>
          <w:sz w:val="32"/>
          <w:szCs w:val="32"/>
        </w:rPr>
      </w:pPr>
      <w:r>
        <w:rPr>
          <w:rFonts w:hint="eastAsia" w:eastAsia="方正仿宋_GBK"/>
          <w:sz w:val="32"/>
          <w:szCs w:val="32"/>
        </w:rPr>
        <w:t>施工图预算不得超过经批准的初步设计概算。</w:t>
      </w:r>
    </w:p>
    <w:p w14:paraId="1EABC6F8">
      <w:pPr>
        <w:pStyle w:val="12"/>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sz w:val="32"/>
          <w:szCs w:val="32"/>
        </w:rPr>
      </w:pPr>
      <w:r>
        <w:rPr>
          <w:rFonts w:hint="eastAsia" w:ascii="方正楷体_GBK" w:hAnsi="Times New Roman" w:eastAsia="方正黑体_GBK" w:cs="Times New Roman"/>
          <w:b w:val="0"/>
          <w:kern w:val="2"/>
          <w:sz w:val="32"/>
          <w:szCs w:val="32"/>
          <w:lang w:val="en-US" w:eastAsia="zh-CN" w:bidi="ar-SA"/>
        </w:rPr>
        <w:t>第二十一条</w:t>
      </w:r>
      <w:r>
        <w:rPr>
          <w:rFonts w:hint="eastAsia" w:ascii="方正楷体_GBK" w:eastAsia="方正黑体_GBK" w:cs="Times New Roman"/>
          <w:b w:val="0"/>
          <w:kern w:val="2"/>
          <w:sz w:val="32"/>
          <w:szCs w:val="32"/>
          <w:lang w:val="en-US" w:eastAsia="zh-CN" w:bidi="ar-SA"/>
        </w:rPr>
        <w:t xml:space="preserve"> </w:t>
      </w:r>
      <w:r>
        <w:rPr>
          <w:rFonts w:hint="eastAsia" w:eastAsia="方正仿宋_GBK"/>
          <w:sz w:val="32"/>
          <w:szCs w:val="32"/>
        </w:rPr>
        <w:t>实行招标的水运工程建设项目，应当在招标文件中载明工程量清单、计价条款、材料价差调整、安全文明施工费等工程计量计价事项。招标人应当对招标文件工程量清单的准确性和完整性负责。</w:t>
      </w:r>
    </w:p>
    <w:p w14:paraId="277AE3DE">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sz w:val="32"/>
          <w:szCs w:val="32"/>
        </w:rPr>
      </w:pPr>
      <w:r>
        <w:rPr>
          <w:rFonts w:hint="eastAsia" w:eastAsia="方正仿宋_GBK"/>
          <w:sz w:val="32"/>
          <w:szCs w:val="32"/>
        </w:rPr>
        <w:t>设有标底或者最高投标限价的，标底或者最高投标限价应当根据造价依据并结合市场因素进行编制，并不得超出经批准的设计概算或者施工图预算对应部分。招标人应当进行标底或者最高投标限价与设计概算或者施工图预算的对比分析，合理控制建设项目造价。</w:t>
      </w:r>
    </w:p>
    <w:p w14:paraId="79CB0340">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sz w:val="32"/>
          <w:szCs w:val="32"/>
        </w:rPr>
      </w:pPr>
      <w:r>
        <w:rPr>
          <w:rFonts w:hint="eastAsia" w:eastAsia="方正仿宋_GBK"/>
          <w:sz w:val="32"/>
          <w:szCs w:val="32"/>
        </w:rPr>
        <w:t>投标报价由投标人根据市场及企业经营状况编制，不得低于工程成本，不得高于最高投标限价。</w:t>
      </w:r>
    </w:p>
    <w:p w14:paraId="50E0AB47">
      <w:pPr>
        <w:pStyle w:val="12"/>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sz w:val="32"/>
          <w:szCs w:val="32"/>
        </w:rPr>
      </w:pPr>
      <w:r>
        <w:rPr>
          <w:rFonts w:hint="eastAsia" w:ascii="方正楷体_GBK" w:hAnsi="Times New Roman" w:eastAsia="方正黑体_GBK" w:cs="Times New Roman"/>
          <w:b w:val="0"/>
          <w:kern w:val="2"/>
          <w:sz w:val="32"/>
          <w:szCs w:val="32"/>
          <w:lang w:val="en-US" w:eastAsia="zh-CN" w:bidi="ar-SA"/>
        </w:rPr>
        <w:t>第二十二条</w:t>
      </w:r>
      <w:r>
        <w:rPr>
          <w:rFonts w:hint="eastAsia" w:ascii="方正楷体_GBK" w:eastAsia="方正黑体_GBK" w:cs="Times New Roman"/>
          <w:b w:val="0"/>
          <w:kern w:val="2"/>
          <w:sz w:val="32"/>
          <w:szCs w:val="32"/>
          <w:lang w:val="en-US" w:eastAsia="zh-CN" w:bidi="ar-SA"/>
        </w:rPr>
        <w:t xml:space="preserve"> </w:t>
      </w:r>
      <w:r>
        <w:rPr>
          <w:rFonts w:hint="eastAsia" w:eastAsia="方正仿宋_GBK"/>
          <w:sz w:val="32"/>
          <w:szCs w:val="32"/>
        </w:rPr>
        <w:t>项目单位应当按批准的施工图设计实施，严格控制设计变更。发生设计变更的，项目单位应当按有关规定严格履行审批程序，并按照有关规定和合同约定合理确定变更工程价款。</w:t>
      </w:r>
    </w:p>
    <w:p w14:paraId="31AE6C5C">
      <w:pPr>
        <w:pStyle w:val="12"/>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sz w:val="32"/>
          <w:szCs w:val="32"/>
        </w:rPr>
      </w:pPr>
      <w:r>
        <w:rPr>
          <w:rFonts w:hint="eastAsia" w:ascii="方正楷体_GBK" w:hAnsi="Times New Roman" w:eastAsia="方正黑体_GBK" w:cs="Times New Roman"/>
          <w:b w:val="0"/>
          <w:kern w:val="2"/>
          <w:sz w:val="32"/>
          <w:szCs w:val="32"/>
          <w:lang w:val="en-US" w:eastAsia="zh-CN" w:bidi="ar-SA"/>
        </w:rPr>
        <w:t>第二十三条</w:t>
      </w:r>
      <w:r>
        <w:rPr>
          <w:rFonts w:hint="eastAsia" w:ascii="方正楷体_GBK" w:eastAsia="方正黑体_GBK" w:cs="Times New Roman"/>
          <w:b w:val="0"/>
          <w:kern w:val="2"/>
          <w:sz w:val="32"/>
          <w:szCs w:val="32"/>
          <w:lang w:val="en-US" w:eastAsia="zh-CN" w:bidi="ar-SA"/>
        </w:rPr>
        <w:t xml:space="preserve"> </w:t>
      </w:r>
      <w:r>
        <w:rPr>
          <w:rFonts w:hint="eastAsia" w:eastAsia="方正仿宋_GBK"/>
          <w:sz w:val="32"/>
          <w:szCs w:val="32"/>
        </w:rPr>
        <w:t>项目单位应当按照合同约定计量，并按照合同约定和相关法律法规的规定，按时足额支付工程款。</w:t>
      </w:r>
    </w:p>
    <w:p w14:paraId="417ABA9C">
      <w:pPr>
        <w:pStyle w:val="12"/>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sz w:val="32"/>
          <w:szCs w:val="32"/>
        </w:rPr>
      </w:pPr>
      <w:r>
        <w:rPr>
          <w:rFonts w:hint="eastAsia" w:ascii="方正楷体_GBK" w:hAnsi="Times New Roman" w:eastAsia="方正黑体_GBK" w:cs="Times New Roman"/>
          <w:b w:val="0"/>
          <w:kern w:val="2"/>
          <w:sz w:val="32"/>
          <w:szCs w:val="32"/>
          <w:lang w:val="en-US" w:eastAsia="zh-CN" w:bidi="ar-SA"/>
        </w:rPr>
        <w:t>第二十四条</w:t>
      </w:r>
      <w:r>
        <w:rPr>
          <w:rFonts w:hint="eastAsia" w:ascii="方正楷体_GBK" w:eastAsia="方正黑体_GBK" w:cs="Times New Roman"/>
          <w:b w:val="0"/>
          <w:kern w:val="2"/>
          <w:sz w:val="32"/>
          <w:szCs w:val="32"/>
          <w:lang w:val="en-US" w:eastAsia="zh-CN" w:bidi="ar-SA"/>
        </w:rPr>
        <w:t xml:space="preserve"> </w:t>
      </w:r>
      <w:r>
        <w:rPr>
          <w:rFonts w:hint="eastAsia" w:eastAsia="方正仿宋_GBK"/>
          <w:sz w:val="32"/>
          <w:szCs w:val="32"/>
        </w:rPr>
        <w:t>工程结算应当以承包合同价为依据，按照合同条款确定的计价方式进行结算。调整合同价应根据国家、交通运输主管部门发布的调价办法和承包合同中的有关规定进行调价，以维护承发包双方的利益。</w:t>
      </w:r>
    </w:p>
    <w:p w14:paraId="780FDCFC">
      <w:pPr>
        <w:pStyle w:val="12"/>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sz w:val="32"/>
          <w:szCs w:val="32"/>
        </w:rPr>
      </w:pPr>
      <w:r>
        <w:rPr>
          <w:rFonts w:hint="eastAsia" w:ascii="方正楷体_GBK" w:hAnsi="Times New Roman" w:eastAsia="方正黑体_GBK" w:cs="Times New Roman"/>
          <w:b w:val="0"/>
          <w:kern w:val="2"/>
          <w:sz w:val="32"/>
          <w:szCs w:val="32"/>
          <w:lang w:val="en-US" w:eastAsia="zh-CN" w:bidi="ar-SA"/>
        </w:rPr>
        <w:t>第二十五条</w:t>
      </w:r>
      <w:r>
        <w:rPr>
          <w:rFonts w:hint="eastAsia" w:ascii="方正楷体_GBK" w:eastAsia="方正黑体_GBK" w:cs="Times New Roman"/>
          <w:b w:val="0"/>
          <w:kern w:val="2"/>
          <w:sz w:val="32"/>
          <w:szCs w:val="32"/>
          <w:lang w:val="en-US" w:eastAsia="zh-CN" w:bidi="ar-SA"/>
        </w:rPr>
        <w:t xml:space="preserve"> </w:t>
      </w:r>
      <w:r>
        <w:rPr>
          <w:rFonts w:hint="eastAsia" w:eastAsia="方正仿宋_GBK"/>
          <w:sz w:val="32"/>
          <w:szCs w:val="32"/>
        </w:rPr>
        <w:t>项目单位应当根据年度工程计划及时编制项目年度投资计划，并根据工程进度及时编制工程造价管理台账，对工程投资执行情况与经批准的设计概算或者施工图预算进行对比分析。</w:t>
      </w:r>
    </w:p>
    <w:p w14:paraId="5959E2B8">
      <w:pPr>
        <w:pStyle w:val="12"/>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sz w:val="32"/>
          <w:szCs w:val="32"/>
        </w:rPr>
      </w:pPr>
      <w:r>
        <w:rPr>
          <w:rFonts w:hint="eastAsia" w:ascii="方正楷体_GBK" w:hAnsi="Times New Roman" w:eastAsia="方正黑体_GBK" w:cs="Times New Roman"/>
          <w:b w:val="0"/>
          <w:kern w:val="2"/>
          <w:sz w:val="32"/>
          <w:szCs w:val="32"/>
          <w:lang w:val="en-US" w:eastAsia="zh-CN" w:bidi="ar-SA"/>
        </w:rPr>
        <w:t>第二十六条</w:t>
      </w:r>
      <w:r>
        <w:rPr>
          <w:rFonts w:hint="eastAsia" w:ascii="方正楷体_GBK" w:eastAsia="方正黑体_GBK" w:cs="Times New Roman"/>
          <w:b w:val="0"/>
          <w:kern w:val="2"/>
          <w:sz w:val="32"/>
          <w:szCs w:val="32"/>
          <w:lang w:val="en-US" w:eastAsia="zh-CN" w:bidi="ar-SA"/>
        </w:rPr>
        <w:t xml:space="preserve"> </w:t>
      </w:r>
      <w:r>
        <w:rPr>
          <w:rFonts w:hint="eastAsia" w:eastAsia="方正仿宋_GBK"/>
          <w:sz w:val="32"/>
          <w:szCs w:val="32"/>
        </w:rPr>
        <w:t>水运工程建设项目投资概算调整的，按照国家和本市有关规定执行。政府投资建设项目实际投资调增幅度超过投资估算10%的，应当报项目可行性研究报告审批或者核准部门调整投资估算后，再由原概算审批部门审查调整设计概算；实际投资调增幅度不超过投资估算10%的，由原概算审批部门直接审查调整设计概算。</w:t>
      </w:r>
    </w:p>
    <w:p w14:paraId="3D1A0EE3">
      <w:pPr>
        <w:pStyle w:val="12"/>
        <w:keepNext w:val="0"/>
        <w:keepLines w:val="0"/>
        <w:pageBreakBefore w:val="0"/>
        <w:widowControl w:val="0"/>
        <w:kinsoku/>
        <w:wordWrap/>
        <w:topLinePunct w:val="0"/>
        <w:bidi w:val="0"/>
        <w:adjustRightInd/>
        <w:spacing w:line="600" w:lineRule="exact"/>
        <w:ind w:firstLine="640"/>
        <w:textAlignment w:val="auto"/>
        <w:rPr>
          <w:rFonts w:eastAsia="方正仿宋_GBK"/>
          <w:sz w:val="32"/>
          <w:szCs w:val="32"/>
        </w:rPr>
      </w:pPr>
      <w:r>
        <w:rPr>
          <w:rFonts w:hint="eastAsia" w:eastAsia="方正仿宋_GBK"/>
          <w:sz w:val="32"/>
          <w:szCs w:val="32"/>
        </w:rPr>
        <w:t>未经批准擅自增加建设内容、扩大建设规模、提高建设标准、改变设计方案等造成超概算的，不予调整设计概算。</w:t>
      </w:r>
    </w:p>
    <w:p w14:paraId="19B83644">
      <w:pPr>
        <w:pStyle w:val="12"/>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sz w:val="32"/>
          <w:szCs w:val="32"/>
        </w:rPr>
      </w:pPr>
      <w:r>
        <w:rPr>
          <w:rFonts w:hint="eastAsia" w:ascii="方正楷体_GBK" w:hAnsi="Times New Roman" w:eastAsia="方正黑体_GBK" w:cs="Times New Roman"/>
          <w:b w:val="0"/>
          <w:kern w:val="2"/>
          <w:sz w:val="32"/>
          <w:szCs w:val="32"/>
          <w:lang w:val="en-US" w:eastAsia="zh-CN" w:bidi="ar-SA"/>
        </w:rPr>
        <w:t>第二十七条</w:t>
      </w:r>
      <w:r>
        <w:rPr>
          <w:rFonts w:hint="eastAsia" w:ascii="方正楷体_GBK" w:eastAsia="方正黑体_GBK" w:cs="Times New Roman"/>
          <w:b w:val="0"/>
          <w:kern w:val="2"/>
          <w:sz w:val="32"/>
          <w:szCs w:val="32"/>
          <w:lang w:val="en-US" w:eastAsia="zh-CN" w:bidi="ar-SA"/>
        </w:rPr>
        <w:t xml:space="preserve"> </w:t>
      </w:r>
      <w:r>
        <w:rPr>
          <w:rFonts w:hint="eastAsia" w:eastAsia="方正仿宋_GBK"/>
          <w:sz w:val="32"/>
          <w:szCs w:val="32"/>
        </w:rPr>
        <w:t>水运工程建设项目竣工验收前，项目单位应当编制竣工决算报告以及水运工程建设项目造价执行情况报告。竣工决算报告和造价执行情况报告应及时报送交通运输主管部门及其造价机构。</w:t>
      </w:r>
    </w:p>
    <w:p w14:paraId="151D6D5C">
      <w:pPr>
        <w:keepNext w:val="0"/>
        <w:keepLines w:val="0"/>
        <w:pageBreakBefore w:val="0"/>
        <w:widowControl w:val="0"/>
        <w:kinsoku/>
        <w:wordWrap/>
        <w:topLinePunct w:val="0"/>
        <w:bidi w:val="0"/>
        <w:adjustRightInd/>
        <w:spacing w:line="600" w:lineRule="exact"/>
        <w:ind w:firstLine="640" w:firstLineChars="200"/>
        <w:textAlignment w:val="auto"/>
        <w:rPr>
          <w:rFonts w:hint="eastAsia" w:eastAsia="方正仿宋_GBK"/>
          <w:sz w:val="32"/>
          <w:szCs w:val="32"/>
        </w:rPr>
      </w:pPr>
      <w:r>
        <w:rPr>
          <w:rFonts w:hint="eastAsia" w:eastAsia="方正仿宋_GBK"/>
          <w:sz w:val="32"/>
          <w:szCs w:val="32"/>
        </w:rPr>
        <w:t>审计部门对竣工决算报告提出审计意见和调整要求的，项目单位应当按照要求对竣工决算报告进行调整。</w:t>
      </w:r>
    </w:p>
    <w:p w14:paraId="3B085942">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sz w:val="32"/>
          <w:szCs w:val="32"/>
        </w:rPr>
      </w:pPr>
    </w:p>
    <w:p w14:paraId="7538B067">
      <w:pPr>
        <w:pStyle w:val="12"/>
        <w:keepNext w:val="0"/>
        <w:keepLines w:val="0"/>
        <w:pageBreakBefore w:val="0"/>
        <w:widowControl w:val="0"/>
        <w:numPr>
          <w:ilvl w:val="0"/>
          <w:numId w:val="1"/>
        </w:numPr>
        <w:kinsoku/>
        <w:wordWrap/>
        <w:topLinePunct w:val="0"/>
        <w:bidi w:val="0"/>
        <w:adjustRightInd/>
        <w:spacing w:line="600" w:lineRule="exact"/>
        <w:ind w:left="743" w:hanging="743" w:firstLineChars="0"/>
        <w:jc w:val="center"/>
        <w:textAlignment w:val="auto"/>
        <w:outlineLvl w:val="0"/>
        <w:rPr>
          <w:rFonts w:hint="eastAsia" w:eastAsia="方正黑体_GBK"/>
          <w:sz w:val="32"/>
          <w:szCs w:val="32"/>
        </w:rPr>
      </w:pPr>
      <w:r>
        <w:rPr>
          <w:rFonts w:hint="eastAsia" w:eastAsia="方正黑体_GBK"/>
          <w:sz w:val="32"/>
          <w:szCs w:val="32"/>
        </w:rPr>
        <w:t>造价监督</w:t>
      </w:r>
    </w:p>
    <w:p w14:paraId="3749B109">
      <w:pPr>
        <w:pStyle w:val="12"/>
        <w:keepNext w:val="0"/>
        <w:keepLines w:val="0"/>
        <w:pageBreakBefore w:val="0"/>
        <w:widowControl w:val="0"/>
        <w:kinsoku/>
        <w:wordWrap/>
        <w:topLinePunct w:val="0"/>
        <w:bidi w:val="0"/>
        <w:adjustRightInd/>
        <w:spacing w:line="600" w:lineRule="exact"/>
        <w:ind w:firstLine="0" w:firstLineChars="0"/>
        <w:jc w:val="center"/>
        <w:textAlignment w:val="auto"/>
        <w:outlineLvl w:val="0"/>
        <w:rPr>
          <w:rFonts w:hint="eastAsia" w:eastAsia="方正黑体_GBK"/>
          <w:sz w:val="32"/>
          <w:szCs w:val="32"/>
        </w:rPr>
      </w:pPr>
    </w:p>
    <w:p w14:paraId="646AE1B1">
      <w:pPr>
        <w:pStyle w:val="12"/>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sz w:val="32"/>
          <w:szCs w:val="32"/>
        </w:rPr>
      </w:pPr>
      <w:r>
        <w:rPr>
          <w:rFonts w:hint="eastAsia" w:ascii="方正楷体_GBK" w:hAnsi="Times New Roman" w:eastAsia="方正黑体_GBK" w:cs="Times New Roman"/>
          <w:b w:val="0"/>
          <w:kern w:val="2"/>
          <w:sz w:val="32"/>
          <w:szCs w:val="32"/>
          <w:lang w:val="en-US" w:eastAsia="zh-CN" w:bidi="ar-SA"/>
        </w:rPr>
        <w:t>第二十八条</w:t>
      </w:r>
      <w:r>
        <w:rPr>
          <w:rFonts w:hint="eastAsia" w:ascii="方正楷体_GBK" w:eastAsia="方正黑体_GBK" w:cs="Times New Roman"/>
          <w:b w:val="0"/>
          <w:kern w:val="2"/>
          <w:sz w:val="32"/>
          <w:szCs w:val="32"/>
          <w:lang w:val="en-US" w:eastAsia="zh-CN" w:bidi="ar-SA"/>
        </w:rPr>
        <w:t xml:space="preserve"> </w:t>
      </w:r>
      <w:r>
        <w:rPr>
          <w:rFonts w:eastAsia="方正仿宋_GBK"/>
          <w:sz w:val="32"/>
          <w:szCs w:val="32"/>
        </w:rPr>
        <w:t>交通运输主管部门及其造价机构应当按照职责权限加强对水运工程造价活动的监督检查。被监督检查的单位和人员应当予以配合，不得妨碍和阻挠依法进行的监督检查活动。</w:t>
      </w:r>
    </w:p>
    <w:p w14:paraId="6BA47415">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cs="Nimbus Roman"/>
          <w:sz w:val="32"/>
          <w:szCs w:val="32"/>
        </w:rPr>
      </w:pPr>
      <w:r>
        <w:rPr>
          <w:rFonts w:eastAsia="方正仿宋_GBK" w:cs="Nimbus Roman"/>
          <w:sz w:val="32"/>
          <w:szCs w:val="32"/>
        </w:rPr>
        <w:t>市交通运输</w:t>
      </w:r>
      <w:r>
        <w:rPr>
          <w:rFonts w:hint="eastAsia" w:eastAsia="方正仿宋_GBK" w:cs="Nimbus Roman"/>
          <w:sz w:val="32"/>
          <w:szCs w:val="32"/>
        </w:rPr>
        <w:t>主管部门应对水运工程造价从业行为进行监督检查，加强对市管水运</w:t>
      </w:r>
      <w:r>
        <w:rPr>
          <w:rFonts w:eastAsia="方正仿宋_GBK" w:cs="Nimbus Roman"/>
          <w:sz w:val="32"/>
          <w:szCs w:val="32"/>
        </w:rPr>
        <w:t>工程</w:t>
      </w:r>
      <w:r>
        <w:rPr>
          <w:rFonts w:hint="eastAsia" w:eastAsia="方正仿宋_GBK" w:cs="Nimbus Roman"/>
          <w:sz w:val="32"/>
          <w:szCs w:val="32"/>
        </w:rPr>
        <w:t>建设项目的监督检查，对</w:t>
      </w:r>
      <w:r>
        <w:rPr>
          <w:rFonts w:eastAsia="方正仿宋_GBK" w:cs="Nimbus Roman"/>
          <w:sz w:val="32"/>
          <w:szCs w:val="32"/>
          <w:lang w:val="en"/>
        </w:rPr>
        <w:t>区县（自治县）交通运输主管部门</w:t>
      </w:r>
      <w:r>
        <w:rPr>
          <w:rFonts w:hint="eastAsia" w:eastAsia="方正仿宋_GBK" w:cs="Nimbus Roman"/>
          <w:sz w:val="32"/>
          <w:szCs w:val="32"/>
          <w:lang w:val="en"/>
        </w:rPr>
        <w:t>履行水运工程造价管理职能情况进行监督检查</w:t>
      </w:r>
      <w:r>
        <w:rPr>
          <w:rFonts w:eastAsia="方正仿宋_GBK" w:cs="Nimbus Roman"/>
          <w:sz w:val="32"/>
          <w:szCs w:val="32"/>
        </w:rPr>
        <w:t>，并对其监管的</w:t>
      </w:r>
      <w:r>
        <w:rPr>
          <w:rFonts w:hint="eastAsia" w:eastAsia="方正仿宋_GBK" w:cs="Nimbus Roman"/>
          <w:sz w:val="32"/>
          <w:szCs w:val="32"/>
        </w:rPr>
        <w:t>水运</w:t>
      </w:r>
      <w:r>
        <w:rPr>
          <w:rFonts w:eastAsia="方正仿宋_GBK" w:cs="Nimbus Roman"/>
          <w:sz w:val="32"/>
          <w:szCs w:val="32"/>
        </w:rPr>
        <w:t>工程建设项目进行抽查。</w:t>
      </w:r>
    </w:p>
    <w:p w14:paraId="651A00B5">
      <w:pPr>
        <w:pStyle w:val="13"/>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cs="Nimbus Roman"/>
          <w:sz w:val="32"/>
          <w:szCs w:val="32"/>
        </w:rPr>
      </w:pPr>
      <w:r>
        <w:rPr>
          <w:rFonts w:hint="eastAsia" w:ascii="方正楷体_GBK" w:hAnsi="Times New Roman" w:eastAsia="方正黑体_GBK" w:cs="Nimbus Roman"/>
          <w:b w:val="0"/>
          <w:kern w:val="2"/>
          <w:sz w:val="32"/>
          <w:szCs w:val="32"/>
          <w:lang w:val="en-US" w:eastAsia="zh-CN" w:bidi="ar-SA"/>
        </w:rPr>
        <w:t>第二十九条</w:t>
      </w:r>
      <w:r>
        <w:rPr>
          <w:rFonts w:hint="eastAsia" w:ascii="方正楷体_GBK" w:eastAsia="方正黑体_GBK" w:cs="Nimbus Roman"/>
          <w:b w:val="0"/>
          <w:kern w:val="2"/>
          <w:sz w:val="32"/>
          <w:szCs w:val="32"/>
          <w:lang w:val="en-US" w:eastAsia="zh-CN" w:bidi="ar-SA"/>
        </w:rPr>
        <w:t xml:space="preserve"> </w:t>
      </w:r>
      <w:r>
        <w:rPr>
          <w:rFonts w:hint="eastAsia" w:eastAsia="方正仿宋_GBK" w:cs="Nimbus Roman"/>
          <w:sz w:val="32"/>
          <w:szCs w:val="32"/>
        </w:rPr>
        <w:t>水运</w:t>
      </w:r>
      <w:r>
        <w:rPr>
          <w:rFonts w:eastAsia="方正仿宋_GBK" w:cs="Nimbus Roman"/>
          <w:sz w:val="32"/>
          <w:szCs w:val="32"/>
        </w:rPr>
        <w:t>工程建设项目造价监督以项目单位为主要实施对象，根据监督工作需要可延伸至设计、施工、监理和造价咨询等单位。</w:t>
      </w:r>
    </w:p>
    <w:p w14:paraId="42851024">
      <w:pPr>
        <w:pStyle w:val="12"/>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sz w:val="32"/>
          <w:szCs w:val="32"/>
        </w:rPr>
      </w:pPr>
      <w:r>
        <w:rPr>
          <w:rFonts w:hint="eastAsia" w:ascii="方正楷体_GBK" w:hAnsi="Times New Roman" w:eastAsia="方正黑体_GBK" w:cs="Times New Roman"/>
          <w:b w:val="0"/>
          <w:kern w:val="2"/>
          <w:sz w:val="32"/>
          <w:szCs w:val="32"/>
          <w:lang w:val="en-US" w:eastAsia="zh-CN" w:bidi="ar-SA"/>
        </w:rPr>
        <w:t>第三十条</w:t>
      </w:r>
      <w:r>
        <w:rPr>
          <w:rFonts w:hint="eastAsia" w:ascii="方正楷体_GBK" w:eastAsia="方正黑体_GBK" w:cs="Times New Roman"/>
          <w:b w:val="0"/>
          <w:kern w:val="2"/>
          <w:sz w:val="32"/>
          <w:szCs w:val="32"/>
          <w:lang w:val="en-US" w:eastAsia="zh-CN" w:bidi="ar-SA"/>
        </w:rPr>
        <w:t xml:space="preserve"> </w:t>
      </w:r>
      <w:r>
        <w:rPr>
          <w:rFonts w:eastAsia="方正仿宋_GBK"/>
          <w:sz w:val="32"/>
          <w:szCs w:val="32"/>
        </w:rPr>
        <w:t>水运工程造价监督检查主要包括下列内容：</w:t>
      </w:r>
    </w:p>
    <w:p w14:paraId="5E1DBA31">
      <w:pPr>
        <w:pStyle w:val="12"/>
        <w:keepNext w:val="0"/>
        <w:keepLines w:val="0"/>
        <w:pageBreakBefore w:val="0"/>
        <w:widowControl w:val="0"/>
        <w:kinsoku/>
        <w:wordWrap/>
        <w:topLinePunct w:val="0"/>
        <w:bidi w:val="0"/>
        <w:adjustRightInd/>
        <w:spacing w:line="600" w:lineRule="exact"/>
        <w:ind w:firstLine="640"/>
        <w:textAlignment w:val="auto"/>
        <w:rPr>
          <w:rFonts w:eastAsia="方正仿宋_GBK"/>
          <w:sz w:val="32"/>
          <w:szCs w:val="32"/>
        </w:rPr>
      </w:pPr>
      <w:r>
        <w:rPr>
          <w:rFonts w:hint="eastAsia" w:eastAsia="方正仿宋_GBK"/>
          <w:sz w:val="32"/>
          <w:szCs w:val="32"/>
        </w:rPr>
        <w:t xml:space="preserve">（一）相关单位对水运工程造价管理法律法规、规章制度以及水运工程造价依据的执行情况； </w:t>
      </w:r>
    </w:p>
    <w:p w14:paraId="2C22B3C4">
      <w:pPr>
        <w:pStyle w:val="12"/>
        <w:keepNext w:val="0"/>
        <w:keepLines w:val="0"/>
        <w:pageBreakBefore w:val="0"/>
        <w:widowControl w:val="0"/>
        <w:kinsoku/>
        <w:wordWrap/>
        <w:topLinePunct w:val="0"/>
        <w:bidi w:val="0"/>
        <w:adjustRightInd/>
        <w:spacing w:line="600" w:lineRule="exact"/>
        <w:ind w:firstLine="640"/>
        <w:textAlignment w:val="auto"/>
        <w:rPr>
          <w:rFonts w:eastAsia="方正仿宋_GBK"/>
          <w:sz w:val="32"/>
          <w:szCs w:val="32"/>
        </w:rPr>
      </w:pPr>
      <w:r>
        <w:rPr>
          <w:rFonts w:hint="eastAsia" w:eastAsia="方正仿宋_GBK"/>
          <w:sz w:val="32"/>
          <w:szCs w:val="32"/>
        </w:rPr>
        <w:t xml:space="preserve">（二）各阶段造价文件编制、审查、审批、备案以及对批复意见的落实情况； </w:t>
      </w:r>
    </w:p>
    <w:p w14:paraId="05B10E67">
      <w:pPr>
        <w:pStyle w:val="12"/>
        <w:keepNext w:val="0"/>
        <w:keepLines w:val="0"/>
        <w:pageBreakBefore w:val="0"/>
        <w:widowControl w:val="0"/>
        <w:kinsoku/>
        <w:wordWrap/>
        <w:topLinePunct w:val="0"/>
        <w:bidi w:val="0"/>
        <w:adjustRightInd/>
        <w:spacing w:line="600" w:lineRule="exact"/>
        <w:ind w:firstLine="640"/>
        <w:textAlignment w:val="auto"/>
        <w:rPr>
          <w:rFonts w:eastAsia="方正仿宋_GBK"/>
          <w:sz w:val="32"/>
          <w:szCs w:val="32"/>
        </w:rPr>
      </w:pPr>
      <w:r>
        <w:rPr>
          <w:rFonts w:hint="eastAsia" w:eastAsia="方正仿宋_GBK"/>
          <w:sz w:val="32"/>
          <w:szCs w:val="32"/>
        </w:rPr>
        <w:t xml:space="preserve">（三）项目单位工程造价管理台账和计量支付制度的建立与执行、造价全过程管理与控制情况； </w:t>
      </w:r>
    </w:p>
    <w:p w14:paraId="0E101FD6">
      <w:pPr>
        <w:pStyle w:val="12"/>
        <w:keepNext w:val="0"/>
        <w:keepLines w:val="0"/>
        <w:pageBreakBefore w:val="0"/>
        <w:widowControl w:val="0"/>
        <w:kinsoku/>
        <w:wordWrap/>
        <w:topLinePunct w:val="0"/>
        <w:bidi w:val="0"/>
        <w:adjustRightInd/>
        <w:spacing w:line="600" w:lineRule="exact"/>
        <w:ind w:firstLine="640"/>
        <w:textAlignment w:val="auto"/>
        <w:rPr>
          <w:rFonts w:eastAsia="方正仿宋_GBK"/>
          <w:sz w:val="32"/>
          <w:szCs w:val="32"/>
        </w:rPr>
      </w:pPr>
      <w:r>
        <w:rPr>
          <w:rFonts w:hint="eastAsia" w:eastAsia="方正仿宋_GBK"/>
          <w:sz w:val="32"/>
          <w:szCs w:val="32"/>
        </w:rPr>
        <w:t xml:space="preserve">（四）设计变更原因、审批程序以及费用变更情况； </w:t>
      </w:r>
    </w:p>
    <w:p w14:paraId="1198AEB4">
      <w:pPr>
        <w:pStyle w:val="12"/>
        <w:keepNext w:val="0"/>
        <w:keepLines w:val="0"/>
        <w:pageBreakBefore w:val="0"/>
        <w:widowControl w:val="0"/>
        <w:kinsoku/>
        <w:wordWrap/>
        <w:topLinePunct w:val="0"/>
        <w:bidi w:val="0"/>
        <w:adjustRightInd/>
        <w:spacing w:line="600" w:lineRule="exact"/>
        <w:ind w:firstLine="640"/>
        <w:textAlignment w:val="auto"/>
        <w:rPr>
          <w:rFonts w:eastAsia="方正仿宋_GBK"/>
          <w:sz w:val="32"/>
          <w:szCs w:val="32"/>
        </w:rPr>
      </w:pPr>
      <w:r>
        <w:rPr>
          <w:rFonts w:hint="eastAsia" w:eastAsia="方正仿宋_GBK"/>
          <w:sz w:val="32"/>
          <w:szCs w:val="32"/>
        </w:rPr>
        <w:t xml:space="preserve">（五）项目单位对项目造价信息的收集、分析及报送情况； </w:t>
      </w:r>
    </w:p>
    <w:p w14:paraId="756072FC">
      <w:pPr>
        <w:pStyle w:val="12"/>
        <w:keepNext w:val="0"/>
        <w:keepLines w:val="0"/>
        <w:pageBreakBefore w:val="0"/>
        <w:widowControl w:val="0"/>
        <w:kinsoku/>
        <w:wordWrap/>
        <w:topLinePunct w:val="0"/>
        <w:bidi w:val="0"/>
        <w:adjustRightInd/>
        <w:spacing w:line="600" w:lineRule="exact"/>
        <w:ind w:firstLine="640"/>
        <w:textAlignment w:val="auto"/>
        <w:rPr>
          <w:rFonts w:eastAsia="方正仿宋_GBK"/>
          <w:sz w:val="32"/>
          <w:szCs w:val="32"/>
        </w:rPr>
      </w:pPr>
      <w:r>
        <w:rPr>
          <w:rFonts w:hint="eastAsia" w:eastAsia="方正仿宋_GBK"/>
          <w:sz w:val="32"/>
          <w:szCs w:val="32"/>
        </w:rPr>
        <w:t xml:space="preserve">（六）从事水运工程造价活动的单位和人员的信用情况； </w:t>
      </w:r>
    </w:p>
    <w:p w14:paraId="28E45624">
      <w:pPr>
        <w:pStyle w:val="12"/>
        <w:keepNext w:val="0"/>
        <w:keepLines w:val="0"/>
        <w:pageBreakBefore w:val="0"/>
        <w:widowControl w:val="0"/>
        <w:kinsoku/>
        <w:wordWrap/>
        <w:topLinePunct w:val="0"/>
        <w:bidi w:val="0"/>
        <w:adjustRightInd/>
        <w:spacing w:line="600" w:lineRule="exact"/>
        <w:ind w:firstLine="640"/>
        <w:textAlignment w:val="auto"/>
        <w:rPr>
          <w:rFonts w:eastAsia="方正仿宋_GBK"/>
          <w:sz w:val="32"/>
          <w:szCs w:val="32"/>
        </w:rPr>
      </w:pPr>
      <w:r>
        <w:rPr>
          <w:rFonts w:hint="eastAsia" w:eastAsia="方正仿宋_GBK"/>
          <w:sz w:val="32"/>
          <w:szCs w:val="32"/>
        </w:rPr>
        <w:t>（七）其他相关事项。</w:t>
      </w:r>
    </w:p>
    <w:p w14:paraId="7430DAB4">
      <w:pPr>
        <w:pStyle w:val="13"/>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cs="Nimbus Roman"/>
          <w:sz w:val="32"/>
          <w:szCs w:val="32"/>
        </w:rPr>
      </w:pPr>
      <w:r>
        <w:rPr>
          <w:rFonts w:hint="eastAsia" w:ascii="方正楷体_GBK" w:hAnsi="Times New Roman" w:eastAsia="方正黑体_GBK" w:cs="Nimbus Roman"/>
          <w:b w:val="0"/>
          <w:kern w:val="2"/>
          <w:sz w:val="32"/>
          <w:szCs w:val="32"/>
          <w:lang w:val="en-US" w:eastAsia="zh-CN" w:bidi="ar-SA"/>
        </w:rPr>
        <w:t>第三十一条</w:t>
      </w:r>
      <w:r>
        <w:rPr>
          <w:rFonts w:hint="eastAsia" w:ascii="方正楷体_GBK" w:eastAsia="方正黑体_GBK" w:cs="Nimbus Roman"/>
          <w:b w:val="0"/>
          <w:kern w:val="2"/>
          <w:sz w:val="32"/>
          <w:szCs w:val="32"/>
          <w:lang w:val="en-US" w:eastAsia="zh-CN" w:bidi="ar-SA"/>
        </w:rPr>
        <w:t xml:space="preserve"> </w:t>
      </w:r>
      <w:r>
        <w:rPr>
          <w:rFonts w:eastAsia="方正仿宋_GBK" w:cs="Nimbus Roman"/>
          <w:sz w:val="32"/>
          <w:szCs w:val="32"/>
        </w:rPr>
        <w:t>交通运输主管部门及其造价机构在履行造价监督职责时，被监督检查的单位应当履行以下义务：</w:t>
      </w:r>
    </w:p>
    <w:p w14:paraId="39C47F4C">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cs="Nimbus Roman"/>
          <w:sz w:val="32"/>
          <w:szCs w:val="32"/>
        </w:rPr>
      </w:pPr>
      <w:r>
        <w:rPr>
          <w:rFonts w:eastAsia="方正仿宋_GBK" w:cs="Nimbus Roman"/>
          <w:sz w:val="32"/>
          <w:szCs w:val="32"/>
        </w:rPr>
        <w:t>（一）提供有关</w:t>
      </w:r>
      <w:r>
        <w:rPr>
          <w:rFonts w:hint="eastAsia" w:eastAsia="方正仿宋_GBK" w:cs="Nimbus Roman"/>
          <w:sz w:val="32"/>
          <w:szCs w:val="32"/>
        </w:rPr>
        <w:t>水运</w:t>
      </w:r>
      <w:r>
        <w:rPr>
          <w:rFonts w:eastAsia="方正仿宋_GBK" w:cs="Nimbus Roman"/>
          <w:sz w:val="32"/>
          <w:szCs w:val="32"/>
        </w:rPr>
        <w:t>工程建设项目造价管理的文件和资料；</w:t>
      </w:r>
    </w:p>
    <w:p w14:paraId="4EF5ADB2">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cs="Nimbus Roman"/>
          <w:sz w:val="32"/>
          <w:szCs w:val="32"/>
        </w:rPr>
      </w:pPr>
      <w:r>
        <w:rPr>
          <w:rFonts w:eastAsia="方正仿宋_GBK" w:cs="Nimbus Roman"/>
          <w:sz w:val="32"/>
          <w:szCs w:val="32"/>
        </w:rPr>
        <w:t>（二）配合监督检查人员进入工作现场进行检查；</w:t>
      </w:r>
    </w:p>
    <w:p w14:paraId="62BE64C1">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cs="Nimbus Roman"/>
          <w:sz w:val="32"/>
          <w:szCs w:val="32"/>
        </w:rPr>
      </w:pPr>
      <w:r>
        <w:rPr>
          <w:rFonts w:eastAsia="方正仿宋_GBK" w:cs="Nimbus Roman"/>
          <w:sz w:val="32"/>
          <w:szCs w:val="32"/>
        </w:rPr>
        <w:t>（三）对监督检查中发现的问题及时整改。</w:t>
      </w:r>
    </w:p>
    <w:p w14:paraId="3CD5C68D">
      <w:pPr>
        <w:pStyle w:val="13"/>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cs="Nimbus Roman"/>
          <w:sz w:val="32"/>
          <w:szCs w:val="32"/>
        </w:rPr>
      </w:pPr>
      <w:r>
        <w:rPr>
          <w:rFonts w:hint="eastAsia" w:ascii="方正楷体_GBK" w:hAnsi="Times New Roman" w:eastAsia="方正黑体_GBK" w:cs="Nimbus Roman"/>
          <w:b w:val="0"/>
          <w:kern w:val="2"/>
          <w:sz w:val="32"/>
          <w:szCs w:val="32"/>
          <w:lang w:val="en-US" w:eastAsia="zh-CN" w:bidi="ar-SA"/>
        </w:rPr>
        <w:t>第三十二条</w:t>
      </w:r>
      <w:r>
        <w:rPr>
          <w:rFonts w:hint="eastAsia" w:ascii="方正楷体_GBK" w:eastAsia="方正黑体_GBK" w:cs="Nimbus Roman"/>
          <w:b w:val="0"/>
          <w:kern w:val="2"/>
          <w:sz w:val="32"/>
          <w:szCs w:val="32"/>
          <w:lang w:val="en-US" w:eastAsia="zh-CN" w:bidi="ar-SA"/>
        </w:rPr>
        <w:t xml:space="preserve"> </w:t>
      </w:r>
      <w:r>
        <w:rPr>
          <w:rFonts w:eastAsia="方正仿宋_GBK" w:cs="Nimbus Roman"/>
          <w:sz w:val="32"/>
          <w:szCs w:val="32"/>
        </w:rPr>
        <w:t>监督单位可制定年度监督检查计划，采取资料检查、实地核查等方式</w:t>
      </w:r>
      <w:r>
        <w:rPr>
          <w:rFonts w:hint="eastAsia" w:eastAsia="方正仿宋_GBK" w:cs="Nimbus Roman"/>
          <w:sz w:val="32"/>
          <w:szCs w:val="32"/>
        </w:rPr>
        <w:t>开展检查</w:t>
      </w:r>
      <w:r>
        <w:rPr>
          <w:rFonts w:eastAsia="方正仿宋_GBK" w:cs="Nimbus Roman"/>
          <w:sz w:val="32"/>
          <w:szCs w:val="32"/>
        </w:rPr>
        <w:t>。</w:t>
      </w:r>
    </w:p>
    <w:p w14:paraId="3931A87B">
      <w:pPr>
        <w:pStyle w:val="13"/>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仿宋" w:cs="Nimbus Roman"/>
          <w:sz w:val="32"/>
          <w:szCs w:val="32"/>
        </w:rPr>
      </w:pPr>
      <w:r>
        <w:rPr>
          <w:rFonts w:hint="eastAsia" w:ascii="方正楷体_GBK" w:hAnsi="Times New Roman" w:eastAsia="方正黑体_GBK" w:cs="Nimbus Roman"/>
          <w:b w:val="0"/>
          <w:kern w:val="2"/>
          <w:sz w:val="32"/>
          <w:szCs w:val="32"/>
          <w:lang w:val="en-US" w:eastAsia="zh-CN" w:bidi="ar-SA"/>
        </w:rPr>
        <w:t>第三十三条</w:t>
      </w:r>
      <w:r>
        <w:rPr>
          <w:rFonts w:hint="eastAsia" w:ascii="方正楷体_GBK" w:eastAsia="方正黑体_GBK" w:cs="Nimbus Roman"/>
          <w:b w:val="0"/>
          <w:kern w:val="2"/>
          <w:sz w:val="32"/>
          <w:szCs w:val="32"/>
          <w:lang w:val="en-US" w:eastAsia="zh-CN" w:bidi="ar-SA"/>
        </w:rPr>
        <w:t xml:space="preserve"> </w:t>
      </w:r>
      <w:r>
        <w:rPr>
          <w:rFonts w:eastAsia="方正仿宋_GBK" w:cs="Nimbus Roman"/>
          <w:sz w:val="32"/>
          <w:szCs w:val="32"/>
        </w:rPr>
        <w:t>造价监督检查程序：</w:t>
      </w:r>
    </w:p>
    <w:p w14:paraId="4601C683">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cs="Nimbus Roman"/>
          <w:sz w:val="32"/>
          <w:szCs w:val="32"/>
        </w:rPr>
      </w:pPr>
      <w:r>
        <w:rPr>
          <w:rFonts w:eastAsia="方正仿宋_GBK" w:cs="Nimbus Roman"/>
          <w:sz w:val="32"/>
          <w:szCs w:val="32"/>
        </w:rPr>
        <w:t>（一）被监督单位收到造价监督检查书面通知后，按通知要求将造价管理自检自查报告报送监督单位；</w:t>
      </w:r>
    </w:p>
    <w:p w14:paraId="3848288A">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cs="Nimbus Roman"/>
          <w:sz w:val="32"/>
          <w:szCs w:val="32"/>
        </w:rPr>
      </w:pPr>
      <w:r>
        <w:rPr>
          <w:rFonts w:eastAsia="方正仿宋_GBK" w:cs="Nimbus Roman"/>
          <w:sz w:val="32"/>
          <w:szCs w:val="32"/>
        </w:rPr>
        <w:t>（</w:t>
      </w:r>
      <w:r>
        <w:rPr>
          <w:rFonts w:hint="eastAsia" w:eastAsia="方正仿宋_GBK" w:cs="Nimbus Roman"/>
          <w:sz w:val="32"/>
          <w:szCs w:val="32"/>
        </w:rPr>
        <w:t>二</w:t>
      </w:r>
      <w:r>
        <w:rPr>
          <w:rFonts w:eastAsia="方正仿宋_GBK" w:cs="Nimbus Roman"/>
          <w:sz w:val="32"/>
          <w:szCs w:val="32"/>
        </w:rPr>
        <w:t>）监督单位按计划开展监督检查；</w:t>
      </w:r>
    </w:p>
    <w:p w14:paraId="08B544CA">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cs="Nimbus Roman"/>
          <w:sz w:val="32"/>
          <w:szCs w:val="32"/>
        </w:rPr>
      </w:pPr>
      <w:r>
        <w:rPr>
          <w:rFonts w:eastAsia="方正仿宋_GBK" w:cs="Nimbus Roman"/>
          <w:sz w:val="32"/>
          <w:szCs w:val="32"/>
        </w:rPr>
        <w:t>（</w:t>
      </w:r>
      <w:r>
        <w:rPr>
          <w:rFonts w:hint="eastAsia" w:eastAsia="方正仿宋_GBK" w:cs="Nimbus Roman"/>
          <w:sz w:val="32"/>
          <w:szCs w:val="32"/>
        </w:rPr>
        <w:t>三</w:t>
      </w:r>
      <w:r>
        <w:rPr>
          <w:rFonts w:eastAsia="方正仿宋_GBK" w:cs="Nimbus Roman"/>
          <w:sz w:val="32"/>
          <w:szCs w:val="32"/>
        </w:rPr>
        <w:t>）监督单位向被监督单位反馈监督意见；</w:t>
      </w:r>
    </w:p>
    <w:p w14:paraId="31238EBF">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cs="Nimbus Roman"/>
          <w:sz w:val="32"/>
          <w:szCs w:val="32"/>
        </w:rPr>
      </w:pPr>
      <w:r>
        <w:rPr>
          <w:rFonts w:eastAsia="方正仿宋_GBK" w:cs="Nimbus Roman"/>
          <w:sz w:val="32"/>
          <w:szCs w:val="32"/>
        </w:rPr>
        <w:t>（</w:t>
      </w:r>
      <w:r>
        <w:rPr>
          <w:rFonts w:hint="eastAsia" w:eastAsia="方正仿宋_GBK" w:cs="Nimbus Roman"/>
          <w:sz w:val="32"/>
          <w:szCs w:val="32"/>
        </w:rPr>
        <w:t>四</w:t>
      </w:r>
      <w:r>
        <w:rPr>
          <w:rFonts w:eastAsia="方正仿宋_GBK" w:cs="Nimbus Roman"/>
          <w:sz w:val="32"/>
          <w:szCs w:val="32"/>
        </w:rPr>
        <w:t>）监督单位对检查情况整理形成监督意见书；</w:t>
      </w:r>
    </w:p>
    <w:p w14:paraId="7A318B07">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cs="Nimbus Roman"/>
          <w:sz w:val="32"/>
          <w:szCs w:val="32"/>
        </w:rPr>
      </w:pPr>
      <w:r>
        <w:rPr>
          <w:rFonts w:eastAsia="方正仿宋_GBK" w:cs="Nimbus Roman"/>
          <w:sz w:val="32"/>
          <w:szCs w:val="32"/>
        </w:rPr>
        <w:t>（</w:t>
      </w:r>
      <w:r>
        <w:rPr>
          <w:rFonts w:hint="eastAsia" w:eastAsia="方正仿宋_GBK" w:cs="Nimbus Roman"/>
          <w:sz w:val="32"/>
          <w:szCs w:val="32"/>
        </w:rPr>
        <w:t>五</w:t>
      </w:r>
      <w:r>
        <w:rPr>
          <w:rFonts w:eastAsia="方正仿宋_GBK" w:cs="Nimbus Roman"/>
          <w:sz w:val="32"/>
          <w:szCs w:val="32"/>
        </w:rPr>
        <w:t>）被监督单位对存在的问题进行整改，以书面形式向监督单位回复整改情况；</w:t>
      </w:r>
    </w:p>
    <w:p w14:paraId="44503E4C">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cs="Nimbus Roman"/>
          <w:sz w:val="32"/>
          <w:szCs w:val="32"/>
        </w:rPr>
      </w:pPr>
      <w:r>
        <w:rPr>
          <w:rFonts w:eastAsia="方正仿宋_GBK" w:cs="Nimbus Roman"/>
          <w:sz w:val="32"/>
          <w:szCs w:val="32"/>
        </w:rPr>
        <w:t>（</w:t>
      </w:r>
      <w:r>
        <w:rPr>
          <w:rFonts w:hint="eastAsia" w:eastAsia="方正仿宋_GBK" w:cs="Nimbus Roman"/>
          <w:sz w:val="32"/>
          <w:szCs w:val="32"/>
        </w:rPr>
        <w:t>六</w:t>
      </w:r>
      <w:r>
        <w:rPr>
          <w:rFonts w:eastAsia="方正仿宋_GBK" w:cs="Nimbus Roman"/>
          <w:sz w:val="32"/>
          <w:szCs w:val="32"/>
        </w:rPr>
        <w:t>）监督单位根据需要对整改情况进行复查；</w:t>
      </w:r>
    </w:p>
    <w:p w14:paraId="686CDC56">
      <w:pPr>
        <w:keepNext w:val="0"/>
        <w:keepLines w:val="0"/>
        <w:pageBreakBefore w:val="0"/>
        <w:widowControl w:val="0"/>
        <w:kinsoku/>
        <w:wordWrap/>
        <w:topLinePunct w:val="0"/>
        <w:bidi w:val="0"/>
        <w:adjustRightInd/>
        <w:spacing w:line="600" w:lineRule="exact"/>
        <w:ind w:firstLine="640" w:firstLineChars="200"/>
        <w:textAlignment w:val="auto"/>
        <w:rPr>
          <w:rFonts w:eastAsia="方正仿宋_GBK" w:cs="Nimbus Roman"/>
          <w:sz w:val="32"/>
          <w:szCs w:val="32"/>
        </w:rPr>
      </w:pPr>
      <w:r>
        <w:rPr>
          <w:rFonts w:eastAsia="方正仿宋_GBK" w:cs="Nimbus Roman"/>
          <w:sz w:val="32"/>
          <w:szCs w:val="32"/>
        </w:rPr>
        <w:t>（</w:t>
      </w:r>
      <w:r>
        <w:rPr>
          <w:rFonts w:hint="eastAsia" w:eastAsia="方正仿宋_GBK" w:cs="Nimbus Roman"/>
          <w:sz w:val="32"/>
          <w:szCs w:val="32"/>
        </w:rPr>
        <w:t>七</w:t>
      </w:r>
      <w:r>
        <w:rPr>
          <w:rFonts w:eastAsia="方正仿宋_GBK" w:cs="Nimbus Roman"/>
          <w:sz w:val="32"/>
          <w:szCs w:val="32"/>
        </w:rPr>
        <w:t>）交通</w:t>
      </w:r>
      <w:r>
        <w:rPr>
          <w:rFonts w:hint="eastAsia" w:eastAsia="方正仿宋_GBK" w:cs="Nimbus Roman"/>
          <w:sz w:val="32"/>
          <w:szCs w:val="32"/>
        </w:rPr>
        <w:t>运输</w:t>
      </w:r>
      <w:r>
        <w:rPr>
          <w:rFonts w:eastAsia="方正仿宋_GBK" w:cs="Nimbus Roman"/>
          <w:sz w:val="32"/>
          <w:szCs w:val="32"/>
        </w:rPr>
        <w:t>主管部门对年度监督检查情况予以通报。</w:t>
      </w:r>
    </w:p>
    <w:p w14:paraId="69A9F52F">
      <w:pPr>
        <w:pStyle w:val="13"/>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cs="Nimbus Roman"/>
          <w:sz w:val="32"/>
          <w:szCs w:val="32"/>
        </w:rPr>
      </w:pPr>
      <w:r>
        <w:rPr>
          <w:rFonts w:hint="eastAsia" w:ascii="方正楷体_GBK" w:hAnsi="Times New Roman" w:eastAsia="方正黑体_GBK" w:cs="Nimbus Roman"/>
          <w:b w:val="0"/>
          <w:kern w:val="2"/>
          <w:sz w:val="32"/>
          <w:szCs w:val="32"/>
          <w:lang w:val="en-US" w:eastAsia="zh-CN" w:bidi="ar-SA"/>
        </w:rPr>
        <w:t>第三十四条</w:t>
      </w:r>
      <w:r>
        <w:rPr>
          <w:rFonts w:hint="eastAsia" w:ascii="方正楷体_GBK" w:eastAsia="方正黑体_GBK" w:cs="Nimbus Roman"/>
          <w:b w:val="0"/>
          <w:kern w:val="2"/>
          <w:sz w:val="32"/>
          <w:szCs w:val="32"/>
          <w:lang w:val="en-US" w:eastAsia="zh-CN" w:bidi="ar-SA"/>
        </w:rPr>
        <w:t xml:space="preserve"> </w:t>
      </w:r>
      <w:r>
        <w:rPr>
          <w:rFonts w:hint="eastAsia" w:eastAsia="方正仿宋_GBK"/>
          <w:sz w:val="32"/>
          <w:szCs w:val="32"/>
        </w:rPr>
        <w:t>交通运输主管部门及其造价机构应当将监督检查活动中发现的问题及时向相关单位和人员通报，责令其限期整改。</w:t>
      </w:r>
    </w:p>
    <w:p w14:paraId="4A6AB569">
      <w:pPr>
        <w:pStyle w:val="13"/>
        <w:keepNext w:val="0"/>
        <w:keepLines w:val="0"/>
        <w:pageBreakBefore w:val="0"/>
        <w:widowControl w:val="0"/>
        <w:kinsoku/>
        <w:wordWrap/>
        <w:topLinePunct w:val="0"/>
        <w:bidi w:val="0"/>
        <w:adjustRightInd/>
        <w:spacing w:line="600" w:lineRule="exact"/>
        <w:ind w:firstLine="640"/>
        <w:textAlignment w:val="auto"/>
        <w:rPr>
          <w:rFonts w:eastAsia="方正仿宋_GBK" w:cs="Nimbus Roman"/>
          <w:sz w:val="32"/>
          <w:szCs w:val="32"/>
        </w:rPr>
      </w:pPr>
      <w:r>
        <w:rPr>
          <w:rFonts w:hint="eastAsia" w:eastAsia="方正仿宋_GBK" w:cs="Nimbus Roman"/>
          <w:sz w:val="32"/>
          <w:szCs w:val="32"/>
        </w:rPr>
        <w:t>项目、</w:t>
      </w:r>
      <w:r>
        <w:rPr>
          <w:rFonts w:eastAsia="方正仿宋_GBK" w:cs="Nimbus Roman"/>
          <w:sz w:val="32"/>
          <w:szCs w:val="32"/>
        </w:rPr>
        <w:t>设计、施工、监理、造价咨询等从业单位</w:t>
      </w:r>
      <w:r>
        <w:rPr>
          <w:rFonts w:hint="eastAsia" w:eastAsia="方正仿宋_GBK" w:cs="Nimbus Roman"/>
          <w:sz w:val="32"/>
          <w:szCs w:val="32"/>
        </w:rPr>
        <w:t>和</w:t>
      </w:r>
      <w:r>
        <w:rPr>
          <w:rFonts w:eastAsia="方正仿宋_GBK" w:cs="Nimbus Roman"/>
          <w:sz w:val="32"/>
          <w:szCs w:val="32"/>
        </w:rPr>
        <w:t>造价从业人员存在违规、失信行为的，按《重庆市</w:t>
      </w:r>
      <w:r>
        <w:rPr>
          <w:rFonts w:hint="eastAsia" w:eastAsia="方正仿宋_GBK" w:cs="Nimbus Roman"/>
          <w:sz w:val="32"/>
          <w:szCs w:val="32"/>
        </w:rPr>
        <w:t>水运</w:t>
      </w:r>
      <w:r>
        <w:rPr>
          <w:rFonts w:eastAsia="方正仿宋_GBK" w:cs="Nimbus Roman"/>
          <w:sz w:val="32"/>
          <w:szCs w:val="32"/>
        </w:rPr>
        <w:t>建设市场信用管理实施细则》纳入信用评价；违反法律法规的，按相应法律法规处理。</w:t>
      </w:r>
    </w:p>
    <w:p w14:paraId="277C2E99">
      <w:pPr>
        <w:pStyle w:val="13"/>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hint="eastAsia" w:eastAsia="方正仿宋_GBK" w:cs="Nimbus Roman"/>
          <w:sz w:val="32"/>
          <w:szCs w:val="32"/>
        </w:rPr>
      </w:pPr>
      <w:r>
        <w:rPr>
          <w:rFonts w:hint="eastAsia" w:ascii="方正楷体_GBK" w:hAnsi="Times New Roman" w:eastAsia="方正黑体_GBK" w:cs="Nimbus Roman"/>
          <w:b w:val="0"/>
          <w:kern w:val="2"/>
          <w:sz w:val="32"/>
          <w:szCs w:val="32"/>
          <w:lang w:val="en-US" w:eastAsia="zh-CN" w:bidi="ar-SA"/>
        </w:rPr>
        <w:t>第三十五条</w:t>
      </w:r>
      <w:r>
        <w:rPr>
          <w:rFonts w:hint="eastAsia" w:ascii="方正楷体_GBK" w:eastAsia="方正黑体_GBK" w:cs="Nimbus Roman"/>
          <w:b w:val="0"/>
          <w:kern w:val="2"/>
          <w:sz w:val="32"/>
          <w:szCs w:val="32"/>
          <w:lang w:val="en-US" w:eastAsia="zh-CN" w:bidi="ar-SA"/>
        </w:rPr>
        <w:t xml:space="preserve"> </w:t>
      </w:r>
      <w:r>
        <w:rPr>
          <w:rFonts w:hint="eastAsia" w:eastAsia="方正仿宋_GBK" w:cs="Nimbus Roman"/>
          <w:sz w:val="32"/>
          <w:szCs w:val="32"/>
        </w:rPr>
        <w:t>交通运输主管部门及其所属机构工作人员违反本办法规定，在水运工程造价管理中滥用职权、玩忽职守、徇私舞弊的，按照国家有关规定处理；构成犯罪的，依法追究刑事责任。</w:t>
      </w:r>
    </w:p>
    <w:p w14:paraId="7DACDAF8">
      <w:pPr>
        <w:pStyle w:val="13"/>
        <w:keepNext w:val="0"/>
        <w:keepLines w:val="0"/>
        <w:pageBreakBefore w:val="0"/>
        <w:widowControl w:val="0"/>
        <w:kinsoku/>
        <w:wordWrap/>
        <w:topLinePunct w:val="0"/>
        <w:bidi w:val="0"/>
        <w:adjustRightInd/>
        <w:spacing w:line="600" w:lineRule="exact"/>
        <w:ind w:left="640" w:firstLine="0" w:firstLineChars="0"/>
        <w:textAlignment w:val="auto"/>
        <w:rPr>
          <w:rFonts w:eastAsia="方正仿宋_GBK" w:cs="Nimbus Roman"/>
          <w:sz w:val="32"/>
          <w:szCs w:val="32"/>
        </w:rPr>
      </w:pPr>
    </w:p>
    <w:p w14:paraId="662287B0">
      <w:pPr>
        <w:pStyle w:val="12"/>
        <w:keepNext w:val="0"/>
        <w:keepLines w:val="0"/>
        <w:pageBreakBefore w:val="0"/>
        <w:widowControl w:val="0"/>
        <w:numPr>
          <w:ilvl w:val="0"/>
          <w:numId w:val="1"/>
        </w:numPr>
        <w:kinsoku/>
        <w:wordWrap/>
        <w:topLinePunct w:val="0"/>
        <w:bidi w:val="0"/>
        <w:adjustRightInd/>
        <w:spacing w:line="600" w:lineRule="exact"/>
        <w:ind w:left="743" w:hanging="743" w:firstLineChars="0"/>
        <w:jc w:val="center"/>
        <w:textAlignment w:val="auto"/>
        <w:outlineLvl w:val="0"/>
        <w:rPr>
          <w:rFonts w:hint="eastAsia" w:eastAsia="方正黑体_GBK"/>
          <w:sz w:val="32"/>
          <w:szCs w:val="32"/>
        </w:rPr>
      </w:pPr>
      <w:r>
        <w:rPr>
          <w:rFonts w:hint="eastAsia" w:eastAsia="方正黑体_GBK"/>
          <w:sz w:val="32"/>
          <w:szCs w:val="32"/>
        </w:rPr>
        <w:t>附则</w:t>
      </w:r>
    </w:p>
    <w:p w14:paraId="11AB0135">
      <w:pPr>
        <w:pStyle w:val="12"/>
        <w:keepNext w:val="0"/>
        <w:keepLines w:val="0"/>
        <w:pageBreakBefore w:val="0"/>
        <w:widowControl w:val="0"/>
        <w:kinsoku/>
        <w:wordWrap/>
        <w:topLinePunct w:val="0"/>
        <w:bidi w:val="0"/>
        <w:adjustRightInd/>
        <w:spacing w:line="600" w:lineRule="exact"/>
        <w:ind w:firstLine="0" w:firstLineChars="0"/>
        <w:jc w:val="center"/>
        <w:textAlignment w:val="auto"/>
        <w:outlineLvl w:val="0"/>
        <w:rPr>
          <w:rFonts w:hint="eastAsia" w:eastAsia="方正黑体_GBK"/>
          <w:sz w:val="32"/>
          <w:szCs w:val="32"/>
        </w:rPr>
      </w:pPr>
    </w:p>
    <w:p w14:paraId="2C9C6666">
      <w:pPr>
        <w:pStyle w:val="12"/>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sz w:val="32"/>
          <w:szCs w:val="32"/>
        </w:rPr>
      </w:pPr>
      <w:r>
        <w:rPr>
          <w:rFonts w:hint="eastAsia" w:ascii="方正楷体_GBK" w:hAnsi="Times New Roman" w:eastAsia="方正黑体_GBK" w:cs="Times New Roman"/>
          <w:b w:val="0"/>
          <w:kern w:val="2"/>
          <w:sz w:val="32"/>
          <w:szCs w:val="32"/>
          <w:lang w:val="en-US" w:eastAsia="zh-CN" w:bidi="ar-SA"/>
        </w:rPr>
        <w:t>第三十六条</w:t>
      </w:r>
      <w:r>
        <w:rPr>
          <w:rFonts w:hint="eastAsia" w:ascii="方正楷体_GBK" w:eastAsia="方正黑体_GBK" w:cs="Times New Roman"/>
          <w:b w:val="0"/>
          <w:kern w:val="2"/>
          <w:sz w:val="32"/>
          <w:szCs w:val="32"/>
          <w:lang w:val="en-US" w:eastAsia="zh-CN" w:bidi="ar-SA"/>
        </w:rPr>
        <w:t xml:space="preserve"> </w:t>
      </w:r>
      <w:r>
        <w:rPr>
          <w:rFonts w:hint="eastAsia" w:eastAsia="方正仿宋_GBK"/>
          <w:sz w:val="32"/>
          <w:szCs w:val="32"/>
        </w:rPr>
        <w:t>水运维护工程可以根据工程规模等参照本办法执行。</w:t>
      </w:r>
    </w:p>
    <w:p w14:paraId="4626A3B3">
      <w:pPr>
        <w:pStyle w:val="13"/>
        <w:keepNext w:val="0"/>
        <w:keepLines w:val="0"/>
        <w:pageBreakBefore w:val="0"/>
        <w:widowControl w:val="0"/>
        <w:numPr>
          <w:ilvl w:val="0"/>
          <w:numId w:val="0"/>
        </w:numPr>
        <w:kinsoku/>
        <w:wordWrap/>
        <w:topLinePunct w:val="0"/>
        <w:bidi w:val="0"/>
        <w:adjustRightInd/>
        <w:spacing w:line="600" w:lineRule="exact"/>
        <w:ind w:left="0" w:leftChars="0" w:firstLine="640" w:firstLineChars="200"/>
        <w:textAlignment w:val="auto"/>
        <w:rPr>
          <w:rFonts w:eastAsia="方正仿宋_GBK"/>
          <w:sz w:val="32"/>
          <w:szCs w:val="32"/>
        </w:rPr>
      </w:pPr>
      <w:r>
        <w:rPr>
          <w:rFonts w:hint="eastAsia" w:ascii="方正楷体_GBK" w:hAnsi="Times New Roman" w:eastAsia="方正黑体_GBK" w:cs="Times New Roman"/>
          <w:b w:val="0"/>
          <w:kern w:val="2"/>
          <w:sz w:val="32"/>
          <w:szCs w:val="32"/>
          <w:lang w:val="en-US" w:eastAsia="zh-CN" w:bidi="ar-SA"/>
        </w:rPr>
        <w:t>第三十七条</w:t>
      </w:r>
      <w:r>
        <w:rPr>
          <w:rFonts w:hint="eastAsia" w:ascii="方正楷体_GBK" w:eastAsia="方正黑体_GBK" w:cs="Times New Roman"/>
          <w:b w:val="0"/>
          <w:kern w:val="2"/>
          <w:sz w:val="32"/>
          <w:szCs w:val="32"/>
          <w:lang w:val="en-US" w:eastAsia="zh-CN" w:bidi="ar-SA"/>
        </w:rPr>
        <w:t xml:space="preserve"> </w:t>
      </w:r>
      <w:r>
        <w:rPr>
          <w:rFonts w:eastAsia="方正仿宋_GBK"/>
          <w:sz w:val="32"/>
          <w:szCs w:val="32"/>
        </w:rPr>
        <w:t>本办法由</w:t>
      </w:r>
      <w:r>
        <w:rPr>
          <w:rFonts w:hint="eastAsia" w:eastAsia="方正仿宋_GBK"/>
          <w:sz w:val="32"/>
          <w:szCs w:val="32"/>
        </w:rPr>
        <w:t>重庆市交通运输委员会</w:t>
      </w:r>
      <w:r>
        <w:rPr>
          <w:rFonts w:eastAsia="方正仿宋_GBK"/>
          <w:sz w:val="32"/>
          <w:szCs w:val="32"/>
        </w:rPr>
        <w:t>负责解释。</w:t>
      </w:r>
    </w:p>
    <w:p w14:paraId="7B55106F">
      <w:pPr>
        <w:keepNext w:val="0"/>
        <w:keepLines w:val="0"/>
        <w:pageBreakBefore w:val="0"/>
        <w:widowControl w:val="0"/>
        <w:kinsoku/>
        <w:wordWrap/>
        <w:topLinePunct w:val="0"/>
        <w:bidi w:val="0"/>
        <w:adjustRightInd/>
        <w:spacing w:line="600" w:lineRule="exact"/>
        <w:textAlignment w:val="auto"/>
      </w:pPr>
      <w:r>
        <w:rPr>
          <w:rFonts w:eastAsia="方正仿宋_GBK"/>
          <w:sz w:val="32"/>
          <w:szCs w:val="32"/>
        </w:rPr>
        <w:t>本办法自202</w:t>
      </w:r>
      <w:r>
        <w:rPr>
          <w:rFonts w:hint="eastAsia" w:eastAsia="方正仿宋_GBK"/>
          <w:sz w:val="32"/>
          <w:szCs w:val="32"/>
        </w:rPr>
        <w:t>4</w:t>
      </w:r>
      <w:r>
        <w:rPr>
          <w:rFonts w:eastAsia="方正仿宋_GBK"/>
          <w:sz w:val="32"/>
          <w:szCs w:val="32"/>
        </w:rPr>
        <w:t>年</w:t>
      </w:r>
      <w:r>
        <w:rPr>
          <w:rFonts w:hint="eastAsia" w:eastAsia="方正仿宋_GBK"/>
          <w:sz w:val="32"/>
          <w:szCs w:val="32"/>
        </w:rPr>
        <w:t>11</w:t>
      </w:r>
      <w:r>
        <w:rPr>
          <w:rFonts w:eastAsia="方正仿宋_GBK"/>
          <w:sz w:val="32"/>
          <w:szCs w:val="32"/>
        </w:rPr>
        <w:t>月</w:t>
      </w:r>
      <w:r>
        <w:rPr>
          <w:rFonts w:hint="eastAsia" w:eastAsia="方正仿宋_GBK"/>
          <w:sz w:val="32"/>
          <w:szCs w:val="32"/>
        </w:rPr>
        <w:t>1</w:t>
      </w:r>
      <w:r>
        <w:rPr>
          <w:rFonts w:eastAsia="方正仿宋_GBK"/>
          <w:sz w:val="32"/>
          <w:szCs w:val="32"/>
        </w:rPr>
        <w:t>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ADC4B">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988A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2D988A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C2294BF">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14:paraId="0E450230">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4DFC8">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A0781"/>
    <w:multiLevelType w:val="multilevel"/>
    <w:tmpl w:val="153A0781"/>
    <w:lvl w:ilvl="0" w:tentative="0">
      <w:start w:val="1"/>
      <w:numFmt w:val="japaneseCounting"/>
      <w:lvlText w:val="第%1章"/>
      <w:lvlJc w:val="left"/>
      <w:pPr>
        <w:ind w:left="4709" w:hanging="740"/>
      </w:pPr>
      <w:rPr>
        <w:rFonts w:hint="eastAsia" w:ascii="方正黑体_GBK" w:eastAsia="方正黑体_GBK"/>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8178CD"/>
    <w:multiLevelType w:val="multilevel"/>
    <w:tmpl w:val="308178CD"/>
    <w:lvl w:ilvl="0" w:tentative="0">
      <w:start w:val="3"/>
      <w:numFmt w:val="japaneseCounting"/>
      <w:lvlText w:val="（%1）"/>
      <w:lvlJc w:val="left"/>
      <w:pPr>
        <w:ind w:left="2781" w:hanging="1080"/>
      </w:pPr>
      <w:rPr>
        <w:rFonts w:hint="default"/>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4E55D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1976CE9"/>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bCs/>
    </w:rPr>
  </w:style>
  <w:style w:type="paragraph" w:customStyle="1" w:styleId="10">
    <w:name w:val="p0"/>
    <w:basedOn w:val="1"/>
    <w:autoRedefine/>
    <w:qFormat/>
    <w:uiPriority w:val="0"/>
    <w:pPr>
      <w:widowControl/>
    </w:pPr>
    <w:rPr>
      <w:rFonts w:ascii="Calibri" w:hAnsi="Calibri" w:eastAsia="宋体" w:cs="宋体"/>
      <w:kern w:val="0"/>
      <w:szCs w:val="32"/>
    </w:rPr>
  </w:style>
  <w:style w:type="paragraph" w:customStyle="1" w:styleId="11">
    <w:name w:val="Default"/>
    <w:uiPriority w:val="0"/>
    <w:pPr>
      <w:widowControl w:val="0"/>
      <w:autoSpaceDE w:val="0"/>
      <w:autoSpaceDN w:val="0"/>
      <w:adjustRightInd w:val="0"/>
    </w:pPr>
    <w:rPr>
      <w:rFonts w:ascii="方正黑体_GBK" w:hAnsi="Calibri" w:eastAsia="方正黑体_GBK" w:cs="Times New Roman"/>
      <w:color w:val="000000"/>
      <w:sz w:val="24"/>
      <w:szCs w:val="22"/>
      <w:lang w:val="en-US" w:eastAsia="zh-CN" w:bidi="ar-SA"/>
    </w:rPr>
  </w:style>
  <w:style w:type="paragraph" w:customStyle="1" w:styleId="12">
    <w:name w:val="List Paragraph"/>
    <w:basedOn w:val="1"/>
    <w:qFormat/>
    <w:uiPriority w:val="0"/>
    <w:pPr>
      <w:ind w:firstLine="420" w:firstLineChars="200"/>
    </w:pPr>
  </w:style>
  <w:style w:type="paragraph" w:customStyle="1" w:styleId="13">
    <w:name w:val="列表段落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2024-11-14T02:00:10Z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523282F73EBD4B13BC4C80F225956F4E_13</vt:lpwstr>
  </property>
</Properties>
</file>