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rPr>
      </w:pPr>
    </w:p>
    <w:p>
      <w:pPr>
        <w:rPr>
          <w:rFonts w:ascii="宋体"/>
          <w:sz w:val="28"/>
        </w:rPr>
      </w:pPr>
    </w:p>
    <w:p>
      <w:pPr>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spacing w:line="540" w:lineRule="exact"/>
        <w:jc w:val="center"/>
        <w:rPr>
          <w:rFonts w:ascii="方正小标宋_GBK" w:eastAsia="方正小标宋_GBK"/>
          <w:color w:val="000000"/>
          <w:spacing w:val="-1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发《重庆市水运工程建设市场</w:t>
      </w:r>
    </w:p>
    <w:p>
      <w:pPr>
        <w:spacing w:line="54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信用管理实施细则》的通知</w:t>
      </w:r>
    </w:p>
    <w:p>
      <w:pPr>
        <w:spacing w:line="600" w:lineRule="exact"/>
        <w:jc w:val="center"/>
        <w:rPr>
          <w:rFonts w:ascii="方正小标宋_GBK" w:eastAsia="方正小标宋_GBK"/>
          <w:color w:val="000000"/>
          <w:spacing w:val="-10"/>
          <w:sz w:val="32"/>
          <w:szCs w:val="32"/>
        </w:rPr>
      </w:pPr>
      <w:bookmarkStart w:id="0" w:name="SignEnd"/>
      <w:bookmarkEnd w:id="0"/>
      <w:bookmarkStart w:id="1" w:name="SignStart"/>
      <w:bookmarkEnd w:id="1"/>
      <w:r>
        <w:rPr>
          <w:rFonts w:hint="eastAsia" w:ascii="方正仿宋_GBK" w:eastAsia="方正仿宋_GBK"/>
          <w:color w:val="000000"/>
          <w:sz w:val="32"/>
          <w:szCs w:val="32"/>
        </w:rPr>
        <w:t>渝交规〔2021〕27号</w:t>
      </w:r>
    </w:p>
    <w:p>
      <w:pPr>
        <w:spacing w:line="600" w:lineRule="exact"/>
        <w:rPr>
          <w:rFonts w:eastAsia="方正黑体_GBK"/>
          <w:color w:val="000000"/>
          <w:sz w:val="32"/>
          <w:szCs w:val="32"/>
        </w:rPr>
      </w:pPr>
    </w:p>
    <w:p>
      <w:pPr>
        <w:pStyle w:val="9"/>
        <w:spacing w:line="600" w:lineRule="exact"/>
        <w:rPr>
          <w:rFonts w:ascii="方正仿宋_GBK" w:eastAsia="方正仿宋_GBK"/>
          <w:color w:val="000000"/>
          <w:sz w:val="32"/>
        </w:rPr>
      </w:pPr>
      <w:r>
        <w:rPr>
          <w:rFonts w:hint="eastAsia" w:ascii="方正仿宋_GBK" w:eastAsia="方正仿宋_GBK"/>
          <w:color w:val="000000"/>
          <w:sz w:val="32"/>
        </w:rPr>
        <w:t>各区县（自治县）交通局，局属各单位，各有关单位：</w:t>
      </w:r>
    </w:p>
    <w:p>
      <w:pPr>
        <w:pStyle w:val="9"/>
        <w:spacing w:line="600" w:lineRule="exact"/>
        <w:ind w:firstLine="640" w:firstLineChars="200"/>
        <w:rPr>
          <w:rFonts w:ascii="方正仿宋_GBK" w:eastAsia="方正仿宋_GBK"/>
          <w:color w:val="000000"/>
          <w:spacing w:val="-8"/>
          <w:sz w:val="32"/>
        </w:rPr>
      </w:pPr>
      <w:r>
        <w:rPr>
          <w:rFonts w:hint="eastAsia" w:ascii="方正仿宋_GBK" w:eastAsia="方正仿宋_GBK"/>
          <w:color w:val="000000"/>
          <w:sz w:val="32"/>
        </w:rPr>
        <w:t>《重庆市水运工程建设市场信用管理实施细则》已经局2021年第19次局长办公会审议通过，现印发你们，自2022年1月1日起施行，请认真贯彻执行。</w:t>
      </w:r>
      <w:r>
        <w:rPr>
          <w:rFonts w:hint="eastAsia" w:ascii="方正仿宋_GBK" w:hAnsi="Cambria" w:eastAsia="方正仿宋_GBK"/>
          <w:bCs/>
          <w:color w:val="000000"/>
          <w:sz w:val="32"/>
        </w:rPr>
        <w:t>《重庆市水运工程设计和施工企业信用评价实施细则（试行）》（渝交委港〔2018〕3号）、《水运</w:t>
      </w:r>
      <w:r>
        <w:rPr>
          <w:rFonts w:hint="eastAsia" w:ascii="方正仿宋_GBK" w:hAnsi="Cambria" w:eastAsia="方正仿宋_GBK"/>
          <w:bCs/>
          <w:color w:val="000000"/>
          <w:spacing w:val="-8"/>
          <w:sz w:val="32"/>
        </w:rPr>
        <w:t>工程建设单位管理办法》（渝交委港〔2014〕22号）同时废止。</w:t>
      </w:r>
    </w:p>
    <w:p>
      <w:pPr>
        <w:pStyle w:val="9"/>
        <w:spacing w:line="600" w:lineRule="exact"/>
        <w:ind w:firstLine="640" w:firstLineChars="200"/>
        <w:jc w:val="left"/>
        <w:rPr>
          <w:rFonts w:ascii="方正仿宋_GBK" w:eastAsia="方正仿宋_GBK"/>
          <w:color w:val="000000"/>
          <w:sz w:val="32"/>
        </w:rPr>
      </w:pPr>
    </w:p>
    <w:p>
      <w:pPr>
        <w:pStyle w:val="9"/>
        <w:wordWrap w:val="0"/>
        <w:spacing w:line="600" w:lineRule="exact"/>
        <w:ind w:firstLine="640" w:firstLineChars="200"/>
        <w:jc w:val="right"/>
        <w:rPr>
          <w:rFonts w:ascii="方正仿宋_GBK" w:eastAsia="方正仿宋_GBK"/>
          <w:color w:val="000000"/>
          <w:sz w:val="32"/>
        </w:rPr>
      </w:pPr>
      <w:r>
        <w:rPr>
          <w:rFonts w:hint="eastAsia" w:ascii="方正仿宋_GBK" w:eastAsia="方正仿宋_GBK"/>
          <w:color w:val="000000"/>
          <w:sz w:val="32"/>
        </w:rPr>
        <w:t xml:space="preserve">                             重庆市交通局  </w:t>
      </w:r>
    </w:p>
    <w:p>
      <w:pPr>
        <w:pStyle w:val="9"/>
        <w:spacing w:line="600" w:lineRule="exact"/>
        <w:ind w:firstLine="640" w:firstLineChars="200"/>
        <w:jc w:val="right"/>
        <w:rPr>
          <w:rFonts w:ascii="方正仿宋_GBK" w:eastAsia="方正仿宋_GBK"/>
          <w:color w:val="000000"/>
          <w:sz w:val="32"/>
        </w:rPr>
      </w:pPr>
      <w:r>
        <w:rPr>
          <w:rFonts w:hint="eastAsia" w:ascii="方正仿宋_GBK" w:eastAsia="方正仿宋_GBK"/>
          <w:color w:val="000000"/>
          <w:sz w:val="32"/>
        </w:rPr>
        <w:t>2021年12月20日</w:t>
      </w:r>
    </w:p>
    <w:p>
      <w:pPr>
        <w:pStyle w:val="9"/>
        <w:widowControl w:val="0"/>
        <w:spacing w:line="560" w:lineRule="exact"/>
        <w:jc w:val="left"/>
        <w:rPr>
          <w:rFonts w:ascii="方正仿宋_GBK" w:eastAsia="方正仿宋_GBK"/>
          <w:color w:val="000000"/>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p>
    <w:p>
      <w:pPr>
        <w:pStyle w:val="9"/>
        <w:widowControl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重庆市水运工程建设市场信用管理实施细则</w:t>
      </w:r>
    </w:p>
    <w:p>
      <w:pPr>
        <w:pStyle w:val="9"/>
        <w:widowControl w:val="0"/>
        <w:spacing w:line="560" w:lineRule="exact"/>
        <w:rPr>
          <w:rFonts w:ascii="方正小标宋_GBK" w:eastAsia="方正小标宋_GBK"/>
          <w:color w:val="000000"/>
          <w:sz w:val="44"/>
          <w:szCs w:val="44"/>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第一章  总则</w:t>
      </w:r>
    </w:p>
    <w:p>
      <w:pPr>
        <w:spacing w:line="600" w:lineRule="exact"/>
        <w:ind w:firstLine="640" w:firstLineChars="200"/>
        <w:rPr>
          <w:rFonts w:ascii="方正楷体_GBK" w:hAnsi="Cambria" w:eastAsia="方正黑体_GBK"/>
          <w:color w:val="000000"/>
          <w:sz w:val="32"/>
          <w:szCs w:val="32"/>
        </w:rPr>
      </w:pP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第一条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为进一步加强水运工程建设市场信用管理，规范水运工程建设从业单位和从业人员的市场行为，维护公平竞争的市场秩序，营造诚实守信的市场环境，根据交通运输部《水运工程建设市场信用信息管理办法》</w:t>
      </w:r>
      <w:r>
        <w:rPr>
          <w:rFonts w:ascii="方正仿宋_GBK" w:hAnsi="Cambria" w:eastAsia="方正仿宋_GBK"/>
          <w:bCs/>
          <w:color w:val="000000"/>
          <w:sz w:val="32"/>
          <w:szCs w:val="32"/>
        </w:rPr>
        <w:t>（交水发〔2008〕510号）</w:t>
      </w:r>
      <w:r>
        <w:rPr>
          <w:rFonts w:hint="eastAsia" w:ascii="方正仿宋_GBK" w:hAnsi="Cambria" w:eastAsia="方正仿宋_GBK"/>
          <w:bCs/>
          <w:color w:val="000000"/>
          <w:sz w:val="32"/>
          <w:szCs w:val="32"/>
        </w:rPr>
        <w:t>、《公路水运工程监理信用评价办法》</w:t>
      </w:r>
      <w:r>
        <w:rPr>
          <w:rFonts w:ascii="方正仿宋_GBK" w:hAnsi="Cambria" w:eastAsia="方正仿宋_GBK"/>
          <w:bCs/>
          <w:color w:val="000000"/>
          <w:sz w:val="32"/>
          <w:szCs w:val="32"/>
        </w:rPr>
        <w:t>（交质监发〔2012〕774号）</w:t>
      </w:r>
      <w:r>
        <w:rPr>
          <w:rFonts w:hint="eastAsia" w:ascii="方正仿宋_GBK" w:hAnsi="Cambria" w:eastAsia="方正仿宋_GBK"/>
          <w:bCs/>
          <w:color w:val="000000"/>
          <w:sz w:val="32"/>
          <w:szCs w:val="32"/>
        </w:rPr>
        <w:t>、《水运工程设计和施工企业信用评价办法》</w:t>
      </w:r>
      <w:r>
        <w:rPr>
          <w:rFonts w:ascii="方正仿宋_GBK" w:hAnsi="Cambria" w:eastAsia="方正仿宋_GBK"/>
          <w:bCs/>
          <w:color w:val="000000"/>
          <w:sz w:val="32"/>
          <w:szCs w:val="32"/>
        </w:rPr>
        <w:t>（交水发〔2014〕113号）</w:t>
      </w:r>
      <w:r>
        <w:rPr>
          <w:rFonts w:hint="eastAsia" w:ascii="方正仿宋_GBK" w:hAnsi="Cambria" w:eastAsia="方正仿宋_GBK"/>
          <w:bCs/>
          <w:color w:val="000000"/>
          <w:sz w:val="32"/>
          <w:szCs w:val="32"/>
        </w:rPr>
        <w:t>、《公路水运工程试验检测信用评价办法》</w:t>
      </w:r>
      <w:r>
        <w:rPr>
          <w:rFonts w:ascii="方正仿宋_GBK" w:hAnsi="Cambria" w:eastAsia="方正仿宋_GBK"/>
          <w:bCs/>
          <w:color w:val="000000"/>
          <w:sz w:val="32"/>
          <w:szCs w:val="32"/>
        </w:rPr>
        <w:t>（交安监发〔2018〕78号）</w:t>
      </w:r>
      <w:r>
        <w:rPr>
          <w:rFonts w:hint="eastAsia" w:ascii="方正仿宋_GBK" w:hAnsi="Cambria" w:eastAsia="方正仿宋_GBK"/>
          <w:bCs/>
          <w:color w:val="000000"/>
          <w:sz w:val="32"/>
          <w:szCs w:val="32"/>
        </w:rPr>
        <w:t>、《水运工程建设项目招标投标管理办法》</w:t>
      </w:r>
      <w:r>
        <w:rPr>
          <w:rFonts w:ascii="方正仿宋_GBK" w:hAnsi="Cambria" w:eastAsia="方正仿宋_GBK"/>
          <w:bCs/>
          <w:color w:val="000000"/>
          <w:sz w:val="32"/>
          <w:szCs w:val="32"/>
        </w:rPr>
        <w:t>（</w:t>
      </w:r>
      <w:r>
        <w:rPr>
          <w:rFonts w:hint="eastAsia" w:ascii="方正仿宋_GBK" w:hAnsi="Cambria" w:eastAsia="方正仿宋_GBK"/>
          <w:bCs/>
          <w:color w:val="000000"/>
          <w:sz w:val="32"/>
          <w:szCs w:val="32"/>
        </w:rPr>
        <w:t>交通部令2012年第11号</w:t>
      </w:r>
      <w:r>
        <w:rPr>
          <w:rFonts w:ascii="方正仿宋_GBK" w:hAnsi="Cambria" w:eastAsia="方正仿宋_GBK"/>
          <w:bCs/>
          <w:color w:val="000000"/>
          <w:sz w:val="32"/>
          <w:szCs w:val="32"/>
        </w:rPr>
        <w:t>）</w:t>
      </w:r>
      <w:r>
        <w:rPr>
          <w:rFonts w:hint="eastAsia" w:ascii="方正仿宋_GBK" w:hAnsi="Cambria" w:eastAsia="方正仿宋_GBK"/>
          <w:bCs/>
          <w:color w:val="000000"/>
          <w:sz w:val="32"/>
          <w:szCs w:val="32"/>
        </w:rPr>
        <w:t>等有关规定，结合我市水运工程建设特点</w:t>
      </w:r>
      <w:r>
        <w:rPr>
          <w:rFonts w:hint="eastAsia" w:ascii="方正仿宋_GBK" w:eastAsia="方正仿宋_GBK"/>
          <w:color w:val="000000"/>
          <w:sz w:val="32"/>
          <w:szCs w:val="32"/>
        </w:rPr>
        <w:t>，制定本细则</w:t>
      </w:r>
      <w:r>
        <w:rPr>
          <w:rFonts w:hint="eastAsia" w:ascii="方正仿宋_GBK" w:hAnsi="Cambria" w:eastAsia="方正仿宋_GBK"/>
          <w:bCs/>
          <w:color w:val="000000"/>
          <w:sz w:val="32"/>
          <w:szCs w:val="32"/>
        </w:rPr>
        <w:t>。</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第二条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我市行政区域内的水运工程建设市场信用管理活动，适用本细则。</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 xml:space="preserve">第三条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水运工程建设市场信用管理遵循</w:t>
      </w:r>
      <w:r>
        <w:rPr>
          <w:rFonts w:hint="eastAsia" w:ascii="方正仿宋_GBK" w:eastAsia="方正仿宋_GBK"/>
          <w:color w:val="000000"/>
          <w:sz w:val="32"/>
          <w:szCs w:val="32"/>
        </w:rPr>
        <w:t>公开、公平、公正、科学、有效</w:t>
      </w:r>
      <w:r>
        <w:rPr>
          <w:rFonts w:hint="eastAsia" w:ascii="方正仿宋_GBK" w:hAnsi="Cambria" w:eastAsia="方正仿宋_GBK"/>
          <w:bCs/>
          <w:color w:val="000000"/>
          <w:sz w:val="32"/>
          <w:szCs w:val="32"/>
        </w:rPr>
        <w:t>的原则。</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第四条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本细则中相关用语含义：</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（一）从业单位是指从事水运工程项目的建设、勘察、设计、施工、监理、试验检测、造价咨询等单位，以及为项目建设提供技术审查咨询的其他机构。</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（二）从业人员是指建设单位的项目主管负责人、设计单位的项目设计负责人、施工单位的项目经理和项目总工程师（技术负责人）、监理单位现场机构的总监理工程师（总监代表）</w:t>
      </w:r>
      <w:r>
        <w:rPr>
          <w:rFonts w:ascii="方正仿宋_GBK" w:hAnsi="Cambria" w:eastAsia="方正仿宋_GBK"/>
          <w:bCs/>
          <w:color w:val="000000"/>
          <w:sz w:val="32"/>
          <w:szCs w:val="32"/>
        </w:rPr>
        <w:t>等</w:t>
      </w:r>
      <w:r>
        <w:rPr>
          <w:rFonts w:hint="eastAsia" w:ascii="方正仿宋_GBK" w:hAnsi="Cambria" w:eastAsia="方正仿宋_GBK"/>
          <w:bCs/>
          <w:color w:val="000000"/>
          <w:sz w:val="32"/>
          <w:szCs w:val="32"/>
        </w:rPr>
        <w:t>从事水运工程建设活动的人员。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信用信息是指各级交通主管部门、水运工程建设管理有关部门（单位）、水运行业社团组织、司法机关在履行职责过程中，以及从业单位和从业人员在工作过程中产生、记录、归集的能够反映其基本情况、市场表现及信用状况的各类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（四）信用评价是指交通主管部门或者其委托机构依据有关法律法规、标准规范、合同文件等，通过量化方式对从业单位和从业人员在水运工程建设市场从业行为的评价。</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（五）市级水运工程建设项目是指市交通主管部门</w:t>
      </w:r>
      <w:r>
        <w:rPr>
          <w:rFonts w:hint="eastAsia" w:ascii="方正大黑简体" w:hAnsi="方正大黑简体" w:eastAsia="方正仿宋_GBK"/>
          <w:color w:val="000000"/>
          <w:sz w:val="32"/>
          <w:szCs w:val="32"/>
        </w:rPr>
        <w:t>批复施工图设计的</w:t>
      </w:r>
      <w:r>
        <w:rPr>
          <w:rFonts w:hint="eastAsia" w:ascii="方正仿宋_GBK" w:hAnsi="Cambria" w:eastAsia="方正仿宋_GBK"/>
          <w:bCs/>
          <w:color w:val="000000"/>
          <w:sz w:val="32"/>
          <w:szCs w:val="32"/>
        </w:rPr>
        <w:t>水运工程建设项目；区县水运工程建设项目是指除市级水运工程建设项目以外的其他水运工程建设项目。</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第五条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水运工程建设市场信用管理体系实行统一管理、分级负责。</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（一）市交通主管部门负责全市水运工程建设市场信用管理工作，制定全市水运工程建设市场信用管理的制度并组织实施。</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（二）市交通主管部门确定的管理部门具体负责市级水运工程建设项目的信用评价工作。</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（三）各区县（自治县）交通主管部门负责本行政区域内区县水运工程建设项目信用管理工作。</w:t>
      </w:r>
    </w:p>
    <w:p>
      <w:pPr>
        <w:pStyle w:val="4"/>
        <w:spacing w:line="600" w:lineRule="exact"/>
        <w:rPr>
          <w:rFonts w:ascii="黑体" w:eastAsia="方正黑体_GBK"/>
          <w:b w:val="0"/>
          <w:bCs w:val="0"/>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第二章  信用信息管理</w:t>
      </w:r>
    </w:p>
    <w:p>
      <w:pPr>
        <w:spacing w:line="600" w:lineRule="exact"/>
        <w:ind w:firstLine="640" w:firstLineChars="200"/>
        <w:rPr>
          <w:rFonts w:ascii="方正楷体_GBK" w:hAnsi="Cambria" w:eastAsia="方正黑体_GBK"/>
          <w:color w:val="000000"/>
          <w:sz w:val="32"/>
          <w:szCs w:val="32"/>
        </w:rPr>
      </w:pP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第六条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信用信息主要包括从业单位信息和水运工程建设项目信息。</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第七条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从业单位信息包括从业单位基本信息、表彰奖励类良好行为信息、行政处罚类不良行为信息和信用评价信息。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（一）从业单位基本信息主要包括：营业执照、基本存款账户开户许可证和资质资格（如有）等相关证照信息；法定代表人以及主要经济、管理和工程技术从业人员信息；主要业绩（含在建项目）信息。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表彰奖励类良好行为信息主要包括：当事责任主体在实施具体水运工程建设过程中严格遵守有关法律、法规、规章、规范和有关的强制性标准，严格履行合同，重信守诺，在维护市场秩序中起到良好的作用，受到有关行政主管部门或行业协会的奖励和表彰所形成的良好行为记录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行政处罚类不良行为信息主要包括：当事责任主体在实施具体水运工程建设过程中违反有关法律、法规、规章和有关强制性标准，在工期、质量、安全、环境和市场秩序等方面造成不良影响，经有关行政主管部门给予行政处罚所形成的不良行为记录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信用评价信息主要包括信用等级和信用分值。其中，信用等级是省级及以上交通主管部门或者其委托机构按照有关水运工程从业单位信用评价规则，对从业单位和从业人员从业行为状况的评价结果；信用分值是将信用等级、表彰奖励类良好行为信息和行政处罚类不良行为信息等信用记录进行量化以便应用的结果。</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第八条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水运工程建设项目信息包括项目基本信息、合同段信息和履约信息。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（一）项目基本信息：主要技术经济指标；工程可行性研究报告批复或者项目核准意见、设计批复、交工、竣工验收等主要基本建设信息；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（二）合同段信息：招标信息和主要合同内容；</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（三）履约信息：按照本细则第十六条可以作为信用评价依据的相关材料。</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第九条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信息采集和发布必须遵守国家有关保密工作的规定，保护国家及有关主要当事责任主体秘密。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信用信息由全国水运工程建设市场信用信息管理系统（以下简称“信用信息系统”）统一发布，填报单位应当对其填报信息的真实性、准确性、及时性和完整性负责。信用信息按照下列方式进行填报、审核和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（一）从业单位基本信息由从业单位自行登录信用信息系统填报，经市交通主管部门审核后发布。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表彰奖励类良好行为信息和行政处罚类不良行为信息，由作出表彰奖励或者行政处罚的交通主管部门登录填报，经市交通主管部门审核后发布，重庆市人民政府、交通运输部和与水运工程建设有关的政府监督部门或者机构作出的，由市交通主管部门收到抄告后填报发布。从业单位也可自行登录填报，提供相关证明材料由市交通主管部门审核后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（三）重庆市水运工程建设市场信用评价信息由市交通主管部门发布。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水运工程建设项目基本信息由建设单位自行登录信用信息系统填报，本市行政区域内在建水运工程建设项目都应当填报发布。其中，市级水运工程建设项目经市交通主管部门质量监督机构初审，市交通主管部门审核后发布；市级以外水运工程建设项目由各区县（自治县）交通主管部门初审、市交通主管部门审核后发布。</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已发布的信用信息需要更新或者更正的，按照下列程序办理：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（一）从业单位基本信息和水运工程建设项目信息发生变化的，应及时在信用信息系统中提出变更申请，并按管理权限审核后重新发布。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（二）从业单位或者从业人员认为发布的其他信用信息与事实不符的，应及时在信用信息系统中提出变更申请，并按管理权限审核后重新发布。</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第十一条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信用信息发布期限按照下列规定设定：</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（一）从业单位基本信息发布期限为长期；信用评价信息发布期限为1年；</w:t>
      </w:r>
      <w:r>
        <w:rPr>
          <w:rFonts w:hint="eastAsia" w:ascii="方正仿宋_GBK" w:eastAsia="方正仿宋_GBK"/>
          <w:color w:val="000000"/>
          <w:sz w:val="32"/>
          <w:szCs w:val="32"/>
        </w:rPr>
        <w:t>从业单位表彰奖励类良好行为信息、行政处罚类不良行为信息发布期限为2年，其中行政处罚期未满的信息将延长至行政处罚期满，期限均自认定相应行为或者作出相应决定之日起计算，期满后即解除发布，转为系统档案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（二）水运工程建设项目信息发布期限为长期。</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第十二条</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信用信息发布应当保守从业单位商业秘密和从业人员个人隐私，不得侵犯其合法权益。从业单位基本账户等商业信息仅供交通主管部门市场管理使用，不对外发布。</w:t>
      </w:r>
    </w:p>
    <w:p>
      <w:pPr>
        <w:pStyle w:val="4"/>
        <w:spacing w:line="600" w:lineRule="exact"/>
        <w:rPr>
          <w:rFonts w:ascii="黑体" w:eastAsia="方正黑体_GBK"/>
          <w:b w:val="0"/>
          <w:bCs w:val="0"/>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第三章  信用评价管理</w:t>
      </w:r>
    </w:p>
    <w:p>
      <w:pPr>
        <w:spacing w:line="600" w:lineRule="exact"/>
        <w:ind w:firstLine="640" w:firstLineChars="200"/>
        <w:rPr>
          <w:rFonts w:ascii="方正楷体_GBK" w:hAnsi="Cambria" w:eastAsia="方正黑体_GBK"/>
          <w:color w:val="000000"/>
          <w:sz w:val="32"/>
          <w:szCs w:val="32"/>
        </w:rPr>
      </w:pP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第十三条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水运工程建设市场从业单位信用等级分为AA级、A级、B级、C级、D级五个等级，各信用等级对应的信用评分</w:t>
      </w:r>
      <w:r>
        <w:rPr>
          <w:rFonts w:ascii="方正仿宋_GBK" w:hAnsi="Cambria" w:eastAsia="方正仿宋_GBK"/>
          <w:bCs/>
          <w:color w:val="000000"/>
          <w:sz w:val="32"/>
          <w:szCs w:val="32"/>
        </w:rPr>
        <w:t>X或者</w:t>
      </w:r>
      <w:r>
        <w:rPr>
          <w:rFonts w:hint="eastAsia" w:ascii="方正仿宋_GBK" w:hAnsi="Cambria" w:eastAsia="方正仿宋_GBK"/>
          <w:bCs/>
          <w:color w:val="000000"/>
          <w:sz w:val="32"/>
          <w:szCs w:val="32"/>
        </w:rPr>
        <w:t>行为分别为：</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AA级：95分≤X≤100分，信用好；</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A级：85分≤X＜95分，信用较好；</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B级：75分≤X＜85分，信用一般；</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C级：60分≤X＜75分，或者存在较重失信行为，信用较差；</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D级：X＜60分，或者存在严重失信行为，信用差。</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第十四条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 xml:space="preserve">水运工程建设市场信用评价工作实行定期评价和动态评价相结合的方式。  </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（一）定期评价是市交通主管部门对从业单位和从业人员在上一年度（1月1日至12月31日）的信用行为进行的周期性评价，每年开展一次。其中，</w:t>
      </w:r>
      <w:r>
        <w:rPr>
          <w:rFonts w:hint="eastAsia" w:ascii="方正仿宋_GBK" w:eastAsia="方正仿宋_GBK"/>
          <w:color w:val="000000"/>
          <w:sz w:val="32"/>
          <w:szCs w:val="32"/>
        </w:rPr>
        <w:t>港口项目在评价周期内连续从事建设活动6个月以下的从业单位和从业人员，以及航道项目在评价周期内从事施工活动3个月以下的从业单位和从业人员，不纳入当年评价范围。</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动态评价是从业单位和从业人员发生较重或严重失信行为时，由市交通主管部门直接确定其信用等级为C级或者D级的信用评价方式。动态评价为C级或者D级的从业单位和从业人员，自认定之日起，在本市一年内信用评价等级为C级或者D级。因受到行政处罚被直接定级的从业单位和从业人员，定级时间不得低于行政处罚期限。</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（三）分包单位以及不纳入当年评价范围的从业单位和从业人员，但属于下列情形之一的，也应当纳入评价范围：</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1．在交通主管部门或者其质量监督机构受理的投诉或者举报事件中查实存在违法违规问题的从业单位和从业人员；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2．在较大及以上等级质量或者安全生产事故责任中涉及的从业单位和从业人员；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3．不良行为较多的从业单位和从业人员，按照项目管理权限由交通主管部门确定；</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4．项目运营期间发生重大及以上质量或者安全生产事故，负有责任的从业单位和从业人员；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5．在项目审计过程中，审计部门移送存在重大问题的从业单位和从业人员。</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第十五条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信用评价主要包括下列内容：</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信用评价内容由投标行为（如有）、履约行为和其他行为构成。初始分值总分为100分，均以项目单个合同段为评价单元（建设单位以项目为评价单元），实行累计扣分制；若有评定标准所列其他行为的，在从业单位信用评价总得分中扣减（具体信用行为评定标准和计算方法见附件1）。</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（二）从业人员信用评价内容按照附件2评定标准进行直接定级。其中，监理企业现场机构的监理工程师和试验检测机构的试验检测人员按照交通运输部制定的信用评价办法进行评价，评价结果上报交通运输部。</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第十六条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信用评价以下列材料作为依据：</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（一）交通运输主管部门及其管理部门的督查、检查结果或奖惩通报、决定；</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（二）招标人、项目法人（建设单位）、监理单位等管理工作中形成的正式文件；</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（三）举报、投诉或质量、安全事故调查处理结果；</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（四）司法判决、裁定、认定及审计意见；</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（五）其他认定资料。</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以上依据以正式文件为准，按照出具日期确定参加信用评价的年度，相关部门（机构、单位）对不良行为应当使用统一规范的语言进行描述。</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 xml:space="preserve">一个具体行为按照标准涉及两项以上不良行为的，以扣分标准高者为准；同一代码的履约不良行为在同次检查中原则上不重复扣分。对于非严重失信行为，如在合同段（项目）首次出现，且未造成不良后果的，相关部门（机构、单位）可要求限期整改，如在限期内整改完成的，该不良行为可以不扣分。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第十七条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信用评价按照以下分工：</w:t>
      </w:r>
    </w:p>
    <w:p>
      <w:pPr>
        <w:adjustRightInd w:val="0"/>
        <w:snapToGrid w:val="0"/>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（一）投标行为评价。招标人完成每次招标工作后，仅对存在不良行为的从业单位进行投标行为评价，并</w:t>
      </w:r>
      <w:r>
        <w:rPr>
          <w:rFonts w:hint="eastAsia" w:ascii="方正仿宋_GBK" w:eastAsia="方正仿宋_GBK" w:cs="宋体"/>
          <w:color w:val="000000"/>
          <w:kern w:val="0"/>
          <w:sz w:val="32"/>
          <w:szCs w:val="32"/>
        </w:rPr>
        <w:t>按项目分级管理原则</w:t>
      </w:r>
      <w:r>
        <w:rPr>
          <w:rFonts w:hint="eastAsia" w:ascii="方正仿宋_GBK" w:hAnsi="Cambria" w:eastAsia="方正仿宋_GBK"/>
          <w:bCs/>
          <w:color w:val="000000"/>
          <w:sz w:val="32"/>
          <w:szCs w:val="32"/>
        </w:rPr>
        <w:t>将招标投标情况书面报告交通主管部门备案。</w:t>
      </w:r>
    </w:p>
    <w:p>
      <w:pPr>
        <w:adjustRightInd w:val="0"/>
        <w:snapToGrid w:val="0"/>
        <w:spacing w:line="600" w:lineRule="exact"/>
        <w:ind w:firstLine="640" w:firstLineChars="200"/>
        <w:rPr>
          <w:rFonts w:ascii="方正仿宋_GBK" w:hAnsi="Cambria" w:eastAsia="方正仿宋_GBK"/>
          <w:bCs/>
          <w:color w:val="000000"/>
          <w:sz w:val="32"/>
          <w:szCs w:val="32"/>
        </w:rPr>
      </w:pPr>
      <w:r>
        <w:rPr>
          <w:rFonts w:hint="eastAsia" w:ascii="方正仿宋_GBK" w:eastAsia="方正仿宋_GBK" w:cs="宋体"/>
          <w:color w:val="000000"/>
          <w:kern w:val="0"/>
          <w:sz w:val="32"/>
          <w:szCs w:val="32"/>
        </w:rPr>
        <w:t>联合体有不良行为的，其各方均按照相应标准同时直接定级或者扣分。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履约行为评价。建设单位及其从业人员由交通主管部门或者其委托机构进行实时评价；设计单位、施工单位、监理单位、试验检测、造价咨询单位和其他从业单位及其从业人员由建设单位、质量监督机构、市交通规划和技术发展中心等分别进行实时评价。联合体有不良行为的，其各方均按照相应标准同时直接定级或者扣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1．建设单位每年对应当纳入信用评价的项目合同段每季度开展不少于1次履约检查，以正式文件的形式发布，并将检查结果录入本单位建立的信用信息管理台账。</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2．质量监督机构每年对其实施监督的项目开展定期或不定期监督检查，对建设单位报送的信用评价结果进行审核。</w:t>
      </w:r>
    </w:p>
    <w:p>
      <w:pPr>
        <w:spacing w:line="600" w:lineRule="exact"/>
        <w:ind w:firstLine="640" w:firstLineChars="200"/>
        <w:rPr>
          <w:rFonts w:ascii="宋体" w:hAnsi="宋体"/>
          <w:color w:val="000000"/>
          <w:sz w:val="28"/>
          <w:szCs w:val="28"/>
        </w:rPr>
      </w:pPr>
      <w:r>
        <w:rPr>
          <w:rFonts w:hint="eastAsia" w:ascii="方正仿宋_GBK" w:hAnsi="Cambria" w:eastAsia="方正仿宋_GBK"/>
          <w:bCs/>
          <w:color w:val="000000"/>
          <w:sz w:val="32"/>
          <w:szCs w:val="32"/>
        </w:rPr>
        <w:t>3．在评价期内，若有举报、投诉或者质量、安全事故调查处理，对责任单位履约行为评价得分再次进行累计扣分。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（三）其他行为评价。负责项目监管的交通主管部门对从业单位及其从业人员的其他行为进行评价，在总分中扣减。</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在以上评价过程中，招标人、建设单位、负责项目监管的交通主管部门及质量监督机构等评价人对评价结果负责，同时，应当将评价结果告知被评价人。被评价人对评价结果有异议的，可在收到评价结果后的5个工作日内向评价人申诉；对申诉处理结果仍有异议的，可按照分级管理原则向交通主管部门申诉。</w:t>
      </w:r>
    </w:p>
    <w:p>
      <w:pPr>
        <w:spacing w:line="600" w:lineRule="exact"/>
        <w:ind w:firstLine="640" w:firstLineChars="200"/>
        <w:rPr>
          <w:rFonts w:ascii="方正仿宋_GBK" w:eastAsia="方正仿宋_GBK" w:cs="宋体"/>
          <w:color w:val="000000"/>
          <w:kern w:val="0"/>
          <w:sz w:val="32"/>
          <w:szCs w:val="32"/>
        </w:rPr>
      </w:pPr>
      <w:r>
        <w:rPr>
          <w:rFonts w:hint="eastAsia" w:ascii="方正仿宋_GBK" w:hAnsi="Cambria" w:eastAsia="方正仿宋_GBK"/>
          <w:bCs/>
          <w:color w:val="000000"/>
          <w:sz w:val="32"/>
          <w:szCs w:val="32"/>
        </w:rPr>
        <w:t>（四）综合评价。市交通主管部门根据上报的信用评价结果，在核查汇总的基础上，计算全市综合评价得分。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 xml:space="preserve">全市综合评价结果应当进行公示、公告。从业单位和从业人员对评价结果有异议的，可在公示期限内按照第三十二条规定向市交通主管部门申诉。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第十八条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水运工程建设项目采用施工总承包模式的，按照下列方式对施工单位进行履约行为评价：</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由总承包单位承担具体施工的，直接按合同段对总承包单位进行信用评价；由总承包单位的合作单位等具有独立法人资格和符合相应资质资格条件的单位承担具体施工的，直接对具体施工单位进行信用评价。施工单位合同段履约行为评价按照第十七条第二款进行。</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（二）总承包单位在该项目的履约行为评价得分为各合同段具体施工企业履约行为评价得分的倒权重平均值。</w:t>
      </w:r>
    </w:p>
    <w:p>
      <w:pPr>
        <w:spacing w:line="600" w:lineRule="exact"/>
        <w:ind w:firstLine="640" w:firstLineChars="200"/>
        <w:rPr>
          <w:rFonts w:ascii="宋体" w:hAnsi="宋体"/>
          <w:color w:val="000000"/>
          <w:sz w:val="28"/>
          <w:szCs w:val="28"/>
        </w:rPr>
      </w:pPr>
      <w:r>
        <w:rPr>
          <w:rFonts w:hint="eastAsia" w:ascii="方正仿宋_GBK" w:hAnsi="Cambria" w:eastAsia="方正仿宋_GBK"/>
          <w:bCs/>
          <w:color w:val="000000"/>
          <w:sz w:val="32"/>
          <w:szCs w:val="32"/>
        </w:rPr>
        <w:t xml:space="preserve">（三）所有承担具体施工的企业中，有2个及以上单位直接确定为D级的，总承包单位的信用评价等级直接确定为D级。 </w:t>
      </w:r>
      <w:r>
        <w:rPr>
          <w:rFonts w:hint="eastAsia" w:ascii="宋体" w:hAnsi="宋体"/>
          <w:color w:val="000000"/>
          <w:sz w:val="28"/>
          <w:szCs w:val="28"/>
        </w:rPr>
        <w:t xml:space="preserve">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第十九条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信用评价按照下列程序进行：</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（一）定期评价结果按照以下程序报送：</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1．建设单位应当按照相关要求在规定的时限前完成上年度在建项目从业单位和从业人员的定期评价，市交通主管部门确定的管理部门应当按照相关要求在规定的时限前完成上年度在建项目从业单位和从业人员的审核工作，其中：市级水运工程建设项目造价咨询单位信用评价结果报市交通规划和技术发展中心，市级水运工程建设项目其他从业单位和从业人员的信用评价结果报市交通主管部门质量监督机构，区县水运工程建设项目信用评价结果报各区县（自治县）交通主管部门。注册地为我市行政区域内的试验检测机构信用评价结果报市交通规划和技术发展中心。</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2．各区县（自治县）交通主管部门应当按照相关要求在规定的时限前完成上年度区县水运工程从业单位和从业人员定期评价的复核与汇总，造价咨询单位信用评价结果报市交通规划和技术发展中心，其余从业单位和从业人员评价结果报市交通主管部门质量监督机构。</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3．市交通主管部门质量监督机构、市交通规划和技术发展中心应当按照相关要求在规定的时限前完成全市水运工程从业单位和从业人员定期评价的审核与汇总，将评价结果报送市交通主管部门。</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4．市交通主管部门应当按照相关要求在规定的时限前组织完成本市水运工程建设市场从业单位和从业人员综合评价及汇总评价，并将评价结果上报交通运输部。</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（二）动态评价结果根据前款确定的报送途径，应当随时报送、随时复核、随时发布。</w:t>
      </w:r>
    </w:p>
    <w:p>
      <w:pPr>
        <w:spacing w:line="600" w:lineRule="exact"/>
        <w:ind w:firstLine="640" w:firstLineChars="200"/>
        <w:rPr>
          <w:rFonts w:ascii="宋体" w:hAnsi="宋体"/>
          <w:color w:val="000000"/>
          <w:sz w:val="28"/>
          <w:szCs w:val="28"/>
        </w:rPr>
      </w:pPr>
      <w:r>
        <w:rPr>
          <w:rFonts w:hint="eastAsia" w:ascii="方正楷体_GBK" w:hAnsi="Cambria" w:eastAsia="方正黑体_GBK"/>
          <w:color w:val="000000"/>
          <w:sz w:val="32"/>
          <w:szCs w:val="32"/>
        </w:rPr>
        <w:t>第二十条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初次进入重庆市水运工程建设市场的从业单位，其信用等级按照全国综合信用评价结果确定；若无，其信用等级按照注册地省级综合评价结果确定；若两者皆无，按照B级对待。</w:t>
      </w:r>
      <w:r>
        <w:rPr>
          <w:rFonts w:hint="eastAsia" w:ascii="宋体" w:hAnsi="宋体"/>
          <w:color w:val="000000"/>
          <w:sz w:val="28"/>
          <w:szCs w:val="28"/>
        </w:rPr>
        <w:t xml:space="preserve">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第二十一条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仿宋_GBK" w:hAnsi="Cambria" w:eastAsia="方正仿宋_GBK"/>
          <w:bCs/>
          <w:color w:val="000000"/>
          <w:sz w:val="32"/>
          <w:szCs w:val="32"/>
        </w:rPr>
        <w:t xml:space="preserve">从业单位信用评价结果有效期1年，下一年度无信用评价结果的，其信用评价等级可延续1年。延续1年后仍无信用评价结果的，按照初次进入确定，但不得高于其原评价等级的上一等级。 </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第二十二条</w:t>
      </w:r>
      <w:r>
        <w:rPr>
          <w:rFonts w:hint="eastAsia" w:ascii="宋体" w:hAnsi="宋体"/>
          <w:b/>
          <w:color w:val="000000"/>
          <w:sz w:val="28"/>
          <w:szCs w:val="28"/>
        </w:rPr>
        <w:t xml:space="preserve"> </w:t>
      </w:r>
      <w:r>
        <w:rPr>
          <w:rFonts w:hint="eastAsia" w:ascii="宋体" w:hAnsi="宋体"/>
          <w:color w:val="000000"/>
          <w:sz w:val="28"/>
          <w:szCs w:val="28"/>
        </w:rPr>
        <w:t xml:space="preserve"> </w:t>
      </w:r>
      <w:r>
        <w:rPr>
          <w:rFonts w:hint="eastAsia" w:ascii="方正大黑简体" w:hAnsi="方正大黑简体" w:eastAsia="方正仿宋_GBK" w:cs="宋体"/>
          <w:color w:val="000000"/>
          <w:kern w:val="0"/>
          <w:sz w:val="32"/>
          <w:szCs w:val="32"/>
        </w:rPr>
        <w:t>仅在一</w:t>
      </w:r>
      <w:r>
        <w:rPr>
          <w:rFonts w:hint="eastAsia" w:ascii="方正仿宋_GBK" w:hAnsi="方正仿宋_GBK" w:eastAsia="方正仿宋_GBK" w:cs="宋体"/>
          <w:color w:val="000000"/>
          <w:kern w:val="0"/>
          <w:sz w:val="32"/>
          <w:szCs w:val="32"/>
        </w:rPr>
        <w:t>个区县从事区县项目的水运工程设计、施工、监理单位，其市级汇总评价等级最高为A级。</w:t>
      </w:r>
    </w:p>
    <w:p>
      <w:pPr>
        <w:spacing w:line="600" w:lineRule="exact"/>
        <w:ind w:firstLine="640" w:firstLineChars="200"/>
        <w:rPr>
          <w:rFonts w:ascii="方正楷体_GBK" w:hAnsi="Cambria" w:eastAsia="方正黑体_GBK"/>
          <w:color w:val="000000"/>
          <w:sz w:val="32"/>
          <w:szCs w:val="32"/>
        </w:rPr>
      </w:pPr>
      <w:r>
        <w:rPr>
          <w:rFonts w:hint="eastAsia" w:ascii="方正楷体_GBK" w:hAnsi="Cambria" w:eastAsia="方正黑体_GBK"/>
          <w:color w:val="000000"/>
          <w:sz w:val="32"/>
          <w:szCs w:val="32"/>
        </w:rPr>
        <w:t xml:space="preserve">第二十三条  </w:t>
      </w:r>
      <w:r>
        <w:rPr>
          <w:rFonts w:hint="eastAsia" w:ascii="方正仿宋_GBK" w:hAnsi="Cambria" w:eastAsia="方正仿宋_GBK"/>
          <w:bCs/>
          <w:color w:val="000000"/>
          <w:sz w:val="32"/>
          <w:szCs w:val="32"/>
        </w:rPr>
        <w:t>从业单位资质升级的，其信用评价等级不变。企业分立的，按照新设立企业确定信用评价等级，但不得高于原评价等级。企业合并的，按照信用评价等级较低企业的等级确定合并后企业的信用评价等级。</w:t>
      </w:r>
      <w:r>
        <w:rPr>
          <w:rFonts w:hint="eastAsia" w:ascii="方正楷体_GBK" w:hAnsi="Cambria" w:eastAsia="方正黑体_GBK"/>
          <w:color w:val="000000"/>
          <w:sz w:val="32"/>
          <w:szCs w:val="32"/>
        </w:rPr>
        <w:t xml:space="preserve"> </w:t>
      </w:r>
    </w:p>
    <w:p>
      <w:pPr>
        <w:spacing w:line="600" w:lineRule="exact"/>
        <w:ind w:firstLine="640" w:firstLineChars="200"/>
        <w:rPr>
          <w:rFonts w:ascii="方正楷体_GBK" w:hAnsi="Cambria" w:eastAsia="方正黑体_GBK"/>
          <w:color w:val="000000"/>
          <w:sz w:val="32"/>
          <w:szCs w:val="32"/>
        </w:rPr>
      </w:pPr>
    </w:p>
    <w:p>
      <w:pPr>
        <w:spacing w:line="600" w:lineRule="exact"/>
        <w:jc w:val="center"/>
        <w:rPr>
          <w:rFonts w:ascii="黑体" w:eastAsia="方正黑体_GBK"/>
          <w:color w:val="000000"/>
          <w:sz w:val="32"/>
          <w:szCs w:val="32"/>
        </w:rPr>
      </w:pPr>
      <w:r>
        <w:rPr>
          <w:rFonts w:hint="eastAsia" w:ascii="黑体" w:eastAsia="方正黑体_GBK"/>
          <w:color w:val="000000"/>
          <w:sz w:val="32"/>
          <w:szCs w:val="32"/>
        </w:rPr>
        <w:t>第四章  信用信息应用</w:t>
      </w:r>
    </w:p>
    <w:p>
      <w:pPr>
        <w:pStyle w:val="5"/>
        <w:spacing w:line="600" w:lineRule="exact"/>
        <w:ind w:firstLine="640" w:firstLineChars="200"/>
        <w:rPr>
          <w:rFonts w:ascii="方正楷体_GBK" w:eastAsia="方正黑体_GBK"/>
          <w:bCs w:val="0"/>
          <w:color w:val="000000"/>
          <w:sz w:val="32"/>
        </w:rPr>
      </w:pP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第二十四条  </w:t>
      </w:r>
      <w:r>
        <w:rPr>
          <w:rFonts w:hint="eastAsia" w:ascii="宋体" w:hAnsi="宋体" w:eastAsia="方正仿宋_GBK" w:cs="宋体"/>
          <w:color w:val="000000"/>
          <w:kern w:val="0"/>
          <w:sz w:val="32"/>
        </w:rPr>
        <w:t>水运工程从业单位应按规定及时在水运工程建设市场信用信息系统录入和更新企业基本信息。</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第二十五条  </w:t>
      </w:r>
      <w:r>
        <w:rPr>
          <w:rFonts w:hint="eastAsia" w:ascii="方正仿宋_GBK" w:eastAsia="方正仿宋_GBK"/>
          <w:color w:val="000000"/>
          <w:sz w:val="32"/>
        </w:rPr>
        <w:t>从业单位或者从业人员信用记录有下列情形之一的，禁止准入重庆市水运工程建设市场：</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（一）受到交通运输部或者市交通主管部门取消投标资格处罚，且在处罚期内的；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（二）受到交通运输部或者市交通主管部门禁止从业处罚，且在处罚期内的；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（三）存在法律法规规定的其他禁止准入或禁止从业情形的。</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第二十六条  </w:t>
      </w:r>
      <w:r>
        <w:rPr>
          <w:rFonts w:hint="eastAsia" w:ascii="方正仿宋_GBK" w:eastAsia="方正仿宋_GBK"/>
          <w:color w:val="000000"/>
          <w:sz w:val="32"/>
        </w:rPr>
        <w:t>从业单位或者从业人员信用记录有下列情形之一的，招标人可以在招标文件中约定限制其参与重庆市水运工程建设项目的投标，非必须招标项目参照执行：</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（一）最近一个年度水运工程建设市场全国综合信用评价结果为D级的；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（二）最近一个年度水运工程建设市场重庆市综合信用评价结果为D级的；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（三）初次进入重庆市水运工程建设市场信用等级确定为D级的；</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（四）重庆市水运工程建设项目发生重大及以上安全生产或者质量责任事故，并经认定负有责任的，自认定之日起一年内。</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第二十七条  </w:t>
      </w:r>
      <w:r>
        <w:rPr>
          <w:rFonts w:hint="eastAsia" w:ascii="方正仿宋_GBK" w:eastAsia="方正仿宋_GBK"/>
          <w:color w:val="000000"/>
          <w:sz w:val="32"/>
        </w:rPr>
        <w:t>从业人员信用记录有下列情形之一的，招标人可以在招标文件中约定限制其作为重庆市水运工程建设市场主要岗位从业人员：</w:t>
      </w:r>
    </w:p>
    <w:p>
      <w:pPr>
        <w:pStyle w:val="9"/>
        <w:widowControl w:val="0"/>
        <w:spacing w:line="600" w:lineRule="exact"/>
        <w:ind w:firstLine="640"/>
        <w:rPr>
          <w:rFonts w:ascii="方正仿宋_GBK" w:eastAsia="方正仿宋_GBK"/>
          <w:color w:val="000000"/>
        </w:rPr>
      </w:pPr>
      <w:r>
        <w:rPr>
          <w:rFonts w:hint="eastAsia" w:ascii="方正仿宋_GBK" w:eastAsia="方正仿宋_GBK"/>
          <w:color w:val="000000"/>
        </w:rPr>
        <w:t>（一）最近一个年度重庆市水运工程建设市场从业人员综合信用评价等级确定为C级或者D级的；</w:t>
      </w:r>
    </w:p>
    <w:p>
      <w:pPr>
        <w:pStyle w:val="9"/>
        <w:widowControl w:val="0"/>
        <w:spacing w:line="600" w:lineRule="exact"/>
        <w:ind w:firstLine="640"/>
        <w:rPr>
          <w:rFonts w:ascii="方正仿宋_GBK" w:eastAsia="方正仿宋_GBK"/>
          <w:color w:val="000000"/>
        </w:rPr>
      </w:pPr>
      <w:r>
        <w:rPr>
          <w:rFonts w:hint="eastAsia" w:ascii="方正仿宋_GBK" w:eastAsia="方正仿宋_GBK"/>
          <w:color w:val="000000"/>
        </w:rPr>
        <w:t>（二）受到交通运输部或者市交通主管部门行政处罚，自处罚生效之日起一年内；</w:t>
      </w:r>
    </w:p>
    <w:p>
      <w:pPr>
        <w:pStyle w:val="9"/>
        <w:widowControl w:val="0"/>
        <w:spacing w:line="600" w:lineRule="exact"/>
        <w:ind w:firstLine="640"/>
        <w:rPr>
          <w:rFonts w:ascii="方正仿宋_GBK" w:eastAsia="方正仿宋_GBK"/>
          <w:color w:val="000000"/>
        </w:rPr>
      </w:pPr>
      <w:r>
        <w:rPr>
          <w:rFonts w:hint="eastAsia" w:ascii="方正仿宋_GBK" w:eastAsia="方正仿宋_GBK"/>
          <w:color w:val="000000"/>
        </w:rPr>
        <w:t>（三）重庆市水运工程建设项目发生较大安全生产或者质量责任事故，并经认定负有责任的，自认定之日起一年内。</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第二十八条  </w:t>
      </w:r>
      <w:r>
        <w:rPr>
          <w:rFonts w:hint="eastAsia" w:ascii="方正仿宋_GBK" w:eastAsia="方正仿宋_GBK"/>
          <w:color w:val="000000"/>
          <w:sz w:val="32"/>
        </w:rPr>
        <w:t>招标人在编制招标文件时，可以根据项目具体情况确定投标人信用记录的量化方式和信用分值。信用分值为信用评价分值与动态信用分值之和，其中信用评价分值按照确定的信用评价等级计分，动态信用分值根据表彰奖励类良好行为信息和行政处罚类不良行为信息按次累计计分推荐中标候选人（具体信用分值设置可以参照附件3）。联合体参与投标的，其信用等级按照联合体中最低等级方认定。</w:t>
      </w:r>
    </w:p>
    <w:p>
      <w:pPr>
        <w:pStyle w:val="5"/>
        <w:spacing w:line="600" w:lineRule="exact"/>
        <w:ind w:firstLine="640" w:firstLineChars="200"/>
        <w:rPr>
          <w:rFonts w:ascii="方正仿宋_GBK" w:eastAsia="方正仿宋_GBK"/>
          <w:color w:val="000000"/>
          <w:sz w:val="32"/>
        </w:rPr>
      </w:pPr>
      <w:r>
        <w:rPr>
          <w:rFonts w:hint="eastAsia" w:ascii="方正楷体_GBK" w:eastAsia="方正黑体_GBK"/>
          <w:bCs w:val="0"/>
          <w:color w:val="000000"/>
          <w:sz w:val="32"/>
        </w:rPr>
        <w:t xml:space="preserve">第二十九条  </w:t>
      </w:r>
      <w:r>
        <w:rPr>
          <w:rFonts w:hint="eastAsia" w:ascii="方正仿宋_GBK" w:eastAsia="方正仿宋_GBK"/>
          <w:color w:val="000000"/>
          <w:sz w:val="32"/>
        </w:rPr>
        <w:t>从业单位和从业人员信用记录是市交通主管部门负责审查或者许可资质的基础资料，有下列情形之一的，申请资质不予通过：</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（一）在国家企业信用信息公示系统中被列入严重违法失信企业名单；</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（二）近一年内存在严重失信行为；</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（三）申请水运工程监理甲级、乙级以及水运机电工程专项监理资质的，其最近一期水运工程建设市场全国综合信用评级结果为B级及以下；</w:t>
      </w:r>
    </w:p>
    <w:p>
      <w:pPr>
        <w:spacing w:line="600" w:lineRule="exact"/>
        <w:ind w:firstLine="640" w:firstLineChars="200"/>
        <w:rPr>
          <w:color w:val="000000"/>
        </w:rPr>
      </w:pPr>
      <w:r>
        <w:rPr>
          <w:rFonts w:hint="eastAsia" w:ascii="方正仿宋_GBK" w:eastAsia="方正仿宋_GBK"/>
          <w:color w:val="000000"/>
          <w:sz w:val="32"/>
        </w:rPr>
        <w:t>（四）申请水运工程监理甲级、乙级以及水运机电工程专项监理资质延期的，其最近一期水运工程建设市场全国综合信用评级结果为B级以下；</w:t>
      </w:r>
    </w:p>
    <w:p>
      <w:pPr>
        <w:pStyle w:val="5"/>
        <w:spacing w:line="600" w:lineRule="exact"/>
        <w:ind w:firstLine="640" w:firstLineChars="200"/>
        <w:rPr>
          <w:rFonts w:ascii="方正仿宋_GBK" w:eastAsia="方正仿宋_GBK"/>
          <w:color w:val="000000"/>
          <w:sz w:val="32"/>
        </w:rPr>
      </w:pPr>
      <w:r>
        <w:rPr>
          <w:rFonts w:hint="eastAsia" w:ascii="方正仿宋_GBK" w:eastAsia="方正仿宋_GBK"/>
          <w:color w:val="000000"/>
          <w:sz w:val="32"/>
        </w:rPr>
        <w:t>（五）技术负责人存在第二十七条所列情形。</w:t>
      </w:r>
    </w:p>
    <w:p>
      <w:pPr>
        <w:pStyle w:val="4"/>
        <w:spacing w:line="600" w:lineRule="exact"/>
        <w:rPr>
          <w:rFonts w:ascii="黑体" w:eastAsia="方正黑体_GBK"/>
          <w:b w:val="0"/>
          <w:bCs w:val="0"/>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第五章  监督管理</w:t>
      </w:r>
    </w:p>
    <w:p>
      <w:pPr>
        <w:spacing w:line="600" w:lineRule="exact"/>
        <w:rPr>
          <w:color w:val="000000"/>
        </w:rPr>
      </w:pPr>
    </w:p>
    <w:p>
      <w:pPr>
        <w:spacing w:line="600" w:lineRule="exact"/>
        <w:ind w:firstLine="640" w:firstLineChars="200"/>
        <w:rPr>
          <w:rFonts w:ascii="方正楷体_GBK" w:hAnsi="Cambria" w:eastAsia="方正黑体_GBK"/>
          <w:color w:val="000000"/>
          <w:sz w:val="32"/>
          <w:szCs w:val="32"/>
        </w:rPr>
      </w:pPr>
      <w:r>
        <w:rPr>
          <w:rFonts w:hint="eastAsia" w:ascii="方正楷体_GBK" w:hAnsi="Cambria" w:eastAsia="方正黑体_GBK"/>
          <w:color w:val="000000"/>
          <w:sz w:val="32"/>
          <w:szCs w:val="32"/>
        </w:rPr>
        <w:t xml:space="preserve">第三十条  </w:t>
      </w:r>
      <w:r>
        <w:rPr>
          <w:rFonts w:hint="eastAsia" w:ascii="方正仿宋_GBK" w:hAnsi="Cambria" w:eastAsia="方正仿宋_GBK"/>
          <w:bCs/>
          <w:color w:val="000000"/>
          <w:sz w:val="32"/>
          <w:szCs w:val="32"/>
        </w:rPr>
        <w:t>建设单位应当建立从业单位和从业人员信用管理台帐，及时、客观、公正地对从业单位和从业人员进行信用评价，不得徇私舞弊，不得设置市场壁垒，一经发现，将作为不良行为记入信用信息系统。</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第三十一条  </w:t>
      </w:r>
      <w:r>
        <w:rPr>
          <w:rFonts w:hint="eastAsia" w:ascii="方正仿宋_GBK" w:hAnsi="Cambria" w:eastAsia="方正仿宋_GBK"/>
          <w:bCs/>
          <w:color w:val="000000"/>
          <w:sz w:val="32"/>
          <w:szCs w:val="32"/>
        </w:rPr>
        <w:t>水运工程建设市场信用管理工作接受社会监督，任何单位和个人发现下列情况均可向市交通主管部门投诉或者举报：</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（一）从业单位在信用信息系统中填报虚假信息；</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（二）从业单位或者从业人员存在不良行为；</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（三）信用评价工作中的违纪、违规行为。</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第三十二条</w:t>
      </w:r>
      <w:r>
        <w:rPr>
          <w:rFonts w:hint="eastAsia" w:ascii="方正仿宋_GBK" w:hAnsi="Cambria" w:eastAsia="方正仿宋_GBK"/>
          <w:bCs/>
          <w:color w:val="000000"/>
          <w:sz w:val="32"/>
          <w:szCs w:val="32"/>
        </w:rPr>
        <w:t xml:space="preserve">  申诉、投诉或者举报应当提供书面材料，且包括下列内容：</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w:t>
      </w:r>
      <w:bookmarkStart w:id="2" w:name="OLE_LINK2"/>
      <w:r>
        <w:rPr>
          <w:rFonts w:hint="eastAsia" w:ascii="方正仿宋_GBK" w:hAnsi="Cambria" w:eastAsia="方正仿宋_GBK"/>
          <w:bCs/>
          <w:color w:val="000000"/>
          <w:sz w:val="32"/>
          <w:szCs w:val="32"/>
        </w:rPr>
        <w:t>申诉（投诉、举报）人</w:t>
      </w:r>
      <w:bookmarkEnd w:id="2"/>
      <w:r>
        <w:rPr>
          <w:rFonts w:hint="eastAsia" w:ascii="方正仿宋_GBK" w:hAnsi="Cambria" w:eastAsia="方正仿宋_GBK"/>
          <w:bCs/>
          <w:color w:val="000000"/>
          <w:sz w:val="32"/>
          <w:szCs w:val="32"/>
        </w:rPr>
        <w:t>的名称、地址及有效联系方式，申诉（投诉、举报）人为单位的，应当由法定代表人签名并加盖法人单位公章。</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（二）申诉（投诉、举报）事项的基本事实；</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（三）请求及主张；</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（四）相关证据、证明材料。</w:t>
      </w:r>
    </w:p>
    <w:p>
      <w:pPr>
        <w:spacing w:line="600" w:lineRule="exact"/>
        <w:ind w:firstLine="640" w:firstLineChars="200"/>
        <w:rPr>
          <w:rFonts w:ascii="方正楷体_GBK" w:hAnsi="Cambria" w:eastAsia="方正黑体_GBK"/>
          <w:color w:val="000000"/>
          <w:sz w:val="32"/>
          <w:szCs w:val="32"/>
        </w:rPr>
      </w:pPr>
      <w:r>
        <w:rPr>
          <w:rFonts w:hint="eastAsia" w:ascii="方正仿宋_GBK" w:hAnsi="Cambria" w:eastAsia="方正仿宋_GBK"/>
          <w:bCs/>
          <w:color w:val="000000"/>
          <w:sz w:val="32"/>
          <w:szCs w:val="32"/>
        </w:rPr>
        <w:t>市交通主管部门收到符合上述条件的申诉、投诉或者举报书面材料后，及时组织调查、核查，在30日内将处理结果告知申诉（投诉、举报）人。</w:t>
      </w:r>
    </w:p>
    <w:p>
      <w:pPr>
        <w:spacing w:line="600" w:lineRule="exact"/>
        <w:ind w:firstLine="640" w:firstLineChars="200"/>
        <w:rPr>
          <w:rFonts w:ascii="方正仿宋_GBK" w:hAnsi="Cambria" w:eastAsia="方正仿宋_GBK"/>
          <w:bCs/>
          <w:color w:val="000000"/>
          <w:sz w:val="32"/>
          <w:szCs w:val="32"/>
        </w:rPr>
      </w:pPr>
      <w:bookmarkStart w:id="3" w:name="OLE_LINK6"/>
      <w:bookmarkEnd w:id="3"/>
      <w:r>
        <w:rPr>
          <w:rFonts w:hint="eastAsia" w:ascii="方正楷体_GBK" w:hAnsi="Cambria" w:eastAsia="方正黑体_GBK"/>
          <w:color w:val="000000"/>
          <w:sz w:val="32"/>
          <w:szCs w:val="32"/>
        </w:rPr>
        <w:t xml:space="preserve">第三十三条  </w:t>
      </w:r>
      <w:r>
        <w:rPr>
          <w:rFonts w:hint="eastAsia" w:ascii="方正仿宋_GBK" w:hAnsi="Cambria" w:eastAsia="方正仿宋_GBK"/>
          <w:bCs/>
          <w:color w:val="000000"/>
          <w:sz w:val="32"/>
          <w:szCs w:val="32"/>
        </w:rPr>
        <w:t>市交通主管部门查实从业单位在信用信息系统中填报虚假信息的，作如下处理：</w:t>
      </w:r>
    </w:p>
    <w:p>
      <w:pPr>
        <w:spacing w:line="600" w:lineRule="exact"/>
        <w:ind w:firstLine="640" w:firstLineChars="200"/>
        <w:rPr>
          <w:rFonts w:ascii="方正仿宋_GBK" w:hAnsi="Cambria" w:eastAsia="方正仿宋_GBK"/>
          <w:bCs/>
          <w:color w:val="000000"/>
          <w:sz w:val="32"/>
          <w:szCs w:val="32"/>
        </w:rPr>
      </w:pPr>
      <w:r>
        <w:rPr>
          <w:rFonts w:hint="eastAsia" w:ascii="方正仿宋_GBK" w:hAnsi="Cambria" w:eastAsia="方正仿宋_GBK"/>
          <w:bCs/>
          <w:color w:val="000000"/>
          <w:sz w:val="32"/>
          <w:szCs w:val="32"/>
        </w:rPr>
        <w:t>（一）撤销从业单位在信用信息系统发布的所有信息，从业单位应当复核其真实性，在有效整改后，经申请可以重新发布；重新发布后，因再次填报虚假信息被撤销发布的，市交通主管部门可以不再受理其发布申请。</w:t>
      </w:r>
    </w:p>
    <w:p>
      <w:pPr>
        <w:pStyle w:val="9"/>
        <w:widowControl w:val="0"/>
        <w:spacing w:line="600" w:lineRule="exact"/>
        <w:ind w:firstLine="420" w:firstLineChars="200"/>
        <w:rPr>
          <w:rFonts w:ascii="方正仿宋_GBK" w:hAnsi="Cambria" w:eastAsia="方正仿宋_GBK"/>
          <w:bCs/>
          <w:color w:val="000000"/>
        </w:rPr>
      </w:pPr>
      <w:r>
        <w:rPr>
          <w:rFonts w:hint="eastAsia" w:ascii="方正仿宋_GBK" w:hAnsi="Cambria" w:eastAsia="方正仿宋_GBK"/>
          <w:bCs/>
          <w:color w:val="000000"/>
        </w:rPr>
        <w:t>（二）</w:t>
      </w:r>
      <w:r>
        <w:rPr>
          <w:rFonts w:ascii="方正仿宋_GBK" w:hAnsi="Cambria" w:eastAsia="方正仿宋_GBK"/>
          <w:bCs/>
          <w:color w:val="000000"/>
        </w:rPr>
        <w:t>作为从业单位</w:t>
      </w:r>
      <w:r>
        <w:rPr>
          <w:rFonts w:hint="eastAsia" w:ascii="方正仿宋_GBK" w:hAnsi="Cambria" w:eastAsia="方正仿宋_GBK"/>
          <w:bCs/>
          <w:color w:val="000000"/>
        </w:rPr>
        <w:t>不良</w:t>
      </w:r>
      <w:r>
        <w:rPr>
          <w:rFonts w:ascii="方正仿宋_GBK" w:hAnsi="Cambria" w:eastAsia="方正仿宋_GBK"/>
          <w:bCs/>
          <w:color w:val="000000"/>
        </w:rPr>
        <w:t>行为，</w:t>
      </w:r>
      <w:r>
        <w:rPr>
          <w:rFonts w:hint="eastAsia" w:ascii="方正仿宋_GBK" w:eastAsia="方正仿宋_GBK"/>
          <w:color w:val="000000"/>
        </w:rPr>
        <w:t>直接确定其信用等级为C级。</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第三十四条</w:t>
      </w:r>
      <w:r>
        <w:rPr>
          <w:rFonts w:hint="eastAsia" w:ascii="方正仿宋_GBK" w:hAnsi="Cambria" w:eastAsia="方正仿宋_GBK"/>
          <w:bCs/>
          <w:color w:val="000000"/>
          <w:sz w:val="32"/>
          <w:szCs w:val="32"/>
        </w:rPr>
        <w:t xml:space="preserve">  市交通主管部门在从业单位市场行为的动态管理中，可对勘察、设计、施工、监理、试验检测等具备国家有关部门许可资质的从业单位，是否满足资质标准条件进行抽查，发现人员、技术装备、业绩等指标低于相关资质标准要求或者弄虚作假的，将作为从业单位不良行为。</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第三十五条  </w:t>
      </w:r>
      <w:r>
        <w:rPr>
          <w:rFonts w:hint="eastAsia" w:ascii="方正仿宋_GBK" w:hAnsi="Cambria" w:eastAsia="方正仿宋_GBK"/>
          <w:bCs/>
          <w:color w:val="000000"/>
          <w:sz w:val="32"/>
          <w:szCs w:val="32"/>
        </w:rPr>
        <w:t>交通主管部门应当建立健全信用评价工作机制，结合督查工作不定期对从业单位和从业人员的从业行为进行抽查，当招标人或者建设管理单位对从业单位或者从业人员的评价与实际情况不符的，应当责令招标人或者建设管理单位重新评价，也可以直接予以调整。</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第三十六条  </w:t>
      </w:r>
      <w:r>
        <w:rPr>
          <w:rFonts w:hint="eastAsia" w:ascii="方正仿宋_GBK" w:hAnsi="Cambria" w:eastAsia="方正仿宋_GBK"/>
          <w:bCs/>
          <w:color w:val="000000"/>
          <w:sz w:val="32"/>
          <w:szCs w:val="32"/>
        </w:rPr>
        <w:t>交通主管部门、质量监督机构、市交通规划和技术发展中心违反本细则规定，在信用管理中徇私舞弊、滥用职权或者玩忽职守的，按照国家有关规定处理。构成犯罪的，由司法部门依法追究刑事责任。</w:t>
      </w:r>
    </w:p>
    <w:p>
      <w:pPr>
        <w:spacing w:line="600" w:lineRule="exact"/>
        <w:ind w:firstLine="640" w:firstLineChars="200"/>
        <w:rPr>
          <w:rFonts w:ascii="方正楷体_GBK" w:hAnsi="Cambria" w:eastAsia="方正黑体_GBK"/>
          <w:color w:val="000000"/>
          <w:sz w:val="32"/>
          <w:szCs w:val="32"/>
        </w:rPr>
      </w:pPr>
    </w:p>
    <w:p>
      <w:pPr>
        <w:pStyle w:val="4"/>
        <w:spacing w:line="600" w:lineRule="exact"/>
        <w:rPr>
          <w:rFonts w:ascii="黑体" w:eastAsia="方正黑体_GBK"/>
          <w:b w:val="0"/>
          <w:bCs w:val="0"/>
          <w:color w:val="000000"/>
          <w:sz w:val="32"/>
          <w:szCs w:val="32"/>
        </w:rPr>
      </w:pPr>
      <w:r>
        <w:rPr>
          <w:rFonts w:hint="eastAsia" w:ascii="黑体" w:eastAsia="方正黑体_GBK"/>
          <w:b w:val="0"/>
          <w:bCs w:val="0"/>
          <w:color w:val="000000"/>
          <w:sz w:val="32"/>
          <w:szCs w:val="32"/>
        </w:rPr>
        <w:t>第六章  附则</w:t>
      </w:r>
    </w:p>
    <w:p>
      <w:pPr>
        <w:spacing w:line="600" w:lineRule="exact"/>
        <w:ind w:firstLine="640" w:firstLineChars="200"/>
        <w:rPr>
          <w:rFonts w:ascii="方正仿宋_GBK" w:hAnsi="Cambria" w:eastAsia="方正仿宋_GBK"/>
          <w:bCs/>
          <w:color w:val="000000"/>
          <w:sz w:val="32"/>
          <w:szCs w:val="32"/>
        </w:rPr>
      </w:pPr>
    </w:p>
    <w:p>
      <w:pPr>
        <w:spacing w:line="600" w:lineRule="exact"/>
        <w:ind w:firstLine="640" w:firstLineChars="200"/>
        <w:rPr>
          <w:rFonts w:ascii="方正楷体_GBK" w:hAnsi="Cambria" w:eastAsia="方正黑体_GBK"/>
          <w:color w:val="000000"/>
          <w:sz w:val="32"/>
          <w:szCs w:val="32"/>
        </w:rPr>
      </w:pPr>
      <w:r>
        <w:rPr>
          <w:rFonts w:hint="eastAsia" w:ascii="方正楷体_GBK" w:hAnsi="Cambria" w:eastAsia="方正黑体_GBK"/>
          <w:bCs/>
          <w:color w:val="000000"/>
          <w:sz w:val="32"/>
          <w:szCs w:val="32"/>
        </w:rPr>
        <w:t xml:space="preserve">第三十七条 </w:t>
      </w:r>
      <w:r>
        <w:rPr>
          <w:rFonts w:hint="eastAsia" w:ascii="方正仿宋_GBK" w:hAnsi="Cambria" w:eastAsia="方正仿宋_GBK"/>
          <w:bCs/>
          <w:color w:val="000000"/>
          <w:sz w:val="32"/>
          <w:szCs w:val="32"/>
        </w:rPr>
        <w:t xml:space="preserve"> 各区县（自治县）交通主管部门可依据本细则制定本行政区域水运工程建设市场信用管理实施细则。</w:t>
      </w:r>
    </w:p>
    <w:p>
      <w:pPr>
        <w:spacing w:line="600" w:lineRule="exact"/>
        <w:ind w:firstLine="640" w:firstLineChars="200"/>
        <w:rPr>
          <w:rFonts w:ascii="方正仿宋_GBK" w:hAnsi="Cambria" w:eastAsia="方正仿宋_GBK"/>
          <w:bCs/>
          <w:color w:val="000000"/>
          <w:sz w:val="32"/>
          <w:szCs w:val="32"/>
        </w:rPr>
      </w:pPr>
      <w:r>
        <w:rPr>
          <w:rFonts w:hint="eastAsia" w:ascii="方正楷体_GBK" w:hAnsi="Cambria" w:eastAsia="方正黑体_GBK"/>
          <w:color w:val="000000"/>
          <w:sz w:val="32"/>
          <w:szCs w:val="32"/>
        </w:rPr>
        <w:t xml:space="preserve">第三十八条  </w:t>
      </w:r>
      <w:r>
        <w:rPr>
          <w:rFonts w:hint="eastAsia" w:ascii="方正仿宋_GBK" w:hAnsi="Cambria" w:eastAsia="方正仿宋_GBK"/>
          <w:bCs/>
          <w:color w:val="000000"/>
          <w:sz w:val="32"/>
          <w:szCs w:val="32"/>
        </w:rPr>
        <w:t>本</w:t>
      </w:r>
      <w:r>
        <w:rPr>
          <w:rFonts w:ascii="方正仿宋_GBK" w:hAnsi="Cambria" w:eastAsia="方正仿宋_GBK"/>
          <w:bCs/>
          <w:color w:val="000000"/>
          <w:sz w:val="32"/>
          <w:szCs w:val="32"/>
        </w:rPr>
        <w:t>细则</w:t>
      </w:r>
      <w:r>
        <w:rPr>
          <w:rFonts w:hint="eastAsia" w:ascii="方正仿宋_GBK" w:hAnsi="Cambria" w:eastAsia="方正仿宋_GBK"/>
          <w:bCs/>
          <w:color w:val="000000"/>
          <w:sz w:val="32"/>
          <w:szCs w:val="32"/>
        </w:rPr>
        <w:t>自2022年1月1日起施行。《重庆市水运工程设计和施工企业信用评价实施细则（试行）》（渝交委港〔2018〕3号）、《水运工程建设单位管理办法》（渝交委港〔2014〕22号）同时废止。</w:t>
      </w:r>
    </w:p>
    <w:p>
      <w:pPr>
        <w:pStyle w:val="9"/>
        <w:widowControl w:val="0"/>
        <w:spacing w:line="560" w:lineRule="exact"/>
        <w:ind w:left="1688" w:leftChars="304" w:hanging="1050" w:hangingChars="500"/>
        <w:jc w:val="left"/>
        <w:rPr>
          <w:rFonts w:ascii="方正仿宋_GBK" w:hAnsi="Cambria" w:eastAsia="方正仿宋_GBK"/>
          <w:bCs/>
          <w:color w:val="000000"/>
          <w:kern w:val="2"/>
        </w:rPr>
      </w:pPr>
    </w:p>
    <w:p>
      <w:pPr>
        <w:pStyle w:val="9"/>
        <w:widowControl w:val="0"/>
        <w:spacing w:line="600" w:lineRule="exact"/>
        <w:ind w:left="2288" w:leftChars="304" w:hanging="1650" w:hangingChars="5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附件：1-1．重庆市水运工程建设市场建设单位信用行为评定标准及计算方法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1-2．重庆市水运工程建设市场设计和施工单位信用行为评定标准及计算方法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1-3．重庆市水运工程建设市场监理单位信用行为评定标准及计算方法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1-4．重庆市水运工程建设市场试验检测单位信用行为评定标准及计算方法</w:t>
      </w:r>
    </w:p>
    <w:p>
      <w:pPr>
        <w:pStyle w:val="9"/>
        <w:widowControl w:val="0"/>
        <w:spacing w:line="600" w:lineRule="exact"/>
        <w:ind w:left="2346" w:leftChars="760" w:hanging="750" w:hangingChars="2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1-5．重庆市水运工程建设市场造价咨询等其他从业单位信用行为直接定级标准</w:t>
      </w:r>
    </w:p>
    <w:p>
      <w:pPr>
        <w:pStyle w:val="9"/>
        <w:widowControl w:val="0"/>
        <w:spacing w:line="600" w:lineRule="exact"/>
        <w:ind w:left="2046" w:leftChars="760" w:hanging="450" w:hangingChars="150"/>
        <w:jc w:val="left"/>
        <w:rPr>
          <w:rFonts w:ascii="方正仿宋_GBK" w:hAnsi="Cambria" w:eastAsia="方正仿宋_GBK"/>
          <w:bCs/>
          <w:color w:val="000000"/>
          <w:kern w:val="2"/>
          <w:sz w:val="30"/>
          <w:szCs w:val="30"/>
        </w:rPr>
      </w:pPr>
      <w:r>
        <w:rPr>
          <w:rFonts w:hint="eastAsia" w:ascii="方正仿宋_GBK" w:hAnsi="Cambria" w:eastAsia="方正仿宋_GBK"/>
          <w:bCs/>
          <w:color w:val="000000"/>
          <w:kern w:val="2"/>
          <w:sz w:val="30"/>
          <w:szCs w:val="30"/>
        </w:rPr>
        <w:t>2．重庆市水运工程建设市场从业人员信用行为直接定级标准</w:t>
      </w:r>
    </w:p>
    <w:p>
      <w:pPr>
        <w:pStyle w:val="9"/>
        <w:widowControl w:val="0"/>
        <w:spacing w:line="600" w:lineRule="exact"/>
        <w:ind w:left="2046" w:leftChars="760" w:hanging="450" w:hangingChars="150"/>
        <w:jc w:val="left"/>
        <w:rPr>
          <w:rFonts w:ascii="方正小标宋_GBK" w:eastAsia="方正小标宋_GBK"/>
          <w:color w:val="000000"/>
          <w:spacing w:val="-20"/>
          <w:sz w:val="30"/>
          <w:szCs w:val="30"/>
        </w:rPr>
      </w:pPr>
      <w:r>
        <w:rPr>
          <w:rFonts w:hint="eastAsia" w:ascii="方正仿宋_GBK" w:hAnsi="Cambria" w:eastAsia="方正仿宋_GBK"/>
          <w:bCs/>
          <w:color w:val="000000"/>
          <w:kern w:val="2"/>
          <w:sz w:val="30"/>
          <w:szCs w:val="30"/>
        </w:rPr>
        <w:t>3．重庆市水运工程建设市场从业单位信用分值设置参考表</w:t>
      </w:r>
    </w:p>
    <w:p>
      <w:pPr>
        <w:rPr>
          <w:color w:val="000000"/>
          <w:sz w:val="32"/>
          <w:szCs w:val="32"/>
          <w:highlight w:val="yellow"/>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rPr>
          <w:color w:val="000000"/>
          <w:sz w:val="32"/>
          <w:szCs w:val="32"/>
        </w:rPr>
      </w:pPr>
    </w:p>
    <w:p>
      <w:pPr>
        <w:spacing w:line="500" w:lineRule="exact"/>
        <w:rPr>
          <w:rFonts w:ascii="方正黑体_GBK" w:eastAsia="方正黑体_GBK"/>
          <w:sz w:val="32"/>
          <w:szCs w:val="32"/>
        </w:rPr>
      </w:pPr>
      <w:r>
        <w:rPr>
          <w:rFonts w:hint="eastAsia" w:ascii="方正黑体_GBK" w:eastAsia="方正黑体_GBK"/>
          <w:sz w:val="32"/>
          <w:szCs w:val="32"/>
        </w:rPr>
        <w:t>附件1-1</w:t>
      </w:r>
    </w:p>
    <w:p>
      <w:pPr>
        <w:pStyle w:val="9"/>
        <w:spacing w:line="500" w:lineRule="exact"/>
        <w:rPr>
          <w:rFonts w:ascii="方正仿宋_GBK" w:eastAsia="方正仿宋_GBK"/>
          <w:color w:val="000000"/>
        </w:rPr>
      </w:pP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重庆市水运工程建设市场建设单位信用行为</w:t>
      </w: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评定标准及计算方法</w:t>
      </w:r>
    </w:p>
    <w:p>
      <w:pPr>
        <w:pStyle w:val="17"/>
        <w:snapToGrid w:val="0"/>
        <w:spacing w:line="500" w:lineRule="exact"/>
        <w:ind w:firstLine="0"/>
        <w:rPr>
          <w:rFonts w:ascii="方正黑体_GBK" w:hAnsi="方正黑体_GBK" w:eastAsia="方正黑体_GBK" w:cs="方正黑体_GBK"/>
          <w:color w:val="000000"/>
          <w:sz w:val="32"/>
          <w:szCs w:val="32"/>
        </w:rPr>
      </w:pPr>
    </w:p>
    <w:p>
      <w:pPr>
        <w:pStyle w:val="17"/>
        <w:snapToGrid w:val="0"/>
        <w:spacing w:line="500" w:lineRule="exact"/>
        <w:ind w:firstLine="640" w:firstLineChars="200"/>
        <w:rPr>
          <w:rFonts w:ascii="方正仿宋_GBK" w:hAnsi="宋体" w:eastAsia="方正仿宋_GBK"/>
          <w:b/>
          <w:bCs/>
          <w:color w:val="000000"/>
          <w:sz w:val="32"/>
          <w:szCs w:val="32"/>
        </w:rPr>
      </w:pPr>
      <w:r>
        <w:rPr>
          <w:rFonts w:hint="eastAsia" w:ascii="方正黑体_GBK" w:hAnsi="方正黑体_GBK" w:eastAsia="方正黑体_GBK" w:cs="方正黑体_GBK"/>
          <w:color w:val="000000"/>
          <w:sz w:val="32"/>
          <w:szCs w:val="32"/>
        </w:rPr>
        <w:t>一、评定标准</w:t>
      </w:r>
    </w:p>
    <w:tbl>
      <w:tblPr>
        <w:tblStyle w:val="13"/>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08"/>
        <w:gridCol w:w="868"/>
        <w:gridCol w:w="1107"/>
        <w:gridCol w:w="1161"/>
        <w:gridCol w:w="2547"/>
        <w:gridCol w:w="1572"/>
        <w:gridCol w:w="8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tblHeader/>
          <w:jc w:val="center"/>
        </w:trPr>
        <w:tc>
          <w:tcPr>
            <w:tcW w:w="1591" w:type="pct"/>
            <w:gridSpan w:val="3"/>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641" w:type="pct"/>
            <w:vAlign w:val="center"/>
          </w:tcPr>
          <w:p>
            <w:pPr>
              <w:pStyle w:val="9"/>
              <w:spacing w:line="260" w:lineRule="atLeast"/>
              <w:ind w:left="149" w:right="-174" w:hanging="149"/>
              <w:rPr>
                <w:rFonts w:ascii="黑体" w:eastAsia="黑体"/>
                <w:color w:val="000000"/>
                <w:sz w:val="24"/>
                <w:szCs w:val="24"/>
              </w:rPr>
            </w:pPr>
            <w:r>
              <w:rPr>
                <w:rFonts w:hint="eastAsia" w:ascii="黑体" w:eastAsia="方正黑体_GBK"/>
                <w:color w:val="000000"/>
                <w:sz w:val="24"/>
                <w:szCs w:val="24"/>
              </w:rPr>
              <w:t>行为代码</w:t>
            </w:r>
          </w:p>
        </w:tc>
        <w:tc>
          <w:tcPr>
            <w:tcW w:w="1406" w:type="pct"/>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868" w:type="pct"/>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信用等级和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494" w:type="pct"/>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履约行为（满分100分）</w:t>
            </w:r>
          </w:p>
        </w:tc>
        <w:tc>
          <w:tcPr>
            <w:tcW w:w="479"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项目管理（满分50分，行为代码SYJS1）</w:t>
            </w:r>
          </w:p>
        </w:tc>
        <w:tc>
          <w:tcPr>
            <w:tcW w:w="611"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管理机制</w:t>
            </w:r>
          </w:p>
          <w:p>
            <w:pPr>
              <w:pStyle w:val="9"/>
              <w:spacing w:line="260" w:lineRule="atLeast"/>
              <w:jc w:val="center"/>
              <w:rPr>
                <w:rFonts w:ascii="宋体" w:hAnsi="宋体"/>
                <w:color w:val="000000"/>
                <w:sz w:val="18"/>
                <w:szCs w:val="18"/>
              </w:rPr>
            </w:pPr>
            <w:r>
              <w:rPr>
                <w:rFonts w:hint="eastAsia" w:ascii="宋体" w:hAnsi="宋体"/>
                <w:color w:val="000000"/>
                <w:sz w:val="18"/>
                <w:szCs w:val="18"/>
              </w:rPr>
              <w:t>（满分3分，行为代码SY</w:t>
            </w:r>
            <w:r>
              <w:rPr>
                <w:rFonts w:hint="eastAsia" w:ascii="宋体" w:hAnsi="宋体"/>
                <w:bCs/>
                <w:color w:val="000000"/>
                <w:sz w:val="18"/>
                <w:szCs w:val="18"/>
              </w:rPr>
              <w:t>JS1-1</w:t>
            </w:r>
            <w:r>
              <w:rPr>
                <w:rFonts w:hint="eastAsia" w:ascii="宋体" w:hAnsi="宋体"/>
                <w:color w:val="000000"/>
                <w:sz w:val="18"/>
                <w:szCs w:val="18"/>
              </w:rPr>
              <w:t>）</w:t>
            </w:r>
          </w:p>
        </w:tc>
        <w:tc>
          <w:tcPr>
            <w:tcW w:w="641" w:type="pct"/>
            <w:tcBorders>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JS1-1-1</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未设立项目建设管理的专职机构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3分</w:t>
            </w:r>
          </w:p>
        </w:tc>
        <w:tc>
          <w:tcPr>
            <w:tcW w:w="494" w:type="pct"/>
            <w:tcBorders>
              <w:bottom w:val="single" w:color="auto" w:sz="4" w:space="0"/>
            </w:tcBorders>
            <w:vAlign w:val="center"/>
          </w:tcPr>
          <w:p>
            <w:pPr>
              <w:pStyle w:val="9"/>
              <w:spacing w:line="2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tcBorders>
              <w:top w:val="single" w:color="auto" w:sz="4" w:space="0"/>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JS1-1-2</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项目建设机构职能部门、管理制度不健全</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1～3</w:t>
            </w:r>
            <w:r>
              <w:rPr>
                <w:rFonts w:hint="eastAsia" w:ascii="宋体" w:hAnsi="宋体"/>
                <w:bCs/>
                <w:color w:val="000000"/>
                <w:sz w:val="18"/>
                <w:szCs w:val="18"/>
              </w:rPr>
              <w:t>分</w:t>
            </w:r>
          </w:p>
        </w:tc>
        <w:tc>
          <w:tcPr>
            <w:tcW w:w="494" w:type="pct"/>
            <w:vMerge w:val="restart"/>
            <w:tcBorders>
              <w:top w:val="single" w:color="auto" w:sz="4" w:space="0"/>
            </w:tcBorders>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tcBorders>
              <w:top w:val="single" w:color="auto" w:sz="4" w:space="0"/>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JS1-1-3</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人员不满足本细则有关要求的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0.5分/人</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tcBorders>
              <w:top w:val="single" w:color="auto" w:sz="4" w:space="0"/>
              <w:bottom w:val="single" w:color="auto" w:sz="4" w:space="0"/>
            </w:tcBorders>
            <w:vAlign w:val="center"/>
          </w:tcPr>
          <w:p>
            <w:pPr>
              <w:rPr>
                <w:rFonts w:ascii="宋体" w:hAnsi="宋体"/>
                <w:color w:val="000000"/>
                <w:sz w:val="18"/>
                <w:szCs w:val="18"/>
              </w:rPr>
            </w:pPr>
            <w:r>
              <w:rPr>
                <w:rFonts w:hint="eastAsia" w:ascii="宋体" w:hAnsi="宋体"/>
                <w:color w:val="000000"/>
                <w:kern w:val="0"/>
                <w:sz w:val="18"/>
                <w:szCs w:val="18"/>
              </w:rPr>
              <w:t>建设程序</w:t>
            </w:r>
            <w:r>
              <w:rPr>
                <w:rFonts w:hint="eastAsia" w:ascii="宋体" w:hAnsi="宋体"/>
                <w:color w:val="000000"/>
                <w:sz w:val="18"/>
                <w:szCs w:val="18"/>
              </w:rPr>
              <w:t>（满分5分，行为代码SY</w:t>
            </w:r>
            <w:r>
              <w:rPr>
                <w:rFonts w:hint="eastAsia" w:ascii="宋体" w:hAnsi="宋体"/>
                <w:bCs/>
                <w:color w:val="000000"/>
                <w:sz w:val="18"/>
                <w:szCs w:val="18"/>
              </w:rPr>
              <w:t>JS1-2</w:t>
            </w:r>
            <w:r>
              <w:rPr>
                <w:rFonts w:hint="eastAsia" w:ascii="宋体" w:hAnsi="宋体"/>
                <w:color w:val="000000"/>
                <w:sz w:val="18"/>
                <w:szCs w:val="18"/>
              </w:rPr>
              <w:t>）</w:t>
            </w:r>
          </w:p>
        </w:tc>
        <w:tc>
          <w:tcPr>
            <w:tcW w:w="641" w:type="pct"/>
            <w:tcBorders>
              <w:top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JS1-2-1</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工可、设计审批、招投标、项目报监、施工许可等基本建设程序未按规定执行的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2分/项</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kern w:val="0"/>
                <w:sz w:val="18"/>
                <w:szCs w:val="18"/>
              </w:rPr>
              <w:t>技术管理</w:t>
            </w:r>
            <w:r>
              <w:rPr>
                <w:rFonts w:hint="eastAsia" w:ascii="宋体" w:hAnsi="宋体"/>
                <w:color w:val="000000"/>
                <w:sz w:val="18"/>
                <w:szCs w:val="18"/>
              </w:rPr>
              <w:t>（满分6分，行为代码SY</w:t>
            </w:r>
            <w:r>
              <w:rPr>
                <w:rFonts w:hint="eastAsia" w:ascii="宋体" w:hAnsi="宋体"/>
                <w:bCs/>
                <w:color w:val="000000"/>
                <w:sz w:val="18"/>
                <w:szCs w:val="18"/>
              </w:rPr>
              <w:t>JS1-3</w:t>
            </w:r>
            <w:r>
              <w:rPr>
                <w:rFonts w:hint="eastAsia" w:ascii="宋体" w:hAnsi="宋体"/>
                <w:color w:val="000000"/>
                <w:sz w:val="18"/>
                <w:szCs w:val="18"/>
              </w:rPr>
              <w:t>）</w:t>
            </w:r>
          </w:p>
        </w:tc>
        <w:tc>
          <w:tcPr>
            <w:tcW w:w="641" w:type="pct"/>
            <w:tcBorders>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JS1-3-1</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施工图未经审查批准交付施工的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2分/次</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tcBorders>
              <w:top w:val="single" w:color="auto" w:sz="4" w:space="0"/>
              <w:bottom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JS1-3-2</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开工前未组织施工图设计交底的</w:t>
            </w:r>
          </w:p>
        </w:tc>
        <w:tc>
          <w:tcPr>
            <w:tcW w:w="868" w:type="pct"/>
            <w:vAlign w:val="center"/>
          </w:tcPr>
          <w:p>
            <w:pPr>
              <w:spacing w:line="260" w:lineRule="atLeast"/>
              <w:jc w:val="center"/>
              <w:rPr>
                <w:rFonts w:ascii="宋体" w:hAnsi="宋体"/>
                <w:bCs/>
                <w:color w:val="000000"/>
                <w:sz w:val="18"/>
                <w:szCs w:val="18"/>
              </w:rPr>
            </w:pPr>
            <w:r>
              <w:rPr>
                <w:rFonts w:hint="eastAsia" w:ascii="宋体" w:hAnsi="宋体"/>
                <w:bCs/>
                <w:color w:val="000000"/>
                <w:sz w:val="18"/>
                <w:szCs w:val="18"/>
              </w:rPr>
              <w:t>2分/次</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tcBorders>
              <w:top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JS1-3-3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重大施工方案未组织审查而开工的</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2分/次</w:t>
            </w:r>
          </w:p>
        </w:tc>
        <w:tc>
          <w:tcPr>
            <w:tcW w:w="494" w:type="pct"/>
            <w:vMerge w:val="continue"/>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kern w:val="0"/>
                <w:sz w:val="18"/>
                <w:szCs w:val="18"/>
              </w:rPr>
              <w:t>进度及投资管理</w:t>
            </w:r>
            <w:r>
              <w:rPr>
                <w:rFonts w:hint="eastAsia" w:ascii="宋体" w:hAnsi="宋体"/>
                <w:color w:val="000000"/>
                <w:sz w:val="18"/>
                <w:szCs w:val="18"/>
              </w:rPr>
              <w:t>（满分8分，行为代码SY</w:t>
            </w:r>
            <w:r>
              <w:rPr>
                <w:rFonts w:hint="eastAsia" w:ascii="宋体" w:hAnsi="宋体"/>
                <w:bCs/>
                <w:color w:val="000000"/>
                <w:sz w:val="18"/>
                <w:szCs w:val="18"/>
              </w:rPr>
              <w:t>JS1-4</w:t>
            </w:r>
            <w:r>
              <w:rPr>
                <w:rFonts w:hint="eastAsia" w:ascii="宋体" w:hAnsi="宋体"/>
                <w:color w:val="000000"/>
                <w:sz w:val="18"/>
                <w:szCs w:val="18"/>
              </w:rPr>
              <w:t>）</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JS1-4-1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未完成年度投资计划的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kern w:val="2"/>
                <w:sz w:val="18"/>
                <w:szCs w:val="18"/>
              </w:rPr>
              <w:t>1分/%</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JS1-4-2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无客观原因而造成投资控制不力超概算</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履约及信用管理（满分12分，行为代码SYJS1-5）</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JS1-5-1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未按季度开展履约情况检查的</w:t>
            </w:r>
          </w:p>
        </w:tc>
        <w:tc>
          <w:tcPr>
            <w:tcW w:w="868" w:type="pct"/>
            <w:vAlign w:val="center"/>
          </w:tcPr>
          <w:p>
            <w:pPr>
              <w:pStyle w:val="9"/>
              <w:jc w:val="center"/>
              <w:rPr>
                <w:rFonts w:ascii="宋体" w:hAnsi="宋体"/>
                <w:bCs/>
                <w:color w:val="000000"/>
                <w:sz w:val="18"/>
                <w:szCs w:val="18"/>
              </w:rPr>
            </w:pPr>
            <w:r>
              <w:rPr>
                <w:rFonts w:hint="eastAsia" w:ascii="宋体" w:hAnsi="宋体"/>
                <w:bCs/>
                <w:color w:val="000000"/>
                <w:sz w:val="18"/>
                <w:szCs w:val="18"/>
              </w:rPr>
              <w:t>2分/次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JS1-5-2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施工、监理主要岗位人员调换未审批或审批后的人员资格条件低于合同要求的</w:t>
            </w:r>
          </w:p>
        </w:tc>
        <w:tc>
          <w:tcPr>
            <w:tcW w:w="868" w:type="pct"/>
            <w:vAlign w:val="center"/>
          </w:tcPr>
          <w:p>
            <w:pPr>
              <w:pStyle w:val="9"/>
              <w:jc w:val="center"/>
              <w:rPr>
                <w:rFonts w:ascii="宋体" w:hAnsi="宋体"/>
                <w:bCs/>
                <w:color w:val="000000"/>
                <w:sz w:val="18"/>
                <w:szCs w:val="18"/>
              </w:rPr>
            </w:pPr>
            <w:r>
              <w:rPr>
                <w:rFonts w:hint="eastAsia" w:ascii="宋体" w:hAnsi="宋体"/>
                <w:bCs/>
                <w:color w:val="000000"/>
                <w:sz w:val="18"/>
                <w:szCs w:val="18"/>
              </w:rPr>
              <w:t>1分/人</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w:t>
            </w:r>
            <w:r>
              <w:rPr>
                <w:rFonts w:hint="eastAsia" w:ascii="宋体" w:hAnsi="宋体"/>
                <w:bCs/>
                <w:color w:val="000000"/>
                <w:sz w:val="18"/>
                <w:szCs w:val="18"/>
              </w:rPr>
              <w:t>JS1-5-3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未按时完成施工企业、监理单位、试验检测机构、</w:t>
            </w:r>
            <w:r>
              <w:rPr>
                <w:rFonts w:ascii="宋体" w:hAnsi="宋体"/>
                <w:bCs/>
                <w:color w:val="000000"/>
                <w:sz w:val="18"/>
                <w:szCs w:val="18"/>
              </w:rPr>
              <w:t>造价</w:t>
            </w:r>
            <w:r>
              <w:rPr>
                <w:rFonts w:hint="eastAsia" w:ascii="宋体" w:hAnsi="宋体"/>
                <w:bCs/>
                <w:color w:val="000000"/>
                <w:sz w:val="18"/>
                <w:szCs w:val="18"/>
              </w:rPr>
              <w:t>咨询等单位的信用评价工作的</w:t>
            </w:r>
          </w:p>
        </w:tc>
        <w:tc>
          <w:tcPr>
            <w:tcW w:w="868" w:type="pct"/>
            <w:vAlign w:val="center"/>
          </w:tcPr>
          <w:p>
            <w:pPr>
              <w:pStyle w:val="9"/>
              <w:jc w:val="center"/>
              <w:rPr>
                <w:rFonts w:ascii="宋体" w:hAnsi="宋体"/>
                <w:bCs/>
                <w:color w:val="000000"/>
                <w:sz w:val="18"/>
                <w:szCs w:val="18"/>
              </w:rPr>
            </w:pPr>
            <w:r>
              <w:rPr>
                <w:rFonts w:hint="eastAsia" w:ascii="宋体" w:hAnsi="宋体"/>
                <w:bCs/>
                <w:color w:val="000000"/>
                <w:sz w:val="18"/>
                <w:szCs w:val="18"/>
              </w:rPr>
              <w:t>2分/次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tcBorders>
              <w:top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建设环境（满分5分，行为代码SYJS1-6）</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SYJS1-6-1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对施工单位拖欠农民工工资无管理手段及措施、引发不稳定事件或造成群众上访，未及时处理或处理不力的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1～4</w:t>
            </w:r>
            <w:r>
              <w:rPr>
                <w:rFonts w:hint="eastAsia" w:ascii="宋体" w:hAnsi="宋体"/>
                <w:bCs/>
                <w:color w:val="000000"/>
                <w:sz w:val="18"/>
                <w:szCs w:val="18"/>
              </w:rPr>
              <w:t>分/次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kern w:val="0"/>
                <w:sz w:val="18"/>
                <w:szCs w:val="18"/>
              </w:rPr>
            </w:pPr>
            <w:r>
              <w:rPr>
                <w:rFonts w:hint="eastAsia" w:ascii="宋体" w:hAnsi="宋体"/>
                <w:color w:val="000000"/>
                <w:sz w:val="18"/>
                <w:szCs w:val="18"/>
              </w:rPr>
              <w:t>设计变更和造价管理（满分8分,扣完为止，行为代码SYJS1-7)</w:t>
            </w: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1</w:t>
            </w:r>
          </w:p>
        </w:tc>
        <w:tc>
          <w:tcPr>
            <w:tcW w:w="1406" w:type="pct"/>
            <w:vAlign w:val="center"/>
          </w:tcPr>
          <w:p>
            <w:pPr>
              <w:rPr>
                <w:rFonts w:ascii="宋体" w:hAnsi="宋体"/>
                <w:color w:val="000000"/>
                <w:sz w:val="18"/>
                <w:szCs w:val="18"/>
              </w:rPr>
            </w:pPr>
            <w:r>
              <w:rPr>
                <w:rFonts w:hint="eastAsia" w:ascii="宋体" w:hAnsi="宋体"/>
                <w:color w:val="000000"/>
                <w:sz w:val="18"/>
                <w:szCs w:val="18"/>
              </w:rPr>
              <w:t>未建立设计变更管理台账，未实施有效设计变更管理的</w:t>
            </w:r>
          </w:p>
        </w:tc>
        <w:tc>
          <w:tcPr>
            <w:tcW w:w="868" w:type="pct"/>
            <w:vAlign w:val="center"/>
          </w:tcPr>
          <w:p>
            <w:pPr>
              <w:jc w:val="center"/>
              <w:rPr>
                <w:rFonts w:ascii="宋体" w:hAnsi="宋体"/>
                <w:color w:val="000000"/>
                <w:sz w:val="18"/>
                <w:szCs w:val="18"/>
              </w:rPr>
            </w:pPr>
            <w:r>
              <w:rPr>
                <w:rFonts w:hint="eastAsia" w:ascii="宋体" w:hAnsi="宋体"/>
                <w:color w:val="000000"/>
                <w:sz w:val="18"/>
                <w:szCs w:val="18"/>
              </w:rPr>
              <w:t>3分</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2</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未按照规定权限、条件和程序审查批准一般变更或者报批较大、重大设计变更,或者将较大、重大变更肢解规避审批的</w:t>
            </w:r>
          </w:p>
        </w:tc>
        <w:tc>
          <w:tcPr>
            <w:tcW w:w="868" w:type="pct"/>
            <w:vAlign w:val="center"/>
          </w:tcPr>
          <w:p>
            <w:pPr>
              <w:jc w:val="center"/>
              <w:rPr>
                <w:rFonts w:ascii="宋体" w:hAnsi="宋体"/>
                <w:color w:val="000000"/>
                <w:sz w:val="18"/>
                <w:szCs w:val="18"/>
              </w:rPr>
            </w:pPr>
            <w:r>
              <w:rPr>
                <w:rFonts w:hint="eastAsia" w:ascii="宋体" w:hAnsi="宋体"/>
                <w:color w:val="000000"/>
                <w:sz w:val="18"/>
                <w:szCs w:val="18"/>
              </w:rPr>
              <w:t>3分/项次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3</w:t>
            </w:r>
          </w:p>
        </w:tc>
        <w:tc>
          <w:tcPr>
            <w:tcW w:w="1406" w:type="pct"/>
            <w:vAlign w:val="center"/>
          </w:tcPr>
          <w:p>
            <w:pPr>
              <w:rPr>
                <w:rFonts w:ascii="宋体" w:hAnsi="宋体"/>
                <w:color w:val="000000"/>
                <w:sz w:val="18"/>
                <w:szCs w:val="18"/>
              </w:rPr>
            </w:pPr>
            <w:r>
              <w:rPr>
                <w:rFonts w:hint="eastAsia" w:ascii="宋体" w:hAnsi="宋体"/>
                <w:color w:val="000000"/>
                <w:sz w:val="18"/>
                <w:szCs w:val="18"/>
              </w:rPr>
              <w:t>未经批准先实施变更的</w:t>
            </w:r>
          </w:p>
        </w:tc>
        <w:tc>
          <w:tcPr>
            <w:tcW w:w="868" w:type="pct"/>
            <w:vAlign w:val="center"/>
          </w:tcPr>
          <w:p>
            <w:pPr>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分/项次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4</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未按照规定建立造价管理台账，未进行项目投资动态分析的</w:t>
            </w:r>
          </w:p>
        </w:tc>
        <w:tc>
          <w:tcPr>
            <w:tcW w:w="868" w:type="pct"/>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5</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未按照规定进行项目施工合同报备的</w:t>
            </w:r>
          </w:p>
        </w:tc>
        <w:tc>
          <w:tcPr>
            <w:tcW w:w="868" w:type="pct"/>
            <w:vAlign w:val="center"/>
          </w:tcPr>
          <w:p>
            <w:pPr>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6</w:t>
            </w:r>
          </w:p>
        </w:tc>
        <w:tc>
          <w:tcPr>
            <w:tcW w:w="1406" w:type="pct"/>
            <w:vAlign w:val="center"/>
          </w:tcPr>
          <w:p>
            <w:pPr>
              <w:rPr>
                <w:rFonts w:ascii="宋体" w:hAnsi="宋体"/>
                <w:color w:val="000000"/>
                <w:sz w:val="18"/>
                <w:szCs w:val="18"/>
              </w:rPr>
            </w:pPr>
            <w:r>
              <w:rPr>
                <w:rFonts w:hint="eastAsia" w:ascii="宋体" w:hAnsi="宋体"/>
                <w:color w:val="000000"/>
                <w:sz w:val="18"/>
                <w:szCs w:val="18"/>
              </w:rPr>
              <w:t>较大、重大设计变更通过主管部门审查后，超过</w:t>
            </w:r>
            <w:r>
              <w:rPr>
                <w:rFonts w:ascii="宋体" w:hAnsi="宋体"/>
                <w:color w:val="000000"/>
                <w:sz w:val="18"/>
                <w:szCs w:val="18"/>
              </w:rPr>
              <w:t>2</w:t>
            </w:r>
            <w:r>
              <w:rPr>
                <w:rFonts w:hint="eastAsia" w:ascii="宋体" w:hAnsi="宋体"/>
                <w:color w:val="000000"/>
                <w:sz w:val="18"/>
                <w:szCs w:val="18"/>
              </w:rPr>
              <w:t>个月未完成设计变更造价文件送审的</w:t>
            </w:r>
          </w:p>
        </w:tc>
        <w:tc>
          <w:tcPr>
            <w:tcW w:w="868" w:type="pct"/>
            <w:vAlign w:val="center"/>
          </w:tcPr>
          <w:p>
            <w:pPr>
              <w:jc w:val="cente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分/项次</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7</w:t>
            </w:r>
          </w:p>
        </w:tc>
        <w:tc>
          <w:tcPr>
            <w:tcW w:w="1406" w:type="pct"/>
            <w:vAlign w:val="center"/>
          </w:tcPr>
          <w:p>
            <w:pPr>
              <w:rPr>
                <w:rFonts w:ascii="宋体" w:hAnsi="宋体"/>
                <w:color w:val="000000"/>
                <w:sz w:val="18"/>
                <w:szCs w:val="18"/>
              </w:rPr>
            </w:pPr>
            <w:r>
              <w:rPr>
                <w:rFonts w:hint="eastAsia" w:ascii="宋体" w:hAnsi="宋体"/>
                <w:color w:val="000000"/>
                <w:sz w:val="18"/>
                <w:szCs w:val="18"/>
              </w:rPr>
              <w:t>未按照规定进行项目其他造价信息收集、分析和报送的</w:t>
            </w:r>
          </w:p>
        </w:tc>
        <w:tc>
          <w:tcPr>
            <w:tcW w:w="868" w:type="pct"/>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8</w:t>
            </w:r>
          </w:p>
        </w:tc>
        <w:tc>
          <w:tcPr>
            <w:tcW w:w="1406" w:type="pct"/>
            <w:vAlign w:val="center"/>
          </w:tcPr>
          <w:p>
            <w:pPr>
              <w:rPr>
                <w:rFonts w:ascii="宋体" w:hAnsi="宋体"/>
                <w:color w:val="000000"/>
                <w:sz w:val="18"/>
                <w:szCs w:val="18"/>
              </w:rPr>
            </w:pPr>
            <w:r>
              <w:rPr>
                <w:rFonts w:hint="eastAsia" w:ascii="宋体" w:hAnsi="宋体"/>
                <w:color w:val="000000"/>
                <w:sz w:val="18"/>
                <w:szCs w:val="18"/>
              </w:rPr>
              <w:t>存在虚列变更项目或者虚报工程量,多结算工程款,或者用设计变更掩盖施工质量问题的</w:t>
            </w:r>
          </w:p>
        </w:tc>
        <w:tc>
          <w:tcPr>
            <w:tcW w:w="868" w:type="pct"/>
            <w:vAlign w:val="center"/>
          </w:tcPr>
          <w:p>
            <w:pPr>
              <w:jc w:val="center"/>
              <w:rPr>
                <w:rFonts w:ascii="宋体" w:hAnsi="宋体"/>
                <w:color w:val="000000"/>
                <w:sz w:val="18"/>
                <w:szCs w:val="18"/>
              </w:rPr>
            </w:pPr>
            <w:r>
              <w:rPr>
                <w:rFonts w:ascii="宋体" w:hAnsi="宋体"/>
                <w:color w:val="000000"/>
                <w:sz w:val="18"/>
                <w:szCs w:val="18"/>
              </w:rPr>
              <w:t>3</w:t>
            </w:r>
            <w:r>
              <w:rPr>
                <w:color w:val="000000"/>
                <w:sz w:val="18"/>
                <w:szCs w:val="18"/>
              </w:rPr>
              <w:t>~</w:t>
            </w:r>
            <w:r>
              <w:rPr>
                <w:rFonts w:ascii="宋体" w:hAnsi="宋体"/>
                <w:color w:val="000000"/>
                <w:sz w:val="18"/>
                <w:szCs w:val="18"/>
              </w:rPr>
              <w:t>5</w:t>
            </w:r>
            <w:r>
              <w:rPr>
                <w:rFonts w:hint="eastAsia" w:ascii="宋体" w:hAnsi="宋体"/>
                <w:color w:val="000000"/>
                <w:sz w:val="18"/>
                <w:szCs w:val="18"/>
              </w:rPr>
              <w:t>分/项</w:t>
            </w:r>
          </w:p>
        </w:tc>
        <w:tc>
          <w:tcPr>
            <w:tcW w:w="494" w:type="pct"/>
            <w:vAlign w:val="center"/>
          </w:tcPr>
          <w:p>
            <w:pPr>
              <w:spacing w:line="260" w:lineRule="exact"/>
              <w:ind w:left="-84" w:leftChars="-40" w:right="-86" w:rightChars="-41"/>
              <w:jc w:val="center"/>
              <w:rPr>
                <w:rFonts w:ascii="宋体" w:hAnsi="宋体"/>
                <w:color w:val="000000"/>
                <w:sz w:val="15"/>
                <w:szCs w:val="15"/>
              </w:rPr>
            </w:pPr>
            <w:r>
              <w:rPr>
                <w:rFonts w:hint="eastAsia" w:ascii="宋体" w:hAnsi="宋体"/>
                <w:color w:val="000000"/>
                <w:sz w:val="15"/>
                <w:szCs w:val="15"/>
              </w:rPr>
              <w:t>造成国有资金严重流失的扣5分；故意掩盖较大施工质量问题的扣5分。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kern w:val="0"/>
                <w:sz w:val="18"/>
                <w:szCs w:val="18"/>
              </w:rPr>
            </w:pPr>
          </w:p>
        </w:tc>
        <w:tc>
          <w:tcPr>
            <w:tcW w:w="641" w:type="pct"/>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SYJS1-7-</w:t>
            </w:r>
            <w:r>
              <w:rPr>
                <w:rFonts w:ascii="宋体" w:hAnsi="宋体"/>
                <w:color w:val="000000"/>
                <w:sz w:val="18"/>
                <w:szCs w:val="18"/>
              </w:rPr>
              <w:t>9</w:t>
            </w:r>
          </w:p>
        </w:tc>
        <w:tc>
          <w:tcPr>
            <w:tcW w:w="1406" w:type="pct"/>
            <w:vAlign w:val="center"/>
          </w:tcPr>
          <w:p>
            <w:pPr>
              <w:rPr>
                <w:rFonts w:ascii="宋体" w:hAnsi="宋体"/>
                <w:color w:val="000000"/>
                <w:sz w:val="18"/>
                <w:szCs w:val="18"/>
              </w:rPr>
            </w:pPr>
            <w:r>
              <w:rPr>
                <w:rFonts w:hint="eastAsia" w:ascii="宋体" w:hAnsi="宋体"/>
                <w:color w:val="000000"/>
                <w:sz w:val="18"/>
                <w:szCs w:val="18"/>
              </w:rPr>
              <w:t>未按规定配备专业造价人员，未按规定对相关单位从事造价活动人员作持证上岗要求的</w:t>
            </w:r>
          </w:p>
        </w:tc>
        <w:tc>
          <w:tcPr>
            <w:tcW w:w="868" w:type="pct"/>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tcBorders>
              <w:top w:val="single" w:color="auto" w:sz="4" w:space="0"/>
            </w:tcBorders>
            <w:vAlign w:val="center"/>
          </w:tcPr>
          <w:p>
            <w:pPr>
              <w:rPr>
                <w:rFonts w:ascii="宋体" w:hAnsi="宋体"/>
                <w:color w:val="000000"/>
                <w:kern w:val="0"/>
                <w:sz w:val="18"/>
                <w:szCs w:val="18"/>
              </w:rPr>
            </w:pPr>
            <w:r>
              <w:rPr>
                <w:rFonts w:hint="eastAsia" w:ascii="宋体" w:hAnsi="宋体"/>
                <w:color w:val="000000"/>
                <w:kern w:val="0"/>
                <w:sz w:val="18"/>
                <w:szCs w:val="18"/>
              </w:rPr>
              <w:t>日常管理（满分3分，行为代码SYJS1-8）</w:t>
            </w:r>
          </w:p>
        </w:tc>
        <w:tc>
          <w:tcPr>
            <w:tcW w:w="641" w:type="pc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SYJS1-8-1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未按要求及时完成市交通主管部门及区县交通主管部门部署的各项任务的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1～2</w:t>
            </w:r>
            <w:r>
              <w:rPr>
                <w:rFonts w:hint="eastAsia" w:ascii="宋体" w:hAnsi="宋体"/>
                <w:bCs/>
                <w:color w:val="000000"/>
                <w:sz w:val="18"/>
                <w:szCs w:val="18"/>
              </w:rPr>
              <w:t>分/项</w:t>
            </w:r>
          </w:p>
        </w:tc>
        <w:tc>
          <w:tcPr>
            <w:tcW w:w="494" w:type="pct"/>
            <w:vAlign w:val="center"/>
          </w:tcPr>
          <w:p>
            <w:pP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pStyle w:val="9"/>
              <w:spacing w:line="260" w:lineRule="atLeast"/>
              <w:jc w:val="center"/>
              <w:rPr>
                <w:rFonts w:ascii="宋体" w:hAnsi="宋体"/>
                <w:color w:val="000000"/>
                <w:sz w:val="18"/>
                <w:szCs w:val="18"/>
              </w:rPr>
            </w:pPr>
          </w:p>
        </w:tc>
        <w:tc>
          <w:tcPr>
            <w:tcW w:w="479"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工程质量（满分30分，行为代码SYJS2）</w:t>
            </w:r>
          </w:p>
        </w:tc>
        <w:tc>
          <w:tcPr>
            <w:tcW w:w="611" w:type="pct"/>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实体质量抽查合格率（满分20分，行为代码SYJS2-1）</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JS2-1-1</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工程实体质量指标监督抽查</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jc w:val="center"/>
              <w:rPr>
                <w:rFonts w:ascii="宋体" w:hAnsi="宋体"/>
                <w:color w:val="000000"/>
                <w:sz w:val="15"/>
                <w:szCs w:val="15"/>
              </w:rPr>
            </w:pPr>
            <w:r>
              <w:rPr>
                <w:rFonts w:hint="eastAsia" w:ascii="宋体" w:hAnsi="宋体"/>
                <w:color w:val="000000"/>
                <w:sz w:val="15"/>
                <w:szCs w:val="15"/>
              </w:rPr>
              <w:t>基准分15分；工程实体质量指标监督抽查一次合格率每高于90%一个百分点加1分，每低于90%一个百分点扣1分，低于80%不得分。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JS2-1-2</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主要检验项目出现不合格情况</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3分/项</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JS2-1-3</w:t>
            </w:r>
          </w:p>
        </w:tc>
        <w:tc>
          <w:tcPr>
            <w:tcW w:w="1406" w:type="pct"/>
            <w:vAlign w:val="center"/>
          </w:tcPr>
          <w:p>
            <w:pPr>
              <w:pStyle w:val="9"/>
              <w:jc w:val="left"/>
              <w:rPr>
                <w:rFonts w:ascii="宋体" w:hAnsi="宋体"/>
                <w:bCs/>
                <w:color w:val="000000"/>
                <w:sz w:val="18"/>
                <w:szCs w:val="18"/>
              </w:rPr>
            </w:pPr>
            <w:r>
              <w:rPr>
                <w:rFonts w:hint="eastAsia" w:ascii="宋体" w:hAnsi="宋体"/>
                <w:bCs/>
                <w:color w:val="000000"/>
                <w:sz w:val="18"/>
                <w:szCs w:val="18"/>
              </w:rPr>
              <w:t>一般检验项目出现低于80%情况</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1分/项</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质量检查整改（满分6分，行为代码SYJS2-2）</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JS2-2-1</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未按规定组织质量检查的</w:t>
            </w:r>
          </w:p>
        </w:tc>
        <w:tc>
          <w:tcPr>
            <w:tcW w:w="868" w:type="pct"/>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1分/季度</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JS2-2-2</w:t>
            </w:r>
          </w:p>
        </w:tc>
        <w:tc>
          <w:tcPr>
            <w:tcW w:w="1406" w:type="pct"/>
          </w:tcPr>
          <w:p>
            <w:pPr>
              <w:pStyle w:val="9"/>
              <w:jc w:val="left"/>
              <w:rPr>
                <w:rFonts w:ascii="宋体" w:hAnsi="宋体"/>
                <w:bCs/>
                <w:color w:val="000000"/>
                <w:sz w:val="18"/>
                <w:szCs w:val="18"/>
              </w:rPr>
            </w:pPr>
            <w:r>
              <w:rPr>
                <w:rFonts w:hint="eastAsia" w:ascii="宋体" w:hAnsi="宋体"/>
                <w:bCs/>
                <w:color w:val="000000"/>
                <w:sz w:val="18"/>
                <w:szCs w:val="18"/>
              </w:rPr>
              <w:t>被监管部门责令停工整顿的</w:t>
            </w:r>
          </w:p>
        </w:tc>
        <w:tc>
          <w:tcPr>
            <w:tcW w:w="868" w:type="pct"/>
            <w:vAlign w:val="center"/>
          </w:tcPr>
          <w:p>
            <w:pPr>
              <w:spacing w:line="260" w:lineRule="atLeas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JS2-2-3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对监管部门的整改意见未在规定时限内整改并回复，或回复情况不实的</w:t>
            </w:r>
          </w:p>
        </w:tc>
        <w:tc>
          <w:tcPr>
            <w:tcW w:w="868" w:type="pct"/>
            <w:vAlign w:val="center"/>
          </w:tcPr>
          <w:p>
            <w:pPr>
              <w:spacing w:line="240" w:lineRule="exac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试验检测工作（满分4分，行为代码SYJS2-3）</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合同文件或补充协议约定应设立工地试验室而未设立的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1分/标段</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对现场设立的工地试验室未履行备案程序的，或经签认的试验室备案资料不属实的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委托检测机构不具备规定资质的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JS2-3-4</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甲供材料未按规定开展进场检验</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0.5分/次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工程质量事故（行为代码SYJS2-4）</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JS2-4-1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发生质量事故</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1～5</w:t>
            </w:r>
            <w:r>
              <w:rPr>
                <w:rFonts w:hint="eastAsia" w:ascii="宋体" w:hAnsi="宋体"/>
                <w:bCs/>
                <w:color w:val="000000"/>
                <w:sz w:val="18"/>
                <w:szCs w:val="18"/>
              </w:rPr>
              <w:t>分/起</w:t>
            </w:r>
          </w:p>
        </w:tc>
        <w:tc>
          <w:tcPr>
            <w:tcW w:w="494" w:type="pct"/>
            <w:vAlign w:val="center"/>
          </w:tcPr>
          <w:p>
            <w:pPr>
              <w:pStyle w:val="9"/>
              <w:jc w:val="center"/>
              <w:rPr>
                <w:rFonts w:ascii="宋体" w:hAnsi="宋体"/>
                <w:color w:val="000000"/>
                <w:sz w:val="15"/>
                <w:szCs w:val="15"/>
              </w:rPr>
            </w:pPr>
            <w:r>
              <w:rPr>
                <w:rFonts w:hint="eastAsia" w:ascii="宋体" w:hAnsi="宋体"/>
                <w:color w:val="000000"/>
                <w:sz w:val="15"/>
                <w:szCs w:val="15"/>
              </w:rPr>
              <w:t>按质量事故类别进行扣分，发生较大质量事故每起扣5分，发生一般事故每起扣3分，发生质量问题责令返工处理的每起扣1分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tcBorders>
              <w:bottom w:val="single" w:color="auto" w:sz="4" w:space="0"/>
            </w:tcBorders>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JS2-4-2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发生质量事故不按规定上报</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5</w:t>
            </w:r>
            <w:r>
              <w:rPr>
                <w:rFonts w:hint="eastAsia" w:ascii="宋体" w:hAnsi="宋体"/>
                <w:bCs/>
                <w:color w:val="000000"/>
                <w:sz w:val="18"/>
                <w:szCs w:val="18"/>
              </w:rPr>
              <w:t>分/起</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安全生产（满分20分，行为代码SYJS3）</w:t>
            </w: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施工安全管理（满分8分，行为代码SYJS3-1）</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未开展平安工地建设工作的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5</w:t>
            </w:r>
            <w:r>
              <w:rPr>
                <w:rFonts w:hint="eastAsia" w:ascii="宋体" w:hAnsi="宋体"/>
                <w:bCs/>
                <w:color w:val="000000"/>
                <w:sz w:val="18"/>
                <w:szCs w:val="18"/>
              </w:rPr>
              <w:t>分</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JS3-1-2</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未按要求组织验收的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2</w:t>
            </w:r>
            <w:r>
              <w:rPr>
                <w:rFonts w:hint="eastAsia" w:ascii="宋体" w:hAnsi="宋体"/>
                <w:bCs/>
                <w:color w:val="000000"/>
                <w:sz w:val="18"/>
                <w:szCs w:val="18"/>
              </w:rPr>
              <w:t>分</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JS3-1-3</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验收情况与实际不符的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color w:val="000000"/>
                <w:sz w:val="18"/>
                <w:szCs w:val="18"/>
              </w:rPr>
              <w:t>1</w:t>
            </w:r>
            <w:r>
              <w:rPr>
                <w:rFonts w:hint="eastAsia" w:ascii="宋体" w:hAnsi="宋体"/>
                <w:bCs/>
                <w:color w:val="000000"/>
                <w:sz w:val="18"/>
                <w:szCs w:val="18"/>
              </w:rPr>
              <w:t>分/处</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JS3-1-4</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未按</w:t>
            </w:r>
            <w:r>
              <w:rPr>
                <w:rFonts w:ascii="宋体" w:hAnsi="宋体"/>
                <w:bCs/>
                <w:color w:val="000000"/>
                <w:sz w:val="18"/>
                <w:szCs w:val="18"/>
              </w:rPr>
              <w:t>规定</w:t>
            </w:r>
            <w:r>
              <w:rPr>
                <w:rFonts w:hint="eastAsia" w:ascii="宋体" w:hAnsi="宋体"/>
                <w:bCs/>
                <w:color w:val="000000"/>
                <w:sz w:val="18"/>
                <w:szCs w:val="18"/>
              </w:rPr>
              <w:t>定期组织安全检查的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1分/季度</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rPr>
                <w:rFonts w:ascii="宋体" w:hAnsi="宋体"/>
                <w:color w:val="000000"/>
                <w:sz w:val="18"/>
                <w:szCs w:val="18"/>
              </w:rPr>
            </w:pP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JS3-1-5</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未组织各种安全专项活动检查的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1分/项</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施工安全隐患（满分12分，行为代码SYJS3-2）</w:t>
            </w:r>
          </w:p>
        </w:tc>
        <w:tc>
          <w:tcPr>
            <w:tcW w:w="641" w:type="pct"/>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JS3-2-1</w:t>
            </w:r>
          </w:p>
        </w:tc>
        <w:tc>
          <w:tcPr>
            <w:tcW w:w="1406" w:type="pct"/>
            <w:vAlign w:val="center"/>
          </w:tcPr>
          <w:p>
            <w:pPr>
              <w:pStyle w:val="9"/>
              <w:rPr>
                <w:rFonts w:ascii="宋体" w:hAnsi="宋体"/>
                <w:bCs/>
                <w:color w:val="000000"/>
                <w:sz w:val="18"/>
                <w:szCs w:val="18"/>
              </w:rPr>
            </w:pPr>
            <w:r>
              <w:rPr>
                <w:rFonts w:hint="eastAsia" w:ascii="宋体" w:hAnsi="宋体"/>
                <w:bCs/>
                <w:color w:val="000000"/>
                <w:sz w:val="18"/>
                <w:szCs w:val="18"/>
              </w:rPr>
              <w:t>被监管部门责令整改的</w:t>
            </w:r>
          </w:p>
        </w:tc>
        <w:tc>
          <w:tcPr>
            <w:tcW w:w="868" w:type="pct"/>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0.5分/次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rPr>
                <w:rFonts w:ascii="宋体" w:hAnsi="宋体"/>
                <w:color w:val="000000"/>
                <w:sz w:val="18"/>
                <w:szCs w:val="18"/>
              </w:rPr>
            </w:pPr>
          </w:p>
        </w:tc>
        <w:tc>
          <w:tcPr>
            <w:tcW w:w="479" w:type="pct"/>
            <w:vMerge w:val="continue"/>
            <w:vAlign w:val="center"/>
          </w:tcPr>
          <w:p>
            <w:pPr>
              <w:rPr>
                <w:rFonts w:ascii="宋体" w:hAnsi="宋体"/>
                <w:color w:val="000000"/>
                <w:sz w:val="18"/>
                <w:szCs w:val="18"/>
              </w:rPr>
            </w:pPr>
          </w:p>
        </w:tc>
        <w:tc>
          <w:tcPr>
            <w:tcW w:w="611" w:type="pct"/>
            <w:vMerge w:val="continue"/>
            <w:vAlign w:val="center"/>
          </w:tcPr>
          <w:p>
            <w:pPr>
              <w:pStyle w:val="9"/>
              <w:spacing w:line="260" w:lineRule="atLeast"/>
              <w:jc w:val="center"/>
              <w:rPr>
                <w:rFonts w:ascii="宋体" w:hAnsi="宋体"/>
                <w:color w:val="000000"/>
                <w:sz w:val="18"/>
                <w:szCs w:val="18"/>
              </w:rPr>
            </w:pPr>
          </w:p>
        </w:tc>
        <w:tc>
          <w:tcPr>
            <w:tcW w:w="641" w:type="pc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SYJS3-2-2</w:t>
            </w:r>
          </w:p>
        </w:tc>
        <w:tc>
          <w:tcPr>
            <w:tcW w:w="1406" w:type="pct"/>
            <w:vAlign w:val="center"/>
          </w:tcPr>
          <w:p>
            <w:pPr>
              <w:pStyle w:val="9"/>
              <w:rPr>
                <w:rFonts w:ascii="宋体" w:hAnsi="宋体"/>
                <w:color w:val="000000"/>
                <w:sz w:val="18"/>
                <w:szCs w:val="18"/>
              </w:rPr>
            </w:pPr>
            <w:r>
              <w:rPr>
                <w:rFonts w:hint="eastAsia" w:ascii="宋体" w:hAnsi="宋体"/>
                <w:bCs/>
                <w:color w:val="000000"/>
                <w:sz w:val="18"/>
                <w:szCs w:val="18"/>
              </w:rPr>
              <w:t>被监管部门责令停工整顿</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1分/次</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spacing w:line="240" w:lineRule="exact"/>
              <w:rPr>
                <w:rFonts w:ascii="宋体" w:hAnsi="宋体"/>
                <w:color w:val="000000"/>
                <w:sz w:val="18"/>
                <w:szCs w:val="18"/>
              </w:rPr>
            </w:pPr>
          </w:p>
        </w:tc>
        <w:tc>
          <w:tcPr>
            <w:tcW w:w="479" w:type="pct"/>
            <w:vMerge w:val="continue"/>
            <w:vAlign w:val="center"/>
          </w:tcPr>
          <w:p>
            <w:pPr>
              <w:spacing w:line="240" w:lineRule="exact"/>
              <w:rPr>
                <w:rFonts w:ascii="宋体" w:hAnsi="宋体"/>
                <w:color w:val="000000"/>
                <w:sz w:val="18"/>
                <w:szCs w:val="18"/>
              </w:rPr>
            </w:pPr>
          </w:p>
        </w:tc>
        <w:tc>
          <w:tcPr>
            <w:tcW w:w="611" w:type="pct"/>
            <w:vMerge w:val="continue"/>
            <w:tcBorders>
              <w:bottom w:val="single" w:color="auto" w:sz="4" w:space="0"/>
            </w:tcBorders>
            <w:vAlign w:val="center"/>
          </w:tcPr>
          <w:p>
            <w:pPr>
              <w:spacing w:line="240" w:lineRule="exact"/>
              <w:rPr>
                <w:rFonts w:ascii="宋体" w:hAnsi="宋体"/>
                <w:color w:val="000000"/>
                <w:sz w:val="18"/>
                <w:szCs w:val="18"/>
              </w:rPr>
            </w:pP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SYJS3-2-3</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对监管部门的整改意见未在规定时限内整改并回复，或回复情况不实的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1分/次</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vAlign w:val="center"/>
          </w:tcPr>
          <w:p>
            <w:pPr>
              <w:spacing w:line="240" w:lineRule="exact"/>
              <w:rPr>
                <w:rFonts w:ascii="宋体" w:hAnsi="宋体"/>
                <w:color w:val="000000"/>
                <w:sz w:val="18"/>
                <w:szCs w:val="18"/>
              </w:rPr>
            </w:pPr>
          </w:p>
        </w:tc>
        <w:tc>
          <w:tcPr>
            <w:tcW w:w="479" w:type="pct"/>
            <w:vMerge w:val="continue"/>
            <w:vAlign w:val="center"/>
          </w:tcPr>
          <w:p>
            <w:pPr>
              <w:spacing w:line="240" w:lineRule="exact"/>
              <w:rPr>
                <w:rFonts w:ascii="宋体" w:hAnsi="宋体"/>
                <w:color w:val="000000"/>
                <w:sz w:val="18"/>
                <w:szCs w:val="18"/>
              </w:rPr>
            </w:pPr>
          </w:p>
        </w:tc>
        <w:tc>
          <w:tcPr>
            <w:tcW w:w="611" w:type="pct"/>
            <w:vMerge w:val="restart"/>
            <w:tcBorders>
              <w:top w:val="single" w:color="auto" w:sz="4" w:space="0"/>
            </w:tcBorders>
            <w:vAlign w:val="center"/>
          </w:tcPr>
          <w:p>
            <w:pPr>
              <w:rPr>
                <w:rFonts w:ascii="宋体" w:hAnsi="宋体"/>
                <w:color w:val="000000"/>
                <w:sz w:val="18"/>
                <w:szCs w:val="18"/>
              </w:rPr>
            </w:pPr>
            <w:r>
              <w:rPr>
                <w:rFonts w:hint="eastAsia" w:ascii="宋体" w:hAnsi="宋体"/>
                <w:color w:val="000000"/>
                <w:sz w:val="18"/>
                <w:szCs w:val="18"/>
              </w:rPr>
              <w:t>施工安全事故（行为代码SYJS3-3）</w:t>
            </w: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SYJS3-3-1</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工程项目发生施工安全生产责任事故</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5～10</w:t>
            </w:r>
            <w:r>
              <w:rPr>
                <w:rFonts w:hint="eastAsia" w:ascii="宋体" w:hAnsi="宋体"/>
                <w:bCs/>
                <w:color w:val="000000"/>
                <w:sz w:val="18"/>
                <w:szCs w:val="18"/>
              </w:rPr>
              <w:t>分/起</w:t>
            </w:r>
          </w:p>
        </w:tc>
        <w:tc>
          <w:tcPr>
            <w:tcW w:w="494" w:type="pct"/>
            <w:vAlign w:val="center"/>
          </w:tcPr>
          <w:p>
            <w:pPr>
              <w:pStyle w:val="9"/>
              <w:spacing w:line="240" w:lineRule="exact"/>
              <w:jc w:val="center"/>
              <w:rPr>
                <w:rFonts w:ascii="宋体" w:hAnsi="宋体"/>
                <w:color w:val="000000"/>
                <w:sz w:val="15"/>
                <w:szCs w:val="15"/>
              </w:rPr>
            </w:pPr>
            <w:r>
              <w:rPr>
                <w:rFonts w:hint="eastAsia" w:ascii="宋体" w:hAnsi="宋体"/>
                <w:color w:val="000000"/>
                <w:sz w:val="15"/>
                <w:szCs w:val="15"/>
              </w:rPr>
              <w:t>按安全事故类别进行扣分，每发生较大安全事故每起扣10分，每发生一起一般安全事故扣5分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501" w:type="pct"/>
            <w:vMerge w:val="continue"/>
            <w:tcBorders>
              <w:bottom w:val="single" w:color="auto" w:sz="4" w:space="0"/>
            </w:tcBorders>
            <w:vAlign w:val="center"/>
          </w:tcPr>
          <w:p>
            <w:pPr>
              <w:spacing w:line="240" w:lineRule="exact"/>
              <w:rPr>
                <w:rFonts w:ascii="宋体" w:hAnsi="宋体"/>
                <w:color w:val="000000"/>
                <w:sz w:val="18"/>
                <w:szCs w:val="18"/>
              </w:rPr>
            </w:pPr>
          </w:p>
        </w:tc>
        <w:tc>
          <w:tcPr>
            <w:tcW w:w="479" w:type="pct"/>
            <w:vMerge w:val="continue"/>
            <w:tcBorders>
              <w:bottom w:val="single" w:color="auto" w:sz="4" w:space="0"/>
            </w:tcBorders>
            <w:vAlign w:val="center"/>
          </w:tcPr>
          <w:p>
            <w:pPr>
              <w:spacing w:line="240" w:lineRule="exact"/>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spacing w:line="240" w:lineRule="exact"/>
              <w:rPr>
                <w:rFonts w:ascii="宋体" w:hAnsi="宋体"/>
                <w:color w:val="000000"/>
                <w:sz w:val="18"/>
                <w:szCs w:val="18"/>
              </w:rPr>
            </w:pP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SYJS3-3-2</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发生安全生产事故不按规定上报的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5</w:t>
            </w:r>
            <w:r>
              <w:rPr>
                <w:rFonts w:hint="eastAsia" w:ascii="宋体" w:hAnsi="宋体"/>
                <w:bCs/>
                <w:color w:val="000000"/>
                <w:sz w:val="18"/>
                <w:szCs w:val="18"/>
              </w:rPr>
              <w:t>分/起</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0" w:type="pct"/>
            <w:gridSpan w:val="2"/>
            <w:vMerge w:val="restart"/>
            <w:tcBorders>
              <w:top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其他</w:t>
            </w:r>
          </w:p>
          <w:p>
            <w:pPr>
              <w:spacing w:line="240" w:lineRule="exact"/>
              <w:rPr>
                <w:rFonts w:ascii="宋体" w:hAnsi="宋体"/>
                <w:color w:val="000000"/>
                <w:sz w:val="18"/>
                <w:szCs w:val="18"/>
              </w:rPr>
            </w:pPr>
            <w:r>
              <w:rPr>
                <w:rFonts w:hint="eastAsia" w:ascii="宋体" w:hAnsi="宋体"/>
                <w:color w:val="000000"/>
                <w:sz w:val="18"/>
                <w:szCs w:val="18"/>
              </w:rPr>
              <w:t>（行为代码SYJS4）</w:t>
            </w:r>
          </w:p>
        </w:tc>
        <w:tc>
          <w:tcPr>
            <w:tcW w:w="611" w:type="pct"/>
            <w:vMerge w:val="restart"/>
            <w:tcBorders>
              <w:top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奖惩情况</w:t>
            </w:r>
          </w:p>
          <w:p>
            <w:pPr>
              <w:spacing w:line="240" w:lineRule="exact"/>
              <w:rPr>
                <w:rFonts w:ascii="宋体" w:hAnsi="宋体"/>
                <w:color w:val="000000"/>
                <w:sz w:val="18"/>
                <w:szCs w:val="18"/>
              </w:rPr>
            </w:pPr>
            <w:r>
              <w:rPr>
                <w:rFonts w:hint="eastAsia" w:ascii="宋体" w:hAnsi="宋体"/>
                <w:color w:val="000000"/>
                <w:sz w:val="18"/>
                <w:szCs w:val="18"/>
              </w:rPr>
              <w:t>（行为代码SYJS4-1）</w:t>
            </w:r>
          </w:p>
        </w:tc>
        <w:tc>
          <w:tcPr>
            <w:tcW w:w="641"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SYJS4-1-</w:t>
            </w:r>
            <w:r>
              <w:rPr>
                <w:rFonts w:ascii="宋体" w:hAnsi="宋体"/>
                <w:color w:val="000000"/>
                <w:sz w:val="18"/>
                <w:szCs w:val="18"/>
              </w:rPr>
              <w:t>1</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受到交通运输部通报批评的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3分/次</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tcBorders>
              <w:top w:val="single" w:color="auto" w:sz="4" w:space="0"/>
              <w:bottom w:val="single" w:color="auto" w:sz="4" w:space="0"/>
            </w:tcBorders>
            <w:vAlign w:val="center"/>
          </w:tcPr>
          <w:p>
            <w:pPr>
              <w:spacing w:line="240" w:lineRule="exact"/>
              <w:rPr>
                <w:rFonts w:ascii="宋体" w:hAnsi="宋体"/>
                <w:color w:val="000000"/>
                <w:sz w:val="18"/>
                <w:szCs w:val="18"/>
              </w:rPr>
            </w:pPr>
          </w:p>
        </w:tc>
        <w:tc>
          <w:tcPr>
            <w:tcW w:w="641" w:type="pct"/>
            <w:tcBorders>
              <w:bottom w:val="single" w:color="auto"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SYJS4-1-</w:t>
            </w:r>
            <w:r>
              <w:rPr>
                <w:rFonts w:ascii="宋体" w:hAnsi="宋体"/>
                <w:color w:val="000000"/>
                <w:sz w:val="18"/>
                <w:szCs w:val="18"/>
              </w:rPr>
              <w:t>2</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受到市</w:t>
            </w:r>
            <w:r>
              <w:rPr>
                <w:rFonts w:hint="eastAsia" w:ascii="宋体" w:hAnsi="宋体"/>
                <w:bCs/>
                <w:color w:val="000000"/>
                <w:sz w:val="18"/>
                <w:szCs w:val="18"/>
              </w:rPr>
              <w:t>交通主管部门</w:t>
            </w:r>
            <w:r>
              <w:rPr>
                <w:rFonts w:hint="eastAsia" w:ascii="宋体" w:hAnsi="宋体"/>
                <w:color w:val="000000"/>
                <w:sz w:val="18"/>
                <w:szCs w:val="18"/>
              </w:rPr>
              <w:t>通报批评的</w:t>
            </w:r>
          </w:p>
        </w:tc>
        <w:tc>
          <w:tcPr>
            <w:tcW w:w="868" w:type="pct"/>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2分/次</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restart"/>
            <w:tcBorders>
              <w:top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严重失信行为（行为代码GLJS4-2）</w:t>
            </w:r>
          </w:p>
        </w:tc>
        <w:tc>
          <w:tcPr>
            <w:tcW w:w="641" w:type="pct"/>
            <w:tcBorders>
              <w:top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SYJS4-2-1</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建设管理违反国家法律法规规定和交通行业规定，不执行国家基本建设程序，造成严重后果</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SYJS4-2-2</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建设资金不到位，无法满足项目需要</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SYJS4-2-3</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在工程招标投标活动中严重违反公开、公平、公正原则，造成严重后果</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SYJS4-2-4</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未建立完善的工程管理制度或管理不力，致使工程质量、进度处于失控状态</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SYJS4-2-5</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因建设单位管理失职造成重大及以上质量安全事故、未完成建设目标、未完成部市重大目标任务、引发集访事件或其他不稳定事件并造成恶劣影响</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spacing w:line="240" w:lineRule="exact"/>
              <w:rPr>
                <w:rFonts w:ascii="宋体" w:hAnsi="宋体"/>
                <w:color w:val="000000"/>
                <w:sz w:val="18"/>
                <w:szCs w:val="18"/>
              </w:rPr>
            </w:pPr>
          </w:p>
        </w:tc>
        <w:tc>
          <w:tcPr>
            <w:tcW w:w="611" w:type="pct"/>
            <w:vMerge w:val="continue"/>
            <w:vAlign w:val="center"/>
          </w:tcPr>
          <w:p>
            <w:pPr>
              <w:spacing w:line="240" w:lineRule="exact"/>
              <w:rPr>
                <w:rFonts w:ascii="宋体" w:hAnsi="宋体"/>
                <w:color w:val="000000"/>
                <w:sz w:val="18"/>
                <w:szCs w:val="18"/>
              </w:rPr>
            </w:pPr>
          </w:p>
        </w:tc>
        <w:tc>
          <w:tcPr>
            <w:tcW w:w="641"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SYJS4-2-6</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不履行合同约定，不按期支付工程费用，造成不良后果</w:t>
            </w:r>
          </w:p>
        </w:tc>
        <w:tc>
          <w:tcPr>
            <w:tcW w:w="868" w:type="pct"/>
            <w:vAlign w:val="center"/>
          </w:tcPr>
          <w:p>
            <w:pPr>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40" w:lineRule="exac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pStyle w:val="9"/>
              <w:spacing w:line="260" w:lineRule="atLeast"/>
              <w:jc w:val="cente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SYJS4-2-7</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不按合同规定进行变更管理，造成国家损失</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0" w:lineRule="atLeast"/>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SYJS4-2-8</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挪用建设资金或施工、监理、设计等单位履约保证金，造成国家和单位损失</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SYJS4-2-9</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项目交工验收评定等级为不合格</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980" w:type="pct"/>
            <w:gridSpan w:val="2"/>
            <w:vMerge w:val="continue"/>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SYJS4-2-10</w:t>
            </w:r>
          </w:p>
        </w:tc>
        <w:tc>
          <w:tcPr>
            <w:tcW w:w="1406" w:type="pct"/>
            <w:vAlign w:val="center"/>
          </w:tcPr>
          <w:p>
            <w:pPr>
              <w:pStyle w:val="9"/>
              <w:rPr>
                <w:rFonts w:ascii="宋体" w:hAnsi="宋体"/>
                <w:color w:val="000000"/>
                <w:sz w:val="18"/>
                <w:szCs w:val="18"/>
              </w:rPr>
            </w:pPr>
            <w:r>
              <w:rPr>
                <w:rFonts w:hint="eastAsia" w:ascii="宋体" w:hAnsi="宋体"/>
                <w:color w:val="000000"/>
                <w:sz w:val="18"/>
                <w:szCs w:val="18"/>
              </w:rPr>
              <w:t>有行贿或受贿等重大违法、违纪行为</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60" w:lineRule="atLeast"/>
              <w:jc w:val="center"/>
              <w:rPr>
                <w:rFonts w:ascii="宋体" w:hAnsi="宋体"/>
                <w:color w:val="000000"/>
                <w:sz w:val="15"/>
                <w:szCs w:val="15"/>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80" w:type="pct"/>
            <w:gridSpan w:val="2"/>
            <w:vMerge w:val="continue"/>
            <w:tcBorders>
              <w:bottom w:val="single" w:color="auto" w:sz="4" w:space="0"/>
            </w:tcBorders>
            <w:vAlign w:val="center"/>
          </w:tcPr>
          <w:p>
            <w:pPr>
              <w:rPr>
                <w:rFonts w:ascii="宋体" w:hAnsi="宋体"/>
                <w:color w:val="000000"/>
                <w:sz w:val="18"/>
                <w:szCs w:val="18"/>
              </w:rPr>
            </w:pPr>
          </w:p>
        </w:tc>
        <w:tc>
          <w:tcPr>
            <w:tcW w:w="611" w:type="pct"/>
            <w:vMerge w:val="continue"/>
            <w:vAlign w:val="center"/>
          </w:tcPr>
          <w:p>
            <w:pPr>
              <w:rPr>
                <w:rFonts w:ascii="宋体" w:hAnsi="宋体"/>
                <w:color w:val="000000"/>
                <w:sz w:val="18"/>
                <w:szCs w:val="18"/>
              </w:rPr>
            </w:pPr>
          </w:p>
        </w:tc>
        <w:tc>
          <w:tcPr>
            <w:tcW w:w="641" w:type="pct"/>
            <w:vAlign w:val="center"/>
          </w:tcPr>
          <w:p>
            <w:pPr>
              <w:spacing w:line="260" w:lineRule="atLeast"/>
              <w:jc w:val="center"/>
              <w:rPr>
                <w:rFonts w:ascii="宋体" w:hAnsi="宋体"/>
                <w:color w:val="000000"/>
                <w:sz w:val="18"/>
                <w:szCs w:val="18"/>
              </w:rPr>
            </w:pPr>
            <w:r>
              <w:rPr>
                <w:rFonts w:hint="eastAsia" w:ascii="宋体" w:hAnsi="宋体"/>
                <w:color w:val="000000"/>
                <w:sz w:val="18"/>
                <w:szCs w:val="18"/>
              </w:rPr>
              <w:t>SYJS4-2-11</w:t>
            </w:r>
          </w:p>
        </w:tc>
        <w:tc>
          <w:tcPr>
            <w:tcW w:w="1406" w:type="pct"/>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其它不诚信行为</w:t>
            </w:r>
          </w:p>
        </w:tc>
        <w:tc>
          <w:tcPr>
            <w:tcW w:w="868" w:type="pct"/>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494" w:type="pct"/>
            <w:vAlign w:val="center"/>
          </w:tcPr>
          <w:p>
            <w:pPr>
              <w:pStyle w:val="9"/>
              <w:spacing w:line="20" w:lineRule="atLeast"/>
              <w:jc w:val="left"/>
              <w:rPr>
                <w:rFonts w:ascii="宋体" w:hAnsi="宋体"/>
                <w:color w:val="000000"/>
                <w:sz w:val="15"/>
                <w:szCs w:val="15"/>
              </w:rPr>
            </w:pPr>
          </w:p>
        </w:tc>
      </w:tr>
    </w:tbl>
    <w:p>
      <w:pPr>
        <w:pStyle w:val="17"/>
        <w:widowControl w:val="0"/>
        <w:snapToGrid w:val="0"/>
        <w:spacing w:line="560" w:lineRule="exact"/>
        <w:ind w:firstLine="640" w:firstLineChars="200"/>
        <w:rPr>
          <w:rFonts w:ascii="方正黑体_GBK" w:eastAsia="方正黑体_GBK"/>
          <w:b/>
          <w:bCs/>
          <w:color w:val="000000"/>
        </w:rPr>
      </w:pPr>
      <w:r>
        <w:rPr>
          <w:rFonts w:hint="eastAsia" w:ascii="方正黑体_GBK" w:hAnsi="方正黑体_GBK" w:eastAsia="方正黑体_GBK" w:cs="方正黑体_GBK"/>
          <w:color w:val="000000"/>
          <w:sz w:val="32"/>
          <w:szCs w:val="32"/>
        </w:rPr>
        <w:t>二、计算方法</w:t>
      </w:r>
    </w:p>
    <w:p>
      <w:pPr>
        <w:pStyle w:val="17"/>
        <w:widowControl w:val="0"/>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建设单位信用综合评分按照以下公式计算： </w:t>
      </w:r>
    </w:p>
    <w:p>
      <w:pPr>
        <w:pStyle w:val="17"/>
        <w:snapToGrid w:val="0"/>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S=（∑Fi）/ n </w:t>
      </w:r>
    </w:p>
    <w:p>
      <w:pPr>
        <w:pStyle w:val="17"/>
        <w:widowControl w:val="0"/>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式中：S—建设单位的信用综合评分；</w:t>
      </w:r>
    </w:p>
    <w:p>
      <w:pPr>
        <w:pStyle w:val="17"/>
        <w:widowControl w:val="0"/>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      Fi—建设单位在某一水运工程建设项目的信用评分；</w:t>
      </w:r>
    </w:p>
    <w:p>
      <w:pPr>
        <w:pStyle w:val="9"/>
        <w:widowControl w:val="0"/>
        <w:spacing w:line="560" w:lineRule="exact"/>
        <w:rPr>
          <w:rFonts w:ascii="方正仿宋_GBK" w:eastAsia="方正仿宋_GBK"/>
          <w:sz w:val="32"/>
        </w:rPr>
      </w:pPr>
      <w:r>
        <w:rPr>
          <w:rFonts w:hint="eastAsia" w:ascii="方正仿宋_GBK" w:eastAsia="方正仿宋_GBK"/>
          <w:sz w:val="32"/>
        </w:rPr>
        <w:t xml:space="preserve">          n—建设单位从事水运工程建设项目总数。</w:t>
      </w: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rPr>
      </w:pPr>
    </w:p>
    <w:p>
      <w:pPr>
        <w:pStyle w:val="9"/>
        <w:widowControl w:val="0"/>
        <w:spacing w:line="560" w:lineRule="exact"/>
        <w:rPr>
          <w:rFonts w:ascii="方正黑体_GBK" w:eastAsia="方正黑体_GBK"/>
          <w:sz w:val="32"/>
        </w:rPr>
      </w:pPr>
      <w:r>
        <w:rPr>
          <w:rFonts w:hint="eastAsia" w:ascii="方正黑体_GBK" w:eastAsia="方正黑体_GBK"/>
          <w:sz w:val="32"/>
        </w:rPr>
        <w:t>附件1-2</w:t>
      </w:r>
    </w:p>
    <w:p>
      <w:pPr>
        <w:pStyle w:val="9"/>
        <w:spacing w:line="500" w:lineRule="exact"/>
        <w:jc w:val="center"/>
        <w:rPr>
          <w:rFonts w:ascii="方正小标宋_GBK" w:eastAsia="方正小标宋_GBK"/>
          <w:color w:val="000000"/>
          <w:sz w:val="36"/>
          <w:szCs w:val="36"/>
        </w:rPr>
      </w:pP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重庆市水运工程建设市场设计和</w:t>
      </w:r>
    </w:p>
    <w:p>
      <w:pPr>
        <w:pStyle w:val="9"/>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施工单位信用行为评定标准及计算方法</w:t>
      </w:r>
    </w:p>
    <w:p>
      <w:pPr>
        <w:pStyle w:val="17"/>
        <w:snapToGrid w:val="0"/>
        <w:spacing w:line="500" w:lineRule="exact"/>
        <w:ind w:firstLine="640" w:firstLineChars="200"/>
        <w:rPr>
          <w:rFonts w:ascii="方正黑体_GBK" w:hAnsi="方正黑体_GBK" w:eastAsia="方正黑体_GBK" w:cs="方正黑体_GBK"/>
          <w:color w:val="000000"/>
          <w:sz w:val="32"/>
          <w:szCs w:val="32"/>
        </w:rPr>
      </w:pPr>
    </w:p>
    <w:p>
      <w:pPr>
        <w:pStyle w:val="17"/>
        <w:snapToGrid w:val="0"/>
        <w:spacing w:line="500" w:lineRule="exact"/>
        <w:ind w:firstLine="640" w:firstLineChars="200"/>
        <w:rPr>
          <w:rFonts w:ascii="方正仿宋_GBK" w:hAnsi="宋体" w:eastAsia="方正仿宋_GBK"/>
          <w:b/>
          <w:bCs/>
          <w:color w:val="000000"/>
          <w:sz w:val="32"/>
          <w:szCs w:val="32"/>
        </w:rPr>
      </w:pPr>
      <w:r>
        <w:rPr>
          <w:rFonts w:hint="eastAsia" w:ascii="方正黑体_GBK" w:hAnsi="方正黑体_GBK" w:eastAsia="方正黑体_GBK" w:cs="方正黑体_GBK"/>
          <w:color w:val="000000"/>
          <w:sz w:val="32"/>
          <w:szCs w:val="32"/>
        </w:rPr>
        <w:t>一、评定标准</w:t>
      </w:r>
    </w:p>
    <w:p>
      <w:pPr>
        <w:pStyle w:val="3"/>
        <w:spacing w:line="500" w:lineRule="exact"/>
        <w:ind w:firstLine="640" w:firstLineChars="200"/>
        <w:rPr>
          <w:color w:val="000000"/>
        </w:rPr>
      </w:pPr>
      <w:r>
        <w:rPr>
          <w:rFonts w:hint="eastAsia" w:ascii="方正楷体_GBK" w:hAnsi="方正楷体_GBK" w:eastAsia="方正楷体_GBK" w:cs="方正楷体_GBK"/>
          <w:color w:val="000000"/>
          <w:sz w:val="32"/>
          <w:szCs w:val="32"/>
        </w:rPr>
        <w:t>（一）设计单位信用行为评定标准</w:t>
      </w:r>
    </w:p>
    <w:tbl>
      <w:tblPr>
        <w:tblStyle w:val="13"/>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026"/>
        <w:gridCol w:w="1266"/>
        <w:gridCol w:w="3147"/>
        <w:gridCol w:w="1512"/>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89" w:type="pct"/>
            <w:gridSpan w:val="2"/>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评定内容</w:t>
            </w:r>
          </w:p>
        </w:tc>
        <w:tc>
          <w:tcPr>
            <w:tcW w:w="737"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行为代码</w:t>
            </w:r>
          </w:p>
        </w:tc>
        <w:tc>
          <w:tcPr>
            <w:tcW w:w="1831"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不良行为</w:t>
            </w:r>
          </w:p>
        </w:tc>
        <w:tc>
          <w:tcPr>
            <w:tcW w:w="880"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行为等级和扣分标准</w:t>
            </w:r>
          </w:p>
        </w:tc>
        <w:tc>
          <w:tcPr>
            <w:tcW w:w="463" w:type="pct"/>
            <w:vAlign w:val="center"/>
          </w:tcPr>
          <w:p>
            <w:pPr>
              <w:widowControl/>
              <w:spacing w:line="280" w:lineRule="exact"/>
              <w:jc w:val="center"/>
              <w:rPr>
                <w:rFonts w:ascii="黑体" w:eastAsia="黑体"/>
                <w:color w:val="000000"/>
                <w:kern w:val="0"/>
                <w:sz w:val="24"/>
              </w:rPr>
            </w:pPr>
            <w:r>
              <w:rPr>
                <w:rFonts w:hint="eastAsia" w:ascii="黑体" w:eastAsia="方正黑体_GBK"/>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投标</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（满分15分，扣完为止。行为代码SYSJ1）</w:t>
            </w: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严重失信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行为（行为代码SYSJ1-1）</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涂改、伪造、出借、转让资质证书</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以他人名义投标或者以其他方式弄虚作假，骗取中标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超越本单位资质等级承揽工程</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投标人之间相互串通投标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向招标人或者评标委员会成员行贿谋取中标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SYSJ1-1-6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资格预审文件或投标文件虚假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中标后拒不按照招标文件要求提交履约保证金</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10分/次</w:t>
            </w:r>
          </w:p>
        </w:tc>
        <w:tc>
          <w:tcPr>
            <w:tcW w:w="463" w:type="pct"/>
            <w:vAlign w:val="center"/>
          </w:tcPr>
          <w:p>
            <w:pPr>
              <w:widowControl/>
              <w:spacing w:line="240" w:lineRule="exact"/>
              <w:jc w:val="center"/>
              <w:rPr>
                <w:rFonts w:ascii="宋体" w:hAnsi="宋体" w:cs="宋体"/>
                <w:color w:val="000000"/>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中标后无正当理由放弃中标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w:t>
            </w:r>
          </w:p>
        </w:tc>
        <w:tc>
          <w:tcPr>
            <w:tcW w:w="463" w:type="pct"/>
            <w:vAlign w:val="center"/>
          </w:tcPr>
          <w:p>
            <w:pPr>
              <w:widowControl/>
              <w:spacing w:line="240" w:lineRule="exact"/>
              <w:jc w:val="center"/>
              <w:rPr>
                <w:rFonts w:ascii="宋体" w:hAnsi="宋体" w:cs="宋体"/>
                <w:color w:val="000000"/>
                <w:kern w:val="0"/>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捏造事实、伪造材料或者以非法手段取得证明材料，进行虚假、恶意投诉</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无正当理由未在规定时间内签订合同</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SYSJ1-2-5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其他被认定的失信行为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restart"/>
            <w:vAlign w:val="center"/>
          </w:tcPr>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履约</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（满分70分，扣完为止。行为代码SYSJ2）</w:t>
            </w: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严重失信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行为（行为代码SYSJ2-1）</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SYSJ2-1-1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向他人转让中标项目，或将中标项目肢解后分别向他人转让项目</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SYSJ2-1-2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因设计原因引起较大及以上质量事故或重大以上等级安全责任事故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设计服务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（满分30分，扣完为止。行为代码SYSJ2-2）</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未按投标书承诺的条件配备项目负责人或未经项目法人同意更换</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5分/人次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在设计变更中与他人串通谋取非法利益</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8分/次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未按投标书承诺的条件配备专业负责人或未经项目法人同意更换</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3分/人次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指定建筑材料、建筑构配件、设备等生产厂、供应商</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未按合同承诺提供设计服务引起工期延误</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未按投标书承诺的条件配备设计代表或未经项目法人同意更换</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2分/人次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SYSJ2-2-7</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未按合同承诺按时提交设计文件</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SYSJ2-2-8</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设计文件签署不全</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SYSJ2-2-9</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后期服务无法满足项目建设需要</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SYSJ2-2-10</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与工程项目整体的其他关联设计配合力度不够</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kern w:val="0"/>
                <w:sz w:val="18"/>
                <w:szCs w:val="18"/>
              </w:rPr>
              <w:t>质量安全（满分35分，扣完为止。行为代码SYSJ2-3）</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因设计原因引起较大安全责任事故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因设计原因引起一般安全责任事故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因设计原因引起一般质量事故</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未按照工程建设强制性标准进行设计，或擅自降低设计标准</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因设计原因发生重大设计变更导致工程建设费用增加或工期延误较多</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SYSJ2-3-6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因设计原因发生质量问题或严重质量缺陷</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w:t>
            </w:r>
            <w:r>
              <w:rPr>
                <w:rFonts w:ascii="宋体" w:hAnsi="宋体"/>
                <w:color w:val="000000"/>
                <w:sz w:val="18"/>
                <w:szCs w:val="18"/>
              </w:rPr>
              <w:t>7</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造价文件采用的编规、定额等主要编制依据错误</w:t>
            </w:r>
          </w:p>
        </w:tc>
        <w:tc>
          <w:tcPr>
            <w:tcW w:w="880"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3分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w:t>
            </w:r>
            <w:r>
              <w:rPr>
                <w:rFonts w:ascii="宋体" w:hAnsi="宋体"/>
                <w:color w:val="000000"/>
                <w:sz w:val="18"/>
                <w:szCs w:val="18"/>
              </w:rPr>
              <w:t>8</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造价文件编制违反法律、法规、规章、规范性文件和造价依据强制性规定</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w:t>
            </w:r>
            <w:r>
              <w:rPr>
                <w:rFonts w:ascii="宋体" w:hAnsi="宋体"/>
                <w:color w:val="000000"/>
                <w:sz w:val="18"/>
                <w:szCs w:val="18"/>
              </w:rPr>
              <w:t>9</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造价文件中建安费估列费用</w:t>
            </w:r>
            <w:r>
              <w:rPr>
                <w:rFonts w:ascii="宋体" w:hAnsi="宋体"/>
                <w:color w:val="000000"/>
                <w:sz w:val="18"/>
                <w:szCs w:val="18"/>
              </w:rPr>
              <w:t>200</w:t>
            </w:r>
            <w:r>
              <w:rPr>
                <w:rFonts w:hint="eastAsia" w:ascii="宋体" w:hAnsi="宋体"/>
                <w:color w:val="000000"/>
                <w:sz w:val="18"/>
                <w:szCs w:val="18"/>
              </w:rPr>
              <w:t>万元及以上，应有设计文件而无对应的设计文件和工程数量</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-1</w:t>
            </w:r>
            <w:r>
              <w:rPr>
                <w:rFonts w:ascii="宋体" w:hAnsi="宋体"/>
                <w:color w:val="000000"/>
                <w:sz w:val="18"/>
                <w:szCs w:val="18"/>
              </w:rPr>
              <w:t>0</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造价文件遗漏或虚列单项费用</w:t>
            </w:r>
            <w:r>
              <w:rPr>
                <w:rFonts w:ascii="宋体" w:hAnsi="宋体"/>
                <w:color w:val="000000"/>
                <w:sz w:val="18"/>
                <w:szCs w:val="18"/>
              </w:rPr>
              <w:t>200</w:t>
            </w:r>
            <w:r>
              <w:rPr>
                <w:rFonts w:hint="eastAsia" w:ascii="宋体" w:hAnsi="宋体"/>
                <w:color w:val="000000"/>
                <w:sz w:val="18"/>
                <w:szCs w:val="18"/>
              </w:rPr>
              <w:t>万元及以上</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s="宋体"/>
                <w:color w:val="000000"/>
                <w:kern w:val="0"/>
                <w:sz w:val="18"/>
                <w:szCs w:val="18"/>
              </w:rPr>
              <w:t>SYSJ2-3</w:t>
            </w:r>
            <w:r>
              <w:rPr>
                <w:rFonts w:hint="eastAsia" w:ascii="宋体" w:hAnsi="宋体"/>
                <w:color w:val="000000"/>
                <w:sz w:val="18"/>
                <w:szCs w:val="18"/>
              </w:rPr>
              <w:t>-1</w:t>
            </w:r>
            <w:r>
              <w:rPr>
                <w:rFonts w:ascii="宋体" w:hAnsi="宋体"/>
                <w:color w:val="000000"/>
                <w:sz w:val="18"/>
                <w:szCs w:val="18"/>
              </w:rPr>
              <w:t>1</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造价文件分项工程中单个定额工程数量比设计文件工程数量增加5</w:t>
            </w:r>
            <w:r>
              <w:rPr>
                <w:rFonts w:ascii="宋体" w:hAnsi="宋体"/>
                <w:color w:val="000000"/>
                <w:sz w:val="18"/>
                <w:szCs w:val="18"/>
              </w:rPr>
              <w:t>0</w:t>
            </w:r>
            <w:r>
              <w:rPr>
                <w:rFonts w:hint="eastAsia" w:ascii="宋体" w:hAnsi="宋体"/>
                <w:color w:val="000000"/>
                <w:sz w:val="18"/>
                <w:szCs w:val="18"/>
              </w:rPr>
              <w:t>%及以上，或定额套用明显错误，导致分项工程中单个定额费用增加造价</w:t>
            </w:r>
            <w:r>
              <w:rPr>
                <w:rFonts w:ascii="宋体" w:hAnsi="宋体"/>
                <w:color w:val="000000"/>
                <w:sz w:val="18"/>
                <w:szCs w:val="18"/>
              </w:rPr>
              <w:t>200</w:t>
            </w:r>
            <w:r>
              <w:rPr>
                <w:rFonts w:hint="eastAsia" w:ascii="宋体" w:hAnsi="宋体"/>
                <w:color w:val="000000"/>
                <w:sz w:val="18"/>
                <w:szCs w:val="18"/>
              </w:rPr>
              <w:t>万元及以上</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spacing w:line="240" w:lineRule="exact"/>
              <w:jc w:val="center"/>
              <w:rPr>
                <w:rFonts w:ascii="宋体" w:hAnsi="宋体"/>
                <w:color w:val="000000"/>
                <w:sz w:val="18"/>
                <w:szCs w:val="18"/>
              </w:rPr>
            </w:pPr>
            <w:r>
              <w:rPr>
                <w:rFonts w:hint="eastAsia" w:ascii="宋体" w:hAnsi="宋体"/>
                <w:color w:val="000000"/>
                <w:sz w:val="18"/>
                <w:szCs w:val="18"/>
              </w:rPr>
              <w:t>GL</w:t>
            </w:r>
            <w:r>
              <w:rPr>
                <w:rFonts w:ascii="宋体" w:hAnsi="宋体"/>
                <w:color w:val="000000"/>
                <w:sz w:val="18"/>
                <w:szCs w:val="18"/>
              </w:rPr>
              <w:t>SJ</w:t>
            </w:r>
            <w:r>
              <w:rPr>
                <w:rFonts w:hint="eastAsia" w:ascii="宋体" w:hAnsi="宋体"/>
                <w:color w:val="000000"/>
                <w:sz w:val="18"/>
                <w:szCs w:val="18"/>
              </w:rPr>
              <w:t>2-4-</w:t>
            </w:r>
            <w:r>
              <w:rPr>
                <w:rFonts w:ascii="宋体" w:hAnsi="宋体"/>
                <w:color w:val="000000"/>
                <w:sz w:val="18"/>
                <w:szCs w:val="18"/>
              </w:rPr>
              <w:t>22</w:t>
            </w:r>
          </w:p>
        </w:tc>
        <w:tc>
          <w:tcPr>
            <w:tcW w:w="1831" w:type="pct"/>
            <w:vAlign w:val="center"/>
          </w:tcPr>
          <w:p>
            <w:pPr>
              <w:spacing w:line="240" w:lineRule="exact"/>
              <w:rPr>
                <w:rFonts w:ascii="宋体" w:hAnsi="宋体"/>
                <w:color w:val="000000"/>
                <w:sz w:val="18"/>
                <w:szCs w:val="18"/>
              </w:rPr>
            </w:pPr>
            <w:r>
              <w:rPr>
                <w:rFonts w:hint="eastAsia" w:ascii="宋体" w:hAnsi="宋体"/>
                <w:color w:val="000000"/>
                <w:sz w:val="18"/>
                <w:szCs w:val="18"/>
              </w:rPr>
              <w:t>提供虚假设计变更文件</w:t>
            </w:r>
          </w:p>
        </w:tc>
        <w:tc>
          <w:tcPr>
            <w:tcW w:w="880" w:type="pct"/>
            <w:vAlign w:val="center"/>
          </w:tcPr>
          <w:p>
            <w:pPr>
              <w:spacing w:line="240" w:lineRule="exact"/>
              <w:jc w:val="center"/>
              <w:rPr>
                <w:rFonts w:ascii="宋体" w:hAnsi="宋体"/>
                <w:color w:val="000000"/>
                <w:sz w:val="18"/>
                <w:szCs w:val="18"/>
              </w:rPr>
            </w:pPr>
            <w:r>
              <w:rPr>
                <w:rFonts w:ascii="宋体" w:hAnsi="宋体"/>
                <w:color w:val="000000"/>
                <w:sz w:val="18"/>
                <w:szCs w:val="18"/>
              </w:rPr>
              <w:t>10</w:t>
            </w:r>
            <w:r>
              <w:rPr>
                <w:rFonts w:hint="eastAsia" w:ascii="宋体" w:hAnsi="宋体"/>
                <w:color w:val="000000"/>
                <w:sz w:val="18"/>
                <w:szCs w:val="18"/>
              </w:rPr>
              <w:t>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社会责任</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（满分5分，扣完为止。行为代码SYSJ2-4）</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SYSJ2-4-1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未经专利权人许可实施其专利的，或假冒他人专利</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1-2分/次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spacing w:line="240" w:lineRule="exact"/>
              <w:rPr>
                <w:rFonts w:ascii="宋体" w:hAnsi="宋体" w:cs="宋体"/>
                <w:color w:val="00000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SYSJ2-4-2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因设计原因造成环境污染</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其他（行为代码SYSJ2-5）</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SYSJ2-5-1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其他被认定的失信行为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1-3分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其它信用行为</w:t>
            </w:r>
          </w:p>
          <w:p>
            <w:pPr>
              <w:spacing w:line="240" w:lineRule="exact"/>
              <w:rPr>
                <w:rFonts w:ascii="宋体" w:hAnsi="宋体" w:cs="宋体"/>
                <w:color w:val="000000"/>
                <w:sz w:val="18"/>
                <w:szCs w:val="18"/>
              </w:rPr>
            </w:pPr>
            <w:r>
              <w:rPr>
                <w:rFonts w:hint="eastAsia" w:ascii="宋体" w:hAnsi="宋体" w:cs="宋体"/>
                <w:color w:val="000000"/>
                <w:kern w:val="0"/>
                <w:sz w:val="18"/>
                <w:szCs w:val="18"/>
              </w:rPr>
              <w:t>（满分15分，在总分中扣除，扣完为止。行为代码SYSJ3）</w:t>
            </w: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严重失信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行为（行为代码SYSJ3-1）</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被司法机关认定有行贿、受贿行为，并构成犯罪</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企业在资质申请、延续、变更中存在造假行为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与招标人串通投标</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SYSJ3-1-4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与招标人订立背离合同实质性内容的其他协议</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直接定为D级</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restar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一般失信</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行为（行为代码SYSJ3-2）</w:t>
            </w: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SYSJ3-2-1</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未按规定填报或变更信用信息</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3分/次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SYSJ3-2-2</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填报或变更信用信息存在造假行为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SYSJ3-2-3</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弄虚作假或以不正当手段骗取较高信用等级</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SYSJ3-2-4</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bCs/>
                <w:color w:val="000000"/>
                <w:sz w:val="18"/>
                <w:szCs w:val="18"/>
              </w:rPr>
              <w:t>被交通运输部、市交通</w:t>
            </w:r>
            <w:r>
              <w:rPr>
                <w:rFonts w:hint="eastAsia" w:ascii="宋体" w:hAnsi="宋体" w:cs="宋体"/>
                <w:color w:val="000000"/>
                <w:kern w:val="0"/>
                <w:sz w:val="18"/>
                <w:szCs w:val="18"/>
              </w:rPr>
              <w:t>运输主管部门</w:t>
            </w:r>
            <w:r>
              <w:rPr>
                <w:rFonts w:hint="eastAsia" w:ascii="宋体" w:hAnsi="宋体" w:cs="宋体"/>
                <w:bCs/>
                <w:color w:val="000000"/>
                <w:sz w:val="18"/>
                <w:szCs w:val="18"/>
              </w:rPr>
              <w:t>行政处罚</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5分/次</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SYSJ3-2-5</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被区县交通主管部门行政处罚</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2分</w:t>
            </w:r>
          </w:p>
        </w:tc>
        <w:tc>
          <w:tcPr>
            <w:tcW w:w="463" w:type="pct"/>
            <w:vAlign w:val="center"/>
          </w:tcPr>
          <w:p>
            <w:pPr>
              <w:widowControl/>
              <w:spacing w:line="24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92" w:type="pct"/>
            <w:vMerge w:val="continue"/>
            <w:vAlign w:val="center"/>
          </w:tcPr>
          <w:p>
            <w:pPr>
              <w:spacing w:line="240" w:lineRule="exact"/>
              <w:rPr>
                <w:rFonts w:ascii="宋体" w:hAnsi="宋体" w:cs="宋体"/>
                <w:color w:val="000000"/>
                <w:sz w:val="18"/>
                <w:szCs w:val="18"/>
              </w:rPr>
            </w:pPr>
          </w:p>
        </w:tc>
        <w:tc>
          <w:tcPr>
            <w:tcW w:w="597" w:type="pct"/>
            <w:vMerge w:val="continue"/>
            <w:vAlign w:val="center"/>
          </w:tcPr>
          <w:p>
            <w:pPr>
              <w:widowControl/>
              <w:spacing w:line="240" w:lineRule="exact"/>
              <w:jc w:val="center"/>
              <w:rPr>
                <w:rFonts w:ascii="宋体" w:hAnsi="宋体" w:cs="宋体"/>
                <w:color w:val="000000"/>
                <w:kern w:val="0"/>
                <w:sz w:val="18"/>
                <w:szCs w:val="18"/>
              </w:rPr>
            </w:pPr>
          </w:p>
        </w:tc>
        <w:tc>
          <w:tcPr>
            <w:tcW w:w="737"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SYSJ3-2-6</w:t>
            </w:r>
          </w:p>
        </w:tc>
        <w:tc>
          <w:tcPr>
            <w:tcW w:w="1831" w:type="pct"/>
            <w:vAlign w:val="center"/>
          </w:tcPr>
          <w:p>
            <w:pPr>
              <w:widowControl/>
              <w:spacing w:line="240" w:lineRule="exact"/>
              <w:rPr>
                <w:rFonts w:ascii="宋体" w:hAnsi="宋体" w:cs="宋体"/>
                <w:color w:val="000000"/>
                <w:kern w:val="0"/>
                <w:sz w:val="18"/>
                <w:szCs w:val="18"/>
              </w:rPr>
            </w:pPr>
            <w:r>
              <w:rPr>
                <w:rFonts w:hint="eastAsia" w:ascii="宋体" w:hAnsi="宋体" w:cs="宋体"/>
                <w:color w:val="000000"/>
                <w:kern w:val="0"/>
                <w:sz w:val="18"/>
                <w:szCs w:val="18"/>
              </w:rPr>
              <w:t>其他被认定的失信行为</w:t>
            </w:r>
          </w:p>
        </w:tc>
        <w:tc>
          <w:tcPr>
            <w:tcW w:w="880" w:type="pct"/>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1-4分</w:t>
            </w:r>
          </w:p>
        </w:tc>
        <w:tc>
          <w:tcPr>
            <w:tcW w:w="463" w:type="pct"/>
            <w:vAlign w:val="center"/>
          </w:tcPr>
          <w:p>
            <w:pPr>
              <w:widowControl/>
              <w:spacing w:line="240" w:lineRule="exact"/>
              <w:jc w:val="center"/>
              <w:rPr>
                <w:rFonts w:ascii="宋体" w:hAnsi="宋体" w:cs="宋体"/>
                <w:color w:val="000000"/>
                <w:kern w:val="0"/>
                <w:sz w:val="18"/>
                <w:szCs w:val="18"/>
              </w:rPr>
            </w:pPr>
          </w:p>
        </w:tc>
      </w:tr>
    </w:tbl>
    <w:p>
      <w:pPr>
        <w:rPr>
          <w:rFonts w:ascii="宋体" w:hAnsi="宋体"/>
          <w:color w:val="000000"/>
          <w:kern w:val="0"/>
          <w:sz w:val="18"/>
          <w:szCs w:val="18"/>
        </w:rPr>
      </w:pPr>
      <w:r>
        <w:rPr>
          <w:rFonts w:hint="eastAsia" w:ascii="宋体" w:hAnsi="宋体"/>
          <w:color w:val="000000"/>
          <w:kern w:val="0"/>
          <w:sz w:val="18"/>
          <w:szCs w:val="18"/>
        </w:rPr>
        <w:t>注：1.“其他被认定的失信行为”是指市交通主管部门或交通运输部依据法律法规认定的企业其他失信行为。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2.SYSJ2-1-2 、SYSJ2-3-1、SYSJ2-3-2、SYSJ2-3-3、SYSJ2-3-6应依据有关部门的事故调查处理结果认定。质量事故、安全事故的等级划分标准执行《生产安全事故报告和调查处理条例》（国务院第493号令）、《公路水运建设工程质量事故等级划分和报告制度》（交办安监〔2016〕146号）等。</w:t>
      </w:r>
    </w:p>
    <w:p>
      <w:pPr>
        <w:ind w:firstLine="360" w:firstLineChars="200"/>
        <w:rPr>
          <w:rFonts w:ascii="宋体" w:hAnsi="宋体"/>
          <w:color w:val="000000"/>
          <w:kern w:val="0"/>
          <w:sz w:val="18"/>
          <w:szCs w:val="18"/>
        </w:rPr>
      </w:pPr>
      <w:r>
        <w:rPr>
          <w:rFonts w:hint="eastAsia" w:ascii="宋体" w:hAnsi="宋体"/>
          <w:color w:val="000000"/>
          <w:kern w:val="0"/>
          <w:sz w:val="18"/>
          <w:szCs w:val="18"/>
        </w:rPr>
        <w:t>3.SYSJ2-2-1、SYSJ2-2-3主要包括以下情形：</w:t>
      </w:r>
    </w:p>
    <w:p>
      <w:pPr>
        <w:ind w:firstLine="360" w:firstLineChars="200"/>
        <w:rPr>
          <w:rFonts w:ascii="宋体" w:hAnsi="宋体"/>
          <w:color w:val="000000"/>
          <w:kern w:val="0"/>
          <w:sz w:val="18"/>
          <w:szCs w:val="18"/>
        </w:rPr>
      </w:pPr>
      <w:r>
        <w:rPr>
          <w:rFonts w:hint="eastAsia" w:ascii="宋体" w:hAnsi="宋体"/>
          <w:color w:val="000000"/>
          <w:kern w:val="0"/>
          <w:sz w:val="18"/>
          <w:szCs w:val="18"/>
        </w:rPr>
        <w:t>（1）配备的项目负责人或专业负责人低于投标承诺的条件（包括职称、业绩、资历等）；</w:t>
      </w:r>
    </w:p>
    <w:p>
      <w:pPr>
        <w:ind w:firstLine="360" w:firstLineChars="200"/>
        <w:rPr>
          <w:rFonts w:ascii="宋体" w:hAnsi="宋体"/>
          <w:color w:val="000000"/>
          <w:kern w:val="0"/>
          <w:sz w:val="18"/>
          <w:szCs w:val="18"/>
        </w:rPr>
      </w:pPr>
      <w:r>
        <w:rPr>
          <w:rFonts w:hint="eastAsia" w:ascii="宋体" w:hAnsi="宋体"/>
          <w:color w:val="000000"/>
          <w:kern w:val="0"/>
          <w:sz w:val="18"/>
          <w:szCs w:val="18"/>
        </w:rPr>
        <w:t>（2）配备的项目负责人或专业负责人不低于投标承诺的条件，但未经项目法人同意进行更换；</w:t>
      </w:r>
    </w:p>
    <w:p>
      <w:pPr>
        <w:ind w:firstLine="360" w:firstLineChars="200"/>
        <w:rPr>
          <w:rFonts w:ascii="宋体" w:hAnsi="宋体"/>
          <w:color w:val="000000"/>
          <w:kern w:val="0"/>
          <w:sz w:val="18"/>
          <w:szCs w:val="18"/>
        </w:rPr>
      </w:pPr>
      <w:r>
        <w:rPr>
          <w:rFonts w:hint="eastAsia" w:ascii="宋体" w:hAnsi="宋体"/>
          <w:color w:val="000000"/>
          <w:kern w:val="0"/>
          <w:sz w:val="18"/>
          <w:szCs w:val="18"/>
        </w:rPr>
        <w:t>（3）配备的项目负责人或专业负责人不低于投标承诺的条件，虽经过项目法人同意进行更换，但同一岗位更换人次数达到两次以上，从第二次变更开始扣分。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4.SYSJ2-4-2应依据有关部门的事故调查处理结果认定。环境污染事故的等级划分标准执行《突发环境事件信息报告办法》（环境保护部2011年第17号令）。</w:t>
      </w:r>
    </w:p>
    <w:p>
      <w:pPr>
        <w:ind w:firstLine="360" w:firstLineChars="200"/>
        <w:rPr>
          <w:rFonts w:ascii="宋体" w:hAnsi="宋体"/>
          <w:color w:val="000000"/>
          <w:kern w:val="0"/>
          <w:sz w:val="18"/>
          <w:szCs w:val="18"/>
        </w:rPr>
      </w:pPr>
      <w:r>
        <w:rPr>
          <w:rFonts w:hint="eastAsia" w:ascii="宋体" w:hAnsi="宋体"/>
          <w:color w:val="000000"/>
          <w:kern w:val="0"/>
          <w:sz w:val="18"/>
          <w:szCs w:val="18"/>
        </w:rPr>
        <w:t>5.SYSJ3-1-1是指在重庆市从事水运工程设计活动中发生的单位行贿、受贿行为。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6.SYSJ3-2-4、SYSJ3-2-5当被市交通运输主管部门、区县交通主管部门行政处罚，涉及标准中的具体失信行为时，不重复扣分，按“就高不就低”原则执行。</w:t>
      </w:r>
    </w:p>
    <w:p>
      <w:pPr>
        <w:ind w:firstLine="360" w:firstLineChars="200"/>
        <w:rPr>
          <w:rFonts w:ascii="宋体" w:hAnsi="宋体"/>
          <w:color w:val="000000"/>
          <w:kern w:val="0"/>
          <w:sz w:val="18"/>
          <w:szCs w:val="18"/>
        </w:rPr>
      </w:pPr>
      <w:r>
        <w:rPr>
          <w:rFonts w:hint="eastAsia" w:ascii="宋体" w:hAnsi="宋体"/>
          <w:color w:val="000000"/>
          <w:kern w:val="0"/>
          <w:sz w:val="18"/>
          <w:szCs w:val="18"/>
        </w:rPr>
        <w:t>7.扣分“次”是指在评价期内发现的企业失信行为次数。企业失信行为能够整改的，整改期内不重复扣分，整改期满后，未整改或再次发生同一失信行为，加倍扣分。</w:t>
      </w:r>
    </w:p>
    <w:p>
      <w:pPr>
        <w:pStyle w:val="3"/>
        <w:spacing w:line="50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（二）施工单位信用行为评定标准</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
        <w:gridCol w:w="992"/>
        <w:gridCol w:w="1134"/>
        <w:gridCol w:w="3119"/>
        <w:gridCol w:w="1418"/>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809" w:type="dxa"/>
            <w:gridSpan w:val="3"/>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134"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代码</w:t>
            </w:r>
          </w:p>
        </w:tc>
        <w:tc>
          <w:tcPr>
            <w:tcW w:w="311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418"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1700"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投标行为（满分15分，扣完为止。行为代码SYSG1）</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严重失信行为（行为代码SYSG1-1）</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1-1-1</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涂改、伪造、出借、转让资质证书</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1-1-2</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以他人名义投标或者以其他方式弄虚作假，骗取中标</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1-1-3</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超越本单位资质等级承揽工程</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1-1-4</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投标人之间相互串通投标</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1-1-5</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有向招标人或者评标委员会成员行贿行为</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1-1-6</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资格预审文件或投标文件虚假</w:t>
            </w:r>
          </w:p>
        </w:tc>
        <w:tc>
          <w:tcPr>
            <w:tcW w:w="1418"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直接定为D级</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其他失信行为（行为代码SYSG1-2）</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1-2-1</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中标后拒不按照招标文件要求提交履约保证金</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10分/次</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1-2-2</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中标后无正当理由放弃中标</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1-2-3</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捏造事实、伪造材料或者以非法手段取得证明材料，进行虚假、恶意投诉</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5分/次</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SY</w:t>
            </w:r>
            <w:r>
              <w:rPr>
                <w:rFonts w:hint="eastAsia" w:ascii="宋体" w:hAnsi="宋体"/>
                <w:color w:val="000000"/>
                <w:sz w:val="18"/>
                <w:szCs w:val="18"/>
              </w:rPr>
              <w:t>SG</w:t>
            </w:r>
            <w:r>
              <w:rPr>
                <w:rFonts w:hint="eastAsia" w:ascii="宋体" w:hAnsi="宋体"/>
                <w:bCs/>
                <w:color w:val="000000"/>
                <w:sz w:val="18"/>
                <w:szCs w:val="18"/>
              </w:rPr>
              <w:t>1-2-4</w:t>
            </w:r>
          </w:p>
        </w:tc>
        <w:tc>
          <w:tcPr>
            <w:tcW w:w="3119" w:type="dxa"/>
            <w:vAlign w:val="center"/>
          </w:tcPr>
          <w:p>
            <w:pPr>
              <w:pStyle w:val="9"/>
              <w:spacing w:line="260" w:lineRule="atLeast"/>
              <w:jc w:val="left"/>
              <w:rPr>
                <w:rFonts w:ascii="宋体" w:hAnsi="宋体"/>
                <w:bCs/>
                <w:color w:val="000000"/>
                <w:sz w:val="18"/>
                <w:szCs w:val="18"/>
              </w:rPr>
            </w:pPr>
            <w:r>
              <w:rPr>
                <w:rFonts w:hint="eastAsia" w:ascii="宋体" w:hAnsi="宋体"/>
                <w:bCs/>
                <w:color w:val="000000"/>
                <w:sz w:val="18"/>
                <w:szCs w:val="18"/>
              </w:rPr>
              <w:t>其他被认定的失信行为</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1-3分/次</w:t>
            </w:r>
          </w:p>
        </w:tc>
        <w:tc>
          <w:tcPr>
            <w:tcW w:w="1700" w:type="dxa"/>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履约行为（满分70分，扣完为止。行为代码SYSG2）</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严重失信行为（行为代码SYSG2-1）</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SYSG2-1-1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向他人转让中标项目，或将中标项目肢解后分别向他人转让项目</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SYSG2-1-2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发生较大及以上等级质量事故或重大以上等级安全生产责任事故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SYSG2-1-3</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发生重大质量事故或较大以上等级安全生产责任事故隐瞒不报、谎报或拖延报告期限</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人员、设备到位（满分5分，扣完为止。行为代码SYSG2-2）</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项目经理、技术负责人未按投标承诺的条件配备或未经项目法人批准擅自更换</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2分/人次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*SYSG2-2-2</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关键施工机械、设备未按投标承诺或工程需要到位，影响工程施工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1分/台（艘）次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*SYSG2-2-3</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主要工程管理、技术人员未按投标承诺到位，或更换人员低于投标承诺条件</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0.5分/人次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*SYSG2-2-4</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有关人员未按要求持证上岗</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质量管理、进度管理、造价管理（满分40分，扣完为止。行为代码SYSG2-3）</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将承包工程违法分包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SYSG2-3-2</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由于施工企业原因导致合同终止</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*SYSG2-3-3</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未按照强制性标准进行施工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SYSG2-3-4</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因施工原因发生重大设计变更导致工程建设费用增加或工期延误较多</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*SYSG2-3-5</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使用未经检验或检验不合格的建筑材料、建筑构配件和设备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*SYSG2-3-6</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施工过程中偷工减料</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SYSG2-3-7</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发生一般质量事故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*SYSG2-3-8</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不按照设计图纸施工或施工方案未经审查批准擅自开工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SYSG2-3-9</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发生质量问题或严重质量缺陷</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SYSG2-3-10</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工程变更中存在弄虚作假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内业资料造假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SYSG2-3-12</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因施工原因造成工程进度滞后于合同工期</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SYSG2-3-13</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不履行保修义务或者拖延履行保修义务</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SYSG2-3-14</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挪用工程款</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SYSG2-3-15</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未按规定配备质量管理人员</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SYSG2-3-16</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分部、分项工程质量未经检验、评定或隐蔽工程等工序验收未经监理签认进入下道工序施工</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SYSG2-3-17</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未按照合同约定设立工地试验室或委托试验检测工作未经建设单位批准，工地试验室未经质监机构备案</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SYSG2-3-18</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无正当理由不服从业主同意协调组织管理</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SYSG2-3-19</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工程验收、结算资料提供不及时，影响工程整体验收</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SYSG2-3-2</w:t>
            </w:r>
            <w:r>
              <w:rPr>
                <w:rFonts w:ascii="宋体" w:hAnsi="宋体"/>
                <w:color w:val="000000"/>
                <w:sz w:val="18"/>
                <w:szCs w:val="18"/>
              </w:rPr>
              <w:t>0</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试验检测数据弄虚作假</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SYSG2-3-2</w:t>
            </w:r>
            <w:r>
              <w:rPr>
                <w:rFonts w:ascii="宋体" w:hAnsi="宋体"/>
                <w:color w:val="000000"/>
                <w:sz w:val="18"/>
                <w:szCs w:val="18"/>
              </w:rPr>
              <w:t>1</w:t>
            </w:r>
          </w:p>
        </w:tc>
        <w:tc>
          <w:tcPr>
            <w:tcW w:w="3119" w:type="dxa"/>
            <w:vAlign w:val="center"/>
          </w:tcPr>
          <w:p>
            <w:pPr>
              <w:pStyle w:val="9"/>
              <w:spacing w:line="260" w:lineRule="atLeast"/>
              <w:jc w:val="left"/>
              <w:rPr>
                <w:rFonts w:ascii="宋体" w:hAnsi="宋体"/>
                <w:color w:val="000000"/>
                <w:sz w:val="18"/>
                <w:szCs w:val="18"/>
              </w:rPr>
            </w:pPr>
            <w:r>
              <w:rPr>
                <w:rFonts w:hint="eastAsia" w:ascii="宋体" w:hAnsi="宋体"/>
                <w:color w:val="000000"/>
                <w:sz w:val="18"/>
                <w:szCs w:val="18"/>
              </w:rPr>
              <w:t>违反行业淘汰和限制落后（质量）施工工艺、设备和材料规定的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Pr>
          <w:p>
            <w:pPr>
              <w:rPr>
                <w:rFonts w:ascii="宋体" w:hAnsi="宋体"/>
                <w:color w:val="000000"/>
                <w:sz w:val="18"/>
                <w:szCs w:val="18"/>
              </w:rPr>
            </w:pPr>
            <w:r>
              <w:rPr>
                <w:rFonts w:hint="eastAsia" w:ascii="宋体" w:hAnsi="宋体"/>
                <w:color w:val="000000"/>
                <w:sz w:val="18"/>
                <w:szCs w:val="18"/>
              </w:rPr>
              <w:t>SYSG2-3-22</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工程变更弄虚作假</w:t>
            </w:r>
          </w:p>
        </w:tc>
        <w:tc>
          <w:tcPr>
            <w:tcW w:w="1418" w:type="dxa"/>
            <w:vAlign w:val="center"/>
          </w:tcPr>
          <w:p>
            <w:pPr>
              <w:jc w:val="center"/>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Pr>
          <w:p>
            <w:pPr>
              <w:rPr>
                <w:rFonts w:ascii="宋体" w:hAnsi="宋体"/>
                <w:color w:val="000000"/>
                <w:sz w:val="18"/>
                <w:szCs w:val="18"/>
              </w:rPr>
            </w:pPr>
            <w:r>
              <w:rPr>
                <w:rFonts w:hint="eastAsia" w:ascii="宋体" w:hAnsi="宋体"/>
                <w:color w:val="000000"/>
                <w:sz w:val="18"/>
                <w:szCs w:val="18"/>
              </w:rPr>
              <w:t>SYSG2-3-23</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虚假计量</w:t>
            </w:r>
          </w:p>
        </w:tc>
        <w:tc>
          <w:tcPr>
            <w:tcW w:w="1418" w:type="dxa"/>
            <w:vAlign w:val="center"/>
          </w:tcPr>
          <w:p>
            <w:pPr>
              <w:jc w:val="center"/>
              <w:rPr>
                <w:rFonts w:ascii="宋体" w:hAnsi="宋体"/>
                <w:color w:val="000000"/>
                <w:sz w:val="18"/>
                <w:szCs w:val="18"/>
              </w:rPr>
            </w:pPr>
            <w:r>
              <w:rPr>
                <w:rFonts w:ascii="宋体" w:hAnsi="宋体"/>
                <w:color w:val="000000"/>
                <w:sz w:val="18"/>
                <w:szCs w:val="18"/>
              </w:rPr>
              <w:t>5</w:t>
            </w:r>
            <w:r>
              <w:rPr>
                <w:rFonts w:hint="eastAsia" w:ascii="宋体" w:hAnsi="宋体"/>
                <w:color w:val="000000"/>
                <w:sz w:val="18"/>
                <w:szCs w:val="18"/>
              </w:rPr>
              <w:t>分/次</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Pr>
          <w:p>
            <w:pPr>
              <w:rPr>
                <w:rFonts w:ascii="宋体" w:hAnsi="宋体"/>
                <w:color w:val="000000"/>
                <w:sz w:val="18"/>
                <w:szCs w:val="18"/>
              </w:rPr>
            </w:pPr>
            <w:r>
              <w:rPr>
                <w:rFonts w:hint="eastAsia" w:ascii="宋体" w:hAnsi="宋体"/>
                <w:color w:val="000000"/>
                <w:sz w:val="18"/>
                <w:szCs w:val="18"/>
              </w:rPr>
              <w:t>SYSG2-3-24</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造价管理台账不完备</w:t>
            </w:r>
          </w:p>
        </w:tc>
        <w:tc>
          <w:tcPr>
            <w:tcW w:w="1418" w:type="dxa"/>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1700" w:type="dxa"/>
            <w:vAlign w:val="center"/>
          </w:tcPr>
          <w:p>
            <w:pPr>
              <w:pStyle w:val="9"/>
              <w:spacing w:line="26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安全生产（满分20分，扣完为止。行为代码SYSG2-4）</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发生较大安全生产责任事故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15分/次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发生一般安全生产责任事故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700"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SYSG2-4-3</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施工期间发生工程安全事件，拒绝或消极抢险</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SYSG2-4-4</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现场管理混乱，存在重大安全事故隐患</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SYSG2-4-5</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对重大危险源未监控，或者未制定应急预案以及未开展应急预案演练</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SYSG2-4-6</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挪用安全防护文明施工措施费用</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SYSG2-4-7</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未按规定配备安全生产管理人员</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*SYSG2-4-8</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特种作业人员未持有效证件上岗</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1分/人次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*SYSG2-4-9</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特种设备未经检验或检验不合格投入使用</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2分/台次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SYSG2-4-10</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适航证书与施工作业区域不符</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1分/艘次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未及时、如实报告生产安全事故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未对职工进行安全生产教育和培训；分部分项工程实施前未进行安全生产技术交底</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SYSG2-4-13</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对危险性较大的工程未编制专项施工方案并附安全验算结果，未按相关规定完善审批手续</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SYSG2-4-14</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进行水上水下施工未报经主管机关核准公告；施工单位擅自扩大安全作业区范围</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SYSG2-4-15</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未按规定办理施工人员工伤保险</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SYSG2-4-16</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未按“平安工地”建设要求进行考评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SYSG2-4-17</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违反市</w:t>
            </w:r>
            <w:r>
              <w:rPr>
                <w:rFonts w:hint="eastAsia" w:ascii="宋体" w:hAnsi="宋体"/>
                <w:bCs/>
                <w:color w:val="000000"/>
                <w:sz w:val="18"/>
                <w:szCs w:val="18"/>
              </w:rPr>
              <w:t>交通主管部门</w:t>
            </w:r>
            <w:r>
              <w:rPr>
                <w:rFonts w:hint="eastAsia" w:ascii="宋体" w:hAnsi="宋体"/>
                <w:color w:val="000000"/>
                <w:sz w:val="18"/>
                <w:szCs w:val="18"/>
              </w:rPr>
              <w:t>颁布的有关施工安全强制性要求</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SYSG2-4-18</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违反行业禁止使用危及生产安全的施工工艺、设备和材料规定的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社会责任（满分5分，扣完为止。行为代码SYSG2-5）</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SYSG2-5-1</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恶意拖欠农民工工资，造成不良影响</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Merge w:val="continue"/>
            <w:vAlign w:val="center"/>
          </w:tcPr>
          <w:p>
            <w:pPr>
              <w:pStyle w:val="9"/>
              <w:spacing w:line="260" w:lineRule="atLeast"/>
              <w:jc w:val="cente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SYSG2-5-2</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施工产生的废渣随意丢弃，废水随意排放，造成环境污染事故</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1-3分/次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gridSpan w:val="2"/>
            <w:vMerge w:val="continue"/>
            <w:vAlign w:val="center"/>
          </w:tcPr>
          <w:p>
            <w:pPr>
              <w:rPr>
                <w:rFonts w:ascii="宋体" w:hAnsi="宋体"/>
                <w:color w:val="000000"/>
                <w:sz w:val="18"/>
                <w:szCs w:val="18"/>
              </w:rPr>
            </w:pPr>
          </w:p>
        </w:tc>
        <w:tc>
          <w:tcPr>
            <w:tcW w:w="992" w:type="dxa"/>
            <w:vAlign w:val="center"/>
          </w:tcPr>
          <w:p>
            <w:pPr>
              <w:jc w:val="center"/>
              <w:rPr>
                <w:rFonts w:ascii="宋体" w:hAnsi="宋体"/>
                <w:color w:val="000000"/>
                <w:sz w:val="18"/>
                <w:szCs w:val="18"/>
              </w:rPr>
            </w:pPr>
            <w:r>
              <w:rPr>
                <w:rFonts w:hint="eastAsia" w:ascii="宋体" w:hAnsi="宋体"/>
                <w:color w:val="000000"/>
                <w:sz w:val="18"/>
                <w:szCs w:val="18"/>
              </w:rPr>
              <w:t>其他行为代码（SYSG2-6）</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SYSG2-6</w:t>
            </w:r>
          </w:p>
        </w:tc>
        <w:tc>
          <w:tcPr>
            <w:tcW w:w="3119"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其他被认定的失信行为</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1-5分</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其它行为（满分15分，扣完为止。行为代码SYSG3）</w:t>
            </w:r>
          </w:p>
        </w:tc>
        <w:tc>
          <w:tcPr>
            <w:tcW w:w="99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严重失信行为（行为代码SYSG3-1）</w:t>
            </w: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SYSG3-1-1</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被司法机关认定有行贿、受贿行为，并构成犯罪</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SYSG3-1-2</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企业在资质申请、延续、变更中存在造假行为</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SYSG3-1-3</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与招标人串通投标</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SYSG3-1-4</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与招标人订立背离合同实质性内容的其他协议</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直接定为D级</w:t>
            </w:r>
          </w:p>
        </w:tc>
        <w:tc>
          <w:tcPr>
            <w:tcW w:w="1700" w:type="dxa"/>
            <w:vAlign w:val="center"/>
          </w:tcPr>
          <w:p>
            <w:pPr>
              <w:pStyle w:val="9"/>
              <w:spacing w:line="22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其他失信行为（行为代码SYSG3-2）</w:t>
            </w: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SYSG3-2-1</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填报或变更信用信息存在造假行为</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SYSG3-2-2</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弄虚作假或以不正当手段骗取较高信用等级</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jc w:val="lef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SYSG3-2-3</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被交通运输部、市</w:t>
            </w:r>
            <w:r>
              <w:rPr>
                <w:rFonts w:hint="eastAsia" w:ascii="宋体" w:hAnsi="宋体"/>
                <w:bCs/>
                <w:color w:val="000000"/>
                <w:sz w:val="18"/>
                <w:szCs w:val="18"/>
              </w:rPr>
              <w:t>交通运输主管部门</w:t>
            </w:r>
            <w:r>
              <w:rPr>
                <w:rFonts w:hint="eastAsia" w:ascii="宋体" w:hAnsi="宋体"/>
                <w:color w:val="000000"/>
                <w:sz w:val="18"/>
                <w:szCs w:val="18"/>
              </w:rPr>
              <w:t>行政处罚</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SYSG3-2-4</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被区县交通主管部门行政处罚</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2分/次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SYSG3-2-5</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拒绝参与政府部门组织的应急抢险任务</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5分/次</w:t>
            </w:r>
          </w:p>
        </w:tc>
        <w:tc>
          <w:tcPr>
            <w:tcW w:w="1700"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Merge w:val="continue"/>
            <w:vAlign w:val="center"/>
          </w:tcPr>
          <w:p>
            <w:pPr>
              <w:rPr>
                <w:rFonts w:ascii="宋体" w:hAnsi="宋体"/>
                <w:color w:val="000000"/>
                <w:sz w:val="18"/>
                <w:szCs w:val="18"/>
              </w:rPr>
            </w:pPr>
          </w:p>
        </w:tc>
        <w:tc>
          <w:tcPr>
            <w:tcW w:w="999" w:type="dxa"/>
            <w:gridSpan w:val="2"/>
            <w:vMerge w:val="continue"/>
            <w:vAlign w:val="center"/>
          </w:tcPr>
          <w:p>
            <w:pPr>
              <w:rPr>
                <w:rFonts w:ascii="宋体" w:hAnsi="宋体"/>
                <w:color w:val="000000"/>
                <w:sz w:val="18"/>
                <w:szCs w:val="18"/>
              </w:rPr>
            </w:pPr>
          </w:p>
        </w:tc>
        <w:tc>
          <w:tcPr>
            <w:tcW w:w="1134"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SYSG3-2-6</w:t>
            </w:r>
          </w:p>
        </w:tc>
        <w:tc>
          <w:tcPr>
            <w:tcW w:w="3119"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其他被认定的失信行为</w:t>
            </w:r>
          </w:p>
        </w:tc>
        <w:tc>
          <w:tcPr>
            <w:tcW w:w="1418" w:type="dxa"/>
            <w:vAlign w:val="center"/>
          </w:tcPr>
          <w:p>
            <w:pPr>
              <w:pStyle w:val="9"/>
              <w:spacing w:line="220" w:lineRule="exact"/>
              <w:jc w:val="center"/>
              <w:rPr>
                <w:rFonts w:ascii="宋体" w:hAnsi="宋体"/>
                <w:color w:val="000000"/>
                <w:sz w:val="18"/>
                <w:szCs w:val="18"/>
              </w:rPr>
            </w:pPr>
            <w:r>
              <w:rPr>
                <w:rFonts w:hint="eastAsia" w:ascii="宋体" w:hAnsi="宋体"/>
                <w:color w:val="000000"/>
                <w:sz w:val="18"/>
                <w:szCs w:val="18"/>
              </w:rPr>
              <w:t>1-4分</w:t>
            </w:r>
          </w:p>
        </w:tc>
        <w:tc>
          <w:tcPr>
            <w:tcW w:w="1700" w:type="dxa"/>
            <w:vAlign w:val="center"/>
          </w:tcPr>
          <w:p>
            <w:pPr>
              <w:pStyle w:val="9"/>
              <w:rPr>
                <w:rFonts w:ascii="宋体" w:hAnsi="宋体"/>
                <w:color w:val="000000"/>
                <w:sz w:val="15"/>
                <w:szCs w:val="15"/>
              </w:rPr>
            </w:pPr>
          </w:p>
        </w:tc>
      </w:tr>
    </w:tbl>
    <w:p>
      <w:pPr>
        <w:rPr>
          <w:rFonts w:ascii="宋体" w:hAnsi="宋体"/>
          <w:color w:val="000000"/>
          <w:kern w:val="0"/>
          <w:sz w:val="18"/>
          <w:szCs w:val="18"/>
        </w:rPr>
      </w:pPr>
      <w:r>
        <w:rPr>
          <w:rFonts w:hint="eastAsia" w:ascii="宋体" w:hAnsi="宋体"/>
          <w:color w:val="000000"/>
          <w:kern w:val="0"/>
          <w:sz w:val="18"/>
          <w:szCs w:val="18"/>
        </w:rPr>
        <w:t>注：1.“其他被认定的失信行为”是指由市交通局或交通运输部依据法律法规认定的企业其他失信行为。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2.SYSG2-1-2 、SYSG2-1-3、SYSG2-3-7、SYSG2-4-1、SYSG2-4-2应依据有关部门的事故调查处理结果认定。质量事故、安全事故的等级划分标准执行《生产安全事故报告和调查处理条例》（国务院第493号令）、《公路水运建设工程质量事故等级划分和报告制度》（交办安监〔2016〕146号）等。</w:t>
      </w:r>
    </w:p>
    <w:p>
      <w:pPr>
        <w:ind w:firstLine="360" w:firstLineChars="200"/>
        <w:rPr>
          <w:rFonts w:ascii="宋体" w:hAnsi="宋体"/>
          <w:color w:val="000000"/>
          <w:kern w:val="0"/>
          <w:sz w:val="18"/>
          <w:szCs w:val="18"/>
        </w:rPr>
      </w:pPr>
      <w:r>
        <w:rPr>
          <w:rFonts w:hint="eastAsia" w:ascii="宋体" w:hAnsi="宋体"/>
          <w:color w:val="000000"/>
          <w:kern w:val="0"/>
          <w:sz w:val="18"/>
          <w:szCs w:val="18"/>
        </w:rPr>
        <w:t>3.SYSG2-2-1主要包括以下情形：</w:t>
      </w:r>
    </w:p>
    <w:p>
      <w:pPr>
        <w:ind w:firstLine="360" w:firstLineChars="200"/>
        <w:rPr>
          <w:rFonts w:ascii="宋体" w:hAnsi="宋体"/>
          <w:color w:val="000000"/>
          <w:kern w:val="0"/>
          <w:sz w:val="18"/>
          <w:szCs w:val="18"/>
        </w:rPr>
      </w:pPr>
      <w:r>
        <w:rPr>
          <w:rFonts w:hint="eastAsia" w:ascii="宋体" w:hAnsi="宋体"/>
          <w:color w:val="000000"/>
          <w:kern w:val="0"/>
          <w:sz w:val="18"/>
          <w:szCs w:val="18"/>
        </w:rPr>
        <w:t>（1）配备的项目经理、技术负责人低于投标承诺的条件（包括职称、业绩、资历等）；</w:t>
      </w:r>
    </w:p>
    <w:p>
      <w:pPr>
        <w:ind w:firstLine="360" w:firstLineChars="200"/>
        <w:rPr>
          <w:rFonts w:ascii="宋体" w:hAnsi="宋体"/>
          <w:color w:val="000000"/>
          <w:kern w:val="0"/>
          <w:sz w:val="18"/>
          <w:szCs w:val="18"/>
        </w:rPr>
      </w:pPr>
      <w:r>
        <w:rPr>
          <w:rFonts w:hint="eastAsia" w:ascii="宋体" w:hAnsi="宋体"/>
          <w:color w:val="000000"/>
          <w:kern w:val="0"/>
          <w:sz w:val="18"/>
          <w:szCs w:val="18"/>
        </w:rPr>
        <w:t>（2）配备的项目经理、技术负责人不低于投标承诺的条件，但未经项目法人同意进行更换；</w:t>
      </w:r>
    </w:p>
    <w:p>
      <w:pPr>
        <w:ind w:firstLine="360" w:firstLineChars="200"/>
        <w:rPr>
          <w:rFonts w:ascii="宋体" w:hAnsi="宋体"/>
          <w:color w:val="000000"/>
          <w:kern w:val="0"/>
          <w:sz w:val="18"/>
          <w:szCs w:val="18"/>
        </w:rPr>
      </w:pPr>
      <w:r>
        <w:rPr>
          <w:rFonts w:hint="eastAsia" w:ascii="宋体" w:hAnsi="宋体"/>
          <w:color w:val="000000"/>
          <w:kern w:val="0"/>
          <w:sz w:val="18"/>
          <w:szCs w:val="18"/>
        </w:rPr>
        <w:t>（3）配备的项目经理、技术负责人不低于投标承诺的条件，虽经过项目法人同意进行更换，但同一岗位更换人次数达到两次以上，从第二次变更开始扣分。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4.SYSG2-2-2中的工程需要的关键施工机械、设备是指外部条件未发生重大变化，为满足合理施工需要应配备的关键施工机械、设备。</w:t>
      </w:r>
    </w:p>
    <w:p>
      <w:pPr>
        <w:ind w:firstLine="360" w:firstLineChars="200"/>
        <w:rPr>
          <w:rFonts w:ascii="宋体" w:hAnsi="宋体"/>
          <w:color w:val="000000"/>
          <w:kern w:val="0"/>
          <w:sz w:val="18"/>
          <w:szCs w:val="18"/>
        </w:rPr>
      </w:pPr>
      <w:r>
        <w:rPr>
          <w:rFonts w:hint="eastAsia" w:ascii="宋体" w:hAnsi="宋体"/>
          <w:color w:val="000000"/>
          <w:kern w:val="0"/>
          <w:sz w:val="18"/>
          <w:szCs w:val="18"/>
        </w:rPr>
        <w:t>5.SYSG2-2-4主要指项目经理、副经理、技术负责人、专职安全员未按规定持交通主管部门颁发的安全生产考核合格证上岗，如有关管理文件、招标文件对项目管理人员有其他持证要求的，也适用本条。</w:t>
      </w:r>
    </w:p>
    <w:p>
      <w:pPr>
        <w:ind w:firstLine="360" w:firstLineChars="200"/>
        <w:rPr>
          <w:rFonts w:ascii="宋体" w:hAnsi="宋体"/>
          <w:color w:val="000000"/>
          <w:kern w:val="0"/>
          <w:sz w:val="18"/>
          <w:szCs w:val="18"/>
        </w:rPr>
      </w:pPr>
      <w:r>
        <w:rPr>
          <w:rFonts w:hint="eastAsia" w:ascii="宋体" w:hAnsi="宋体"/>
          <w:color w:val="000000"/>
          <w:kern w:val="0"/>
          <w:sz w:val="18"/>
          <w:szCs w:val="18"/>
        </w:rPr>
        <w:t>6.SYSG2-3-3主要指违反相关工程建设标准强制性条文规定的情况。</w:t>
      </w:r>
    </w:p>
    <w:p>
      <w:pPr>
        <w:ind w:firstLine="360" w:firstLineChars="200"/>
        <w:rPr>
          <w:rFonts w:ascii="宋体" w:hAnsi="宋体"/>
          <w:color w:val="000000"/>
          <w:kern w:val="0"/>
          <w:sz w:val="18"/>
          <w:szCs w:val="18"/>
        </w:rPr>
      </w:pPr>
      <w:r>
        <w:rPr>
          <w:rFonts w:hint="eastAsia" w:ascii="宋体" w:hAnsi="宋体"/>
          <w:color w:val="000000"/>
          <w:kern w:val="0"/>
          <w:sz w:val="18"/>
          <w:szCs w:val="18"/>
        </w:rPr>
        <w:t>7.SYSG2-3-9主要包括因工程实体存在质量问题或严重质量缺陷被项目法人、交通主管部门及质监机构责令返工或加固处理。</w:t>
      </w:r>
    </w:p>
    <w:p>
      <w:pPr>
        <w:ind w:firstLine="360" w:firstLineChars="200"/>
        <w:rPr>
          <w:rFonts w:ascii="宋体" w:hAnsi="宋体"/>
          <w:color w:val="000000"/>
          <w:kern w:val="0"/>
          <w:sz w:val="18"/>
          <w:szCs w:val="18"/>
        </w:rPr>
      </w:pPr>
      <w:r>
        <w:rPr>
          <w:rFonts w:hint="eastAsia" w:ascii="宋体" w:hAnsi="宋体"/>
          <w:color w:val="000000"/>
          <w:kern w:val="0"/>
          <w:sz w:val="18"/>
          <w:szCs w:val="18"/>
        </w:rPr>
        <w:t>8.SYSG2-4-4指现场存在重大安全事故隐患，被项目法人或交通主管部门及质监机构书面责令现场整改、停工整改、挂牌督办等情况。</w:t>
      </w:r>
    </w:p>
    <w:p>
      <w:pPr>
        <w:ind w:firstLine="360" w:firstLineChars="200"/>
        <w:rPr>
          <w:rFonts w:ascii="宋体" w:hAnsi="宋体"/>
          <w:color w:val="000000"/>
          <w:kern w:val="0"/>
          <w:sz w:val="18"/>
          <w:szCs w:val="18"/>
        </w:rPr>
      </w:pPr>
      <w:r>
        <w:rPr>
          <w:rFonts w:hint="eastAsia" w:ascii="宋体" w:hAnsi="宋体"/>
          <w:color w:val="000000"/>
          <w:kern w:val="0"/>
          <w:sz w:val="18"/>
          <w:szCs w:val="18"/>
        </w:rPr>
        <w:t>9.SYSG2-5-2应依据有关部门的事故调查处理结果认定。环境污染事故的等级划分标准执行《突发环境事件信息报告办法》（环境保护部2011年第17号令）。</w:t>
      </w:r>
    </w:p>
    <w:p>
      <w:pPr>
        <w:ind w:firstLine="360" w:firstLineChars="200"/>
        <w:rPr>
          <w:rFonts w:ascii="宋体" w:hAnsi="宋体"/>
          <w:color w:val="000000"/>
          <w:kern w:val="0"/>
          <w:sz w:val="18"/>
          <w:szCs w:val="18"/>
        </w:rPr>
      </w:pPr>
      <w:r>
        <w:rPr>
          <w:rFonts w:hint="eastAsia" w:ascii="宋体" w:hAnsi="宋体"/>
          <w:color w:val="000000"/>
          <w:kern w:val="0"/>
          <w:sz w:val="18"/>
          <w:szCs w:val="18"/>
        </w:rPr>
        <w:t>10.SYSG3-1-1是指在重庆市从事水运工程施工活动中发生的单位行贿、受贿行为。</w:t>
      </w:r>
    </w:p>
    <w:p>
      <w:pPr>
        <w:ind w:firstLine="360" w:firstLineChars="200"/>
        <w:rPr>
          <w:rFonts w:ascii="宋体" w:hAnsi="宋体"/>
          <w:color w:val="000000"/>
          <w:kern w:val="0"/>
          <w:sz w:val="18"/>
          <w:szCs w:val="18"/>
        </w:rPr>
      </w:pPr>
      <w:r>
        <w:rPr>
          <w:rFonts w:hint="eastAsia" w:ascii="宋体" w:hAnsi="宋体"/>
          <w:color w:val="000000"/>
          <w:kern w:val="0"/>
          <w:sz w:val="18"/>
          <w:szCs w:val="18"/>
        </w:rPr>
        <w:t>11.SYSG3-2-3、SYSG3-2-4当被市交通局或区县交通主管部门行政处罚，涉及标准中的具体失信行为时，不重复扣分，按“就高不就低”原则执行。</w:t>
      </w:r>
    </w:p>
    <w:p>
      <w:pPr>
        <w:ind w:firstLine="360" w:firstLineChars="200"/>
        <w:rPr>
          <w:rFonts w:ascii="宋体" w:hAnsi="宋体"/>
          <w:color w:val="000000"/>
          <w:kern w:val="0"/>
          <w:sz w:val="18"/>
          <w:szCs w:val="18"/>
        </w:rPr>
      </w:pPr>
      <w:r>
        <w:rPr>
          <w:rFonts w:hint="eastAsia" w:ascii="宋体" w:hAnsi="宋体"/>
          <w:color w:val="000000"/>
          <w:kern w:val="0"/>
          <w:sz w:val="18"/>
          <w:szCs w:val="18"/>
        </w:rPr>
        <w:t>12.扣分 “次”是指在评价期内发现的企业失信行为次数。企业失信行为能够整改的，整改期内不重复扣分，整改期满后，未整改或再次发生同一失信行为，加倍扣分。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13.对于“*”项，在同一工点、同一失信行为，如发生第二次，将加倍扣分。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设计和施工单位信用行为计算方法</w:t>
      </w:r>
    </w:p>
    <w:p>
      <w:pPr>
        <w:ind w:firstLine="360" w:firstLineChars="200"/>
        <w:rPr>
          <w:rFonts w:ascii="宋体" w:hAnsi="宋体"/>
          <w:color w:val="000000"/>
          <w:kern w:val="0"/>
          <w:sz w:val="18"/>
          <w:szCs w:val="18"/>
        </w:rPr>
      </w:pPr>
      <w:r>
        <w:rPr>
          <w:rFonts w:hint="eastAsia" w:ascii="宋体" w:hAnsi="宋体"/>
          <w:color w:val="000000"/>
          <w:kern w:val="0"/>
          <w:sz w:val="18"/>
          <w:szCs w:val="18"/>
        </w:rPr>
        <w:t>1.单个标段评价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（1）企业投标行为信用评价得分: </w:t>
      </w:r>
      <w:r>
        <w:rPr>
          <w:rFonts w:hint="eastAsia" w:ascii="宋体" w:hAnsi="宋体"/>
          <w:color w:val="000000"/>
          <w:kern w:val="0"/>
          <w:sz w:val="18"/>
          <w:szCs w:val="18"/>
        </w:rPr>
        <w:drawing>
          <wp:inline distT="0" distB="0" distL="114300" distR="114300">
            <wp:extent cx="1722120" cy="531495"/>
            <wp:effectExtent l="0" t="0" r="0" b="1905"/>
            <wp:docPr id="7" name="图片 1" descr="71948833714455625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194883371445562500750"/>
                    <pic:cNvPicPr>
                      <a:picLocks noChangeAspect="1"/>
                    </pic:cNvPicPr>
                  </pic:nvPicPr>
                  <pic:blipFill>
                    <a:blip r:embed="rId9"/>
                    <a:stretch>
                      <a:fillRect/>
                    </a:stretch>
                  </pic:blipFill>
                  <pic:spPr>
                    <a:xfrm>
                      <a:off x="0" y="0"/>
                      <a:ext cx="1722120" cy="531495"/>
                    </a:xfrm>
                    <a:prstGeom prst="rect">
                      <a:avLst/>
                    </a:prstGeom>
                    <a:noFill/>
                    <a:ln>
                      <a:noFill/>
                    </a:ln>
                  </pic:spPr>
                </pic:pic>
              </a:graphicData>
            </a:graphic>
          </wp:inline>
        </w:drawing>
      </w:r>
    </w:p>
    <w:p>
      <w:pPr>
        <w:ind w:firstLine="360" w:firstLineChars="200"/>
        <w:rPr>
          <w:rFonts w:ascii="宋体" w:hAnsi="宋体"/>
          <w:color w:val="000000"/>
          <w:kern w:val="0"/>
          <w:sz w:val="18"/>
          <w:szCs w:val="18"/>
        </w:rPr>
      </w:pPr>
      <w:r>
        <w:rPr>
          <w:rFonts w:hint="eastAsia" w:ascii="宋体" w:hAnsi="宋体"/>
          <w:color w:val="000000"/>
          <w:kern w:val="0"/>
          <w:sz w:val="18"/>
          <w:szCs w:val="18"/>
        </w:rPr>
        <w:t>其中：Ti为企业在某标段投标行为信用评价得分，Ti≥0；i为该标段投标失信行为项次，Ai为投标失信行为对应的扣分。如果企业无失信行为，则不进行评价。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（2）单位履约行为信用评价得分： </w:t>
      </w:r>
      <w:r>
        <w:rPr>
          <w:rFonts w:hint="eastAsia" w:ascii="宋体" w:hAnsi="宋体"/>
          <w:color w:val="000000"/>
          <w:kern w:val="0"/>
          <w:sz w:val="18"/>
          <w:szCs w:val="18"/>
        </w:rPr>
        <w:drawing>
          <wp:inline distT="0" distB="0" distL="114300" distR="114300">
            <wp:extent cx="1509395" cy="531495"/>
            <wp:effectExtent l="0" t="0" r="0" b="1905"/>
            <wp:docPr id="6" name="图片 2" descr="358180412144556250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3581804121445562500953"/>
                    <pic:cNvPicPr>
                      <a:picLocks noChangeAspect="1"/>
                    </pic:cNvPicPr>
                  </pic:nvPicPr>
                  <pic:blipFill>
                    <a:blip r:embed="rId10"/>
                    <a:stretch>
                      <a:fillRect/>
                    </a:stretch>
                  </pic:blipFill>
                  <pic:spPr>
                    <a:xfrm>
                      <a:off x="0" y="0"/>
                      <a:ext cx="1509395" cy="531495"/>
                    </a:xfrm>
                    <a:prstGeom prst="rect">
                      <a:avLst/>
                    </a:prstGeom>
                    <a:noFill/>
                    <a:ln>
                      <a:noFill/>
                    </a:ln>
                  </pic:spPr>
                </pic:pic>
              </a:graphicData>
            </a:graphic>
          </wp:inline>
        </w:drawing>
      </w:r>
    </w:p>
    <w:p>
      <w:pPr>
        <w:ind w:firstLine="360" w:firstLineChars="200"/>
        <w:rPr>
          <w:rFonts w:ascii="宋体" w:hAnsi="宋体"/>
          <w:color w:val="000000"/>
          <w:kern w:val="0"/>
          <w:sz w:val="18"/>
          <w:szCs w:val="18"/>
        </w:rPr>
      </w:pPr>
      <w:r>
        <w:rPr>
          <w:rFonts w:hint="eastAsia" w:ascii="宋体" w:hAnsi="宋体"/>
          <w:color w:val="000000"/>
          <w:kern w:val="0"/>
          <w:sz w:val="18"/>
          <w:szCs w:val="18"/>
        </w:rPr>
        <w:t>其中：Li为企业在某标段履约行为信用评价得分，Li≥0；i为该标段履约失信行为项次；Bi为履约失信行为对应的扣分。</w:t>
      </w:r>
    </w:p>
    <w:p>
      <w:pPr>
        <w:ind w:firstLine="360" w:firstLineChars="200"/>
        <w:rPr>
          <w:rFonts w:ascii="宋体" w:hAnsi="宋体"/>
          <w:color w:val="000000"/>
          <w:kern w:val="0"/>
          <w:sz w:val="18"/>
          <w:szCs w:val="18"/>
        </w:rPr>
      </w:pPr>
      <w:r>
        <w:rPr>
          <w:rFonts w:hint="eastAsia" w:ascii="宋体" w:hAnsi="宋体"/>
          <w:color w:val="000000"/>
          <w:kern w:val="0"/>
          <w:sz w:val="18"/>
          <w:szCs w:val="18"/>
        </w:rPr>
        <w:t>2.汇总评价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市级项目及区县项目分别进行汇总评价。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企业在评价期内投标行为评价得分和履约行为评价得分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（1）企业投标行为评价得分：</w:t>
      </w:r>
      <w:r>
        <w:rPr>
          <w:rFonts w:hint="eastAsia" w:ascii="宋体" w:hAnsi="宋体"/>
          <w:color w:val="000000"/>
          <w:kern w:val="0"/>
          <w:sz w:val="18"/>
          <w:szCs w:val="18"/>
        </w:rPr>
        <w:drawing>
          <wp:inline distT="0" distB="0" distL="114300" distR="114300">
            <wp:extent cx="1351280" cy="553085"/>
            <wp:effectExtent l="0" t="0" r="0" b="18415"/>
            <wp:docPr id="5" name="图片 3" descr="15615995144556250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6159951445562500953"/>
                    <pic:cNvPicPr>
                      <a:picLocks noChangeAspect="1"/>
                    </pic:cNvPicPr>
                  </pic:nvPicPr>
                  <pic:blipFill>
                    <a:blip r:embed="rId11"/>
                    <a:stretch>
                      <a:fillRect/>
                    </a:stretch>
                  </pic:blipFill>
                  <pic:spPr>
                    <a:xfrm>
                      <a:off x="0" y="0"/>
                      <a:ext cx="1351280" cy="553085"/>
                    </a:xfrm>
                    <a:prstGeom prst="rect">
                      <a:avLst/>
                    </a:prstGeom>
                    <a:noFill/>
                    <a:ln>
                      <a:noFill/>
                    </a:ln>
                  </pic:spPr>
                </pic:pic>
              </a:graphicData>
            </a:graphic>
          </wp:inline>
        </w:drawing>
      </w:r>
      <w:r>
        <w:rPr>
          <w:rFonts w:hint="eastAsia" w:ascii="宋体" w:hAnsi="宋体"/>
          <w:color w:val="000000"/>
          <w:kern w:val="0"/>
          <w:sz w:val="18"/>
          <w:szCs w:val="18"/>
        </w:rPr>
        <w:t xml:space="preserve"> </w:t>
      </w:r>
    </w:p>
    <w:p>
      <w:pPr>
        <w:ind w:firstLine="360" w:firstLineChars="200"/>
        <w:rPr>
          <w:rFonts w:ascii="宋体" w:hAnsi="宋体"/>
          <w:color w:val="000000"/>
          <w:kern w:val="0"/>
          <w:sz w:val="18"/>
          <w:szCs w:val="18"/>
        </w:rPr>
      </w:pPr>
      <w:r>
        <w:rPr>
          <w:rFonts w:hint="eastAsia" w:ascii="宋体" w:hAnsi="宋体"/>
          <w:color w:val="000000"/>
          <w:kern w:val="0"/>
          <w:sz w:val="18"/>
          <w:szCs w:val="18"/>
        </w:rPr>
        <w:t>其中：n为投标存在失信行为的标段数，若n&gt;2,则T=0；若企业无失信行为，则T=15。</w:t>
      </w:r>
    </w:p>
    <w:p>
      <w:pPr>
        <w:ind w:firstLine="360" w:firstLineChars="200"/>
        <w:rPr>
          <w:rFonts w:ascii="宋体" w:hAnsi="宋体"/>
          <w:color w:val="000000"/>
          <w:kern w:val="0"/>
          <w:sz w:val="18"/>
          <w:szCs w:val="18"/>
        </w:rPr>
      </w:pPr>
      <w:r>
        <w:rPr>
          <w:rFonts w:hint="eastAsia" w:ascii="宋体" w:hAnsi="宋体"/>
          <w:color w:val="000000"/>
          <w:kern w:val="0"/>
          <w:sz w:val="18"/>
          <w:szCs w:val="18"/>
        </w:rPr>
        <w:t>（2）企业履约行为评价得分：</w:t>
      </w:r>
      <w:r>
        <w:rPr>
          <w:rFonts w:hint="eastAsia" w:ascii="宋体" w:hAnsi="宋体"/>
          <w:color w:val="000000"/>
          <w:kern w:val="0"/>
          <w:sz w:val="18"/>
          <w:szCs w:val="18"/>
        </w:rPr>
        <w:drawing>
          <wp:inline distT="0" distB="0" distL="114300" distR="114300">
            <wp:extent cx="1510030" cy="553085"/>
            <wp:effectExtent l="0" t="0" r="0" b="18415"/>
            <wp:docPr id="4" name="图片 4" descr="521935160144556250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219351601445562500953"/>
                    <pic:cNvPicPr>
                      <a:picLocks noChangeAspect="1"/>
                    </pic:cNvPicPr>
                  </pic:nvPicPr>
                  <pic:blipFill>
                    <a:blip r:embed="rId12"/>
                    <a:stretch>
                      <a:fillRect/>
                    </a:stretch>
                  </pic:blipFill>
                  <pic:spPr>
                    <a:xfrm>
                      <a:off x="0" y="0"/>
                      <a:ext cx="1510030" cy="553085"/>
                    </a:xfrm>
                    <a:prstGeom prst="rect">
                      <a:avLst/>
                    </a:prstGeom>
                    <a:noFill/>
                    <a:ln>
                      <a:noFill/>
                    </a:ln>
                  </pic:spPr>
                </pic:pic>
              </a:graphicData>
            </a:graphic>
          </wp:inline>
        </w:drawing>
      </w:r>
    </w:p>
    <w:p>
      <w:pPr>
        <w:ind w:firstLine="360" w:firstLineChars="200"/>
        <w:rPr>
          <w:rFonts w:ascii="宋体" w:hAnsi="宋体"/>
          <w:color w:val="000000"/>
          <w:kern w:val="0"/>
          <w:sz w:val="18"/>
          <w:szCs w:val="18"/>
        </w:rPr>
      </w:pPr>
      <w:r>
        <w:rPr>
          <w:rFonts w:hint="eastAsia" w:ascii="宋体" w:hAnsi="宋体"/>
          <w:color w:val="000000"/>
          <w:kern w:val="0"/>
          <w:sz w:val="18"/>
          <w:szCs w:val="18"/>
        </w:rPr>
        <w:t>其中：m为履约标段数。</w:t>
      </w:r>
    </w:p>
    <w:p>
      <w:pPr>
        <w:ind w:firstLine="360" w:firstLineChars="200"/>
        <w:rPr>
          <w:rFonts w:ascii="宋体" w:hAnsi="宋体"/>
          <w:color w:val="000000"/>
          <w:kern w:val="0"/>
          <w:sz w:val="18"/>
          <w:szCs w:val="18"/>
        </w:rPr>
      </w:pPr>
      <w:r>
        <w:rPr>
          <w:rFonts w:hint="eastAsia" w:ascii="宋体" w:hAnsi="宋体"/>
          <w:color w:val="000000"/>
          <w:kern w:val="0"/>
          <w:sz w:val="18"/>
          <w:szCs w:val="18"/>
        </w:rPr>
        <w:t>（3）企业其他行为信用评价得分： Q = 15- Fk</w:t>
      </w:r>
    </w:p>
    <w:p>
      <w:pPr>
        <w:ind w:firstLine="360" w:firstLineChars="200"/>
        <w:rPr>
          <w:rFonts w:ascii="宋体" w:hAnsi="宋体"/>
          <w:color w:val="000000"/>
          <w:kern w:val="0"/>
          <w:sz w:val="18"/>
          <w:szCs w:val="18"/>
        </w:rPr>
      </w:pPr>
      <w:r>
        <w:rPr>
          <w:rFonts w:hint="eastAsia" w:ascii="宋体" w:hAnsi="宋体"/>
          <w:color w:val="000000"/>
          <w:kern w:val="0"/>
          <w:sz w:val="18"/>
          <w:szCs w:val="18"/>
        </w:rPr>
        <w:t>其中：Q为其他信用行为得分；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          Fk为其他信用失信行为的扣分值。</w:t>
      </w:r>
    </w:p>
    <w:p>
      <w:pPr>
        <w:ind w:firstLine="360" w:firstLineChars="200"/>
        <w:rPr>
          <w:rFonts w:ascii="宋体" w:hAnsi="宋体"/>
          <w:color w:val="000000"/>
          <w:kern w:val="0"/>
          <w:sz w:val="18"/>
          <w:szCs w:val="18"/>
        </w:rPr>
      </w:pPr>
      <w:r>
        <w:rPr>
          <w:rFonts w:hint="eastAsia" w:ascii="宋体" w:hAnsi="宋体"/>
          <w:color w:val="000000"/>
          <w:kern w:val="0"/>
          <w:sz w:val="18"/>
          <w:szCs w:val="18"/>
        </w:rPr>
        <w:t>（4）企业信用行为综合评分：</w:t>
      </w:r>
    </w:p>
    <w:p>
      <w:pPr>
        <w:ind w:firstLine="360" w:firstLineChars="200"/>
        <w:rPr>
          <w:rFonts w:ascii="宋体" w:hAnsi="宋体"/>
          <w:color w:val="000000"/>
          <w:kern w:val="0"/>
          <w:sz w:val="18"/>
          <w:szCs w:val="18"/>
        </w:rPr>
      </w:pPr>
      <w:r>
        <w:rPr>
          <w:rFonts w:hint="eastAsia" w:ascii="宋体" w:hAnsi="宋体"/>
          <w:color w:val="000000"/>
          <w:kern w:val="0"/>
          <w:sz w:val="18"/>
          <w:szCs w:val="18"/>
        </w:rPr>
        <w:t>Xs =（T + L + Q ）a+xb+yc+J</w:t>
      </w:r>
    </w:p>
    <w:p>
      <w:pPr>
        <w:ind w:firstLine="360" w:firstLineChars="200"/>
        <w:rPr>
          <w:rFonts w:ascii="宋体" w:hAnsi="宋体"/>
          <w:color w:val="000000"/>
          <w:kern w:val="0"/>
          <w:sz w:val="18"/>
          <w:szCs w:val="18"/>
        </w:rPr>
      </w:pPr>
      <w:r>
        <w:rPr>
          <w:rFonts w:hint="eastAsia" w:ascii="宋体" w:hAnsi="宋体"/>
          <w:color w:val="000000"/>
          <w:kern w:val="0"/>
          <w:sz w:val="18"/>
          <w:szCs w:val="18"/>
        </w:rPr>
        <w:t>其中：Xs：从业企业在评价期内信用评价得分；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T：企业投标行为评价得分；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L：企业履约行为评价得分；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Q：其他信用行为评价得分；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a：当年权重系数，取值：70%；</w:t>
      </w:r>
    </w:p>
    <w:p>
      <w:pPr>
        <w:ind w:firstLine="360" w:firstLineChars="200"/>
        <w:rPr>
          <w:rFonts w:ascii="宋体" w:hAnsi="宋体"/>
          <w:color w:val="000000"/>
          <w:kern w:val="0"/>
          <w:sz w:val="18"/>
          <w:szCs w:val="18"/>
        </w:rPr>
      </w:pPr>
      <w:r>
        <w:rPr>
          <w:rFonts w:hint="eastAsia" w:ascii="宋体" w:hAnsi="宋体"/>
          <w:color w:val="000000"/>
          <w:kern w:val="0"/>
          <w:sz w:val="18"/>
          <w:szCs w:val="18"/>
        </w:rPr>
        <w:t>x：前一年度信用得分。当前一年度信用评价等级直接定为D级的，信用得分按50分计；</w:t>
      </w:r>
    </w:p>
    <w:p>
      <w:pPr>
        <w:ind w:firstLine="360" w:firstLineChars="200"/>
        <w:rPr>
          <w:rFonts w:ascii="宋体" w:hAnsi="宋体"/>
          <w:color w:val="000000"/>
          <w:kern w:val="0"/>
          <w:sz w:val="18"/>
          <w:szCs w:val="18"/>
        </w:rPr>
      </w:pPr>
      <w:r>
        <w:rPr>
          <w:rFonts w:hint="eastAsia" w:ascii="宋体" w:hAnsi="宋体"/>
          <w:color w:val="000000"/>
          <w:kern w:val="0"/>
          <w:sz w:val="18"/>
          <w:szCs w:val="18"/>
        </w:rPr>
        <w:t>b：前一年度信用分权重系数，取值：20%；</w:t>
      </w:r>
    </w:p>
    <w:p>
      <w:pPr>
        <w:ind w:firstLine="360" w:firstLineChars="200"/>
        <w:rPr>
          <w:rFonts w:ascii="宋体" w:hAnsi="宋体"/>
          <w:color w:val="000000"/>
          <w:kern w:val="0"/>
          <w:sz w:val="18"/>
          <w:szCs w:val="18"/>
        </w:rPr>
      </w:pPr>
      <w:r>
        <w:rPr>
          <w:rFonts w:hint="eastAsia" w:ascii="宋体" w:hAnsi="宋体"/>
          <w:color w:val="000000"/>
          <w:kern w:val="0"/>
          <w:sz w:val="18"/>
          <w:szCs w:val="18"/>
        </w:rPr>
        <w:t>y：前两年度信用得分。当前两年度信用评价等级直接定为D级的，信用得分按50分计；</w:t>
      </w:r>
    </w:p>
    <w:p>
      <w:pPr>
        <w:ind w:firstLine="360" w:firstLineChars="200"/>
        <w:rPr>
          <w:rFonts w:ascii="宋体" w:hAnsi="宋体"/>
          <w:color w:val="000000"/>
          <w:kern w:val="0"/>
          <w:sz w:val="18"/>
          <w:szCs w:val="18"/>
        </w:rPr>
      </w:pPr>
      <w:r>
        <w:rPr>
          <w:rFonts w:hint="eastAsia" w:ascii="宋体" w:hAnsi="宋体"/>
          <w:color w:val="000000"/>
          <w:kern w:val="0"/>
          <w:sz w:val="18"/>
          <w:szCs w:val="18"/>
        </w:rPr>
        <w:t>c：前两年度信用分权重系数，取值：10%。</w:t>
      </w:r>
    </w:p>
    <w:p>
      <w:pPr>
        <w:ind w:firstLine="360" w:firstLineChars="200"/>
        <w:rPr>
          <w:rFonts w:ascii="宋体" w:hAnsi="宋体"/>
          <w:color w:val="000000"/>
          <w:kern w:val="0"/>
          <w:sz w:val="18"/>
          <w:szCs w:val="18"/>
        </w:rPr>
      </w:pPr>
      <w:r>
        <w:rPr>
          <w:rFonts w:hint="eastAsia" w:ascii="宋体" w:hAnsi="宋体"/>
          <w:color w:val="000000"/>
          <w:kern w:val="0"/>
          <w:sz w:val="18"/>
          <w:szCs w:val="18"/>
        </w:rPr>
        <w:t>J: 根据规定给予的加分。</w:t>
      </w:r>
    </w:p>
    <w:p>
      <w:pPr>
        <w:ind w:firstLine="360" w:firstLineChars="200"/>
        <w:rPr>
          <w:rFonts w:ascii="宋体" w:hAnsi="宋体"/>
          <w:color w:val="000000"/>
          <w:kern w:val="0"/>
          <w:sz w:val="18"/>
          <w:szCs w:val="18"/>
        </w:rPr>
      </w:pPr>
      <w:r>
        <w:rPr>
          <w:rFonts w:hint="eastAsia" w:ascii="宋体" w:hAnsi="宋体"/>
          <w:color w:val="000000"/>
          <w:kern w:val="0"/>
          <w:sz w:val="18"/>
          <w:szCs w:val="18"/>
        </w:rPr>
        <w:t>说明：</w:t>
      </w:r>
    </w:p>
    <w:p>
      <w:pPr>
        <w:ind w:firstLine="360" w:firstLineChars="200"/>
        <w:rPr>
          <w:rFonts w:ascii="宋体" w:hAnsi="宋体"/>
          <w:color w:val="000000"/>
          <w:kern w:val="0"/>
          <w:sz w:val="18"/>
          <w:szCs w:val="18"/>
        </w:rPr>
      </w:pPr>
      <w:r>
        <w:rPr>
          <w:rFonts w:hint="eastAsia" w:ascii="宋体" w:hAnsi="宋体"/>
          <w:color w:val="000000"/>
          <w:kern w:val="0"/>
          <w:sz w:val="18"/>
          <w:szCs w:val="18"/>
        </w:rPr>
        <w:t>（1）企业当年无履约行为、仅有投标行为但无失信行为的，不进行综合评价。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（2）企业当年无履约行为、仅有投标行为且有失信行为的，进行综合评价，L按55分取值。</w:t>
      </w:r>
    </w:p>
    <w:p>
      <w:pPr>
        <w:ind w:firstLine="360" w:firstLineChars="200"/>
        <w:rPr>
          <w:rFonts w:ascii="宋体" w:hAnsi="宋体"/>
          <w:color w:val="000000"/>
          <w:kern w:val="0"/>
          <w:sz w:val="18"/>
          <w:szCs w:val="18"/>
        </w:rPr>
      </w:pPr>
      <w:r>
        <w:rPr>
          <w:rFonts w:hint="eastAsia" w:ascii="宋体" w:hAnsi="宋体"/>
          <w:color w:val="000000"/>
          <w:kern w:val="0"/>
          <w:sz w:val="18"/>
          <w:szCs w:val="18"/>
        </w:rPr>
        <w:t>（3）企业当年无投标行为但有履约行为的，T按15分取值。</w:t>
      </w:r>
    </w:p>
    <w:p>
      <w:pPr>
        <w:ind w:firstLine="360" w:firstLineChars="200"/>
        <w:rPr>
          <w:rFonts w:ascii="宋体" w:hAnsi="宋体"/>
          <w:color w:val="000000"/>
          <w:kern w:val="0"/>
          <w:sz w:val="18"/>
          <w:szCs w:val="18"/>
        </w:rPr>
      </w:pPr>
      <w:r>
        <w:rPr>
          <w:rFonts w:hint="eastAsia" w:ascii="宋体" w:hAnsi="宋体"/>
          <w:color w:val="000000"/>
          <w:kern w:val="0"/>
          <w:sz w:val="18"/>
          <w:szCs w:val="18"/>
        </w:rPr>
        <w:t xml:space="preserve">（4）企业第一年参加信用评价时，a=100%，第二年参加信用评价时，a=80%、b=20%。 </w:t>
      </w:r>
    </w:p>
    <w:p>
      <w:pPr>
        <w:ind w:firstLine="360" w:firstLineChars="200"/>
        <w:rPr>
          <w:rFonts w:ascii="宋体" w:hAnsi="宋体"/>
          <w:color w:val="000000"/>
          <w:kern w:val="0"/>
          <w:sz w:val="18"/>
          <w:szCs w:val="18"/>
        </w:rPr>
      </w:pPr>
      <w:r>
        <w:rPr>
          <w:rFonts w:hint="eastAsia" w:ascii="宋体" w:hAnsi="宋体"/>
          <w:color w:val="000000"/>
          <w:kern w:val="0"/>
          <w:sz w:val="18"/>
          <w:szCs w:val="18"/>
        </w:rPr>
        <w:t>（5）对在抢险救灾、应急保障、国防战备等任务中受到省部级以上行政机关表彰的企业，以及我市承担的水运工程建设项目获得国家科技进步奖（二等奖以上）、国家优质工程奖、詹天佑奖、鲁班奖的企业，在表彰或获奖年度的评价周期内，给予2分/次（项）的加分奖励；对于在重庆市承担的水运工程建设项目获得重庆市路港杯、重庆市巴渝杯等奖项的企业，在表彰或获奖年度的评价周期内，给予1分/次（项）的加分奖励，累计不超过5分，加分后信用评价总分不超过100分。所有表彰或获奖年度的次年1月31日前向市交通主管部门质量监督机构或区县交通主管部门提交加分申请及证明材料。企业未申报的表彰、奖励，不予加分。同一项目在同一评价期内按高限取分，不累计加分。</w:t>
      </w:r>
    </w:p>
    <w:p>
      <w:pPr>
        <w:ind w:firstLine="360" w:firstLineChars="200"/>
        <w:rPr>
          <w:rFonts w:ascii="宋体" w:hAnsi="宋体"/>
          <w:color w:val="000000"/>
          <w:kern w:val="0"/>
          <w:sz w:val="18"/>
          <w:szCs w:val="18"/>
        </w:rPr>
      </w:pPr>
      <w:r>
        <w:rPr>
          <w:rFonts w:hint="eastAsia" w:ascii="宋体" w:hAnsi="宋体"/>
          <w:color w:val="000000"/>
          <w:kern w:val="0"/>
          <w:sz w:val="18"/>
          <w:szCs w:val="18"/>
        </w:rPr>
        <w:t>3.综合评价</w:t>
      </w:r>
    </w:p>
    <w:p>
      <w:pPr>
        <w:ind w:firstLine="360" w:firstLineChars="200"/>
        <w:rPr>
          <w:rFonts w:ascii="宋体" w:hAnsi="宋体"/>
          <w:color w:val="000000"/>
          <w:kern w:val="0"/>
          <w:sz w:val="18"/>
          <w:szCs w:val="18"/>
        </w:rPr>
      </w:pPr>
      <w:r>
        <w:rPr>
          <w:rFonts w:hint="eastAsia" w:ascii="宋体" w:hAnsi="宋体"/>
          <w:color w:val="000000"/>
          <w:kern w:val="0"/>
          <w:sz w:val="18"/>
          <w:szCs w:val="18"/>
        </w:rPr>
        <w:t>综合评价按照企业在市级项目、各区县项目的汇总评价得分采取倒权重的方式进行得分计算。该得分为企业在我市水运工程信用评价的最终得分。</w:t>
      </w:r>
    </w:p>
    <w:p>
      <w:pPr>
        <w:ind w:firstLine="360" w:firstLineChars="200"/>
        <w:rPr>
          <w:rFonts w:ascii="宋体" w:hAnsi="宋体"/>
          <w:color w:val="000000"/>
          <w:kern w:val="0"/>
          <w:sz w:val="18"/>
          <w:szCs w:val="18"/>
        </w:rPr>
      </w:pPr>
      <w:r>
        <w:rPr>
          <w:rFonts w:hint="eastAsia" w:ascii="宋体" w:hAnsi="宋体"/>
          <w:color w:val="000000"/>
          <w:kern w:val="0"/>
          <w:sz w:val="18"/>
          <w:szCs w:val="18"/>
        </w:rPr>
        <w:t>举例：某企业在市级项目的汇总评价得分为75分，在A区县的汇总评价得分为80分，在B区县的汇总评价得分为85分，则该企业综合评价得分为：</w:t>
      </w:r>
    </w:p>
    <w:p>
      <w:pPr>
        <w:ind w:firstLine="360" w:firstLineChars="200"/>
        <w:rPr>
          <w:rFonts w:ascii="方正楷体_GBK" w:hAnsi="方正楷体_GBK" w:eastAsia="方正黑体_GBK" w:cs="方正楷体_GBK"/>
          <w:color w:val="000000"/>
          <w:sz w:val="32"/>
          <w:szCs w:val="32"/>
        </w:rPr>
        <w:sectPr>
          <w:headerReference r:id="rId3" w:type="default"/>
          <w:footerReference r:id="rId4" w:type="default"/>
          <w:footerReference r:id="rId5" w:type="even"/>
          <w:pgSz w:w="11907" w:h="16840"/>
          <w:pgMar w:top="1962" w:right="1474" w:bottom="1848" w:left="1587" w:header="851" w:footer="113" w:gutter="0"/>
          <w:pgNumType w:fmt="numberInDash"/>
          <w:cols w:space="720" w:num="1"/>
          <w:docGrid w:type="lines" w:linePitch="312" w:charSpace="0"/>
        </w:sectPr>
      </w:pPr>
      <w:r>
        <w:rPr>
          <w:rFonts w:hint="eastAsia" w:ascii="宋体" w:hAnsi="宋体"/>
          <w:color w:val="000000"/>
          <w:kern w:val="0"/>
          <w:sz w:val="18"/>
          <w:szCs w:val="18"/>
        </w:rPr>
        <w:t>X =75×3/6+80×2/6+85×1/6=78.3分。</w:t>
      </w:r>
    </w:p>
    <w:p>
      <w:pPr>
        <w:pStyle w:val="9"/>
        <w:spacing w:line="500" w:lineRule="exact"/>
        <w:rPr>
          <w:rFonts w:ascii="方正黑体_GBK" w:eastAsia="方正黑体_GBK"/>
          <w:color w:val="000000"/>
          <w:sz w:val="32"/>
        </w:rPr>
      </w:pPr>
      <w:r>
        <w:rPr>
          <w:rFonts w:hint="eastAsia" w:ascii="方正黑体_GBK" w:eastAsia="方正黑体_GBK"/>
          <w:color w:val="000000"/>
          <w:sz w:val="32"/>
        </w:rPr>
        <w:t>附件1-3</w:t>
      </w:r>
    </w:p>
    <w:p>
      <w:pPr>
        <w:pStyle w:val="9"/>
        <w:spacing w:line="500" w:lineRule="exact"/>
        <w:jc w:val="center"/>
        <w:rPr>
          <w:rFonts w:ascii="方正小标宋_GBK" w:eastAsia="方正小标宋_GBK"/>
          <w:color w:val="000000"/>
          <w:sz w:val="36"/>
          <w:szCs w:val="36"/>
        </w:rPr>
      </w:pP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重庆市水运工程建设市场监理单位信用行为</w:t>
      </w: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评定标准及计算方法</w:t>
      </w:r>
    </w:p>
    <w:p>
      <w:pPr>
        <w:pStyle w:val="9"/>
        <w:spacing w:line="500" w:lineRule="exact"/>
        <w:rPr>
          <w:rFonts w:ascii="方正小标宋_GBK" w:eastAsia="方正小标宋_GBK"/>
          <w:color w:val="000000"/>
          <w:sz w:val="44"/>
          <w:szCs w:val="44"/>
        </w:rPr>
      </w:pPr>
    </w:p>
    <w:p>
      <w:pPr>
        <w:pStyle w:val="17"/>
        <w:snapToGrid w:val="0"/>
        <w:spacing w:line="500" w:lineRule="exact"/>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sz w:val="32"/>
          <w:szCs w:val="32"/>
        </w:rPr>
        <w:t>一、评定标准</w:t>
      </w:r>
    </w:p>
    <w:tbl>
      <w:tblPr>
        <w:tblStyle w:val="1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134"/>
        <w:gridCol w:w="3119"/>
        <w:gridCol w:w="1418"/>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809" w:type="dxa"/>
            <w:gridSpan w:val="2"/>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134"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代码</w:t>
            </w:r>
          </w:p>
        </w:tc>
        <w:tc>
          <w:tcPr>
            <w:tcW w:w="311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418"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115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投标行为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（行为代码SYJL1）</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JL1-1</w:t>
            </w:r>
          </w:p>
        </w:tc>
        <w:tc>
          <w:tcPr>
            <w:tcW w:w="3119" w:type="dxa"/>
            <w:vAlign w:val="center"/>
          </w:tcPr>
          <w:p>
            <w:pPr>
              <w:pStyle w:val="9"/>
              <w:jc w:val="left"/>
              <w:rPr>
                <w:rFonts w:ascii="宋体" w:hAnsi="宋体"/>
                <w:bCs/>
                <w:color w:val="000000"/>
                <w:sz w:val="18"/>
                <w:szCs w:val="18"/>
              </w:rPr>
            </w:pPr>
            <w:r>
              <w:rPr>
                <w:rFonts w:hint="eastAsia" w:ascii="宋体" w:hAnsi="宋体"/>
                <w:bCs/>
                <w:color w:val="000000"/>
                <w:sz w:val="18"/>
                <w:szCs w:val="18"/>
              </w:rPr>
              <w:t>出借监理资质的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809" w:type="dxa"/>
            <w:gridSpan w:val="2"/>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JL1-2</w:t>
            </w:r>
          </w:p>
        </w:tc>
        <w:tc>
          <w:tcPr>
            <w:tcW w:w="3119" w:type="dxa"/>
            <w:vAlign w:val="center"/>
          </w:tcPr>
          <w:p>
            <w:pPr>
              <w:pStyle w:val="9"/>
              <w:jc w:val="left"/>
              <w:rPr>
                <w:rFonts w:ascii="宋体" w:hAnsi="宋体"/>
                <w:bCs/>
                <w:color w:val="000000"/>
                <w:sz w:val="18"/>
                <w:szCs w:val="18"/>
              </w:rPr>
            </w:pPr>
            <w:r>
              <w:rPr>
                <w:rFonts w:hint="eastAsia" w:ascii="宋体" w:hAnsi="宋体"/>
                <w:bCs/>
                <w:color w:val="000000"/>
                <w:sz w:val="18"/>
                <w:szCs w:val="18"/>
              </w:rPr>
              <w:t>以他人名义或弄虚作假进行投标的， 以向招标人或评标委员会成员行贿的 手段谋取中标的，或串标、围标的</w:t>
            </w:r>
          </w:p>
        </w:tc>
        <w:tc>
          <w:tcPr>
            <w:tcW w:w="1418" w:type="dxa"/>
            <w:vAlign w:val="center"/>
          </w:tcPr>
          <w:p>
            <w:pPr>
              <w:pStyle w:val="9"/>
              <w:jc w:val="left"/>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jc w:val="left"/>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09" w:type="dxa"/>
            <w:gridSpan w:val="2"/>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JL1-3</w:t>
            </w:r>
          </w:p>
        </w:tc>
        <w:tc>
          <w:tcPr>
            <w:tcW w:w="3119" w:type="dxa"/>
            <w:vAlign w:val="center"/>
          </w:tcPr>
          <w:p>
            <w:pPr>
              <w:pStyle w:val="9"/>
              <w:jc w:val="left"/>
              <w:rPr>
                <w:rFonts w:ascii="宋体" w:hAnsi="宋体"/>
                <w:bCs/>
                <w:color w:val="000000"/>
                <w:sz w:val="18"/>
                <w:szCs w:val="18"/>
              </w:rPr>
            </w:pPr>
            <w:r>
              <w:rPr>
                <w:rFonts w:hint="eastAsia" w:ascii="宋体" w:hAnsi="宋体"/>
                <w:bCs/>
                <w:color w:val="000000"/>
                <w:sz w:val="18"/>
                <w:szCs w:val="18"/>
              </w:rPr>
              <w:t>监理企业中标后无正当理由放弃中标 的</w:t>
            </w:r>
          </w:p>
        </w:tc>
        <w:tc>
          <w:tcPr>
            <w:tcW w:w="1418" w:type="dxa"/>
            <w:vAlign w:val="center"/>
          </w:tcPr>
          <w:p>
            <w:pPr>
              <w:pStyle w:val="9"/>
              <w:jc w:val="center"/>
              <w:rPr>
                <w:rFonts w:ascii="宋体" w:hAnsi="宋体"/>
                <w:bCs/>
                <w:color w:val="000000"/>
                <w:sz w:val="18"/>
                <w:szCs w:val="18"/>
              </w:rPr>
            </w:pPr>
            <w:r>
              <w:rPr>
                <w:rFonts w:hint="eastAsia" w:ascii="宋体" w:hAnsi="宋体"/>
                <w:bCs/>
                <w:color w:val="000000"/>
                <w:sz w:val="18"/>
                <w:szCs w:val="18"/>
              </w:rPr>
              <w:t>在全国信用评 价总分中扣5 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履约行为（行为代码SYJL2）</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严重失信行为（行为代码SYJL2-1）</w:t>
            </w: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JL2-1-1</w:t>
            </w:r>
          </w:p>
        </w:tc>
        <w:tc>
          <w:tcPr>
            <w:tcW w:w="3119" w:type="dxa"/>
            <w:vAlign w:val="center"/>
          </w:tcPr>
          <w:p>
            <w:pPr>
              <w:pStyle w:val="9"/>
              <w:rPr>
                <w:rFonts w:ascii="宋体" w:hAnsi="宋体"/>
                <w:bCs/>
                <w:color w:val="000000"/>
                <w:sz w:val="18"/>
                <w:szCs w:val="18"/>
              </w:rPr>
            </w:pPr>
            <w:r>
              <w:rPr>
                <w:rFonts w:hint="eastAsia" w:ascii="宋体" w:hAnsi="宋体"/>
                <w:bCs/>
                <w:color w:val="000000"/>
                <w:sz w:val="18"/>
                <w:szCs w:val="18"/>
              </w:rPr>
              <w:t>分包、转包工程监理工作的</w:t>
            </w:r>
          </w:p>
        </w:tc>
        <w:tc>
          <w:tcPr>
            <w:tcW w:w="1418" w:type="dxa"/>
            <w:vAlign w:val="center"/>
          </w:tcPr>
          <w:p>
            <w:pPr>
              <w:pStyle w:val="9"/>
              <w:jc w:val="left"/>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JL2-1-2</w:t>
            </w:r>
          </w:p>
        </w:tc>
        <w:tc>
          <w:tcPr>
            <w:tcW w:w="3119" w:type="dxa"/>
            <w:vAlign w:val="center"/>
          </w:tcPr>
          <w:p>
            <w:pPr>
              <w:pStyle w:val="9"/>
              <w:rPr>
                <w:rFonts w:ascii="宋体" w:hAnsi="宋体"/>
                <w:bCs/>
                <w:color w:val="000000"/>
                <w:sz w:val="18"/>
                <w:szCs w:val="18"/>
              </w:rPr>
            </w:pPr>
            <w:r>
              <w:rPr>
                <w:rFonts w:hint="eastAsia" w:ascii="宋体" w:hAnsi="宋体"/>
                <w:bCs/>
                <w:color w:val="000000"/>
                <w:sz w:val="18"/>
                <w:szCs w:val="18"/>
              </w:rPr>
              <w:t>弄虚作假，故意降低工程质量标准的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JL2-1-3</w:t>
            </w:r>
          </w:p>
        </w:tc>
        <w:tc>
          <w:tcPr>
            <w:tcW w:w="3119" w:type="dxa"/>
            <w:vAlign w:val="center"/>
          </w:tcPr>
          <w:p>
            <w:pPr>
              <w:pStyle w:val="9"/>
              <w:rPr>
                <w:rFonts w:ascii="宋体" w:hAnsi="宋体"/>
                <w:bCs/>
                <w:color w:val="000000"/>
                <w:spacing w:val="-6"/>
                <w:sz w:val="18"/>
                <w:szCs w:val="18"/>
              </w:rPr>
            </w:pPr>
            <w:r>
              <w:rPr>
                <w:rFonts w:hint="eastAsia" w:ascii="宋体" w:hAnsi="宋体"/>
                <w:bCs/>
                <w:color w:val="000000"/>
                <w:spacing w:val="-6"/>
                <w:sz w:val="18"/>
                <w:szCs w:val="18"/>
              </w:rPr>
              <w:t>在重大质量事故或较大及以上等级安全生产事故中，监理企业负有主要责任的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JL2-1-4</w:t>
            </w:r>
          </w:p>
        </w:tc>
        <w:tc>
          <w:tcPr>
            <w:tcW w:w="3119" w:type="dxa"/>
            <w:vAlign w:val="center"/>
          </w:tcPr>
          <w:p>
            <w:pPr>
              <w:pStyle w:val="9"/>
              <w:rPr>
                <w:rFonts w:ascii="宋体" w:hAnsi="宋体"/>
                <w:bCs/>
                <w:color w:val="000000"/>
                <w:sz w:val="18"/>
                <w:szCs w:val="18"/>
              </w:rPr>
            </w:pPr>
            <w:r>
              <w:rPr>
                <w:rFonts w:hint="eastAsia" w:ascii="宋体" w:hAnsi="宋体"/>
                <w:bCs/>
                <w:color w:val="000000"/>
                <w:sz w:val="18"/>
                <w:szCs w:val="18"/>
              </w:rPr>
              <w:t>在重大质量事故或较大及以上等级安全生产事故中，监理企业负有责任的</w:t>
            </w:r>
          </w:p>
        </w:tc>
        <w:tc>
          <w:tcPr>
            <w:tcW w:w="1418" w:type="dxa"/>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20分∕次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17" w:type="dxa"/>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质量、安全生产、环保监理（行为代码SYJL2-2）</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将不合格的单位、分部、分项工程、工序按照合格签字的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15分∕次</w:t>
            </w:r>
          </w:p>
        </w:tc>
        <w:tc>
          <w:tcPr>
            <w:tcW w:w="1155" w:type="dxa"/>
            <w:vAlign w:val="center"/>
          </w:tcPr>
          <w:p>
            <w:pPr>
              <w:pStyle w:val="9"/>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SYJL2-2-2</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将不合格的建筑材料、建筑构配件或者设备按照合格签字的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SYJL2-2-3</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在环保事件中负有责任的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SYJL2-2-4</w:t>
            </w:r>
          </w:p>
        </w:tc>
        <w:tc>
          <w:tcPr>
            <w:tcW w:w="3119" w:type="dxa"/>
            <w:vAlign w:val="center"/>
          </w:tcPr>
          <w:p>
            <w:pPr>
              <w:pStyle w:val="9"/>
              <w:rPr>
                <w:rFonts w:ascii="宋体" w:hAnsi="宋体"/>
                <w:color w:val="000000"/>
                <w:sz w:val="18"/>
                <w:szCs w:val="18"/>
              </w:rPr>
            </w:pPr>
            <w:r>
              <w:rPr>
                <w:rFonts w:hint="eastAsia" w:ascii="宋体" w:hAnsi="宋体"/>
                <w:color w:val="000000"/>
                <w:sz w:val="18"/>
                <w:szCs w:val="18"/>
              </w:rPr>
              <w:t>在一般质量事故或安全生产责任事故</w:t>
            </w:r>
          </w:p>
          <w:p>
            <w:pPr>
              <w:pStyle w:val="9"/>
              <w:rPr>
                <w:rFonts w:ascii="宋体" w:hAnsi="宋体"/>
                <w:color w:val="000000"/>
                <w:sz w:val="18"/>
                <w:szCs w:val="18"/>
              </w:rPr>
            </w:pPr>
            <w:r>
              <w:rPr>
                <w:rFonts w:hint="eastAsia" w:ascii="宋体" w:hAnsi="宋体"/>
                <w:color w:val="000000"/>
                <w:sz w:val="18"/>
                <w:szCs w:val="18"/>
              </w:rPr>
              <w:t>中，监理企业负有责任的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10分∕次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SYJL2-2-5</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工程项目出现重大安全生产事故隐患，监理企业负有责任的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6分/次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SYJL2-2-6</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工程项目出现质量问题，监理企业负有责任的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SYJL2-2-7</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对交通主管部门或者质量监督机构检查（督查）提出的监理问题未整改、整改不及时或者经整改达不到要求的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SYJL2-2-8</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未按规定对施工组织设计、专项施工方案等进行审批的，或者监理计划（规划）、监理实施细则未按规定审批的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r>
              <w:rPr>
                <w:rFonts w:hint="eastAsia" w:ascii="宋体" w:hAnsi="宋体"/>
                <w:color w:val="000000"/>
                <w:sz w:val="15"/>
                <w:szCs w:val="15"/>
              </w:rPr>
              <w:t>指监理未对施工单位提交的施工组织设计进行审批，包括安全技术措施、环保技术措施、施工现场临时用电方案、专项施工方案等，或者监理计划（规划）、监理实施细则未按规定审批的，扣5分/次。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SYJL2-2-9</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未按规定进行隐蔽工程验收或进行中</w:t>
            </w:r>
          </w:p>
          <w:p>
            <w:pPr>
              <w:pStyle w:val="9"/>
              <w:spacing w:line="260" w:lineRule="atLeast"/>
              <w:rPr>
                <w:rFonts w:ascii="宋体" w:hAnsi="宋体"/>
                <w:color w:val="000000"/>
                <w:sz w:val="18"/>
                <w:szCs w:val="18"/>
              </w:rPr>
            </w:pPr>
            <w:r>
              <w:rPr>
                <w:rFonts w:hint="eastAsia" w:ascii="宋体" w:hAnsi="宋体"/>
                <w:color w:val="000000"/>
                <w:sz w:val="18"/>
                <w:szCs w:val="18"/>
              </w:rPr>
              <w:t>间交工验收和质量评定的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SYJL2-2-10</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存在假数据、假资料问题的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5分∕类·次</w:t>
            </w:r>
          </w:p>
        </w:tc>
        <w:tc>
          <w:tcPr>
            <w:tcW w:w="1155" w:type="dxa"/>
            <w:vAlign w:val="center"/>
          </w:tcPr>
          <w:p>
            <w:pPr>
              <w:pStyle w:val="9"/>
              <w:spacing w:line="160" w:lineRule="exact"/>
              <w:ind w:right="-84"/>
              <w:jc w:val="left"/>
              <w:rPr>
                <w:rFonts w:ascii="宋体" w:hAnsi="宋体"/>
                <w:color w:val="000000"/>
                <w:spacing w:val="-10"/>
                <w:sz w:val="15"/>
                <w:szCs w:val="15"/>
              </w:rPr>
            </w:pPr>
            <w:r>
              <w:rPr>
                <w:rFonts w:hint="eastAsia" w:ascii="宋体" w:hAnsi="宋体"/>
                <w:color w:val="000000"/>
                <w:spacing w:val="-10"/>
                <w:sz w:val="15"/>
                <w:szCs w:val="15"/>
              </w:rPr>
              <w:t>主要扣分情况分以下几类：</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（1）监理企业抽检数据不真实或者出现严重偏差的；</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（2）巡视、旁站、监理日志等记录不真实，与实际施工情况或者监理事项不符；</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（3）质量安全问题处理复查记录存在编造或者不属实；</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（4）标准试验、配合比设计验证审批资料虚假；</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（5）其他监理文件和资料存在编造或者不属实的；</w:t>
            </w:r>
          </w:p>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（6）监理资料中存在违规代签现象的。</w:t>
            </w:r>
          </w:p>
          <w:p>
            <w:pPr>
              <w:pStyle w:val="9"/>
              <w:spacing w:line="160" w:lineRule="exact"/>
              <w:rPr>
                <w:rFonts w:ascii="宋体" w:hAnsi="宋体"/>
                <w:color w:val="000000"/>
                <w:spacing w:val="-10"/>
                <w:sz w:val="15"/>
                <w:szCs w:val="15"/>
              </w:rPr>
            </w:pPr>
            <w:r>
              <w:rPr>
                <w:rFonts w:hint="eastAsia" w:ascii="宋体" w:hAnsi="宋体"/>
                <w:color w:val="000000"/>
                <w:spacing w:val="-10"/>
                <w:sz w:val="15"/>
                <w:szCs w:val="15"/>
              </w:rPr>
              <w:t>以上各类情况发现一次扣5分/类，多类同时发现的累加扣分。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SYJL2-2-11</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对施工现场发现的质量问题、安全隐患、环保问题，未及时提出书面指令督促施工单位整改的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3分/项·次</w:t>
            </w:r>
          </w:p>
        </w:tc>
        <w:tc>
          <w:tcPr>
            <w:tcW w:w="1155" w:type="dxa"/>
            <w:vAlign w:val="center"/>
          </w:tcPr>
          <w:p>
            <w:pPr>
              <w:pStyle w:val="9"/>
              <w:spacing w:line="160" w:lineRule="exact"/>
              <w:rPr>
                <w:rFonts w:ascii="宋体" w:hAnsi="宋体"/>
                <w:color w:val="000000"/>
                <w:spacing w:val="-10"/>
                <w:sz w:val="15"/>
                <w:szCs w:val="15"/>
              </w:rPr>
            </w:pPr>
            <w:r>
              <w:rPr>
                <w:rFonts w:hint="eastAsia" w:ascii="宋体" w:hAnsi="宋体"/>
                <w:color w:val="000000"/>
                <w:spacing w:val="-10"/>
                <w:sz w:val="15"/>
                <w:szCs w:val="15"/>
              </w:rPr>
              <w:t>指工程现场发生质量问题、安全隐患或者环保问题时，监理应及时向施工单位发出书面监理指令，督促施工单位整改，并对整改情况予以验收和书面确认。未按上述程序实施的，扣3分/项•次，“项”指的是按照质量问题、安全隐患、环保问题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SYJL2-2-12</w:t>
            </w:r>
          </w:p>
        </w:tc>
        <w:tc>
          <w:tcPr>
            <w:tcW w:w="3119" w:type="dxa"/>
            <w:vAlign w:val="center"/>
          </w:tcPr>
          <w:p>
            <w:pPr>
              <w:pStyle w:val="9"/>
              <w:spacing w:line="20" w:lineRule="atLeast"/>
              <w:rPr>
                <w:rFonts w:ascii="宋体" w:hAnsi="宋体"/>
                <w:color w:val="000000"/>
                <w:sz w:val="18"/>
                <w:szCs w:val="18"/>
              </w:rPr>
            </w:pPr>
            <w:r>
              <w:rPr>
                <w:rFonts w:hint="eastAsia" w:ascii="宋体" w:hAnsi="宋体"/>
                <w:color w:val="000000"/>
                <w:sz w:val="18"/>
                <w:szCs w:val="18"/>
              </w:rPr>
              <w:t>未按规定频率进行抽检和质量检验（评定）的</w:t>
            </w:r>
          </w:p>
        </w:tc>
        <w:tc>
          <w:tcPr>
            <w:tcW w:w="1418"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3分/次</w:t>
            </w:r>
          </w:p>
        </w:tc>
        <w:tc>
          <w:tcPr>
            <w:tcW w:w="1155" w:type="dxa"/>
            <w:vAlign w:val="center"/>
          </w:tcPr>
          <w:p>
            <w:pPr>
              <w:pStyle w:val="9"/>
              <w:spacing w:line="160" w:lineRule="exact"/>
              <w:jc w:val="center"/>
              <w:rPr>
                <w:rFonts w:ascii="宋体" w:hAnsi="宋体"/>
                <w:color w:val="000000"/>
                <w:sz w:val="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SYJL2-2-13</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监理日志、巡视、旁站记录中重要内容未记录的</w:t>
            </w:r>
          </w:p>
        </w:tc>
        <w:tc>
          <w:tcPr>
            <w:tcW w:w="1418"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2分/项·次</w:t>
            </w:r>
          </w:p>
        </w:tc>
        <w:tc>
          <w:tcPr>
            <w:tcW w:w="1155" w:type="dxa"/>
            <w:vAlign w:val="center"/>
          </w:tcPr>
          <w:p>
            <w:pPr>
              <w:pStyle w:val="9"/>
              <w:spacing w:line="160" w:lineRule="exact"/>
              <w:rPr>
                <w:rFonts w:ascii="宋体" w:hAnsi="宋体"/>
                <w:color w:val="000000"/>
                <w:sz w:val="15"/>
                <w:szCs w:val="15"/>
              </w:rPr>
            </w:pPr>
            <w:r>
              <w:rPr>
                <w:rFonts w:hint="eastAsia" w:ascii="宋体" w:hAnsi="宋体"/>
                <w:color w:val="000000"/>
                <w:sz w:val="15"/>
                <w:szCs w:val="15"/>
              </w:rPr>
              <w:t>监理日志、巡视、旁站记录中重要内容未记录的，扣2分/项·次，“项”指的是按照监理日志、巡视和旁站分项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Merge w:val="continue"/>
            <w:vAlign w:val="center"/>
          </w:tcPr>
          <w:p>
            <w:pPr>
              <w:rPr>
                <w:rFonts w:ascii="宋体" w:hAnsi="宋体"/>
                <w:color w:val="000000"/>
                <w:sz w:val="18"/>
                <w:szCs w:val="18"/>
              </w:rPr>
            </w:pPr>
          </w:p>
        </w:tc>
        <w:tc>
          <w:tcPr>
            <w:tcW w:w="992" w:type="dxa"/>
            <w:vMerge w:val="restart"/>
            <w:vAlign w:val="center"/>
          </w:tcPr>
          <w:p>
            <w:pPr>
              <w:pStyle w:val="9"/>
              <w:spacing w:line="200" w:lineRule="exact"/>
              <w:rPr>
                <w:rFonts w:ascii="宋体" w:hAnsi="宋体"/>
                <w:color w:val="000000"/>
                <w:sz w:val="18"/>
                <w:szCs w:val="18"/>
              </w:rPr>
            </w:pPr>
            <w:r>
              <w:rPr>
                <w:rFonts w:hint="eastAsia" w:ascii="宋体" w:hAnsi="宋体"/>
                <w:color w:val="000000"/>
                <w:sz w:val="18"/>
                <w:szCs w:val="18"/>
              </w:rPr>
              <w:t>费用监理（满分</w:t>
            </w:r>
            <w:r>
              <w:rPr>
                <w:rFonts w:ascii="宋体" w:hAnsi="宋体"/>
                <w:color w:val="000000"/>
                <w:sz w:val="18"/>
                <w:szCs w:val="18"/>
              </w:rPr>
              <w:t>1</w:t>
            </w:r>
            <w:r>
              <w:rPr>
                <w:rFonts w:hint="eastAsia" w:ascii="宋体" w:hAnsi="宋体"/>
                <w:color w:val="000000"/>
                <w:sz w:val="18"/>
                <w:szCs w:val="18"/>
              </w:rPr>
              <w:t>0分,扣完为止，行为代码SYJL2-3)</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SYJL2-3-1</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工程量计量不真实的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5分/次</w:t>
            </w:r>
          </w:p>
        </w:tc>
        <w:tc>
          <w:tcPr>
            <w:tcW w:w="1155" w:type="dxa"/>
            <w:vAlign w:val="center"/>
          </w:tcPr>
          <w:p>
            <w:pPr>
              <w:pStyle w:val="9"/>
              <w:spacing w:line="2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pStyle w:val="9"/>
              <w:spacing w:line="200" w:lineRule="exact"/>
              <w:jc w:val="cente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SYJL2-3-2</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变更弄虚作假</w:t>
            </w:r>
          </w:p>
        </w:tc>
        <w:tc>
          <w:tcPr>
            <w:tcW w:w="1418" w:type="dxa"/>
            <w:vAlign w:val="center"/>
          </w:tcPr>
          <w:p>
            <w:pPr>
              <w:jc w:val="center"/>
              <w:rPr>
                <w:rFonts w:ascii="宋体" w:hAnsi="宋体"/>
                <w:color w:val="000000"/>
                <w:sz w:val="18"/>
                <w:szCs w:val="18"/>
              </w:rPr>
            </w:pPr>
            <w:r>
              <w:rPr>
                <w:rFonts w:ascii="宋体" w:hAnsi="宋体"/>
                <w:color w:val="000000"/>
                <w:sz w:val="18"/>
                <w:szCs w:val="18"/>
              </w:rPr>
              <w:t>6</w:t>
            </w:r>
            <w:r>
              <w:rPr>
                <w:rFonts w:hint="eastAsia" w:ascii="宋体" w:hAnsi="宋体"/>
                <w:color w:val="000000"/>
                <w:sz w:val="18"/>
                <w:szCs w:val="18"/>
              </w:rPr>
              <w:t>分/次</w:t>
            </w:r>
          </w:p>
        </w:tc>
        <w:tc>
          <w:tcPr>
            <w:tcW w:w="1155" w:type="dxa"/>
            <w:vAlign w:val="center"/>
          </w:tcPr>
          <w:p>
            <w:pPr>
              <w:pStyle w:val="9"/>
              <w:spacing w:line="2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pStyle w:val="9"/>
              <w:spacing w:line="200" w:lineRule="exact"/>
              <w:jc w:val="cente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SYJL2-3-3</w:t>
            </w:r>
          </w:p>
        </w:tc>
        <w:tc>
          <w:tcPr>
            <w:tcW w:w="3119" w:type="dxa"/>
            <w:vAlign w:val="center"/>
          </w:tcPr>
          <w:p>
            <w:pPr>
              <w:jc w:val="left"/>
              <w:rPr>
                <w:rFonts w:ascii="宋体" w:hAnsi="宋体"/>
                <w:color w:val="000000"/>
                <w:sz w:val="18"/>
                <w:szCs w:val="18"/>
              </w:rPr>
            </w:pPr>
            <w:r>
              <w:rPr>
                <w:rFonts w:hint="eastAsia" w:ascii="宋体" w:hAnsi="宋体"/>
                <w:color w:val="000000"/>
                <w:sz w:val="18"/>
                <w:szCs w:val="18"/>
              </w:rPr>
              <w:t>造价管理台账不完备</w:t>
            </w:r>
          </w:p>
        </w:tc>
        <w:tc>
          <w:tcPr>
            <w:tcW w:w="1418" w:type="dxa"/>
            <w:vAlign w:val="center"/>
          </w:tcPr>
          <w:p>
            <w:pPr>
              <w:jc w:val="cente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分/项</w:t>
            </w:r>
          </w:p>
        </w:tc>
        <w:tc>
          <w:tcPr>
            <w:tcW w:w="1155" w:type="dxa"/>
            <w:vAlign w:val="center"/>
          </w:tcPr>
          <w:p>
            <w:pPr>
              <w:pStyle w:val="9"/>
              <w:spacing w:line="20" w:lineRule="atLeas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Align w:val="center"/>
          </w:tcPr>
          <w:p>
            <w:pPr>
              <w:pStyle w:val="9"/>
              <w:spacing w:line="200" w:lineRule="exact"/>
              <w:jc w:val="center"/>
              <w:rPr>
                <w:rFonts w:ascii="宋体" w:hAnsi="宋体"/>
                <w:color w:val="000000"/>
                <w:sz w:val="18"/>
                <w:szCs w:val="18"/>
              </w:rPr>
            </w:pPr>
            <w:r>
              <w:rPr>
                <w:rFonts w:hint="eastAsia" w:ascii="宋体" w:hAnsi="宋体"/>
                <w:color w:val="000000"/>
                <w:sz w:val="18"/>
                <w:szCs w:val="18"/>
              </w:rPr>
              <w:t>进度监理（行为代码SYJL2-4）</w:t>
            </w:r>
          </w:p>
        </w:tc>
        <w:tc>
          <w:tcPr>
            <w:tcW w:w="1134"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SYJL2-4-1</w:t>
            </w:r>
          </w:p>
        </w:tc>
        <w:tc>
          <w:tcPr>
            <w:tcW w:w="3119" w:type="dxa"/>
            <w:vAlign w:val="center"/>
          </w:tcPr>
          <w:p>
            <w:pPr>
              <w:pStyle w:val="9"/>
              <w:spacing w:line="20" w:lineRule="atLeast"/>
              <w:rPr>
                <w:rFonts w:ascii="宋体" w:hAnsi="宋体"/>
                <w:color w:val="000000"/>
                <w:sz w:val="18"/>
                <w:szCs w:val="18"/>
              </w:rPr>
            </w:pPr>
            <w:r>
              <w:rPr>
                <w:rFonts w:hint="eastAsia" w:ascii="宋体" w:hAnsi="宋体"/>
                <w:color w:val="000000"/>
                <w:sz w:val="18"/>
                <w:szCs w:val="18"/>
              </w:rPr>
              <w:t>由于施工单位原因导致工期滞后，监理未及时提出书面指令督促施工单位整改的</w:t>
            </w:r>
          </w:p>
        </w:tc>
        <w:tc>
          <w:tcPr>
            <w:tcW w:w="1418" w:type="dxa"/>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3分/次</w:t>
            </w:r>
          </w:p>
        </w:tc>
        <w:tc>
          <w:tcPr>
            <w:tcW w:w="1155" w:type="dxa"/>
            <w:vAlign w:val="center"/>
          </w:tcPr>
          <w:p>
            <w:pPr>
              <w:pStyle w:val="9"/>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7" w:type="dxa"/>
            <w:vMerge w:val="continue"/>
            <w:vAlign w:val="center"/>
          </w:tcPr>
          <w:p>
            <w:pPr>
              <w:rPr>
                <w:rFonts w:ascii="宋体" w:hAnsi="宋体"/>
                <w:color w:val="000000"/>
                <w:sz w:val="18"/>
                <w:szCs w:val="18"/>
              </w:rPr>
            </w:pP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人员设备到位（行为代码SYJL2-5）</w:t>
            </w: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SYJL2-5-1</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企业所属监理人员冒用他人证书从事监理工作的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10分∕人次</w:t>
            </w:r>
          </w:p>
        </w:tc>
        <w:tc>
          <w:tcPr>
            <w:tcW w:w="1155" w:type="dxa"/>
            <w:vAlign w:val="center"/>
          </w:tcPr>
          <w:p>
            <w:pPr>
              <w:pStyle w:val="9"/>
              <w:spacing w:line="20" w:lineRule="atLeas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SYJL2-5-2</w:t>
            </w:r>
          </w:p>
        </w:tc>
        <w:tc>
          <w:tcPr>
            <w:tcW w:w="3119"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监理人员使用假证书从事监理工作的</w:t>
            </w:r>
          </w:p>
        </w:tc>
        <w:tc>
          <w:tcPr>
            <w:tcW w:w="1418" w:type="dxa"/>
            <w:vAlign w:val="center"/>
          </w:tcPr>
          <w:p>
            <w:pPr>
              <w:pStyle w:val="9"/>
              <w:jc w:val="center"/>
              <w:rPr>
                <w:rFonts w:ascii="宋体" w:hAnsi="宋体"/>
                <w:color w:val="000000"/>
                <w:sz w:val="18"/>
                <w:szCs w:val="18"/>
              </w:rPr>
            </w:pPr>
            <w:r>
              <w:rPr>
                <w:rFonts w:hint="eastAsia" w:ascii="宋体" w:hAnsi="宋体"/>
                <w:color w:val="000000"/>
                <w:sz w:val="18"/>
                <w:szCs w:val="18"/>
              </w:rPr>
              <w:t>5分∕人次</w:t>
            </w:r>
          </w:p>
        </w:tc>
        <w:tc>
          <w:tcPr>
            <w:tcW w:w="1155" w:type="dxa"/>
            <w:vAlign w:val="center"/>
          </w:tcPr>
          <w:p>
            <w:pPr>
              <w:pStyle w:val="9"/>
              <w:spacing w:line="20" w:lineRule="atLeas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17" w:type="dxa"/>
            <w:vMerge w:val="continue"/>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投标行为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（100分，行为代码GLJL1）</w:t>
            </w: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SYJL2-5-3</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rPr>
                <w:rFonts w:ascii="宋体" w:hAnsi="宋体"/>
                <w:color w:val="000000"/>
                <w:sz w:val="18"/>
                <w:szCs w:val="18"/>
              </w:rPr>
            </w:pPr>
            <w:r>
              <w:rPr>
                <w:rFonts w:hint="eastAsia" w:ascii="宋体" w:hAnsi="宋体"/>
                <w:color w:val="000000"/>
                <w:sz w:val="18"/>
                <w:szCs w:val="18"/>
              </w:rPr>
              <w:t>监理人员有吃拿卡要行为的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SYJL2-5-4</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rPr>
                <w:rFonts w:ascii="宋体" w:hAnsi="宋体"/>
                <w:color w:val="000000"/>
                <w:sz w:val="18"/>
                <w:szCs w:val="18"/>
              </w:rPr>
            </w:pPr>
            <w:r>
              <w:rPr>
                <w:rFonts w:hint="eastAsia" w:ascii="宋体" w:hAnsi="宋体"/>
                <w:color w:val="000000"/>
                <w:sz w:val="18"/>
                <w:szCs w:val="18"/>
              </w:rPr>
              <w:t>未按投标承诺的条件配备总监、副总监、驻地监理、总监代表的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left"/>
              <w:rPr>
                <w:rFonts w:ascii="宋体" w:hAnsi="宋体"/>
                <w:color w:val="000000"/>
                <w:spacing w:val="-10"/>
                <w:sz w:val="15"/>
                <w:szCs w:val="15"/>
              </w:rPr>
            </w:pPr>
            <w:r>
              <w:rPr>
                <w:rFonts w:hint="eastAsia" w:ascii="宋体" w:hAnsi="宋体"/>
                <w:color w:val="000000"/>
                <w:spacing w:val="-10"/>
                <w:sz w:val="15"/>
                <w:szCs w:val="15"/>
              </w:rPr>
              <w:t>指监理企业派驻现场关键人的岗位能力不满足合同要求，如主要业绩、职称、专业、资格要求等。主要扣分情况分以下几类：</w:t>
            </w:r>
          </w:p>
          <w:p>
            <w:pPr>
              <w:pStyle w:val="9"/>
              <w:spacing w:line="20" w:lineRule="atLeast"/>
              <w:jc w:val="left"/>
              <w:rPr>
                <w:rFonts w:ascii="宋体" w:hAnsi="宋体"/>
                <w:color w:val="000000"/>
                <w:spacing w:val="-10"/>
                <w:sz w:val="15"/>
                <w:szCs w:val="15"/>
              </w:rPr>
            </w:pPr>
            <w:r>
              <w:rPr>
                <w:rFonts w:hint="eastAsia" w:ascii="宋体" w:hAnsi="宋体"/>
                <w:color w:val="000000"/>
                <w:spacing w:val="-10"/>
                <w:sz w:val="15"/>
                <w:szCs w:val="15"/>
              </w:rPr>
              <w:t>（1）派驻关键人条件有降低的，即使有履行变更手续经业主同意的情形，或者关键人到岗时间不足合同约定时间的2/3，扣5分/人次；</w:t>
            </w:r>
          </w:p>
          <w:p>
            <w:pPr>
              <w:pStyle w:val="9"/>
              <w:spacing w:line="20" w:lineRule="atLeast"/>
              <w:jc w:val="left"/>
              <w:rPr>
                <w:rFonts w:ascii="宋体" w:hAnsi="宋体"/>
                <w:color w:val="000000"/>
                <w:spacing w:val="-10"/>
                <w:sz w:val="15"/>
                <w:szCs w:val="15"/>
              </w:rPr>
            </w:pPr>
            <w:r>
              <w:rPr>
                <w:rFonts w:hint="eastAsia" w:ascii="宋体" w:hAnsi="宋体"/>
                <w:color w:val="000000"/>
                <w:spacing w:val="-10"/>
                <w:sz w:val="15"/>
                <w:szCs w:val="15"/>
              </w:rPr>
              <w:t>（2）关键人条件无降低，但每一个关键人岗位在施工监理期内累计变更次数达到两次（含）以上的，从第二次变更起，施工监理期每变更一次扣2分/人次（只变更一次不扣分）；</w:t>
            </w:r>
          </w:p>
          <w:p>
            <w:pPr>
              <w:pStyle w:val="9"/>
              <w:spacing w:line="20" w:lineRule="atLeast"/>
              <w:jc w:val="left"/>
              <w:rPr>
                <w:rFonts w:ascii="宋体" w:hAnsi="宋体"/>
                <w:color w:val="000000"/>
                <w:sz w:val="15"/>
                <w:szCs w:val="15"/>
              </w:rPr>
            </w:pPr>
            <w:r>
              <w:rPr>
                <w:rFonts w:hint="eastAsia" w:ascii="宋体" w:hAnsi="宋体"/>
                <w:color w:val="000000"/>
                <w:spacing w:val="-10"/>
                <w:sz w:val="15"/>
                <w:szCs w:val="15"/>
              </w:rPr>
              <w:t>（3）关键人条件有降低，且每一个岗位在施工监理期内累计变更次数超过两次（含）以上，应按照上述第（2）和（3）条累加扣分。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SYJL2-5-5</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rPr>
                <w:rFonts w:ascii="宋体" w:hAnsi="宋体"/>
                <w:color w:val="000000"/>
                <w:sz w:val="18"/>
                <w:szCs w:val="18"/>
              </w:rPr>
            </w:pPr>
            <w:r>
              <w:rPr>
                <w:rFonts w:hint="eastAsia" w:ascii="宋体" w:hAnsi="宋体"/>
                <w:color w:val="000000"/>
                <w:sz w:val="18"/>
                <w:szCs w:val="18"/>
              </w:rPr>
              <w:t>派驻到工程建设项目上的总监、副总监、驻地监理、总监代表未在中标监理企业从业登记的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SYJL2-5-6</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rPr>
                <w:rFonts w:ascii="宋体" w:hAnsi="宋体"/>
                <w:color w:val="000000"/>
                <w:sz w:val="18"/>
                <w:szCs w:val="18"/>
              </w:rPr>
            </w:pPr>
            <w:r>
              <w:rPr>
                <w:rFonts w:hint="eastAsia" w:ascii="宋体" w:hAnsi="宋体"/>
                <w:color w:val="000000"/>
                <w:sz w:val="18"/>
                <w:szCs w:val="18"/>
              </w:rPr>
              <w:t>派驻到工程建设项目上的监理工程师在中标监理企业从业登记的人数不足合同约定监理工程师总人数50%的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每少1人，扣5分/人次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left"/>
              <w:rPr>
                <w:rFonts w:ascii="宋体" w:hAnsi="宋体"/>
                <w:color w:val="000000"/>
                <w:spacing w:val="-10"/>
                <w:sz w:val="15"/>
                <w:szCs w:val="15"/>
              </w:rPr>
            </w:pPr>
            <w:r>
              <w:rPr>
                <w:rFonts w:hint="eastAsia" w:ascii="宋体" w:hAnsi="宋体"/>
                <w:color w:val="000000"/>
                <w:spacing w:val="-10"/>
                <w:sz w:val="15"/>
                <w:szCs w:val="15"/>
              </w:rPr>
              <w:t>指监理工程师在中标企业从业登记人数少于合同约定监理工程师总人数的50%时，每少1人扣5分/次，不够1人按1人扣分计算；登记在中标企业监理工程师人数大于等于总人数50%时不扣分。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SYJL2-5-7</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未经业主许可调换总监、副总监、驻地监理、总监代表的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5分∕人次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SYJL2-5-8</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实际到岗监理工程师不足合同约定70%的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3分/次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SYJL2-5-9</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监理工地试验室未经质量监督机构备案审核或者实际工作中不满足备案要求的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color w:val="000000"/>
                <w:sz w:val="18"/>
                <w:szCs w:val="18"/>
              </w:rPr>
            </w:pPr>
            <w:r>
              <w:rPr>
                <w:rFonts w:hint="eastAsia" w:ascii="宋体" w:hAnsi="宋体"/>
                <w:color w:val="000000"/>
                <w:sz w:val="18"/>
                <w:szCs w:val="18"/>
              </w:rPr>
              <w:t>3分∕次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SYJL2-5-10</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color w:val="000000"/>
                <w:sz w:val="18"/>
                <w:szCs w:val="18"/>
              </w:rPr>
            </w:pPr>
            <w:r>
              <w:rPr>
                <w:rFonts w:hint="eastAsia" w:ascii="宋体" w:hAnsi="宋体"/>
                <w:color w:val="000000"/>
                <w:sz w:val="18"/>
                <w:szCs w:val="18"/>
              </w:rPr>
              <w:t>监理工程师同时在两个及以上水运工程项目中从业的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0" w:lineRule="atLeast"/>
              <w:jc w:val="center"/>
              <w:rPr>
                <w:rFonts w:ascii="宋体" w:hAnsi="宋体"/>
                <w:color w:val="000000"/>
                <w:sz w:val="18"/>
                <w:szCs w:val="18"/>
              </w:rPr>
            </w:pPr>
            <w:r>
              <w:rPr>
                <w:rFonts w:hint="eastAsia" w:ascii="宋体" w:hAnsi="宋体"/>
                <w:color w:val="000000"/>
                <w:sz w:val="18"/>
                <w:szCs w:val="18"/>
              </w:rPr>
              <w:t>2分/人次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left"/>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（行为代码SYJL3）</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JL3-1</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监理企业应申请评价而拒绝申请评价 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09" w:type="dxa"/>
            <w:gridSpan w:val="2"/>
            <w:vMerge w:val="continue"/>
            <w:vAlign w:val="center"/>
          </w:tcPr>
          <w:p>
            <w:pPr>
              <w:pStyle w:val="9"/>
              <w:spacing w:line="260" w:lineRule="atLeast"/>
              <w:jc w:val="cente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JL3-2</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被交通运输部</w:t>
            </w:r>
            <w:r>
              <w:rPr>
                <w:rFonts w:hint="eastAsia" w:ascii="宋体" w:hAnsi="宋体"/>
                <w:color w:val="000000"/>
                <w:sz w:val="18"/>
                <w:szCs w:val="18"/>
              </w:rPr>
              <w:t>行政处罚</w:t>
            </w:r>
            <w:r>
              <w:rPr>
                <w:rFonts w:hint="eastAsia" w:ascii="宋体" w:hAnsi="宋体"/>
                <w:bCs/>
                <w:color w:val="000000"/>
                <w:sz w:val="18"/>
                <w:szCs w:val="18"/>
              </w:rPr>
              <w:t>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bCs/>
                <w:color w:val="000000"/>
                <w:sz w:val="18"/>
                <w:szCs w:val="18"/>
              </w:rPr>
              <w:t>直接定为D级</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09" w:type="dxa"/>
            <w:gridSpan w:val="2"/>
            <w:vMerge w:val="continue"/>
            <w:vAlign w:val="center"/>
          </w:tcPr>
          <w:p>
            <w:pPr>
              <w:pStyle w:val="9"/>
              <w:spacing w:line="260" w:lineRule="atLeast"/>
              <w:jc w:val="cente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JL3-3</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在申请资质许可、定期检验、资质复查及变更等过程中存在企业业绩弄虚 作假的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bCs/>
                <w:color w:val="000000"/>
                <w:sz w:val="18"/>
                <w:szCs w:val="18"/>
              </w:rPr>
              <w:t>发现一次，在全国信用等级降一级</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color w:val="000000"/>
                <w:spacing w:val="-1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JL3-4</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监理企业在资质许可、资质复查、定 期检验等过程中，存在监理工程师业 绩等虚假的</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kern w:val="0"/>
                <w:sz w:val="18"/>
                <w:szCs w:val="18"/>
              </w:rPr>
            </w:pPr>
            <w:r>
              <w:rPr>
                <w:rFonts w:hint="eastAsia" w:ascii="宋体" w:hAnsi="宋体"/>
                <w:bCs/>
                <w:color w:val="000000"/>
                <w:sz w:val="18"/>
                <w:szCs w:val="18"/>
              </w:rPr>
              <w:t>在全国信用评 价总分中扣2 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jc w:val="center"/>
              <w:rPr>
                <w:rFonts w:ascii="宋体" w:hAnsi="宋体"/>
                <w:bCs/>
                <w:color w:val="000000"/>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JL3-5</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监理企业根据交通运输主管部门要求 填报向社会公布的信息存在虚假的</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60" w:lineRule="atLeast"/>
              <w:jc w:val="center"/>
              <w:rPr>
                <w:rFonts w:ascii="宋体" w:hAnsi="宋体"/>
                <w:bCs/>
                <w:color w:val="000000"/>
                <w:kern w:val="0"/>
                <w:sz w:val="18"/>
                <w:szCs w:val="18"/>
              </w:rPr>
            </w:pPr>
            <w:r>
              <w:rPr>
                <w:rFonts w:hint="eastAsia" w:ascii="宋体" w:hAnsi="宋体"/>
                <w:bCs/>
                <w:color w:val="000000"/>
                <w:sz w:val="18"/>
                <w:szCs w:val="18"/>
              </w:rPr>
              <w:t>在全国信用评 价总分中扣3 分/次</w:t>
            </w:r>
          </w:p>
        </w:tc>
        <w:tc>
          <w:tcPr>
            <w:tcW w:w="1155" w:type="dxa"/>
            <w:tcBorders>
              <w:top w:val="single" w:color="auto" w:sz="4" w:space="0"/>
              <w:left w:val="single" w:color="auto" w:sz="4" w:space="0"/>
              <w:bottom w:val="single" w:color="auto" w:sz="4" w:space="0"/>
              <w:right w:val="single" w:color="auto" w:sz="4" w:space="0"/>
            </w:tcBorders>
            <w:vAlign w:val="center"/>
          </w:tcPr>
          <w:p>
            <w:pPr>
              <w:pStyle w:val="9"/>
              <w:spacing w:line="160" w:lineRule="exact"/>
              <w:rPr>
                <w:rFonts w:ascii="宋体" w:hAnsi="宋体"/>
                <w:bCs/>
                <w:color w:val="000000"/>
                <w:spacing w:val="-10"/>
                <w:sz w:val="18"/>
                <w:szCs w:val="18"/>
              </w:rPr>
            </w:pPr>
            <w:r>
              <w:rPr>
                <w:rFonts w:hint="eastAsia" w:ascii="宋体" w:hAnsi="宋体"/>
                <w:color w:val="000000"/>
                <w:spacing w:val="-10"/>
                <w:sz w:val="15"/>
                <w:szCs w:val="15"/>
              </w:rPr>
              <w:t>监理企业向社会公布的信息包括企业基本信息、企业业绩、主要从业人员信息、人 员业绩等，经查实，存在虚假的，在全国信用评价总分上扣3分/次。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JL3-6</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被市交通运输主管部门、质量监督机构或市级其他行政主管部门通报批 评或行政处罚的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15分/次</w:t>
            </w:r>
          </w:p>
        </w:tc>
        <w:tc>
          <w:tcPr>
            <w:tcW w:w="1155" w:type="dxa"/>
            <w:vMerge w:val="restart"/>
            <w:tcBorders>
              <w:top w:val="single" w:color="auto" w:sz="4" w:space="0"/>
              <w:left w:val="single" w:color="auto" w:sz="4" w:space="0"/>
              <w:right w:val="single" w:color="auto" w:sz="4" w:space="0"/>
            </w:tcBorders>
            <w:vAlign w:val="center"/>
          </w:tcPr>
          <w:p>
            <w:pPr>
              <w:pStyle w:val="9"/>
              <w:spacing w:line="160" w:lineRule="exact"/>
              <w:jc w:val="left"/>
              <w:rPr>
                <w:rFonts w:ascii="宋体" w:hAnsi="宋体"/>
                <w:bCs/>
                <w:color w:val="000000"/>
                <w:spacing w:val="-10"/>
                <w:sz w:val="18"/>
                <w:szCs w:val="18"/>
              </w:rPr>
            </w:pPr>
            <w:r>
              <w:rPr>
                <w:rFonts w:hint="eastAsia" w:ascii="宋体" w:hAnsi="宋体"/>
                <w:color w:val="000000"/>
                <w:spacing w:val="-10"/>
                <w:sz w:val="15"/>
                <w:szCs w:val="15"/>
              </w:rPr>
              <w:t>被省级或地（市）级交通运输主管部门、质量监督机构、 省级或地（市）级其他行政主管部门行政处罚或行政处罚的：当行政处罚或行政处罚涉及</w:t>
            </w:r>
            <w:bookmarkStart w:id="4" w:name="_GoBack"/>
            <w:bookmarkEnd w:id="4"/>
            <w:r>
              <w:rPr>
                <w:rFonts w:hint="eastAsia" w:ascii="宋体" w:hAnsi="宋体"/>
                <w:color w:val="000000"/>
                <w:spacing w:val="-10"/>
                <w:sz w:val="15"/>
                <w:szCs w:val="15"/>
              </w:rPr>
              <w:t>标准中其他具体失信行为时，原则上不重复扣分，应按“就高不就低”原则进行扣分。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809" w:type="dxa"/>
            <w:gridSpan w:val="2"/>
            <w:vMerge w:val="continue"/>
            <w:vAlign w:val="center"/>
          </w:tcPr>
          <w:p>
            <w:pPr>
              <w:rPr>
                <w:rFonts w:ascii="宋体" w:hAnsi="宋体"/>
                <w:color w:val="000000"/>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JL3-7</w:t>
            </w:r>
          </w:p>
        </w:tc>
        <w:tc>
          <w:tcPr>
            <w:tcW w:w="3119" w:type="dxa"/>
            <w:tcBorders>
              <w:top w:val="single" w:color="auto" w:sz="4" w:space="0"/>
              <w:left w:val="single" w:color="auto" w:sz="4" w:space="0"/>
              <w:bottom w:val="single" w:color="auto" w:sz="4" w:space="0"/>
              <w:right w:val="single" w:color="auto" w:sz="4" w:space="0"/>
            </w:tcBorders>
            <w:vAlign w:val="center"/>
          </w:tcPr>
          <w:p>
            <w:pPr>
              <w:pStyle w:val="9"/>
              <w:rPr>
                <w:rFonts w:ascii="宋体" w:hAnsi="宋体"/>
                <w:bCs/>
                <w:color w:val="000000"/>
                <w:sz w:val="18"/>
                <w:szCs w:val="18"/>
              </w:rPr>
            </w:pPr>
            <w:r>
              <w:rPr>
                <w:rFonts w:hint="eastAsia" w:ascii="宋体" w:hAnsi="宋体"/>
                <w:bCs/>
                <w:color w:val="000000"/>
                <w:sz w:val="18"/>
                <w:szCs w:val="18"/>
              </w:rPr>
              <w:t>被区县交通运输主管部门、质量监督机构或区县其他行政主管部门行政处罚的</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r>
              <w:rPr>
                <w:rFonts w:hint="eastAsia" w:ascii="宋体" w:hAnsi="宋体"/>
                <w:color w:val="000000"/>
                <w:sz w:val="18"/>
                <w:szCs w:val="18"/>
              </w:rPr>
              <w:t>5分/次</w:t>
            </w:r>
          </w:p>
        </w:tc>
        <w:tc>
          <w:tcPr>
            <w:tcW w:w="1155" w:type="dxa"/>
            <w:vMerge w:val="continue"/>
            <w:tcBorders>
              <w:left w:val="single" w:color="auto" w:sz="4" w:space="0"/>
              <w:bottom w:val="single" w:color="auto" w:sz="4" w:space="0"/>
              <w:right w:val="single" w:color="auto" w:sz="4" w:space="0"/>
            </w:tcBorders>
            <w:vAlign w:val="center"/>
          </w:tcPr>
          <w:p>
            <w:pPr>
              <w:pStyle w:val="9"/>
              <w:jc w:val="center"/>
              <w:rPr>
                <w:rFonts w:ascii="宋体" w:hAnsi="宋体"/>
                <w:bCs/>
                <w:color w:val="000000"/>
                <w:sz w:val="18"/>
                <w:szCs w:val="18"/>
              </w:rPr>
            </w:pPr>
          </w:p>
        </w:tc>
      </w:tr>
    </w:tbl>
    <w:p>
      <w:pPr>
        <w:pStyle w:val="17"/>
        <w:snapToGrid w:val="0"/>
        <w:spacing w:line="560" w:lineRule="exact"/>
        <w:ind w:firstLine="640" w:firstLineChars="200"/>
        <w:rPr>
          <w:rFonts w:ascii="方正黑体_GBK" w:hAnsi="方正黑体_GBK" w:eastAsia="方正黑体_GBK" w:cs="方正黑体_GBK"/>
          <w:color w:val="000000"/>
        </w:rPr>
      </w:pPr>
      <w:r>
        <w:rPr>
          <w:rFonts w:hint="eastAsia" w:ascii="方正黑体_GBK" w:hAnsi="方正黑体_GBK" w:eastAsia="方正黑体_GBK" w:cs="方正黑体_GBK"/>
          <w:color w:val="000000"/>
          <w:sz w:val="32"/>
          <w:szCs w:val="32"/>
        </w:rPr>
        <w:t>二、计算方法</w:t>
      </w:r>
    </w:p>
    <w:p>
      <w:pPr>
        <w:pStyle w:val="17"/>
        <w:numPr>
          <w:ilvl w:val="0"/>
          <w:numId w:val="1"/>
        </w:numPr>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监理单位在从业省份的信用综合评分计算公式。 </w:t>
      </w:r>
    </w:p>
    <w:p>
      <w:pPr>
        <w:pStyle w:val="17"/>
        <w:snapToGrid w:val="0"/>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2084705" cy="520700"/>
            <wp:effectExtent l="0" t="0" r="10795" b="12700"/>
            <wp:docPr id="17" name="图片 5"/>
            <wp:cNvGraphicFramePr/>
            <a:graphic xmlns:a="http://schemas.openxmlformats.org/drawingml/2006/main">
              <a:graphicData uri="http://schemas.openxmlformats.org/drawingml/2006/picture">
                <pic:pic xmlns:pic="http://schemas.openxmlformats.org/drawingml/2006/picture">
                  <pic:nvPicPr>
                    <pic:cNvPr id="17" name="图片 5"/>
                    <pic:cNvPicPr/>
                  </pic:nvPicPr>
                  <pic:blipFill>
                    <a:blip r:embed="rId13"/>
                    <a:stretch>
                      <a:fillRect/>
                    </a:stretch>
                  </pic:blipFill>
                  <pic:spPr>
                    <a:xfrm>
                      <a:off x="0" y="0"/>
                      <a:ext cx="2084705" cy="520700"/>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w:t>
      </w:r>
      <w:r>
        <w:rPr>
          <w:rFonts w:hint="eastAsia" w:ascii="Cambria Math" w:hAnsi="Cambria Math" w:eastAsia="方正仿宋_GBK"/>
          <w:i/>
          <w:color w:val="000000"/>
        </w:rPr>
        <w:t xml:space="preserve">S </w:t>
      </w:r>
      <w:r>
        <w:rPr>
          <w:rFonts w:hint="eastAsia" w:ascii="方正仿宋_GBK" w:hAnsi="宋体" w:eastAsia="方正仿宋_GBK"/>
          <w:color w:val="000000"/>
          <w:sz w:val="32"/>
          <w:szCs w:val="32"/>
        </w:rPr>
        <w:t>—企业在某省的信用综合评分；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190625" cy="212725"/>
            <wp:effectExtent l="0" t="0" r="1905" b="16510"/>
            <wp:docPr id="20" name="图片 6"/>
            <wp:cNvGraphicFramePr/>
            <a:graphic xmlns:a="http://schemas.openxmlformats.org/drawingml/2006/main">
              <a:graphicData uri="http://schemas.openxmlformats.org/drawingml/2006/picture">
                <pic:pic xmlns:pic="http://schemas.openxmlformats.org/drawingml/2006/picture">
                  <pic:nvPicPr>
                    <pic:cNvPr id="20" name="图片 6"/>
                    <pic:cNvPicPr/>
                  </pic:nvPicPr>
                  <pic:blipFill>
                    <a:blip r:embed="rId14"/>
                    <a:stretch>
                      <a:fillRect/>
                    </a:stretch>
                  </pic:blipFill>
                  <pic:spPr>
                    <a:xfrm>
                      <a:off x="0" y="0"/>
                      <a:ext cx="1190625" cy="21272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—企业在某省内某一合同段的信用评分；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23010" cy="212725"/>
            <wp:effectExtent l="0" t="0" r="18415" b="16510"/>
            <wp:docPr id="18" name="图片 7"/>
            <wp:cNvGraphicFramePr/>
            <a:graphic xmlns:a="http://schemas.openxmlformats.org/drawingml/2006/main">
              <a:graphicData uri="http://schemas.openxmlformats.org/drawingml/2006/picture">
                <pic:pic xmlns:pic="http://schemas.openxmlformats.org/drawingml/2006/picture">
                  <pic:nvPicPr>
                    <pic:cNvPr id="18" name="图片 7"/>
                    <pic:cNvPicPr/>
                  </pic:nvPicPr>
                  <pic:blipFill>
                    <a:blip r:embed="rId15"/>
                    <a:stretch>
                      <a:fillRect/>
                    </a:stretch>
                  </pic:blipFill>
                  <pic:spPr>
                    <a:xfrm>
                      <a:off x="0" y="0"/>
                      <a:ext cx="1223010" cy="21272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—企业在某省内某一合同段的合同额；</w:t>
      </w:r>
    </w:p>
    <w:p>
      <w:pPr>
        <w:pStyle w:val="17"/>
        <w:snapToGrid w:val="0"/>
        <w:spacing w:line="560" w:lineRule="exact"/>
        <w:ind w:firstLine="1600" w:firstLineChars="500"/>
        <w:rPr>
          <w:rFonts w:ascii="方正仿宋_GBK" w:hAnsi="宋体" w:eastAsia="方正仿宋_GBK"/>
          <w:color w:val="000000"/>
          <w:sz w:val="32"/>
          <w:szCs w:val="32"/>
        </w:rPr>
      </w:pPr>
      <w:r>
        <w:rPr>
          <w:rFonts w:hint="eastAsia" w:ascii="方正仿宋_GBK" w:hAnsi="宋体" w:eastAsia="方正仿宋_GBK"/>
          <w:color w:val="000000"/>
          <w:sz w:val="32"/>
          <w:szCs w:val="32"/>
        </w:rPr>
        <w:t>n—企业在某省内从业的监理合同段总数。</w:t>
      </w:r>
    </w:p>
    <w:p>
      <w:pPr>
        <w:pStyle w:val="17"/>
        <w:numPr>
          <w:ilvl w:val="0"/>
          <w:numId w:val="1"/>
        </w:numPr>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 xml:space="preserve">监理企业在全国范围内的信用综合评分计算公式。 </w:t>
      </w:r>
    </w:p>
    <w:p>
      <w:pPr>
        <w:pStyle w:val="17"/>
        <w:snapToGrid w:val="0"/>
        <w:ind w:left="420"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2298065" cy="553085"/>
            <wp:effectExtent l="0" t="0" r="6350" b="18415"/>
            <wp:docPr id="19" name="图片 8"/>
            <wp:cNvGraphicFramePr/>
            <a:graphic xmlns:a="http://schemas.openxmlformats.org/drawingml/2006/main">
              <a:graphicData uri="http://schemas.openxmlformats.org/drawingml/2006/picture">
                <pic:pic xmlns:pic="http://schemas.openxmlformats.org/drawingml/2006/picture">
                  <pic:nvPicPr>
                    <pic:cNvPr id="19" name="图片 8"/>
                    <pic:cNvPicPr/>
                  </pic:nvPicPr>
                  <pic:blipFill>
                    <a:blip r:embed="rId16"/>
                    <a:stretch>
                      <a:fillRect/>
                    </a:stretch>
                  </pic:blipFill>
                  <pic:spPr>
                    <a:xfrm>
                      <a:off x="0" y="0"/>
                      <a:ext cx="2298065" cy="553085"/>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式中：G—企业在全国范围内的信用综合评分；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12215" cy="276225"/>
            <wp:effectExtent l="0" t="0" r="1270" b="8255"/>
            <wp:docPr id="16" name="图片 9"/>
            <wp:cNvGraphicFramePr/>
            <a:graphic xmlns:a="http://schemas.openxmlformats.org/drawingml/2006/main">
              <a:graphicData uri="http://schemas.openxmlformats.org/drawingml/2006/picture">
                <pic:pic xmlns:pic="http://schemas.openxmlformats.org/drawingml/2006/picture">
                  <pic:nvPicPr>
                    <pic:cNvPr id="16" name="图片 9"/>
                    <pic:cNvPicPr/>
                  </pic:nvPicPr>
                  <pic:blipFill>
                    <a:blip r:embed="rId17"/>
                    <a:stretch>
                      <a:fillRect/>
                    </a:stretch>
                  </pic:blipFill>
                  <pic:spPr>
                    <a:xfrm>
                      <a:off x="0" y="0"/>
                      <a:ext cx="1212215" cy="27622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—企业在某省的信用综合评分；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43965" cy="244475"/>
            <wp:effectExtent l="0" t="0" r="18415" b="2540"/>
            <wp:docPr id="12" name="图片 10"/>
            <wp:cNvGraphicFramePr/>
            <a:graphic xmlns:a="http://schemas.openxmlformats.org/drawingml/2006/main">
              <a:graphicData uri="http://schemas.openxmlformats.org/drawingml/2006/picture">
                <pic:pic xmlns:pic="http://schemas.openxmlformats.org/drawingml/2006/picture">
                  <pic:nvPicPr>
                    <pic:cNvPr id="12" name="图片 10"/>
                    <pic:cNvPicPr/>
                  </pic:nvPicPr>
                  <pic:blipFill>
                    <a:blip r:embed="rId18"/>
                    <a:stretch>
                      <a:fillRect/>
                    </a:stretch>
                  </pic:blipFill>
                  <pic:spPr>
                    <a:xfrm>
                      <a:off x="0" y="0"/>
                      <a:ext cx="1243965" cy="244475"/>
                    </a:xfrm>
                    <a:prstGeom prst="rect">
                      <a:avLst/>
                    </a:prstGeom>
                    <a:noFill/>
                    <a:ln>
                      <a:noFill/>
                    </a:ln>
                  </pic:spPr>
                </pic:pic>
              </a:graphicData>
            </a:graphic>
          </wp:inline>
        </w:drawing>
      </w:r>
      <w:r>
        <w:rPr>
          <w:rFonts w:hint="eastAsia" w:ascii="方正仿宋_GBK" w:hAnsi="宋体" w:eastAsia="方正仿宋_GBK"/>
          <w:color w:val="000000"/>
          <w:sz w:val="32"/>
          <w:szCs w:val="32"/>
        </w:rPr>
        <w:t>—企业在某省的合同总额；</w:t>
      </w:r>
    </w:p>
    <w:p>
      <w:pPr>
        <w:pStyle w:val="17"/>
        <w:snapToGrid w:val="0"/>
        <w:spacing w:line="560" w:lineRule="exact"/>
        <w:ind w:firstLine="1600" w:firstLineChars="500"/>
        <w:rPr>
          <w:rFonts w:ascii="方正仿宋_GBK" w:hAnsi="宋体" w:eastAsia="方正仿宋_GBK"/>
          <w:color w:val="000000"/>
          <w:sz w:val="32"/>
          <w:szCs w:val="32"/>
        </w:rPr>
      </w:pPr>
      <w:r>
        <w:rPr>
          <w:rFonts w:hint="eastAsia" w:ascii="方正仿宋_GBK" w:hAnsi="宋体" w:eastAsia="方正仿宋_GBK"/>
          <w:color w:val="000000"/>
          <w:sz w:val="32"/>
          <w:szCs w:val="32"/>
        </w:rPr>
        <w:t>m—企业从业的省份总数。</w:t>
      </w:r>
    </w:p>
    <w:p>
      <w:pPr>
        <w:pStyle w:val="17"/>
        <w:numPr>
          <w:ilvl w:val="0"/>
          <w:numId w:val="1"/>
        </w:numPr>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监理企业在工程项目建设期间的信用总体评价的评分计算公式。</w:t>
      </w:r>
    </w:p>
    <w:p>
      <w:pPr>
        <w:pStyle w:val="17"/>
        <w:snapToGrid w:val="0"/>
        <w:ind w:left="420"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371600" cy="553085"/>
            <wp:effectExtent l="0" t="0" r="0" b="18415"/>
            <wp:docPr id="13" name="图片 11"/>
            <wp:cNvGraphicFramePr/>
            <a:graphic xmlns:a="http://schemas.openxmlformats.org/drawingml/2006/main">
              <a:graphicData uri="http://schemas.openxmlformats.org/drawingml/2006/picture">
                <pic:pic xmlns:pic="http://schemas.openxmlformats.org/drawingml/2006/picture">
                  <pic:nvPicPr>
                    <pic:cNvPr id="13" name="图片 11"/>
                    <pic:cNvPicPr/>
                  </pic:nvPicPr>
                  <pic:blipFill>
                    <a:blip r:embed="rId19"/>
                    <a:stretch>
                      <a:fillRect/>
                    </a:stretch>
                  </pic:blipFill>
                  <pic:spPr>
                    <a:xfrm>
                      <a:off x="0" y="0"/>
                      <a:ext cx="1371600" cy="553085"/>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式中：X—企业在工程项目建设期间的信用总体评分；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23010" cy="212725"/>
            <wp:effectExtent l="0" t="0" r="18415" b="16510"/>
            <wp:docPr id="14" name="图片 12"/>
            <wp:cNvGraphicFramePr/>
            <a:graphic xmlns:a="http://schemas.openxmlformats.org/drawingml/2006/main">
              <a:graphicData uri="http://schemas.openxmlformats.org/drawingml/2006/picture">
                <pic:pic xmlns:pic="http://schemas.openxmlformats.org/drawingml/2006/picture">
                  <pic:nvPicPr>
                    <pic:cNvPr id="14" name="图片 12"/>
                    <pic:cNvPicPr/>
                  </pic:nvPicPr>
                  <pic:blipFill>
                    <a:blip r:embed="rId20"/>
                    <a:stretch>
                      <a:fillRect/>
                    </a:stretch>
                  </pic:blipFill>
                  <pic:spPr>
                    <a:xfrm>
                      <a:off x="0" y="0"/>
                      <a:ext cx="1223010" cy="212725"/>
                    </a:xfrm>
                    <a:prstGeom prst="rect">
                      <a:avLst/>
                    </a:prstGeom>
                    <a:noFill/>
                    <a:ln>
                      <a:noFill/>
                    </a:ln>
                  </pic:spPr>
                </pic:pic>
              </a:graphicData>
            </a:graphic>
          </wp:inline>
        </w:drawing>
      </w:r>
      <w:r>
        <w:rPr>
          <w:rFonts w:hint="eastAsia" w:ascii="方正仿宋_GBK" w:hAnsi="宋体" w:eastAsia="方正仿宋_GBK"/>
          <w:color w:val="000000"/>
          <w:sz w:val="32"/>
          <w:szCs w:val="32"/>
        </w:rPr>
        <w:t>—企业在工程项目建设期间某一年的信用综合评分，按公式（四）计算；</w:t>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k—企业在工程项目上的从业年份数量。</w:t>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监理企业在工程项目建设期间某一年的信用综合评分计算公式。</w:t>
      </w:r>
    </w:p>
    <w:p>
      <w:pPr>
        <w:pStyle w:val="17"/>
        <w:snapToGrid w:val="0"/>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2242820" cy="605790"/>
            <wp:effectExtent l="0" t="0" r="5080" b="3810"/>
            <wp:docPr id="15" name="图片 13"/>
            <wp:cNvGraphicFramePr/>
            <a:graphic xmlns:a="http://schemas.openxmlformats.org/drawingml/2006/main">
              <a:graphicData uri="http://schemas.openxmlformats.org/drawingml/2006/picture">
                <pic:pic xmlns:pic="http://schemas.openxmlformats.org/drawingml/2006/picture">
                  <pic:nvPicPr>
                    <pic:cNvPr id="15" name="图片 13"/>
                    <pic:cNvPicPr/>
                  </pic:nvPicPr>
                  <pic:blipFill>
                    <a:blip r:embed="rId21"/>
                    <a:stretch>
                      <a:fillRect/>
                    </a:stretch>
                  </pic:blipFill>
                  <pic:spPr>
                    <a:xfrm>
                      <a:off x="0" y="0"/>
                      <a:ext cx="2242820" cy="605790"/>
                    </a:xfrm>
                    <a:prstGeom prst="rect">
                      <a:avLst/>
                    </a:prstGeom>
                    <a:noFill/>
                    <a:ln>
                      <a:noFill/>
                    </a:ln>
                  </pic:spPr>
                </pic:pic>
              </a:graphicData>
            </a:graphic>
          </wp:inline>
        </w:drawing>
      </w:r>
    </w:p>
    <w:p>
      <w:pPr>
        <w:pStyle w:val="17"/>
        <w:snapToGrid w:val="0"/>
        <w:spacing w:line="56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式中：</w:t>
      </w:r>
      <w:r>
        <w:rPr>
          <w:rFonts w:ascii="方正仿宋_GBK" w:hAnsi="宋体" w:eastAsia="方正仿宋_GBK"/>
          <w:color w:val="000000"/>
          <w:sz w:val="32"/>
          <w:szCs w:val="32"/>
        </w:rPr>
        <w:drawing>
          <wp:inline distT="0" distB="0" distL="114300" distR="114300">
            <wp:extent cx="595630" cy="244475"/>
            <wp:effectExtent l="0" t="0" r="17145" b="2540"/>
            <wp:docPr id="8" name="图片 14"/>
            <wp:cNvGraphicFramePr/>
            <a:graphic xmlns:a="http://schemas.openxmlformats.org/drawingml/2006/main">
              <a:graphicData uri="http://schemas.openxmlformats.org/drawingml/2006/picture">
                <pic:pic xmlns:pic="http://schemas.openxmlformats.org/drawingml/2006/picture">
                  <pic:nvPicPr>
                    <pic:cNvPr id="8" name="图片 14"/>
                    <pic:cNvPicPr/>
                  </pic:nvPicPr>
                  <pic:blipFill>
                    <a:blip r:embed="rId22"/>
                    <a:stretch>
                      <a:fillRect/>
                    </a:stretch>
                  </pic:blipFill>
                  <pic:spPr>
                    <a:xfrm>
                      <a:off x="0" y="0"/>
                      <a:ext cx="595630" cy="244475"/>
                    </a:xfrm>
                    <a:prstGeom prst="rect">
                      <a:avLst/>
                    </a:prstGeom>
                    <a:noFill/>
                    <a:ln>
                      <a:noFill/>
                    </a:ln>
                  </pic:spPr>
                </pic:pic>
              </a:graphicData>
            </a:graphic>
          </wp:inline>
        </w:drawing>
      </w:r>
      <w:r>
        <w:rPr>
          <w:rFonts w:hint="eastAsia" w:ascii="方正仿宋_GBK" w:hAnsi="宋体" w:eastAsia="方正仿宋_GBK"/>
          <w:color w:val="000000"/>
          <w:sz w:val="32"/>
          <w:szCs w:val="32"/>
        </w:rPr>
        <w:t>—企业在工程项目某一合同段的信用评分；</w:t>
      </w:r>
    </w:p>
    <w:p>
      <w:pPr>
        <w:pStyle w:val="17"/>
        <w:snapToGrid w:val="0"/>
        <w:spacing w:line="56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drawing>
          <wp:inline distT="0" distB="0" distL="114300" distR="114300">
            <wp:extent cx="1244600" cy="244475"/>
            <wp:effectExtent l="0" t="0" r="17780" b="2540"/>
            <wp:docPr id="9" name="图片 15"/>
            <wp:cNvGraphicFramePr/>
            <a:graphic xmlns:a="http://schemas.openxmlformats.org/drawingml/2006/main">
              <a:graphicData uri="http://schemas.openxmlformats.org/drawingml/2006/picture">
                <pic:pic xmlns:pic="http://schemas.openxmlformats.org/drawingml/2006/picture">
                  <pic:nvPicPr>
                    <pic:cNvPr id="9" name="图片 15"/>
                    <pic:cNvPicPr/>
                  </pic:nvPicPr>
                  <pic:blipFill>
                    <a:blip r:embed="rId23"/>
                    <a:stretch>
                      <a:fillRect/>
                    </a:stretch>
                  </pic:blipFill>
                  <pic:spPr>
                    <a:xfrm>
                      <a:off x="0" y="0"/>
                      <a:ext cx="1244600" cy="244475"/>
                    </a:xfrm>
                    <a:prstGeom prst="rect">
                      <a:avLst/>
                    </a:prstGeom>
                    <a:noFill/>
                    <a:ln>
                      <a:noFill/>
                    </a:ln>
                  </pic:spPr>
                </pic:pic>
              </a:graphicData>
            </a:graphic>
          </wp:inline>
        </w:drawing>
      </w:r>
      <w:r>
        <w:rPr>
          <w:rFonts w:hint="eastAsia" w:ascii="方正仿宋_GBK" w:hAnsi="宋体" w:eastAsia="方正仿宋_GBK"/>
          <w:color w:val="000000"/>
          <w:sz w:val="32"/>
          <w:szCs w:val="32"/>
        </w:rPr>
        <w:t>—企业在工程项目上某一合同段的合同额；</w:t>
      </w:r>
    </w:p>
    <w:p>
      <w:pPr>
        <w:pStyle w:val="17"/>
        <w:snapToGrid w:val="0"/>
        <w:spacing w:line="560" w:lineRule="exact"/>
        <w:ind w:firstLine="640" w:firstLineChars="200"/>
        <w:rPr>
          <w:rFonts w:ascii="黑体" w:hAnsi="宋体" w:eastAsia="方正黑体_GBK"/>
          <w:color w:val="000000"/>
          <w:sz w:val="32"/>
          <w:szCs w:val="32"/>
        </w:rPr>
      </w:pPr>
      <w:r>
        <w:rPr>
          <w:rFonts w:hint="eastAsia" w:ascii="方正仿宋_GBK" w:hAnsi="宋体" w:eastAsia="方正仿宋_GBK"/>
          <w:color w:val="000000"/>
          <w:sz w:val="32"/>
          <w:szCs w:val="32"/>
        </w:rPr>
        <w:t>n—企业在工程项目上的合同段总数。</w:t>
      </w:r>
    </w:p>
    <w:p>
      <w:pPr>
        <w:pStyle w:val="17"/>
        <w:snapToGrid w:val="0"/>
        <w:spacing w:line="560" w:lineRule="exact"/>
        <w:ind w:firstLine="0"/>
        <w:rPr>
          <w:rFonts w:ascii="黑体" w:hAnsi="宋体" w:eastAsia="方正黑体_GBK"/>
          <w:color w:val="000000"/>
          <w:sz w:val="32"/>
          <w:szCs w:val="32"/>
        </w:rPr>
        <w:sectPr>
          <w:pgSz w:w="11907" w:h="16840"/>
          <w:pgMar w:top="1962" w:right="1361" w:bottom="1848" w:left="1587" w:header="851" w:footer="113" w:gutter="0"/>
          <w:pgNumType w:fmt="numberInDash"/>
          <w:cols w:space="720" w:num="1"/>
          <w:docGrid w:type="lines" w:linePitch="312" w:charSpace="0"/>
        </w:sectPr>
      </w:pPr>
    </w:p>
    <w:p>
      <w:pPr>
        <w:pStyle w:val="9"/>
        <w:spacing w:line="500" w:lineRule="atLeast"/>
        <w:rPr>
          <w:rFonts w:ascii="方正黑体_GBK" w:eastAsia="方正黑体_GBK"/>
          <w:color w:val="000000"/>
          <w:sz w:val="32"/>
        </w:rPr>
      </w:pPr>
      <w:r>
        <w:rPr>
          <w:rFonts w:hint="eastAsia" w:ascii="方正黑体_GBK" w:eastAsia="方正黑体_GBK"/>
          <w:color w:val="000000"/>
          <w:sz w:val="32"/>
        </w:rPr>
        <w:t>附件1-4</w:t>
      </w:r>
    </w:p>
    <w:p>
      <w:pPr>
        <w:pStyle w:val="9"/>
        <w:jc w:val="center"/>
        <w:rPr>
          <w:rFonts w:ascii="方正小标宋_GBK" w:eastAsia="方正小标宋_GBK"/>
          <w:color w:val="000000"/>
          <w:sz w:val="36"/>
          <w:szCs w:val="36"/>
        </w:rPr>
      </w:pPr>
    </w:p>
    <w:p>
      <w:pPr>
        <w:pStyle w:val="9"/>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重庆市水运工程建设市场试验检测单位</w:t>
      </w:r>
    </w:p>
    <w:p>
      <w:pPr>
        <w:pStyle w:val="9"/>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信用行为评定标准及计算方法</w:t>
      </w:r>
    </w:p>
    <w:p>
      <w:pPr>
        <w:pStyle w:val="9"/>
        <w:jc w:val="center"/>
        <w:rPr>
          <w:rFonts w:ascii="方正小标宋_GBK" w:eastAsia="方正小标宋_GBK"/>
          <w:color w:val="000000"/>
          <w:sz w:val="44"/>
          <w:szCs w:val="44"/>
        </w:rPr>
      </w:pPr>
    </w:p>
    <w:p>
      <w:pPr>
        <w:pStyle w:val="17"/>
        <w:snapToGrid w:val="0"/>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一、评定标准</w:t>
      </w:r>
    </w:p>
    <w:p>
      <w:pPr>
        <w:pStyle w:val="3"/>
        <w:ind w:firstLine="640" w:firstLineChars="200"/>
        <w:rPr>
          <w:rFonts w:ascii="方正楷体_GBK" w:hAnsi="方正楷体_GBK" w:eastAsia="方正楷体_GBK" w:cs="方正楷体_GBK"/>
          <w:color w:val="000000"/>
          <w:sz w:val="36"/>
          <w:szCs w:val="36"/>
        </w:rPr>
      </w:pPr>
      <w:r>
        <w:rPr>
          <w:rFonts w:hint="eastAsia" w:ascii="方正楷体_GBK" w:hAnsi="方正楷体_GBK" w:eastAsia="方正楷体_GBK" w:cs="方正楷体_GBK"/>
          <w:color w:val="000000"/>
          <w:sz w:val="32"/>
          <w:szCs w:val="32"/>
        </w:rPr>
        <w:t>（一）试验检测机构信用行为评定标准</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309"/>
        <w:gridCol w:w="3485"/>
        <w:gridCol w:w="1652"/>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2"/>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30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行为代码</w:t>
            </w:r>
          </w:p>
        </w:tc>
        <w:tc>
          <w:tcPr>
            <w:tcW w:w="348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652"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92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w:t>
            </w:r>
            <w:r>
              <w:rPr>
                <w:rFonts w:ascii="宋体" w:hAnsi="宋体"/>
                <w:color w:val="000000"/>
                <w:sz w:val="18"/>
                <w:szCs w:val="18"/>
              </w:rPr>
              <w:t>SYJC1</w:t>
            </w:r>
            <w:r>
              <w:rPr>
                <w:rFonts w:hint="eastAsia" w:ascii="宋体" w:hAnsi="宋体"/>
                <w:color w:val="000000"/>
                <w:sz w:val="18"/>
                <w:szCs w:val="18"/>
              </w:rPr>
              <w:t>）</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w:t>
            </w:r>
            <w:r>
              <w:rPr>
                <w:rFonts w:ascii="宋体" w:hAnsi="宋体"/>
                <w:color w:val="000000"/>
                <w:sz w:val="18"/>
                <w:szCs w:val="18"/>
              </w:rPr>
              <w:t>SYJC1</w:t>
            </w:r>
            <w:r>
              <w:rPr>
                <w:rFonts w:hint="eastAsia" w:ascii="宋体" w:hAnsi="宋体"/>
                <w:color w:val="000000"/>
                <w:sz w:val="18"/>
                <w:szCs w:val="18"/>
              </w:rPr>
              <w:t>-1）</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租借试验检测等级证书承揽试验检测业务的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以弄虚作假或其他违法形式骗取等级证书或承接业务的，伪造、涂改、转让等级证书的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出具虚假数据报告并造成质量安全事故或质量标准降低的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1-1-4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所设立的工地试验室及现场检测项目总得分为0分的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restart"/>
            <w:vAlign w:val="center"/>
          </w:tcPr>
          <w:p>
            <w:pPr>
              <w:rPr>
                <w:rFonts w:ascii="宋体" w:hAnsi="宋体"/>
                <w:color w:val="000000"/>
                <w:sz w:val="18"/>
                <w:szCs w:val="18"/>
              </w:rPr>
            </w:pPr>
            <w:r>
              <w:rPr>
                <w:rFonts w:hint="eastAsia" w:ascii="宋体" w:hAnsi="宋体"/>
                <w:color w:val="000000"/>
                <w:sz w:val="18"/>
                <w:szCs w:val="18"/>
              </w:rPr>
              <w:t>其他失信行为（行为代码</w:t>
            </w:r>
            <w:r>
              <w:rPr>
                <w:rFonts w:ascii="宋体" w:hAnsi="宋体"/>
                <w:color w:val="000000"/>
                <w:sz w:val="18"/>
                <w:szCs w:val="18"/>
              </w:rPr>
              <w:t>SYJC1</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存在虚假数据报告及其他虚假资料</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扣10分/份、单次扣分不超过50分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在《等级证书》注明的项目范围外出具试验检测报告且使用专用标识章的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扣5分/参数</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未对设立的工地试验室及现场检测项目有效监管的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扣10分/个</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聘用重复执业的检测人员从事试验检测工作的,或所聘用的试验检测人员被评为信用差的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扣10分/人</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1-2-5</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报告签字人不具备资格；试验记录、报告存在代签事实的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扣2分/份、单次扣分不超过10分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1-2-6</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试验检测机构的变更未在规定期限内办理变更手续</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1-2-7</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评价期内，持证人员数量达不到相应等级标准要求</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扣5分/试验检测师.次、扣3分/助理试验检测师.次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1-2-8</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评价期内，试验检测机构技术负责人、质量负责人上岗资格达不到相应等级要求</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扣10分/人</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1-2-9</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评价期内，试验检测设备配备不满足等级标准要求</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必选设备扣10分/台；可选设备扣5分/台</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1-2-10</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试验检测设备未按规定检定校准的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扣2分/台，单次扣分不超过20分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试验检测环境达不到技术标准规定要求的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扣4分/处，单次扣分不超过20分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试验检测记录或报告不规范，格式未做统一要求的，相关内容不完整的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扣3分/类，单次扣分不超过15分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使用已过期的《等级证书》和专用标识章出具报告的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扣20分</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试验检测结论表述不正确的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5分/份</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SYJC</w:t>
            </w:r>
            <w:r>
              <w:rPr>
                <w:rFonts w:hint="eastAsia" w:ascii="宋体" w:hAnsi="宋体"/>
                <w:bCs/>
                <w:color w:val="000000"/>
                <w:sz w:val="18"/>
                <w:szCs w:val="18"/>
              </w:rPr>
              <w:t>1-2-15</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试验检测记录报告使用标准不正确的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5分/类</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其它行为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w:t>
            </w:r>
            <w:r>
              <w:rPr>
                <w:rFonts w:ascii="宋体" w:hAnsi="宋体"/>
                <w:color w:val="000000"/>
                <w:sz w:val="18"/>
                <w:szCs w:val="18"/>
              </w:rPr>
              <w:t>SYJC</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2-1</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存在严重失信行为，作为责任单位被部、省级交通运输及以上有关部门行政处罚的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直接确定为D级</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2-2</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无故不参加质监机构组织的比对试验等能力验证活动的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参加质监机构组织的比对试验等能力活动，结果为不满意的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扣5分/次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2-4</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参加质监机构组织的比对试验等能力验证时，无故遮挡或未显示试验数据的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扣15分/次</w:t>
            </w:r>
          </w:p>
        </w:tc>
        <w:tc>
          <w:tcPr>
            <w:tcW w:w="925"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SYJC</w:t>
            </w:r>
            <w:r>
              <w:rPr>
                <w:rFonts w:hint="eastAsia" w:ascii="宋体" w:hAnsi="宋体"/>
                <w:color w:val="000000"/>
                <w:sz w:val="18"/>
                <w:szCs w:val="18"/>
              </w:rPr>
              <w:t>2-5</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对各级交通运输主管部门及质监机构提出的意见整改未闭合的</w:t>
            </w:r>
          </w:p>
        </w:tc>
        <w:tc>
          <w:tcPr>
            <w:tcW w:w="1652"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扣10分/次</w:t>
            </w:r>
          </w:p>
        </w:tc>
        <w:tc>
          <w:tcPr>
            <w:tcW w:w="925" w:type="dxa"/>
            <w:vAlign w:val="center"/>
          </w:tcPr>
          <w:p>
            <w:pPr>
              <w:pStyle w:val="9"/>
              <w:spacing w:line="260" w:lineRule="atLeast"/>
              <w:rPr>
                <w:rFonts w:ascii="宋体" w:hAnsi="宋体"/>
                <w:color w:val="000000"/>
                <w:sz w:val="18"/>
                <w:szCs w:val="18"/>
              </w:rPr>
            </w:pPr>
          </w:p>
        </w:tc>
      </w:tr>
    </w:tbl>
    <w:p>
      <w:pPr>
        <w:rPr>
          <w:rFonts w:ascii="方正楷体_GBK" w:hAnsi="方正楷体_GBK" w:eastAsia="方正楷体_GBK" w:cs="方正楷体_GBK"/>
          <w:color w:val="000000"/>
          <w:sz w:val="32"/>
          <w:szCs w:val="32"/>
        </w:rPr>
      </w:pPr>
      <w:r>
        <w:rPr>
          <w:rFonts w:hint="eastAsia" w:ascii="宋体" w:hAnsi="宋体"/>
          <w:color w:val="000000"/>
          <w:kern w:val="0"/>
          <w:sz w:val="18"/>
          <w:szCs w:val="18"/>
        </w:rPr>
        <w:t>注：对失信行为的监督复查中，若仍存在同样问题应再次扣分。</w:t>
      </w:r>
      <w:r>
        <w:rPr>
          <w:rFonts w:hint="eastAsia" w:ascii="黑体" w:hAnsi="宋体" w:eastAsia="方正黑体_GBK"/>
          <w:color w:val="000000"/>
          <w:sz w:val="32"/>
          <w:szCs w:val="32"/>
        </w:rPr>
        <w:br w:type="page"/>
      </w:r>
      <w:r>
        <w:rPr>
          <w:rFonts w:hint="eastAsia" w:ascii="方正楷体_GBK" w:hAnsi="方正楷体_GBK" w:eastAsia="方正楷体_GBK" w:cs="方正楷体_GBK"/>
          <w:color w:val="000000"/>
          <w:sz w:val="32"/>
          <w:szCs w:val="32"/>
        </w:rPr>
        <w:t>（二）工地试验室及现场检测项目信用行为评定标准</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309"/>
        <w:gridCol w:w="3485"/>
        <w:gridCol w:w="1871"/>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trPr>
        <w:tc>
          <w:tcPr>
            <w:tcW w:w="1809" w:type="dxa"/>
            <w:gridSpan w:val="2"/>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309"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行为代码</w:t>
            </w:r>
          </w:p>
        </w:tc>
        <w:tc>
          <w:tcPr>
            <w:tcW w:w="3485"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失信行为</w:t>
            </w:r>
          </w:p>
        </w:tc>
        <w:tc>
          <w:tcPr>
            <w:tcW w:w="1871" w:type="dxa"/>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706" w:type="dxa"/>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w:t>
            </w:r>
            <w:r>
              <w:rPr>
                <w:rFonts w:ascii="宋体" w:hAnsi="宋体"/>
                <w:color w:val="000000"/>
                <w:sz w:val="18"/>
                <w:szCs w:val="18"/>
              </w:rPr>
              <w:t>SYGD1</w:t>
            </w:r>
            <w:r>
              <w:rPr>
                <w:rFonts w:hint="eastAsia" w:ascii="宋体" w:hAnsi="宋体"/>
                <w:color w:val="000000"/>
                <w:sz w:val="18"/>
                <w:szCs w:val="18"/>
              </w:rPr>
              <w:t>）</w:t>
            </w:r>
          </w:p>
        </w:tc>
        <w:tc>
          <w:tcPr>
            <w:tcW w:w="992" w:type="dxa"/>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严重失信行为（行为代码</w:t>
            </w:r>
            <w:r>
              <w:rPr>
                <w:rFonts w:ascii="宋体" w:hAnsi="宋体"/>
                <w:color w:val="000000"/>
                <w:sz w:val="18"/>
                <w:szCs w:val="18"/>
              </w:rPr>
              <w:t>SYGD1</w:t>
            </w:r>
            <w:r>
              <w:rPr>
                <w:rFonts w:hint="eastAsia" w:ascii="宋体" w:hAnsi="宋体"/>
                <w:color w:val="000000"/>
                <w:sz w:val="18"/>
                <w:szCs w:val="18"/>
              </w:rPr>
              <w:t>-1）</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1-1-1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出虚假数据报告造成质量安全事故或质量标准降低的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pStyle w:val="9"/>
              <w:spacing w:line="260" w:lineRule="atLeast"/>
              <w:jc w:val="center"/>
              <w:rPr>
                <w:rFonts w:ascii="宋体" w:hAnsi="宋体"/>
                <w:color w:val="000000"/>
                <w:sz w:val="18"/>
                <w:szCs w:val="18"/>
              </w:rPr>
            </w:pPr>
          </w:p>
        </w:tc>
        <w:tc>
          <w:tcPr>
            <w:tcW w:w="992" w:type="dxa"/>
            <w:vMerge w:val="continue"/>
            <w:vAlign w:val="center"/>
          </w:tcPr>
          <w:p>
            <w:pPr>
              <w:pStyle w:val="9"/>
              <w:spacing w:line="260" w:lineRule="atLeast"/>
              <w:jc w:val="cente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1-1-2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工地试验室未履行合同擅自撤离工地的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restart"/>
            <w:vAlign w:val="center"/>
          </w:tcPr>
          <w:p>
            <w:pPr>
              <w:rPr>
                <w:rFonts w:ascii="宋体" w:hAnsi="宋体"/>
                <w:color w:val="000000"/>
                <w:sz w:val="18"/>
                <w:szCs w:val="18"/>
              </w:rPr>
            </w:pPr>
            <w:r>
              <w:rPr>
                <w:rFonts w:hint="eastAsia" w:ascii="宋体" w:hAnsi="宋体"/>
                <w:color w:val="000000"/>
                <w:sz w:val="18"/>
                <w:szCs w:val="18"/>
              </w:rPr>
              <w:t>其他失信行为（行为代码</w:t>
            </w:r>
            <w:r>
              <w:rPr>
                <w:rFonts w:ascii="宋体" w:hAnsi="宋体"/>
                <w:color w:val="000000"/>
                <w:sz w:val="18"/>
                <w:szCs w:val="18"/>
              </w:rPr>
              <w:t>SYGD1</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存在虚假数据和报告及其他虚假资料的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 份，单次扣分不超过30分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聘用重复执业试验检测人员从事试验检测工作的,或所聘用的试验检测人员被评为信用差的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扣10分/人</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1-2-3</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工地试验室或授权负责人未经母体机构有效授权</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扣20分</w:t>
            </w:r>
          </w:p>
        </w:tc>
        <w:tc>
          <w:tcPr>
            <w:tcW w:w="706"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1-2-4</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授权负责人不是母体机构派出人员或长期不在岗的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w:t>
            </w:r>
          </w:p>
        </w:tc>
        <w:tc>
          <w:tcPr>
            <w:tcW w:w="706"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1-2-5</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超出授权范围开展业务</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扣5分/参数</w:t>
            </w:r>
          </w:p>
        </w:tc>
        <w:tc>
          <w:tcPr>
            <w:tcW w:w="706" w:type="dxa"/>
            <w:vAlign w:val="center"/>
          </w:tcPr>
          <w:p>
            <w:pPr>
              <w:pStyle w:val="9"/>
              <w:spacing w:line="260" w:lineRule="atLeast"/>
              <w:rPr>
                <w:rFonts w:ascii="宋体" w:hAnsi="宋体"/>
                <w:color w:val="000000"/>
                <w:sz w:val="18"/>
                <w:szCs w:val="18"/>
              </w:rPr>
            </w:pPr>
            <w:r>
              <w:rPr>
                <w:rFonts w:hint="eastAsia"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1-2-6</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未按规定或合同配备相应条件的试验检测人员或擅自变更试验检测人员</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扣5分/试验检测师·次、3分/助理试验检测师·次</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1-2-7</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未按规定或合同配备满足要求的仪器设备、设备未按规定检定校准的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扣2分/台，单次扣分不超过20分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1-2-8</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试验检测环境达不到技术标准规定要求的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扣2分/处，单次扣分不超过10分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1-2-9</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报告签字人不具备资格；试验记录、报告存在代签事实的。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扣2分/份，单次扣分不超过10分</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1-2-10</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试验检测原始记录信息及数据记录不全，结论不准确，试验检测报告不完整(含漏签、漏盖及错盖章)，试验检测频率不满足规范或合同要求</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扣3分/类</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未按规定上报发现的试验检测不合格事项或不合格报告</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扣10分/次</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严重违反试验检测技术规程操作的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1-2-13</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试验样品管理存在人为选择性取样、样品流转工作失控、样品保管条件不满足要求、未按规定留样等不规范行为的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rPr>
                <w:rFonts w:ascii="宋体" w:hAnsi="宋体"/>
                <w:color w:val="000000"/>
                <w:sz w:val="18"/>
                <w:szCs w:val="18"/>
              </w:rPr>
            </w:pPr>
          </w:p>
        </w:tc>
        <w:tc>
          <w:tcPr>
            <w:tcW w:w="992" w:type="dxa"/>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bCs/>
                <w:color w:val="000000"/>
                <w:sz w:val="18"/>
                <w:szCs w:val="18"/>
              </w:rPr>
              <w:t>SYGD</w:t>
            </w:r>
            <w:r>
              <w:rPr>
                <w:rFonts w:hint="eastAsia" w:ascii="宋体" w:hAnsi="宋体"/>
                <w:bCs/>
                <w:color w:val="000000"/>
                <w:sz w:val="18"/>
                <w:szCs w:val="18"/>
              </w:rPr>
              <w:t>1-2-14</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试验检测档案管理不规范</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扣5分/项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2"/>
            <w:vMerge w:val="restart"/>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其它行为</w:t>
            </w:r>
          </w:p>
          <w:p>
            <w:pPr>
              <w:pStyle w:val="9"/>
              <w:spacing w:line="260" w:lineRule="atLeast"/>
              <w:jc w:val="center"/>
              <w:rPr>
                <w:rFonts w:ascii="宋体" w:hAnsi="宋体"/>
                <w:color w:val="000000"/>
                <w:sz w:val="18"/>
                <w:szCs w:val="18"/>
              </w:rPr>
            </w:pPr>
            <w:r>
              <w:rPr>
                <w:rFonts w:hint="eastAsia" w:ascii="宋体" w:hAnsi="宋体"/>
                <w:color w:val="000000"/>
                <w:sz w:val="18"/>
                <w:szCs w:val="18"/>
              </w:rPr>
              <w:t>（行为代码</w:t>
            </w:r>
            <w:r>
              <w:rPr>
                <w:rFonts w:ascii="宋体" w:hAnsi="宋体"/>
                <w:color w:val="000000"/>
                <w:sz w:val="18"/>
                <w:szCs w:val="18"/>
              </w:rPr>
              <w:t>SYGD</w:t>
            </w:r>
            <w:r>
              <w:rPr>
                <w:rFonts w:hint="eastAsia" w:ascii="宋体" w:hAnsi="宋体"/>
                <w:color w:val="000000"/>
                <w:sz w:val="18"/>
                <w:szCs w:val="18"/>
              </w:rPr>
              <w:t>2）</w:t>
            </w: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SYGD</w:t>
            </w:r>
            <w:r>
              <w:rPr>
                <w:rFonts w:hint="eastAsia" w:ascii="宋体" w:hAnsi="宋体"/>
                <w:color w:val="000000"/>
                <w:sz w:val="18"/>
                <w:szCs w:val="18"/>
              </w:rPr>
              <w:t>2-1</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对各级监督部门提出的检查意见整改未闭合的或监督部门认定的监理工程师、项目业主提出的检查意见整改未闭合的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扣10分/项</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SYGD</w:t>
            </w:r>
            <w:r>
              <w:rPr>
                <w:rFonts w:hint="eastAsia" w:ascii="宋体" w:hAnsi="宋体"/>
                <w:color w:val="000000"/>
                <w:sz w:val="18"/>
                <w:szCs w:val="18"/>
              </w:rPr>
              <w:t>2-2</w:t>
            </w:r>
          </w:p>
        </w:tc>
        <w:tc>
          <w:tcPr>
            <w:tcW w:w="3485" w:type="dxa"/>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存在严重失信行为，作为责任单位被部、省级交通运输及以上有关部门行政处罚的</w:t>
            </w:r>
          </w:p>
        </w:tc>
        <w:tc>
          <w:tcPr>
            <w:tcW w:w="1871" w:type="dxa"/>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扣20分/次</w:t>
            </w:r>
          </w:p>
        </w:tc>
        <w:tc>
          <w:tcPr>
            <w:tcW w:w="706" w:type="dxa"/>
            <w:vAlign w:val="center"/>
          </w:tcPr>
          <w:p>
            <w:pPr>
              <w:pStyle w:val="9"/>
              <w:spacing w:line="260" w:lineRule="atLeas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809" w:type="dxa"/>
            <w:gridSpan w:val="2"/>
            <w:vMerge w:val="continue"/>
            <w:vAlign w:val="center"/>
          </w:tcPr>
          <w:p>
            <w:pPr>
              <w:rPr>
                <w:rFonts w:ascii="宋体" w:hAnsi="宋体"/>
                <w:color w:val="000000"/>
                <w:sz w:val="18"/>
                <w:szCs w:val="18"/>
              </w:rPr>
            </w:pPr>
          </w:p>
        </w:tc>
        <w:tc>
          <w:tcPr>
            <w:tcW w:w="1309" w:type="dxa"/>
            <w:vAlign w:val="center"/>
          </w:tcPr>
          <w:p>
            <w:pPr>
              <w:pStyle w:val="9"/>
              <w:spacing w:line="260" w:lineRule="atLeast"/>
              <w:jc w:val="center"/>
              <w:rPr>
                <w:rFonts w:ascii="宋体" w:hAnsi="宋体"/>
                <w:bCs/>
                <w:color w:val="000000"/>
                <w:sz w:val="18"/>
                <w:szCs w:val="18"/>
              </w:rPr>
            </w:pPr>
            <w:r>
              <w:rPr>
                <w:rFonts w:ascii="宋体" w:hAnsi="宋体"/>
                <w:color w:val="000000"/>
                <w:sz w:val="18"/>
                <w:szCs w:val="18"/>
              </w:rPr>
              <w:t>SYGD</w:t>
            </w:r>
            <w:r>
              <w:rPr>
                <w:rFonts w:hint="eastAsia" w:ascii="宋体" w:hAnsi="宋体"/>
                <w:color w:val="000000"/>
                <w:sz w:val="18"/>
                <w:szCs w:val="18"/>
              </w:rPr>
              <w:t>2-3</w:t>
            </w:r>
          </w:p>
        </w:tc>
        <w:tc>
          <w:tcPr>
            <w:tcW w:w="3485" w:type="dxa"/>
            <w:vAlign w:val="center"/>
          </w:tcPr>
          <w:p>
            <w:pPr>
              <w:pStyle w:val="9"/>
              <w:spacing w:line="260" w:lineRule="atLeast"/>
              <w:rPr>
                <w:rFonts w:ascii="宋体" w:hAnsi="宋体"/>
                <w:bCs/>
                <w:color w:val="000000"/>
                <w:sz w:val="18"/>
                <w:szCs w:val="18"/>
              </w:rPr>
            </w:pPr>
            <w:r>
              <w:rPr>
                <w:rFonts w:hint="eastAsia" w:ascii="宋体" w:hAnsi="宋体"/>
                <w:bCs/>
                <w:color w:val="000000"/>
                <w:sz w:val="18"/>
                <w:szCs w:val="18"/>
              </w:rPr>
              <w:t>未按规定参加信用评价的</w:t>
            </w:r>
          </w:p>
        </w:tc>
        <w:tc>
          <w:tcPr>
            <w:tcW w:w="1871" w:type="dxa"/>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扣40分</w:t>
            </w:r>
          </w:p>
        </w:tc>
        <w:tc>
          <w:tcPr>
            <w:tcW w:w="706" w:type="dxa"/>
            <w:vAlign w:val="center"/>
          </w:tcPr>
          <w:p>
            <w:pPr>
              <w:pStyle w:val="9"/>
              <w:spacing w:line="260" w:lineRule="atLeast"/>
              <w:rPr>
                <w:rFonts w:ascii="宋体" w:hAnsi="宋体"/>
                <w:color w:val="000000"/>
                <w:sz w:val="18"/>
                <w:szCs w:val="18"/>
              </w:rPr>
            </w:pPr>
          </w:p>
        </w:tc>
      </w:tr>
    </w:tbl>
    <w:p>
      <w:pPr>
        <w:spacing w:line="560" w:lineRule="exact"/>
        <w:rPr>
          <w:rFonts w:ascii="黑体" w:hAnsi="宋体" w:eastAsia="方正黑体_GBK"/>
          <w:color w:val="000000"/>
          <w:sz w:val="32"/>
          <w:szCs w:val="32"/>
        </w:rPr>
      </w:pPr>
      <w:r>
        <w:rPr>
          <w:rFonts w:hint="eastAsia" w:ascii="宋体" w:hAnsi="宋体"/>
          <w:color w:val="000000"/>
          <w:kern w:val="0"/>
          <w:sz w:val="18"/>
          <w:szCs w:val="18"/>
        </w:rPr>
        <w:t>注：在对失信行为进行监督复查时，若仍存在同样问题应再次扣分。▲ 仅适用于工地试验室。</w:t>
      </w:r>
    </w:p>
    <w:p>
      <w:pPr>
        <w:pStyle w:val="17"/>
        <w:snapToGrid w:val="0"/>
        <w:spacing w:line="560" w:lineRule="exact"/>
        <w:ind w:firstLine="640" w:firstLineChars="200"/>
        <w:rPr>
          <w:rFonts w:ascii="方正仿宋_GBK" w:hAnsi="宋体" w:eastAsia="方正仿宋_GBK"/>
          <w:b/>
          <w:bCs/>
          <w:color w:val="000000"/>
          <w:sz w:val="32"/>
          <w:szCs w:val="32"/>
        </w:rPr>
      </w:pPr>
      <w:r>
        <w:rPr>
          <w:rFonts w:hint="eastAsia" w:ascii="方正黑体_GBK" w:hAnsi="方正黑体_GBK" w:eastAsia="方正黑体_GBK" w:cs="方正黑体_GBK"/>
          <w:color w:val="000000"/>
          <w:sz w:val="32"/>
          <w:szCs w:val="32"/>
        </w:rPr>
        <w:t>二、计算方法</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试验检测机构信用评价综合得分计算公式:</w:t>
      </w:r>
    </w:p>
    <w:p>
      <w:pPr>
        <w:spacing w:line="360" w:lineRule="auto"/>
        <w:ind w:left="539"/>
        <w:jc w:val="cente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28"/>
          <w:sz w:val="32"/>
          <w:szCs w:val="32"/>
        </w:rPr>
        <w:object>
          <v:shape id="_x0000_i1025" o:spt="75" type="#_x0000_t75" style="height:33.75pt;width:122.25pt;" o:ole="t" filled="f" o:preferrelative="t" stroked="f" coordsize="21600,21600">
            <v:path/>
            <v:fill on="f" focussize="0,0"/>
            <v:stroke on="f" joinstyle="miter"/>
            <v:imagedata r:id="rId25" o:title=""/>
            <o:lock v:ext="edit" aspectratio="t"/>
            <w10:wrap type="none"/>
            <w10:anchorlock/>
          </v:shape>
          <o:OLEObject Type="Embed" ProgID="Equation.3" ShapeID="_x0000_i1025" DrawAspect="Content" ObjectID="_1468075725" r:id="rId24">
            <o:LockedField>false</o:LockedField>
          </o:OLEObject>
        </w:objec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6"/>
          <w:sz w:val="32"/>
          <w:szCs w:val="32"/>
        </w:rPr>
        <w:object>
          <v:shape id="_x0000_i1026" o:spt="75" type="#_x0000_t75" style="height:14.25pt;width:14.25pt;" o:ole="t" filled="f" o:preferrelative="t" stroked="f" coordsize="21600,21600">
            <v:path/>
            <v:fill on="f" focussize="0,0"/>
            <v:stroke on="f" joinstyle="miter"/>
            <v:imagedata r:id="rId27" o:title=""/>
            <o:lock v:ext="edit" aspectratio="t"/>
            <w10:wrap type="none"/>
            <w10:anchorlock/>
          </v:shape>
          <o:OLEObject Type="Embed" ProgID="Equation.3" ShapeID="_x0000_i1026" DrawAspect="Content" ObjectID="_1468075726" r:id="rId26">
            <o:LockedField>false</o:LockedField>
          </o:OLEObject>
        </w:object>
      </w:r>
      <w:r>
        <w:rPr>
          <w:rFonts w:hint="eastAsia" w:ascii="方正仿宋_GBK" w:hAnsi="方正仿宋_GBK" w:eastAsia="方正仿宋_GBK" w:cs="方正仿宋_GBK"/>
          <w:color w:val="000000"/>
          <w:sz w:val="32"/>
          <w:szCs w:val="32"/>
        </w:rPr>
        <w:t xml:space="preserve"> — 试验检测机构信用评价综合得分</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6"/>
          <w:sz w:val="32"/>
          <w:szCs w:val="32"/>
        </w:rPr>
        <w:object>
          <v:shape id="_x0000_i1027" o:spt="75" type="#_x0000_t75" style="height:15.75pt;width:15.75pt;" o:ole="t" filled="f" o:preferrelative="t" stroked="f" coordsize="21600,21600">
            <v:path/>
            <v:fill on="f" focussize="0,0"/>
            <v:stroke on="f" joinstyle="miter"/>
            <v:imagedata r:id="rId29" o:title=""/>
            <o:lock v:ext="edit" aspectratio="t"/>
            <w10:wrap type="none"/>
            <w10:anchorlock/>
          </v:shape>
          <o:OLEObject Type="Embed" ProgID="Equation.3" ShapeID="_x0000_i1027" DrawAspect="Content" ObjectID="_1468075727" r:id="rId28">
            <o:LockedField>false</o:LockedField>
          </o:OLEObject>
        </w:object>
      </w:r>
      <w:r>
        <w:rPr>
          <w:rFonts w:hint="eastAsia" w:ascii="方正仿宋_GBK" w:hAnsi="方正仿宋_GBK" w:eastAsia="方正仿宋_GBK" w:cs="方正仿宋_GBK"/>
          <w:color w:val="000000"/>
          <w:sz w:val="32"/>
          <w:szCs w:val="32"/>
        </w:rPr>
        <w:t xml:space="preserve"> — 母体机构得分</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14"/>
          <w:sz w:val="32"/>
          <w:szCs w:val="32"/>
        </w:rPr>
        <w:object>
          <v:shape id="_x0000_i1028" o:spt="75" type="#_x0000_t75" style="height:20.25pt;width:18.75pt;" o:ole="t" filled="f" o:preferrelative="t" stroked="f" coordsize="21600,21600">
            <v:path/>
            <v:fill on="f" focussize="0,0"/>
            <v:stroke on="f" joinstyle="miter"/>
            <v:imagedata r:id="rId31" o:title=""/>
            <o:lock v:ext="edit" aspectratio="t"/>
            <w10:wrap type="none"/>
            <w10:anchorlock/>
          </v:shape>
          <o:OLEObject Type="Embed" ProgID="Equation.3" ShapeID="_x0000_i1028" DrawAspect="Content" ObjectID="_1468075728" r:id="rId30">
            <o:LockedField>false</o:LockedField>
          </o:OLEObject>
        </w:object>
      </w:r>
      <w:r>
        <w:rPr>
          <w:rFonts w:hint="eastAsia" w:ascii="方正仿宋_GBK" w:hAnsi="方正仿宋_GBK" w:eastAsia="方正仿宋_GBK" w:cs="方正仿宋_GBK"/>
          <w:color w:val="000000"/>
          <w:sz w:val="32"/>
          <w:szCs w:val="32"/>
        </w:rPr>
        <w:t xml:space="preserve"> — 工地试验室及现场检测项目得分</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n — 工地试验室及现场检测项目数</w:t>
      </w:r>
    </w:p>
    <w:p>
      <w:pPr>
        <w:spacing w:line="480" w:lineRule="exact"/>
        <w:ind w:left="54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position w:val="-10"/>
          <w:sz w:val="32"/>
          <w:szCs w:val="32"/>
        </w:rPr>
        <w:object>
          <v:shape id="_x0000_i1029"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29" DrawAspect="Content" ObjectID="_1468075729" r:id="rId32">
            <o:LockedField>false</o:LockedField>
          </o:OLEObject>
        </w:object>
      </w:r>
      <w:r>
        <w:rPr>
          <w:rFonts w:hint="eastAsia" w:ascii="方正仿宋_GBK" w:hAnsi="方正仿宋_GBK" w:eastAsia="方正仿宋_GBK" w:cs="方正仿宋_GBK"/>
          <w:color w:val="000000"/>
          <w:sz w:val="32"/>
          <w:szCs w:val="32"/>
        </w:rPr>
        <w:t xml:space="preserve"> — 权重</w:t>
      </w:r>
    </w:p>
    <w:p>
      <w:pPr>
        <w:spacing w:line="480" w:lineRule="exact"/>
        <w:rPr>
          <w:rFonts w:ascii="方正仿宋_GBK" w:hAnsi="方正仿宋_GBK" w:eastAsia="方正仿宋_GBK" w:cs="方正仿宋_GBK"/>
          <w:color w:val="000000"/>
          <w:sz w:val="32"/>
          <w:szCs w:val="32"/>
        </w:rPr>
      </w:pP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n＝0时      </w:t>
      </w:r>
      <w:r>
        <w:rPr>
          <w:rFonts w:hint="eastAsia" w:ascii="方正仿宋_GBK" w:hAnsi="方正仿宋_GBK" w:eastAsia="方正仿宋_GBK" w:cs="方正仿宋_GBK"/>
          <w:color w:val="000000"/>
          <w:position w:val="-10"/>
          <w:sz w:val="32"/>
          <w:szCs w:val="32"/>
        </w:rPr>
        <w:object>
          <v:shape id="_x0000_i1030"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0" DrawAspect="Content" ObjectID="_1468075730" r:id="rId34">
            <o:LockedField>false</o:LockedField>
          </o:OLEObject>
        </w:object>
      </w:r>
      <w:r>
        <w:rPr>
          <w:rFonts w:hint="eastAsia" w:ascii="方正仿宋_GBK" w:hAnsi="方正仿宋_GBK" w:eastAsia="方正仿宋_GBK" w:cs="方正仿宋_GBK"/>
          <w:color w:val="000000"/>
          <w:sz w:val="32"/>
          <w:szCs w:val="32"/>
        </w:rPr>
        <w:t>＝0</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n＝1～3时   </w:t>
      </w:r>
      <w:r>
        <w:rPr>
          <w:rFonts w:hint="eastAsia" w:ascii="方正仿宋_GBK" w:hAnsi="方正仿宋_GBK" w:eastAsia="方正仿宋_GBK" w:cs="方正仿宋_GBK"/>
          <w:color w:val="000000"/>
          <w:position w:val="-10"/>
          <w:sz w:val="32"/>
          <w:szCs w:val="32"/>
        </w:rPr>
        <w:object>
          <v:shape id="_x0000_i1031"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1" DrawAspect="Content" ObjectID="_1468075731" r:id="rId35">
            <o:LockedField>false</o:LockedField>
          </o:OLEObject>
        </w:object>
      </w:r>
      <w:r>
        <w:rPr>
          <w:rFonts w:hint="eastAsia" w:ascii="方正仿宋_GBK" w:hAnsi="方正仿宋_GBK" w:eastAsia="方正仿宋_GBK" w:cs="方正仿宋_GBK"/>
          <w:color w:val="000000"/>
          <w:sz w:val="32"/>
          <w:szCs w:val="32"/>
        </w:rPr>
        <w:t>＝0.3</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n＝4～6时   </w:t>
      </w:r>
      <w:r>
        <w:rPr>
          <w:rFonts w:hint="eastAsia" w:ascii="方正仿宋_GBK" w:hAnsi="方正仿宋_GBK" w:eastAsia="方正仿宋_GBK" w:cs="方正仿宋_GBK"/>
          <w:color w:val="000000"/>
          <w:position w:val="-10"/>
          <w:sz w:val="32"/>
          <w:szCs w:val="32"/>
        </w:rPr>
        <w:object>
          <v:shape id="_x0000_i1032"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2" r:id="rId36">
            <o:LockedField>false</o:LockedField>
          </o:OLEObject>
        </w:object>
      </w:r>
      <w:r>
        <w:rPr>
          <w:rFonts w:hint="eastAsia" w:ascii="方正仿宋_GBK" w:hAnsi="方正仿宋_GBK" w:eastAsia="方正仿宋_GBK" w:cs="方正仿宋_GBK"/>
          <w:color w:val="000000"/>
          <w:sz w:val="32"/>
          <w:szCs w:val="32"/>
        </w:rPr>
        <w:t>＝0.4</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n＝7～10时  </w:t>
      </w:r>
      <w:r>
        <w:rPr>
          <w:rFonts w:hint="eastAsia" w:ascii="方正仿宋_GBK" w:hAnsi="方正仿宋_GBK" w:eastAsia="方正仿宋_GBK" w:cs="方正仿宋_GBK"/>
          <w:color w:val="000000"/>
          <w:position w:val="-10"/>
          <w:sz w:val="32"/>
          <w:szCs w:val="32"/>
        </w:rPr>
        <w:object>
          <v:shape id="_x0000_i1033"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3" DrawAspect="Content" ObjectID="_1468075733" r:id="rId37">
            <o:LockedField>false</o:LockedField>
          </o:OLEObject>
        </w:object>
      </w:r>
      <w:r>
        <w:rPr>
          <w:rFonts w:hint="eastAsia" w:ascii="方正仿宋_GBK" w:hAnsi="方正仿宋_GBK" w:eastAsia="方正仿宋_GBK" w:cs="方正仿宋_GBK"/>
          <w:color w:val="000000"/>
          <w:sz w:val="32"/>
          <w:szCs w:val="32"/>
        </w:rPr>
        <w:t>＝0.6</w:t>
      </w:r>
    </w:p>
    <w:p>
      <w:pPr>
        <w:ind w:firstLine="960" w:firstLineChars="3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n＞10时    </w:t>
      </w:r>
      <w:r>
        <w:rPr>
          <w:rFonts w:hint="eastAsia" w:ascii="方正仿宋_GBK" w:hAnsi="方正仿宋_GBK" w:eastAsia="方正仿宋_GBK" w:cs="方正仿宋_GBK"/>
          <w:color w:val="000000"/>
          <w:sz w:val="32"/>
          <w:szCs w:val="32"/>
        </w:rPr>
        <w:object>
          <v:shape id="_x0000_i1034" o:spt="75" type="#_x0000_t75" style="height:12.75pt;width:9pt;" o:ole="t" filled="f" o:preferrelative="t" stroked="f" coordsize="21600,21600">
            <v:path/>
            <v:fill on="f" focussize="0,0"/>
            <v:stroke on="f" joinstyle="miter"/>
            <v:imagedata r:id="rId33" o:title=""/>
            <o:lock v:ext="edit" aspectratio="t"/>
            <w10:wrap type="none"/>
            <w10:anchorlock/>
          </v:shape>
          <o:OLEObject Type="Embed" ProgID="Equation.3" ShapeID="_x0000_i1034" DrawAspect="Content" ObjectID="_1468075734" r:id="rId38">
            <o:LockedField>false</o:LockedField>
          </o:OLEObject>
        </w:object>
      </w:r>
      <w:r>
        <w:rPr>
          <w:rFonts w:hint="eastAsia" w:ascii="方正仿宋_GBK" w:hAnsi="方正仿宋_GBK" w:eastAsia="方正仿宋_GBK" w:cs="方正仿宋_GBK"/>
          <w:color w:val="000000"/>
          <w:sz w:val="32"/>
          <w:szCs w:val="32"/>
        </w:rPr>
        <w:t>＝0.7</w:t>
      </w:r>
    </w:p>
    <w:p>
      <w:pPr>
        <w:spacing w:line="500" w:lineRule="exact"/>
        <w:rPr>
          <w:rFonts w:ascii="方正黑体_GBK" w:eastAsia="方正黑体_GBK"/>
          <w:sz w:val="32"/>
          <w:szCs w:val="32"/>
        </w:rPr>
      </w:pPr>
      <w:r>
        <w:rPr>
          <w:rFonts w:hint="eastAsia"/>
        </w:rPr>
        <w:br w:type="page"/>
      </w:r>
      <w:r>
        <w:rPr>
          <w:rFonts w:hint="eastAsia" w:ascii="方正黑体_GBK" w:eastAsia="方正黑体_GBK"/>
          <w:sz w:val="32"/>
          <w:szCs w:val="32"/>
        </w:rPr>
        <w:t>附件1-5</w:t>
      </w:r>
    </w:p>
    <w:p>
      <w:pPr>
        <w:pStyle w:val="9"/>
        <w:spacing w:line="500" w:lineRule="exact"/>
        <w:jc w:val="center"/>
        <w:rPr>
          <w:rFonts w:ascii="方正小标宋_GBK" w:eastAsia="方正小标宋_GBK"/>
          <w:color w:val="000000"/>
          <w:sz w:val="36"/>
          <w:szCs w:val="36"/>
        </w:rPr>
      </w:pP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重庆市水运工程建设市场造价咨询等其他</w:t>
      </w:r>
    </w:p>
    <w:p>
      <w:pPr>
        <w:pStyle w:val="9"/>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从业单位信用行为直接定级标准</w:t>
      </w:r>
    </w:p>
    <w:p>
      <w:pPr>
        <w:pStyle w:val="9"/>
        <w:spacing w:line="500" w:lineRule="exact"/>
        <w:jc w:val="center"/>
        <w:rPr>
          <w:rFonts w:ascii="方正小标宋_GBK" w:eastAsia="方正小标宋_GBK"/>
          <w:color w:val="000000"/>
          <w:sz w:val="44"/>
          <w:szCs w:val="44"/>
        </w:rPr>
      </w:pPr>
    </w:p>
    <w:tbl>
      <w:tblPr>
        <w:tblStyle w:val="13"/>
        <w:tblW w:w="9180" w:type="dxa"/>
        <w:tblInd w:w="0" w:type="dxa"/>
        <w:tblLayout w:type="fixed"/>
        <w:tblCellMar>
          <w:top w:w="0" w:type="dxa"/>
          <w:left w:w="108" w:type="dxa"/>
          <w:bottom w:w="0" w:type="dxa"/>
          <w:right w:w="108" w:type="dxa"/>
        </w:tblCellMar>
      </w:tblPr>
      <w:tblGrid>
        <w:gridCol w:w="817"/>
        <w:gridCol w:w="992"/>
        <w:gridCol w:w="1309"/>
        <w:gridCol w:w="3485"/>
        <w:gridCol w:w="1652"/>
        <w:gridCol w:w="925"/>
      </w:tblGrid>
      <w:tr>
        <w:tblPrEx>
          <w:tblCellMar>
            <w:top w:w="0" w:type="dxa"/>
            <w:left w:w="108" w:type="dxa"/>
            <w:bottom w:w="0" w:type="dxa"/>
            <w:right w:w="108" w:type="dxa"/>
          </w:tblCellMar>
        </w:tblPrEx>
        <w:trPr>
          <w:trHeight w:val="498" w:hRule="atLeast"/>
          <w:tblHeader/>
        </w:trPr>
        <w:tc>
          <w:tcPr>
            <w:tcW w:w="1809" w:type="dxa"/>
            <w:gridSpan w:val="2"/>
            <w:tcBorders>
              <w:top w:val="single" w:color="000000" w:sz="4" w:space="0"/>
              <w:left w:val="single" w:color="000000" w:sz="4" w:space="0"/>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1309"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行为代码</w:t>
            </w:r>
          </w:p>
        </w:tc>
        <w:tc>
          <w:tcPr>
            <w:tcW w:w="3485"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1652"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CellMar>
            <w:top w:w="0" w:type="dxa"/>
            <w:left w:w="108" w:type="dxa"/>
            <w:bottom w:w="0" w:type="dxa"/>
            <w:right w:w="108" w:type="dxa"/>
          </w:tblCellMar>
        </w:tblPrEx>
        <w:trPr>
          <w:trHeight w:val="567" w:hRule="atLeast"/>
        </w:trPr>
        <w:tc>
          <w:tcPr>
            <w:tcW w:w="817" w:type="dxa"/>
            <w:vMerge w:val="restart"/>
            <w:tcBorders>
              <w:top w:val="nil"/>
              <w:left w:val="single" w:color="000000" w:sz="4" w:space="0"/>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投标行为（行为代码GLQT1）</w:t>
            </w:r>
          </w:p>
        </w:tc>
        <w:tc>
          <w:tcPr>
            <w:tcW w:w="992" w:type="dxa"/>
            <w:vMerge w:val="restart"/>
            <w:tcBorders>
              <w:top w:val="nil"/>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较重或严重失信行为（行为代码GLQT1-1）</w:t>
            </w: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超越资质等级承揽项目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6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出借资质，允许其他单位或者个人以本单位名义承揽项目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GLQT1-1-3</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借用他人资质证书承揽项目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GLQT1-1-4</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与招标人或者与其他投标人串通投标</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GLQT1-1-5</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投标中有行贿行为</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55"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GLQT1-1-6</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因违反法律、法规、规章被禁止投标后，在禁止期内仍参与投标</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ind w:left="106" w:right="-107" w:hanging="106"/>
              <w:jc w:val="center"/>
              <w:rPr>
                <w:rFonts w:ascii="宋体" w:hAnsi="宋体"/>
                <w:bCs/>
                <w:color w:val="000000"/>
                <w:sz w:val="18"/>
                <w:szCs w:val="18"/>
              </w:rPr>
            </w:pPr>
            <w:r>
              <w:rPr>
                <w:rFonts w:hint="eastAsia" w:ascii="宋体" w:hAnsi="宋体"/>
                <w:bCs/>
                <w:color w:val="000000"/>
                <w:sz w:val="18"/>
                <w:szCs w:val="18"/>
              </w:rPr>
              <w:t>直接定为D级；已为D级的，延期半年</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GLQT1-1-7</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rPr>
            </w:pPr>
            <w:r>
              <w:rPr>
                <w:rFonts w:hint="eastAsia" w:ascii="宋体" w:hAnsi="宋体"/>
                <w:bCs/>
                <w:color w:val="000000"/>
                <w:sz w:val="18"/>
                <w:szCs w:val="18"/>
              </w:rPr>
              <w:t>资审材料或者投标文件虚假</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659"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GLQT1-1-8</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rPr>
            </w:pPr>
            <w:r>
              <w:rPr>
                <w:rFonts w:hint="eastAsia" w:ascii="宋体" w:hAnsi="宋体"/>
                <w:bCs/>
                <w:color w:val="000000"/>
                <w:sz w:val="18"/>
                <w:szCs w:val="18"/>
              </w:rPr>
              <w:t>捏造事实、伪造材料或者以非法手段取得证明材料进行投诉</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restart"/>
            <w:tcBorders>
              <w:top w:val="nil"/>
              <w:left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r>
              <w:rPr>
                <w:rFonts w:hint="eastAsia" w:ascii="宋体" w:hAnsi="宋体"/>
                <w:color w:val="000000"/>
                <w:sz w:val="18"/>
                <w:szCs w:val="18"/>
              </w:rPr>
              <w:t>履约行为（行为代码GLQT2）</w:t>
            </w: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tc>
        <w:tc>
          <w:tcPr>
            <w:tcW w:w="992" w:type="dxa"/>
            <w:vMerge w:val="restart"/>
            <w:tcBorders>
              <w:top w:val="nil"/>
              <w:left w:val="nil"/>
              <w:right w:val="single" w:color="000000" w:sz="4" w:space="0"/>
            </w:tcBorders>
            <w:vAlign w:val="center"/>
          </w:tcPr>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r>
              <w:rPr>
                <w:rFonts w:hint="eastAsia" w:ascii="宋体" w:hAnsi="宋体"/>
                <w:color w:val="000000"/>
                <w:sz w:val="18"/>
                <w:szCs w:val="18"/>
              </w:rPr>
              <w:t>较重或严重失信行为（行为代码GLQT2-1）</w:t>
            </w: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p>
            <w:pPr>
              <w:pStyle w:val="9"/>
              <w:spacing w:line="240" w:lineRule="exact"/>
              <w:jc w:val="center"/>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将中标合同转让</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将合同段全部工作内容肢解后分别分包</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GLQT2-1-3</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发生重大质量或者重大及以上安全生产责任事故</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4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GLQT2-1-4</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经质监机构鉴定合同段工程质量不合格,或者竣工验收施工管理综合评价为差</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GLQT2-1-5</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因从业单位原因造成合同终止的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GLQT2-1-6</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将承包工程或者服务违法分包</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567"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GLQT2-1-7</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违反水运工程建设强制性标准</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962"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GLQT2-1-8</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因拖欠问题造成群体事件或者不良社会影响，经有关部门协调后仍未能在限期内进行整改的。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1203"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GLQT2-1-9</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未按规定拒不修复工程缺陷的，或者无正当理由未按要求及规定时限完成工程设计变更、工程结算、竣工决算等竣工验收各项准备工作，拒不整改的。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642"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GLQT2-1-10</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发生较大质量或者安全生产事故，负有主要责任的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912" w:hRule="atLeast"/>
        </w:trPr>
        <w:tc>
          <w:tcPr>
            <w:tcW w:w="817" w:type="dxa"/>
            <w:vMerge w:val="continue"/>
            <w:tcBorders>
              <w:left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rPr>
            </w:pPr>
            <w:r>
              <w:rPr>
                <w:rFonts w:hint="eastAsia" w:ascii="宋体" w:hAnsi="宋体"/>
                <w:bCs/>
                <w:color w:val="000000"/>
                <w:sz w:val="18"/>
                <w:szCs w:val="18"/>
                <w:shd w:val="clear" w:color="auto" w:fill="FFFFFF"/>
              </w:rPr>
              <w:t>在水运工程造价活动中，出具虚假记载、误导性陈述的工程造价成果文件，给发包人造成重大经济损失的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vMerge w:val="restart"/>
            <w:tcBorders>
              <w:top w:val="nil"/>
              <w:left w:val="nil"/>
              <w:right w:val="single" w:color="000000" w:sz="4" w:space="0"/>
            </w:tcBorders>
            <w:vAlign w:val="center"/>
          </w:tcPr>
          <w:p>
            <w:pPr>
              <w:pStyle w:val="9"/>
              <w:spacing w:line="200" w:lineRule="exact"/>
              <w:rPr>
                <w:rFonts w:ascii="宋体" w:hAnsi="宋体"/>
                <w:color w:val="000000"/>
                <w:sz w:val="15"/>
                <w:szCs w:val="15"/>
              </w:rPr>
            </w:pPr>
            <w:r>
              <w:rPr>
                <w:rFonts w:hint="eastAsia" w:ascii="宋体" w:hAnsi="宋体"/>
                <w:color w:val="000000"/>
                <w:sz w:val="15"/>
                <w:szCs w:val="15"/>
              </w:rPr>
              <w:t>仅造价咨询单位或者审计咨询单位</w:t>
            </w:r>
          </w:p>
        </w:tc>
      </w:tr>
      <w:tr>
        <w:tblPrEx>
          <w:tblCellMar>
            <w:top w:w="0" w:type="dxa"/>
            <w:left w:w="108" w:type="dxa"/>
            <w:bottom w:w="0" w:type="dxa"/>
            <w:right w:w="108" w:type="dxa"/>
          </w:tblCellMar>
        </w:tblPrEx>
        <w:trPr>
          <w:trHeight w:val="653" w:hRule="atLeast"/>
        </w:trPr>
        <w:tc>
          <w:tcPr>
            <w:tcW w:w="817" w:type="dxa"/>
            <w:vMerge w:val="continue"/>
            <w:tcBorders>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GLQT2-1-12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jc w:val="left"/>
              <w:rPr>
                <w:rFonts w:ascii="宋体" w:hAnsi="宋体"/>
                <w:bCs/>
                <w:color w:val="000000"/>
                <w:sz w:val="18"/>
                <w:szCs w:val="18"/>
                <w:shd w:val="clear" w:color="auto" w:fill="FFFFFF"/>
              </w:rPr>
            </w:pPr>
            <w:r>
              <w:rPr>
                <w:rFonts w:hint="eastAsia" w:ascii="宋体" w:hAnsi="宋体"/>
                <w:bCs/>
                <w:color w:val="000000"/>
                <w:sz w:val="18"/>
                <w:szCs w:val="18"/>
                <w:shd w:val="clear" w:color="auto" w:fill="FFFFFF"/>
              </w:rPr>
              <w:t>拒绝接受行政主管部门的监督检查，提供虚假材料的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vMerge w:val="continue"/>
            <w:tcBorders>
              <w:left w:val="nil"/>
              <w:bottom w:val="single" w:color="000000" w:sz="4" w:space="0"/>
              <w:right w:val="single" w:color="000000" w:sz="4" w:space="0"/>
            </w:tcBorders>
            <w:vAlign w:val="center"/>
          </w:tcPr>
          <w:p>
            <w:pPr>
              <w:spacing w:line="200" w:lineRule="exact"/>
              <w:rPr>
                <w:rFonts w:ascii="宋体" w:hAnsi="宋体"/>
                <w:color w:val="000000"/>
                <w:sz w:val="15"/>
                <w:szCs w:val="15"/>
              </w:rPr>
            </w:pPr>
          </w:p>
        </w:tc>
      </w:tr>
      <w:tr>
        <w:tblPrEx>
          <w:tblCellMar>
            <w:top w:w="0" w:type="dxa"/>
            <w:left w:w="108" w:type="dxa"/>
            <w:bottom w:w="0" w:type="dxa"/>
            <w:right w:w="108" w:type="dxa"/>
          </w:tblCellMar>
        </w:tblPrEx>
        <w:trPr>
          <w:trHeight w:val="703" w:hRule="atLeast"/>
        </w:trPr>
        <w:tc>
          <w:tcPr>
            <w:tcW w:w="817" w:type="dxa"/>
            <w:vMerge w:val="restart"/>
            <w:tcBorders>
              <w:top w:val="nil"/>
              <w:left w:val="single" w:color="000000" w:sz="4" w:space="0"/>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其它行为（行为代码GLQT3）</w:t>
            </w:r>
          </w:p>
        </w:tc>
        <w:tc>
          <w:tcPr>
            <w:tcW w:w="992" w:type="dxa"/>
            <w:vMerge w:val="restart"/>
            <w:tcBorders>
              <w:top w:val="nil"/>
              <w:left w:val="nil"/>
              <w:bottom w:val="single" w:color="000000" w:sz="4" w:space="0"/>
              <w:right w:val="single" w:color="000000" w:sz="4" w:space="0"/>
            </w:tcBorders>
            <w:vAlign w:val="center"/>
          </w:tcPr>
          <w:p>
            <w:pPr>
              <w:pStyle w:val="9"/>
              <w:spacing w:line="240" w:lineRule="exact"/>
              <w:jc w:val="center"/>
              <w:rPr>
                <w:rFonts w:ascii="宋体" w:hAnsi="宋体"/>
                <w:color w:val="000000"/>
                <w:sz w:val="18"/>
                <w:szCs w:val="18"/>
              </w:rPr>
            </w:pPr>
            <w:r>
              <w:rPr>
                <w:rFonts w:hint="eastAsia" w:ascii="宋体" w:hAnsi="宋体"/>
                <w:color w:val="000000"/>
                <w:sz w:val="18"/>
                <w:szCs w:val="18"/>
              </w:rPr>
              <w:t>较重或严重失信行为（行为代码GLQT3-1）</w:t>
            </w: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GLQT3-1-1</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被司法机关认定有行贿、受贿行为，并构成犯罪</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39"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GLQT3-1-2</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项目运营期间发生重大及以上质量或者安全生产事故，负有责任的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直接定为D级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393"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GLQT3-1-3</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被交通运输部</w:t>
            </w:r>
            <w:r>
              <w:rPr>
                <w:rFonts w:hint="eastAsia" w:ascii="宋体" w:hAnsi="宋体"/>
                <w:color w:val="000000"/>
                <w:sz w:val="18"/>
                <w:szCs w:val="18"/>
              </w:rPr>
              <w:t>行政处罚</w:t>
            </w:r>
            <w:r>
              <w:rPr>
                <w:rFonts w:hint="eastAsia" w:ascii="宋体" w:hAnsi="宋体"/>
                <w:bCs/>
                <w:color w:val="000000"/>
                <w:sz w:val="18"/>
                <w:szCs w:val="18"/>
              </w:rPr>
              <w:t>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992"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GLQT3-1-4</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在水运工程建设市场信用系统中由企业自主填报并向社会公开的重要信用信息，存在弄虚作假的。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1031"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GLQT3-1-5</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资质抽查中，发现人员、技术装备、业绩等指标低于相关资质标准要求或者弄虚作假的</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r>
        <w:tblPrEx>
          <w:tblCellMar>
            <w:top w:w="0" w:type="dxa"/>
            <w:left w:w="108" w:type="dxa"/>
            <w:bottom w:w="0" w:type="dxa"/>
            <w:right w:w="108" w:type="dxa"/>
          </w:tblCellMar>
        </w:tblPrEx>
        <w:trPr>
          <w:trHeight w:val="785" w:hRule="atLeast"/>
        </w:trPr>
        <w:tc>
          <w:tcPr>
            <w:tcW w:w="81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992" w:type="dxa"/>
            <w:vMerge w:val="continue"/>
            <w:tcBorders>
              <w:top w:val="nil"/>
              <w:left w:val="nil"/>
              <w:bottom w:val="single" w:color="000000" w:sz="4" w:space="0"/>
              <w:right w:val="single" w:color="000000" w:sz="4" w:space="0"/>
            </w:tcBorders>
            <w:vAlign w:val="center"/>
          </w:tcPr>
          <w:p>
            <w:pPr>
              <w:spacing w:line="240" w:lineRule="exact"/>
              <w:rPr>
                <w:rFonts w:ascii="宋体" w:hAnsi="宋体"/>
                <w:color w:val="000000"/>
                <w:sz w:val="18"/>
                <w:szCs w:val="18"/>
              </w:rPr>
            </w:pPr>
          </w:p>
        </w:tc>
        <w:tc>
          <w:tcPr>
            <w:tcW w:w="1309"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GLQT3-1-6</w:t>
            </w:r>
          </w:p>
        </w:tc>
        <w:tc>
          <w:tcPr>
            <w:tcW w:w="3485" w:type="dxa"/>
            <w:tcBorders>
              <w:top w:val="single" w:color="000000" w:sz="4" w:space="0"/>
              <w:left w:val="nil"/>
              <w:bottom w:val="single" w:color="000000" w:sz="4" w:space="0"/>
              <w:right w:val="single" w:color="000000" w:sz="4" w:space="0"/>
            </w:tcBorders>
            <w:vAlign w:val="center"/>
          </w:tcPr>
          <w:p>
            <w:pPr>
              <w:pStyle w:val="9"/>
              <w:spacing w:line="240" w:lineRule="exact"/>
              <w:rPr>
                <w:rFonts w:ascii="宋体" w:hAnsi="宋体"/>
                <w:bCs/>
                <w:color w:val="000000"/>
                <w:sz w:val="18"/>
                <w:szCs w:val="18"/>
              </w:rPr>
            </w:pPr>
            <w:r>
              <w:rPr>
                <w:rFonts w:hint="eastAsia" w:ascii="宋体" w:hAnsi="宋体"/>
                <w:bCs/>
                <w:color w:val="000000"/>
                <w:sz w:val="18"/>
                <w:szCs w:val="18"/>
              </w:rPr>
              <w:t>被市交通主管部门或者区县交通主管部门</w:t>
            </w:r>
            <w:r>
              <w:rPr>
                <w:rFonts w:hint="eastAsia" w:ascii="宋体" w:hAnsi="宋体"/>
                <w:color w:val="000000"/>
                <w:sz w:val="18"/>
                <w:szCs w:val="18"/>
              </w:rPr>
              <w:t>行政处罚</w:t>
            </w:r>
          </w:p>
        </w:tc>
        <w:tc>
          <w:tcPr>
            <w:tcW w:w="1652" w:type="dxa"/>
            <w:tcBorders>
              <w:top w:val="single" w:color="000000" w:sz="4" w:space="0"/>
              <w:left w:val="nil"/>
              <w:bottom w:val="single" w:color="000000" w:sz="4" w:space="0"/>
              <w:right w:val="single" w:color="000000" w:sz="4" w:space="0"/>
            </w:tcBorders>
            <w:vAlign w:val="center"/>
          </w:tcPr>
          <w:p>
            <w:pPr>
              <w:pStyle w:val="9"/>
              <w:spacing w:line="240" w:lineRule="exact"/>
              <w:jc w:val="center"/>
              <w:rPr>
                <w:rFonts w:ascii="宋体" w:hAnsi="宋体"/>
                <w:bCs/>
                <w:color w:val="000000"/>
                <w:sz w:val="18"/>
                <w:szCs w:val="18"/>
              </w:rPr>
            </w:pPr>
            <w:r>
              <w:rPr>
                <w:rFonts w:hint="eastAsia" w:ascii="宋体" w:hAnsi="宋体"/>
                <w:bCs/>
                <w:color w:val="000000"/>
                <w:sz w:val="18"/>
                <w:szCs w:val="18"/>
              </w:rPr>
              <w:t>直接定为C级</w:t>
            </w:r>
          </w:p>
        </w:tc>
        <w:tc>
          <w:tcPr>
            <w:tcW w:w="925" w:type="dxa"/>
            <w:tcBorders>
              <w:top w:val="single" w:color="000000" w:sz="4" w:space="0"/>
              <w:left w:val="nil"/>
              <w:bottom w:val="single" w:color="000000" w:sz="4" w:space="0"/>
              <w:right w:val="single" w:color="000000" w:sz="4" w:space="0"/>
            </w:tcBorders>
            <w:vAlign w:val="center"/>
          </w:tcPr>
          <w:p>
            <w:pPr>
              <w:pStyle w:val="9"/>
              <w:spacing w:line="260" w:lineRule="atLeast"/>
              <w:rPr>
                <w:rFonts w:ascii="宋体" w:hAnsi="宋体"/>
                <w:color w:val="000000"/>
                <w:sz w:val="18"/>
                <w:szCs w:val="18"/>
              </w:rPr>
            </w:pPr>
          </w:p>
        </w:tc>
      </w:tr>
    </w:tbl>
    <w:p>
      <w:pPr>
        <w:spacing w:line="500" w:lineRule="exact"/>
        <w:rPr>
          <w:rFonts w:ascii="方正黑体_GBK" w:eastAsia="方正黑体_GBK"/>
          <w:sz w:val="32"/>
          <w:szCs w:val="32"/>
        </w:rPr>
      </w:pPr>
      <w:r>
        <w:rPr>
          <w:rFonts w:hint="eastAsia" w:ascii="黑体" w:hAnsi="宋体" w:eastAsia="方正黑体_GBK"/>
          <w:sz w:val="32"/>
          <w:szCs w:val="32"/>
        </w:rPr>
        <w:br w:type="page"/>
      </w:r>
      <w:r>
        <w:rPr>
          <w:rFonts w:hint="eastAsia" w:ascii="方正黑体_GBK" w:eastAsia="方正黑体_GBK"/>
          <w:sz w:val="32"/>
          <w:szCs w:val="32"/>
        </w:rPr>
        <w:t>附件2</w:t>
      </w:r>
    </w:p>
    <w:p>
      <w:pPr>
        <w:pStyle w:val="9"/>
        <w:widowControl w:val="0"/>
        <w:spacing w:line="500" w:lineRule="exact"/>
        <w:rPr>
          <w:rFonts w:ascii="方正仿宋_GBK" w:eastAsia="方正仿宋_GBK"/>
          <w:color w:val="000000"/>
          <w:sz w:val="44"/>
          <w:szCs w:val="44"/>
        </w:rPr>
      </w:pPr>
    </w:p>
    <w:p>
      <w:pPr>
        <w:pStyle w:val="9"/>
        <w:widowControl w:val="0"/>
        <w:spacing w:line="500" w:lineRule="exact"/>
        <w:jc w:val="center"/>
        <w:rPr>
          <w:rFonts w:ascii="方正小标宋_GBK" w:eastAsia="方正小标宋_GBK"/>
          <w:color w:val="000000"/>
          <w:spacing w:val="-10"/>
          <w:sz w:val="44"/>
          <w:szCs w:val="44"/>
        </w:rPr>
      </w:pPr>
      <w:r>
        <w:rPr>
          <w:rFonts w:hint="eastAsia" w:ascii="方正小标宋_GBK" w:eastAsia="方正小标宋_GBK"/>
          <w:color w:val="000000"/>
          <w:spacing w:val="-10"/>
          <w:sz w:val="44"/>
          <w:szCs w:val="44"/>
        </w:rPr>
        <w:t>重庆市水运工程建设市场从业人员信用行为</w:t>
      </w:r>
    </w:p>
    <w:p>
      <w:pPr>
        <w:pStyle w:val="9"/>
        <w:widowControl w:val="0"/>
        <w:spacing w:line="5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直接定级标准</w:t>
      </w:r>
    </w:p>
    <w:p>
      <w:pPr>
        <w:pStyle w:val="9"/>
        <w:widowControl w:val="0"/>
        <w:spacing w:line="500" w:lineRule="exact"/>
        <w:jc w:val="center"/>
        <w:rPr>
          <w:rFonts w:ascii="方正小标宋_GBK" w:eastAsia="方正小标宋_GBK"/>
          <w:color w:val="000000"/>
          <w:sz w:val="44"/>
          <w:szCs w:val="44"/>
        </w:rPr>
      </w:pPr>
    </w:p>
    <w:tbl>
      <w:tblPr>
        <w:tblStyle w:val="13"/>
        <w:tblW w:w="4998" w:type="pct"/>
        <w:jc w:val="center"/>
        <w:tblLayout w:type="autofit"/>
        <w:tblCellMar>
          <w:top w:w="0" w:type="dxa"/>
          <w:left w:w="108" w:type="dxa"/>
          <w:bottom w:w="0" w:type="dxa"/>
          <w:right w:w="108" w:type="dxa"/>
        </w:tblCellMar>
      </w:tblPr>
      <w:tblGrid>
        <w:gridCol w:w="994"/>
        <w:gridCol w:w="1196"/>
        <w:gridCol w:w="1203"/>
        <w:gridCol w:w="2523"/>
        <w:gridCol w:w="1525"/>
        <w:gridCol w:w="1616"/>
      </w:tblGrid>
      <w:tr>
        <w:tblPrEx>
          <w:tblCellMar>
            <w:top w:w="0" w:type="dxa"/>
            <w:left w:w="108" w:type="dxa"/>
            <w:bottom w:w="0" w:type="dxa"/>
            <w:right w:w="108" w:type="dxa"/>
          </w:tblCellMar>
        </w:tblPrEx>
        <w:trPr>
          <w:trHeight w:val="542" w:hRule="atLeast"/>
          <w:tblHeader/>
          <w:jc w:val="center"/>
        </w:trPr>
        <w:tc>
          <w:tcPr>
            <w:tcW w:w="1209" w:type="pct"/>
            <w:gridSpan w:val="2"/>
            <w:tcBorders>
              <w:top w:val="single" w:color="000000" w:sz="4" w:space="0"/>
              <w:left w:val="single" w:color="000000" w:sz="4" w:space="0"/>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评定内容</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代码</w:t>
            </w:r>
          </w:p>
        </w:tc>
        <w:tc>
          <w:tcPr>
            <w:tcW w:w="1393"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不良行为</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方正黑体_GBK"/>
                <w:color w:val="000000"/>
                <w:sz w:val="24"/>
                <w:szCs w:val="24"/>
              </w:rPr>
            </w:pPr>
            <w:r>
              <w:rPr>
                <w:rFonts w:hint="eastAsia" w:ascii="黑体" w:eastAsia="方正黑体_GBK"/>
                <w:color w:val="000000"/>
                <w:sz w:val="24"/>
                <w:szCs w:val="24"/>
              </w:rPr>
              <w:t>行为等级和</w:t>
            </w:r>
          </w:p>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扣分标准</w:t>
            </w:r>
          </w:p>
        </w:tc>
        <w:tc>
          <w:tcPr>
            <w:tcW w:w="89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黑体" w:eastAsia="黑体"/>
                <w:color w:val="000000"/>
                <w:sz w:val="24"/>
                <w:szCs w:val="24"/>
              </w:rPr>
            </w:pPr>
            <w:r>
              <w:rPr>
                <w:rFonts w:hint="eastAsia" w:ascii="黑体" w:eastAsia="方正黑体_GBK"/>
                <w:color w:val="000000"/>
                <w:sz w:val="24"/>
                <w:szCs w:val="24"/>
              </w:rPr>
              <w:t>备注</w:t>
            </w:r>
          </w:p>
        </w:tc>
      </w:tr>
      <w:tr>
        <w:tblPrEx>
          <w:tblCellMar>
            <w:top w:w="0" w:type="dxa"/>
            <w:left w:w="108" w:type="dxa"/>
            <w:bottom w:w="0" w:type="dxa"/>
            <w:right w:w="108" w:type="dxa"/>
          </w:tblCellMar>
        </w:tblPrEx>
        <w:trPr>
          <w:trHeight w:val="847" w:hRule="atLeast"/>
          <w:jc w:val="center"/>
        </w:trPr>
        <w:tc>
          <w:tcPr>
            <w:tcW w:w="549" w:type="pct"/>
            <w:vMerge w:val="restart"/>
            <w:tcBorders>
              <w:top w:val="nil"/>
              <w:left w:val="single" w:color="000000" w:sz="4" w:space="0"/>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履约行为（行为代码SYRY2）</w:t>
            </w:r>
          </w:p>
        </w:tc>
        <w:tc>
          <w:tcPr>
            <w:tcW w:w="660" w:type="pct"/>
            <w:vMerge w:val="restart"/>
            <w:tcBorders>
              <w:top w:val="nil"/>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较重或严重失信行为（行为代码SYRY2-1）</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在较大及以上质量事故、安全生产责任事故或者环境事件中负有责任的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0"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使用虚假执业资格证书或者虚假身份证的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00"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RY2-1-3</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出具虚假数据、文件和报告，并造成质量标准降低的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6"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RY2-1-4</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信用评价为D级的从业人员继续从业的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D级延期一年</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93"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RY2-1-5</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未通过主要岗位从业人员专业水平测试或者信用评价为C级的人员从事主要岗位的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93"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RY2-1-6</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在一般质量事故、安全生产责任事故或者环境事件中负有责任的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6"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RY2-1-7</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使用虚假职称证书或者学历证书的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9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RY2-1-8</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利用工作之便推销建筑材料、构配件和设备等的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0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RY2-1-9</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工作中，有徇私舞弊、吃拿卡要等行为的</w:t>
            </w:r>
          </w:p>
        </w:tc>
        <w:tc>
          <w:tcPr>
            <w:tcW w:w="842" w:type="pct"/>
            <w:tcBorders>
              <w:top w:val="single" w:color="000000" w:sz="4" w:space="0"/>
              <w:left w:val="nil"/>
              <w:bottom w:val="single" w:color="000000" w:sz="4" w:space="0"/>
              <w:right w:val="single" w:color="000000" w:sz="4" w:space="0"/>
            </w:tcBorders>
            <w:vAlign w:val="center"/>
          </w:tcPr>
          <w:p>
            <w:pPr>
              <w:pStyle w:val="9"/>
              <w:jc w:val="center"/>
              <w:rPr>
                <w:color w:val="000000"/>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825"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restart"/>
            <w:tcBorders>
              <w:top w:val="nil"/>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其他失信行为（行为代码SYRY2-2）</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SYRY2-2-1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存在质量安全违法行为，受到行政处罚或者行政处理的</w:t>
            </w:r>
          </w:p>
        </w:tc>
        <w:tc>
          <w:tcPr>
            <w:tcW w:w="842" w:type="pct"/>
            <w:tcBorders>
              <w:top w:val="single" w:color="000000" w:sz="4" w:space="0"/>
              <w:left w:val="nil"/>
              <w:bottom w:val="single" w:color="000000" w:sz="4" w:space="0"/>
              <w:right w:val="single" w:color="000000" w:sz="4" w:space="0"/>
            </w:tcBorders>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07"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SYRY2-2-2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因质量问题被举报，经调查属实的</w:t>
            </w:r>
          </w:p>
        </w:tc>
        <w:tc>
          <w:tcPr>
            <w:tcW w:w="842" w:type="pct"/>
            <w:tcBorders>
              <w:top w:val="single" w:color="000000" w:sz="4" w:space="0"/>
              <w:left w:val="nil"/>
              <w:bottom w:val="single" w:color="000000" w:sz="4" w:space="0"/>
              <w:right w:val="single" w:color="000000" w:sz="4" w:space="0"/>
            </w:tcBorders>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87"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SYRY2-2-3</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存在造假行为的</w:t>
            </w:r>
          </w:p>
        </w:tc>
        <w:tc>
          <w:tcPr>
            <w:tcW w:w="842" w:type="pct"/>
            <w:tcBorders>
              <w:top w:val="single" w:color="000000" w:sz="4" w:space="0"/>
              <w:left w:val="nil"/>
              <w:bottom w:val="single" w:color="000000" w:sz="4" w:space="0"/>
              <w:right w:val="single" w:color="000000" w:sz="4" w:space="0"/>
            </w:tcBorders>
            <w:vAlign w:val="center"/>
          </w:tcPr>
          <w:p>
            <w:pPr>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spacing w:line="20" w:lineRule="atLeast"/>
              <w:jc w:val="left"/>
              <w:rPr>
                <w:rFonts w:ascii="宋体" w:hAnsi="宋体"/>
                <w:color w:val="000000"/>
                <w:sz w:val="15"/>
                <w:szCs w:val="15"/>
              </w:rPr>
            </w:pPr>
            <w:r>
              <w:rPr>
                <w:rFonts w:hint="eastAsia" w:ascii="宋体" w:hAnsi="宋体"/>
                <w:color w:val="000000"/>
                <w:sz w:val="15"/>
                <w:szCs w:val="15"/>
              </w:rPr>
              <w:t>编造、伪造工程资料、试验资料或者监理资料等相关资料，以及在从业登记和业绩登记中提供虚假资料。</w:t>
            </w:r>
          </w:p>
        </w:tc>
      </w:tr>
      <w:tr>
        <w:tblPrEx>
          <w:tblCellMar>
            <w:top w:w="0" w:type="dxa"/>
            <w:left w:w="108" w:type="dxa"/>
            <w:bottom w:w="0" w:type="dxa"/>
            <w:right w:w="108" w:type="dxa"/>
          </w:tblCellMar>
        </w:tblPrEx>
        <w:trPr>
          <w:trHeight w:val="778" w:hRule="atLeast"/>
          <w:jc w:val="center"/>
        </w:trPr>
        <w:tc>
          <w:tcPr>
            <w:tcW w:w="549" w:type="pct"/>
            <w:vMerge w:val="restart"/>
            <w:tcBorders>
              <w:top w:val="nil"/>
              <w:left w:val="single" w:color="000000" w:sz="4" w:space="0"/>
              <w:bottom w:val="single" w:color="000000" w:sz="4" w:space="0"/>
              <w:right w:val="single" w:color="000000" w:sz="4" w:space="0"/>
            </w:tcBorders>
            <w:vAlign w:val="center"/>
          </w:tcPr>
          <w:p>
            <w:pPr>
              <w:pStyle w:val="9"/>
              <w:spacing w:line="76" w:lineRule="atLeast"/>
              <w:jc w:val="center"/>
              <w:rPr>
                <w:rFonts w:ascii="宋体" w:hAnsi="宋体"/>
                <w:color w:val="000000"/>
                <w:sz w:val="18"/>
                <w:szCs w:val="18"/>
              </w:rPr>
            </w:pPr>
            <w:r>
              <w:rPr>
                <w:rFonts w:hint="eastAsia" w:ascii="宋体" w:hAnsi="宋体"/>
                <w:color w:val="000000"/>
                <w:sz w:val="18"/>
                <w:szCs w:val="18"/>
              </w:rPr>
              <w:t>其他行为（行为代码SYRY3）</w:t>
            </w:r>
          </w:p>
        </w:tc>
        <w:tc>
          <w:tcPr>
            <w:tcW w:w="660" w:type="pct"/>
            <w:vMerge w:val="restart"/>
            <w:tcBorders>
              <w:top w:val="nil"/>
              <w:left w:val="nil"/>
              <w:bottom w:val="single" w:color="000000" w:sz="4" w:space="0"/>
              <w:right w:val="single" w:color="000000" w:sz="4" w:space="0"/>
            </w:tcBorders>
            <w:vAlign w:val="center"/>
          </w:tcPr>
          <w:p>
            <w:pPr>
              <w:pStyle w:val="9"/>
              <w:spacing w:line="76" w:lineRule="atLeast"/>
              <w:jc w:val="center"/>
              <w:rPr>
                <w:rFonts w:ascii="宋体" w:hAnsi="宋体"/>
                <w:color w:val="000000"/>
                <w:sz w:val="18"/>
                <w:szCs w:val="18"/>
              </w:rPr>
            </w:pPr>
            <w:r>
              <w:rPr>
                <w:rFonts w:hint="eastAsia" w:ascii="宋体" w:hAnsi="宋体"/>
                <w:color w:val="000000"/>
                <w:sz w:val="18"/>
                <w:szCs w:val="18"/>
              </w:rPr>
              <w:t>较重或严重失信行为（行为代码SYRY3-1）</w:t>
            </w:r>
          </w:p>
        </w:tc>
        <w:tc>
          <w:tcPr>
            <w:tcW w:w="664" w:type="pct"/>
            <w:tcBorders>
              <w:top w:val="single" w:color="000000" w:sz="4" w:space="0"/>
              <w:left w:val="nil"/>
              <w:bottom w:val="single" w:color="000000" w:sz="4" w:space="0"/>
              <w:right w:val="single" w:color="000000" w:sz="4" w:space="0"/>
            </w:tcBorders>
            <w:vAlign w:val="center"/>
          </w:tcPr>
          <w:p>
            <w:pPr>
              <w:pStyle w:val="9"/>
              <w:spacing w:line="76"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从业过程中，被司法机关认定构成犯罪的</w:t>
            </w:r>
          </w:p>
        </w:tc>
        <w:tc>
          <w:tcPr>
            <w:tcW w:w="842" w:type="pct"/>
            <w:tcBorders>
              <w:top w:val="single" w:color="000000" w:sz="4" w:space="0"/>
              <w:left w:val="nil"/>
              <w:bottom w:val="single" w:color="000000" w:sz="4" w:space="0"/>
              <w:right w:val="single" w:color="000000" w:sz="4" w:space="0"/>
            </w:tcBorders>
            <w:vAlign w:val="center"/>
          </w:tcPr>
          <w:p>
            <w:pPr>
              <w:pStyle w:val="9"/>
              <w:spacing w:line="76"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8"/>
                <w:szCs w:val="15"/>
              </w:rPr>
            </w:pPr>
          </w:p>
        </w:tc>
      </w:tr>
      <w:tr>
        <w:tblPrEx>
          <w:tblCellMar>
            <w:top w:w="0" w:type="dxa"/>
            <w:left w:w="108" w:type="dxa"/>
            <w:bottom w:w="0" w:type="dxa"/>
            <w:right w:w="108" w:type="dxa"/>
          </w:tblCellMar>
        </w:tblPrEx>
        <w:trPr>
          <w:trHeight w:val="564"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个人被交通运输部</w:t>
            </w:r>
            <w:r>
              <w:rPr>
                <w:rFonts w:hint="eastAsia" w:ascii="宋体" w:hAnsi="宋体"/>
                <w:color w:val="000000"/>
                <w:sz w:val="18"/>
                <w:szCs w:val="18"/>
              </w:rPr>
              <w:t>行政处罚</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1109"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RY3-1-3</w:t>
            </w:r>
          </w:p>
        </w:tc>
        <w:tc>
          <w:tcPr>
            <w:tcW w:w="1393" w:type="pct"/>
            <w:tcBorders>
              <w:top w:val="single" w:color="000000" w:sz="4" w:space="0"/>
              <w:left w:val="nil"/>
              <w:bottom w:val="single" w:color="000000" w:sz="4" w:space="0"/>
              <w:right w:val="single" w:color="000000" w:sz="4" w:space="0"/>
            </w:tcBorders>
            <w:vAlign w:val="center"/>
          </w:tcPr>
          <w:p>
            <w:pPr>
              <w:pStyle w:val="9"/>
              <w:rPr>
                <w:rFonts w:ascii="宋体" w:hAnsi="宋体"/>
                <w:bCs/>
                <w:color w:val="000000"/>
                <w:sz w:val="18"/>
                <w:szCs w:val="18"/>
              </w:rPr>
            </w:pPr>
            <w:r>
              <w:rPr>
                <w:rFonts w:hint="eastAsia" w:ascii="宋体" w:hAnsi="宋体"/>
                <w:bCs/>
                <w:color w:val="000000"/>
                <w:sz w:val="18"/>
                <w:szCs w:val="18"/>
              </w:rPr>
              <w:t>项目运营期间发生重大及以上质量或者安全生产事故，负有责任的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982"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RY3-1-4</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个人被市交通主管部门及其确定的管理部门或者区县交通主管部门</w:t>
            </w:r>
            <w:r>
              <w:rPr>
                <w:rFonts w:hint="eastAsia" w:ascii="宋体" w:hAnsi="宋体"/>
                <w:color w:val="000000"/>
                <w:sz w:val="18"/>
                <w:szCs w:val="18"/>
              </w:rPr>
              <w:t>行政处罚</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84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color w:val="000000"/>
                <w:sz w:val="18"/>
                <w:szCs w:val="18"/>
              </w:rPr>
              <w:t>SY</w:t>
            </w:r>
            <w:r>
              <w:rPr>
                <w:rFonts w:hint="eastAsia" w:ascii="宋体" w:hAnsi="宋体"/>
                <w:bCs/>
                <w:color w:val="000000"/>
                <w:sz w:val="18"/>
                <w:szCs w:val="18"/>
              </w:rPr>
              <w:t>RY3-1-5</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bCs/>
                <w:color w:val="000000"/>
                <w:sz w:val="18"/>
                <w:szCs w:val="18"/>
              </w:rPr>
            </w:pPr>
            <w:r>
              <w:rPr>
                <w:rFonts w:hint="eastAsia" w:ascii="宋体" w:hAnsi="宋体"/>
                <w:bCs/>
                <w:color w:val="000000"/>
                <w:sz w:val="18"/>
                <w:szCs w:val="18"/>
              </w:rPr>
              <w:t>信用评价弄虚作假或者以不正当手段骗取较高信用等级</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bCs/>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721"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restart"/>
            <w:tcBorders>
              <w:top w:val="nil"/>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其他失信行为（行为代码SYRY3-2）</w:t>
            </w: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SYRY3-2-1</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主要岗位人员同时受聘于两个或者两个以上单位的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bCs/>
                <w:color w:val="000000"/>
                <w:sz w:val="18"/>
                <w:szCs w:val="18"/>
              </w:rPr>
              <w:t>直接定为D级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r>
        <w:tblPrEx>
          <w:tblCellMar>
            <w:top w:w="0" w:type="dxa"/>
            <w:left w:w="108" w:type="dxa"/>
            <w:bottom w:w="0" w:type="dxa"/>
            <w:right w:w="108" w:type="dxa"/>
          </w:tblCellMar>
        </w:tblPrEx>
        <w:trPr>
          <w:trHeight w:val="689" w:hRule="atLeast"/>
          <w:jc w:val="center"/>
        </w:trPr>
        <w:tc>
          <w:tcPr>
            <w:tcW w:w="549" w:type="pct"/>
            <w:vMerge w:val="continue"/>
            <w:tcBorders>
              <w:top w:val="nil"/>
              <w:left w:val="single" w:color="000000" w:sz="4" w:space="0"/>
              <w:bottom w:val="single" w:color="000000" w:sz="4" w:space="0"/>
              <w:right w:val="single" w:color="000000" w:sz="4" w:space="0"/>
            </w:tcBorders>
            <w:vAlign w:val="center"/>
          </w:tcPr>
          <w:p>
            <w:pPr>
              <w:rPr>
                <w:rFonts w:ascii="宋体" w:hAnsi="宋体"/>
                <w:color w:val="000000"/>
                <w:sz w:val="18"/>
                <w:szCs w:val="18"/>
              </w:rPr>
            </w:pPr>
          </w:p>
        </w:tc>
        <w:tc>
          <w:tcPr>
            <w:tcW w:w="660" w:type="pct"/>
            <w:vMerge w:val="continue"/>
            <w:tcBorders>
              <w:top w:val="nil"/>
              <w:left w:val="nil"/>
              <w:bottom w:val="single" w:color="000000" w:sz="4" w:space="0"/>
              <w:right w:val="single" w:color="000000" w:sz="4" w:space="0"/>
            </w:tcBorders>
            <w:vAlign w:val="center"/>
          </w:tcPr>
          <w:p>
            <w:pPr>
              <w:rPr>
                <w:rFonts w:ascii="宋体" w:hAnsi="宋体"/>
                <w:color w:val="000000"/>
                <w:sz w:val="18"/>
                <w:szCs w:val="18"/>
              </w:rPr>
            </w:pPr>
          </w:p>
        </w:tc>
        <w:tc>
          <w:tcPr>
            <w:tcW w:w="664"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color w:val="000000"/>
                <w:sz w:val="18"/>
                <w:szCs w:val="18"/>
              </w:rPr>
              <w:t>SYRY3-2-2</w:t>
            </w:r>
          </w:p>
        </w:tc>
        <w:tc>
          <w:tcPr>
            <w:tcW w:w="1393"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8"/>
                <w:szCs w:val="18"/>
              </w:rPr>
            </w:pPr>
            <w:r>
              <w:rPr>
                <w:rFonts w:hint="eastAsia" w:ascii="宋体" w:hAnsi="宋体"/>
                <w:color w:val="000000"/>
                <w:sz w:val="18"/>
                <w:szCs w:val="18"/>
              </w:rPr>
              <w:t>出借执业资格证书的</w:t>
            </w:r>
          </w:p>
        </w:tc>
        <w:tc>
          <w:tcPr>
            <w:tcW w:w="842" w:type="pct"/>
            <w:tcBorders>
              <w:top w:val="single" w:color="000000" w:sz="4" w:space="0"/>
              <w:left w:val="nil"/>
              <w:bottom w:val="single" w:color="000000" w:sz="4" w:space="0"/>
              <w:right w:val="single" w:color="000000" w:sz="4" w:space="0"/>
            </w:tcBorders>
            <w:vAlign w:val="center"/>
          </w:tcPr>
          <w:p>
            <w:pPr>
              <w:pStyle w:val="9"/>
              <w:spacing w:line="260" w:lineRule="atLeast"/>
              <w:jc w:val="center"/>
              <w:rPr>
                <w:rFonts w:ascii="宋体" w:hAnsi="宋体"/>
                <w:color w:val="000000"/>
                <w:sz w:val="18"/>
                <w:szCs w:val="18"/>
              </w:rPr>
            </w:pPr>
            <w:r>
              <w:rPr>
                <w:rFonts w:hint="eastAsia" w:ascii="宋体" w:hAnsi="宋体"/>
                <w:bCs/>
                <w:color w:val="000000"/>
                <w:sz w:val="18"/>
                <w:szCs w:val="18"/>
              </w:rPr>
              <w:t>直接定为C级</w:t>
            </w:r>
          </w:p>
        </w:tc>
        <w:tc>
          <w:tcPr>
            <w:tcW w:w="892" w:type="pct"/>
            <w:tcBorders>
              <w:top w:val="single" w:color="000000" w:sz="4" w:space="0"/>
              <w:left w:val="nil"/>
              <w:bottom w:val="single" w:color="000000" w:sz="4" w:space="0"/>
              <w:right w:val="single" w:color="000000" w:sz="4" w:space="0"/>
            </w:tcBorders>
            <w:vAlign w:val="center"/>
          </w:tcPr>
          <w:p>
            <w:pPr>
              <w:pStyle w:val="9"/>
              <w:jc w:val="left"/>
              <w:rPr>
                <w:rFonts w:ascii="宋体" w:hAnsi="宋体"/>
                <w:color w:val="000000"/>
                <w:sz w:val="15"/>
                <w:szCs w:val="15"/>
              </w:rPr>
            </w:pPr>
          </w:p>
        </w:tc>
      </w:tr>
    </w:tbl>
    <w:p>
      <w:pPr>
        <w:pStyle w:val="9"/>
        <w:rPr>
          <w:rFonts w:ascii="宋体" w:hAnsi="宋体"/>
          <w:color w:val="000000"/>
          <w:szCs w:val="21"/>
        </w:rPr>
      </w:pPr>
    </w:p>
    <w:p>
      <w:pPr>
        <w:pStyle w:val="9"/>
        <w:ind w:left="-2" w:firstLine="360"/>
        <w:rPr>
          <w:rFonts w:ascii="宋体" w:hAnsi="宋体"/>
          <w:color w:val="000000"/>
          <w:sz w:val="18"/>
          <w:szCs w:val="18"/>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rPr>
      </w:pPr>
    </w:p>
    <w:p>
      <w:pPr>
        <w:pStyle w:val="9"/>
        <w:spacing w:line="480" w:lineRule="exact"/>
        <w:jc w:val="left"/>
        <w:rPr>
          <w:rFonts w:ascii="方正黑体_GBK" w:eastAsia="方正黑体_GBK"/>
          <w:color w:val="000000"/>
          <w:sz w:val="32"/>
        </w:rPr>
      </w:pPr>
      <w:r>
        <w:rPr>
          <w:rFonts w:hint="eastAsia" w:ascii="方正黑体_GBK" w:eastAsia="方正黑体_GBK"/>
          <w:color w:val="000000"/>
          <w:sz w:val="32"/>
        </w:rPr>
        <w:t>附件3</w:t>
      </w:r>
    </w:p>
    <w:p>
      <w:pPr>
        <w:pStyle w:val="9"/>
        <w:spacing w:line="480" w:lineRule="exact"/>
        <w:rPr>
          <w:rFonts w:ascii="方正仿宋_GBK" w:eastAsia="方正仿宋_GBK"/>
          <w:color w:val="000000"/>
        </w:rPr>
      </w:pPr>
    </w:p>
    <w:p>
      <w:pPr>
        <w:pStyle w:val="9"/>
        <w:spacing w:line="480" w:lineRule="exact"/>
        <w:jc w:val="center"/>
        <w:rPr>
          <w:rFonts w:ascii="方正小标宋_GBK" w:eastAsia="方正小标宋_GBK"/>
          <w:color w:val="000000"/>
          <w:spacing w:val="-20"/>
          <w:sz w:val="44"/>
          <w:szCs w:val="44"/>
        </w:rPr>
      </w:pPr>
      <w:r>
        <w:rPr>
          <w:rFonts w:hint="eastAsia" w:ascii="方正小标宋_GBK" w:eastAsia="方正小标宋_GBK"/>
          <w:color w:val="000000"/>
          <w:spacing w:val="-20"/>
          <w:sz w:val="44"/>
          <w:szCs w:val="44"/>
        </w:rPr>
        <w:t>重庆市水运工程建设市场从业单位信用分值</w:t>
      </w:r>
    </w:p>
    <w:p>
      <w:pPr>
        <w:pStyle w:val="9"/>
        <w:spacing w:line="480" w:lineRule="exact"/>
        <w:jc w:val="center"/>
        <w:rPr>
          <w:rFonts w:ascii="方正小标宋_GBK" w:eastAsia="方正小标宋_GBK"/>
          <w:color w:val="000000"/>
          <w:spacing w:val="-20"/>
          <w:sz w:val="44"/>
          <w:szCs w:val="44"/>
        </w:rPr>
      </w:pPr>
      <w:r>
        <w:rPr>
          <w:rFonts w:hint="eastAsia" w:ascii="方正小标宋_GBK" w:eastAsia="方正小标宋_GBK"/>
          <w:color w:val="000000"/>
          <w:spacing w:val="-20"/>
          <w:sz w:val="44"/>
          <w:szCs w:val="44"/>
        </w:rPr>
        <w:t>设置参考表</w:t>
      </w:r>
    </w:p>
    <w:p>
      <w:pPr>
        <w:pStyle w:val="9"/>
        <w:spacing w:line="480" w:lineRule="exact"/>
        <w:jc w:val="center"/>
        <w:rPr>
          <w:rFonts w:ascii="方正小标宋_GBK" w:eastAsia="方正小标宋_GBK"/>
          <w:color w:val="000000"/>
          <w:spacing w:val="-20"/>
          <w:sz w:val="44"/>
          <w:szCs w:val="4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627"/>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Align w:val="center"/>
          </w:tcPr>
          <w:p>
            <w:pPr>
              <w:pStyle w:val="9"/>
              <w:spacing w:line="320" w:lineRule="exact"/>
              <w:jc w:val="center"/>
              <w:rPr>
                <w:rFonts w:ascii="方正黑体_GBK" w:eastAsia="方正黑体_GBK"/>
                <w:color w:val="000000"/>
                <w:sz w:val="24"/>
                <w:szCs w:val="24"/>
              </w:rPr>
            </w:pPr>
            <w:r>
              <w:rPr>
                <w:rFonts w:hint="eastAsia" w:ascii="方正黑体_GBK" w:eastAsia="方正黑体_GBK"/>
                <w:color w:val="000000"/>
                <w:sz w:val="24"/>
                <w:szCs w:val="24"/>
              </w:rPr>
              <w:t>类别</w:t>
            </w:r>
          </w:p>
        </w:tc>
        <w:tc>
          <w:tcPr>
            <w:tcW w:w="6627" w:type="dxa"/>
            <w:vAlign w:val="center"/>
          </w:tcPr>
          <w:p>
            <w:pPr>
              <w:pStyle w:val="9"/>
              <w:spacing w:line="320" w:lineRule="exact"/>
              <w:jc w:val="center"/>
              <w:rPr>
                <w:rFonts w:ascii="方正黑体_GBK" w:eastAsia="方正黑体_GBK"/>
                <w:color w:val="000000"/>
                <w:sz w:val="24"/>
                <w:szCs w:val="24"/>
              </w:rPr>
            </w:pPr>
            <w:r>
              <w:rPr>
                <w:rFonts w:hint="eastAsia" w:ascii="方正黑体_GBK" w:eastAsia="方正黑体_GBK"/>
                <w:color w:val="000000"/>
                <w:sz w:val="24"/>
                <w:szCs w:val="24"/>
              </w:rPr>
              <w:t>信用记录</w:t>
            </w:r>
          </w:p>
        </w:tc>
        <w:tc>
          <w:tcPr>
            <w:tcW w:w="1259" w:type="dxa"/>
            <w:vAlign w:val="center"/>
          </w:tcPr>
          <w:p>
            <w:pPr>
              <w:pStyle w:val="9"/>
              <w:spacing w:line="320" w:lineRule="exact"/>
              <w:jc w:val="center"/>
              <w:rPr>
                <w:rFonts w:ascii="方正黑体_GBK" w:eastAsia="方正黑体_GBK"/>
                <w:color w:val="000000"/>
                <w:sz w:val="24"/>
                <w:szCs w:val="24"/>
              </w:rPr>
            </w:pPr>
            <w:r>
              <w:rPr>
                <w:rFonts w:hint="eastAsia" w:ascii="方正黑体_GBK" w:eastAsia="方正黑体_GBK"/>
                <w:color w:val="000000"/>
                <w:sz w:val="24"/>
                <w:szCs w:val="24"/>
              </w:rPr>
              <w:t>信用分值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5" w:type="dxa"/>
            <w:vMerge w:val="restart"/>
            <w:vAlign w:val="center"/>
          </w:tcPr>
          <w:p>
            <w:pPr>
              <w:pStyle w:val="9"/>
              <w:spacing w:line="320" w:lineRule="exact"/>
              <w:ind w:left="-2"/>
              <w:jc w:val="center"/>
              <w:rPr>
                <w:rFonts w:ascii="方正仿宋_GBK" w:eastAsia="方正仿宋_GBK"/>
                <w:color w:val="000000"/>
                <w:sz w:val="24"/>
              </w:rPr>
            </w:pPr>
            <w:r>
              <w:rPr>
                <w:rFonts w:hint="eastAsia" w:ascii="黑体" w:eastAsia="方正黑体_GBK"/>
                <w:color w:val="000000"/>
                <w:sz w:val="24"/>
                <w:szCs w:val="24"/>
              </w:rPr>
              <w:t>定期评价信息</w:t>
            </w: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1.1重庆市最近年度水运建设市场全市信用评价等级为AA级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rPr>
            </w:pP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2.1重庆市最近年度水运建设市场信用评价等级为A级</w:t>
            </w:r>
          </w:p>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2.2初次进入重庆市水运建设市场信用等级确定为AA级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rPr>
            </w:pP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3.1重庆市最近年度水运建设市场全市信用评价等级为B级</w:t>
            </w:r>
          </w:p>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3.2初次进入重庆市水运建设市场信用等级确定为A级或B级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rPr>
            </w:pPr>
          </w:p>
        </w:tc>
        <w:tc>
          <w:tcPr>
            <w:tcW w:w="6627" w:type="dxa"/>
            <w:vAlign w:val="center"/>
          </w:tcPr>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4.1重庆市最近年度水运建设市场全市信用评价等级为C级</w:t>
            </w:r>
          </w:p>
          <w:p>
            <w:pPr>
              <w:pStyle w:val="8"/>
              <w:snapToGrid w:val="0"/>
              <w:spacing w:line="280" w:lineRule="exact"/>
              <w:ind w:firstLine="0" w:firstLineChars="0"/>
              <w:rPr>
                <w:rFonts w:ascii="宋体" w:hAnsi="宋体" w:eastAsia="宋体"/>
                <w:color w:val="000000"/>
                <w:kern w:val="0"/>
                <w:sz w:val="18"/>
                <w:szCs w:val="18"/>
              </w:rPr>
            </w:pPr>
            <w:r>
              <w:rPr>
                <w:rFonts w:hint="eastAsia" w:ascii="宋体" w:hAnsi="宋体" w:eastAsia="宋体"/>
                <w:color w:val="000000"/>
                <w:kern w:val="0"/>
                <w:sz w:val="18"/>
                <w:szCs w:val="18"/>
              </w:rPr>
              <w:t>4.2初次进入重庆市水运建设市场信用等级确定为C级</w:t>
            </w:r>
          </w:p>
        </w:tc>
        <w:tc>
          <w:tcPr>
            <w:tcW w:w="1259" w:type="dxa"/>
            <w:vAlign w:val="center"/>
          </w:tcPr>
          <w:p>
            <w:pPr>
              <w:pStyle w:val="8"/>
              <w:snapToGrid w:val="0"/>
              <w:spacing w:line="320" w:lineRule="exact"/>
              <w:ind w:firstLine="0" w:firstLineChars="0"/>
              <w:jc w:val="center"/>
              <w:rPr>
                <w:rFonts w:ascii="宋体" w:hAnsi="宋体" w:eastAsia="宋体"/>
                <w:color w:val="000000"/>
                <w:kern w:val="0"/>
                <w:sz w:val="18"/>
                <w:szCs w:val="18"/>
              </w:rPr>
            </w:pPr>
            <w:r>
              <w:rPr>
                <w:rFonts w:hint="eastAsia" w:ascii="宋体" w:hAnsi="宋体" w:eastAsia="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35" w:type="dxa"/>
            <w:vMerge w:val="restart"/>
            <w:vAlign w:val="center"/>
          </w:tcPr>
          <w:p>
            <w:pPr>
              <w:pStyle w:val="8"/>
              <w:snapToGrid w:val="0"/>
              <w:spacing w:line="320" w:lineRule="exact"/>
              <w:ind w:firstLine="0" w:firstLineChars="0"/>
              <w:jc w:val="center"/>
              <w:rPr>
                <w:rFonts w:ascii="方正仿宋_GBK" w:eastAsia="方正仿宋_GBK"/>
                <w:color w:val="000000"/>
                <w:sz w:val="24"/>
              </w:rPr>
            </w:pPr>
            <w:r>
              <w:rPr>
                <w:rFonts w:hint="eastAsia" w:ascii="黑体" w:hAnsi="Times New Roman" w:eastAsia="方正黑体_GBK"/>
                <w:color w:val="000000"/>
                <w:kern w:val="0"/>
                <w:sz w:val="24"/>
              </w:rPr>
              <w:t>动态信用信息</w:t>
            </w: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1.1受到重庆市人民政府或交通运输部关于水运工程建设相关的通报表彰（表扬）的从业单位，一年内（以发文时间为准）</w:t>
            </w:r>
          </w:p>
        </w:tc>
        <w:tc>
          <w:tcPr>
            <w:tcW w:w="1259" w:type="dxa"/>
            <w:vAlign w:val="center"/>
          </w:tcPr>
          <w:p>
            <w:pPr>
              <w:widowControl/>
              <w:spacing w:line="320" w:lineRule="exact"/>
              <w:jc w:val="center"/>
              <w:rPr>
                <w:rFonts w:ascii="宋体" w:hAnsi="宋体"/>
                <w:color w:val="000000"/>
                <w:kern w:val="0"/>
                <w:sz w:val="18"/>
                <w:szCs w:val="18"/>
              </w:rPr>
            </w:pPr>
            <w:r>
              <w:rPr>
                <w:rFonts w:hint="eastAsia" w:ascii="宋体" w:hAnsi="宋体"/>
                <w:color w:val="000000"/>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u w:val="single"/>
              </w:rPr>
            </w:pP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2.1受到重庆市交通局关于水运工程建设相关的通报表彰（表扬）的从业单位，一年内（以发文时间为准）</w:t>
            </w:r>
          </w:p>
        </w:tc>
        <w:tc>
          <w:tcPr>
            <w:tcW w:w="1259" w:type="dxa"/>
            <w:vAlign w:val="center"/>
          </w:tcPr>
          <w:p>
            <w:pPr>
              <w:widowControl/>
              <w:spacing w:line="320" w:lineRule="exact"/>
              <w:jc w:val="center"/>
              <w:rPr>
                <w:rFonts w:ascii="宋体" w:hAnsi="宋体"/>
                <w:color w:val="000000"/>
                <w:kern w:val="0"/>
                <w:sz w:val="18"/>
                <w:szCs w:val="18"/>
              </w:rPr>
            </w:pPr>
            <w:r>
              <w:rPr>
                <w:rFonts w:hint="eastAsia" w:ascii="宋体" w:hAnsi="宋体"/>
                <w:color w:val="000000"/>
                <w:kern w:val="0"/>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u w:val="single"/>
              </w:rPr>
            </w:pP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3.1受到重庆市人民政府或交通运输部关于质量、安全、进度、环保、稳定等水运工程建设相关的</w:t>
            </w:r>
            <w:r>
              <w:rPr>
                <w:rFonts w:hint="eastAsia" w:ascii="宋体" w:hAnsi="宋体"/>
                <w:color w:val="000000"/>
                <w:sz w:val="18"/>
                <w:szCs w:val="18"/>
              </w:rPr>
              <w:t>行政处罚</w:t>
            </w:r>
            <w:r>
              <w:rPr>
                <w:rFonts w:hint="eastAsia" w:ascii="宋体" w:hAnsi="宋体"/>
                <w:color w:val="000000"/>
                <w:kern w:val="0"/>
                <w:sz w:val="18"/>
                <w:szCs w:val="18"/>
              </w:rPr>
              <w:t>的从业单位，一年内（以发文时间为准）。</w:t>
            </w:r>
          </w:p>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3.2受到重庆市交通局作出大于100万元罚款行政处罚的，在一年内（以处罚生效时间为准）。</w:t>
            </w:r>
          </w:p>
        </w:tc>
        <w:tc>
          <w:tcPr>
            <w:tcW w:w="1259" w:type="dxa"/>
            <w:vAlign w:val="center"/>
          </w:tcPr>
          <w:p>
            <w:pPr>
              <w:widowControl/>
              <w:spacing w:line="320" w:lineRule="exact"/>
              <w:ind w:left="-2"/>
              <w:jc w:val="center"/>
              <w:rPr>
                <w:rFonts w:ascii="宋体" w:hAnsi="宋体"/>
                <w:color w:val="000000"/>
                <w:kern w:val="0"/>
                <w:sz w:val="18"/>
                <w:szCs w:val="18"/>
              </w:rPr>
            </w:pPr>
            <w:r>
              <w:rPr>
                <w:rFonts w:hint="eastAsia" w:ascii="宋体" w:hAnsi="宋体"/>
                <w:color w:val="000000"/>
                <w:kern w:val="0"/>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35" w:type="dxa"/>
            <w:vMerge w:val="continue"/>
            <w:vAlign w:val="center"/>
          </w:tcPr>
          <w:p>
            <w:pPr>
              <w:pStyle w:val="8"/>
              <w:snapToGrid w:val="0"/>
              <w:spacing w:line="320" w:lineRule="exact"/>
              <w:ind w:firstLine="0" w:firstLineChars="0"/>
              <w:jc w:val="center"/>
              <w:rPr>
                <w:rFonts w:ascii="方正仿宋_GBK" w:eastAsia="方正仿宋_GBK"/>
                <w:color w:val="000000"/>
                <w:sz w:val="24"/>
                <w:u w:val="single"/>
              </w:rPr>
            </w:pPr>
          </w:p>
        </w:tc>
        <w:tc>
          <w:tcPr>
            <w:tcW w:w="6627" w:type="dxa"/>
            <w:vAlign w:val="center"/>
          </w:tcPr>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4.1受到重庆市交通局关于质量、安全、进度、环保、稳定等水运工程建设相关的</w:t>
            </w:r>
            <w:r>
              <w:rPr>
                <w:rFonts w:hint="eastAsia" w:ascii="宋体" w:hAnsi="宋体"/>
                <w:color w:val="000000"/>
                <w:sz w:val="18"/>
                <w:szCs w:val="18"/>
              </w:rPr>
              <w:t>行政处罚</w:t>
            </w:r>
            <w:r>
              <w:rPr>
                <w:rFonts w:hint="eastAsia" w:ascii="宋体" w:hAnsi="宋体"/>
                <w:color w:val="000000"/>
                <w:kern w:val="0"/>
                <w:sz w:val="18"/>
                <w:szCs w:val="18"/>
              </w:rPr>
              <w:t>的从业单位，一年内（以发文时间为准）。</w:t>
            </w:r>
          </w:p>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4.2受到重庆市交通局作出小于或等于100万元罚款行政处罚的，在一年内（以处罚生效时间为准）。</w:t>
            </w:r>
          </w:p>
          <w:p>
            <w:pPr>
              <w:widowControl/>
              <w:spacing w:line="280" w:lineRule="exact"/>
              <w:ind w:left="-2"/>
              <w:rPr>
                <w:rFonts w:ascii="宋体" w:hAnsi="宋体"/>
                <w:color w:val="000000"/>
                <w:kern w:val="0"/>
                <w:sz w:val="18"/>
                <w:szCs w:val="18"/>
              </w:rPr>
            </w:pPr>
            <w:r>
              <w:rPr>
                <w:rFonts w:hint="eastAsia" w:ascii="宋体" w:hAnsi="宋体"/>
                <w:color w:val="000000"/>
                <w:kern w:val="0"/>
                <w:sz w:val="18"/>
                <w:szCs w:val="18"/>
              </w:rPr>
              <w:t>4.3受到重庆市交通局作出警告行政处罚，一年内（以处罚生效时间为准）。</w:t>
            </w:r>
          </w:p>
        </w:tc>
        <w:tc>
          <w:tcPr>
            <w:tcW w:w="1259" w:type="dxa"/>
            <w:vAlign w:val="center"/>
          </w:tcPr>
          <w:p>
            <w:pPr>
              <w:widowControl/>
              <w:spacing w:line="320" w:lineRule="exact"/>
              <w:ind w:left="-2"/>
              <w:jc w:val="center"/>
              <w:rPr>
                <w:rFonts w:ascii="宋体" w:hAnsi="宋体"/>
                <w:color w:val="000000"/>
                <w:kern w:val="0"/>
                <w:sz w:val="18"/>
                <w:szCs w:val="18"/>
              </w:rPr>
            </w:pPr>
            <w:r>
              <w:rPr>
                <w:rFonts w:hint="eastAsia" w:ascii="宋体" w:hAnsi="宋体"/>
                <w:color w:val="000000"/>
                <w:kern w:val="0"/>
                <w:sz w:val="18"/>
                <w:szCs w:val="18"/>
              </w:rPr>
              <w:t>-0.3</w:t>
            </w:r>
          </w:p>
        </w:tc>
      </w:tr>
    </w:tbl>
    <w:p>
      <w:pPr>
        <w:pStyle w:val="9"/>
        <w:jc w:val="left"/>
        <w:rPr>
          <w:rFonts w:ascii="宋体" w:hAnsi="宋体"/>
          <w:color w:val="000000"/>
          <w:sz w:val="18"/>
          <w:szCs w:val="18"/>
        </w:rPr>
      </w:pPr>
      <w:r>
        <w:rPr>
          <w:rFonts w:hint="eastAsia" w:ascii="宋体" w:hAnsi="宋体"/>
          <w:color w:val="000000"/>
          <w:sz w:val="18"/>
          <w:szCs w:val="18"/>
        </w:rPr>
        <w:t>说明：1. 招标人在编制招标文件时，应当将信用记录，包括定期评价和动态信用信息作为我市水运建设项目招标资格审查和评标工作的重要依据，优先选择信用等级高的从业单位。信用记录具体应用的相关事项应当在招标文件中载明。</w:t>
      </w:r>
    </w:p>
    <w:p>
      <w:pPr>
        <w:pStyle w:val="9"/>
        <w:ind w:left="-2" w:firstLine="360"/>
        <w:rPr>
          <w:rFonts w:ascii="宋体" w:hAnsi="宋体"/>
          <w:color w:val="000000"/>
          <w:sz w:val="18"/>
          <w:szCs w:val="18"/>
        </w:rPr>
      </w:pPr>
      <w:r>
        <w:rPr>
          <w:rFonts w:hint="eastAsia" w:ascii="宋体" w:hAnsi="宋体"/>
          <w:color w:val="000000"/>
          <w:sz w:val="18"/>
          <w:szCs w:val="18"/>
        </w:rPr>
        <w:t>2. 信用分值=定期评价分值+动态信用分值，其中定期评价分值按照确定的信用评价等级计分，动态信用分值按次累计计分。</w:t>
      </w:r>
    </w:p>
    <w:p>
      <w:pPr>
        <w:spacing w:line="300" w:lineRule="auto"/>
        <w:ind w:firstLine="360" w:firstLineChars="200"/>
        <w:rPr>
          <w:rFonts w:ascii="宋体" w:hAnsi="宋体"/>
          <w:color w:val="000000"/>
          <w:sz w:val="18"/>
          <w:szCs w:val="18"/>
        </w:rPr>
      </w:pPr>
      <w:r>
        <w:rPr>
          <w:rFonts w:hint="eastAsia" w:ascii="宋体" w:hAnsi="宋体"/>
          <w:color w:val="000000"/>
          <w:sz w:val="18"/>
          <w:szCs w:val="18"/>
        </w:rPr>
        <w:t>3.中标候选人按照评标得分由高到低的顺序推荐。若评标得分相同，则信用分值高的优先。</w:t>
      </w:r>
    </w:p>
    <w:sectPr>
      <w:headerReference r:id="rId6" w:type="default"/>
      <w:footerReference r:id="rId7"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黑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ge">
                <wp:posOffset>9469120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45.6pt;height:144pt;width:144pt;mso-position-horizontal:outside;mso-position-horizontal-relative:margin;mso-position-vertical-relative:page;mso-wrap-style:none;z-index:251663360;mso-width-relative:page;mso-height-relative:page;" filled="f" stroked="f" coordsize="21600,21600" o:gfxdata="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SObydYAAAAKAQAADwAAAAAAAAABACAAAAAiAAAAZHJzL2Rvd25yZXYueG1sUEsBAhQA&#10;FAAAAAgAh07iQCu0uKUtAgAAVwQAAA4AAAAAAAAAAQAgAAAAJQEAAGRycy9lMm9Eb2MueG1sUEsF&#10;BgAAAAAGAAYAWQEAAMQFAAAAAA==&#10;">
              <v:fill on="f" focussize="0,0"/>
              <v:stroke on="f" weight="0.5pt"/>
              <v:imagedata o:title=""/>
              <o:lock v:ext="edit" aspectratio="f"/>
              <v:textbox inset="0mm,0mm,0mm,0mm" style="mso-fit-shape-to-text:t;">
                <w:txbxContent>
                  <w:p>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posOffset>5521960</wp:posOffset>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4.8pt;margin-top:0pt;height:144pt;width:144pt;mso-position-horizontal-relative:margin;mso-wrap-style:none;z-index:251664384;mso-width-relative:page;mso-height-relative:page;" filled="f" stroked="f" coordsize="21600,21600" o:gfxdata="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s0yO1QAAAAkBAAAPAAAAAAAAAAEAIAAAACIAAABkcnMvZG93bnJldi54bWxQSwECFAAU&#10;AAAACACHTuJAey8eJS0CAABXBAAADgAAAAAAAAABACAAAAAk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rFonts w:hint="eastAsia" w:eastAsia="仿宋"/>
        <w:sz w:val="32"/>
        <w:szCs w:val="48"/>
      </w:rPr>
      <w:t xml:space="preserve">  </w:t>
    </w:r>
  </w:p>
  <w:p>
    <w:pPr>
      <w:pStyle w:val="11"/>
      <w:wordWrap w:val="0"/>
      <w:ind w:left="3786" w:leftChars="1803" w:firstLine="7398" w:firstLineChars="2312"/>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87695" cy="635"/>
              <wp:effectExtent l="0" t="10795" r="8255" b="17145"/>
              <wp:wrapNone/>
              <wp:docPr id="26" name="直接连接符 26"/>
              <wp:cNvGraphicFramePr/>
              <a:graphic xmlns:a="http://schemas.openxmlformats.org/drawingml/2006/main">
                <a:graphicData uri="http://schemas.microsoft.com/office/word/2010/wordprocessingShape">
                  <wps:wsp>
                    <wps:cNvCnPr/>
                    <wps:spPr>
                      <a:xfrm>
                        <a:off x="0" y="0"/>
                        <a:ext cx="5687695"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05pt;width:447.85pt;z-index:251662336;mso-width-relative:page;mso-height-relative:page;" filled="f" stroked="t" coordsize="21600,21600" o:gfxdata="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lB8jTAAAA&#10;BgEAAA8AAAAAAAAAAQAgAAAAIgAAAGRycy9kb3ducmV2LnhtbFBLAQIUABQAAAAIAIdO4kDZLaj2&#10;6QEAALY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32"/>
        <w:szCs w:val="32"/>
      </w:rPr>
      <w:t>重庆市交通局发布</w:t>
    </w:r>
    <w:r>
      <w:rPr>
        <w:rFonts w:hint="eastAsia" w:ascii="宋体" w:hAnsi="宋体" w:cs="宋体"/>
        <w:b/>
        <w:bCs/>
        <w:color w:val="005192"/>
        <w:sz w:val="28"/>
        <w:szCs w:val="44"/>
      </w:rPr>
      <w:t xml:space="preserve">     </w:t>
    </w:r>
  </w:p>
  <w:p>
    <w:pPr>
      <w:pStyle w:val="11"/>
      <w:wordWrap w:val="0"/>
      <w:ind w:left="4788" w:leftChars="2280" w:firstLine="5622" w:firstLineChars="2000"/>
      <w:jc w:val="right"/>
      <w:rPr>
        <w:rFonts w:ascii="宋体" w:hAnsi="宋体" w:cs="宋体"/>
        <w:b/>
        <w:bCs/>
        <w:color w:val="005192"/>
        <w:sz w:val="28"/>
        <w:szCs w:val="44"/>
      </w:rPr>
    </w:pPr>
  </w:p>
  <w:p>
    <w:pPr>
      <w:pStyle w:val="10"/>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page" w:hAnchor="margin" w:xAlign="outside" w:y="14913"/>
      <w:ind w:firstLine="280" w:firstLineChars="100"/>
      <w:rPr>
        <w:rStyle w:val="16"/>
        <w:rFonts w:ascii="宋体" w:hAnsi="宋体"/>
        <w:sz w:val="28"/>
        <w:szCs w:val="28"/>
      </w:rPr>
    </w:pPr>
    <w:r>
      <w:rPr>
        <w:rStyle w:val="16"/>
        <w:rFonts w:hint="eastAsia" w:ascii="宋体" w:hAnsi="宋体"/>
        <w:sz w:val="28"/>
        <w:szCs w:val="28"/>
      </w:rPr>
      <w:t xml:space="preserve">— </w:t>
    </w: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16</w:t>
    </w:r>
    <w:r>
      <w:rPr>
        <w:rStyle w:val="16"/>
        <w:rFonts w:ascii="宋体" w:hAnsi="宋体"/>
        <w:sz w:val="28"/>
        <w:szCs w:val="28"/>
      </w:rPr>
      <w:fldChar w:fldCharType="end"/>
    </w:r>
    <w:r>
      <w:rPr>
        <w:rStyle w:val="16"/>
        <w:rFonts w:hint="eastAsia" w:ascii="宋体" w:hAnsi="宋体"/>
        <w:sz w:val="28"/>
        <w:szCs w:val="28"/>
      </w:rPr>
      <w:t xml:space="preserve"> —</w:t>
    </w:r>
  </w:p>
  <w:p>
    <w:pPr>
      <w:pStyle w:val="10"/>
      <w:ind w:right="360" w:firstLine="36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9469120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45.6pt;height:144pt;width:144pt;mso-position-horizontal:outside;mso-position-horizontal-relative:margin;mso-position-vertical-relative:page;mso-wrap-style:none;z-index:251661312;mso-width-relative:page;mso-height-relative:page;" filled="f" stroked="f" coordsize="21600,21600" o:gfxdata="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SObydYAAAAKAQAADwAAAAAAAAABACAAAAAiAAAAZHJzL2Rvd25yZXYueG1sUEsBAhQAFAAA&#10;AAgAh07iQMrd1wwqAgAAVwQAAA4AAAAAAAAAAQAgAAAAJQEAAGRycy9lMm9Eb2MueG1sUEsFBgAA&#10;AAAGAAYAWQEAAMEFA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11"/>
      <w:wordWrap w:val="0"/>
      <w:jc w:val="right"/>
      <w:rPr>
        <w:rFonts w:ascii="宋体" w:hAnsi="宋体" w:cs="宋体"/>
        <w:b/>
        <w:bCs/>
        <w:color w:val="005192"/>
        <w:sz w:val="28"/>
        <w:szCs w:val="44"/>
      </w:rPr>
    </w:pPr>
    <w:r>
      <w:rPr>
        <w:rFonts w:hint="eastAsia" w:ascii="宋体" w:hAnsi="宋体" w:cs="宋体"/>
        <w:b/>
        <w:bCs/>
        <w:color w:val="005192"/>
        <w:sz w:val="28"/>
        <w:szCs w:val="44"/>
      </w:rPr>
      <w:t>重庆市交通局发布</w:t>
    </w: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3" name="直接连接符 23"/>
              <wp:cNvGraphicFramePr/>
              <a:graphic xmlns:a="http://schemas.openxmlformats.org/drawingml/2006/main">
                <a:graphicData uri="http://schemas.microsoft.com/office/word/2010/wordprocessingShape">
                  <wps:wsp>
                    <wps:cNvCnPr/>
                    <wps:spPr>
                      <a:xfrm>
                        <a:off x="4133850" y="864870"/>
                        <a:ext cx="5615940" cy="1143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62336;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IA7KHUAAAABwEAAA8AAAAAAAAAAQAgAAAAIgAAAGRycy9kb3ducmV2Lnht&#10;bFBLAQIUABQAAAAIAIdO4kBOEwI//QEAANEDAAAOAAAAAAAAAAEAIAAAACMBAABkcnMvZTJvRG9j&#10;LnhtbFBLBQYAAAAABgAGAFkBAACS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5240" b="15240"/>
          <wp:docPr id="24" name="图片 2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w:t>
    </w:r>
    <w:r>
      <w:rPr>
        <w:rFonts w:hint="eastAsia" w:ascii="宋体" w:hAnsi="宋体" w:cs="宋体"/>
        <w:b/>
        <w:bCs/>
        <w:color w:val="005192"/>
        <w:sz w:val="32"/>
        <w:szCs w:val="32"/>
        <w:lang w:eastAsia="zh-Hans"/>
      </w:rPr>
      <w:t>规范性文件</w:t>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8EC00"/>
    <w:multiLevelType w:val="singleLevel"/>
    <w:tmpl w:val="F218EC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3113EE"/>
    <w:rsid w:val="00390512"/>
    <w:rsid w:val="004C31C4"/>
    <w:rsid w:val="006C414C"/>
    <w:rsid w:val="007F0E93"/>
    <w:rsid w:val="00A36F3C"/>
    <w:rsid w:val="00B80085"/>
    <w:rsid w:val="019E71BD"/>
    <w:rsid w:val="01E93D58"/>
    <w:rsid w:val="04B679C3"/>
    <w:rsid w:val="05F07036"/>
    <w:rsid w:val="06E00104"/>
    <w:rsid w:val="080F63D8"/>
    <w:rsid w:val="09341458"/>
    <w:rsid w:val="098254C2"/>
    <w:rsid w:val="0A766EDE"/>
    <w:rsid w:val="0AD64BE8"/>
    <w:rsid w:val="0B0912D7"/>
    <w:rsid w:val="0E025194"/>
    <w:rsid w:val="0EEF0855"/>
    <w:rsid w:val="0FF01757"/>
    <w:rsid w:val="11DB7C71"/>
    <w:rsid w:val="13742125"/>
    <w:rsid w:val="152D2DCA"/>
    <w:rsid w:val="187168EA"/>
    <w:rsid w:val="196673CA"/>
    <w:rsid w:val="1CF734C9"/>
    <w:rsid w:val="1DEC284C"/>
    <w:rsid w:val="1E6523AC"/>
    <w:rsid w:val="218705D3"/>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EB6431"/>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line="360" w:lineRule="auto"/>
      <w:jc w:val="center"/>
      <w:outlineLvl w:val="0"/>
    </w:pPr>
    <w:rPr>
      <w:rFonts w:ascii="Calibri" w:hAnsi="Calibri"/>
      <w:b/>
      <w:bCs/>
      <w:kern w:val="44"/>
      <w:szCs w:val="44"/>
    </w:rPr>
  </w:style>
  <w:style w:type="paragraph" w:styleId="5">
    <w:name w:val="heading 2"/>
    <w:basedOn w:val="1"/>
    <w:next w:val="1"/>
    <w:qFormat/>
    <w:uiPriority w:val="0"/>
    <w:pPr>
      <w:spacing w:line="360" w:lineRule="auto"/>
      <w:outlineLvl w:val="1"/>
    </w:pPr>
    <w:rPr>
      <w:rFonts w:ascii="Cambria" w:hAnsi="Cambria"/>
      <w:bCs/>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0" w:lineRule="atLeast"/>
    </w:pPr>
    <w:rPr>
      <w:rFonts w:ascii="方正仿宋_GBK" w:eastAsia="方正仿宋_GBK"/>
      <w:snapToGrid w:val="0"/>
      <w:spacing w:val="-20"/>
      <w:sz w:val="28"/>
    </w:rPr>
  </w:style>
  <w:style w:type="paragraph" w:styleId="3">
    <w:name w:val="Balloon Text"/>
    <w:basedOn w:val="1"/>
    <w:semiHidden/>
    <w:qFormat/>
    <w:uiPriority w:val="0"/>
    <w:rPr>
      <w:sz w:val="18"/>
      <w:szCs w:val="18"/>
    </w:rPr>
  </w:style>
  <w:style w:type="paragraph" w:styleId="7">
    <w:name w:val="annotation text"/>
    <w:basedOn w:val="1"/>
    <w:qFormat/>
    <w:uiPriority w:val="0"/>
    <w:pPr>
      <w:jc w:val="left"/>
    </w:pPr>
  </w:style>
  <w:style w:type="paragraph" w:styleId="8">
    <w:name w:val="Body Text Indent"/>
    <w:basedOn w:val="1"/>
    <w:next w:val="9"/>
    <w:qFormat/>
    <w:uiPriority w:val="0"/>
    <w:pPr>
      <w:spacing w:line="580" w:lineRule="exact"/>
      <w:ind w:firstLine="640" w:firstLineChars="200"/>
    </w:pPr>
    <w:rPr>
      <w:rFonts w:ascii="仿宋_GB2312" w:hAnsi="Calibri" w:eastAsia="仿宋_GB2312"/>
      <w:sz w:val="32"/>
      <w:szCs w:val="24"/>
    </w:rPr>
  </w:style>
  <w:style w:type="paragraph" w:customStyle="1" w:styleId="9">
    <w:name w:val="p0"/>
    <w:basedOn w:val="1"/>
    <w:qFormat/>
    <w:uiPriority w:val="0"/>
    <w:pPr>
      <w:widowControl/>
    </w:pPr>
    <w:rPr>
      <w:rFonts w:ascii="Calibri" w:hAnsi="Calibri" w:cs="宋体"/>
      <w:kern w:val="0"/>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p16"/>
    <w:next w:val="3"/>
    <w:qFormat/>
    <w:uiPriority w:val="0"/>
    <w:pPr>
      <w:spacing w:line="360" w:lineRule="auto"/>
      <w:ind w:firstLine="420"/>
      <w:jc w:val="both"/>
    </w:pPr>
    <w:rPr>
      <w:rFonts w:ascii="Calibri" w:hAnsi="Calibri" w:eastAsia="微软雅黑" w:cs="Times New Roman"/>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oleObject" Target="embeddings/oleObject10.bin"/><Relationship Id="rId37" Type="http://schemas.openxmlformats.org/officeDocument/2006/relationships/oleObject" Target="embeddings/oleObject9.bin"/><Relationship Id="rId36" Type="http://schemas.openxmlformats.org/officeDocument/2006/relationships/oleObject" Target="embeddings/oleObject8.bin"/><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21.wmf"/><Relationship Id="rId32" Type="http://schemas.openxmlformats.org/officeDocument/2006/relationships/oleObject" Target="embeddings/oleObject5.bin"/><Relationship Id="rId31" Type="http://schemas.openxmlformats.org/officeDocument/2006/relationships/image" Target="media/image20.wmf"/><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19.wmf"/><Relationship Id="rId28" Type="http://schemas.openxmlformats.org/officeDocument/2006/relationships/oleObject" Target="embeddings/oleObject3.bin"/><Relationship Id="rId27" Type="http://schemas.openxmlformats.org/officeDocument/2006/relationships/image" Target="media/image18.wmf"/><Relationship Id="rId26" Type="http://schemas.openxmlformats.org/officeDocument/2006/relationships/oleObject" Target="embeddings/oleObject2.bin"/><Relationship Id="rId25" Type="http://schemas.openxmlformats.org/officeDocument/2006/relationships/image" Target="media/image17.wmf"/><Relationship Id="rId24" Type="http://schemas.openxmlformats.org/officeDocument/2006/relationships/oleObject" Target="embeddings/oleObject1.bin"/><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4549</Words>
  <Characters>25930</Characters>
  <Lines>216</Lines>
  <Paragraphs>60</Paragraphs>
  <TotalTime>5</TotalTime>
  <ScaleCrop>false</ScaleCrop>
  <LinksUpToDate>false</LinksUpToDate>
  <CharactersWithSpaces>30419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2025-04-17T09:24:28Z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03B42DD42EE746F281DAC588B1A11A2B</vt:lpwstr>
  </property>
</Properties>
</file>