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重庆市交通局关于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废止（宣布失效）和继续施行部分规范性文件的通知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渝交法〔2019〕5号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市公路局、市运管局、市港航局、市交通执法总队、局质监局，局机关相关处室，各有关单位：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推进依法行政，加快法治政府部门建设，根据《重庆市行政规范性文件管理办法》（重庆市人民政府令第290号）规定，我委对2018年以前制发的规范性文件进行了全面清理。经研究，对《重庆市交通委员会关于印发〈重庆市出租车驾驶员从业资格管理暂行规定〉的通知》（渝交委教〔2009〕58号）等</w:t>
      </w:r>
      <w:r>
        <w:rPr>
          <w:rFonts w:hint="eastAsia" w:ascii="方正仿宋_GBK" w:hAnsi="方正仿宋_GBK" w:eastAsia="方正仿宋_GBK" w:cs="方正仿宋_GBK"/>
          <w:color w:val="000000"/>
          <w:sz w:val="32"/>
          <w:szCs w:val="32"/>
        </w:rPr>
        <w:t>6件规范性文件予以废止（宣布失效）（附件1）</w:t>
      </w:r>
      <w:r>
        <w:rPr>
          <w:rFonts w:hint="eastAsia" w:ascii="方正仿宋_GBK" w:hAnsi="方正仿宋_GBK" w:eastAsia="方正仿宋_GBK" w:cs="方正仿宋_GBK"/>
          <w:sz w:val="32"/>
          <w:szCs w:val="32"/>
        </w:rPr>
        <w:t>，自本通知印发之日起不再施行；有效期届满的《重庆市交通委员会关于印发〈重庆市水上交通管理监控系统使用管理规定〉的通知》（渝交委安〔2013〕16号）等11件</w:t>
      </w:r>
      <w:r>
        <w:rPr>
          <w:rFonts w:hint="eastAsia" w:ascii="方正仿宋_GBK" w:hAnsi="方正仿宋_GBK" w:eastAsia="方正仿宋_GBK" w:cs="方正仿宋_GBK"/>
          <w:color w:val="000000"/>
          <w:sz w:val="32"/>
          <w:szCs w:val="32"/>
        </w:rPr>
        <w:t>规范性文件继续施行（附件2），其有效期自本通知印发之日起重新起算</w:t>
      </w:r>
      <w:r>
        <w:rPr>
          <w:rFonts w:hint="eastAsia" w:ascii="方正仿宋_GBK" w:hAnsi="方正仿宋_GBK" w:eastAsia="方正仿宋_GBK" w:cs="方正仿宋_GBK"/>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附件：1．重庆市交通局废止（宣布失效）规范性文件目录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2．重庆市交通局有效期满继续施行规范性文件目录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atLeast"/>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重庆市交通局</w:t>
      </w:r>
      <w:r>
        <w:rPr>
          <w:rFonts w:hint="eastAsia" w:ascii="方正仿宋_GBK" w:hAnsi="方正仿宋_GBK" w:eastAsia="方正仿宋_GBK" w:cs="方正仿宋_GBK"/>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atLeast"/>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2019年1月25日</w:t>
      </w:r>
      <w:r>
        <w:rPr>
          <w:rFonts w:hint="eastAsia" w:ascii="方正仿宋_GBK" w:hAnsi="方正仿宋_GBK" w:eastAsia="方正仿宋_GBK" w:cs="方正仿宋_GBK"/>
          <w:sz w:val="32"/>
          <w:szCs w:val="32"/>
          <w:lang w:val="en-US" w:eastAsia="zh-CN"/>
        </w:rPr>
        <w:t xml:space="preserve">  </w:t>
      </w:r>
    </w:p>
    <w:p>
      <w:pPr>
        <w:keepNext w:val="0"/>
        <w:keepLines w:val="0"/>
        <w:widowControl/>
        <w:suppressLineNumbers w:val="0"/>
        <w:jc w:val="left"/>
      </w:pPr>
      <w:r>
        <w:rPr>
          <w:rFonts w:ascii="宋体" w:hAnsi="宋体" w:eastAsia="宋体" w:cs="宋体"/>
          <w:kern w:val="0"/>
          <w:sz w:val="24"/>
          <w:szCs w:val="24"/>
          <w:lang w:val="en-US" w:eastAsia="zh-CN" w:bidi="ar"/>
        </w:rPr>
        <w:t>​</w:t>
      </w:r>
    </w:p>
    <w:p>
      <w:pPr>
        <w:pStyle w:val="6"/>
        <w:keepNext w:val="0"/>
        <w:keepLines w:val="0"/>
        <w:widowControl/>
        <w:suppressLineNumbers w:val="0"/>
        <w:spacing w:before="2098" w:beforeAutospacing="0" w:after="1986" w:afterAutospacing="0" w:line="570" w:lineRule="atLeast"/>
        <w:ind w:left="1531" w:right="1531"/>
        <w:jc w:val="right"/>
        <w:rPr>
          <w:rFonts w:hint="eastAsia" w:ascii="仿宋" w:hAnsi="仿宋" w:eastAsia="仿宋" w:cs="仿宋"/>
          <w:sz w:val="31"/>
          <w:szCs w:val="31"/>
        </w:rPr>
      </w:pPr>
    </w:p>
    <w:p>
      <w:pPr>
        <w:pStyle w:val="6"/>
        <w:keepNext w:val="0"/>
        <w:keepLines w:val="0"/>
        <w:widowControl/>
        <w:suppressLineNumbers w:val="0"/>
        <w:spacing w:before="2098" w:beforeAutospacing="0" w:after="1986" w:afterAutospacing="0" w:line="570" w:lineRule="atLeast"/>
        <w:ind w:left="1531" w:right="1531"/>
        <w:jc w:val="left"/>
        <w:rPr>
          <w:rFonts w:hint="eastAsia" w:ascii="仿宋" w:hAnsi="仿宋" w:eastAsia="仿宋" w:cs="仿宋"/>
          <w:sz w:val="31"/>
          <w:szCs w:val="31"/>
        </w:rPr>
      </w:pPr>
      <w:r>
        <w:rPr>
          <w:rFonts w:hint="eastAsia" w:ascii="仿宋" w:hAnsi="仿宋" w:eastAsia="仿宋" w:cs="仿宋"/>
          <w:sz w:val="31"/>
          <w:szCs w:val="31"/>
        </w:rPr>
        <w:t> </w:t>
      </w:r>
    </w:p>
    <w:p>
      <w:pPr>
        <w:pStyle w:val="6"/>
        <w:keepNext w:val="0"/>
        <w:keepLines w:val="0"/>
        <w:widowControl/>
        <w:suppressLineNumbers w:val="0"/>
        <w:spacing w:before="2098" w:beforeAutospacing="0" w:after="1986" w:afterAutospacing="0" w:line="570" w:lineRule="atLeast"/>
        <w:ind w:left="1531" w:right="1531"/>
        <w:jc w:val="left"/>
        <w:rPr>
          <w:rFonts w:hint="eastAsia" w:ascii="仿宋" w:hAnsi="仿宋" w:eastAsia="仿宋" w:cs="仿宋"/>
          <w:sz w:val="31"/>
          <w:szCs w:val="31"/>
        </w:rPr>
      </w:pPr>
      <w:r>
        <w:rPr>
          <w:rFonts w:hint="eastAsia" w:ascii="仿宋" w:hAnsi="仿宋" w:eastAsia="仿宋" w:cs="仿宋"/>
          <w:sz w:val="31"/>
          <w:szCs w:val="31"/>
        </w:rPr>
        <w:t> </w:t>
      </w: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重庆市交通局废止（宣布失效）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规范性文件目录</w:t>
      </w:r>
    </w:p>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0"/>
        <w:gridCol w:w="4823"/>
        <w:gridCol w:w="32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3" w:hRule="atLeast"/>
          <w:jc w:val="center"/>
        </w:trPr>
        <w:tc>
          <w:tcPr>
            <w:tcW w:w="92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文件名称</w:t>
            </w:r>
          </w:p>
        </w:tc>
        <w:tc>
          <w:tcPr>
            <w:tcW w:w="346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文件号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92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重庆市交通委员会关于印发《重庆市出租车驾驶员从业资格管理暂行规定》的通知</w:t>
            </w:r>
          </w:p>
        </w:tc>
        <w:tc>
          <w:tcPr>
            <w:tcW w:w="346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渝交委教〔2009〕58号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92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重庆市交通委员会关于印发《重庆市轨道交通乘坐规则（修订）》的通知</w:t>
            </w:r>
          </w:p>
        </w:tc>
        <w:tc>
          <w:tcPr>
            <w:tcW w:w="346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渝交委法〔2012〕6号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92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重庆市交通委员会关于印发《重庆市交通行政处罚裁量基准(2015年修订版）》的通知</w:t>
            </w:r>
          </w:p>
        </w:tc>
        <w:tc>
          <w:tcPr>
            <w:tcW w:w="346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渝交委法〔2015〕38号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92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重庆市交通委员会关于印发《重庆市水运工程设计和施工企业信用评价实施细则（试行）》的通知</w:t>
            </w:r>
          </w:p>
        </w:tc>
        <w:tc>
          <w:tcPr>
            <w:tcW w:w="346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渝交委港〔2015〕40号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92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重庆市交通委员会关于印发《重庆市交通行政处罚裁量基准(2017年修订版）》的通知</w:t>
            </w:r>
          </w:p>
        </w:tc>
        <w:tc>
          <w:tcPr>
            <w:tcW w:w="346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渝交委法〔2017〕3号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920"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重庆市交通委员会关于发布《重庆市城市公共交通车船乘坐规则》的通知</w:t>
            </w:r>
          </w:p>
        </w:tc>
        <w:tc>
          <w:tcPr>
            <w:tcW w:w="346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渝交委法〔2003〕10号</w:t>
            </w:r>
          </w:p>
        </w:tc>
      </w:tr>
    </w:tbl>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重庆市交通局有效期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满继续施行规范性文件目录</w:t>
      </w:r>
    </w:p>
    <w:p>
      <w:pPr>
        <w:pStyle w:val="6"/>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1"/>
        <w:gridCol w:w="4740"/>
        <w:gridCol w:w="32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4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序号</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文件名称</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文件号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1</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重庆市交通委员会关于印发《重庆市水上交通管理监控系统使用管理规定》的通知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渝交委安〔2013〕16号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2</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重庆市交通委员会关于印发重庆市高速公路旅游区标志设置规定的通知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渝交管养〔2013〕63号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3</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重庆市交通委员会关于印发重庆市高速公路限速标志设置指导意见的通知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渝交管养〔2013〕97号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4</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重庆市道路运输管理局关于印发《重庆市轨道交通运营服务规范》和《重庆市轨道交通运营服务投诉处理办法》的通知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渝道运发〔2013〕140号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5</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重庆市交通委员会关于印发重庆市高速公路养护管理办法的通知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渝交管养〔2014〕7号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6</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重庆市交通委员会关于印发重庆市高速公路减速设施设置指导意见的通知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渝交管养〔2014〕10号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7</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重庆市交通委员会关于印发《重庆市规范交通行政处罚权实施细则（修订）》及《交通行政处罚裁量基准（修订）》的通知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渝交委法〔2014〕12号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12"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8</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重庆市交通委员会关于印发《重庆市公路水运工程安全生产监督管理工作细则》和《重庆市公路水运工程质量监督管理办法》的通知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渝交委法〔2014〕24号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9</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重庆市交通委员会重庆市工商行政管理局关于印发《重庆市汽车租赁合同》示范文本的通知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渝交委〔2014〕50号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10</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重庆市交通委员会关于贯彻落实《重庆市汽车租赁管理办法》的通知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渝交委法〔2014〕63号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39" w:hRule="atLeast"/>
          <w:jc w:val="center"/>
        </w:trPr>
        <w:tc>
          <w:tcPr>
            <w:tcW w:w="94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11</w:t>
            </w:r>
          </w:p>
        </w:tc>
        <w:tc>
          <w:tcPr>
            <w:tcW w:w="5355"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重庆市交通委员会关于加强新千公里高速公路项目建设管理的通知</w:t>
            </w:r>
          </w:p>
        </w:tc>
        <w:tc>
          <w:tcPr>
            <w:tcW w:w="3596" w:type="dxa"/>
            <w:tcBorders>
              <w:top w:val="single" w:color="000000" w:sz="2" w:space="0"/>
              <w:left w:val="single" w:color="000000" w:sz="2" w:space="0"/>
              <w:bottom w:val="single" w:color="000000" w:sz="2" w:space="0"/>
              <w:right w:val="single" w:color="000000" w:sz="2" w:space="0"/>
            </w:tcBorders>
            <w:shd w:val="clear"/>
            <w:vAlign w:val="center"/>
          </w:tcPr>
          <w:p>
            <w:pPr>
              <w:pStyle w:val="6"/>
              <w:keepNext w:val="0"/>
              <w:keepLines w:val="0"/>
              <w:widowControl/>
              <w:suppressLineNumbers w:val="0"/>
              <w:spacing w:before="0" w:beforeAutospacing="0" w:after="0" w:afterAutospacing="0" w:line="570" w:lineRule="atLeast"/>
              <w:jc w:val="center"/>
              <w:rPr>
                <w:rFonts w:hint="eastAsia" w:ascii="仿宋" w:hAnsi="仿宋" w:eastAsia="仿宋" w:cs="仿宋"/>
                <w:sz w:val="32"/>
                <w:szCs w:val="32"/>
              </w:rPr>
            </w:pPr>
            <w:r>
              <w:rPr>
                <w:rFonts w:hint="eastAsia" w:ascii="仿宋" w:hAnsi="仿宋" w:eastAsia="仿宋" w:cs="仿宋"/>
                <w:sz w:val="32"/>
                <w:szCs w:val="32"/>
              </w:rPr>
              <w:t>渝交委路〔2013〕44号</w:t>
            </w:r>
          </w:p>
        </w:tc>
      </w:tr>
    </w:tbl>
    <w:p>
      <w:pPr>
        <w:pStyle w:val="6"/>
        <w:keepNext w:val="0"/>
        <w:keepLines w:val="0"/>
        <w:widowControl/>
        <w:suppressLineNumbers w:val="0"/>
        <w:spacing w:before="2098" w:beforeAutospacing="0" w:after="1986" w:afterAutospacing="0" w:line="570" w:lineRule="atLeast"/>
        <w:ind w:left="1531" w:right="1531"/>
        <w:jc w:val="left"/>
        <w:rPr>
          <w:rFonts w:hint="eastAsia" w:ascii="仿宋" w:hAnsi="仿宋" w:eastAsia="仿宋" w:cs="仿宋"/>
          <w:sz w:val="31"/>
          <w:szCs w:val="31"/>
          <w:lang w:eastAsia="zh-CN"/>
        </w:rPr>
      </w:pPr>
      <w:r>
        <w:rPr>
          <w:rFonts w:hint="eastAsia" w:ascii="仿宋" w:hAnsi="仿宋" w:eastAsia="仿宋" w:cs="仿宋"/>
          <w:sz w:val="31"/>
          <w:szCs w:val="31"/>
        </w:rPr>
        <w:t>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63391B"/>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2022-06-16T06:54:04Z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74D6DC2998484718922220A788D08643</vt:lpwstr>
  </property>
</Properties>
</file>