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重庆市交通委员会关于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印发重庆市区</w:t>
      </w:r>
      <w:bookmarkStart w:id="0" w:name="_GoBack"/>
      <w:bookmarkEnd w:id="0"/>
      <w:r>
        <w:rPr>
          <w:rFonts w:hint="eastAsia" w:ascii="方正小标宋_GBK" w:hAnsi="方正小标宋_GBK" w:eastAsia="方正小标宋_GBK" w:cs="方正小标宋_GBK"/>
          <w:sz w:val="44"/>
          <w:szCs w:val="44"/>
        </w:rPr>
        <w:t>县公路水运工程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质量安全督查实施细则的通知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渝交委路〔2018〕91号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各区县（自治县）交通委（局），市公路局、委质监局，有关单位：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《重庆市区县公路水运工程质量安全督查实施细则》已经2018年第7次委主任办公会通过，现印发给你们，请遵照执行。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重庆市交通委员会</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jc w:val="right"/>
        <w:textAlignment w:val="auto"/>
        <w:rPr>
          <w:rFonts w:hint="default" w:ascii="仿宋" w:hAnsi="仿宋" w:eastAsia="方正仿宋_GBK" w:cs="仿宋"/>
          <w:sz w:val="31"/>
          <w:szCs w:val="31"/>
          <w:lang w:val="en-US" w:eastAsia="zh-CN"/>
        </w:rPr>
      </w:pPr>
      <w:r>
        <w:rPr>
          <w:rFonts w:hint="eastAsia" w:ascii="方正仿宋_GBK" w:hAnsi="方正仿宋_GBK" w:eastAsia="方正仿宋_GBK" w:cs="方正仿宋_GBK"/>
          <w:sz w:val="32"/>
          <w:szCs w:val="32"/>
        </w:rPr>
        <w:t>2018年9月22日 </w:t>
      </w:r>
      <w:r>
        <w:rPr>
          <w:rFonts w:hint="eastAsia" w:ascii="仿宋" w:hAnsi="仿宋" w:eastAsia="方正仿宋_GBK" w:cs="仿宋"/>
          <w:sz w:val="31"/>
          <w:szCs w:val="31"/>
        </w:rPr>
        <w:t> </w:t>
      </w:r>
      <w:r>
        <w:rPr>
          <w:rFonts w:hint="eastAsia" w:ascii="仿宋" w:hAnsi="仿宋" w:eastAsia="方正仿宋_GBK" w:cs="仿宋"/>
          <w:sz w:val="31"/>
          <w:szCs w:val="31"/>
          <w:lang w:val="en-US" w:eastAsia="zh-CN"/>
        </w:rPr>
        <w:t xml:space="preserve">   </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color w:val="000000"/>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重庆市区县公路水运工程质量安全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color w:val="000000"/>
          <w:sz w:val="44"/>
          <w:szCs w:val="44"/>
        </w:rPr>
        <w:t>督查实施细则</w:t>
      </w:r>
    </w:p>
    <w:p>
      <w:pPr>
        <w:pStyle w:val="6"/>
        <w:keepNext w:val="0"/>
        <w:keepLines w:val="0"/>
        <w:widowControl/>
        <w:suppressLineNumbers w:val="0"/>
        <w:spacing w:before="0" w:beforeAutospacing="0" w:after="0" w:afterAutospacing="0" w:line="570" w:lineRule="atLeast"/>
        <w:jc w:val="left"/>
        <w:rPr>
          <w:rFonts w:hint="eastAsia" w:ascii="仿宋" w:hAnsi="仿宋"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第一章 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第一条</w:t>
      </w:r>
      <w:r>
        <w:rPr>
          <w:rFonts w:hint="eastAsia" w:ascii="仿宋" w:hAnsi="仿宋" w:eastAsia="方正仿宋_GBK" w:cs="仿宋"/>
          <w:sz w:val="32"/>
          <w:szCs w:val="32"/>
        </w:rPr>
        <w:t xml:space="preserve"> 为加强我市区县（自治县）公路水运工程质量安全监督指导，细化指导工作，根据国务院《建设工程质量管理条例》、《建设工程安全生产管理条例》和交通运输部《公路水运建设工程质量安全督查办法》等有关规定，结合工作实际制定本细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第二条</w:t>
      </w:r>
      <w:r>
        <w:rPr>
          <w:rFonts w:hint="eastAsia" w:ascii="仿宋" w:hAnsi="仿宋" w:eastAsia="方正仿宋_GBK" w:cs="仿宋"/>
          <w:sz w:val="32"/>
          <w:szCs w:val="32"/>
        </w:rPr>
        <w:t xml:space="preserve"> 本细则适用于重庆市交通委员会（以下简称“市交委”）组织的对本市各区县交通行政主管部门及其直接监管的公路水运项目所开展的质量安全监督检查活动。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第三条</w:t>
      </w:r>
      <w:r>
        <w:rPr>
          <w:rFonts w:hint="eastAsia" w:ascii="仿宋" w:hAnsi="仿宋" w:eastAsia="方正仿宋_GBK" w:cs="仿宋"/>
          <w:sz w:val="32"/>
          <w:szCs w:val="32"/>
        </w:rPr>
        <w:t xml:space="preserve"> 通过开展质量安全督查工作，指导和督促区县交通行政主管部门掌握公路水运建设工程质量和安全生产管理状况，加强工程质量安全监督管理，促进工程质量安全管理水平不断提升。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第四条</w:t>
      </w:r>
      <w:r>
        <w:rPr>
          <w:rFonts w:hint="eastAsia" w:ascii="仿宋" w:hAnsi="仿宋" w:eastAsia="方正仿宋_GBK" w:cs="仿宋"/>
          <w:sz w:val="32"/>
          <w:szCs w:val="32"/>
        </w:rPr>
        <w:t xml:space="preserve"> 督查依据：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（一）国家、行业和重庆市有关公路水运建设工程质量安全政策、法律法规、部门规章、政府规章和规范性文件；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（二）国家、行业和重庆市公路水运建设工程有关技术标准、规范及强制性条文；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第五条</w:t>
      </w:r>
      <w:r>
        <w:rPr>
          <w:rFonts w:hint="eastAsia" w:ascii="仿宋" w:hAnsi="仿宋" w:eastAsia="方正仿宋_GBK" w:cs="仿宋"/>
          <w:sz w:val="32"/>
          <w:szCs w:val="32"/>
        </w:rPr>
        <w:t xml:space="preserve"> 质量安全督查工作由重庆市交通委员会工程质量安全监督局（以下简称“委质监局”）具体负责组织实施。督查工作实行督查组负责制，督查组由委质监局组织行业有关专家组成；督查组成员对督查记录及意见署名并负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第六条</w:t>
      </w:r>
      <w:r>
        <w:rPr>
          <w:rFonts w:hint="eastAsia" w:ascii="仿宋" w:hAnsi="仿宋" w:eastAsia="方正仿宋_GBK" w:cs="仿宋"/>
          <w:sz w:val="32"/>
          <w:szCs w:val="32"/>
        </w:rPr>
        <w:t xml:space="preserve"> 督查工作应坚持依法、科学、客观、公正、廉洁的原则。督查组成员应自觉遵守各项廉政规定。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第二章 督查分类和内容</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第七条</w:t>
      </w:r>
      <w:r>
        <w:rPr>
          <w:rFonts w:hint="eastAsia" w:ascii="仿宋" w:hAnsi="仿宋" w:eastAsia="方正仿宋_GBK" w:cs="仿宋"/>
          <w:sz w:val="32"/>
          <w:szCs w:val="32"/>
        </w:rPr>
        <w:t xml:space="preserve"> 质量安全督查分为综合督查和专项督查两类，可采取查看现场、查阅资料、询问核查、对单检查、随机抽检等方式开展。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第八条</w:t>
      </w:r>
      <w:r>
        <w:rPr>
          <w:rFonts w:hint="eastAsia" w:ascii="仿宋" w:hAnsi="仿宋" w:eastAsia="方正仿宋_GBK" w:cs="仿宋"/>
          <w:sz w:val="32"/>
          <w:szCs w:val="32"/>
        </w:rPr>
        <w:t xml:space="preserve"> 综合督查是指对区县交通行政主管部门落实国家、重庆市公路水运建设工程质量安全政策、法律法规，开展工程质量安全监管和相关专项工作等情况的抽查，以及对工程项目建设和监理、设计、施工等主要参建单位的工程质量安全管理行为、施工工艺、现场安全生产状况、工程实体质量情况等的抽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督查内容、抽检指标等见附件1－6。</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第九条</w:t>
      </w:r>
      <w:r>
        <w:rPr>
          <w:rFonts w:hint="eastAsia" w:ascii="仿宋" w:hAnsi="仿宋" w:eastAsia="方正仿宋_GBK" w:cs="仿宋"/>
          <w:sz w:val="32"/>
          <w:szCs w:val="32"/>
        </w:rPr>
        <w:t xml:space="preserve"> 专项督查是指根据国家统一部署或行业监管重点，对公路水运工程建设存在的突出质量安全问题所采取的针对性抽查。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第三章 督查程序和要求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第十条</w:t>
      </w:r>
      <w:r>
        <w:rPr>
          <w:rFonts w:hint="eastAsia" w:ascii="仿宋" w:hAnsi="仿宋" w:eastAsia="方正仿宋_GBK" w:cs="仿宋"/>
          <w:sz w:val="32"/>
          <w:szCs w:val="32"/>
        </w:rPr>
        <w:t xml:space="preserve"> 委质监局根据各区县公路水运工程建设规模和质量安全总体情况，制订年度督查计划。质量安全督查采取抽查方式，每年督查区县一般在5-10个左右。</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第十一条</w:t>
      </w:r>
      <w:r>
        <w:rPr>
          <w:rFonts w:hint="eastAsia" w:ascii="仿宋" w:hAnsi="仿宋" w:eastAsia="方正仿宋_GBK" w:cs="仿宋"/>
          <w:sz w:val="32"/>
          <w:szCs w:val="32"/>
        </w:rPr>
        <w:t xml:space="preserve"> 对于每个督查区县，可根据其工程类别、建设规模、工程进度等情况，抽查1至3个项目。</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公路工程每个综合督查项目宜抽查不少于3个合同段或在建工程的25%；每个专项督查项目宜抽查不少于2个合同段或具体结构物。</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水运工程综合督查项目抽查应以水工主体结构物为主，专项督查项目宜抽查不少于1个主要合同段或具体结构物。</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第十二条</w:t>
      </w:r>
      <w:r>
        <w:rPr>
          <w:rFonts w:hint="eastAsia" w:ascii="仿宋" w:hAnsi="仿宋" w:eastAsia="方正仿宋_GBK" w:cs="仿宋"/>
          <w:sz w:val="32"/>
          <w:szCs w:val="32"/>
        </w:rPr>
        <w:t xml:space="preserve"> 督查工作按下列程序进行： </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（一）根据督查区县的年度公路或水运工程在建项目情况，确定督查区县和项目；</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（二）针对督查项目的工程专业内容，从专家库中抽取督查专家，组成督查组；</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（三）印发督查通知，督查组赴督查区县开展督查工作；</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（四）召开预备会，督查组专家分工，随机确定抽查合同段或结构物；</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（五）督查组了解督查区县工程建设质量安全监管状况以及督查项目工程质量安全管理情况，抽查区县交通行政主管部门有关资料；</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（六）督查组抽查工程项目有关资料、施工工艺、工地现场安全、工程实体质量；</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（七）督查情况由被检查单位负责人签字确认；</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（八）督查组汇总评议，形成督查意见；</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（九）督查组反馈督查意见；</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（十）印发督查意见书。</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第十三条</w:t>
      </w:r>
      <w:r>
        <w:rPr>
          <w:rFonts w:hint="eastAsia" w:ascii="仿宋" w:hAnsi="仿宋" w:eastAsia="方正仿宋_GBK" w:cs="仿宋"/>
          <w:sz w:val="32"/>
          <w:szCs w:val="32"/>
        </w:rPr>
        <w:t xml:space="preserve"> 督查一般应从督查区县的年度公路水运工程在建项目汇总表中随机抽取工程项目和标段，针对督查项目的工程专业内容，从专家库中随机抽取督查专家，组成督查组。</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第十四条</w:t>
      </w:r>
      <w:r>
        <w:rPr>
          <w:rFonts w:hint="eastAsia" w:ascii="仿宋" w:hAnsi="仿宋" w:eastAsia="方正仿宋_GBK" w:cs="仿宋"/>
          <w:sz w:val="32"/>
          <w:szCs w:val="32"/>
        </w:rPr>
        <w:t xml:space="preserve"> 督查项目确定后，项目建设单位应向督查组提交下列资料：</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（一）项目基本情况，包括项目主体工程施工与监理合同段划分（里程桩号）及主要结构物、施工项目部、监理驻地、拌合场、试验室位置等；</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（二）交通行政主管部门、项目监督机构组织的监督抽查中发现的工程建设质量安全主要问题清单及整改落实情况。</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第十五条</w:t>
      </w:r>
      <w:r>
        <w:rPr>
          <w:rFonts w:hint="eastAsia" w:ascii="仿宋" w:hAnsi="仿宋" w:eastAsia="方正仿宋_GBK" w:cs="仿宋"/>
          <w:sz w:val="32"/>
          <w:szCs w:val="32"/>
        </w:rPr>
        <w:t xml:space="preserve"> 委质监局可根据抽检需要，按照政府采购程序和规定委托具有交通行业检测相应等级资质且信用优良的检测机构承担相应工程实体抽检任务，所需费用纳入委质监局财政预算。</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检测机构根据确定的检测内容，对督查项目工程实体进行随机抽检，按规定时限提交检测数据和报告。</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第十六条</w:t>
      </w:r>
      <w:r>
        <w:rPr>
          <w:rFonts w:hint="eastAsia" w:ascii="仿宋" w:hAnsi="仿宋" w:eastAsia="方正仿宋_GBK" w:cs="仿宋"/>
          <w:sz w:val="32"/>
          <w:szCs w:val="32"/>
        </w:rPr>
        <w:t xml:space="preserve"> 检测机构应按照诚信、科学、客观、严谨的原则，依据公路水运工程试验检测相关规程开展抽检工作，提交正式的检测报告，并对所提交的检测数据、报告的真实性、准确性负责。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第四章 督查结果处理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第十七条</w:t>
      </w:r>
      <w:r>
        <w:rPr>
          <w:rFonts w:hint="eastAsia" w:ascii="仿宋" w:hAnsi="仿宋" w:eastAsia="方正仿宋_GBK" w:cs="仿宋"/>
          <w:sz w:val="32"/>
          <w:szCs w:val="32"/>
        </w:rPr>
        <w:t xml:space="preserve"> 督查完成后，督查组应及时向督查区县交通行政主管部门反馈督查意见，并针对督查发现的问题提出整改要求和建议。督查意见一般于督查组工作结束后10个工作日内印发。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第十八条</w:t>
      </w:r>
      <w:r>
        <w:rPr>
          <w:rFonts w:hint="eastAsia" w:ascii="仿宋" w:hAnsi="仿宋" w:eastAsia="方正仿宋_GBK" w:cs="仿宋"/>
          <w:sz w:val="32"/>
          <w:szCs w:val="32"/>
        </w:rPr>
        <w:t xml:space="preserve"> 区县交通行政主管部门根据督查组反馈意见制定整改方案，于督查反馈会后15个工作日内书面报委质监局、抄送市公路局，并负责督促相关单位按方案确定的时限和内容逐一整改落实，整改结果及时报委质监局、抄送市公路局。对一时难以整改的问题应书面说明，采取保证工程质量和安全的必要措施，并负责督促落实到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第十九条</w:t>
      </w:r>
      <w:r>
        <w:rPr>
          <w:rFonts w:hint="eastAsia" w:ascii="仿宋" w:hAnsi="仿宋" w:eastAsia="方正仿宋_GBK" w:cs="仿宋"/>
          <w:sz w:val="32"/>
          <w:szCs w:val="32"/>
        </w:rPr>
        <w:t xml:space="preserve"> 对督查发现的重大质量缺陷问题或重大事故隐患，督查组应将该问题及时移交区县交通行政主管部门负责处理。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第二十条</w:t>
      </w:r>
      <w:r>
        <w:rPr>
          <w:rFonts w:hint="eastAsia" w:ascii="仿宋" w:hAnsi="仿宋" w:eastAsia="方正仿宋_GBK" w:cs="仿宋"/>
          <w:sz w:val="32"/>
          <w:szCs w:val="32"/>
        </w:rPr>
        <w:t xml:space="preserve"> 对督查发现的违法违规行为，由区县交通行政主管部门依法给予相应的行政处罚、按《重庆市公路水运工程建设质量安全违法违规行为信息公开实施细则》进行公开，并纳入信用评价。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第二十一条</w:t>
      </w:r>
      <w:r>
        <w:rPr>
          <w:rFonts w:hint="eastAsia" w:ascii="仿宋" w:hAnsi="仿宋" w:eastAsia="方正仿宋_GBK" w:cs="仿宋"/>
          <w:sz w:val="32"/>
          <w:szCs w:val="32"/>
        </w:rPr>
        <w:t xml:space="preserve"> 委质监局对年度公路水运建设工程督查情况进行汇总分析，形成全市督查报告，报市交委、抄送市公路局。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市交委根据委质监局的全市督查报告，将年度公路水运建设工程督查情况在行业内进行通报，并将督查情况通报抄送被督查区县人民政府。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第二十二条</w:t>
      </w:r>
      <w:r>
        <w:rPr>
          <w:rFonts w:hint="eastAsia" w:ascii="仿宋" w:hAnsi="仿宋" w:eastAsia="方正仿宋_GBK" w:cs="仿宋"/>
          <w:sz w:val="32"/>
          <w:szCs w:val="32"/>
        </w:rPr>
        <w:t xml:space="preserve"> 督查专家现场记录、评价资料等应交由市交委质监局统一保存，一般保存3年。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检测数据、报告由检测机构交督查项目的质量监督机构存档。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方正仿宋_GBK" w:cs="仿宋"/>
          <w:sz w:val="32"/>
          <w:szCs w:val="32"/>
        </w:rPr>
      </w:pPr>
      <w:r>
        <w:rPr>
          <w:rFonts w:ascii="黑体" w:hAnsi="宋体" w:eastAsia="方正黑体_GBK" w:cs="黑体"/>
          <w:sz w:val="32"/>
          <w:szCs w:val="32"/>
        </w:rPr>
        <w:t>第五章 附 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第二十三条</w:t>
      </w:r>
      <w:r>
        <w:rPr>
          <w:rFonts w:hint="eastAsia" w:ascii="仿宋" w:hAnsi="仿宋" w:eastAsia="方正仿宋_GBK" w:cs="仿宋"/>
          <w:sz w:val="32"/>
          <w:szCs w:val="32"/>
        </w:rPr>
        <w:t xml:space="preserve"> 本细则由重庆市交通委员会负责解释。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第二十四条</w:t>
      </w:r>
      <w:r>
        <w:rPr>
          <w:rFonts w:hint="eastAsia" w:ascii="仿宋" w:hAnsi="仿宋" w:eastAsia="方正仿宋_GBK" w:cs="仿宋"/>
          <w:sz w:val="32"/>
          <w:szCs w:val="32"/>
        </w:rPr>
        <w:t xml:space="preserve"> 本细则自颁布之日15日后实施。</w:t>
      </w:r>
    </w:p>
    <w:p>
      <w:pPr>
        <w:rPr>
          <w:rFonts w:hint="eastAsia"/>
          <w:lang w:eastAsia="zh-CN"/>
        </w:rPr>
      </w:pPr>
      <w:r>
        <w:rPr>
          <w:rFonts w:hint="eastAsia"/>
          <w:lang w:eastAsia="zh-CN"/>
        </w:rPr>
        <w:br w:type="page"/>
      </w:r>
    </w:p>
    <w:p>
      <w:pPr>
        <w:spacing w:line="240" w:lineRule="atLeas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附表1</w:t>
      </w:r>
    </w:p>
    <w:p>
      <w:pPr>
        <w:spacing w:line="240" w:lineRule="atLeast"/>
        <w:rPr>
          <w:rFonts w:hint="eastAsia" w:ascii="黑体" w:hAnsi="黑体" w:eastAsia="黑体" w:cs="华文宋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spacing w:val="-20"/>
          <w:sz w:val="44"/>
          <w:szCs w:val="44"/>
        </w:rPr>
      </w:pPr>
      <w:r>
        <w:rPr>
          <w:rFonts w:hint="eastAsia" w:ascii="方正小标宋_GBK" w:hAnsi="黑体" w:eastAsia="方正小标宋_GBK" w:cs="宋体-18030"/>
          <w:bCs/>
          <w:spacing w:val="-20"/>
          <w:sz w:val="44"/>
          <w:szCs w:val="44"/>
        </w:rPr>
        <w:t>重庆区县公路水运工程</w:t>
      </w:r>
      <w:r>
        <w:rPr>
          <w:rFonts w:hint="eastAsia" w:ascii="方正小标宋_GBK" w:hAnsi="黑体" w:eastAsia="方正小标宋_GBK"/>
          <w:spacing w:val="-20"/>
          <w:sz w:val="44"/>
          <w:szCs w:val="44"/>
        </w:rPr>
        <w:t>质量安全监管工作督查表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spacing w:val="-20"/>
          <w:sz w:val="44"/>
          <w:szCs w:val="44"/>
        </w:rPr>
      </w:pPr>
    </w:p>
    <w:tbl>
      <w:tblPr>
        <w:tblStyle w:val="7"/>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1134"/>
        <w:gridCol w:w="2268"/>
        <w:gridCol w:w="1842"/>
        <w:gridCol w:w="2268"/>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852" w:type="dxa"/>
            <w:noWrap w:val="0"/>
            <w:vAlign w:val="center"/>
          </w:tcPr>
          <w:p>
            <w:pPr>
              <w:adjustRightInd w:val="0"/>
              <w:snapToGrid w:val="0"/>
              <w:jc w:val="center"/>
              <w:rPr>
                <w:rFonts w:hint="eastAsia" w:ascii="黑体" w:hAnsi="黑体" w:eastAsia="黑体" w:cs="宋体"/>
                <w:bCs/>
                <w:sz w:val="24"/>
              </w:rPr>
            </w:pPr>
            <w:r>
              <w:rPr>
                <w:rFonts w:hint="eastAsia" w:ascii="黑体" w:hAnsi="黑体" w:eastAsia="黑体" w:cs="宋体"/>
                <w:bCs/>
                <w:sz w:val="24"/>
              </w:rPr>
              <w:t>序号</w:t>
            </w:r>
          </w:p>
        </w:tc>
        <w:tc>
          <w:tcPr>
            <w:tcW w:w="3402" w:type="dxa"/>
            <w:gridSpan w:val="2"/>
            <w:noWrap w:val="0"/>
            <w:vAlign w:val="center"/>
          </w:tcPr>
          <w:p>
            <w:pPr>
              <w:adjustRightInd w:val="0"/>
              <w:snapToGrid w:val="0"/>
              <w:jc w:val="center"/>
              <w:rPr>
                <w:rFonts w:hint="eastAsia" w:ascii="黑体" w:hAnsi="黑体" w:eastAsia="黑体" w:cs="宋体"/>
                <w:sz w:val="24"/>
              </w:rPr>
            </w:pPr>
            <w:r>
              <w:rPr>
                <w:rFonts w:hint="eastAsia" w:ascii="黑体" w:hAnsi="黑体" w:eastAsia="黑体" w:cs="宋体"/>
                <w:bCs/>
                <w:sz w:val="24"/>
              </w:rPr>
              <w:t>督查内容</w:t>
            </w:r>
          </w:p>
        </w:tc>
        <w:tc>
          <w:tcPr>
            <w:tcW w:w="1842" w:type="dxa"/>
            <w:noWrap w:val="0"/>
            <w:vAlign w:val="center"/>
          </w:tcPr>
          <w:p>
            <w:pPr>
              <w:adjustRightInd w:val="0"/>
              <w:snapToGrid w:val="0"/>
              <w:jc w:val="center"/>
              <w:rPr>
                <w:rFonts w:hint="eastAsia" w:ascii="黑体" w:hAnsi="黑体" w:eastAsia="黑体" w:cs="宋体"/>
                <w:sz w:val="24"/>
              </w:rPr>
            </w:pPr>
            <w:r>
              <w:rPr>
                <w:rFonts w:hint="eastAsia" w:ascii="黑体" w:hAnsi="黑体" w:eastAsia="黑体" w:cs="宋体"/>
                <w:sz w:val="24"/>
              </w:rPr>
              <w:t>抽查的文件</w:t>
            </w:r>
          </w:p>
          <w:p>
            <w:pPr>
              <w:adjustRightInd w:val="0"/>
              <w:snapToGrid w:val="0"/>
              <w:jc w:val="center"/>
              <w:rPr>
                <w:rFonts w:hint="eastAsia" w:ascii="黑体" w:hAnsi="黑体" w:eastAsia="黑体" w:cs="宋体"/>
                <w:sz w:val="24"/>
              </w:rPr>
            </w:pPr>
            <w:r>
              <w:rPr>
                <w:rFonts w:hint="eastAsia" w:ascii="黑体" w:hAnsi="黑体" w:eastAsia="黑体" w:cs="宋体"/>
                <w:sz w:val="24"/>
              </w:rPr>
              <w:t>资料</w:t>
            </w:r>
          </w:p>
        </w:tc>
        <w:tc>
          <w:tcPr>
            <w:tcW w:w="2268" w:type="dxa"/>
            <w:noWrap w:val="0"/>
            <w:vAlign w:val="center"/>
          </w:tcPr>
          <w:p>
            <w:pPr>
              <w:adjustRightInd w:val="0"/>
              <w:snapToGrid w:val="0"/>
              <w:jc w:val="center"/>
              <w:rPr>
                <w:rFonts w:hint="eastAsia" w:ascii="黑体" w:hAnsi="黑体" w:eastAsia="黑体" w:cs="宋体"/>
                <w:sz w:val="24"/>
              </w:rPr>
            </w:pPr>
            <w:r>
              <w:rPr>
                <w:rFonts w:hint="eastAsia" w:ascii="黑体" w:hAnsi="黑体" w:eastAsia="黑体" w:cs="宋体"/>
                <w:sz w:val="24"/>
              </w:rPr>
              <w:t>相关要求</w:t>
            </w:r>
          </w:p>
        </w:tc>
        <w:tc>
          <w:tcPr>
            <w:tcW w:w="1134" w:type="dxa"/>
            <w:noWrap w:val="0"/>
            <w:vAlign w:val="center"/>
          </w:tcPr>
          <w:p>
            <w:pPr>
              <w:adjustRightInd w:val="0"/>
              <w:snapToGrid w:val="0"/>
              <w:jc w:val="center"/>
              <w:rPr>
                <w:rFonts w:hint="eastAsia" w:ascii="黑体" w:hAnsi="黑体" w:eastAsia="黑体" w:cs="宋体"/>
                <w:sz w:val="24"/>
              </w:rPr>
            </w:pPr>
            <w:r>
              <w:rPr>
                <w:rFonts w:hint="eastAsia" w:ascii="黑体" w:hAnsi="黑体" w:eastAsia="黑体" w:cs="宋体"/>
                <w:sz w:val="24"/>
              </w:rPr>
              <w:t>检查结果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6" w:hRule="atLeast"/>
        </w:trPr>
        <w:tc>
          <w:tcPr>
            <w:tcW w:w="852" w:type="dxa"/>
            <w:noWrap w:val="0"/>
            <w:vAlign w:val="center"/>
          </w:tcPr>
          <w:p>
            <w:pPr>
              <w:adjustRightInd w:val="0"/>
              <w:snapToGrid w:val="0"/>
              <w:spacing w:line="280" w:lineRule="exact"/>
              <w:jc w:val="center"/>
              <w:rPr>
                <w:rFonts w:hint="eastAsia" w:ascii="方正仿宋_GBK" w:hAnsi="仿宋" w:eastAsia="方正仿宋_GBK" w:cs="宋体"/>
                <w:bCs/>
                <w:sz w:val="24"/>
              </w:rPr>
            </w:pPr>
            <w:r>
              <w:rPr>
                <w:rFonts w:hint="eastAsia" w:ascii="方正仿宋_GBK" w:hAnsi="仿宋" w:eastAsia="方正仿宋_GBK" w:cs="宋体"/>
                <w:bCs/>
                <w:sz w:val="24"/>
              </w:rPr>
              <w:t>1</w:t>
            </w:r>
          </w:p>
        </w:tc>
        <w:tc>
          <w:tcPr>
            <w:tcW w:w="1134" w:type="dxa"/>
            <w:noWrap w:val="0"/>
            <w:vAlign w:val="center"/>
          </w:tcPr>
          <w:p>
            <w:pPr>
              <w:adjustRightInd w:val="0"/>
              <w:snapToGrid w:val="0"/>
              <w:spacing w:line="280" w:lineRule="exact"/>
              <w:jc w:val="left"/>
              <w:rPr>
                <w:rFonts w:hint="eastAsia" w:ascii="方正仿宋_GBK" w:hAnsi="仿宋" w:eastAsia="方正仿宋_GBK" w:cs="宋体"/>
                <w:bCs/>
                <w:sz w:val="24"/>
              </w:rPr>
            </w:pPr>
            <w:r>
              <w:rPr>
                <w:rFonts w:hint="eastAsia" w:ascii="方正仿宋_GBK" w:hAnsi="仿宋" w:eastAsia="方正仿宋_GBK" w:cs="宋体"/>
                <w:bCs/>
                <w:sz w:val="24"/>
              </w:rPr>
              <w:t>法律法规及行业规章、规范性文件贯彻情况</w:t>
            </w:r>
          </w:p>
        </w:tc>
        <w:tc>
          <w:tcPr>
            <w:tcW w:w="2268" w:type="dxa"/>
            <w:noWrap w:val="0"/>
            <w:vAlign w:val="center"/>
          </w:tcPr>
          <w:p>
            <w:pPr>
              <w:adjustRightInd w:val="0"/>
              <w:snapToGrid w:val="0"/>
              <w:spacing w:line="280" w:lineRule="exact"/>
              <w:rPr>
                <w:rFonts w:hint="eastAsia" w:ascii="方正仿宋_GBK" w:hAnsi="仿宋" w:eastAsia="方正仿宋_GBK" w:cs="宋体"/>
                <w:bCs/>
                <w:sz w:val="24"/>
              </w:rPr>
            </w:pPr>
            <w:r>
              <w:rPr>
                <w:rFonts w:hint="eastAsia" w:ascii="方正仿宋_GBK" w:hAnsi="仿宋" w:eastAsia="方正仿宋_GBK" w:cs="宋体"/>
                <w:bCs/>
                <w:sz w:val="24"/>
              </w:rPr>
              <w:t>《安全生产法》《建设工程质量管理条例》《建设工程安全生产管理条例》等法律法规及近2年部、市出台的有关工程质量安全的规章和规范性文件落实与工作开展情况</w:t>
            </w:r>
          </w:p>
        </w:tc>
        <w:tc>
          <w:tcPr>
            <w:tcW w:w="1842" w:type="dxa"/>
            <w:noWrap w:val="0"/>
            <w:vAlign w:val="center"/>
          </w:tcPr>
          <w:p>
            <w:pPr>
              <w:adjustRightInd w:val="0"/>
              <w:snapToGrid w:val="0"/>
              <w:spacing w:line="280" w:lineRule="exact"/>
              <w:rPr>
                <w:rFonts w:hint="eastAsia" w:ascii="方正仿宋_GBK" w:hAnsi="仿宋" w:eastAsia="方正仿宋_GBK" w:cs="宋体"/>
                <w:bCs/>
                <w:sz w:val="24"/>
              </w:rPr>
            </w:pPr>
            <w:r>
              <w:rPr>
                <w:rFonts w:hint="eastAsia" w:ascii="方正仿宋_GBK" w:hAnsi="仿宋" w:eastAsia="方正仿宋_GBK" w:cs="宋体"/>
                <w:bCs/>
                <w:sz w:val="24"/>
              </w:rPr>
              <w:t>相关文件、管理制度及资料</w:t>
            </w:r>
          </w:p>
        </w:tc>
        <w:tc>
          <w:tcPr>
            <w:tcW w:w="2268"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结合本地公路、水运工程建设实际，组织开展法规宣贯学习， 健全有关规章制度或规范性文件，措施合法有效。任务和措施明确，落实和执行到位。</w:t>
            </w:r>
          </w:p>
        </w:tc>
        <w:tc>
          <w:tcPr>
            <w:tcW w:w="1134" w:type="dxa"/>
            <w:noWrap w:val="0"/>
            <w:vAlign w:val="center"/>
          </w:tcPr>
          <w:p>
            <w:pPr>
              <w:adjustRightInd w:val="0"/>
              <w:snapToGrid w:val="0"/>
              <w:spacing w:line="280" w:lineRule="exact"/>
              <w:jc w:val="center"/>
              <w:rPr>
                <w:rFonts w:hint="eastAsia" w:ascii="方正仿宋_GBK" w:hAnsi="仿宋"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trPr>
        <w:tc>
          <w:tcPr>
            <w:tcW w:w="852" w:type="dxa"/>
            <w:noWrap w:val="0"/>
            <w:vAlign w:val="center"/>
          </w:tcPr>
          <w:p>
            <w:pPr>
              <w:adjustRightInd w:val="0"/>
              <w:snapToGrid w:val="0"/>
              <w:spacing w:line="280" w:lineRule="exact"/>
              <w:jc w:val="center"/>
              <w:rPr>
                <w:rFonts w:hint="eastAsia" w:ascii="方正仿宋_GBK" w:hAnsi="仿宋" w:eastAsia="方正仿宋_GBK" w:cs="宋体"/>
                <w:bCs/>
                <w:sz w:val="24"/>
              </w:rPr>
            </w:pPr>
            <w:r>
              <w:rPr>
                <w:rFonts w:hint="eastAsia" w:ascii="方正仿宋_GBK" w:hAnsi="仿宋" w:eastAsia="方正仿宋_GBK" w:cs="宋体"/>
                <w:bCs/>
                <w:sz w:val="24"/>
              </w:rPr>
              <w:t>2</w:t>
            </w:r>
          </w:p>
        </w:tc>
        <w:tc>
          <w:tcPr>
            <w:tcW w:w="1134" w:type="dxa"/>
            <w:noWrap w:val="0"/>
            <w:vAlign w:val="center"/>
          </w:tcPr>
          <w:p>
            <w:pPr>
              <w:adjustRightInd w:val="0"/>
              <w:snapToGrid w:val="0"/>
              <w:spacing w:line="280" w:lineRule="exact"/>
              <w:jc w:val="left"/>
              <w:rPr>
                <w:rFonts w:hint="eastAsia" w:ascii="方正仿宋_GBK" w:hAnsi="仿宋" w:eastAsia="方正仿宋_GBK"/>
                <w:sz w:val="24"/>
              </w:rPr>
            </w:pPr>
            <w:r>
              <w:rPr>
                <w:rFonts w:hint="eastAsia" w:ascii="方正仿宋_GBK" w:hAnsi="仿宋" w:eastAsia="方正仿宋_GBK"/>
                <w:sz w:val="24"/>
              </w:rPr>
              <w:t>质量安全监管责任落实情况</w:t>
            </w:r>
          </w:p>
        </w:tc>
        <w:tc>
          <w:tcPr>
            <w:tcW w:w="2268"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明晰</w:t>
            </w:r>
            <w:r>
              <w:rPr>
                <w:rFonts w:hint="eastAsia" w:ascii="方正仿宋_GBK" w:hAnsi="仿宋" w:eastAsia="方正仿宋_GBK"/>
                <w:sz w:val="24"/>
              </w:rPr>
              <w:t>质量安全监管职责，规范履职行为，建立考核评价机制，落实质量安全监管责任</w:t>
            </w:r>
          </w:p>
        </w:tc>
        <w:tc>
          <w:tcPr>
            <w:tcW w:w="1842"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相应文件、管理制度及资料</w:t>
            </w:r>
          </w:p>
        </w:tc>
        <w:tc>
          <w:tcPr>
            <w:tcW w:w="2268" w:type="dxa"/>
            <w:noWrap w:val="0"/>
            <w:vAlign w:val="center"/>
          </w:tcPr>
          <w:p>
            <w:pPr>
              <w:pStyle w:val="11"/>
              <w:tabs>
                <w:tab w:val="clear" w:pos="360"/>
              </w:tabs>
              <w:adjustRightInd w:val="0"/>
              <w:snapToGrid w:val="0"/>
              <w:spacing w:line="280" w:lineRule="exact"/>
              <w:ind w:left="0" w:firstLine="0"/>
              <w:rPr>
                <w:rFonts w:hint="eastAsia" w:ascii="方正仿宋_GBK" w:hAnsi="仿宋" w:eastAsia="方正仿宋_GBK" w:cs="宋体"/>
                <w:sz w:val="24"/>
                <w:szCs w:val="24"/>
              </w:rPr>
            </w:pPr>
            <w:r>
              <w:rPr>
                <w:rFonts w:hint="eastAsia" w:ascii="方正仿宋_GBK" w:hAnsi="仿宋" w:eastAsia="方正仿宋_GBK" w:cs="宋体"/>
                <w:sz w:val="24"/>
                <w:szCs w:val="24"/>
              </w:rPr>
              <w:t>健全有关监管责任规章制度或规范性文件，相关工作责任明确，强化监管职责落实和能力保障。</w:t>
            </w:r>
          </w:p>
        </w:tc>
        <w:tc>
          <w:tcPr>
            <w:tcW w:w="1134" w:type="dxa"/>
            <w:noWrap w:val="0"/>
            <w:vAlign w:val="center"/>
          </w:tcPr>
          <w:p>
            <w:pPr>
              <w:adjustRightInd w:val="0"/>
              <w:snapToGrid w:val="0"/>
              <w:spacing w:line="280" w:lineRule="exact"/>
              <w:jc w:val="center"/>
              <w:rPr>
                <w:rFonts w:hint="eastAsia" w:ascii="方正仿宋_GBK" w:hAnsi="仿宋"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1" w:hRule="atLeast"/>
        </w:trPr>
        <w:tc>
          <w:tcPr>
            <w:tcW w:w="852" w:type="dxa"/>
            <w:tcBorders>
              <w:top w:val="single" w:color="auto" w:sz="4" w:space="0"/>
            </w:tcBorders>
            <w:noWrap w:val="0"/>
            <w:vAlign w:val="center"/>
          </w:tcPr>
          <w:p>
            <w:pPr>
              <w:adjustRightInd w:val="0"/>
              <w:snapToGrid w:val="0"/>
              <w:spacing w:line="280" w:lineRule="exact"/>
              <w:jc w:val="center"/>
              <w:rPr>
                <w:rFonts w:hint="eastAsia" w:ascii="方正仿宋_GBK" w:hAnsi="仿宋" w:eastAsia="方正仿宋_GBK" w:cs="宋体"/>
                <w:bCs/>
                <w:sz w:val="24"/>
              </w:rPr>
            </w:pPr>
            <w:r>
              <w:rPr>
                <w:rFonts w:hint="eastAsia" w:ascii="方正仿宋_GBK" w:hAnsi="仿宋" w:eastAsia="方正仿宋_GBK" w:cs="宋体"/>
                <w:bCs/>
                <w:sz w:val="24"/>
              </w:rPr>
              <w:t>3</w:t>
            </w:r>
          </w:p>
        </w:tc>
        <w:tc>
          <w:tcPr>
            <w:tcW w:w="1134" w:type="dxa"/>
            <w:tcBorders>
              <w:top w:val="single" w:color="auto" w:sz="4" w:space="0"/>
            </w:tcBorders>
            <w:noWrap w:val="0"/>
            <w:vAlign w:val="center"/>
          </w:tcPr>
          <w:p>
            <w:pPr>
              <w:adjustRightInd w:val="0"/>
              <w:snapToGrid w:val="0"/>
              <w:spacing w:line="280" w:lineRule="exact"/>
              <w:jc w:val="left"/>
              <w:rPr>
                <w:rFonts w:hint="eastAsia" w:ascii="方正仿宋_GBK" w:hAnsi="仿宋" w:eastAsia="方正仿宋_GBK"/>
                <w:sz w:val="24"/>
              </w:rPr>
            </w:pPr>
            <w:r>
              <w:rPr>
                <w:rFonts w:hint="eastAsia" w:ascii="方正仿宋_GBK" w:hAnsi="仿宋" w:eastAsia="方正仿宋_GBK"/>
                <w:sz w:val="24"/>
              </w:rPr>
              <w:t>质量安全监管工作开展情况</w:t>
            </w:r>
          </w:p>
        </w:tc>
        <w:tc>
          <w:tcPr>
            <w:tcW w:w="2268" w:type="dxa"/>
            <w:tcBorders>
              <w:top w:val="single" w:color="auto" w:sz="4" w:space="0"/>
            </w:tcBorders>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质量安全监管的体制机制和体系建设、制度建设、监管模式、监管措施、质量安全技术进步或创新等情况</w:t>
            </w:r>
          </w:p>
        </w:tc>
        <w:tc>
          <w:tcPr>
            <w:tcW w:w="1842"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相应文件、管理制度及资料</w:t>
            </w:r>
          </w:p>
        </w:tc>
        <w:tc>
          <w:tcPr>
            <w:tcW w:w="2268" w:type="dxa"/>
            <w:noWrap w:val="0"/>
            <w:vAlign w:val="center"/>
          </w:tcPr>
          <w:p>
            <w:pPr>
              <w:pStyle w:val="11"/>
              <w:tabs>
                <w:tab w:val="clear" w:pos="360"/>
              </w:tabs>
              <w:adjustRightInd w:val="0"/>
              <w:snapToGrid w:val="0"/>
              <w:spacing w:line="280" w:lineRule="exact"/>
              <w:ind w:left="0" w:firstLine="0"/>
              <w:rPr>
                <w:rFonts w:hint="eastAsia" w:ascii="方正仿宋_GBK" w:hAnsi="仿宋" w:eastAsia="方正仿宋_GBK" w:cs="宋体"/>
                <w:sz w:val="24"/>
                <w:szCs w:val="24"/>
              </w:rPr>
            </w:pPr>
            <w:r>
              <w:rPr>
                <w:rFonts w:hint="eastAsia" w:ascii="方正仿宋_GBK" w:hAnsi="仿宋" w:eastAsia="方正仿宋_GBK" w:cs="宋体"/>
                <w:sz w:val="24"/>
                <w:szCs w:val="24"/>
              </w:rPr>
              <w:t>不断完善质量、安全监管体制机制和体系建设，监管工作成效明显，推动监管措施、保障质量安全的技术进步或创新情况。</w:t>
            </w:r>
          </w:p>
        </w:tc>
        <w:tc>
          <w:tcPr>
            <w:tcW w:w="1134" w:type="dxa"/>
            <w:noWrap w:val="0"/>
            <w:vAlign w:val="center"/>
          </w:tcPr>
          <w:p>
            <w:pPr>
              <w:adjustRightInd w:val="0"/>
              <w:snapToGrid w:val="0"/>
              <w:spacing w:line="280" w:lineRule="exact"/>
              <w:jc w:val="center"/>
              <w:rPr>
                <w:rFonts w:hint="eastAsia" w:ascii="方正仿宋_GBK" w:hAnsi="仿宋"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852" w:type="dxa"/>
            <w:tcBorders>
              <w:top w:val="single" w:color="auto" w:sz="4" w:space="0"/>
              <w:bottom w:val="single" w:color="auto" w:sz="4" w:space="0"/>
            </w:tcBorders>
            <w:noWrap w:val="0"/>
            <w:vAlign w:val="center"/>
          </w:tcPr>
          <w:p>
            <w:pPr>
              <w:adjustRightInd w:val="0"/>
              <w:snapToGrid w:val="0"/>
              <w:spacing w:line="280" w:lineRule="exact"/>
              <w:jc w:val="center"/>
              <w:rPr>
                <w:rFonts w:hint="eastAsia" w:ascii="方正仿宋_GBK" w:hAnsi="仿宋" w:eastAsia="方正仿宋_GBK" w:cs="宋体"/>
                <w:bCs/>
                <w:sz w:val="24"/>
              </w:rPr>
            </w:pPr>
            <w:r>
              <w:rPr>
                <w:rFonts w:hint="eastAsia" w:ascii="方正仿宋_GBK" w:hAnsi="仿宋" w:eastAsia="方正仿宋_GBK" w:cs="宋体"/>
                <w:bCs/>
                <w:sz w:val="24"/>
              </w:rPr>
              <w:t>4</w:t>
            </w:r>
          </w:p>
        </w:tc>
        <w:tc>
          <w:tcPr>
            <w:tcW w:w="1134" w:type="dxa"/>
            <w:tcBorders>
              <w:top w:val="single" w:color="auto" w:sz="4" w:space="0"/>
              <w:bottom w:val="single" w:color="auto" w:sz="4" w:space="0"/>
            </w:tcBorders>
            <w:noWrap w:val="0"/>
            <w:vAlign w:val="center"/>
          </w:tcPr>
          <w:p>
            <w:pPr>
              <w:adjustRightInd w:val="0"/>
              <w:snapToGrid w:val="0"/>
              <w:spacing w:line="280" w:lineRule="exact"/>
              <w:jc w:val="left"/>
              <w:rPr>
                <w:rFonts w:hint="eastAsia" w:ascii="方正仿宋_GBK" w:hAnsi="仿宋" w:eastAsia="方正仿宋_GBK" w:cs="宋体"/>
                <w:bCs/>
                <w:sz w:val="24"/>
              </w:rPr>
            </w:pPr>
            <w:r>
              <w:rPr>
                <w:rFonts w:hint="eastAsia" w:ascii="方正仿宋_GBK" w:hAnsi="仿宋" w:eastAsia="方正仿宋_GBK" w:cs="宋体"/>
                <w:bCs/>
                <w:sz w:val="24"/>
              </w:rPr>
              <w:t>行政执法工作情况</w:t>
            </w:r>
          </w:p>
        </w:tc>
        <w:tc>
          <w:tcPr>
            <w:tcW w:w="2268" w:type="dxa"/>
            <w:tcBorders>
              <w:top w:val="single" w:color="auto" w:sz="4" w:space="0"/>
              <w:left w:val="single" w:color="auto" w:sz="4" w:space="0"/>
              <w:right w:val="single" w:color="auto" w:sz="4" w:space="0"/>
            </w:tcBorders>
            <w:noWrap w:val="0"/>
            <w:vAlign w:val="center"/>
          </w:tcPr>
          <w:p>
            <w:pPr>
              <w:adjustRightInd w:val="0"/>
              <w:snapToGrid w:val="0"/>
              <w:spacing w:line="280" w:lineRule="exact"/>
              <w:rPr>
                <w:rFonts w:hint="eastAsia" w:ascii="方正仿宋_GBK" w:hAnsi="仿宋" w:eastAsia="方正仿宋_GBK" w:cs="宋体"/>
                <w:bCs/>
                <w:sz w:val="24"/>
              </w:rPr>
            </w:pPr>
            <w:r>
              <w:rPr>
                <w:rFonts w:hint="eastAsia" w:ascii="方正仿宋_GBK" w:hAnsi="仿宋" w:eastAsia="方正仿宋_GBK" w:cs="宋体"/>
                <w:bCs/>
                <w:sz w:val="24"/>
              </w:rPr>
              <w:t>日常监督检查，发现问题处理以及事故、重大隐患责任追究；质量、安全举报的调查处理</w:t>
            </w:r>
          </w:p>
        </w:tc>
        <w:tc>
          <w:tcPr>
            <w:tcW w:w="1842" w:type="dxa"/>
            <w:tcBorders>
              <w:left w:val="single" w:color="auto" w:sz="4" w:space="0"/>
            </w:tcBorders>
            <w:noWrap w:val="0"/>
            <w:vAlign w:val="center"/>
          </w:tcPr>
          <w:p>
            <w:pPr>
              <w:adjustRightInd w:val="0"/>
              <w:snapToGrid w:val="0"/>
              <w:spacing w:line="280" w:lineRule="exact"/>
              <w:rPr>
                <w:rFonts w:hint="eastAsia" w:ascii="方正仿宋_GBK" w:hAnsi="仿宋" w:eastAsia="方正仿宋_GBK" w:cs="宋体"/>
                <w:bCs/>
                <w:sz w:val="24"/>
              </w:rPr>
            </w:pPr>
            <w:r>
              <w:rPr>
                <w:rFonts w:hint="eastAsia" w:ascii="方正仿宋_GBK" w:hAnsi="仿宋" w:eastAsia="方正仿宋_GBK" w:cs="宋体"/>
                <w:bCs/>
                <w:sz w:val="24"/>
              </w:rPr>
              <w:t>事故调查、举报调查处理、行政执法等相关文件、管理制度及资料</w:t>
            </w:r>
          </w:p>
        </w:tc>
        <w:tc>
          <w:tcPr>
            <w:tcW w:w="2268" w:type="dxa"/>
            <w:tcBorders>
              <w:left w:val="single" w:color="auto" w:sz="4" w:space="0"/>
            </w:tcBorders>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建立相关台账，调查工作方法得当，程序严谨，调查深入，结果客观，追究责任到位。</w:t>
            </w:r>
          </w:p>
        </w:tc>
        <w:tc>
          <w:tcPr>
            <w:tcW w:w="1134" w:type="dxa"/>
            <w:noWrap w:val="0"/>
            <w:vAlign w:val="center"/>
          </w:tcPr>
          <w:p>
            <w:pPr>
              <w:adjustRightInd w:val="0"/>
              <w:snapToGrid w:val="0"/>
              <w:spacing w:line="280" w:lineRule="exact"/>
              <w:jc w:val="center"/>
              <w:rPr>
                <w:rFonts w:hint="eastAsia" w:ascii="方正仿宋_GBK" w:hAnsi="仿宋"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4" w:hRule="atLeast"/>
        </w:trPr>
        <w:tc>
          <w:tcPr>
            <w:tcW w:w="852" w:type="dxa"/>
            <w:tcBorders>
              <w:top w:val="single" w:color="auto" w:sz="4" w:space="0"/>
            </w:tcBorders>
            <w:noWrap w:val="0"/>
            <w:vAlign w:val="center"/>
          </w:tcPr>
          <w:p>
            <w:pPr>
              <w:adjustRightInd w:val="0"/>
              <w:snapToGrid w:val="0"/>
              <w:spacing w:line="280" w:lineRule="exact"/>
              <w:jc w:val="center"/>
              <w:rPr>
                <w:rFonts w:hint="eastAsia" w:ascii="方正仿宋_GBK" w:hAnsi="仿宋" w:eastAsia="方正仿宋_GBK"/>
                <w:sz w:val="24"/>
              </w:rPr>
            </w:pPr>
            <w:r>
              <w:rPr>
                <w:rFonts w:hint="eastAsia" w:ascii="方正仿宋_GBK" w:hAnsi="仿宋" w:eastAsia="方正仿宋_GBK"/>
                <w:sz w:val="24"/>
              </w:rPr>
              <w:t>5</w:t>
            </w:r>
          </w:p>
        </w:tc>
        <w:tc>
          <w:tcPr>
            <w:tcW w:w="1134" w:type="dxa"/>
            <w:tcBorders>
              <w:top w:val="single" w:color="auto" w:sz="4" w:space="0"/>
            </w:tcBorders>
            <w:noWrap w:val="0"/>
            <w:vAlign w:val="center"/>
          </w:tcPr>
          <w:p>
            <w:pPr>
              <w:adjustRightInd w:val="0"/>
              <w:snapToGrid w:val="0"/>
              <w:spacing w:line="280" w:lineRule="exact"/>
              <w:jc w:val="left"/>
              <w:rPr>
                <w:rFonts w:hint="eastAsia" w:ascii="方正仿宋_GBK" w:hAnsi="仿宋" w:eastAsia="方正仿宋_GBK" w:cs="宋体"/>
                <w:bCs/>
                <w:sz w:val="24"/>
              </w:rPr>
            </w:pPr>
            <w:r>
              <w:rPr>
                <w:rFonts w:hint="eastAsia" w:ascii="方正仿宋_GBK" w:hAnsi="仿宋" w:eastAsia="方正仿宋_GBK" w:cs="宋体"/>
                <w:bCs/>
                <w:sz w:val="24"/>
              </w:rPr>
              <w:t>专项工作开展情况</w:t>
            </w:r>
          </w:p>
        </w:tc>
        <w:tc>
          <w:tcPr>
            <w:tcW w:w="2268" w:type="dxa"/>
            <w:tcBorders>
              <w:left w:val="single" w:color="auto" w:sz="4" w:space="0"/>
              <w:right w:val="single" w:color="auto" w:sz="4" w:space="0"/>
            </w:tcBorders>
            <w:noWrap w:val="0"/>
            <w:vAlign w:val="center"/>
          </w:tcPr>
          <w:p>
            <w:pPr>
              <w:adjustRightInd w:val="0"/>
              <w:snapToGrid w:val="0"/>
              <w:spacing w:line="280" w:lineRule="exact"/>
              <w:rPr>
                <w:rFonts w:hint="eastAsia" w:ascii="方正仿宋_GBK" w:hAnsi="仿宋" w:eastAsia="方正仿宋_GBK" w:cs="宋体"/>
                <w:bCs/>
                <w:sz w:val="24"/>
              </w:rPr>
            </w:pPr>
            <w:r>
              <w:rPr>
                <w:rFonts w:hint="eastAsia" w:ascii="方正仿宋_GBK" w:hAnsi="仿宋" w:eastAsia="方正仿宋_GBK" w:cs="宋体"/>
                <w:bCs/>
                <w:sz w:val="24"/>
              </w:rPr>
              <w:t>国家或行业开展的专项行动；品质工程、“平安工地”考评与创建工作；施工标准化工作等</w:t>
            </w:r>
          </w:p>
        </w:tc>
        <w:tc>
          <w:tcPr>
            <w:tcW w:w="1842" w:type="dxa"/>
            <w:tcBorders>
              <w:top w:val="single" w:color="auto" w:sz="4" w:space="0"/>
              <w:left w:val="single" w:color="auto" w:sz="4" w:space="0"/>
            </w:tcBorders>
            <w:noWrap w:val="0"/>
            <w:vAlign w:val="center"/>
          </w:tcPr>
          <w:p>
            <w:pPr>
              <w:pStyle w:val="11"/>
              <w:tabs>
                <w:tab w:val="clear" w:pos="360"/>
              </w:tabs>
              <w:adjustRightInd w:val="0"/>
              <w:snapToGrid w:val="0"/>
              <w:spacing w:line="280" w:lineRule="exact"/>
              <w:ind w:left="0" w:firstLine="0"/>
              <w:rPr>
                <w:rFonts w:hint="eastAsia" w:ascii="方正仿宋_GBK" w:hAnsi="仿宋" w:eastAsia="方正仿宋_GBK" w:cs="宋体"/>
                <w:bCs/>
                <w:sz w:val="24"/>
                <w:szCs w:val="24"/>
              </w:rPr>
            </w:pPr>
            <w:r>
              <w:rPr>
                <w:rFonts w:hint="eastAsia" w:ascii="方正仿宋_GBK" w:hAnsi="仿宋" w:eastAsia="方正仿宋_GBK" w:cs="宋体"/>
                <w:bCs/>
                <w:sz w:val="24"/>
                <w:szCs w:val="24"/>
              </w:rPr>
              <w:t>相应活动方案、文件</w:t>
            </w:r>
            <w:r>
              <w:rPr>
                <w:rFonts w:hint="eastAsia" w:ascii="方正仿宋_GBK" w:hAnsi="仿宋" w:eastAsia="方正仿宋_GBK" w:cs="宋体"/>
                <w:sz w:val="24"/>
                <w:szCs w:val="24"/>
              </w:rPr>
              <w:t>、管理制度</w:t>
            </w:r>
            <w:r>
              <w:rPr>
                <w:rFonts w:hint="eastAsia" w:ascii="方正仿宋_GBK" w:hAnsi="仿宋" w:eastAsia="方正仿宋_GBK" w:cs="宋体"/>
                <w:bCs/>
                <w:sz w:val="24"/>
                <w:szCs w:val="24"/>
              </w:rPr>
              <w:t>及资料</w:t>
            </w:r>
          </w:p>
        </w:tc>
        <w:tc>
          <w:tcPr>
            <w:tcW w:w="2268" w:type="dxa"/>
            <w:tcBorders>
              <w:top w:val="single" w:color="auto" w:sz="4" w:space="0"/>
            </w:tcBorders>
            <w:noWrap w:val="0"/>
            <w:vAlign w:val="center"/>
          </w:tcPr>
          <w:p>
            <w:pPr>
              <w:pStyle w:val="11"/>
              <w:tabs>
                <w:tab w:val="clear" w:pos="360"/>
              </w:tabs>
              <w:adjustRightInd w:val="0"/>
              <w:snapToGrid w:val="0"/>
              <w:spacing w:line="280" w:lineRule="exact"/>
              <w:ind w:left="0" w:firstLine="0"/>
              <w:rPr>
                <w:rFonts w:hint="eastAsia" w:ascii="方正仿宋_GBK" w:hAnsi="仿宋" w:eastAsia="方正仿宋_GBK" w:cs="宋体"/>
                <w:sz w:val="24"/>
                <w:szCs w:val="24"/>
              </w:rPr>
            </w:pPr>
            <w:r>
              <w:rPr>
                <w:rFonts w:hint="eastAsia" w:ascii="方正仿宋_GBK" w:hAnsi="仿宋" w:eastAsia="方正仿宋_GBK" w:cs="宋体"/>
                <w:sz w:val="24"/>
                <w:szCs w:val="24"/>
              </w:rPr>
              <w:t>制定了具体方案，工作内容明确、相关职责落实，质量、安全管理工作开展到位，健全长效管理机制。</w:t>
            </w:r>
          </w:p>
        </w:tc>
        <w:tc>
          <w:tcPr>
            <w:tcW w:w="1134" w:type="dxa"/>
            <w:noWrap w:val="0"/>
            <w:vAlign w:val="center"/>
          </w:tcPr>
          <w:p>
            <w:pPr>
              <w:adjustRightInd w:val="0"/>
              <w:snapToGrid w:val="0"/>
              <w:spacing w:line="280" w:lineRule="exact"/>
              <w:jc w:val="center"/>
              <w:rPr>
                <w:rFonts w:hint="eastAsia" w:ascii="方正仿宋_GBK" w:hAnsi="仿宋" w:eastAsia="方正仿宋_GBK"/>
                <w:sz w:val="24"/>
              </w:rPr>
            </w:pPr>
          </w:p>
        </w:tc>
      </w:tr>
    </w:tbl>
    <w:p>
      <w:pPr>
        <w:spacing w:line="240" w:lineRule="atLeas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附表2</w:t>
      </w:r>
    </w:p>
    <w:p>
      <w:pPr>
        <w:spacing w:line="240" w:lineRule="atLeast"/>
        <w:rPr>
          <w:rFonts w:hint="eastAsia" w:ascii="黑体" w:hAnsi="黑体" w:eastAsia="黑体" w:cs="华文宋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cs="宋体-18030"/>
          <w:bCs/>
          <w:spacing w:val="-20"/>
          <w:sz w:val="44"/>
          <w:szCs w:val="44"/>
        </w:rPr>
      </w:pPr>
      <w:r>
        <w:rPr>
          <w:rFonts w:hint="eastAsia" w:ascii="方正小标宋_GBK" w:hAnsi="黑体" w:eastAsia="方正小标宋_GBK" w:cs="宋体-18030"/>
          <w:bCs/>
          <w:spacing w:val="-20"/>
          <w:sz w:val="44"/>
          <w:szCs w:val="44"/>
        </w:rPr>
        <w:t>重庆区县公路水运工程质量安全管理行为督查表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cs="宋体-18030"/>
          <w:bCs/>
          <w:spacing w:val="-20"/>
          <w:sz w:val="44"/>
          <w:szCs w:val="44"/>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99"/>
        <w:gridCol w:w="1352"/>
        <w:gridCol w:w="1696"/>
        <w:gridCol w:w="5136"/>
        <w:gridCol w:w="8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blHeader/>
          <w:jc w:val="center"/>
        </w:trPr>
        <w:tc>
          <w:tcPr>
            <w:tcW w:w="799" w:type="dxa"/>
            <w:noWrap w:val="0"/>
            <w:vAlign w:val="center"/>
          </w:tcPr>
          <w:p>
            <w:pPr>
              <w:adjustRightInd w:val="0"/>
              <w:snapToGrid w:val="0"/>
              <w:jc w:val="center"/>
              <w:rPr>
                <w:rFonts w:hint="eastAsia" w:ascii="黑体" w:hAnsi="黑体" w:eastAsia="黑体"/>
                <w:sz w:val="24"/>
              </w:rPr>
            </w:pPr>
            <w:r>
              <w:rPr>
                <w:rFonts w:hint="eastAsia" w:ascii="黑体" w:hAnsi="黑体" w:eastAsia="黑体"/>
                <w:sz w:val="24"/>
              </w:rPr>
              <w:t>参建单位</w:t>
            </w:r>
          </w:p>
        </w:tc>
        <w:tc>
          <w:tcPr>
            <w:tcW w:w="1352" w:type="dxa"/>
            <w:noWrap w:val="0"/>
            <w:vAlign w:val="center"/>
          </w:tcPr>
          <w:p>
            <w:pPr>
              <w:adjustRightInd w:val="0"/>
              <w:snapToGrid w:val="0"/>
              <w:jc w:val="center"/>
              <w:rPr>
                <w:rFonts w:hint="eastAsia" w:ascii="黑体" w:hAnsi="黑体" w:eastAsia="黑体"/>
                <w:sz w:val="24"/>
              </w:rPr>
            </w:pPr>
            <w:r>
              <w:rPr>
                <w:rFonts w:hint="eastAsia" w:ascii="黑体" w:hAnsi="黑体" w:eastAsia="黑体"/>
                <w:sz w:val="24"/>
              </w:rPr>
              <w:t>抽查内容</w:t>
            </w:r>
          </w:p>
        </w:tc>
        <w:tc>
          <w:tcPr>
            <w:tcW w:w="1696" w:type="dxa"/>
            <w:noWrap w:val="0"/>
            <w:vAlign w:val="center"/>
          </w:tcPr>
          <w:p>
            <w:pPr>
              <w:adjustRightInd w:val="0"/>
              <w:snapToGrid w:val="0"/>
              <w:jc w:val="center"/>
              <w:rPr>
                <w:rFonts w:hint="eastAsia" w:ascii="黑体" w:hAnsi="黑体" w:eastAsia="黑体"/>
                <w:sz w:val="24"/>
              </w:rPr>
            </w:pPr>
            <w:r>
              <w:rPr>
                <w:rFonts w:hint="eastAsia" w:ascii="黑体" w:hAnsi="黑体" w:eastAsia="黑体"/>
                <w:sz w:val="24"/>
              </w:rPr>
              <w:t>抽查指标项</w:t>
            </w:r>
          </w:p>
        </w:tc>
        <w:tc>
          <w:tcPr>
            <w:tcW w:w="5136" w:type="dxa"/>
            <w:noWrap w:val="0"/>
            <w:vAlign w:val="center"/>
          </w:tcPr>
          <w:p>
            <w:pPr>
              <w:adjustRightInd w:val="0"/>
              <w:snapToGrid w:val="0"/>
              <w:jc w:val="center"/>
              <w:rPr>
                <w:rFonts w:ascii="黑体" w:hAnsi="黑体" w:eastAsia="黑体"/>
                <w:sz w:val="24"/>
              </w:rPr>
            </w:pPr>
            <w:r>
              <w:rPr>
                <w:rFonts w:hint="eastAsia" w:ascii="黑体" w:hAnsi="黑体" w:eastAsia="黑体"/>
                <w:sz w:val="24"/>
              </w:rPr>
              <w:t>相关要求</w:t>
            </w:r>
          </w:p>
        </w:tc>
        <w:tc>
          <w:tcPr>
            <w:tcW w:w="845" w:type="dxa"/>
            <w:noWrap w:val="0"/>
            <w:vAlign w:val="top"/>
          </w:tcPr>
          <w:p>
            <w:pPr>
              <w:adjustRightInd w:val="0"/>
              <w:snapToGrid w:val="0"/>
              <w:jc w:val="center"/>
              <w:rPr>
                <w:rFonts w:hint="eastAsia" w:ascii="黑体" w:hAnsi="黑体" w:eastAsia="黑体"/>
                <w:sz w:val="24"/>
              </w:rPr>
            </w:pPr>
            <w:r>
              <w:rPr>
                <w:rFonts w:hint="eastAsia" w:ascii="黑体" w:hAnsi="黑体" w:eastAsia="黑体" w:cs="宋体"/>
                <w:sz w:val="24"/>
              </w:rPr>
              <w:t>检查结果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5" w:hRule="exact"/>
          <w:jc w:val="center"/>
        </w:trPr>
        <w:tc>
          <w:tcPr>
            <w:tcW w:w="799"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建设单位</w:t>
            </w:r>
          </w:p>
          <w:p>
            <w:pPr>
              <w:adjustRightInd w:val="0"/>
              <w:snapToGrid w:val="0"/>
              <w:spacing w:line="340" w:lineRule="exact"/>
              <w:jc w:val="center"/>
              <w:rPr>
                <w:rFonts w:hint="eastAsia" w:ascii="方正仿宋_GBK" w:hAnsi="仿宋" w:eastAsia="方正仿宋_GBK"/>
                <w:bCs/>
                <w:sz w:val="24"/>
              </w:rPr>
            </w:pPr>
          </w:p>
        </w:tc>
        <w:tc>
          <w:tcPr>
            <w:tcW w:w="1352"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管理体系</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目标和制度</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质量、安全管理目标明确，质量安全责任、检查、安全生产费用等制度合理，可操作。</w:t>
            </w:r>
          </w:p>
        </w:tc>
        <w:tc>
          <w:tcPr>
            <w:tcW w:w="845" w:type="dxa"/>
            <w:noWrap w:val="0"/>
            <w:vAlign w:val="top"/>
          </w:tcPr>
          <w:p>
            <w:pPr>
              <w:snapToGrid w:val="0"/>
              <w:spacing w:line="240" w:lineRule="atLeas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机构与职责</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质量安全管理机构和岗位职责明确，责任落实。</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保障条件</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基础条件</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依法依规办理质量监督手续和审查安全生产条件，已开展安全风险管理，编制应急预案。</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7" w:hRule="exac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color w:val="000000"/>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color w:val="000000"/>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合同管理</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质量安全目标、保障条件和责任条款明确；工期按批复文件执行。</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5"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管理效能</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 xml:space="preserve"> 质量安全管控</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创新管理手段，推行先进技术工艺，有效开展项目自查，管理措施有效、针对性强。</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问题与隐患整改</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对自查及交通行政主管部门、质量安全监管机构抽查出的质量问题或安全隐患，及时组织整改到位。</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1" w:hRule="atLeast"/>
          <w:jc w:val="center"/>
        </w:trPr>
        <w:tc>
          <w:tcPr>
            <w:tcW w:w="799" w:type="dxa"/>
            <w:vMerge w:val="restart"/>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设计</w:t>
            </w:r>
          </w:p>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单位</w:t>
            </w:r>
          </w:p>
        </w:tc>
        <w:tc>
          <w:tcPr>
            <w:tcW w:w="1352" w:type="dxa"/>
            <w:vMerge w:val="restart"/>
            <w:noWrap w:val="0"/>
            <w:vAlign w:val="center"/>
          </w:tcPr>
          <w:p>
            <w:pPr>
              <w:adjustRightInd w:val="0"/>
              <w:snapToGrid w:val="0"/>
              <w:spacing w:line="340" w:lineRule="exact"/>
              <w:jc w:val="center"/>
              <w:rPr>
                <w:rFonts w:hint="eastAsia" w:ascii="方正仿宋_GBK" w:hAnsi="仿宋" w:eastAsia="方正仿宋_GBK"/>
                <w:sz w:val="24"/>
              </w:rPr>
            </w:pPr>
            <w:r>
              <w:rPr>
                <w:rFonts w:hint="eastAsia" w:ascii="方正仿宋_GBK" w:hAnsi="仿宋" w:eastAsia="方正仿宋_GBK"/>
                <w:sz w:val="24"/>
              </w:rPr>
              <w:t>勘察</w:t>
            </w:r>
          </w:p>
          <w:p>
            <w:pPr>
              <w:adjustRightInd w:val="0"/>
              <w:snapToGrid w:val="0"/>
              <w:spacing w:line="340" w:lineRule="exact"/>
              <w:jc w:val="center"/>
              <w:rPr>
                <w:rFonts w:hint="eastAsia" w:ascii="方正仿宋_GBK" w:hAnsi="仿宋" w:eastAsia="方正仿宋_GBK"/>
                <w:sz w:val="24"/>
              </w:rPr>
            </w:pPr>
            <w:r>
              <w:rPr>
                <w:rFonts w:hint="eastAsia" w:ascii="方正仿宋_GBK" w:hAnsi="仿宋" w:eastAsia="方正仿宋_GBK"/>
                <w:sz w:val="24"/>
              </w:rPr>
              <w:t>设计</w:t>
            </w:r>
          </w:p>
          <w:p>
            <w:pPr>
              <w:adjustRightInd w:val="0"/>
              <w:snapToGrid w:val="0"/>
              <w:spacing w:line="340" w:lineRule="exact"/>
              <w:jc w:val="center"/>
              <w:rPr>
                <w:rFonts w:hint="eastAsia" w:ascii="方正仿宋_GBK" w:hAnsi="仿宋" w:eastAsia="方正仿宋_GBK"/>
                <w:sz w:val="24"/>
              </w:rPr>
            </w:pPr>
            <w:r>
              <w:rPr>
                <w:rFonts w:hint="eastAsia" w:ascii="方正仿宋_GBK" w:hAnsi="仿宋" w:eastAsia="方正仿宋_GBK"/>
                <w:sz w:val="24"/>
              </w:rPr>
              <w:t>工作</w:t>
            </w:r>
          </w:p>
          <w:p>
            <w:pPr>
              <w:adjustRightInd w:val="0"/>
              <w:snapToGrid w:val="0"/>
              <w:spacing w:line="340" w:lineRule="exact"/>
              <w:jc w:val="center"/>
              <w:rPr>
                <w:rFonts w:hint="eastAsia" w:ascii="方正仿宋_GBK" w:hAnsi="仿宋" w:eastAsia="方正仿宋_GBK"/>
                <w:sz w:val="24"/>
              </w:rPr>
            </w:pPr>
            <w:r>
              <w:rPr>
                <w:rFonts w:hint="eastAsia" w:ascii="方正仿宋_GBK" w:hAnsi="仿宋" w:eastAsia="方正仿宋_GBK"/>
                <w:sz w:val="24"/>
              </w:rPr>
              <w:t>质量</w:t>
            </w:r>
          </w:p>
        </w:tc>
        <w:tc>
          <w:tcPr>
            <w:tcW w:w="169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工作质量</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设计符合工程实际，无重大错、漏现象，无设计深度不足导致的补充勘察或重大设计变更；设计服务工作到位、高效。</w:t>
            </w:r>
          </w:p>
        </w:tc>
        <w:tc>
          <w:tcPr>
            <w:tcW w:w="845" w:type="dxa"/>
            <w:noWrap w:val="0"/>
            <w:vAlign w:val="top"/>
          </w:tcPr>
          <w:p>
            <w:pPr>
              <w:adjustRightInd w:val="0"/>
              <w:snapToGrid w:val="0"/>
              <w:rPr>
                <w:rFonts w:hint="eastAsia" w:ascii="方正仿宋_GBK" w:hAnsi="仿宋" w:eastAsia="方正仿宋_GBK"/>
                <w:color w:val="FF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8" w:hRule="atLeast"/>
          <w:jc w:val="center"/>
        </w:trPr>
        <w:tc>
          <w:tcPr>
            <w:tcW w:w="799" w:type="dxa"/>
            <w:vMerge w:val="continue"/>
            <w:noWrap w:val="0"/>
            <w:vAlign w:val="center"/>
          </w:tcPr>
          <w:p>
            <w:pPr>
              <w:adjustRightInd w:val="0"/>
              <w:snapToGrid w:val="0"/>
              <w:spacing w:line="340" w:lineRule="exact"/>
              <w:rPr>
                <w:rFonts w:hint="eastAsia" w:ascii="方正仿宋_GBK" w:hAnsi="仿宋" w:eastAsia="方正仿宋_GBK"/>
                <w:sz w:val="24"/>
              </w:rPr>
            </w:pPr>
          </w:p>
        </w:tc>
        <w:tc>
          <w:tcPr>
            <w:tcW w:w="1352" w:type="dxa"/>
            <w:vMerge w:val="continue"/>
            <w:noWrap w:val="0"/>
            <w:vAlign w:val="center"/>
          </w:tcPr>
          <w:p>
            <w:pPr>
              <w:adjustRightInd w:val="0"/>
              <w:snapToGrid w:val="0"/>
              <w:spacing w:line="340" w:lineRule="exact"/>
              <w:rPr>
                <w:rFonts w:hint="eastAsia" w:ascii="方正仿宋_GBK" w:hAnsi="仿宋" w:eastAsia="方正仿宋_GBK"/>
                <w:sz w:val="24"/>
              </w:rPr>
            </w:pPr>
          </w:p>
        </w:tc>
        <w:tc>
          <w:tcPr>
            <w:tcW w:w="169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变更管理</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设计变更合理，办理及时，程序规范。</w:t>
            </w:r>
          </w:p>
        </w:tc>
        <w:tc>
          <w:tcPr>
            <w:tcW w:w="845" w:type="dxa"/>
            <w:noWrap w:val="0"/>
            <w:vAlign w:val="top"/>
          </w:tcPr>
          <w:p>
            <w:pPr>
              <w:adjustRightInd w:val="0"/>
              <w:snapToGrid w:val="0"/>
              <w:rPr>
                <w:rFonts w:hint="eastAsia" w:ascii="方正仿宋_GBK" w:hAnsi="仿宋" w:eastAsia="方正仿宋_GBK"/>
                <w:color w:val="FF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799" w:type="dxa"/>
            <w:vMerge w:val="continue"/>
            <w:noWrap w:val="0"/>
            <w:vAlign w:val="center"/>
          </w:tcPr>
          <w:p>
            <w:pPr>
              <w:adjustRightInd w:val="0"/>
              <w:snapToGrid w:val="0"/>
              <w:spacing w:line="340" w:lineRule="exact"/>
              <w:rPr>
                <w:rFonts w:hint="eastAsia" w:ascii="方正仿宋_GBK" w:hAnsi="仿宋" w:eastAsia="方正仿宋_GBK"/>
                <w:sz w:val="24"/>
              </w:rPr>
            </w:pPr>
          </w:p>
        </w:tc>
        <w:tc>
          <w:tcPr>
            <w:tcW w:w="1352" w:type="dxa"/>
            <w:vMerge w:val="continue"/>
            <w:noWrap w:val="0"/>
            <w:vAlign w:val="center"/>
          </w:tcPr>
          <w:p>
            <w:pPr>
              <w:adjustRightInd w:val="0"/>
              <w:snapToGrid w:val="0"/>
              <w:spacing w:line="340" w:lineRule="exact"/>
              <w:rPr>
                <w:rFonts w:hint="eastAsia" w:ascii="方正仿宋_GBK" w:hAnsi="仿宋" w:eastAsia="方正仿宋_GBK"/>
                <w:sz w:val="24"/>
              </w:rPr>
            </w:pPr>
          </w:p>
        </w:tc>
        <w:tc>
          <w:tcPr>
            <w:tcW w:w="169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风险预控</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开展设计风险评估，对项目安全生产管理有指导作用。</w:t>
            </w:r>
          </w:p>
        </w:tc>
        <w:tc>
          <w:tcPr>
            <w:tcW w:w="845" w:type="dxa"/>
            <w:noWrap w:val="0"/>
            <w:vAlign w:val="top"/>
          </w:tcPr>
          <w:p>
            <w:pPr>
              <w:adjustRightInd w:val="0"/>
              <w:snapToGrid w:val="0"/>
              <w:rPr>
                <w:rFonts w:hint="eastAsia" w:ascii="方正仿宋_GBK" w:hAnsi="仿宋" w:eastAsia="方正仿宋_GBK"/>
                <w:color w:val="FF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1" w:hRule="atLeast"/>
          <w:jc w:val="center"/>
        </w:trPr>
        <w:tc>
          <w:tcPr>
            <w:tcW w:w="799"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监理</w:t>
            </w:r>
          </w:p>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单位</w:t>
            </w:r>
          </w:p>
        </w:tc>
        <w:tc>
          <w:tcPr>
            <w:tcW w:w="1352"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机构建设</w:t>
            </w:r>
          </w:p>
        </w:tc>
        <w:tc>
          <w:tcPr>
            <w:tcW w:w="1696" w:type="dxa"/>
            <w:noWrap w:val="0"/>
            <w:vAlign w:val="center"/>
          </w:tcPr>
          <w:p>
            <w:pPr>
              <w:adjustRightInd w:val="0"/>
              <w:snapToGrid w:val="0"/>
              <w:spacing w:line="300" w:lineRule="exact"/>
              <w:jc w:val="center"/>
              <w:rPr>
                <w:rFonts w:hint="eastAsia" w:ascii="方正仿宋_GBK" w:hAnsi="仿宋" w:eastAsia="方正仿宋_GBK"/>
                <w:bCs/>
                <w:sz w:val="24"/>
              </w:rPr>
            </w:pPr>
            <w:r>
              <w:rPr>
                <w:rFonts w:hint="eastAsia" w:ascii="方正仿宋_GBK" w:hAnsi="仿宋" w:eastAsia="方正仿宋_GBK"/>
                <w:bCs/>
                <w:sz w:val="24"/>
              </w:rPr>
              <w:t>主要人员条件及</w:t>
            </w:r>
          </w:p>
          <w:p>
            <w:pPr>
              <w:adjustRightInd w:val="0"/>
              <w:snapToGrid w:val="0"/>
              <w:spacing w:line="300" w:lineRule="exact"/>
              <w:jc w:val="center"/>
              <w:rPr>
                <w:rFonts w:hint="eastAsia" w:ascii="方正仿宋_GBK" w:hAnsi="仿宋" w:eastAsia="方正仿宋_GBK"/>
                <w:bCs/>
                <w:sz w:val="24"/>
              </w:rPr>
            </w:pPr>
            <w:r>
              <w:rPr>
                <w:rFonts w:hint="eastAsia" w:ascii="方正仿宋_GBK" w:hAnsi="仿宋" w:eastAsia="方正仿宋_GBK"/>
                <w:bCs/>
                <w:sz w:val="24"/>
              </w:rPr>
              <w:t>岗位职责</w:t>
            </w:r>
          </w:p>
        </w:tc>
        <w:tc>
          <w:tcPr>
            <w:tcW w:w="5136" w:type="dxa"/>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sz w:val="24"/>
              </w:rPr>
              <w:t>总监、驻地监理工程师、实验室主任、桥梁（隧道、港口与航道、安全专业等）专业监理工程师条件和能力符合投标（文件）承诺。质量安全监理责任明确。</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restart"/>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监理工作</w:t>
            </w:r>
          </w:p>
        </w:tc>
        <w:tc>
          <w:tcPr>
            <w:tcW w:w="1696" w:type="dxa"/>
            <w:noWrap w:val="0"/>
            <w:vAlign w:val="center"/>
          </w:tcPr>
          <w:p>
            <w:pPr>
              <w:adjustRightInd w:val="0"/>
              <w:snapToGrid w:val="0"/>
              <w:spacing w:line="300" w:lineRule="exact"/>
              <w:jc w:val="center"/>
              <w:rPr>
                <w:rFonts w:hint="eastAsia" w:ascii="方正仿宋_GBK" w:hAnsi="仿宋" w:eastAsia="方正仿宋_GBK"/>
                <w:bCs/>
                <w:sz w:val="24"/>
              </w:rPr>
            </w:pPr>
            <w:r>
              <w:rPr>
                <w:rFonts w:hint="eastAsia" w:ascii="方正仿宋_GBK" w:hAnsi="仿宋" w:eastAsia="方正仿宋_GBK"/>
                <w:bCs/>
                <w:sz w:val="24"/>
              </w:rPr>
              <w:t>监理规划</w:t>
            </w:r>
          </w:p>
        </w:tc>
        <w:tc>
          <w:tcPr>
            <w:tcW w:w="5136" w:type="dxa"/>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sz w:val="24"/>
              </w:rPr>
              <w:t>及</w:t>
            </w:r>
            <w:r>
              <w:rPr>
                <w:rFonts w:hint="eastAsia" w:ascii="方正仿宋_GBK" w:hAnsi="仿宋" w:eastAsia="方正仿宋_GBK"/>
                <w:spacing w:val="-12"/>
                <w:sz w:val="24"/>
                <w:szCs w:val="24"/>
              </w:rPr>
              <w:t>时编制监理计划并经监理单位技术负责人签认。</w:t>
            </w:r>
          </w:p>
        </w:tc>
        <w:tc>
          <w:tcPr>
            <w:tcW w:w="845" w:type="dxa"/>
            <w:noWrap w:val="0"/>
            <w:vAlign w:val="top"/>
          </w:tcPr>
          <w:p>
            <w:pPr>
              <w:adjustRightInd w:val="0"/>
              <w:snapToGrid w:val="0"/>
              <w:rPr>
                <w:rFonts w:hint="eastAsia" w:ascii="方正仿宋_GBK" w:hAnsi="仿宋" w:eastAsia="方正仿宋_GBK"/>
                <w:bCs/>
                <w:color w:val="FF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4"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监理细则</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bCs/>
                <w:sz w:val="24"/>
              </w:rPr>
              <w:t>监理细则对关键环节等具有针对性和可控性。</w:t>
            </w:r>
          </w:p>
        </w:tc>
        <w:tc>
          <w:tcPr>
            <w:tcW w:w="845" w:type="dxa"/>
            <w:noWrap w:val="0"/>
            <w:vAlign w:val="top"/>
          </w:tcPr>
          <w:p>
            <w:pPr>
              <w:adjustRightInd w:val="0"/>
              <w:snapToGrid w:val="0"/>
              <w:rPr>
                <w:rFonts w:hint="eastAsia" w:ascii="方正仿宋_GBK" w:hAnsi="仿宋" w:eastAsia="方正仿宋_GBK"/>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审批报验</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bCs/>
                <w:sz w:val="24"/>
              </w:rPr>
              <w:t>施工组织设计及专项施工方案审查程序规范，审批及时，符合强制性标准要求。</w:t>
            </w:r>
          </w:p>
        </w:tc>
        <w:tc>
          <w:tcPr>
            <w:tcW w:w="845" w:type="dxa"/>
            <w:noWrap w:val="0"/>
            <w:vAlign w:val="top"/>
          </w:tcPr>
          <w:p>
            <w:pPr>
              <w:adjustRightInd w:val="0"/>
              <w:snapToGrid w:val="0"/>
              <w:rPr>
                <w:rFonts w:hint="eastAsia" w:ascii="方正仿宋_GBK" w:hAnsi="仿宋" w:eastAsia="方正仿宋_GBK"/>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旁站巡视</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bCs/>
                <w:sz w:val="24"/>
              </w:rPr>
              <w:t>按规定旁站和巡视，记录准确、详细、连续。</w:t>
            </w:r>
          </w:p>
        </w:tc>
        <w:tc>
          <w:tcPr>
            <w:tcW w:w="845" w:type="dxa"/>
            <w:noWrap w:val="0"/>
            <w:vAlign w:val="top"/>
          </w:tcPr>
          <w:p>
            <w:pPr>
              <w:adjustRightInd w:val="0"/>
              <w:snapToGrid w:val="0"/>
              <w:rPr>
                <w:rFonts w:hint="eastAsia" w:ascii="方正仿宋_GBK" w:hAnsi="仿宋" w:eastAsia="方正仿宋_GBK"/>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监理指令</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bCs/>
                <w:sz w:val="24"/>
              </w:rPr>
              <w:t>指令闭合，要求准确。</w:t>
            </w:r>
          </w:p>
        </w:tc>
        <w:tc>
          <w:tcPr>
            <w:tcW w:w="845" w:type="dxa"/>
            <w:noWrap w:val="0"/>
            <w:vAlign w:val="top"/>
          </w:tcPr>
          <w:p>
            <w:pPr>
              <w:adjustRightInd w:val="0"/>
              <w:snapToGrid w:val="0"/>
              <w:rPr>
                <w:rFonts w:hint="eastAsia" w:ascii="方正仿宋_GBK" w:hAnsi="仿宋" w:eastAsia="方正仿宋_GBK"/>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隐蔽工程交验</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验收及评定及时、规范，资料真实可信。</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1"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平行抽检</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频率满足要求</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352" w:type="dxa"/>
            <w:vMerge w:val="continue"/>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见证取、送样</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管理及时，程序完善，客观 真实</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center"/>
              <w:rPr>
                <w:rFonts w:hint="eastAsia" w:ascii="方正仿宋_GBK" w:hAnsi="仿宋" w:eastAsia="方正仿宋_GBK"/>
                <w:spacing w:val="-17"/>
                <w:sz w:val="24"/>
              </w:rPr>
            </w:pPr>
            <w:r>
              <w:rPr>
                <w:rFonts w:hint="eastAsia" w:ascii="方正仿宋_GBK" w:hAnsi="仿宋" w:eastAsia="方正仿宋_GBK"/>
                <w:spacing w:val="-17"/>
                <w:sz w:val="24"/>
              </w:rPr>
              <w:t>施工单位</w:t>
            </w:r>
          </w:p>
        </w:tc>
        <w:tc>
          <w:tcPr>
            <w:tcW w:w="1352"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管理体系</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目标和制度</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质量、安全管理目标与合同一致性，质量安全制度合理，有针对性。</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center"/>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机构与职责</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质量安全管理机构和岗位职责明确，责任落实,相关证件齐全。</w:t>
            </w:r>
            <w:r>
              <w:rPr>
                <w:rFonts w:hint="eastAsia" w:ascii="方正仿宋_GBK" w:hAnsi="仿宋" w:eastAsia="方正仿宋_GBK"/>
                <w:bCs/>
                <w:sz w:val="24"/>
              </w:rPr>
              <w:t>按合同人员履职情况。</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施工组织</w:t>
            </w:r>
          </w:p>
          <w:p>
            <w:pPr>
              <w:adjustRightInd w:val="0"/>
              <w:snapToGrid w:val="0"/>
              <w:spacing w:line="340" w:lineRule="exact"/>
              <w:jc w:val="center"/>
              <w:rPr>
                <w:rFonts w:hint="eastAsia" w:ascii="方正仿宋_GBK" w:hAnsi="仿宋" w:eastAsia="方正仿宋_GBK"/>
                <w:bCs/>
                <w:color w:val="FF0000"/>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施工组织设计及专项施工方案</w:t>
            </w:r>
          </w:p>
        </w:tc>
        <w:tc>
          <w:tcPr>
            <w:tcW w:w="5136" w:type="dxa"/>
            <w:noWrap w:val="0"/>
            <w:vAlign w:val="center"/>
          </w:tcPr>
          <w:p>
            <w:pPr>
              <w:adjustRightInd w:val="0"/>
              <w:snapToGrid w:val="0"/>
              <w:spacing w:line="340" w:lineRule="exact"/>
              <w:jc w:val="left"/>
              <w:rPr>
                <w:rFonts w:hint="eastAsia" w:ascii="方正仿宋_GBK" w:hAnsi="仿宋" w:eastAsia="方正仿宋_GBK"/>
                <w:bCs/>
                <w:sz w:val="24"/>
              </w:rPr>
            </w:pPr>
            <w:r>
              <w:rPr>
                <w:rFonts w:hint="eastAsia" w:ascii="方正仿宋_GBK" w:hAnsi="仿宋" w:eastAsia="方正仿宋_GBK"/>
                <w:bCs/>
                <w:sz w:val="24"/>
              </w:rPr>
              <w:t>施工组织设计及专项施工方案</w:t>
            </w:r>
            <w:r>
              <w:rPr>
                <w:rFonts w:hint="eastAsia" w:ascii="方正仿宋_GBK" w:hAnsi="仿宋" w:eastAsia="方正仿宋_GBK"/>
                <w:sz w:val="24"/>
              </w:rPr>
              <w:t>符合工程实际，具有针对性和可操作性，按规定程序审查、审批；大型临时工程设计方案计算资料齐全、校验审核程序规范。</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rPr>
                <w:rFonts w:hint="eastAsia" w:ascii="方正仿宋_GBK" w:hAnsi="仿宋" w:eastAsia="方正仿宋_GBK"/>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施工技术交底与培训</w:t>
            </w:r>
          </w:p>
        </w:tc>
        <w:tc>
          <w:tcPr>
            <w:tcW w:w="5136" w:type="dxa"/>
            <w:noWrap w:val="0"/>
            <w:vAlign w:val="center"/>
          </w:tcPr>
          <w:p>
            <w:pPr>
              <w:adjustRightInd w:val="0"/>
              <w:snapToGrid w:val="0"/>
              <w:spacing w:line="340" w:lineRule="exact"/>
              <w:rPr>
                <w:rFonts w:hint="eastAsia" w:ascii="方正仿宋_GBK" w:hAnsi="仿宋" w:eastAsia="方正仿宋_GBK"/>
                <w:sz w:val="24"/>
              </w:rPr>
            </w:pPr>
            <w:r>
              <w:rPr>
                <w:rFonts w:hint="eastAsia" w:ascii="方正仿宋_GBK" w:hAnsi="仿宋" w:eastAsia="方正仿宋_GBK"/>
                <w:sz w:val="24"/>
              </w:rPr>
              <w:t>交底到一线人员，记录详实。施工单位或项目部培训制度健全、有计划，有记录，有检查。</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8"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质量管理</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原材料及产品</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原材料、产品出厂合格证齐全；自验规定健全，程序规范。</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9"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rPr>
                <w:rFonts w:hint="eastAsia" w:ascii="方正仿宋_GBK" w:hAnsi="仿宋" w:eastAsia="方正仿宋_GBK"/>
                <w:bCs/>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施工自检</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bCs/>
                <w:sz w:val="24"/>
              </w:rPr>
              <w:t>体系健全，管理规范，测量和自检数据和报告客观、真实、完整。</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0"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rPr>
                <w:rFonts w:hint="eastAsia" w:ascii="方正仿宋_GBK" w:hAnsi="仿宋" w:eastAsia="方正仿宋_GBK"/>
                <w:bCs/>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质量问题整改</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对交通行政主管部门、质监机构、建设和监理单位检查（监理指令）提出的质量问题举一反三，对照要求及时整改落实到位。</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6"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pacing w:val="-17"/>
                <w:sz w:val="24"/>
              </w:rPr>
            </w:pPr>
            <w:r>
              <w:rPr>
                <w:rFonts w:hint="eastAsia" w:ascii="方正仿宋_GBK" w:hAnsi="仿宋" w:eastAsia="方正仿宋_GBK"/>
                <w:bCs/>
                <w:sz w:val="24"/>
              </w:rPr>
              <w:t>安全管理</w:t>
            </w: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风险防控</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bCs/>
                <w:sz w:val="24"/>
              </w:rPr>
              <w:t>按规定开展施工安全风险评估，专项施工方案、应急预案编制及时并按规定审查和实施。有效开展安全隐患排查和平安工地建设等各项工作。</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bCs/>
                <w:sz w:val="24"/>
              </w:rPr>
              <w:t>安全投入</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bCs/>
                <w:sz w:val="24"/>
              </w:rPr>
              <w:t>安全专项费用使用规范，安全投入满足施工安全需要。</w:t>
            </w:r>
          </w:p>
        </w:tc>
        <w:tc>
          <w:tcPr>
            <w:tcW w:w="845" w:type="dxa"/>
            <w:noWrap w:val="0"/>
            <w:vAlign w:val="top"/>
          </w:tcPr>
          <w:p>
            <w:pPr>
              <w:adjustRightInd w:val="0"/>
              <w:snapToGrid w:val="0"/>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799" w:type="dxa"/>
            <w:noWrap w:val="0"/>
            <w:vAlign w:val="center"/>
          </w:tcPr>
          <w:p>
            <w:pPr>
              <w:adjustRightInd w:val="0"/>
              <w:snapToGrid w:val="0"/>
              <w:spacing w:line="340" w:lineRule="exact"/>
              <w:jc w:val="left"/>
              <w:rPr>
                <w:rFonts w:hint="eastAsia" w:ascii="方正仿宋_GBK" w:hAnsi="仿宋" w:eastAsia="方正仿宋_GBK"/>
                <w:spacing w:val="-17"/>
                <w:sz w:val="24"/>
              </w:rPr>
            </w:pPr>
          </w:p>
        </w:tc>
        <w:tc>
          <w:tcPr>
            <w:tcW w:w="1352" w:type="dxa"/>
            <w:noWrap w:val="0"/>
            <w:vAlign w:val="center"/>
          </w:tcPr>
          <w:p>
            <w:pPr>
              <w:adjustRightInd w:val="0"/>
              <w:snapToGrid w:val="0"/>
              <w:spacing w:line="340" w:lineRule="exact"/>
              <w:jc w:val="center"/>
              <w:rPr>
                <w:rFonts w:hint="eastAsia" w:ascii="方正仿宋_GBK" w:hAnsi="仿宋" w:eastAsia="方正仿宋_GBK"/>
                <w:bCs/>
                <w:spacing w:val="-17"/>
                <w:sz w:val="24"/>
              </w:rPr>
            </w:pPr>
          </w:p>
        </w:tc>
        <w:tc>
          <w:tcPr>
            <w:tcW w:w="1696" w:type="dxa"/>
            <w:noWrap w:val="0"/>
            <w:vAlign w:val="center"/>
          </w:tcPr>
          <w:p>
            <w:pPr>
              <w:adjustRightInd w:val="0"/>
              <w:snapToGrid w:val="0"/>
              <w:spacing w:line="340" w:lineRule="exact"/>
              <w:jc w:val="center"/>
              <w:rPr>
                <w:rFonts w:hint="eastAsia" w:ascii="方正仿宋_GBK" w:hAnsi="仿宋" w:eastAsia="方正仿宋_GBK"/>
                <w:bCs/>
                <w:sz w:val="24"/>
              </w:rPr>
            </w:pPr>
            <w:r>
              <w:rPr>
                <w:rFonts w:hint="eastAsia" w:ascii="方正仿宋_GBK" w:hAnsi="仿宋" w:eastAsia="方正仿宋_GBK"/>
                <w:sz w:val="24"/>
              </w:rPr>
              <w:t>安全</w:t>
            </w:r>
            <w:r>
              <w:rPr>
                <w:rFonts w:hint="eastAsia" w:ascii="方正仿宋_GBK" w:hAnsi="仿宋" w:eastAsia="方正仿宋_GBK"/>
                <w:bCs/>
                <w:sz w:val="24"/>
              </w:rPr>
              <w:t>隐患整改</w:t>
            </w:r>
          </w:p>
        </w:tc>
        <w:tc>
          <w:tcPr>
            <w:tcW w:w="5136" w:type="dxa"/>
            <w:noWrap w:val="0"/>
            <w:vAlign w:val="center"/>
          </w:tcPr>
          <w:p>
            <w:pPr>
              <w:adjustRightInd w:val="0"/>
              <w:snapToGrid w:val="0"/>
              <w:spacing w:line="340" w:lineRule="exact"/>
              <w:rPr>
                <w:rFonts w:hint="eastAsia" w:ascii="方正仿宋_GBK" w:hAnsi="仿宋" w:eastAsia="方正仿宋_GBK"/>
                <w:bCs/>
                <w:sz w:val="24"/>
              </w:rPr>
            </w:pPr>
            <w:r>
              <w:rPr>
                <w:rFonts w:hint="eastAsia" w:ascii="方正仿宋_GBK" w:hAnsi="仿宋" w:eastAsia="方正仿宋_GBK"/>
                <w:sz w:val="24"/>
              </w:rPr>
              <w:t>按照相关规定，对安全隐患及时整改。</w:t>
            </w:r>
          </w:p>
        </w:tc>
        <w:tc>
          <w:tcPr>
            <w:tcW w:w="845" w:type="dxa"/>
            <w:noWrap w:val="0"/>
            <w:vAlign w:val="top"/>
          </w:tcPr>
          <w:p>
            <w:pPr>
              <w:adjustRightInd w:val="0"/>
              <w:snapToGrid w:val="0"/>
              <w:rPr>
                <w:rFonts w:hint="eastAsia" w:ascii="方正仿宋_GBK" w:hAnsi="仿宋" w:eastAsia="方正仿宋_GBK"/>
                <w:sz w:val="24"/>
              </w:rPr>
            </w:pPr>
          </w:p>
        </w:tc>
      </w:tr>
    </w:tbl>
    <w:p>
      <w:pPr>
        <w:spacing w:line="240" w:lineRule="atLeast"/>
        <w:rPr>
          <w:rFonts w:hint="eastAsia" w:ascii="黑体" w:hAnsi="黑体" w:eastAsia="黑体" w:cs="华文宋体"/>
          <w:bCs/>
          <w:sz w:val="32"/>
          <w:szCs w:val="32"/>
        </w:rPr>
      </w:pPr>
    </w:p>
    <w:p>
      <w:pPr>
        <w:spacing w:line="240" w:lineRule="atLeast"/>
        <w:rPr>
          <w:rFonts w:hint="eastAsia" w:ascii="黑体" w:hAnsi="黑体" w:eastAsia="黑体" w:cs="华文宋体"/>
          <w:bCs/>
          <w:sz w:val="32"/>
          <w:szCs w:val="32"/>
        </w:rPr>
      </w:pPr>
      <w:r>
        <w:rPr>
          <w:rFonts w:hint="eastAsia" w:ascii="黑体" w:hAnsi="黑体" w:eastAsia="黑体" w:cs="华文宋体"/>
          <w:bCs/>
          <w:sz w:val="32"/>
          <w:szCs w:val="32"/>
        </w:rPr>
        <w:t>附表3</w:t>
      </w: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cs="华文宋体"/>
          <w:bCs/>
          <w:sz w:val="32"/>
          <w:szCs w:val="32"/>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600" w:lineRule="exact"/>
        <w:ind w:left="189" w:leftChars="-135" w:right="-197" w:rightChars="-94" w:hanging="472" w:hangingChars="118"/>
        <w:jc w:val="center"/>
        <w:textAlignment w:val="auto"/>
        <w:rPr>
          <w:rFonts w:hint="eastAsia" w:ascii="方正小标宋_GBK" w:hAnsi="宋体-18030" w:eastAsia="方正小标宋_GBK" w:cs="宋体-18030"/>
          <w:bCs/>
          <w:spacing w:val="-20"/>
          <w:sz w:val="44"/>
          <w:szCs w:val="44"/>
        </w:rPr>
      </w:pPr>
      <w:r>
        <w:rPr>
          <w:rFonts w:hint="eastAsia" w:ascii="方正小标宋_GBK" w:hAnsi="宋体-18030" w:eastAsia="方正小标宋_GBK" w:cs="宋体-18030"/>
          <w:bCs/>
          <w:spacing w:val="-20"/>
          <w:sz w:val="44"/>
          <w:szCs w:val="44"/>
        </w:rPr>
        <w:t>重庆区县公路工程项目施工工艺及现场安全督查表</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600" w:lineRule="exact"/>
        <w:ind w:left="189" w:leftChars="-135" w:right="-197" w:rightChars="-94" w:hanging="472" w:hangingChars="118"/>
        <w:jc w:val="center"/>
        <w:textAlignment w:val="auto"/>
        <w:rPr>
          <w:rFonts w:hint="eastAsia" w:ascii="方正小标宋_GBK" w:hAnsi="宋体-18030" w:eastAsia="方正小标宋_GBK" w:cs="宋体-18030"/>
          <w:bCs/>
          <w:spacing w:val="-20"/>
          <w:sz w:val="44"/>
          <w:szCs w:val="44"/>
        </w:rPr>
      </w:pPr>
    </w:p>
    <w:tbl>
      <w:tblPr>
        <w:tblStyle w:val="7"/>
        <w:tblW w:w="103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0"/>
        <w:gridCol w:w="612"/>
        <w:gridCol w:w="942"/>
        <w:gridCol w:w="618"/>
        <w:gridCol w:w="6515"/>
        <w:gridCol w:w="8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1442" w:type="dxa"/>
            <w:gridSpan w:val="2"/>
            <w:noWrap w:val="0"/>
            <w:tcMar>
              <w:top w:w="0" w:type="dxa"/>
              <w:left w:w="0" w:type="dxa"/>
              <w:bottom w:w="0" w:type="dxa"/>
              <w:right w:w="0" w:type="dxa"/>
            </w:tcMar>
            <w:vAlign w:val="center"/>
          </w:tcPr>
          <w:p>
            <w:pPr>
              <w:snapToGrid w:val="0"/>
              <w:spacing w:line="240" w:lineRule="atLeast"/>
              <w:jc w:val="center"/>
              <w:rPr>
                <w:rFonts w:ascii="黑体" w:hAnsi="黑体" w:eastAsia="黑体"/>
                <w:bCs/>
                <w:spacing w:val="-12"/>
                <w:sz w:val="24"/>
              </w:rPr>
            </w:pPr>
            <w:r>
              <w:rPr>
                <w:rFonts w:hint="eastAsia" w:ascii="黑体" w:hAnsi="黑体" w:eastAsia="黑体"/>
                <w:bCs/>
                <w:spacing w:val="-12"/>
                <w:sz w:val="24"/>
              </w:rPr>
              <w:t>督查内容</w:t>
            </w:r>
          </w:p>
        </w:tc>
        <w:tc>
          <w:tcPr>
            <w:tcW w:w="1560" w:type="dxa"/>
            <w:gridSpan w:val="2"/>
            <w:noWrap w:val="0"/>
            <w:tcMar>
              <w:top w:w="0" w:type="dxa"/>
              <w:left w:w="0" w:type="dxa"/>
              <w:bottom w:w="0" w:type="dxa"/>
              <w:right w:w="0" w:type="dxa"/>
            </w:tcMar>
            <w:vAlign w:val="center"/>
          </w:tcPr>
          <w:p>
            <w:pPr>
              <w:snapToGrid w:val="0"/>
              <w:spacing w:line="240" w:lineRule="atLeast"/>
              <w:jc w:val="center"/>
              <w:rPr>
                <w:rFonts w:ascii="黑体" w:hAnsi="黑体" w:eastAsia="黑体"/>
                <w:bCs/>
                <w:spacing w:val="-12"/>
                <w:sz w:val="24"/>
              </w:rPr>
            </w:pPr>
            <w:r>
              <w:rPr>
                <w:rFonts w:hint="eastAsia" w:ascii="黑体" w:hAnsi="黑体" w:eastAsia="黑体"/>
                <w:bCs/>
                <w:spacing w:val="-12"/>
                <w:sz w:val="24"/>
              </w:rPr>
              <w:t>督检指标项</w:t>
            </w:r>
          </w:p>
        </w:tc>
        <w:tc>
          <w:tcPr>
            <w:tcW w:w="6515" w:type="dxa"/>
            <w:noWrap w:val="0"/>
            <w:tcMar>
              <w:top w:w="0" w:type="dxa"/>
              <w:left w:w="0" w:type="dxa"/>
              <w:bottom w:w="0" w:type="dxa"/>
              <w:right w:w="0" w:type="dxa"/>
            </w:tcMar>
            <w:vAlign w:val="center"/>
          </w:tcPr>
          <w:p>
            <w:pPr>
              <w:snapToGrid w:val="0"/>
              <w:spacing w:line="240" w:lineRule="atLeast"/>
              <w:jc w:val="center"/>
              <w:rPr>
                <w:rFonts w:ascii="黑体" w:hAnsi="黑体" w:eastAsia="黑体"/>
                <w:bCs/>
                <w:spacing w:val="-12"/>
                <w:sz w:val="24"/>
              </w:rPr>
            </w:pPr>
            <w:r>
              <w:rPr>
                <w:rFonts w:hint="eastAsia" w:ascii="黑体" w:hAnsi="黑体" w:eastAsia="黑体"/>
                <w:bCs/>
                <w:spacing w:val="-12"/>
                <w:sz w:val="24"/>
              </w:rPr>
              <w:t>标准和要求</w:t>
            </w:r>
          </w:p>
        </w:tc>
        <w:tc>
          <w:tcPr>
            <w:tcW w:w="822" w:type="dxa"/>
            <w:noWrap w:val="0"/>
            <w:vAlign w:val="top"/>
          </w:tcPr>
          <w:p>
            <w:pPr>
              <w:snapToGrid w:val="0"/>
              <w:spacing w:line="240" w:lineRule="atLeast"/>
              <w:jc w:val="center"/>
              <w:rPr>
                <w:rFonts w:hint="eastAsia" w:ascii="黑体" w:hAnsi="黑体" w:eastAsia="黑体" w:cs="宋体"/>
                <w:sz w:val="24"/>
              </w:rPr>
            </w:pPr>
            <w:r>
              <w:rPr>
                <w:rFonts w:hint="eastAsia" w:ascii="黑体" w:hAnsi="黑体" w:eastAsia="黑体" w:cs="宋体"/>
                <w:sz w:val="24"/>
              </w:rPr>
              <w:t>检查</w:t>
            </w:r>
          </w:p>
          <w:p>
            <w:pPr>
              <w:snapToGrid w:val="0"/>
              <w:spacing w:line="240" w:lineRule="atLeast"/>
              <w:jc w:val="center"/>
              <w:rPr>
                <w:rFonts w:hint="eastAsia" w:ascii="黑体" w:hAnsi="黑体" w:eastAsia="黑体"/>
                <w:bCs/>
                <w:spacing w:val="-12"/>
                <w:sz w:val="24"/>
              </w:rPr>
            </w:pPr>
            <w:r>
              <w:rPr>
                <w:rFonts w:hint="eastAsia" w:ascii="黑体" w:hAnsi="黑体" w:eastAsia="黑体" w:cs="宋体"/>
                <w:sz w:val="24"/>
              </w:rPr>
              <w:t>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1442" w:type="dxa"/>
            <w:gridSpan w:val="2"/>
            <w:vMerge w:val="restart"/>
            <w:noWrap w:val="0"/>
            <w:vAlign w:val="center"/>
          </w:tcPr>
          <w:p>
            <w:pPr>
              <w:adjustRightInd w:val="0"/>
              <w:snapToGrid w:val="0"/>
              <w:spacing w:line="240" w:lineRule="exact"/>
              <w:jc w:val="center"/>
              <w:rPr>
                <w:rFonts w:hint="eastAsia" w:ascii="方正仿宋_GBK" w:hAnsi="仿宋" w:eastAsia="方正仿宋_GBK"/>
                <w:bCs/>
                <w:sz w:val="24"/>
              </w:rPr>
            </w:pPr>
            <w:r>
              <w:rPr>
                <w:rFonts w:hint="eastAsia" w:ascii="方正仿宋_GBK" w:hAnsi="仿宋" w:eastAsia="方正仿宋_GBK"/>
                <w:spacing w:val="-12"/>
                <w:sz w:val="24"/>
              </w:rPr>
              <w:t>基本条件</w:t>
            </w:r>
          </w:p>
        </w:tc>
        <w:tc>
          <w:tcPr>
            <w:tcW w:w="1560" w:type="dxa"/>
            <w:gridSpan w:val="2"/>
            <w:noWrap w:val="0"/>
            <w:tcMar>
              <w:top w:w="0" w:type="dxa"/>
              <w:left w:w="28" w:type="dxa"/>
              <w:bottom w:w="0" w:type="dxa"/>
              <w:right w:w="28" w:type="dxa"/>
            </w:tcMar>
            <w:vAlign w:val="center"/>
          </w:tcPr>
          <w:p>
            <w:pPr>
              <w:adjustRightInd w:val="0"/>
              <w:snapToGrid w:val="0"/>
              <w:spacing w:line="240" w:lineRule="exact"/>
              <w:jc w:val="center"/>
              <w:rPr>
                <w:rFonts w:hint="eastAsia" w:ascii="方正仿宋_GBK" w:hAnsi="仿宋" w:eastAsia="方正仿宋_GBK"/>
                <w:bCs/>
                <w:sz w:val="24"/>
              </w:rPr>
            </w:pPr>
            <w:r>
              <w:rPr>
                <w:rFonts w:hint="eastAsia" w:ascii="方正仿宋_GBK" w:hAnsi="仿宋" w:eastAsia="方正仿宋_GBK"/>
                <w:bCs/>
                <w:sz w:val="24"/>
              </w:rPr>
              <w:t>场地建设</w:t>
            </w:r>
          </w:p>
        </w:tc>
        <w:tc>
          <w:tcPr>
            <w:tcW w:w="6515" w:type="dxa"/>
            <w:noWrap w:val="0"/>
            <w:tcMar>
              <w:top w:w="0" w:type="dxa"/>
              <w:left w:w="28" w:type="dxa"/>
              <w:bottom w:w="0" w:type="dxa"/>
              <w:right w:w="28" w:type="dxa"/>
            </w:tcMar>
            <w:vAlign w:val="center"/>
          </w:tcPr>
          <w:p>
            <w:pPr>
              <w:adjustRightInd w:val="0"/>
              <w:snapToGrid w:val="0"/>
              <w:spacing w:line="240" w:lineRule="exact"/>
              <w:rPr>
                <w:rFonts w:hint="eastAsia" w:ascii="方正仿宋_GBK" w:hAnsi="仿宋" w:eastAsia="方正仿宋_GBK"/>
                <w:spacing w:val="-12"/>
                <w:sz w:val="24"/>
              </w:rPr>
            </w:pPr>
            <w:r>
              <w:rPr>
                <w:rFonts w:hint="eastAsia" w:ascii="方正仿宋_GBK" w:hAnsi="仿宋" w:eastAsia="方正仿宋_GBK"/>
                <w:bCs/>
                <w:sz w:val="24"/>
              </w:rPr>
              <w:t>选址及场地布置</w:t>
            </w:r>
            <w:r>
              <w:rPr>
                <w:rFonts w:hint="eastAsia" w:ascii="方正仿宋_GBK" w:hAnsi="仿宋" w:eastAsia="方正仿宋_GBK" w:cs="宋体"/>
                <w:bCs/>
                <w:color w:val="000000"/>
                <w:kern w:val="0"/>
                <w:sz w:val="24"/>
              </w:rPr>
              <w:t>符合安全、文明施工要求。料场、拌合站符合要求；</w:t>
            </w:r>
            <w:r>
              <w:rPr>
                <w:rFonts w:hint="eastAsia" w:ascii="方正仿宋_GBK" w:hAnsi="仿宋" w:eastAsia="方正仿宋_GBK"/>
                <w:bCs/>
                <w:sz w:val="24"/>
              </w:rPr>
              <w:t>便桥、便道设置合理。安全标示齐全，危险品、消防、临时用电管理规范。</w:t>
            </w:r>
          </w:p>
        </w:tc>
        <w:tc>
          <w:tcPr>
            <w:tcW w:w="822" w:type="dxa"/>
            <w:noWrap w:val="0"/>
            <w:vAlign w:val="top"/>
          </w:tcPr>
          <w:p>
            <w:pPr>
              <w:adjustRightInd w:val="0"/>
              <w:snapToGrid w:val="0"/>
              <w:spacing w:line="240" w:lineRule="exact"/>
              <w:rPr>
                <w:rFonts w:hint="eastAsia" w:ascii="方正仿宋_GBK" w:hAnsi="仿宋" w:eastAsia="方正仿宋_GBK"/>
                <w:bCs/>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1442" w:type="dxa"/>
            <w:gridSpan w:val="2"/>
            <w:vMerge w:val="continue"/>
            <w:noWrap w:val="0"/>
            <w:vAlign w:val="center"/>
          </w:tcPr>
          <w:p>
            <w:pPr>
              <w:adjustRightInd w:val="0"/>
              <w:snapToGrid w:val="0"/>
              <w:spacing w:line="240" w:lineRule="exact"/>
              <w:jc w:val="center"/>
              <w:rPr>
                <w:rFonts w:hint="eastAsia" w:ascii="方正仿宋_GBK" w:hAnsi="仿宋" w:eastAsia="方正仿宋_GBK" w:cs="宋体"/>
                <w:bCs/>
                <w:color w:val="000000"/>
                <w:kern w:val="0"/>
                <w:sz w:val="24"/>
              </w:rPr>
            </w:pPr>
          </w:p>
        </w:tc>
        <w:tc>
          <w:tcPr>
            <w:tcW w:w="1560" w:type="dxa"/>
            <w:gridSpan w:val="2"/>
            <w:noWrap w:val="0"/>
            <w:tcMar>
              <w:top w:w="0" w:type="dxa"/>
              <w:left w:w="28" w:type="dxa"/>
              <w:bottom w:w="0" w:type="dxa"/>
              <w:right w:w="28" w:type="dxa"/>
            </w:tcMar>
            <w:vAlign w:val="center"/>
          </w:tcPr>
          <w:p>
            <w:pPr>
              <w:adjustRightInd w:val="0"/>
              <w:snapToGrid w:val="0"/>
              <w:spacing w:line="240" w:lineRule="exact"/>
              <w:jc w:val="center"/>
              <w:rPr>
                <w:rFonts w:hint="eastAsia" w:ascii="方正仿宋_GBK" w:hAnsi="仿宋" w:eastAsia="方正仿宋_GBK" w:cs="宋体"/>
                <w:bCs/>
                <w:color w:val="000000"/>
                <w:kern w:val="0"/>
                <w:sz w:val="24"/>
              </w:rPr>
            </w:pPr>
            <w:r>
              <w:rPr>
                <w:rFonts w:hint="eastAsia" w:ascii="方正仿宋_GBK" w:hAnsi="仿宋" w:eastAsia="方正仿宋_GBK" w:cs="宋体"/>
                <w:bCs/>
                <w:color w:val="000000"/>
                <w:kern w:val="0"/>
                <w:sz w:val="24"/>
              </w:rPr>
              <w:t>设备机具</w:t>
            </w:r>
          </w:p>
        </w:tc>
        <w:tc>
          <w:tcPr>
            <w:tcW w:w="6515" w:type="dxa"/>
            <w:noWrap w:val="0"/>
            <w:tcMar>
              <w:top w:w="0" w:type="dxa"/>
              <w:left w:w="28" w:type="dxa"/>
              <w:bottom w:w="0" w:type="dxa"/>
              <w:right w:w="28" w:type="dxa"/>
            </w:tcMar>
            <w:vAlign w:val="center"/>
          </w:tcPr>
          <w:p>
            <w:pPr>
              <w:adjustRightInd w:val="0"/>
              <w:snapToGrid w:val="0"/>
              <w:spacing w:line="240" w:lineRule="exact"/>
              <w:jc w:val="left"/>
              <w:rPr>
                <w:rFonts w:hint="eastAsia" w:ascii="方正仿宋_GBK" w:hAnsi="仿宋" w:eastAsia="方正仿宋_GBK" w:cs="宋体"/>
                <w:bCs/>
                <w:color w:val="000000"/>
                <w:kern w:val="0"/>
                <w:sz w:val="24"/>
              </w:rPr>
            </w:pPr>
            <w:r>
              <w:rPr>
                <w:rFonts w:hint="eastAsia" w:ascii="方正仿宋_GBK" w:hAnsi="仿宋" w:eastAsia="方正仿宋_GBK" w:cs="宋体"/>
                <w:bCs/>
                <w:color w:val="000000"/>
                <w:kern w:val="0"/>
                <w:sz w:val="24"/>
              </w:rPr>
              <w:t>用电规范，</w:t>
            </w:r>
            <w:r>
              <w:rPr>
                <w:rFonts w:hint="eastAsia" w:ascii="方正仿宋_GBK" w:hAnsi="仿宋" w:eastAsia="方正仿宋_GBK"/>
                <w:bCs/>
                <w:sz w:val="24"/>
              </w:rPr>
              <w:t>安全标示</w:t>
            </w:r>
            <w:r>
              <w:rPr>
                <w:rFonts w:hint="eastAsia" w:ascii="方正仿宋_GBK" w:hAnsi="仿宋" w:eastAsia="方正仿宋_GBK" w:cs="宋体"/>
                <w:bCs/>
                <w:color w:val="000000"/>
                <w:kern w:val="0"/>
                <w:sz w:val="24"/>
              </w:rPr>
              <w:t>、防护装置齐全。起重、升降等特种设备按规定检验或验收合格，操作人员持证上岗。</w:t>
            </w:r>
          </w:p>
        </w:tc>
        <w:tc>
          <w:tcPr>
            <w:tcW w:w="822" w:type="dxa"/>
            <w:noWrap w:val="0"/>
            <w:vAlign w:val="top"/>
          </w:tcPr>
          <w:p>
            <w:pPr>
              <w:adjustRightInd w:val="0"/>
              <w:snapToGrid w:val="0"/>
              <w:spacing w:line="240" w:lineRule="exact"/>
              <w:jc w:val="left"/>
              <w:rPr>
                <w:rFonts w:hint="eastAsia" w:ascii="方正仿宋_GBK" w:hAnsi="仿宋" w:eastAsia="方正仿宋_GBK" w:cs="宋体"/>
                <w:bCs/>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526" w:hRule="atLeast"/>
          <w:jc w:val="center"/>
        </w:trPr>
        <w:tc>
          <w:tcPr>
            <w:tcW w:w="1442" w:type="dxa"/>
            <w:gridSpan w:val="2"/>
            <w:vMerge w:val="restart"/>
            <w:noWrap w:val="0"/>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路基工程</w:t>
            </w: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开挖与填筑</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2"/>
                <w:sz w:val="24"/>
              </w:rPr>
            </w:pPr>
            <w:r>
              <w:rPr>
                <w:rFonts w:hint="eastAsia" w:ascii="方正仿宋_GBK" w:hAnsi="仿宋" w:eastAsia="方正仿宋_GBK"/>
                <w:spacing w:val="-12"/>
                <w:sz w:val="24"/>
              </w:rPr>
              <w:t>路堑开挖规范有序；路堤分层填筑、压实，填料符合设计要求。</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837" w:hRule="atLeast"/>
          <w:jc w:val="center"/>
        </w:trPr>
        <w:tc>
          <w:tcPr>
            <w:tcW w:w="1442" w:type="dxa"/>
            <w:gridSpan w:val="2"/>
            <w:vMerge w:val="continue"/>
            <w:noWrap w:val="0"/>
            <w:textDirection w:val="tbRlV"/>
            <w:vAlign w:val="center"/>
          </w:tcPr>
          <w:p>
            <w:pPr>
              <w:snapToGrid w:val="0"/>
              <w:spacing w:line="240" w:lineRule="exact"/>
              <w:jc w:val="center"/>
              <w:rPr>
                <w:rFonts w:hint="eastAsia" w:ascii="方正仿宋_GBK" w:hAnsi="仿宋" w:eastAsia="方正仿宋_GBK"/>
                <w:spacing w:val="-12"/>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高边坡施工</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2"/>
                <w:sz w:val="24"/>
              </w:rPr>
            </w:pPr>
            <w:r>
              <w:rPr>
                <w:rFonts w:hint="eastAsia" w:ascii="方正仿宋_GBK" w:hAnsi="仿宋" w:eastAsia="方正仿宋_GBK"/>
                <w:spacing w:val="-12"/>
                <w:sz w:val="24"/>
              </w:rPr>
              <w:t>高边坡、滑坡体、危石段设置风险源告知和警示牌，脚手架搭设正确、防护有效，避免立体交叉作业。靠近交通要道作业时设置隔离措施，爆破施工、开挖或装运作业规范。</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425" w:hRule="atLeast"/>
          <w:jc w:val="center"/>
        </w:trPr>
        <w:tc>
          <w:tcPr>
            <w:tcW w:w="1442" w:type="dxa"/>
            <w:gridSpan w:val="2"/>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防排水</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2"/>
                <w:sz w:val="24"/>
              </w:rPr>
            </w:pPr>
            <w:r>
              <w:rPr>
                <w:rFonts w:hint="eastAsia" w:ascii="方正仿宋_GBK" w:hAnsi="仿宋" w:eastAsia="方正仿宋_GBK"/>
                <w:spacing w:val="-12"/>
                <w:sz w:val="24"/>
              </w:rPr>
              <w:t>临时与永久防排水设施完善、合理。</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1442" w:type="dxa"/>
            <w:gridSpan w:val="2"/>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小型结构</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2"/>
                <w:sz w:val="24"/>
              </w:rPr>
            </w:pPr>
            <w:r>
              <w:rPr>
                <w:rFonts w:hint="eastAsia" w:ascii="方正仿宋_GBK" w:hAnsi="仿宋" w:eastAsia="方正仿宋_GBK"/>
                <w:spacing w:val="-12"/>
                <w:sz w:val="24"/>
              </w:rPr>
              <w:t>材料满足要求，砌筑、勾缝密实牢固，墙背填土及压实规范。小桥涵混凝土、沉降缝、墩台、梁板、防水等符合要求。</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830" w:type="dxa"/>
            <w:vMerge w:val="restart"/>
            <w:noWrap w:val="0"/>
            <w:textDirection w:val="tbRlV"/>
            <w:vAlign w:val="center"/>
          </w:tcPr>
          <w:p>
            <w:pPr>
              <w:snapToGrid w:val="0"/>
              <w:spacing w:line="240" w:lineRule="exact"/>
              <w:ind w:left="113" w:right="113"/>
              <w:jc w:val="center"/>
              <w:rPr>
                <w:rFonts w:hint="eastAsia" w:ascii="方正仿宋_GBK" w:hAnsi="仿宋" w:eastAsia="方正仿宋_GBK"/>
                <w:spacing w:val="-12"/>
                <w:sz w:val="24"/>
              </w:rPr>
            </w:pPr>
            <w:r>
              <w:rPr>
                <w:rFonts w:hint="eastAsia" w:ascii="方正仿宋_GBK" w:hAnsi="仿宋" w:eastAsia="方正仿宋_GBK"/>
                <w:spacing w:val="-12"/>
                <w:sz w:val="24"/>
              </w:rPr>
              <w:t>路面工程</w:t>
            </w:r>
          </w:p>
        </w:tc>
        <w:tc>
          <w:tcPr>
            <w:tcW w:w="612" w:type="dxa"/>
            <w:vMerge w:val="restart"/>
            <w:noWrap w:val="0"/>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沥青面层</w:t>
            </w: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混合料生产</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2"/>
                <w:sz w:val="24"/>
              </w:rPr>
            </w:pPr>
            <w:r>
              <w:rPr>
                <w:rFonts w:hint="eastAsia" w:ascii="方正仿宋_GBK" w:hAnsi="仿宋" w:eastAsia="方正仿宋_GBK"/>
                <w:spacing w:val="-12"/>
                <w:sz w:val="24"/>
              </w:rPr>
              <w:t>设备工作正常，材料符合要求，混合料配比、生产温度控制准确，拌制均匀。</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7"/>
                <w:sz w:val="24"/>
              </w:rPr>
            </w:pPr>
            <w:r>
              <w:rPr>
                <w:rFonts w:hint="eastAsia" w:ascii="方正仿宋_GBK" w:hAnsi="仿宋" w:eastAsia="方正仿宋_GBK"/>
                <w:spacing w:val="-12"/>
                <w:sz w:val="24"/>
              </w:rPr>
              <w:t>铺筑施工</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设备工作正常，摊铺温度、宽度、施工气候条件满足要求。缓慢、匀速压实，压实温度适宜。层间无污染，粘结牢固、有效。</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588"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restart"/>
            <w:noWrap w:val="0"/>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水泥</w:t>
            </w:r>
          </w:p>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混凝土</w:t>
            </w:r>
          </w:p>
          <w:p>
            <w:pPr>
              <w:snapToGrid w:val="0"/>
              <w:spacing w:line="240" w:lineRule="exact"/>
              <w:jc w:val="center"/>
              <w:rPr>
                <w:rFonts w:hint="eastAsia" w:ascii="方正仿宋_GBK" w:hAnsi="仿宋" w:eastAsia="方正仿宋_GBK"/>
                <w:sz w:val="24"/>
              </w:rPr>
            </w:pPr>
            <w:r>
              <w:rPr>
                <w:rFonts w:hint="eastAsia" w:ascii="方正仿宋_GBK" w:hAnsi="仿宋" w:eastAsia="方正仿宋_GBK"/>
                <w:spacing w:val="-12"/>
                <w:sz w:val="24"/>
              </w:rPr>
              <w:t>面层</w:t>
            </w: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混凝土生产</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设备工作正常，材料符合要求，拌制均匀，配比控制准确</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铺筑施工</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施工气候条件适宜，设备工作正常，混凝土和易性好，运送、摊铺及时，匀速、连续摊铺，振捣充分，结合面处理规范。</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577"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养生与切缝</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养生及时、充分，养生方法规范。切缝及时，灌缝工艺规范。</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448"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restart"/>
            <w:noWrap w:val="0"/>
            <w:vAlign w:val="center"/>
          </w:tcPr>
          <w:p>
            <w:pPr>
              <w:snapToGrid w:val="0"/>
              <w:spacing w:line="240" w:lineRule="exact"/>
              <w:jc w:val="center"/>
              <w:rPr>
                <w:rFonts w:hint="eastAsia" w:ascii="方正仿宋_GBK" w:hAnsi="仿宋" w:eastAsia="方正仿宋_GBK"/>
                <w:sz w:val="24"/>
              </w:rPr>
            </w:pPr>
            <w:r>
              <w:rPr>
                <w:rFonts w:hint="eastAsia" w:ascii="方正仿宋_GBK" w:hAnsi="仿宋" w:eastAsia="方正仿宋_GBK"/>
                <w:spacing w:val="-12"/>
                <w:sz w:val="24"/>
              </w:rPr>
              <w:t>半刚性基层底基层</w:t>
            </w: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混合料生产</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设备工作正常，材料符合要求，配比控制准确，拌制均匀。</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铺筑施工</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机具设备充足，工作正常，生产能力匹配，摊铺规范，施工条件满足要求。压实厚度、含水量适宜，压实及时，压实功充足。</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410"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612"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1560" w:type="dxa"/>
            <w:gridSpan w:val="2"/>
            <w:noWrap w:val="0"/>
            <w:tcMar>
              <w:top w:w="0" w:type="dxa"/>
              <w:left w:w="28" w:type="dxa"/>
              <w:bottom w:w="0" w:type="dxa"/>
              <w:right w:w="28" w:type="dxa"/>
            </w:tcMar>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养生</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spacing w:val="-17"/>
                <w:sz w:val="24"/>
              </w:rPr>
            </w:pPr>
            <w:r>
              <w:rPr>
                <w:rFonts w:hint="eastAsia" w:ascii="方正仿宋_GBK" w:hAnsi="仿宋" w:eastAsia="方正仿宋_GBK"/>
                <w:spacing w:val="-12"/>
                <w:sz w:val="24"/>
              </w:rPr>
              <w:t>养生及时，养生时间充足，养生方法规范。</w:t>
            </w:r>
          </w:p>
        </w:tc>
        <w:tc>
          <w:tcPr>
            <w:tcW w:w="822" w:type="dxa"/>
            <w:noWrap w:val="0"/>
            <w:vAlign w:val="top"/>
          </w:tcPr>
          <w:p>
            <w:pPr>
              <w:snapToGrid w:val="0"/>
              <w:spacing w:line="24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00" w:hRule="atLeast"/>
          <w:jc w:val="center"/>
        </w:trPr>
        <w:tc>
          <w:tcPr>
            <w:tcW w:w="830" w:type="dxa"/>
            <w:vMerge w:val="continue"/>
            <w:noWrap w:val="0"/>
            <w:textDirection w:val="tbRlV"/>
            <w:vAlign w:val="center"/>
          </w:tcPr>
          <w:p>
            <w:pPr>
              <w:snapToGrid w:val="0"/>
              <w:spacing w:line="240" w:lineRule="exact"/>
              <w:jc w:val="center"/>
              <w:rPr>
                <w:rFonts w:hint="eastAsia" w:ascii="方正仿宋_GBK" w:hAnsi="仿宋" w:eastAsia="方正仿宋_GBK"/>
                <w:sz w:val="24"/>
              </w:rPr>
            </w:pPr>
          </w:p>
        </w:tc>
        <w:tc>
          <w:tcPr>
            <w:tcW w:w="2172" w:type="dxa"/>
            <w:gridSpan w:val="3"/>
            <w:noWrap w:val="0"/>
            <w:vAlign w:val="center"/>
          </w:tcPr>
          <w:p>
            <w:pPr>
              <w:snapToGrid w:val="0"/>
              <w:spacing w:line="24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施工安全</w:t>
            </w:r>
          </w:p>
        </w:tc>
        <w:tc>
          <w:tcPr>
            <w:tcW w:w="6515" w:type="dxa"/>
            <w:noWrap w:val="0"/>
            <w:tcMar>
              <w:top w:w="0" w:type="dxa"/>
              <w:left w:w="28" w:type="dxa"/>
              <w:bottom w:w="0" w:type="dxa"/>
              <w:right w:w="28" w:type="dxa"/>
            </w:tcMar>
            <w:vAlign w:val="center"/>
          </w:tcPr>
          <w:p>
            <w:pPr>
              <w:snapToGrid w:val="0"/>
              <w:spacing w:line="240" w:lineRule="exact"/>
              <w:rPr>
                <w:rFonts w:hint="eastAsia" w:ascii="方正仿宋_GBK" w:hAnsi="仿宋" w:eastAsia="方正仿宋_GBK" w:cs="宋体"/>
                <w:kern w:val="0"/>
                <w:sz w:val="24"/>
              </w:rPr>
            </w:pPr>
            <w:r>
              <w:rPr>
                <w:rFonts w:hint="eastAsia" w:ascii="方正仿宋_GBK" w:hAnsi="仿宋" w:eastAsia="方正仿宋_GBK" w:cs="宋体"/>
                <w:kern w:val="0"/>
                <w:sz w:val="24"/>
              </w:rPr>
              <w:t>施工区域交通管制，机具操作人员具有安全操作技能。</w:t>
            </w:r>
          </w:p>
          <w:p>
            <w:pPr>
              <w:snapToGrid w:val="0"/>
              <w:spacing w:line="240" w:lineRule="exact"/>
              <w:rPr>
                <w:rFonts w:hint="eastAsia" w:ascii="方正仿宋_GBK" w:hAnsi="仿宋" w:eastAsia="方正仿宋_GBK"/>
                <w:spacing w:val="-12"/>
                <w:sz w:val="24"/>
              </w:rPr>
            </w:pPr>
            <w:r>
              <w:rPr>
                <w:rFonts w:hint="eastAsia" w:ascii="方正仿宋_GBK" w:hAnsi="仿宋" w:eastAsia="方正仿宋_GBK" w:cs="宋体"/>
                <w:kern w:val="0"/>
                <w:sz w:val="24"/>
              </w:rPr>
              <w:t>（施工区域进行交通管制，施工现场有专人管理。）</w:t>
            </w:r>
          </w:p>
        </w:tc>
        <w:tc>
          <w:tcPr>
            <w:tcW w:w="822" w:type="dxa"/>
            <w:noWrap w:val="0"/>
            <w:vAlign w:val="top"/>
          </w:tcPr>
          <w:p>
            <w:pPr>
              <w:snapToGrid w:val="0"/>
              <w:spacing w:line="240" w:lineRule="exact"/>
              <w:rPr>
                <w:rFonts w:hint="eastAsia" w:ascii="方正仿宋_GBK" w:hAnsi="仿宋" w:eastAsia="方正仿宋_GBK"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1008" w:hRule="atLeast"/>
          <w:jc w:val="center"/>
        </w:trPr>
        <w:tc>
          <w:tcPr>
            <w:tcW w:w="830" w:type="dxa"/>
            <w:vMerge w:val="restart"/>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sz w:val="24"/>
              </w:rPr>
              <w:t xml:space="preserve"> </w:t>
            </w:r>
          </w:p>
          <w:p>
            <w:pPr>
              <w:snapToGrid w:val="0"/>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 xml:space="preserve">桥 梁 </w:t>
            </w:r>
          </w:p>
          <w:p>
            <w:pPr>
              <w:snapToGrid w:val="0"/>
              <w:spacing w:line="300" w:lineRule="exact"/>
              <w:jc w:val="center"/>
              <w:rPr>
                <w:rFonts w:hint="eastAsia" w:ascii="方正仿宋_GBK" w:hAnsi="仿宋" w:eastAsia="方正仿宋_GBK"/>
                <w:sz w:val="24"/>
              </w:rPr>
            </w:pPr>
            <w:r>
              <w:rPr>
                <w:rFonts w:hint="eastAsia" w:ascii="方正仿宋_GBK" w:hAnsi="仿宋" w:eastAsia="方正仿宋_GBK"/>
                <w:spacing w:val="-12"/>
                <w:sz w:val="24"/>
              </w:rPr>
              <w:t>工 程</w:t>
            </w: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cs="宋体"/>
                <w:bCs/>
                <w:color w:val="000000"/>
                <w:kern w:val="0"/>
                <w:sz w:val="24"/>
              </w:rPr>
            </w:pPr>
            <w:r>
              <w:rPr>
                <w:rFonts w:hint="eastAsia" w:ascii="方正仿宋_GBK" w:hAnsi="仿宋" w:eastAsia="方正仿宋_GBK" w:cs="宋体"/>
                <w:bCs/>
                <w:color w:val="000000"/>
                <w:kern w:val="0"/>
                <w:sz w:val="24"/>
              </w:rPr>
              <w:t>安全防护</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spacing w:val="-12"/>
                <w:sz w:val="24"/>
              </w:rPr>
            </w:pPr>
            <w:r>
              <w:rPr>
                <w:rFonts w:hint="eastAsia" w:ascii="方正仿宋_GBK" w:hAnsi="仿宋" w:eastAsia="方正仿宋_GBK" w:cs="宋体"/>
                <w:bCs/>
                <w:kern w:val="0"/>
                <w:sz w:val="24"/>
              </w:rPr>
              <w:t>个人防护用品质量符合要求，防护用品使用规范。高空、涉水</w:t>
            </w:r>
            <w:r>
              <w:rPr>
                <w:rFonts w:hint="eastAsia" w:ascii="方正仿宋_GBK" w:hAnsi="仿宋" w:eastAsia="方正仿宋_GBK" w:cs="宋体"/>
                <w:bCs/>
                <w:kern w:val="0"/>
                <w:sz w:val="24"/>
                <w:lang w:val="zh-CN"/>
              </w:rPr>
              <w:t>等</w:t>
            </w:r>
            <w:r>
              <w:rPr>
                <w:rFonts w:hint="eastAsia" w:ascii="方正仿宋_GBK" w:hAnsi="仿宋" w:eastAsia="方正仿宋_GBK" w:cs="宋体"/>
                <w:bCs/>
                <w:kern w:val="0"/>
                <w:sz w:val="24"/>
              </w:rPr>
              <w:t>危险作业区域安全防护</w:t>
            </w:r>
            <w:r>
              <w:rPr>
                <w:rFonts w:hint="eastAsia" w:ascii="方正仿宋_GBK" w:hAnsi="仿宋" w:eastAsia="方正仿宋_GBK" w:cs="宋体"/>
                <w:bCs/>
                <w:kern w:val="0"/>
                <w:sz w:val="24"/>
                <w:lang w:val="zh-CN"/>
              </w:rPr>
              <w:t>、救生</w:t>
            </w:r>
            <w:r>
              <w:rPr>
                <w:rFonts w:hint="eastAsia" w:ascii="方正仿宋_GBK" w:hAnsi="仿宋" w:eastAsia="方正仿宋_GBK" w:cs="宋体"/>
                <w:bCs/>
                <w:kern w:val="0"/>
                <w:sz w:val="24"/>
              </w:rPr>
              <w:t>措施和警示标志齐全，临边防护齐全并设置止落板和防落网。</w:t>
            </w:r>
          </w:p>
        </w:tc>
        <w:tc>
          <w:tcPr>
            <w:tcW w:w="822" w:type="dxa"/>
            <w:noWrap w:val="0"/>
            <w:vAlign w:val="top"/>
          </w:tcPr>
          <w:p>
            <w:pPr>
              <w:adjustRightInd w:val="0"/>
              <w:snapToGrid w:val="0"/>
              <w:spacing w:line="300" w:lineRule="exact"/>
              <w:jc w:val="left"/>
              <w:rPr>
                <w:rFonts w:hint="eastAsia" w:ascii="方正仿宋_GBK" w:hAnsi="仿宋"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645" w:hRule="atLeast"/>
          <w:jc w:val="center"/>
        </w:trPr>
        <w:tc>
          <w:tcPr>
            <w:tcW w:w="830" w:type="dxa"/>
            <w:vMerge w:val="continue"/>
            <w:noWrap w:val="0"/>
            <w:vAlign w:val="center"/>
          </w:tcPr>
          <w:p>
            <w:pPr>
              <w:adjustRightInd w:val="0"/>
              <w:snapToGrid w:val="0"/>
              <w:spacing w:line="300" w:lineRule="exact"/>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cs="宋体"/>
                <w:bCs/>
                <w:kern w:val="0"/>
                <w:sz w:val="24"/>
              </w:rPr>
            </w:pPr>
            <w:r>
              <w:rPr>
                <w:rFonts w:hint="eastAsia" w:ascii="方正仿宋_GBK" w:hAnsi="仿宋" w:eastAsia="方正仿宋_GBK" w:cs="宋体"/>
                <w:bCs/>
                <w:kern w:val="0"/>
                <w:sz w:val="24"/>
              </w:rPr>
              <w:t>支架及脚手架</w:t>
            </w:r>
          </w:p>
        </w:tc>
        <w:tc>
          <w:tcPr>
            <w:tcW w:w="7133" w:type="dxa"/>
            <w:gridSpan w:val="2"/>
            <w:noWrap w:val="0"/>
            <w:vAlign w:val="center"/>
          </w:tcPr>
          <w:p>
            <w:pPr>
              <w:snapToGrid w:val="0"/>
              <w:spacing w:line="300" w:lineRule="exact"/>
              <w:jc w:val="left"/>
              <w:rPr>
                <w:rFonts w:hint="eastAsia" w:ascii="方正仿宋_GBK" w:hAnsi="仿宋" w:eastAsia="方正仿宋_GBK"/>
                <w:sz w:val="24"/>
              </w:rPr>
            </w:pPr>
            <w:r>
              <w:rPr>
                <w:rFonts w:hint="eastAsia" w:ascii="方正仿宋_GBK" w:hAnsi="仿宋" w:eastAsia="方正仿宋_GBK" w:cs="宋体"/>
                <w:bCs/>
                <w:kern w:val="0"/>
                <w:sz w:val="24"/>
              </w:rPr>
              <w:t>管材有出厂合格证，架体搭设规范，按规定预压、验收后使用。</w:t>
            </w:r>
            <w:r>
              <w:rPr>
                <w:rFonts w:hint="eastAsia" w:ascii="方正仿宋_GBK" w:hAnsi="仿宋" w:eastAsia="方正仿宋_GBK"/>
                <w:sz w:val="24"/>
              </w:rPr>
              <w:t>高大架体搭设和拆除有专项方案及防倾倒措施。</w:t>
            </w:r>
          </w:p>
        </w:tc>
        <w:tc>
          <w:tcPr>
            <w:tcW w:w="822" w:type="dxa"/>
            <w:noWrap w:val="0"/>
            <w:vAlign w:val="top"/>
          </w:tcPr>
          <w:p>
            <w:pPr>
              <w:snapToGrid w:val="0"/>
              <w:spacing w:line="300" w:lineRule="exact"/>
              <w:jc w:val="left"/>
              <w:rPr>
                <w:rFonts w:hint="eastAsia" w:ascii="方正仿宋_GBK" w:hAnsi="仿宋"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835" w:hRule="atLeast"/>
          <w:jc w:val="center"/>
        </w:trPr>
        <w:tc>
          <w:tcPr>
            <w:tcW w:w="830" w:type="dxa"/>
            <w:vMerge w:val="continue"/>
            <w:noWrap w:val="0"/>
            <w:vAlign w:val="center"/>
          </w:tcPr>
          <w:p>
            <w:pPr>
              <w:adjustRightInd w:val="0"/>
              <w:snapToGrid w:val="0"/>
              <w:spacing w:line="300" w:lineRule="exact"/>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构件预制</w:t>
            </w:r>
          </w:p>
        </w:tc>
        <w:tc>
          <w:tcPr>
            <w:tcW w:w="7133" w:type="dxa"/>
            <w:gridSpan w:val="2"/>
            <w:noWrap w:val="0"/>
            <w:vAlign w:val="center"/>
          </w:tcPr>
          <w:p>
            <w:pPr>
              <w:snapToGrid w:val="0"/>
              <w:spacing w:line="300" w:lineRule="exact"/>
              <w:jc w:val="left"/>
              <w:rPr>
                <w:rFonts w:hint="eastAsia" w:ascii="方正仿宋_GBK" w:hAnsi="仿宋" w:eastAsia="方正仿宋_GBK"/>
                <w:sz w:val="24"/>
              </w:rPr>
            </w:pPr>
            <w:r>
              <w:rPr>
                <w:rFonts w:hint="eastAsia" w:ascii="方正仿宋_GBK" w:hAnsi="仿宋" w:eastAsia="方正仿宋_GBK"/>
                <w:sz w:val="24"/>
              </w:rPr>
              <w:t>钢筋加工安装规范；</w:t>
            </w:r>
            <w:r>
              <w:rPr>
                <w:rFonts w:hint="eastAsia" w:ascii="方正仿宋_GBK" w:hAnsi="仿宋" w:eastAsia="方正仿宋_GBK"/>
                <w:spacing w:val="-12"/>
                <w:sz w:val="24"/>
              </w:rPr>
              <w:t>原材料及混合料质量符合要求；</w:t>
            </w:r>
            <w:r>
              <w:rPr>
                <w:rFonts w:hint="eastAsia" w:ascii="方正仿宋_GBK" w:hAnsi="仿宋" w:eastAsia="方正仿宋_GBK"/>
                <w:sz w:val="24"/>
              </w:rPr>
              <w:t>模板安装稳固、严密；保护层厚度控制方法得当；大型模板支撑体系有安装拆除专项方案及防倾倒措施。混凝土养生规范。预应力锚夹具、连接器符合规定；张拉及灌浆工艺规范，符合要求。</w:t>
            </w:r>
          </w:p>
        </w:tc>
        <w:tc>
          <w:tcPr>
            <w:tcW w:w="822" w:type="dxa"/>
            <w:noWrap w:val="0"/>
            <w:vAlign w:val="top"/>
          </w:tcPr>
          <w:p>
            <w:pPr>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1249" w:hRule="atLeast"/>
          <w:jc w:val="center"/>
        </w:trPr>
        <w:tc>
          <w:tcPr>
            <w:tcW w:w="830" w:type="dxa"/>
            <w:vMerge w:val="continue"/>
            <w:noWrap w:val="0"/>
            <w:textDirection w:val="tbRlV"/>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下部结构</w:t>
            </w:r>
          </w:p>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施工</w:t>
            </w:r>
          </w:p>
        </w:tc>
        <w:tc>
          <w:tcPr>
            <w:tcW w:w="7133" w:type="dxa"/>
            <w:gridSpan w:val="2"/>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cs="宋体"/>
                <w:bCs/>
                <w:kern w:val="0"/>
                <w:sz w:val="24"/>
              </w:rPr>
              <w:t>基础施工作业位置安全，开挖、警示标志设置符合规定</w:t>
            </w:r>
            <w:r>
              <w:rPr>
                <w:rFonts w:hint="eastAsia" w:ascii="方正仿宋_GBK" w:hAnsi="仿宋" w:eastAsia="方正仿宋_GBK" w:cs="宋体"/>
                <w:kern w:val="0"/>
                <w:sz w:val="24"/>
              </w:rPr>
              <w:t>，</w:t>
            </w:r>
            <w:r>
              <w:rPr>
                <w:rFonts w:hint="eastAsia" w:ascii="方正仿宋_GBK" w:hAnsi="仿宋" w:eastAsia="方正仿宋_GBK"/>
                <w:sz w:val="24"/>
              </w:rPr>
              <w:t>回填及时。</w:t>
            </w:r>
            <w:r>
              <w:rPr>
                <w:rFonts w:hint="eastAsia" w:ascii="方正仿宋_GBK" w:hAnsi="仿宋" w:eastAsia="方正仿宋_GBK" w:cs="宋体"/>
                <w:kern w:val="0"/>
                <w:sz w:val="24"/>
              </w:rPr>
              <w:t>扩大基础、桩基础周边防护、孔内通风符合要求；深度</w:t>
            </w:r>
            <w:r>
              <w:rPr>
                <w:rFonts w:hint="eastAsia" w:ascii="方正仿宋_GBK" w:hAnsi="仿宋" w:eastAsia="方正仿宋_GBK" w:cs="宋体"/>
                <w:bCs/>
                <w:kern w:val="0"/>
                <w:sz w:val="24"/>
              </w:rPr>
              <w:t>5m以上基坑应按专项设计实施支护。基础、</w:t>
            </w:r>
            <w:r>
              <w:rPr>
                <w:rFonts w:hint="eastAsia" w:ascii="方正仿宋_GBK" w:hAnsi="仿宋" w:eastAsia="方正仿宋_GBK"/>
                <w:sz w:val="24"/>
              </w:rPr>
              <w:t>墩、台、盖梁等混凝土施工规范。桩基成孔记录完整，按规定检测桩身完整性。</w:t>
            </w:r>
          </w:p>
        </w:tc>
        <w:tc>
          <w:tcPr>
            <w:tcW w:w="822" w:type="dxa"/>
            <w:noWrap w:val="0"/>
            <w:vAlign w:val="top"/>
          </w:tcPr>
          <w:p>
            <w:pPr>
              <w:adjustRightInd w:val="0"/>
              <w:snapToGrid w:val="0"/>
              <w:spacing w:line="300" w:lineRule="exact"/>
              <w:rPr>
                <w:rFonts w:hint="eastAsia" w:ascii="方正仿宋_GBK" w:hAnsi="仿宋" w:eastAsia="方正仿宋_GBK" w:cs="宋体"/>
                <w:bCs/>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976"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上部结构施工</w:t>
            </w:r>
          </w:p>
        </w:tc>
        <w:tc>
          <w:tcPr>
            <w:tcW w:w="7133" w:type="dxa"/>
            <w:gridSpan w:val="2"/>
            <w:noWrap w:val="0"/>
            <w:vAlign w:val="center"/>
          </w:tcPr>
          <w:p>
            <w:pPr>
              <w:adjustRightInd w:val="0"/>
              <w:snapToGrid w:val="0"/>
              <w:spacing w:line="300" w:lineRule="exact"/>
              <w:rPr>
                <w:rFonts w:hint="eastAsia" w:ascii="方正仿宋_GBK" w:hAnsi="仿宋" w:eastAsia="方正仿宋_GBK"/>
                <w:spacing w:val="-12"/>
                <w:sz w:val="24"/>
              </w:rPr>
            </w:pPr>
            <w:r>
              <w:rPr>
                <w:rFonts w:hint="eastAsia" w:ascii="方正仿宋_GBK" w:hAnsi="仿宋" w:eastAsia="方正仿宋_GBK"/>
                <w:sz w:val="24"/>
              </w:rPr>
              <w:t>梁板安装平整，预留钢筋规整，横向联系可靠、砼密实，负弯矩区预应力施加有效。</w:t>
            </w:r>
            <w:r>
              <w:rPr>
                <w:rFonts w:hint="eastAsia" w:ascii="方正仿宋_GBK" w:hAnsi="仿宋" w:eastAsia="方正仿宋_GBK" w:cs="宋体"/>
                <w:kern w:val="0"/>
                <w:sz w:val="24"/>
              </w:rPr>
              <w:t>临边、临空按规定设置防护围栏及安全网。</w:t>
            </w:r>
            <w:r>
              <w:rPr>
                <w:rFonts w:hint="eastAsia" w:ascii="方正仿宋_GBK" w:hAnsi="仿宋" w:eastAsia="方正仿宋_GBK"/>
                <w:sz w:val="24"/>
              </w:rPr>
              <w:t>防水处理有效，砼铺装施工及养生规范。</w:t>
            </w:r>
            <w:r>
              <w:rPr>
                <w:rFonts w:hint="eastAsia" w:ascii="方正仿宋_GBK" w:hAnsi="仿宋" w:eastAsia="方正仿宋_GBK" w:cs="宋体"/>
                <w:kern w:val="0"/>
                <w:sz w:val="24"/>
              </w:rPr>
              <w:t>跨线桥下须防护。</w:t>
            </w:r>
          </w:p>
        </w:tc>
        <w:tc>
          <w:tcPr>
            <w:tcW w:w="822" w:type="dxa"/>
            <w:noWrap w:val="0"/>
            <w:vAlign w:val="top"/>
          </w:tcPr>
          <w:p>
            <w:pPr>
              <w:adjustRightInd w:val="0"/>
              <w:snapToGrid w:val="0"/>
              <w:spacing w:line="300" w:lineRule="exac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742" w:hRule="atLeast"/>
          <w:jc w:val="center"/>
        </w:trPr>
        <w:tc>
          <w:tcPr>
            <w:tcW w:w="830" w:type="dxa"/>
            <w:vMerge w:val="continue"/>
            <w:noWrap w:val="0"/>
            <w:textDirection w:val="tbRlV"/>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现浇梁板</w:t>
            </w:r>
          </w:p>
        </w:tc>
        <w:tc>
          <w:tcPr>
            <w:tcW w:w="7133" w:type="dxa"/>
            <w:gridSpan w:val="2"/>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spacing w:val="-12"/>
                <w:sz w:val="24"/>
              </w:rPr>
              <w:t>原材料及混合料质量符合要求。</w:t>
            </w:r>
            <w:r>
              <w:rPr>
                <w:rFonts w:hint="eastAsia" w:ascii="方正仿宋_GBK" w:hAnsi="仿宋" w:eastAsia="方正仿宋_GBK"/>
                <w:sz w:val="24"/>
              </w:rPr>
              <w:t>混凝土配合比控制准确，施工、养生规范，按规定埋设预埋件。支架基础处理良好，支架经过预压。</w:t>
            </w:r>
          </w:p>
        </w:tc>
        <w:tc>
          <w:tcPr>
            <w:tcW w:w="822" w:type="dxa"/>
            <w:noWrap w:val="0"/>
            <w:vAlign w:val="top"/>
          </w:tcPr>
          <w:p>
            <w:pPr>
              <w:adjustRightInd w:val="0"/>
              <w:snapToGrid w:val="0"/>
              <w:spacing w:line="30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927"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拱桥施工</w:t>
            </w:r>
          </w:p>
        </w:tc>
        <w:tc>
          <w:tcPr>
            <w:tcW w:w="7133" w:type="dxa"/>
            <w:gridSpan w:val="2"/>
            <w:noWrap w:val="0"/>
            <w:vAlign w:val="center"/>
          </w:tcPr>
          <w:p>
            <w:pPr>
              <w:adjustRightInd w:val="0"/>
              <w:snapToGrid w:val="0"/>
              <w:spacing w:line="300" w:lineRule="exact"/>
              <w:rPr>
                <w:rFonts w:hint="eastAsia" w:ascii="方正仿宋_GBK" w:hAnsi="仿宋" w:eastAsia="方正仿宋_GBK"/>
                <w:sz w:val="24"/>
              </w:rPr>
            </w:pPr>
            <w:r>
              <w:rPr>
                <w:rFonts w:hint="eastAsia" w:ascii="方正仿宋_GBK" w:hAnsi="仿宋" w:eastAsia="方正仿宋_GBK"/>
                <w:spacing w:val="-12"/>
                <w:sz w:val="24"/>
              </w:rPr>
              <w:t>原材料及混合料质量符合要求。</w:t>
            </w:r>
            <w:r>
              <w:rPr>
                <w:rFonts w:hint="eastAsia" w:ascii="方正仿宋_GBK" w:hAnsi="仿宋" w:eastAsia="方正仿宋_GBK"/>
                <w:sz w:val="24"/>
              </w:rPr>
              <w:t>施工顺序及合拢温度满足设计及规范要求，工人操作、拱背填土及压实作业规范，拱架基础处理良好并按规范制作，落架科学。</w:t>
            </w:r>
          </w:p>
        </w:tc>
        <w:tc>
          <w:tcPr>
            <w:tcW w:w="822" w:type="dxa"/>
            <w:noWrap w:val="0"/>
            <w:vAlign w:val="top"/>
          </w:tcPr>
          <w:p>
            <w:pPr>
              <w:adjustRightInd w:val="0"/>
              <w:snapToGrid w:val="0"/>
              <w:spacing w:line="30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943"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支座及伸缩缝安装</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sz w:val="24"/>
              </w:rPr>
            </w:pPr>
            <w:r>
              <w:rPr>
                <w:rFonts w:hint="eastAsia" w:ascii="方正仿宋_GBK" w:hAnsi="仿宋" w:eastAsia="方正仿宋_GBK"/>
                <w:sz w:val="24"/>
              </w:rPr>
              <w:t>支座、伸缩缝材质、规格满足规范或设计要求，经检验确认合格。支座垫石混凝土平整密实，支座定位准确，安装规范。伸缩缝安装牢固可靠，稳固混凝土密实且表面平整。</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589" w:hRule="atLeast"/>
          <w:jc w:val="center"/>
        </w:trPr>
        <w:tc>
          <w:tcPr>
            <w:tcW w:w="830" w:type="dxa"/>
            <w:vMerge w:val="restart"/>
            <w:noWrap w:val="0"/>
            <w:vAlign w:val="center"/>
          </w:tcPr>
          <w:p>
            <w:pPr>
              <w:snapToGrid w:val="0"/>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隧 道</w:t>
            </w:r>
          </w:p>
          <w:p>
            <w:pPr>
              <w:snapToGrid w:val="0"/>
              <w:spacing w:line="300" w:lineRule="exact"/>
              <w:jc w:val="center"/>
              <w:rPr>
                <w:rFonts w:hint="eastAsia" w:ascii="方正仿宋_GBK" w:hAnsi="仿宋" w:eastAsia="方正仿宋_GBK"/>
                <w:sz w:val="24"/>
              </w:rPr>
            </w:pPr>
            <w:r>
              <w:rPr>
                <w:rFonts w:hint="eastAsia" w:ascii="方正仿宋_GBK" w:hAnsi="仿宋" w:eastAsia="方正仿宋_GBK"/>
                <w:spacing w:val="-12"/>
                <w:sz w:val="24"/>
              </w:rPr>
              <w:t>工 程</w:t>
            </w: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管理要求</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bCs/>
                <w:sz w:val="24"/>
              </w:rPr>
            </w:pPr>
            <w:r>
              <w:rPr>
                <w:rFonts w:hint="eastAsia" w:ascii="方正仿宋_GBK" w:hAnsi="仿宋" w:eastAsia="方正仿宋_GBK"/>
                <w:sz w:val="24"/>
              </w:rPr>
              <w:t>值班制度执行情况。洞口排水系统完善。危险作业区域安全防护措施齐全，人员防护措施齐备；按规定设置逃生通道、通风设备、防坠设施、消防及通讯器材，用电和照明规范。</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515"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开挖</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bCs/>
                <w:sz w:val="24"/>
              </w:rPr>
            </w:pPr>
            <w:r>
              <w:rPr>
                <w:rFonts w:hint="eastAsia" w:ascii="方正仿宋_GBK" w:hAnsi="仿宋" w:eastAsia="方正仿宋_GBK"/>
                <w:sz w:val="24"/>
              </w:rPr>
              <w:t>开挖方案合理，超前支护符合要求，监控量测及时有效。长大隧道和不良地质隧道应采用超前地质预报。严控超欠挖。</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515"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初期支护</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bCs/>
                <w:sz w:val="24"/>
              </w:rPr>
            </w:pPr>
            <w:r>
              <w:rPr>
                <w:rFonts w:hint="eastAsia" w:ascii="方正仿宋_GBK" w:hAnsi="仿宋" w:eastAsia="方正仿宋_GBK"/>
                <w:sz w:val="24"/>
              </w:rPr>
              <w:t>材料满足设计和规范要求。支护及时，锁脚锚杆等施工工艺规范，渗漏水处理得当，喷射混凝土外观质量好。</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405"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仰拱施工</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bCs/>
                <w:sz w:val="24"/>
              </w:rPr>
            </w:pPr>
            <w:r>
              <w:rPr>
                <w:rFonts w:hint="eastAsia" w:ascii="方正仿宋_GBK" w:hAnsi="仿宋" w:eastAsia="方正仿宋_GBK"/>
                <w:sz w:val="24"/>
              </w:rPr>
              <w:t>仰拱开挖到位，回填符合设计和规范要求，封闭及时。</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751"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二次衬砌</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sz w:val="24"/>
              </w:rPr>
            </w:pPr>
            <w:r>
              <w:rPr>
                <w:rFonts w:hint="eastAsia" w:ascii="方正仿宋_GBK" w:hAnsi="仿宋" w:eastAsia="方正仿宋_GBK"/>
                <w:sz w:val="24"/>
              </w:rPr>
              <w:t>与掌子面距离符合设计，材料满足设计和规范要求，防水板、止水条按设计要求施工，混凝土施工规范。</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trHeight w:val="704" w:hRule="atLeast"/>
          <w:jc w:val="center"/>
        </w:trPr>
        <w:tc>
          <w:tcPr>
            <w:tcW w:w="830" w:type="dxa"/>
            <w:vMerge w:val="continue"/>
            <w:noWrap w:val="0"/>
            <w:vAlign w:val="center"/>
          </w:tcPr>
          <w:p>
            <w:pPr>
              <w:adjustRightInd w:val="0"/>
              <w:snapToGrid w:val="0"/>
              <w:spacing w:line="300" w:lineRule="exact"/>
              <w:ind w:left="113" w:right="113"/>
              <w:jc w:val="center"/>
              <w:rPr>
                <w:rFonts w:hint="eastAsia" w:ascii="方正仿宋_GBK" w:hAnsi="仿宋" w:eastAsia="方正仿宋_GBK"/>
                <w:sz w:val="24"/>
              </w:rPr>
            </w:pPr>
          </w:p>
        </w:tc>
        <w:tc>
          <w:tcPr>
            <w:tcW w:w="1554" w:type="dxa"/>
            <w:gridSpan w:val="2"/>
            <w:noWrap w:val="0"/>
            <w:vAlign w:val="center"/>
          </w:tcPr>
          <w:p>
            <w:pPr>
              <w:adjustRightInd w:val="0"/>
              <w:snapToGrid w:val="0"/>
              <w:spacing w:line="300" w:lineRule="exact"/>
              <w:jc w:val="center"/>
              <w:rPr>
                <w:rFonts w:hint="eastAsia" w:ascii="方正仿宋_GBK" w:hAnsi="仿宋" w:eastAsia="方正仿宋_GBK"/>
                <w:sz w:val="24"/>
              </w:rPr>
            </w:pPr>
            <w:r>
              <w:rPr>
                <w:rFonts w:hint="eastAsia" w:ascii="方正仿宋_GBK" w:hAnsi="仿宋" w:eastAsia="方正仿宋_GBK"/>
                <w:sz w:val="24"/>
              </w:rPr>
              <w:t>施工环境</w:t>
            </w:r>
          </w:p>
        </w:tc>
        <w:tc>
          <w:tcPr>
            <w:tcW w:w="7133" w:type="dxa"/>
            <w:gridSpan w:val="2"/>
            <w:noWrap w:val="0"/>
            <w:vAlign w:val="center"/>
          </w:tcPr>
          <w:p>
            <w:pPr>
              <w:adjustRightInd w:val="0"/>
              <w:snapToGrid w:val="0"/>
              <w:spacing w:line="300" w:lineRule="exact"/>
              <w:jc w:val="left"/>
              <w:rPr>
                <w:rFonts w:hint="eastAsia" w:ascii="方正仿宋_GBK" w:hAnsi="仿宋" w:eastAsia="方正仿宋_GBK"/>
                <w:color w:val="FF0000"/>
                <w:sz w:val="24"/>
              </w:rPr>
            </w:pPr>
            <w:r>
              <w:rPr>
                <w:rFonts w:hint="eastAsia" w:ascii="方正仿宋_GBK" w:hAnsi="仿宋" w:eastAsia="方正仿宋_GBK"/>
                <w:sz w:val="24"/>
              </w:rPr>
              <w:t>通风、照明和防尘方案齐备，施工中相关条件满足安全施工需要。瓦斯隧道预防措施有效，瓦斯监测与预警、进洞前专项检查落实到位，采用防爆型机具、器材，现场消防设施齐备。</w:t>
            </w:r>
          </w:p>
        </w:tc>
        <w:tc>
          <w:tcPr>
            <w:tcW w:w="822" w:type="dxa"/>
            <w:noWrap w:val="0"/>
            <w:vAlign w:val="top"/>
          </w:tcPr>
          <w:p>
            <w:pPr>
              <w:adjustRightInd w:val="0"/>
              <w:snapToGrid w:val="0"/>
              <w:spacing w:line="300" w:lineRule="exact"/>
              <w:jc w:val="left"/>
              <w:rPr>
                <w:rFonts w:hint="eastAsia" w:ascii="方正仿宋_GBK" w:hAnsi="仿宋" w:eastAsia="方正仿宋_GBK"/>
                <w:sz w:val="24"/>
              </w:rPr>
            </w:pPr>
          </w:p>
        </w:tc>
      </w:tr>
    </w:tbl>
    <w:p>
      <w:pPr>
        <w:spacing w:line="240" w:lineRule="atLeast"/>
        <w:rPr>
          <w:rFonts w:hint="eastAsia" w:ascii="华文宋体" w:hAnsi="华文宋体" w:eastAsia="华文宋体" w:cs="华文宋体"/>
          <w:bCs/>
          <w:sz w:val="28"/>
          <w:szCs w:val="28"/>
        </w:rPr>
      </w:pPr>
    </w:p>
    <w:p>
      <w:pPr>
        <w:spacing w:line="240" w:lineRule="atLeas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附表4</w:t>
      </w:r>
    </w:p>
    <w:p>
      <w:pPr>
        <w:spacing w:line="240" w:lineRule="atLeast"/>
        <w:rPr>
          <w:rFonts w:ascii="黑体" w:hAnsi="黑体" w:eastAsia="黑体" w:cs="华文宋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cs="黑体"/>
          <w:bCs/>
          <w:spacing w:val="-20"/>
          <w:sz w:val="44"/>
          <w:szCs w:val="44"/>
        </w:rPr>
      </w:pPr>
      <w:r>
        <w:rPr>
          <w:rFonts w:hint="eastAsia" w:ascii="方正小标宋_GBK" w:hAnsi="黑体" w:eastAsia="方正小标宋_GBK" w:cs="黑体"/>
          <w:bCs/>
          <w:spacing w:val="-20"/>
          <w:sz w:val="44"/>
          <w:szCs w:val="44"/>
        </w:rPr>
        <w:t>重庆区县公路水运工程工程项目实体质量督查表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黑体" w:eastAsia="方正小标宋_GBK" w:cs="黑体"/>
          <w:bCs/>
          <w:spacing w:val="-20"/>
          <w:sz w:val="44"/>
          <w:szCs w:val="44"/>
        </w:rPr>
      </w:pP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433"/>
        <w:gridCol w:w="1174"/>
        <w:gridCol w:w="2854"/>
        <w:gridCol w:w="1499"/>
        <w:gridCol w:w="2400"/>
        <w:gridCol w:w="7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9" w:hRule="atLeast"/>
          <w:tblHeader/>
          <w:jc w:val="center"/>
        </w:trPr>
        <w:tc>
          <w:tcPr>
            <w:tcW w:w="1153" w:type="dxa"/>
            <w:gridSpan w:val="2"/>
            <w:noWrap w:val="0"/>
            <w:vAlign w:val="center"/>
          </w:tcPr>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督查内容</w:t>
            </w:r>
          </w:p>
        </w:tc>
        <w:tc>
          <w:tcPr>
            <w:tcW w:w="1174" w:type="dxa"/>
            <w:noWrap w:val="0"/>
            <w:vAlign w:val="center"/>
          </w:tcPr>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抽检</w:t>
            </w:r>
          </w:p>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指标项</w:t>
            </w:r>
          </w:p>
        </w:tc>
        <w:tc>
          <w:tcPr>
            <w:tcW w:w="2854" w:type="dxa"/>
            <w:noWrap w:val="0"/>
            <w:vAlign w:val="center"/>
          </w:tcPr>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检测方法和频率</w:t>
            </w:r>
          </w:p>
        </w:tc>
        <w:tc>
          <w:tcPr>
            <w:tcW w:w="3899" w:type="dxa"/>
            <w:gridSpan w:val="2"/>
            <w:noWrap w:val="0"/>
            <w:vAlign w:val="center"/>
          </w:tcPr>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评价方法和标准</w:t>
            </w:r>
          </w:p>
        </w:tc>
        <w:tc>
          <w:tcPr>
            <w:tcW w:w="743" w:type="dxa"/>
            <w:noWrap w:val="0"/>
            <w:vAlign w:val="center"/>
          </w:tcPr>
          <w:p>
            <w:pPr>
              <w:pStyle w:val="5"/>
              <w:pBdr>
                <w:bottom w:val="none" w:color="auto" w:sz="0" w:space="0"/>
              </w:pBdr>
              <w:tabs>
                <w:tab w:val="clear" w:pos="4153"/>
                <w:tab w:val="clear" w:pos="8306"/>
              </w:tabs>
              <w:snapToGrid/>
              <w:spacing w:line="260" w:lineRule="exact"/>
              <w:rPr>
                <w:rFonts w:ascii="黑体" w:hAnsi="黑体" w:eastAsia="黑体"/>
                <w:bCs/>
                <w:spacing w:val="-6"/>
                <w:sz w:val="24"/>
                <w:szCs w:val="24"/>
              </w:rPr>
            </w:pPr>
            <w:r>
              <w:rPr>
                <w:rFonts w:hint="eastAsia" w:ascii="黑体" w:hAnsi="黑体" w:eastAsia="黑体"/>
                <w:bCs/>
                <w:spacing w:val="-6"/>
                <w:sz w:val="24"/>
                <w:szCs w:val="24"/>
              </w:rPr>
              <w:t>合格率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1" w:hRule="atLeast"/>
          <w:jc w:val="center"/>
        </w:trPr>
        <w:tc>
          <w:tcPr>
            <w:tcW w:w="720"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路</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基</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工</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程</w:t>
            </w:r>
          </w:p>
        </w:tc>
        <w:tc>
          <w:tcPr>
            <w:tcW w:w="433"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土石方</w:t>
            </w: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压实度</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采用灌砂法，每个标段随机选取3个薄弱测点。</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按检评标准规定值计算合格率。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86"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路床弯沉</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采用贝克曼梁弯沉仪或自动化检测设备检测，每个标段随机抽查1公里，检测不少于50个测点；随机检测时测点数不少于50个。</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连续检测：代表值大于设计值为不合格；代表值小于设计值，按单点大于L+2S为不合格，计算总合格率。</w:t>
            </w:r>
          </w:p>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随机检测：按单点大于L+2S为不合格，计算总合格率。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57" w:hRule="atLeast"/>
          <w:jc w:val="center"/>
        </w:trPr>
        <w:tc>
          <w:tcPr>
            <w:tcW w:w="720"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路</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面</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工</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程</w:t>
            </w:r>
          </w:p>
        </w:tc>
        <w:tc>
          <w:tcPr>
            <w:tcW w:w="433"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面 层</w:t>
            </w:r>
          </w:p>
        </w:tc>
        <w:tc>
          <w:tcPr>
            <w:tcW w:w="117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混凝土路面强度</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钻芯劈裂法，每个标段随机选取不少于3点</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试件平均强度不得小于1.1倍设计弯拉强度标准值，任一组强度不得小于0.85倍设计弯拉强度标准值。</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8"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 w:val="24"/>
              </w:rPr>
            </w:pPr>
          </w:p>
        </w:tc>
        <w:tc>
          <w:tcPr>
            <w:tcW w:w="433" w:type="dxa"/>
            <w:vMerge w:val="continue"/>
            <w:noWrap w:val="0"/>
            <w:vAlign w:val="center"/>
          </w:tcPr>
          <w:p>
            <w:pPr>
              <w:spacing w:line="260" w:lineRule="exact"/>
              <w:jc w:val="center"/>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沥青层</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压实度</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采用表干密度法检测，每个标段随机取芯3个。</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按单点值大于等于最大理论密度的92%或试验室标准密度的96%为合格，计算合格率。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厚度</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每个标段随机取芯3个；或每标段采用雷达随机抽查500米，每20米一个测点。</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按单点总厚度大于设计值的92%，计算合格率。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41"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基层</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底基层</w:t>
            </w: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厚度</w:t>
            </w:r>
          </w:p>
        </w:tc>
        <w:tc>
          <w:tcPr>
            <w:tcW w:w="2854" w:type="dxa"/>
            <w:vMerge w:val="restart"/>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采用取芯方法，每个标段随机取芯3个。</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基层按单点厚度大于设计值-20mm为合格，底基层按单点厚度大于设计值-30mm为合格，计算合格率。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整体性</w:t>
            </w:r>
          </w:p>
        </w:tc>
        <w:tc>
          <w:tcPr>
            <w:tcW w:w="2854" w:type="dxa"/>
            <w:vMerge w:val="continue"/>
            <w:noWrap w:val="0"/>
            <w:vAlign w:val="center"/>
          </w:tcPr>
          <w:p>
            <w:pPr>
              <w:spacing w:line="260" w:lineRule="exact"/>
              <w:rPr>
                <w:rFonts w:hint="eastAsia" w:ascii="方正仿宋_GBK" w:hAnsi="仿宋" w:eastAsia="方正仿宋_GBK"/>
                <w:spacing w:val="-12"/>
                <w:sz w:val="24"/>
              </w:rPr>
            </w:pP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芯样完整为合格，计算合格率。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9"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基层裂缝</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每个标段随机抽查100m。</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按统计方法评定合格率。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71" w:hRule="atLeast"/>
          <w:jc w:val="center"/>
        </w:trPr>
        <w:tc>
          <w:tcPr>
            <w:tcW w:w="720"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桥</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梁</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工</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程</w:t>
            </w:r>
          </w:p>
        </w:tc>
        <w:tc>
          <w:tcPr>
            <w:tcW w:w="433" w:type="dxa"/>
            <w:vMerge w:val="restart"/>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上、下部结构</w:t>
            </w: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砼强度</w:t>
            </w:r>
          </w:p>
        </w:tc>
        <w:tc>
          <w:tcPr>
            <w:tcW w:w="2854"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采用回弹法，每个标段抽查墩柱及梁板等主要构件3个，每个构件3个测区。</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强度推定值大于设计强度为合格，计算合格率。也可利用标养试件统计评价。</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6"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钢筋保护层厚度</w:t>
            </w:r>
          </w:p>
        </w:tc>
        <w:tc>
          <w:tcPr>
            <w:tcW w:w="2854" w:type="dxa"/>
            <w:vMerge w:val="restart"/>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采用电磁方法检测，每标段抽查墩柱、现浇和预制梁板等构件各2个，每构件布置1×2m测区并检测10点。</w:t>
            </w: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按统计方法评定，特征值与设计值比值介于0.9-1.3的为合格，计算合格率。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87"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钢筋位置</w:t>
            </w:r>
          </w:p>
        </w:tc>
        <w:tc>
          <w:tcPr>
            <w:tcW w:w="2854" w:type="dxa"/>
            <w:vMerge w:val="continue"/>
            <w:noWrap w:val="0"/>
            <w:vAlign w:val="center"/>
          </w:tcPr>
          <w:p>
            <w:pPr>
              <w:spacing w:line="260" w:lineRule="exact"/>
              <w:rPr>
                <w:rFonts w:hint="eastAsia" w:ascii="方正仿宋_GBK" w:hAnsi="仿宋" w:eastAsia="方正仿宋_GBK"/>
                <w:spacing w:val="-12"/>
                <w:sz w:val="24"/>
              </w:rPr>
            </w:pPr>
          </w:p>
        </w:tc>
        <w:tc>
          <w:tcPr>
            <w:tcW w:w="3899" w:type="dxa"/>
            <w:gridSpan w:val="2"/>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按检评标准的允许偏差计算合格率。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75"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构件几何尺寸</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用钢尺或激光测距仪检测，每标段抽查墩柱和梁板各2个构件，其中：</w:t>
            </w:r>
          </w:p>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墩柱沿高度每间隔1米测两个正交直径，测3组数据，圆柱墩可测周长换算为直径。</w:t>
            </w:r>
          </w:p>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梁、板按图纸测量顶、底板轴线梁长，两端轴线梁高，梁宽根据梁长按等分点至少测3个断面。</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按检评标准的允许偏差计算合格率。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4" w:hRule="atLeast"/>
          <w:jc w:val="center"/>
        </w:trPr>
        <w:tc>
          <w:tcPr>
            <w:tcW w:w="720" w:type="dxa"/>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隧道工程</w:t>
            </w:r>
          </w:p>
        </w:tc>
        <w:tc>
          <w:tcPr>
            <w:tcW w:w="433" w:type="dxa"/>
            <w:vMerge w:val="restart"/>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支护</w:t>
            </w: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锚杆数量</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随机抽查1-2个断面锚杆数量。</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按实测值不少于设计值为合格，计算合格率。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1"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锚杆</w:t>
            </w:r>
          </w:p>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抗拔力</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随机抽查5-10根同类型锚杆。</w:t>
            </w:r>
          </w:p>
        </w:tc>
        <w:tc>
          <w:tcPr>
            <w:tcW w:w="2400" w:type="dxa"/>
            <w:vMerge w:val="restart"/>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按检评标准的规定值评价，计算合格率。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1"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钢支撑安装间距</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随机连续抽查5-10榀钢支撑，尺量相邻两榀同一高度的间距。</w:t>
            </w:r>
          </w:p>
        </w:tc>
        <w:tc>
          <w:tcPr>
            <w:tcW w:w="2400" w:type="dxa"/>
            <w:vMerge w:val="continue"/>
            <w:noWrap w:val="0"/>
            <w:vAlign w:val="center"/>
          </w:tcPr>
          <w:p>
            <w:pPr>
              <w:spacing w:line="300" w:lineRule="exact"/>
              <w:rPr>
                <w:rFonts w:hint="eastAsia" w:ascii="方正仿宋_GBK" w:hAnsi="仿宋" w:eastAsia="方正仿宋_GBK"/>
                <w:spacing w:val="-12"/>
                <w:sz w:val="24"/>
              </w:rPr>
            </w:pP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97"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钢筋网</w:t>
            </w:r>
          </w:p>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网格间距</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随机选择已安装完成钢筋网片一处，尺量5-10个网眼间距。</w:t>
            </w:r>
          </w:p>
        </w:tc>
        <w:tc>
          <w:tcPr>
            <w:tcW w:w="2400" w:type="dxa"/>
            <w:vMerge w:val="continue"/>
            <w:noWrap w:val="0"/>
            <w:vAlign w:val="center"/>
          </w:tcPr>
          <w:p>
            <w:pPr>
              <w:spacing w:line="300" w:lineRule="exact"/>
              <w:rPr>
                <w:rFonts w:hint="eastAsia" w:ascii="方正仿宋_GBK" w:hAnsi="仿宋" w:eastAsia="方正仿宋_GBK"/>
                <w:spacing w:val="-12"/>
                <w:sz w:val="24"/>
              </w:rPr>
            </w:pP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38"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喷射混凝土喷层厚度、空洞</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在喷射混凝土区段随机凿孔1处检测，不满足时加凿1孔。</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实测值</w:t>
            </w:r>
            <w:r>
              <w:rPr>
                <w:rFonts w:hint="eastAsia" w:ascii="方正仿宋_GBK" w:hAnsi="仿宋" w:eastAsia="方正仿宋_GBK" w:cs="宋体"/>
                <w:spacing w:val="-12"/>
                <w:sz w:val="24"/>
              </w:rPr>
              <w:t>≧</w:t>
            </w:r>
            <w:r>
              <w:rPr>
                <w:rFonts w:hint="eastAsia" w:ascii="方正仿宋_GBK" w:hAnsi="仿宋" w:eastAsia="方正仿宋_GBK"/>
                <w:spacing w:val="-12"/>
                <w:sz w:val="24"/>
              </w:rPr>
              <w:t>设计值为合格，计算合格率。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97"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防排水</w:t>
            </w: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防水板焊接或粘接缝宽</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随机选防水板搭接1处，尺量10点缝宽。</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按检评标准的规定值评价，计算合格率。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75"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restart"/>
            <w:noWrap w:val="0"/>
            <w:vAlign w:val="center"/>
          </w:tcPr>
          <w:p>
            <w:pPr>
              <w:spacing w:line="260" w:lineRule="exact"/>
              <w:rPr>
                <w:rFonts w:hint="eastAsia" w:ascii="方正仿宋_GBK" w:hAnsi="仿宋" w:eastAsia="方正仿宋_GBK"/>
                <w:spacing w:val="-12"/>
                <w:sz w:val="24"/>
              </w:rPr>
            </w:pPr>
            <w:r>
              <w:rPr>
                <w:rFonts w:hint="eastAsia" w:ascii="方正仿宋_GBK" w:hAnsi="仿宋" w:eastAsia="方正仿宋_GBK"/>
                <w:spacing w:val="-12"/>
                <w:sz w:val="24"/>
              </w:rPr>
              <w:t>衬砌</w:t>
            </w: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砼强度</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采用回弹法，随机选择28d＜龄期</w:t>
            </w:r>
            <w:r>
              <w:rPr>
                <w:rFonts w:hint="eastAsia" w:ascii="方正仿宋_GBK" w:hAnsi="仿宋" w:eastAsia="方正仿宋_GBK" w:cs="宋体"/>
                <w:spacing w:val="-12"/>
                <w:sz w:val="24"/>
              </w:rPr>
              <w:t>≦</w:t>
            </w:r>
            <w:r>
              <w:rPr>
                <w:rFonts w:hint="eastAsia" w:ascii="方正仿宋_GBK" w:hAnsi="仿宋" w:eastAsia="方正仿宋_GBK"/>
                <w:spacing w:val="-12"/>
                <w:sz w:val="24"/>
              </w:rPr>
              <w:t>60d的衬砌混凝土3模，在每模混凝土的任意一侧边墙布置4个进行测区检测。</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推定值大于设计为合格，每模为一评价单元，计算评价单元合格率。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14" w:hRule="atLeast"/>
          <w:jc w:val="center"/>
        </w:trPr>
        <w:tc>
          <w:tcPr>
            <w:tcW w:w="720" w:type="dxa"/>
            <w:vMerge w:val="continue"/>
            <w:noWrap w:val="0"/>
            <w:vAlign w:val="center"/>
          </w:tcPr>
          <w:p>
            <w:pPr>
              <w:spacing w:line="260" w:lineRule="exact"/>
              <w:rPr>
                <w:rFonts w:hint="eastAsia" w:ascii="方正仿宋_GBK" w:hAnsi="仿宋" w:eastAsia="方正仿宋_GBK"/>
                <w:spacing w:val="-12"/>
                <w:sz w:val="24"/>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厚度</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选取衬砌施工缝端头处混凝土侧面用尺量厚度，从拱顶中线起每2m检查 1点。</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按单点值不小于设计值为合格，计算合格率。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5"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Cs w:val="21"/>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衬砌钢筋</w:t>
            </w:r>
          </w:p>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主筋间距</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随机选取20m长区段2处或以上，每处随机用尺量5点。</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按检评标准的规定值评价，计算合格率。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5"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Cs w:val="21"/>
              </w:rPr>
            </w:pPr>
          </w:p>
        </w:tc>
        <w:tc>
          <w:tcPr>
            <w:tcW w:w="433" w:type="dxa"/>
            <w:vMerge w:val="continue"/>
            <w:noWrap w:val="0"/>
            <w:vAlign w:val="center"/>
          </w:tcPr>
          <w:p>
            <w:pPr>
              <w:spacing w:line="260" w:lineRule="exact"/>
              <w:rPr>
                <w:rFonts w:hint="eastAsia" w:ascii="方正仿宋_GBK" w:hAnsi="仿宋" w:eastAsia="方正仿宋_GBK"/>
                <w:spacing w:val="-12"/>
                <w:szCs w:val="21"/>
              </w:rPr>
            </w:pP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超前小导管（管棚）数量或间距</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使用尺量、雷达法、破检法按照现行检测方法，视情况随机选取1处。</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按单点值不小于设计值为合格，计算合格率。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9" w:hRule="atLeast"/>
          <w:jc w:val="center"/>
        </w:trPr>
        <w:tc>
          <w:tcPr>
            <w:tcW w:w="720" w:type="dxa"/>
            <w:vMerge w:val="continue"/>
            <w:noWrap w:val="0"/>
            <w:vAlign w:val="center"/>
          </w:tcPr>
          <w:p>
            <w:pPr>
              <w:spacing w:line="260" w:lineRule="exact"/>
              <w:jc w:val="center"/>
              <w:rPr>
                <w:rFonts w:hint="eastAsia" w:ascii="方正仿宋_GBK" w:hAnsi="仿宋" w:eastAsia="方正仿宋_GBK"/>
                <w:spacing w:val="-12"/>
                <w:szCs w:val="21"/>
              </w:rPr>
            </w:pPr>
          </w:p>
        </w:tc>
        <w:tc>
          <w:tcPr>
            <w:tcW w:w="433"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隧道</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路面</w:t>
            </w:r>
          </w:p>
        </w:tc>
        <w:tc>
          <w:tcPr>
            <w:tcW w:w="1174" w:type="dxa"/>
            <w:noWrap w:val="0"/>
            <w:vAlign w:val="center"/>
          </w:tcPr>
          <w:p>
            <w:pPr>
              <w:spacing w:line="30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混凝土整平层或基层厚度</w:t>
            </w:r>
          </w:p>
        </w:tc>
        <w:tc>
          <w:tcPr>
            <w:tcW w:w="4353" w:type="dxa"/>
            <w:gridSpan w:val="2"/>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随机选取施工节段2处，每处随机用尺量混凝土侧面厚度5-10点。</w:t>
            </w:r>
          </w:p>
        </w:tc>
        <w:tc>
          <w:tcPr>
            <w:tcW w:w="2400" w:type="dxa"/>
            <w:noWrap w:val="0"/>
            <w:vAlign w:val="center"/>
          </w:tcPr>
          <w:p>
            <w:pPr>
              <w:spacing w:line="300" w:lineRule="exact"/>
              <w:rPr>
                <w:rFonts w:hint="eastAsia" w:ascii="方正仿宋_GBK" w:hAnsi="仿宋" w:eastAsia="方正仿宋_GBK"/>
                <w:spacing w:val="-12"/>
                <w:sz w:val="24"/>
              </w:rPr>
            </w:pPr>
            <w:r>
              <w:rPr>
                <w:rFonts w:hint="eastAsia" w:ascii="方正仿宋_GBK" w:hAnsi="仿宋" w:eastAsia="方正仿宋_GBK"/>
                <w:spacing w:val="-12"/>
                <w:sz w:val="24"/>
              </w:rPr>
              <w:t>按单点值不小于设计值为合格，计算合格率。</w:t>
            </w:r>
          </w:p>
        </w:tc>
        <w:tc>
          <w:tcPr>
            <w:tcW w:w="743" w:type="dxa"/>
            <w:noWrap w:val="0"/>
            <w:vAlign w:val="center"/>
          </w:tcPr>
          <w:p>
            <w:pPr>
              <w:spacing w:line="260" w:lineRule="exact"/>
              <w:rPr>
                <w:rFonts w:hint="eastAsia" w:ascii="方正仿宋_GBK" w:hAnsi="仿宋" w:eastAsia="方正仿宋_GBK"/>
                <w:spacing w:val="-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00" w:hRule="atLeast"/>
          <w:jc w:val="center"/>
        </w:trPr>
        <w:tc>
          <w:tcPr>
            <w:tcW w:w="1153" w:type="dxa"/>
            <w:gridSpan w:val="2"/>
            <w:vMerge w:val="restart"/>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交</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通</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安</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全</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设</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施</w:t>
            </w: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构件</w:t>
            </w:r>
          </w:p>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基底厚度</w:t>
            </w:r>
          </w:p>
        </w:tc>
        <w:tc>
          <w:tcPr>
            <w:tcW w:w="4353" w:type="dxa"/>
            <w:gridSpan w:val="2"/>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采用板厚千分尺、超声波测厚仪和磁性测厚仪，每个标段抽取3段100m，每段测试20点。</w:t>
            </w:r>
          </w:p>
        </w:tc>
        <w:tc>
          <w:tcPr>
            <w:tcW w:w="2400" w:type="dxa"/>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4(0,+0.22)mm，3(0,+0.18)mm，4.5(-0.25,+0.5)mm，计算合格率。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3" w:hRule="atLeast"/>
          <w:jc w:val="center"/>
        </w:trPr>
        <w:tc>
          <w:tcPr>
            <w:tcW w:w="1153" w:type="dxa"/>
            <w:gridSpan w:val="2"/>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构件防腐层厚度</w:t>
            </w:r>
          </w:p>
        </w:tc>
        <w:tc>
          <w:tcPr>
            <w:tcW w:w="4353" w:type="dxa"/>
            <w:gridSpan w:val="2"/>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采用磁性测厚仪，每个标段抽取3段100m，每段测试20点。</w:t>
            </w:r>
          </w:p>
        </w:tc>
        <w:tc>
          <w:tcPr>
            <w:tcW w:w="2400" w:type="dxa"/>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≥85μm，计算合格率。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8" w:hRule="atLeast"/>
          <w:jc w:val="center"/>
        </w:trPr>
        <w:tc>
          <w:tcPr>
            <w:tcW w:w="1153" w:type="dxa"/>
            <w:gridSpan w:val="2"/>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护栏横梁中心高度</w:t>
            </w:r>
          </w:p>
        </w:tc>
        <w:tc>
          <w:tcPr>
            <w:tcW w:w="4353" w:type="dxa"/>
            <w:gridSpan w:val="2"/>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采用水平尺和钢卷尺，每标段随机抽测50点。</w:t>
            </w:r>
          </w:p>
        </w:tc>
        <w:tc>
          <w:tcPr>
            <w:tcW w:w="2400" w:type="dxa"/>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±20mm，计算合格率。</w:t>
            </w:r>
          </w:p>
        </w:tc>
        <w:tc>
          <w:tcPr>
            <w:tcW w:w="743" w:type="dxa"/>
            <w:noWrap w:val="0"/>
            <w:vAlign w:val="center"/>
          </w:tcPr>
          <w:p>
            <w:pPr>
              <w:spacing w:line="260" w:lineRule="exact"/>
              <w:rPr>
                <w:rFonts w:hint="eastAsia" w:ascii="方正仿宋_GBK" w:hAnsi="仿宋" w:eastAsia="方正仿宋_GBK"/>
                <w:spacing w:val="-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4" w:hRule="atLeast"/>
          <w:jc w:val="center"/>
        </w:trPr>
        <w:tc>
          <w:tcPr>
            <w:tcW w:w="1153" w:type="dxa"/>
            <w:gridSpan w:val="2"/>
            <w:vMerge w:val="continue"/>
            <w:noWrap w:val="0"/>
            <w:vAlign w:val="center"/>
          </w:tcPr>
          <w:p>
            <w:pPr>
              <w:spacing w:line="260" w:lineRule="exact"/>
              <w:rPr>
                <w:rFonts w:hint="eastAsia" w:ascii="方正仿宋_GBK" w:hAnsi="仿宋" w:eastAsia="方正仿宋_GBK"/>
                <w:spacing w:val="-12"/>
                <w:sz w:val="24"/>
              </w:rPr>
            </w:pPr>
          </w:p>
        </w:tc>
        <w:tc>
          <w:tcPr>
            <w:tcW w:w="1174" w:type="dxa"/>
            <w:noWrap w:val="0"/>
            <w:vAlign w:val="center"/>
          </w:tcPr>
          <w:p>
            <w:pPr>
              <w:spacing w:line="2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护栏立柱埋入深度</w:t>
            </w:r>
          </w:p>
        </w:tc>
        <w:tc>
          <w:tcPr>
            <w:tcW w:w="4353" w:type="dxa"/>
            <w:gridSpan w:val="2"/>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采用直尺，每个标段抽取5根施工完的立柱实测。</w:t>
            </w:r>
          </w:p>
        </w:tc>
        <w:tc>
          <w:tcPr>
            <w:tcW w:w="2400" w:type="dxa"/>
            <w:noWrap w:val="0"/>
            <w:vAlign w:val="center"/>
          </w:tcPr>
          <w:p>
            <w:pPr>
              <w:spacing w:line="260" w:lineRule="exact"/>
              <w:jc w:val="left"/>
              <w:rPr>
                <w:rFonts w:hint="eastAsia" w:ascii="方正仿宋_GBK" w:hAnsi="仿宋" w:eastAsia="方正仿宋_GBK"/>
                <w:spacing w:val="-12"/>
                <w:sz w:val="24"/>
              </w:rPr>
            </w:pPr>
            <w:r>
              <w:rPr>
                <w:rFonts w:hint="eastAsia" w:ascii="方正仿宋_GBK" w:hAnsi="仿宋" w:eastAsia="方正仿宋_GBK"/>
                <w:spacing w:val="-12"/>
                <w:sz w:val="24"/>
              </w:rPr>
              <w:t>符合设计规定为合格，计算合格率。</w:t>
            </w:r>
          </w:p>
        </w:tc>
        <w:tc>
          <w:tcPr>
            <w:tcW w:w="743" w:type="dxa"/>
            <w:noWrap w:val="0"/>
            <w:vAlign w:val="center"/>
          </w:tcPr>
          <w:p>
            <w:pPr>
              <w:spacing w:line="260" w:lineRule="exact"/>
              <w:rPr>
                <w:rFonts w:hint="eastAsia" w:ascii="方正仿宋_GBK" w:hAnsi="仿宋" w:eastAsia="方正仿宋_GBK"/>
                <w:spacing w:val="-12"/>
                <w:sz w:val="24"/>
              </w:rPr>
            </w:pPr>
          </w:p>
        </w:tc>
      </w:tr>
    </w:tbl>
    <w:p>
      <w:pPr>
        <w:spacing w:line="400" w:lineRule="exact"/>
        <w:rPr>
          <w:rFonts w:hint="eastAsia" w:ascii="方正仿宋_GBK" w:hAnsi="宋体" w:eastAsia="方正仿宋_GBK"/>
          <w:spacing w:val="-12"/>
          <w:sz w:val="24"/>
        </w:rPr>
      </w:pPr>
      <w:r>
        <w:rPr>
          <w:rFonts w:hint="eastAsia" w:ascii="方正仿宋_GBK" w:hAnsi="宋体" w:eastAsia="方正仿宋_GBK"/>
          <w:spacing w:val="-12"/>
          <w:sz w:val="24"/>
        </w:rPr>
        <w:t>注：1、督查组可根据工程情况随机指定抽检原材料种类及实测指标项。</w:t>
      </w:r>
    </w:p>
    <w:p>
      <w:pPr>
        <w:spacing w:before="156" w:beforeLines="50" w:after="156" w:afterLines="50" w:line="360" w:lineRule="auto"/>
        <w:jc w:val="left"/>
        <w:rPr>
          <w:rFonts w:hint="eastAsia" w:ascii="方正仿宋_GBK" w:eastAsia="方正仿宋_GBK"/>
        </w:rPr>
      </w:pPr>
    </w:p>
    <w:p>
      <w:pPr>
        <w:spacing w:before="156" w:beforeLines="50" w:after="156" w:afterLines="50" w:line="360" w:lineRule="auto"/>
        <w:jc w:val="left"/>
        <w:rPr>
          <w:rFonts w:hint="eastAsia" w:ascii="方正仿宋_GBK" w:eastAsia="方正仿宋_GBK"/>
        </w:rPr>
      </w:pPr>
    </w:p>
    <w:p>
      <w:pPr>
        <w:spacing w:before="156" w:beforeLines="50" w:after="156" w:afterLines="50" w:line="360" w:lineRule="auto"/>
        <w:jc w:val="left"/>
        <w:rPr>
          <w:rFonts w:hint="eastAsia" w:ascii="方正仿宋_GBK" w:eastAsia="方正仿宋_GBK"/>
        </w:rPr>
      </w:pPr>
    </w:p>
    <w:p>
      <w:pPr>
        <w:spacing w:before="156" w:beforeLines="50" w:after="156" w:afterLines="50" w:line="360" w:lineRule="auto"/>
        <w:jc w:val="left"/>
        <w:rPr>
          <w:rFonts w:hint="eastAsia" w:ascii="方正仿宋_GBK" w:eastAsia="方正仿宋_GBK"/>
        </w:rPr>
      </w:pPr>
    </w:p>
    <w:p>
      <w:pPr>
        <w:spacing w:before="156" w:beforeLines="50" w:after="156" w:afterLines="50" w:line="360" w:lineRule="auto"/>
        <w:jc w:val="left"/>
        <w:rPr>
          <w:rFonts w:hint="eastAsia" w:ascii="方正仿宋_GBK" w:eastAsia="方正仿宋_GBK"/>
        </w:rPr>
      </w:pPr>
    </w:p>
    <w:p>
      <w:pPr>
        <w:spacing w:before="156" w:beforeLines="50" w:after="156" w:afterLines="50" w:line="360" w:lineRule="auto"/>
        <w:jc w:val="left"/>
        <w:rPr>
          <w:rFonts w:hint="eastAsia" w:ascii="方正仿宋_GBK" w:eastAsia="方正仿宋_GBK"/>
        </w:rPr>
      </w:pPr>
    </w:p>
    <w:p>
      <w:pPr>
        <w:spacing w:line="240" w:lineRule="atLeast"/>
        <w:rPr>
          <w:rFonts w:hint="eastAsia" w:ascii="黑体" w:hAnsi="黑体" w:eastAsia="黑体" w:cs="华文宋体"/>
          <w:bCs/>
          <w:sz w:val="32"/>
          <w:szCs w:val="32"/>
        </w:rPr>
      </w:pPr>
      <w:r>
        <w:rPr>
          <w:rFonts w:hint="eastAsia" w:ascii="方正黑体_GBK" w:hAnsi="方正黑体_GBK" w:eastAsia="方正黑体_GBK" w:cs="方正黑体_GBK"/>
          <w:bCs/>
          <w:sz w:val="32"/>
          <w:szCs w:val="32"/>
        </w:rPr>
        <w:t>附表5</w:t>
      </w:r>
    </w:p>
    <w:p>
      <w:pPr>
        <w:spacing w:line="240" w:lineRule="atLeast"/>
        <w:rPr>
          <w:rFonts w:hint="eastAsia" w:ascii="黑体" w:hAnsi="黑体" w:eastAsia="黑体" w:cs="华文宋体"/>
          <w:bCs/>
          <w:sz w:val="28"/>
          <w:szCs w:val="28"/>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黑体" w:eastAsia="方正小标宋_GBK" w:cs="华文宋体"/>
          <w:bCs/>
          <w:sz w:val="44"/>
          <w:szCs w:val="44"/>
        </w:rPr>
      </w:pPr>
      <w:r>
        <w:rPr>
          <w:rFonts w:hint="eastAsia" w:ascii="方正小标宋_GBK" w:hAnsi="黑体" w:eastAsia="方正小标宋_GBK" w:cs="华文宋体"/>
          <w:bCs/>
          <w:sz w:val="44"/>
          <w:szCs w:val="44"/>
        </w:rPr>
        <w:t>水运工程项目施工工艺及现场安全督查表</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黑体" w:eastAsia="方正小标宋_GBK" w:cs="华文宋体"/>
          <w:bCs/>
          <w:sz w:val="44"/>
          <w:szCs w:val="44"/>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9"/>
        <w:gridCol w:w="1134"/>
        <w:gridCol w:w="6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1099" w:type="dxa"/>
            <w:noWrap w:val="0"/>
            <w:vAlign w:val="center"/>
          </w:tcPr>
          <w:p>
            <w:pPr>
              <w:adjustRightInd w:val="0"/>
              <w:snapToGrid w:val="0"/>
              <w:jc w:val="center"/>
              <w:rPr>
                <w:rFonts w:hint="eastAsia" w:ascii="黑体" w:hAnsi="黑体" w:eastAsia="黑体" w:cs="宋体"/>
                <w:bCs/>
                <w:spacing w:val="-12"/>
                <w:sz w:val="24"/>
              </w:rPr>
            </w:pPr>
            <w:r>
              <w:rPr>
                <w:rFonts w:hint="eastAsia" w:ascii="黑体" w:hAnsi="黑体" w:eastAsia="黑体" w:cs="宋体"/>
                <w:bCs/>
                <w:spacing w:val="-12"/>
                <w:sz w:val="24"/>
              </w:rPr>
              <w:t>检查内容</w:t>
            </w:r>
          </w:p>
        </w:tc>
        <w:tc>
          <w:tcPr>
            <w:tcW w:w="1134" w:type="dxa"/>
            <w:noWrap w:val="0"/>
            <w:vAlign w:val="center"/>
          </w:tcPr>
          <w:p>
            <w:pPr>
              <w:adjustRightInd w:val="0"/>
              <w:snapToGrid w:val="0"/>
              <w:jc w:val="center"/>
              <w:rPr>
                <w:rFonts w:hint="eastAsia" w:ascii="黑体" w:hAnsi="黑体" w:eastAsia="黑体" w:cs="宋体"/>
                <w:bCs/>
                <w:spacing w:val="-12"/>
                <w:sz w:val="24"/>
              </w:rPr>
            </w:pPr>
            <w:r>
              <w:rPr>
                <w:rFonts w:hint="eastAsia" w:ascii="黑体" w:hAnsi="黑体" w:eastAsia="黑体" w:cs="宋体"/>
                <w:bCs/>
                <w:spacing w:val="-12"/>
                <w:sz w:val="24"/>
              </w:rPr>
              <w:t>抽检</w:t>
            </w:r>
          </w:p>
          <w:p>
            <w:pPr>
              <w:adjustRightInd w:val="0"/>
              <w:snapToGrid w:val="0"/>
              <w:jc w:val="center"/>
              <w:rPr>
                <w:rFonts w:hint="eastAsia" w:ascii="黑体" w:hAnsi="黑体" w:eastAsia="黑体" w:cs="宋体"/>
                <w:bCs/>
                <w:spacing w:val="-12"/>
                <w:sz w:val="24"/>
              </w:rPr>
            </w:pPr>
            <w:r>
              <w:rPr>
                <w:rFonts w:hint="eastAsia" w:ascii="黑体" w:hAnsi="黑体" w:eastAsia="黑体" w:cs="宋体"/>
                <w:bCs/>
                <w:spacing w:val="-12"/>
                <w:sz w:val="24"/>
              </w:rPr>
              <w:t>指标项</w:t>
            </w:r>
          </w:p>
        </w:tc>
        <w:tc>
          <w:tcPr>
            <w:tcW w:w="6663" w:type="dxa"/>
            <w:noWrap w:val="0"/>
            <w:vAlign w:val="center"/>
          </w:tcPr>
          <w:p>
            <w:pPr>
              <w:adjustRightInd w:val="0"/>
              <w:snapToGrid w:val="0"/>
              <w:jc w:val="center"/>
              <w:rPr>
                <w:rFonts w:hint="eastAsia" w:ascii="黑体" w:hAnsi="黑体" w:eastAsia="黑体" w:cs="宋体"/>
                <w:bCs/>
                <w:spacing w:val="-12"/>
                <w:sz w:val="24"/>
              </w:rPr>
            </w:pPr>
            <w:r>
              <w:rPr>
                <w:rFonts w:hint="eastAsia" w:ascii="黑体" w:hAnsi="黑体" w:eastAsia="黑体" w:cs="宋体"/>
                <w:bCs/>
                <w:spacing w:val="-12"/>
                <w:sz w:val="24"/>
              </w:rPr>
              <w:t>标准和要求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1099" w:type="dxa"/>
            <w:vMerge w:val="restart"/>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临时设施及施工机具、设备</w:t>
            </w: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施工场地布设</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施工现场“三区”选址及场地布设满足安全生产、文明施工和消防要求，标示标牌清晰，交通顺畅，实施封闭管理。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施工临时用电设计、布设满足规范要求；危险品的存放、使用等符合规范要求。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原材料或成品、半成品存放场地硬化，材料分类堆存，标识清晰；有防雨、防潮、防倾覆措施。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主要</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施工船舶、设备</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施工船舶和设备按合同约定进场，证书齐全，检验合格。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陆用施工机械上驳船应附具船舶稳定性和结构强度验算结果。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大型临时设施及现场安全防护</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临时码头、水上作业平台、栈桥、围堰等应编制专项施工方案，并进行必要的稳定性观测。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拌和站设置合理，搅拌机操作平台稳固；拌合楼等高大设备应合理设置缆风绳及防雷装置。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临水、临边和高处作业等安全防护措施设置规范，警示标志标牌齐全。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099"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基础</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施工</w:t>
            </w: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桩基</w:t>
            </w:r>
          </w:p>
        </w:tc>
        <w:tc>
          <w:tcPr>
            <w:tcW w:w="6663" w:type="dxa"/>
            <w:noWrap w:val="0"/>
            <w:vAlign w:val="center"/>
          </w:tcPr>
          <w:p>
            <w:pPr>
              <w:adjustRightInd w:val="0"/>
              <w:snapToGrid w:val="0"/>
              <w:spacing w:line="280" w:lineRule="exact"/>
              <w:rPr>
                <w:rFonts w:hint="eastAsia" w:ascii="方正仿宋_GBK" w:hAnsi="仿宋" w:eastAsia="方正仿宋_GBK" w:cs="宋体"/>
                <w:strike/>
                <w:color w:val="FF0000"/>
                <w:sz w:val="24"/>
              </w:rPr>
            </w:pPr>
            <w:r>
              <w:rPr>
                <w:rFonts w:hint="eastAsia" w:ascii="方正仿宋_GBK" w:hAnsi="仿宋" w:eastAsia="方正仿宋_GBK" w:cs="宋体"/>
                <w:sz w:val="24"/>
              </w:rPr>
              <w:t>灌注桩成孔尺度、终孔土质、沉渣厚度等控制措施合理；钢筋笼控制偏位及上浮措施有效；桩顶浮浆和松散</w:t>
            </w:r>
            <w:r>
              <w:rPr>
                <w:rFonts w:hint="eastAsia" w:ascii="方正仿宋_GBK" w:hAnsi="仿宋" w:eastAsia="方正仿宋_GBK"/>
                <w:spacing w:val="-12"/>
                <w:sz w:val="24"/>
              </w:rPr>
              <w:t>混凝土</w:t>
            </w:r>
            <w:r>
              <w:rPr>
                <w:rFonts w:hint="eastAsia" w:ascii="方正仿宋_GBK" w:hAnsi="仿宋" w:eastAsia="方正仿宋_GBK" w:cs="宋体"/>
                <w:sz w:val="24"/>
              </w:rPr>
              <w:t>凿除干净。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trike/>
                <w:color w:val="FF0000"/>
                <w:sz w:val="24"/>
              </w:rPr>
            </w:pPr>
            <w:r>
              <w:rPr>
                <w:rFonts w:hint="eastAsia" w:ascii="方正仿宋_GBK" w:hAnsi="仿宋" w:eastAsia="方正仿宋_GBK" w:cs="宋体"/>
                <w:sz w:val="24"/>
              </w:rPr>
              <w:t>异常桩按要求处理。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sz w:val="24"/>
              </w:rPr>
            </w:pPr>
          </w:p>
        </w:tc>
        <w:tc>
          <w:tcPr>
            <w:tcW w:w="6663" w:type="dxa"/>
            <w:noWrap w:val="0"/>
            <w:vAlign w:val="center"/>
          </w:tcPr>
          <w:p>
            <w:pPr>
              <w:adjustRightInd w:val="0"/>
              <w:snapToGrid w:val="0"/>
              <w:spacing w:line="280" w:lineRule="exact"/>
              <w:rPr>
                <w:rFonts w:hint="eastAsia" w:ascii="方正仿宋_GBK" w:hAnsi="仿宋" w:eastAsia="方正仿宋_GBK"/>
                <w:sz w:val="24"/>
              </w:rPr>
            </w:pPr>
            <w:r>
              <w:rPr>
                <w:rFonts w:hint="eastAsia" w:ascii="方正仿宋_GBK" w:hAnsi="仿宋" w:eastAsia="方正仿宋_GBK" w:cs="宋体"/>
                <w:sz w:val="24"/>
              </w:rPr>
              <w:t>灌注桩施工应设置泥浆池，废浆处理满足环保规定，泥浆池周围设有安全防护栏和安全警示标志。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基槽和岸坡开挖</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深度超过5m的基坑应按照专项支护设计实施支护，并开展变形监测；基坑临边防护和排（降）水措施得当，坑边堆物符合规范要求。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水下基槽基底土质符合设计要求，开挖的断面尺寸不小于设计规定；超深、超宽偏差符合规范要求。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陆上基底土质和边坡坡度符合设计要求；位置及标高偏差符合规范规定，槽底超挖补填规范；基槽底层若受水浸泡应进行处理。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5"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抛石基床</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抛石前应对基槽尺寸、标高及回淤沉积物进行检查；块石规格、级配和质量符合设计要求。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夯实方法、遍数应符合设计和规范规定；基床夯实验收平均沉降量符合规范要求。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软土</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地基</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加固</w:t>
            </w:r>
          </w:p>
        </w:tc>
        <w:tc>
          <w:tcPr>
            <w:tcW w:w="6663" w:type="dxa"/>
            <w:noWrap w:val="0"/>
            <w:vAlign w:val="center"/>
          </w:tcPr>
          <w:p>
            <w:pPr>
              <w:adjustRightInd w:val="0"/>
              <w:snapToGrid w:val="0"/>
              <w:spacing w:line="280" w:lineRule="exact"/>
              <w:rPr>
                <w:rFonts w:hint="eastAsia" w:ascii="方正仿宋_GBK" w:hAnsi="仿宋" w:eastAsia="方正仿宋_GBK" w:cs="宋体"/>
                <w:strike/>
                <w:color w:val="FF0000"/>
                <w:sz w:val="24"/>
              </w:rPr>
            </w:pPr>
            <w:r>
              <w:rPr>
                <w:rFonts w:hint="eastAsia" w:ascii="方正仿宋_GBK" w:hAnsi="仿宋" w:eastAsia="方正仿宋_GBK" w:cs="宋体"/>
                <w:sz w:val="24"/>
              </w:rPr>
              <w:t>强夯夯能、夯击次数、遍数及间歇时间等符合设计要求和试验段所确定的参数。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1099"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结构</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施工</w:t>
            </w: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混凝土</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配合比设计符合要求，商品混凝土配合比设计符合水运工程检验标准要求，配合比报告审核符合要求。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混凝土浇筑过程塌落度、含气量、试块留置符合规范要求；振捣、凿毛、养护等满足精细化施工要求。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水下混凝土施工和水上现浇混凝土乘潮水施工时应提前编制专项施工方案、施工缝留置及处理符合规范要求。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钢筋</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模板</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钢筋加工制作、焊接、连接和安装符合要求；预应力筋张拉、放松、锚固、灌浆、封锚符合规范要求；垫块使用符合要求。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钢筋作业符合要求，操作规程齐全，安全防护措施有效；钢筋冷拉或对焊应设立警戒区及警告标志。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大型模板支撑体系和高大脚手架应编制安装、拆除专项方案；模板和支架具有足够的强度、刚度和稳定性，拼缝平顺、严密，按规定验收后使用；模板和脚手管的存放、修补、保养措施得当。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脱模剂涂刷、底模拆除时间、拉杆切割和孔眼封堵满足要求。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氧气瓶、乙炔瓶的存放、使用符合规范要求。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spacing w:val="-12"/>
                <w:sz w:val="24"/>
              </w:rPr>
              <w:t>混凝土</w:t>
            </w:r>
            <w:r>
              <w:rPr>
                <w:rFonts w:hint="eastAsia" w:ascii="方正仿宋_GBK" w:hAnsi="仿宋" w:eastAsia="方正仿宋_GBK" w:cs="宋体"/>
                <w:sz w:val="24"/>
              </w:rPr>
              <w:t>构件安装</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构件存放符合要求；起吊强度满足设计要求；大型构件应编制吊运方案。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1099" w:type="dxa"/>
            <w:vMerge w:val="continue"/>
            <w:noWrap w:val="0"/>
            <w:vAlign w:val="center"/>
          </w:tcPr>
          <w:p>
            <w:pPr>
              <w:adjustRightInd w:val="0"/>
              <w:snapToGrid w:val="0"/>
              <w:spacing w:line="280" w:lineRule="exact"/>
              <w:jc w:val="center"/>
              <w:rPr>
                <w:rFonts w:hint="eastAsia" w:ascii="方正仿宋_GBK" w:hAnsi="仿宋" w:eastAsia="方正仿宋_GBK" w:cs="宋体"/>
                <w:sz w:val="24"/>
              </w:rPr>
            </w:pPr>
          </w:p>
        </w:tc>
        <w:tc>
          <w:tcPr>
            <w:tcW w:w="1134"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钢结构</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钢结构焊接前进行焊接工艺评定；螺栓连接的初拧和终拧扭矩符合要求；螺栓穿入方向应一致，外露丝扣不少于2扣。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涂装除锈、油漆涂刷遍数和厚度符合要求；防尘措施满足要求。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有毒、有害及强腐蚀性涂装材料安全防护符合要求；涂装过程消防、防尘措施到位。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jc w:val="center"/>
        </w:trPr>
        <w:tc>
          <w:tcPr>
            <w:tcW w:w="1099" w:type="dxa"/>
            <w:vMerge w:val="restart"/>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试验</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检测</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和</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测量</w:t>
            </w:r>
          </w:p>
        </w:tc>
        <w:tc>
          <w:tcPr>
            <w:tcW w:w="1134" w:type="dxa"/>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试验</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检测</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检验批次符合规定，试样具有代表性；检测报告数据真实，报告出具规范。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测量</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放样</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GPS等测量仪器检定符合要求；工程测量控制点验收资料完整，施工测量基线和水准点验收记录完整，程序符合要求，过程记录和计算书完整。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位移</w:t>
            </w:r>
          </w:p>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观测</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观测方案科学合理，布点及时，连续记录，定期分析。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jc w:val="center"/>
        </w:trPr>
        <w:tc>
          <w:tcPr>
            <w:tcW w:w="1099" w:type="dxa"/>
            <w:vMerge w:val="continue"/>
            <w:noWrap w:val="0"/>
            <w:vAlign w:val="center"/>
          </w:tcPr>
          <w:p>
            <w:pPr>
              <w:adjustRightInd w:val="0"/>
              <w:snapToGrid w:val="0"/>
              <w:spacing w:line="280" w:lineRule="exact"/>
              <w:rPr>
                <w:rFonts w:hint="eastAsia" w:ascii="方正仿宋_GBK" w:hAnsi="仿宋" w:eastAsia="方正仿宋_GBK" w:cs="宋体"/>
                <w:sz w:val="24"/>
              </w:rPr>
            </w:pPr>
          </w:p>
        </w:tc>
        <w:tc>
          <w:tcPr>
            <w:tcW w:w="1134" w:type="dxa"/>
            <w:noWrap w:val="0"/>
            <w:vAlign w:val="center"/>
          </w:tcPr>
          <w:p>
            <w:pPr>
              <w:adjustRightInd w:val="0"/>
              <w:snapToGrid w:val="0"/>
              <w:spacing w:line="280" w:lineRule="exact"/>
              <w:jc w:val="center"/>
              <w:rPr>
                <w:rFonts w:hint="eastAsia" w:ascii="方正仿宋_GBK" w:hAnsi="仿宋" w:eastAsia="方正仿宋_GBK" w:cs="宋体"/>
                <w:sz w:val="24"/>
              </w:rPr>
            </w:pPr>
            <w:r>
              <w:rPr>
                <w:rFonts w:hint="eastAsia" w:ascii="方正仿宋_GBK" w:hAnsi="仿宋" w:eastAsia="方正仿宋_GBK" w:cs="宋体"/>
                <w:sz w:val="24"/>
              </w:rPr>
              <w:t>地基基础现场监测</w:t>
            </w:r>
          </w:p>
        </w:tc>
        <w:tc>
          <w:tcPr>
            <w:tcW w:w="6663" w:type="dxa"/>
            <w:noWrap w:val="0"/>
            <w:vAlign w:val="center"/>
          </w:tcPr>
          <w:p>
            <w:pPr>
              <w:adjustRightInd w:val="0"/>
              <w:snapToGrid w:val="0"/>
              <w:spacing w:line="280" w:lineRule="exact"/>
              <w:rPr>
                <w:rFonts w:hint="eastAsia" w:ascii="方正仿宋_GBK" w:hAnsi="仿宋" w:eastAsia="方正仿宋_GBK" w:cs="宋体"/>
                <w:sz w:val="24"/>
              </w:rPr>
            </w:pPr>
            <w:r>
              <w:rPr>
                <w:rFonts w:hint="eastAsia" w:ascii="方正仿宋_GBK" w:hAnsi="仿宋" w:eastAsia="方正仿宋_GBK" w:cs="宋体"/>
                <w:sz w:val="24"/>
              </w:rPr>
              <w:t>监测点布设符合要求，受损点恢复及时；监测数据真实，频率符合规范要求；分析细致，结论准确，报告及时。</w:t>
            </w:r>
          </w:p>
        </w:tc>
      </w:tr>
    </w:tbl>
    <w:p>
      <w:pPr>
        <w:spacing w:line="240" w:lineRule="atLeast"/>
        <w:rPr>
          <w:rFonts w:hint="eastAsia" w:ascii="黑体" w:hAnsi="黑体" w:eastAsia="黑体" w:cs="华文宋体"/>
          <w:bCs/>
          <w:sz w:val="32"/>
          <w:szCs w:val="32"/>
        </w:rPr>
      </w:pPr>
    </w:p>
    <w:p>
      <w:pPr>
        <w:spacing w:line="240" w:lineRule="atLeast"/>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附表6</w:t>
      </w:r>
    </w:p>
    <w:p>
      <w:pPr>
        <w:spacing w:line="240" w:lineRule="atLeast"/>
        <w:rPr>
          <w:rFonts w:hint="eastAsia" w:ascii="黑体" w:hAnsi="黑体" w:eastAsia="黑体" w:cs="华文宋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760" w:firstLineChars="400"/>
        <w:textAlignment w:val="auto"/>
        <w:rPr>
          <w:rFonts w:hint="eastAsia" w:ascii="方正小标宋_GBK" w:hAnsi="黑体" w:eastAsia="方正小标宋_GBK" w:cs="华文宋体"/>
          <w:bCs/>
          <w:sz w:val="44"/>
          <w:szCs w:val="44"/>
        </w:rPr>
      </w:pPr>
      <w:r>
        <w:rPr>
          <w:rFonts w:hint="eastAsia" w:ascii="方正小标宋_GBK" w:hAnsi="黑体" w:eastAsia="方正小标宋_GBK" w:cs="华文宋体"/>
          <w:bCs/>
          <w:sz w:val="44"/>
          <w:szCs w:val="44"/>
        </w:rPr>
        <w:t>水运工程项目实体质量督查表</w:t>
      </w:r>
    </w:p>
    <w:p>
      <w:pPr>
        <w:keepNext w:val="0"/>
        <w:keepLines w:val="0"/>
        <w:pageBreakBefore w:val="0"/>
        <w:widowControl w:val="0"/>
        <w:kinsoku/>
        <w:wordWrap/>
        <w:overflowPunct/>
        <w:topLinePunct w:val="0"/>
        <w:autoSpaceDE/>
        <w:autoSpaceDN/>
        <w:bidi w:val="0"/>
        <w:adjustRightInd/>
        <w:snapToGrid/>
        <w:spacing w:line="600" w:lineRule="exact"/>
        <w:ind w:firstLine="1760" w:firstLineChars="400"/>
        <w:textAlignment w:val="auto"/>
        <w:rPr>
          <w:rFonts w:hint="eastAsia" w:ascii="方正小标宋_GBK" w:hAnsi="黑体" w:eastAsia="方正小标宋_GBK" w:cs="华文宋体"/>
          <w:bCs/>
          <w:sz w:val="44"/>
          <w:szCs w:val="44"/>
          <w:lang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975"/>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912" w:type="dxa"/>
            <w:noWrap w:val="0"/>
            <w:vAlign w:val="center"/>
          </w:tcPr>
          <w:p>
            <w:pPr>
              <w:spacing w:line="400" w:lineRule="exact"/>
              <w:jc w:val="center"/>
              <w:rPr>
                <w:rFonts w:hint="eastAsia" w:ascii="黑体" w:hAnsi="黑体" w:eastAsia="黑体" w:cs="宋体"/>
                <w:bCs/>
                <w:sz w:val="24"/>
              </w:rPr>
            </w:pPr>
            <w:r>
              <w:rPr>
                <w:rFonts w:hint="eastAsia" w:ascii="黑体" w:hAnsi="黑体" w:eastAsia="黑体" w:cs="宋体"/>
                <w:bCs/>
                <w:sz w:val="24"/>
              </w:rPr>
              <w:t>督查内容</w:t>
            </w:r>
          </w:p>
        </w:tc>
        <w:tc>
          <w:tcPr>
            <w:tcW w:w="1975" w:type="dxa"/>
            <w:noWrap w:val="0"/>
            <w:vAlign w:val="center"/>
          </w:tcPr>
          <w:p>
            <w:pPr>
              <w:spacing w:line="400" w:lineRule="exact"/>
              <w:jc w:val="center"/>
              <w:rPr>
                <w:rFonts w:hint="eastAsia" w:ascii="黑体" w:hAnsi="黑体" w:eastAsia="黑体" w:cs="宋体"/>
                <w:bCs/>
                <w:sz w:val="24"/>
              </w:rPr>
            </w:pPr>
            <w:r>
              <w:rPr>
                <w:rFonts w:hint="eastAsia" w:ascii="黑体" w:hAnsi="黑体" w:eastAsia="黑体" w:cs="宋体"/>
                <w:bCs/>
                <w:sz w:val="24"/>
              </w:rPr>
              <w:t>抽检指标项</w:t>
            </w:r>
          </w:p>
        </w:tc>
        <w:tc>
          <w:tcPr>
            <w:tcW w:w="6136" w:type="dxa"/>
            <w:noWrap w:val="0"/>
            <w:vAlign w:val="center"/>
          </w:tcPr>
          <w:p>
            <w:pPr>
              <w:spacing w:line="400" w:lineRule="exact"/>
              <w:jc w:val="center"/>
              <w:rPr>
                <w:rFonts w:hint="eastAsia" w:ascii="黑体" w:hAnsi="黑体" w:eastAsia="黑体" w:cs="宋体"/>
                <w:bCs/>
                <w:sz w:val="24"/>
              </w:rPr>
            </w:pPr>
            <w:r>
              <w:rPr>
                <w:rFonts w:hint="eastAsia" w:ascii="黑体" w:hAnsi="黑体" w:eastAsia="黑体" w:cs="宋体"/>
                <w:bCs/>
                <w:sz w:val="24"/>
              </w:rPr>
              <w:t>标准和评价方法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12"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原材料</w:t>
            </w: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常用原材料</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原材料质量证明材料齐全，进场复检、检验批次及频率符合规范要求；现场随机抽检钢筋、水泥、砂、石、土工织物等常用原材料。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2" w:type="dxa"/>
            <w:vMerge w:val="restart"/>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混凝土结构</w:t>
            </w:r>
          </w:p>
        </w:tc>
        <w:tc>
          <w:tcPr>
            <w:tcW w:w="1975" w:type="dxa"/>
            <w:noWrap w:val="0"/>
            <w:vAlign w:val="center"/>
          </w:tcPr>
          <w:p>
            <w:pPr>
              <w:spacing w:line="360" w:lineRule="exact"/>
              <w:jc w:val="center"/>
              <w:rPr>
                <w:rFonts w:hint="eastAsia" w:ascii="方正仿宋_GBK" w:hAnsi="仿宋" w:eastAsia="方正仿宋_GBK"/>
                <w:spacing w:val="-12"/>
                <w:sz w:val="24"/>
              </w:rPr>
            </w:pPr>
            <w:r>
              <w:rPr>
                <w:rFonts w:hint="eastAsia" w:ascii="方正仿宋_GBK" w:hAnsi="仿宋" w:eastAsia="方正仿宋_GBK"/>
                <w:spacing w:val="-12"/>
                <w:sz w:val="24"/>
              </w:rPr>
              <w:t>混凝土</w:t>
            </w:r>
          </w:p>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抗压强度▲</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采用超声回弹法或取芯法检测，强度低于设计值为不合格，计算测点合格率。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钢筋保护层</w:t>
            </w:r>
          </w:p>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厚度▲</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按检验标准规定允许偏差值和检验方法抽测，超出标准允许值为不合格，计算合格率，低于80%或偏差值超过最大限值1.5倍，计0分。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spacing w:val="-12"/>
                <w:sz w:val="24"/>
              </w:rPr>
              <w:t>混凝土</w:t>
            </w:r>
            <w:r>
              <w:rPr>
                <w:rFonts w:hint="eastAsia" w:ascii="方正仿宋_GBK" w:hAnsi="仿宋" w:eastAsia="方正仿宋_GBK" w:cs="宋体"/>
                <w:spacing w:val="-12"/>
                <w:sz w:val="24"/>
              </w:rPr>
              <w:t>表面缺陷及修补</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视露筋、空洞、缝隙夹渣等严重缺陷和蜂窝、麻面、砂斑、砂线等一般缺陷超标状况，确定得分。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尺寸偏差</w:t>
            </w:r>
          </w:p>
        </w:tc>
        <w:tc>
          <w:tcPr>
            <w:tcW w:w="6136" w:type="dxa"/>
            <w:noWrap w:val="0"/>
            <w:vAlign w:val="center"/>
          </w:tcPr>
          <w:p>
            <w:pPr>
              <w:spacing w:line="360" w:lineRule="exact"/>
              <w:jc w:val="lef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按检验标准规定的允许偏差和检验方法抽测，计算合格率。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z w:val="24"/>
              </w:rPr>
              <w:t>接茬及接缝</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检查现浇混凝土与构件接茬以及分层浇注施工缝连接、错牙情况，确定得分。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钢筋绑扎</w:t>
            </w:r>
          </w:p>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z w:val="24"/>
              </w:rPr>
              <w:t>与装设</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按检验标准规定允许偏差值和检验方法，抽测钢筋骨架外轮廓尺寸、间距、弯起点位置、箍筋等，计算合格率。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预制构件尺寸▲</w:t>
            </w:r>
          </w:p>
        </w:tc>
        <w:tc>
          <w:tcPr>
            <w:tcW w:w="6136" w:type="dxa"/>
            <w:noWrap w:val="0"/>
            <w:vAlign w:val="center"/>
          </w:tcPr>
          <w:p>
            <w:pPr>
              <w:spacing w:line="360" w:lineRule="exact"/>
              <w:jc w:val="left"/>
              <w:rPr>
                <w:rFonts w:hint="eastAsia" w:ascii="方正仿宋_GBK" w:hAnsi="仿宋" w:eastAsia="方正仿宋_GBK" w:cs="宋体"/>
                <w:spacing w:val="-12"/>
                <w:sz w:val="24"/>
              </w:rPr>
            </w:pPr>
            <w:r>
              <w:rPr>
                <w:rFonts w:hint="eastAsia" w:ascii="方正仿宋_GBK" w:hAnsi="仿宋" w:eastAsia="方正仿宋_GBK" w:cs="宋体"/>
                <w:sz w:val="24"/>
              </w:rPr>
              <w:t>现场抽查预制构件的外形尺寸，计算合格率。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912"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spacing w:val="-12"/>
                <w:sz w:val="24"/>
              </w:rPr>
              <w:t>混凝土</w:t>
            </w:r>
            <w:r>
              <w:rPr>
                <w:rFonts w:hint="eastAsia" w:ascii="方正仿宋_GBK" w:hAnsi="仿宋" w:eastAsia="方正仿宋_GBK" w:cs="宋体"/>
                <w:sz w:val="24"/>
              </w:rPr>
              <w:t>预制构件安装</w:t>
            </w: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安装偏差</w:t>
            </w:r>
          </w:p>
        </w:tc>
        <w:tc>
          <w:tcPr>
            <w:tcW w:w="6136" w:type="dxa"/>
            <w:noWrap w:val="0"/>
            <w:vAlign w:val="center"/>
          </w:tcPr>
          <w:p>
            <w:pPr>
              <w:widowControl/>
              <w:spacing w:line="360" w:lineRule="exact"/>
              <w:jc w:val="lef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按检验标准规定的允许偏差和检验方法，抽测梁板轴线、搁置长度、支垫处理，计算合格率。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912" w:type="dxa"/>
            <w:vMerge w:val="restart"/>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钢（铁）结构</w:t>
            </w: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防腐涂层厚度</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按检验标准规定允许偏差值和检验方法抽测，计算合格率。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焊缝质量</w:t>
            </w:r>
          </w:p>
        </w:tc>
        <w:tc>
          <w:tcPr>
            <w:tcW w:w="6136" w:type="dxa"/>
            <w:noWrap w:val="0"/>
            <w:vAlign w:val="center"/>
          </w:tcPr>
          <w:p>
            <w:pPr>
              <w:spacing w:line="360" w:lineRule="exact"/>
              <w:jc w:val="left"/>
              <w:rPr>
                <w:rFonts w:hint="eastAsia" w:ascii="方正仿宋_GBK" w:hAnsi="仿宋" w:eastAsia="方正仿宋_GBK" w:cs="宋体"/>
                <w:sz w:val="24"/>
              </w:rPr>
            </w:pPr>
            <w:r>
              <w:rPr>
                <w:rFonts w:hint="eastAsia" w:ascii="方正仿宋_GBK" w:hAnsi="仿宋" w:eastAsia="方正仿宋_GBK" w:cs="宋体"/>
                <w:sz w:val="24"/>
              </w:rPr>
              <w:t>检查焊缝探伤报告和表面缺陷，确定得分。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912" w:type="dxa"/>
            <w:vMerge w:val="restart"/>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护岸</w:t>
            </w:r>
          </w:p>
        </w:tc>
        <w:tc>
          <w:tcPr>
            <w:tcW w:w="1975"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厚度▲</w:t>
            </w:r>
          </w:p>
        </w:tc>
        <w:tc>
          <w:tcPr>
            <w:tcW w:w="6136" w:type="dxa"/>
            <w:vMerge w:val="restart"/>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按检验标准规定允许偏差值和检验方法抽查，计算合格率。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z w:val="24"/>
              </w:rPr>
            </w:pPr>
          </w:p>
        </w:tc>
        <w:tc>
          <w:tcPr>
            <w:tcW w:w="6136" w:type="dxa"/>
            <w:vMerge w:val="continue"/>
            <w:noWrap w:val="0"/>
            <w:vAlign w:val="center"/>
          </w:tcPr>
          <w:p>
            <w:pPr>
              <w:spacing w:line="360" w:lineRule="exact"/>
              <w:rPr>
                <w:rFonts w:hint="eastAsia" w:ascii="方正仿宋_GBK" w:hAnsi="仿宋" w:eastAsia="方正仿宋_GBK"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12" w:type="dxa"/>
            <w:vMerge w:val="continue"/>
            <w:noWrap w:val="0"/>
            <w:vAlign w:val="center"/>
          </w:tcPr>
          <w:p>
            <w:pPr>
              <w:spacing w:line="360" w:lineRule="exact"/>
              <w:jc w:val="center"/>
              <w:rPr>
                <w:rFonts w:hint="eastAsia" w:ascii="方正仿宋_GBK" w:hAnsi="仿宋" w:eastAsia="方正仿宋_GBK" w:cs="宋体"/>
                <w:sz w:val="24"/>
              </w:rPr>
            </w:pPr>
          </w:p>
        </w:tc>
        <w:tc>
          <w:tcPr>
            <w:tcW w:w="1975" w:type="dxa"/>
            <w:noWrap w:val="0"/>
            <w:vAlign w:val="center"/>
          </w:tcPr>
          <w:p>
            <w:pPr>
              <w:spacing w:line="360" w:lineRule="exact"/>
              <w:jc w:val="center"/>
              <w:rPr>
                <w:rFonts w:hint="eastAsia" w:ascii="方正仿宋_GBK" w:hAnsi="仿宋" w:eastAsia="方正仿宋_GBK" w:cs="宋体"/>
                <w:sz w:val="24"/>
              </w:rPr>
            </w:pPr>
            <w:r>
              <w:rPr>
                <w:rFonts w:hint="eastAsia" w:ascii="方正仿宋_GBK" w:hAnsi="仿宋" w:eastAsia="方正仿宋_GBK" w:cs="宋体"/>
                <w:sz w:val="24"/>
              </w:rPr>
              <w:t>表面平整度</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按检验标准规定允许偏差值和检验方法抽查，计算合格率。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12" w:type="dxa"/>
            <w:vMerge w:val="restart"/>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道路堆场铺面结构</w:t>
            </w:r>
          </w:p>
        </w:tc>
        <w:tc>
          <w:tcPr>
            <w:tcW w:w="1975" w:type="dxa"/>
            <w:noWrap w:val="0"/>
            <w:vAlign w:val="center"/>
          </w:tcPr>
          <w:p>
            <w:pPr>
              <w:widowControl/>
              <w:spacing w:line="360" w:lineRule="exact"/>
              <w:rPr>
                <w:rFonts w:hint="eastAsia" w:ascii="方正仿宋_GBK" w:hAnsi="仿宋" w:eastAsia="方正仿宋_GBK" w:cs="宋体"/>
                <w:sz w:val="24"/>
              </w:rPr>
            </w:pPr>
            <w:r>
              <w:rPr>
                <w:rFonts w:hint="eastAsia" w:ascii="方正仿宋_GBK" w:hAnsi="仿宋" w:eastAsia="方正仿宋_GBK" w:cs="宋体"/>
                <w:sz w:val="24"/>
              </w:rPr>
              <w:t>面层厚度</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每个标段抽测不少于3处，按检验标准规定允许偏差值，计算合格率。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12" w:type="dxa"/>
            <w:vMerge w:val="continue"/>
            <w:noWrap w:val="0"/>
            <w:vAlign w:val="center"/>
          </w:tcPr>
          <w:p>
            <w:pPr>
              <w:spacing w:line="360" w:lineRule="exact"/>
              <w:rPr>
                <w:rFonts w:hint="eastAsia" w:ascii="方正仿宋_GBK" w:hAnsi="仿宋" w:eastAsia="方正仿宋_GBK" w:cs="宋体"/>
                <w:sz w:val="24"/>
              </w:rPr>
            </w:pPr>
          </w:p>
        </w:tc>
        <w:tc>
          <w:tcPr>
            <w:tcW w:w="1975" w:type="dxa"/>
            <w:noWrap w:val="0"/>
            <w:vAlign w:val="center"/>
          </w:tcPr>
          <w:p>
            <w:pPr>
              <w:widowControl/>
              <w:spacing w:line="360" w:lineRule="exact"/>
              <w:rPr>
                <w:rFonts w:hint="eastAsia" w:ascii="方正仿宋_GBK" w:hAnsi="仿宋" w:eastAsia="方正仿宋_GBK" w:cs="宋体"/>
                <w:sz w:val="24"/>
              </w:rPr>
            </w:pPr>
            <w:r>
              <w:rPr>
                <w:rFonts w:hint="eastAsia" w:ascii="方正仿宋_GBK" w:hAnsi="仿宋" w:eastAsia="方正仿宋_GBK" w:cs="宋体"/>
                <w:sz w:val="24"/>
              </w:rPr>
              <w:t>面层平整度</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每个标段抽测不少于3处，按检验标准规定允许偏差值和检验方法抽测，计算合格率。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12" w:type="dxa"/>
            <w:vMerge w:val="continue"/>
            <w:noWrap w:val="0"/>
            <w:vAlign w:val="center"/>
          </w:tcPr>
          <w:p>
            <w:pPr>
              <w:spacing w:line="360" w:lineRule="exact"/>
              <w:rPr>
                <w:rFonts w:hint="eastAsia" w:ascii="方正仿宋_GBK" w:hAnsi="仿宋" w:eastAsia="方正仿宋_GBK" w:cs="宋体"/>
                <w:sz w:val="24"/>
              </w:rPr>
            </w:pPr>
          </w:p>
        </w:tc>
        <w:tc>
          <w:tcPr>
            <w:tcW w:w="1975" w:type="dxa"/>
            <w:noWrap w:val="0"/>
            <w:vAlign w:val="center"/>
          </w:tcPr>
          <w:p>
            <w:pPr>
              <w:widowControl/>
              <w:spacing w:line="360" w:lineRule="exact"/>
              <w:rPr>
                <w:rFonts w:hint="eastAsia" w:ascii="方正仿宋_GBK" w:hAnsi="仿宋" w:eastAsia="方正仿宋_GBK" w:cs="宋体"/>
                <w:sz w:val="24"/>
              </w:rPr>
            </w:pPr>
            <w:r>
              <w:rPr>
                <w:rFonts w:hint="eastAsia" w:ascii="方正仿宋_GBK" w:hAnsi="仿宋" w:eastAsia="方正仿宋_GBK" w:cs="宋体"/>
                <w:sz w:val="24"/>
              </w:rPr>
              <w:t>基层厚度</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钻芯取样检测，每个标段抽测不少于3处，按检验标准规定允许偏差值，计算合格率。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12" w:type="dxa"/>
            <w:vMerge w:val="continue"/>
            <w:noWrap w:val="0"/>
            <w:vAlign w:val="center"/>
          </w:tcPr>
          <w:p>
            <w:pPr>
              <w:spacing w:line="360" w:lineRule="exact"/>
              <w:rPr>
                <w:rFonts w:hint="eastAsia" w:ascii="方正仿宋_GBK" w:hAnsi="仿宋" w:eastAsia="方正仿宋_GBK" w:cs="宋体"/>
                <w:sz w:val="24"/>
              </w:rPr>
            </w:pPr>
          </w:p>
        </w:tc>
        <w:tc>
          <w:tcPr>
            <w:tcW w:w="1975" w:type="dxa"/>
            <w:noWrap w:val="0"/>
            <w:vAlign w:val="center"/>
          </w:tcPr>
          <w:p>
            <w:pPr>
              <w:widowControl/>
              <w:spacing w:line="360" w:lineRule="exact"/>
              <w:rPr>
                <w:rFonts w:hint="eastAsia" w:ascii="方正仿宋_GBK" w:hAnsi="仿宋" w:eastAsia="方正仿宋_GBK" w:cs="宋体"/>
                <w:sz w:val="24"/>
              </w:rPr>
            </w:pPr>
            <w:r>
              <w:rPr>
                <w:rFonts w:hint="eastAsia" w:ascii="方正仿宋_GBK" w:hAnsi="仿宋" w:eastAsia="方正仿宋_GBK" w:cs="宋体"/>
                <w:sz w:val="24"/>
              </w:rPr>
              <w:t>基层完整性</w:t>
            </w:r>
          </w:p>
        </w:tc>
        <w:tc>
          <w:tcPr>
            <w:tcW w:w="6136" w:type="dxa"/>
            <w:noWrap w:val="0"/>
            <w:vAlign w:val="center"/>
          </w:tcPr>
          <w:p>
            <w:pPr>
              <w:spacing w:line="360" w:lineRule="exact"/>
              <w:rPr>
                <w:rFonts w:hint="eastAsia" w:ascii="方正仿宋_GBK" w:hAnsi="仿宋" w:eastAsia="方正仿宋_GBK" w:cs="宋体"/>
                <w:sz w:val="24"/>
              </w:rPr>
            </w:pPr>
            <w:r>
              <w:rPr>
                <w:rFonts w:hint="eastAsia" w:ascii="方正仿宋_GBK" w:hAnsi="仿宋" w:eastAsia="方正仿宋_GBK" w:cs="宋体"/>
                <w:sz w:val="24"/>
              </w:rPr>
              <w:t>钻芯取样检测，每个标段抽测不少于3处，芯样完整为合格，计算合格率。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12" w:type="dxa"/>
            <w:vMerge w:val="restart"/>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其他</w:t>
            </w:r>
          </w:p>
        </w:tc>
        <w:tc>
          <w:tcPr>
            <w:tcW w:w="1975" w:type="dxa"/>
            <w:noWrap w:val="0"/>
            <w:vAlign w:val="center"/>
          </w:tcPr>
          <w:p>
            <w:pPr>
              <w:widowControl/>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回填料压实度</w:t>
            </w:r>
          </w:p>
        </w:tc>
        <w:tc>
          <w:tcPr>
            <w:tcW w:w="6136" w:type="dxa"/>
            <w:noWrap w:val="0"/>
            <w:vAlign w:val="center"/>
          </w:tcPr>
          <w:p>
            <w:pPr>
              <w:widowControl/>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按检验标准规定允许偏差值和检验方法抽测，计算合格率。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912" w:type="dxa"/>
            <w:vMerge w:val="continue"/>
            <w:noWrap w:val="0"/>
            <w:vAlign w:val="center"/>
          </w:tcPr>
          <w:p>
            <w:pPr>
              <w:spacing w:line="360" w:lineRule="exact"/>
              <w:rPr>
                <w:rFonts w:hint="eastAsia" w:ascii="方正仿宋_GBK" w:hAnsi="仿宋" w:eastAsia="方正仿宋_GBK" w:cs="宋体"/>
                <w:spacing w:val="-12"/>
                <w:sz w:val="24"/>
              </w:rPr>
            </w:pPr>
          </w:p>
        </w:tc>
        <w:tc>
          <w:tcPr>
            <w:tcW w:w="1975" w:type="dxa"/>
            <w:noWrap w:val="0"/>
            <w:vAlign w:val="center"/>
          </w:tcPr>
          <w:p>
            <w:pPr>
              <w:spacing w:line="360" w:lineRule="exact"/>
              <w:jc w:val="center"/>
              <w:rPr>
                <w:rFonts w:hint="eastAsia" w:ascii="方正仿宋_GBK" w:hAnsi="仿宋" w:eastAsia="方正仿宋_GBK" w:cs="宋体"/>
                <w:spacing w:val="-12"/>
                <w:sz w:val="24"/>
              </w:rPr>
            </w:pPr>
            <w:r>
              <w:rPr>
                <w:rFonts w:hint="eastAsia" w:ascii="方正仿宋_GBK" w:hAnsi="仿宋" w:eastAsia="方正仿宋_GBK" w:cs="宋体"/>
                <w:spacing w:val="-12"/>
                <w:sz w:val="24"/>
              </w:rPr>
              <w:t>小型预制件铺砌</w:t>
            </w:r>
          </w:p>
        </w:tc>
        <w:tc>
          <w:tcPr>
            <w:tcW w:w="6136" w:type="dxa"/>
            <w:noWrap w:val="0"/>
            <w:vAlign w:val="center"/>
          </w:tcPr>
          <w:p>
            <w:pPr>
              <w:spacing w:line="360" w:lineRule="exact"/>
              <w:rPr>
                <w:rFonts w:hint="eastAsia" w:ascii="方正仿宋_GBK" w:hAnsi="仿宋" w:eastAsia="方正仿宋_GBK" w:cs="宋体"/>
                <w:spacing w:val="-12"/>
                <w:sz w:val="24"/>
              </w:rPr>
            </w:pPr>
            <w:r>
              <w:rPr>
                <w:rFonts w:hint="eastAsia" w:ascii="方正仿宋_GBK" w:hAnsi="仿宋" w:eastAsia="方正仿宋_GBK" w:cs="宋体"/>
                <w:spacing w:val="-12"/>
                <w:sz w:val="24"/>
              </w:rPr>
              <w:t>按检验标准规定允许偏差抽测平整度、缝宽，计算合格率。</w:t>
            </w:r>
          </w:p>
        </w:tc>
      </w:tr>
    </w:tbl>
    <w:p>
      <w:pPr>
        <w:spacing w:line="400" w:lineRule="exact"/>
        <w:ind w:left="899" w:leftChars="171" w:hanging="540" w:hangingChars="250"/>
        <w:rPr>
          <w:rFonts w:hint="eastAsia" w:ascii="方正仿宋_GBK" w:hAnsi="仿宋" w:eastAsia="方正仿宋_GBK" w:cs="宋体"/>
          <w:sz w:val="24"/>
        </w:rPr>
      </w:pPr>
      <w:r>
        <w:rPr>
          <w:rFonts w:hint="eastAsia" w:ascii="方正仿宋_GBK" w:hAnsi="宋体" w:eastAsia="方正仿宋_GBK"/>
          <w:spacing w:val="-12"/>
          <w:sz w:val="24"/>
        </w:rPr>
        <w:t>注：</w:t>
      </w:r>
      <w:r>
        <w:rPr>
          <w:rFonts w:hint="eastAsia" w:ascii="方正仿宋_GBK" w:hAnsi="仿宋" w:eastAsia="方正仿宋_GBK" w:cs="宋体"/>
          <w:sz w:val="24"/>
        </w:rPr>
        <w:t>1、督查组可根据工程情况随机指定抽检原材料种类及实测指标项。</w:t>
      </w:r>
    </w:p>
    <w:p>
      <w:pPr>
        <w:rPr>
          <w:rFonts w:hint="eastAsia"/>
          <w:lang w:eastAsia="zh-CN"/>
        </w:rPr>
      </w:pPr>
      <w:r>
        <w:rPr>
          <w:rFonts w:hint="eastAsia" w:ascii="方正仿宋_GBK" w:hAnsi="仿宋" w:eastAsia="方正仿宋_GBK" w:cs="宋体"/>
          <w:sz w:val="24"/>
        </w:rPr>
        <w:t xml:space="preserve">       2．表中所列项带“▲”的均为必查项；</w:t>
      </w:r>
      <w:r>
        <w:rPr>
          <w:rFonts w:hint="eastAsia" w:ascii="方正仿宋_GBK" w:eastAsia="方正仿宋_GBK"/>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宋体-18030">
    <w:altName w:val="微软雅黑"/>
    <w:panose1 w:val="02010609060101010101"/>
    <w:charset w:val="86"/>
    <w:family w:val="modern"/>
    <w:pitch w:val="default"/>
    <w:sig w:usb0="00000000" w:usb1="00000000" w:usb2="000A005E" w:usb3="00000000" w:csb0="00040001" w:csb1="00000000"/>
  </w:font>
  <w:font w:name="方正隶书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超粗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17450"/>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前言、引言标题"/>
    <w:basedOn w:val="1"/>
    <w:qFormat/>
    <w:uiPriority w:val="0"/>
    <w:pPr>
      <w:tabs>
        <w:tab w:val="left" w:pos="360"/>
      </w:tabs>
      <w:ind w:left="360" w:hanging="36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2022-06-16T07:16:05Z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F9A2272EEA444F7E9B1C5DCAAA40030A</vt:lpwstr>
  </property>
</Properties>
</file>