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jc w:val="center"/>
        <w:rPr>
          <w:sz w:val="44"/>
          <w:szCs w:val="44"/>
        </w:rPr>
      </w:pPr>
    </w:p>
    <w:p>
      <w:pPr>
        <w:pStyle w:val="6"/>
        <w:keepNext w:val="0"/>
        <w:keepLines w:val="0"/>
        <w:widowControl/>
        <w:suppressLineNumbers w:val="0"/>
        <w:jc w:val="center"/>
        <w:rPr>
          <w:sz w:val="44"/>
          <w:szCs w:val="44"/>
        </w:rPr>
      </w:pP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重庆市交通委员会关于</w:t>
      </w:r>
    </w:p>
    <w:p>
      <w:pPr>
        <w:pStyle w:val="6"/>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pPr>
      <w:r>
        <w:rPr>
          <w:rFonts w:hint="eastAsia" w:ascii="方正小标宋_GBK" w:hAnsi="方正小标宋_GBK" w:eastAsia="方正小标宋_GBK" w:cs="方正小标宋_GBK"/>
          <w:sz w:val="44"/>
          <w:szCs w:val="44"/>
        </w:rPr>
        <w:t>印发重庆市超限运输信用管理办法的通知</w:t>
      </w:r>
    </w:p>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渝交管养〔2015〕90号</w:t>
      </w:r>
    </w:p>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各区县交通委（局）、市公路局、市运管局、执法总队，：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为进一步加强我市超限运输监管工作，加快公路超限运输企业信用体系建设，倡导诚实守信合法运输，惩戒失信行为，我委制定了《重庆市超限运输信用管理办法》，现印发你们，请认真贯彻执行。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重庆市交通委员会</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仿宋" w:hAnsi="仿宋" w:eastAsia="方正仿宋_GBK" w:cs="仿宋"/>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color w:val="000000"/>
          <w:sz w:val="32"/>
          <w:szCs w:val="32"/>
        </w:rPr>
        <w:t>2015年11月11日</w:t>
      </w:r>
      <w:r>
        <w:rPr>
          <w:rFonts w:hint="eastAsia" w:ascii="方正仿宋_GBK" w:hAnsi="方正仿宋_GBK" w:eastAsia="方正仿宋_GBK" w:cs="方正仿宋_GBK"/>
          <w:color w:val="000000"/>
          <w:sz w:val="32"/>
          <w:szCs w:val="32"/>
          <w:lang w:val="en-US" w:eastAsia="zh-CN"/>
        </w:rPr>
        <w:t xml:space="preserve"> </w:t>
      </w:r>
      <w:r>
        <w:rPr>
          <w:rFonts w:hint="eastAsia" w:ascii="仿宋" w:hAnsi="仿宋" w:eastAsia="方正仿宋_GBK" w:cs="仿宋"/>
          <w:color w:val="000000"/>
          <w:sz w:val="32"/>
          <w:szCs w:val="32"/>
          <w:lang w:val="en-US" w:eastAsia="zh-CN"/>
        </w:rPr>
        <w:t xml:space="preserve">  </w:t>
      </w:r>
      <w:r>
        <w:rPr>
          <w:rFonts w:hint="eastAsia" w:ascii="仿宋" w:hAnsi="仿宋" w:eastAsia="方正仿宋_GBK" w:cs="仿宋"/>
          <w:color w:val="00000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重庆市超限运输信用管理办法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第一条</w:t>
      </w:r>
      <w:r>
        <w:rPr>
          <w:rFonts w:hint="eastAsia" w:ascii="仿宋" w:hAnsi="仿宋" w:eastAsia="方正仿宋_GBK" w:cs="仿宋"/>
          <w:color w:val="000000"/>
          <w:sz w:val="32"/>
          <w:szCs w:val="32"/>
        </w:rPr>
        <w:t>  为了加强超限运输管理，促进行业自律，保障公路安全畅通，根据《公路安全保护条例》、《超限运输行驶公路管理规定》、《国务院办公厅关于社会信用体系建设的若干意见》等有关规定，结合本市实际，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第二条</w:t>
      </w:r>
      <w:r>
        <w:rPr>
          <w:rFonts w:hint="eastAsia" w:ascii="仿宋" w:hAnsi="仿宋" w:eastAsia="方正仿宋_GBK" w:cs="仿宋"/>
          <w:color w:val="000000"/>
          <w:sz w:val="32"/>
          <w:szCs w:val="32"/>
        </w:rPr>
        <w:t>  承运单位（个人）在本市行政区域内从事不可解体物品超限运输的信用管理工作，适用本办法。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第三条</w:t>
      </w:r>
      <w:r>
        <w:rPr>
          <w:rFonts w:hint="eastAsia" w:ascii="仿宋" w:hAnsi="仿宋" w:eastAsia="方正仿宋_GBK" w:cs="仿宋"/>
          <w:color w:val="000000"/>
          <w:sz w:val="32"/>
          <w:szCs w:val="32"/>
        </w:rPr>
        <w:t>  超限运输信用管理主要是对承运单位（个人）有无超限运输失信行为信息的管理。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超限运输信用管理工作遵循客观公正、及时准确、惩戒过失的原则。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第四条</w:t>
      </w:r>
      <w:r>
        <w:rPr>
          <w:rFonts w:hint="eastAsia" w:ascii="仿宋" w:hAnsi="仿宋" w:eastAsia="方正仿宋_GBK" w:cs="仿宋"/>
          <w:color w:val="000000"/>
          <w:sz w:val="32"/>
          <w:szCs w:val="32"/>
        </w:rPr>
        <w:t>  超限运输失信行为信息是指从事不可解体物品超限运输的承运单位（个人），违反超限运输管理的有关法律、法规、规章，经公路（路政）管理机构、交通执法机构查实和作出行政处理处罚决定，形成的不良行为记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第五条</w:t>
      </w:r>
      <w:r>
        <w:rPr>
          <w:rFonts w:hint="eastAsia" w:ascii="仿宋" w:hAnsi="仿宋" w:eastAsia="方正仿宋_GBK" w:cs="仿宋"/>
          <w:color w:val="000000"/>
          <w:sz w:val="32"/>
          <w:szCs w:val="32"/>
        </w:rPr>
        <w:t>  超限运输失信行为信息将作为承运单位（个人）的诚信指标要素，超限运输失信行为达到相应指标的承运单位（个人）将被列入超限运输信用黑名单。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第六条</w:t>
      </w:r>
      <w:r>
        <w:rPr>
          <w:rFonts w:hint="eastAsia" w:ascii="仿宋" w:hAnsi="仿宋" w:eastAsia="方正仿宋_GBK" w:cs="仿宋"/>
          <w:color w:val="000000"/>
          <w:sz w:val="32"/>
          <w:szCs w:val="32"/>
        </w:rPr>
        <w:t>  从事不可解体物品超限运输的承运单位（个人）出现下列情形之一的，应当被认定为失信行为：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（一）未办理超限运输车辆通行证，擅自超限运输的；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（二）提供虚假材料骗取超限运输许可手续的；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（三）未按照指定的时间、线路和速度等有关要求行驶的；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（四）车辆实际装载情况超出超限运输通行证审批内容的；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（五）使用伪造、变改超限运输车辆通行证或者租借、转让、违规重复使用超限运输车辆通行证的；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（六）其他超限运输违法行为。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第七条</w:t>
      </w:r>
      <w:r>
        <w:rPr>
          <w:rFonts w:hint="eastAsia" w:ascii="仿宋" w:hAnsi="仿宋" w:eastAsia="方正仿宋_GBK" w:cs="仿宋"/>
          <w:color w:val="000000"/>
          <w:sz w:val="32"/>
          <w:szCs w:val="32"/>
        </w:rPr>
        <w:t>  市交通主管部门负责建立全市超限运输失信行为信息共享平台。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市公路管理机构负责全市超限运输失信行为信息的认定、记录、公布和移除等管理工作。各区县（自治县）公路（路政）管理机构依照职责负责查处管辖范围内违法超限运输行为，并报送违法超限运输不可解体物品行为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交通综合执法机构依照职责负责查处管辖范围内违法超限运输行为，并报送违法超限运输不可解体物品行为信息。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道路运输管理机构根据超限运输失信行为信息，依法对承运单位（个人）进行考核和查处。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第八条</w:t>
      </w:r>
      <w:r>
        <w:rPr>
          <w:rFonts w:hint="eastAsia" w:ascii="仿宋" w:hAnsi="仿宋" w:eastAsia="方正仿宋_GBK" w:cs="仿宋"/>
          <w:color w:val="000000"/>
          <w:sz w:val="32"/>
          <w:szCs w:val="32"/>
        </w:rPr>
        <w:t xml:space="preserve">  超限运输失信行为信息依托政务网站及时公开，并将该信息纳入市交通行业诚信管理系统。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第九条  </w:t>
      </w:r>
      <w:r>
        <w:rPr>
          <w:rFonts w:hint="eastAsia" w:ascii="仿宋" w:hAnsi="仿宋" w:eastAsia="方正仿宋_GBK" w:cs="仿宋"/>
          <w:color w:val="000000"/>
          <w:sz w:val="32"/>
          <w:szCs w:val="32"/>
        </w:rPr>
        <w:t>各区县（自治县）公路（路政）管理机构在查处不可解体物品违法超限运输行为时，凡符合本办法第六条情形之一的，应在案件结案后15个工作日内，将《重庆市超限运输失信行为线索登记表》及案件的处罚决定书等材料，通过网络系统移送市公路管理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    各基层交通综合执法机构在查处违法超限运输不可解体物品行为时，凡符合本办法第六条情形之一的，应在案件结案后10个工作日内报市交通综合执法机构；市交通综合执法机构应在接报后5个工作日内，将《重庆市超限运输失信行为线索登记表》及案件的处罚决定书等材料，通过网络系统移送市公路管理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第十条</w:t>
      </w:r>
      <w:r>
        <w:rPr>
          <w:rFonts w:hint="eastAsia" w:ascii="仿宋" w:hAnsi="仿宋" w:eastAsia="方正仿宋_GBK" w:cs="仿宋"/>
          <w:color w:val="000000"/>
          <w:sz w:val="32"/>
          <w:szCs w:val="32"/>
        </w:rPr>
        <w:t>  市公路管理机构对超限运输失信行为线索移送材料进行审核认定，详细记录违法当事人姓名或单位名称、违法时间、案由、具体违法行为等信息，归档入库，并抄送市道路运输管理机构。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第十一条</w:t>
      </w:r>
      <w:r>
        <w:rPr>
          <w:rFonts w:hint="eastAsia" w:ascii="仿宋" w:hAnsi="仿宋" w:eastAsia="方正仿宋_GBK" w:cs="仿宋"/>
          <w:color w:val="000000"/>
          <w:sz w:val="32"/>
          <w:szCs w:val="32"/>
        </w:rPr>
        <w:t>  从事不可解体物品超限运输的承运单位（个人）出现本办法第六条的失信行为，按其第一次失信行为发生的时间起算，在一个周期年中达到下列指标的，应被列入超限运输信用黑名单：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（一）具有1次失信行为记录且车货总重在120吨以上的；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（二）具有2次失信行为记录且其中一次车货总重在55吨以上未超过120吨的；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（三）具有3次失信行为记录且车货总重未超过55吨的。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从事不可解体物品超限运输的承运单位（个人）出现本办法第六条的失信行为，按其第一次失信行为发生的时间起算，在一个周期年中未达到第一款所列指标的，在下一个周期年中重新计算失信行为记录。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第十二条</w:t>
      </w:r>
      <w:r>
        <w:rPr>
          <w:rFonts w:hint="eastAsia" w:ascii="仿宋" w:hAnsi="仿宋" w:eastAsia="方正仿宋_GBK" w:cs="仿宋"/>
          <w:color w:val="000000"/>
          <w:sz w:val="32"/>
          <w:szCs w:val="32"/>
        </w:rPr>
        <w:t xml:space="preserve">  从事不可解体物品超限运输的承运单位（个人）出现超限运输失信行为，但未达到应被列入超限运输信用黑名单的指标时，市公路管理机构可以采取告诫、约谈等方式督促承运单位（个人）加强管理，遵守超限运输的相关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第十三条</w:t>
      </w:r>
      <w:r>
        <w:rPr>
          <w:rFonts w:hint="eastAsia" w:ascii="仿宋" w:hAnsi="仿宋" w:eastAsia="方正仿宋_GBK" w:cs="仿宋"/>
          <w:color w:val="000000"/>
          <w:sz w:val="32"/>
          <w:szCs w:val="32"/>
        </w:rPr>
        <w:t>  被列入超限运输信用黑名单的当事人，其超限运输失信行为信息将通过政务网站向社会公布，接受社会监督，对其实施重点监管。当事人可在市交委及市公路管理机构政务网站查询相关记录。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公布内容主要包括：当事人姓名或名称、超限运输失信行为情况、被列入超限运输信用黑名单情况、公布期起始日期和终止日期等信息。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第十四条</w:t>
      </w:r>
      <w:r>
        <w:rPr>
          <w:rFonts w:hint="eastAsia" w:ascii="仿宋" w:hAnsi="仿宋" w:eastAsia="方正仿宋_GBK" w:cs="仿宋"/>
          <w:color w:val="000000"/>
          <w:sz w:val="32"/>
          <w:szCs w:val="32"/>
        </w:rPr>
        <w:t>  当事人被列入超限运输信用黑名单时，市公路管理机构将向当事人送达《重庆市超限运输失行行为信息公布通知书》，并对其给予一个周期年的公布期。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第十五条</w:t>
      </w:r>
      <w:r>
        <w:rPr>
          <w:rFonts w:hint="eastAsia" w:ascii="仿宋" w:hAnsi="仿宋" w:eastAsia="方正仿宋_GBK" w:cs="仿宋"/>
          <w:color w:val="000000"/>
          <w:sz w:val="32"/>
          <w:szCs w:val="32"/>
        </w:rPr>
        <w:t>  当事人对拟公布的超限运输失信信息内容有异议的，应在收到《重庆市超限运输失行行为信息公布通知书》之日起7个工作日内，向失信行为认定机构提出异议申请。失信行为认定机构应当自收到异议申请之日起</w:t>
      </w:r>
      <w:r>
        <w:rPr>
          <w:rFonts w:hint="eastAsia" w:ascii="方正仿宋_GBK" w:hAnsi="方正仿宋_GBK" w:eastAsia="方正仿宋_GBK" w:cs="方正仿宋_GBK"/>
          <w:color w:val="000000"/>
          <w:sz w:val="32"/>
          <w:szCs w:val="32"/>
        </w:rPr>
        <w:t>15</w:t>
      </w:r>
      <w:r>
        <w:rPr>
          <w:rFonts w:hint="eastAsia" w:ascii="仿宋" w:hAnsi="仿宋" w:eastAsia="方正仿宋_GBK" w:cs="仿宋"/>
          <w:color w:val="000000"/>
          <w:sz w:val="32"/>
          <w:szCs w:val="32"/>
        </w:rPr>
        <w:t>个工作日内，对申请的内容进行核实处理，并向提出异议的申请人反馈结果。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经过核实，如拟公布的超限运输失信信息内容存在错误的，失信行为认定机构应及时进行纠正。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异议核实处理期间，不影响超限运输失行行为信息公布。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第十六条</w:t>
      </w:r>
      <w:r>
        <w:rPr>
          <w:rFonts w:hint="eastAsia" w:ascii="仿宋" w:hAnsi="仿宋" w:eastAsia="方正仿宋_GBK" w:cs="仿宋"/>
          <w:color w:val="000000"/>
          <w:sz w:val="32"/>
          <w:szCs w:val="32"/>
        </w:rPr>
        <w:t> 在公布期限届满时，被列入超限运输信用黑名单的承运单位(个人)，已对违法行为整改到位，并且未再次发生本办法第六条中情形之一的，经核查后将其信息从政务网站上移除，转入后台保存，并将该当事人从超限运输信用黑名单中移除。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    在公布期内，当事人再次发生本办法第六条超限运输失信行为情形之一的，其公布期限将延长一个周期年，公布期内当事人将被持续列入超限运输信用黑名单。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第十七条</w:t>
      </w:r>
      <w:r>
        <w:rPr>
          <w:rFonts w:hint="eastAsia" w:ascii="仿宋" w:hAnsi="仿宋" w:eastAsia="方正仿宋_GBK" w:cs="仿宋"/>
          <w:color w:val="000000"/>
          <w:sz w:val="32"/>
          <w:szCs w:val="32"/>
        </w:rPr>
        <w:t>  被列入超限运输信用黑名单的超限承运单位（个人），采取以下管理措施：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（一）公布期内，当事人不得向公路（路政）管理机构提出超限运输申请；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（二）公布期内，道路运输管理机构暂停当事人货运新增业务办理；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（三）公布期内，公路（路政）管理机构和交通综合执法机构应将该当事人列为重点监督检查对象，对其可依照重庆市交通行政处罚裁量基准中的上限实施处罚。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第十八条</w:t>
      </w:r>
      <w:r>
        <w:rPr>
          <w:rFonts w:hint="eastAsia" w:ascii="仿宋" w:hAnsi="仿宋" w:eastAsia="方正仿宋_GBK" w:cs="仿宋"/>
          <w:color w:val="000000"/>
          <w:sz w:val="32"/>
          <w:szCs w:val="32"/>
        </w:rPr>
        <w:t>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第十九条</w:t>
      </w:r>
      <w:r>
        <w:rPr>
          <w:rFonts w:hint="eastAsia" w:ascii="仿宋" w:hAnsi="仿宋" w:eastAsia="方正仿宋_GBK" w:cs="仿宋"/>
          <w:color w:val="000000"/>
          <w:sz w:val="32"/>
          <w:szCs w:val="32"/>
        </w:rPr>
        <w:t>  货运车辆驾驶人的违法超限运输行为，按《重庆市道路运输驾驶员管理办法》进行考核。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违法超限运输的货运车辆驾驶人、货运车辆所占该运输企业的比例，将作为道路运输管理机构对道路运输企业进行考核的依据。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第二十条</w:t>
      </w:r>
      <w:r>
        <w:rPr>
          <w:rFonts w:hint="eastAsia" w:ascii="仿宋" w:hAnsi="仿宋" w:eastAsia="方正仿宋_GBK" w:cs="仿宋"/>
          <w:color w:val="000000"/>
          <w:sz w:val="32"/>
          <w:szCs w:val="32"/>
        </w:rPr>
        <w:t>  有关记录和认定部门及工作人员在超限运输失信行为信息管理中有规定滥用职权、弄虚作假、徇私舞弊的，应当追究相关人员责任。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ascii="黑体" w:hAnsi="宋体" w:eastAsia="方正黑体_GBK" w:cs="黑体"/>
          <w:color w:val="000000"/>
          <w:sz w:val="32"/>
          <w:szCs w:val="32"/>
        </w:rPr>
        <w:t>第二十一条</w:t>
      </w:r>
      <w:r>
        <w:rPr>
          <w:rFonts w:hint="eastAsia" w:ascii="仿宋" w:hAnsi="仿宋" w:eastAsia="方正仿宋_GBK" w:cs="仿宋"/>
          <w:color w:val="000000"/>
          <w:sz w:val="32"/>
          <w:szCs w:val="32"/>
        </w:rPr>
        <w:t>  本办法自公布之日起施行。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附件：1．重庆市超限运输失信行为线索登记表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    </w:t>
      </w:r>
      <w:r>
        <w:rPr>
          <w:rFonts w:hint="eastAsia" w:ascii="仿宋" w:hAnsi="仿宋" w:eastAsia="方正仿宋_GBK" w:cs="仿宋"/>
          <w:color w:val="000000"/>
          <w:sz w:val="32"/>
          <w:szCs w:val="32"/>
          <w:lang w:val="en-US" w:eastAsia="zh-CN"/>
        </w:rPr>
        <w:t xml:space="preserve">   </w:t>
      </w:r>
      <w:r>
        <w:rPr>
          <w:rFonts w:hint="eastAsia" w:ascii="仿宋" w:hAnsi="仿宋" w:eastAsia="方正仿宋_GBK" w:cs="仿宋"/>
          <w:color w:val="000000"/>
          <w:sz w:val="32"/>
          <w:szCs w:val="32"/>
        </w:rPr>
        <w:t>  2．重庆市超限运输失信行为信息公布通知书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color w:val="000000"/>
          <w:sz w:val="32"/>
          <w:szCs w:val="32"/>
        </w:rPr>
        <w:t>    </w:t>
      </w:r>
      <w:r>
        <w:rPr>
          <w:rFonts w:hint="eastAsia" w:ascii="仿宋" w:hAnsi="仿宋" w:eastAsia="方正仿宋_GBK" w:cs="仿宋"/>
          <w:color w:val="000000"/>
          <w:sz w:val="32"/>
          <w:szCs w:val="32"/>
          <w:lang w:val="en-US" w:eastAsia="zh-CN"/>
        </w:rPr>
        <w:t xml:space="preserve">   </w:t>
      </w:r>
      <w:r>
        <w:rPr>
          <w:rFonts w:hint="eastAsia" w:ascii="仿宋" w:hAnsi="仿宋" w:eastAsia="方正仿宋_GBK" w:cs="仿宋"/>
          <w:color w:val="000000"/>
          <w:sz w:val="32"/>
          <w:szCs w:val="32"/>
        </w:rPr>
        <w:t>  </w:t>
      </w:r>
      <w:r>
        <w:rPr>
          <w:rFonts w:hint="eastAsia" w:ascii="仿宋" w:hAnsi="仿宋" w:eastAsia="方正仿宋_GBK" w:cs="仿宋"/>
          <w:color w:val="000000"/>
          <w:sz w:val="32"/>
          <w:szCs w:val="32"/>
        </w:rPr>
        <w:t>3．违法超限运输约谈记录表</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方正仿宋_GBK" w:cs="仿宋"/>
          <w:sz w:val="31"/>
          <w:szCs w:val="31"/>
        </w:rPr>
      </w:pPr>
      <w:r>
        <w:rPr>
          <w:rFonts w:ascii="黑体" w:hAnsi="宋体" w:eastAsia="方正黑体_GBK" w:cs="黑体"/>
          <w:sz w:val="44"/>
          <w:szCs w:val="44"/>
        </w:rPr>
        <w:t>重庆市超限运输失信行为线索登记表</w:t>
      </w: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32"/>
          <w:szCs w:val="32"/>
        </w:rPr>
        <w:t>登记单位（盖章）：                     登记时间：</w:t>
      </w:r>
    </w:p>
    <w:tbl>
      <w:tblPr>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811"/>
        <w:gridCol w:w="165"/>
        <w:gridCol w:w="1494"/>
        <w:gridCol w:w="748"/>
        <w:gridCol w:w="447"/>
        <w:gridCol w:w="884"/>
        <w:gridCol w:w="987"/>
        <w:gridCol w:w="25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wAfter w:w="0" w:type="auto"/>
          <w:jc w:val="center"/>
        </w:trPr>
        <w:tc>
          <w:tcPr>
            <w:tcW w:w="1001" w:type="pct"/>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ascii="仿宋" w:hAnsi="仿宋" w:eastAsia="仿宋" w:cs="仿宋"/>
                <w:sz w:val="31"/>
                <w:szCs w:val="31"/>
              </w:rPr>
            </w:pPr>
            <w:r>
              <w:rPr>
                <w:rFonts w:hint="eastAsia" w:ascii="仿宋" w:hAnsi="仿宋" w:eastAsia="方正仿宋_GBK" w:cs="仿宋"/>
                <w:sz w:val="28"/>
                <w:szCs w:val="28"/>
                <w:bdr w:val="none" w:color="auto" w:sz="0" w:space="0"/>
              </w:rPr>
              <w:t>车辆查处单位</w:t>
            </w:r>
          </w:p>
        </w:tc>
        <w:tc>
          <w:tcPr>
            <w:tcW w:w="1329" w:type="pct"/>
            <w:gridSpan w:val="3"/>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735" w:type="pct"/>
            <w:gridSpan w:val="2"/>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车辆管理机构</w:t>
            </w:r>
          </w:p>
        </w:tc>
        <w:tc>
          <w:tcPr>
            <w:tcW w:w="1934" w:type="pct"/>
            <w:gridSpan w:val="2"/>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jc w:val="center"/>
        </w:trPr>
        <w:tc>
          <w:tcPr>
            <w:tcW w:w="1001"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运输货物</w:t>
            </w:r>
          </w:p>
        </w:tc>
        <w:tc>
          <w:tcPr>
            <w:tcW w:w="1329" w:type="pct"/>
            <w:gridSpan w:val="3"/>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735" w:type="pct"/>
            <w:gridSpan w:val="2"/>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违法事实</w:t>
            </w:r>
          </w:p>
        </w:tc>
        <w:tc>
          <w:tcPr>
            <w:tcW w:w="1934" w:type="pct"/>
            <w:gridSpan w:val="2"/>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wAfter w:w="0" w:type="auto"/>
          <w:jc w:val="center"/>
        </w:trPr>
        <w:tc>
          <w:tcPr>
            <w:tcW w:w="1001"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车辆轴数</w:t>
            </w:r>
          </w:p>
        </w:tc>
        <w:tc>
          <w:tcPr>
            <w:tcW w:w="1329" w:type="pct"/>
            <w:gridSpan w:val="3"/>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735" w:type="pct"/>
            <w:gridSpan w:val="2"/>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default" w:ascii="Times New Roman" w:hAnsi="Times New Roman" w:cs="Times New Roman"/>
                <w:sz w:val="19"/>
                <w:szCs w:val="19"/>
              </w:rPr>
            </w:pPr>
          </w:p>
        </w:tc>
        <w:tc>
          <w:tcPr>
            <w:tcW w:w="1934" w:type="pct"/>
            <w:gridSpan w:val="2"/>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rPr>
                <w:rFonts w:hint="default" w:ascii="Times New Roman" w:hAnsi="Times New Roman" w:cs="Times New Roman"/>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jc w:val="center"/>
        </w:trPr>
        <w:tc>
          <w:tcPr>
            <w:tcW w:w="1001"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违法事实时间</w:t>
            </w:r>
          </w:p>
        </w:tc>
        <w:tc>
          <w:tcPr>
            <w:tcW w:w="1329" w:type="pct"/>
            <w:gridSpan w:val="3"/>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735" w:type="pct"/>
            <w:gridSpan w:val="2"/>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违法事实查处地点</w:t>
            </w:r>
          </w:p>
        </w:tc>
        <w:tc>
          <w:tcPr>
            <w:tcW w:w="1934" w:type="pct"/>
            <w:gridSpan w:val="2"/>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jc w:val="center"/>
        </w:trPr>
        <w:tc>
          <w:tcPr>
            <w:tcW w:w="1001"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bdr w:val="none" w:color="auto" w:sz="0" w:space="0"/>
              </w:rPr>
              <w:t>超限车辆</w:t>
            </w: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牌照</w:t>
            </w:r>
          </w:p>
        </w:tc>
        <w:tc>
          <w:tcPr>
            <w:tcW w:w="1329" w:type="pct"/>
            <w:gridSpan w:val="3"/>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735" w:type="pct"/>
            <w:gridSpan w:val="2"/>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超限车辆营运证号</w:t>
            </w:r>
          </w:p>
        </w:tc>
        <w:tc>
          <w:tcPr>
            <w:tcW w:w="1934" w:type="pct"/>
            <w:gridSpan w:val="2"/>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wAfter w:w="0" w:type="auto"/>
          <w:jc w:val="center"/>
        </w:trPr>
        <w:tc>
          <w:tcPr>
            <w:tcW w:w="1001"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驾驶人姓名</w:t>
            </w:r>
          </w:p>
        </w:tc>
        <w:tc>
          <w:tcPr>
            <w:tcW w:w="1329" w:type="pct"/>
            <w:gridSpan w:val="3"/>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735" w:type="pct"/>
            <w:gridSpan w:val="2"/>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bdr w:val="none" w:color="auto" w:sz="0" w:space="0"/>
              </w:rPr>
              <w:t>驾驶人</w:t>
            </w: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驾驶证号</w:t>
            </w:r>
          </w:p>
        </w:tc>
        <w:tc>
          <w:tcPr>
            <w:tcW w:w="1934" w:type="pct"/>
            <w:gridSpan w:val="2"/>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wAfter w:w="0" w:type="auto"/>
          <w:jc w:val="center"/>
        </w:trPr>
        <w:tc>
          <w:tcPr>
            <w:tcW w:w="1001" w:type="pc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驾驶人从业资格证号</w:t>
            </w:r>
          </w:p>
        </w:tc>
        <w:tc>
          <w:tcPr>
            <w:tcW w:w="1329" w:type="pct"/>
            <w:gridSpan w:val="3"/>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735" w:type="pct"/>
            <w:gridSpan w:val="2"/>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货物装载企业</w:t>
            </w:r>
          </w:p>
        </w:tc>
        <w:tc>
          <w:tcPr>
            <w:tcW w:w="1934" w:type="pct"/>
            <w:gridSpan w:val="2"/>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917" w:type="pct"/>
            <w:gridSpan w:val="3"/>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ascii="仿宋" w:hAnsi="仿宋" w:eastAsia="仿宋" w:cs="仿宋"/>
                <w:sz w:val="31"/>
                <w:szCs w:val="31"/>
              </w:rPr>
            </w:pPr>
            <w:r>
              <w:rPr>
                <w:rFonts w:hint="eastAsia" w:ascii="仿宋" w:hAnsi="仿宋" w:eastAsia="方正仿宋_GBK" w:cs="仿宋"/>
                <w:sz w:val="28"/>
                <w:szCs w:val="28"/>
                <w:bdr w:val="none" w:color="auto" w:sz="0" w:space="0"/>
              </w:rPr>
              <w:t>车辆所属企业及所有人</w:t>
            </w:r>
          </w:p>
        </w:tc>
        <w:tc>
          <w:tcPr>
            <w:tcW w:w="3082" w:type="pct"/>
            <w:gridSpan w:val="5"/>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917" w:type="pct"/>
            <w:gridSpan w:val="3"/>
            <w:tcBorders>
              <w:top w:val="nil"/>
              <w:left w:val="single" w:color="000000" w:sz="6" w:space="0"/>
              <w:bottom w:val="single" w:color="080000" w:sz="6" w:space="0"/>
              <w:right w:val="single" w:color="000000" w:sz="6"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车辆所属企业组织机构代码号及所有人证件号</w:t>
            </w:r>
          </w:p>
        </w:tc>
        <w:tc>
          <w:tcPr>
            <w:tcW w:w="3082" w:type="pct"/>
            <w:gridSpan w:val="5"/>
            <w:tcBorders>
              <w:top w:val="nil"/>
              <w:left w:val="single" w:color="000000" w:sz="6" w:space="0"/>
              <w:bottom w:val="single" w:color="08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917" w:type="pct"/>
            <w:gridSpan w:val="3"/>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bdr w:val="none" w:color="auto" w:sz="0" w:space="0"/>
              </w:rPr>
              <w:t>移交单位初步处理</w:t>
            </w: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意见及法律文书案号</w:t>
            </w:r>
          </w:p>
        </w:tc>
        <w:tc>
          <w:tcPr>
            <w:tcW w:w="3082" w:type="pct"/>
            <w:gridSpan w:val="5"/>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92" w:type="pct"/>
            <w:gridSpan w:val="2"/>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接收单位</w:t>
            </w:r>
          </w:p>
        </w:tc>
        <w:tc>
          <w:tcPr>
            <w:tcW w:w="1485" w:type="pct"/>
            <w:gridSpan w:val="3"/>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1033" w:type="pct"/>
            <w:gridSpan w:val="2"/>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接收时间</w:t>
            </w:r>
          </w:p>
        </w:tc>
        <w:tc>
          <w:tcPr>
            <w:tcW w:w="1389" w:type="pct"/>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bl>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sz w:val="31"/>
          <w:szCs w:val="31"/>
        </w:rPr>
      </w:pPr>
      <w:r>
        <w:rPr>
          <w:rFonts w:ascii="黑体" w:hAnsi="宋体" w:eastAsia="方正黑体_GBK" w:cs="黑体"/>
          <w:sz w:val="44"/>
          <w:szCs w:val="44"/>
        </w:rPr>
        <w:t>重庆市超限运输失信行为信息公布通知书</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872"/>
        <w:gridCol w:w="61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37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被通知人（单位）</w:t>
            </w:r>
          </w:p>
        </w:tc>
        <w:tc>
          <w:tcPr>
            <w:tcW w:w="802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1400" w:type="dxa"/>
            <w:gridSpan w:val="2"/>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bdr w:val="none" w:color="auto" w:sz="0" w:space="0"/>
              </w:rPr>
              <w:t>依据《重庆市超限运输信用管理办法》第</w:t>
            </w:r>
            <w:r>
              <w:rPr>
                <w:rFonts w:hint="eastAsia" w:ascii="仿宋" w:hAnsi="仿宋" w:eastAsia="方正仿宋_GBK" w:cs="仿宋"/>
                <w:sz w:val="21"/>
                <w:szCs w:val="21"/>
                <w:u w:val="single"/>
                <w:bdr w:val="none" w:color="auto" w:sz="0" w:space="0"/>
              </w:rPr>
              <w:t>      </w:t>
            </w:r>
            <w:r>
              <w:rPr>
                <w:rFonts w:hint="eastAsia" w:ascii="仿宋" w:hAnsi="仿宋" w:eastAsia="方正仿宋_GBK" w:cs="仿宋"/>
                <w:sz w:val="28"/>
                <w:szCs w:val="28"/>
                <w:bdr w:val="none" w:color="auto" w:sz="0" w:space="0"/>
              </w:rPr>
              <w:t>条第</w:t>
            </w:r>
            <w:r>
              <w:rPr>
                <w:rFonts w:hint="eastAsia" w:ascii="仿宋" w:hAnsi="仿宋" w:eastAsia="方正仿宋_GBK" w:cs="仿宋"/>
                <w:sz w:val="21"/>
                <w:szCs w:val="21"/>
                <w:u w:val="single"/>
                <w:bdr w:val="none" w:color="auto" w:sz="0" w:space="0"/>
              </w:rPr>
              <w:t>     </w:t>
            </w:r>
            <w:r>
              <w:rPr>
                <w:rFonts w:hint="eastAsia" w:ascii="仿宋" w:hAnsi="仿宋" w:eastAsia="方正仿宋_GBK" w:cs="仿宋"/>
                <w:sz w:val="28"/>
                <w:szCs w:val="28"/>
                <w:bdr w:val="none" w:color="auto" w:sz="0" w:space="0"/>
              </w:rPr>
              <w:t>项之规定，你（单位）实施超限运输失信行为如下：</w:t>
            </w:r>
            <w:r>
              <w:rPr>
                <w:rFonts w:hint="eastAsia" w:ascii="仿宋" w:hAnsi="仿宋" w:eastAsia="方正仿宋_GBK" w:cs="仿宋"/>
                <w:sz w:val="21"/>
                <w:szCs w:val="21"/>
                <w:u w:val="single"/>
                <w:bdr w:val="none" w:color="auto" w:sz="0" w:space="0"/>
              </w:rPr>
              <w:t>                        </w:t>
            </w:r>
            <w:r>
              <w:rPr>
                <w:rFonts w:hint="eastAsia" w:ascii="仿宋" w:hAnsi="仿宋" w:eastAsia="方正仿宋_GBK" w:cs="仿宋"/>
                <w:sz w:val="28"/>
                <w:szCs w:val="28"/>
                <w:bdr w:val="none" w:color="auto" w:sz="0" w:space="0"/>
              </w:rPr>
              <w:t> ，现拟将你(单位)的超限运输失信行为信息内容进行公布，期限</w:t>
            </w:r>
            <w:r>
              <w:rPr>
                <w:rFonts w:hint="eastAsia" w:ascii="仿宋" w:hAnsi="仿宋" w:eastAsia="方正仿宋_GBK" w:cs="仿宋"/>
                <w:sz w:val="21"/>
                <w:szCs w:val="21"/>
                <w:u w:val="single"/>
                <w:bdr w:val="none" w:color="auto" w:sz="0" w:space="0"/>
              </w:rPr>
              <w:t>        </w:t>
            </w:r>
            <w:r>
              <w:rPr>
                <w:rFonts w:hint="eastAsia" w:ascii="仿宋" w:hAnsi="仿宋" w:eastAsia="方正仿宋_GBK" w:cs="仿宋"/>
                <w:sz w:val="28"/>
                <w:szCs w:val="28"/>
                <w:bdr w:val="none" w:color="auto" w:sz="0" w:space="0"/>
              </w:rPr>
              <w:t>，自</w:t>
            </w:r>
            <w:r>
              <w:rPr>
                <w:rFonts w:hint="eastAsia" w:ascii="仿宋" w:hAnsi="仿宋" w:eastAsia="方正仿宋_GBK" w:cs="仿宋"/>
                <w:sz w:val="21"/>
                <w:szCs w:val="21"/>
                <w:u w:val="single"/>
                <w:bdr w:val="none" w:color="auto" w:sz="0" w:space="0"/>
              </w:rPr>
              <w:t>    </w:t>
            </w:r>
            <w:r>
              <w:rPr>
                <w:rFonts w:hint="eastAsia" w:ascii="仿宋" w:hAnsi="仿宋" w:eastAsia="方正仿宋_GBK" w:cs="仿宋"/>
                <w:sz w:val="28"/>
                <w:szCs w:val="28"/>
                <w:bdr w:val="none" w:color="auto" w:sz="0" w:space="0"/>
              </w:rPr>
              <w:t>年</w:t>
            </w:r>
            <w:r>
              <w:rPr>
                <w:rFonts w:hint="eastAsia" w:ascii="仿宋" w:hAnsi="仿宋" w:eastAsia="方正仿宋_GBK" w:cs="仿宋"/>
                <w:sz w:val="21"/>
                <w:szCs w:val="21"/>
                <w:u w:val="single"/>
                <w:bdr w:val="none" w:color="auto" w:sz="0" w:space="0"/>
              </w:rPr>
              <w:t>     </w:t>
            </w:r>
            <w:r>
              <w:rPr>
                <w:rFonts w:hint="eastAsia" w:ascii="仿宋" w:hAnsi="仿宋" w:eastAsia="方正仿宋_GBK" w:cs="仿宋"/>
                <w:sz w:val="28"/>
                <w:szCs w:val="28"/>
                <w:bdr w:val="none" w:color="auto" w:sz="0" w:space="0"/>
              </w:rPr>
              <w:t>月</w:t>
            </w:r>
            <w:r>
              <w:rPr>
                <w:rFonts w:hint="eastAsia" w:ascii="仿宋" w:hAnsi="仿宋" w:eastAsia="方正仿宋_GBK" w:cs="仿宋"/>
                <w:sz w:val="21"/>
                <w:szCs w:val="21"/>
                <w:u w:val="single"/>
                <w:bdr w:val="none" w:color="auto" w:sz="0" w:space="0"/>
              </w:rPr>
              <w:t>    </w:t>
            </w:r>
            <w:r>
              <w:rPr>
                <w:rFonts w:hint="eastAsia" w:ascii="仿宋" w:hAnsi="仿宋" w:eastAsia="方正仿宋_GBK" w:cs="仿宋"/>
                <w:sz w:val="28"/>
                <w:szCs w:val="28"/>
                <w:bdr w:val="none" w:color="auto" w:sz="0" w:space="0"/>
              </w:rPr>
              <w:t>日起至</w:t>
            </w:r>
            <w:r>
              <w:rPr>
                <w:rFonts w:hint="eastAsia" w:ascii="仿宋" w:hAnsi="仿宋" w:eastAsia="方正仿宋_GBK" w:cs="仿宋"/>
                <w:sz w:val="21"/>
                <w:szCs w:val="21"/>
                <w:u w:val="single"/>
                <w:bdr w:val="none" w:color="auto" w:sz="0" w:space="0"/>
              </w:rPr>
              <w:t>    </w:t>
            </w:r>
            <w:r>
              <w:rPr>
                <w:rFonts w:hint="eastAsia" w:ascii="仿宋" w:hAnsi="仿宋" w:eastAsia="方正仿宋_GBK" w:cs="仿宋"/>
                <w:sz w:val="28"/>
                <w:szCs w:val="28"/>
                <w:bdr w:val="none" w:color="auto" w:sz="0" w:space="0"/>
              </w:rPr>
              <w:t>年</w:t>
            </w:r>
            <w:r>
              <w:rPr>
                <w:rFonts w:hint="eastAsia" w:ascii="仿宋" w:hAnsi="仿宋" w:eastAsia="方正仿宋_GBK" w:cs="仿宋"/>
                <w:sz w:val="21"/>
                <w:szCs w:val="21"/>
                <w:u w:val="single"/>
                <w:bdr w:val="none" w:color="auto" w:sz="0" w:space="0"/>
              </w:rPr>
              <w:t>    </w:t>
            </w:r>
            <w:r>
              <w:rPr>
                <w:rFonts w:hint="eastAsia" w:ascii="仿宋" w:hAnsi="仿宋" w:eastAsia="方正仿宋_GBK" w:cs="仿宋"/>
                <w:sz w:val="28"/>
                <w:szCs w:val="28"/>
                <w:bdr w:val="none" w:color="auto" w:sz="0" w:space="0"/>
              </w:rPr>
              <w:t>月</w:t>
            </w:r>
            <w:r>
              <w:rPr>
                <w:rFonts w:hint="eastAsia" w:ascii="仿宋" w:hAnsi="仿宋" w:eastAsia="方正仿宋_GBK" w:cs="仿宋"/>
                <w:sz w:val="21"/>
                <w:szCs w:val="21"/>
                <w:u w:val="single"/>
                <w:bdr w:val="none" w:color="auto" w:sz="0" w:space="0"/>
              </w:rPr>
              <w:t>    </w:t>
            </w:r>
            <w:r>
              <w:rPr>
                <w:rFonts w:hint="eastAsia" w:ascii="仿宋" w:hAnsi="仿宋" w:eastAsia="方正仿宋_GBK" w:cs="仿宋"/>
                <w:sz w:val="28"/>
                <w:szCs w:val="28"/>
                <w:bdr w:val="none" w:color="auto" w:sz="0" w:space="0"/>
              </w:rPr>
              <w:t>日止。</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bdr w:val="none" w:color="auto" w:sz="0" w:space="0"/>
              </w:rPr>
              <w:t>你（单位）对拟公布的超限运输失信行为信息内容有异议的，有权应在7个工作日内向市公路管理机构提出异议。逾期未提出异议的，视为放弃权利。</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bdr w:val="none" w:color="auto" w:sz="0" w:space="0"/>
              </w:rPr>
              <w:t>    市公路管理机构（盖章）</w:t>
            </w: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1"/>
                <w:szCs w:val="21"/>
                <w:u w:val="single"/>
                <w:bdr w:val="none" w:color="auto" w:sz="0" w:space="0"/>
              </w:rPr>
              <w:t>     </w:t>
            </w:r>
            <w:r>
              <w:rPr>
                <w:rFonts w:hint="eastAsia" w:ascii="仿宋" w:hAnsi="仿宋" w:eastAsia="方正仿宋_GBK" w:cs="仿宋"/>
                <w:sz w:val="28"/>
                <w:szCs w:val="28"/>
                <w:bdr w:val="none" w:color="auto" w:sz="0" w:space="0"/>
              </w:rPr>
              <w:t>年</w:t>
            </w:r>
            <w:r>
              <w:rPr>
                <w:rFonts w:hint="eastAsia" w:ascii="仿宋" w:hAnsi="仿宋" w:eastAsia="方正仿宋_GBK" w:cs="仿宋"/>
                <w:sz w:val="21"/>
                <w:szCs w:val="21"/>
                <w:u w:val="single"/>
                <w:bdr w:val="none" w:color="auto" w:sz="0" w:space="0"/>
              </w:rPr>
              <w:t>  </w:t>
            </w:r>
            <w:r>
              <w:rPr>
                <w:rFonts w:hint="eastAsia" w:ascii="仿宋" w:hAnsi="仿宋" w:eastAsia="方正仿宋_GBK" w:cs="仿宋"/>
                <w:sz w:val="28"/>
                <w:szCs w:val="28"/>
                <w:bdr w:val="none" w:color="auto" w:sz="0" w:space="0"/>
              </w:rPr>
              <w:t>月</w:t>
            </w:r>
            <w:r>
              <w:rPr>
                <w:rFonts w:hint="eastAsia" w:ascii="仿宋" w:hAnsi="仿宋" w:eastAsia="方正仿宋_GBK" w:cs="仿宋"/>
                <w:sz w:val="21"/>
                <w:szCs w:val="21"/>
                <w:u w:val="single"/>
                <w:bdr w:val="none" w:color="auto" w:sz="0" w:space="0"/>
              </w:rPr>
              <w:t>  </w:t>
            </w:r>
            <w:r>
              <w:rPr>
                <w:rFonts w:hint="eastAsia" w:ascii="仿宋" w:hAnsi="仿宋" w:eastAsia="方正仿宋_GBK" w:cs="仿宋"/>
                <w:sz w:val="28"/>
                <w:szCs w:val="28"/>
                <w:bdr w:val="none" w:color="auto" w:sz="0" w:space="0"/>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1400" w:type="dxa"/>
            <w:gridSpan w:val="2"/>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bdr w:val="none" w:color="auto" w:sz="0" w:space="0"/>
              </w:rPr>
              <w:t>被通知人（单位负责人）（签字）：</w:t>
            </w:r>
            <w:r>
              <w:rPr>
                <w:rFonts w:hint="eastAsia" w:ascii="仿宋" w:hAnsi="仿宋" w:eastAsia="方正仿宋_GBK" w:cs="仿宋"/>
                <w:sz w:val="21"/>
                <w:szCs w:val="21"/>
                <w:u w:val="single"/>
                <w:bdr w:val="none" w:color="auto" w:sz="0" w:space="0"/>
              </w:rPr>
              <w:t>            </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bdr w:val="none" w:color="auto" w:sz="0" w:space="0"/>
              </w:rPr>
              <w:t>送达人（签字）：</w:t>
            </w:r>
            <w:r>
              <w:rPr>
                <w:rFonts w:hint="eastAsia" w:ascii="仿宋" w:hAnsi="仿宋" w:eastAsia="方正仿宋_GBK" w:cs="仿宋"/>
                <w:sz w:val="21"/>
                <w:szCs w:val="21"/>
                <w:u w:val="single"/>
                <w:bdr w:val="none" w:color="auto" w:sz="0" w:space="0"/>
              </w:rPr>
              <w:t>            </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1"/>
                <w:szCs w:val="21"/>
                <w:u w:val="single"/>
                <w:bdr w:val="none" w:color="auto" w:sz="0" w:space="0"/>
              </w:rPr>
              <w:t>   </w:t>
            </w:r>
            <w:r>
              <w:rPr>
                <w:rFonts w:hint="eastAsia" w:ascii="仿宋" w:hAnsi="仿宋" w:eastAsia="方正仿宋_GBK" w:cs="仿宋"/>
                <w:sz w:val="28"/>
                <w:szCs w:val="28"/>
                <w:bdr w:val="none" w:color="auto" w:sz="0" w:space="0"/>
              </w:rPr>
              <w:t>年</w:t>
            </w:r>
            <w:r>
              <w:rPr>
                <w:rFonts w:hint="eastAsia" w:ascii="仿宋" w:hAnsi="仿宋" w:eastAsia="方正仿宋_GBK" w:cs="仿宋"/>
                <w:sz w:val="21"/>
                <w:szCs w:val="21"/>
                <w:u w:val="single"/>
                <w:bdr w:val="none" w:color="auto" w:sz="0" w:space="0"/>
              </w:rPr>
              <w:t>  </w:t>
            </w:r>
            <w:r>
              <w:rPr>
                <w:rFonts w:hint="eastAsia" w:ascii="仿宋" w:hAnsi="仿宋" w:eastAsia="方正仿宋_GBK" w:cs="仿宋"/>
                <w:sz w:val="28"/>
                <w:szCs w:val="28"/>
                <w:bdr w:val="none" w:color="auto" w:sz="0" w:space="0"/>
              </w:rPr>
              <w:t>月</w:t>
            </w:r>
            <w:r>
              <w:rPr>
                <w:rFonts w:hint="eastAsia" w:ascii="仿宋" w:hAnsi="仿宋" w:eastAsia="方正仿宋_GBK" w:cs="仿宋"/>
                <w:sz w:val="21"/>
                <w:szCs w:val="21"/>
                <w:u w:val="single"/>
                <w:bdr w:val="none" w:color="auto" w:sz="0" w:space="0"/>
              </w:rPr>
              <w:t>  </w:t>
            </w:r>
            <w:r>
              <w:rPr>
                <w:rFonts w:hint="eastAsia" w:ascii="仿宋" w:hAnsi="仿宋" w:eastAsia="方正仿宋_GBK" w:cs="仿宋"/>
                <w:sz w:val="28"/>
                <w:szCs w:val="28"/>
                <w:bdr w:val="none" w:color="auto" w:sz="0" w:space="0"/>
              </w:rPr>
              <w:t>日</w:t>
            </w:r>
          </w:p>
        </w:tc>
      </w:tr>
    </w:tbl>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30"/>
          <w:szCs w:val="30"/>
        </w:rPr>
        <w:t>注：此通知书一式二份。第一联由市公路管理机构留存，第二联交被通知人（单位）。</w:t>
      </w:r>
    </w:p>
    <w:p>
      <w:pPr>
        <w:rPr>
          <w:rFonts w:hint="eastAsia"/>
          <w:lang w:eastAsia="zh-CN"/>
        </w:rPr>
        <w:sectPr>
          <w:headerReference r:id="rId3" w:type="default"/>
          <w:footerReference r:id="rId4" w:type="default"/>
          <w:pgSz w:w="11906" w:h="16838"/>
          <w:pgMar w:top="1962" w:right="1474" w:bottom="1848" w:left="1587" w:header="851" w:footer="992" w:gutter="0"/>
          <w:pgBorders w:offsetFrom="page">
            <w:top w:val="none" w:sz="0" w:space="0"/>
            <w:left w:val="none" w:sz="0" w:space="0"/>
            <w:bottom w:val="none" w:sz="0" w:space="0"/>
            <w:right w:val="none" w:sz="0" w:space="0"/>
          </w:pgBorders>
          <w:pgNumType w:fmt="numberInDash"/>
          <w:cols w:space="0" w:num="1"/>
          <w:rtlGutter w:val="0"/>
          <w:docGrid w:type="lines" w:linePitch="316" w:charSpace="0"/>
        </w:sect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仿宋" w:cs="仿宋"/>
          <w:sz w:val="31"/>
          <w:szCs w:val="31"/>
        </w:rPr>
      </w:pPr>
      <w:r>
        <w:rPr>
          <w:rFonts w:ascii="黑体" w:hAnsi="宋体" w:eastAsia="方正黑体_GBK" w:cs="黑体"/>
          <w:sz w:val="44"/>
          <w:szCs w:val="44"/>
        </w:rPr>
        <w:t>违法超限运输约谈记录表</w:t>
      </w:r>
    </w:p>
    <w:tbl>
      <w:tblPr>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645"/>
        <w:gridCol w:w="5053"/>
        <w:gridCol w:w="2648"/>
        <w:gridCol w:w="28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999" w:type="pct"/>
            <w:tcBorders>
              <w:top w:val="single" w:color="000000" w:sz="18" w:space="0"/>
              <w:left w:val="single" w:color="000000" w:sz="18" w:space="0"/>
              <w:bottom w:val="single" w:color="000000" w:sz="12" w:space="0"/>
              <w:right w:val="single" w:color="000000" w:sz="12"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约谈单位</w:t>
            </w:r>
          </w:p>
        </w:tc>
        <w:tc>
          <w:tcPr>
            <w:tcW w:w="1908" w:type="pct"/>
            <w:tcBorders>
              <w:top w:val="single" w:color="000000" w:sz="18" w:space="0"/>
              <w:left w:val="nil"/>
              <w:bottom w:val="single" w:color="000000" w:sz="12" w:space="0"/>
              <w:right w:val="single" w:color="000000" w:sz="12"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1000" w:type="pct"/>
            <w:tcBorders>
              <w:top w:val="single" w:color="000000" w:sz="18" w:space="0"/>
              <w:left w:val="nil"/>
              <w:bottom w:val="single" w:color="000000" w:sz="12" w:space="0"/>
              <w:right w:val="single" w:color="000000" w:sz="12"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法定代表人</w:t>
            </w:r>
          </w:p>
        </w:tc>
        <w:tc>
          <w:tcPr>
            <w:tcW w:w="1092" w:type="pct"/>
            <w:tcBorders>
              <w:top w:val="single" w:color="000000" w:sz="18" w:space="0"/>
              <w:left w:val="nil"/>
              <w:bottom w:val="single" w:color="000000" w:sz="12" w:space="0"/>
              <w:right w:val="single" w:color="000000" w:sz="18"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999" w:type="pct"/>
            <w:tcBorders>
              <w:top w:val="nil"/>
              <w:left w:val="single" w:color="000000" w:sz="18" w:space="0"/>
              <w:bottom w:val="single" w:color="000000" w:sz="12" w:space="0"/>
              <w:right w:val="single" w:color="000000" w:sz="12"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约谈时间</w:t>
            </w:r>
          </w:p>
        </w:tc>
        <w:tc>
          <w:tcPr>
            <w:tcW w:w="1908" w:type="pc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1000" w:type="pct"/>
            <w:tcBorders>
              <w:top w:val="nil"/>
              <w:left w:val="nil"/>
              <w:bottom w:val="single" w:color="000000" w:sz="12" w:space="0"/>
              <w:right w:val="single" w:color="000000" w:sz="12"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约谈地点</w:t>
            </w:r>
          </w:p>
        </w:tc>
        <w:tc>
          <w:tcPr>
            <w:tcW w:w="1092" w:type="pct"/>
            <w:tcBorders>
              <w:top w:val="nil"/>
              <w:left w:val="nil"/>
              <w:bottom w:val="single" w:color="000000" w:sz="12" w:space="0"/>
              <w:right w:val="single" w:color="000000" w:sz="18"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999" w:type="pct"/>
            <w:tcBorders>
              <w:top w:val="nil"/>
              <w:left w:val="single" w:color="000000" w:sz="18" w:space="0"/>
              <w:bottom w:val="single" w:color="000000" w:sz="12" w:space="0"/>
              <w:right w:val="single" w:color="000000" w:sz="12"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违法事实</w:t>
            </w:r>
          </w:p>
        </w:tc>
        <w:tc>
          <w:tcPr>
            <w:tcW w:w="4000" w:type="pct"/>
            <w:gridSpan w:val="3"/>
            <w:tcBorders>
              <w:top w:val="nil"/>
              <w:left w:val="nil"/>
              <w:bottom w:val="single" w:color="000000" w:sz="12" w:space="0"/>
              <w:right w:val="single" w:color="000000" w:sz="18"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99" w:type="pct"/>
            <w:tcBorders>
              <w:top w:val="nil"/>
              <w:left w:val="single" w:color="000000" w:sz="18" w:space="0"/>
              <w:bottom w:val="single" w:color="000000" w:sz="12" w:space="0"/>
              <w:right w:val="single" w:color="000000" w:sz="12"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bdr w:val="none" w:color="auto" w:sz="0" w:space="0"/>
              </w:rPr>
              <w:t>约</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bdr w:val="none" w:color="auto" w:sz="0" w:space="0"/>
              </w:rPr>
              <w:t>谈</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bdr w:val="none" w:color="auto" w:sz="0" w:space="0"/>
              </w:rPr>
              <w:t>内</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31"/>
                <w:szCs w:val="31"/>
              </w:rPr>
            </w:pPr>
            <w:r>
              <w:rPr>
                <w:rFonts w:hint="eastAsia" w:ascii="仿宋" w:hAnsi="仿宋" w:eastAsia="方正仿宋_GBK" w:cs="仿宋"/>
                <w:sz w:val="28"/>
                <w:szCs w:val="28"/>
                <w:bdr w:val="none" w:color="auto" w:sz="0" w:space="0"/>
              </w:rPr>
              <w:t>容</w:t>
            </w: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c>
          <w:tcPr>
            <w:tcW w:w="4000" w:type="pct"/>
            <w:gridSpan w:val="3"/>
            <w:tcBorders>
              <w:top w:val="nil"/>
              <w:left w:val="nil"/>
              <w:bottom w:val="single" w:color="000000" w:sz="12" w:space="0"/>
              <w:right w:val="single" w:color="000000" w:sz="18"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999" w:type="pct"/>
            <w:tcBorders>
              <w:top w:val="nil"/>
              <w:left w:val="single" w:color="000000" w:sz="18" w:space="0"/>
              <w:bottom w:val="single" w:color="000000" w:sz="12" w:space="0"/>
              <w:right w:val="single" w:color="000000" w:sz="12"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方正仿宋_GBK" w:cs="仿宋"/>
                <w:sz w:val="28"/>
                <w:szCs w:val="28"/>
                <w:bdr w:val="none" w:color="auto" w:sz="0" w:space="0"/>
              </w:rPr>
              <w:t>被约谈人签字</w:t>
            </w:r>
          </w:p>
        </w:tc>
        <w:tc>
          <w:tcPr>
            <w:tcW w:w="4000" w:type="pct"/>
            <w:gridSpan w:val="3"/>
            <w:tcBorders>
              <w:top w:val="nil"/>
              <w:left w:val="nil"/>
              <w:bottom w:val="single" w:color="000000" w:sz="12" w:space="0"/>
              <w:right w:val="single" w:color="000000" w:sz="18"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999" w:type="pct"/>
            <w:tcBorders>
              <w:top w:val="single" w:color="000000" w:sz="12" w:space="0"/>
              <w:left w:val="single" w:color="000000" w:sz="12" w:space="0"/>
              <w:bottom w:val="single" w:color="000000" w:sz="12" w:space="0"/>
              <w:right w:val="single" w:color="000000" w:sz="12" w:space="0"/>
            </w:tcBorders>
            <w:shd w:val="clear"/>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sz w:val="28"/>
                <w:szCs w:val="28"/>
              </w:rPr>
            </w:pPr>
            <w:r>
              <w:rPr>
                <w:rFonts w:hint="eastAsia" w:ascii="仿宋" w:hAnsi="仿宋" w:eastAsia="方正仿宋_GBK" w:cs="仿宋"/>
                <w:sz w:val="28"/>
                <w:szCs w:val="28"/>
              </w:rPr>
              <w:t>备 注</w:t>
            </w:r>
          </w:p>
        </w:tc>
        <w:tc>
          <w:tcPr>
            <w:tcW w:w="4000" w:type="pct"/>
            <w:gridSpan w:val="3"/>
            <w:tcBorders>
              <w:top w:val="single" w:color="000000" w:sz="12" w:space="0"/>
              <w:left w:val="single" w:color="000000" w:sz="12" w:space="0"/>
              <w:bottom w:val="single" w:color="000000" w:sz="12" w:space="0"/>
              <w:right w:val="single" w:color="000000" w:sz="12" w:space="0"/>
            </w:tcBorders>
            <w:shd w:val="clear"/>
            <w:vAlign w:val="center"/>
          </w:tcPr>
          <w:p>
            <w:pPr>
              <w:pStyle w:val="6"/>
              <w:keepNext w:val="0"/>
              <w:keepLines w:val="0"/>
              <w:widowControl/>
              <w:suppressLineNumbers w:val="0"/>
              <w:spacing w:before="0" w:beforeAutospacing="0" w:after="0" w:afterAutospacing="0" w:line="570" w:lineRule="atLeast"/>
              <w:jc w:val="left"/>
              <w:rPr>
                <w:rFonts w:hint="default" w:ascii="仿宋" w:hAnsi="仿宋" w:eastAsia="方正仿宋_GBK" w:cs="仿宋"/>
                <w:sz w:val="28"/>
                <w:szCs w:val="28"/>
              </w:rPr>
            </w:pPr>
          </w:p>
        </w:tc>
      </w:tr>
    </w:tbl>
    <w:p>
      <w:pPr>
        <w:rPr>
          <w:rFonts w:hint="eastAsia"/>
          <w:lang w:eastAsia="zh-CN"/>
        </w:rPr>
      </w:pPr>
    </w:p>
    <w:sectPr>
      <w:pgSz w:w="16838" w:h="11906" w:orient="landscape"/>
      <w:pgMar w:top="1587" w:right="1962" w:bottom="1474" w:left="1848" w:header="454" w:footer="992" w:gutter="0"/>
      <w:pgBorders w:offsetFrom="page">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8279765" cy="0"/>
              <wp:effectExtent l="0" t="10795" r="6985" b="17780"/>
              <wp:wrapNone/>
              <wp:docPr id="11" name="直接连接符 11"/>
              <wp:cNvGraphicFramePr/>
              <a:graphic xmlns:a="http://schemas.openxmlformats.org/drawingml/2006/main">
                <a:graphicData uri="http://schemas.microsoft.com/office/word/2010/wordprocessingShape">
                  <wps:wsp>
                    <wps:cNvCnPr/>
                    <wps:spPr>
                      <a:xfrm>
                        <a:off x="0" y="0"/>
                        <a:ext cx="82797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651.95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79765"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79765"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651.95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0F0262"/>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二狗の段段</cp:lastModifiedBy>
  <cp:lastPrinted>2022-06-06T16:09:00Z</cp:lastPrinted>
  <dcterms:modified xsi:type="dcterms:W3CDTF">2022-06-16T09:53:12Z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69FCEE53E6B8421C86DEA30F3C24055C</vt:lpwstr>
  </property>
</Properties>
</file>