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firstLine="640" w:firstLineChars="200"/>
        <w:rPr>
          <w:rFonts w:ascii="仿宋_GB2312" w:eastAsia="仿宋_GB2312"/>
          <w:sz w:val="32"/>
        </w:rPr>
      </w:pPr>
    </w:p>
    <w:p>
      <w:pPr>
        <w:spacing w:line="570" w:lineRule="exact"/>
        <w:ind w:firstLine="560" w:firstLineChars="200"/>
        <w:rPr>
          <w:rFonts w:ascii="宋体"/>
          <w:sz w:val="28"/>
        </w:rPr>
      </w:pPr>
    </w:p>
    <w:p>
      <w:pPr>
        <w:spacing w:line="570" w:lineRule="exact"/>
        <w:jc w:val="center"/>
        <w:rPr>
          <w:rFonts w:eastAsia="方正小标宋_GBK"/>
          <w:color w:val="000000"/>
          <w:sz w:val="44"/>
          <w:szCs w:val="44"/>
        </w:rPr>
      </w:pPr>
      <w:r>
        <w:rPr>
          <w:rFonts w:eastAsia="方正小标宋_GBK"/>
          <w:color w:val="000000"/>
          <w:sz w:val="44"/>
          <w:szCs w:val="44"/>
        </w:rPr>
        <w:t>重庆市交通局关于</w:t>
      </w:r>
    </w:p>
    <w:p>
      <w:pPr>
        <w:spacing w:line="570" w:lineRule="exact"/>
        <w:jc w:val="center"/>
        <w:rPr>
          <w:rFonts w:eastAsia="方正小标宋_GBK"/>
          <w:color w:val="000000"/>
          <w:spacing w:val="-18"/>
          <w:sz w:val="44"/>
          <w:szCs w:val="44"/>
        </w:rPr>
      </w:pPr>
      <w:r>
        <w:rPr>
          <w:rFonts w:eastAsia="方正小标宋_GBK"/>
          <w:color w:val="000000"/>
          <w:spacing w:val="-18"/>
          <w:sz w:val="44"/>
          <w:szCs w:val="44"/>
        </w:rPr>
        <w:t>印发《重庆市道路运输信用管理实施细则》的通知</w:t>
      </w:r>
    </w:p>
    <w:p>
      <w:pPr>
        <w:spacing w:line="570" w:lineRule="exact"/>
        <w:jc w:val="center"/>
        <w:rPr>
          <w:rFonts w:ascii="方正仿宋_GBK" w:eastAsia="方正仿宋_GBK"/>
          <w:color w:val="000000"/>
          <w:sz w:val="32"/>
        </w:rPr>
      </w:pPr>
      <w:r>
        <w:rPr>
          <w:rFonts w:hint="eastAsia" w:ascii="方正仿宋_GBK" w:eastAsia="方正仿宋_GBK"/>
          <w:color w:val="000000"/>
          <w:sz w:val="32"/>
        </w:rPr>
        <w:t>渝交规〔2023〕2号</w:t>
      </w:r>
    </w:p>
    <w:p>
      <w:pPr>
        <w:spacing w:line="570" w:lineRule="exact"/>
        <w:ind w:firstLine="800" w:firstLineChars="200"/>
        <w:jc w:val="center"/>
        <w:rPr>
          <w:rFonts w:hint="eastAsia" w:eastAsia="黑体"/>
          <w:color w:val="000000"/>
          <w:sz w:val="40"/>
          <w:szCs w:val="32"/>
        </w:rPr>
      </w:pPr>
    </w:p>
    <w:p>
      <w:pPr>
        <w:spacing w:line="570" w:lineRule="exact"/>
        <w:rPr>
          <w:rFonts w:eastAsia="方正仿宋_GBK"/>
          <w:bCs/>
          <w:color w:val="000000"/>
          <w:sz w:val="32"/>
          <w:szCs w:val="32"/>
        </w:rPr>
      </w:pPr>
      <w:r>
        <w:rPr>
          <w:rFonts w:eastAsia="方正仿宋_GBK"/>
          <w:bCs/>
          <w:color w:val="000000"/>
          <w:sz w:val="32"/>
          <w:szCs w:val="32"/>
        </w:rPr>
        <w:t>各区县（自治县）交通局，局属各单位，各有关单位：</w:t>
      </w:r>
    </w:p>
    <w:p>
      <w:pPr>
        <w:spacing w:line="570" w:lineRule="exact"/>
        <w:ind w:firstLine="640" w:firstLineChars="200"/>
        <w:rPr>
          <w:rFonts w:hint="eastAsia" w:ascii="方正仿宋_GBK" w:eastAsia="方正仿宋_GBK"/>
          <w:color w:val="000000"/>
          <w:sz w:val="32"/>
          <w:szCs w:val="32"/>
        </w:rPr>
      </w:pPr>
      <w:r>
        <w:rPr>
          <w:rFonts w:eastAsia="方正仿宋_GBK"/>
          <w:color w:val="000000"/>
          <w:sz w:val="32"/>
          <w:szCs w:val="32"/>
        </w:rPr>
        <w:t>《重庆市道路运输信用管理</w:t>
      </w:r>
      <w:r>
        <w:rPr>
          <w:rFonts w:hint="eastAsia" w:ascii="方正仿宋_GBK" w:eastAsia="方正仿宋_GBK"/>
          <w:color w:val="000000"/>
          <w:sz w:val="32"/>
          <w:szCs w:val="32"/>
        </w:rPr>
        <w:t>实施细则》已经局2023年第2次局长办公会审议通过，现印发你们，自2023年3月1日起施行，请认真贯彻执行。《重庆市道路运输信用管理实施细则》（渝交规〔2021〕26号）同时废止。</w:t>
      </w:r>
    </w:p>
    <w:p>
      <w:pPr>
        <w:spacing w:line="570" w:lineRule="exact"/>
        <w:ind w:firstLine="640" w:firstLineChars="200"/>
        <w:outlineLvl w:val="0"/>
        <w:rPr>
          <w:rFonts w:eastAsia="方正仿宋_GBK"/>
          <w:bCs/>
          <w:color w:val="000000"/>
          <w:sz w:val="32"/>
          <w:szCs w:val="32"/>
        </w:rPr>
      </w:pPr>
    </w:p>
    <w:p>
      <w:pPr>
        <w:wordWrap w:val="0"/>
        <w:spacing w:line="570" w:lineRule="exact"/>
        <w:jc w:val="right"/>
        <w:outlineLvl w:val="0"/>
        <w:rPr>
          <w:rFonts w:eastAsia="方正仿宋_GBK"/>
          <w:color w:val="000000"/>
          <w:sz w:val="32"/>
          <w:szCs w:val="32"/>
        </w:rPr>
      </w:pPr>
      <w:r>
        <w:rPr>
          <w:rFonts w:eastAsia="方正仿宋_GBK"/>
          <w:bCs/>
          <w:color w:val="000000"/>
          <w:sz w:val="32"/>
          <w:szCs w:val="32"/>
        </w:rPr>
        <w:t xml:space="preserve">            </w:t>
      </w:r>
      <w:r>
        <w:rPr>
          <w:rFonts w:eastAsia="方正仿宋_GBK"/>
          <w:color w:val="000000"/>
          <w:sz w:val="32"/>
          <w:szCs w:val="32"/>
        </w:rPr>
        <w:t xml:space="preserve"> </w:t>
      </w:r>
      <w:r>
        <w:rPr>
          <w:rFonts w:hint="eastAsia" w:eastAsia="方正仿宋_GBK"/>
          <w:color w:val="000000"/>
          <w:sz w:val="32"/>
          <w:szCs w:val="32"/>
        </w:rPr>
        <w:t xml:space="preserve">  </w:t>
      </w:r>
      <w:r>
        <w:rPr>
          <w:rFonts w:eastAsia="方正仿宋_GBK"/>
          <w:color w:val="000000"/>
          <w:sz w:val="32"/>
          <w:szCs w:val="32"/>
        </w:rPr>
        <w:t>重庆市交通局</w:t>
      </w:r>
      <w:r>
        <w:rPr>
          <w:rFonts w:hint="eastAsia" w:eastAsia="方正仿宋_GBK"/>
          <w:color w:val="000000"/>
          <w:sz w:val="32"/>
          <w:szCs w:val="32"/>
        </w:rPr>
        <w:t xml:space="preserve"> </w:t>
      </w:r>
      <w:r>
        <w:rPr>
          <w:rFonts w:eastAsia="方正仿宋_GBK"/>
          <w:color w:val="000000"/>
          <w:sz w:val="32"/>
          <w:szCs w:val="32"/>
        </w:rPr>
        <w:t xml:space="preserve">   </w:t>
      </w:r>
    </w:p>
    <w:p>
      <w:pPr>
        <w:wordWrap w:val="0"/>
        <w:spacing w:line="570" w:lineRule="exact"/>
        <w:jc w:val="right"/>
        <w:rPr>
          <w:rFonts w:hint="eastAsia" w:ascii="方正仿宋_GBK" w:eastAsia="方正仿宋_GBK"/>
          <w:color w:val="000000"/>
          <w:sz w:val="32"/>
          <w:szCs w:val="32"/>
        </w:rPr>
      </w:pPr>
      <w:r>
        <w:rPr>
          <w:rFonts w:hint="eastAsia" w:ascii="方正仿宋_GBK" w:eastAsia="方正仿宋_GBK"/>
          <w:color w:val="000000"/>
          <w:sz w:val="32"/>
          <w:szCs w:val="32"/>
        </w:rPr>
        <w:t xml:space="preserve">2023年2月24日 </w:t>
      </w:r>
      <w:r>
        <w:rPr>
          <w:rFonts w:ascii="方正仿宋_GBK" w:eastAsia="方正仿宋_GBK"/>
          <w:color w:val="000000"/>
          <w:sz w:val="32"/>
          <w:szCs w:val="32"/>
        </w:rPr>
        <w:t xml:space="preserve"> </w:t>
      </w:r>
    </w:p>
    <w:p>
      <w:pPr>
        <w:snapToGrid w:val="0"/>
        <w:spacing w:line="570" w:lineRule="exact"/>
        <w:ind w:firstLine="880" w:firstLineChars="200"/>
        <w:jc w:val="center"/>
        <w:rPr>
          <w:rFonts w:eastAsia="方正小标宋_GBK"/>
          <w:color w:val="000000"/>
          <w:sz w:val="44"/>
          <w:szCs w:val="44"/>
        </w:rPr>
      </w:pPr>
    </w:p>
    <w:p>
      <w:pPr>
        <w:snapToGrid w:val="0"/>
        <w:spacing w:line="570" w:lineRule="exact"/>
        <w:ind w:firstLine="880" w:firstLineChars="200"/>
        <w:jc w:val="center"/>
        <w:rPr>
          <w:rFonts w:eastAsia="方正小标宋_GBK"/>
          <w:color w:val="000000"/>
          <w:sz w:val="44"/>
          <w:szCs w:val="44"/>
        </w:rPr>
      </w:pPr>
    </w:p>
    <w:p>
      <w:pPr>
        <w:snapToGrid w:val="0"/>
        <w:spacing w:line="570" w:lineRule="exact"/>
        <w:ind w:firstLine="880" w:firstLineChars="200"/>
        <w:jc w:val="center"/>
        <w:rPr>
          <w:rFonts w:eastAsia="方正小标宋_GBK"/>
          <w:color w:val="000000"/>
          <w:sz w:val="44"/>
          <w:szCs w:val="44"/>
        </w:rPr>
      </w:pPr>
    </w:p>
    <w:p>
      <w:pPr>
        <w:snapToGrid w:val="0"/>
        <w:spacing w:line="570" w:lineRule="exact"/>
        <w:ind w:firstLine="880" w:firstLineChars="200"/>
        <w:jc w:val="center"/>
        <w:rPr>
          <w:rFonts w:eastAsia="方正小标宋_GBK"/>
          <w:color w:val="000000"/>
          <w:sz w:val="44"/>
          <w:szCs w:val="44"/>
        </w:rPr>
      </w:pPr>
    </w:p>
    <w:p>
      <w:pPr>
        <w:snapToGrid w:val="0"/>
        <w:spacing w:line="570" w:lineRule="exact"/>
        <w:ind w:firstLine="880" w:firstLineChars="200"/>
        <w:jc w:val="center"/>
        <w:rPr>
          <w:rFonts w:eastAsia="方正小标宋_GBK"/>
          <w:color w:val="000000"/>
          <w:sz w:val="44"/>
          <w:szCs w:val="44"/>
        </w:rPr>
      </w:pPr>
    </w:p>
    <w:p>
      <w:pPr>
        <w:snapToGrid w:val="0"/>
        <w:spacing w:line="570" w:lineRule="exact"/>
        <w:rPr>
          <w:rFonts w:eastAsia="方正小标宋_GBK"/>
          <w:color w:val="000000"/>
          <w:sz w:val="44"/>
          <w:szCs w:val="44"/>
        </w:rPr>
      </w:pPr>
    </w:p>
    <w:p>
      <w:pPr>
        <w:snapToGrid w:val="0"/>
        <w:spacing w:line="570" w:lineRule="exact"/>
        <w:rPr>
          <w:rFonts w:hint="eastAsia" w:eastAsia="方正小标宋_GBK"/>
          <w:color w:val="000000"/>
          <w:sz w:val="44"/>
          <w:szCs w:val="44"/>
        </w:rPr>
      </w:pPr>
    </w:p>
    <w:p>
      <w:pPr>
        <w:snapToGrid w:val="0"/>
        <w:spacing w:line="570" w:lineRule="exact"/>
        <w:jc w:val="center"/>
        <w:rPr>
          <w:rFonts w:eastAsia="方正小标宋_GBK"/>
          <w:color w:val="000000"/>
          <w:sz w:val="44"/>
          <w:szCs w:val="44"/>
        </w:rPr>
      </w:pPr>
      <w:r>
        <w:rPr>
          <w:rFonts w:eastAsia="方正小标宋_GBK"/>
          <w:color w:val="000000"/>
          <w:sz w:val="44"/>
          <w:szCs w:val="44"/>
        </w:rPr>
        <w:t>重庆市道路运输信用管理实施细则</w:t>
      </w:r>
    </w:p>
    <w:p>
      <w:pPr>
        <w:pStyle w:val="20"/>
        <w:spacing w:line="570" w:lineRule="exact"/>
        <w:ind w:firstLine="399" w:firstLineChars="133"/>
        <w:rPr>
          <w:rFonts w:ascii="Times New Roman" w:hAnsi="Times New Roman" w:eastAsia="方正黑体_GBK" w:cs="Times New Roman"/>
          <w:color w:val="000000"/>
          <w:lang w:val="en-US" w:eastAsia="zh-CN"/>
        </w:rPr>
      </w:pPr>
    </w:p>
    <w:p>
      <w:pPr>
        <w:pStyle w:val="20"/>
        <w:spacing w:line="57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第一章  总  则</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p>
    <w:p>
      <w:pPr>
        <w:pStyle w:val="20"/>
        <w:spacing w:line="570" w:lineRule="exact"/>
        <w:ind w:firstLine="640" w:firstLineChars="200"/>
        <w:rPr>
          <w:rFonts w:ascii="Times New Roman" w:hAnsi="Times New Roman" w:eastAsia="方正仿宋_GBK" w:cs="Times New Roman"/>
          <w:color w:val="000000"/>
          <w:sz w:val="32"/>
          <w:szCs w:val="32"/>
        </w:rPr>
      </w:pPr>
      <w:r>
        <w:rPr>
          <w:rFonts w:hint="eastAsia" w:ascii="方正楷体_GBK" w:hAnsi="Times New Roman" w:eastAsia="方正黑体_GBK" w:cs="Times New Roman"/>
          <w:color w:val="000000"/>
          <w:sz w:val="32"/>
          <w:szCs w:val="32"/>
          <w:lang w:val="en-US" w:eastAsia="zh-CN"/>
        </w:rPr>
        <w:t>第一条</w:t>
      </w:r>
      <w:r>
        <w:rPr>
          <w:rFonts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为推进信用交通建设，构建道路运输市场信用体系，完善道路运输市场守信激励和失信惩戒机制，加强道路运输市场事中、事后监管，维护道路运输市场秩序，根据《重庆市道路运输管理条例》《重庆市社会信用条例》等有关规定，结合本市道路运输行业实际，制定本</w:t>
      </w:r>
      <w:r>
        <w:rPr>
          <w:rFonts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rPr>
        <w:t>。</w:t>
      </w:r>
    </w:p>
    <w:p>
      <w:pPr>
        <w:pStyle w:val="20"/>
        <w:spacing w:line="570" w:lineRule="exact"/>
        <w:ind w:firstLine="640" w:firstLineChars="200"/>
        <w:rPr>
          <w:rFonts w:ascii="Times New Roman" w:hAnsi="Times New Roman" w:eastAsia="方正仿宋_GBK" w:cs="Times New Roman"/>
          <w:color w:val="000000"/>
          <w:sz w:val="32"/>
          <w:szCs w:val="32"/>
        </w:rPr>
      </w:pPr>
      <w:r>
        <w:rPr>
          <w:rFonts w:ascii="方正楷体_GBK" w:hAnsi="Times New Roman" w:eastAsia="方正黑体_GBK" w:cs="Times New Roman"/>
          <w:color w:val="000000"/>
          <w:sz w:val="32"/>
          <w:szCs w:val="32"/>
          <w:lang w:val="en-US" w:eastAsia="zh-CN"/>
        </w:rPr>
        <w:t xml:space="preserve">第二条 </w:t>
      </w:r>
      <w:r>
        <w:rPr>
          <w:rFonts w:hint="eastAsia" w:ascii="方正楷体_GBK"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市、区县</w:t>
      </w:r>
      <w:r>
        <w:rPr>
          <w:rFonts w:hint="eastAsia" w:ascii="Times New Roman" w:hAnsi="Times New Roman" w:eastAsia="方正仿宋_GBK" w:cs="Times New Roman"/>
          <w:color w:val="000000"/>
          <w:sz w:val="32"/>
          <w:szCs w:val="32"/>
          <w:lang w:eastAsia="zh-CN"/>
        </w:rPr>
        <w:t>（自治县）</w:t>
      </w:r>
      <w:r>
        <w:rPr>
          <w:rFonts w:ascii="Times New Roman" w:hAnsi="Times New Roman" w:eastAsia="方正仿宋_GBK" w:cs="Times New Roman"/>
          <w:color w:val="000000"/>
          <w:sz w:val="32"/>
          <w:szCs w:val="32"/>
        </w:rPr>
        <w:t>交通主管部门及其道路运输机构（或者交通主管部门指定的工作机构，下同）对道路运输和道路运输相关业务经营者及其从业人员（以下简称道路运输经营者和从业人员）的信用信息采集、信用等级评价、信用信息公布、信用奖惩等信用管理活动，适用本实施细则。</w:t>
      </w:r>
    </w:p>
    <w:p>
      <w:pPr>
        <w:pStyle w:val="20"/>
        <w:spacing w:line="57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实施细则所称的道路运输和道路运输相关业务经营者（以下简称道路运输经营者）是指在本市经营的道路旅客运输经营者、道路货物运输经营者（含普通货运和危险货运经营者）、出租汽车经营者（含巡游出租汽车和网络预约出租汽车经营者）、公共交通经营者（含公共汽车客运和城市轨道交通运</w:t>
      </w:r>
      <w:r>
        <w:rPr>
          <w:rFonts w:hint="eastAsia" w:ascii="Times New Roman" w:hAnsi="Times New Roman" w:eastAsia="方正仿宋_GBK" w:cs="Times New Roman"/>
          <w:color w:val="000000"/>
          <w:sz w:val="32"/>
          <w:szCs w:val="32"/>
          <w:lang w:eastAsia="zh-CN"/>
        </w:rPr>
        <w:t>营</w:t>
      </w:r>
      <w:r>
        <w:rPr>
          <w:rFonts w:ascii="Times New Roman" w:hAnsi="Times New Roman" w:eastAsia="方正仿宋_GBK" w:cs="Times New Roman"/>
          <w:color w:val="000000"/>
          <w:sz w:val="32"/>
          <w:szCs w:val="32"/>
        </w:rPr>
        <w:t>经营者）、机动车维修经营者、机动车驾驶员培训机构、道路旅客运输站和汽车租赁经营者等。</w:t>
      </w:r>
    </w:p>
    <w:p>
      <w:pPr>
        <w:pStyle w:val="20"/>
        <w:spacing w:line="57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10辆车以下普通货运经营者、个体巡游出租汽车经营者可以根据需要参加评价，但是，发生本实施细则第十一条、第十二条情形的，应当参加评价。</w:t>
      </w:r>
    </w:p>
    <w:p>
      <w:pPr>
        <w:pStyle w:val="20"/>
        <w:spacing w:line="57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本实施细则所称道路运输和道路运输相关业务从业人员（以下简称道路运输从业人员）是指在本市从事道路旅客运输、公共汽车客运、巡游出租汽车客运、网络预约出租汽车客运、道路</w:t>
      </w:r>
      <w:r>
        <w:rPr>
          <w:rFonts w:hint="eastAsia" w:ascii="Times New Roman" w:hAnsi="Times New Roman" w:eastAsia="方正仿宋_GBK" w:cs="Times New Roman"/>
          <w:color w:val="000000"/>
          <w:sz w:val="32"/>
          <w:szCs w:val="32"/>
          <w:lang w:eastAsia="zh-CN"/>
        </w:rPr>
        <w:t>普通</w:t>
      </w:r>
      <w:r>
        <w:rPr>
          <w:rFonts w:ascii="Times New Roman" w:hAnsi="Times New Roman" w:eastAsia="方正仿宋_GBK" w:cs="Times New Roman"/>
          <w:color w:val="000000"/>
          <w:sz w:val="32"/>
          <w:szCs w:val="32"/>
        </w:rPr>
        <w:t>货物运输</w:t>
      </w:r>
      <w:r>
        <w:rPr>
          <w:rFonts w:hint="eastAsia" w:ascii="Times New Roman" w:hAnsi="Times New Roman" w:eastAsia="方正仿宋_GBK" w:cs="Times New Roman"/>
          <w:color w:val="000000"/>
          <w:sz w:val="32"/>
          <w:szCs w:val="32"/>
          <w:lang w:eastAsia="zh-CN"/>
        </w:rPr>
        <w:t>、道路危险货物运输</w:t>
      </w:r>
      <w:r>
        <w:rPr>
          <w:rFonts w:ascii="Times New Roman" w:hAnsi="Times New Roman" w:eastAsia="方正仿宋_GBK" w:cs="Times New Roman"/>
          <w:color w:val="000000"/>
          <w:sz w:val="32"/>
          <w:szCs w:val="32"/>
        </w:rPr>
        <w:t>的驾驶员。</w:t>
      </w:r>
    </w:p>
    <w:p>
      <w:pPr>
        <w:pStyle w:val="20"/>
        <w:spacing w:line="570" w:lineRule="exact"/>
        <w:ind w:firstLine="640" w:firstLineChars="200"/>
        <w:rPr>
          <w:rFonts w:ascii="Times New Roman" w:hAnsi="Times New Roman" w:eastAsia="方正仿宋_GBK" w:cs="Times New Roman"/>
          <w:color w:val="000000"/>
          <w:sz w:val="32"/>
          <w:szCs w:val="32"/>
        </w:rPr>
      </w:pPr>
      <w:r>
        <w:rPr>
          <w:rFonts w:ascii="方正楷体_GBK" w:hAnsi="Times New Roman" w:eastAsia="方正黑体_GBK" w:cs="Times New Roman"/>
          <w:color w:val="000000"/>
          <w:sz w:val="32"/>
          <w:szCs w:val="32"/>
          <w:lang w:val="en-US" w:eastAsia="zh-CN"/>
        </w:rPr>
        <w:t>第三条</w:t>
      </w:r>
      <w:r>
        <w:rPr>
          <w:rFonts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对道路运输经营者和从业人员的信用管理，应当遵循公开、公平、公正和动态管理、奖优罚劣的原则。</w:t>
      </w:r>
    </w:p>
    <w:p>
      <w:pPr>
        <w:pStyle w:val="20"/>
        <w:spacing w:line="570" w:lineRule="exact"/>
        <w:ind w:firstLine="640" w:firstLineChars="200"/>
        <w:rPr>
          <w:rFonts w:ascii="Times New Roman" w:hAnsi="Times New Roman" w:eastAsia="方正仿宋_GBK" w:cs="Times New Roman"/>
          <w:color w:val="000000"/>
          <w:sz w:val="32"/>
          <w:szCs w:val="32"/>
        </w:rPr>
      </w:pPr>
      <w:r>
        <w:rPr>
          <w:rFonts w:ascii="方正楷体_GBK" w:hAnsi="Times New Roman" w:eastAsia="方正黑体_GBK" w:cs="Times New Roman"/>
          <w:color w:val="000000"/>
          <w:sz w:val="32"/>
          <w:szCs w:val="32"/>
          <w:lang w:val="en-US" w:eastAsia="zh-CN"/>
        </w:rPr>
        <w:t>第四条</w:t>
      </w:r>
      <w:r>
        <w:rPr>
          <w:rFonts w:ascii="Times New Roman" w:hAnsi="Times New Roman" w:eastAsia="方正仿宋_GBK" w:cs="Times New Roman"/>
          <w:b/>
          <w:bCs/>
          <w:color w:val="000000"/>
          <w:sz w:val="32"/>
          <w:szCs w:val="32"/>
        </w:rPr>
        <w:t xml:space="preserve"> </w:t>
      </w:r>
      <w:r>
        <w:rPr>
          <w:rFonts w:hint="eastAsia" w:ascii="Times New Roman" w:hAnsi="Times New Roman" w:eastAsia="方正仿宋_GBK" w:cs="Times New Roman"/>
          <w:b/>
          <w:bCs/>
          <w:color w:val="000000"/>
          <w:sz w:val="32"/>
          <w:szCs w:val="32"/>
          <w:lang w:eastAsia="zh-CN"/>
        </w:rPr>
        <w:t xml:space="preserve"> </w:t>
      </w:r>
      <w:r>
        <w:rPr>
          <w:rFonts w:ascii="Times New Roman" w:hAnsi="Times New Roman" w:eastAsia="方正仿宋_GBK" w:cs="Times New Roman"/>
          <w:color w:val="000000"/>
          <w:sz w:val="32"/>
          <w:szCs w:val="32"/>
        </w:rPr>
        <w:t>道路运输经营者和从业人员应当自觉遵守法律、法规及规章</w:t>
      </w:r>
      <w:r>
        <w:rPr>
          <w:rFonts w:ascii="Times New Roman" w:hAnsi="Times New Roman" w:eastAsia="方正仿宋_GBK" w:cs="Times New Roman"/>
          <w:color w:val="000000"/>
          <w:sz w:val="32"/>
          <w:szCs w:val="32"/>
          <w:lang w:eastAsia="zh-CN"/>
        </w:rPr>
        <w:t>规定</w:t>
      </w:r>
      <w:r>
        <w:rPr>
          <w:rFonts w:ascii="Times New Roman" w:hAnsi="Times New Roman" w:eastAsia="方正仿宋_GBK" w:cs="Times New Roman"/>
          <w:color w:val="000000"/>
          <w:sz w:val="32"/>
          <w:szCs w:val="32"/>
        </w:rPr>
        <w:t>，加强管理，诚信经营，履行社会责任，为社会提供优质服务。</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方正楷体_GBK" w:hAnsi="Times New Roman" w:eastAsia="方正黑体_GBK" w:cs="Times New Roman"/>
          <w:color w:val="000000"/>
          <w:sz w:val="32"/>
          <w:szCs w:val="32"/>
          <w:lang w:val="en-US" w:eastAsia="zh-CN"/>
        </w:rPr>
        <w:t xml:space="preserve">第五条 </w:t>
      </w:r>
      <w:r>
        <w:rPr>
          <w:rFonts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市、区县（自治县）交通主管部门负责组织领导本行政区域内的道路运输经营者和从业人员信用管理工作。市、区县（自治县）道路运输机构负责分级实施本行政区域内的道路运输经营者和从业人员信用管理事务性工作。市、区县（自治县）交通综合执法机构负责道路运输经营者和从业人员信用管理相关工作。</w:t>
      </w:r>
    </w:p>
    <w:p>
      <w:pPr>
        <w:pStyle w:val="20"/>
        <w:spacing w:line="570" w:lineRule="exact"/>
        <w:ind w:firstLine="640" w:firstLineChars="200"/>
        <w:rPr>
          <w:rFonts w:ascii="Times New Roman" w:hAnsi="Times New Roman" w:eastAsia="方正仿宋_GBK" w:cs="Times New Roman"/>
          <w:color w:val="000000"/>
          <w:kern w:val="0"/>
          <w:sz w:val="32"/>
          <w:szCs w:val="32"/>
        </w:rPr>
      </w:pPr>
      <w:r>
        <w:rPr>
          <w:rFonts w:ascii="方正楷体_GBK" w:hAnsi="Times New Roman" w:eastAsia="方正黑体_GBK" w:cs="Times New Roman"/>
          <w:color w:val="000000"/>
          <w:sz w:val="32"/>
          <w:szCs w:val="32"/>
          <w:lang w:val="en-US" w:eastAsia="zh-CN"/>
        </w:rPr>
        <w:t>第六条</w:t>
      </w:r>
      <w:r>
        <w:rPr>
          <w:rFonts w:ascii="Times New Roman" w:hAnsi="Times New Roman" w:eastAsia="方正仿宋_GBK" w:cs="Times New Roman"/>
          <w:b/>
          <w:bCs/>
          <w:color w:val="000000"/>
          <w:sz w:val="32"/>
          <w:szCs w:val="32"/>
          <w:lang w:val="en-US" w:eastAsia="zh-CN"/>
        </w:rPr>
        <w:t xml:space="preserve"> </w:t>
      </w:r>
      <w:r>
        <w:rPr>
          <w:rFonts w:hint="eastAsia"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kern w:val="0"/>
          <w:sz w:val="32"/>
          <w:szCs w:val="32"/>
        </w:rPr>
        <w:t>市、区县（自治县）交通主管部门及其道路运输机构要逐步建立信用联合奖惩机制，鼓励和支持信用等级高的道路运输经营者和从业人员发展。</w:t>
      </w:r>
    </w:p>
    <w:p>
      <w:pPr>
        <w:pStyle w:val="20"/>
        <w:spacing w:line="570" w:lineRule="exact"/>
        <w:ind w:firstLine="640" w:firstLineChars="200"/>
        <w:jc w:val="center"/>
        <w:rPr>
          <w:rFonts w:ascii="Times New Roman" w:hAnsi="Times New Roman" w:eastAsia="方正黑体_GBK" w:cs="Times New Roman"/>
          <w:color w:val="000000"/>
          <w:sz w:val="32"/>
          <w:szCs w:val="32"/>
          <w:lang w:val="en-US" w:eastAsia="zh-CN"/>
        </w:rPr>
      </w:pPr>
    </w:p>
    <w:p>
      <w:pPr>
        <w:pStyle w:val="20"/>
        <w:spacing w:line="57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第二章  信用评价的内容和等级</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p>
    <w:p>
      <w:pPr>
        <w:pStyle w:val="20"/>
        <w:spacing w:line="570" w:lineRule="exact"/>
        <w:ind w:firstLine="640" w:firstLineChars="200"/>
        <w:rPr>
          <w:rFonts w:ascii="Times New Roman" w:hAnsi="Times New Roman" w:eastAsia="方正仿宋_GBK" w:cs="Times New Roman"/>
          <w:kern w:val="0"/>
          <w:sz w:val="32"/>
          <w:szCs w:val="32"/>
          <w:lang w:val="en-US" w:eastAsia="zh-CN"/>
        </w:rPr>
      </w:pPr>
      <w:r>
        <w:rPr>
          <w:rFonts w:ascii="方正楷体_GBK" w:hAnsi="Times New Roman" w:eastAsia="方正黑体_GBK" w:cs="Times New Roman"/>
          <w:color w:val="000000"/>
          <w:sz w:val="32"/>
          <w:szCs w:val="32"/>
          <w:lang w:val="en-US" w:eastAsia="zh-CN"/>
        </w:rPr>
        <w:t>第七条</w:t>
      </w:r>
      <w:r>
        <w:rPr>
          <w:rFonts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kern w:val="0"/>
          <w:sz w:val="32"/>
          <w:szCs w:val="32"/>
          <w:lang w:val="en-US" w:eastAsia="zh-CN"/>
        </w:rPr>
        <w:t>道路运输经营者信用评价内容包括对经营者经营管理、安全生产、服务质量和社会责任等方面的综合评价。</w:t>
      </w:r>
    </w:p>
    <w:p>
      <w:pPr>
        <w:pStyle w:val="20"/>
        <w:spacing w:line="570" w:lineRule="exact"/>
        <w:ind w:firstLine="640" w:firstLineChars="200"/>
        <w:rPr>
          <w:rFonts w:ascii="Times New Roman" w:hAnsi="Times New Roman" w:eastAsia="方正仿宋_GBK" w:cs="Times New Roman"/>
          <w:kern w:val="0"/>
          <w:sz w:val="32"/>
          <w:szCs w:val="32"/>
          <w:lang w:val="en-US" w:eastAsia="zh-CN"/>
        </w:rPr>
      </w:pPr>
      <w:r>
        <w:rPr>
          <w:rFonts w:ascii="Times New Roman" w:hAnsi="Times New Roman" w:eastAsia="方正仿宋_GBK" w:cs="Times New Roman"/>
          <w:kern w:val="0"/>
          <w:sz w:val="32"/>
          <w:szCs w:val="32"/>
          <w:lang w:val="en-US" w:eastAsia="zh-CN"/>
        </w:rPr>
        <w:t>道路运输从业人员信用评价，是指从业人员在从事道路运输活动中，违反有关法律、法规、规章和规范性文件规定，经相应机关作出行政处罚（处理）决定，信用评价分值所形成的不良行为记录。</w:t>
      </w:r>
    </w:p>
    <w:p>
      <w:pPr>
        <w:pStyle w:val="20"/>
        <w:spacing w:line="570" w:lineRule="exact"/>
        <w:ind w:firstLine="640" w:firstLineChars="200"/>
        <w:rPr>
          <w:rFonts w:ascii="Times New Roman" w:hAnsi="Times New Roman" w:eastAsia="方正仿宋_GBK" w:cs="Times New Roman"/>
          <w:kern w:val="0"/>
          <w:sz w:val="32"/>
          <w:szCs w:val="32"/>
          <w:lang w:val="en-US" w:eastAsia="zh-CN"/>
        </w:rPr>
      </w:pPr>
      <w:r>
        <w:rPr>
          <w:rFonts w:ascii="Times New Roman" w:hAnsi="Times New Roman" w:eastAsia="方正仿宋_GBK" w:cs="Times New Roman"/>
          <w:kern w:val="0"/>
          <w:sz w:val="32"/>
          <w:szCs w:val="32"/>
          <w:lang w:val="en-US" w:eastAsia="zh-CN"/>
        </w:rPr>
        <w:t>道路运输各子行业经营者和从业人员信用评价计分标准由市道路运输机构拟制，报送市交通主管部门印发实施。市交通主管部门可以根据行业发展需要，对评价的具体计分标准进行适时调整，并按程序对外公布后实施。</w:t>
      </w:r>
    </w:p>
    <w:p>
      <w:pPr>
        <w:pStyle w:val="20"/>
        <w:spacing w:line="570" w:lineRule="exact"/>
        <w:ind w:firstLine="640" w:firstLineChars="200"/>
        <w:rPr>
          <w:rFonts w:ascii="Times New Roman" w:hAnsi="Times New Roman" w:eastAsia="方正仿宋_GBK" w:cs="Times New Roman"/>
          <w:kern w:val="0"/>
          <w:sz w:val="32"/>
          <w:szCs w:val="32"/>
          <w:lang w:val="en-US" w:eastAsia="zh-CN"/>
        </w:rPr>
      </w:pPr>
      <w:r>
        <w:rPr>
          <w:rFonts w:ascii="方正楷体_GBK" w:hAnsi="Times New Roman" w:eastAsia="方正黑体_GBK" w:cs="Times New Roman"/>
          <w:color w:val="000000"/>
          <w:sz w:val="32"/>
          <w:szCs w:val="32"/>
          <w:lang w:val="en-US" w:eastAsia="zh-CN"/>
        </w:rPr>
        <w:t>第八条</w:t>
      </w:r>
      <w:r>
        <w:rPr>
          <w:rFonts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kern w:val="0"/>
          <w:sz w:val="32"/>
          <w:szCs w:val="32"/>
          <w:lang w:val="en-US" w:eastAsia="zh-CN"/>
        </w:rPr>
        <w:t>道路运输经营者和从业人员信用评价采用年度评价和动态调整相结合的方式。</w:t>
      </w:r>
    </w:p>
    <w:p>
      <w:pPr>
        <w:pStyle w:val="20"/>
        <w:spacing w:line="570" w:lineRule="exact"/>
        <w:ind w:firstLine="640" w:firstLineChars="200"/>
        <w:rPr>
          <w:rFonts w:ascii="Times New Roman" w:hAnsi="Times New Roman" w:eastAsia="方正仿宋_GBK" w:cs="Times New Roman"/>
          <w:kern w:val="0"/>
          <w:sz w:val="32"/>
          <w:szCs w:val="32"/>
          <w:lang w:val="en-US" w:eastAsia="zh-CN"/>
        </w:rPr>
      </w:pPr>
      <w:r>
        <w:rPr>
          <w:rFonts w:ascii="Times New Roman" w:hAnsi="Times New Roman" w:eastAsia="方正仿宋_GBK" w:cs="Times New Roman"/>
          <w:kern w:val="0"/>
          <w:sz w:val="32"/>
          <w:szCs w:val="32"/>
          <w:lang w:val="en-US" w:eastAsia="zh-CN"/>
        </w:rPr>
        <w:t>年度评价是指道路运输机构综合道路运输经营者和从业人员在一个评价周期内的信用情况，对该经营者和从业人员进行的定期信用评价。</w:t>
      </w:r>
    </w:p>
    <w:p>
      <w:pPr>
        <w:pStyle w:val="20"/>
        <w:spacing w:line="570" w:lineRule="exact"/>
        <w:ind w:firstLine="640" w:firstLineChars="200"/>
        <w:rPr>
          <w:rFonts w:ascii="Times New Roman" w:hAnsi="Times New Roman" w:eastAsia="方正仿宋_GBK" w:cs="Times New Roman"/>
          <w:kern w:val="0"/>
          <w:sz w:val="32"/>
          <w:szCs w:val="32"/>
          <w:lang w:val="en-US" w:eastAsia="zh-CN"/>
        </w:rPr>
      </w:pPr>
      <w:r>
        <w:rPr>
          <w:rFonts w:ascii="Times New Roman" w:hAnsi="Times New Roman" w:eastAsia="方正仿宋_GBK" w:cs="Times New Roman"/>
          <w:kern w:val="0"/>
          <w:sz w:val="32"/>
          <w:szCs w:val="32"/>
          <w:lang w:val="en-US" w:eastAsia="zh-CN"/>
        </w:rPr>
        <w:t>动态调整是指道路运输机构依据道路运输经营者和从业人员信用的重大变化情况进行的适时调整。</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方正楷体_GBK" w:hAnsi="Times New Roman" w:eastAsia="方正黑体_GBK" w:cs="Times New Roman"/>
          <w:color w:val="000000"/>
          <w:sz w:val="32"/>
          <w:szCs w:val="32"/>
          <w:lang w:val="en-US" w:eastAsia="zh-CN"/>
        </w:rPr>
        <w:t>第九条</w:t>
      </w:r>
      <w:r>
        <w:rPr>
          <w:rFonts w:ascii="Times New Roman" w:hAnsi="Times New Roman" w:eastAsia="方正仿宋_GBK" w:cs="Times New Roman"/>
          <w:b/>
          <w:bCs/>
          <w:color w:val="000000"/>
          <w:sz w:val="32"/>
          <w:szCs w:val="32"/>
          <w:lang w:val="en-US" w:eastAsia="zh-CN"/>
        </w:rPr>
        <w:t xml:space="preserve"> </w:t>
      </w:r>
      <w:r>
        <w:rPr>
          <w:rFonts w:hint="eastAsia"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信用评价等级按信用考核得分高低分为</w:t>
      </w:r>
      <w:r>
        <w:rPr>
          <w:rFonts w:ascii="Times New Roman" w:hAnsi="Times New Roman" w:eastAsia="方正仿宋_GBK" w:cs="Times New Roman"/>
          <w:color w:val="000000"/>
          <w:sz w:val="32"/>
          <w:szCs w:val="32"/>
          <w:lang w:val="en-US" w:eastAsia="zh-CN"/>
        </w:rPr>
        <w:t>好、较好</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一般</w:t>
      </w:r>
      <w:r>
        <w:rPr>
          <w:rFonts w:ascii="Times New Roman" w:hAnsi="Times New Roman" w:eastAsia="方正仿宋_GBK" w:cs="Times New Roman"/>
          <w:color w:val="000000"/>
          <w:sz w:val="32"/>
          <w:szCs w:val="32"/>
          <w:lang w:eastAsia="zh-CN"/>
        </w:rPr>
        <w:t>、较差和</w:t>
      </w:r>
      <w:r>
        <w:rPr>
          <w:rFonts w:ascii="Times New Roman" w:hAnsi="Times New Roman" w:eastAsia="方正仿宋_GBK" w:cs="Times New Roman"/>
          <w:color w:val="000000"/>
          <w:sz w:val="32"/>
          <w:szCs w:val="32"/>
          <w:lang w:val="en-US" w:eastAsia="zh-CN"/>
        </w:rPr>
        <w:t>差（不合格）</w:t>
      </w:r>
      <w:r>
        <w:rPr>
          <w:rFonts w:ascii="Times New Roman" w:hAnsi="Times New Roman" w:eastAsia="方正仿宋_GBK" w:cs="Times New Roman"/>
          <w:color w:val="000000"/>
          <w:sz w:val="32"/>
          <w:szCs w:val="32"/>
        </w:rPr>
        <w:t>五个级别，分别用</w:t>
      </w:r>
      <w:r>
        <w:rPr>
          <w:rFonts w:ascii="Times New Roman" w:hAnsi="Times New Roman" w:eastAsia="方正仿宋_GBK" w:cs="Times New Roman"/>
          <w:color w:val="000000"/>
          <w:sz w:val="32"/>
          <w:szCs w:val="32"/>
          <w:lang w:val="en-US" w:eastAsia="zh-CN" w:bidi="en-US"/>
        </w:rPr>
        <w:t>AA、A、B、C、D</w:t>
      </w:r>
      <w:r>
        <w:rPr>
          <w:rFonts w:ascii="Times New Roman" w:hAnsi="Times New Roman" w:eastAsia="方正仿宋_GBK" w:cs="Times New Roman"/>
          <w:color w:val="000000"/>
          <w:sz w:val="32"/>
          <w:szCs w:val="32"/>
        </w:rPr>
        <w:t>表示。</w:t>
      </w:r>
      <w:r>
        <w:rPr>
          <w:rFonts w:ascii="Times New Roman" w:hAnsi="Times New Roman" w:eastAsia="方正仿宋_GBK" w:cs="Times New Roman"/>
          <w:color w:val="000000"/>
          <w:sz w:val="32"/>
          <w:szCs w:val="32"/>
          <w:lang w:val="en-US" w:eastAsia="zh-CN"/>
        </w:rPr>
        <w:t>道路运输法律、法规、规章及上位规范性文件与本</w:t>
      </w:r>
      <w:r>
        <w:rPr>
          <w:rFonts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lang w:val="en-US" w:eastAsia="zh-CN"/>
        </w:rPr>
        <w:t>规定不一致的，从其规定。</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其他规范性文件的安全服务质量考核、信用考核评价划分等级和表示方法与本</w:t>
      </w:r>
      <w:r>
        <w:rPr>
          <w:rFonts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lang w:val="en-US" w:eastAsia="zh-CN"/>
        </w:rPr>
        <w:t>不一致的，可与本</w:t>
      </w:r>
      <w:r>
        <w:rPr>
          <w:rFonts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lang w:val="en-US" w:eastAsia="zh-CN"/>
        </w:rPr>
        <w:t>对应后进行确认。</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方正楷体_GBK" w:hAnsi="Times New Roman" w:eastAsia="方正黑体_GBK" w:cs="Times New Roman"/>
          <w:color w:val="000000"/>
          <w:sz w:val="32"/>
          <w:szCs w:val="32"/>
          <w:lang w:val="en-US" w:eastAsia="zh-CN"/>
        </w:rPr>
        <w:t>第十条</w:t>
      </w:r>
      <w:r>
        <w:rPr>
          <w:rFonts w:ascii="Times New Roman" w:hAnsi="Times New Roman" w:eastAsia="方正黑体_GBK" w:cs="Times New Roman"/>
          <w:color w:val="000000"/>
          <w:sz w:val="32"/>
          <w:szCs w:val="32"/>
          <w:lang w:val="en-US" w:eastAsia="zh-CN"/>
        </w:rPr>
        <w:t xml:space="preserve"> </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对道路运输从业人员失信行为实行</w:t>
      </w:r>
      <w:r>
        <w:rPr>
          <w:rFonts w:hint="eastAsia" w:ascii="Times New Roman" w:hAnsi="Times New Roman" w:eastAsia="方正仿宋_GBK" w:cs="Times New Roman"/>
          <w:color w:val="000000"/>
          <w:sz w:val="32"/>
          <w:szCs w:val="32"/>
          <w:lang w:val="en-US" w:eastAsia="zh-CN"/>
        </w:rPr>
        <w:t>计</w:t>
      </w:r>
      <w:r>
        <w:rPr>
          <w:rFonts w:ascii="Times New Roman" w:hAnsi="Times New Roman" w:eastAsia="方正仿宋_GBK" w:cs="Times New Roman"/>
          <w:color w:val="000000"/>
          <w:sz w:val="32"/>
          <w:szCs w:val="32"/>
          <w:lang w:val="en-US" w:eastAsia="zh-CN"/>
        </w:rPr>
        <w:t>分制，单次失信行为</w:t>
      </w:r>
      <w:r>
        <w:rPr>
          <w:rFonts w:hint="eastAsia" w:ascii="Times New Roman" w:hAnsi="Times New Roman" w:eastAsia="方正仿宋_GBK" w:cs="Times New Roman"/>
          <w:color w:val="000000"/>
          <w:sz w:val="32"/>
          <w:szCs w:val="32"/>
          <w:lang w:val="en-US" w:eastAsia="zh-CN"/>
        </w:rPr>
        <w:t>计</w:t>
      </w:r>
      <w:r>
        <w:rPr>
          <w:rFonts w:ascii="Times New Roman" w:hAnsi="Times New Roman" w:eastAsia="方正仿宋_GBK" w:cs="Times New Roman"/>
          <w:color w:val="000000"/>
          <w:sz w:val="32"/>
          <w:szCs w:val="32"/>
          <w:lang w:val="en-US" w:eastAsia="zh-CN"/>
        </w:rPr>
        <w:t>分为1至20分，并实行累</w:t>
      </w:r>
      <w:r>
        <w:rPr>
          <w:rFonts w:hint="eastAsia" w:ascii="Times New Roman" w:hAnsi="Times New Roman" w:eastAsia="方正仿宋_GBK" w:cs="Times New Roman"/>
          <w:color w:val="000000"/>
          <w:sz w:val="32"/>
          <w:szCs w:val="32"/>
          <w:lang w:val="en-US" w:eastAsia="zh-CN"/>
        </w:rPr>
        <w:t>计计</w:t>
      </w:r>
      <w:r>
        <w:rPr>
          <w:rFonts w:ascii="Times New Roman" w:hAnsi="Times New Roman" w:eastAsia="方正仿宋_GBK" w:cs="Times New Roman"/>
          <w:color w:val="000000"/>
          <w:sz w:val="32"/>
          <w:szCs w:val="32"/>
          <w:lang w:val="en-US" w:eastAsia="zh-CN"/>
        </w:rPr>
        <w:t>分。同一个失信行为符合多种失信</w:t>
      </w:r>
      <w:r>
        <w:rPr>
          <w:rFonts w:hint="eastAsia" w:ascii="Times New Roman" w:hAnsi="Times New Roman" w:eastAsia="方正仿宋_GBK" w:cs="Times New Roman"/>
          <w:color w:val="000000"/>
          <w:sz w:val="32"/>
          <w:szCs w:val="32"/>
          <w:lang w:val="en-US" w:eastAsia="zh-CN"/>
        </w:rPr>
        <w:t>计</w:t>
      </w:r>
      <w:r>
        <w:rPr>
          <w:rFonts w:ascii="Times New Roman" w:hAnsi="Times New Roman" w:eastAsia="方正仿宋_GBK" w:cs="Times New Roman"/>
          <w:color w:val="000000"/>
          <w:sz w:val="32"/>
          <w:szCs w:val="32"/>
          <w:lang w:val="en-US" w:eastAsia="zh-CN"/>
        </w:rPr>
        <w:t>分标准的，按照最高</w:t>
      </w:r>
      <w:r>
        <w:rPr>
          <w:rFonts w:hint="eastAsia" w:ascii="Times New Roman" w:hAnsi="Times New Roman" w:eastAsia="方正仿宋_GBK" w:cs="Times New Roman"/>
          <w:color w:val="000000"/>
          <w:sz w:val="32"/>
          <w:szCs w:val="32"/>
          <w:lang w:val="en-US" w:eastAsia="zh-CN"/>
        </w:rPr>
        <w:t>计</w:t>
      </w:r>
      <w:r>
        <w:rPr>
          <w:rFonts w:ascii="Times New Roman" w:hAnsi="Times New Roman" w:eastAsia="方正仿宋_GBK" w:cs="Times New Roman"/>
          <w:color w:val="000000"/>
          <w:sz w:val="32"/>
          <w:szCs w:val="32"/>
          <w:lang w:val="en-US" w:eastAsia="zh-CN"/>
        </w:rPr>
        <w:t>分值予以</w:t>
      </w:r>
      <w:r>
        <w:rPr>
          <w:rFonts w:hint="eastAsia" w:ascii="Times New Roman" w:hAnsi="Times New Roman" w:eastAsia="方正仿宋_GBK" w:cs="Times New Roman"/>
          <w:color w:val="000000"/>
          <w:sz w:val="32"/>
          <w:szCs w:val="32"/>
          <w:lang w:val="en-US" w:eastAsia="zh-CN"/>
        </w:rPr>
        <w:t>计</w:t>
      </w:r>
      <w:r>
        <w:rPr>
          <w:rFonts w:ascii="Times New Roman" w:hAnsi="Times New Roman" w:eastAsia="方正仿宋_GBK" w:cs="Times New Roman"/>
          <w:color w:val="000000"/>
          <w:sz w:val="32"/>
          <w:szCs w:val="32"/>
          <w:lang w:val="en-US" w:eastAsia="zh-CN"/>
        </w:rPr>
        <w:t>分，不重复</w:t>
      </w:r>
      <w:r>
        <w:rPr>
          <w:rFonts w:hint="eastAsia" w:ascii="Times New Roman" w:hAnsi="Times New Roman" w:eastAsia="方正仿宋_GBK" w:cs="Times New Roman"/>
          <w:color w:val="000000"/>
          <w:sz w:val="32"/>
          <w:szCs w:val="32"/>
          <w:lang w:val="en-US" w:eastAsia="zh-CN"/>
        </w:rPr>
        <w:t>计</w:t>
      </w:r>
      <w:r>
        <w:rPr>
          <w:rFonts w:ascii="Times New Roman" w:hAnsi="Times New Roman" w:eastAsia="方正仿宋_GBK" w:cs="Times New Roman"/>
          <w:color w:val="000000"/>
          <w:sz w:val="32"/>
          <w:szCs w:val="32"/>
          <w:lang w:val="en-US" w:eastAsia="zh-CN"/>
        </w:rPr>
        <w:t>分。道路运输从业人员信用评价等级，按照下列标准进行评定：</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（一）上一评价周期的信用评价等级为A以上，评价周期内累计计分为0分的，信用评价等级为AA级。</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（二）上一评价周期的信用评价等级为B以上，评价周期内信用评价累计计分未达到10分的，信用评价等级为A级。</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（三）未达到A级以上的信用评价条件，评价周期内信用评价累计计分未达到20分的，信用评价等级为B级。</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（四）评价周期内累计有一次计分为20分的，信用评价等级为C级。</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（五）评价周期内累计有二次计分为20分的，信用评价等级为D级。</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在考核周期届满时，从业人员存在交通运输行政处罚决定书送达后十五日内未履行交通运输行政处罚决定的，信用评价等级不得高于B级。</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方正楷体_GBK" w:hAnsi="Times New Roman" w:eastAsia="方正黑体_GBK" w:cs="Times New Roman"/>
          <w:color w:val="000000"/>
          <w:sz w:val="32"/>
          <w:szCs w:val="32"/>
          <w:lang w:val="en-US" w:eastAsia="zh-CN"/>
        </w:rPr>
        <w:t xml:space="preserve">第十一条  </w:t>
      </w:r>
      <w:r>
        <w:rPr>
          <w:rFonts w:ascii="Times New Roman" w:hAnsi="Times New Roman" w:eastAsia="方正仿宋_GBK" w:cs="Times New Roman"/>
          <w:color w:val="000000"/>
          <w:sz w:val="32"/>
          <w:szCs w:val="32"/>
          <w:lang w:val="en-US" w:eastAsia="zh-CN"/>
        </w:rPr>
        <w:t>B级以上道路运输经营者和从业人员存在以下情形之一的，经评级道路运输机构报同级交通主管部门审定，在20个工作日内将当前年度的信用等级直接确定为C级。</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（一）发生一次死亡3人以上安全生产责任事故的；</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（二）发生较大污染责任事故的；</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（三）发生重大服务质量事件的；</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四）违反信访相关规定或者因道路运输经营者原因引发影响社会公共秩序、损害公共利益的停运罢运等不稳定事件，受到区县（自治县）人民政府通报，或者被市信访、公安和交通部门联合通报，或者被市级相关部门发出二级调度指令的；</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（五）偷逃高速公路车辆通行费，影响高速公路经营管理秩序的；</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（六）安全生产、经营管理、服务质量、社会责任等任一一级指标扣分超过该指标总分80%的；</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七</w:t>
      </w:r>
      <w:r>
        <w:rPr>
          <w:rFonts w:ascii="Times New Roman" w:hAnsi="Times New Roman" w:eastAsia="方正仿宋_GBK" w:cs="Times New Roman"/>
          <w:color w:val="000000"/>
          <w:sz w:val="32"/>
          <w:szCs w:val="32"/>
          <w:lang w:val="en-US" w:eastAsia="zh-CN"/>
        </w:rPr>
        <w:t>）法律、法规和规章规定，以及国家、市信用管理机构认定的其他较重失信行为。</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方正楷体_GBK" w:hAnsi="Times New Roman" w:eastAsia="方正黑体_GBK" w:cs="Times New Roman"/>
          <w:color w:val="000000"/>
          <w:sz w:val="32"/>
          <w:szCs w:val="32"/>
          <w:lang w:val="en-US" w:eastAsia="zh-CN"/>
        </w:rPr>
        <w:t xml:space="preserve">第十二条 </w:t>
      </w:r>
      <w:r>
        <w:rPr>
          <w:rFonts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道路运输经营者和从业人员发生以下</w:t>
      </w:r>
      <w:r>
        <w:rPr>
          <w:rFonts w:hint="eastAsia" w:ascii="Times New Roman" w:hAnsi="Times New Roman" w:eastAsia="方正仿宋_GBK" w:cs="Times New Roman"/>
          <w:color w:val="000000"/>
          <w:sz w:val="32"/>
          <w:szCs w:val="32"/>
          <w:lang w:val="en-US" w:eastAsia="zh-CN"/>
        </w:rPr>
        <w:t>情形</w:t>
      </w:r>
      <w:r>
        <w:rPr>
          <w:rFonts w:ascii="Times New Roman" w:hAnsi="Times New Roman" w:eastAsia="方正仿宋_GBK" w:cs="Times New Roman"/>
          <w:color w:val="000000"/>
          <w:sz w:val="32"/>
          <w:szCs w:val="32"/>
          <w:lang w:val="en-US" w:eastAsia="zh-CN"/>
        </w:rPr>
        <w:t>之一的，经评级道路运输机构报同级交通主管部门审定，在20个工作日内将当前年度的信用等级直接确定为D级。</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（一）发生一次死亡10人以上安全生产责任事故；或者一个考核年度内发生两次以上死亡3人以上安全生产责任事故的；</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（二）发生重大以上污染责任事故的；</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（三）发生特大服务质量事件的；</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（四）违反信访相关规定或者因道路运输经营者原因引发影响社会公共秩序、损害公共利益的停运罢运等不稳定事件，受到市人民政府通报，或者被国家相关部门通报，或者被市级相关部门发出一级调度指令的；</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（五）利用虚假资料</w:t>
      </w:r>
      <w:bookmarkStart w:id="0" w:name="_GoBack"/>
      <w:bookmarkEnd w:id="0"/>
      <w:r>
        <w:rPr>
          <w:rFonts w:ascii="Times New Roman" w:hAnsi="Times New Roman" w:eastAsia="方正仿宋_GBK" w:cs="Times New Roman"/>
          <w:color w:val="000000"/>
          <w:sz w:val="32"/>
          <w:szCs w:val="32"/>
          <w:lang w:val="en-US" w:eastAsia="zh-CN"/>
        </w:rPr>
        <w:t>或者通过欺骗、贿赂等不正当手段取得行政许可（备案）、行政确认、行政给付或者行政奖励的；</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（六）拒绝完成政府指令性运输任务的；</w:t>
      </w:r>
    </w:p>
    <w:p>
      <w:pPr>
        <w:pStyle w:val="20"/>
        <w:spacing w:line="570" w:lineRule="exact"/>
        <w:ind w:firstLine="640" w:firstLineChars="200"/>
        <w:rPr>
          <w:rFonts w:ascii="Times New Roman" w:hAnsi="Times New Roman" w:eastAsia="方正仿宋_GBK" w:cs="Times New Roman"/>
          <w:color w:val="000000"/>
          <w:spacing w:val="-10"/>
          <w:sz w:val="32"/>
          <w:szCs w:val="32"/>
          <w:lang w:val="en-US" w:eastAsia="zh-CN"/>
        </w:rPr>
      </w:pPr>
      <w:r>
        <w:rPr>
          <w:rFonts w:ascii="Times New Roman" w:hAnsi="Times New Roman" w:eastAsia="方正仿宋_GBK" w:cs="Times New Roman"/>
          <w:color w:val="000000"/>
          <w:sz w:val="32"/>
          <w:szCs w:val="32"/>
          <w:lang w:val="en-US" w:eastAsia="zh-CN"/>
        </w:rPr>
        <w:t>（七）拒</w:t>
      </w:r>
      <w:r>
        <w:rPr>
          <w:rFonts w:ascii="Times New Roman" w:hAnsi="Times New Roman" w:eastAsia="方正仿宋_GBK" w:cs="Times New Roman"/>
          <w:color w:val="000000"/>
          <w:spacing w:val="-10"/>
          <w:sz w:val="32"/>
          <w:szCs w:val="32"/>
          <w:lang w:val="en-US" w:eastAsia="zh-CN"/>
        </w:rPr>
        <w:t xml:space="preserve">不配合信用评价相关工作，致使考核工作无法进行的； </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 xml:space="preserve">（八）安全生产、经营管理、服务质量、社会责任等任一一级指标总分被扣完的； </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（九）法律、法规和规章规定，以及国家、市信用管理机构认定的其他严重失信行为。</w:t>
      </w:r>
    </w:p>
    <w:p>
      <w:pPr>
        <w:spacing w:line="570" w:lineRule="exact"/>
        <w:ind w:firstLine="640" w:firstLineChars="200"/>
        <w:rPr>
          <w:rFonts w:eastAsia="方正仿宋_GBK"/>
          <w:color w:val="000000"/>
          <w:sz w:val="32"/>
          <w:szCs w:val="32"/>
        </w:rPr>
      </w:pPr>
      <w:r>
        <w:rPr>
          <w:rFonts w:ascii="方正楷体_GBK" w:eastAsia="方正黑体_GBK"/>
          <w:color w:val="000000"/>
          <w:sz w:val="32"/>
          <w:szCs w:val="32"/>
          <w:lang w:bidi="zh-TW"/>
        </w:rPr>
        <w:t>第十三条</w:t>
      </w:r>
      <w:r>
        <w:rPr>
          <w:rFonts w:hint="eastAsia" w:ascii="方正楷体_GBK" w:eastAsia="方正黑体_GBK"/>
          <w:color w:val="000000"/>
          <w:sz w:val="32"/>
          <w:szCs w:val="32"/>
          <w:lang w:bidi="zh-TW"/>
        </w:rPr>
        <w:t xml:space="preserve"> </w:t>
      </w:r>
      <w:r>
        <w:rPr>
          <w:rFonts w:eastAsia="方正黑体_GBK"/>
          <w:color w:val="000000"/>
          <w:sz w:val="32"/>
          <w:szCs w:val="32"/>
        </w:rPr>
        <w:t xml:space="preserve"> </w:t>
      </w:r>
      <w:r>
        <w:rPr>
          <w:rFonts w:eastAsia="方正仿宋_GBK"/>
          <w:color w:val="000000"/>
          <w:sz w:val="32"/>
          <w:szCs w:val="32"/>
        </w:rPr>
        <w:t>严格按照《重庆市交通运输信用管理办法》规定的认定标准、认定程序，对失信行为信息经认定后予以采集。</w:t>
      </w:r>
    </w:p>
    <w:p>
      <w:pPr>
        <w:pStyle w:val="20"/>
        <w:spacing w:line="570" w:lineRule="exact"/>
        <w:ind w:firstLine="640" w:firstLineChars="200"/>
        <w:rPr>
          <w:rFonts w:ascii="Times New Roman" w:hAnsi="Times New Roman" w:eastAsia="方正仿宋_GBK" w:cs="Times New Roman"/>
          <w:color w:val="000000"/>
          <w:sz w:val="32"/>
          <w:szCs w:val="32"/>
        </w:rPr>
      </w:pPr>
      <w:r>
        <w:rPr>
          <w:rFonts w:ascii="方正楷体_GBK" w:hAnsi="Times New Roman" w:eastAsia="方正黑体_GBK" w:cs="Times New Roman"/>
          <w:color w:val="000000"/>
          <w:sz w:val="32"/>
          <w:szCs w:val="32"/>
          <w:lang w:val="en-US" w:eastAsia="zh-CN"/>
        </w:rPr>
        <w:t>第十四条</w:t>
      </w:r>
      <w:r>
        <w:rPr>
          <w:rFonts w:hint="eastAsia" w:ascii="方正楷体_GBK" w:hAnsi="Times New Roman" w:eastAsia="方正黑体_GBK" w:cs="Times New Roman"/>
          <w:color w:val="000000"/>
          <w:sz w:val="32"/>
          <w:szCs w:val="32"/>
          <w:lang w:val="en-US" w:eastAsia="zh-CN"/>
        </w:rPr>
        <w:t xml:space="preserve"> </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所设</w:t>
      </w:r>
      <w:r>
        <w:rPr>
          <w:rFonts w:ascii="Times New Roman" w:hAnsi="Times New Roman" w:eastAsia="方正仿宋_GBK" w:cs="Times New Roman"/>
          <w:color w:val="000000"/>
          <w:sz w:val="32"/>
          <w:szCs w:val="32"/>
          <w:lang w:eastAsia="zh-CN"/>
        </w:rPr>
        <w:t>分公司（道路旅客运输站除外）开展信用评价情况记入总公司</w:t>
      </w:r>
      <w:r>
        <w:rPr>
          <w:rFonts w:ascii="Times New Roman" w:hAnsi="Times New Roman" w:eastAsia="方正仿宋_GBK" w:cs="Times New Roman"/>
          <w:color w:val="000000"/>
          <w:sz w:val="32"/>
          <w:szCs w:val="32"/>
        </w:rPr>
        <w:t>评价得分。具有独立法人资格的子公司，应</w:t>
      </w:r>
      <w:r>
        <w:rPr>
          <w:rFonts w:ascii="Times New Roman" w:hAnsi="Times New Roman" w:eastAsia="方正仿宋_GBK" w:cs="Times New Roman"/>
          <w:color w:val="000000"/>
          <w:sz w:val="32"/>
          <w:szCs w:val="32"/>
          <w:lang w:eastAsia="zh-CN"/>
        </w:rPr>
        <w:t>当</w:t>
      </w:r>
      <w:r>
        <w:rPr>
          <w:rFonts w:ascii="Times New Roman" w:hAnsi="Times New Roman" w:eastAsia="方正仿宋_GBK" w:cs="Times New Roman"/>
          <w:color w:val="000000"/>
          <w:sz w:val="32"/>
          <w:szCs w:val="32"/>
        </w:rPr>
        <w:t>单独进行信用评价。</w:t>
      </w:r>
    </w:p>
    <w:p>
      <w:pPr>
        <w:pStyle w:val="20"/>
        <w:spacing w:line="57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设有</w:t>
      </w:r>
      <w:r>
        <w:rPr>
          <w:rFonts w:ascii="Times New Roman" w:hAnsi="Times New Roman" w:eastAsia="方正仿宋_GBK" w:cs="Times New Roman"/>
          <w:color w:val="000000"/>
          <w:sz w:val="32"/>
          <w:szCs w:val="32"/>
          <w:lang w:eastAsia="zh-CN"/>
        </w:rPr>
        <w:t>分公司</w:t>
      </w:r>
      <w:r>
        <w:rPr>
          <w:rFonts w:ascii="Times New Roman" w:hAnsi="Times New Roman" w:eastAsia="方正仿宋_GBK" w:cs="Times New Roman"/>
          <w:color w:val="000000"/>
          <w:sz w:val="32"/>
          <w:szCs w:val="32"/>
        </w:rPr>
        <w:t>的道路</w:t>
      </w:r>
      <w:r>
        <w:rPr>
          <w:rFonts w:ascii="Times New Roman" w:hAnsi="Times New Roman" w:eastAsia="方正仿宋_GBK" w:cs="Times New Roman"/>
          <w:color w:val="000000"/>
          <w:sz w:val="32"/>
          <w:szCs w:val="32"/>
          <w:lang w:eastAsia="zh-CN"/>
        </w:rPr>
        <w:t>旅客运输、</w:t>
      </w:r>
      <w:r>
        <w:rPr>
          <w:rFonts w:ascii="Times New Roman" w:hAnsi="Times New Roman" w:eastAsia="方正仿宋_GBK" w:cs="Times New Roman"/>
          <w:color w:val="000000"/>
          <w:sz w:val="32"/>
          <w:szCs w:val="32"/>
        </w:rPr>
        <w:t>货物运输</w:t>
      </w:r>
      <w:r>
        <w:rPr>
          <w:rFonts w:ascii="Times New Roman" w:hAnsi="Times New Roman" w:eastAsia="方正仿宋_GBK" w:cs="Times New Roman"/>
          <w:color w:val="000000"/>
          <w:sz w:val="32"/>
          <w:szCs w:val="32"/>
          <w:lang w:eastAsia="zh-CN"/>
        </w:rPr>
        <w:t>、出租汽车和公共汽车客运</w:t>
      </w:r>
      <w:r>
        <w:rPr>
          <w:rFonts w:ascii="Times New Roman" w:hAnsi="Times New Roman" w:eastAsia="方正仿宋_GBK" w:cs="Times New Roman"/>
          <w:color w:val="000000"/>
          <w:sz w:val="32"/>
          <w:szCs w:val="32"/>
        </w:rPr>
        <w:t>企业，总公司名下有车辆的，总公司、</w:t>
      </w:r>
      <w:r>
        <w:rPr>
          <w:rFonts w:ascii="Times New Roman" w:hAnsi="Times New Roman" w:eastAsia="方正仿宋_GBK" w:cs="Times New Roman"/>
          <w:color w:val="000000"/>
          <w:sz w:val="32"/>
          <w:szCs w:val="32"/>
          <w:lang w:eastAsia="zh-CN"/>
        </w:rPr>
        <w:t>分公司</w:t>
      </w:r>
      <w:r>
        <w:rPr>
          <w:rFonts w:ascii="Times New Roman" w:hAnsi="Times New Roman" w:eastAsia="方正仿宋_GBK" w:cs="Times New Roman"/>
          <w:color w:val="000000"/>
          <w:sz w:val="32"/>
          <w:szCs w:val="32"/>
        </w:rPr>
        <w:t>应</w:t>
      </w:r>
      <w:r>
        <w:rPr>
          <w:rFonts w:ascii="Times New Roman" w:hAnsi="Times New Roman" w:eastAsia="方正仿宋_GBK" w:cs="Times New Roman"/>
          <w:color w:val="000000"/>
          <w:sz w:val="32"/>
          <w:szCs w:val="32"/>
          <w:lang w:eastAsia="zh-CN"/>
        </w:rPr>
        <w:t>当</w:t>
      </w:r>
      <w:r>
        <w:rPr>
          <w:rFonts w:ascii="Times New Roman" w:hAnsi="Times New Roman" w:eastAsia="方正仿宋_GBK" w:cs="Times New Roman"/>
          <w:color w:val="000000"/>
          <w:sz w:val="32"/>
          <w:szCs w:val="32"/>
        </w:rPr>
        <w:t>分别进行信用评价；总公司名下无车辆的，只对</w:t>
      </w:r>
      <w:r>
        <w:rPr>
          <w:rFonts w:ascii="Times New Roman" w:hAnsi="Times New Roman" w:eastAsia="方正仿宋_GBK" w:cs="Times New Roman"/>
          <w:color w:val="000000"/>
          <w:sz w:val="32"/>
          <w:szCs w:val="32"/>
          <w:lang w:eastAsia="zh-CN"/>
        </w:rPr>
        <w:t>分公司</w:t>
      </w:r>
      <w:r>
        <w:rPr>
          <w:rFonts w:ascii="Times New Roman" w:hAnsi="Times New Roman" w:eastAsia="方正仿宋_GBK" w:cs="Times New Roman"/>
          <w:color w:val="000000"/>
          <w:sz w:val="32"/>
          <w:szCs w:val="32"/>
        </w:rPr>
        <w:t>进行信用评价。</w:t>
      </w:r>
    </w:p>
    <w:p>
      <w:pPr>
        <w:pStyle w:val="20"/>
        <w:spacing w:line="570" w:lineRule="exact"/>
        <w:ind w:firstLine="640" w:firstLineChars="200"/>
        <w:rPr>
          <w:rFonts w:ascii="Times New Roman" w:hAnsi="Times New Roman" w:eastAsia="方正仿宋_GBK" w:cs="Times New Roman"/>
          <w:color w:val="000000"/>
          <w:sz w:val="32"/>
          <w:szCs w:val="32"/>
        </w:rPr>
      </w:pPr>
      <w:r>
        <w:rPr>
          <w:rFonts w:ascii="方正楷体_GBK" w:hAnsi="Times New Roman" w:eastAsia="方正黑体_GBK" w:cs="Times New Roman"/>
          <w:color w:val="000000"/>
          <w:sz w:val="32"/>
          <w:szCs w:val="32"/>
          <w:lang w:val="en-US" w:eastAsia="zh-CN"/>
        </w:rPr>
        <w:t xml:space="preserve">第十五条 </w:t>
      </w:r>
      <w:r>
        <w:rPr>
          <w:rFonts w:hint="eastAsia" w:ascii="方正楷体_GBK"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同时从事多个道路运输子行业经营活动的，应当分别评定其信用等级。</w:t>
      </w:r>
    </w:p>
    <w:p>
      <w:pPr>
        <w:pStyle w:val="20"/>
        <w:spacing w:line="570" w:lineRule="exact"/>
        <w:ind w:firstLine="640" w:firstLineChars="200"/>
        <w:rPr>
          <w:rFonts w:ascii="Times New Roman" w:hAnsi="Times New Roman" w:eastAsia="方正仿宋_GBK" w:cs="Times New Roman"/>
          <w:color w:val="000000"/>
          <w:sz w:val="32"/>
          <w:szCs w:val="32"/>
        </w:rPr>
      </w:pPr>
    </w:p>
    <w:p>
      <w:pPr>
        <w:pStyle w:val="20"/>
        <w:spacing w:line="570" w:lineRule="exact"/>
        <w:ind w:firstLine="0"/>
        <w:jc w:val="center"/>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第三章  组织实施</w:t>
      </w:r>
    </w:p>
    <w:p>
      <w:pPr>
        <w:pStyle w:val="20"/>
        <w:spacing w:line="570" w:lineRule="exact"/>
        <w:ind w:firstLine="643" w:firstLineChars="200"/>
        <w:rPr>
          <w:rFonts w:ascii="Times New Roman" w:hAnsi="Times New Roman" w:eastAsia="方正仿宋_GBK" w:cs="Times New Roman"/>
          <w:b/>
          <w:bCs/>
          <w:color w:val="000000"/>
          <w:sz w:val="32"/>
          <w:szCs w:val="32"/>
        </w:rPr>
      </w:pP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方正楷体_GBK" w:hAnsi="Times New Roman" w:eastAsia="方正黑体_GBK" w:cs="Times New Roman"/>
          <w:color w:val="000000"/>
          <w:sz w:val="32"/>
          <w:szCs w:val="32"/>
          <w:lang w:val="en-US" w:eastAsia="zh-CN"/>
        </w:rPr>
        <w:t>第十六条</w:t>
      </w:r>
      <w:r>
        <w:rPr>
          <w:rFonts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评级道路运输机构应当按照管理权限建立道路运输经营者和从业人员的信用档案，记录、归集、管理和维护道路运输经营者和从业人员信用信息。</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经营者和从业人员信用档案包括经营者和从业人员名称、统一社会信用代码（营业执照）、从业人员身份证号（从业资格证号）、经营许可证件号、经营范围、经营者和从业人员地（住）址</w:t>
      </w:r>
      <w:r>
        <w:rPr>
          <w:rFonts w:ascii="Times New Roman" w:hAnsi="Times New Roman" w:eastAsia="方正仿宋_GBK" w:cs="Times New Roman"/>
          <w:color w:val="000000"/>
          <w:spacing w:val="-10"/>
          <w:sz w:val="32"/>
          <w:szCs w:val="32"/>
          <w:lang w:val="en-US" w:eastAsia="zh-CN"/>
        </w:rPr>
        <w:t>、法定代表人姓名、从业人员数量及资格证明、营运车辆等情况。</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同一家道路运输经营者从事多个道路运输子行业经营活动的，应分类建立信用档案。</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方正楷体_GBK" w:hAnsi="Times New Roman" w:eastAsia="方正黑体_GBK" w:cs="Times New Roman"/>
          <w:color w:val="000000"/>
          <w:sz w:val="32"/>
          <w:szCs w:val="32"/>
          <w:lang w:val="en-US" w:eastAsia="zh-CN"/>
        </w:rPr>
        <w:t xml:space="preserve">第十七条 </w:t>
      </w:r>
      <w:r>
        <w:rPr>
          <w:rFonts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道路运输经营者和从业人员信用评价工作通过重庆市道路运输经营者和从业人员信用评价信息系统（以下简称评价系统）开展。</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评价系统中数据分为系统数据、专项检查数据、日常记录数据、经营者和从业人员填报数据四类，数据来源及采集方式如下：</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一）系统数据：评价系统与全市交通运输信用信息管理系统对接自动获取的信息数据。暂时无法通过评价系统自动获取的，由市、区县（自治县）交通主管部门负责组织道路运输机构和交通综合执法机构获取并录入评价系统。</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二）专项检查数据：由市、区县（自治县）交通主管部门及其交通综合执法机构按照规定组织对道路运输经营者和从业人员进行专项检查时获取的数据。检查人员在检查时应当填写检查记录表，并由经营者相关负责人和从业人员签字认可。经营者相关负责人和从业人员拒绝签字的，检查人员（不少于两人）应当在检查记录表中签字注明。专项检查单位应将相关数据在检查工作完成后5个工作日内录入评价系统。</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采用专项检查方式获取的评价数据，其文本资料由录入单位保存备查，保存期限不少于3年。</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三）日常记录数据：信访投诉、其他部门通报抄报、交通主管部门、道路运输机构和交通综合执法机构在日常管理过程中形成的与信用有关的以及信用管理工作需要的其他信息数据。由评级道路运输机构在核实确认后5个工作日内录入评价系统。</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四）经营者和从业人员填报数据：道路运输机构要求经营者和从业人员填报的经营者和从业人员信息数据，由经营者和从业人员按规定上传相关资料，并及时更新所填报信息。因经营者和从业人员错报、漏报、迟报信息等原因影响信用评价等级，由经营者和从业人员自行承担。</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经营者和从业人员对上述数据有异议的，可以向评级道路运输机构提出申诉，评级道路运输机构应当核实数据真实性。因客观原因确需修改和调整的，录入单位应当及时研究，在5个工作日内修改调整。</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方正楷体_GBK" w:hAnsi="Times New Roman" w:eastAsia="方正黑体_GBK" w:cs="Times New Roman"/>
          <w:color w:val="000000"/>
          <w:sz w:val="32"/>
          <w:szCs w:val="32"/>
          <w:lang w:val="en-US" w:eastAsia="zh-CN"/>
        </w:rPr>
        <w:t>第十八条</w:t>
      </w:r>
      <w:r>
        <w:rPr>
          <w:rFonts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每季度评价系统自动汇总更新一次评价结果数据，每年1月31日前，评价系统自动汇总生成评价周期内道路运输经营者和从业人员的信用评价得分和等级的初评结果。暂时无法通过评价系统自动生成初评结果的，由市、区县（自治县）道路运输机构及时组织开展信用评价工作。</w:t>
      </w:r>
    </w:p>
    <w:p>
      <w:pPr>
        <w:pStyle w:val="20"/>
        <w:spacing w:line="570" w:lineRule="exact"/>
        <w:ind w:firstLine="640" w:firstLineChars="200"/>
        <w:rPr>
          <w:rFonts w:ascii="Times New Roman" w:hAnsi="Times New Roman" w:eastAsia="方正黑体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评级道路运输机构对系统自动生成的初评结果与所掌握经营者和从业人员实际情况不一致的，应当及时核实和更新信息。</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方正楷体_GBK" w:hAnsi="Times New Roman" w:eastAsia="方正黑体_GBK" w:cs="Times New Roman"/>
          <w:color w:val="000000"/>
          <w:sz w:val="32"/>
          <w:szCs w:val="32"/>
          <w:lang w:val="en-US" w:eastAsia="zh-CN"/>
        </w:rPr>
        <w:t xml:space="preserve">第十九条 </w:t>
      </w:r>
      <w:r>
        <w:rPr>
          <w:rFonts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评级道路运输机构应当于2月底前将经审核的初评结果汇总到市道路运输机构统一在“信用交通•重庆”网站上集中公示，公示期为7个工作日。有异议的，评级道路运输机构应当核实，经研究后作出是否调整的决定。</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方正楷体_GBK" w:hAnsi="Times New Roman" w:eastAsia="方正黑体_GBK" w:cs="Times New Roman"/>
          <w:color w:val="000000"/>
          <w:sz w:val="32"/>
          <w:szCs w:val="32"/>
          <w:lang w:val="en-US" w:eastAsia="zh-CN"/>
        </w:rPr>
        <w:t>第二十条</w:t>
      </w:r>
      <w:r>
        <w:rPr>
          <w:rFonts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评级道路运输机构应当将评定结果报同级交通主管部门审定。</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市交通主管部门、市道路运输机构或者委托的第三方机构可以对评级道路运输机构的评价结果进行督导检查（评估），评级道路运输机构应当对检查（评估）情况及时进行核实、据实调整评价结果。</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方正楷体_GBK" w:hAnsi="Times New Roman" w:eastAsia="方正黑体_GBK" w:cs="Times New Roman"/>
          <w:color w:val="000000"/>
          <w:sz w:val="32"/>
          <w:szCs w:val="32"/>
          <w:lang w:val="en-US" w:eastAsia="zh-CN"/>
        </w:rPr>
        <w:t>第二十一条</w:t>
      </w:r>
      <w:r>
        <w:rPr>
          <w:rFonts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评级道路运输机构应将经交通主管部门审定同意，并经脱敏处理的道路运输经营者和从业人员评价结果，信用评价等级应在“信用交通•重庆”网站公布，并为社会公众、经营者和从业人员提供查询服务，扩大评价结果的应用范围。</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方正楷体_GBK" w:hAnsi="Times New Roman" w:eastAsia="方正黑体_GBK" w:cs="Times New Roman"/>
          <w:color w:val="000000"/>
          <w:sz w:val="32"/>
          <w:szCs w:val="32"/>
          <w:lang w:val="en-US" w:eastAsia="zh-CN"/>
        </w:rPr>
        <w:t xml:space="preserve">第二十二条 </w:t>
      </w:r>
      <w:r>
        <w:rPr>
          <w:rFonts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被认定为失信行为记录的道路运输经营者或者从业人员主动纠正失信行为、消除社会不良影响，全面完成整改的，可以向评级道路运输机构申请信用修复。交通主管部门应当按照国家和本市有关规定处理。</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道路运输从业人员考核周期内累计计分达20分的，应当在考核等级确定后30日内，按照《道路运输从业人员管理规定》要求，接受不少于18个学时的道路运输法规、职业道德和安全知识的继续教育，完成规定的继续教育后，其诚信考核等级恢复为B级。</w:t>
      </w:r>
    </w:p>
    <w:p>
      <w:pPr>
        <w:pStyle w:val="20"/>
        <w:spacing w:line="570" w:lineRule="exact"/>
        <w:ind w:firstLine="643" w:firstLineChars="200"/>
        <w:rPr>
          <w:rFonts w:ascii="Times New Roman" w:hAnsi="Times New Roman" w:eastAsia="方正仿宋_GBK" w:cs="Times New Roman"/>
          <w:b/>
          <w:bCs/>
          <w:color w:val="000000"/>
          <w:sz w:val="32"/>
          <w:szCs w:val="32"/>
        </w:rPr>
      </w:pPr>
    </w:p>
    <w:p>
      <w:pPr>
        <w:pStyle w:val="20"/>
        <w:spacing w:line="57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第四章  信用奖惩</w:t>
      </w:r>
    </w:p>
    <w:p>
      <w:pPr>
        <w:pStyle w:val="20"/>
        <w:spacing w:line="570" w:lineRule="exact"/>
        <w:ind w:firstLine="643" w:firstLineChars="200"/>
        <w:rPr>
          <w:rFonts w:ascii="Times New Roman" w:hAnsi="Times New Roman" w:eastAsia="方正仿宋_GBK" w:cs="Times New Roman"/>
          <w:b/>
          <w:bCs/>
          <w:color w:val="000000"/>
          <w:sz w:val="32"/>
          <w:szCs w:val="32"/>
        </w:rPr>
      </w:pP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方正楷体_GBK" w:hAnsi="Times New Roman" w:eastAsia="方正黑体_GBK" w:cs="Times New Roman"/>
          <w:color w:val="000000"/>
          <w:sz w:val="32"/>
          <w:szCs w:val="32"/>
          <w:lang w:val="en-US" w:eastAsia="zh-CN"/>
        </w:rPr>
        <w:t xml:space="preserve">第二十三条 </w:t>
      </w:r>
      <w:r>
        <w:rPr>
          <w:rFonts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市、区县（自治县）交通主管部门和道路运输机构应当将道路运输经营者和从业人员信用评价结果，通过全市交通运输信用信息管理系统向重庆市公共信用信息平台推送，逐步建立联合奖惩机制。</w:t>
      </w:r>
    </w:p>
    <w:p>
      <w:pPr>
        <w:pStyle w:val="20"/>
        <w:spacing w:line="570" w:lineRule="exact"/>
        <w:ind w:firstLine="640" w:firstLineChars="200"/>
        <w:rPr>
          <w:rFonts w:ascii="Times New Roman" w:hAnsi="Times New Roman" w:eastAsia="方正仿宋_GBK" w:cs="Times New Roman"/>
          <w:color w:val="000000"/>
          <w:sz w:val="32"/>
          <w:szCs w:val="32"/>
        </w:rPr>
      </w:pPr>
      <w:r>
        <w:rPr>
          <w:rFonts w:ascii="方正楷体_GBK" w:hAnsi="Times New Roman" w:eastAsia="方正黑体_GBK" w:cs="Times New Roman"/>
          <w:color w:val="000000"/>
          <w:sz w:val="32"/>
          <w:szCs w:val="32"/>
          <w:lang w:val="en-US" w:eastAsia="zh-CN"/>
        </w:rPr>
        <w:t>第二十四条</w:t>
      </w:r>
      <w:r>
        <w:rPr>
          <w:rFonts w:hint="eastAsia" w:ascii="方正楷体_GBK" w:hAnsi="Times New Roman" w:eastAsia="方正黑体_GBK" w:cs="Times New Roman"/>
          <w:color w:val="000000"/>
          <w:sz w:val="32"/>
          <w:szCs w:val="32"/>
          <w:lang w:val="en-US" w:eastAsia="zh-CN"/>
        </w:rPr>
        <w:t xml:space="preserve"> </w:t>
      </w:r>
      <w:r>
        <w:rPr>
          <w:rFonts w:ascii="方正楷体_GBK"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信用等级评定结果应当作为</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服务质量</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信用、信誉）</w:t>
      </w:r>
      <w:r>
        <w:rPr>
          <w:rFonts w:ascii="Times New Roman" w:hAnsi="Times New Roman" w:eastAsia="方正仿宋_GBK" w:cs="Times New Roman"/>
          <w:color w:val="000000"/>
          <w:sz w:val="32"/>
          <w:szCs w:val="32"/>
        </w:rPr>
        <w:t>招投标、新增运力、扩大经营范围、经营权延续、表彰奖励、品牌创建、资金补助、示范和试点申请、</w:t>
      </w:r>
      <w:r>
        <w:rPr>
          <w:rFonts w:ascii="Times New Roman" w:hAnsi="Times New Roman" w:eastAsia="方正仿宋_GBK" w:cs="Times New Roman"/>
          <w:color w:val="000000"/>
          <w:sz w:val="32"/>
          <w:szCs w:val="32"/>
          <w:lang w:val="en-US" w:eastAsia="zh-CN"/>
        </w:rPr>
        <w:t>评优</w:t>
      </w:r>
      <w:r>
        <w:rPr>
          <w:rFonts w:ascii="Times New Roman" w:hAnsi="Times New Roman" w:eastAsia="方正仿宋_GBK" w:cs="Times New Roman"/>
          <w:color w:val="000000"/>
          <w:sz w:val="32"/>
          <w:szCs w:val="32"/>
        </w:rPr>
        <w:t>评比</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以及实施行政监督、检查和管理</w:t>
      </w:r>
      <w:r>
        <w:rPr>
          <w:rFonts w:ascii="Times New Roman" w:hAnsi="Times New Roman" w:eastAsia="方正仿宋_GBK" w:cs="Times New Roman"/>
          <w:color w:val="000000"/>
          <w:sz w:val="32"/>
          <w:szCs w:val="32"/>
        </w:rPr>
        <w:t>的</w:t>
      </w:r>
      <w:r>
        <w:rPr>
          <w:rFonts w:ascii="Times New Roman" w:hAnsi="Times New Roman" w:eastAsia="方正仿宋_GBK" w:cs="Times New Roman"/>
          <w:color w:val="000000"/>
          <w:sz w:val="32"/>
          <w:szCs w:val="32"/>
          <w:lang w:val="en-US" w:eastAsia="zh-CN"/>
        </w:rPr>
        <w:t>重要</w:t>
      </w:r>
      <w:r>
        <w:rPr>
          <w:rFonts w:ascii="Times New Roman" w:hAnsi="Times New Roman" w:eastAsia="方正仿宋_GBK" w:cs="Times New Roman"/>
          <w:color w:val="000000"/>
          <w:sz w:val="32"/>
          <w:szCs w:val="32"/>
        </w:rPr>
        <w:t>依据。鼓励社会优质资源向信用等级高的道路运输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倾斜。</w:t>
      </w:r>
    </w:p>
    <w:p>
      <w:pPr>
        <w:pStyle w:val="20"/>
        <w:spacing w:line="570" w:lineRule="exact"/>
        <w:ind w:firstLine="640" w:firstLineChars="200"/>
        <w:rPr>
          <w:rFonts w:ascii="方正仿宋_GBK" w:hAnsi="Times New Roman" w:eastAsia="方正仿宋_GBK" w:cs="Times New Roman"/>
          <w:color w:val="000000"/>
          <w:sz w:val="32"/>
          <w:szCs w:val="32"/>
        </w:rPr>
      </w:pPr>
      <w:r>
        <w:rPr>
          <w:rFonts w:ascii="Times New Roman" w:hAnsi="Times New Roman" w:eastAsia="方正仿宋_GBK" w:cs="Times New Roman"/>
          <w:color w:val="000000"/>
          <w:sz w:val="32"/>
          <w:szCs w:val="32"/>
        </w:rPr>
        <w:t>推动交通运输信用信息管理系统与“双随机、一公开”监管信息系统互联互通，统筹推进道路运输市场主体信用分级分类监管</w:t>
      </w:r>
      <w:r>
        <w:rPr>
          <w:rFonts w:hint="eastAsia" w:ascii="方正仿宋_GBK" w:hAnsi="Times New Roman" w:eastAsia="方正仿宋_GBK" w:cs="Times New Roman"/>
          <w:color w:val="000000"/>
          <w:sz w:val="32"/>
          <w:szCs w:val="32"/>
        </w:rPr>
        <w:t>与“双随机、一公开”监管工作。</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方正楷体_GBK" w:hAnsi="Times New Roman" w:eastAsia="方正黑体_GBK" w:cs="Times New Roman"/>
          <w:color w:val="000000"/>
          <w:sz w:val="32"/>
          <w:szCs w:val="32"/>
          <w:lang w:val="en-US" w:eastAsia="zh-CN"/>
        </w:rPr>
        <w:t xml:space="preserve">第二十五条 </w:t>
      </w:r>
      <w:r>
        <w:rPr>
          <w:rFonts w:hint="eastAsia" w:ascii="方正楷体_GBK"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对评价等级为A级以上的道路运输经营者和从业人员（被交通主管部门列入重点监管企业名录的除外），在行政许可、资质等级评定中，给予优先办理、简化程序等；在日常监督检查中，优化检查频次；在财政性资金补助（补贴）、试点新项目中，同等条件下列为优先选择对象或者给予重点支持；在荣誉表彰及评先评优时优先考虑；鼓励道路运输经营者优先聘用信用等级高的从业人员。</w:t>
      </w:r>
    </w:p>
    <w:p>
      <w:pPr>
        <w:pStyle w:val="20"/>
        <w:spacing w:line="570" w:lineRule="exact"/>
        <w:ind w:firstLine="640" w:firstLineChars="200"/>
        <w:rPr>
          <w:rFonts w:ascii="Times New Roman" w:hAnsi="Times New Roman" w:eastAsia="方正仿宋_GBK" w:cs="Times New Roman"/>
          <w:color w:val="000000"/>
          <w:sz w:val="32"/>
          <w:szCs w:val="32"/>
        </w:rPr>
      </w:pPr>
      <w:r>
        <w:rPr>
          <w:rFonts w:ascii="方正楷体_GBK" w:hAnsi="Times New Roman" w:eastAsia="方正黑体_GBK" w:cs="Times New Roman"/>
          <w:color w:val="000000"/>
          <w:sz w:val="32"/>
          <w:szCs w:val="32"/>
          <w:lang w:val="en-US" w:eastAsia="zh-CN"/>
        </w:rPr>
        <w:t>第二十六条</w:t>
      </w:r>
      <w:r>
        <w:rPr>
          <w:rFonts w:hint="eastAsia" w:ascii="方正楷体_GBK" w:hAnsi="Times New Roman" w:eastAsia="方正黑体_GBK" w:cs="Times New Roman"/>
          <w:color w:val="000000"/>
          <w:sz w:val="32"/>
          <w:szCs w:val="32"/>
          <w:lang w:val="en-US" w:eastAsia="zh-CN"/>
        </w:rPr>
        <w:t xml:space="preserve"> </w:t>
      </w:r>
      <w:r>
        <w:rPr>
          <w:rFonts w:ascii="方正楷体_GBK"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最近一次考评结果</w:t>
      </w:r>
      <w:r>
        <w:rPr>
          <w:rFonts w:hint="eastAsia" w:ascii="Times New Roman" w:hAnsi="Times New Roman" w:eastAsia="方正仿宋_GBK" w:cs="Times New Roman"/>
          <w:color w:val="000000"/>
          <w:sz w:val="32"/>
          <w:szCs w:val="32"/>
          <w:lang w:eastAsia="zh-CN"/>
        </w:rPr>
        <w:t>为</w:t>
      </w:r>
      <w:r>
        <w:rPr>
          <w:rFonts w:ascii="Times New Roman" w:hAnsi="Times New Roman" w:eastAsia="方正仿宋_GBK" w:cs="Times New Roman"/>
          <w:color w:val="000000"/>
          <w:sz w:val="32"/>
          <w:szCs w:val="32"/>
          <w:lang w:val="en-US" w:eastAsia="zh-CN"/>
        </w:rPr>
        <w:t>B</w:t>
      </w:r>
      <w:r>
        <w:rPr>
          <w:rFonts w:ascii="Times New Roman" w:hAnsi="Times New Roman" w:eastAsia="方正仿宋_GBK" w:cs="Times New Roman"/>
          <w:color w:val="000000"/>
          <w:sz w:val="32"/>
          <w:szCs w:val="32"/>
        </w:rPr>
        <w:t>级以</w:t>
      </w:r>
      <w:r>
        <w:rPr>
          <w:rFonts w:ascii="Times New Roman" w:hAnsi="Times New Roman" w:eastAsia="方正仿宋_GBK" w:cs="Times New Roman"/>
          <w:color w:val="000000"/>
          <w:sz w:val="32"/>
          <w:szCs w:val="32"/>
          <w:lang w:val="en-US" w:eastAsia="zh-CN"/>
        </w:rPr>
        <w:t>下</w:t>
      </w:r>
      <w:r>
        <w:rPr>
          <w:rFonts w:ascii="Times New Roman" w:hAnsi="Times New Roman" w:eastAsia="方正仿宋_GBK" w:cs="Times New Roman"/>
          <w:color w:val="000000"/>
          <w:sz w:val="32"/>
          <w:szCs w:val="32"/>
        </w:rPr>
        <w:t>的道路运输</w:t>
      </w:r>
      <w:r>
        <w:rPr>
          <w:rFonts w:ascii="Times New Roman" w:hAnsi="Times New Roman" w:eastAsia="方正仿宋_GBK" w:cs="Times New Roman"/>
          <w:color w:val="000000"/>
          <w:sz w:val="32"/>
          <w:szCs w:val="32"/>
          <w:lang w:eastAsia="zh-CN"/>
        </w:rPr>
        <w:t>经营者和从业人员，不得推荐参加行业相关试点工作；不得推荐或</w:t>
      </w:r>
      <w:r>
        <w:rPr>
          <w:rFonts w:hint="eastAsia" w:ascii="Times New Roman" w:hAnsi="Times New Roman" w:eastAsia="方正仿宋_GBK" w:cs="Times New Roman"/>
          <w:color w:val="000000"/>
          <w:sz w:val="32"/>
          <w:szCs w:val="32"/>
          <w:lang w:eastAsia="zh-CN"/>
        </w:rPr>
        <w:t>者</w:t>
      </w:r>
      <w:r>
        <w:rPr>
          <w:rFonts w:ascii="Times New Roman" w:hAnsi="Times New Roman" w:eastAsia="方正仿宋_GBK" w:cs="Times New Roman"/>
          <w:color w:val="000000"/>
          <w:sz w:val="32"/>
          <w:szCs w:val="32"/>
          <w:lang w:eastAsia="zh-CN"/>
        </w:rPr>
        <w:t>授予文明单位（个人）、星级经营者和从业人员</w:t>
      </w:r>
      <w:r>
        <w:rPr>
          <w:rFonts w:ascii="Times New Roman" w:hAnsi="Times New Roman" w:eastAsia="方正仿宋_GBK" w:cs="Times New Roman"/>
          <w:color w:val="000000"/>
          <w:sz w:val="32"/>
          <w:szCs w:val="32"/>
        </w:rPr>
        <w:t>（个人）、先进</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（个人）等荣誉称号。</w:t>
      </w:r>
    </w:p>
    <w:p>
      <w:pPr>
        <w:pStyle w:val="20"/>
        <w:spacing w:line="570" w:lineRule="exact"/>
        <w:ind w:firstLine="640" w:firstLineChars="200"/>
        <w:rPr>
          <w:rFonts w:ascii="Times New Roman" w:hAnsi="Times New Roman" w:eastAsia="方正仿宋_GBK" w:cs="Times New Roman"/>
          <w:color w:val="000000"/>
          <w:sz w:val="32"/>
          <w:szCs w:val="32"/>
        </w:rPr>
      </w:pPr>
      <w:r>
        <w:rPr>
          <w:rFonts w:ascii="方正楷体_GBK" w:hAnsi="Times New Roman" w:eastAsia="方正黑体_GBK" w:cs="Times New Roman"/>
          <w:color w:val="000000"/>
          <w:sz w:val="32"/>
          <w:szCs w:val="32"/>
          <w:lang w:val="en-US" w:eastAsia="zh-CN"/>
        </w:rPr>
        <w:t>第二十七条</w:t>
      </w:r>
      <w:r>
        <w:rPr>
          <w:rFonts w:hint="eastAsia" w:ascii="方正楷体_GBK" w:hAnsi="Times New Roman" w:eastAsia="方正黑体_GBK" w:cs="Times New Roman"/>
          <w:color w:val="000000"/>
          <w:sz w:val="32"/>
          <w:szCs w:val="32"/>
          <w:lang w:val="en-US" w:eastAsia="zh-CN"/>
        </w:rPr>
        <w:t xml:space="preserve"> </w:t>
      </w:r>
      <w:r>
        <w:rPr>
          <w:rFonts w:ascii="方正楷体_GBK"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信用等级为</w:t>
      </w:r>
      <w:r>
        <w:rPr>
          <w:rFonts w:ascii="Times New Roman" w:hAnsi="Times New Roman" w:eastAsia="方正仿宋_GBK" w:cs="Times New Roman"/>
          <w:color w:val="000000"/>
          <w:sz w:val="32"/>
          <w:szCs w:val="32"/>
          <w:lang w:val="en-US" w:eastAsia="zh-CN" w:bidi="en-US"/>
        </w:rPr>
        <w:t>C</w:t>
      </w:r>
      <w:r>
        <w:rPr>
          <w:rFonts w:ascii="Times New Roman" w:hAnsi="Times New Roman" w:eastAsia="方正仿宋_GBK" w:cs="Times New Roman"/>
          <w:color w:val="000000"/>
          <w:sz w:val="32"/>
          <w:szCs w:val="32"/>
        </w:rPr>
        <w:t>级的</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en-US" w:eastAsia="zh-CN"/>
        </w:rPr>
        <w:t>交通主管部门及其交通综合执法机构</w:t>
      </w:r>
      <w:r>
        <w:rPr>
          <w:rFonts w:ascii="Times New Roman" w:hAnsi="Times New Roman" w:eastAsia="方正仿宋_GBK" w:cs="Times New Roman"/>
          <w:color w:val="000000"/>
          <w:sz w:val="32"/>
          <w:szCs w:val="32"/>
        </w:rPr>
        <w:t>应当加强监管，</w:t>
      </w:r>
      <w:r>
        <w:rPr>
          <w:rFonts w:ascii="Times New Roman" w:hAnsi="Times New Roman" w:eastAsia="方正仿宋_GBK" w:cs="Times New Roman"/>
          <w:color w:val="000000"/>
          <w:sz w:val="32"/>
          <w:szCs w:val="32"/>
          <w:lang w:val="en-US" w:eastAsia="zh-CN"/>
        </w:rPr>
        <w:t>增加监督检查频次</w:t>
      </w:r>
      <w:r>
        <w:rPr>
          <w:rFonts w:ascii="Times New Roman" w:hAnsi="Times New Roman" w:eastAsia="方正仿宋_GBK" w:cs="Times New Roman"/>
          <w:color w:val="000000"/>
          <w:sz w:val="32"/>
          <w:szCs w:val="32"/>
        </w:rPr>
        <w:t>。</w:t>
      </w:r>
    </w:p>
    <w:p>
      <w:pPr>
        <w:pStyle w:val="20"/>
        <w:spacing w:line="570" w:lineRule="exact"/>
        <w:ind w:firstLine="640" w:firstLineChars="200"/>
        <w:rPr>
          <w:rFonts w:ascii="Times New Roman" w:hAnsi="Times New Roman" w:eastAsia="方正仿宋_GBK" w:cs="Times New Roman"/>
          <w:color w:val="000000"/>
          <w:sz w:val="32"/>
          <w:szCs w:val="32"/>
        </w:rPr>
      </w:pPr>
      <w:r>
        <w:rPr>
          <w:rFonts w:ascii="方正楷体_GBK" w:hAnsi="Times New Roman" w:eastAsia="方正黑体_GBK" w:cs="Times New Roman"/>
          <w:color w:val="000000"/>
          <w:sz w:val="32"/>
          <w:szCs w:val="32"/>
          <w:lang w:val="en-US" w:eastAsia="zh-CN"/>
        </w:rPr>
        <w:t>第二十八条</w:t>
      </w:r>
      <w:r>
        <w:rPr>
          <w:rFonts w:ascii="Times New Roman" w:hAnsi="Times New Roman" w:eastAsia="方正仿宋_GBK" w:cs="Times New Roman"/>
          <w:b/>
          <w:bCs/>
          <w:color w:val="000000"/>
          <w:sz w:val="32"/>
          <w:szCs w:val="32"/>
          <w:lang w:val="en-US" w:eastAsia="zh-CN"/>
        </w:rPr>
        <w:t xml:space="preserve"> </w:t>
      </w:r>
      <w:r>
        <w:rPr>
          <w:rFonts w:hint="eastAsia"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信用等级为</w:t>
      </w:r>
      <w:r>
        <w:rPr>
          <w:rFonts w:ascii="Times New Roman" w:hAnsi="Times New Roman" w:eastAsia="方正仿宋_GBK" w:cs="Times New Roman"/>
          <w:color w:val="000000"/>
          <w:sz w:val="32"/>
          <w:szCs w:val="32"/>
          <w:lang w:val="en-US" w:eastAsia="zh-CN" w:bidi="en-US"/>
        </w:rPr>
        <w:t>D</w:t>
      </w:r>
      <w:r>
        <w:rPr>
          <w:rFonts w:ascii="Times New Roman" w:hAnsi="Times New Roman" w:eastAsia="方正仿宋_GBK" w:cs="Times New Roman"/>
          <w:color w:val="000000"/>
          <w:sz w:val="32"/>
          <w:szCs w:val="32"/>
        </w:rPr>
        <w:t>级的</w:t>
      </w:r>
      <w:r>
        <w:rPr>
          <w:rFonts w:ascii="Times New Roman" w:hAnsi="Times New Roman" w:eastAsia="方正仿宋_GBK" w:cs="Times New Roman"/>
          <w:color w:val="000000"/>
          <w:sz w:val="32"/>
          <w:szCs w:val="32"/>
          <w:lang w:eastAsia="zh-CN"/>
        </w:rPr>
        <w:t>经营者法定代表人、</w:t>
      </w:r>
      <w:r>
        <w:rPr>
          <w:rFonts w:ascii="Times New Roman" w:hAnsi="Times New Roman" w:eastAsia="方正仿宋_GBK" w:cs="Times New Roman"/>
          <w:color w:val="000000"/>
          <w:sz w:val="32"/>
          <w:szCs w:val="32"/>
        </w:rPr>
        <w:t>主要负责人、实际控制人</w:t>
      </w:r>
      <w:r>
        <w:rPr>
          <w:rFonts w:ascii="Times New Roman" w:hAnsi="Times New Roman" w:eastAsia="方正仿宋_GBK" w:cs="Times New Roman"/>
          <w:color w:val="000000"/>
          <w:sz w:val="32"/>
          <w:szCs w:val="32"/>
          <w:lang w:eastAsia="zh-CN"/>
        </w:rPr>
        <w:t>相关信用信息推送至</w:t>
      </w:r>
      <w:r>
        <w:rPr>
          <w:rFonts w:ascii="Times New Roman" w:hAnsi="Times New Roman" w:eastAsia="方正仿宋_GBK" w:cs="Times New Roman"/>
          <w:color w:val="000000"/>
          <w:sz w:val="32"/>
          <w:szCs w:val="32"/>
        </w:rPr>
        <w:t>重庆市公共信用信息平台，</w:t>
      </w:r>
      <w:r>
        <w:rPr>
          <w:rFonts w:ascii="Times New Roman" w:hAnsi="Times New Roman" w:eastAsia="方正仿宋_GBK" w:cs="Times New Roman"/>
          <w:color w:val="000000"/>
          <w:sz w:val="32"/>
          <w:szCs w:val="32"/>
          <w:lang w:val="en-US" w:eastAsia="zh-CN"/>
        </w:rPr>
        <w:t>由相关部门依法限制参加政府采购、政府投资项目投标、公共事业特许经营等活动；</w:t>
      </w:r>
      <w:r>
        <w:rPr>
          <w:rFonts w:ascii="Times New Roman" w:hAnsi="Times New Roman" w:eastAsia="方正仿宋_GBK" w:cs="Times New Roman"/>
          <w:color w:val="000000"/>
          <w:sz w:val="32"/>
          <w:szCs w:val="32"/>
        </w:rPr>
        <w:t>由交通主管部门依法依规责令限期整改；整改期间停止办理增加经营范围、线路、运力、教练车辆，更换车辆，提高站级等有关业务。</w:t>
      </w:r>
    </w:p>
    <w:p>
      <w:pPr>
        <w:pStyle w:val="20"/>
        <w:spacing w:line="57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val="en-US" w:eastAsia="zh-CN"/>
        </w:rPr>
        <w:t>交通主管部门及其交通综合执法机构</w:t>
      </w:r>
      <w:r>
        <w:rPr>
          <w:rFonts w:ascii="Times New Roman" w:hAnsi="Times New Roman" w:eastAsia="方正仿宋_GBK" w:cs="Times New Roman"/>
          <w:color w:val="000000"/>
          <w:sz w:val="32"/>
          <w:szCs w:val="32"/>
        </w:rPr>
        <w:t>应</w:t>
      </w:r>
      <w:r>
        <w:rPr>
          <w:rFonts w:ascii="Times New Roman" w:hAnsi="Times New Roman" w:eastAsia="方正仿宋_GBK" w:cs="Times New Roman"/>
          <w:color w:val="000000"/>
          <w:sz w:val="32"/>
          <w:szCs w:val="32"/>
          <w:lang w:eastAsia="zh-CN"/>
        </w:rPr>
        <w:t>当</w:t>
      </w:r>
      <w:r>
        <w:rPr>
          <w:rFonts w:ascii="Times New Roman" w:hAnsi="Times New Roman" w:eastAsia="方正仿宋_GBK" w:cs="Times New Roman"/>
          <w:color w:val="000000"/>
          <w:sz w:val="32"/>
          <w:szCs w:val="32"/>
        </w:rPr>
        <w:t>将</w:t>
      </w:r>
      <w:r>
        <w:rPr>
          <w:rFonts w:ascii="Times New Roman" w:hAnsi="Times New Roman" w:eastAsia="方正仿宋_GBK" w:cs="Times New Roman"/>
          <w:color w:val="000000"/>
          <w:sz w:val="32"/>
          <w:szCs w:val="32"/>
          <w:lang w:val="en-US" w:eastAsia="zh-CN"/>
        </w:rPr>
        <w:t>信用等级为D级的</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纳</w:t>
      </w:r>
      <w:r>
        <w:rPr>
          <w:rFonts w:hint="eastAsia" w:ascii="方正仿宋_GBK" w:hAnsi="Times New Roman" w:eastAsia="方正仿宋_GBK" w:cs="Times New Roman"/>
          <w:color w:val="000000"/>
          <w:sz w:val="32"/>
          <w:szCs w:val="32"/>
        </w:rPr>
        <w:t>入</w:t>
      </w: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rPr>
        <w:t>重点监管名单</w:t>
      </w:r>
      <w:r>
        <w:rPr>
          <w:rFonts w:hint="eastAsia" w:ascii="方正仿宋_GBK" w:hAnsi="Times New Roman" w:eastAsia="方正仿宋_GBK" w:cs="Times New Roman"/>
          <w:color w:val="000000"/>
          <w:sz w:val="32"/>
          <w:szCs w:val="32"/>
          <w:lang w:val="zh-CN" w:eastAsia="zh-CN" w:bidi="zh-CN"/>
        </w:rPr>
        <w:t>”，</w:t>
      </w:r>
      <w:r>
        <w:rPr>
          <w:rFonts w:ascii="Times New Roman" w:hAnsi="Times New Roman" w:eastAsia="方正仿宋_GBK" w:cs="Times New Roman"/>
          <w:color w:val="000000"/>
          <w:sz w:val="32"/>
          <w:szCs w:val="32"/>
          <w:lang w:val="en-US" w:eastAsia="zh-CN"/>
        </w:rPr>
        <w:t>增加监督检查频次</w:t>
      </w:r>
      <w:r>
        <w:rPr>
          <w:rFonts w:ascii="Times New Roman" w:hAnsi="Times New Roman" w:eastAsia="方正仿宋_GBK" w:cs="Times New Roman"/>
          <w:color w:val="000000"/>
          <w:sz w:val="32"/>
          <w:szCs w:val="32"/>
        </w:rPr>
        <w:t>；对</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主要负责人、实际控制人、分管负责人进行信用约谈。</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方正楷体_GBK" w:hAnsi="Times New Roman" w:eastAsia="方正黑体_GBK" w:cs="Times New Roman"/>
          <w:color w:val="000000"/>
          <w:sz w:val="32"/>
          <w:szCs w:val="32"/>
          <w:lang w:val="en-US" w:eastAsia="zh-CN"/>
        </w:rPr>
        <w:t xml:space="preserve">第二十九条 </w:t>
      </w:r>
      <w:r>
        <w:rPr>
          <w:rFonts w:hint="eastAsia" w:ascii="方正楷体_GBK"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对连续两年信用等级为D级的经营者，除按照本实施细则第二十八条规定执行外，由交通综合执法机构约谈并依法依规责令停业整顿，整顿后仍不符合要求的，责令停止经营或者吊销许可证件；由评级道路运输机构将经营者主要负责人、实际控制人、分管负责人以及相关从业人员名单推送至重庆市公共信用信息平台加强管理，并可以向有关部门和单位提出职务禁任、薪酬惩戒等建议。</w:t>
      </w:r>
    </w:p>
    <w:p>
      <w:pPr>
        <w:pStyle w:val="20"/>
        <w:spacing w:line="570" w:lineRule="exact"/>
        <w:ind w:firstLine="640" w:firstLineChars="200"/>
        <w:rPr>
          <w:rFonts w:ascii="Times New Roman" w:hAnsi="Times New Roman" w:eastAsia="方正仿宋_GBK" w:cs="Times New Roman"/>
          <w:color w:val="000000"/>
          <w:sz w:val="32"/>
          <w:szCs w:val="32"/>
        </w:rPr>
      </w:pPr>
      <w:r>
        <w:rPr>
          <w:rFonts w:ascii="方正楷体_GBK" w:hAnsi="Times New Roman" w:eastAsia="方正黑体_GBK" w:cs="Times New Roman"/>
          <w:color w:val="000000"/>
          <w:sz w:val="32"/>
          <w:szCs w:val="32"/>
          <w:lang w:val="en-US" w:eastAsia="zh-CN"/>
        </w:rPr>
        <w:t>第三十条</w:t>
      </w:r>
      <w:r>
        <w:rPr>
          <w:rFonts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危险货物道路运输经营者信用考核为B级以下的，还</w:t>
      </w:r>
      <w:r>
        <w:rPr>
          <w:rFonts w:ascii="Times New Roman" w:hAnsi="Times New Roman" w:eastAsia="方正仿宋_GBK" w:cs="Times New Roman"/>
          <w:color w:val="000000"/>
          <w:sz w:val="32"/>
          <w:szCs w:val="32"/>
          <w:lang w:eastAsia="zh-CN"/>
        </w:rPr>
        <w:t>应当</w:t>
      </w:r>
      <w:r>
        <w:rPr>
          <w:rFonts w:ascii="Times New Roman" w:hAnsi="Times New Roman" w:eastAsia="方正仿宋_GBK" w:cs="Times New Roman"/>
          <w:color w:val="000000"/>
          <w:sz w:val="32"/>
          <w:szCs w:val="32"/>
        </w:rPr>
        <w:t>执行以下规定：</w:t>
      </w:r>
    </w:p>
    <w:p>
      <w:pPr>
        <w:pStyle w:val="20"/>
        <w:spacing w:line="57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（一）信用等级为B级的，暂停办理新增剧毒化学品、爆炸品、放射性物品经营范围许可业务；设有分支机构的，其所有分支机构暂停办理新增剧毒化学品、爆炸品、放射性物品经营范围许可业务。</w:t>
      </w:r>
    </w:p>
    <w:p>
      <w:pPr>
        <w:pStyle w:val="20"/>
        <w:spacing w:line="57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信用等级为C级的，暂停办理新增剧毒化学品、爆炸品、放射性物品经营范围、运力业务；暂停办理设立分支机构业务；设有分支机构的，其所有分支机构暂停办理新增剧毒化学品、爆炸品、放射性物品经营范围和运力业务。</w:t>
      </w:r>
    </w:p>
    <w:p>
      <w:pPr>
        <w:pStyle w:val="20"/>
        <w:spacing w:line="57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（三）信用等级为D级的，暂停办理新增经营范围、运力业务；暂停办理设立分支机构业务；设有分支机构的，其所有分支机构暂停办理新增经营范围和运力业务。</w:t>
      </w:r>
    </w:p>
    <w:p>
      <w:pPr>
        <w:pStyle w:val="20"/>
        <w:spacing w:line="57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普通货物道路运输经营者信用等级为D级的，暂停办理新增经营范围、运力及设立分支机构等相关货运业务；设有分支机构的，其所有分支机构均暂停办理新增经营范围和运力业务。</w:t>
      </w:r>
    </w:p>
    <w:p>
      <w:pPr>
        <w:pStyle w:val="20"/>
        <w:spacing w:line="570" w:lineRule="exact"/>
        <w:ind w:firstLine="640" w:firstLineChars="200"/>
        <w:rPr>
          <w:rFonts w:ascii="Times New Roman" w:hAnsi="Times New Roman" w:eastAsia="方正仿宋_GBK" w:cs="Times New Roman"/>
          <w:color w:val="000000"/>
          <w:sz w:val="32"/>
          <w:szCs w:val="32"/>
        </w:rPr>
      </w:pPr>
      <w:r>
        <w:rPr>
          <w:rFonts w:ascii="方正楷体_GBK" w:hAnsi="Times New Roman" w:eastAsia="方正黑体_GBK" w:cs="Times New Roman"/>
          <w:color w:val="000000"/>
          <w:sz w:val="32"/>
          <w:szCs w:val="32"/>
          <w:lang w:val="en-US" w:eastAsia="zh-CN"/>
        </w:rPr>
        <w:t>第三十一条</w:t>
      </w:r>
      <w:r>
        <w:rPr>
          <w:rFonts w:hint="eastAsia" w:ascii="方正楷体_GBK" w:hAnsi="Times New Roman" w:eastAsia="方正黑体_GBK" w:cs="Times New Roman"/>
          <w:color w:val="000000"/>
          <w:sz w:val="32"/>
          <w:szCs w:val="32"/>
          <w:lang w:val="en-US" w:eastAsia="zh-CN"/>
        </w:rPr>
        <w:t xml:space="preserve"> </w:t>
      </w:r>
      <w:r>
        <w:rPr>
          <w:rFonts w:ascii="方正楷体_GBK"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交通主管部门可以将信用评价结果作为到期延续经营审批的重要依据，依法收</w:t>
      </w:r>
      <w:r>
        <w:rPr>
          <w:rFonts w:ascii="Times New Roman" w:hAnsi="Times New Roman" w:eastAsia="方正仿宋_GBK" w:cs="Times New Roman"/>
          <w:color w:val="000000"/>
          <w:sz w:val="32"/>
          <w:szCs w:val="32"/>
        </w:rPr>
        <w:t>回其顺延年度内</w:t>
      </w:r>
      <w:r>
        <w:rPr>
          <w:rFonts w:ascii="Times New Roman" w:hAnsi="Times New Roman" w:eastAsia="方正仿宋_GBK" w:cs="Times New Roman"/>
          <w:color w:val="000000"/>
          <w:sz w:val="32"/>
          <w:szCs w:val="32"/>
          <w:lang w:val="en-US" w:eastAsia="zh-CN"/>
        </w:rPr>
        <w:t>一定数量</w:t>
      </w:r>
      <w:r>
        <w:rPr>
          <w:rFonts w:ascii="Times New Roman" w:hAnsi="Times New Roman" w:eastAsia="方正仿宋_GBK" w:cs="Times New Roman"/>
          <w:color w:val="000000"/>
          <w:sz w:val="32"/>
          <w:szCs w:val="32"/>
        </w:rPr>
        <w:t>的到期</w:t>
      </w:r>
      <w:r>
        <w:rPr>
          <w:rFonts w:ascii="Times New Roman" w:hAnsi="Times New Roman" w:eastAsia="方正仿宋_GBK" w:cs="Times New Roman"/>
          <w:color w:val="000000"/>
          <w:sz w:val="32"/>
          <w:szCs w:val="32"/>
          <w:lang w:val="en-US" w:eastAsia="zh-CN"/>
        </w:rPr>
        <w:t>客运</w:t>
      </w:r>
      <w:r>
        <w:rPr>
          <w:rFonts w:ascii="Times New Roman" w:hAnsi="Times New Roman" w:eastAsia="方正仿宋_GBK" w:cs="Times New Roman"/>
          <w:color w:val="000000"/>
          <w:sz w:val="32"/>
          <w:szCs w:val="32"/>
        </w:rPr>
        <w:t>经营权。被收回的客运经营权</w:t>
      </w:r>
      <w:r>
        <w:rPr>
          <w:rFonts w:ascii="Times New Roman" w:hAnsi="Times New Roman" w:eastAsia="方正仿宋_GBK" w:cs="Times New Roman"/>
          <w:color w:val="000000"/>
          <w:sz w:val="32"/>
          <w:szCs w:val="32"/>
          <w:lang w:eastAsia="zh-CN"/>
        </w:rPr>
        <w:t>在同等条件下，</w:t>
      </w:r>
      <w:r>
        <w:rPr>
          <w:rFonts w:ascii="Times New Roman" w:hAnsi="Times New Roman" w:eastAsia="方正仿宋_GBK" w:cs="Times New Roman"/>
          <w:color w:val="000000"/>
          <w:sz w:val="32"/>
          <w:szCs w:val="32"/>
        </w:rPr>
        <w:t>可</w:t>
      </w:r>
      <w:r>
        <w:rPr>
          <w:rFonts w:ascii="Times New Roman" w:hAnsi="Times New Roman" w:eastAsia="方正仿宋_GBK" w:cs="Times New Roman"/>
          <w:color w:val="000000"/>
          <w:sz w:val="32"/>
          <w:szCs w:val="32"/>
          <w:lang w:eastAsia="zh-CN"/>
        </w:rPr>
        <w:t>以</w:t>
      </w:r>
      <w:r>
        <w:rPr>
          <w:rFonts w:ascii="Times New Roman" w:hAnsi="Times New Roman" w:eastAsia="方正仿宋_GBK" w:cs="Times New Roman"/>
          <w:color w:val="000000"/>
          <w:sz w:val="32"/>
          <w:szCs w:val="32"/>
        </w:rPr>
        <w:t>优先许可给</w:t>
      </w:r>
      <w:r>
        <w:rPr>
          <w:rFonts w:ascii="Times New Roman" w:hAnsi="Times New Roman" w:eastAsia="方正仿宋_GBK" w:cs="Times New Roman"/>
          <w:color w:val="000000"/>
          <w:sz w:val="32"/>
          <w:szCs w:val="32"/>
          <w:lang w:eastAsia="zh-CN"/>
        </w:rPr>
        <w:t>最近</w:t>
      </w:r>
      <w:r>
        <w:rPr>
          <w:rFonts w:ascii="Times New Roman" w:hAnsi="Times New Roman" w:eastAsia="方正仿宋_GBK" w:cs="Times New Roman"/>
          <w:color w:val="000000"/>
          <w:sz w:val="32"/>
          <w:szCs w:val="32"/>
        </w:rPr>
        <w:t>两年信用等级为</w:t>
      </w:r>
      <w:r>
        <w:rPr>
          <w:rFonts w:ascii="Times New Roman" w:hAnsi="Times New Roman" w:eastAsia="方正仿宋_GBK" w:cs="Times New Roman"/>
          <w:color w:val="000000"/>
          <w:sz w:val="32"/>
          <w:szCs w:val="32"/>
          <w:lang w:val="en-US" w:eastAsia="zh-CN" w:bidi="en-US"/>
        </w:rPr>
        <w:t>AA</w:t>
      </w:r>
      <w:r>
        <w:rPr>
          <w:rFonts w:ascii="Times New Roman" w:hAnsi="Times New Roman" w:eastAsia="方正仿宋_GBK" w:cs="Times New Roman"/>
          <w:color w:val="000000"/>
          <w:sz w:val="32"/>
          <w:szCs w:val="32"/>
        </w:rPr>
        <w:t>级的</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w:t>
      </w:r>
    </w:p>
    <w:p>
      <w:pPr>
        <w:pStyle w:val="20"/>
        <w:spacing w:line="57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巡游出租汽车车辆经营权到期后，</w:t>
      </w:r>
      <w:r>
        <w:rPr>
          <w:rFonts w:ascii="Times New Roman" w:hAnsi="Times New Roman" w:eastAsia="方正仿宋_GBK" w:cs="Times New Roman"/>
          <w:color w:val="000000"/>
          <w:sz w:val="32"/>
          <w:szCs w:val="32"/>
          <w:lang w:eastAsia="zh-CN"/>
        </w:rPr>
        <w:t>市、区县</w:t>
      </w:r>
      <w:r>
        <w:rPr>
          <w:rFonts w:hint="eastAsia" w:ascii="Times New Roman" w:hAnsi="Times New Roman" w:eastAsia="方正仿宋_GBK" w:cs="Times New Roman"/>
          <w:color w:val="000000"/>
          <w:sz w:val="32"/>
          <w:szCs w:val="32"/>
          <w:lang w:eastAsia="zh-CN"/>
        </w:rPr>
        <w:t>（自治县）</w:t>
      </w:r>
      <w:r>
        <w:rPr>
          <w:rFonts w:ascii="Times New Roman" w:hAnsi="Times New Roman" w:eastAsia="方正仿宋_GBK" w:cs="Times New Roman"/>
          <w:color w:val="000000"/>
          <w:sz w:val="32"/>
          <w:szCs w:val="32"/>
          <w:lang w:eastAsia="zh-CN"/>
        </w:rPr>
        <w:t>交通主管部门</w:t>
      </w:r>
      <w:r>
        <w:rPr>
          <w:rFonts w:ascii="Times New Roman" w:hAnsi="Times New Roman" w:eastAsia="方正仿宋_GBK" w:cs="Times New Roman"/>
          <w:color w:val="000000"/>
          <w:sz w:val="32"/>
          <w:szCs w:val="32"/>
        </w:rPr>
        <w:t>审核巡游出租汽车经营者的</w:t>
      </w:r>
      <w:r>
        <w:rPr>
          <w:rFonts w:ascii="Times New Roman" w:hAnsi="Times New Roman" w:eastAsia="方正仿宋_GBK" w:cs="Times New Roman"/>
          <w:color w:val="000000"/>
          <w:sz w:val="32"/>
          <w:szCs w:val="32"/>
          <w:lang w:eastAsia="zh-CN"/>
        </w:rPr>
        <w:t>信用评价</w:t>
      </w:r>
      <w:r>
        <w:rPr>
          <w:rFonts w:ascii="Times New Roman" w:hAnsi="Times New Roman" w:eastAsia="方正仿宋_GBK" w:cs="Times New Roman"/>
          <w:color w:val="000000"/>
          <w:sz w:val="32"/>
          <w:szCs w:val="32"/>
        </w:rPr>
        <w:t>结果</w:t>
      </w:r>
      <w:r>
        <w:rPr>
          <w:rFonts w:ascii="Times New Roman" w:hAnsi="Times New Roman" w:eastAsia="方正仿宋_GBK" w:cs="Times New Roman"/>
          <w:color w:val="000000"/>
          <w:sz w:val="32"/>
          <w:szCs w:val="32"/>
          <w:lang w:eastAsia="zh-CN"/>
        </w:rPr>
        <w:t>（安全服务质量考核结果、服务质量信誉考核结果可按照本实施细则第九条规定进行对应后确认）</w:t>
      </w:r>
      <w:r>
        <w:rPr>
          <w:rFonts w:ascii="Times New Roman" w:hAnsi="Times New Roman" w:eastAsia="方正仿宋_GBK" w:cs="Times New Roman"/>
          <w:color w:val="000000"/>
          <w:sz w:val="32"/>
          <w:szCs w:val="32"/>
        </w:rPr>
        <w:t>，按照以下规定处理：</w:t>
      </w:r>
    </w:p>
    <w:p>
      <w:pPr>
        <w:pStyle w:val="20"/>
        <w:spacing w:line="57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（一）考核等级在经营期限内有</w:t>
      </w:r>
      <w:r>
        <w:rPr>
          <w:rFonts w:ascii="Times New Roman" w:hAnsi="Times New Roman" w:eastAsia="方正仿宋_GBK" w:cs="Times New Roman"/>
          <w:color w:val="000000"/>
          <w:sz w:val="32"/>
          <w:szCs w:val="32"/>
          <w:lang w:val="en-US" w:eastAsia="zh-CN"/>
        </w:rPr>
        <w:t>C</w:t>
      </w:r>
      <w:r>
        <w:rPr>
          <w:rFonts w:ascii="Times New Roman" w:hAnsi="Times New Roman" w:eastAsia="方正仿宋_GBK" w:cs="Times New Roman"/>
          <w:color w:val="000000"/>
          <w:sz w:val="32"/>
          <w:szCs w:val="32"/>
        </w:rPr>
        <w:t>级的，应当督促其加强内部管理，整改合格后准许其继续经营；</w:t>
      </w:r>
    </w:p>
    <w:p>
      <w:pPr>
        <w:pStyle w:val="20"/>
        <w:spacing w:line="57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w:t>
      </w:r>
      <w:r>
        <w:rPr>
          <w:rFonts w:ascii="Times New Roman" w:hAnsi="Times New Roman" w:eastAsia="方正仿宋_GBK" w:cs="Times New Roman"/>
          <w:color w:val="000000"/>
          <w:sz w:val="32"/>
          <w:szCs w:val="32"/>
          <w:lang w:eastAsia="zh-CN"/>
        </w:rPr>
        <w:t>评价</w:t>
      </w:r>
      <w:r>
        <w:rPr>
          <w:rFonts w:ascii="Times New Roman" w:hAnsi="Times New Roman" w:eastAsia="方正仿宋_GBK" w:cs="Times New Roman"/>
          <w:color w:val="000000"/>
          <w:sz w:val="32"/>
          <w:szCs w:val="32"/>
        </w:rPr>
        <w:t>等级在经营期限内有</w:t>
      </w:r>
      <w:r>
        <w:rPr>
          <w:rFonts w:ascii="Times New Roman" w:hAnsi="Times New Roman" w:eastAsia="方正仿宋_GBK" w:cs="Times New Roman"/>
          <w:color w:val="000000"/>
          <w:sz w:val="32"/>
          <w:szCs w:val="32"/>
          <w:lang w:val="en-US" w:eastAsia="zh-CN"/>
        </w:rPr>
        <w:t>D</w:t>
      </w:r>
      <w:r>
        <w:rPr>
          <w:rFonts w:ascii="Times New Roman" w:hAnsi="Times New Roman" w:eastAsia="方正仿宋_GBK" w:cs="Times New Roman"/>
          <w:color w:val="000000"/>
          <w:sz w:val="32"/>
          <w:szCs w:val="32"/>
        </w:rPr>
        <w:t>级或者一半以上为</w:t>
      </w:r>
      <w:r>
        <w:rPr>
          <w:rFonts w:ascii="Times New Roman" w:hAnsi="Times New Roman" w:eastAsia="方正仿宋_GBK" w:cs="Times New Roman"/>
          <w:color w:val="000000"/>
          <w:sz w:val="32"/>
          <w:szCs w:val="32"/>
          <w:lang w:val="en-US" w:eastAsia="zh-CN"/>
        </w:rPr>
        <w:t>C</w:t>
      </w:r>
      <w:r>
        <w:rPr>
          <w:rFonts w:ascii="Times New Roman" w:hAnsi="Times New Roman" w:eastAsia="方正仿宋_GBK" w:cs="Times New Roman"/>
          <w:color w:val="000000"/>
          <w:sz w:val="32"/>
          <w:szCs w:val="32"/>
        </w:rPr>
        <w:t>级的，可视情况适当核减车辆经营权；</w:t>
      </w:r>
    </w:p>
    <w:p>
      <w:pPr>
        <w:pStyle w:val="20"/>
        <w:spacing w:line="57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eastAsia="zh-CN"/>
        </w:rPr>
        <w:t>三</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eastAsia="zh-CN"/>
        </w:rPr>
        <w:t>评价</w:t>
      </w:r>
      <w:r>
        <w:rPr>
          <w:rFonts w:ascii="Times New Roman" w:hAnsi="Times New Roman" w:eastAsia="方正仿宋_GBK" w:cs="Times New Roman"/>
          <w:color w:val="000000"/>
          <w:sz w:val="32"/>
          <w:szCs w:val="32"/>
        </w:rPr>
        <w:t>等级在经营期限内有一半以上为</w:t>
      </w:r>
      <w:r>
        <w:rPr>
          <w:rFonts w:ascii="Times New Roman" w:hAnsi="Times New Roman" w:eastAsia="方正仿宋_GBK" w:cs="Times New Roman"/>
          <w:color w:val="000000"/>
          <w:sz w:val="32"/>
          <w:szCs w:val="32"/>
          <w:lang w:val="en-US" w:eastAsia="zh-CN"/>
        </w:rPr>
        <w:t>D</w:t>
      </w:r>
      <w:r>
        <w:rPr>
          <w:rFonts w:ascii="Times New Roman" w:hAnsi="Times New Roman" w:eastAsia="方正仿宋_GBK" w:cs="Times New Roman"/>
          <w:color w:val="000000"/>
          <w:sz w:val="32"/>
          <w:szCs w:val="32"/>
        </w:rPr>
        <w:t>级的，应当收回车辆经营权。</w:t>
      </w:r>
    </w:p>
    <w:p>
      <w:pPr>
        <w:pStyle w:val="20"/>
        <w:spacing w:line="570" w:lineRule="exact"/>
        <w:ind w:firstLine="640" w:firstLineChars="200"/>
        <w:rPr>
          <w:rFonts w:ascii="Times New Roman" w:hAnsi="Times New Roman" w:eastAsia="方正仿宋_GBK" w:cs="Times New Roman"/>
          <w:color w:val="000000"/>
          <w:sz w:val="32"/>
          <w:szCs w:val="32"/>
        </w:rPr>
      </w:pPr>
    </w:p>
    <w:p>
      <w:pPr>
        <w:pStyle w:val="20"/>
        <w:spacing w:line="57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第五章  附  则</w:t>
      </w:r>
    </w:p>
    <w:p>
      <w:pPr>
        <w:pStyle w:val="20"/>
        <w:spacing w:line="570" w:lineRule="exact"/>
        <w:ind w:firstLine="643" w:firstLineChars="200"/>
        <w:rPr>
          <w:rFonts w:ascii="Times New Roman" w:hAnsi="Times New Roman" w:eastAsia="方正仿宋_GBK" w:cs="Times New Roman"/>
          <w:b/>
          <w:bCs/>
          <w:color w:val="000000"/>
          <w:sz w:val="32"/>
          <w:szCs w:val="32"/>
        </w:rPr>
      </w:pP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方正楷体_GBK" w:hAnsi="Times New Roman" w:eastAsia="方正黑体_GBK" w:cs="Times New Roman"/>
          <w:color w:val="000000"/>
          <w:sz w:val="32"/>
          <w:szCs w:val="32"/>
          <w:lang w:val="en-US" w:eastAsia="zh-CN"/>
        </w:rPr>
        <w:t>第三十二条</w:t>
      </w:r>
      <w:r>
        <w:rPr>
          <w:rFonts w:ascii="Times New Roman" w:hAnsi="Times New Roman" w:eastAsia="方正黑体_GBK" w:cs="Times New Roman"/>
          <w:color w:val="000000"/>
          <w:sz w:val="32"/>
          <w:szCs w:val="32"/>
          <w:lang w:val="en-US" w:eastAsia="zh-CN"/>
        </w:rPr>
        <w:t xml:space="preserve"> </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本实施细则下列用语含义：</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（一）道路运输子行业是指道路旅客运输、道路货物运输（包含普通货物</w:t>
      </w:r>
      <w:r>
        <w:rPr>
          <w:rFonts w:hint="eastAsia" w:ascii="Times New Roman" w:hAnsi="Times New Roman" w:eastAsia="方正仿宋_GBK" w:cs="Times New Roman"/>
          <w:color w:val="000000"/>
          <w:sz w:val="32"/>
          <w:szCs w:val="32"/>
          <w:lang w:val="en-US" w:eastAsia="zh-CN"/>
        </w:rPr>
        <w:t>道路</w:t>
      </w:r>
      <w:r>
        <w:rPr>
          <w:rFonts w:ascii="Times New Roman" w:hAnsi="Times New Roman" w:eastAsia="方正仿宋_GBK" w:cs="Times New Roman"/>
          <w:color w:val="000000"/>
          <w:sz w:val="32"/>
          <w:szCs w:val="32"/>
          <w:lang w:val="en-US" w:eastAsia="zh-CN"/>
        </w:rPr>
        <w:t>运输和危险货物</w:t>
      </w:r>
      <w:r>
        <w:rPr>
          <w:rFonts w:hint="eastAsia" w:ascii="Times New Roman" w:hAnsi="Times New Roman" w:eastAsia="方正仿宋_GBK" w:cs="Times New Roman"/>
          <w:color w:val="000000"/>
          <w:sz w:val="32"/>
          <w:szCs w:val="32"/>
          <w:lang w:val="en-US" w:eastAsia="zh-CN"/>
        </w:rPr>
        <w:t>道路</w:t>
      </w:r>
      <w:r>
        <w:rPr>
          <w:rFonts w:ascii="Times New Roman" w:hAnsi="Times New Roman" w:eastAsia="方正仿宋_GBK" w:cs="Times New Roman"/>
          <w:color w:val="000000"/>
          <w:sz w:val="32"/>
          <w:szCs w:val="32"/>
          <w:lang w:val="en-US" w:eastAsia="zh-CN"/>
        </w:rPr>
        <w:t>运输）、出租汽车客运（包含巡游出租汽车和网约预约出租汽车）、公共汽车客运、机动车维修、机动车驾驶员培训、汽车租赁、道路旅客运输站和道路运输从业人员等行业（类别），以及与公共交通相关的城市轨道交通运</w:t>
      </w:r>
      <w:r>
        <w:rPr>
          <w:rFonts w:hint="eastAsia" w:ascii="Times New Roman" w:hAnsi="Times New Roman" w:eastAsia="方正仿宋_GBK" w:cs="Times New Roman"/>
          <w:color w:val="000000"/>
          <w:sz w:val="32"/>
          <w:szCs w:val="32"/>
          <w:lang w:val="en-US" w:eastAsia="zh-CN"/>
        </w:rPr>
        <w:t>营</w:t>
      </w:r>
      <w:r>
        <w:rPr>
          <w:rFonts w:ascii="Times New Roman" w:hAnsi="Times New Roman" w:eastAsia="方正仿宋_GBK" w:cs="Times New Roman"/>
          <w:color w:val="000000"/>
          <w:sz w:val="32"/>
          <w:szCs w:val="32"/>
          <w:lang w:val="en-US" w:eastAsia="zh-CN"/>
        </w:rPr>
        <w:t>行业。</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（二）安全生产责任事故，是指道路运输和道路运输相关业务经营者或者从业人员在从事道路运输或者道路运输相关业务经营中发生负同等及以上责任的事故。</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三）污染责任事故是指由于经营者原因，造成有毒有害物质泄露、丢失、燃烧、爆炸等，对社会环境造成污染，造成国家和社会公众财产损失。造成较大污染，造成较大财产损失的为较大污染责任事故，造成重大及以上污染，造成重大及以上财产损失的为重大以上污染责任事故。</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四）服务质量事件是指由于经营者或者从业人员原因，对服务对象造成人身伤害或者财产损失，或者在社会上造成恶劣影响的服务质量事件。受到区县级政府或者市级政府相关部门通报的为重大服务质量事件，受到市级以上政府或者国家部委通报的为特大服务质量事件。</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方正楷体_GBK" w:hAnsi="Times New Roman" w:eastAsia="方正黑体_GBK" w:cs="Times New Roman"/>
          <w:color w:val="000000"/>
          <w:sz w:val="32"/>
          <w:szCs w:val="32"/>
          <w:lang w:val="en-US" w:eastAsia="zh-CN"/>
        </w:rPr>
        <w:t>第三十三条</w:t>
      </w:r>
      <w:r>
        <w:rPr>
          <w:rFonts w:hint="eastAsia" w:ascii="方正楷体_GBK" w:hAnsi="Times New Roman" w:eastAsia="方正黑体_GBK" w:cs="Times New Roman"/>
          <w:color w:val="000000"/>
          <w:sz w:val="32"/>
          <w:szCs w:val="32"/>
          <w:lang w:val="en-US" w:eastAsia="zh-CN"/>
        </w:rPr>
        <w:t xml:space="preserve"> </w:t>
      </w:r>
      <w:r>
        <w:rPr>
          <w:rFonts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道路运输从业人员信用评价等级对应交通运输部《道路运输驾驶员诚信考核办法》（交运规〔2022〕6号）诚信考核等级、《出租汽车服务质量信誉考核办法》（交运规〔2022〕2号）服务质量信誉考核等级如下：信用评价等级AA级对应诚信考核等级AAA级、服务质量信誉考核等级AAA级；信用评价A级对应诚信考核等级AA级、服务质量信誉考核等级AA级；信用评价等级B级对应诚信考核等级A级、服务质量信誉考核等级A级；信用评价等级C、D级对应诚信考核等级B级、服务质量信誉考核等级B级。</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方正楷体_GBK" w:hAnsi="Times New Roman" w:eastAsia="方正黑体_GBK" w:cs="Times New Roman"/>
          <w:color w:val="000000"/>
          <w:sz w:val="32"/>
          <w:szCs w:val="32"/>
          <w:lang w:val="en-US" w:eastAsia="zh-CN"/>
        </w:rPr>
        <w:t>第三十四条</w:t>
      </w:r>
      <w:r>
        <w:rPr>
          <w:rFonts w:ascii="Times New Roman" w:hAnsi="Times New Roman" w:eastAsia="方正仿宋_GBK" w:cs="Times New Roman"/>
          <w:b/>
          <w:bCs/>
          <w:color w:val="000000"/>
          <w:sz w:val="32"/>
          <w:szCs w:val="32"/>
        </w:rPr>
        <w:t xml:space="preserve"> </w:t>
      </w:r>
      <w:r>
        <w:rPr>
          <w:rFonts w:hint="eastAsia" w:ascii="Times New Roman" w:hAnsi="Times New Roman" w:eastAsia="方正仿宋_GBK" w:cs="Times New Roman"/>
          <w:b/>
          <w:bCs/>
          <w:color w:val="000000"/>
          <w:sz w:val="32"/>
          <w:szCs w:val="32"/>
          <w:lang w:eastAsia="zh-CN"/>
        </w:rPr>
        <w:t xml:space="preserve"> </w:t>
      </w:r>
      <w:r>
        <w:rPr>
          <w:rFonts w:ascii="Times New Roman" w:hAnsi="Times New Roman" w:eastAsia="方正仿宋_GBK" w:cs="Times New Roman"/>
          <w:color w:val="000000"/>
          <w:sz w:val="32"/>
          <w:szCs w:val="32"/>
        </w:rPr>
        <w:t>本</w:t>
      </w:r>
      <w:r>
        <w:rPr>
          <w:rFonts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rPr>
        <w:t>自20</w:t>
      </w:r>
      <w:r>
        <w:rPr>
          <w:rFonts w:ascii="Times New Roman" w:hAnsi="Times New Roman" w:eastAsia="方正仿宋_GBK" w:cs="Times New Roman"/>
          <w:color w:val="000000"/>
          <w:sz w:val="32"/>
          <w:szCs w:val="32"/>
          <w:lang w:val="en-US" w:eastAsia="zh-CN"/>
        </w:rPr>
        <w:t xml:space="preserve">23 </w:t>
      </w:r>
      <w:r>
        <w:rPr>
          <w:rFonts w:ascii="Times New Roman" w:hAnsi="Times New Roman" w:eastAsia="方正仿宋_GBK" w:cs="Times New Roman"/>
          <w:color w:val="000000"/>
          <w:sz w:val="32"/>
          <w:szCs w:val="32"/>
        </w:rPr>
        <w:t>年</w:t>
      </w:r>
      <w:r>
        <w:rPr>
          <w:rFonts w:ascii="Times New Roman" w:hAnsi="Times New Roman" w:eastAsia="方正仿宋_GBK" w:cs="Times New Roman"/>
          <w:color w:val="000000"/>
          <w:sz w:val="32"/>
          <w:szCs w:val="32"/>
          <w:lang w:val="en-US" w:eastAsia="zh-CN"/>
        </w:rPr>
        <w:t>3</w:t>
      </w:r>
      <w:r>
        <w:rPr>
          <w:rFonts w:ascii="Times New Roman" w:hAnsi="Times New Roman" w:eastAsia="方正仿宋_GBK" w:cs="Times New Roman"/>
          <w:color w:val="000000"/>
          <w:sz w:val="32"/>
          <w:szCs w:val="32"/>
        </w:rPr>
        <w:t>月</w:t>
      </w:r>
      <w:r>
        <w:rPr>
          <w:rFonts w:ascii="Times New Roman" w:hAnsi="Times New Roman" w:eastAsia="方正仿宋_GBK" w:cs="Times New Roman"/>
          <w:color w:val="000000"/>
          <w:sz w:val="32"/>
          <w:szCs w:val="32"/>
          <w:lang w:val="en-US" w:eastAsia="zh-CN"/>
        </w:rPr>
        <w:t>1</w:t>
      </w:r>
      <w:r>
        <w:rPr>
          <w:rFonts w:ascii="Times New Roman" w:hAnsi="Times New Roman" w:eastAsia="方正仿宋_GBK" w:cs="Times New Roman"/>
          <w:color w:val="000000"/>
          <w:sz w:val="32"/>
          <w:szCs w:val="32"/>
        </w:rPr>
        <w:t>日起施行。</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附件：1-1</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重庆市道路</w:t>
      </w:r>
      <w:r>
        <w:rPr>
          <w:rFonts w:hint="eastAsia" w:ascii="Times New Roman" w:hAnsi="Times New Roman" w:eastAsia="方正仿宋_GBK" w:cs="Times New Roman"/>
          <w:color w:val="000000"/>
          <w:sz w:val="32"/>
          <w:szCs w:val="32"/>
          <w:lang w:val="en-US" w:eastAsia="zh-CN"/>
        </w:rPr>
        <w:t>旅</w:t>
      </w:r>
      <w:r>
        <w:rPr>
          <w:rFonts w:ascii="Times New Roman" w:hAnsi="Times New Roman" w:eastAsia="方正仿宋_GBK" w:cs="Times New Roman"/>
          <w:color w:val="000000"/>
          <w:sz w:val="32"/>
          <w:szCs w:val="32"/>
          <w:lang w:val="en-US" w:eastAsia="zh-CN"/>
        </w:rPr>
        <w:t>客运输经营者信用评价标准</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1-2</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重庆市普通货物</w:t>
      </w:r>
      <w:r>
        <w:rPr>
          <w:rFonts w:hint="eastAsia" w:ascii="Times New Roman" w:hAnsi="Times New Roman" w:eastAsia="方正仿宋_GBK" w:cs="Times New Roman"/>
          <w:color w:val="000000"/>
          <w:sz w:val="32"/>
          <w:szCs w:val="32"/>
          <w:lang w:val="en-US" w:eastAsia="zh-CN"/>
        </w:rPr>
        <w:t>道路</w:t>
      </w:r>
      <w:r>
        <w:rPr>
          <w:rFonts w:ascii="Times New Roman" w:hAnsi="Times New Roman" w:eastAsia="方正仿宋_GBK" w:cs="Times New Roman"/>
          <w:color w:val="000000"/>
          <w:sz w:val="32"/>
          <w:szCs w:val="32"/>
          <w:lang w:val="en-US" w:eastAsia="zh-CN"/>
        </w:rPr>
        <w:t>运输经营者信用评价标准</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1-3</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重庆市危险货物道路运输经营者信用评价标准</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1-4</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重庆市公共汽车客运企业信用评价标准</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1-5</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重庆市巡游出租汽车经营者信用评价标准</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1-6</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重庆市网络预约出租汽车经营者（平台公司）信用评价</w:t>
      </w:r>
    </w:p>
    <w:p>
      <w:pPr>
        <w:pStyle w:val="20"/>
        <w:spacing w:line="570" w:lineRule="exact"/>
        <w:ind w:firstLine="1280" w:firstLineChars="4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标准</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1-7</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重庆市城市轨道交通运营企业信用评价标准</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1-8</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重庆市汽车客运站经营者信用评价标准</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1-9</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重庆市机动车驾驶员培训机构信用评价标准</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1-10</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重庆市机动车维修企业信用评价标准</w:t>
      </w:r>
    </w:p>
    <w:p>
      <w:pPr>
        <w:pStyle w:val="20"/>
        <w:spacing w:line="570" w:lineRule="exact"/>
        <w:ind w:firstLine="640" w:firstLineChars="200"/>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1-11</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重庆市汽车租赁经营者（企业）信用评价标准</w:t>
      </w:r>
    </w:p>
    <w:p>
      <w:pPr>
        <w:spacing w:line="57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1-12</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重庆市道路运输</w:t>
      </w:r>
      <w:r>
        <w:rPr>
          <w:rFonts w:hint="eastAsia" w:ascii="Times New Roman" w:hAnsi="Times New Roman" w:eastAsia="方正仿宋_GBK" w:cs="Times New Roman"/>
          <w:color w:val="000000"/>
          <w:sz w:val="32"/>
          <w:szCs w:val="32"/>
        </w:rPr>
        <w:t>从业人员（</w:t>
      </w:r>
      <w:r>
        <w:rPr>
          <w:rFonts w:ascii="Times New Roman" w:hAnsi="Times New Roman" w:eastAsia="方正仿宋_GBK" w:cs="Times New Roman"/>
          <w:color w:val="000000"/>
          <w:sz w:val="32"/>
          <w:szCs w:val="32"/>
        </w:rPr>
        <w:t>驾驶员</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信用评价</w:t>
      </w:r>
    </w:p>
    <w:p>
      <w:pPr>
        <w:spacing w:line="570" w:lineRule="exact"/>
        <w:ind w:firstLine="1440" w:firstLineChars="450"/>
        <w:rPr>
          <w:rFonts w:ascii="Times New Roman" w:hAnsi="Times New Roman" w:eastAsia="方正仿宋_GBK" w:cs="Times New Roman"/>
          <w:color w:val="000000"/>
          <w:sz w:val="32"/>
          <w:szCs w:val="32"/>
        </w:rPr>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pPr>
      <w:r>
        <w:rPr>
          <w:rFonts w:ascii="Times New Roman" w:hAnsi="Times New Roman" w:eastAsia="方正仿宋_GBK" w:cs="Times New Roman"/>
          <w:color w:val="000000"/>
          <w:sz w:val="32"/>
          <w:szCs w:val="32"/>
        </w:rPr>
        <w:t>（诚信考核）标准</w:t>
      </w:r>
    </w:p>
    <w:p>
      <w:pPr>
        <w:spacing w:line="500" w:lineRule="exact"/>
        <w:jc w:val="lef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附件1-1</w:t>
      </w:r>
    </w:p>
    <w:p>
      <w:pPr>
        <w:pStyle w:val="13"/>
        <w:spacing w:after="0" w:line="500" w:lineRule="exact"/>
        <w:rPr>
          <w:rFonts w:hint="eastAsia"/>
        </w:rPr>
      </w:pPr>
    </w:p>
    <w:p>
      <w:pPr>
        <w:spacing w:line="500" w:lineRule="exact"/>
        <w:jc w:val="center"/>
        <w:rPr>
          <w:rFonts w:eastAsia="方正小标宋_GBK"/>
          <w:bCs/>
          <w:color w:val="000000"/>
          <w:kern w:val="0"/>
          <w:sz w:val="44"/>
          <w:szCs w:val="44"/>
          <w:lang w:bidi="ar"/>
        </w:rPr>
      </w:pPr>
      <w:r>
        <w:rPr>
          <w:rFonts w:eastAsia="方正小标宋_GBK"/>
          <w:bCs/>
          <w:color w:val="000000"/>
          <w:kern w:val="0"/>
          <w:sz w:val="44"/>
          <w:szCs w:val="44"/>
          <w:lang w:bidi="ar"/>
        </w:rPr>
        <w:t>重庆市道路</w:t>
      </w:r>
      <w:r>
        <w:rPr>
          <w:rFonts w:hint="eastAsia" w:eastAsia="方正小标宋_GBK"/>
          <w:bCs/>
          <w:color w:val="000000"/>
          <w:kern w:val="0"/>
          <w:sz w:val="44"/>
          <w:szCs w:val="44"/>
          <w:lang w:bidi="ar"/>
        </w:rPr>
        <w:t>旅</w:t>
      </w:r>
      <w:r>
        <w:rPr>
          <w:rFonts w:eastAsia="方正小标宋_GBK"/>
          <w:bCs/>
          <w:color w:val="000000"/>
          <w:kern w:val="0"/>
          <w:sz w:val="44"/>
          <w:szCs w:val="44"/>
          <w:lang w:bidi="ar"/>
        </w:rPr>
        <w:t>客运</w:t>
      </w:r>
      <w:r>
        <w:rPr>
          <w:rFonts w:hint="eastAsia" w:eastAsia="方正小标宋_GBK"/>
          <w:bCs/>
          <w:color w:val="000000"/>
          <w:kern w:val="0"/>
          <w:sz w:val="44"/>
          <w:szCs w:val="44"/>
          <w:lang w:bidi="ar"/>
        </w:rPr>
        <w:t>输</w:t>
      </w:r>
      <w:r>
        <w:rPr>
          <w:rFonts w:eastAsia="方正小标宋_GBK"/>
          <w:bCs/>
          <w:color w:val="000000"/>
          <w:kern w:val="0"/>
          <w:sz w:val="44"/>
          <w:szCs w:val="44"/>
          <w:lang w:bidi="ar"/>
        </w:rPr>
        <w:t>经营者信用评价标准</w:t>
      </w:r>
    </w:p>
    <w:p>
      <w:pPr>
        <w:spacing w:line="500" w:lineRule="exact"/>
        <w:ind w:firstLine="280" w:firstLineChars="100"/>
        <w:jc w:val="left"/>
        <w:rPr>
          <w:rFonts w:hint="eastAsia" w:ascii="方正仿宋_GBK" w:eastAsia="方正仿宋_GBK"/>
          <w:bCs/>
          <w:color w:val="000000"/>
          <w:kern w:val="0"/>
          <w:sz w:val="32"/>
          <w:szCs w:val="32"/>
          <w:lang w:bidi="ar"/>
        </w:rPr>
      </w:pPr>
      <w:r>
        <w:rPr>
          <w:rFonts w:hint="eastAsia" w:ascii="方正仿宋_GBK" w:eastAsia="方正仿宋_GBK"/>
          <w:bCs/>
          <w:color w:val="000000"/>
          <w:kern w:val="0"/>
          <w:sz w:val="28"/>
          <w:szCs w:val="28"/>
          <w:lang w:bidi="ar"/>
        </w:rPr>
        <w:t>被评价企业：                                                            评价年度：</w:t>
      </w:r>
    </w:p>
    <w:tbl>
      <w:tblPr>
        <w:tblStyle w:val="14"/>
        <w:tblpPr w:leftFromText="180" w:rightFromText="180" w:vertAnchor="text" w:tblpXSpec="center" w:tblpY="1"/>
        <w:tblOverlap w:val="never"/>
        <w:tblW w:w="13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59"/>
        <w:gridCol w:w="1579"/>
        <w:gridCol w:w="735"/>
        <w:gridCol w:w="5143"/>
        <w:gridCol w:w="1171"/>
        <w:gridCol w:w="368"/>
        <w:gridCol w:w="2145"/>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Header/>
        </w:trPr>
        <w:tc>
          <w:tcPr>
            <w:tcW w:w="721" w:type="dxa"/>
            <w:vAlign w:val="center"/>
          </w:tcPr>
          <w:p>
            <w:pPr>
              <w:widowControl/>
              <w:spacing w:line="260" w:lineRule="exact"/>
              <w:jc w:val="center"/>
              <w:textAlignment w:val="center"/>
              <w:rPr>
                <w:rFonts w:eastAsia="黑体"/>
                <w:bCs/>
                <w:color w:val="000000"/>
                <w:kern w:val="0"/>
                <w:sz w:val="24"/>
                <w:lang w:bidi="ar"/>
              </w:rPr>
            </w:pPr>
            <w:r>
              <w:rPr>
                <w:rFonts w:eastAsia="黑体"/>
                <w:bCs/>
                <w:color w:val="000000"/>
                <w:kern w:val="0"/>
                <w:sz w:val="24"/>
                <w:lang w:bidi="ar"/>
              </w:rPr>
              <w:t>序号</w:t>
            </w:r>
          </w:p>
        </w:tc>
        <w:tc>
          <w:tcPr>
            <w:tcW w:w="1259" w:type="dxa"/>
            <w:vAlign w:val="center"/>
          </w:tcPr>
          <w:p>
            <w:pPr>
              <w:widowControl/>
              <w:spacing w:line="260" w:lineRule="exact"/>
              <w:jc w:val="center"/>
              <w:textAlignment w:val="center"/>
              <w:rPr>
                <w:rFonts w:eastAsia="黑体"/>
                <w:bCs/>
                <w:color w:val="000000"/>
                <w:kern w:val="0"/>
                <w:sz w:val="24"/>
                <w:lang w:bidi="ar"/>
              </w:rPr>
            </w:pPr>
            <w:r>
              <w:rPr>
                <w:rFonts w:eastAsia="黑体"/>
                <w:bCs/>
                <w:color w:val="000000"/>
                <w:kern w:val="0"/>
                <w:sz w:val="24"/>
                <w:lang w:bidi="ar"/>
              </w:rPr>
              <w:t>一级指标及分值</w:t>
            </w:r>
          </w:p>
        </w:tc>
        <w:tc>
          <w:tcPr>
            <w:tcW w:w="1579" w:type="dxa"/>
            <w:noWrap/>
            <w:vAlign w:val="center"/>
          </w:tcPr>
          <w:p>
            <w:pPr>
              <w:widowControl/>
              <w:spacing w:line="260" w:lineRule="exact"/>
              <w:jc w:val="center"/>
              <w:textAlignment w:val="center"/>
              <w:rPr>
                <w:rFonts w:hint="eastAsia" w:eastAsia="黑体"/>
                <w:bCs/>
                <w:color w:val="000000"/>
                <w:kern w:val="0"/>
                <w:sz w:val="24"/>
                <w:lang w:bidi="ar"/>
              </w:rPr>
            </w:pPr>
            <w:r>
              <w:rPr>
                <w:rFonts w:eastAsia="黑体"/>
                <w:bCs/>
                <w:color w:val="000000"/>
                <w:kern w:val="0"/>
                <w:sz w:val="24"/>
                <w:lang w:bidi="ar"/>
              </w:rPr>
              <w:t>二级</w:t>
            </w:r>
          </w:p>
          <w:p>
            <w:pPr>
              <w:widowControl/>
              <w:spacing w:line="260" w:lineRule="exact"/>
              <w:jc w:val="center"/>
              <w:textAlignment w:val="center"/>
              <w:rPr>
                <w:rFonts w:eastAsia="黑体"/>
                <w:bCs/>
                <w:color w:val="000000"/>
                <w:kern w:val="0"/>
                <w:sz w:val="24"/>
                <w:lang w:bidi="ar"/>
              </w:rPr>
            </w:pPr>
            <w:r>
              <w:rPr>
                <w:rFonts w:eastAsia="黑体"/>
                <w:bCs/>
                <w:color w:val="000000"/>
                <w:kern w:val="0"/>
                <w:sz w:val="24"/>
                <w:lang w:bidi="ar"/>
              </w:rPr>
              <w:t>指标</w:t>
            </w:r>
          </w:p>
        </w:tc>
        <w:tc>
          <w:tcPr>
            <w:tcW w:w="735" w:type="dxa"/>
            <w:noWrap/>
            <w:vAlign w:val="center"/>
          </w:tcPr>
          <w:p>
            <w:pPr>
              <w:widowControl/>
              <w:spacing w:line="260" w:lineRule="exact"/>
              <w:jc w:val="center"/>
              <w:textAlignment w:val="center"/>
              <w:rPr>
                <w:rFonts w:eastAsia="黑体"/>
                <w:bCs/>
                <w:color w:val="000000"/>
                <w:kern w:val="0"/>
                <w:sz w:val="24"/>
                <w:lang w:bidi="ar"/>
              </w:rPr>
            </w:pPr>
            <w:r>
              <w:rPr>
                <w:rFonts w:eastAsia="黑体"/>
                <w:bCs/>
                <w:color w:val="000000"/>
                <w:kern w:val="0"/>
                <w:sz w:val="24"/>
                <w:lang w:bidi="ar"/>
              </w:rPr>
              <w:t>分值</w:t>
            </w:r>
          </w:p>
        </w:tc>
        <w:tc>
          <w:tcPr>
            <w:tcW w:w="6314" w:type="dxa"/>
            <w:gridSpan w:val="2"/>
            <w:vAlign w:val="center"/>
          </w:tcPr>
          <w:p>
            <w:pPr>
              <w:widowControl/>
              <w:spacing w:line="260" w:lineRule="exact"/>
              <w:jc w:val="center"/>
              <w:textAlignment w:val="center"/>
              <w:rPr>
                <w:rFonts w:eastAsia="黑体"/>
                <w:bCs/>
                <w:color w:val="000000"/>
                <w:kern w:val="0"/>
                <w:sz w:val="24"/>
                <w:lang w:bidi="ar"/>
              </w:rPr>
            </w:pPr>
            <w:r>
              <w:rPr>
                <w:rFonts w:eastAsia="黑体"/>
                <w:bCs/>
                <w:color w:val="000000"/>
                <w:kern w:val="0"/>
                <w:sz w:val="24"/>
                <w:lang w:bidi="ar"/>
              </w:rPr>
              <w:t>评分标准</w:t>
            </w:r>
          </w:p>
        </w:tc>
        <w:tc>
          <w:tcPr>
            <w:tcW w:w="2513" w:type="dxa"/>
            <w:gridSpan w:val="2"/>
            <w:noWrap/>
            <w:vAlign w:val="center"/>
          </w:tcPr>
          <w:p>
            <w:pPr>
              <w:widowControl/>
              <w:spacing w:line="260" w:lineRule="exact"/>
              <w:jc w:val="center"/>
              <w:textAlignment w:val="center"/>
              <w:rPr>
                <w:rFonts w:eastAsia="黑体"/>
                <w:bCs/>
                <w:color w:val="000000"/>
                <w:kern w:val="0"/>
                <w:sz w:val="24"/>
                <w:lang w:bidi="ar"/>
              </w:rPr>
            </w:pPr>
            <w:r>
              <w:rPr>
                <w:rFonts w:eastAsia="黑体"/>
                <w:bCs/>
                <w:color w:val="000000"/>
                <w:kern w:val="0"/>
                <w:sz w:val="24"/>
                <w:lang w:bidi="ar"/>
              </w:rPr>
              <w:t>数据来源</w:t>
            </w:r>
          </w:p>
        </w:tc>
        <w:tc>
          <w:tcPr>
            <w:tcW w:w="695" w:type="dxa"/>
            <w:noWrap/>
            <w:vAlign w:val="center"/>
          </w:tcPr>
          <w:p>
            <w:pPr>
              <w:widowControl/>
              <w:spacing w:line="260" w:lineRule="exact"/>
              <w:jc w:val="center"/>
              <w:textAlignment w:val="center"/>
              <w:rPr>
                <w:rFonts w:eastAsia="黑体"/>
                <w:bCs/>
                <w:color w:val="000000"/>
                <w:kern w:val="0"/>
                <w:sz w:val="24"/>
                <w:lang w:val="en" w:bidi="ar"/>
              </w:rPr>
            </w:pPr>
            <w:r>
              <w:rPr>
                <w:rFonts w:eastAsia="黑体"/>
                <w:bCs/>
                <w:color w:val="000000"/>
                <w:kern w:val="0"/>
                <w:sz w:val="24"/>
                <w:lang w:val="e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w:t>
            </w:r>
          </w:p>
        </w:tc>
        <w:tc>
          <w:tcPr>
            <w:tcW w:w="1259" w:type="dxa"/>
            <w:vMerge w:val="restart"/>
            <w:vAlign w:val="center"/>
          </w:tcPr>
          <w:p>
            <w:pPr>
              <w:widowControl/>
              <w:spacing w:line="260" w:lineRule="exact"/>
              <w:jc w:val="center"/>
              <w:textAlignment w:val="center"/>
              <w:rPr>
                <w:rStyle w:val="25"/>
                <w:rFonts w:hint="eastAsia"/>
              </w:rPr>
            </w:pPr>
          </w:p>
          <w:p>
            <w:pPr>
              <w:widowControl/>
              <w:spacing w:line="260" w:lineRule="exact"/>
              <w:jc w:val="center"/>
              <w:textAlignment w:val="center"/>
              <w:rPr>
                <w:rStyle w:val="25"/>
                <w:rFonts w:hint="eastAsia"/>
              </w:rPr>
            </w:pPr>
          </w:p>
          <w:p>
            <w:pPr>
              <w:widowControl/>
              <w:spacing w:line="260" w:lineRule="exact"/>
              <w:jc w:val="center"/>
              <w:textAlignment w:val="center"/>
              <w:rPr>
                <w:rStyle w:val="25"/>
                <w:rFonts w:hint="eastAsia"/>
              </w:rPr>
            </w:pPr>
          </w:p>
          <w:p>
            <w:pPr>
              <w:pStyle w:val="13"/>
              <w:rPr>
                <w:rFonts w:hint="eastAsia"/>
              </w:rPr>
            </w:pPr>
          </w:p>
          <w:p>
            <w:pPr>
              <w:widowControl/>
              <w:spacing w:line="260" w:lineRule="exact"/>
              <w:jc w:val="center"/>
              <w:textAlignment w:val="center"/>
              <w:rPr>
                <w:rStyle w:val="25"/>
                <w:rFonts w:hint="eastAsia"/>
              </w:rPr>
            </w:pPr>
          </w:p>
          <w:p>
            <w:pPr>
              <w:widowControl/>
              <w:spacing w:line="260" w:lineRule="exact"/>
              <w:jc w:val="center"/>
              <w:textAlignment w:val="center"/>
              <w:rPr>
                <w:rStyle w:val="25"/>
                <w:rFonts w:hint="eastAsia"/>
              </w:rPr>
            </w:pPr>
          </w:p>
          <w:p>
            <w:pPr>
              <w:widowControl/>
              <w:spacing w:line="260" w:lineRule="exact"/>
              <w:jc w:val="center"/>
              <w:textAlignment w:val="center"/>
              <w:rPr>
                <w:rStyle w:val="25"/>
                <w:rFonts w:hint="eastAsia"/>
              </w:rPr>
            </w:pPr>
          </w:p>
          <w:p>
            <w:pPr>
              <w:widowControl/>
              <w:spacing w:line="260" w:lineRule="exact"/>
              <w:jc w:val="center"/>
              <w:textAlignment w:val="center"/>
              <w:rPr>
                <w:rStyle w:val="25"/>
              </w:rPr>
            </w:pPr>
            <w:r>
              <w:rPr>
                <w:rStyle w:val="25"/>
              </w:rPr>
              <w:t>经营管理</w:t>
            </w:r>
          </w:p>
          <w:p>
            <w:pPr>
              <w:widowControl/>
              <w:spacing w:line="260" w:lineRule="exact"/>
              <w:jc w:val="center"/>
              <w:textAlignment w:val="center"/>
              <w:rPr>
                <w:rStyle w:val="25"/>
                <w:rFonts w:hint="eastAsia"/>
              </w:rPr>
            </w:pPr>
            <w:r>
              <w:rPr>
                <w:rStyle w:val="25"/>
              </w:rPr>
              <w:t>（30分）</w:t>
            </w:r>
          </w:p>
          <w:p>
            <w:pPr>
              <w:pStyle w:val="13"/>
              <w:rPr>
                <w:rFonts w:hint="eastAsia"/>
              </w:rPr>
            </w:pPr>
          </w:p>
          <w:p>
            <w:pPr>
              <w:pStyle w:val="4"/>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年度安全生产目标</w:t>
            </w:r>
          </w:p>
        </w:tc>
        <w:tc>
          <w:tcPr>
            <w:tcW w:w="735" w:type="dxa"/>
            <w:vMerge w:val="restart"/>
            <w:vAlign w:val="center"/>
          </w:tcPr>
          <w:p>
            <w:pPr>
              <w:widowControl/>
              <w:spacing w:line="260" w:lineRule="exact"/>
              <w:jc w:val="center"/>
              <w:textAlignment w:val="center"/>
              <w:rPr>
                <w:rFonts w:eastAsia="方正楷体_GBK"/>
                <w:color w:val="000000"/>
                <w:kern w:val="0"/>
                <w:sz w:val="24"/>
                <w:lang w:bidi="ar"/>
              </w:rPr>
            </w:pPr>
            <w:r>
              <w:rPr>
                <w:rFonts w:eastAsia="方正楷体_GBK"/>
                <w:color w:val="000000"/>
                <w:kern w:val="0"/>
                <w:sz w:val="24"/>
                <w:lang w:bidi="ar"/>
              </w:rPr>
              <w:t>并项记分</w:t>
            </w: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企业应当制定年度安全生产目标，未制定扣5分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tcPr>
          <w:p>
            <w:pPr>
              <w:widowControl/>
              <w:spacing w:line="260" w:lineRule="exact"/>
              <w:ind w:firstLine="241" w:firstLineChars="100"/>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安全目标考核</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企业应当依照年度安全生产目标中的规定，对各部门、各岗位人员进行安全目标考核，未公布考核结果及奖惩情况扣5分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ind w:firstLine="241" w:firstLineChars="100"/>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3</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安全生产目标责任书</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企业应当与驾驶员签订安全生产责任书，每缺一人扣1分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4</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安全生产领导机构</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企业应当依法设置安全生产领导机构，未设置扣5分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ind w:firstLine="241" w:firstLineChars="100"/>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5</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安全生产管理机构</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企业应当依法设置安全生产管理机构或者配备专职安全生产管理人员，未设置并且未配备扣10分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tcPr>
          <w:p>
            <w:pPr>
              <w:pStyle w:val="4"/>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6</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车辆技术管理机构</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20辆（含）以上客运车辆的客运企业应当设置车辆技术管理机构，未设置扣5分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tcPr>
          <w:p>
            <w:pPr>
              <w:pStyle w:val="13"/>
              <w:spacing w:after="0" w:line="260" w:lineRule="exact"/>
              <w:ind w:left="0" w:leftChars="0"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7</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动态监控人员</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企业应当配备不低于2人的专职动态监控人员，未配备扣2分，每缺1人扣1分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8</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车辆技术管理人员</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企业应当配备车辆技术管理人员，每50辆/人，最低不少于1人，未配备扣5分，每缺1人扣1分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9</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安全生产工作会议</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企业应当定期召开安全生产工作会议，未召开扣1分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10</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安全例会</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企业应当定期召开安全例会，未召开扣1分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11</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机动车交通事故责任强制保险</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企业应当投保机动车交通事故责任强制保险，每缺一车扣1分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12</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承运人责任险</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企业应当按法规要求，为营运车辆投保承运人责任险，每缺一车扣1分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13</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安全费用提取记录</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企业应当以上年度实际营业收入为计提依据，按照1.5%标准平均逐月提取和使用安全费用，未编制年度安全费用提取记录扣1分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14</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安全费用使用记录</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企业按要求提取和使用安全费用，未编制安全费用使用台账使用记录扣1分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15</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应急救援预案</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企业制定应急救援预案，未制定扣5分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16</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应急预案演练</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企业应当定期组织应急演练，每年至少一次综合应急预案演练或者专项应急预案演练，每半年至少组织一次现场处置方案演练，每缺少1次扣1分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17</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隐患排查治理档案</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企业应当编制隐患排查治理档案，未编制扣1分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18</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从业资格证</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从业人员应当经考试合格，取得从业资格证才能上岗，每缺一人扣1分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19</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机动车驾驶证</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从业人员应当经考试合格，取得相应车型机动车驾驶证才能上岗，每缺一人扣1分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20</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岗前培训</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从业人员岗前培训不少于24学时，每缺1人扣1分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21</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安全教育培训</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驾驶员每月安全教育培训不少于3小时，每缺1人扣1分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22</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教育培训档案</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企业应当编制教育培训档案，每缺1人扣1分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23</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从业行为定期考核</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企业应当每3个月对驾驶员进行从业行为定期考核，每缺1人扣1分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24</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驾驶员信息档案</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企业应应当制定驾驶员信息档案，每缺一人扣1分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25</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车辆营运证</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机动车应当有合法有效的车辆营运证，每缺一车扣1分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26</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车辆技术</w:t>
            </w:r>
          </w:p>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档案</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企业应当制定车辆技术档案，每缺一车扣1分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27</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车辆二级</w:t>
            </w:r>
          </w:p>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维护</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企业应当按规定对车辆进行二级维护，每缺一车扣1分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28</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综合性能</w:t>
            </w:r>
          </w:p>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检测</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企业应当每年当对车辆进行综合性能检测，每缺一车扣1分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29</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客运线路信息台账</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企业应当编制客运线路信息台账，未编制扣1分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30</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动态监控</w:t>
            </w:r>
          </w:p>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台账</w:t>
            </w:r>
          </w:p>
        </w:tc>
        <w:tc>
          <w:tcPr>
            <w:tcW w:w="735" w:type="dxa"/>
            <w:vMerge w:val="continue"/>
            <w:vAlign w:val="center"/>
          </w:tcPr>
          <w:p>
            <w:pPr>
              <w:widowControl/>
              <w:spacing w:line="260" w:lineRule="exact"/>
              <w:jc w:val="center"/>
              <w:textAlignment w:val="center"/>
              <w:rPr>
                <w:rFonts w:eastAsia="方正楷体_GBK"/>
                <w:color w:val="000000"/>
                <w:kern w:val="0"/>
                <w:sz w:val="24"/>
                <w:lang w:bidi="ar"/>
              </w:rPr>
            </w:pP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企业应当编制动态监控台账，未编制扣1分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vAlign w:val="center"/>
          </w:tcPr>
          <w:p>
            <w:pPr>
              <w:widowControl/>
              <w:spacing w:line="26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31</w:t>
            </w:r>
          </w:p>
        </w:tc>
        <w:tc>
          <w:tcPr>
            <w:tcW w:w="1259" w:type="dxa"/>
            <w:vMerge w:val="restart"/>
            <w:vAlign w:val="center"/>
          </w:tcPr>
          <w:p>
            <w:pPr>
              <w:widowControl/>
              <w:spacing w:line="260" w:lineRule="exact"/>
              <w:jc w:val="center"/>
              <w:textAlignment w:val="center"/>
              <w:rPr>
                <w:rStyle w:val="25"/>
                <w:rFonts w:hint="eastAsia"/>
              </w:rPr>
            </w:pPr>
          </w:p>
          <w:p>
            <w:pPr>
              <w:widowControl/>
              <w:spacing w:line="260" w:lineRule="exact"/>
              <w:jc w:val="center"/>
              <w:textAlignment w:val="center"/>
              <w:rPr>
                <w:rStyle w:val="25"/>
                <w:rFonts w:hint="eastAsia"/>
              </w:rPr>
            </w:pPr>
          </w:p>
          <w:p>
            <w:pPr>
              <w:widowControl/>
              <w:spacing w:line="260" w:lineRule="exact"/>
              <w:jc w:val="center"/>
              <w:textAlignment w:val="center"/>
              <w:rPr>
                <w:rStyle w:val="25"/>
              </w:rPr>
            </w:pPr>
            <w:r>
              <w:rPr>
                <w:rStyle w:val="25"/>
              </w:rPr>
              <w:t>安全生产</w:t>
            </w:r>
          </w:p>
          <w:p>
            <w:pPr>
              <w:widowControl/>
              <w:spacing w:line="260" w:lineRule="exact"/>
              <w:jc w:val="center"/>
              <w:textAlignment w:val="center"/>
              <w:rPr>
                <w:rStyle w:val="25"/>
                <w:rFonts w:hint="eastAsia"/>
              </w:rPr>
            </w:pPr>
            <w:r>
              <w:rPr>
                <w:rStyle w:val="25"/>
              </w:rPr>
              <w:t>（30分）</w:t>
            </w:r>
          </w:p>
          <w:p>
            <w:pPr>
              <w:pStyle w:val="13"/>
              <w:rPr>
                <w:rFonts w:hint="eastAsia"/>
              </w:rPr>
            </w:pPr>
          </w:p>
          <w:p>
            <w:pPr>
              <w:pStyle w:val="4"/>
              <w:rPr>
                <w:rFonts w:hint="eastAsia"/>
              </w:rPr>
            </w:pPr>
          </w:p>
        </w:tc>
        <w:tc>
          <w:tcPr>
            <w:tcW w:w="1579"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挂牌督办</w:t>
            </w:r>
          </w:p>
        </w:tc>
        <w:tc>
          <w:tcPr>
            <w:tcW w:w="735"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5分</w:t>
            </w: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考核周期内被列为中央、国家相关部门挂牌督办的，信用评价为C级，被市级相关部门挂牌督办的扣2.5分，被区（县）级相关部门挂牌督办的扣1分。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正式通报、文件通知</w:t>
            </w:r>
          </w:p>
        </w:tc>
        <w:tc>
          <w:tcPr>
            <w:tcW w:w="695" w:type="dxa"/>
            <w:vAlign w:val="center"/>
          </w:tcPr>
          <w:p>
            <w:pPr>
              <w:widowControl/>
              <w:spacing w:line="260" w:lineRule="exact"/>
              <w:ind w:firstLine="241" w:firstLineChars="100"/>
              <w:jc w:val="left"/>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32</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行政</w:t>
            </w:r>
            <w:r>
              <w:rPr>
                <w:rFonts w:hint="eastAsia" w:eastAsia="方正仿宋_GBK"/>
                <w:color w:val="000000"/>
                <w:kern w:val="0"/>
                <w:sz w:val="22"/>
                <w:szCs w:val="22"/>
                <w:lang w:bidi="ar"/>
              </w:rPr>
              <w:t>处罚情况</w:t>
            </w:r>
          </w:p>
        </w:tc>
        <w:tc>
          <w:tcPr>
            <w:tcW w:w="735"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15分</w:t>
            </w: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企业营运客车交通违法率，每达到0.01次/车，扣0.5分；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在考核周期届满时，存在未履行交通运输行政处罚决定的，按照该交通运输行政处罚信用扣分标准，再次扣除相应分数。</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日常检查，日常信息收集，投诉信息汇总或数据信息共享</w:t>
            </w:r>
          </w:p>
        </w:tc>
        <w:tc>
          <w:tcPr>
            <w:tcW w:w="695" w:type="dxa"/>
          </w:tcPr>
          <w:p>
            <w:pPr>
              <w:widowControl/>
              <w:spacing w:line="260" w:lineRule="exact"/>
              <w:ind w:firstLine="241" w:firstLineChars="100"/>
              <w:jc w:val="left"/>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33</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责任事故情况</w:t>
            </w:r>
          </w:p>
        </w:tc>
        <w:tc>
          <w:tcPr>
            <w:tcW w:w="735"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10分</w:t>
            </w: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发生道路旅客运输交通责任事故的（同等责任及以上），事故率每达到0.01次/车，扣2分。企业发生道路旅客运输亡人责任事故（同等责任及以上），死亡率每达到0.01人/车扣5分，发生拖延报告亡人事故的，每次扣1分；存在瞒报、谎报亡人事故的，每次扣2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日常检查，日常信息收集，投诉信息汇总或数据信息共享</w:t>
            </w:r>
          </w:p>
        </w:tc>
        <w:tc>
          <w:tcPr>
            <w:tcW w:w="695" w:type="dxa"/>
          </w:tcPr>
          <w:p>
            <w:pPr>
              <w:widowControl/>
              <w:spacing w:line="260" w:lineRule="exact"/>
              <w:ind w:firstLine="241" w:firstLineChars="100"/>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21" w:type="dxa"/>
            <w:noWrap/>
            <w:vAlign w:val="center"/>
          </w:tcPr>
          <w:p>
            <w:pPr>
              <w:widowControl/>
              <w:spacing w:line="260" w:lineRule="exact"/>
              <w:jc w:val="center"/>
              <w:textAlignment w:val="center"/>
              <w:rPr>
                <w:color w:val="000000"/>
                <w:sz w:val="22"/>
                <w:szCs w:val="22"/>
              </w:rPr>
            </w:pPr>
            <w:r>
              <w:rPr>
                <w:color w:val="000000"/>
                <w:kern w:val="0"/>
                <w:sz w:val="22"/>
                <w:szCs w:val="22"/>
                <w:lang w:bidi="ar"/>
              </w:rPr>
              <w:t>34</w:t>
            </w:r>
          </w:p>
        </w:tc>
        <w:tc>
          <w:tcPr>
            <w:tcW w:w="1259" w:type="dxa"/>
            <w:vMerge w:val="restart"/>
            <w:vAlign w:val="center"/>
          </w:tcPr>
          <w:p>
            <w:pPr>
              <w:widowControl/>
              <w:spacing w:line="260" w:lineRule="exact"/>
              <w:jc w:val="center"/>
              <w:textAlignment w:val="center"/>
              <w:rPr>
                <w:rStyle w:val="25"/>
              </w:rPr>
            </w:pPr>
            <w:r>
              <w:rPr>
                <w:rStyle w:val="25"/>
              </w:rPr>
              <w:t>服务质量</w:t>
            </w:r>
          </w:p>
          <w:p>
            <w:pPr>
              <w:widowControl/>
              <w:spacing w:line="260" w:lineRule="exact"/>
              <w:jc w:val="center"/>
              <w:textAlignment w:val="center"/>
              <w:rPr>
                <w:rFonts w:eastAsia="方正楷体_GBK"/>
                <w:b/>
                <w:bCs/>
                <w:color w:val="000000"/>
                <w:kern w:val="0"/>
                <w:sz w:val="22"/>
                <w:szCs w:val="22"/>
                <w:lang w:bidi="ar"/>
              </w:rPr>
            </w:pPr>
            <w:r>
              <w:rPr>
                <w:rStyle w:val="25"/>
              </w:rPr>
              <w:t>（30分）</w:t>
            </w:r>
          </w:p>
        </w:tc>
        <w:tc>
          <w:tcPr>
            <w:tcW w:w="1579"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服务质量</w:t>
            </w:r>
          </w:p>
          <w:p>
            <w:pPr>
              <w:widowControl/>
              <w:spacing w:line="260" w:lineRule="exact"/>
              <w:jc w:val="left"/>
              <w:textAlignment w:val="center"/>
              <w:rPr>
                <w:rFonts w:eastAsia="方正仿宋_GBK"/>
                <w:color w:val="000000"/>
                <w:kern w:val="0"/>
                <w:sz w:val="22"/>
                <w:szCs w:val="22"/>
                <w:lang w:bidi="ar"/>
              </w:rPr>
            </w:pPr>
            <w:r>
              <w:rPr>
                <w:rFonts w:hint="eastAsia" w:eastAsia="方正仿宋_GBK"/>
                <w:color w:val="000000"/>
                <w:kern w:val="0"/>
                <w:sz w:val="22"/>
                <w:szCs w:val="22"/>
                <w:lang w:bidi="ar"/>
              </w:rPr>
              <w:t>有</w:t>
            </w:r>
            <w:r>
              <w:rPr>
                <w:rFonts w:eastAsia="方正仿宋_GBK"/>
                <w:color w:val="000000"/>
                <w:kern w:val="0"/>
                <w:sz w:val="22"/>
                <w:szCs w:val="22"/>
                <w:lang w:bidi="ar"/>
              </w:rPr>
              <w:t>责投诉率</w:t>
            </w:r>
          </w:p>
        </w:tc>
        <w:tc>
          <w:tcPr>
            <w:tcW w:w="735"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10分</w:t>
            </w:r>
          </w:p>
        </w:tc>
        <w:tc>
          <w:tcPr>
            <w:tcW w:w="6314"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企业服务质量</w:t>
            </w:r>
            <w:r>
              <w:rPr>
                <w:rFonts w:hint="eastAsia" w:eastAsia="方正仿宋_GBK"/>
                <w:color w:val="000000"/>
                <w:kern w:val="0"/>
                <w:sz w:val="22"/>
                <w:szCs w:val="22"/>
                <w:lang w:bidi="ar"/>
              </w:rPr>
              <w:t>有</w:t>
            </w:r>
            <w:r>
              <w:rPr>
                <w:rFonts w:eastAsia="方正仿宋_GBK"/>
                <w:color w:val="000000"/>
                <w:kern w:val="0"/>
                <w:sz w:val="22"/>
                <w:szCs w:val="22"/>
                <w:lang w:bidi="ar"/>
              </w:rPr>
              <w:t>责投诉率每增加0.01次/车，扣2分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w:t>
            </w:r>
          </w:p>
        </w:tc>
        <w:tc>
          <w:tcPr>
            <w:tcW w:w="695" w:type="dxa"/>
            <w:vAlign w:val="center"/>
          </w:tcPr>
          <w:p>
            <w:pPr>
              <w:widowControl/>
              <w:spacing w:line="260" w:lineRule="exact"/>
              <w:jc w:val="center"/>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35</w:t>
            </w:r>
          </w:p>
        </w:tc>
        <w:tc>
          <w:tcPr>
            <w:tcW w:w="1259" w:type="dxa"/>
            <w:vMerge w:val="continue"/>
            <w:vAlign w:val="center"/>
          </w:tcPr>
          <w:p>
            <w:pPr>
              <w:widowControl/>
              <w:spacing w:line="260" w:lineRule="exact"/>
              <w:jc w:val="center"/>
              <w:rPr>
                <w:rFonts w:eastAsia="方正楷体_GBK"/>
                <w:b/>
                <w:bCs/>
                <w:color w:val="000000"/>
                <w:sz w:val="22"/>
                <w:szCs w:val="22"/>
              </w:rPr>
            </w:pPr>
          </w:p>
        </w:tc>
        <w:tc>
          <w:tcPr>
            <w:tcW w:w="1579"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服务事件</w:t>
            </w:r>
          </w:p>
        </w:tc>
        <w:tc>
          <w:tcPr>
            <w:tcW w:w="735"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20分</w:t>
            </w:r>
          </w:p>
        </w:tc>
        <w:tc>
          <w:tcPr>
            <w:tcW w:w="6314"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企业在道路旅客运输过程中，发生服务事件被辖区有关部门通报的，每次扣5分。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w:t>
            </w:r>
          </w:p>
        </w:tc>
        <w:tc>
          <w:tcPr>
            <w:tcW w:w="695" w:type="dxa"/>
          </w:tcPr>
          <w:p>
            <w:pPr>
              <w:widowControl/>
              <w:spacing w:line="260" w:lineRule="exact"/>
              <w:ind w:firstLine="210" w:firstLineChars="1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36</w:t>
            </w:r>
          </w:p>
        </w:tc>
        <w:tc>
          <w:tcPr>
            <w:tcW w:w="1259" w:type="dxa"/>
            <w:vMerge w:val="restart"/>
            <w:vAlign w:val="center"/>
          </w:tcPr>
          <w:p>
            <w:pPr>
              <w:widowControl/>
              <w:spacing w:line="260" w:lineRule="exact"/>
              <w:jc w:val="center"/>
              <w:textAlignment w:val="center"/>
              <w:rPr>
                <w:rFonts w:eastAsia="方正楷体_GBK"/>
                <w:b/>
                <w:bCs/>
                <w:color w:val="000000"/>
                <w:kern w:val="0"/>
                <w:sz w:val="22"/>
                <w:szCs w:val="22"/>
                <w:lang w:bidi="ar"/>
              </w:rPr>
            </w:pPr>
            <w:r>
              <w:rPr>
                <w:rStyle w:val="25"/>
              </w:rPr>
              <w:t>社会责任（10分）</w:t>
            </w:r>
          </w:p>
        </w:tc>
        <w:tc>
          <w:tcPr>
            <w:tcW w:w="1579"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行业稳定维护情况</w:t>
            </w:r>
          </w:p>
        </w:tc>
        <w:tc>
          <w:tcPr>
            <w:tcW w:w="735"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6分</w:t>
            </w: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因经营行为引发集访的，每次扣2分；引发行业稳定的，每次扣6分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行业信息收集</w:t>
            </w:r>
          </w:p>
        </w:tc>
        <w:tc>
          <w:tcPr>
            <w:tcW w:w="695" w:type="dxa"/>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37</w:t>
            </w:r>
          </w:p>
        </w:tc>
        <w:tc>
          <w:tcPr>
            <w:tcW w:w="1259" w:type="dxa"/>
            <w:vMerge w:val="continue"/>
            <w:vAlign w:val="center"/>
          </w:tcPr>
          <w:p>
            <w:pPr>
              <w:widowControl/>
              <w:spacing w:line="260" w:lineRule="exact"/>
              <w:jc w:val="center"/>
              <w:textAlignment w:val="center"/>
              <w:rPr>
                <w:rFonts w:eastAsia="方正楷体_GBK"/>
                <w:b/>
                <w:bCs/>
                <w:color w:val="000000"/>
                <w:kern w:val="0"/>
                <w:sz w:val="22"/>
                <w:szCs w:val="22"/>
                <w:lang w:bidi="ar"/>
              </w:rPr>
            </w:pPr>
          </w:p>
        </w:tc>
        <w:tc>
          <w:tcPr>
            <w:tcW w:w="1579"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 xml:space="preserve">落实行业管理要求 </w:t>
            </w:r>
          </w:p>
        </w:tc>
        <w:tc>
          <w:tcPr>
            <w:tcW w:w="735"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4分</w:t>
            </w:r>
          </w:p>
        </w:tc>
        <w:tc>
          <w:tcPr>
            <w:tcW w:w="6314" w:type="dxa"/>
            <w:gridSpan w:val="2"/>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不按照行业管理的要求或者行业自律安排，在落实工作责任或者维护行业运营秩序方面存在问题，被交通行业管理部门通报的，轻微事项的每次扣0.5分，情形严重的每次扣1分；被行政部门约谈的，每次加扣1分，约谈后仍不整改的，每次加扣2分。未按要求落实双重预防机制的，每次扣2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行业信息收集</w:t>
            </w:r>
          </w:p>
        </w:tc>
        <w:tc>
          <w:tcPr>
            <w:tcW w:w="695" w:type="dxa"/>
            <w:vAlign w:val="center"/>
          </w:tcPr>
          <w:p>
            <w:pPr>
              <w:widowControl/>
              <w:spacing w:line="260" w:lineRule="exact"/>
              <w:ind w:firstLine="200" w:firstLineChars="100"/>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38</w:t>
            </w:r>
          </w:p>
        </w:tc>
        <w:tc>
          <w:tcPr>
            <w:tcW w:w="1259" w:type="dxa"/>
            <w:vMerge w:val="restart"/>
            <w:vAlign w:val="center"/>
          </w:tcPr>
          <w:p>
            <w:pPr>
              <w:widowControl/>
              <w:spacing w:line="260" w:lineRule="exact"/>
              <w:jc w:val="center"/>
              <w:rPr>
                <w:rFonts w:eastAsia="方正楷体_GBK"/>
                <w:b/>
                <w:bCs/>
                <w:color w:val="000000"/>
                <w:sz w:val="22"/>
                <w:szCs w:val="22"/>
              </w:rPr>
            </w:pPr>
            <w:r>
              <w:rPr>
                <w:rStyle w:val="25"/>
              </w:rPr>
              <w:t>加分项</w:t>
            </w:r>
          </w:p>
        </w:tc>
        <w:tc>
          <w:tcPr>
            <w:tcW w:w="1579"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行业正面典型及荣誉表彰情况</w:t>
            </w:r>
          </w:p>
        </w:tc>
        <w:tc>
          <w:tcPr>
            <w:tcW w:w="735" w:type="dxa"/>
            <w:vAlign w:val="center"/>
          </w:tcPr>
          <w:p>
            <w:pPr>
              <w:widowControl/>
              <w:spacing w:line="260" w:lineRule="exact"/>
              <w:jc w:val="left"/>
              <w:textAlignment w:val="center"/>
              <w:rPr>
                <w:rFonts w:eastAsia="方正仿宋_GBK"/>
                <w:color w:val="000000"/>
                <w:kern w:val="0"/>
                <w:sz w:val="22"/>
                <w:szCs w:val="22"/>
                <w:lang w:bidi="ar"/>
              </w:rPr>
            </w:pPr>
          </w:p>
        </w:tc>
        <w:tc>
          <w:tcPr>
            <w:tcW w:w="6314"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经营过程中获得了荣誉或通报表彰的，国家级每次加2分；部级或市级政府每次加1分；市级部门或区县政府级加0.5分；区县部门级加0.2分。同一行为多层次表彰的，以最高级别奖励的标准加分。（最高不超过2.5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企业提交资料</w:t>
            </w:r>
          </w:p>
        </w:tc>
        <w:tc>
          <w:tcPr>
            <w:tcW w:w="695" w:type="dxa"/>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721"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39</w:t>
            </w:r>
          </w:p>
        </w:tc>
        <w:tc>
          <w:tcPr>
            <w:tcW w:w="1259" w:type="dxa"/>
            <w:vMerge w:val="continue"/>
            <w:vAlign w:val="center"/>
          </w:tcPr>
          <w:p>
            <w:pPr>
              <w:widowControl/>
              <w:spacing w:line="260" w:lineRule="exact"/>
              <w:jc w:val="center"/>
              <w:rPr>
                <w:rFonts w:eastAsia="方正楷体_GBK"/>
                <w:b/>
                <w:bCs/>
                <w:color w:val="000000"/>
                <w:sz w:val="22"/>
                <w:szCs w:val="22"/>
              </w:rPr>
            </w:pPr>
          </w:p>
        </w:tc>
        <w:tc>
          <w:tcPr>
            <w:tcW w:w="1579"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新闻媒体正面报道</w:t>
            </w:r>
          </w:p>
        </w:tc>
        <w:tc>
          <w:tcPr>
            <w:tcW w:w="735" w:type="dxa"/>
            <w:vAlign w:val="center"/>
          </w:tcPr>
          <w:p>
            <w:pPr>
              <w:widowControl/>
              <w:spacing w:line="260" w:lineRule="exact"/>
              <w:jc w:val="left"/>
              <w:textAlignment w:val="center"/>
              <w:rPr>
                <w:rFonts w:eastAsia="方正仿宋_GBK"/>
                <w:color w:val="000000"/>
                <w:kern w:val="0"/>
                <w:sz w:val="22"/>
                <w:szCs w:val="22"/>
                <w:lang w:bidi="ar"/>
              </w:rPr>
            </w:pPr>
          </w:p>
        </w:tc>
        <w:tc>
          <w:tcPr>
            <w:tcW w:w="6314"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企业工作人员出现好人好事被新闻媒体报道的，国家级每件次加0.5分；市级每件次加0.3分；区县级每件次加0.1分。同一事迹多层次报道的，以最高级别媒体报道的标准加分。（最高不超过2.5分）</w:t>
            </w: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企业提交资料</w:t>
            </w:r>
          </w:p>
        </w:tc>
        <w:tc>
          <w:tcPr>
            <w:tcW w:w="695" w:type="dxa"/>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21" w:type="dxa"/>
            <w:noWrap/>
            <w:vAlign w:val="center"/>
          </w:tcPr>
          <w:p>
            <w:pPr>
              <w:widowControl/>
              <w:spacing w:line="260" w:lineRule="exact"/>
              <w:jc w:val="center"/>
              <w:rPr>
                <w:rFonts w:eastAsia="方正楷体_GBK"/>
                <w:b/>
                <w:bCs/>
                <w:color w:val="000000"/>
                <w:sz w:val="22"/>
                <w:szCs w:val="22"/>
              </w:rPr>
            </w:pPr>
            <w:r>
              <w:rPr>
                <w:rFonts w:eastAsia="方正楷体_GBK"/>
                <w:b/>
                <w:bCs/>
                <w:color w:val="000000"/>
                <w:sz w:val="22"/>
                <w:szCs w:val="22"/>
              </w:rPr>
              <w:t>合计</w:t>
            </w:r>
          </w:p>
        </w:tc>
        <w:tc>
          <w:tcPr>
            <w:tcW w:w="1259" w:type="dxa"/>
            <w:vAlign w:val="center"/>
          </w:tcPr>
          <w:p>
            <w:pPr>
              <w:widowControl/>
              <w:spacing w:line="260" w:lineRule="exact"/>
              <w:jc w:val="center"/>
              <w:rPr>
                <w:rFonts w:eastAsia="方正楷体_GBK"/>
                <w:b/>
                <w:bCs/>
                <w:color w:val="000000"/>
                <w:sz w:val="22"/>
                <w:szCs w:val="22"/>
              </w:rPr>
            </w:pPr>
            <w:r>
              <w:rPr>
                <w:rFonts w:eastAsia="方正楷体_GBK"/>
                <w:b/>
                <w:bCs/>
                <w:color w:val="000000"/>
                <w:sz w:val="22"/>
                <w:szCs w:val="22"/>
              </w:rPr>
              <w:t>100分</w:t>
            </w:r>
          </w:p>
        </w:tc>
        <w:tc>
          <w:tcPr>
            <w:tcW w:w="1579" w:type="dxa"/>
            <w:vAlign w:val="center"/>
          </w:tcPr>
          <w:p>
            <w:pPr>
              <w:widowControl/>
              <w:spacing w:line="260" w:lineRule="exact"/>
              <w:jc w:val="center"/>
              <w:textAlignment w:val="center"/>
              <w:rPr>
                <w:rFonts w:eastAsia="方正仿宋_GBK"/>
                <w:color w:val="000000"/>
                <w:kern w:val="0"/>
                <w:sz w:val="22"/>
                <w:szCs w:val="22"/>
                <w:lang w:bidi="ar"/>
              </w:rPr>
            </w:pPr>
          </w:p>
        </w:tc>
        <w:tc>
          <w:tcPr>
            <w:tcW w:w="735"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100分</w:t>
            </w:r>
          </w:p>
        </w:tc>
        <w:tc>
          <w:tcPr>
            <w:tcW w:w="6314" w:type="dxa"/>
            <w:gridSpan w:val="2"/>
            <w:vAlign w:val="center"/>
          </w:tcPr>
          <w:p>
            <w:pPr>
              <w:widowControl/>
              <w:spacing w:line="260" w:lineRule="exact"/>
              <w:jc w:val="left"/>
              <w:textAlignment w:val="center"/>
              <w:rPr>
                <w:rFonts w:eastAsia="方正仿宋_GBK"/>
                <w:color w:val="000000"/>
                <w:kern w:val="0"/>
                <w:sz w:val="22"/>
                <w:szCs w:val="22"/>
                <w:lang w:bidi="ar"/>
              </w:rPr>
            </w:pPr>
          </w:p>
        </w:tc>
        <w:tc>
          <w:tcPr>
            <w:tcW w:w="2513" w:type="dxa"/>
            <w:gridSpan w:val="2"/>
            <w:vAlign w:val="center"/>
          </w:tcPr>
          <w:p>
            <w:pPr>
              <w:widowControl/>
              <w:spacing w:line="260" w:lineRule="exact"/>
              <w:jc w:val="left"/>
              <w:textAlignment w:val="center"/>
              <w:rPr>
                <w:rFonts w:eastAsia="方正仿宋_GBK"/>
                <w:color w:val="000000"/>
                <w:kern w:val="0"/>
                <w:sz w:val="22"/>
                <w:szCs w:val="22"/>
                <w:lang w:bidi="ar"/>
              </w:rPr>
            </w:pPr>
          </w:p>
        </w:tc>
        <w:tc>
          <w:tcPr>
            <w:tcW w:w="695" w:type="dxa"/>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gridSpan w:val="2"/>
            <w:vMerge w:val="restart"/>
            <w:noWrap/>
            <w:vAlign w:val="center"/>
          </w:tcPr>
          <w:p>
            <w:pPr>
              <w:widowControl/>
              <w:spacing w:line="260" w:lineRule="exact"/>
              <w:jc w:val="center"/>
              <w:rPr>
                <w:rFonts w:eastAsia="方正楷体_GBK"/>
                <w:b/>
                <w:bCs/>
                <w:color w:val="000000"/>
                <w:sz w:val="22"/>
                <w:szCs w:val="22"/>
              </w:rPr>
            </w:pPr>
            <w:r>
              <w:rPr>
                <w:rFonts w:eastAsia="方正楷体_GBK"/>
                <w:b/>
                <w:bCs/>
                <w:color w:val="000000"/>
                <w:sz w:val="22"/>
                <w:szCs w:val="22"/>
              </w:rPr>
              <w:t>评价结论</w:t>
            </w: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10257" w:type="dxa"/>
            <w:gridSpan w:val="6"/>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gridSpan w:val="2"/>
            <w:vMerge w:val="continue"/>
            <w:noWrap/>
            <w:vAlign w:val="center"/>
          </w:tcPr>
          <w:p>
            <w:pPr>
              <w:widowControl/>
              <w:spacing w:line="260" w:lineRule="exact"/>
              <w:jc w:val="center"/>
              <w:rPr>
                <w:rFonts w:eastAsia="方正楷体_GBK"/>
                <w:b/>
                <w:bCs/>
                <w:color w:val="000000"/>
                <w:sz w:val="22"/>
                <w:szCs w:val="22"/>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评价机构</w:t>
            </w:r>
          </w:p>
        </w:tc>
        <w:tc>
          <w:tcPr>
            <w:tcW w:w="10257" w:type="dxa"/>
            <w:gridSpan w:val="6"/>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gridSpan w:val="2"/>
            <w:vMerge w:val="continue"/>
            <w:noWrap/>
            <w:vAlign w:val="center"/>
          </w:tcPr>
          <w:p>
            <w:pPr>
              <w:widowControl/>
              <w:spacing w:line="260" w:lineRule="exact"/>
              <w:jc w:val="center"/>
              <w:rPr>
                <w:rFonts w:eastAsia="方正楷体_GBK"/>
                <w:b/>
                <w:bCs/>
                <w:color w:val="000000"/>
                <w:sz w:val="22"/>
                <w:szCs w:val="22"/>
              </w:rPr>
            </w:pPr>
          </w:p>
        </w:tc>
        <w:tc>
          <w:tcPr>
            <w:tcW w:w="1579"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经办人</w:t>
            </w:r>
          </w:p>
        </w:tc>
        <w:tc>
          <w:tcPr>
            <w:tcW w:w="5878" w:type="dxa"/>
            <w:gridSpan w:val="2"/>
            <w:vAlign w:val="center"/>
          </w:tcPr>
          <w:p>
            <w:pPr>
              <w:widowControl/>
              <w:spacing w:line="260" w:lineRule="exact"/>
              <w:jc w:val="center"/>
              <w:textAlignment w:val="center"/>
              <w:rPr>
                <w:rFonts w:eastAsia="方正仿宋_GBK"/>
                <w:color w:val="000000"/>
                <w:kern w:val="0"/>
                <w:sz w:val="22"/>
                <w:szCs w:val="22"/>
                <w:lang w:bidi="ar"/>
              </w:rPr>
            </w:pPr>
          </w:p>
        </w:tc>
        <w:tc>
          <w:tcPr>
            <w:tcW w:w="1539" w:type="dxa"/>
            <w:gridSpan w:val="2"/>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评价日期</w:t>
            </w:r>
          </w:p>
        </w:tc>
        <w:tc>
          <w:tcPr>
            <w:tcW w:w="2840" w:type="dxa"/>
            <w:gridSpan w:val="2"/>
            <w:vAlign w:val="center"/>
          </w:tcPr>
          <w:p>
            <w:pPr>
              <w:widowControl/>
              <w:spacing w:line="260" w:lineRule="exact"/>
              <w:jc w:val="center"/>
              <w:rPr>
                <w:rFonts w:eastAsia="仿宋_GB2312"/>
                <w:color w:val="000000"/>
                <w:sz w:val="20"/>
              </w:rPr>
            </w:pPr>
            <w:r>
              <w:rPr>
                <w:rFonts w:eastAsia="仿宋_GB2312"/>
                <w:color w:val="000000"/>
                <w:sz w:val="20"/>
              </w:rPr>
              <w:t xml:space="preserve">         年    月    日</w:t>
            </w:r>
          </w:p>
        </w:tc>
      </w:tr>
    </w:tbl>
    <w:p>
      <w:r>
        <w:br w:type="page"/>
      </w:r>
    </w:p>
    <w:p>
      <w:pPr>
        <w:spacing w:line="500" w:lineRule="exact"/>
        <w:jc w:val="lef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附件1-2</w:t>
      </w:r>
    </w:p>
    <w:p>
      <w:pPr>
        <w:pStyle w:val="13"/>
        <w:spacing w:after="0" w:line="500" w:lineRule="exact"/>
        <w:rPr>
          <w:rFonts w:hint="eastAsia"/>
        </w:rPr>
      </w:pPr>
    </w:p>
    <w:p>
      <w:pPr>
        <w:spacing w:line="500" w:lineRule="exact"/>
        <w:jc w:val="center"/>
        <w:rPr>
          <w:rStyle w:val="39"/>
          <w:rFonts w:hint="default" w:ascii="Times New Roman" w:hAnsi="Times New Roman" w:cs="Times New Roman"/>
          <w:b/>
          <w:bCs/>
          <w:sz w:val="44"/>
          <w:szCs w:val="44"/>
        </w:rPr>
      </w:pPr>
      <w:r>
        <w:rPr>
          <w:rFonts w:eastAsia="方正小标宋_GBK"/>
          <w:color w:val="000000"/>
          <w:kern w:val="0"/>
          <w:sz w:val="44"/>
          <w:szCs w:val="44"/>
          <w:lang w:bidi="ar"/>
        </w:rPr>
        <w:t>重庆市普通货物</w:t>
      </w:r>
      <w:r>
        <w:rPr>
          <w:rFonts w:hint="eastAsia" w:eastAsia="方正小标宋_GBK"/>
          <w:color w:val="000000"/>
          <w:kern w:val="0"/>
          <w:sz w:val="44"/>
          <w:szCs w:val="44"/>
          <w:lang w:bidi="ar"/>
        </w:rPr>
        <w:t>道路</w:t>
      </w:r>
      <w:r>
        <w:rPr>
          <w:rFonts w:eastAsia="方正小标宋_GBK"/>
          <w:color w:val="000000"/>
          <w:kern w:val="0"/>
          <w:sz w:val="44"/>
          <w:szCs w:val="44"/>
          <w:lang w:bidi="ar"/>
        </w:rPr>
        <w:t>运输经营者信用评价标准</w:t>
      </w:r>
    </w:p>
    <w:p>
      <w:pPr>
        <w:widowControl/>
        <w:spacing w:line="600" w:lineRule="exact"/>
        <w:jc w:val="left"/>
        <w:textAlignment w:val="center"/>
        <w:rPr>
          <w:rStyle w:val="39"/>
          <w:rFonts w:hint="default" w:ascii="Times New Roman" w:hAnsi="Times New Roman" w:cs="Times New Roman"/>
        </w:rPr>
      </w:pPr>
      <w:r>
        <w:rPr>
          <w:rStyle w:val="39"/>
          <w:rFonts w:hint="default" w:ascii="Times New Roman" w:hAnsi="Times New Roman" w:cs="Times New Roman"/>
        </w:rPr>
        <w:t>被评价企业（业户）：                                                   评价年度：</w:t>
      </w:r>
    </w:p>
    <w:tbl>
      <w:tblPr>
        <w:tblStyle w:val="14"/>
        <w:tblW w:w="5000" w:type="pct"/>
        <w:jc w:val="center"/>
        <w:tblLayout w:type="autofit"/>
        <w:tblCellMar>
          <w:top w:w="0" w:type="dxa"/>
          <w:left w:w="0" w:type="dxa"/>
          <w:bottom w:w="0" w:type="dxa"/>
          <w:right w:w="0" w:type="dxa"/>
        </w:tblCellMar>
      </w:tblPr>
      <w:tblGrid>
        <w:gridCol w:w="627"/>
        <w:gridCol w:w="1060"/>
        <w:gridCol w:w="1684"/>
        <w:gridCol w:w="621"/>
        <w:gridCol w:w="6522"/>
        <w:gridCol w:w="2508"/>
        <w:gridCol w:w="785"/>
      </w:tblGrid>
      <w:tr>
        <w:tblPrEx>
          <w:tblCellMar>
            <w:top w:w="0" w:type="dxa"/>
            <w:left w:w="0" w:type="dxa"/>
            <w:bottom w:w="0" w:type="dxa"/>
            <w:right w:w="0" w:type="dxa"/>
          </w:tblCellMar>
        </w:tblPrEx>
        <w:trPr>
          <w:trHeight w:val="394" w:hRule="atLeast"/>
          <w:tblHeader/>
          <w:jc w:val="center"/>
        </w:trPr>
        <w:tc>
          <w:tcPr>
            <w:tcW w:w="22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left"/>
              <w:textAlignment w:val="center"/>
              <w:rPr>
                <w:rFonts w:eastAsia="黑体"/>
                <w:color w:val="000000"/>
                <w:sz w:val="24"/>
              </w:rPr>
            </w:pPr>
            <w:r>
              <w:rPr>
                <w:rStyle w:val="44"/>
                <w:rFonts w:hint="default" w:ascii="Times New Roman" w:hAnsi="Times New Roman" w:eastAsia="黑体" w:cs="Times New Roman"/>
                <w:color w:val="000000"/>
              </w:rPr>
              <w:t>序号</w:t>
            </w:r>
          </w:p>
        </w:tc>
        <w:tc>
          <w:tcPr>
            <w:tcW w:w="38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eastAsia="黑体"/>
                <w:color w:val="000000"/>
                <w:sz w:val="24"/>
              </w:rPr>
            </w:pPr>
            <w:r>
              <w:rPr>
                <w:rStyle w:val="44"/>
                <w:rFonts w:hint="default" w:ascii="Times New Roman" w:hAnsi="Times New Roman" w:eastAsia="黑体" w:cs="Times New Roman"/>
                <w:color w:val="000000"/>
              </w:rPr>
              <w:t>一级指标及分值</w:t>
            </w:r>
          </w:p>
        </w:tc>
        <w:tc>
          <w:tcPr>
            <w:tcW w:w="61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eastAsia="黑体"/>
                <w:color w:val="000000"/>
                <w:sz w:val="24"/>
              </w:rPr>
            </w:pPr>
            <w:r>
              <w:rPr>
                <w:rStyle w:val="44"/>
                <w:rFonts w:hint="default" w:ascii="Times New Roman" w:hAnsi="Times New Roman" w:eastAsia="黑体" w:cs="Times New Roman"/>
                <w:color w:val="000000"/>
              </w:rPr>
              <w:t>二级指标</w:t>
            </w:r>
          </w:p>
        </w:tc>
        <w:tc>
          <w:tcPr>
            <w:tcW w:w="2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eastAsia="黑体"/>
                <w:color w:val="000000"/>
                <w:sz w:val="24"/>
              </w:rPr>
            </w:pPr>
            <w:r>
              <w:rPr>
                <w:rStyle w:val="44"/>
                <w:rFonts w:hint="default" w:ascii="Times New Roman" w:hAnsi="Times New Roman" w:eastAsia="黑体" w:cs="Times New Roman"/>
                <w:color w:val="000000"/>
              </w:rPr>
              <w:t>分值</w:t>
            </w:r>
          </w:p>
        </w:tc>
        <w:tc>
          <w:tcPr>
            <w:tcW w:w="236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eastAsia="黑体"/>
                <w:color w:val="000000"/>
                <w:sz w:val="24"/>
              </w:rPr>
            </w:pPr>
            <w:r>
              <w:rPr>
                <w:rStyle w:val="44"/>
                <w:rFonts w:hint="default" w:ascii="Times New Roman" w:hAnsi="Times New Roman" w:eastAsia="黑体" w:cs="Times New Roman"/>
                <w:color w:val="000000"/>
              </w:rPr>
              <w:t>评分标准</w:t>
            </w:r>
          </w:p>
        </w:tc>
        <w:tc>
          <w:tcPr>
            <w:tcW w:w="90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eastAsia="黑体"/>
                <w:color w:val="000000"/>
                <w:sz w:val="24"/>
              </w:rPr>
            </w:pPr>
            <w:r>
              <w:rPr>
                <w:rStyle w:val="35"/>
                <w:rFonts w:hint="default" w:ascii="Times New Roman" w:hAnsi="Times New Roman" w:eastAsia="黑体" w:cs="Times New Roman"/>
                <w:color w:val="000000"/>
              </w:rPr>
              <w:t>数据来源</w:t>
            </w:r>
          </w:p>
        </w:tc>
        <w:tc>
          <w:tcPr>
            <w:tcW w:w="28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eastAsia="黑体"/>
                <w:color w:val="000000"/>
                <w:sz w:val="24"/>
              </w:rPr>
            </w:pPr>
            <w:r>
              <w:rPr>
                <w:rFonts w:eastAsia="方正黑体_GBK"/>
                <w:szCs w:val="21"/>
              </w:rPr>
              <w:t>得分</w:t>
            </w:r>
          </w:p>
        </w:tc>
      </w:tr>
      <w:tr>
        <w:tblPrEx>
          <w:tblCellMar>
            <w:top w:w="0" w:type="dxa"/>
            <w:left w:w="0" w:type="dxa"/>
            <w:bottom w:w="0" w:type="dxa"/>
            <w:right w:w="0" w:type="dxa"/>
          </w:tblCellMar>
        </w:tblPrEx>
        <w:trPr>
          <w:trHeight w:val="640" w:hRule="atLeast"/>
          <w:jc w:val="center"/>
        </w:trPr>
        <w:tc>
          <w:tcPr>
            <w:tcW w:w="22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w:t>
            </w:r>
          </w:p>
        </w:tc>
        <w:tc>
          <w:tcPr>
            <w:tcW w:w="384" w:type="pct"/>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Style w:val="25"/>
              </w:rPr>
            </w:pPr>
            <w:r>
              <w:rPr>
                <w:rStyle w:val="25"/>
              </w:rPr>
              <w:t>经营管理</w:t>
            </w:r>
          </w:p>
          <w:p>
            <w:pPr>
              <w:widowControl/>
              <w:spacing w:line="260" w:lineRule="exact"/>
              <w:jc w:val="center"/>
              <w:textAlignment w:val="center"/>
              <w:rPr>
                <w:rFonts w:eastAsia="方正楷体_GBK"/>
                <w:color w:val="000000"/>
                <w:sz w:val="22"/>
                <w:szCs w:val="22"/>
              </w:rPr>
            </w:pPr>
            <w:r>
              <w:rPr>
                <w:rStyle w:val="25"/>
              </w:rPr>
              <w:t>（55分）</w:t>
            </w:r>
          </w:p>
        </w:tc>
        <w:tc>
          <w:tcPr>
            <w:tcW w:w="61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color w:val="000000"/>
                <w:sz w:val="22"/>
                <w:szCs w:val="22"/>
              </w:rPr>
            </w:pPr>
            <w:r>
              <w:rPr>
                <w:rStyle w:val="53"/>
                <w:rFonts w:hint="default" w:ascii="Times New Roman" w:hAnsi="Times New Roman" w:cs="Times New Roman"/>
              </w:rPr>
              <w:t>车辆审验超期率</w:t>
            </w:r>
          </w:p>
        </w:tc>
        <w:tc>
          <w:tcPr>
            <w:tcW w:w="2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10</w:t>
            </w:r>
          </w:p>
        </w:tc>
        <w:tc>
          <w:tcPr>
            <w:tcW w:w="236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Style w:val="53"/>
                <w:rFonts w:hint="default" w:ascii="Times New Roman" w:hAnsi="Times New Roman" w:cs="Times New Roman"/>
              </w:rPr>
            </w:pPr>
            <w:r>
              <w:rPr>
                <w:rStyle w:val="53"/>
                <w:rFonts w:hint="default" w:ascii="Times New Roman" w:hAnsi="Times New Roman" w:cs="Times New Roman"/>
              </w:rPr>
              <w:t>大于0且小于等于0.01的，扣2分，每增加0.01，加扣0.5分</w:t>
            </w:r>
          </w:p>
        </w:tc>
        <w:tc>
          <w:tcPr>
            <w:tcW w:w="90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Style w:val="53"/>
                <w:rFonts w:hint="default" w:ascii="Times New Roman" w:hAnsi="Times New Roman" w:cs="Times New Roman"/>
              </w:rPr>
            </w:pPr>
            <w:r>
              <w:rPr>
                <w:rStyle w:val="53"/>
                <w:rFonts w:hint="default" w:ascii="Times New Roman" w:hAnsi="Times New Roman" w:cs="Times New Roman"/>
              </w:rPr>
              <w:t>重庆道路运输综合管理与服务系统自动统计</w:t>
            </w:r>
          </w:p>
        </w:tc>
        <w:tc>
          <w:tcPr>
            <w:tcW w:w="28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left"/>
              <w:rPr>
                <w:b/>
                <w:bCs/>
                <w:color w:val="000000"/>
                <w:sz w:val="22"/>
                <w:szCs w:val="22"/>
              </w:rPr>
            </w:pPr>
          </w:p>
        </w:tc>
      </w:tr>
      <w:tr>
        <w:tblPrEx>
          <w:tblCellMar>
            <w:top w:w="0" w:type="dxa"/>
            <w:left w:w="0" w:type="dxa"/>
            <w:bottom w:w="0" w:type="dxa"/>
            <w:right w:w="0" w:type="dxa"/>
          </w:tblCellMar>
        </w:tblPrEx>
        <w:trPr>
          <w:trHeight w:val="640" w:hRule="atLeast"/>
          <w:jc w:val="center"/>
        </w:trPr>
        <w:tc>
          <w:tcPr>
            <w:tcW w:w="22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2</w:t>
            </w:r>
          </w:p>
        </w:tc>
        <w:tc>
          <w:tcPr>
            <w:tcW w:w="384" w:type="pct"/>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center"/>
              <w:rPr>
                <w:rFonts w:eastAsia="方正楷体_GBK"/>
                <w:color w:val="000000"/>
                <w:sz w:val="22"/>
                <w:szCs w:val="22"/>
              </w:rPr>
            </w:pPr>
          </w:p>
        </w:tc>
        <w:tc>
          <w:tcPr>
            <w:tcW w:w="61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color w:val="000000"/>
                <w:sz w:val="22"/>
                <w:szCs w:val="22"/>
              </w:rPr>
            </w:pPr>
            <w:r>
              <w:rPr>
                <w:rStyle w:val="53"/>
                <w:rFonts w:hint="default" w:ascii="Times New Roman" w:hAnsi="Times New Roman" w:cs="Times New Roman"/>
              </w:rPr>
              <w:t>车辆动态监管情况</w:t>
            </w:r>
          </w:p>
        </w:tc>
        <w:tc>
          <w:tcPr>
            <w:tcW w:w="2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10</w:t>
            </w:r>
          </w:p>
        </w:tc>
        <w:tc>
          <w:tcPr>
            <w:tcW w:w="236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Style w:val="53"/>
                <w:rFonts w:hint="default" w:ascii="Times New Roman" w:hAnsi="Times New Roman" w:cs="Times New Roman"/>
              </w:rPr>
            </w:pPr>
            <w:r>
              <w:rPr>
                <w:rStyle w:val="53"/>
                <w:rFonts w:hint="default" w:ascii="Times New Roman" w:hAnsi="Times New Roman" w:cs="Times New Roman"/>
              </w:rPr>
              <w:t>考核周期内动态监督管理考核月平均分÷100×本项分值</w:t>
            </w:r>
          </w:p>
        </w:tc>
        <w:tc>
          <w:tcPr>
            <w:tcW w:w="90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Style w:val="53"/>
                <w:rFonts w:hint="default" w:ascii="Times New Roman" w:hAnsi="Times New Roman" w:cs="Times New Roman"/>
              </w:rPr>
            </w:pPr>
            <w:r>
              <w:rPr>
                <w:rStyle w:val="53"/>
                <w:rFonts w:hint="default" w:ascii="Times New Roman" w:hAnsi="Times New Roman" w:cs="Times New Roman"/>
              </w:rPr>
              <w:t>重庆道路运输综合管理与服务系统自动统计</w:t>
            </w:r>
          </w:p>
        </w:tc>
        <w:tc>
          <w:tcPr>
            <w:tcW w:w="28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left"/>
              <w:rPr>
                <w:b/>
                <w:bCs/>
                <w:color w:val="000000"/>
                <w:sz w:val="22"/>
                <w:szCs w:val="22"/>
              </w:rPr>
            </w:pPr>
          </w:p>
        </w:tc>
      </w:tr>
      <w:tr>
        <w:tblPrEx>
          <w:tblCellMar>
            <w:top w:w="0" w:type="dxa"/>
            <w:left w:w="0" w:type="dxa"/>
            <w:bottom w:w="0" w:type="dxa"/>
            <w:right w:w="0" w:type="dxa"/>
          </w:tblCellMar>
        </w:tblPrEx>
        <w:trPr>
          <w:trHeight w:val="1143" w:hRule="atLeast"/>
          <w:jc w:val="center"/>
        </w:trPr>
        <w:tc>
          <w:tcPr>
            <w:tcW w:w="22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3</w:t>
            </w:r>
          </w:p>
        </w:tc>
        <w:tc>
          <w:tcPr>
            <w:tcW w:w="384" w:type="pct"/>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center"/>
              <w:rPr>
                <w:rFonts w:eastAsia="方正楷体_GBK"/>
                <w:color w:val="000000"/>
                <w:sz w:val="22"/>
                <w:szCs w:val="22"/>
              </w:rPr>
            </w:pPr>
          </w:p>
        </w:tc>
        <w:tc>
          <w:tcPr>
            <w:tcW w:w="61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color w:val="000000"/>
                <w:sz w:val="22"/>
                <w:szCs w:val="22"/>
              </w:rPr>
            </w:pPr>
            <w:r>
              <w:rPr>
                <w:rStyle w:val="53"/>
                <w:rFonts w:hint="default" w:ascii="Times New Roman" w:hAnsi="Times New Roman" w:cs="Times New Roman"/>
              </w:rPr>
              <w:t>行政处罚情况</w:t>
            </w:r>
          </w:p>
        </w:tc>
        <w:tc>
          <w:tcPr>
            <w:tcW w:w="2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15</w:t>
            </w:r>
          </w:p>
        </w:tc>
        <w:tc>
          <w:tcPr>
            <w:tcW w:w="2362" w:type="pct"/>
            <w:tcBorders>
              <w:top w:val="single" w:color="auto" w:sz="4" w:space="0"/>
              <w:left w:val="single" w:color="auto" w:sz="4" w:space="0"/>
              <w:bottom w:val="single" w:color="auto" w:sz="4" w:space="0"/>
              <w:right w:val="single" w:color="auto" w:sz="4" w:space="0"/>
            </w:tcBorders>
            <w:tcMar>
              <w:top w:w="15" w:type="dxa"/>
              <w:left w:w="15" w:type="dxa"/>
              <w:right w:w="15" w:type="dxa"/>
            </w:tcMar>
          </w:tcPr>
          <w:p>
            <w:pPr>
              <w:pStyle w:val="13"/>
              <w:spacing w:after="0" w:line="260" w:lineRule="exact"/>
              <w:ind w:left="0" w:leftChars="0" w:firstLine="0" w:firstLineChars="0"/>
              <w:rPr>
                <w:rStyle w:val="53"/>
                <w:rFonts w:hint="default" w:ascii="Times New Roman" w:hAnsi="Times New Roman" w:cs="Times New Roman"/>
              </w:rPr>
            </w:pPr>
            <w:r>
              <w:rPr>
                <w:rStyle w:val="53"/>
                <w:rFonts w:hint="default" w:ascii="Times New Roman" w:hAnsi="Times New Roman" w:cs="Times New Roman"/>
              </w:rPr>
              <w:t>违法违规率：大于0且小于等于0.01次/车的，扣2分，每增加0.01次/车，加扣0.5分;</w:t>
            </w:r>
          </w:p>
          <w:p>
            <w:pPr>
              <w:pStyle w:val="13"/>
              <w:spacing w:after="0" w:line="260" w:lineRule="exact"/>
              <w:ind w:left="0" w:leftChars="0" w:firstLine="0" w:firstLineChars="0"/>
              <w:rPr>
                <w:rStyle w:val="53"/>
                <w:rFonts w:hint="default" w:ascii="Times New Roman" w:hAnsi="Times New Roman" w:cs="Times New Roman"/>
              </w:rPr>
            </w:pPr>
            <w:r>
              <w:rPr>
                <w:rStyle w:val="53"/>
                <w:rFonts w:hint="default" w:ascii="Times New Roman" w:hAnsi="Times New Roman" w:cs="Times New Roman"/>
              </w:rPr>
              <w:t>在考核周期届满时，存在未履行交通运输行政处罚决定的，按照该交通运输行政处罚信用扣分标准，再次扣除相应分数。</w:t>
            </w:r>
          </w:p>
        </w:tc>
        <w:tc>
          <w:tcPr>
            <w:tcW w:w="90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Style w:val="53"/>
                <w:rFonts w:hint="default" w:ascii="Times New Roman" w:hAnsi="Times New Roman" w:cs="Times New Roman"/>
              </w:rPr>
            </w:pPr>
            <w:r>
              <w:rPr>
                <w:rStyle w:val="53"/>
                <w:rFonts w:hint="default" w:ascii="Times New Roman" w:hAnsi="Times New Roman" w:cs="Times New Roman"/>
              </w:rPr>
              <w:t>交通、公安部门执法数据共享或日常收集统计</w:t>
            </w:r>
          </w:p>
        </w:tc>
        <w:tc>
          <w:tcPr>
            <w:tcW w:w="284" w:type="pct"/>
            <w:tcBorders>
              <w:top w:val="single" w:color="auto" w:sz="4" w:space="0"/>
              <w:left w:val="single" w:color="auto" w:sz="4" w:space="0"/>
              <w:bottom w:val="single" w:color="auto" w:sz="4" w:space="0"/>
              <w:right w:val="single" w:color="auto" w:sz="4" w:space="0"/>
            </w:tcBorders>
            <w:tcMar>
              <w:top w:w="15" w:type="dxa"/>
              <w:left w:w="15" w:type="dxa"/>
              <w:right w:w="15" w:type="dxa"/>
            </w:tcMar>
          </w:tcPr>
          <w:p>
            <w:pPr>
              <w:spacing w:line="260" w:lineRule="exact"/>
              <w:rPr>
                <w:b/>
                <w:bCs/>
                <w:color w:val="000000"/>
                <w:sz w:val="22"/>
                <w:szCs w:val="22"/>
              </w:rPr>
            </w:pPr>
          </w:p>
        </w:tc>
      </w:tr>
      <w:tr>
        <w:tblPrEx>
          <w:tblCellMar>
            <w:top w:w="0" w:type="dxa"/>
            <w:left w:w="0" w:type="dxa"/>
            <w:bottom w:w="0" w:type="dxa"/>
            <w:right w:w="0" w:type="dxa"/>
          </w:tblCellMar>
        </w:tblPrEx>
        <w:trPr>
          <w:trHeight w:val="947" w:hRule="atLeast"/>
          <w:jc w:val="center"/>
        </w:trPr>
        <w:tc>
          <w:tcPr>
            <w:tcW w:w="22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4</w:t>
            </w:r>
          </w:p>
        </w:tc>
        <w:tc>
          <w:tcPr>
            <w:tcW w:w="384" w:type="pct"/>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center"/>
              <w:rPr>
                <w:rFonts w:eastAsia="方正楷体_GBK"/>
                <w:color w:val="000000"/>
                <w:sz w:val="22"/>
                <w:szCs w:val="22"/>
              </w:rPr>
            </w:pPr>
          </w:p>
        </w:tc>
        <w:tc>
          <w:tcPr>
            <w:tcW w:w="61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color w:val="000000"/>
                <w:sz w:val="22"/>
                <w:szCs w:val="22"/>
              </w:rPr>
            </w:pPr>
            <w:r>
              <w:rPr>
                <w:rStyle w:val="53"/>
                <w:rFonts w:hint="default" w:ascii="Times New Roman" w:hAnsi="Times New Roman" w:cs="Times New Roman"/>
              </w:rPr>
              <w:t>车辆维护情况</w:t>
            </w:r>
          </w:p>
        </w:tc>
        <w:tc>
          <w:tcPr>
            <w:tcW w:w="2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10</w:t>
            </w:r>
          </w:p>
        </w:tc>
        <w:tc>
          <w:tcPr>
            <w:tcW w:w="236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Style w:val="53"/>
                <w:rFonts w:hint="default" w:ascii="Times New Roman" w:hAnsi="Times New Roman" w:cs="Times New Roman"/>
              </w:rPr>
            </w:pPr>
            <w:r>
              <w:rPr>
                <w:rStyle w:val="53"/>
                <w:rFonts w:hint="default" w:ascii="Times New Roman" w:hAnsi="Times New Roman" w:cs="Times New Roman"/>
              </w:rPr>
              <w:t>未按规定进行维护的，大于0且小于等于0.01次/车的，扣2分，每增加0.01次/车，加扣0.5分</w:t>
            </w:r>
          </w:p>
        </w:tc>
        <w:tc>
          <w:tcPr>
            <w:tcW w:w="90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Style w:val="53"/>
                <w:rFonts w:hint="default" w:ascii="Times New Roman" w:hAnsi="Times New Roman" w:cs="Times New Roman"/>
              </w:rPr>
            </w:pPr>
            <w:r>
              <w:rPr>
                <w:rStyle w:val="53"/>
                <w:rFonts w:hint="default" w:ascii="Times New Roman" w:hAnsi="Times New Roman" w:cs="Times New Roman"/>
              </w:rPr>
              <w:t>交通部门检查日常收集统计</w:t>
            </w:r>
          </w:p>
        </w:tc>
        <w:tc>
          <w:tcPr>
            <w:tcW w:w="28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left"/>
              <w:rPr>
                <w:b/>
                <w:bCs/>
                <w:color w:val="000000"/>
                <w:sz w:val="22"/>
                <w:szCs w:val="22"/>
              </w:rPr>
            </w:pPr>
          </w:p>
        </w:tc>
      </w:tr>
      <w:tr>
        <w:tblPrEx>
          <w:tblCellMar>
            <w:top w:w="0" w:type="dxa"/>
            <w:left w:w="0" w:type="dxa"/>
            <w:bottom w:w="0" w:type="dxa"/>
            <w:right w:w="0" w:type="dxa"/>
          </w:tblCellMar>
        </w:tblPrEx>
        <w:trPr>
          <w:trHeight w:val="640" w:hRule="atLeast"/>
          <w:jc w:val="center"/>
        </w:trPr>
        <w:tc>
          <w:tcPr>
            <w:tcW w:w="22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5</w:t>
            </w:r>
          </w:p>
        </w:tc>
        <w:tc>
          <w:tcPr>
            <w:tcW w:w="384" w:type="pct"/>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center"/>
              <w:rPr>
                <w:rFonts w:eastAsia="方正楷体_GBK"/>
                <w:color w:val="000000"/>
                <w:sz w:val="22"/>
                <w:szCs w:val="22"/>
              </w:rPr>
            </w:pPr>
          </w:p>
        </w:tc>
        <w:tc>
          <w:tcPr>
            <w:tcW w:w="61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color w:val="000000"/>
                <w:sz w:val="22"/>
                <w:szCs w:val="22"/>
              </w:rPr>
            </w:pPr>
            <w:r>
              <w:rPr>
                <w:rStyle w:val="53"/>
                <w:rFonts w:hint="default" w:ascii="Times New Roman" w:hAnsi="Times New Roman" w:cs="Times New Roman"/>
              </w:rPr>
              <w:t>车辆超标排放比例情况</w:t>
            </w:r>
          </w:p>
        </w:tc>
        <w:tc>
          <w:tcPr>
            <w:tcW w:w="2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5</w:t>
            </w:r>
          </w:p>
        </w:tc>
        <w:tc>
          <w:tcPr>
            <w:tcW w:w="236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Style w:val="53"/>
                <w:rFonts w:hint="default" w:ascii="Times New Roman" w:hAnsi="Times New Roman" w:cs="Times New Roman"/>
              </w:rPr>
            </w:pPr>
            <w:r>
              <w:rPr>
                <w:rStyle w:val="53"/>
                <w:rFonts w:hint="default" w:ascii="Times New Roman" w:hAnsi="Times New Roman" w:cs="Times New Roman"/>
              </w:rPr>
              <w:t>超标排放车辆占货运车辆总数10%以上的，扣5分</w:t>
            </w:r>
          </w:p>
        </w:tc>
        <w:tc>
          <w:tcPr>
            <w:tcW w:w="90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Style w:val="53"/>
                <w:rFonts w:hint="default" w:ascii="Times New Roman" w:hAnsi="Times New Roman" w:cs="Times New Roman"/>
              </w:rPr>
            </w:pPr>
            <w:r>
              <w:rPr>
                <w:rStyle w:val="53"/>
                <w:rFonts w:hint="default" w:ascii="Times New Roman" w:hAnsi="Times New Roman" w:cs="Times New Roman"/>
              </w:rPr>
              <w:t>市生态环境部门数据共享</w:t>
            </w:r>
          </w:p>
        </w:tc>
        <w:tc>
          <w:tcPr>
            <w:tcW w:w="28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left"/>
              <w:rPr>
                <w:b/>
                <w:bCs/>
                <w:color w:val="000000"/>
                <w:sz w:val="22"/>
                <w:szCs w:val="22"/>
              </w:rPr>
            </w:pPr>
          </w:p>
        </w:tc>
      </w:tr>
      <w:tr>
        <w:tblPrEx>
          <w:tblCellMar>
            <w:top w:w="0" w:type="dxa"/>
            <w:left w:w="0" w:type="dxa"/>
            <w:bottom w:w="0" w:type="dxa"/>
            <w:right w:w="0" w:type="dxa"/>
          </w:tblCellMar>
        </w:tblPrEx>
        <w:trPr>
          <w:trHeight w:val="640" w:hRule="atLeast"/>
          <w:jc w:val="center"/>
        </w:trPr>
        <w:tc>
          <w:tcPr>
            <w:tcW w:w="22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6</w:t>
            </w:r>
          </w:p>
        </w:tc>
        <w:tc>
          <w:tcPr>
            <w:tcW w:w="384" w:type="pct"/>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center"/>
              <w:rPr>
                <w:rFonts w:eastAsia="方正楷体_GBK"/>
                <w:color w:val="000000"/>
                <w:sz w:val="22"/>
                <w:szCs w:val="22"/>
              </w:rPr>
            </w:pPr>
          </w:p>
        </w:tc>
        <w:tc>
          <w:tcPr>
            <w:tcW w:w="61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color w:val="000000"/>
                <w:sz w:val="22"/>
                <w:szCs w:val="22"/>
              </w:rPr>
            </w:pPr>
            <w:r>
              <w:rPr>
                <w:rStyle w:val="53"/>
                <w:rFonts w:hint="default" w:ascii="Times New Roman" w:hAnsi="Times New Roman" w:cs="Times New Roman"/>
              </w:rPr>
              <w:t>车辆超标排放抽测情况</w:t>
            </w:r>
          </w:p>
        </w:tc>
        <w:tc>
          <w:tcPr>
            <w:tcW w:w="2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5</w:t>
            </w:r>
          </w:p>
        </w:tc>
        <w:tc>
          <w:tcPr>
            <w:tcW w:w="236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Style w:val="53"/>
                <w:rFonts w:hint="default" w:ascii="Times New Roman" w:hAnsi="Times New Roman" w:cs="Times New Roman"/>
              </w:rPr>
            </w:pPr>
            <w:r>
              <w:rPr>
                <w:rStyle w:val="53"/>
                <w:rFonts w:hint="default" w:ascii="Times New Roman" w:hAnsi="Times New Roman" w:cs="Times New Roman"/>
              </w:rPr>
              <w:t>存在3次抽测超标车辆的，扣0.5分/车</w:t>
            </w:r>
          </w:p>
        </w:tc>
        <w:tc>
          <w:tcPr>
            <w:tcW w:w="90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Style w:val="53"/>
                <w:rFonts w:hint="default" w:ascii="Times New Roman" w:hAnsi="Times New Roman" w:cs="Times New Roman"/>
              </w:rPr>
            </w:pPr>
            <w:r>
              <w:rPr>
                <w:rStyle w:val="53"/>
                <w:rFonts w:hint="default" w:ascii="Times New Roman" w:hAnsi="Times New Roman" w:cs="Times New Roman"/>
              </w:rPr>
              <w:t>市生态环境部门数据共享</w:t>
            </w:r>
          </w:p>
        </w:tc>
        <w:tc>
          <w:tcPr>
            <w:tcW w:w="28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left"/>
              <w:rPr>
                <w:b/>
                <w:bCs/>
                <w:color w:val="000000"/>
                <w:sz w:val="22"/>
                <w:szCs w:val="22"/>
              </w:rPr>
            </w:pPr>
          </w:p>
        </w:tc>
      </w:tr>
      <w:tr>
        <w:tblPrEx>
          <w:tblCellMar>
            <w:top w:w="0" w:type="dxa"/>
            <w:left w:w="0" w:type="dxa"/>
            <w:bottom w:w="0" w:type="dxa"/>
            <w:right w:w="0" w:type="dxa"/>
          </w:tblCellMar>
        </w:tblPrEx>
        <w:trPr>
          <w:trHeight w:val="831" w:hRule="atLeast"/>
          <w:jc w:val="center"/>
        </w:trPr>
        <w:tc>
          <w:tcPr>
            <w:tcW w:w="22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7</w:t>
            </w:r>
          </w:p>
        </w:tc>
        <w:tc>
          <w:tcPr>
            <w:tcW w:w="38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2"/>
                <w:szCs w:val="22"/>
              </w:rPr>
            </w:pPr>
            <w:r>
              <w:rPr>
                <w:rStyle w:val="25"/>
              </w:rPr>
              <w:t>安全生产（ 35分）</w:t>
            </w:r>
          </w:p>
        </w:tc>
        <w:tc>
          <w:tcPr>
            <w:tcW w:w="61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color w:val="000000"/>
                <w:sz w:val="22"/>
                <w:szCs w:val="22"/>
              </w:rPr>
            </w:pPr>
            <w:r>
              <w:rPr>
                <w:rStyle w:val="53"/>
                <w:rFonts w:hint="default" w:ascii="Times New Roman" w:hAnsi="Times New Roman" w:cs="Times New Roman"/>
              </w:rPr>
              <w:t>安全隐患排查情况</w:t>
            </w:r>
          </w:p>
        </w:tc>
        <w:tc>
          <w:tcPr>
            <w:tcW w:w="2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15</w:t>
            </w:r>
          </w:p>
        </w:tc>
        <w:tc>
          <w:tcPr>
            <w:tcW w:w="236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eastAsia="方正仿宋_GBK"/>
                <w:color w:val="000000"/>
                <w:sz w:val="22"/>
                <w:szCs w:val="22"/>
              </w:rPr>
            </w:pPr>
            <w:r>
              <w:rPr>
                <w:rStyle w:val="53"/>
                <w:rFonts w:hint="default" w:ascii="Times New Roman" w:hAnsi="Times New Roman" w:cs="Times New Roman"/>
              </w:rPr>
              <w:t>每发现1起一般安全隐患的，扣0.5分，较大安全隐患扣1分，重大安全隐患扣3分；未按要求落实双重预防机制，扣2分。</w:t>
            </w:r>
          </w:p>
        </w:tc>
        <w:tc>
          <w:tcPr>
            <w:tcW w:w="90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color w:val="000000"/>
                <w:sz w:val="22"/>
                <w:szCs w:val="22"/>
              </w:rPr>
            </w:pPr>
            <w:r>
              <w:rPr>
                <w:rFonts w:eastAsia="方正仿宋_GBK"/>
                <w:color w:val="000000"/>
                <w:sz w:val="22"/>
                <w:szCs w:val="22"/>
              </w:rPr>
              <w:t>交通部门检查日常收集统计</w:t>
            </w:r>
          </w:p>
        </w:tc>
        <w:tc>
          <w:tcPr>
            <w:tcW w:w="28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ind w:firstLine="221" w:firstLineChars="100"/>
              <w:jc w:val="left"/>
              <w:rPr>
                <w:b/>
                <w:bCs/>
                <w:color w:val="000000"/>
                <w:sz w:val="22"/>
                <w:szCs w:val="22"/>
              </w:rPr>
            </w:pPr>
          </w:p>
        </w:tc>
      </w:tr>
      <w:tr>
        <w:tblPrEx>
          <w:tblCellMar>
            <w:top w:w="0" w:type="dxa"/>
            <w:left w:w="0" w:type="dxa"/>
            <w:bottom w:w="0" w:type="dxa"/>
            <w:right w:w="0" w:type="dxa"/>
          </w:tblCellMar>
        </w:tblPrEx>
        <w:trPr>
          <w:trHeight w:val="912" w:hRule="atLeast"/>
          <w:jc w:val="center"/>
        </w:trPr>
        <w:tc>
          <w:tcPr>
            <w:tcW w:w="22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8</w:t>
            </w:r>
          </w:p>
        </w:tc>
        <w:tc>
          <w:tcPr>
            <w:tcW w:w="384" w:type="pct"/>
            <w:vMerge w:val="continue"/>
            <w:tcBorders>
              <w:left w:val="single" w:color="auto" w:sz="4" w:space="0"/>
              <w:right w:val="single" w:color="auto" w:sz="4" w:space="0"/>
            </w:tcBorders>
            <w:tcMar>
              <w:top w:w="15" w:type="dxa"/>
              <w:left w:w="15" w:type="dxa"/>
              <w:right w:w="15" w:type="dxa"/>
            </w:tcMar>
            <w:vAlign w:val="center"/>
          </w:tcPr>
          <w:p>
            <w:pPr>
              <w:spacing w:line="260" w:lineRule="exact"/>
              <w:jc w:val="center"/>
              <w:rPr>
                <w:color w:val="000000"/>
                <w:sz w:val="22"/>
                <w:szCs w:val="22"/>
              </w:rPr>
            </w:pPr>
          </w:p>
        </w:tc>
        <w:tc>
          <w:tcPr>
            <w:tcW w:w="61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color w:val="000000"/>
                <w:sz w:val="22"/>
                <w:szCs w:val="22"/>
              </w:rPr>
            </w:pPr>
            <w:r>
              <w:rPr>
                <w:rStyle w:val="53"/>
                <w:rFonts w:hint="default" w:ascii="Times New Roman" w:hAnsi="Times New Roman" w:cs="Times New Roman"/>
              </w:rPr>
              <w:t>交通责任事故死亡率</w:t>
            </w:r>
          </w:p>
        </w:tc>
        <w:tc>
          <w:tcPr>
            <w:tcW w:w="2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10</w:t>
            </w:r>
          </w:p>
        </w:tc>
        <w:tc>
          <w:tcPr>
            <w:tcW w:w="236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color w:val="000000"/>
                <w:sz w:val="22"/>
                <w:szCs w:val="22"/>
              </w:rPr>
            </w:pPr>
            <w:r>
              <w:rPr>
                <w:rStyle w:val="53"/>
                <w:rFonts w:hint="default" w:ascii="Times New Roman" w:hAnsi="Times New Roman" w:cs="Times New Roman"/>
              </w:rPr>
              <w:t>大于0且小于等于0.01人/车的，扣2分，每增加0.01人/车，加扣1分。发生拖延报告亡人事故的，每次扣1分；存在瞒报、谎报亡人事故的，每次扣2分。</w:t>
            </w:r>
          </w:p>
        </w:tc>
        <w:tc>
          <w:tcPr>
            <w:tcW w:w="90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eastAsia="方正仿宋_GBK"/>
                <w:color w:val="000000"/>
                <w:sz w:val="22"/>
                <w:szCs w:val="22"/>
              </w:rPr>
            </w:pPr>
            <w:r>
              <w:rPr>
                <w:rFonts w:eastAsia="方正仿宋_GBK"/>
                <w:color w:val="000000"/>
                <w:sz w:val="22"/>
                <w:szCs w:val="22"/>
              </w:rPr>
              <w:t>公安部门数据共享或行业管理日常收集统计</w:t>
            </w:r>
          </w:p>
        </w:tc>
        <w:tc>
          <w:tcPr>
            <w:tcW w:w="28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ind w:firstLine="221" w:firstLineChars="100"/>
              <w:jc w:val="left"/>
              <w:rPr>
                <w:b/>
                <w:bCs/>
                <w:color w:val="000000"/>
                <w:sz w:val="22"/>
                <w:szCs w:val="22"/>
              </w:rPr>
            </w:pPr>
          </w:p>
        </w:tc>
      </w:tr>
      <w:tr>
        <w:tblPrEx>
          <w:tblCellMar>
            <w:top w:w="0" w:type="dxa"/>
            <w:left w:w="0" w:type="dxa"/>
            <w:bottom w:w="0" w:type="dxa"/>
            <w:right w:w="0" w:type="dxa"/>
          </w:tblCellMar>
        </w:tblPrEx>
        <w:trPr>
          <w:trHeight w:val="640" w:hRule="atLeast"/>
          <w:jc w:val="center"/>
        </w:trPr>
        <w:tc>
          <w:tcPr>
            <w:tcW w:w="22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9</w:t>
            </w:r>
          </w:p>
        </w:tc>
        <w:tc>
          <w:tcPr>
            <w:tcW w:w="384" w:type="pct"/>
            <w:vMerge w:val="continue"/>
            <w:tcBorders>
              <w:left w:val="single" w:color="auto" w:sz="4" w:space="0"/>
              <w:right w:val="single" w:color="auto" w:sz="4" w:space="0"/>
            </w:tcBorders>
            <w:tcMar>
              <w:top w:w="15" w:type="dxa"/>
              <w:left w:w="15" w:type="dxa"/>
              <w:right w:w="15" w:type="dxa"/>
            </w:tcMar>
            <w:vAlign w:val="center"/>
          </w:tcPr>
          <w:p>
            <w:pPr>
              <w:spacing w:line="260" w:lineRule="exact"/>
              <w:jc w:val="center"/>
              <w:rPr>
                <w:color w:val="000000"/>
                <w:sz w:val="22"/>
                <w:szCs w:val="22"/>
              </w:rPr>
            </w:pPr>
          </w:p>
        </w:tc>
        <w:tc>
          <w:tcPr>
            <w:tcW w:w="61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color w:val="000000"/>
                <w:sz w:val="22"/>
                <w:szCs w:val="22"/>
              </w:rPr>
            </w:pPr>
            <w:r>
              <w:rPr>
                <w:rStyle w:val="53"/>
                <w:rFonts w:hint="default" w:ascii="Times New Roman" w:hAnsi="Times New Roman" w:cs="Times New Roman"/>
              </w:rPr>
              <w:t>交通责任事故伤人率</w:t>
            </w:r>
          </w:p>
        </w:tc>
        <w:tc>
          <w:tcPr>
            <w:tcW w:w="2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5</w:t>
            </w:r>
          </w:p>
        </w:tc>
        <w:tc>
          <w:tcPr>
            <w:tcW w:w="236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color w:val="000000"/>
                <w:sz w:val="22"/>
                <w:szCs w:val="22"/>
              </w:rPr>
            </w:pPr>
            <w:r>
              <w:rPr>
                <w:rStyle w:val="53"/>
                <w:rFonts w:hint="default" w:ascii="Times New Roman" w:hAnsi="Times New Roman" w:cs="Times New Roman"/>
              </w:rPr>
              <w:t>大于0且小于等于0.01人/车的，扣1分，每增加0.01人/车，加扣0.5分</w:t>
            </w:r>
          </w:p>
        </w:tc>
        <w:tc>
          <w:tcPr>
            <w:tcW w:w="90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eastAsia="方正仿宋_GBK"/>
                <w:color w:val="000000"/>
                <w:sz w:val="22"/>
                <w:szCs w:val="22"/>
              </w:rPr>
            </w:pPr>
            <w:r>
              <w:rPr>
                <w:rFonts w:eastAsia="方正仿宋_GBK"/>
                <w:color w:val="000000"/>
                <w:sz w:val="22"/>
                <w:szCs w:val="22"/>
              </w:rPr>
              <w:t>公安部门数据共享或行业管理日常收集统计</w:t>
            </w:r>
          </w:p>
        </w:tc>
        <w:tc>
          <w:tcPr>
            <w:tcW w:w="28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left"/>
              <w:rPr>
                <w:b/>
                <w:bCs/>
                <w:color w:val="000000"/>
                <w:sz w:val="22"/>
                <w:szCs w:val="22"/>
              </w:rPr>
            </w:pPr>
          </w:p>
        </w:tc>
      </w:tr>
      <w:tr>
        <w:tblPrEx>
          <w:tblCellMar>
            <w:top w:w="0" w:type="dxa"/>
            <w:left w:w="0" w:type="dxa"/>
            <w:bottom w:w="0" w:type="dxa"/>
            <w:right w:w="0" w:type="dxa"/>
          </w:tblCellMar>
        </w:tblPrEx>
        <w:trPr>
          <w:trHeight w:val="640" w:hRule="atLeast"/>
          <w:jc w:val="center"/>
        </w:trPr>
        <w:tc>
          <w:tcPr>
            <w:tcW w:w="22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10</w:t>
            </w:r>
          </w:p>
        </w:tc>
        <w:tc>
          <w:tcPr>
            <w:tcW w:w="38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center"/>
              <w:rPr>
                <w:rFonts w:eastAsia="方正黑体_GBK"/>
                <w:color w:val="000000"/>
                <w:sz w:val="22"/>
                <w:szCs w:val="22"/>
              </w:rPr>
            </w:pPr>
          </w:p>
        </w:tc>
        <w:tc>
          <w:tcPr>
            <w:tcW w:w="61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Style w:val="53"/>
                <w:rFonts w:hint="default" w:ascii="Times New Roman" w:hAnsi="Times New Roman" w:cs="Times New Roman"/>
              </w:rPr>
            </w:pPr>
            <w:r>
              <w:rPr>
                <w:rStyle w:val="53"/>
                <w:rFonts w:hint="default" w:ascii="Times New Roman" w:hAnsi="Times New Roman" w:cs="Times New Roman"/>
              </w:rPr>
              <w:t>挂牌督办</w:t>
            </w:r>
          </w:p>
        </w:tc>
        <w:tc>
          <w:tcPr>
            <w:tcW w:w="2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5</w:t>
            </w:r>
          </w:p>
        </w:tc>
        <w:tc>
          <w:tcPr>
            <w:tcW w:w="236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Style w:val="53"/>
                <w:rFonts w:hint="default" w:ascii="Times New Roman" w:hAnsi="Times New Roman" w:cs="Times New Roman"/>
              </w:rPr>
            </w:pPr>
            <w:r>
              <w:rPr>
                <w:rStyle w:val="53"/>
                <w:rFonts w:hint="default" w:ascii="Times New Roman" w:hAnsi="Times New Roman" w:cs="Times New Roman"/>
              </w:rPr>
              <w:t>每出现一次挂牌督办的，扣1分</w:t>
            </w:r>
          </w:p>
        </w:tc>
        <w:tc>
          <w:tcPr>
            <w:tcW w:w="90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Style w:val="53"/>
                <w:rFonts w:hint="default" w:ascii="Times New Roman" w:hAnsi="Times New Roman" w:cs="Times New Roman"/>
              </w:rPr>
            </w:pPr>
            <w:r>
              <w:rPr>
                <w:rStyle w:val="53"/>
                <w:rFonts w:hint="default" w:ascii="Times New Roman" w:hAnsi="Times New Roman" w:cs="Times New Roman"/>
              </w:rPr>
              <w:t>行业管理日常收集统计</w:t>
            </w:r>
          </w:p>
        </w:tc>
        <w:tc>
          <w:tcPr>
            <w:tcW w:w="28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ind w:firstLine="220" w:firstLineChars="100"/>
              <w:jc w:val="left"/>
              <w:rPr>
                <w:color w:val="000000"/>
                <w:sz w:val="22"/>
                <w:szCs w:val="22"/>
              </w:rPr>
            </w:pPr>
          </w:p>
        </w:tc>
      </w:tr>
      <w:tr>
        <w:tblPrEx>
          <w:tblCellMar>
            <w:top w:w="0" w:type="dxa"/>
            <w:left w:w="0" w:type="dxa"/>
            <w:bottom w:w="0" w:type="dxa"/>
            <w:right w:w="0" w:type="dxa"/>
          </w:tblCellMar>
        </w:tblPrEx>
        <w:trPr>
          <w:trHeight w:val="379" w:hRule="atLeast"/>
          <w:jc w:val="center"/>
        </w:trPr>
        <w:tc>
          <w:tcPr>
            <w:tcW w:w="22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11</w:t>
            </w:r>
          </w:p>
        </w:tc>
        <w:tc>
          <w:tcPr>
            <w:tcW w:w="38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Style w:val="25"/>
              </w:rPr>
            </w:pPr>
            <w:r>
              <w:rPr>
                <w:rStyle w:val="25"/>
              </w:rPr>
              <w:t>服务质量</w:t>
            </w:r>
          </w:p>
          <w:p>
            <w:pPr>
              <w:widowControl/>
              <w:spacing w:line="260" w:lineRule="exact"/>
              <w:jc w:val="center"/>
              <w:textAlignment w:val="center"/>
              <w:rPr>
                <w:color w:val="000000"/>
                <w:sz w:val="22"/>
                <w:szCs w:val="22"/>
              </w:rPr>
            </w:pPr>
            <w:r>
              <w:rPr>
                <w:rStyle w:val="25"/>
              </w:rPr>
              <w:t>（5分）</w:t>
            </w:r>
          </w:p>
        </w:tc>
        <w:tc>
          <w:tcPr>
            <w:tcW w:w="61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Style w:val="53"/>
                <w:rFonts w:hint="default" w:ascii="Times New Roman" w:hAnsi="Times New Roman" w:cs="Times New Roman"/>
              </w:rPr>
            </w:pPr>
            <w:r>
              <w:rPr>
                <w:rStyle w:val="53"/>
                <w:rFonts w:hint="default" w:ascii="Times New Roman" w:hAnsi="Times New Roman" w:cs="Times New Roman"/>
              </w:rPr>
              <w:t>有责投诉</w:t>
            </w:r>
          </w:p>
        </w:tc>
        <w:tc>
          <w:tcPr>
            <w:tcW w:w="2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5</w:t>
            </w:r>
          </w:p>
        </w:tc>
        <w:tc>
          <w:tcPr>
            <w:tcW w:w="236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Style w:val="53"/>
                <w:rFonts w:hint="default" w:ascii="Times New Roman" w:hAnsi="Times New Roman" w:cs="Times New Roman"/>
              </w:rPr>
            </w:pPr>
            <w:r>
              <w:rPr>
                <w:rStyle w:val="53"/>
                <w:rFonts w:hint="default" w:ascii="Times New Roman" w:hAnsi="Times New Roman" w:cs="Times New Roman"/>
              </w:rPr>
              <w:t>每出现1次有责投诉的，扣0.5分</w:t>
            </w:r>
          </w:p>
        </w:tc>
        <w:tc>
          <w:tcPr>
            <w:tcW w:w="90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Style w:val="53"/>
                <w:rFonts w:hint="default" w:ascii="Times New Roman" w:hAnsi="Times New Roman" w:cs="Times New Roman"/>
              </w:rPr>
            </w:pPr>
            <w:r>
              <w:rPr>
                <w:rStyle w:val="53"/>
                <w:rFonts w:hint="default" w:ascii="Times New Roman" w:hAnsi="Times New Roman" w:cs="Times New Roman"/>
              </w:rPr>
              <w:t>行业管理日常收集统计</w:t>
            </w:r>
          </w:p>
        </w:tc>
        <w:tc>
          <w:tcPr>
            <w:tcW w:w="28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ind w:firstLine="221" w:firstLineChars="100"/>
              <w:jc w:val="left"/>
              <w:rPr>
                <w:b/>
                <w:bCs/>
                <w:color w:val="000000"/>
                <w:sz w:val="22"/>
                <w:szCs w:val="22"/>
              </w:rPr>
            </w:pPr>
          </w:p>
        </w:tc>
      </w:tr>
      <w:tr>
        <w:tblPrEx>
          <w:tblCellMar>
            <w:top w:w="0" w:type="dxa"/>
            <w:left w:w="0" w:type="dxa"/>
            <w:bottom w:w="0" w:type="dxa"/>
            <w:right w:w="0" w:type="dxa"/>
          </w:tblCellMar>
        </w:tblPrEx>
        <w:trPr>
          <w:trHeight w:val="947" w:hRule="atLeast"/>
          <w:jc w:val="center"/>
        </w:trPr>
        <w:tc>
          <w:tcPr>
            <w:tcW w:w="22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12</w:t>
            </w:r>
          </w:p>
        </w:tc>
        <w:tc>
          <w:tcPr>
            <w:tcW w:w="38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社会责任 （5分）</w:t>
            </w:r>
          </w:p>
        </w:tc>
        <w:tc>
          <w:tcPr>
            <w:tcW w:w="61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Style w:val="53"/>
                <w:rFonts w:hint="default" w:ascii="Times New Roman" w:hAnsi="Times New Roman" w:cs="Times New Roman"/>
              </w:rPr>
            </w:pPr>
            <w:r>
              <w:rPr>
                <w:rStyle w:val="53"/>
                <w:rFonts w:hint="default" w:ascii="Times New Roman" w:hAnsi="Times New Roman" w:cs="Times New Roman"/>
              </w:rPr>
              <w:t>企业稳定情况</w:t>
            </w:r>
          </w:p>
        </w:tc>
        <w:tc>
          <w:tcPr>
            <w:tcW w:w="2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5</w:t>
            </w:r>
          </w:p>
        </w:tc>
        <w:tc>
          <w:tcPr>
            <w:tcW w:w="236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Style w:val="53"/>
                <w:rFonts w:hint="default" w:ascii="Times New Roman" w:hAnsi="Times New Roman" w:cs="Times New Roman"/>
              </w:rPr>
            </w:pPr>
            <w:r>
              <w:rPr>
                <w:rStyle w:val="53"/>
                <w:rFonts w:hint="default" w:ascii="Times New Roman" w:hAnsi="Times New Roman" w:cs="Times New Roman"/>
              </w:rPr>
              <w:t>由于企业管理原因，导致发生违反《信访工作条例》规定、出现过激行为，情节不严重的，每次扣1分。</w:t>
            </w:r>
          </w:p>
        </w:tc>
        <w:tc>
          <w:tcPr>
            <w:tcW w:w="90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Style w:val="53"/>
                <w:rFonts w:hint="default" w:ascii="Times New Roman" w:hAnsi="Times New Roman" w:cs="Times New Roman"/>
              </w:rPr>
            </w:pPr>
            <w:r>
              <w:rPr>
                <w:rStyle w:val="53"/>
                <w:rFonts w:hint="default" w:ascii="Times New Roman" w:hAnsi="Times New Roman" w:cs="Times New Roman"/>
              </w:rPr>
              <w:t>信访、公安等部门数据共享或行业管理日常收集统计</w:t>
            </w:r>
          </w:p>
        </w:tc>
        <w:tc>
          <w:tcPr>
            <w:tcW w:w="28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ind w:firstLine="220" w:firstLineChars="100"/>
              <w:jc w:val="left"/>
              <w:rPr>
                <w:color w:val="000000"/>
                <w:sz w:val="22"/>
                <w:szCs w:val="22"/>
              </w:rPr>
            </w:pPr>
          </w:p>
        </w:tc>
      </w:tr>
      <w:tr>
        <w:tblPrEx>
          <w:tblCellMar>
            <w:top w:w="0" w:type="dxa"/>
            <w:left w:w="0" w:type="dxa"/>
            <w:bottom w:w="0" w:type="dxa"/>
            <w:right w:w="0" w:type="dxa"/>
          </w:tblCellMar>
        </w:tblPrEx>
        <w:trPr>
          <w:trHeight w:val="640" w:hRule="atLeast"/>
          <w:jc w:val="center"/>
        </w:trPr>
        <w:tc>
          <w:tcPr>
            <w:tcW w:w="22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13</w:t>
            </w:r>
          </w:p>
        </w:tc>
        <w:tc>
          <w:tcPr>
            <w:tcW w:w="38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2"/>
                <w:szCs w:val="22"/>
              </w:rPr>
            </w:pPr>
            <w:r>
              <w:rPr>
                <w:rStyle w:val="41"/>
                <w:rFonts w:hint="default" w:ascii="Times New Roman" w:hAnsi="Times New Roman" w:cs="Times New Roman"/>
                <w:color w:val="000000"/>
              </w:rPr>
              <w:t>加分项目</w:t>
            </w:r>
          </w:p>
        </w:tc>
        <w:tc>
          <w:tcPr>
            <w:tcW w:w="61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color w:val="000000"/>
                <w:sz w:val="22"/>
                <w:szCs w:val="22"/>
              </w:rPr>
            </w:pPr>
            <w:r>
              <w:rPr>
                <w:rStyle w:val="53"/>
                <w:rFonts w:hint="default" w:ascii="Times New Roman" w:hAnsi="Times New Roman" w:cs="Times New Roman"/>
              </w:rPr>
              <w:t>政府指令性运输任务完成情况</w:t>
            </w:r>
          </w:p>
        </w:tc>
        <w:tc>
          <w:tcPr>
            <w:tcW w:w="2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2"/>
                <w:szCs w:val="22"/>
              </w:rPr>
            </w:pPr>
          </w:p>
        </w:tc>
        <w:tc>
          <w:tcPr>
            <w:tcW w:w="236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color w:val="000000"/>
                <w:sz w:val="22"/>
                <w:szCs w:val="22"/>
              </w:rPr>
            </w:pPr>
            <w:r>
              <w:rPr>
                <w:rStyle w:val="53"/>
                <w:rFonts w:hint="default" w:ascii="Times New Roman" w:hAnsi="Times New Roman" w:cs="Times New Roman"/>
              </w:rPr>
              <w:t>对完成指令性应急运输任务达到政府指令要求且未出现安全责任事故的，加5分（最高不超过5分）</w:t>
            </w:r>
          </w:p>
        </w:tc>
        <w:tc>
          <w:tcPr>
            <w:tcW w:w="90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color w:val="000000"/>
                <w:sz w:val="22"/>
                <w:szCs w:val="22"/>
              </w:rPr>
            </w:pPr>
            <w:r>
              <w:rPr>
                <w:rStyle w:val="48"/>
                <w:rFonts w:hint="default" w:ascii="Times New Roman" w:hAnsi="Times New Roman" w:cs="Times New Roman"/>
              </w:rPr>
              <w:t>行业管理日常收集统计</w:t>
            </w:r>
          </w:p>
        </w:tc>
        <w:tc>
          <w:tcPr>
            <w:tcW w:w="28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left"/>
              <w:rPr>
                <w:b/>
                <w:bCs/>
                <w:color w:val="000000"/>
                <w:sz w:val="22"/>
                <w:szCs w:val="22"/>
              </w:rPr>
            </w:pPr>
          </w:p>
        </w:tc>
      </w:tr>
      <w:tr>
        <w:tblPrEx>
          <w:tblCellMar>
            <w:top w:w="0" w:type="dxa"/>
            <w:left w:w="0" w:type="dxa"/>
            <w:bottom w:w="0" w:type="dxa"/>
            <w:right w:w="0" w:type="dxa"/>
          </w:tblCellMar>
        </w:tblPrEx>
        <w:trPr>
          <w:trHeight w:val="454" w:hRule="atLeast"/>
          <w:jc w:val="center"/>
        </w:trPr>
        <w:tc>
          <w:tcPr>
            <w:tcW w:w="22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left"/>
              <w:textAlignment w:val="center"/>
              <w:rPr>
                <w:rFonts w:eastAsia="方正楷体_GBK"/>
                <w:color w:val="000000"/>
                <w:sz w:val="22"/>
                <w:szCs w:val="22"/>
              </w:rPr>
            </w:pPr>
            <w:r>
              <w:rPr>
                <w:rFonts w:eastAsia="方正楷体_GBK"/>
                <w:color w:val="000000"/>
                <w:sz w:val="22"/>
                <w:szCs w:val="22"/>
              </w:rPr>
              <w:t>合计</w:t>
            </w:r>
          </w:p>
        </w:tc>
        <w:tc>
          <w:tcPr>
            <w:tcW w:w="38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2"/>
                <w:szCs w:val="22"/>
              </w:rPr>
            </w:pPr>
            <w:r>
              <w:rPr>
                <w:rStyle w:val="52"/>
              </w:rPr>
              <w:t>100</w:t>
            </w:r>
            <w:r>
              <w:rPr>
                <w:rStyle w:val="51"/>
                <w:rFonts w:hint="default" w:ascii="Times New Roman" w:hAnsi="Times New Roman" w:cs="Times New Roman"/>
                <w:color w:val="000000"/>
              </w:rPr>
              <w:t>分</w:t>
            </w:r>
          </w:p>
        </w:tc>
        <w:tc>
          <w:tcPr>
            <w:tcW w:w="61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center"/>
              <w:rPr>
                <w:color w:val="000000"/>
                <w:sz w:val="22"/>
                <w:szCs w:val="22"/>
              </w:rPr>
            </w:pPr>
          </w:p>
        </w:tc>
        <w:tc>
          <w:tcPr>
            <w:tcW w:w="2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2"/>
                <w:szCs w:val="22"/>
              </w:rPr>
            </w:pPr>
            <w:r>
              <w:rPr>
                <w:rStyle w:val="52"/>
              </w:rPr>
              <w:t>100</w:t>
            </w:r>
            <w:r>
              <w:rPr>
                <w:rStyle w:val="51"/>
                <w:rFonts w:hint="default" w:ascii="Times New Roman" w:hAnsi="Times New Roman" w:cs="Times New Roman"/>
                <w:color w:val="000000"/>
              </w:rPr>
              <w:t>分</w:t>
            </w:r>
          </w:p>
        </w:tc>
        <w:tc>
          <w:tcPr>
            <w:tcW w:w="236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left"/>
              <w:rPr>
                <w:color w:val="000000"/>
                <w:sz w:val="22"/>
                <w:szCs w:val="22"/>
              </w:rPr>
            </w:pPr>
          </w:p>
        </w:tc>
        <w:tc>
          <w:tcPr>
            <w:tcW w:w="90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left"/>
              <w:rPr>
                <w:color w:val="000000"/>
                <w:sz w:val="22"/>
                <w:szCs w:val="22"/>
              </w:rPr>
            </w:pPr>
          </w:p>
        </w:tc>
        <w:tc>
          <w:tcPr>
            <w:tcW w:w="28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left"/>
              <w:rPr>
                <w:color w:val="000000"/>
                <w:sz w:val="22"/>
                <w:szCs w:val="22"/>
              </w:rPr>
            </w:pPr>
          </w:p>
        </w:tc>
      </w:tr>
      <w:tr>
        <w:tblPrEx>
          <w:tblCellMar>
            <w:top w:w="0" w:type="dxa"/>
            <w:left w:w="0" w:type="dxa"/>
            <w:bottom w:w="0" w:type="dxa"/>
            <w:right w:w="0" w:type="dxa"/>
          </w:tblCellMar>
        </w:tblPrEx>
        <w:trPr>
          <w:trHeight w:val="454" w:hRule="atLeast"/>
          <w:jc w:val="center"/>
        </w:trPr>
        <w:tc>
          <w:tcPr>
            <w:tcW w:w="611" w:type="pct"/>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4"/>
              </w:rPr>
            </w:pPr>
            <w:r>
              <w:rPr>
                <w:rStyle w:val="44"/>
                <w:rFonts w:hint="default" w:ascii="Times New Roman" w:hAnsi="Times New Roman" w:cs="Times New Roman"/>
              </w:rPr>
              <w:t>评价结论</w:t>
            </w:r>
          </w:p>
        </w:tc>
        <w:tc>
          <w:tcPr>
            <w:tcW w:w="61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2"/>
                <w:szCs w:val="22"/>
              </w:rPr>
            </w:pPr>
            <w:r>
              <w:rPr>
                <w:rStyle w:val="55"/>
                <w:rFonts w:hint="default" w:ascii="Times New Roman" w:hAnsi="Times New Roman" w:cs="Times New Roman"/>
                <w:color w:val="000000"/>
              </w:rPr>
              <w:t>考核等级</w:t>
            </w:r>
          </w:p>
        </w:tc>
        <w:tc>
          <w:tcPr>
            <w:tcW w:w="3779" w:type="pct"/>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AA□                  A□                  B□                    C□                     D□</w:t>
            </w:r>
          </w:p>
        </w:tc>
      </w:tr>
      <w:tr>
        <w:tblPrEx>
          <w:tblCellMar>
            <w:top w:w="0" w:type="dxa"/>
            <w:left w:w="0" w:type="dxa"/>
            <w:bottom w:w="0" w:type="dxa"/>
            <w:right w:w="0" w:type="dxa"/>
          </w:tblCellMar>
        </w:tblPrEx>
        <w:trPr>
          <w:trHeight w:val="454" w:hRule="atLeast"/>
          <w:jc w:val="center"/>
        </w:trPr>
        <w:tc>
          <w:tcPr>
            <w:tcW w:w="611" w:type="pct"/>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center"/>
              <w:rPr>
                <w:color w:val="000000"/>
                <w:sz w:val="24"/>
              </w:rPr>
            </w:pPr>
          </w:p>
        </w:tc>
        <w:tc>
          <w:tcPr>
            <w:tcW w:w="61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2"/>
                <w:szCs w:val="22"/>
              </w:rPr>
            </w:pPr>
            <w:r>
              <w:rPr>
                <w:rStyle w:val="55"/>
                <w:rFonts w:hint="default" w:ascii="Times New Roman" w:hAnsi="Times New Roman" w:cs="Times New Roman"/>
                <w:color w:val="000000"/>
              </w:rPr>
              <w:t>评价机构名称</w:t>
            </w:r>
          </w:p>
        </w:tc>
        <w:tc>
          <w:tcPr>
            <w:tcW w:w="3779" w:type="pct"/>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center"/>
              <w:rPr>
                <w:color w:val="000000"/>
                <w:sz w:val="22"/>
                <w:szCs w:val="22"/>
              </w:rPr>
            </w:pPr>
          </w:p>
        </w:tc>
      </w:tr>
      <w:tr>
        <w:tblPrEx>
          <w:tblCellMar>
            <w:top w:w="0" w:type="dxa"/>
            <w:left w:w="0" w:type="dxa"/>
            <w:bottom w:w="0" w:type="dxa"/>
            <w:right w:w="0" w:type="dxa"/>
          </w:tblCellMar>
        </w:tblPrEx>
        <w:trPr>
          <w:trHeight w:val="454" w:hRule="atLeast"/>
          <w:jc w:val="center"/>
        </w:trPr>
        <w:tc>
          <w:tcPr>
            <w:tcW w:w="611" w:type="pct"/>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center"/>
              <w:rPr>
                <w:color w:val="000000"/>
                <w:sz w:val="24"/>
              </w:rPr>
            </w:pPr>
          </w:p>
        </w:tc>
        <w:tc>
          <w:tcPr>
            <w:tcW w:w="61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2"/>
                <w:szCs w:val="22"/>
              </w:rPr>
            </w:pPr>
            <w:r>
              <w:rPr>
                <w:rStyle w:val="55"/>
                <w:rFonts w:hint="default" w:ascii="Times New Roman" w:hAnsi="Times New Roman" w:cs="Times New Roman"/>
                <w:color w:val="000000"/>
              </w:rPr>
              <w:t>经办人</w:t>
            </w:r>
          </w:p>
        </w:tc>
        <w:tc>
          <w:tcPr>
            <w:tcW w:w="2587" w:type="pct"/>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center"/>
              <w:rPr>
                <w:color w:val="000000"/>
                <w:sz w:val="22"/>
                <w:szCs w:val="22"/>
              </w:rPr>
            </w:pPr>
          </w:p>
        </w:tc>
        <w:tc>
          <w:tcPr>
            <w:tcW w:w="90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color w:val="000000"/>
                <w:sz w:val="22"/>
                <w:szCs w:val="22"/>
              </w:rPr>
            </w:pPr>
            <w:r>
              <w:rPr>
                <w:rStyle w:val="55"/>
                <w:rFonts w:hint="default" w:ascii="Times New Roman" w:hAnsi="Times New Roman" w:cs="Times New Roman"/>
                <w:color w:val="000000"/>
              </w:rPr>
              <w:t>评价日期</w:t>
            </w:r>
          </w:p>
        </w:tc>
        <w:tc>
          <w:tcPr>
            <w:tcW w:w="28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center"/>
              <w:rPr>
                <w:color w:val="000000"/>
                <w:sz w:val="22"/>
                <w:szCs w:val="22"/>
              </w:rPr>
            </w:pPr>
          </w:p>
        </w:tc>
      </w:tr>
    </w:tbl>
    <w:p>
      <w:pPr>
        <w:spacing w:line="260" w:lineRule="exact"/>
        <w:ind w:firstLine="480" w:firstLineChars="200"/>
        <w:rPr>
          <w:rStyle w:val="50"/>
          <w:rFonts w:hint="default" w:ascii="Times New Roman" w:hAnsi="Times New Roman" w:cs="Times New Roman"/>
        </w:rPr>
      </w:pPr>
      <w:r>
        <w:rPr>
          <w:rStyle w:val="50"/>
          <w:rFonts w:hint="default" w:ascii="Times New Roman" w:hAnsi="Times New Roman" w:cs="Times New Roman"/>
        </w:rPr>
        <w:t>备注（相关指标释义）：</w:t>
      </w:r>
    </w:p>
    <w:p>
      <w:pPr>
        <w:spacing w:line="260" w:lineRule="exact"/>
        <w:ind w:firstLine="480" w:firstLineChars="200"/>
        <w:rPr>
          <w:rStyle w:val="50"/>
          <w:rFonts w:hint="default" w:ascii="Times New Roman" w:hAnsi="Times New Roman" w:cs="Times New Roman"/>
        </w:rPr>
      </w:pPr>
      <w:r>
        <w:rPr>
          <w:rStyle w:val="50"/>
          <w:rFonts w:hint="default" w:ascii="Times New Roman" w:hAnsi="Times New Roman" w:cs="Times New Roman"/>
        </w:rPr>
        <w:t>一、道路运输机构需建立的信用档案包括：《重庆道路货物运输经营者信用考核综合评价表》、表内非系统自动统计数据记录的相关佐证材料、区县道路运输机构在日常管理工作中收集的普通货物道路运输经营者（以下简称货运经营者）信用考核相关信息（资料）等。信用考核档案保存期限不少于3年。</w:t>
      </w:r>
    </w:p>
    <w:p>
      <w:pPr>
        <w:spacing w:line="260" w:lineRule="exact"/>
        <w:ind w:firstLine="480" w:firstLineChars="200"/>
        <w:rPr>
          <w:rStyle w:val="50"/>
          <w:rFonts w:hint="default" w:ascii="Times New Roman" w:hAnsi="Times New Roman" w:cs="Times New Roman"/>
        </w:rPr>
      </w:pPr>
      <w:r>
        <w:rPr>
          <w:rStyle w:val="50"/>
          <w:rFonts w:hint="default" w:ascii="Times New Roman" w:hAnsi="Times New Roman" w:cs="Times New Roman"/>
        </w:rPr>
        <w:t>二、违法违规指：货运经营者、货运从业人员违反道路交通安全及道路运输相关法律法规的规定，受到行政处罚的行为。</w:t>
      </w:r>
    </w:p>
    <w:p>
      <w:pPr>
        <w:spacing w:line="260" w:lineRule="exact"/>
        <w:ind w:firstLine="480" w:firstLineChars="200"/>
        <w:rPr>
          <w:rStyle w:val="50"/>
          <w:rFonts w:hint="default" w:ascii="Times New Roman" w:hAnsi="Times New Roman" w:cs="Times New Roman"/>
        </w:rPr>
      </w:pPr>
      <w:r>
        <w:rPr>
          <w:rStyle w:val="50"/>
          <w:rFonts w:hint="default" w:ascii="Times New Roman" w:hAnsi="Times New Roman" w:cs="Times New Roman"/>
        </w:rPr>
        <w:t>三、交通责任事故指：考核周期内货运经营者承担同责及同责以上、有人员伤亡的交通事故。</w:t>
      </w:r>
    </w:p>
    <w:p>
      <w:pPr>
        <w:spacing w:line="260" w:lineRule="exact"/>
        <w:ind w:firstLine="480" w:firstLineChars="200"/>
        <w:rPr>
          <w:rStyle w:val="50"/>
          <w:rFonts w:hint="default" w:ascii="Times New Roman" w:hAnsi="Times New Roman" w:cs="Times New Roman"/>
        </w:rPr>
      </w:pPr>
      <w:r>
        <w:rPr>
          <w:rStyle w:val="50"/>
          <w:rFonts w:hint="default" w:ascii="Times New Roman" w:hAnsi="Times New Roman" w:cs="Times New Roman"/>
        </w:rPr>
        <w:t>四、有责投诉指：货运经营者、货运从业人员违反有关规定，损害他人正当权益，货主、其他相关人向交通行业管理部门进行投诉，或者新闻媒体对经营者的服务质量事件曝光，经查证，属于货运经营者或者从业人员责任的。</w:t>
      </w:r>
    </w:p>
    <w:p>
      <w:pPr>
        <w:pStyle w:val="5"/>
        <w:spacing w:line="600" w:lineRule="exact"/>
        <w:rPr>
          <w:rFonts w:hint="eastAsia" w:eastAsia="黑体"/>
          <w:color w:val="000000"/>
          <w:sz w:val="32"/>
          <w:szCs w:val="32"/>
        </w:rPr>
      </w:pPr>
    </w:p>
    <w:p>
      <w:pPr>
        <w:pStyle w:val="5"/>
        <w:spacing w:line="600" w:lineRule="exact"/>
        <w:rPr>
          <w:rFonts w:hint="eastAsia" w:eastAsia="黑体"/>
          <w:color w:val="000000"/>
          <w:sz w:val="32"/>
          <w:szCs w:val="32"/>
        </w:rPr>
      </w:pPr>
    </w:p>
    <w:p>
      <w:pPr>
        <w:pStyle w:val="5"/>
        <w:spacing w:line="600" w:lineRule="exact"/>
        <w:rPr>
          <w:rFonts w:hint="eastAsia" w:eastAsia="黑体"/>
          <w:color w:val="000000"/>
          <w:sz w:val="32"/>
          <w:szCs w:val="32"/>
        </w:rPr>
      </w:pPr>
    </w:p>
    <w:p>
      <w:pPr>
        <w:pStyle w:val="5"/>
        <w:spacing w:line="600" w:lineRule="exact"/>
        <w:rPr>
          <w:rFonts w:hint="eastAsia" w:eastAsia="黑体"/>
          <w:color w:val="000000"/>
          <w:sz w:val="32"/>
          <w:szCs w:val="32"/>
        </w:rPr>
      </w:pPr>
    </w:p>
    <w:p>
      <w:pPr>
        <w:pStyle w:val="5"/>
        <w:spacing w:line="600" w:lineRule="exact"/>
        <w:rPr>
          <w:rFonts w:hint="eastAsia" w:eastAsia="黑体"/>
          <w:color w:val="000000"/>
          <w:sz w:val="32"/>
          <w:szCs w:val="32"/>
        </w:rPr>
      </w:pPr>
    </w:p>
    <w:p>
      <w:pPr>
        <w:spacing w:line="560" w:lineRule="exact"/>
        <w:jc w:val="lef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附件1-3</w:t>
      </w:r>
    </w:p>
    <w:p>
      <w:pPr>
        <w:spacing w:line="560" w:lineRule="exact"/>
        <w:ind w:left="420" w:leftChars="200" w:firstLine="420" w:firstLineChars="200"/>
        <w:rPr>
          <w:rFonts w:hint="eastAsia" w:ascii="Times New Roman" w:hAnsi="Times New Roman" w:eastAsia="宋体" w:cs="Times New Roman"/>
          <w:szCs w:val="20"/>
        </w:rPr>
      </w:pPr>
    </w:p>
    <w:p>
      <w:pPr>
        <w:spacing w:line="560" w:lineRule="exact"/>
        <w:jc w:val="center"/>
        <w:rPr>
          <w:rFonts w:ascii="Times New Roman" w:hAnsi="Times New Roman" w:eastAsia="方正黑体_GBK" w:cs="Times New Roman"/>
          <w:color w:val="000000"/>
          <w:sz w:val="44"/>
          <w:szCs w:val="44"/>
        </w:rPr>
      </w:pPr>
      <w:r>
        <w:rPr>
          <w:rFonts w:ascii="Times New Roman" w:hAnsi="Times New Roman" w:eastAsia="方正小标宋_GBK" w:cs="Times New Roman"/>
          <w:color w:val="000000"/>
          <w:kern w:val="0"/>
          <w:sz w:val="44"/>
          <w:szCs w:val="44"/>
          <w:lang w:bidi="ar"/>
        </w:rPr>
        <w:t>重庆市危险货物道路运输经营者信用评价标准</w:t>
      </w:r>
    </w:p>
    <w:p>
      <w:pPr>
        <w:widowControl/>
        <w:spacing w:line="600" w:lineRule="exact"/>
        <w:textAlignment w:val="center"/>
        <w:rPr>
          <w:rFonts w:ascii="Times New Roman" w:hAnsi="Times New Roman" w:eastAsia="方正仿宋_GBK" w:cs="Times New Roman"/>
          <w:color w:val="000000"/>
          <w:sz w:val="32"/>
          <w:szCs w:val="32"/>
          <w:lang w:bidi="ar"/>
        </w:rPr>
      </w:pPr>
      <w:r>
        <w:rPr>
          <w:rFonts w:ascii="Times New Roman" w:hAnsi="Times New Roman" w:eastAsia="方正仿宋_GBK" w:cs="Times New Roman"/>
          <w:color w:val="000000"/>
          <w:sz w:val="28"/>
          <w:szCs w:val="28"/>
          <w:lang w:bidi="ar"/>
        </w:rPr>
        <w:t xml:space="preserve">被评价企业：  </w:t>
      </w:r>
      <w:r>
        <w:rPr>
          <w:rFonts w:ascii="Times New Roman" w:hAnsi="Times New Roman" w:eastAsia="方正仿宋_GBK" w:cs="Times New Roman"/>
          <w:color w:val="000000"/>
          <w:sz w:val="32"/>
          <w:szCs w:val="32"/>
          <w:lang w:bidi="ar"/>
        </w:rPr>
        <w:t xml:space="preserve">                                                  </w:t>
      </w:r>
      <w:r>
        <w:rPr>
          <w:rFonts w:ascii="Times New Roman" w:hAnsi="Times New Roman" w:eastAsia="方正仿宋_GBK" w:cs="Times New Roman"/>
          <w:color w:val="000000"/>
          <w:sz w:val="28"/>
          <w:szCs w:val="28"/>
          <w:lang w:bidi="ar"/>
        </w:rPr>
        <w:t xml:space="preserve">   评价年度：</w:t>
      </w:r>
    </w:p>
    <w:tbl>
      <w:tblPr>
        <w:tblStyle w:val="14"/>
        <w:tblW w:w="14344" w:type="dxa"/>
        <w:jc w:val="center"/>
        <w:tblLayout w:type="autofit"/>
        <w:tblCellMar>
          <w:top w:w="0" w:type="dxa"/>
          <w:left w:w="108" w:type="dxa"/>
          <w:bottom w:w="0" w:type="dxa"/>
          <w:right w:w="108" w:type="dxa"/>
        </w:tblCellMar>
      </w:tblPr>
      <w:tblGrid>
        <w:gridCol w:w="696"/>
        <w:gridCol w:w="1292"/>
        <w:gridCol w:w="1970"/>
        <w:gridCol w:w="764"/>
        <w:gridCol w:w="5743"/>
        <w:gridCol w:w="3150"/>
        <w:gridCol w:w="729"/>
      </w:tblGrid>
      <w:tr>
        <w:tblPrEx>
          <w:tblCellMar>
            <w:top w:w="0" w:type="dxa"/>
            <w:left w:w="108" w:type="dxa"/>
            <w:bottom w:w="0" w:type="dxa"/>
            <w:right w:w="108" w:type="dxa"/>
          </w:tblCellMar>
        </w:tblPrEx>
        <w:trPr>
          <w:trHeight w:val="90" w:hRule="atLeast"/>
          <w:tblHeader/>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黑体" w:cs="Times New Roman"/>
                <w:color w:val="000000"/>
                <w:sz w:val="24"/>
                <w:szCs w:val="20"/>
              </w:rPr>
            </w:pPr>
            <w:r>
              <w:rPr>
                <w:rFonts w:ascii="Times New Roman" w:hAnsi="Times New Roman" w:eastAsia="黑体" w:cs="Times New Roman"/>
                <w:color w:val="000000"/>
                <w:sz w:val="24"/>
                <w:lang w:bidi="ar"/>
              </w:rPr>
              <w:t>序号</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黑体" w:cs="Times New Roman"/>
                <w:color w:val="000000"/>
                <w:sz w:val="24"/>
                <w:lang w:bidi="ar"/>
              </w:rPr>
            </w:pPr>
            <w:r>
              <w:rPr>
                <w:rFonts w:ascii="Times New Roman" w:hAnsi="Times New Roman" w:eastAsia="黑体" w:cs="Times New Roman"/>
                <w:color w:val="000000"/>
                <w:sz w:val="24"/>
                <w:lang w:bidi="ar"/>
              </w:rPr>
              <w:t>一级指标及分值</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黑体" w:cs="Times New Roman"/>
                <w:color w:val="000000"/>
                <w:sz w:val="24"/>
                <w:lang w:bidi="ar"/>
              </w:rPr>
            </w:pPr>
            <w:r>
              <w:rPr>
                <w:rFonts w:ascii="Times New Roman" w:hAnsi="Times New Roman" w:eastAsia="黑体" w:cs="Times New Roman"/>
                <w:color w:val="000000"/>
                <w:sz w:val="24"/>
                <w:lang w:bidi="ar"/>
              </w:rPr>
              <w:t>二级指标</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黑体" w:cs="Times New Roman"/>
                <w:color w:val="000000"/>
                <w:sz w:val="24"/>
                <w:lang w:bidi="ar"/>
              </w:rPr>
            </w:pPr>
            <w:r>
              <w:rPr>
                <w:rFonts w:ascii="Times New Roman" w:hAnsi="Times New Roman" w:eastAsia="黑体" w:cs="Times New Roman"/>
                <w:color w:val="000000"/>
                <w:sz w:val="24"/>
                <w:lang w:bidi="ar"/>
              </w:rPr>
              <w:t>分值</w:t>
            </w:r>
          </w:p>
        </w:tc>
        <w:tc>
          <w:tcPr>
            <w:tcW w:w="57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黑体" w:cs="Times New Roman"/>
                <w:color w:val="000000"/>
                <w:sz w:val="24"/>
                <w:lang w:bidi="ar"/>
              </w:rPr>
            </w:pPr>
            <w:r>
              <w:rPr>
                <w:rFonts w:ascii="Times New Roman" w:hAnsi="Times New Roman" w:eastAsia="黑体" w:cs="Times New Roman"/>
                <w:color w:val="000000"/>
                <w:sz w:val="24"/>
                <w:lang w:bidi="ar"/>
              </w:rPr>
              <w:t>评分标准</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黑体" w:cs="Times New Roman"/>
                <w:color w:val="000000"/>
                <w:sz w:val="24"/>
                <w:lang w:bidi="ar"/>
              </w:rPr>
            </w:pPr>
            <w:r>
              <w:rPr>
                <w:rFonts w:ascii="Times New Roman" w:hAnsi="Times New Roman" w:eastAsia="黑体" w:cs="Times New Roman"/>
                <w:color w:val="000000"/>
                <w:sz w:val="24"/>
                <w:lang w:bidi="ar"/>
              </w:rPr>
              <w:t>数据来源</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黑体" w:cs="Times New Roman"/>
                <w:color w:val="000000"/>
                <w:sz w:val="24"/>
                <w:lang w:bidi="ar"/>
              </w:rPr>
            </w:pPr>
            <w:r>
              <w:rPr>
                <w:rFonts w:ascii="Times New Roman" w:hAnsi="Times New Roman" w:eastAsia="方正黑体_GBK" w:cs="Times New Roman"/>
                <w:szCs w:val="21"/>
              </w:rPr>
              <w:t>得分</w:t>
            </w: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1</w:t>
            </w:r>
          </w:p>
        </w:tc>
        <w:tc>
          <w:tcPr>
            <w:tcW w:w="12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2"/>
                <w:szCs w:val="22"/>
                <w:lang w:bidi="ar"/>
              </w:rPr>
              <w:t>经营管理（</w:t>
            </w:r>
            <w:r>
              <w:rPr>
                <w:rFonts w:ascii="Times New Roman" w:hAnsi="Times New Roman" w:eastAsia="仿宋" w:cs="Times New Roman"/>
                <w:sz w:val="22"/>
                <w:szCs w:val="22"/>
                <w:lang w:bidi="ar"/>
              </w:rPr>
              <w:t>53</w:t>
            </w:r>
            <w:r>
              <w:rPr>
                <w:rFonts w:ascii="Times New Roman" w:hAnsi="Times New Roman" w:eastAsia="仿宋" w:cs="Times New Roman"/>
                <w:color w:val="000000"/>
                <w:sz w:val="24"/>
                <w:lang w:bidi="ar"/>
              </w:rPr>
              <w:t>分）</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车辆审验超期率</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9</w:t>
            </w:r>
          </w:p>
        </w:tc>
        <w:tc>
          <w:tcPr>
            <w:tcW w:w="57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大于0且小于等于0.01的，扣3分，每增加0.01，加扣1分</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重庆道路运输综合管理与服务系统自动统计</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 w:cs="Times New Roman"/>
                <w:color w:val="000000"/>
                <w:sz w:val="24"/>
                <w:szCs w:val="20"/>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2</w:t>
            </w:r>
          </w:p>
        </w:tc>
        <w:tc>
          <w:tcPr>
            <w:tcW w:w="12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 w:cs="Times New Roman"/>
                <w:color w:val="000000"/>
                <w:sz w:val="24"/>
                <w:szCs w:val="20"/>
              </w:rPr>
            </w:pP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车辆动态监管考核情况</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10</w:t>
            </w:r>
          </w:p>
        </w:tc>
        <w:tc>
          <w:tcPr>
            <w:tcW w:w="57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lang w:bidi="ar"/>
              </w:rPr>
            </w:pPr>
            <w:r>
              <w:rPr>
                <w:rFonts w:ascii="Times New Roman" w:hAnsi="Times New Roman" w:eastAsia="仿宋" w:cs="Times New Roman"/>
                <w:color w:val="000000"/>
                <w:sz w:val="24"/>
                <w:lang w:bidi="ar"/>
              </w:rPr>
              <w:t>考核周期内动态监督管理考核月平均分÷100×本项分值</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重庆道路运输综合管理与服务系统自动统计</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 w:cs="Times New Roman"/>
                <w:color w:val="000000"/>
                <w:sz w:val="24"/>
                <w:szCs w:val="20"/>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3</w:t>
            </w:r>
          </w:p>
        </w:tc>
        <w:tc>
          <w:tcPr>
            <w:tcW w:w="12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 w:cs="Times New Roman"/>
                <w:color w:val="000000"/>
                <w:sz w:val="24"/>
                <w:szCs w:val="20"/>
              </w:rPr>
            </w:pP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电子运单使用情况</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10</w:t>
            </w:r>
          </w:p>
        </w:tc>
        <w:tc>
          <w:tcPr>
            <w:tcW w:w="57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lang w:bidi="ar"/>
              </w:rPr>
            </w:pPr>
            <w:r>
              <w:rPr>
                <w:rFonts w:ascii="Times New Roman" w:hAnsi="Times New Roman" w:eastAsia="仿宋" w:cs="Times New Roman"/>
                <w:color w:val="000000"/>
                <w:sz w:val="24"/>
                <w:lang w:bidi="ar"/>
              </w:rPr>
              <w:t>考核周期内电子运单使用考核月平均轨迹匹配率×本项得分</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重庆道路运输综合管理与服务系统自动统计</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 w:cs="Times New Roman"/>
                <w:color w:val="000000"/>
                <w:sz w:val="24"/>
                <w:szCs w:val="20"/>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4</w:t>
            </w:r>
          </w:p>
        </w:tc>
        <w:tc>
          <w:tcPr>
            <w:tcW w:w="12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 w:cs="Times New Roman"/>
                <w:color w:val="000000"/>
                <w:sz w:val="24"/>
                <w:szCs w:val="20"/>
              </w:rPr>
            </w:pP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行政处罚情况</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kern w:val="0"/>
                <w:sz w:val="24"/>
                <w:szCs w:val="20"/>
                <w:lang w:bidi="ar"/>
              </w:rPr>
            </w:pPr>
            <w:r>
              <w:rPr>
                <w:rFonts w:ascii="Times New Roman" w:hAnsi="Times New Roman" w:eastAsia="仿宋" w:cs="Times New Roman"/>
                <w:color w:val="000000"/>
                <w:kern w:val="0"/>
                <w:sz w:val="24"/>
                <w:szCs w:val="20"/>
                <w:lang w:bidi="ar"/>
              </w:rPr>
              <w:t>15</w:t>
            </w:r>
          </w:p>
        </w:tc>
        <w:tc>
          <w:tcPr>
            <w:tcW w:w="57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lang w:bidi="ar"/>
              </w:rPr>
            </w:pPr>
            <w:r>
              <w:rPr>
                <w:rFonts w:ascii="Times New Roman" w:hAnsi="Times New Roman" w:eastAsia="仿宋" w:cs="Times New Roman"/>
                <w:color w:val="000000"/>
                <w:sz w:val="24"/>
                <w:lang w:bidi="ar"/>
              </w:rPr>
              <w:t>违法违规率：大于0且小于等于0.01次/车的，扣 1分，每增加0.01次/车，加扣0.5分；</w:t>
            </w:r>
          </w:p>
          <w:p>
            <w:pPr>
              <w:widowControl/>
              <w:spacing w:line="260" w:lineRule="exact"/>
              <w:jc w:val="left"/>
              <w:textAlignment w:val="center"/>
              <w:rPr>
                <w:rFonts w:ascii="Times New Roman" w:hAnsi="Times New Roman" w:eastAsia="仿宋" w:cs="Times New Roman"/>
                <w:color w:val="000000"/>
                <w:sz w:val="24"/>
                <w:lang w:bidi="ar"/>
              </w:rPr>
            </w:pPr>
            <w:r>
              <w:rPr>
                <w:rFonts w:ascii="Times New Roman" w:hAnsi="Times New Roman" w:eastAsia="仿宋" w:cs="Times New Roman"/>
                <w:color w:val="000000"/>
                <w:sz w:val="24"/>
                <w:lang w:bidi="ar"/>
              </w:rPr>
              <w:t>在考核周期届满时，存在未履行交通运输行政处罚决定的，按照该交通运输行政处罚信用扣分标准，再次扣除相应分数。</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交通、公安部门执法数据共享或日常收集统计</w:t>
            </w:r>
          </w:p>
        </w:tc>
        <w:tc>
          <w:tcPr>
            <w:tcW w:w="729" w:type="dxa"/>
            <w:tcBorders>
              <w:top w:val="single" w:color="000000" w:sz="4" w:space="0"/>
              <w:left w:val="single" w:color="000000" w:sz="4" w:space="0"/>
              <w:bottom w:val="single" w:color="000000" w:sz="4" w:space="0"/>
              <w:right w:val="single" w:color="000000" w:sz="4" w:space="0"/>
            </w:tcBorders>
          </w:tcPr>
          <w:p>
            <w:pPr>
              <w:widowControl/>
              <w:spacing w:line="260" w:lineRule="exact"/>
              <w:ind w:firstLine="210" w:firstLineChars="100"/>
              <w:rPr>
                <w:rFonts w:ascii="Times New Roman" w:hAnsi="Times New Roman" w:eastAsia="方正仿宋_GBK" w:cs="Times New Roman"/>
                <w:color w:val="000000"/>
                <w:szCs w:val="21"/>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5</w:t>
            </w:r>
          </w:p>
        </w:tc>
        <w:tc>
          <w:tcPr>
            <w:tcW w:w="12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 w:cs="Times New Roman"/>
                <w:color w:val="000000"/>
                <w:sz w:val="24"/>
                <w:szCs w:val="20"/>
              </w:rPr>
            </w:pP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车辆技术管理情况</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kern w:val="0"/>
                <w:sz w:val="24"/>
                <w:szCs w:val="20"/>
                <w:lang w:bidi="ar"/>
              </w:rPr>
            </w:pPr>
            <w:r>
              <w:rPr>
                <w:rFonts w:ascii="Times New Roman" w:hAnsi="Times New Roman" w:eastAsia="仿宋" w:cs="Times New Roman"/>
                <w:color w:val="000000"/>
                <w:kern w:val="0"/>
                <w:sz w:val="24"/>
                <w:szCs w:val="20"/>
                <w:lang w:bidi="ar"/>
              </w:rPr>
              <w:t>5</w:t>
            </w:r>
          </w:p>
        </w:tc>
        <w:tc>
          <w:tcPr>
            <w:tcW w:w="57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szCs w:val="20"/>
              </w:rPr>
              <w:t>每发现一起隐患的，扣0.5分</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 w:cs="Times New Roman"/>
                <w:color w:val="000000"/>
                <w:sz w:val="24"/>
                <w:szCs w:val="20"/>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6</w:t>
            </w:r>
          </w:p>
        </w:tc>
        <w:tc>
          <w:tcPr>
            <w:tcW w:w="12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 w:cs="Times New Roman"/>
                <w:color w:val="000000"/>
                <w:sz w:val="24"/>
                <w:szCs w:val="20"/>
              </w:rPr>
            </w:pP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车辆动态监管制度及落实情况</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kern w:val="0"/>
                <w:sz w:val="24"/>
                <w:szCs w:val="20"/>
                <w:lang w:bidi="ar"/>
              </w:rPr>
            </w:pPr>
            <w:r>
              <w:rPr>
                <w:rFonts w:ascii="Times New Roman" w:hAnsi="Times New Roman" w:eastAsia="仿宋" w:cs="Times New Roman"/>
                <w:color w:val="000000"/>
                <w:kern w:val="0"/>
                <w:sz w:val="24"/>
                <w:szCs w:val="20"/>
                <w:lang w:bidi="ar"/>
              </w:rPr>
              <w:t>4</w:t>
            </w:r>
          </w:p>
        </w:tc>
        <w:tc>
          <w:tcPr>
            <w:tcW w:w="57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lang w:bidi="ar"/>
              </w:rPr>
            </w:pPr>
            <w:r>
              <w:rPr>
                <w:rFonts w:ascii="Times New Roman" w:hAnsi="Times New Roman" w:eastAsia="仿宋" w:cs="Times New Roman"/>
                <w:color w:val="000000"/>
                <w:sz w:val="24"/>
                <w:lang w:bidi="ar"/>
              </w:rPr>
              <w:t>每发现一起隐患的，扣0.5分。</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240" w:firstLineChars="100"/>
              <w:jc w:val="left"/>
              <w:rPr>
                <w:rFonts w:ascii="Times New Roman" w:hAnsi="Times New Roman" w:eastAsia="仿宋" w:cs="Times New Roman"/>
                <w:color w:val="000000"/>
                <w:sz w:val="24"/>
                <w:szCs w:val="20"/>
              </w:rPr>
            </w:pPr>
          </w:p>
        </w:tc>
      </w:tr>
      <w:tr>
        <w:tblPrEx>
          <w:tblCellMar>
            <w:top w:w="0" w:type="dxa"/>
            <w:left w:w="108" w:type="dxa"/>
            <w:bottom w:w="0" w:type="dxa"/>
            <w:right w:w="108" w:type="dxa"/>
          </w:tblCellMar>
        </w:tblPrEx>
        <w:trPr>
          <w:trHeight w:val="864"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7</w:t>
            </w:r>
          </w:p>
        </w:tc>
        <w:tc>
          <w:tcPr>
            <w:tcW w:w="12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2"/>
                <w:szCs w:val="22"/>
                <w:lang w:bidi="ar"/>
              </w:rPr>
              <w:t>安全生产（30分）</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交通责任事故死亡率</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5</w:t>
            </w:r>
          </w:p>
        </w:tc>
        <w:tc>
          <w:tcPr>
            <w:tcW w:w="57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lang w:bidi="ar"/>
              </w:rPr>
            </w:pPr>
            <w:r>
              <w:rPr>
                <w:rFonts w:ascii="Times New Roman" w:hAnsi="Times New Roman" w:eastAsia="仿宋" w:cs="Times New Roman"/>
                <w:color w:val="000000"/>
                <w:sz w:val="24"/>
                <w:lang w:bidi="ar"/>
              </w:rPr>
              <w:t>大于0且小于等于0.01人/车的，扣2分，每增加0.01人/车，加扣0.5分。发生拖延报告亡人事故的，每次扣0.5分；存在瞒报、谎报亡人事故的，每次扣1分。</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公安部门数据共享或日常收集统计</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210" w:firstLineChars="100"/>
              <w:jc w:val="left"/>
              <w:rPr>
                <w:rFonts w:ascii="Times New Roman" w:hAnsi="Times New Roman" w:eastAsia="黑体" w:cs="Times New Roman"/>
                <w:szCs w:val="21"/>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8</w:t>
            </w:r>
          </w:p>
        </w:tc>
        <w:tc>
          <w:tcPr>
            <w:tcW w:w="12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 w:cs="Times New Roman"/>
                <w:color w:val="000000"/>
                <w:sz w:val="24"/>
                <w:szCs w:val="20"/>
              </w:rPr>
            </w:pP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交通责任事故伤人率</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3</w:t>
            </w:r>
          </w:p>
        </w:tc>
        <w:tc>
          <w:tcPr>
            <w:tcW w:w="57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lang w:bidi="ar"/>
              </w:rPr>
            </w:pPr>
            <w:r>
              <w:rPr>
                <w:rFonts w:ascii="Times New Roman" w:hAnsi="Times New Roman" w:eastAsia="仿宋" w:cs="Times New Roman"/>
                <w:color w:val="000000"/>
                <w:sz w:val="24"/>
                <w:lang w:bidi="ar"/>
              </w:rPr>
              <w:t>大于0且小于等于0.01人/车的，扣 1分，每增加0.01人/车，加扣0.2分。</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公安部门数据共享或日常收集统计</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 w:cs="Times New Roman"/>
                <w:color w:val="000000"/>
                <w:sz w:val="24"/>
                <w:szCs w:val="20"/>
              </w:rPr>
            </w:pPr>
          </w:p>
        </w:tc>
      </w:tr>
      <w:tr>
        <w:tblPrEx>
          <w:tblCellMar>
            <w:top w:w="0" w:type="dxa"/>
            <w:left w:w="108" w:type="dxa"/>
            <w:bottom w:w="0" w:type="dxa"/>
            <w:right w:w="108" w:type="dxa"/>
          </w:tblCellMar>
        </w:tblPrEx>
        <w:trPr>
          <w:trHeight w:val="786"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9</w:t>
            </w:r>
          </w:p>
        </w:tc>
        <w:tc>
          <w:tcPr>
            <w:tcW w:w="12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 w:cs="Times New Roman"/>
                <w:color w:val="000000"/>
                <w:sz w:val="24"/>
                <w:szCs w:val="20"/>
              </w:rPr>
            </w:pP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安全风险辨识评估情况</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3</w:t>
            </w:r>
          </w:p>
        </w:tc>
        <w:tc>
          <w:tcPr>
            <w:tcW w:w="57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szCs w:val="20"/>
              </w:rPr>
              <w:t>每发现一起隐患的，扣0.5分，未按要求落实双重预防机制，扣2分。</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 w:cs="Times New Roman"/>
                <w:color w:val="000000"/>
                <w:sz w:val="24"/>
                <w:szCs w:val="20"/>
              </w:rPr>
            </w:pPr>
          </w:p>
        </w:tc>
      </w:tr>
      <w:tr>
        <w:tblPrEx>
          <w:tblCellMar>
            <w:top w:w="0" w:type="dxa"/>
            <w:left w:w="108" w:type="dxa"/>
            <w:bottom w:w="0" w:type="dxa"/>
            <w:right w:w="108" w:type="dxa"/>
          </w:tblCellMar>
        </w:tblPrEx>
        <w:trPr>
          <w:trHeight w:val="981"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10</w:t>
            </w:r>
          </w:p>
        </w:tc>
        <w:tc>
          <w:tcPr>
            <w:tcW w:w="12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 w:cs="Times New Roman"/>
                <w:color w:val="000000"/>
                <w:sz w:val="24"/>
                <w:szCs w:val="20"/>
              </w:rPr>
            </w:pP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日周月隐患排查工作落实情况</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4</w:t>
            </w:r>
          </w:p>
        </w:tc>
        <w:tc>
          <w:tcPr>
            <w:tcW w:w="57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szCs w:val="20"/>
              </w:rPr>
              <w:t>每发现一处隐患的，扣0.5分</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 w:cs="Times New Roman"/>
                <w:color w:val="000000"/>
                <w:sz w:val="24"/>
                <w:szCs w:val="20"/>
              </w:rPr>
            </w:pPr>
          </w:p>
        </w:tc>
      </w:tr>
      <w:tr>
        <w:tblPrEx>
          <w:tblCellMar>
            <w:top w:w="0" w:type="dxa"/>
            <w:left w:w="108" w:type="dxa"/>
            <w:bottom w:w="0" w:type="dxa"/>
            <w:right w:w="108" w:type="dxa"/>
          </w:tblCellMar>
        </w:tblPrEx>
        <w:trPr>
          <w:trHeight w:val="1106"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11</w:t>
            </w:r>
          </w:p>
        </w:tc>
        <w:tc>
          <w:tcPr>
            <w:tcW w:w="12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 w:cs="Times New Roman"/>
                <w:color w:val="000000"/>
                <w:sz w:val="24"/>
                <w:szCs w:val="20"/>
              </w:rPr>
            </w:pP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安全生产费用提取制度及落实情况</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3</w:t>
            </w:r>
          </w:p>
        </w:tc>
        <w:tc>
          <w:tcPr>
            <w:tcW w:w="57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szCs w:val="20"/>
              </w:rPr>
              <w:t>每发现一处隐患的，扣0.5分</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 w:cs="Times New Roman"/>
                <w:color w:val="000000"/>
                <w:sz w:val="24"/>
                <w:szCs w:val="20"/>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12</w:t>
            </w:r>
          </w:p>
        </w:tc>
        <w:tc>
          <w:tcPr>
            <w:tcW w:w="12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 w:cs="Times New Roman"/>
                <w:color w:val="000000"/>
                <w:sz w:val="24"/>
                <w:szCs w:val="20"/>
              </w:rPr>
            </w:pP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企业安全部门、人员设置及履职情况</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3</w:t>
            </w:r>
          </w:p>
        </w:tc>
        <w:tc>
          <w:tcPr>
            <w:tcW w:w="57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szCs w:val="20"/>
              </w:rPr>
              <w:t>每发现一处隐患的，扣0.5分</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 w:cs="Times New Roman"/>
                <w:color w:val="000000"/>
                <w:sz w:val="24"/>
                <w:szCs w:val="20"/>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kern w:val="0"/>
                <w:sz w:val="24"/>
                <w:szCs w:val="20"/>
                <w:lang w:bidi="ar"/>
              </w:rPr>
            </w:pPr>
            <w:r>
              <w:rPr>
                <w:rFonts w:ascii="Times New Roman" w:hAnsi="Times New Roman" w:eastAsia="仿宋" w:cs="Times New Roman"/>
                <w:color w:val="000000"/>
                <w:kern w:val="0"/>
                <w:sz w:val="24"/>
                <w:szCs w:val="20"/>
                <w:lang w:bidi="ar"/>
              </w:rPr>
              <w:t>13</w:t>
            </w:r>
          </w:p>
        </w:tc>
        <w:tc>
          <w:tcPr>
            <w:tcW w:w="12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 w:cs="Times New Roman"/>
                <w:color w:val="000000"/>
                <w:sz w:val="24"/>
                <w:szCs w:val="20"/>
              </w:rPr>
            </w:pP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lang w:bidi="ar"/>
              </w:rPr>
            </w:pPr>
            <w:r>
              <w:rPr>
                <w:rFonts w:ascii="Times New Roman" w:hAnsi="Times New Roman" w:eastAsia="仿宋" w:cs="Times New Roman"/>
                <w:color w:val="000000"/>
                <w:sz w:val="24"/>
                <w:lang w:bidi="ar"/>
              </w:rPr>
              <w:t>从业人员教育培训计划及落实情况</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kern w:val="0"/>
                <w:sz w:val="24"/>
                <w:szCs w:val="20"/>
                <w:lang w:bidi="ar"/>
              </w:rPr>
            </w:pPr>
            <w:r>
              <w:rPr>
                <w:rFonts w:ascii="Times New Roman" w:hAnsi="Times New Roman" w:eastAsia="仿宋" w:cs="Times New Roman"/>
                <w:color w:val="000000"/>
                <w:kern w:val="0"/>
                <w:sz w:val="24"/>
                <w:szCs w:val="20"/>
                <w:lang w:bidi="ar"/>
              </w:rPr>
              <w:t>4</w:t>
            </w:r>
          </w:p>
        </w:tc>
        <w:tc>
          <w:tcPr>
            <w:tcW w:w="57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lang w:bidi="ar"/>
              </w:rPr>
            </w:pPr>
            <w:r>
              <w:rPr>
                <w:rFonts w:ascii="Times New Roman" w:hAnsi="Times New Roman" w:eastAsia="仿宋" w:cs="Times New Roman"/>
                <w:color w:val="000000"/>
                <w:sz w:val="24"/>
                <w:szCs w:val="20"/>
              </w:rPr>
              <w:t>每发现一处隐患的，扣0.5分</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lang w:bidi="ar"/>
              </w:rPr>
            </w:pPr>
            <w:r>
              <w:rPr>
                <w:rFonts w:ascii="Times New Roman" w:hAnsi="Times New Roman" w:eastAsia="仿宋" w:cs="Times New Roman"/>
                <w:color w:val="000000"/>
                <w:sz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 w:cs="Times New Roman"/>
                <w:color w:val="000000"/>
                <w:sz w:val="24"/>
                <w:szCs w:val="20"/>
              </w:rPr>
            </w:pPr>
          </w:p>
        </w:tc>
      </w:tr>
      <w:tr>
        <w:tblPrEx>
          <w:tblCellMar>
            <w:top w:w="0" w:type="dxa"/>
            <w:left w:w="108" w:type="dxa"/>
            <w:bottom w:w="0" w:type="dxa"/>
            <w:right w:w="108" w:type="dxa"/>
          </w:tblCellMar>
        </w:tblPrEx>
        <w:trPr>
          <w:trHeight w:val="1062"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方正黑体_GBK" w:cs="Times New Roman"/>
                <w:color w:val="000000"/>
                <w:sz w:val="24"/>
                <w:szCs w:val="20"/>
              </w:rPr>
            </w:pPr>
            <w:r>
              <w:rPr>
                <w:rFonts w:ascii="Times New Roman" w:hAnsi="Times New Roman" w:eastAsia="仿宋" w:cs="Times New Roman"/>
                <w:color w:val="000000"/>
                <w:kern w:val="0"/>
                <w:sz w:val="24"/>
                <w:szCs w:val="20"/>
                <w:lang w:bidi="ar"/>
              </w:rPr>
              <w:t>14</w:t>
            </w:r>
          </w:p>
        </w:tc>
        <w:tc>
          <w:tcPr>
            <w:tcW w:w="12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方正黑体_GBK" w:cs="Times New Roman"/>
                <w:color w:val="000000"/>
                <w:sz w:val="24"/>
                <w:szCs w:val="20"/>
              </w:rPr>
            </w:pP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lang w:bidi="ar"/>
              </w:rPr>
            </w:pPr>
            <w:r>
              <w:rPr>
                <w:rFonts w:ascii="Times New Roman" w:hAnsi="Times New Roman" w:eastAsia="仿宋" w:cs="Times New Roman"/>
                <w:color w:val="000000"/>
                <w:sz w:val="24"/>
                <w:lang w:bidi="ar"/>
              </w:rPr>
              <w:t>挂牌督办</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kern w:val="0"/>
                <w:sz w:val="24"/>
                <w:szCs w:val="20"/>
                <w:lang w:bidi="ar"/>
              </w:rPr>
            </w:pPr>
            <w:r>
              <w:rPr>
                <w:rFonts w:ascii="Times New Roman" w:hAnsi="Times New Roman" w:eastAsia="仿宋" w:cs="Times New Roman"/>
                <w:color w:val="000000"/>
                <w:kern w:val="0"/>
                <w:sz w:val="24"/>
                <w:szCs w:val="20"/>
                <w:lang w:bidi="ar"/>
              </w:rPr>
              <w:t>5</w:t>
            </w:r>
          </w:p>
        </w:tc>
        <w:tc>
          <w:tcPr>
            <w:tcW w:w="57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lang w:bidi="ar"/>
              </w:rPr>
            </w:pPr>
            <w:r>
              <w:rPr>
                <w:rFonts w:ascii="Times New Roman" w:hAnsi="Times New Roman" w:eastAsia="仿宋" w:cs="Times New Roman"/>
                <w:color w:val="000000"/>
                <w:sz w:val="24"/>
                <w:lang w:bidi="ar"/>
              </w:rPr>
              <w:t>每出现一次挂牌督办的，扣1分</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方正黑体_GBK" w:cs="Times New Roman"/>
                <w:color w:val="000000"/>
                <w:sz w:val="24"/>
                <w:szCs w:val="20"/>
              </w:rPr>
            </w:pPr>
            <w:r>
              <w:rPr>
                <w:rFonts w:ascii="Times New Roman" w:hAnsi="Times New Roman" w:eastAsia="仿宋" w:cs="Times New Roman"/>
                <w:color w:val="000000"/>
                <w:kern w:val="0"/>
                <w:sz w:val="24"/>
                <w:szCs w:val="20"/>
                <w:lang w:bidi="ar"/>
              </w:rPr>
              <w:t>行业管理日常收集统计</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240" w:firstLineChars="100"/>
              <w:jc w:val="left"/>
              <w:rPr>
                <w:rFonts w:ascii="Times New Roman" w:hAnsi="Times New Roman" w:eastAsia="黑体" w:cs="Times New Roman"/>
                <w:color w:val="000000"/>
                <w:sz w:val="24"/>
                <w:szCs w:val="20"/>
              </w:rPr>
            </w:pPr>
          </w:p>
        </w:tc>
      </w:tr>
      <w:tr>
        <w:tblPrEx>
          <w:tblCellMar>
            <w:top w:w="0" w:type="dxa"/>
            <w:left w:w="108" w:type="dxa"/>
            <w:bottom w:w="0" w:type="dxa"/>
            <w:right w:w="108" w:type="dxa"/>
          </w:tblCellMar>
        </w:tblPrEx>
        <w:trPr>
          <w:trHeight w:val="693"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15</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2"/>
                <w:szCs w:val="22"/>
                <w:lang w:bidi="ar"/>
              </w:rPr>
              <w:t>服务质量（</w:t>
            </w:r>
            <w:r>
              <w:rPr>
                <w:rFonts w:ascii="Times New Roman" w:hAnsi="Times New Roman" w:eastAsia="仿宋" w:cs="Times New Roman"/>
                <w:sz w:val="22"/>
                <w:szCs w:val="22"/>
                <w:lang w:bidi="ar"/>
              </w:rPr>
              <w:t>5</w:t>
            </w:r>
            <w:r>
              <w:rPr>
                <w:rFonts w:ascii="Times New Roman" w:hAnsi="Times New Roman" w:eastAsia="仿宋" w:cs="Times New Roman"/>
                <w:color w:val="000000"/>
                <w:sz w:val="24"/>
                <w:lang w:bidi="ar"/>
              </w:rPr>
              <w:t>分）</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lang w:bidi="ar"/>
              </w:rPr>
            </w:pPr>
            <w:r>
              <w:rPr>
                <w:rFonts w:ascii="Times New Roman" w:hAnsi="Times New Roman" w:eastAsia="仿宋" w:cs="Times New Roman"/>
                <w:color w:val="000000"/>
                <w:sz w:val="24"/>
                <w:lang w:bidi="ar"/>
              </w:rPr>
              <w:t>有责投诉</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kern w:val="0"/>
                <w:sz w:val="24"/>
                <w:szCs w:val="20"/>
                <w:lang w:bidi="ar"/>
              </w:rPr>
            </w:pPr>
            <w:r>
              <w:rPr>
                <w:rFonts w:ascii="Times New Roman" w:hAnsi="Times New Roman" w:eastAsia="仿宋" w:cs="Times New Roman"/>
                <w:color w:val="000000"/>
                <w:kern w:val="0"/>
                <w:sz w:val="24"/>
                <w:szCs w:val="20"/>
                <w:lang w:bidi="ar"/>
              </w:rPr>
              <w:t>5</w:t>
            </w:r>
          </w:p>
        </w:tc>
        <w:tc>
          <w:tcPr>
            <w:tcW w:w="57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lang w:bidi="ar"/>
              </w:rPr>
            </w:pPr>
            <w:r>
              <w:rPr>
                <w:rFonts w:ascii="Times New Roman" w:hAnsi="Times New Roman" w:eastAsia="仿宋" w:cs="Times New Roman"/>
                <w:color w:val="000000"/>
                <w:sz w:val="24"/>
                <w:lang w:bidi="ar"/>
              </w:rPr>
              <w:t>每出现1次有责投诉的，扣0.5分。</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行业管理日常收集统计</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240" w:firstLineChars="100"/>
              <w:jc w:val="left"/>
              <w:rPr>
                <w:rFonts w:ascii="Times New Roman" w:hAnsi="Times New Roman" w:eastAsia="黑体" w:cs="Times New Roman"/>
                <w:color w:val="000000"/>
                <w:sz w:val="24"/>
                <w:szCs w:val="20"/>
              </w:rPr>
            </w:pPr>
          </w:p>
        </w:tc>
      </w:tr>
      <w:tr>
        <w:tblPrEx>
          <w:tblCellMar>
            <w:top w:w="0" w:type="dxa"/>
            <w:left w:w="108" w:type="dxa"/>
            <w:bottom w:w="0" w:type="dxa"/>
            <w:right w:w="108" w:type="dxa"/>
          </w:tblCellMar>
        </w:tblPrEx>
        <w:trPr>
          <w:trHeight w:val="78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kern w:val="0"/>
                <w:sz w:val="24"/>
                <w:szCs w:val="20"/>
                <w:lang w:bidi="ar"/>
              </w:rPr>
            </w:pPr>
            <w:r>
              <w:rPr>
                <w:rFonts w:ascii="Times New Roman" w:hAnsi="Times New Roman" w:eastAsia="仿宋" w:cs="Times New Roman"/>
                <w:color w:val="000000"/>
                <w:kern w:val="0"/>
                <w:sz w:val="24"/>
                <w:szCs w:val="20"/>
                <w:lang w:bidi="ar"/>
              </w:rPr>
              <w:t>16</w:t>
            </w:r>
          </w:p>
          <w:p>
            <w:pPr>
              <w:widowControl/>
              <w:spacing w:line="260" w:lineRule="exact"/>
              <w:ind w:left="420" w:leftChars="200" w:firstLine="420" w:firstLineChars="200"/>
              <w:rPr>
                <w:rFonts w:ascii="Times New Roman" w:hAnsi="Times New Roman" w:eastAsia="宋体" w:cs="Times New Roman"/>
                <w:szCs w:val="20"/>
              </w:rPr>
            </w:pPr>
          </w:p>
        </w:tc>
        <w:tc>
          <w:tcPr>
            <w:tcW w:w="12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2"/>
                <w:szCs w:val="22"/>
                <w:lang w:bidi="ar"/>
              </w:rPr>
              <w:t>社会责任（</w:t>
            </w:r>
            <w:r>
              <w:rPr>
                <w:rFonts w:ascii="Times New Roman" w:hAnsi="Times New Roman" w:eastAsia="仿宋" w:cs="Times New Roman"/>
                <w:sz w:val="22"/>
                <w:szCs w:val="22"/>
                <w:lang w:bidi="ar"/>
              </w:rPr>
              <w:t>12</w:t>
            </w:r>
            <w:r>
              <w:rPr>
                <w:rFonts w:ascii="Times New Roman" w:hAnsi="Times New Roman" w:eastAsia="仿宋" w:cs="Times New Roman"/>
                <w:color w:val="000000"/>
                <w:sz w:val="24"/>
                <w:lang w:bidi="ar"/>
              </w:rPr>
              <w:t>分）</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应急预案制定情况</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kern w:val="0"/>
                <w:sz w:val="24"/>
                <w:szCs w:val="20"/>
                <w:lang w:bidi="ar"/>
              </w:rPr>
            </w:pPr>
            <w:r>
              <w:rPr>
                <w:rFonts w:ascii="Times New Roman" w:hAnsi="Times New Roman" w:eastAsia="仿宋" w:cs="Times New Roman"/>
                <w:color w:val="000000"/>
                <w:kern w:val="0"/>
                <w:sz w:val="24"/>
                <w:szCs w:val="20"/>
                <w:lang w:bidi="ar"/>
              </w:rPr>
              <w:t>4</w:t>
            </w:r>
          </w:p>
        </w:tc>
        <w:tc>
          <w:tcPr>
            <w:tcW w:w="57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lang w:bidi="ar"/>
              </w:rPr>
            </w:pPr>
            <w:r>
              <w:rPr>
                <w:rFonts w:ascii="Times New Roman" w:hAnsi="Times New Roman" w:eastAsia="仿宋" w:cs="Times New Roman"/>
                <w:color w:val="000000"/>
                <w:sz w:val="24"/>
                <w:lang w:bidi="ar"/>
              </w:rPr>
              <w:t>A.未制定的，扣4分；B.未备案的，扣4分；C.有明显瑕疵的，扣3。</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240" w:firstLineChars="100"/>
              <w:jc w:val="left"/>
              <w:rPr>
                <w:rFonts w:ascii="Times New Roman" w:hAnsi="Times New Roman" w:eastAsia="黑体" w:cs="Times New Roman"/>
                <w:color w:val="000000"/>
                <w:sz w:val="24"/>
                <w:szCs w:val="20"/>
              </w:rPr>
            </w:pPr>
          </w:p>
        </w:tc>
      </w:tr>
      <w:tr>
        <w:tblPrEx>
          <w:tblCellMar>
            <w:top w:w="0" w:type="dxa"/>
            <w:left w:w="108" w:type="dxa"/>
            <w:bottom w:w="0" w:type="dxa"/>
            <w:right w:w="108" w:type="dxa"/>
          </w:tblCellMar>
        </w:tblPrEx>
        <w:trPr>
          <w:trHeight w:val="725"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kern w:val="0"/>
                <w:sz w:val="24"/>
                <w:szCs w:val="20"/>
                <w:lang w:bidi="ar"/>
              </w:rPr>
            </w:pPr>
            <w:r>
              <w:rPr>
                <w:rFonts w:ascii="Times New Roman" w:hAnsi="Times New Roman" w:eastAsia="仿宋" w:cs="Times New Roman"/>
                <w:color w:val="000000"/>
                <w:kern w:val="0"/>
                <w:sz w:val="24"/>
                <w:szCs w:val="20"/>
                <w:lang w:bidi="ar"/>
              </w:rPr>
              <w:t>17</w:t>
            </w:r>
          </w:p>
          <w:p>
            <w:pPr>
              <w:widowControl/>
              <w:spacing w:line="260" w:lineRule="exact"/>
              <w:ind w:left="420" w:leftChars="200" w:firstLine="420" w:firstLineChars="200"/>
              <w:rPr>
                <w:rFonts w:ascii="Times New Roman" w:hAnsi="Times New Roman" w:eastAsia="宋体" w:cs="Times New Roman"/>
                <w:szCs w:val="20"/>
              </w:rPr>
            </w:pPr>
          </w:p>
        </w:tc>
        <w:tc>
          <w:tcPr>
            <w:tcW w:w="12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 w:cs="Times New Roman"/>
                <w:color w:val="000000"/>
                <w:sz w:val="24"/>
                <w:szCs w:val="20"/>
              </w:rPr>
            </w:pP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应急演练实施情况</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kern w:val="0"/>
                <w:sz w:val="24"/>
                <w:szCs w:val="20"/>
                <w:lang w:bidi="ar"/>
              </w:rPr>
            </w:pPr>
            <w:r>
              <w:rPr>
                <w:rFonts w:ascii="Times New Roman" w:hAnsi="Times New Roman" w:eastAsia="仿宋" w:cs="Times New Roman"/>
                <w:color w:val="000000"/>
                <w:kern w:val="0"/>
                <w:sz w:val="24"/>
                <w:szCs w:val="20"/>
                <w:lang w:bidi="ar"/>
              </w:rPr>
              <w:t>4</w:t>
            </w:r>
          </w:p>
        </w:tc>
        <w:tc>
          <w:tcPr>
            <w:tcW w:w="57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lang w:bidi="ar"/>
              </w:rPr>
            </w:pPr>
            <w:r>
              <w:rPr>
                <w:rFonts w:ascii="Times New Roman" w:hAnsi="Times New Roman" w:eastAsia="仿宋" w:cs="Times New Roman"/>
                <w:color w:val="000000"/>
                <w:sz w:val="24"/>
                <w:lang w:bidi="ar"/>
              </w:rPr>
              <w:t>A.未实施的，扣4分；B.管理部门现场抽查发现演练不合格的，扣2分。</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240" w:firstLineChars="100"/>
              <w:jc w:val="left"/>
              <w:rPr>
                <w:rFonts w:ascii="Times New Roman" w:hAnsi="Times New Roman" w:eastAsia="仿宋" w:cs="Times New Roman"/>
                <w:color w:val="000000"/>
                <w:sz w:val="24"/>
                <w:szCs w:val="20"/>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kern w:val="0"/>
                <w:sz w:val="24"/>
                <w:szCs w:val="20"/>
                <w:lang w:bidi="ar"/>
              </w:rPr>
            </w:pPr>
            <w:r>
              <w:rPr>
                <w:rFonts w:ascii="Times New Roman" w:hAnsi="Times New Roman" w:eastAsia="仿宋" w:cs="Times New Roman"/>
                <w:color w:val="000000"/>
                <w:kern w:val="0"/>
                <w:sz w:val="24"/>
                <w:szCs w:val="20"/>
                <w:lang w:bidi="ar"/>
              </w:rPr>
              <w:t>18</w:t>
            </w:r>
          </w:p>
          <w:p>
            <w:pPr>
              <w:widowControl/>
              <w:spacing w:line="260" w:lineRule="exact"/>
              <w:ind w:left="420" w:leftChars="200" w:firstLine="420" w:firstLineChars="200"/>
              <w:rPr>
                <w:rFonts w:ascii="Times New Roman" w:hAnsi="Times New Roman" w:eastAsia="宋体" w:cs="Times New Roman"/>
                <w:szCs w:val="20"/>
              </w:rPr>
            </w:pPr>
          </w:p>
        </w:tc>
        <w:tc>
          <w:tcPr>
            <w:tcW w:w="12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 w:cs="Times New Roman"/>
                <w:color w:val="000000"/>
                <w:sz w:val="24"/>
                <w:szCs w:val="20"/>
              </w:rPr>
            </w:pP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企业稳定情况</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kern w:val="0"/>
                <w:sz w:val="24"/>
                <w:szCs w:val="20"/>
                <w:lang w:bidi="ar"/>
              </w:rPr>
            </w:pPr>
            <w:r>
              <w:rPr>
                <w:rFonts w:ascii="Times New Roman" w:hAnsi="Times New Roman" w:eastAsia="仿宋" w:cs="Times New Roman"/>
                <w:color w:val="000000"/>
                <w:kern w:val="0"/>
                <w:sz w:val="24"/>
                <w:szCs w:val="20"/>
                <w:lang w:bidi="ar"/>
              </w:rPr>
              <w:t>4</w:t>
            </w:r>
          </w:p>
        </w:tc>
        <w:tc>
          <w:tcPr>
            <w:tcW w:w="57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szCs w:val="20"/>
              </w:rPr>
              <w:t>由于企业管理原因，导致发生违反《信访工作条例》规定、出现过激行为，情节不严重的，每次扣1分。</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信访、公安等部门数据共享或行业管理日常收集统计</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240" w:firstLineChars="100"/>
              <w:jc w:val="left"/>
              <w:rPr>
                <w:rFonts w:ascii="Times New Roman" w:hAnsi="Times New Roman" w:eastAsia="黑体" w:cs="Times New Roman"/>
                <w:color w:val="000000"/>
                <w:sz w:val="24"/>
                <w:szCs w:val="20"/>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kern w:val="0"/>
                <w:sz w:val="24"/>
                <w:szCs w:val="20"/>
                <w:lang w:bidi="ar"/>
              </w:rPr>
            </w:pPr>
            <w:r>
              <w:rPr>
                <w:rFonts w:ascii="Times New Roman" w:hAnsi="Times New Roman" w:eastAsia="仿宋" w:cs="Times New Roman"/>
                <w:color w:val="000000"/>
                <w:kern w:val="0"/>
                <w:sz w:val="24"/>
                <w:szCs w:val="20"/>
                <w:lang w:bidi="ar"/>
              </w:rPr>
              <w:t>19</w:t>
            </w:r>
          </w:p>
          <w:p>
            <w:pPr>
              <w:widowControl/>
              <w:spacing w:line="260" w:lineRule="exact"/>
              <w:ind w:left="420" w:leftChars="200" w:firstLine="420" w:firstLineChars="200"/>
              <w:rPr>
                <w:rFonts w:ascii="Times New Roman" w:hAnsi="Times New Roman" w:eastAsia="宋体" w:cs="Times New Roman"/>
                <w:szCs w:val="20"/>
              </w:rPr>
            </w:pPr>
          </w:p>
        </w:tc>
        <w:tc>
          <w:tcPr>
            <w:tcW w:w="12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2"/>
                <w:szCs w:val="22"/>
                <w:lang w:bidi="ar"/>
              </w:rPr>
              <w:t>加分项目</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指令性运输任务和应急演练完成情况</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p>
        </w:tc>
        <w:tc>
          <w:tcPr>
            <w:tcW w:w="57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szCs w:val="20"/>
              </w:rPr>
              <w:t>A.完成本区县级人民政府、交通行业管理部门指令性应急运输任务或者应急演练任务的，加1分；B.完成市级以上人民政府、交通行业管理部门指令性应急运输任务或者应急演练任务，加2.5分。（最高不超过2.5分）</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行业管理日常收集统计</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 w:cs="Times New Roman"/>
                <w:color w:val="000000"/>
                <w:sz w:val="24"/>
                <w:szCs w:val="20"/>
              </w:rPr>
            </w:pPr>
          </w:p>
        </w:tc>
      </w:tr>
      <w:tr>
        <w:tblPrEx>
          <w:tblCellMar>
            <w:top w:w="0" w:type="dxa"/>
            <w:left w:w="108" w:type="dxa"/>
            <w:bottom w:w="0" w:type="dxa"/>
            <w:right w:w="108" w:type="dxa"/>
          </w:tblCellMar>
        </w:tblPrEx>
        <w:trPr>
          <w:trHeight w:val="2041"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kern w:val="0"/>
                <w:sz w:val="24"/>
                <w:szCs w:val="20"/>
                <w:lang w:bidi="ar"/>
              </w:rPr>
            </w:pPr>
            <w:r>
              <w:rPr>
                <w:rFonts w:ascii="Times New Roman" w:hAnsi="Times New Roman" w:eastAsia="仿宋" w:cs="Times New Roman"/>
                <w:color w:val="000000"/>
                <w:kern w:val="0"/>
                <w:sz w:val="24"/>
                <w:szCs w:val="20"/>
                <w:lang w:bidi="ar"/>
              </w:rPr>
              <w:t>20</w:t>
            </w:r>
          </w:p>
          <w:p>
            <w:pPr>
              <w:widowControl/>
              <w:spacing w:line="260" w:lineRule="exact"/>
              <w:ind w:left="420" w:leftChars="200" w:firstLine="420" w:firstLineChars="200"/>
              <w:rPr>
                <w:rFonts w:ascii="Times New Roman" w:hAnsi="Times New Roman" w:eastAsia="宋体" w:cs="Times New Roman"/>
                <w:szCs w:val="20"/>
              </w:rPr>
            </w:pPr>
          </w:p>
        </w:tc>
        <w:tc>
          <w:tcPr>
            <w:tcW w:w="12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 w:cs="Times New Roman"/>
                <w:color w:val="000000"/>
                <w:sz w:val="24"/>
                <w:szCs w:val="20"/>
              </w:rPr>
            </w:pP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向行业作出重要贡献事项</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p>
        </w:tc>
        <w:tc>
          <w:tcPr>
            <w:tcW w:w="57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szCs w:val="20"/>
              </w:rPr>
              <w:t>A.在市级以上道路运输行业杂志发表危险货物道路运输管理专题文章，加1分（累计不超过2分）；B.向市级道路运输机构提出合理化建议，并被采纳，加2.5分；C.配合行业管理部门参与行业标准制定，加2.5分。（最高不超过2.5分）</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行业管理日常收集统计</w:t>
            </w:r>
          </w:p>
        </w:tc>
        <w:tc>
          <w:tcPr>
            <w:tcW w:w="7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Times New Roman" w:hAnsi="Times New Roman" w:eastAsia="仿宋" w:cs="Times New Roman"/>
                <w:color w:val="000000"/>
                <w:sz w:val="24"/>
                <w:szCs w:val="20"/>
              </w:rPr>
            </w:pP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合计</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b/>
                <w:bCs/>
                <w:color w:val="000000"/>
                <w:sz w:val="24"/>
                <w:lang w:bidi="ar"/>
              </w:rPr>
              <w:t>100</w:t>
            </w:r>
            <w:r>
              <w:rPr>
                <w:rFonts w:ascii="Times New Roman" w:hAnsi="Times New Roman" w:eastAsia="仿宋" w:cs="Times New Roman"/>
                <w:color w:val="000000"/>
                <w:sz w:val="24"/>
                <w:lang w:bidi="ar"/>
              </w:rPr>
              <w:t>分</w:t>
            </w:r>
          </w:p>
        </w:tc>
        <w:tc>
          <w:tcPr>
            <w:tcW w:w="197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仿宋" w:cs="Times New Roman"/>
                <w:color w:val="000000"/>
                <w:sz w:val="24"/>
                <w:szCs w:val="20"/>
              </w:rPr>
            </w:pP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b/>
                <w:bCs/>
                <w:color w:val="000000"/>
                <w:sz w:val="24"/>
                <w:lang w:bidi="ar"/>
              </w:rPr>
              <w:t>100</w:t>
            </w:r>
            <w:r>
              <w:rPr>
                <w:rFonts w:ascii="Times New Roman" w:hAnsi="Times New Roman" w:eastAsia="仿宋" w:cs="Times New Roman"/>
                <w:color w:val="000000"/>
                <w:sz w:val="22"/>
                <w:szCs w:val="22"/>
                <w:lang w:bidi="ar"/>
              </w:rPr>
              <w:t>分</w:t>
            </w: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Times New Roman" w:hAnsi="Times New Roman" w:eastAsia="仿宋" w:cs="Times New Roman"/>
                <w:color w:val="000000"/>
                <w:sz w:val="24"/>
                <w:szCs w:val="20"/>
              </w:rPr>
            </w:pPr>
          </w:p>
        </w:tc>
        <w:tc>
          <w:tcPr>
            <w:tcW w:w="315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Times New Roman" w:hAnsi="Times New Roman" w:eastAsia="仿宋" w:cs="Times New Roman"/>
                <w:color w:val="000000"/>
                <w:sz w:val="24"/>
                <w:szCs w:val="20"/>
              </w:rPr>
            </w:pPr>
          </w:p>
        </w:tc>
        <w:tc>
          <w:tcPr>
            <w:tcW w:w="7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Times New Roman" w:hAnsi="Times New Roman" w:eastAsia="仿宋" w:cs="Times New Roman"/>
                <w:color w:val="000000"/>
                <w:sz w:val="24"/>
                <w:szCs w:val="20"/>
              </w:rPr>
            </w:pPr>
          </w:p>
        </w:tc>
      </w:tr>
      <w:tr>
        <w:tblPrEx>
          <w:tblCellMar>
            <w:top w:w="0" w:type="dxa"/>
            <w:left w:w="108" w:type="dxa"/>
            <w:bottom w:w="0" w:type="dxa"/>
            <w:right w:w="108" w:type="dxa"/>
          </w:tblCellMar>
        </w:tblPrEx>
        <w:trPr>
          <w:trHeight w:val="340" w:hRule="atLeast"/>
          <w:jc w:val="center"/>
        </w:trPr>
        <w:tc>
          <w:tcPr>
            <w:tcW w:w="198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4"/>
                <w:lang w:bidi="ar"/>
              </w:rPr>
              <w:t>评价结论</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2"/>
                <w:szCs w:val="22"/>
                <w:lang w:bidi="ar"/>
              </w:rPr>
              <w:t>考核等级</w:t>
            </w:r>
          </w:p>
        </w:tc>
        <w:tc>
          <w:tcPr>
            <w:tcW w:w="1038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kern w:val="0"/>
                <w:sz w:val="24"/>
                <w:szCs w:val="20"/>
                <w:lang w:bidi="ar"/>
              </w:rPr>
              <w:t>AA□          A□                B□                C□                D□</w:t>
            </w:r>
          </w:p>
        </w:tc>
      </w:tr>
      <w:tr>
        <w:tblPrEx>
          <w:tblCellMar>
            <w:top w:w="0" w:type="dxa"/>
            <w:left w:w="108" w:type="dxa"/>
            <w:bottom w:w="0" w:type="dxa"/>
            <w:right w:w="108" w:type="dxa"/>
          </w:tblCellMar>
        </w:tblPrEx>
        <w:trPr>
          <w:trHeight w:val="340" w:hRule="atLeast"/>
          <w:jc w:val="center"/>
        </w:trPr>
        <w:tc>
          <w:tcPr>
            <w:tcW w:w="198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仿宋" w:cs="Times New Roman"/>
                <w:color w:val="000000"/>
                <w:sz w:val="24"/>
                <w:szCs w:val="20"/>
              </w:rPr>
            </w:pP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2"/>
                <w:szCs w:val="22"/>
                <w:lang w:bidi="ar"/>
              </w:rPr>
              <w:t>评价机构名称</w:t>
            </w:r>
          </w:p>
        </w:tc>
        <w:tc>
          <w:tcPr>
            <w:tcW w:w="10386" w:type="dxa"/>
            <w:gridSpan w:val="4"/>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仿宋" w:cs="Times New Roman"/>
                <w:color w:val="000000"/>
                <w:sz w:val="24"/>
                <w:szCs w:val="20"/>
              </w:rPr>
            </w:pPr>
          </w:p>
        </w:tc>
      </w:tr>
      <w:tr>
        <w:tblPrEx>
          <w:tblCellMar>
            <w:top w:w="0" w:type="dxa"/>
            <w:left w:w="108" w:type="dxa"/>
            <w:bottom w:w="0" w:type="dxa"/>
            <w:right w:w="108" w:type="dxa"/>
          </w:tblCellMar>
        </w:tblPrEx>
        <w:trPr>
          <w:trHeight w:val="340" w:hRule="atLeast"/>
          <w:jc w:val="center"/>
        </w:trPr>
        <w:tc>
          <w:tcPr>
            <w:tcW w:w="198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仿宋" w:cs="Times New Roman"/>
                <w:color w:val="000000"/>
                <w:sz w:val="24"/>
                <w:szCs w:val="20"/>
              </w:rPr>
            </w:pP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2"/>
                <w:szCs w:val="22"/>
                <w:lang w:bidi="ar"/>
              </w:rPr>
              <w:t>经办人</w:t>
            </w:r>
          </w:p>
        </w:tc>
        <w:tc>
          <w:tcPr>
            <w:tcW w:w="6507"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仿宋" w:cs="Times New Roman"/>
                <w:color w:val="000000"/>
                <w:sz w:val="24"/>
                <w:szCs w:val="20"/>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Times New Roman" w:hAnsi="Times New Roman" w:eastAsia="仿宋" w:cs="Times New Roman"/>
                <w:color w:val="000000"/>
                <w:sz w:val="24"/>
                <w:szCs w:val="20"/>
              </w:rPr>
            </w:pPr>
            <w:r>
              <w:rPr>
                <w:rFonts w:ascii="Times New Roman" w:hAnsi="Times New Roman" w:eastAsia="仿宋" w:cs="Times New Roman"/>
                <w:color w:val="000000"/>
                <w:sz w:val="22"/>
                <w:szCs w:val="22"/>
                <w:lang w:bidi="ar"/>
              </w:rPr>
              <w:t>评价日期</w:t>
            </w:r>
          </w:p>
        </w:tc>
        <w:tc>
          <w:tcPr>
            <w:tcW w:w="7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Times New Roman" w:hAnsi="Times New Roman" w:eastAsia="仿宋" w:cs="Times New Roman"/>
                <w:color w:val="000000"/>
                <w:sz w:val="24"/>
                <w:szCs w:val="20"/>
              </w:rPr>
            </w:pPr>
          </w:p>
        </w:tc>
      </w:tr>
    </w:tbl>
    <w:p>
      <w:pPr>
        <w:spacing w:line="360" w:lineRule="exact"/>
        <w:ind w:firstLine="480" w:firstLineChars="200"/>
        <w:rPr>
          <w:rFonts w:ascii="Times New Roman" w:hAnsi="Times New Roman" w:eastAsia="方正仿宋_GBK" w:cs="Times New Roman"/>
          <w:color w:val="000000"/>
          <w:sz w:val="24"/>
          <w:lang w:bidi="ar"/>
        </w:rPr>
      </w:pPr>
      <w:r>
        <w:rPr>
          <w:rFonts w:ascii="Times New Roman" w:hAnsi="Times New Roman" w:eastAsia="方正仿宋_GBK" w:cs="Times New Roman"/>
          <w:color w:val="000000"/>
          <w:sz w:val="24"/>
          <w:lang w:bidi="ar"/>
        </w:rPr>
        <w:t>备注（指标释义）：</w:t>
      </w:r>
    </w:p>
    <w:p>
      <w:pPr>
        <w:spacing w:line="360" w:lineRule="exact"/>
        <w:ind w:firstLine="480" w:firstLineChars="200"/>
        <w:rPr>
          <w:rFonts w:ascii="Times New Roman" w:hAnsi="Times New Roman" w:eastAsia="方正仿宋_GBK" w:cs="Times New Roman"/>
          <w:color w:val="000000"/>
          <w:sz w:val="24"/>
          <w:lang w:bidi="ar"/>
        </w:rPr>
      </w:pPr>
      <w:r>
        <w:rPr>
          <w:rFonts w:ascii="Times New Roman" w:hAnsi="Times New Roman" w:eastAsia="方正仿宋_GBK" w:cs="Times New Roman"/>
          <w:color w:val="000000"/>
          <w:sz w:val="24"/>
          <w:lang w:bidi="ar"/>
        </w:rPr>
        <w:t>一、道路运输机构需建立的信用档案包括：《重庆市危险货物道路运输经营者信用考核综合评价表》、表内非系统自动统计数据记录的相关佐证材料、区县道路运输机构在日常管理工作中收集的危险货物道路运输经营者（以下简称危货经营者）信用考核相关信息（资料）等。信用考核档案保存期限不少于3年。</w:t>
      </w:r>
    </w:p>
    <w:p>
      <w:pPr>
        <w:spacing w:line="360" w:lineRule="exact"/>
        <w:ind w:firstLine="480" w:firstLineChars="200"/>
        <w:rPr>
          <w:rFonts w:ascii="Times New Roman" w:hAnsi="Times New Roman" w:eastAsia="方正仿宋_GBK" w:cs="Times New Roman"/>
          <w:color w:val="000000"/>
          <w:sz w:val="24"/>
          <w:lang w:bidi="ar"/>
        </w:rPr>
      </w:pPr>
      <w:r>
        <w:rPr>
          <w:rFonts w:ascii="Times New Roman" w:hAnsi="Times New Roman" w:eastAsia="方正仿宋_GBK" w:cs="Times New Roman"/>
          <w:color w:val="000000"/>
          <w:sz w:val="24"/>
          <w:lang w:bidi="ar"/>
        </w:rPr>
        <w:t>二、违法违规指：危货经营者、危货运输从业人员违反道路交通安全及道路运输相关法律法规的规定，受到行政处罚的行为。</w:t>
      </w:r>
    </w:p>
    <w:p>
      <w:pPr>
        <w:spacing w:line="360" w:lineRule="exact"/>
        <w:ind w:firstLine="480" w:firstLineChars="200"/>
        <w:rPr>
          <w:rFonts w:ascii="Times New Roman" w:hAnsi="Times New Roman" w:eastAsia="方正仿宋_GBK" w:cs="Times New Roman"/>
          <w:color w:val="000000"/>
          <w:sz w:val="24"/>
          <w:lang w:bidi="ar"/>
        </w:rPr>
      </w:pPr>
      <w:r>
        <w:rPr>
          <w:rFonts w:ascii="Times New Roman" w:hAnsi="Times New Roman" w:eastAsia="方正仿宋_GBK" w:cs="Times New Roman"/>
          <w:color w:val="000000"/>
          <w:sz w:val="24"/>
          <w:lang w:bidi="ar"/>
        </w:rPr>
        <w:t>三、交通责任事故指：考核周期内危货经营者承担同责及同责以上、有人员伤亡的交通事故。</w:t>
      </w:r>
    </w:p>
    <w:p>
      <w:pPr>
        <w:spacing w:line="360" w:lineRule="exact"/>
        <w:ind w:firstLine="480" w:firstLineChars="200"/>
        <w:rPr>
          <w:rFonts w:ascii="Times New Roman" w:hAnsi="Times New Roman" w:eastAsia="方正仿宋_GBK" w:cs="Times New Roman"/>
          <w:color w:val="000000"/>
          <w:sz w:val="24"/>
          <w:lang w:bidi="ar"/>
        </w:rPr>
      </w:pPr>
      <w:r>
        <w:rPr>
          <w:rFonts w:ascii="Times New Roman" w:hAnsi="Times New Roman" w:eastAsia="方正仿宋_GBK" w:cs="Times New Roman"/>
          <w:color w:val="000000"/>
          <w:sz w:val="24"/>
          <w:lang w:bidi="ar"/>
        </w:rPr>
        <w:t>四、有责投诉指：危货经营者、危货从业人员违反有关规定，损害他人正当权益，货主、其他相关人向交通行业管理部门进行投诉，或者新闻媒体对经营者的服务质量事件曝光，经查证，属于危货经营者或者危货从业人员责任的。</w:t>
      </w:r>
    </w:p>
    <w:p>
      <w:pPr>
        <w:spacing w:line="500" w:lineRule="exact"/>
        <w:jc w:val="lef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附件1-4</w:t>
      </w:r>
    </w:p>
    <w:p>
      <w:pPr>
        <w:pStyle w:val="13"/>
        <w:spacing w:after="0" w:line="500" w:lineRule="exact"/>
        <w:rPr>
          <w:rFonts w:hint="eastAsia"/>
        </w:rPr>
      </w:pPr>
    </w:p>
    <w:p>
      <w:pPr>
        <w:snapToGrid w:val="0"/>
        <w:spacing w:line="500" w:lineRule="exact"/>
        <w:jc w:val="center"/>
        <w:rPr>
          <w:rFonts w:eastAsia="方正小标宋_GBK"/>
          <w:color w:val="000000"/>
          <w:sz w:val="44"/>
          <w:szCs w:val="44"/>
        </w:rPr>
      </w:pPr>
      <w:r>
        <w:rPr>
          <w:rFonts w:eastAsia="方正小标宋_GBK"/>
          <w:color w:val="000000"/>
          <w:sz w:val="44"/>
          <w:szCs w:val="44"/>
        </w:rPr>
        <w:t>重庆市公共汽车客运企业信用评价标准</w:t>
      </w:r>
    </w:p>
    <w:p>
      <w:pPr>
        <w:snapToGrid w:val="0"/>
        <w:spacing w:line="560" w:lineRule="exact"/>
        <w:ind w:firstLine="560" w:firstLineChars="200"/>
        <w:rPr>
          <w:rFonts w:eastAsia="方正仿宋_GBK"/>
          <w:color w:val="000000"/>
          <w:sz w:val="30"/>
          <w:szCs w:val="30"/>
        </w:rPr>
      </w:pPr>
      <w:r>
        <w:rPr>
          <w:rFonts w:eastAsia="方正仿宋_GBK"/>
          <w:color w:val="000000"/>
          <w:sz w:val="28"/>
          <w:szCs w:val="28"/>
        </w:rPr>
        <w:t>被评价企业：                                                      评价年度：</w:t>
      </w:r>
    </w:p>
    <w:tbl>
      <w:tblPr>
        <w:tblStyle w:val="14"/>
        <w:tblpPr w:leftFromText="180" w:rightFromText="180" w:vertAnchor="text" w:tblpX="15506" w:tblpY="-23687"/>
        <w:tblOverlap w:val="never"/>
        <w:tblW w:w="0" w:type="auto"/>
        <w:tblInd w:w="0" w:type="dxa"/>
        <w:tblLayout w:type="fixed"/>
        <w:tblCellMar>
          <w:top w:w="0" w:type="dxa"/>
          <w:left w:w="108" w:type="dxa"/>
          <w:bottom w:w="0" w:type="dxa"/>
          <w:right w:w="108" w:type="dxa"/>
        </w:tblCellMar>
      </w:tblPr>
      <w:tblGrid>
        <w:gridCol w:w="1970"/>
      </w:tblGrid>
      <w:tr>
        <w:tblPrEx>
          <w:tblCellMar>
            <w:top w:w="0" w:type="dxa"/>
            <w:left w:w="108" w:type="dxa"/>
            <w:bottom w:w="0" w:type="dxa"/>
            <w:right w:w="108" w:type="dxa"/>
          </w:tblCellMar>
        </w:tblPrEx>
        <w:trPr>
          <w:trHeight w:val="30" w:hRule="atLeast"/>
        </w:trPr>
        <w:tc>
          <w:tcPr>
            <w:tcW w:w="1970" w:type="dxa"/>
          </w:tcPr>
          <w:p>
            <w:pPr>
              <w:spacing w:line="560" w:lineRule="exact"/>
              <w:rPr>
                <w:rFonts w:eastAsia="方正仿宋_GBK"/>
                <w:color w:val="000000"/>
                <w:szCs w:val="21"/>
              </w:rPr>
            </w:pPr>
          </w:p>
        </w:tc>
      </w:tr>
      <w:tr>
        <w:tblPrEx>
          <w:tblCellMar>
            <w:top w:w="0" w:type="dxa"/>
            <w:left w:w="108" w:type="dxa"/>
            <w:bottom w:w="0" w:type="dxa"/>
            <w:right w:w="108" w:type="dxa"/>
          </w:tblCellMar>
        </w:tblPrEx>
        <w:trPr>
          <w:trHeight w:val="30" w:hRule="atLeast"/>
        </w:trPr>
        <w:tc>
          <w:tcPr>
            <w:tcW w:w="1970" w:type="dxa"/>
          </w:tcPr>
          <w:p>
            <w:pPr>
              <w:spacing w:line="560" w:lineRule="exact"/>
              <w:rPr>
                <w:rFonts w:eastAsia="方正仿宋_GBK"/>
                <w:color w:val="000000"/>
                <w:szCs w:val="21"/>
              </w:rPr>
            </w:pPr>
          </w:p>
        </w:tc>
      </w:tr>
    </w:tbl>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06"/>
        <w:gridCol w:w="1293"/>
        <w:gridCol w:w="607"/>
        <w:gridCol w:w="4772"/>
        <w:gridCol w:w="1008"/>
        <w:gridCol w:w="661"/>
        <w:gridCol w:w="3214"/>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156"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黑体"/>
                <w:bCs/>
                <w:color w:val="000000"/>
                <w:sz w:val="24"/>
              </w:rPr>
            </w:pPr>
            <w:r>
              <w:rPr>
                <w:rFonts w:eastAsia="黑体"/>
                <w:bCs/>
                <w:color w:val="000000"/>
                <w:sz w:val="24"/>
              </w:rPr>
              <w:t>序号</w:t>
            </w:r>
          </w:p>
        </w:tc>
        <w:tc>
          <w:tcPr>
            <w:tcW w:w="432"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黑体"/>
                <w:bCs/>
                <w:color w:val="000000"/>
                <w:sz w:val="24"/>
              </w:rPr>
            </w:pPr>
            <w:r>
              <w:rPr>
                <w:rFonts w:eastAsia="黑体"/>
                <w:bCs/>
                <w:color w:val="000000"/>
                <w:sz w:val="24"/>
              </w:rPr>
              <w:t>一级指标及分值</w:t>
            </w:r>
          </w:p>
        </w:tc>
        <w:tc>
          <w:tcPr>
            <w:tcW w:w="463"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黑体"/>
                <w:bCs/>
                <w:color w:val="000000"/>
                <w:sz w:val="24"/>
              </w:rPr>
            </w:pPr>
            <w:r>
              <w:rPr>
                <w:rFonts w:eastAsia="黑体"/>
                <w:bCs/>
                <w:color w:val="000000"/>
                <w:sz w:val="24"/>
              </w:rPr>
              <w:t>二级指标</w:t>
            </w:r>
          </w:p>
        </w:tc>
        <w:tc>
          <w:tcPr>
            <w:tcW w:w="218"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黑体"/>
                <w:bCs/>
                <w:color w:val="000000"/>
                <w:sz w:val="24"/>
              </w:rPr>
            </w:pPr>
            <w:r>
              <w:rPr>
                <w:rFonts w:eastAsia="黑体"/>
                <w:bCs/>
                <w:color w:val="000000"/>
                <w:sz w:val="24"/>
              </w:rPr>
              <w:t>分值</w:t>
            </w:r>
          </w:p>
        </w:tc>
        <w:tc>
          <w:tcPr>
            <w:tcW w:w="2067"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黑体"/>
                <w:bCs/>
                <w:color w:val="000000"/>
                <w:sz w:val="24"/>
              </w:rPr>
            </w:pPr>
            <w:r>
              <w:rPr>
                <w:rFonts w:eastAsia="黑体"/>
                <w:bCs/>
                <w:color w:val="000000"/>
                <w:sz w:val="24"/>
              </w:rPr>
              <w:t>评分标准</w:t>
            </w:r>
          </w:p>
        </w:tc>
        <w:tc>
          <w:tcPr>
            <w:tcW w:w="1386"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黑体"/>
                <w:bCs/>
                <w:color w:val="000000"/>
                <w:sz w:val="24"/>
              </w:rPr>
            </w:pPr>
            <w:r>
              <w:rPr>
                <w:rFonts w:eastAsia="黑体"/>
                <w:bCs/>
                <w:color w:val="000000"/>
                <w:sz w:val="24"/>
              </w:rPr>
              <w:t>数据来源</w:t>
            </w:r>
          </w:p>
        </w:tc>
        <w:tc>
          <w:tcPr>
            <w:tcW w:w="278"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黑体"/>
                <w:bCs/>
                <w:color w:val="000000"/>
                <w:sz w:val="24"/>
              </w:rPr>
            </w:pPr>
            <w:r>
              <w:rPr>
                <w:rFonts w:eastAsia="方正黑体_GBK"/>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56"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1</w:t>
            </w:r>
          </w:p>
        </w:tc>
        <w:tc>
          <w:tcPr>
            <w:tcW w:w="432" w:type="pct"/>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经营管理</w:t>
            </w:r>
          </w:p>
          <w:p>
            <w:pPr>
              <w:spacing w:line="260" w:lineRule="exact"/>
              <w:jc w:val="center"/>
              <w:rPr>
                <w:rFonts w:eastAsia="方正仿宋_GBK"/>
                <w:color w:val="000000"/>
                <w:szCs w:val="21"/>
              </w:rPr>
            </w:pPr>
            <w:r>
              <w:rPr>
                <w:rFonts w:eastAsia="方正仿宋_GBK"/>
                <w:color w:val="000000"/>
                <w:szCs w:val="21"/>
              </w:rPr>
              <w:t>（25分）</w:t>
            </w:r>
          </w:p>
        </w:tc>
        <w:tc>
          <w:tcPr>
            <w:tcW w:w="463"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方正仿宋_GBK"/>
                <w:bCs/>
                <w:color w:val="000000"/>
                <w:szCs w:val="21"/>
              </w:rPr>
            </w:pPr>
            <w:r>
              <w:rPr>
                <w:rFonts w:eastAsia="方正仿宋_GBK"/>
                <w:bCs/>
                <w:color w:val="000000"/>
                <w:szCs w:val="21"/>
              </w:rPr>
              <w:t>决策执行</w:t>
            </w:r>
          </w:p>
        </w:tc>
        <w:tc>
          <w:tcPr>
            <w:tcW w:w="218"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5</w:t>
            </w:r>
          </w:p>
        </w:tc>
        <w:tc>
          <w:tcPr>
            <w:tcW w:w="2067"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未贯彻落实市、区县党委政府及交通主管部门决策部署，未完成下达的工作任务的，根据落实和完成情况综合评分。</w:t>
            </w:r>
          </w:p>
        </w:tc>
        <w:tc>
          <w:tcPr>
            <w:tcW w:w="1386"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市、区县交通主管部门记录。</w:t>
            </w:r>
          </w:p>
        </w:tc>
        <w:tc>
          <w:tcPr>
            <w:tcW w:w="278" w:type="pct"/>
            <w:tcBorders>
              <w:top w:val="single" w:color="auto" w:sz="4" w:space="0"/>
              <w:left w:val="single" w:color="auto" w:sz="4" w:space="0"/>
              <w:bottom w:val="single" w:color="auto" w:sz="4" w:space="0"/>
              <w:right w:val="single" w:color="auto" w:sz="4" w:space="0"/>
            </w:tcBorders>
            <w:vAlign w:val="center"/>
          </w:tcPr>
          <w:p>
            <w:pPr>
              <w:pStyle w:val="4"/>
              <w:spacing w:line="260" w:lineRule="exact"/>
              <w:ind w:firstLine="24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56" w:type="pct"/>
            <w:tcBorders>
              <w:left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2</w:t>
            </w:r>
          </w:p>
        </w:tc>
        <w:tc>
          <w:tcPr>
            <w:tcW w:w="432" w:type="pct"/>
            <w:vMerge w:val="continue"/>
            <w:tcBorders>
              <w:left w:val="single" w:color="auto" w:sz="4" w:space="0"/>
              <w:right w:val="single" w:color="auto" w:sz="4" w:space="0"/>
            </w:tcBorders>
            <w:vAlign w:val="center"/>
          </w:tcPr>
          <w:p>
            <w:pPr>
              <w:spacing w:line="260" w:lineRule="exact"/>
              <w:jc w:val="center"/>
              <w:rPr>
                <w:rFonts w:eastAsia="方正仿宋_GBK"/>
                <w:color w:val="000000"/>
                <w:szCs w:val="21"/>
              </w:rPr>
            </w:pPr>
          </w:p>
        </w:tc>
        <w:tc>
          <w:tcPr>
            <w:tcW w:w="463"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方正仿宋_GBK"/>
                <w:color w:val="000000"/>
                <w:szCs w:val="21"/>
              </w:rPr>
            </w:pPr>
            <w:r>
              <w:rPr>
                <w:rFonts w:hint="eastAsia" w:eastAsia="方正仿宋_GBK"/>
                <w:bCs/>
                <w:color w:val="000000"/>
                <w:szCs w:val="21"/>
              </w:rPr>
              <w:t>行政处罚情况</w:t>
            </w:r>
          </w:p>
        </w:tc>
        <w:tc>
          <w:tcPr>
            <w:tcW w:w="218"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 xml:space="preserve"> 15</w:t>
            </w:r>
          </w:p>
        </w:tc>
        <w:tc>
          <w:tcPr>
            <w:tcW w:w="2067"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违法违规率每达到0.01次/辆的，扣0.5分；</w:t>
            </w:r>
          </w:p>
          <w:p>
            <w:pPr>
              <w:spacing w:line="260" w:lineRule="exact"/>
              <w:rPr>
                <w:rFonts w:eastAsia="方正仿宋_GBK"/>
                <w:color w:val="000000"/>
                <w:szCs w:val="21"/>
              </w:rPr>
            </w:pPr>
            <w:r>
              <w:rPr>
                <w:rFonts w:eastAsia="方正仿宋_GBK"/>
                <w:color w:val="000000"/>
                <w:szCs w:val="21"/>
              </w:rPr>
              <w:t>在考核周期届满时，存在未履行交通运输行政处罚决定的，按照该交通运输行政处罚信用扣分标准，再次扣除相应分数。</w:t>
            </w:r>
          </w:p>
        </w:tc>
        <w:tc>
          <w:tcPr>
            <w:tcW w:w="1386"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交通运输行政执法机构、公安交通管理部门处罚记录或共享数据、企业报表。违法违规率=违法违规次数/企业年末在册公交车辆数。</w:t>
            </w:r>
          </w:p>
        </w:tc>
        <w:tc>
          <w:tcPr>
            <w:tcW w:w="278" w:type="pct"/>
            <w:tcBorders>
              <w:top w:val="single" w:color="auto" w:sz="4" w:space="0"/>
              <w:left w:val="single" w:color="auto" w:sz="4" w:space="0"/>
              <w:bottom w:val="single" w:color="auto" w:sz="4" w:space="0"/>
              <w:right w:val="single" w:color="auto" w:sz="4" w:space="0"/>
            </w:tcBorders>
            <w:vAlign w:val="center"/>
          </w:tcPr>
          <w:p>
            <w:pPr>
              <w:pStyle w:val="4"/>
              <w:spacing w:line="260" w:lineRule="exact"/>
              <w:ind w:firstLine="240" w:firstLineChars="100"/>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156"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3</w:t>
            </w:r>
          </w:p>
        </w:tc>
        <w:tc>
          <w:tcPr>
            <w:tcW w:w="432" w:type="pct"/>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p>
        </w:tc>
        <w:tc>
          <w:tcPr>
            <w:tcW w:w="463"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方正仿宋_GBK"/>
                <w:color w:val="000000"/>
                <w:szCs w:val="21"/>
              </w:rPr>
            </w:pPr>
            <w:r>
              <w:rPr>
                <w:rFonts w:eastAsia="方正仿宋_GBK"/>
                <w:color w:val="000000"/>
                <w:szCs w:val="21"/>
              </w:rPr>
              <w:t>诚信经营</w:t>
            </w:r>
          </w:p>
        </w:tc>
        <w:tc>
          <w:tcPr>
            <w:tcW w:w="218"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5</w:t>
            </w:r>
          </w:p>
        </w:tc>
        <w:tc>
          <w:tcPr>
            <w:tcW w:w="2067"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违反线路特许经营协议约定运营服务要求的，每次扣0.5分；无故擅自暂停、终止线路运营，或者未取得线路特许经营权擅自开行线路的，每次扣1分。</w:t>
            </w:r>
          </w:p>
        </w:tc>
        <w:tc>
          <w:tcPr>
            <w:tcW w:w="1386"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市、区县交通主管部门日常抽查记录。</w:t>
            </w:r>
          </w:p>
        </w:tc>
        <w:tc>
          <w:tcPr>
            <w:tcW w:w="278" w:type="pct"/>
            <w:tcBorders>
              <w:top w:val="single" w:color="auto" w:sz="4" w:space="0"/>
              <w:left w:val="single" w:color="auto" w:sz="4" w:space="0"/>
              <w:bottom w:val="single" w:color="auto" w:sz="4" w:space="0"/>
              <w:right w:val="single" w:color="auto" w:sz="4" w:space="0"/>
            </w:tcBorders>
            <w:vAlign w:val="center"/>
          </w:tcPr>
          <w:p>
            <w:pPr>
              <w:spacing w:line="260" w:lineRule="exact"/>
              <w:ind w:firstLine="210" w:firstLineChars="100"/>
              <w:jc w:val="left"/>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56" w:type="pct"/>
            <w:tcBorders>
              <w:left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4</w:t>
            </w:r>
          </w:p>
        </w:tc>
        <w:tc>
          <w:tcPr>
            <w:tcW w:w="432" w:type="pct"/>
            <w:vMerge w:val="restart"/>
            <w:tcBorders>
              <w:left w:val="single" w:color="auto" w:sz="4" w:space="0"/>
              <w:right w:val="single" w:color="auto" w:sz="4" w:space="0"/>
            </w:tcBorders>
            <w:vAlign w:val="center"/>
          </w:tcPr>
          <w:p>
            <w:pPr>
              <w:pStyle w:val="13"/>
              <w:rPr>
                <w:rFonts w:hint="eastAsia"/>
              </w:rPr>
            </w:pPr>
          </w:p>
          <w:p>
            <w:pPr>
              <w:spacing w:line="260" w:lineRule="exact"/>
              <w:jc w:val="center"/>
              <w:rPr>
                <w:rFonts w:eastAsia="方正仿宋_GBK"/>
                <w:color w:val="000000"/>
                <w:szCs w:val="21"/>
              </w:rPr>
            </w:pPr>
            <w:r>
              <w:rPr>
                <w:rFonts w:eastAsia="方正仿宋_GBK"/>
                <w:color w:val="000000"/>
                <w:szCs w:val="21"/>
              </w:rPr>
              <w:t>安全生产</w:t>
            </w:r>
          </w:p>
          <w:p>
            <w:pPr>
              <w:spacing w:line="260" w:lineRule="exact"/>
              <w:jc w:val="center"/>
              <w:rPr>
                <w:rFonts w:hint="eastAsia" w:eastAsia="方正仿宋_GBK"/>
                <w:color w:val="000000"/>
                <w:szCs w:val="21"/>
              </w:rPr>
            </w:pPr>
            <w:r>
              <w:rPr>
                <w:rFonts w:eastAsia="方正仿宋_GBK"/>
                <w:color w:val="000000"/>
                <w:szCs w:val="21"/>
              </w:rPr>
              <w:t>（25分）</w:t>
            </w:r>
          </w:p>
          <w:p>
            <w:pPr>
              <w:pStyle w:val="4"/>
              <w:rPr>
                <w:rFonts w:hint="eastAsia"/>
              </w:rPr>
            </w:pPr>
          </w:p>
        </w:tc>
        <w:tc>
          <w:tcPr>
            <w:tcW w:w="463" w:type="pct"/>
            <w:tcBorders>
              <w:top w:val="single" w:color="auto" w:sz="4" w:space="0"/>
              <w:left w:val="single" w:color="auto" w:sz="4" w:space="0"/>
              <w:bottom w:val="single" w:color="auto" w:sz="4" w:space="0"/>
              <w:right w:val="single" w:color="auto" w:sz="4" w:space="0"/>
            </w:tcBorders>
            <w:vAlign w:val="center"/>
          </w:tcPr>
          <w:p>
            <w:pPr>
              <w:pStyle w:val="64"/>
              <w:spacing w:line="260" w:lineRule="exact"/>
              <w:rPr>
                <w:rFonts w:eastAsia="方正仿宋_GBK"/>
                <w:sz w:val="21"/>
                <w:szCs w:val="21"/>
              </w:rPr>
            </w:pPr>
            <w:r>
              <w:rPr>
                <w:rFonts w:eastAsia="方正仿宋_GBK"/>
                <w:sz w:val="21"/>
                <w:szCs w:val="21"/>
              </w:rPr>
              <w:t>制度落实</w:t>
            </w:r>
          </w:p>
        </w:tc>
        <w:tc>
          <w:tcPr>
            <w:tcW w:w="218" w:type="pct"/>
            <w:tcBorders>
              <w:top w:val="single" w:color="auto" w:sz="4" w:space="0"/>
              <w:left w:val="single" w:color="auto" w:sz="4" w:space="0"/>
              <w:bottom w:val="single" w:color="auto" w:sz="4" w:space="0"/>
              <w:right w:val="single" w:color="auto" w:sz="4" w:space="0"/>
            </w:tcBorders>
            <w:vAlign w:val="center"/>
          </w:tcPr>
          <w:p>
            <w:pPr>
              <w:pStyle w:val="64"/>
              <w:spacing w:line="260" w:lineRule="exact"/>
              <w:rPr>
                <w:rFonts w:eastAsia="方正仿宋_GBK"/>
                <w:bCs w:val="0"/>
                <w:iCs w:val="0"/>
                <w:kern w:val="2"/>
                <w:sz w:val="21"/>
                <w:szCs w:val="21"/>
              </w:rPr>
            </w:pPr>
            <w:r>
              <w:rPr>
                <w:rFonts w:eastAsia="方正仿宋_GBK"/>
                <w:bCs w:val="0"/>
                <w:iCs w:val="0"/>
                <w:kern w:val="2"/>
                <w:sz w:val="21"/>
                <w:szCs w:val="21"/>
              </w:rPr>
              <w:t>10</w:t>
            </w:r>
          </w:p>
        </w:tc>
        <w:tc>
          <w:tcPr>
            <w:tcW w:w="2067" w:type="pct"/>
            <w:gridSpan w:val="2"/>
            <w:tcBorders>
              <w:top w:val="single" w:color="auto" w:sz="4" w:space="0"/>
              <w:left w:val="single" w:color="auto" w:sz="4" w:space="0"/>
              <w:bottom w:val="single" w:color="auto" w:sz="4" w:space="0"/>
              <w:right w:val="single" w:color="auto" w:sz="4" w:space="0"/>
            </w:tcBorders>
            <w:vAlign w:val="center"/>
          </w:tcPr>
          <w:p>
            <w:pPr>
              <w:pStyle w:val="64"/>
              <w:spacing w:line="260" w:lineRule="exact"/>
              <w:rPr>
                <w:rFonts w:eastAsia="方正仿宋_GBK"/>
                <w:bCs w:val="0"/>
                <w:iCs w:val="0"/>
                <w:kern w:val="2"/>
                <w:sz w:val="21"/>
                <w:szCs w:val="21"/>
              </w:rPr>
            </w:pPr>
            <w:r>
              <w:rPr>
                <w:rFonts w:eastAsia="方正仿宋_GBK"/>
                <w:bCs w:val="0"/>
                <w:iCs w:val="0"/>
                <w:kern w:val="2"/>
                <w:sz w:val="21"/>
                <w:szCs w:val="21"/>
              </w:rPr>
              <w:t>安全生产责任制、车辆维护保养、动态监控、从业人员聘用与教育培训、应急管理、双重预防机制等各项安全生产管理制度未落实的，每项次扣0.2分。</w:t>
            </w:r>
          </w:p>
        </w:tc>
        <w:tc>
          <w:tcPr>
            <w:tcW w:w="1386"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市、区县交通主管部门及综合执法机构检查记录或共享数据。</w:t>
            </w:r>
          </w:p>
        </w:tc>
        <w:tc>
          <w:tcPr>
            <w:tcW w:w="278" w:type="pct"/>
            <w:tcBorders>
              <w:top w:val="single" w:color="auto" w:sz="4" w:space="0"/>
              <w:left w:val="single" w:color="auto" w:sz="4" w:space="0"/>
              <w:bottom w:val="single" w:color="auto" w:sz="4" w:space="0"/>
              <w:right w:val="single" w:color="auto" w:sz="4" w:space="0"/>
            </w:tcBorders>
            <w:vAlign w:val="center"/>
          </w:tcPr>
          <w:p>
            <w:pPr>
              <w:spacing w:line="260" w:lineRule="exact"/>
              <w:ind w:firstLine="210" w:firstLineChars="100"/>
              <w:jc w:val="left"/>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156" w:type="pct"/>
            <w:tcBorders>
              <w:left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5</w:t>
            </w:r>
          </w:p>
        </w:tc>
        <w:tc>
          <w:tcPr>
            <w:tcW w:w="432" w:type="pct"/>
            <w:vMerge w:val="continue"/>
            <w:tcBorders>
              <w:left w:val="single" w:color="auto" w:sz="4" w:space="0"/>
              <w:right w:val="single" w:color="auto" w:sz="4" w:space="0"/>
            </w:tcBorders>
            <w:vAlign w:val="center"/>
          </w:tcPr>
          <w:p>
            <w:pPr>
              <w:spacing w:line="260" w:lineRule="exact"/>
              <w:jc w:val="center"/>
              <w:rPr>
                <w:rFonts w:eastAsia="方正黑体_GBK"/>
                <w:color w:val="000000"/>
                <w:szCs w:val="21"/>
              </w:rPr>
            </w:pPr>
          </w:p>
        </w:tc>
        <w:tc>
          <w:tcPr>
            <w:tcW w:w="463" w:type="pct"/>
            <w:tcBorders>
              <w:top w:val="single" w:color="auto" w:sz="4" w:space="0"/>
              <w:left w:val="single" w:color="auto" w:sz="4" w:space="0"/>
              <w:bottom w:val="single" w:color="auto" w:sz="4" w:space="0"/>
              <w:right w:val="single" w:color="auto" w:sz="4" w:space="0"/>
            </w:tcBorders>
            <w:vAlign w:val="center"/>
          </w:tcPr>
          <w:p>
            <w:pPr>
              <w:pStyle w:val="64"/>
              <w:spacing w:line="260" w:lineRule="exact"/>
              <w:rPr>
                <w:rFonts w:eastAsia="方正黑体_GBK"/>
                <w:sz w:val="21"/>
                <w:szCs w:val="21"/>
              </w:rPr>
            </w:pPr>
            <w:r>
              <w:rPr>
                <w:rFonts w:eastAsia="方正仿宋_GBK"/>
                <w:sz w:val="21"/>
                <w:szCs w:val="21"/>
              </w:rPr>
              <w:t>挂牌督办</w:t>
            </w:r>
          </w:p>
        </w:tc>
        <w:tc>
          <w:tcPr>
            <w:tcW w:w="218" w:type="pct"/>
            <w:tcBorders>
              <w:top w:val="single" w:color="auto" w:sz="4" w:space="0"/>
              <w:left w:val="single" w:color="auto" w:sz="4" w:space="0"/>
              <w:bottom w:val="single" w:color="auto" w:sz="4" w:space="0"/>
              <w:right w:val="single" w:color="auto" w:sz="4" w:space="0"/>
            </w:tcBorders>
            <w:vAlign w:val="center"/>
          </w:tcPr>
          <w:p>
            <w:pPr>
              <w:pStyle w:val="64"/>
              <w:spacing w:line="260" w:lineRule="exact"/>
              <w:jc w:val="center"/>
              <w:rPr>
                <w:rFonts w:eastAsia="方正仿宋_GBK"/>
                <w:bCs w:val="0"/>
                <w:iCs w:val="0"/>
                <w:kern w:val="2"/>
                <w:sz w:val="21"/>
                <w:szCs w:val="21"/>
              </w:rPr>
            </w:pPr>
            <w:r>
              <w:rPr>
                <w:rFonts w:eastAsia="方正仿宋_GBK"/>
                <w:bCs w:val="0"/>
                <w:iCs w:val="0"/>
                <w:kern w:val="2"/>
                <w:sz w:val="21"/>
                <w:szCs w:val="21"/>
              </w:rPr>
              <w:t>5</w:t>
            </w:r>
          </w:p>
        </w:tc>
        <w:tc>
          <w:tcPr>
            <w:tcW w:w="2067" w:type="pct"/>
            <w:gridSpan w:val="2"/>
            <w:tcBorders>
              <w:top w:val="single" w:color="auto" w:sz="4" w:space="0"/>
              <w:left w:val="single" w:color="auto" w:sz="4" w:space="0"/>
              <w:bottom w:val="single" w:color="auto" w:sz="4" w:space="0"/>
              <w:right w:val="single" w:color="auto" w:sz="4" w:space="0"/>
            </w:tcBorders>
            <w:vAlign w:val="center"/>
          </w:tcPr>
          <w:p>
            <w:pPr>
              <w:pStyle w:val="64"/>
              <w:spacing w:line="260" w:lineRule="exact"/>
              <w:rPr>
                <w:rFonts w:eastAsia="方正仿宋_GBK"/>
                <w:bCs w:val="0"/>
                <w:iCs w:val="0"/>
                <w:kern w:val="2"/>
                <w:sz w:val="21"/>
                <w:szCs w:val="21"/>
              </w:rPr>
            </w:pPr>
            <w:r>
              <w:rPr>
                <w:rFonts w:eastAsia="方正仿宋_GBK"/>
                <w:bCs w:val="0"/>
                <w:iCs w:val="0"/>
                <w:kern w:val="2"/>
                <w:sz w:val="21"/>
                <w:szCs w:val="21"/>
              </w:rPr>
              <w:t>区县级挂牌督办的，每次扣1分，市级挂牌督办的，每次扣2.5分，国家部委级挂牌督办的，每次扣5分。</w:t>
            </w:r>
          </w:p>
        </w:tc>
        <w:tc>
          <w:tcPr>
            <w:tcW w:w="1386"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相关职能部门通报或共享数据、企业报表。</w:t>
            </w:r>
          </w:p>
        </w:tc>
        <w:tc>
          <w:tcPr>
            <w:tcW w:w="278" w:type="pct"/>
            <w:tcBorders>
              <w:top w:val="single" w:color="auto" w:sz="4" w:space="0"/>
              <w:left w:val="single" w:color="auto" w:sz="4" w:space="0"/>
              <w:bottom w:val="single" w:color="auto" w:sz="4" w:space="0"/>
              <w:right w:val="single" w:color="auto" w:sz="4" w:space="0"/>
            </w:tcBorders>
            <w:vAlign w:val="center"/>
          </w:tcPr>
          <w:p>
            <w:pPr>
              <w:spacing w:line="260" w:lineRule="exact"/>
              <w:ind w:firstLine="210" w:firstLineChars="100"/>
              <w:jc w:val="left"/>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56" w:type="pct"/>
            <w:tcBorders>
              <w:left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6</w:t>
            </w:r>
          </w:p>
        </w:tc>
        <w:tc>
          <w:tcPr>
            <w:tcW w:w="432" w:type="pct"/>
            <w:vMerge w:val="continue"/>
            <w:tcBorders>
              <w:left w:val="single" w:color="auto" w:sz="4" w:space="0"/>
              <w:right w:val="single" w:color="auto" w:sz="4" w:space="0"/>
            </w:tcBorders>
            <w:vAlign w:val="center"/>
          </w:tcPr>
          <w:p>
            <w:pPr>
              <w:spacing w:line="260" w:lineRule="exact"/>
              <w:jc w:val="center"/>
              <w:rPr>
                <w:rFonts w:eastAsia="方正仿宋_GBK"/>
                <w:color w:val="000000"/>
                <w:szCs w:val="21"/>
              </w:rPr>
            </w:pPr>
          </w:p>
        </w:tc>
        <w:tc>
          <w:tcPr>
            <w:tcW w:w="463" w:type="pct"/>
            <w:tcBorders>
              <w:top w:val="single" w:color="auto" w:sz="4" w:space="0"/>
              <w:left w:val="single" w:color="auto" w:sz="4" w:space="0"/>
              <w:bottom w:val="single" w:color="auto" w:sz="4" w:space="0"/>
              <w:right w:val="single" w:color="auto" w:sz="4" w:space="0"/>
            </w:tcBorders>
            <w:vAlign w:val="center"/>
          </w:tcPr>
          <w:p>
            <w:pPr>
              <w:pStyle w:val="64"/>
              <w:spacing w:line="260" w:lineRule="exact"/>
              <w:rPr>
                <w:rFonts w:eastAsia="方正仿宋_GBK"/>
                <w:sz w:val="21"/>
                <w:szCs w:val="21"/>
              </w:rPr>
            </w:pPr>
            <w:r>
              <w:rPr>
                <w:rFonts w:eastAsia="方正仿宋_GBK"/>
                <w:sz w:val="21"/>
                <w:szCs w:val="21"/>
              </w:rPr>
              <w:t>责任事故</w:t>
            </w:r>
          </w:p>
        </w:tc>
        <w:tc>
          <w:tcPr>
            <w:tcW w:w="218" w:type="pct"/>
            <w:tcBorders>
              <w:top w:val="single" w:color="auto" w:sz="4" w:space="0"/>
              <w:left w:val="single" w:color="auto" w:sz="4" w:space="0"/>
              <w:bottom w:val="single" w:color="auto" w:sz="4" w:space="0"/>
              <w:right w:val="single" w:color="auto" w:sz="4" w:space="0"/>
            </w:tcBorders>
            <w:vAlign w:val="center"/>
          </w:tcPr>
          <w:p>
            <w:pPr>
              <w:pStyle w:val="64"/>
              <w:spacing w:line="260" w:lineRule="exact"/>
              <w:jc w:val="center"/>
              <w:rPr>
                <w:rFonts w:eastAsia="方正仿宋_GBK"/>
                <w:bCs w:val="0"/>
                <w:iCs w:val="0"/>
                <w:kern w:val="2"/>
                <w:sz w:val="21"/>
                <w:szCs w:val="21"/>
              </w:rPr>
            </w:pPr>
            <w:r>
              <w:rPr>
                <w:rFonts w:eastAsia="方正仿宋_GBK"/>
                <w:bCs w:val="0"/>
                <w:iCs w:val="0"/>
                <w:kern w:val="2"/>
                <w:sz w:val="21"/>
                <w:szCs w:val="21"/>
              </w:rPr>
              <w:t>10</w:t>
            </w:r>
          </w:p>
        </w:tc>
        <w:tc>
          <w:tcPr>
            <w:tcW w:w="2067" w:type="pct"/>
            <w:gridSpan w:val="2"/>
            <w:tcBorders>
              <w:top w:val="single" w:color="auto" w:sz="4" w:space="0"/>
              <w:left w:val="single" w:color="auto" w:sz="4" w:space="0"/>
              <w:bottom w:val="single" w:color="auto" w:sz="4" w:space="0"/>
              <w:right w:val="single" w:color="auto" w:sz="4" w:space="0"/>
            </w:tcBorders>
            <w:vAlign w:val="center"/>
          </w:tcPr>
          <w:p>
            <w:pPr>
              <w:pStyle w:val="64"/>
              <w:spacing w:line="260" w:lineRule="exact"/>
              <w:rPr>
                <w:rFonts w:eastAsia="方正仿宋_GBK"/>
                <w:bCs w:val="0"/>
                <w:iCs w:val="0"/>
                <w:kern w:val="2"/>
                <w:sz w:val="21"/>
                <w:szCs w:val="21"/>
              </w:rPr>
            </w:pPr>
            <w:r>
              <w:rPr>
                <w:rFonts w:eastAsia="方正仿宋_GBK"/>
                <w:bCs w:val="0"/>
                <w:iCs w:val="0"/>
                <w:kern w:val="2"/>
                <w:sz w:val="21"/>
                <w:szCs w:val="21"/>
              </w:rPr>
              <w:t>公共汽车责任事故死亡率在0.03-0.06人/百万公里之间的，扣5分，大于0.06人/百万公里的，扣10分。存在瞒报、谎报或者拖延报告亡人责任事故的，每次扣3分。</w:t>
            </w:r>
          </w:p>
        </w:tc>
        <w:tc>
          <w:tcPr>
            <w:tcW w:w="1386"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公安交通管理部门安全事故统计信息、企业报表。责任事故指：公交客运企业承担同等及以上责任的交通安全事故。公共汽车责任事故死亡率=年度责任事故死亡人数/年度实际载客总里程。</w:t>
            </w:r>
          </w:p>
        </w:tc>
        <w:tc>
          <w:tcPr>
            <w:tcW w:w="278" w:type="pct"/>
            <w:tcBorders>
              <w:top w:val="single" w:color="auto" w:sz="4" w:space="0"/>
              <w:left w:val="single" w:color="auto" w:sz="4" w:space="0"/>
              <w:bottom w:val="single" w:color="auto" w:sz="4" w:space="0"/>
              <w:right w:val="single" w:color="auto" w:sz="4" w:space="0"/>
            </w:tcBorders>
            <w:vAlign w:val="center"/>
          </w:tcPr>
          <w:p>
            <w:pPr>
              <w:pStyle w:val="4"/>
              <w:spacing w:line="260" w:lineRule="exact"/>
              <w:ind w:firstLine="24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156" w:type="pct"/>
            <w:tcBorders>
              <w:left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7</w:t>
            </w:r>
          </w:p>
        </w:tc>
        <w:tc>
          <w:tcPr>
            <w:tcW w:w="432" w:type="pct"/>
            <w:vMerge w:val="restart"/>
            <w:tcBorders>
              <w:left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服务质量</w:t>
            </w:r>
          </w:p>
          <w:p>
            <w:pPr>
              <w:spacing w:line="260" w:lineRule="exact"/>
              <w:jc w:val="center"/>
              <w:rPr>
                <w:rFonts w:eastAsia="方正仿宋_GBK"/>
                <w:color w:val="000000"/>
                <w:szCs w:val="21"/>
              </w:rPr>
            </w:pPr>
            <w:r>
              <w:rPr>
                <w:rFonts w:eastAsia="方正仿宋_GBK"/>
                <w:color w:val="000000"/>
                <w:szCs w:val="21"/>
              </w:rPr>
              <w:t>（30分）</w:t>
            </w:r>
          </w:p>
        </w:tc>
        <w:tc>
          <w:tcPr>
            <w:tcW w:w="463"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方正仿宋_GBK"/>
                <w:color w:val="000000"/>
                <w:szCs w:val="21"/>
              </w:rPr>
            </w:pPr>
            <w:r>
              <w:rPr>
                <w:rFonts w:eastAsia="方正仿宋_GBK"/>
                <w:bCs/>
                <w:iCs/>
                <w:color w:val="000000"/>
                <w:kern w:val="0"/>
                <w:szCs w:val="21"/>
              </w:rPr>
              <w:t>有责投诉</w:t>
            </w:r>
            <w:r>
              <w:rPr>
                <w:rFonts w:eastAsia="方正仿宋_GBK"/>
                <w:color w:val="000000"/>
                <w:szCs w:val="21"/>
              </w:rPr>
              <w:t>率</w:t>
            </w:r>
          </w:p>
        </w:tc>
        <w:tc>
          <w:tcPr>
            <w:tcW w:w="218"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10</w:t>
            </w:r>
          </w:p>
        </w:tc>
        <w:tc>
          <w:tcPr>
            <w:tcW w:w="2067"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有责投诉率高于13件/百万人次(中心城区以外各区县为18件/百万人次)的，每高1件/百万人次扣0.5分，扣完为止。</w:t>
            </w:r>
          </w:p>
        </w:tc>
        <w:tc>
          <w:tcPr>
            <w:tcW w:w="1386"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市、区县交通主管部门通过市民服务热线12345、交通运输执法等投诉方式受理的有责投诉记录。有责投诉率=年度受理有责投诉件数/年度客运量。</w:t>
            </w:r>
          </w:p>
        </w:tc>
        <w:tc>
          <w:tcPr>
            <w:tcW w:w="278" w:type="pct"/>
            <w:tcBorders>
              <w:top w:val="single" w:color="auto" w:sz="4" w:space="0"/>
              <w:left w:val="single" w:color="auto" w:sz="4" w:space="0"/>
              <w:bottom w:val="single" w:color="auto" w:sz="4" w:space="0"/>
              <w:right w:val="single" w:color="auto" w:sz="4" w:space="0"/>
            </w:tcBorders>
            <w:vAlign w:val="center"/>
          </w:tcPr>
          <w:p>
            <w:pPr>
              <w:spacing w:line="260" w:lineRule="exact"/>
              <w:ind w:firstLine="210" w:firstLineChars="100"/>
              <w:jc w:val="left"/>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jc w:val="center"/>
        </w:trPr>
        <w:tc>
          <w:tcPr>
            <w:tcW w:w="156" w:type="pct"/>
            <w:tcBorders>
              <w:left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8</w:t>
            </w:r>
          </w:p>
        </w:tc>
        <w:tc>
          <w:tcPr>
            <w:tcW w:w="432" w:type="pct"/>
            <w:vMerge w:val="continue"/>
            <w:tcBorders>
              <w:left w:val="single" w:color="auto" w:sz="4" w:space="0"/>
              <w:right w:val="single" w:color="auto" w:sz="4" w:space="0"/>
            </w:tcBorders>
            <w:vAlign w:val="center"/>
          </w:tcPr>
          <w:p>
            <w:pPr>
              <w:spacing w:line="260" w:lineRule="exact"/>
              <w:jc w:val="center"/>
              <w:rPr>
                <w:rFonts w:eastAsia="方正仿宋_GBK"/>
                <w:color w:val="000000"/>
                <w:szCs w:val="21"/>
              </w:rPr>
            </w:pPr>
          </w:p>
        </w:tc>
        <w:tc>
          <w:tcPr>
            <w:tcW w:w="463"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方正仿宋_GBK"/>
                <w:color w:val="000000"/>
                <w:szCs w:val="21"/>
              </w:rPr>
            </w:pPr>
            <w:r>
              <w:rPr>
                <w:rFonts w:eastAsia="方正仿宋_GBK"/>
                <w:color w:val="000000"/>
                <w:szCs w:val="21"/>
              </w:rPr>
              <w:t>数据报送</w:t>
            </w:r>
          </w:p>
        </w:tc>
        <w:tc>
          <w:tcPr>
            <w:tcW w:w="218"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10</w:t>
            </w:r>
          </w:p>
        </w:tc>
        <w:tc>
          <w:tcPr>
            <w:tcW w:w="2067"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未按交通行业管理部门要求，按时报送（传输）运营信息、统计报表等资料，或者报送质量不符合要求，未在规定时限内补报的，每次扣0.5分。存在虚报、瞒报、造假等严重情形的，每次扣3分。</w:t>
            </w:r>
          </w:p>
        </w:tc>
        <w:tc>
          <w:tcPr>
            <w:tcW w:w="1386"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市、区县道路运输事务机构日常记录。</w:t>
            </w:r>
          </w:p>
        </w:tc>
        <w:tc>
          <w:tcPr>
            <w:tcW w:w="278" w:type="pct"/>
            <w:tcBorders>
              <w:top w:val="single" w:color="auto" w:sz="4" w:space="0"/>
              <w:left w:val="single" w:color="auto" w:sz="4" w:space="0"/>
              <w:bottom w:val="single" w:color="auto" w:sz="4" w:space="0"/>
              <w:right w:val="single" w:color="auto" w:sz="4" w:space="0"/>
            </w:tcBorders>
            <w:vAlign w:val="center"/>
          </w:tcPr>
          <w:p>
            <w:pPr>
              <w:pStyle w:val="4"/>
              <w:spacing w:line="260" w:lineRule="exact"/>
              <w:ind w:firstLine="24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156" w:type="pct"/>
            <w:tcBorders>
              <w:left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9</w:t>
            </w:r>
          </w:p>
        </w:tc>
        <w:tc>
          <w:tcPr>
            <w:tcW w:w="432" w:type="pct"/>
            <w:vMerge w:val="continue"/>
            <w:tcBorders>
              <w:left w:val="single" w:color="auto" w:sz="4" w:space="0"/>
              <w:right w:val="single" w:color="auto" w:sz="4" w:space="0"/>
            </w:tcBorders>
            <w:vAlign w:val="center"/>
          </w:tcPr>
          <w:p>
            <w:pPr>
              <w:spacing w:line="260" w:lineRule="exact"/>
              <w:jc w:val="center"/>
              <w:rPr>
                <w:rFonts w:eastAsia="方正仿宋_GBK"/>
                <w:color w:val="000000"/>
                <w:szCs w:val="21"/>
              </w:rPr>
            </w:pPr>
          </w:p>
        </w:tc>
        <w:tc>
          <w:tcPr>
            <w:tcW w:w="463"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方正仿宋_GBK"/>
                <w:color w:val="000000"/>
                <w:szCs w:val="21"/>
              </w:rPr>
            </w:pPr>
            <w:r>
              <w:rPr>
                <w:rFonts w:eastAsia="方正仿宋_GBK"/>
                <w:color w:val="000000"/>
                <w:szCs w:val="21"/>
              </w:rPr>
              <w:t>负面事件</w:t>
            </w:r>
          </w:p>
        </w:tc>
        <w:tc>
          <w:tcPr>
            <w:tcW w:w="218"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10</w:t>
            </w:r>
          </w:p>
        </w:tc>
        <w:tc>
          <w:tcPr>
            <w:tcW w:w="2067"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发生有责服务质量</w:t>
            </w:r>
            <w:r>
              <w:rPr>
                <w:rFonts w:hint="eastAsia" w:eastAsia="方正仿宋_GBK"/>
                <w:color w:val="000000"/>
                <w:szCs w:val="21"/>
              </w:rPr>
              <w:t>事件，被报刊负面报道的，</w:t>
            </w:r>
            <w:r>
              <w:rPr>
                <w:rFonts w:hint="eastAsia" w:eastAsia="方正仿宋_GBK"/>
                <w:szCs w:val="21"/>
              </w:rPr>
              <w:t>国家级媒体曝光扣2分，市级媒体曝光扣1分，</w:t>
            </w:r>
            <w:r>
              <w:rPr>
                <w:rFonts w:hint="eastAsia" w:eastAsia="方正仿宋_GBK"/>
                <w:color w:val="000000"/>
                <w:szCs w:val="21"/>
              </w:rPr>
              <w:t>同一事件被不同媒体多次报道的，只取最高扣分，不重复计算。</w:t>
            </w:r>
          </w:p>
        </w:tc>
        <w:tc>
          <w:tcPr>
            <w:tcW w:w="1386"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市、区县道路运输机构收集记录。中央、市内主流媒体限人民日报、新华社、中央电视台以及重庆电视台、重庆日报、重庆商报、重庆晨报、上游新闻等主流媒体。</w:t>
            </w:r>
          </w:p>
        </w:tc>
        <w:tc>
          <w:tcPr>
            <w:tcW w:w="278"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56" w:type="pct"/>
            <w:tcBorders>
              <w:top w:val="single" w:color="auto" w:sz="4" w:space="0"/>
              <w:left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10</w:t>
            </w:r>
          </w:p>
        </w:tc>
        <w:tc>
          <w:tcPr>
            <w:tcW w:w="432" w:type="pct"/>
            <w:vMerge w:val="restart"/>
            <w:tcBorders>
              <w:top w:val="single" w:color="auto" w:sz="4" w:space="0"/>
              <w:left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社会责任</w:t>
            </w:r>
          </w:p>
          <w:p>
            <w:pPr>
              <w:spacing w:line="260" w:lineRule="exact"/>
              <w:jc w:val="center"/>
              <w:rPr>
                <w:rFonts w:eastAsia="方正仿宋_GBK"/>
                <w:color w:val="000000"/>
                <w:szCs w:val="21"/>
              </w:rPr>
            </w:pPr>
            <w:r>
              <w:rPr>
                <w:rFonts w:eastAsia="方正仿宋_GBK"/>
                <w:color w:val="000000"/>
                <w:szCs w:val="21"/>
              </w:rPr>
              <w:t>（20分）</w:t>
            </w:r>
          </w:p>
        </w:tc>
        <w:tc>
          <w:tcPr>
            <w:tcW w:w="463"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方正仿宋_GBK"/>
                <w:bCs/>
                <w:iCs/>
                <w:color w:val="000000"/>
                <w:kern w:val="0"/>
                <w:szCs w:val="21"/>
              </w:rPr>
            </w:pPr>
            <w:r>
              <w:rPr>
                <w:rFonts w:eastAsia="方正仿宋_GBK"/>
                <w:bCs/>
                <w:iCs/>
                <w:color w:val="000000"/>
                <w:kern w:val="0"/>
                <w:szCs w:val="21"/>
              </w:rPr>
              <w:t>应急运输</w:t>
            </w:r>
          </w:p>
        </w:tc>
        <w:tc>
          <w:tcPr>
            <w:tcW w:w="218"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bCs/>
                <w:color w:val="000000"/>
                <w:szCs w:val="21"/>
              </w:rPr>
              <w:t>8</w:t>
            </w:r>
          </w:p>
        </w:tc>
        <w:tc>
          <w:tcPr>
            <w:tcW w:w="2067"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未保质保量完成指令性、突发性运输任务重要时段、重大公共活动的运力供给和集疏运任务的，每次扣2分。</w:t>
            </w:r>
          </w:p>
        </w:tc>
        <w:tc>
          <w:tcPr>
            <w:tcW w:w="1386"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市、区县交通主管部门运输调度记录。</w:t>
            </w:r>
          </w:p>
        </w:tc>
        <w:tc>
          <w:tcPr>
            <w:tcW w:w="278"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156" w:type="pct"/>
            <w:tcBorders>
              <w:left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11</w:t>
            </w:r>
          </w:p>
        </w:tc>
        <w:tc>
          <w:tcPr>
            <w:tcW w:w="432" w:type="pct"/>
            <w:vMerge w:val="continue"/>
            <w:tcBorders>
              <w:left w:val="single" w:color="auto" w:sz="4" w:space="0"/>
              <w:right w:val="single" w:color="auto" w:sz="4" w:space="0"/>
            </w:tcBorders>
            <w:vAlign w:val="center"/>
          </w:tcPr>
          <w:p>
            <w:pPr>
              <w:spacing w:line="260" w:lineRule="exact"/>
              <w:jc w:val="center"/>
              <w:rPr>
                <w:rFonts w:eastAsia="方正仿宋_GBK"/>
                <w:color w:val="000000"/>
                <w:szCs w:val="21"/>
              </w:rPr>
            </w:pPr>
          </w:p>
        </w:tc>
        <w:tc>
          <w:tcPr>
            <w:tcW w:w="463" w:type="pc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方正仿宋_GBK"/>
                <w:bCs/>
                <w:iCs/>
                <w:color w:val="000000"/>
                <w:kern w:val="0"/>
                <w:szCs w:val="21"/>
              </w:rPr>
            </w:pPr>
            <w:r>
              <w:rPr>
                <w:rFonts w:eastAsia="方正仿宋_GBK"/>
                <w:bCs/>
                <w:iCs/>
                <w:color w:val="000000"/>
                <w:kern w:val="0"/>
                <w:szCs w:val="21"/>
              </w:rPr>
              <w:t>信访稳定</w:t>
            </w:r>
          </w:p>
        </w:tc>
        <w:tc>
          <w:tcPr>
            <w:tcW w:w="218"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bCs/>
                <w:color w:val="000000"/>
                <w:szCs w:val="21"/>
              </w:rPr>
              <w:t>6</w:t>
            </w:r>
          </w:p>
        </w:tc>
        <w:tc>
          <w:tcPr>
            <w:tcW w:w="2067"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组织或</w:t>
            </w:r>
            <w:r>
              <w:rPr>
                <w:rFonts w:hint="eastAsia" w:eastAsia="方正仿宋_GBK"/>
                <w:color w:val="000000"/>
                <w:szCs w:val="21"/>
              </w:rPr>
              <w:t>者</w:t>
            </w:r>
            <w:r>
              <w:rPr>
                <w:rFonts w:eastAsia="方正仿宋_GBK"/>
                <w:color w:val="000000"/>
                <w:szCs w:val="21"/>
              </w:rPr>
              <w:t>引发5-9人集访的，每次扣1分；组织或</w:t>
            </w:r>
            <w:r>
              <w:rPr>
                <w:rFonts w:hint="eastAsia" w:eastAsia="方正仿宋_GBK"/>
                <w:color w:val="000000"/>
                <w:szCs w:val="21"/>
              </w:rPr>
              <w:t>者</w:t>
            </w:r>
            <w:r>
              <w:rPr>
                <w:rFonts w:eastAsia="方正仿宋_GBK"/>
                <w:color w:val="000000"/>
                <w:szCs w:val="21"/>
              </w:rPr>
              <w:t>引发10人（含）以上集访的，每次扣2分；以拦车、堵路、损坏公共设施等非正当方式破坏客运秩序的，每次扣3分。</w:t>
            </w:r>
          </w:p>
        </w:tc>
        <w:tc>
          <w:tcPr>
            <w:tcW w:w="1386"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市、区县交通主管部门记录、相关职能部门通报。</w:t>
            </w:r>
          </w:p>
        </w:tc>
        <w:tc>
          <w:tcPr>
            <w:tcW w:w="278"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56" w:type="pct"/>
            <w:tcBorders>
              <w:left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12</w:t>
            </w:r>
          </w:p>
        </w:tc>
        <w:tc>
          <w:tcPr>
            <w:tcW w:w="432" w:type="pct"/>
            <w:vMerge w:val="continue"/>
            <w:tcBorders>
              <w:left w:val="single" w:color="auto" w:sz="4" w:space="0"/>
              <w:right w:val="single" w:color="auto" w:sz="4" w:space="0"/>
            </w:tcBorders>
            <w:vAlign w:val="center"/>
          </w:tcPr>
          <w:p>
            <w:pPr>
              <w:spacing w:line="260" w:lineRule="exact"/>
              <w:jc w:val="center"/>
              <w:rPr>
                <w:rFonts w:eastAsia="方正仿宋_GBK"/>
                <w:color w:val="000000"/>
                <w:szCs w:val="21"/>
              </w:rPr>
            </w:pPr>
          </w:p>
        </w:tc>
        <w:tc>
          <w:tcPr>
            <w:tcW w:w="463" w:type="pct"/>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bCs/>
                <w:color w:val="000000"/>
                <w:szCs w:val="21"/>
              </w:rPr>
            </w:pPr>
            <w:r>
              <w:rPr>
                <w:rFonts w:eastAsia="方正仿宋_GBK"/>
                <w:bCs/>
                <w:color w:val="000000"/>
                <w:szCs w:val="21"/>
              </w:rPr>
              <w:t>新能源应用</w:t>
            </w:r>
          </w:p>
        </w:tc>
        <w:tc>
          <w:tcPr>
            <w:tcW w:w="218"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bCs/>
                <w:color w:val="000000"/>
                <w:szCs w:val="21"/>
              </w:rPr>
              <w:t>6</w:t>
            </w:r>
          </w:p>
        </w:tc>
        <w:tc>
          <w:tcPr>
            <w:tcW w:w="2067"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年度新增（更新）公交车新能源车占比（新能源公交车应用率）未达80%的，每低1个百分点扣0.5分。</w:t>
            </w:r>
          </w:p>
        </w:tc>
        <w:tc>
          <w:tcPr>
            <w:tcW w:w="1386"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企业报表或共享数据。新能源公交车应用率=年度新增（更新）新能源公交车辆数/年度新增（更新）公交车总数*100%。</w:t>
            </w:r>
          </w:p>
        </w:tc>
        <w:tc>
          <w:tcPr>
            <w:tcW w:w="278"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156" w:type="pct"/>
            <w:tcBorders>
              <w:left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13</w:t>
            </w:r>
          </w:p>
        </w:tc>
        <w:tc>
          <w:tcPr>
            <w:tcW w:w="432" w:type="pct"/>
            <w:vMerge w:val="restart"/>
            <w:tcBorders>
              <w:left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加分项目</w:t>
            </w:r>
          </w:p>
          <w:p>
            <w:pPr>
              <w:spacing w:line="260" w:lineRule="exact"/>
              <w:jc w:val="center"/>
              <w:rPr>
                <w:rFonts w:eastAsia="方正仿宋_GBK"/>
                <w:color w:val="000000"/>
                <w:szCs w:val="21"/>
              </w:rPr>
            </w:pPr>
          </w:p>
        </w:tc>
        <w:tc>
          <w:tcPr>
            <w:tcW w:w="463" w:type="pct"/>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表彰奖励</w:t>
            </w:r>
          </w:p>
        </w:tc>
        <w:tc>
          <w:tcPr>
            <w:tcW w:w="218" w:type="pct"/>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p>
        </w:tc>
        <w:tc>
          <w:tcPr>
            <w:tcW w:w="2067"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企业及从业人员安全生产、文明服务等方面成绩突出，受到交通运输部或者市政府以上表彰的，每次加1分；受到市交通主管部门（含道路运输机构）或者区县政府表彰的，每次加0.5分。累计加分不超过3分。</w:t>
            </w:r>
          </w:p>
        </w:tc>
        <w:tc>
          <w:tcPr>
            <w:tcW w:w="1386"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企业提供的获奖证明。</w:t>
            </w:r>
          </w:p>
        </w:tc>
        <w:tc>
          <w:tcPr>
            <w:tcW w:w="278"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156" w:type="pct"/>
            <w:tcBorders>
              <w:left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14</w:t>
            </w:r>
          </w:p>
        </w:tc>
        <w:tc>
          <w:tcPr>
            <w:tcW w:w="432" w:type="pct"/>
            <w:vMerge w:val="continue"/>
            <w:tcBorders>
              <w:left w:val="single" w:color="auto" w:sz="4" w:space="0"/>
              <w:right w:val="single" w:color="auto" w:sz="4" w:space="0"/>
            </w:tcBorders>
            <w:vAlign w:val="center"/>
          </w:tcPr>
          <w:p>
            <w:pPr>
              <w:spacing w:line="260" w:lineRule="exact"/>
              <w:jc w:val="center"/>
              <w:rPr>
                <w:rFonts w:eastAsia="方正仿宋_GBK"/>
                <w:color w:val="000000"/>
                <w:szCs w:val="21"/>
              </w:rPr>
            </w:pPr>
          </w:p>
        </w:tc>
        <w:tc>
          <w:tcPr>
            <w:tcW w:w="463" w:type="pct"/>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正面宣传</w:t>
            </w:r>
          </w:p>
        </w:tc>
        <w:tc>
          <w:tcPr>
            <w:tcW w:w="218" w:type="pct"/>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p>
        </w:tc>
        <w:tc>
          <w:tcPr>
            <w:tcW w:w="2067"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运营服务中涌现的好人好事被各级主流新闻媒体报道的，国家级每件次加1分，市级每件次加0.5分。同一事迹多层次报道的，按最高级媒体报道的标准加分，累计加分不超过2分。</w:t>
            </w:r>
          </w:p>
        </w:tc>
        <w:tc>
          <w:tcPr>
            <w:tcW w:w="1386"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企业提供的证明材料。</w:t>
            </w:r>
          </w:p>
        </w:tc>
        <w:tc>
          <w:tcPr>
            <w:tcW w:w="278"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56" w:type="pct"/>
            <w:tcBorders>
              <w:left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合计</w:t>
            </w:r>
          </w:p>
        </w:tc>
        <w:tc>
          <w:tcPr>
            <w:tcW w:w="432" w:type="pct"/>
            <w:tcBorders>
              <w:left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szCs w:val="21"/>
              </w:rPr>
              <w:t>100分</w:t>
            </w:r>
          </w:p>
        </w:tc>
        <w:tc>
          <w:tcPr>
            <w:tcW w:w="463" w:type="pct"/>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p>
        </w:tc>
        <w:tc>
          <w:tcPr>
            <w:tcW w:w="218" w:type="pct"/>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r>
              <w:rPr>
                <w:rFonts w:eastAsia="方正仿宋_GBK"/>
                <w:color w:val="000000"/>
                <w:szCs w:val="21"/>
              </w:rPr>
              <w:t>100分</w:t>
            </w:r>
          </w:p>
        </w:tc>
        <w:tc>
          <w:tcPr>
            <w:tcW w:w="2067"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p>
        </w:tc>
        <w:tc>
          <w:tcPr>
            <w:tcW w:w="1386"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eastAsia="方正仿宋_GBK"/>
                <w:color w:val="000000"/>
                <w:szCs w:val="21"/>
              </w:rPr>
            </w:pPr>
          </w:p>
        </w:tc>
        <w:tc>
          <w:tcPr>
            <w:tcW w:w="278"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88" w:type="pct"/>
            <w:gridSpan w:val="2"/>
            <w:vMerge w:val="restart"/>
            <w:tcBorders>
              <w:left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楷体_GBK"/>
                <w:b/>
                <w:bCs/>
                <w:color w:val="000000"/>
                <w:sz w:val="22"/>
                <w:szCs w:val="22"/>
              </w:rPr>
              <w:t>评价结论</w:t>
            </w:r>
          </w:p>
        </w:tc>
        <w:tc>
          <w:tcPr>
            <w:tcW w:w="681" w:type="pct"/>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3731" w:type="pct"/>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kern w:val="0"/>
                <w:sz w:val="22"/>
                <w:szCs w:val="22"/>
                <w:lang w:bidi="ar"/>
              </w:rPr>
              <w:t>AA□                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88" w:type="pct"/>
            <w:gridSpan w:val="2"/>
            <w:vMerge w:val="continue"/>
            <w:tcBorders>
              <w:left w:val="single" w:color="auto" w:sz="4" w:space="0"/>
              <w:right w:val="single" w:color="auto" w:sz="4" w:space="0"/>
            </w:tcBorders>
            <w:vAlign w:val="center"/>
          </w:tcPr>
          <w:p>
            <w:pPr>
              <w:spacing w:line="260" w:lineRule="exact"/>
              <w:jc w:val="center"/>
              <w:rPr>
                <w:rFonts w:eastAsia="方正仿宋_GBK"/>
                <w:color w:val="000000"/>
                <w:szCs w:val="21"/>
              </w:rPr>
            </w:pPr>
          </w:p>
        </w:tc>
        <w:tc>
          <w:tcPr>
            <w:tcW w:w="681" w:type="pct"/>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评价机构</w:t>
            </w:r>
          </w:p>
        </w:tc>
        <w:tc>
          <w:tcPr>
            <w:tcW w:w="3731" w:type="pct"/>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588" w:type="pct"/>
            <w:gridSpan w:val="2"/>
            <w:vMerge w:val="continue"/>
            <w:tcBorders>
              <w:left w:val="single" w:color="auto" w:sz="4" w:space="0"/>
              <w:right w:val="single" w:color="auto" w:sz="4" w:space="0"/>
            </w:tcBorders>
            <w:vAlign w:val="center"/>
          </w:tcPr>
          <w:p>
            <w:pPr>
              <w:spacing w:line="260" w:lineRule="exact"/>
              <w:jc w:val="center"/>
              <w:rPr>
                <w:rFonts w:eastAsia="方正仿宋_GBK"/>
                <w:color w:val="000000"/>
                <w:szCs w:val="21"/>
              </w:rPr>
            </w:pPr>
          </w:p>
        </w:tc>
        <w:tc>
          <w:tcPr>
            <w:tcW w:w="681" w:type="pct"/>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经办人</w:t>
            </w:r>
          </w:p>
        </w:tc>
        <w:tc>
          <w:tcPr>
            <w:tcW w:w="1706"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p>
        </w:tc>
        <w:tc>
          <w:tcPr>
            <w:tcW w:w="598"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r>
              <w:rPr>
                <w:rFonts w:eastAsia="方正仿宋_GBK"/>
                <w:color w:val="000000"/>
                <w:kern w:val="0"/>
                <w:sz w:val="22"/>
                <w:szCs w:val="22"/>
                <w:lang w:bidi="ar"/>
              </w:rPr>
              <w:t>评价日期</w:t>
            </w:r>
          </w:p>
        </w:tc>
        <w:tc>
          <w:tcPr>
            <w:tcW w:w="1427" w:type="pct"/>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_GBK"/>
                <w:color w:val="000000"/>
                <w:szCs w:val="21"/>
              </w:rPr>
            </w:pPr>
            <w:r>
              <w:rPr>
                <w:rFonts w:eastAsia="仿宋_GB2312"/>
                <w:color w:val="000000"/>
                <w:sz w:val="20"/>
              </w:rPr>
              <w:t xml:space="preserve">     年    月    日</w:t>
            </w:r>
          </w:p>
        </w:tc>
      </w:tr>
    </w:tbl>
    <w:p>
      <w:pPr>
        <w:spacing w:line="320" w:lineRule="exact"/>
        <w:ind w:firstLine="420" w:firstLineChars="200"/>
        <w:rPr>
          <w:rFonts w:eastAsia="方正仿宋_GBK"/>
          <w:color w:val="000000"/>
          <w:sz w:val="32"/>
          <w:szCs w:val="21"/>
        </w:rPr>
      </w:pPr>
      <w:r>
        <w:rPr>
          <w:rFonts w:eastAsia="方正仿宋_GBK"/>
          <w:color w:val="000000"/>
          <w:szCs w:val="21"/>
        </w:rPr>
        <w:t>注：信用记录和得分由企业注册地所在区道路运输机构录入系统，其他相关区道路运输机构和市道路运输机构应将掌握的企业信用记录抄送企业注册地所在区县道路运输机构。</w:t>
      </w:r>
    </w:p>
    <w:p>
      <w:pPr>
        <w:jc w:val="left"/>
        <w:rPr>
          <w:rFonts w:hint="eastAsia" w:ascii="方正黑体_GBK" w:hAnsi="方正黑体_GBK" w:eastAsia="方正黑体_GBK" w:cs="方正黑体_GBK"/>
          <w:color w:val="000000"/>
          <w:sz w:val="32"/>
          <w:szCs w:val="32"/>
        </w:rPr>
      </w:pPr>
    </w:p>
    <w:p>
      <w:pPr>
        <w:jc w:val="left"/>
        <w:rPr>
          <w:rFonts w:ascii="方正黑体_GBK" w:hAnsi="方正黑体_GBK" w:eastAsia="方正黑体_GBK" w:cs="方正黑体_GBK"/>
          <w:color w:val="000000"/>
          <w:sz w:val="32"/>
          <w:szCs w:val="32"/>
        </w:rPr>
      </w:pPr>
    </w:p>
    <w:p>
      <w:pPr>
        <w:jc w:val="left"/>
        <w:rPr>
          <w:rFonts w:ascii="方正黑体_GBK" w:hAnsi="方正黑体_GBK" w:eastAsia="方正黑体_GBK" w:cs="方正黑体_GBK"/>
          <w:color w:val="000000"/>
          <w:sz w:val="32"/>
          <w:szCs w:val="32"/>
        </w:rPr>
      </w:pPr>
    </w:p>
    <w:p>
      <w:pPr>
        <w:jc w:val="left"/>
        <w:rPr>
          <w:rFonts w:ascii="方正黑体_GBK" w:hAnsi="方正黑体_GBK" w:eastAsia="方正黑体_GBK" w:cs="方正黑体_GBK"/>
          <w:color w:val="000000"/>
          <w:sz w:val="32"/>
          <w:szCs w:val="32"/>
        </w:rPr>
      </w:pPr>
    </w:p>
    <w:p>
      <w:pPr>
        <w:jc w:val="left"/>
        <w:rPr>
          <w:rFonts w:ascii="方正黑体_GBK" w:hAnsi="方正黑体_GBK" w:eastAsia="方正黑体_GBK" w:cs="方正黑体_GBK"/>
          <w:color w:val="000000"/>
          <w:sz w:val="32"/>
          <w:szCs w:val="32"/>
        </w:rPr>
      </w:pPr>
    </w:p>
    <w:p>
      <w:pPr>
        <w:jc w:val="left"/>
        <w:rPr>
          <w:rFonts w:ascii="方正黑体_GBK" w:hAnsi="方正黑体_GBK" w:eastAsia="方正黑体_GBK" w:cs="方正黑体_GBK"/>
          <w:color w:val="000000"/>
          <w:sz w:val="32"/>
          <w:szCs w:val="32"/>
        </w:rPr>
      </w:pPr>
    </w:p>
    <w:p>
      <w:pPr>
        <w:jc w:val="left"/>
        <w:rPr>
          <w:rFonts w:ascii="方正黑体_GBK" w:hAnsi="方正黑体_GBK" w:eastAsia="方正黑体_GBK" w:cs="方正黑体_GBK"/>
          <w:color w:val="000000"/>
          <w:sz w:val="32"/>
          <w:szCs w:val="32"/>
        </w:rPr>
      </w:pPr>
    </w:p>
    <w:p>
      <w:pPr>
        <w:jc w:val="left"/>
        <w:rPr>
          <w:rFonts w:ascii="方正黑体_GBK" w:hAnsi="方正黑体_GBK" w:eastAsia="方正黑体_GBK" w:cs="方正黑体_GBK"/>
          <w:color w:val="000000"/>
          <w:sz w:val="32"/>
          <w:szCs w:val="32"/>
        </w:rPr>
      </w:pPr>
    </w:p>
    <w:p>
      <w:pPr>
        <w:jc w:val="left"/>
        <w:rPr>
          <w:rFonts w:ascii="方正黑体_GBK" w:hAnsi="方正黑体_GBK" w:eastAsia="方正黑体_GBK" w:cs="方正黑体_GBK"/>
          <w:color w:val="000000"/>
          <w:sz w:val="32"/>
          <w:szCs w:val="32"/>
        </w:rPr>
      </w:pPr>
    </w:p>
    <w:p>
      <w:pPr>
        <w:spacing w:line="500" w:lineRule="exact"/>
        <w:jc w:val="lef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附件1-5</w:t>
      </w:r>
    </w:p>
    <w:p>
      <w:pPr>
        <w:pStyle w:val="13"/>
        <w:spacing w:after="0" w:line="500" w:lineRule="exact"/>
        <w:rPr>
          <w:rFonts w:hint="eastAsia"/>
        </w:rPr>
      </w:pPr>
    </w:p>
    <w:p>
      <w:pPr>
        <w:spacing w:line="500" w:lineRule="exact"/>
        <w:jc w:val="center"/>
        <w:rPr>
          <w:rFonts w:eastAsia="方正小标宋_GBK"/>
          <w:bCs/>
          <w:color w:val="000000"/>
          <w:kern w:val="0"/>
          <w:sz w:val="44"/>
          <w:szCs w:val="44"/>
          <w:lang w:bidi="ar"/>
        </w:rPr>
      </w:pPr>
      <w:r>
        <w:rPr>
          <w:rFonts w:eastAsia="方正小标宋_GBK"/>
          <w:bCs/>
          <w:color w:val="000000"/>
          <w:kern w:val="0"/>
          <w:sz w:val="44"/>
          <w:szCs w:val="44"/>
          <w:lang w:bidi="ar"/>
        </w:rPr>
        <w:t>重庆市巡游出租汽车经营者信用评价标准</w:t>
      </w:r>
    </w:p>
    <w:p>
      <w:pPr>
        <w:spacing w:line="600" w:lineRule="exact"/>
        <w:jc w:val="left"/>
        <w:rPr>
          <w:bCs/>
          <w:color w:val="000000"/>
          <w:kern w:val="0"/>
          <w:sz w:val="32"/>
          <w:szCs w:val="32"/>
          <w:lang w:bidi="ar"/>
        </w:rPr>
      </w:pPr>
      <w:r>
        <w:rPr>
          <w:rFonts w:eastAsia="方正仿宋_GBK"/>
          <w:bCs/>
          <w:color w:val="000000"/>
          <w:kern w:val="0"/>
          <w:sz w:val="28"/>
          <w:szCs w:val="28"/>
          <w:lang w:bidi="ar"/>
        </w:rPr>
        <w:t>被评价企业：                                                            评价年度：</w:t>
      </w:r>
    </w:p>
    <w:tbl>
      <w:tblPr>
        <w:tblStyle w:val="14"/>
        <w:tblW w:w="13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38"/>
        <w:gridCol w:w="1365"/>
        <w:gridCol w:w="735"/>
        <w:gridCol w:w="5148"/>
        <w:gridCol w:w="1547"/>
        <w:gridCol w:w="338"/>
        <w:gridCol w:w="192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555" w:type="dxa"/>
            <w:vAlign w:val="center"/>
          </w:tcPr>
          <w:p>
            <w:pPr>
              <w:widowControl/>
              <w:spacing w:line="280" w:lineRule="exact"/>
              <w:jc w:val="center"/>
              <w:textAlignment w:val="center"/>
              <w:rPr>
                <w:rFonts w:eastAsia="方正黑体_GBK"/>
                <w:bCs/>
                <w:color w:val="000000"/>
                <w:kern w:val="0"/>
                <w:sz w:val="24"/>
                <w:lang w:bidi="ar"/>
              </w:rPr>
            </w:pPr>
            <w:r>
              <w:rPr>
                <w:rFonts w:eastAsia="方正黑体_GBK"/>
                <w:bCs/>
                <w:color w:val="000000"/>
                <w:kern w:val="0"/>
                <w:sz w:val="24"/>
                <w:lang w:bidi="ar"/>
              </w:rPr>
              <w:t>序号</w:t>
            </w:r>
          </w:p>
        </w:tc>
        <w:tc>
          <w:tcPr>
            <w:tcW w:w="1238" w:type="dxa"/>
            <w:vAlign w:val="center"/>
          </w:tcPr>
          <w:p>
            <w:pPr>
              <w:widowControl/>
              <w:spacing w:line="280" w:lineRule="exact"/>
              <w:jc w:val="center"/>
              <w:textAlignment w:val="center"/>
              <w:rPr>
                <w:rFonts w:eastAsia="方正黑体_GBK"/>
                <w:bCs/>
                <w:color w:val="000000"/>
                <w:kern w:val="0"/>
                <w:sz w:val="24"/>
                <w:lang w:bidi="ar"/>
              </w:rPr>
            </w:pPr>
            <w:r>
              <w:rPr>
                <w:rFonts w:eastAsia="方正黑体_GBK"/>
                <w:bCs/>
                <w:color w:val="000000"/>
                <w:kern w:val="0"/>
                <w:sz w:val="24"/>
                <w:lang w:bidi="ar"/>
              </w:rPr>
              <w:t>一级指标及分值</w:t>
            </w:r>
          </w:p>
        </w:tc>
        <w:tc>
          <w:tcPr>
            <w:tcW w:w="1365" w:type="dxa"/>
            <w:noWrap/>
            <w:vAlign w:val="center"/>
          </w:tcPr>
          <w:p>
            <w:pPr>
              <w:widowControl/>
              <w:spacing w:line="280" w:lineRule="exact"/>
              <w:jc w:val="center"/>
              <w:textAlignment w:val="center"/>
              <w:rPr>
                <w:rFonts w:eastAsia="方正黑体_GBK"/>
                <w:bCs/>
                <w:color w:val="000000"/>
                <w:kern w:val="0"/>
                <w:sz w:val="24"/>
                <w:lang w:bidi="ar"/>
              </w:rPr>
            </w:pPr>
            <w:r>
              <w:rPr>
                <w:rFonts w:eastAsia="方正黑体_GBK"/>
                <w:bCs/>
                <w:color w:val="000000"/>
                <w:kern w:val="0"/>
                <w:sz w:val="24"/>
                <w:lang w:bidi="ar"/>
              </w:rPr>
              <w:t>二级指标</w:t>
            </w:r>
          </w:p>
        </w:tc>
        <w:tc>
          <w:tcPr>
            <w:tcW w:w="735" w:type="dxa"/>
            <w:noWrap/>
            <w:vAlign w:val="center"/>
          </w:tcPr>
          <w:p>
            <w:pPr>
              <w:widowControl/>
              <w:spacing w:line="280" w:lineRule="exact"/>
              <w:jc w:val="center"/>
              <w:textAlignment w:val="center"/>
              <w:rPr>
                <w:rFonts w:eastAsia="方正黑体_GBK"/>
                <w:bCs/>
                <w:color w:val="000000"/>
                <w:kern w:val="0"/>
                <w:sz w:val="24"/>
                <w:lang w:bidi="ar"/>
              </w:rPr>
            </w:pPr>
            <w:r>
              <w:rPr>
                <w:rFonts w:eastAsia="方正黑体_GBK"/>
                <w:bCs/>
                <w:color w:val="000000"/>
                <w:kern w:val="0"/>
                <w:sz w:val="24"/>
                <w:lang w:bidi="ar"/>
              </w:rPr>
              <w:t>分值</w:t>
            </w:r>
          </w:p>
        </w:tc>
        <w:tc>
          <w:tcPr>
            <w:tcW w:w="7033" w:type="dxa"/>
            <w:gridSpan w:val="3"/>
            <w:vAlign w:val="center"/>
          </w:tcPr>
          <w:p>
            <w:pPr>
              <w:widowControl/>
              <w:spacing w:line="280" w:lineRule="exact"/>
              <w:jc w:val="center"/>
              <w:textAlignment w:val="center"/>
              <w:rPr>
                <w:rFonts w:eastAsia="方正黑体_GBK"/>
                <w:bCs/>
                <w:color w:val="000000"/>
                <w:kern w:val="0"/>
                <w:sz w:val="24"/>
                <w:lang w:bidi="ar"/>
              </w:rPr>
            </w:pPr>
            <w:r>
              <w:rPr>
                <w:rFonts w:eastAsia="方正黑体_GBK"/>
                <w:bCs/>
                <w:color w:val="000000"/>
                <w:kern w:val="0"/>
                <w:sz w:val="24"/>
                <w:lang w:bidi="ar"/>
              </w:rPr>
              <w:t>评分标准</w:t>
            </w:r>
          </w:p>
        </w:tc>
        <w:tc>
          <w:tcPr>
            <w:tcW w:w="1920" w:type="dxa"/>
            <w:noWrap/>
            <w:vAlign w:val="center"/>
          </w:tcPr>
          <w:p>
            <w:pPr>
              <w:widowControl/>
              <w:spacing w:line="280" w:lineRule="exact"/>
              <w:jc w:val="center"/>
              <w:textAlignment w:val="center"/>
              <w:rPr>
                <w:rFonts w:eastAsia="方正黑体_GBK"/>
                <w:bCs/>
                <w:color w:val="000000"/>
                <w:kern w:val="0"/>
                <w:sz w:val="24"/>
                <w:lang w:bidi="ar"/>
              </w:rPr>
            </w:pPr>
            <w:r>
              <w:rPr>
                <w:rFonts w:eastAsia="方正黑体_GBK"/>
                <w:bCs/>
                <w:color w:val="000000"/>
                <w:kern w:val="0"/>
                <w:sz w:val="24"/>
                <w:lang w:bidi="ar"/>
              </w:rPr>
              <w:t>数据来源</w:t>
            </w:r>
          </w:p>
        </w:tc>
        <w:tc>
          <w:tcPr>
            <w:tcW w:w="892" w:type="dxa"/>
            <w:noWrap/>
            <w:vAlign w:val="center"/>
          </w:tcPr>
          <w:p>
            <w:pPr>
              <w:widowControl/>
              <w:spacing w:line="280" w:lineRule="exact"/>
              <w:jc w:val="center"/>
              <w:textAlignment w:val="center"/>
              <w:rPr>
                <w:rFonts w:eastAsia="方正黑体_GBK"/>
                <w:bCs/>
                <w:color w:val="000000"/>
                <w:kern w:val="0"/>
                <w:sz w:val="24"/>
                <w:lang w:bidi="ar"/>
              </w:rPr>
            </w:pPr>
            <w:r>
              <w:rPr>
                <w:rFonts w:eastAsia="方正黑体_GBK"/>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55" w:type="dxa"/>
            <w:noWrap/>
            <w:vAlign w:val="center"/>
          </w:tcPr>
          <w:p>
            <w:pPr>
              <w:widowControl/>
              <w:spacing w:line="280" w:lineRule="exact"/>
              <w:jc w:val="center"/>
              <w:textAlignment w:val="center"/>
              <w:rPr>
                <w:color w:val="000000"/>
                <w:sz w:val="22"/>
                <w:szCs w:val="22"/>
              </w:rPr>
            </w:pPr>
            <w:r>
              <w:rPr>
                <w:color w:val="000000"/>
                <w:kern w:val="0"/>
                <w:sz w:val="22"/>
                <w:szCs w:val="22"/>
                <w:lang w:bidi="ar"/>
              </w:rPr>
              <w:t>1</w:t>
            </w:r>
          </w:p>
        </w:tc>
        <w:tc>
          <w:tcPr>
            <w:tcW w:w="1238" w:type="dxa"/>
            <w:vMerge w:val="restart"/>
            <w:vAlign w:val="center"/>
          </w:tcPr>
          <w:p>
            <w:pPr>
              <w:widowControl/>
              <w:spacing w:line="28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经营管理</w:t>
            </w:r>
          </w:p>
          <w:p>
            <w:pPr>
              <w:widowControl/>
              <w:spacing w:line="280" w:lineRule="exact"/>
              <w:jc w:val="center"/>
              <w:textAlignment w:val="center"/>
              <w:rPr>
                <w:rFonts w:eastAsia="方正楷体_GBK"/>
                <w:bCs/>
                <w:color w:val="000000"/>
                <w:sz w:val="22"/>
                <w:szCs w:val="22"/>
              </w:rPr>
            </w:pPr>
            <w:r>
              <w:rPr>
                <w:rFonts w:eastAsia="方正楷体_GBK"/>
                <w:bCs/>
                <w:color w:val="000000"/>
                <w:kern w:val="0"/>
                <w:sz w:val="22"/>
                <w:szCs w:val="22"/>
                <w:lang w:bidi="ar"/>
              </w:rPr>
              <w:t>（20分）</w:t>
            </w:r>
          </w:p>
        </w:tc>
        <w:tc>
          <w:tcPr>
            <w:tcW w:w="1365" w:type="dxa"/>
            <w:vAlign w:val="center"/>
          </w:tcPr>
          <w:p>
            <w:pPr>
              <w:widowControl/>
              <w:spacing w:line="280" w:lineRule="exact"/>
              <w:jc w:val="center"/>
              <w:textAlignment w:val="center"/>
              <w:rPr>
                <w:rFonts w:eastAsia="方正仿宋_GBK"/>
                <w:color w:val="000000"/>
                <w:sz w:val="22"/>
                <w:szCs w:val="22"/>
              </w:rPr>
            </w:pPr>
            <w:r>
              <w:rPr>
                <w:rFonts w:eastAsia="方正仿宋_GBK"/>
                <w:color w:val="000000"/>
                <w:kern w:val="0"/>
                <w:sz w:val="22"/>
                <w:szCs w:val="22"/>
                <w:lang w:bidi="ar"/>
              </w:rPr>
              <w:t>落实行业管理要求</w:t>
            </w:r>
          </w:p>
        </w:tc>
        <w:tc>
          <w:tcPr>
            <w:tcW w:w="735" w:type="dxa"/>
            <w:vAlign w:val="center"/>
          </w:tcPr>
          <w:p>
            <w:pPr>
              <w:widowControl/>
              <w:spacing w:line="280" w:lineRule="exact"/>
              <w:jc w:val="center"/>
              <w:textAlignment w:val="center"/>
              <w:rPr>
                <w:color w:val="000000"/>
              </w:rPr>
            </w:pPr>
            <w:r>
              <w:rPr>
                <w:rFonts w:eastAsia="方正楷体_GBK"/>
                <w:color w:val="000000"/>
                <w:kern w:val="0"/>
                <w:sz w:val="24"/>
                <w:lang w:bidi="ar"/>
              </w:rPr>
              <w:t>10</w:t>
            </w:r>
          </w:p>
        </w:tc>
        <w:tc>
          <w:tcPr>
            <w:tcW w:w="7033" w:type="dxa"/>
            <w:gridSpan w:val="3"/>
            <w:noWrap/>
            <w:vAlign w:val="center"/>
          </w:tcPr>
          <w:p>
            <w:pPr>
              <w:widowControl/>
              <w:spacing w:line="280" w:lineRule="exact"/>
              <w:jc w:val="left"/>
              <w:textAlignment w:val="center"/>
              <w:rPr>
                <w:rFonts w:eastAsia="方正楷体_GBK"/>
                <w:bCs/>
                <w:color w:val="000000"/>
                <w:sz w:val="24"/>
              </w:rPr>
            </w:pPr>
            <w:r>
              <w:rPr>
                <w:rFonts w:eastAsia="方正仿宋_GBK"/>
                <w:color w:val="000000"/>
                <w:kern w:val="0"/>
                <w:sz w:val="22"/>
                <w:szCs w:val="22"/>
                <w:lang w:bidi="ar"/>
              </w:rPr>
              <w:t>不按照行业管理的要求或者行业自律安排，在落实经营管理、疫情防控等工作责任或者维护行业运营秩序方面存在问题被交通行业管理部门通报，属于企业综合性问题的，轻微事项的每次扣0.5分，情形严重的每次扣1分；属于企业所属单车（驾驶员）问题的，所通报的车辆占企业所属车辆比例中，轻微事项每满足1%扣0.1分，情形严重的每满足1%扣0.2分。被行政管理部门约谈的，每次加扣1分，约谈后仍不整改的，每次加扣2分。</w:t>
            </w:r>
          </w:p>
        </w:tc>
        <w:tc>
          <w:tcPr>
            <w:tcW w:w="1920" w:type="dxa"/>
            <w:vAlign w:val="center"/>
          </w:tcPr>
          <w:p>
            <w:pPr>
              <w:widowControl/>
              <w:spacing w:line="28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892" w:type="dxa"/>
          </w:tcPr>
          <w:p>
            <w:pPr>
              <w:pStyle w:val="5"/>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55" w:type="dxa"/>
            <w:noWrap/>
            <w:vAlign w:val="center"/>
          </w:tcPr>
          <w:p>
            <w:pPr>
              <w:widowControl/>
              <w:spacing w:line="280" w:lineRule="exact"/>
              <w:jc w:val="center"/>
              <w:textAlignment w:val="center"/>
              <w:rPr>
                <w:color w:val="000000"/>
                <w:kern w:val="0"/>
                <w:sz w:val="22"/>
                <w:szCs w:val="22"/>
                <w:lang w:bidi="ar"/>
              </w:rPr>
            </w:pPr>
            <w:r>
              <w:rPr>
                <w:color w:val="000000"/>
                <w:kern w:val="0"/>
                <w:sz w:val="22"/>
                <w:szCs w:val="22"/>
                <w:lang w:bidi="ar"/>
              </w:rPr>
              <w:t>2</w:t>
            </w:r>
          </w:p>
        </w:tc>
        <w:tc>
          <w:tcPr>
            <w:tcW w:w="1238" w:type="dxa"/>
            <w:vMerge w:val="continue"/>
            <w:vAlign w:val="center"/>
          </w:tcPr>
          <w:p>
            <w:pPr>
              <w:widowControl/>
              <w:spacing w:line="280" w:lineRule="exact"/>
              <w:jc w:val="center"/>
              <w:rPr>
                <w:rFonts w:eastAsia="方正楷体_GBK"/>
                <w:bCs/>
                <w:color w:val="000000"/>
                <w:sz w:val="22"/>
                <w:szCs w:val="22"/>
              </w:rPr>
            </w:pPr>
          </w:p>
        </w:tc>
        <w:tc>
          <w:tcPr>
            <w:tcW w:w="1365" w:type="dxa"/>
            <w:vAlign w:val="center"/>
          </w:tcPr>
          <w:p>
            <w:pPr>
              <w:widowControl/>
              <w:spacing w:line="280" w:lineRule="exact"/>
              <w:jc w:val="center"/>
              <w:textAlignment w:val="center"/>
              <w:rPr>
                <w:rFonts w:eastAsia="方正仿宋_GBK"/>
                <w:color w:val="000000"/>
                <w:sz w:val="22"/>
                <w:szCs w:val="22"/>
              </w:rPr>
            </w:pPr>
            <w:r>
              <w:rPr>
                <w:rFonts w:eastAsia="方正仿宋_GBK"/>
                <w:color w:val="000000"/>
                <w:kern w:val="0"/>
                <w:sz w:val="22"/>
                <w:szCs w:val="22"/>
                <w:lang w:bidi="ar"/>
              </w:rPr>
              <w:t>承诺履行情况</w:t>
            </w:r>
          </w:p>
        </w:tc>
        <w:tc>
          <w:tcPr>
            <w:tcW w:w="735" w:type="dxa"/>
            <w:vAlign w:val="center"/>
          </w:tcPr>
          <w:p>
            <w:pPr>
              <w:widowControl/>
              <w:spacing w:line="280" w:lineRule="exact"/>
              <w:jc w:val="center"/>
              <w:textAlignment w:val="center"/>
              <w:rPr>
                <w:rFonts w:eastAsia="方正楷体_GBK"/>
                <w:color w:val="000000"/>
                <w:kern w:val="0"/>
                <w:sz w:val="24"/>
                <w:lang w:bidi="ar"/>
              </w:rPr>
            </w:pPr>
            <w:r>
              <w:rPr>
                <w:rFonts w:eastAsia="方正楷体_GBK"/>
                <w:color w:val="000000"/>
                <w:kern w:val="0"/>
                <w:sz w:val="24"/>
                <w:lang w:bidi="ar"/>
              </w:rPr>
              <w:t>10</w:t>
            </w:r>
          </w:p>
        </w:tc>
        <w:tc>
          <w:tcPr>
            <w:tcW w:w="7033" w:type="dxa"/>
            <w:gridSpan w:val="3"/>
            <w:vAlign w:val="center"/>
          </w:tcPr>
          <w:p>
            <w:pPr>
              <w:widowControl/>
              <w:spacing w:line="280" w:lineRule="exact"/>
              <w:jc w:val="left"/>
              <w:textAlignment w:val="center"/>
              <w:rPr>
                <w:rFonts w:eastAsia="方正仿宋_GBK"/>
                <w:color w:val="000000"/>
                <w:sz w:val="22"/>
                <w:szCs w:val="22"/>
              </w:rPr>
            </w:pPr>
            <w:r>
              <w:rPr>
                <w:rFonts w:eastAsia="方正仿宋_GBK"/>
                <w:color w:val="000000"/>
                <w:kern w:val="0"/>
                <w:sz w:val="22"/>
                <w:szCs w:val="22"/>
                <w:lang w:bidi="ar"/>
              </w:rPr>
              <w:t>在行政管理事项中按要求作出了承诺但不履行被通报的，每次扣2分；被行政管理部门约谈的，每次加扣2分，经约谈、告诫提醒后仍不履行的，每次加扣3分。企业在经营过程中，因企业经营行为违反法律、法规等被除交通行业管理部门外的有关部门启动调查并被处以行政处罚的，每次扣2分。</w:t>
            </w:r>
          </w:p>
        </w:tc>
        <w:tc>
          <w:tcPr>
            <w:tcW w:w="1920" w:type="dxa"/>
            <w:vAlign w:val="center"/>
          </w:tcPr>
          <w:p>
            <w:pPr>
              <w:widowControl/>
              <w:spacing w:line="280" w:lineRule="exact"/>
              <w:jc w:val="left"/>
              <w:textAlignment w:val="center"/>
              <w:rPr>
                <w:rFonts w:eastAsia="方正仿宋_GBK"/>
                <w:color w:val="000000"/>
                <w:sz w:val="22"/>
                <w:szCs w:val="22"/>
              </w:rPr>
            </w:pPr>
            <w:r>
              <w:rPr>
                <w:rFonts w:eastAsia="方正仿宋_GBK"/>
                <w:color w:val="000000"/>
                <w:sz w:val="22"/>
                <w:szCs w:val="22"/>
              </w:rPr>
              <w:t>行业管理和交通、公安、应急等部门数据共享或者执法动态录入</w:t>
            </w:r>
          </w:p>
        </w:tc>
        <w:tc>
          <w:tcPr>
            <w:tcW w:w="892" w:type="dxa"/>
            <w:vAlign w:val="center"/>
          </w:tcPr>
          <w:p>
            <w:pPr>
              <w:widowControl/>
              <w:spacing w:line="28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55" w:type="dxa"/>
            <w:noWrap/>
            <w:vAlign w:val="center"/>
          </w:tcPr>
          <w:p>
            <w:pPr>
              <w:widowControl/>
              <w:spacing w:line="280" w:lineRule="exact"/>
              <w:jc w:val="center"/>
              <w:textAlignment w:val="center"/>
              <w:rPr>
                <w:color w:val="000000"/>
                <w:kern w:val="0"/>
                <w:sz w:val="22"/>
                <w:szCs w:val="22"/>
                <w:lang w:bidi="ar"/>
              </w:rPr>
            </w:pPr>
            <w:r>
              <w:rPr>
                <w:color w:val="000000"/>
                <w:kern w:val="0"/>
                <w:sz w:val="22"/>
                <w:szCs w:val="22"/>
                <w:lang w:bidi="ar"/>
              </w:rPr>
              <w:t>3</w:t>
            </w:r>
          </w:p>
        </w:tc>
        <w:tc>
          <w:tcPr>
            <w:tcW w:w="1238" w:type="dxa"/>
            <w:vMerge w:val="restart"/>
            <w:vAlign w:val="center"/>
          </w:tcPr>
          <w:p>
            <w:pPr>
              <w:widowControl/>
              <w:spacing w:line="280" w:lineRule="exact"/>
              <w:jc w:val="center"/>
              <w:textAlignment w:val="center"/>
              <w:rPr>
                <w:rFonts w:hint="eastAsia" w:eastAsia="方正楷体_GBK"/>
                <w:bCs/>
                <w:color w:val="000000"/>
                <w:kern w:val="0"/>
                <w:sz w:val="22"/>
                <w:szCs w:val="22"/>
                <w:lang w:bidi="ar"/>
              </w:rPr>
            </w:pPr>
          </w:p>
          <w:p>
            <w:pPr>
              <w:widowControl/>
              <w:spacing w:line="28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安全生产</w:t>
            </w:r>
          </w:p>
          <w:p>
            <w:pPr>
              <w:widowControl/>
              <w:spacing w:line="280" w:lineRule="exact"/>
              <w:jc w:val="center"/>
              <w:textAlignment w:val="center"/>
              <w:rPr>
                <w:rFonts w:hint="eastAsia" w:eastAsia="方正楷体_GBK"/>
                <w:bCs/>
                <w:color w:val="000000"/>
                <w:kern w:val="0"/>
                <w:sz w:val="22"/>
                <w:szCs w:val="22"/>
                <w:lang w:bidi="ar"/>
              </w:rPr>
            </w:pPr>
            <w:r>
              <w:rPr>
                <w:rFonts w:eastAsia="方正楷体_GBK"/>
                <w:bCs/>
                <w:color w:val="000000"/>
                <w:kern w:val="0"/>
                <w:sz w:val="22"/>
                <w:szCs w:val="22"/>
                <w:lang w:bidi="ar"/>
              </w:rPr>
              <w:t>（30分）</w:t>
            </w:r>
          </w:p>
          <w:p>
            <w:pPr>
              <w:pStyle w:val="13"/>
              <w:rPr>
                <w:rFonts w:hint="eastAsia"/>
                <w:lang w:bidi="ar"/>
              </w:rPr>
            </w:pPr>
          </w:p>
        </w:tc>
        <w:tc>
          <w:tcPr>
            <w:tcW w:w="1365" w:type="dxa"/>
            <w:vAlign w:val="center"/>
          </w:tcPr>
          <w:p>
            <w:pPr>
              <w:widowControl/>
              <w:spacing w:line="280" w:lineRule="exact"/>
              <w:jc w:val="center"/>
              <w:textAlignment w:val="center"/>
              <w:rPr>
                <w:rFonts w:eastAsia="方正仿宋_GBK"/>
                <w:color w:val="000000"/>
                <w:sz w:val="22"/>
                <w:szCs w:val="22"/>
              </w:rPr>
            </w:pPr>
            <w:r>
              <w:rPr>
                <w:rFonts w:eastAsia="方正仿宋_GBK"/>
                <w:color w:val="000000"/>
                <w:kern w:val="0"/>
                <w:sz w:val="22"/>
                <w:szCs w:val="22"/>
                <w:lang w:bidi="ar"/>
              </w:rPr>
              <w:t>责任事故亡人情况</w:t>
            </w:r>
          </w:p>
        </w:tc>
        <w:tc>
          <w:tcPr>
            <w:tcW w:w="735" w:type="dxa"/>
            <w:vAlign w:val="center"/>
          </w:tcPr>
          <w:p>
            <w:pPr>
              <w:widowControl/>
              <w:spacing w:line="280" w:lineRule="exact"/>
              <w:jc w:val="center"/>
              <w:textAlignment w:val="center"/>
              <w:rPr>
                <w:rFonts w:eastAsia="方正楷体_GBK"/>
                <w:color w:val="000000"/>
                <w:kern w:val="0"/>
                <w:sz w:val="24"/>
                <w:lang w:bidi="ar"/>
              </w:rPr>
            </w:pPr>
            <w:r>
              <w:rPr>
                <w:rFonts w:eastAsia="方正楷体_GBK"/>
                <w:color w:val="000000"/>
                <w:kern w:val="0"/>
                <w:sz w:val="24"/>
                <w:lang w:bidi="ar"/>
              </w:rPr>
              <w:t>15</w:t>
            </w:r>
          </w:p>
        </w:tc>
        <w:tc>
          <w:tcPr>
            <w:tcW w:w="7033" w:type="dxa"/>
            <w:gridSpan w:val="3"/>
            <w:vAlign w:val="center"/>
          </w:tcPr>
          <w:p>
            <w:pPr>
              <w:widowControl/>
              <w:spacing w:line="28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发生交通事故致人死亡，且负同责以上的，每增加0.001人/车扣3分。</w:t>
            </w:r>
          </w:p>
        </w:tc>
        <w:tc>
          <w:tcPr>
            <w:tcW w:w="1920" w:type="dxa"/>
            <w:vAlign w:val="center"/>
          </w:tcPr>
          <w:p>
            <w:pPr>
              <w:widowControl/>
              <w:spacing w:line="280" w:lineRule="exact"/>
              <w:jc w:val="left"/>
              <w:textAlignment w:val="center"/>
              <w:rPr>
                <w:rFonts w:eastAsia="方正仿宋_GBK"/>
                <w:color w:val="000000"/>
                <w:sz w:val="22"/>
                <w:szCs w:val="22"/>
              </w:rPr>
            </w:pPr>
            <w:r>
              <w:rPr>
                <w:rFonts w:eastAsia="方正仿宋_GBK"/>
                <w:color w:val="000000"/>
                <w:kern w:val="0"/>
                <w:sz w:val="22"/>
                <w:szCs w:val="22"/>
                <w:lang w:bidi="ar"/>
              </w:rPr>
              <w:t>公安部门数据共享</w:t>
            </w:r>
          </w:p>
        </w:tc>
        <w:tc>
          <w:tcPr>
            <w:tcW w:w="892" w:type="dxa"/>
          </w:tcPr>
          <w:p>
            <w:pPr>
              <w:pStyle w:val="13"/>
              <w:spacing w:after="0" w:line="280" w:lineRule="exact"/>
              <w:ind w:left="0" w:leftChars="0"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555" w:type="dxa"/>
            <w:noWrap/>
            <w:vAlign w:val="center"/>
          </w:tcPr>
          <w:p>
            <w:pPr>
              <w:widowControl/>
              <w:spacing w:line="280" w:lineRule="exact"/>
              <w:jc w:val="center"/>
              <w:textAlignment w:val="center"/>
              <w:rPr>
                <w:color w:val="000000"/>
                <w:kern w:val="0"/>
                <w:sz w:val="22"/>
                <w:szCs w:val="22"/>
                <w:lang w:bidi="ar"/>
              </w:rPr>
            </w:pPr>
            <w:r>
              <w:rPr>
                <w:color w:val="000000"/>
                <w:kern w:val="0"/>
                <w:sz w:val="22"/>
                <w:szCs w:val="22"/>
                <w:lang w:bidi="ar"/>
              </w:rPr>
              <w:t>4</w:t>
            </w:r>
          </w:p>
        </w:tc>
        <w:tc>
          <w:tcPr>
            <w:tcW w:w="1238" w:type="dxa"/>
            <w:vMerge w:val="continue"/>
            <w:vAlign w:val="center"/>
          </w:tcPr>
          <w:p>
            <w:pPr>
              <w:widowControl/>
              <w:spacing w:line="280" w:lineRule="exact"/>
              <w:jc w:val="center"/>
              <w:rPr>
                <w:rFonts w:eastAsia="方正楷体_GBK"/>
                <w:bCs/>
                <w:color w:val="000000"/>
                <w:sz w:val="22"/>
                <w:szCs w:val="22"/>
              </w:rPr>
            </w:pPr>
          </w:p>
        </w:tc>
        <w:tc>
          <w:tcPr>
            <w:tcW w:w="1365" w:type="dxa"/>
            <w:vAlign w:val="center"/>
          </w:tcPr>
          <w:p>
            <w:pPr>
              <w:widowControl/>
              <w:spacing w:line="280" w:lineRule="exact"/>
              <w:jc w:val="center"/>
              <w:textAlignment w:val="center"/>
              <w:rPr>
                <w:rFonts w:eastAsia="方正仿宋_GBK"/>
                <w:color w:val="000000"/>
                <w:sz w:val="22"/>
                <w:szCs w:val="22"/>
              </w:rPr>
            </w:pPr>
            <w:r>
              <w:rPr>
                <w:rFonts w:eastAsia="方正仿宋_GBK"/>
                <w:color w:val="000000"/>
                <w:kern w:val="0"/>
                <w:sz w:val="22"/>
                <w:szCs w:val="22"/>
                <w:lang w:bidi="ar"/>
              </w:rPr>
              <w:t>安全事故报告情况</w:t>
            </w:r>
          </w:p>
        </w:tc>
        <w:tc>
          <w:tcPr>
            <w:tcW w:w="735" w:type="dxa"/>
            <w:vAlign w:val="center"/>
          </w:tcPr>
          <w:p>
            <w:pPr>
              <w:widowControl/>
              <w:spacing w:line="280" w:lineRule="exact"/>
              <w:jc w:val="center"/>
              <w:textAlignment w:val="center"/>
              <w:rPr>
                <w:rFonts w:eastAsia="方正楷体_GBK"/>
                <w:color w:val="000000"/>
                <w:kern w:val="0"/>
                <w:sz w:val="24"/>
                <w:lang w:bidi="ar"/>
              </w:rPr>
            </w:pPr>
            <w:r>
              <w:rPr>
                <w:rFonts w:eastAsia="方正楷体_GBK"/>
                <w:color w:val="000000"/>
                <w:kern w:val="0"/>
                <w:sz w:val="24"/>
                <w:lang w:bidi="ar"/>
              </w:rPr>
              <w:t>5</w:t>
            </w:r>
          </w:p>
        </w:tc>
        <w:tc>
          <w:tcPr>
            <w:tcW w:w="7033" w:type="dxa"/>
            <w:gridSpan w:val="3"/>
            <w:vAlign w:val="center"/>
          </w:tcPr>
          <w:p>
            <w:pPr>
              <w:widowControl/>
              <w:spacing w:line="28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发生拖延报告亡人事故（1小时）的，每次扣0.5分；存在瞒报、谎报亡人事故的，每次扣1分。</w:t>
            </w:r>
          </w:p>
        </w:tc>
        <w:tc>
          <w:tcPr>
            <w:tcW w:w="1920" w:type="dxa"/>
            <w:vAlign w:val="center"/>
          </w:tcPr>
          <w:p>
            <w:pPr>
              <w:widowControl/>
              <w:spacing w:line="280" w:lineRule="exact"/>
              <w:jc w:val="left"/>
              <w:textAlignment w:val="center"/>
              <w:rPr>
                <w:rFonts w:eastAsia="方正仿宋_GBK"/>
                <w:color w:val="000000"/>
                <w:sz w:val="22"/>
                <w:szCs w:val="22"/>
              </w:rPr>
            </w:pPr>
            <w:r>
              <w:rPr>
                <w:rFonts w:eastAsia="方正仿宋_GBK"/>
                <w:color w:val="000000"/>
                <w:kern w:val="0"/>
                <w:sz w:val="22"/>
                <w:szCs w:val="22"/>
                <w:lang w:bidi="ar"/>
              </w:rPr>
              <w:t>交通和公安部门数据共享</w:t>
            </w:r>
          </w:p>
        </w:tc>
        <w:tc>
          <w:tcPr>
            <w:tcW w:w="892" w:type="dxa"/>
            <w:vAlign w:val="center"/>
          </w:tcPr>
          <w:p>
            <w:pPr>
              <w:widowControl/>
              <w:spacing w:line="28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555" w:type="dxa"/>
            <w:noWrap/>
            <w:vAlign w:val="center"/>
          </w:tcPr>
          <w:p>
            <w:pPr>
              <w:widowControl/>
              <w:spacing w:line="280" w:lineRule="exact"/>
              <w:jc w:val="center"/>
              <w:textAlignment w:val="center"/>
              <w:rPr>
                <w:color w:val="000000"/>
                <w:kern w:val="0"/>
                <w:sz w:val="22"/>
                <w:szCs w:val="22"/>
                <w:lang w:bidi="ar"/>
              </w:rPr>
            </w:pPr>
            <w:r>
              <w:rPr>
                <w:color w:val="000000"/>
                <w:kern w:val="0"/>
                <w:sz w:val="22"/>
                <w:szCs w:val="22"/>
                <w:lang w:bidi="ar"/>
              </w:rPr>
              <w:t>5</w:t>
            </w:r>
          </w:p>
        </w:tc>
        <w:tc>
          <w:tcPr>
            <w:tcW w:w="1238" w:type="dxa"/>
            <w:vMerge w:val="continue"/>
            <w:vAlign w:val="center"/>
          </w:tcPr>
          <w:p>
            <w:pPr>
              <w:widowControl/>
              <w:spacing w:line="280" w:lineRule="exact"/>
              <w:jc w:val="center"/>
              <w:rPr>
                <w:rFonts w:eastAsia="方正楷体_GBK"/>
                <w:bCs/>
                <w:color w:val="000000"/>
                <w:sz w:val="22"/>
                <w:szCs w:val="22"/>
              </w:rPr>
            </w:pPr>
          </w:p>
        </w:tc>
        <w:tc>
          <w:tcPr>
            <w:tcW w:w="1365" w:type="dxa"/>
            <w:vAlign w:val="center"/>
          </w:tcPr>
          <w:p>
            <w:pPr>
              <w:widowControl/>
              <w:spacing w:line="280" w:lineRule="exact"/>
              <w:jc w:val="center"/>
              <w:textAlignment w:val="center"/>
              <w:rPr>
                <w:rFonts w:eastAsia="方正仿宋_GBK"/>
                <w:color w:val="000000"/>
                <w:sz w:val="22"/>
                <w:szCs w:val="22"/>
              </w:rPr>
            </w:pPr>
            <w:r>
              <w:rPr>
                <w:rFonts w:eastAsia="方正仿宋_GBK"/>
                <w:color w:val="000000"/>
                <w:kern w:val="0"/>
                <w:sz w:val="22"/>
                <w:szCs w:val="22"/>
                <w:lang w:bidi="ar"/>
              </w:rPr>
              <w:t>安全生产隐患整顿</w:t>
            </w:r>
          </w:p>
        </w:tc>
        <w:tc>
          <w:tcPr>
            <w:tcW w:w="735" w:type="dxa"/>
            <w:vAlign w:val="center"/>
          </w:tcPr>
          <w:p>
            <w:pPr>
              <w:widowControl/>
              <w:spacing w:line="280" w:lineRule="exact"/>
              <w:jc w:val="center"/>
              <w:textAlignment w:val="center"/>
              <w:rPr>
                <w:rFonts w:eastAsia="方正楷体_GBK"/>
                <w:color w:val="000000"/>
                <w:kern w:val="0"/>
                <w:sz w:val="24"/>
                <w:lang w:bidi="ar"/>
              </w:rPr>
            </w:pPr>
            <w:r>
              <w:rPr>
                <w:rFonts w:eastAsia="方正楷体_GBK"/>
                <w:color w:val="000000"/>
                <w:kern w:val="0"/>
                <w:sz w:val="24"/>
                <w:lang w:bidi="ar"/>
              </w:rPr>
              <w:t>10</w:t>
            </w:r>
          </w:p>
        </w:tc>
        <w:tc>
          <w:tcPr>
            <w:tcW w:w="7033" w:type="dxa"/>
            <w:gridSpan w:val="3"/>
            <w:vAlign w:val="center"/>
          </w:tcPr>
          <w:p>
            <w:pPr>
              <w:widowControl/>
              <w:spacing w:line="28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按要求落实双重预防机制，扣1分；因存在安全生产隐患，被行政部门挂牌或者通报要求整改的，每次扣2分；因存在严重安全生产隐患，被列入重点安全监管名单的，每次扣3分，被处以部分或者全部停业整顿的，每次扣4分。</w:t>
            </w:r>
          </w:p>
        </w:tc>
        <w:tc>
          <w:tcPr>
            <w:tcW w:w="1920" w:type="dxa"/>
            <w:vAlign w:val="center"/>
          </w:tcPr>
          <w:p>
            <w:pPr>
              <w:widowControl/>
              <w:spacing w:line="280" w:lineRule="exact"/>
              <w:jc w:val="left"/>
              <w:textAlignment w:val="center"/>
              <w:rPr>
                <w:rFonts w:eastAsia="方正仿宋_GBK"/>
                <w:color w:val="000000"/>
                <w:sz w:val="22"/>
                <w:szCs w:val="22"/>
              </w:rPr>
            </w:pPr>
            <w:r>
              <w:rPr>
                <w:rFonts w:eastAsia="方正仿宋_GBK"/>
                <w:color w:val="000000"/>
                <w:kern w:val="0"/>
                <w:sz w:val="22"/>
                <w:szCs w:val="22"/>
                <w:lang w:bidi="ar"/>
              </w:rPr>
              <w:t>交通、公安、应急等部门数据共享</w:t>
            </w:r>
          </w:p>
        </w:tc>
        <w:tc>
          <w:tcPr>
            <w:tcW w:w="892" w:type="dxa"/>
            <w:vAlign w:val="center"/>
          </w:tcPr>
          <w:p>
            <w:pPr>
              <w:widowControl/>
              <w:spacing w:line="280" w:lineRule="exact"/>
              <w:ind w:firstLine="200" w:firstLineChars="100"/>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jc w:val="center"/>
        </w:trPr>
        <w:tc>
          <w:tcPr>
            <w:tcW w:w="555" w:type="dxa"/>
            <w:noWrap/>
            <w:vAlign w:val="center"/>
          </w:tcPr>
          <w:p>
            <w:pPr>
              <w:widowControl/>
              <w:spacing w:line="280" w:lineRule="exact"/>
              <w:jc w:val="center"/>
              <w:textAlignment w:val="center"/>
              <w:rPr>
                <w:color w:val="000000"/>
                <w:kern w:val="0"/>
                <w:sz w:val="22"/>
                <w:szCs w:val="22"/>
                <w:lang w:bidi="ar"/>
              </w:rPr>
            </w:pPr>
            <w:r>
              <w:rPr>
                <w:color w:val="000000"/>
                <w:kern w:val="0"/>
                <w:sz w:val="22"/>
                <w:szCs w:val="22"/>
                <w:lang w:bidi="ar"/>
              </w:rPr>
              <w:t>6</w:t>
            </w:r>
          </w:p>
        </w:tc>
        <w:tc>
          <w:tcPr>
            <w:tcW w:w="1238" w:type="dxa"/>
            <w:vMerge w:val="restart"/>
            <w:vAlign w:val="center"/>
          </w:tcPr>
          <w:p>
            <w:pPr>
              <w:widowControl/>
              <w:spacing w:line="28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服务质量</w:t>
            </w:r>
          </w:p>
          <w:p>
            <w:pPr>
              <w:widowControl/>
              <w:spacing w:line="280" w:lineRule="exact"/>
              <w:jc w:val="center"/>
              <w:textAlignment w:val="center"/>
              <w:rPr>
                <w:rFonts w:eastAsia="方正楷体_GBK"/>
                <w:bCs/>
                <w:color w:val="000000"/>
                <w:sz w:val="22"/>
                <w:szCs w:val="22"/>
              </w:rPr>
            </w:pPr>
            <w:r>
              <w:rPr>
                <w:rFonts w:eastAsia="方正楷体_GBK"/>
                <w:bCs/>
                <w:color w:val="000000"/>
                <w:kern w:val="0"/>
                <w:sz w:val="22"/>
                <w:szCs w:val="22"/>
                <w:lang w:bidi="ar"/>
              </w:rPr>
              <w:t>（30分）</w:t>
            </w:r>
          </w:p>
        </w:tc>
        <w:tc>
          <w:tcPr>
            <w:tcW w:w="1365" w:type="dxa"/>
            <w:vAlign w:val="center"/>
          </w:tcPr>
          <w:p>
            <w:pPr>
              <w:widowControl/>
              <w:spacing w:line="280" w:lineRule="exact"/>
              <w:jc w:val="center"/>
              <w:textAlignment w:val="center"/>
              <w:rPr>
                <w:rFonts w:eastAsia="方正仿宋_GBK"/>
                <w:color w:val="000000"/>
                <w:sz w:val="22"/>
                <w:szCs w:val="22"/>
              </w:rPr>
            </w:pPr>
            <w:r>
              <w:rPr>
                <w:rFonts w:eastAsia="方正仿宋_GBK"/>
                <w:color w:val="000000"/>
                <w:kern w:val="0"/>
                <w:sz w:val="22"/>
                <w:szCs w:val="22"/>
                <w:lang w:bidi="ar"/>
              </w:rPr>
              <w:t>服务行为通报情况</w:t>
            </w:r>
          </w:p>
        </w:tc>
        <w:tc>
          <w:tcPr>
            <w:tcW w:w="735" w:type="dxa"/>
            <w:vAlign w:val="center"/>
          </w:tcPr>
          <w:p>
            <w:pPr>
              <w:widowControl/>
              <w:spacing w:line="280" w:lineRule="exact"/>
              <w:jc w:val="center"/>
              <w:textAlignment w:val="center"/>
              <w:rPr>
                <w:rFonts w:eastAsia="方正楷体_GBK"/>
                <w:color w:val="000000"/>
                <w:kern w:val="0"/>
                <w:sz w:val="24"/>
                <w:lang w:bidi="ar"/>
              </w:rPr>
            </w:pPr>
            <w:r>
              <w:rPr>
                <w:rFonts w:eastAsia="方正楷体_GBK"/>
                <w:color w:val="000000"/>
                <w:kern w:val="0"/>
                <w:sz w:val="24"/>
                <w:lang w:bidi="ar"/>
              </w:rPr>
              <w:t>10</w:t>
            </w:r>
          </w:p>
        </w:tc>
        <w:tc>
          <w:tcPr>
            <w:tcW w:w="7033" w:type="dxa"/>
            <w:gridSpan w:val="3"/>
            <w:vAlign w:val="center"/>
          </w:tcPr>
          <w:p>
            <w:pPr>
              <w:widowControl/>
              <w:spacing w:line="28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社会和行业监督中，发现驾驶员存在不规范运营服务、言行举止等问题或者违背社会公序良俗行为，或者车辆存在车容车貌等问题，被行政管理部门通报，属于企业综合性问题的，轻微事项的每次扣0.5分，情形严重的每次扣1分；属于企业所属单车（驾驶员）问题的，所通报的车辆占企业所属车辆比例中，轻微事项每满足1%扣0.1分，情形严重的每满足1%扣0.2分。被电视、报刊、电台等媒体曝光服务质量事件且属实的，轻微事项每次扣1分，情形严重事项每次扣2分。</w:t>
            </w:r>
          </w:p>
          <w:p>
            <w:pPr>
              <w:widowControl/>
              <w:spacing w:line="280" w:lineRule="exact"/>
              <w:jc w:val="left"/>
              <w:textAlignment w:val="center"/>
              <w:rPr>
                <w:rFonts w:eastAsia="方正仿宋_GBK"/>
                <w:color w:val="000000"/>
                <w:sz w:val="22"/>
                <w:szCs w:val="22"/>
              </w:rPr>
            </w:pPr>
            <w:r>
              <w:rPr>
                <w:rFonts w:eastAsia="方正仿宋_GBK"/>
                <w:color w:val="000000"/>
                <w:kern w:val="0"/>
                <w:sz w:val="22"/>
                <w:szCs w:val="22"/>
                <w:lang w:bidi="ar"/>
              </w:rPr>
              <w:t>因以上事项被行政管理部门约谈的，每次加扣1分，约谈后仍不整改的，每次加扣2分。</w:t>
            </w:r>
          </w:p>
        </w:tc>
        <w:tc>
          <w:tcPr>
            <w:tcW w:w="1920" w:type="dxa"/>
            <w:vAlign w:val="center"/>
          </w:tcPr>
          <w:p>
            <w:pPr>
              <w:widowControl/>
              <w:spacing w:line="28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892" w:type="dxa"/>
            <w:vAlign w:val="center"/>
          </w:tcPr>
          <w:p>
            <w:pPr>
              <w:widowControl/>
              <w:spacing w:line="28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55" w:type="dxa"/>
            <w:noWrap/>
            <w:vAlign w:val="center"/>
          </w:tcPr>
          <w:p>
            <w:pPr>
              <w:widowControl/>
              <w:spacing w:line="280" w:lineRule="exact"/>
              <w:jc w:val="center"/>
              <w:textAlignment w:val="center"/>
              <w:rPr>
                <w:color w:val="000000"/>
                <w:sz w:val="22"/>
                <w:szCs w:val="22"/>
              </w:rPr>
            </w:pPr>
            <w:r>
              <w:rPr>
                <w:color w:val="000000"/>
                <w:sz w:val="22"/>
                <w:szCs w:val="22"/>
              </w:rPr>
              <w:t>7</w:t>
            </w:r>
          </w:p>
        </w:tc>
        <w:tc>
          <w:tcPr>
            <w:tcW w:w="1238" w:type="dxa"/>
            <w:vMerge w:val="continue"/>
            <w:vAlign w:val="center"/>
          </w:tcPr>
          <w:p>
            <w:pPr>
              <w:widowControl/>
              <w:spacing w:line="280" w:lineRule="exact"/>
              <w:jc w:val="center"/>
              <w:rPr>
                <w:rFonts w:eastAsia="方正楷体_GBK"/>
                <w:bCs/>
                <w:color w:val="000000"/>
                <w:sz w:val="22"/>
                <w:szCs w:val="22"/>
              </w:rPr>
            </w:pPr>
          </w:p>
        </w:tc>
        <w:tc>
          <w:tcPr>
            <w:tcW w:w="1365" w:type="dxa"/>
            <w:vAlign w:val="center"/>
          </w:tcPr>
          <w:p>
            <w:pPr>
              <w:widowControl/>
              <w:spacing w:line="280" w:lineRule="exact"/>
              <w:jc w:val="center"/>
              <w:textAlignment w:val="center"/>
              <w:rPr>
                <w:rFonts w:eastAsia="方正仿宋_GBK"/>
                <w:color w:val="000000"/>
                <w:sz w:val="22"/>
                <w:szCs w:val="22"/>
              </w:rPr>
            </w:pPr>
            <w:r>
              <w:rPr>
                <w:rFonts w:eastAsia="方正仿宋_GBK"/>
                <w:color w:val="000000"/>
                <w:kern w:val="0"/>
                <w:sz w:val="22"/>
                <w:szCs w:val="22"/>
                <w:lang w:bidi="ar"/>
              </w:rPr>
              <w:t>有责投诉率</w:t>
            </w:r>
          </w:p>
        </w:tc>
        <w:tc>
          <w:tcPr>
            <w:tcW w:w="735" w:type="dxa"/>
            <w:vAlign w:val="center"/>
          </w:tcPr>
          <w:p>
            <w:pPr>
              <w:widowControl/>
              <w:spacing w:line="280" w:lineRule="exact"/>
              <w:jc w:val="center"/>
              <w:textAlignment w:val="center"/>
              <w:rPr>
                <w:rFonts w:eastAsia="方正楷体_GBK"/>
                <w:color w:val="000000"/>
                <w:kern w:val="0"/>
                <w:sz w:val="24"/>
                <w:lang w:bidi="ar"/>
              </w:rPr>
            </w:pPr>
            <w:r>
              <w:rPr>
                <w:rFonts w:eastAsia="方正楷体_GBK"/>
                <w:color w:val="000000"/>
                <w:kern w:val="0"/>
                <w:sz w:val="24"/>
                <w:lang w:bidi="ar"/>
              </w:rPr>
              <w:t>10</w:t>
            </w:r>
          </w:p>
        </w:tc>
        <w:tc>
          <w:tcPr>
            <w:tcW w:w="7033" w:type="dxa"/>
            <w:gridSpan w:val="3"/>
            <w:vAlign w:val="center"/>
          </w:tcPr>
          <w:p>
            <w:pPr>
              <w:widowControl/>
              <w:spacing w:line="280" w:lineRule="exact"/>
              <w:jc w:val="left"/>
              <w:textAlignment w:val="center"/>
              <w:rPr>
                <w:rFonts w:eastAsia="方正仿宋_GBK"/>
                <w:color w:val="000000"/>
                <w:sz w:val="22"/>
                <w:szCs w:val="22"/>
              </w:rPr>
            </w:pPr>
            <w:r>
              <w:rPr>
                <w:rFonts w:eastAsia="方正仿宋_GBK"/>
                <w:color w:val="000000"/>
                <w:sz w:val="22"/>
                <w:szCs w:val="22"/>
              </w:rPr>
              <w:t>有责投诉率每增加0.1次/车扣2分。</w:t>
            </w:r>
          </w:p>
        </w:tc>
        <w:tc>
          <w:tcPr>
            <w:tcW w:w="1920" w:type="dxa"/>
            <w:vAlign w:val="center"/>
          </w:tcPr>
          <w:p>
            <w:pPr>
              <w:widowControl/>
              <w:spacing w:line="280" w:lineRule="exact"/>
              <w:jc w:val="left"/>
              <w:textAlignment w:val="center"/>
              <w:rPr>
                <w:rFonts w:eastAsia="方正仿宋_GBK"/>
                <w:color w:val="000000"/>
                <w:sz w:val="22"/>
                <w:szCs w:val="22"/>
              </w:rPr>
            </w:pPr>
            <w:r>
              <w:rPr>
                <w:rFonts w:eastAsia="方正仿宋_GBK"/>
                <w:color w:val="000000"/>
                <w:kern w:val="0"/>
                <w:sz w:val="22"/>
                <w:szCs w:val="22"/>
                <w:lang w:bidi="ar"/>
              </w:rPr>
              <w:t>交通执法部门数据共享（年度统计）</w:t>
            </w:r>
          </w:p>
        </w:tc>
        <w:tc>
          <w:tcPr>
            <w:tcW w:w="892" w:type="dxa"/>
            <w:vAlign w:val="bottom"/>
          </w:tcPr>
          <w:p>
            <w:pPr>
              <w:pStyle w:val="4"/>
              <w:spacing w:line="280" w:lineRule="exact"/>
              <w:ind w:firstLine="200" w:firstLineChars="100"/>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555" w:type="dxa"/>
            <w:noWrap/>
            <w:vAlign w:val="center"/>
          </w:tcPr>
          <w:p>
            <w:pPr>
              <w:widowControl/>
              <w:spacing w:line="280" w:lineRule="exact"/>
              <w:jc w:val="center"/>
              <w:textAlignment w:val="center"/>
              <w:rPr>
                <w:color w:val="000000"/>
                <w:sz w:val="22"/>
                <w:szCs w:val="22"/>
              </w:rPr>
            </w:pPr>
            <w:r>
              <w:rPr>
                <w:color w:val="000000"/>
                <w:sz w:val="22"/>
                <w:szCs w:val="22"/>
              </w:rPr>
              <w:t>8</w:t>
            </w:r>
          </w:p>
        </w:tc>
        <w:tc>
          <w:tcPr>
            <w:tcW w:w="1238" w:type="dxa"/>
            <w:vMerge w:val="continue"/>
            <w:vAlign w:val="center"/>
          </w:tcPr>
          <w:p>
            <w:pPr>
              <w:widowControl/>
              <w:spacing w:line="280" w:lineRule="exact"/>
              <w:jc w:val="center"/>
              <w:rPr>
                <w:rFonts w:eastAsia="方正楷体_GBK"/>
                <w:bCs/>
                <w:color w:val="000000"/>
                <w:sz w:val="22"/>
                <w:szCs w:val="22"/>
              </w:rPr>
            </w:pPr>
          </w:p>
        </w:tc>
        <w:tc>
          <w:tcPr>
            <w:tcW w:w="1365" w:type="dxa"/>
            <w:vAlign w:val="center"/>
          </w:tcPr>
          <w:p>
            <w:pPr>
              <w:widowControl/>
              <w:spacing w:line="280" w:lineRule="exact"/>
              <w:jc w:val="center"/>
              <w:textAlignment w:val="center"/>
              <w:rPr>
                <w:rFonts w:eastAsia="方正仿宋_GBK"/>
                <w:color w:val="000000"/>
                <w:sz w:val="22"/>
                <w:szCs w:val="22"/>
              </w:rPr>
            </w:pPr>
            <w:r>
              <w:rPr>
                <w:rFonts w:eastAsia="方正仿宋_GBK"/>
                <w:color w:val="000000"/>
                <w:kern w:val="0"/>
                <w:sz w:val="22"/>
                <w:szCs w:val="22"/>
                <w:lang w:bidi="ar"/>
              </w:rPr>
              <w:t>投诉处理及执法检查情况</w:t>
            </w:r>
          </w:p>
        </w:tc>
        <w:tc>
          <w:tcPr>
            <w:tcW w:w="735" w:type="dxa"/>
            <w:vAlign w:val="center"/>
          </w:tcPr>
          <w:p>
            <w:pPr>
              <w:widowControl/>
              <w:spacing w:line="280" w:lineRule="exact"/>
              <w:jc w:val="center"/>
              <w:textAlignment w:val="center"/>
              <w:rPr>
                <w:rFonts w:eastAsia="方正楷体_GBK"/>
                <w:color w:val="000000"/>
                <w:kern w:val="0"/>
                <w:sz w:val="24"/>
                <w:lang w:bidi="ar"/>
              </w:rPr>
            </w:pPr>
            <w:r>
              <w:rPr>
                <w:rFonts w:eastAsia="方正楷体_GBK"/>
                <w:color w:val="000000"/>
                <w:kern w:val="0"/>
                <w:sz w:val="24"/>
                <w:lang w:bidi="ar"/>
              </w:rPr>
              <w:t>10</w:t>
            </w:r>
          </w:p>
        </w:tc>
        <w:tc>
          <w:tcPr>
            <w:tcW w:w="7033" w:type="dxa"/>
            <w:gridSpan w:val="3"/>
            <w:vAlign w:val="center"/>
          </w:tcPr>
          <w:p>
            <w:pPr>
              <w:widowControl/>
              <w:spacing w:line="280" w:lineRule="exact"/>
              <w:jc w:val="left"/>
              <w:textAlignment w:val="center"/>
              <w:rPr>
                <w:rFonts w:eastAsia="方正仿宋_GBK"/>
                <w:color w:val="000000"/>
                <w:sz w:val="22"/>
                <w:szCs w:val="22"/>
              </w:rPr>
            </w:pPr>
            <w:r>
              <w:rPr>
                <w:rFonts w:eastAsia="方正仿宋_GBK"/>
                <w:color w:val="000000"/>
                <w:sz w:val="22"/>
                <w:szCs w:val="22"/>
              </w:rPr>
              <w:t>企业未按要求处置转交的服务投诉或者按期反馈处置结果，被通报的，每次扣0.5分；因处置随意、态度粗暴等原因被通报的，每次扣1分；</w:t>
            </w:r>
          </w:p>
          <w:p>
            <w:pPr>
              <w:widowControl/>
              <w:spacing w:line="280" w:lineRule="exact"/>
              <w:jc w:val="left"/>
              <w:textAlignment w:val="center"/>
              <w:rPr>
                <w:rFonts w:eastAsia="方正仿宋_GBK"/>
                <w:color w:val="000000"/>
                <w:sz w:val="22"/>
                <w:szCs w:val="22"/>
              </w:rPr>
            </w:pPr>
            <w:r>
              <w:rPr>
                <w:rFonts w:eastAsia="方正仿宋_GBK"/>
                <w:color w:val="000000"/>
                <w:sz w:val="22"/>
                <w:szCs w:val="22"/>
              </w:rPr>
              <w:t>交通行政执法部门查处的违规行为，每0.1次/车，扣0.5分；</w:t>
            </w:r>
          </w:p>
          <w:p>
            <w:pPr>
              <w:widowControl/>
              <w:spacing w:line="280" w:lineRule="exact"/>
              <w:jc w:val="left"/>
              <w:textAlignment w:val="center"/>
              <w:rPr>
                <w:rFonts w:eastAsia="方正仿宋_GBK"/>
                <w:color w:val="000000"/>
                <w:sz w:val="22"/>
                <w:szCs w:val="22"/>
              </w:rPr>
            </w:pPr>
            <w:r>
              <w:rPr>
                <w:rFonts w:eastAsia="方正仿宋_GBK"/>
                <w:color w:val="000000"/>
                <w:sz w:val="22"/>
                <w:szCs w:val="22"/>
              </w:rPr>
              <w:t>在考核周期届满时，存在未履行交通运输行政处罚决定的，按照该交通运输行政处罚信用扣分标准，再次扣除相应分数。</w:t>
            </w:r>
          </w:p>
        </w:tc>
        <w:tc>
          <w:tcPr>
            <w:tcW w:w="1920" w:type="dxa"/>
            <w:vAlign w:val="center"/>
          </w:tcPr>
          <w:p>
            <w:pPr>
              <w:widowControl/>
              <w:spacing w:line="28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892" w:type="dxa"/>
            <w:vAlign w:val="center"/>
          </w:tcPr>
          <w:p>
            <w:pPr>
              <w:widowControl/>
              <w:spacing w:line="28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555" w:type="dxa"/>
            <w:noWrap/>
            <w:vAlign w:val="center"/>
          </w:tcPr>
          <w:p>
            <w:pPr>
              <w:widowControl/>
              <w:spacing w:line="280" w:lineRule="exact"/>
              <w:jc w:val="center"/>
              <w:textAlignment w:val="center"/>
              <w:rPr>
                <w:color w:val="000000"/>
                <w:sz w:val="22"/>
                <w:szCs w:val="22"/>
              </w:rPr>
            </w:pPr>
            <w:r>
              <w:rPr>
                <w:color w:val="000000"/>
                <w:sz w:val="22"/>
                <w:szCs w:val="22"/>
              </w:rPr>
              <w:t>9</w:t>
            </w:r>
          </w:p>
        </w:tc>
        <w:tc>
          <w:tcPr>
            <w:tcW w:w="1238" w:type="dxa"/>
            <w:vMerge w:val="restart"/>
            <w:vAlign w:val="center"/>
          </w:tcPr>
          <w:p>
            <w:pPr>
              <w:widowControl/>
              <w:spacing w:line="28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社会责任</w:t>
            </w:r>
          </w:p>
          <w:p>
            <w:pPr>
              <w:widowControl/>
              <w:spacing w:line="280" w:lineRule="exact"/>
              <w:jc w:val="center"/>
              <w:textAlignment w:val="center"/>
              <w:rPr>
                <w:rFonts w:eastAsia="方正楷体_GBK"/>
                <w:bCs/>
                <w:color w:val="000000"/>
                <w:sz w:val="22"/>
                <w:szCs w:val="22"/>
              </w:rPr>
            </w:pPr>
            <w:r>
              <w:rPr>
                <w:rFonts w:eastAsia="方正楷体_GBK"/>
                <w:bCs/>
                <w:color w:val="000000"/>
                <w:kern w:val="0"/>
                <w:sz w:val="22"/>
                <w:szCs w:val="22"/>
                <w:lang w:bidi="ar"/>
              </w:rPr>
              <w:t>（20分）</w:t>
            </w:r>
          </w:p>
        </w:tc>
        <w:tc>
          <w:tcPr>
            <w:tcW w:w="1365" w:type="dxa"/>
            <w:vAlign w:val="center"/>
          </w:tcPr>
          <w:p>
            <w:pPr>
              <w:widowControl/>
              <w:spacing w:line="280" w:lineRule="exact"/>
              <w:jc w:val="center"/>
              <w:textAlignment w:val="center"/>
              <w:rPr>
                <w:rFonts w:eastAsia="方正仿宋_GBK"/>
                <w:color w:val="000000"/>
                <w:sz w:val="22"/>
                <w:szCs w:val="22"/>
              </w:rPr>
            </w:pPr>
            <w:r>
              <w:rPr>
                <w:rFonts w:eastAsia="方正仿宋_GBK"/>
                <w:color w:val="000000"/>
                <w:kern w:val="0"/>
                <w:sz w:val="22"/>
                <w:szCs w:val="22"/>
                <w:lang w:bidi="ar"/>
              </w:rPr>
              <w:t>信访稳定情况</w:t>
            </w:r>
          </w:p>
        </w:tc>
        <w:tc>
          <w:tcPr>
            <w:tcW w:w="735" w:type="dxa"/>
            <w:vAlign w:val="center"/>
          </w:tcPr>
          <w:p>
            <w:pPr>
              <w:widowControl/>
              <w:spacing w:line="280" w:lineRule="exact"/>
              <w:jc w:val="center"/>
              <w:textAlignment w:val="center"/>
              <w:rPr>
                <w:rFonts w:eastAsia="方正楷体_GBK"/>
                <w:color w:val="000000"/>
                <w:kern w:val="0"/>
                <w:sz w:val="24"/>
                <w:lang w:bidi="ar"/>
              </w:rPr>
            </w:pPr>
            <w:r>
              <w:rPr>
                <w:rFonts w:eastAsia="方正楷体_GBK"/>
                <w:color w:val="000000"/>
                <w:kern w:val="0"/>
                <w:sz w:val="24"/>
                <w:lang w:bidi="ar"/>
              </w:rPr>
              <w:t>15</w:t>
            </w:r>
          </w:p>
        </w:tc>
        <w:tc>
          <w:tcPr>
            <w:tcW w:w="7033" w:type="dxa"/>
            <w:gridSpan w:val="3"/>
            <w:vAlign w:val="center"/>
          </w:tcPr>
          <w:p>
            <w:pPr>
              <w:widowControl/>
              <w:spacing w:line="280" w:lineRule="exact"/>
              <w:jc w:val="left"/>
              <w:textAlignment w:val="center"/>
              <w:rPr>
                <w:rFonts w:eastAsia="方正仿宋_GBK"/>
                <w:color w:val="000000"/>
                <w:sz w:val="22"/>
                <w:szCs w:val="22"/>
              </w:rPr>
            </w:pPr>
            <w:r>
              <w:rPr>
                <w:rFonts w:eastAsia="方正仿宋_GBK"/>
                <w:color w:val="000000"/>
                <w:sz w:val="22"/>
                <w:szCs w:val="22"/>
              </w:rPr>
              <w:t>企业所属驾驶员、工作人员（包括股东、个体户），违反《信访工作条例》规定，发生进京或者到市委市政府上访的，每次扣5分；到市级行政部门或者区县人民政府上访的，每次扣3分；到区县行政部门上访的，每次扣1分。20人以上到企业集中反映诉求并由行政部门进行协调处置的，每次扣1分；经行政管理部门协调，企业不落实相关协调意见导致反映诉求持续发生的，每次扣2分；发生部分车辆非正常停运的扣3分。</w:t>
            </w:r>
          </w:p>
          <w:p>
            <w:pPr>
              <w:widowControl/>
              <w:spacing w:line="280" w:lineRule="exact"/>
              <w:jc w:val="left"/>
              <w:textAlignment w:val="center"/>
              <w:rPr>
                <w:rFonts w:eastAsia="方正仿宋_GBK"/>
                <w:color w:val="000000"/>
                <w:sz w:val="22"/>
                <w:szCs w:val="22"/>
              </w:rPr>
            </w:pPr>
            <w:r>
              <w:rPr>
                <w:rFonts w:eastAsia="方正仿宋_GBK"/>
                <w:color w:val="000000"/>
                <w:sz w:val="22"/>
                <w:szCs w:val="22"/>
              </w:rPr>
              <w:t>经行政管理部门联合评议，不属于企业责任或者原因引起的信访，本项不扣分。</w:t>
            </w:r>
          </w:p>
        </w:tc>
        <w:tc>
          <w:tcPr>
            <w:tcW w:w="1920" w:type="dxa"/>
            <w:vAlign w:val="center"/>
          </w:tcPr>
          <w:p>
            <w:pPr>
              <w:widowControl/>
              <w:spacing w:line="280" w:lineRule="exact"/>
              <w:jc w:val="left"/>
              <w:textAlignment w:val="center"/>
              <w:rPr>
                <w:rFonts w:eastAsia="方正仿宋_GBK"/>
                <w:color w:val="000000"/>
                <w:sz w:val="22"/>
                <w:szCs w:val="22"/>
              </w:rPr>
            </w:pPr>
            <w:r>
              <w:rPr>
                <w:rFonts w:eastAsia="方正仿宋_GBK"/>
                <w:color w:val="000000"/>
                <w:kern w:val="0"/>
                <w:sz w:val="22"/>
                <w:szCs w:val="22"/>
                <w:lang w:bidi="ar"/>
              </w:rPr>
              <w:t>信访公安等部门数据共享或动态录入</w:t>
            </w:r>
          </w:p>
        </w:tc>
        <w:tc>
          <w:tcPr>
            <w:tcW w:w="892" w:type="dxa"/>
          </w:tcPr>
          <w:p>
            <w:pPr>
              <w:widowControl/>
              <w:spacing w:line="280" w:lineRule="exac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555" w:type="dxa"/>
            <w:noWrap/>
            <w:vAlign w:val="center"/>
          </w:tcPr>
          <w:p>
            <w:pPr>
              <w:widowControl/>
              <w:spacing w:line="280" w:lineRule="exact"/>
              <w:jc w:val="center"/>
              <w:textAlignment w:val="center"/>
              <w:rPr>
                <w:color w:val="000000"/>
                <w:sz w:val="22"/>
                <w:szCs w:val="22"/>
              </w:rPr>
            </w:pPr>
            <w:r>
              <w:rPr>
                <w:color w:val="000000"/>
                <w:kern w:val="0"/>
                <w:sz w:val="22"/>
                <w:szCs w:val="22"/>
                <w:lang w:bidi="ar"/>
              </w:rPr>
              <w:t>10</w:t>
            </w:r>
          </w:p>
        </w:tc>
        <w:tc>
          <w:tcPr>
            <w:tcW w:w="1238" w:type="dxa"/>
            <w:vMerge w:val="continue"/>
            <w:vAlign w:val="center"/>
          </w:tcPr>
          <w:p>
            <w:pPr>
              <w:widowControl/>
              <w:spacing w:line="280" w:lineRule="exact"/>
              <w:jc w:val="center"/>
              <w:rPr>
                <w:rFonts w:eastAsia="方正楷体_GBK"/>
                <w:bCs/>
                <w:color w:val="000000"/>
                <w:sz w:val="22"/>
                <w:szCs w:val="22"/>
              </w:rPr>
            </w:pPr>
          </w:p>
        </w:tc>
        <w:tc>
          <w:tcPr>
            <w:tcW w:w="1365" w:type="dxa"/>
            <w:vAlign w:val="center"/>
          </w:tcPr>
          <w:p>
            <w:pPr>
              <w:widowControl/>
              <w:spacing w:line="280" w:lineRule="exact"/>
              <w:jc w:val="center"/>
              <w:textAlignment w:val="center"/>
              <w:rPr>
                <w:rFonts w:eastAsia="方正仿宋_GBK"/>
                <w:color w:val="000000"/>
                <w:sz w:val="22"/>
                <w:szCs w:val="22"/>
              </w:rPr>
            </w:pPr>
            <w:r>
              <w:rPr>
                <w:rFonts w:eastAsia="方正仿宋_GBK"/>
                <w:color w:val="000000"/>
                <w:kern w:val="0"/>
                <w:sz w:val="22"/>
                <w:szCs w:val="22"/>
                <w:lang w:bidi="ar"/>
              </w:rPr>
              <w:t>公共事件处置情况</w:t>
            </w:r>
          </w:p>
        </w:tc>
        <w:tc>
          <w:tcPr>
            <w:tcW w:w="735" w:type="dxa"/>
            <w:vAlign w:val="center"/>
          </w:tcPr>
          <w:p>
            <w:pPr>
              <w:widowControl/>
              <w:spacing w:line="280" w:lineRule="exact"/>
              <w:jc w:val="center"/>
              <w:textAlignment w:val="center"/>
              <w:rPr>
                <w:rFonts w:eastAsia="方正楷体_GBK"/>
                <w:color w:val="000000"/>
                <w:kern w:val="0"/>
                <w:sz w:val="24"/>
                <w:lang w:bidi="ar"/>
              </w:rPr>
            </w:pPr>
            <w:r>
              <w:rPr>
                <w:rFonts w:eastAsia="方正楷体_GBK"/>
                <w:color w:val="000000"/>
                <w:kern w:val="0"/>
                <w:sz w:val="24"/>
                <w:lang w:bidi="ar"/>
              </w:rPr>
              <w:t>5</w:t>
            </w:r>
          </w:p>
        </w:tc>
        <w:tc>
          <w:tcPr>
            <w:tcW w:w="7033" w:type="dxa"/>
            <w:gridSpan w:val="3"/>
            <w:vAlign w:val="center"/>
          </w:tcPr>
          <w:p>
            <w:pPr>
              <w:widowControl/>
              <w:spacing w:line="280" w:lineRule="exact"/>
              <w:jc w:val="left"/>
              <w:textAlignment w:val="center"/>
              <w:rPr>
                <w:rFonts w:eastAsia="方正仿宋_GBK"/>
                <w:color w:val="000000"/>
                <w:sz w:val="22"/>
                <w:szCs w:val="22"/>
              </w:rPr>
            </w:pPr>
            <w:r>
              <w:rPr>
                <w:rFonts w:eastAsia="方正仿宋_GBK"/>
                <w:color w:val="000000"/>
                <w:sz w:val="22"/>
                <w:szCs w:val="22"/>
              </w:rPr>
              <w:t>发生公共事件，企业不服从政府或者行政管理调度部署的，每次扣2分；经交通行业管理部门约谈仍不履行的，每次扣3分。调度参与的运力未达到应调度数量90%的，每次扣0.5分；运力未达到50%的，每次扣1分。</w:t>
            </w:r>
          </w:p>
        </w:tc>
        <w:tc>
          <w:tcPr>
            <w:tcW w:w="1920" w:type="dxa"/>
            <w:vAlign w:val="center"/>
          </w:tcPr>
          <w:p>
            <w:pPr>
              <w:widowControl/>
              <w:spacing w:line="280" w:lineRule="exact"/>
              <w:jc w:val="left"/>
              <w:textAlignment w:val="center"/>
              <w:rPr>
                <w:rFonts w:eastAsia="方正仿宋_GBK"/>
                <w:color w:val="000000"/>
                <w:sz w:val="22"/>
                <w:szCs w:val="22"/>
              </w:rPr>
            </w:pPr>
            <w:r>
              <w:rPr>
                <w:rFonts w:eastAsia="方正仿宋_GBK"/>
                <w:color w:val="000000"/>
                <w:sz w:val="22"/>
                <w:szCs w:val="22"/>
              </w:rPr>
              <w:t>市级部门数据共享或者动态录入</w:t>
            </w:r>
          </w:p>
        </w:tc>
        <w:tc>
          <w:tcPr>
            <w:tcW w:w="892" w:type="dxa"/>
            <w:vAlign w:val="bottom"/>
          </w:tcPr>
          <w:p>
            <w:pPr>
              <w:widowControl/>
              <w:spacing w:line="28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55" w:type="dxa"/>
            <w:noWrap/>
            <w:vAlign w:val="center"/>
          </w:tcPr>
          <w:p>
            <w:pPr>
              <w:widowControl/>
              <w:spacing w:line="280" w:lineRule="exact"/>
              <w:jc w:val="center"/>
              <w:textAlignment w:val="center"/>
              <w:rPr>
                <w:color w:val="000000"/>
                <w:sz w:val="22"/>
                <w:szCs w:val="22"/>
              </w:rPr>
            </w:pPr>
            <w:r>
              <w:rPr>
                <w:color w:val="000000"/>
                <w:kern w:val="0"/>
                <w:sz w:val="22"/>
                <w:szCs w:val="22"/>
                <w:lang w:bidi="ar"/>
              </w:rPr>
              <w:t>12</w:t>
            </w:r>
          </w:p>
        </w:tc>
        <w:tc>
          <w:tcPr>
            <w:tcW w:w="1238" w:type="dxa"/>
            <w:vMerge w:val="restart"/>
            <w:vAlign w:val="center"/>
          </w:tcPr>
          <w:p>
            <w:pPr>
              <w:widowControl/>
              <w:spacing w:line="280" w:lineRule="exact"/>
              <w:jc w:val="center"/>
              <w:textAlignment w:val="center"/>
              <w:rPr>
                <w:rFonts w:eastAsia="方正楷体_GBK"/>
                <w:bCs/>
                <w:color w:val="000000"/>
                <w:sz w:val="22"/>
                <w:szCs w:val="22"/>
              </w:rPr>
            </w:pPr>
            <w:r>
              <w:rPr>
                <w:rFonts w:eastAsia="方正楷体_GBK"/>
                <w:bCs/>
                <w:color w:val="000000"/>
                <w:kern w:val="0"/>
                <w:sz w:val="22"/>
                <w:szCs w:val="22"/>
                <w:lang w:bidi="ar"/>
              </w:rPr>
              <w:t>加分项目</w:t>
            </w:r>
          </w:p>
        </w:tc>
        <w:tc>
          <w:tcPr>
            <w:tcW w:w="1365" w:type="dxa"/>
            <w:vAlign w:val="center"/>
          </w:tcPr>
          <w:p>
            <w:pPr>
              <w:widowControl/>
              <w:spacing w:line="280" w:lineRule="exact"/>
              <w:jc w:val="center"/>
              <w:textAlignment w:val="center"/>
              <w:rPr>
                <w:rFonts w:eastAsia="方正仿宋_GBK"/>
                <w:color w:val="000000"/>
                <w:sz w:val="22"/>
                <w:szCs w:val="22"/>
              </w:rPr>
            </w:pPr>
            <w:r>
              <w:rPr>
                <w:rFonts w:eastAsia="方正仿宋_GBK"/>
                <w:color w:val="000000"/>
                <w:kern w:val="0"/>
                <w:sz w:val="22"/>
                <w:szCs w:val="22"/>
                <w:lang w:bidi="ar"/>
              </w:rPr>
              <w:t>雷锋的士创建情况</w:t>
            </w:r>
          </w:p>
        </w:tc>
        <w:tc>
          <w:tcPr>
            <w:tcW w:w="735" w:type="dxa"/>
            <w:vAlign w:val="center"/>
          </w:tcPr>
          <w:p>
            <w:pPr>
              <w:widowControl/>
              <w:spacing w:line="280" w:lineRule="exact"/>
              <w:jc w:val="center"/>
              <w:textAlignment w:val="center"/>
              <w:rPr>
                <w:color w:val="000000"/>
              </w:rPr>
            </w:pPr>
          </w:p>
        </w:tc>
        <w:tc>
          <w:tcPr>
            <w:tcW w:w="7033" w:type="dxa"/>
            <w:gridSpan w:val="3"/>
            <w:noWrap/>
            <w:vAlign w:val="center"/>
          </w:tcPr>
          <w:p>
            <w:pPr>
              <w:widowControl/>
              <w:spacing w:line="280" w:lineRule="exact"/>
              <w:jc w:val="left"/>
              <w:textAlignment w:val="center"/>
              <w:rPr>
                <w:rFonts w:eastAsia="方正仿宋_GBK"/>
                <w:color w:val="000000"/>
                <w:sz w:val="22"/>
                <w:szCs w:val="22"/>
              </w:rPr>
            </w:pPr>
            <w:r>
              <w:rPr>
                <w:rFonts w:eastAsia="方正仿宋_GBK"/>
                <w:color w:val="000000"/>
                <w:kern w:val="0"/>
                <w:sz w:val="22"/>
                <w:szCs w:val="22"/>
                <w:lang w:bidi="ar"/>
              </w:rPr>
              <w:t>参与雷锋的士志愿服务队，一、二、三星级车辆数量合计超过本企业车辆数1%的，每增加1%加0.1分；四星级车辆每辆加0.2分；五星级车辆每辆加0.3分。（最高不超过2分）</w:t>
            </w:r>
          </w:p>
        </w:tc>
        <w:tc>
          <w:tcPr>
            <w:tcW w:w="1920" w:type="dxa"/>
            <w:vAlign w:val="center"/>
          </w:tcPr>
          <w:p>
            <w:pPr>
              <w:widowControl/>
              <w:spacing w:line="280" w:lineRule="exact"/>
              <w:jc w:val="left"/>
              <w:textAlignment w:val="center"/>
              <w:rPr>
                <w:rFonts w:eastAsia="方正仿宋_GBK"/>
                <w:color w:val="000000"/>
                <w:sz w:val="22"/>
                <w:szCs w:val="22"/>
              </w:rPr>
            </w:pPr>
            <w:r>
              <w:rPr>
                <w:rFonts w:eastAsia="方正仿宋_GBK"/>
                <w:color w:val="000000"/>
                <w:kern w:val="0"/>
                <w:sz w:val="22"/>
                <w:szCs w:val="22"/>
                <w:lang w:bidi="ar"/>
              </w:rPr>
              <w:t>交通行政部门动态录入</w:t>
            </w:r>
          </w:p>
        </w:tc>
        <w:tc>
          <w:tcPr>
            <w:tcW w:w="892" w:type="dxa"/>
            <w:vAlign w:val="center"/>
          </w:tcPr>
          <w:p>
            <w:pPr>
              <w:widowControl/>
              <w:spacing w:line="28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55" w:type="dxa"/>
            <w:noWrap/>
            <w:vAlign w:val="center"/>
          </w:tcPr>
          <w:p>
            <w:pPr>
              <w:widowControl/>
              <w:spacing w:line="280" w:lineRule="exact"/>
              <w:jc w:val="center"/>
              <w:textAlignment w:val="center"/>
              <w:rPr>
                <w:color w:val="000000"/>
                <w:sz w:val="22"/>
                <w:szCs w:val="22"/>
              </w:rPr>
            </w:pPr>
            <w:r>
              <w:rPr>
                <w:color w:val="000000"/>
                <w:kern w:val="0"/>
                <w:sz w:val="22"/>
                <w:szCs w:val="22"/>
                <w:lang w:bidi="ar"/>
              </w:rPr>
              <w:t>13</w:t>
            </w:r>
          </w:p>
        </w:tc>
        <w:tc>
          <w:tcPr>
            <w:tcW w:w="1238" w:type="dxa"/>
            <w:vMerge w:val="continue"/>
            <w:vAlign w:val="center"/>
          </w:tcPr>
          <w:p>
            <w:pPr>
              <w:widowControl/>
              <w:spacing w:line="280" w:lineRule="exact"/>
              <w:jc w:val="center"/>
              <w:rPr>
                <w:rFonts w:eastAsia="方正楷体_GBK"/>
                <w:bCs/>
                <w:color w:val="000000"/>
                <w:sz w:val="22"/>
                <w:szCs w:val="22"/>
              </w:rPr>
            </w:pPr>
          </w:p>
        </w:tc>
        <w:tc>
          <w:tcPr>
            <w:tcW w:w="1365" w:type="dxa"/>
            <w:vAlign w:val="center"/>
          </w:tcPr>
          <w:p>
            <w:pPr>
              <w:widowControl/>
              <w:spacing w:line="280" w:lineRule="exact"/>
              <w:jc w:val="center"/>
              <w:textAlignment w:val="center"/>
              <w:rPr>
                <w:rFonts w:eastAsia="方正仿宋_GBK"/>
                <w:color w:val="000000"/>
                <w:sz w:val="22"/>
                <w:szCs w:val="22"/>
              </w:rPr>
            </w:pPr>
            <w:r>
              <w:rPr>
                <w:rFonts w:eastAsia="方正仿宋_GBK"/>
                <w:color w:val="000000"/>
                <w:kern w:val="0"/>
                <w:sz w:val="22"/>
                <w:szCs w:val="22"/>
                <w:lang w:bidi="ar"/>
              </w:rPr>
              <w:t>行业正面典型及荣誉表彰情况</w:t>
            </w:r>
          </w:p>
        </w:tc>
        <w:tc>
          <w:tcPr>
            <w:tcW w:w="735" w:type="dxa"/>
            <w:vAlign w:val="center"/>
          </w:tcPr>
          <w:p>
            <w:pPr>
              <w:widowControl/>
              <w:spacing w:line="280" w:lineRule="exact"/>
              <w:jc w:val="center"/>
              <w:textAlignment w:val="center"/>
              <w:rPr>
                <w:color w:val="000000"/>
              </w:rPr>
            </w:pPr>
          </w:p>
        </w:tc>
        <w:tc>
          <w:tcPr>
            <w:tcW w:w="7033" w:type="dxa"/>
            <w:gridSpan w:val="3"/>
            <w:vAlign w:val="center"/>
          </w:tcPr>
          <w:p>
            <w:pPr>
              <w:widowControl/>
              <w:spacing w:line="280" w:lineRule="exact"/>
              <w:jc w:val="left"/>
              <w:textAlignment w:val="center"/>
              <w:rPr>
                <w:rFonts w:eastAsia="方正仿宋_GBK"/>
                <w:color w:val="000000"/>
                <w:sz w:val="22"/>
                <w:szCs w:val="22"/>
              </w:rPr>
            </w:pPr>
            <w:r>
              <w:rPr>
                <w:rFonts w:eastAsia="方正仿宋_GBK"/>
                <w:color w:val="000000"/>
                <w:sz w:val="22"/>
                <w:szCs w:val="22"/>
              </w:rPr>
              <w:t>企业经营过程中获得了荣誉或者通报表彰的，国家级每次加2分；部级或者市级政府每次加1分；市级部门或者区县政府级加0.5分；区县部门级加0.2分。同一行为多层次表彰的，以最高级别奖励的标准加分。（最高不超过2分）</w:t>
            </w:r>
          </w:p>
        </w:tc>
        <w:tc>
          <w:tcPr>
            <w:tcW w:w="1920" w:type="dxa"/>
            <w:vAlign w:val="center"/>
          </w:tcPr>
          <w:p>
            <w:pPr>
              <w:widowControl/>
              <w:spacing w:line="280" w:lineRule="exact"/>
              <w:jc w:val="left"/>
              <w:textAlignment w:val="center"/>
              <w:rPr>
                <w:rFonts w:eastAsia="方正仿宋_GBK"/>
                <w:color w:val="000000"/>
                <w:sz w:val="22"/>
                <w:szCs w:val="22"/>
              </w:rPr>
            </w:pPr>
            <w:r>
              <w:rPr>
                <w:rFonts w:eastAsia="方正仿宋_GBK"/>
                <w:color w:val="000000"/>
                <w:kern w:val="0"/>
                <w:sz w:val="22"/>
                <w:szCs w:val="22"/>
                <w:lang w:bidi="ar"/>
              </w:rPr>
              <w:t>企业提交动态录入</w:t>
            </w:r>
          </w:p>
        </w:tc>
        <w:tc>
          <w:tcPr>
            <w:tcW w:w="892" w:type="dxa"/>
            <w:vAlign w:val="center"/>
          </w:tcPr>
          <w:p>
            <w:pPr>
              <w:widowControl/>
              <w:spacing w:line="28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555" w:type="dxa"/>
            <w:noWrap/>
            <w:vAlign w:val="center"/>
          </w:tcPr>
          <w:p>
            <w:pPr>
              <w:widowControl/>
              <w:spacing w:line="280" w:lineRule="exact"/>
              <w:jc w:val="center"/>
              <w:textAlignment w:val="center"/>
              <w:rPr>
                <w:color w:val="000000"/>
                <w:sz w:val="22"/>
                <w:szCs w:val="22"/>
              </w:rPr>
            </w:pPr>
            <w:r>
              <w:rPr>
                <w:color w:val="000000"/>
                <w:kern w:val="0"/>
                <w:sz w:val="22"/>
                <w:szCs w:val="22"/>
                <w:lang w:bidi="ar"/>
              </w:rPr>
              <w:t>14</w:t>
            </w:r>
          </w:p>
        </w:tc>
        <w:tc>
          <w:tcPr>
            <w:tcW w:w="1238" w:type="dxa"/>
            <w:vMerge w:val="continue"/>
            <w:vAlign w:val="center"/>
          </w:tcPr>
          <w:p>
            <w:pPr>
              <w:widowControl/>
              <w:spacing w:line="280" w:lineRule="exact"/>
              <w:jc w:val="center"/>
              <w:rPr>
                <w:rFonts w:eastAsia="方正楷体_GBK"/>
                <w:bCs/>
                <w:color w:val="000000"/>
                <w:sz w:val="22"/>
                <w:szCs w:val="22"/>
              </w:rPr>
            </w:pPr>
          </w:p>
        </w:tc>
        <w:tc>
          <w:tcPr>
            <w:tcW w:w="1365" w:type="dxa"/>
            <w:vAlign w:val="center"/>
          </w:tcPr>
          <w:p>
            <w:pPr>
              <w:widowControl/>
              <w:spacing w:line="280" w:lineRule="exact"/>
              <w:jc w:val="center"/>
              <w:textAlignment w:val="center"/>
              <w:rPr>
                <w:rFonts w:eastAsia="方正仿宋_GBK"/>
                <w:color w:val="000000"/>
                <w:sz w:val="22"/>
                <w:szCs w:val="22"/>
              </w:rPr>
            </w:pPr>
            <w:r>
              <w:rPr>
                <w:rFonts w:eastAsia="方正仿宋_GBK"/>
                <w:color w:val="000000"/>
                <w:kern w:val="0"/>
                <w:sz w:val="22"/>
                <w:szCs w:val="22"/>
                <w:lang w:bidi="ar"/>
              </w:rPr>
              <w:t>新闻媒体正面报道</w:t>
            </w:r>
          </w:p>
        </w:tc>
        <w:tc>
          <w:tcPr>
            <w:tcW w:w="735" w:type="dxa"/>
            <w:vAlign w:val="center"/>
          </w:tcPr>
          <w:p>
            <w:pPr>
              <w:widowControl/>
              <w:spacing w:line="280" w:lineRule="exact"/>
              <w:jc w:val="center"/>
              <w:textAlignment w:val="center"/>
              <w:rPr>
                <w:color w:val="000000"/>
              </w:rPr>
            </w:pPr>
          </w:p>
        </w:tc>
        <w:tc>
          <w:tcPr>
            <w:tcW w:w="7033" w:type="dxa"/>
            <w:gridSpan w:val="3"/>
            <w:vAlign w:val="center"/>
          </w:tcPr>
          <w:p>
            <w:pPr>
              <w:widowControl/>
              <w:spacing w:line="280" w:lineRule="exact"/>
              <w:jc w:val="left"/>
              <w:textAlignment w:val="center"/>
              <w:rPr>
                <w:rFonts w:eastAsia="方正仿宋_GBK"/>
                <w:color w:val="000000"/>
                <w:sz w:val="22"/>
                <w:szCs w:val="22"/>
              </w:rPr>
            </w:pPr>
            <w:r>
              <w:rPr>
                <w:rFonts w:eastAsia="方正仿宋_GBK"/>
                <w:color w:val="000000"/>
                <w:kern w:val="0"/>
                <w:sz w:val="22"/>
                <w:szCs w:val="22"/>
                <w:lang w:bidi="ar"/>
              </w:rPr>
              <w:t>企业所属驾驶员、工作人员出现好人好事被新闻媒体报道的，国家级每件次加</w:t>
            </w:r>
            <w:r>
              <w:rPr>
                <w:rStyle w:val="40"/>
                <w:rFonts w:hint="default" w:ascii="Times New Roman" w:hAnsi="Times New Roman" w:cs="Times New Roman"/>
                <w:color w:val="000000"/>
                <w:lang w:bidi="ar"/>
              </w:rPr>
              <w:t>0.5分</w:t>
            </w:r>
            <w:r>
              <w:rPr>
                <w:rFonts w:eastAsia="方正仿宋_GBK"/>
                <w:color w:val="000000"/>
                <w:kern w:val="0"/>
                <w:sz w:val="22"/>
                <w:szCs w:val="22"/>
                <w:lang w:bidi="ar"/>
              </w:rPr>
              <w:t>；市级每件次加</w:t>
            </w:r>
            <w:r>
              <w:rPr>
                <w:rStyle w:val="40"/>
                <w:rFonts w:hint="default" w:ascii="Times New Roman" w:hAnsi="Times New Roman" w:cs="Times New Roman"/>
                <w:color w:val="000000"/>
                <w:lang w:bidi="ar"/>
              </w:rPr>
              <w:t>0.3分</w:t>
            </w:r>
            <w:r>
              <w:rPr>
                <w:rFonts w:eastAsia="方正仿宋_GBK"/>
                <w:color w:val="000000"/>
                <w:kern w:val="0"/>
                <w:sz w:val="22"/>
                <w:szCs w:val="22"/>
                <w:lang w:bidi="ar"/>
              </w:rPr>
              <w:t>；区县级每件次加</w:t>
            </w:r>
            <w:r>
              <w:rPr>
                <w:rStyle w:val="40"/>
                <w:rFonts w:hint="default" w:ascii="Times New Roman" w:hAnsi="Times New Roman" w:cs="Times New Roman"/>
                <w:color w:val="000000"/>
                <w:lang w:bidi="ar"/>
              </w:rPr>
              <w:t>0.1分</w:t>
            </w:r>
            <w:r>
              <w:rPr>
                <w:rFonts w:eastAsia="方正仿宋_GBK"/>
                <w:color w:val="000000"/>
                <w:kern w:val="0"/>
                <w:sz w:val="22"/>
                <w:szCs w:val="22"/>
                <w:lang w:bidi="ar"/>
              </w:rPr>
              <w:t>。同一事迹多层次报道的，以最高级别媒体报道的标准加分。（最高不超过1分）</w:t>
            </w:r>
          </w:p>
        </w:tc>
        <w:tc>
          <w:tcPr>
            <w:tcW w:w="1920" w:type="dxa"/>
            <w:vAlign w:val="center"/>
          </w:tcPr>
          <w:p>
            <w:pPr>
              <w:widowControl/>
              <w:spacing w:line="280" w:lineRule="exact"/>
              <w:jc w:val="left"/>
              <w:textAlignment w:val="center"/>
              <w:rPr>
                <w:rFonts w:eastAsia="方正仿宋_GBK"/>
                <w:color w:val="000000"/>
                <w:sz w:val="22"/>
                <w:szCs w:val="22"/>
              </w:rPr>
            </w:pPr>
            <w:r>
              <w:rPr>
                <w:rFonts w:eastAsia="方正仿宋_GBK"/>
                <w:color w:val="000000"/>
                <w:kern w:val="0"/>
                <w:sz w:val="22"/>
                <w:szCs w:val="22"/>
                <w:lang w:bidi="ar"/>
              </w:rPr>
              <w:t>企业提交动态录入</w:t>
            </w:r>
          </w:p>
        </w:tc>
        <w:tc>
          <w:tcPr>
            <w:tcW w:w="892" w:type="dxa"/>
            <w:vAlign w:val="center"/>
          </w:tcPr>
          <w:p>
            <w:pPr>
              <w:widowControl/>
              <w:spacing w:line="28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55" w:type="dxa"/>
            <w:noWrap/>
            <w:vAlign w:val="center"/>
          </w:tcPr>
          <w:p>
            <w:pPr>
              <w:widowControl/>
              <w:spacing w:line="280" w:lineRule="exact"/>
              <w:jc w:val="center"/>
              <w:rPr>
                <w:rFonts w:eastAsia="方正楷体_GBK"/>
                <w:bCs/>
                <w:color w:val="000000"/>
                <w:sz w:val="22"/>
                <w:szCs w:val="22"/>
              </w:rPr>
            </w:pPr>
            <w:r>
              <w:rPr>
                <w:rFonts w:eastAsia="方正楷体_GBK"/>
                <w:bCs/>
                <w:color w:val="000000"/>
                <w:sz w:val="22"/>
                <w:szCs w:val="22"/>
              </w:rPr>
              <w:t>合计</w:t>
            </w:r>
          </w:p>
        </w:tc>
        <w:tc>
          <w:tcPr>
            <w:tcW w:w="1238" w:type="dxa"/>
            <w:vAlign w:val="center"/>
          </w:tcPr>
          <w:p>
            <w:pPr>
              <w:widowControl/>
              <w:spacing w:line="280" w:lineRule="exact"/>
              <w:jc w:val="center"/>
              <w:rPr>
                <w:rFonts w:eastAsia="方正楷体_GBK"/>
                <w:bCs/>
                <w:color w:val="000000"/>
                <w:sz w:val="22"/>
                <w:szCs w:val="22"/>
              </w:rPr>
            </w:pPr>
            <w:r>
              <w:rPr>
                <w:rFonts w:eastAsia="方正楷体_GBK"/>
                <w:bCs/>
                <w:color w:val="000000"/>
                <w:sz w:val="22"/>
                <w:szCs w:val="22"/>
              </w:rPr>
              <w:t>100分</w:t>
            </w:r>
          </w:p>
        </w:tc>
        <w:tc>
          <w:tcPr>
            <w:tcW w:w="1365" w:type="dxa"/>
            <w:vAlign w:val="center"/>
          </w:tcPr>
          <w:p>
            <w:pPr>
              <w:widowControl/>
              <w:spacing w:line="280" w:lineRule="exact"/>
              <w:jc w:val="center"/>
              <w:textAlignment w:val="center"/>
              <w:rPr>
                <w:rFonts w:eastAsia="方正仿宋_GBK"/>
                <w:color w:val="000000"/>
                <w:kern w:val="0"/>
                <w:sz w:val="22"/>
                <w:szCs w:val="22"/>
                <w:lang w:bidi="ar"/>
              </w:rPr>
            </w:pPr>
          </w:p>
        </w:tc>
        <w:tc>
          <w:tcPr>
            <w:tcW w:w="735" w:type="dxa"/>
            <w:vAlign w:val="center"/>
          </w:tcPr>
          <w:p>
            <w:pPr>
              <w:widowControl/>
              <w:spacing w:line="28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100分</w:t>
            </w:r>
          </w:p>
        </w:tc>
        <w:tc>
          <w:tcPr>
            <w:tcW w:w="7033" w:type="dxa"/>
            <w:gridSpan w:val="3"/>
            <w:vAlign w:val="center"/>
          </w:tcPr>
          <w:p>
            <w:pPr>
              <w:widowControl/>
              <w:spacing w:line="280" w:lineRule="exact"/>
              <w:jc w:val="left"/>
              <w:textAlignment w:val="center"/>
              <w:rPr>
                <w:rFonts w:eastAsia="方正仿宋_GBK"/>
                <w:color w:val="000000"/>
                <w:kern w:val="0"/>
                <w:sz w:val="22"/>
                <w:szCs w:val="22"/>
                <w:lang w:bidi="ar"/>
              </w:rPr>
            </w:pPr>
          </w:p>
        </w:tc>
        <w:tc>
          <w:tcPr>
            <w:tcW w:w="1920" w:type="dxa"/>
            <w:vAlign w:val="center"/>
          </w:tcPr>
          <w:p>
            <w:pPr>
              <w:widowControl/>
              <w:spacing w:line="280" w:lineRule="exact"/>
              <w:jc w:val="left"/>
              <w:textAlignment w:val="center"/>
              <w:rPr>
                <w:rFonts w:eastAsia="方正仿宋_GBK"/>
                <w:color w:val="000000"/>
                <w:kern w:val="0"/>
                <w:sz w:val="22"/>
                <w:szCs w:val="22"/>
                <w:lang w:bidi="ar"/>
              </w:rPr>
            </w:pPr>
          </w:p>
        </w:tc>
        <w:tc>
          <w:tcPr>
            <w:tcW w:w="892" w:type="dxa"/>
            <w:vAlign w:val="center"/>
          </w:tcPr>
          <w:p>
            <w:pPr>
              <w:widowControl/>
              <w:spacing w:line="28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793" w:type="dxa"/>
            <w:gridSpan w:val="2"/>
            <w:vMerge w:val="restart"/>
            <w:noWrap/>
            <w:vAlign w:val="center"/>
          </w:tcPr>
          <w:p>
            <w:pPr>
              <w:widowControl/>
              <w:spacing w:line="280" w:lineRule="exact"/>
              <w:jc w:val="center"/>
              <w:rPr>
                <w:rFonts w:eastAsia="方正楷体_GBK"/>
                <w:bCs/>
                <w:color w:val="000000"/>
                <w:sz w:val="22"/>
                <w:szCs w:val="22"/>
              </w:rPr>
            </w:pPr>
            <w:r>
              <w:rPr>
                <w:rFonts w:eastAsia="方正楷体_GBK"/>
                <w:bCs/>
                <w:color w:val="000000"/>
                <w:sz w:val="22"/>
                <w:szCs w:val="22"/>
              </w:rPr>
              <w:t>评价结论</w:t>
            </w:r>
          </w:p>
        </w:tc>
        <w:tc>
          <w:tcPr>
            <w:tcW w:w="1365" w:type="dxa"/>
            <w:vAlign w:val="center"/>
          </w:tcPr>
          <w:p>
            <w:pPr>
              <w:widowControl/>
              <w:spacing w:line="28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10580" w:type="dxa"/>
            <w:gridSpan w:val="6"/>
            <w:vAlign w:val="center"/>
          </w:tcPr>
          <w:p>
            <w:pPr>
              <w:widowControl/>
              <w:spacing w:line="28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793" w:type="dxa"/>
            <w:gridSpan w:val="2"/>
            <w:vMerge w:val="continue"/>
            <w:noWrap/>
            <w:vAlign w:val="center"/>
          </w:tcPr>
          <w:p>
            <w:pPr>
              <w:widowControl/>
              <w:spacing w:line="280" w:lineRule="exact"/>
              <w:jc w:val="center"/>
              <w:rPr>
                <w:rFonts w:eastAsia="方正楷体_GBK"/>
                <w:bCs/>
                <w:color w:val="000000"/>
                <w:sz w:val="22"/>
                <w:szCs w:val="22"/>
              </w:rPr>
            </w:pPr>
          </w:p>
        </w:tc>
        <w:tc>
          <w:tcPr>
            <w:tcW w:w="1365" w:type="dxa"/>
            <w:vAlign w:val="center"/>
          </w:tcPr>
          <w:p>
            <w:pPr>
              <w:widowControl/>
              <w:spacing w:line="28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评价机构</w:t>
            </w:r>
          </w:p>
        </w:tc>
        <w:tc>
          <w:tcPr>
            <w:tcW w:w="10580" w:type="dxa"/>
            <w:gridSpan w:val="6"/>
            <w:vAlign w:val="center"/>
          </w:tcPr>
          <w:p>
            <w:pPr>
              <w:widowControl/>
              <w:spacing w:line="28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793" w:type="dxa"/>
            <w:gridSpan w:val="2"/>
            <w:vMerge w:val="continue"/>
            <w:noWrap/>
            <w:vAlign w:val="center"/>
          </w:tcPr>
          <w:p>
            <w:pPr>
              <w:widowControl/>
              <w:spacing w:line="280" w:lineRule="exact"/>
              <w:jc w:val="center"/>
              <w:rPr>
                <w:rFonts w:eastAsia="方正楷体_GBK"/>
                <w:bCs/>
                <w:color w:val="000000"/>
                <w:sz w:val="22"/>
                <w:szCs w:val="22"/>
              </w:rPr>
            </w:pPr>
          </w:p>
        </w:tc>
        <w:tc>
          <w:tcPr>
            <w:tcW w:w="1365" w:type="dxa"/>
            <w:vAlign w:val="center"/>
          </w:tcPr>
          <w:p>
            <w:pPr>
              <w:widowControl/>
              <w:spacing w:line="28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经办人</w:t>
            </w:r>
          </w:p>
        </w:tc>
        <w:tc>
          <w:tcPr>
            <w:tcW w:w="5883" w:type="dxa"/>
            <w:gridSpan w:val="2"/>
            <w:vAlign w:val="center"/>
          </w:tcPr>
          <w:p>
            <w:pPr>
              <w:widowControl/>
              <w:spacing w:line="280" w:lineRule="exact"/>
              <w:jc w:val="center"/>
              <w:textAlignment w:val="center"/>
              <w:rPr>
                <w:rFonts w:eastAsia="方正仿宋_GBK"/>
                <w:color w:val="000000"/>
                <w:kern w:val="0"/>
                <w:sz w:val="22"/>
                <w:szCs w:val="22"/>
                <w:lang w:bidi="ar"/>
              </w:rPr>
            </w:pPr>
          </w:p>
        </w:tc>
        <w:tc>
          <w:tcPr>
            <w:tcW w:w="1547" w:type="dxa"/>
            <w:vAlign w:val="center"/>
          </w:tcPr>
          <w:p>
            <w:pPr>
              <w:widowControl/>
              <w:spacing w:line="28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评价日期</w:t>
            </w:r>
          </w:p>
        </w:tc>
        <w:tc>
          <w:tcPr>
            <w:tcW w:w="3150" w:type="dxa"/>
            <w:gridSpan w:val="3"/>
            <w:vAlign w:val="center"/>
          </w:tcPr>
          <w:p>
            <w:pPr>
              <w:widowControl/>
              <w:spacing w:line="280" w:lineRule="exact"/>
              <w:jc w:val="center"/>
              <w:rPr>
                <w:rFonts w:eastAsia="仿宋_GB2312"/>
                <w:color w:val="000000"/>
                <w:sz w:val="20"/>
              </w:rPr>
            </w:pPr>
            <w:r>
              <w:rPr>
                <w:rFonts w:eastAsia="仿宋_GB2312"/>
                <w:color w:val="000000"/>
                <w:sz w:val="20"/>
              </w:rPr>
              <w:t xml:space="preserve">         年    月    日</w:t>
            </w:r>
          </w:p>
        </w:tc>
      </w:tr>
    </w:tbl>
    <w:p>
      <w:pPr>
        <w:spacing w:line="400" w:lineRule="exact"/>
        <w:ind w:firstLine="420" w:firstLineChars="200"/>
        <w:rPr>
          <w:rFonts w:eastAsia="方正仿宋_GBK"/>
          <w:color w:val="000000"/>
        </w:rPr>
      </w:pPr>
      <w:r>
        <w:rPr>
          <w:rFonts w:eastAsia="方正仿宋_GBK"/>
          <w:color w:val="000000"/>
        </w:rPr>
        <w:t>备注：</w:t>
      </w:r>
    </w:p>
    <w:p>
      <w:pPr>
        <w:spacing w:line="400" w:lineRule="exact"/>
        <w:ind w:firstLine="420" w:firstLineChars="200"/>
        <w:rPr>
          <w:rFonts w:eastAsia="方正仿宋_GBK"/>
          <w:color w:val="000000"/>
        </w:rPr>
      </w:pPr>
      <w:r>
        <w:rPr>
          <w:rFonts w:eastAsia="方正仿宋_GBK"/>
          <w:color w:val="000000"/>
        </w:rPr>
        <w:t>一、每个考核专项以分项分值为最高扣（加）分，此项扣（加）满最高分后，不再额外增加扣（加）分；</w:t>
      </w:r>
    </w:p>
    <w:p>
      <w:pPr>
        <w:spacing w:line="400" w:lineRule="exact"/>
        <w:ind w:firstLine="420" w:firstLineChars="200"/>
        <w:rPr>
          <w:rFonts w:eastAsia="方正仿宋_GBK"/>
          <w:color w:val="000000"/>
        </w:rPr>
      </w:pPr>
      <w:r>
        <w:rPr>
          <w:rFonts w:eastAsia="方正仿宋_GBK"/>
          <w:color w:val="000000"/>
        </w:rPr>
        <w:t>二、评分标准中百分比（或者比值）的取值方式，统一采取先多保留一位，然后按照“四舍五入”的方式进行取值。如：有责投诉率为0.33，最后一位小数“四舍五入”后为0.3；有责投诉率为0.35，最后一位小数“四舍五入”后为0.4。</w:t>
      </w:r>
    </w:p>
    <w:p>
      <w:pPr>
        <w:spacing w:line="400" w:lineRule="exact"/>
        <w:ind w:firstLine="420" w:firstLineChars="200"/>
        <w:rPr>
          <w:rFonts w:eastAsia="方正仿宋_GBK"/>
          <w:color w:val="000000"/>
        </w:rPr>
      </w:pPr>
      <w:r>
        <w:rPr>
          <w:rFonts w:eastAsia="方正仿宋_GBK"/>
          <w:color w:val="000000"/>
        </w:rPr>
        <w:t>三、相关指标专项包括的内容</w:t>
      </w:r>
    </w:p>
    <w:p>
      <w:pPr>
        <w:spacing w:line="400" w:lineRule="exact"/>
        <w:ind w:firstLine="420" w:firstLineChars="200"/>
        <w:rPr>
          <w:rFonts w:eastAsia="方正仿宋_GBK"/>
          <w:color w:val="000000"/>
        </w:rPr>
      </w:pPr>
      <w:r>
        <w:rPr>
          <w:rFonts w:eastAsia="方正仿宋_GBK"/>
          <w:color w:val="000000"/>
        </w:rPr>
        <w:t>（一）落实行业管理要求：是指行业管理部门通过行业管理文件明确企业应当履行的工作责任，在考核期内履行情况。包括但不限于：保持车容车貌整洁（车内老旧设施更换）、车辆月检清洗、驾驶员月度培训、保持车载智能终端完好有效、使用监控系统处置终端上报的异常（报警）状态、移动支付应当使用车载智能终端（驾驶员拒绝的）、落实疫情防控工作措施、落实公司化经营（依法签订劳动用工合同、办理驾驶员基本社会保险）等情况，被行业管理部门通报的；</w:t>
      </w:r>
    </w:p>
    <w:p>
      <w:pPr>
        <w:spacing w:line="400" w:lineRule="exact"/>
        <w:ind w:firstLine="420" w:firstLineChars="200"/>
        <w:rPr>
          <w:rFonts w:eastAsia="方正仿宋_GBK"/>
          <w:color w:val="000000"/>
        </w:rPr>
      </w:pPr>
      <w:r>
        <w:rPr>
          <w:rFonts w:eastAsia="方正仿宋_GBK"/>
          <w:color w:val="000000"/>
        </w:rPr>
        <w:t>（二）承诺履行情况：是指因行政管理及规范企业经营行为的需要，行业管理部门责成企业作出了相关履责承诺，在考核期内履行情况；</w:t>
      </w:r>
    </w:p>
    <w:p>
      <w:pPr>
        <w:spacing w:line="400" w:lineRule="exact"/>
        <w:ind w:firstLine="420" w:firstLineChars="200"/>
        <w:rPr>
          <w:rFonts w:eastAsia="方正仿宋_GBK"/>
          <w:color w:val="000000"/>
        </w:rPr>
      </w:pPr>
      <w:r>
        <w:rPr>
          <w:rFonts w:eastAsia="方正仿宋_GBK"/>
          <w:color w:val="000000"/>
        </w:rPr>
        <w:t>（三）服务行为通报情况：在经营服务或者驾驶员服务中，存在不文明、不规范的行为，包括但不限于：行业管理部门例行巡查、社会动态监督、媒体反馈等方式获取的驾驶员不文明服务、拒绝接受扫描车载智能终端付费码移动支付、随地便溺、衣冠不整、与乘客发生肢体冲突造成乘客受伤并公安部门认定承担主要责任等情况，被行业管理部门通报的。</w:t>
      </w:r>
    </w:p>
    <w:p>
      <w:pPr>
        <w:spacing w:line="400" w:lineRule="exact"/>
        <w:ind w:firstLine="420" w:firstLineChars="200"/>
        <w:rPr>
          <w:rFonts w:eastAsia="方正仿宋_GBK"/>
          <w:color w:val="000000"/>
        </w:rPr>
      </w:pPr>
      <w:r>
        <w:rPr>
          <w:rFonts w:eastAsia="方正仿宋_GBK"/>
          <w:color w:val="000000"/>
        </w:rPr>
        <w:t>（四）有责投诉率：年度内经营者所属驾驶员发生服务质量投诉被交通执法部门依法作出罚款或者暂停营运等行政处罚的次数与所属车辆总营运车次（订单量）的比值。</w:t>
      </w:r>
    </w:p>
    <w:p>
      <w:pPr>
        <w:spacing w:line="520" w:lineRule="exact"/>
        <w:jc w:val="left"/>
        <w:rPr>
          <w:rFonts w:ascii="方正黑体_GBK" w:hAnsi="方正黑体_GBK" w:eastAsia="方正黑体_GBK" w:cs="方正黑体_GBK"/>
          <w:color w:val="000000"/>
          <w:sz w:val="32"/>
          <w:szCs w:val="32"/>
        </w:rPr>
      </w:pPr>
    </w:p>
    <w:p>
      <w:pPr>
        <w:spacing w:line="520" w:lineRule="exact"/>
        <w:jc w:val="left"/>
        <w:rPr>
          <w:rFonts w:ascii="方正黑体_GBK" w:hAnsi="方正黑体_GBK" w:eastAsia="方正黑体_GBK" w:cs="方正黑体_GBK"/>
          <w:color w:val="000000"/>
          <w:sz w:val="32"/>
          <w:szCs w:val="32"/>
        </w:rPr>
      </w:pPr>
    </w:p>
    <w:p>
      <w:pPr>
        <w:spacing w:line="520" w:lineRule="exact"/>
        <w:jc w:val="left"/>
        <w:rPr>
          <w:rFonts w:ascii="方正黑体_GBK" w:hAnsi="方正黑体_GBK" w:eastAsia="方正黑体_GBK" w:cs="方正黑体_GBK"/>
          <w:color w:val="000000"/>
          <w:sz w:val="32"/>
          <w:szCs w:val="32"/>
        </w:rPr>
      </w:pPr>
    </w:p>
    <w:p>
      <w:pPr>
        <w:spacing w:line="520" w:lineRule="exact"/>
        <w:jc w:val="left"/>
        <w:rPr>
          <w:rFonts w:ascii="方正黑体_GBK" w:hAnsi="方正黑体_GBK" w:eastAsia="方正黑体_GBK" w:cs="方正黑体_GBK"/>
          <w:color w:val="000000"/>
          <w:sz w:val="32"/>
          <w:szCs w:val="32"/>
        </w:rPr>
      </w:pPr>
    </w:p>
    <w:p>
      <w:pPr>
        <w:spacing w:line="520" w:lineRule="exact"/>
        <w:jc w:val="left"/>
        <w:rPr>
          <w:rFonts w:ascii="方正黑体_GBK" w:hAnsi="方正黑体_GBK" w:eastAsia="方正黑体_GBK" w:cs="方正黑体_GBK"/>
          <w:color w:val="000000"/>
          <w:sz w:val="32"/>
          <w:szCs w:val="32"/>
        </w:rPr>
      </w:pPr>
    </w:p>
    <w:p>
      <w:pPr>
        <w:spacing w:line="520" w:lineRule="exact"/>
        <w:jc w:val="left"/>
        <w:rPr>
          <w:rFonts w:ascii="方正黑体_GBK" w:hAnsi="方正黑体_GBK" w:eastAsia="方正黑体_GBK" w:cs="方正黑体_GBK"/>
          <w:color w:val="000000"/>
          <w:sz w:val="32"/>
          <w:szCs w:val="32"/>
        </w:rPr>
      </w:pPr>
    </w:p>
    <w:p>
      <w:pPr>
        <w:spacing w:line="520" w:lineRule="exact"/>
        <w:jc w:val="left"/>
        <w:rPr>
          <w:rFonts w:ascii="方正黑体_GBK" w:hAnsi="方正黑体_GBK" w:eastAsia="方正黑体_GBK" w:cs="方正黑体_GBK"/>
          <w:color w:val="000000"/>
          <w:sz w:val="32"/>
          <w:szCs w:val="32"/>
        </w:rPr>
      </w:pPr>
    </w:p>
    <w:p>
      <w:pPr>
        <w:spacing w:line="520" w:lineRule="exact"/>
        <w:jc w:val="lef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附件1-6</w:t>
      </w:r>
    </w:p>
    <w:p>
      <w:pPr>
        <w:pStyle w:val="13"/>
        <w:spacing w:after="0" w:line="520" w:lineRule="exact"/>
        <w:ind w:left="0" w:leftChars="0" w:firstLine="0" w:firstLineChars="0"/>
        <w:rPr>
          <w:rFonts w:hint="eastAsia"/>
        </w:rPr>
      </w:pPr>
    </w:p>
    <w:p>
      <w:pPr>
        <w:spacing w:line="520" w:lineRule="exact"/>
        <w:jc w:val="center"/>
        <w:rPr>
          <w:rFonts w:eastAsia="方正小标宋_GBK"/>
          <w:color w:val="000000"/>
          <w:sz w:val="44"/>
          <w:szCs w:val="44"/>
        </w:rPr>
      </w:pPr>
      <w:r>
        <w:rPr>
          <w:rFonts w:eastAsia="方正小标宋_GBK"/>
          <w:color w:val="000000"/>
          <w:sz w:val="44"/>
          <w:szCs w:val="44"/>
        </w:rPr>
        <w:t>重庆市网络预约出租汽车经营者（平台公司）信用评价标准</w:t>
      </w:r>
    </w:p>
    <w:p>
      <w:pPr>
        <w:spacing w:line="600" w:lineRule="exact"/>
        <w:jc w:val="left"/>
        <w:rPr>
          <w:bCs/>
          <w:color w:val="000000"/>
          <w:kern w:val="0"/>
          <w:sz w:val="32"/>
          <w:szCs w:val="32"/>
          <w:lang w:bidi="ar"/>
        </w:rPr>
      </w:pPr>
      <w:r>
        <w:rPr>
          <w:rFonts w:eastAsia="方正仿宋_GBK"/>
          <w:bCs/>
          <w:color w:val="000000"/>
          <w:kern w:val="0"/>
          <w:sz w:val="28"/>
          <w:szCs w:val="28"/>
          <w:lang w:bidi="ar"/>
        </w:rPr>
        <w:t>被评价企业：                                                            评价年度：</w:t>
      </w:r>
    </w:p>
    <w:tbl>
      <w:tblPr>
        <w:tblStyle w:val="14"/>
        <w:tblW w:w="14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20"/>
        <w:gridCol w:w="1244"/>
        <w:gridCol w:w="750"/>
        <w:gridCol w:w="4826"/>
        <w:gridCol w:w="1547"/>
        <w:gridCol w:w="65"/>
        <w:gridCol w:w="2837"/>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blHeader/>
          <w:jc w:val="center"/>
        </w:trPr>
        <w:tc>
          <w:tcPr>
            <w:tcW w:w="645" w:type="dxa"/>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序号</w:t>
            </w:r>
          </w:p>
        </w:tc>
        <w:tc>
          <w:tcPr>
            <w:tcW w:w="1320" w:type="dxa"/>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一级指标及分值</w:t>
            </w:r>
          </w:p>
        </w:tc>
        <w:tc>
          <w:tcPr>
            <w:tcW w:w="1244" w:type="dxa"/>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二级指标</w:t>
            </w:r>
          </w:p>
        </w:tc>
        <w:tc>
          <w:tcPr>
            <w:tcW w:w="750" w:type="dxa"/>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分值</w:t>
            </w:r>
          </w:p>
        </w:tc>
        <w:tc>
          <w:tcPr>
            <w:tcW w:w="6438" w:type="dxa"/>
            <w:gridSpan w:val="3"/>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评分标准</w:t>
            </w:r>
          </w:p>
        </w:tc>
        <w:tc>
          <w:tcPr>
            <w:tcW w:w="2837" w:type="dxa"/>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数据来源</w:t>
            </w:r>
          </w:p>
        </w:tc>
        <w:tc>
          <w:tcPr>
            <w:tcW w:w="807" w:type="dxa"/>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45" w:type="dxa"/>
            <w:noWrap/>
            <w:vAlign w:val="center"/>
          </w:tcPr>
          <w:p>
            <w:pPr>
              <w:widowControl/>
              <w:spacing w:line="260" w:lineRule="exact"/>
              <w:jc w:val="center"/>
              <w:textAlignment w:val="center"/>
              <w:rPr>
                <w:color w:val="000000"/>
                <w:sz w:val="22"/>
                <w:szCs w:val="22"/>
              </w:rPr>
            </w:pPr>
            <w:r>
              <w:rPr>
                <w:color w:val="000000"/>
                <w:kern w:val="0"/>
                <w:sz w:val="22"/>
                <w:szCs w:val="22"/>
                <w:lang w:bidi="ar"/>
              </w:rPr>
              <w:t>1</w:t>
            </w:r>
          </w:p>
        </w:tc>
        <w:tc>
          <w:tcPr>
            <w:tcW w:w="1320" w:type="dxa"/>
            <w:vMerge w:val="restart"/>
            <w:vAlign w:val="center"/>
          </w:tcPr>
          <w:p>
            <w:pPr>
              <w:widowControl/>
              <w:spacing w:line="260" w:lineRule="exact"/>
              <w:jc w:val="center"/>
              <w:textAlignment w:val="center"/>
              <w:rPr>
                <w:rFonts w:eastAsia="方正楷体_GBK"/>
                <w:color w:val="000000"/>
                <w:kern w:val="0"/>
                <w:sz w:val="22"/>
                <w:szCs w:val="22"/>
                <w:lang w:bidi="ar"/>
              </w:rPr>
            </w:pPr>
            <w:r>
              <w:rPr>
                <w:rFonts w:eastAsia="方正楷体_GBK"/>
                <w:color w:val="000000"/>
                <w:kern w:val="0"/>
                <w:sz w:val="22"/>
                <w:szCs w:val="22"/>
                <w:lang w:bidi="ar"/>
              </w:rPr>
              <w:t>经营管理</w:t>
            </w:r>
          </w:p>
          <w:p>
            <w:pPr>
              <w:widowControl/>
              <w:spacing w:line="260" w:lineRule="exact"/>
              <w:jc w:val="center"/>
              <w:textAlignment w:val="center"/>
              <w:rPr>
                <w:rFonts w:eastAsia="方正楷体_GBK"/>
                <w:bCs/>
                <w:color w:val="000000"/>
                <w:sz w:val="22"/>
                <w:szCs w:val="22"/>
              </w:rPr>
            </w:pPr>
            <w:r>
              <w:rPr>
                <w:rFonts w:eastAsia="方正楷体_GBK"/>
                <w:color w:val="000000"/>
                <w:kern w:val="0"/>
                <w:sz w:val="22"/>
                <w:szCs w:val="22"/>
                <w:lang w:bidi="ar"/>
              </w:rPr>
              <w:t>（20分）</w:t>
            </w:r>
          </w:p>
        </w:tc>
        <w:tc>
          <w:tcPr>
            <w:tcW w:w="1244"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落实行业管理要求</w:t>
            </w:r>
          </w:p>
        </w:tc>
        <w:tc>
          <w:tcPr>
            <w:tcW w:w="750" w:type="dxa"/>
            <w:vAlign w:val="center"/>
          </w:tcPr>
          <w:p>
            <w:pPr>
              <w:widowControl/>
              <w:spacing w:line="260" w:lineRule="exact"/>
              <w:jc w:val="center"/>
              <w:textAlignment w:val="center"/>
              <w:rPr>
                <w:color w:val="000000"/>
              </w:rPr>
            </w:pPr>
            <w:r>
              <w:rPr>
                <w:rFonts w:eastAsia="方正楷体_GBK"/>
                <w:color w:val="000000"/>
                <w:kern w:val="0"/>
                <w:sz w:val="24"/>
                <w:lang w:bidi="ar"/>
              </w:rPr>
              <w:t>10</w:t>
            </w:r>
          </w:p>
        </w:tc>
        <w:tc>
          <w:tcPr>
            <w:tcW w:w="6438" w:type="dxa"/>
            <w:gridSpan w:val="3"/>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不按照行业管理的要求或者行业自律安排，在落实经营管理、疫情防控等工作责任或者维护行业运营秩序方面存在问题被交通行业管理部门通报，属于企业综合性问题的，轻微事项的每次扣0.5分，情形严重的每次扣1分；属于企业所属单车（驾驶员）问题的，所通报的车辆占企业所属车辆比例中，轻微事项每满足1%扣0.1分，情形严重的每满足1%扣0.2分。被行政管理部门约谈的，每次加扣1分，约谈后仍不整改的，每次加扣2分。</w:t>
            </w:r>
          </w:p>
        </w:tc>
        <w:tc>
          <w:tcPr>
            <w:tcW w:w="2837"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807" w:type="dxa"/>
          </w:tcPr>
          <w:p>
            <w:pPr>
              <w:widowControl/>
              <w:spacing w:line="260" w:lineRule="exact"/>
              <w:rPr>
                <w:rFonts w:eastAsia="方正楷体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45"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w:t>
            </w:r>
          </w:p>
        </w:tc>
        <w:tc>
          <w:tcPr>
            <w:tcW w:w="1320" w:type="dxa"/>
            <w:vMerge w:val="continue"/>
            <w:vAlign w:val="center"/>
          </w:tcPr>
          <w:p>
            <w:pPr>
              <w:spacing w:line="260" w:lineRule="exact"/>
              <w:jc w:val="center"/>
              <w:rPr>
                <w:rFonts w:eastAsia="方正楷体_GBK"/>
                <w:bCs/>
                <w:color w:val="000000"/>
                <w:sz w:val="22"/>
                <w:szCs w:val="22"/>
              </w:rPr>
            </w:pPr>
          </w:p>
        </w:tc>
        <w:tc>
          <w:tcPr>
            <w:tcW w:w="1244"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承诺履行情况</w:t>
            </w:r>
          </w:p>
        </w:tc>
        <w:tc>
          <w:tcPr>
            <w:tcW w:w="750" w:type="dxa"/>
            <w:vAlign w:val="center"/>
          </w:tcPr>
          <w:p>
            <w:pPr>
              <w:widowControl/>
              <w:spacing w:line="260" w:lineRule="exact"/>
              <w:jc w:val="center"/>
              <w:textAlignment w:val="center"/>
              <w:rPr>
                <w:rFonts w:eastAsia="方正楷体_GBK"/>
                <w:color w:val="000000"/>
                <w:kern w:val="0"/>
                <w:sz w:val="24"/>
                <w:lang w:bidi="ar"/>
              </w:rPr>
            </w:pPr>
            <w:r>
              <w:rPr>
                <w:rFonts w:eastAsia="方正楷体_GBK"/>
                <w:color w:val="000000"/>
                <w:kern w:val="0"/>
                <w:sz w:val="24"/>
                <w:lang w:bidi="ar"/>
              </w:rPr>
              <w:t>10</w:t>
            </w:r>
          </w:p>
        </w:tc>
        <w:tc>
          <w:tcPr>
            <w:tcW w:w="6438" w:type="dxa"/>
            <w:gridSpan w:val="3"/>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在行政管理事项中按要求作出了承诺但不履行被通报的，每次扣2分；被行政管理部门约谈的，每次加扣2分，经约谈、告诫提醒后仍不履行的，每次加扣3分。企业在经营过程中，因企业经营行为违反法律、法规等被除交通行业管理部门外的有关部门启动调查并被处以行政处罚的，每次扣2分。</w:t>
            </w:r>
          </w:p>
        </w:tc>
        <w:tc>
          <w:tcPr>
            <w:tcW w:w="2837"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sz w:val="22"/>
                <w:szCs w:val="22"/>
              </w:rPr>
              <w:t>行业管理和交通、公安、应急等部门数据共享或者执法动态录入</w:t>
            </w:r>
          </w:p>
        </w:tc>
        <w:tc>
          <w:tcPr>
            <w:tcW w:w="807" w:type="dxa"/>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5"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3</w:t>
            </w:r>
          </w:p>
        </w:tc>
        <w:tc>
          <w:tcPr>
            <w:tcW w:w="1320" w:type="dxa"/>
            <w:vMerge w:val="restart"/>
            <w:vAlign w:val="center"/>
          </w:tcPr>
          <w:p>
            <w:pPr>
              <w:widowControl/>
              <w:spacing w:line="260" w:lineRule="exact"/>
              <w:jc w:val="center"/>
              <w:textAlignment w:val="center"/>
              <w:rPr>
                <w:rFonts w:hint="eastAsia" w:eastAsia="方正楷体_GBK"/>
                <w:color w:val="000000"/>
                <w:kern w:val="0"/>
                <w:sz w:val="22"/>
                <w:szCs w:val="22"/>
                <w:lang w:bidi="ar"/>
              </w:rPr>
            </w:pPr>
          </w:p>
          <w:p>
            <w:pPr>
              <w:widowControl/>
              <w:spacing w:line="260" w:lineRule="exact"/>
              <w:jc w:val="center"/>
              <w:textAlignment w:val="center"/>
              <w:rPr>
                <w:rFonts w:eastAsia="方正楷体_GBK"/>
                <w:color w:val="000000"/>
                <w:kern w:val="0"/>
                <w:sz w:val="22"/>
                <w:szCs w:val="22"/>
                <w:lang w:bidi="ar"/>
              </w:rPr>
            </w:pPr>
            <w:r>
              <w:rPr>
                <w:rFonts w:eastAsia="方正楷体_GBK"/>
                <w:color w:val="000000"/>
                <w:kern w:val="0"/>
                <w:sz w:val="22"/>
                <w:szCs w:val="22"/>
                <w:lang w:bidi="ar"/>
              </w:rPr>
              <w:t>安全生产</w:t>
            </w:r>
          </w:p>
          <w:p>
            <w:pPr>
              <w:widowControl/>
              <w:spacing w:line="260" w:lineRule="exact"/>
              <w:jc w:val="center"/>
              <w:textAlignment w:val="center"/>
              <w:rPr>
                <w:rFonts w:hint="eastAsia" w:eastAsia="方正楷体_GBK"/>
                <w:color w:val="000000"/>
                <w:kern w:val="0"/>
                <w:sz w:val="22"/>
                <w:szCs w:val="22"/>
                <w:lang w:bidi="ar"/>
              </w:rPr>
            </w:pPr>
            <w:r>
              <w:rPr>
                <w:rFonts w:eastAsia="方正楷体_GBK"/>
                <w:color w:val="000000"/>
                <w:kern w:val="0"/>
                <w:sz w:val="22"/>
                <w:szCs w:val="22"/>
                <w:lang w:bidi="ar"/>
              </w:rPr>
              <w:t>（30分）</w:t>
            </w:r>
          </w:p>
          <w:p>
            <w:pPr>
              <w:pStyle w:val="13"/>
              <w:rPr>
                <w:rFonts w:hint="eastAsia"/>
                <w:lang w:bidi="ar"/>
              </w:rPr>
            </w:pPr>
          </w:p>
        </w:tc>
        <w:tc>
          <w:tcPr>
            <w:tcW w:w="1244"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责任事故亡人情况</w:t>
            </w:r>
          </w:p>
        </w:tc>
        <w:tc>
          <w:tcPr>
            <w:tcW w:w="750" w:type="dxa"/>
            <w:vAlign w:val="center"/>
          </w:tcPr>
          <w:p>
            <w:pPr>
              <w:widowControl/>
              <w:spacing w:line="260" w:lineRule="exact"/>
              <w:jc w:val="center"/>
              <w:textAlignment w:val="center"/>
              <w:rPr>
                <w:rFonts w:eastAsia="方正楷体_GBK"/>
                <w:color w:val="000000"/>
                <w:kern w:val="0"/>
                <w:sz w:val="24"/>
                <w:lang w:bidi="ar"/>
              </w:rPr>
            </w:pPr>
            <w:r>
              <w:rPr>
                <w:rFonts w:eastAsia="方正楷体_GBK"/>
                <w:color w:val="000000"/>
                <w:kern w:val="0"/>
                <w:sz w:val="24"/>
                <w:lang w:bidi="ar"/>
              </w:rPr>
              <w:t>15</w:t>
            </w:r>
          </w:p>
        </w:tc>
        <w:tc>
          <w:tcPr>
            <w:tcW w:w="6438" w:type="dxa"/>
            <w:gridSpan w:val="3"/>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发生交通事故致人死亡，且负同责以上的，每增加0.001人/车扣3分。</w:t>
            </w:r>
          </w:p>
        </w:tc>
        <w:tc>
          <w:tcPr>
            <w:tcW w:w="2837"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公安部门数据共享</w:t>
            </w:r>
          </w:p>
        </w:tc>
        <w:tc>
          <w:tcPr>
            <w:tcW w:w="807" w:type="dxa"/>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45"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4</w:t>
            </w:r>
          </w:p>
        </w:tc>
        <w:tc>
          <w:tcPr>
            <w:tcW w:w="1320" w:type="dxa"/>
            <w:vMerge w:val="continue"/>
            <w:vAlign w:val="center"/>
          </w:tcPr>
          <w:p>
            <w:pPr>
              <w:spacing w:line="260" w:lineRule="exact"/>
              <w:jc w:val="center"/>
              <w:rPr>
                <w:rFonts w:eastAsia="方正楷体_GBK"/>
                <w:bCs/>
                <w:color w:val="000000"/>
                <w:sz w:val="22"/>
                <w:szCs w:val="22"/>
              </w:rPr>
            </w:pPr>
          </w:p>
        </w:tc>
        <w:tc>
          <w:tcPr>
            <w:tcW w:w="1244"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安全事故报告情况</w:t>
            </w:r>
          </w:p>
        </w:tc>
        <w:tc>
          <w:tcPr>
            <w:tcW w:w="750" w:type="dxa"/>
            <w:vAlign w:val="center"/>
          </w:tcPr>
          <w:p>
            <w:pPr>
              <w:widowControl/>
              <w:spacing w:line="260" w:lineRule="exact"/>
              <w:jc w:val="center"/>
              <w:textAlignment w:val="center"/>
              <w:rPr>
                <w:rFonts w:eastAsia="方正楷体_GBK"/>
                <w:color w:val="000000"/>
                <w:kern w:val="0"/>
                <w:sz w:val="24"/>
                <w:lang w:bidi="ar"/>
              </w:rPr>
            </w:pPr>
            <w:r>
              <w:rPr>
                <w:rFonts w:eastAsia="方正楷体_GBK"/>
                <w:color w:val="000000"/>
                <w:kern w:val="0"/>
                <w:sz w:val="24"/>
                <w:lang w:bidi="ar"/>
              </w:rPr>
              <w:t>5</w:t>
            </w:r>
          </w:p>
        </w:tc>
        <w:tc>
          <w:tcPr>
            <w:tcW w:w="6438" w:type="dxa"/>
            <w:gridSpan w:val="3"/>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发生拖延报告亡人事故（1小时）的，每次扣0.5分；存在瞒报、谎报亡人事故的，每次扣1分。</w:t>
            </w:r>
          </w:p>
        </w:tc>
        <w:tc>
          <w:tcPr>
            <w:tcW w:w="2837"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交通和公安部门数据共享</w:t>
            </w:r>
          </w:p>
        </w:tc>
        <w:tc>
          <w:tcPr>
            <w:tcW w:w="807" w:type="dxa"/>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645"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5</w:t>
            </w:r>
          </w:p>
        </w:tc>
        <w:tc>
          <w:tcPr>
            <w:tcW w:w="1320" w:type="dxa"/>
            <w:vMerge w:val="continue"/>
            <w:vAlign w:val="center"/>
          </w:tcPr>
          <w:p>
            <w:pPr>
              <w:spacing w:line="260" w:lineRule="exact"/>
              <w:jc w:val="center"/>
              <w:rPr>
                <w:rFonts w:eastAsia="方正楷体_GBK"/>
                <w:bCs/>
                <w:color w:val="000000"/>
                <w:sz w:val="22"/>
                <w:szCs w:val="22"/>
              </w:rPr>
            </w:pPr>
          </w:p>
        </w:tc>
        <w:tc>
          <w:tcPr>
            <w:tcW w:w="1244"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安全生产隐患整顿</w:t>
            </w:r>
          </w:p>
        </w:tc>
        <w:tc>
          <w:tcPr>
            <w:tcW w:w="750" w:type="dxa"/>
            <w:vAlign w:val="center"/>
          </w:tcPr>
          <w:p>
            <w:pPr>
              <w:widowControl/>
              <w:spacing w:line="260" w:lineRule="exact"/>
              <w:jc w:val="center"/>
              <w:textAlignment w:val="center"/>
              <w:rPr>
                <w:rFonts w:eastAsia="方正楷体_GBK"/>
                <w:color w:val="000000"/>
                <w:kern w:val="0"/>
                <w:sz w:val="24"/>
                <w:lang w:bidi="ar"/>
              </w:rPr>
            </w:pPr>
            <w:r>
              <w:rPr>
                <w:rFonts w:eastAsia="方正楷体_GBK"/>
                <w:color w:val="000000"/>
                <w:kern w:val="0"/>
                <w:sz w:val="24"/>
                <w:lang w:bidi="ar"/>
              </w:rPr>
              <w:t>10</w:t>
            </w:r>
          </w:p>
        </w:tc>
        <w:tc>
          <w:tcPr>
            <w:tcW w:w="6438" w:type="dxa"/>
            <w:gridSpan w:val="3"/>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按要求落实双重预防机制，扣1分；因存在安全生产隐患，被行政部门挂牌或者通报要求整改的，每次次扣2分；因存在严重安全生产隐患，被列入重点安全监管名单的，每次扣3分，被处以部分或者全部停业整顿的，每次扣4分。</w:t>
            </w:r>
          </w:p>
        </w:tc>
        <w:tc>
          <w:tcPr>
            <w:tcW w:w="2837"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交通、公安、应急等部门数据共享</w:t>
            </w:r>
          </w:p>
        </w:tc>
        <w:tc>
          <w:tcPr>
            <w:tcW w:w="807" w:type="dxa"/>
            <w:vAlign w:val="center"/>
          </w:tcPr>
          <w:p>
            <w:pPr>
              <w:widowControl/>
              <w:spacing w:line="260" w:lineRule="exact"/>
              <w:ind w:firstLine="200" w:firstLineChars="100"/>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2" w:hRule="atLeast"/>
          <w:jc w:val="center"/>
        </w:trPr>
        <w:tc>
          <w:tcPr>
            <w:tcW w:w="645"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6</w:t>
            </w:r>
          </w:p>
        </w:tc>
        <w:tc>
          <w:tcPr>
            <w:tcW w:w="1320" w:type="dxa"/>
            <w:vMerge w:val="restart"/>
            <w:vAlign w:val="center"/>
          </w:tcPr>
          <w:p>
            <w:pPr>
              <w:widowControl/>
              <w:spacing w:line="260" w:lineRule="exact"/>
              <w:jc w:val="center"/>
              <w:textAlignment w:val="center"/>
              <w:rPr>
                <w:rFonts w:eastAsia="方正楷体_GBK"/>
                <w:color w:val="000000"/>
                <w:kern w:val="0"/>
                <w:sz w:val="22"/>
                <w:szCs w:val="22"/>
                <w:lang w:bidi="ar"/>
              </w:rPr>
            </w:pPr>
            <w:r>
              <w:rPr>
                <w:rFonts w:eastAsia="方正楷体_GBK"/>
                <w:color w:val="000000"/>
                <w:kern w:val="0"/>
                <w:sz w:val="22"/>
                <w:szCs w:val="22"/>
                <w:lang w:bidi="ar"/>
              </w:rPr>
              <w:t>服务质量</w:t>
            </w:r>
          </w:p>
          <w:p>
            <w:pPr>
              <w:widowControl/>
              <w:spacing w:line="260" w:lineRule="exact"/>
              <w:jc w:val="center"/>
              <w:textAlignment w:val="center"/>
              <w:rPr>
                <w:rFonts w:eastAsia="方正楷体_GBK"/>
                <w:bCs/>
                <w:color w:val="000000"/>
                <w:sz w:val="22"/>
                <w:szCs w:val="22"/>
              </w:rPr>
            </w:pPr>
            <w:r>
              <w:rPr>
                <w:rFonts w:eastAsia="方正楷体_GBK"/>
                <w:color w:val="000000"/>
                <w:kern w:val="0"/>
                <w:sz w:val="22"/>
                <w:szCs w:val="22"/>
                <w:lang w:bidi="ar"/>
              </w:rPr>
              <w:t>（30分）</w:t>
            </w:r>
          </w:p>
        </w:tc>
        <w:tc>
          <w:tcPr>
            <w:tcW w:w="1244"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服务行为通报情况</w:t>
            </w:r>
          </w:p>
        </w:tc>
        <w:tc>
          <w:tcPr>
            <w:tcW w:w="750" w:type="dxa"/>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438" w:type="dxa"/>
            <w:gridSpan w:val="3"/>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社会和行业监督中，发现驾驶员存在不规范运营服务、言行举止等问题或者违背社会公序良俗行为，或者车辆存在车容车貌等问题，被行政管理部门通报，属于企业综合性问题的，轻微事项的每次扣0.5分，情形严重的每次扣1分；属于企业所属单车（驾驶员）问题的，所通报的车辆占企业所属车辆比例中，轻微事项每满足1%扣0.1分，情形严重的每满足1%扣0.2分。被电视、报刊、电台等媒体曝光服务质量事件且属实的，轻微事项每次扣1分，情形严重事项每次扣2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因以上事项被行政管理部门约谈的，每次加扣1分，约谈后仍不整改的，每次加扣2分。</w:t>
            </w:r>
          </w:p>
        </w:tc>
        <w:tc>
          <w:tcPr>
            <w:tcW w:w="2837"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807" w:type="dxa"/>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45"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7</w:t>
            </w:r>
          </w:p>
        </w:tc>
        <w:tc>
          <w:tcPr>
            <w:tcW w:w="1320" w:type="dxa"/>
            <w:vMerge w:val="continue"/>
            <w:vAlign w:val="center"/>
          </w:tcPr>
          <w:p>
            <w:pPr>
              <w:spacing w:line="260" w:lineRule="exact"/>
              <w:jc w:val="center"/>
              <w:rPr>
                <w:rFonts w:eastAsia="方正楷体_GBK"/>
                <w:bCs/>
                <w:color w:val="000000"/>
                <w:sz w:val="22"/>
                <w:szCs w:val="22"/>
              </w:rPr>
            </w:pPr>
          </w:p>
        </w:tc>
        <w:tc>
          <w:tcPr>
            <w:tcW w:w="1244"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有责投诉率</w:t>
            </w:r>
          </w:p>
        </w:tc>
        <w:tc>
          <w:tcPr>
            <w:tcW w:w="750" w:type="dxa"/>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438" w:type="dxa"/>
            <w:gridSpan w:val="3"/>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有责投诉率每增加0.1次/车扣2分。</w:t>
            </w:r>
          </w:p>
        </w:tc>
        <w:tc>
          <w:tcPr>
            <w:tcW w:w="2837"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交通执法部门数据共享（年度统计）</w:t>
            </w:r>
          </w:p>
        </w:tc>
        <w:tc>
          <w:tcPr>
            <w:tcW w:w="807" w:type="dxa"/>
            <w:vAlign w:val="bottom"/>
          </w:tcPr>
          <w:p>
            <w:pPr>
              <w:pStyle w:val="4"/>
              <w:spacing w:line="260" w:lineRule="exact"/>
              <w:ind w:firstLine="200" w:firstLineChars="100"/>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645"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8</w:t>
            </w:r>
          </w:p>
        </w:tc>
        <w:tc>
          <w:tcPr>
            <w:tcW w:w="1320" w:type="dxa"/>
            <w:vMerge w:val="continue"/>
            <w:vAlign w:val="center"/>
          </w:tcPr>
          <w:p>
            <w:pPr>
              <w:spacing w:line="260" w:lineRule="exact"/>
              <w:jc w:val="center"/>
              <w:rPr>
                <w:rFonts w:eastAsia="方正楷体_GBK"/>
                <w:bCs/>
                <w:color w:val="000000"/>
                <w:sz w:val="22"/>
                <w:szCs w:val="22"/>
              </w:rPr>
            </w:pPr>
          </w:p>
        </w:tc>
        <w:tc>
          <w:tcPr>
            <w:tcW w:w="1244"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投诉处理及执法检查情况</w:t>
            </w:r>
          </w:p>
        </w:tc>
        <w:tc>
          <w:tcPr>
            <w:tcW w:w="750" w:type="dxa"/>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438" w:type="dxa"/>
            <w:gridSpan w:val="3"/>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企业未按要求处置转交的服务投诉或者按期反馈处置结果，被通报的，每次扣0.5分；因处置随意、态度粗暴等原因被通报的，每次扣1分；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交通行政执法部门查处的违规行为，每0.1次/车，扣0.5分；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在考核周期届满时，存在未履行交通运输行政处罚决定的，按照该交通运输行政处罚信用扣分标准，再次扣除相应分数。</w:t>
            </w:r>
          </w:p>
        </w:tc>
        <w:tc>
          <w:tcPr>
            <w:tcW w:w="2837"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807" w:type="dxa"/>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645"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9</w:t>
            </w:r>
          </w:p>
        </w:tc>
        <w:tc>
          <w:tcPr>
            <w:tcW w:w="1320" w:type="dxa"/>
            <w:vMerge w:val="restart"/>
            <w:vAlign w:val="center"/>
          </w:tcPr>
          <w:p>
            <w:pPr>
              <w:widowControl/>
              <w:spacing w:line="260" w:lineRule="exact"/>
              <w:jc w:val="center"/>
              <w:textAlignment w:val="center"/>
              <w:rPr>
                <w:rFonts w:eastAsia="方正楷体_GBK"/>
                <w:color w:val="000000"/>
                <w:kern w:val="0"/>
                <w:sz w:val="22"/>
                <w:szCs w:val="22"/>
                <w:lang w:bidi="ar"/>
              </w:rPr>
            </w:pPr>
            <w:r>
              <w:rPr>
                <w:rFonts w:eastAsia="方正楷体_GBK"/>
                <w:color w:val="000000"/>
                <w:kern w:val="0"/>
                <w:sz w:val="22"/>
                <w:szCs w:val="22"/>
                <w:lang w:bidi="ar"/>
              </w:rPr>
              <w:t>社会责任</w:t>
            </w:r>
          </w:p>
          <w:p>
            <w:pPr>
              <w:widowControl/>
              <w:spacing w:line="260" w:lineRule="exact"/>
              <w:jc w:val="center"/>
              <w:textAlignment w:val="center"/>
              <w:rPr>
                <w:rFonts w:eastAsia="方正楷体_GBK"/>
                <w:bCs/>
                <w:color w:val="000000"/>
                <w:sz w:val="22"/>
                <w:szCs w:val="22"/>
              </w:rPr>
            </w:pPr>
            <w:r>
              <w:rPr>
                <w:rFonts w:eastAsia="方正楷体_GBK"/>
                <w:color w:val="000000"/>
                <w:kern w:val="0"/>
                <w:sz w:val="22"/>
                <w:szCs w:val="22"/>
                <w:lang w:bidi="ar"/>
              </w:rPr>
              <w:t>（20分）</w:t>
            </w:r>
          </w:p>
        </w:tc>
        <w:tc>
          <w:tcPr>
            <w:tcW w:w="1244"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信访稳定情况</w:t>
            </w:r>
          </w:p>
        </w:tc>
        <w:tc>
          <w:tcPr>
            <w:tcW w:w="750" w:type="dxa"/>
            <w:vAlign w:val="center"/>
          </w:tcPr>
          <w:p>
            <w:pPr>
              <w:widowControl/>
              <w:spacing w:line="260" w:lineRule="exact"/>
              <w:jc w:val="center"/>
              <w:textAlignment w:val="center"/>
              <w:rPr>
                <w:rFonts w:eastAsia="方正仿宋_GBK"/>
                <w:color w:val="000000"/>
              </w:rPr>
            </w:pPr>
            <w:r>
              <w:rPr>
                <w:rFonts w:eastAsia="方正仿宋_GBK"/>
                <w:color w:val="000000"/>
                <w:kern w:val="0"/>
                <w:sz w:val="22"/>
                <w:szCs w:val="22"/>
                <w:lang w:bidi="ar"/>
              </w:rPr>
              <w:t>15</w:t>
            </w:r>
          </w:p>
        </w:tc>
        <w:tc>
          <w:tcPr>
            <w:tcW w:w="6438" w:type="dxa"/>
            <w:gridSpan w:val="3"/>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所属驾驶员、工作人员（包括股东、个体户），违反《信访工作条例》规定，发生进京或者到市委市政府上访的，每次扣5分；到市级行政部门或者区县人民政府上访的，每次扣3分；到区县行政部门上访的，每次扣1分。20人以上到企业集中反映诉求并由行政部门进行协调处置的，每次扣1分；经行政管理部门协调，企业不落实相关协调意见导致反映诉求持续发生的，每次扣2分；发生部分车辆非正常停运的扣3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经交通行业管理部门联合评议，不属于企业责任或原因引起的信访，本项不扣分。</w:t>
            </w:r>
          </w:p>
        </w:tc>
        <w:tc>
          <w:tcPr>
            <w:tcW w:w="2837"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信访公安等部门数据共享或动态录入</w:t>
            </w:r>
          </w:p>
        </w:tc>
        <w:tc>
          <w:tcPr>
            <w:tcW w:w="807" w:type="dxa"/>
          </w:tcPr>
          <w:p>
            <w:pPr>
              <w:widowControl/>
              <w:spacing w:line="260" w:lineRule="exac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45" w:type="dxa"/>
            <w:noWrap/>
            <w:vAlign w:val="center"/>
          </w:tcPr>
          <w:p>
            <w:pPr>
              <w:widowControl/>
              <w:spacing w:line="260" w:lineRule="exact"/>
              <w:jc w:val="center"/>
              <w:textAlignment w:val="center"/>
              <w:rPr>
                <w:color w:val="000000"/>
                <w:sz w:val="22"/>
                <w:szCs w:val="22"/>
              </w:rPr>
            </w:pPr>
            <w:r>
              <w:rPr>
                <w:color w:val="000000"/>
                <w:kern w:val="0"/>
                <w:sz w:val="22"/>
                <w:szCs w:val="22"/>
                <w:lang w:bidi="ar"/>
              </w:rPr>
              <w:t>10</w:t>
            </w:r>
          </w:p>
        </w:tc>
        <w:tc>
          <w:tcPr>
            <w:tcW w:w="1320" w:type="dxa"/>
            <w:vMerge w:val="continue"/>
            <w:vAlign w:val="center"/>
          </w:tcPr>
          <w:p>
            <w:pPr>
              <w:spacing w:line="260" w:lineRule="exact"/>
              <w:jc w:val="center"/>
              <w:rPr>
                <w:rFonts w:eastAsia="方正楷体_GBK"/>
                <w:bCs/>
                <w:color w:val="000000"/>
                <w:sz w:val="22"/>
                <w:szCs w:val="22"/>
              </w:rPr>
            </w:pPr>
          </w:p>
        </w:tc>
        <w:tc>
          <w:tcPr>
            <w:tcW w:w="1244"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公共事件处置情况</w:t>
            </w:r>
          </w:p>
        </w:tc>
        <w:tc>
          <w:tcPr>
            <w:tcW w:w="750" w:type="dxa"/>
            <w:vAlign w:val="center"/>
          </w:tcPr>
          <w:p>
            <w:pPr>
              <w:widowControl/>
              <w:spacing w:line="260" w:lineRule="exact"/>
              <w:jc w:val="center"/>
              <w:textAlignment w:val="center"/>
              <w:rPr>
                <w:color w:val="000000"/>
              </w:rPr>
            </w:pPr>
            <w:r>
              <w:rPr>
                <w:rFonts w:eastAsia="方正仿宋_GBK"/>
                <w:color w:val="000000"/>
                <w:kern w:val="0"/>
                <w:sz w:val="22"/>
                <w:szCs w:val="22"/>
                <w:lang w:bidi="ar"/>
              </w:rPr>
              <w:t>5</w:t>
            </w:r>
          </w:p>
        </w:tc>
        <w:tc>
          <w:tcPr>
            <w:tcW w:w="6438" w:type="dxa"/>
            <w:gridSpan w:val="3"/>
            <w:vAlign w:val="center"/>
          </w:tcPr>
          <w:p>
            <w:pPr>
              <w:widowControl/>
              <w:spacing w:line="260" w:lineRule="exact"/>
              <w:jc w:val="left"/>
              <w:textAlignment w:val="center"/>
              <w:rPr>
                <w:rFonts w:eastAsia="方正仿宋_GBK"/>
                <w:color w:val="000000"/>
                <w:sz w:val="22"/>
                <w:szCs w:val="22"/>
              </w:rPr>
            </w:pPr>
            <w:r>
              <w:rPr>
                <w:rFonts w:eastAsia="方正仿宋_GBK"/>
                <w:color w:val="000000"/>
                <w:sz w:val="22"/>
                <w:szCs w:val="22"/>
              </w:rPr>
              <w:t>发生公共事件，企业不服从政府或者行政管理调度部署的，每次扣2分；经交通行业管理部门约谈仍不履行的，每次扣3分。调度参与的运力未达到应调度数量90%的，每次扣0.5分；运力未达到50%的，每次扣1分。</w:t>
            </w:r>
          </w:p>
        </w:tc>
        <w:tc>
          <w:tcPr>
            <w:tcW w:w="2837"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市级部门数据共享或动态录入</w:t>
            </w:r>
          </w:p>
        </w:tc>
        <w:tc>
          <w:tcPr>
            <w:tcW w:w="807" w:type="dxa"/>
            <w:vAlign w:val="bottom"/>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5" w:type="dxa"/>
            <w:noWrap/>
            <w:vAlign w:val="center"/>
          </w:tcPr>
          <w:p>
            <w:pPr>
              <w:widowControl/>
              <w:spacing w:line="260" w:lineRule="exact"/>
              <w:jc w:val="center"/>
              <w:textAlignment w:val="center"/>
              <w:rPr>
                <w:color w:val="000000"/>
                <w:sz w:val="22"/>
                <w:szCs w:val="22"/>
              </w:rPr>
            </w:pPr>
            <w:r>
              <w:rPr>
                <w:color w:val="000000"/>
                <w:kern w:val="0"/>
                <w:sz w:val="22"/>
                <w:szCs w:val="22"/>
                <w:lang w:bidi="ar"/>
              </w:rPr>
              <w:t>12</w:t>
            </w:r>
          </w:p>
        </w:tc>
        <w:tc>
          <w:tcPr>
            <w:tcW w:w="1320" w:type="dxa"/>
            <w:vMerge w:val="restart"/>
            <w:vAlign w:val="center"/>
          </w:tcPr>
          <w:p>
            <w:pPr>
              <w:widowControl/>
              <w:spacing w:line="260" w:lineRule="exact"/>
              <w:jc w:val="center"/>
              <w:textAlignment w:val="center"/>
              <w:rPr>
                <w:rFonts w:eastAsia="方正楷体_GBK"/>
                <w:bCs/>
                <w:color w:val="000000"/>
                <w:sz w:val="22"/>
                <w:szCs w:val="22"/>
              </w:rPr>
            </w:pPr>
            <w:r>
              <w:rPr>
                <w:rFonts w:eastAsia="方正楷体_GBK"/>
                <w:color w:val="000000"/>
                <w:kern w:val="0"/>
                <w:sz w:val="22"/>
                <w:szCs w:val="22"/>
                <w:lang w:bidi="ar"/>
              </w:rPr>
              <w:t>加分项目</w:t>
            </w:r>
          </w:p>
        </w:tc>
        <w:tc>
          <w:tcPr>
            <w:tcW w:w="1244"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雷锋的士创建情况</w:t>
            </w:r>
          </w:p>
        </w:tc>
        <w:tc>
          <w:tcPr>
            <w:tcW w:w="750" w:type="dxa"/>
            <w:vAlign w:val="center"/>
          </w:tcPr>
          <w:p>
            <w:pPr>
              <w:widowControl/>
              <w:spacing w:line="260" w:lineRule="exact"/>
              <w:jc w:val="center"/>
              <w:textAlignment w:val="center"/>
              <w:rPr>
                <w:color w:val="000000"/>
              </w:rPr>
            </w:pPr>
          </w:p>
        </w:tc>
        <w:tc>
          <w:tcPr>
            <w:tcW w:w="6438" w:type="dxa"/>
            <w:gridSpan w:val="3"/>
            <w:noWrap/>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参与雷锋的士志愿服务队，一、二、三星级车辆数量合计超过本企业车辆数1%的，每增加1%加0.1分；四星级车辆每辆加0.2分；五星级车辆每辆加0.3分。（最高不超过2分）</w:t>
            </w:r>
          </w:p>
        </w:tc>
        <w:tc>
          <w:tcPr>
            <w:tcW w:w="2837"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交通行政部门动态录入</w:t>
            </w:r>
          </w:p>
        </w:tc>
        <w:tc>
          <w:tcPr>
            <w:tcW w:w="807" w:type="dxa"/>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45" w:type="dxa"/>
            <w:noWrap/>
            <w:vAlign w:val="center"/>
          </w:tcPr>
          <w:p>
            <w:pPr>
              <w:widowControl/>
              <w:spacing w:line="260" w:lineRule="exact"/>
              <w:jc w:val="center"/>
              <w:textAlignment w:val="center"/>
              <w:rPr>
                <w:color w:val="000000"/>
                <w:sz w:val="22"/>
                <w:szCs w:val="22"/>
              </w:rPr>
            </w:pPr>
            <w:r>
              <w:rPr>
                <w:color w:val="000000"/>
                <w:kern w:val="0"/>
                <w:sz w:val="22"/>
                <w:szCs w:val="22"/>
                <w:lang w:bidi="ar"/>
              </w:rPr>
              <w:t>13</w:t>
            </w:r>
          </w:p>
        </w:tc>
        <w:tc>
          <w:tcPr>
            <w:tcW w:w="1320" w:type="dxa"/>
            <w:vMerge w:val="continue"/>
            <w:vAlign w:val="center"/>
          </w:tcPr>
          <w:p>
            <w:pPr>
              <w:spacing w:line="260" w:lineRule="exact"/>
              <w:jc w:val="center"/>
              <w:rPr>
                <w:rFonts w:eastAsia="方正楷体_GBK"/>
                <w:bCs/>
                <w:color w:val="000000"/>
                <w:sz w:val="22"/>
                <w:szCs w:val="22"/>
              </w:rPr>
            </w:pPr>
          </w:p>
        </w:tc>
        <w:tc>
          <w:tcPr>
            <w:tcW w:w="1244"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行业正面典型及荣誉表彰情况</w:t>
            </w:r>
          </w:p>
        </w:tc>
        <w:tc>
          <w:tcPr>
            <w:tcW w:w="750" w:type="dxa"/>
            <w:vAlign w:val="center"/>
          </w:tcPr>
          <w:p>
            <w:pPr>
              <w:widowControl/>
              <w:spacing w:line="260" w:lineRule="exact"/>
              <w:textAlignment w:val="center"/>
              <w:rPr>
                <w:color w:val="000000"/>
              </w:rPr>
            </w:pPr>
          </w:p>
        </w:tc>
        <w:tc>
          <w:tcPr>
            <w:tcW w:w="6438" w:type="dxa"/>
            <w:gridSpan w:val="3"/>
            <w:vAlign w:val="center"/>
          </w:tcPr>
          <w:p>
            <w:pPr>
              <w:widowControl/>
              <w:spacing w:line="260" w:lineRule="exact"/>
              <w:jc w:val="left"/>
              <w:textAlignment w:val="center"/>
              <w:rPr>
                <w:rFonts w:eastAsia="方正仿宋_GBK"/>
                <w:color w:val="000000"/>
                <w:sz w:val="22"/>
                <w:szCs w:val="22"/>
              </w:rPr>
            </w:pPr>
            <w:r>
              <w:rPr>
                <w:rFonts w:eastAsia="方正仿宋_GBK"/>
                <w:color w:val="000000"/>
                <w:sz w:val="22"/>
                <w:szCs w:val="22"/>
              </w:rPr>
              <w:t>企业经营过程中获得了荣誉或者通报表彰的，国家级每次加2分；部级或者市级政府每次加1分；市级部门或者区县政府级加0.5分；区县部门级加0.2分。同一行为多层次表彰的，以最高级别奖励的标准加分。（最高不超过2分）</w:t>
            </w:r>
          </w:p>
        </w:tc>
        <w:tc>
          <w:tcPr>
            <w:tcW w:w="2837"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企业提交动态录入</w:t>
            </w:r>
          </w:p>
        </w:tc>
        <w:tc>
          <w:tcPr>
            <w:tcW w:w="807" w:type="dxa"/>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45" w:type="dxa"/>
            <w:noWrap/>
            <w:vAlign w:val="center"/>
          </w:tcPr>
          <w:p>
            <w:pPr>
              <w:widowControl/>
              <w:spacing w:line="260" w:lineRule="exact"/>
              <w:jc w:val="center"/>
              <w:textAlignment w:val="center"/>
              <w:rPr>
                <w:color w:val="000000"/>
                <w:sz w:val="22"/>
                <w:szCs w:val="22"/>
              </w:rPr>
            </w:pPr>
            <w:r>
              <w:rPr>
                <w:color w:val="000000"/>
                <w:kern w:val="0"/>
                <w:sz w:val="22"/>
                <w:szCs w:val="22"/>
                <w:lang w:bidi="ar"/>
              </w:rPr>
              <w:t>14</w:t>
            </w:r>
          </w:p>
        </w:tc>
        <w:tc>
          <w:tcPr>
            <w:tcW w:w="1320" w:type="dxa"/>
            <w:vMerge w:val="continue"/>
            <w:vAlign w:val="center"/>
          </w:tcPr>
          <w:p>
            <w:pPr>
              <w:spacing w:line="260" w:lineRule="exact"/>
              <w:jc w:val="center"/>
              <w:rPr>
                <w:rFonts w:eastAsia="方正楷体_GBK"/>
                <w:bCs/>
                <w:color w:val="000000"/>
                <w:sz w:val="22"/>
                <w:szCs w:val="22"/>
              </w:rPr>
            </w:pPr>
          </w:p>
        </w:tc>
        <w:tc>
          <w:tcPr>
            <w:tcW w:w="1244"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新闻媒体正面报道</w:t>
            </w:r>
          </w:p>
        </w:tc>
        <w:tc>
          <w:tcPr>
            <w:tcW w:w="750" w:type="dxa"/>
            <w:vAlign w:val="center"/>
          </w:tcPr>
          <w:p>
            <w:pPr>
              <w:widowControl/>
              <w:spacing w:line="260" w:lineRule="exact"/>
              <w:jc w:val="center"/>
              <w:textAlignment w:val="center"/>
              <w:rPr>
                <w:color w:val="000000"/>
              </w:rPr>
            </w:pPr>
          </w:p>
        </w:tc>
        <w:tc>
          <w:tcPr>
            <w:tcW w:w="6438" w:type="dxa"/>
            <w:gridSpan w:val="3"/>
            <w:vAlign w:val="center"/>
          </w:tcPr>
          <w:p>
            <w:pPr>
              <w:widowControl/>
              <w:spacing w:line="260" w:lineRule="exact"/>
              <w:jc w:val="left"/>
              <w:textAlignment w:val="center"/>
              <w:rPr>
                <w:rFonts w:eastAsia="方正仿宋_GBK"/>
                <w:color w:val="000000"/>
                <w:sz w:val="22"/>
                <w:szCs w:val="22"/>
              </w:rPr>
            </w:pPr>
            <w:r>
              <w:rPr>
                <w:rFonts w:eastAsia="方正仿宋_GBK"/>
                <w:color w:val="000000"/>
                <w:sz w:val="22"/>
                <w:szCs w:val="22"/>
              </w:rPr>
              <w:t>企业所属驾驶员、工作人员出现好人好事被新闻媒体报道的，国家级每件次加0.5分；市级每件次加0.3分；区县级每件次加0.1分。同一事迹多层次报道的，以最高级别媒体报道的标准加分。（最高不超过1分）</w:t>
            </w:r>
          </w:p>
        </w:tc>
        <w:tc>
          <w:tcPr>
            <w:tcW w:w="2837"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企业提交动态录入</w:t>
            </w:r>
          </w:p>
        </w:tc>
        <w:tc>
          <w:tcPr>
            <w:tcW w:w="807" w:type="dxa"/>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45" w:type="dxa"/>
            <w:noWrap/>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合计</w:t>
            </w:r>
          </w:p>
        </w:tc>
        <w:tc>
          <w:tcPr>
            <w:tcW w:w="1320" w:type="dxa"/>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100分</w:t>
            </w:r>
          </w:p>
        </w:tc>
        <w:tc>
          <w:tcPr>
            <w:tcW w:w="1244" w:type="dxa"/>
            <w:vAlign w:val="center"/>
          </w:tcPr>
          <w:p>
            <w:pPr>
              <w:widowControl/>
              <w:spacing w:line="260" w:lineRule="exact"/>
              <w:jc w:val="center"/>
              <w:textAlignment w:val="center"/>
              <w:rPr>
                <w:rFonts w:eastAsia="方正仿宋_GBK"/>
                <w:color w:val="000000"/>
                <w:kern w:val="0"/>
                <w:sz w:val="22"/>
                <w:szCs w:val="22"/>
                <w:lang w:bidi="ar"/>
              </w:rPr>
            </w:pPr>
          </w:p>
        </w:tc>
        <w:tc>
          <w:tcPr>
            <w:tcW w:w="750"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100分</w:t>
            </w:r>
          </w:p>
        </w:tc>
        <w:tc>
          <w:tcPr>
            <w:tcW w:w="6438" w:type="dxa"/>
            <w:gridSpan w:val="3"/>
            <w:vAlign w:val="center"/>
          </w:tcPr>
          <w:p>
            <w:pPr>
              <w:widowControl/>
              <w:spacing w:line="260" w:lineRule="exact"/>
              <w:jc w:val="left"/>
              <w:textAlignment w:val="center"/>
              <w:rPr>
                <w:rFonts w:eastAsia="方正仿宋_GBK"/>
                <w:color w:val="000000"/>
                <w:kern w:val="0"/>
                <w:sz w:val="22"/>
                <w:szCs w:val="22"/>
                <w:lang w:bidi="ar"/>
              </w:rPr>
            </w:pPr>
          </w:p>
        </w:tc>
        <w:tc>
          <w:tcPr>
            <w:tcW w:w="2837" w:type="dxa"/>
            <w:vAlign w:val="center"/>
          </w:tcPr>
          <w:p>
            <w:pPr>
              <w:widowControl/>
              <w:spacing w:line="260" w:lineRule="exact"/>
              <w:jc w:val="left"/>
              <w:textAlignment w:val="center"/>
              <w:rPr>
                <w:rFonts w:eastAsia="方正仿宋_GBK"/>
                <w:color w:val="000000"/>
                <w:kern w:val="0"/>
                <w:sz w:val="22"/>
                <w:szCs w:val="22"/>
                <w:lang w:bidi="ar"/>
              </w:rPr>
            </w:pPr>
          </w:p>
        </w:tc>
        <w:tc>
          <w:tcPr>
            <w:tcW w:w="807" w:type="dxa"/>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965" w:type="dxa"/>
            <w:gridSpan w:val="2"/>
            <w:vMerge w:val="restart"/>
            <w:noWrap/>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评价结论</w:t>
            </w:r>
          </w:p>
        </w:tc>
        <w:tc>
          <w:tcPr>
            <w:tcW w:w="1244"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10832" w:type="dxa"/>
            <w:gridSpan w:val="6"/>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65" w:type="dxa"/>
            <w:gridSpan w:val="2"/>
            <w:vMerge w:val="continue"/>
            <w:noWrap/>
            <w:vAlign w:val="center"/>
          </w:tcPr>
          <w:p>
            <w:pPr>
              <w:widowControl/>
              <w:spacing w:line="260" w:lineRule="exact"/>
              <w:jc w:val="center"/>
              <w:rPr>
                <w:rFonts w:eastAsia="方正楷体_GBK"/>
                <w:bCs/>
                <w:color w:val="000000"/>
                <w:sz w:val="22"/>
                <w:szCs w:val="22"/>
              </w:rPr>
            </w:pPr>
          </w:p>
        </w:tc>
        <w:tc>
          <w:tcPr>
            <w:tcW w:w="1244"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评价机构</w:t>
            </w:r>
          </w:p>
        </w:tc>
        <w:tc>
          <w:tcPr>
            <w:tcW w:w="10832" w:type="dxa"/>
            <w:gridSpan w:val="6"/>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965" w:type="dxa"/>
            <w:gridSpan w:val="2"/>
            <w:vMerge w:val="continue"/>
            <w:noWrap/>
            <w:vAlign w:val="center"/>
          </w:tcPr>
          <w:p>
            <w:pPr>
              <w:widowControl/>
              <w:spacing w:line="260" w:lineRule="exact"/>
              <w:jc w:val="center"/>
              <w:rPr>
                <w:rFonts w:eastAsia="方正楷体_GBK"/>
                <w:bCs/>
                <w:color w:val="000000"/>
                <w:sz w:val="22"/>
                <w:szCs w:val="22"/>
              </w:rPr>
            </w:pPr>
          </w:p>
        </w:tc>
        <w:tc>
          <w:tcPr>
            <w:tcW w:w="1244"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经办人</w:t>
            </w:r>
          </w:p>
        </w:tc>
        <w:tc>
          <w:tcPr>
            <w:tcW w:w="5576" w:type="dxa"/>
            <w:gridSpan w:val="2"/>
            <w:vAlign w:val="center"/>
          </w:tcPr>
          <w:p>
            <w:pPr>
              <w:widowControl/>
              <w:spacing w:line="260" w:lineRule="exact"/>
              <w:jc w:val="center"/>
              <w:textAlignment w:val="center"/>
              <w:rPr>
                <w:rFonts w:eastAsia="方正仿宋_GBK"/>
                <w:color w:val="000000"/>
                <w:kern w:val="0"/>
                <w:sz w:val="22"/>
                <w:szCs w:val="22"/>
                <w:lang w:bidi="ar"/>
              </w:rPr>
            </w:pPr>
          </w:p>
        </w:tc>
        <w:tc>
          <w:tcPr>
            <w:tcW w:w="1547"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评价日期</w:t>
            </w:r>
          </w:p>
        </w:tc>
        <w:tc>
          <w:tcPr>
            <w:tcW w:w="3709" w:type="dxa"/>
            <w:gridSpan w:val="3"/>
            <w:vAlign w:val="center"/>
          </w:tcPr>
          <w:p>
            <w:pPr>
              <w:widowControl/>
              <w:spacing w:line="260" w:lineRule="exact"/>
              <w:jc w:val="center"/>
              <w:rPr>
                <w:rFonts w:eastAsia="仿宋_GB2312"/>
                <w:color w:val="000000"/>
                <w:sz w:val="20"/>
              </w:rPr>
            </w:pPr>
            <w:r>
              <w:rPr>
                <w:rFonts w:eastAsia="仿宋_GB2312"/>
                <w:color w:val="000000"/>
                <w:sz w:val="20"/>
              </w:rPr>
              <w:t xml:space="preserve">         年    月    日</w:t>
            </w:r>
          </w:p>
        </w:tc>
      </w:tr>
    </w:tbl>
    <w:p>
      <w:pPr>
        <w:spacing w:line="340" w:lineRule="exact"/>
        <w:ind w:firstLine="420" w:firstLineChars="200"/>
        <w:rPr>
          <w:rFonts w:eastAsia="方正仿宋_GBK"/>
          <w:color w:val="000000"/>
        </w:rPr>
      </w:pPr>
      <w:r>
        <w:rPr>
          <w:rFonts w:eastAsia="方正仿宋_GBK"/>
          <w:color w:val="000000"/>
        </w:rPr>
        <w:t>备注：</w:t>
      </w:r>
    </w:p>
    <w:p>
      <w:pPr>
        <w:spacing w:line="340" w:lineRule="exact"/>
        <w:ind w:firstLine="420" w:firstLineChars="200"/>
        <w:rPr>
          <w:rFonts w:eastAsia="方正仿宋_GBK"/>
          <w:color w:val="000000"/>
        </w:rPr>
      </w:pPr>
      <w:r>
        <w:rPr>
          <w:rFonts w:eastAsia="方正仿宋_GBK"/>
          <w:color w:val="000000"/>
        </w:rPr>
        <w:t>一、每个考核专项以分项分值为最高扣（加）分，此项扣（加）满最高分后，不再额外增加扣（加）分；</w:t>
      </w:r>
    </w:p>
    <w:p>
      <w:pPr>
        <w:spacing w:line="340" w:lineRule="exact"/>
        <w:ind w:firstLine="420" w:firstLineChars="200"/>
        <w:rPr>
          <w:rFonts w:eastAsia="方正仿宋_GBK"/>
          <w:color w:val="000000"/>
        </w:rPr>
      </w:pPr>
      <w:r>
        <w:rPr>
          <w:rFonts w:eastAsia="方正仿宋_GBK"/>
          <w:color w:val="000000"/>
        </w:rPr>
        <w:t>二、评分标准中百分比（或者比值）的取值方式，统一采取先多保留一位，然后按照“四舍五入”的方式进行取值。如：有责投诉率为0.33，最后一位小数“四舍五入”后为0.3；有责投诉率为0.35，最后一位小数“四舍五入”后为0.4。</w:t>
      </w:r>
    </w:p>
    <w:p>
      <w:pPr>
        <w:spacing w:line="340" w:lineRule="exact"/>
        <w:ind w:firstLine="420" w:firstLineChars="200"/>
        <w:rPr>
          <w:rFonts w:eastAsia="方正仿宋_GBK"/>
          <w:color w:val="000000"/>
        </w:rPr>
      </w:pPr>
      <w:r>
        <w:rPr>
          <w:rFonts w:eastAsia="方正仿宋_GBK"/>
          <w:color w:val="000000"/>
        </w:rPr>
        <w:t>三、相关指标专项包括的内容</w:t>
      </w:r>
    </w:p>
    <w:p>
      <w:pPr>
        <w:spacing w:line="340" w:lineRule="exact"/>
        <w:ind w:firstLine="420" w:firstLineChars="200"/>
        <w:rPr>
          <w:rFonts w:eastAsia="方正仿宋_GBK"/>
          <w:color w:val="000000"/>
        </w:rPr>
      </w:pPr>
      <w:r>
        <w:rPr>
          <w:rFonts w:eastAsia="方正仿宋_GBK"/>
          <w:color w:val="000000"/>
        </w:rPr>
        <w:t>（一）落实行业管理要求：是指行业管理部门通过行业管理文件明确企业应当履行的工作责任，在考核期内履行情况。包括但不限于：保持车容车貌整洁（车内老旧设施更换）、车辆月检清洗、驾驶员月度培训、保持车载智能终端完好有效、使用监控系统处置终端上报的异常（报警）状态、移动支付应当使用车载智能终端（驾驶员拒绝的）、落实疫情防控工作措施、落实公司化经营（依法签订劳动用工合同、办理驾驶员基本社会保险）等情况，被行业管理部门通报的；</w:t>
      </w:r>
    </w:p>
    <w:p>
      <w:pPr>
        <w:spacing w:line="340" w:lineRule="exact"/>
        <w:ind w:firstLine="420" w:firstLineChars="200"/>
        <w:rPr>
          <w:rFonts w:eastAsia="方正仿宋_GBK"/>
          <w:color w:val="000000"/>
        </w:rPr>
      </w:pPr>
      <w:r>
        <w:rPr>
          <w:rFonts w:eastAsia="方正仿宋_GBK"/>
          <w:color w:val="000000"/>
        </w:rPr>
        <w:t>（二）承诺履行情况：是指因行政管理及规范企业经营行为的需要，行业管理部门责成企业作出了相关履责承诺，在考核期内履行情况；</w:t>
      </w:r>
    </w:p>
    <w:p>
      <w:pPr>
        <w:spacing w:line="340" w:lineRule="exact"/>
        <w:ind w:firstLine="420" w:firstLineChars="200"/>
        <w:rPr>
          <w:rFonts w:eastAsia="方正仿宋_GBK"/>
          <w:color w:val="000000"/>
        </w:rPr>
      </w:pPr>
      <w:r>
        <w:rPr>
          <w:rFonts w:eastAsia="方正仿宋_GBK"/>
          <w:color w:val="000000"/>
        </w:rPr>
        <w:t>（三）服务行为通报情况：在经营服务或者驾驶员服务中，存在不文明、不规范的行为，包括但不限于：行业管理部门例行巡查、社会动态监督、媒体反馈等方式获取的驾驶员不文明服务、拒绝接受扫描车载智能终端付费码移动支付、随地便溺、衣冠不整、与乘客发生肢体冲突造成乘客受伤并公安部门认定承担主要责任等情况，被行业管理部门通报的。</w:t>
      </w:r>
    </w:p>
    <w:p>
      <w:pPr>
        <w:spacing w:line="340" w:lineRule="exact"/>
        <w:ind w:firstLine="420" w:firstLineChars="200"/>
        <w:rPr>
          <w:rFonts w:eastAsia="方正仿宋_GBK"/>
          <w:color w:val="000000"/>
        </w:rPr>
      </w:pPr>
      <w:r>
        <w:rPr>
          <w:rFonts w:eastAsia="方正仿宋_GBK"/>
          <w:color w:val="000000"/>
        </w:rPr>
        <w:t>（四）有责投诉率：年度内经营者所属驾驶员发生服务质量投诉被交通执法部门依法作出罚款或者暂停营运等行政处罚的次数与所属车辆总营运车次（订单量）的比值。</w:t>
      </w:r>
    </w:p>
    <w:p>
      <w:pPr>
        <w:spacing w:line="560" w:lineRule="exact"/>
        <w:jc w:val="left"/>
        <w:rPr>
          <w:rFonts w:ascii="方正黑体_GBK" w:hAnsi="方正黑体_GBK" w:eastAsia="方正黑体_GBK" w:cs="方正黑体_GBK"/>
          <w:color w:val="000000"/>
          <w:sz w:val="32"/>
          <w:szCs w:val="32"/>
        </w:rPr>
      </w:pPr>
    </w:p>
    <w:p>
      <w:pPr>
        <w:spacing w:line="560" w:lineRule="exact"/>
        <w:jc w:val="left"/>
        <w:rPr>
          <w:rFonts w:ascii="方正黑体_GBK" w:hAnsi="方正黑体_GBK" w:eastAsia="方正黑体_GBK" w:cs="方正黑体_GBK"/>
          <w:color w:val="000000"/>
          <w:sz w:val="32"/>
          <w:szCs w:val="32"/>
        </w:rPr>
      </w:pPr>
    </w:p>
    <w:p>
      <w:pPr>
        <w:spacing w:line="560" w:lineRule="exact"/>
        <w:jc w:val="left"/>
        <w:rPr>
          <w:rFonts w:ascii="方正黑体_GBK" w:hAnsi="方正黑体_GBK" w:eastAsia="方正黑体_GBK" w:cs="方正黑体_GBK"/>
          <w:color w:val="000000"/>
          <w:sz w:val="32"/>
          <w:szCs w:val="32"/>
        </w:rPr>
      </w:pPr>
    </w:p>
    <w:p>
      <w:pPr>
        <w:spacing w:line="560" w:lineRule="exact"/>
        <w:jc w:val="left"/>
        <w:rPr>
          <w:rFonts w:ascii="方正黑体_GBK" w:hAnsi="方正黑体_GBK" w:eastAsia="方正黑体_GBK" w:cs="方正黑体_GBK"/>
          <w:color w:val="000000"/>
          <w:sz w:val="32"/>
          <w:szCs w:val="32"/>
        </w:rPr>
      </w:pPr>
    </w:p>
    <w:p>
      <w:pPr>
        <w:spacing w:line="560" w:lineRule="exact"/>
        <w:jc w:val="left"/>
        <w:rPr>
          <w:rFonts w:ascii="方正黑体_GBK" w:hAnsi="方正黑体_GBK" w:eastAsia="方正黑体_GBK" w:cs="方正黑体_GBK"/>
          <w:color w:val="000000"/>
          <w:sz w:val="32"/>
          <w:szCs w:val="32"/>
        </w:rPr>
      </w:pPr>
    </w:p>
    <w:p>
      <w:pPr>
        <w:spacing w:line="560" w:lineRule="exact"/>
        <w:jc w:val="left"/>
        <w:rPr>
          <w:rFonts w:ascii="方正黑体_GBK" w:hAnsi="方正黑体_GBK" w:eastAsia="方正黑体_GBK" w:cs="方正黑体_GBK"/>
          <w:color w:val="000000"/>
          <w:sz w:val="32"/>
          <w:szCs w:val="32"/>
        </w:rPr>
      </w:pPr>
    </w:p>
    <w:p>
      <w:pPr>
        <w:spacing w:line="560" w:lineRule="exact"/>
        <w:jc w:val="left"/>
        <w:rPr>
          <w:rFonts w:ascii="方正黑体_GBK" w:hAnsi="方正黑体_GBK" w:eastAsia="方正黑体_GBK" w:cs="方正黑体_GBK"/>
          <w:color w:val="000000"/>
          <w:sz w:val="32"/>
          <w:szCs w:val="32"/>
        </w:rPr>
      </w:pPr>
    </w:p>
    <w:p>
      <w:pPr>
        <w:spacing w:line="560" w:lineRule="exact"/>
        <w:jc w:val="lef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附件1-7</w:t>
      </w:r>
    </w:p>
    <w:p>
      <w:pPr>
        <w:pStyle w:val="13"/>
        <w:spacing w:after="0" w:line="560" w:lineRule="exact"/>
        <w:rPr>
          <w:rFonts w:hint="eastAsia"/>
        </w:rPr>
      </w:pPr>
    </w:p>
    <w:p>
      <w:pPr>
        <w:spacing w:line="560" w:lineRule="exact"/>
        <w:jc w:val="center"/>
        <w:rPr>
          <w:rFonts w:eastAsia="方正小标宋_GBK"/>
          <w:color w:val="000000"/>
          <w:sz w:val="44"/>
          <w:szCs w:val="44"/>
        </w:rPr>
      </w:pPr>
      <w:r>
        <w:rPr>
          <w:rFonts w:eastAsia="方正小标宋_GBK"/>
          <w:color w:val="000000"/>
          <w:sz w:val="44"/>
          <w:szCs w:val="44"/>
        </w:rPr>
        <w:t>重庆市城市轨道交通运营企业信用评价标准</w:t>
      </w:r>
    </w:p>
    <w:p>
      <w:pPr>
        <w:spacing w:line="600" w:lineRule="exact"/>
        <w:ind w:firstLine="560" w:firstLineChars="200"/>
        <w:jc w:val="left"/>
        <w:rPr>
          <w:rFonts w:eastAsia="方正仿宋_GBK"/>
          <w:bCs/>
          <w:color w:val="000000"/>
          <w:kern w:val="0"/>
          <w:sz w:val="28"/>
          <w:szCs w:val="28"/>
          <w:lang w:bidi="ar"/>
        </w:rPr>
      </w:pPr>
      <w:r>
        <w:rPr>
          <w:rFonts w:eastAsia="方正仿宋_GBK"/>
          <w:bCs/>
          <w:color w:val="000000"/>
          <w:kern w:val="0"/>
          <w:sz w:val="28"/>
          <w:szCs w:val="28"/>
          <w:lang w:bidi="ar"/>
        </w:rPr>
        <w:t xml:space="preserve">被评价企业：                       被评价线路：                    评价年度：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220"/>
        <w:gridCol w:w="1178"/>
        <w:gridCol w:w="812"/>
        <w:gridCol w:w="3034"/>
        <w:gridCol w:w="1736"/>
        <w:gridCol w:w="2866"/>
        <w:gridCol w:w="1694"/>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trPr>
        <w:tc>
          <w:tcPr>
            <w:tcW w:w="240" w:type="pct"/>
            <w:vAlign w:val="center"/>
          </w:tcPr>
          <w:p>
            <w:pPr>
              <w:widowControl/>
              <w:spacing w:line="260" w:lineRule="exact"/>
              <w:jc w:val="center"/>
              <w:textAlignment w:val="center"/>
              <w:rPr>
                <w:rFonts w:eastAsia="黑体"/>
                <w:bCs/>
                <w:color w:val="000000"/>
                <w:kern w:val="0"/>
                <w:sz w:val="28"/>
                <w:szCs w:val="28"/>
                <w:lang w:bidi="ar"/>
              </w:rPr>
            </w:pPr>
            <w:r>
              <w:rPr>
                <w:rFonts w:eastAsia="黑体"/>
                <w:bCs/>
                <w:color w:val="000000"/>
                <w:kern w:val="0"/>
                <w:sz w:val="24"/>
                <w:lang w:bidi="ar"/>
              </w:rPr>
              <w:t>序号</w:t>
            </w:r>
          </w:p>
        </w:tc>
        <w:tc>
          <w:tcPr>
            <w:tcW w:w="436" w:type="pct"/>
            <w:vAlign w:val="center"/>
          </w:tcPr>
          <w:p>
            <w:pPr>
              <w:widowControl/>
              <w:spacing w:line="260" w:lineRule="exact"/>
              <w:jc w:val="center"/>
              <w:textAlignment w:val="center"/>
              <w:rPr>
                <w:rFonts w:eastAsia="黑体"/>
                <w:bCs/>
                <w:color w:val="000000"/>
                <w:kern w:val="0"/>
                <w:sz w:val="28"/>
                <w:szCs w:val="28"/>
                <w:lang w:bidi="ar"/>
              </w:rPr>
            </w:pPr>
            <w:r>
              <w:rPr>
                <w:rFonts w:eastAsia="黑体"/>
                <w:bCs/>
                <w:color w:val="000000"/>
                <w:kern w:val="0"/>
                <w:sz w:val="24"/>
                <w:lang w:bidi="ar"/>
              </w:rPr>
              <w:t>一级指标及分值</w:t>
            </w:r>
          </w:p>
        </w:tc>
        <w:tc>
          <w:tcPr>
            <w:tcW w:w="421" w:type="pct"/>
            <w:vAlign w:val="center"/>
          </w:tcPr>
          <w:p>
            <w:pPr>
              <w:widowControl/>
              <w:spacing w:line="260" w:lineRule="exact"/>
              <w:jc w:val="center"/>
              <w:textAlignment w:val="center"/>
              <w:rPr>
                <w:rFonts w:eastAsia="黑体"/>
                <w:bCs/>
                <w:color w:val="000000"/>
                <w:kern w:val="0"/>
                <w:sz w:val="28"/>
                <w:szCs w:val="28"/>
                <w:lang w:bidi="ar"/>
              </w:rPr>
            </w:pPr>
            <w:r>
              <w:rPr>
                <w:rFonts w:eastAsia="黑体"/>
                <w:bCs/>
                <w:color w:val="000000"/>
                <w:kern w:val="0"/>
                <w:sz w:val="24"/>
                <w:lang w:bidi="ar"/>
              </w:rPr>
              <w:t>二级指标</w:t>
            </w:r>
          </w:p>
        </w:tc>
        <w:tc>
          <w:tcPr>
            <w:tcW w:w="290" w:type="pct"/>
            <w:vAlign w:val="center"/>
          </w:tcPr>
          <w:p>
            <w:pPr>
              <w:widowControl/>
              <w:spacing w:line="260" w:lineRule="exact"/>
              <w:jc w:val="center"/>
              <w:textAlignment w:val="center"/>
              <w:rPr>
                <w:rFonts w:eastAsia="黑体"/>
                <w:bCs/>
                <w:color w:val="000000"/>
                <w:kern w:val="0"/>
                <w:sz w:val="28"/>
                <w:szCs w:val="28"/>
                <w:lang w:bidi="ar"/>
              </w:rPr>
            </w:pPr>
            <w:r>
              <w:rPr>
                <w:rFonts w:eastAsia="黑体"/>
                <w:bCs/>
                <w:color w:val="000000"/>
                <w:kern w:val="0"/>
                <w:sz w:val="24"/>
                <w:lang w:bidi="ar"/>
              </w:rPr>
              <w:t>分值</w:t>
            </w:r>
          </w:p>
        </w:tc>
        <w:tc>
          <w:tcPr>
            <w:tcW w:w="2728" w:type="pct"/>
            <w:gridSpan w:val="3"/>
            <w:vAlign w:val="center"/>
          </w:tcPr>
          <w:p>
            <w:pPr>
              <w:widowControl/>
              <w:spacing w:line="260" w:lineRule="exact"/>
              <w:jc w:val="center"/>
              <w:textAlignment w:val="center"/>
              <w:rPr>
                <w:rFonts w:eastAsia="黑体"/>
                <w:bCs/>
                <w:color w:val="000000"/>
                <w:kern w:val="0"/>
                <w:sz w:val="28"/>
                <w:szCs w:val="28"/>
                <w:lang w:bidi="ar"/>
              </w:rPr>
            </w:pPr>
            <w:r>
              <w:rPr>
                <w:rFonts w:eastAsia="黑体"/>
                <w:bCs/>
                <w:color w:val="000000"/>
                <w:kern w:val="0"/>
                <w:sz w:val="24"/>
                <w:lang w:bidi="ar"/>
              </w:rPr>
              <w:t>评分标准</w:t>
            </w:r>
          </w:p>
        </w:tc>
        <w:tc>
          <w:tcPr>
            <w:tcW w:w="605" w:type="pct"/>
            <w:vAlign w:val="center"/>
          </w:tcPr>
          <w:p>
            <w:pPr>
              <w:widowControl/>
              <w:spacing w:line="260" w:lineRule="exact"/>
              <w:jc w:val="center"/>
              <w:textAlignment w:val="center"/>
              <w:rPr>
                <w:rFonts w:eastAsia="黑体"/>
                <w:bCs/>
                <w:color w:val="000000"/>
                <w:kern w:val="0"/>
                <w:sz w:val="28"/>
                <w:szCs w:val="28"/>
                <w:lang w:bidi="ar"/>
              </w:rPr>
            </w:pPr>
            <w:r>
              <w:rPr>
                <w:rFonts w:eastAsia="黑体"/>
                <w:bCs/>
                <w:color w:val="000000"/>
                <w:kern w:val="0"/>
                <w:sz w:val="24"/>
                <w:lang w:bidi="ar"/>
              </w:rPr>
              <w:t>数据来源</w:t>
            </w:r>
          </w:p>
        </w:tc>
        <w:tc>
          <w:tcPr>
            <w:tcW w:w="279" w:type="pct"/>
            <w:vAlign w:val="center"/>
          </w:tcPr>
          <w:p>
            <w:pPr>
              <w:widowControl/>
              <w:spacing w:line="260" w:lineRule="exact"/>
              <w:jc w:val="center"/>
              <w:textAlignment w:val="center"/>
              <w:rPr>
                <w:rFonts w:eastAsia="黑体"/>
                <w:bCs/>
                <w:color w:val="000000"/>
                <w:kern w:val="0"/>
                <w:sz w:val="28"/>
                <w:szCs w:val="28"/>
                <w:lang w:bidi="ar"/>
              </w:rPr>
            </w:pPr>
            <w:r>
              <w:rPr>
                <w:rFonts w:eastAsia="方正黑体_GBK"/>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240" w:type="pct"/>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w:t>
            </w:r>
          </w:p>
        </w:tc>
        <w:tc>
          <w:tcPr>
            <w:tcW w:w="436" w:type="pct"/>
            <w:vMerge w:val="restart"/>
            <w:vAlign w:val="center"/>
          </w:tcPr>
          <w:p>
            <w:pPr>
              <w:spacing w:line="260" w:lineRule="exact"/>
              <w:jc w:val="center"/>
              <w:rPr>
                <w:rFonts w:eastAsia="方正楷体_GBK"/>
                <w:bCs/>
                <w:color w:val="000000"/>
                <w:kern w:val="0"/>
                <w:sz w:val="22"/>
                <w:szCs w:val="22"/>
                <w:lang w:bidi="ar"/>
              </w:rPr>
            </w:pPr>
            <w:r>
              <w:rPr>
                <w:rFonts w:eastAsia="方正楷体_GBK"/>
                <w:bCs/>
                <w:color w:val="000000"/>
                <w:kern w:val="0"/>
                <w:sz w:val="22"/>
                <w:szCs w:val="22"/>
                <w:lang w:bidi="ar"/>
              </w:rPr>
              <w:t>经营管理</w:t>
            </w:r>
          </w:p>
          <w:p>
            <w:pPr>
              <w:spacing w:line="260" w:lineRule="exact"/>
              <w:jc w:val="center"/>
              <w:rPr>
                <w:rFonts w:eastAsia="方正楷体_GBK"/>
                <w:bCs/>
                <w:color w:val="FF0000"/>
                <w:kern w:val="0"/>
                <w:sz w:val="22"/>
                <w:szCs w:val="22"/>
                <w:lang w:bidi="ar"/>
              </w:rPr>
            </w:pPr>
            <w:r>
              <w:rPr>
                <w:rFonts w:eastAsia="方正楷体_GBK"/>
                <w:bCs/>
                <w:color w:val="000000"/>
                <w:kern w:val="0"/>
                <w:sz w:val="22"/>
                <w:szCs w:val="22"/>
                <w:lang w:bidi="ar"/>
              </w:rPr>
              <w:t>（60分）</w:t>
            </w:r>
          </w:p>
        </w:tc>
        <w:tc>
          <w:tcPr>
            <w:tcW w:w="421" w:type="pct"/>
            <w:vAlign w:val="center"/>
          </w:tcPr>
          <w:p>
            <w:pPr>
              <w:spacing w:line="260" w:lineRule="exact"/>
              <w:jc w:val="center"/>
              <w:rPr>
                <w:rFonts w:eastAsia="方正仿宋_GBK"/>
                <w:color w:val="000000"/>
                <w:sz w:val="22"/>
                <w:szCs w:val="22"/>
              </w:rPr>
            </w:pPr>
            <w:r>
              <w:rPr>
                <w:rFonts w:eastAsia="方正仿宋_GBK"/>
                <w:color w:val="000000"/>
                <w:sz w:val="22"/>
                <w:szCs w:val="22"/>
              </w:rPr>
              <w:t>进出站</w:t>
            </w:r>
          </w:p>
        </w:tc>
        <w:tc>
          <w:tcPr>
            <w:tcW w:w="290" w:type="pct"/>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5</w:t>
            </w:r>
          </w:p>
        </w:tc>
        <w:tc>
          <w:tcPr>
            <w:tcW w:w="2728" w:type="pct"/>
            <w:gridSpan w:val="3"/>
            <w:vAlign w:val="center"/>
          </w:tcPr>
          <w:p>
            <w:pPr>
              <w:spacing w:line="260" w:lineRule="exact"/>
              <w:rPr>
                <w:rFonts w:eastAsia="方正仿宋_GBK"/>
                <w:color w:val="000000"/>
                <w:sz w:val="22"/>
                <w:szCs w:val="22"/>
              </w:rPr>
            </w:pPr>
            <w:r>
              <w:rPr>
                <w:rFonts w:eastAsia="方正仿宋_GBK"/>
                <w:color w:val="000000"/>
                <w:sz w:val="22"/>
                <w:szCs w:val="22"/>
              </w:rPr>
              <w:t>1.进出站引导标识标志，未满足清晰、醒目、连续、规范要求的，每处扣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2.未提供乘车指引或者及时告知非正常运营信息的，每处扣0.2分；</w:t>
            </w:r>
          </w:p>
          <w:p>
            <w:pPr>
              <w:spacing w:line="260" w:lineRule="exact"/>
              <w:rPr>
                <w:rFonts w:eastAsia="方正仿宋_GBK"/>
                <w:color w:val="000000"/>
                <w:sz w:val="22"/>
                <w:szCs w:val="22"/>
              </w:rPr>
            </w:pPr>
            <w:r>
              <w:rPr>
                <w:rFonts w:eastAsia="方正仿宋_GBK"/>
                <w:color w:val="000000"/>
                <w:sz w:val="22"/>
                <w:szCs w:val="22"/>
              </w:rPr>
              <w:t>3.客流流线规划不合理，进出站不顺畅的，每处扣</w:t>
            </w:r>
            <w:r>
              <w:rPr>
                <w:rFonts w:eastAsia="方正仿宋_GBK"/>
                <w:color w:val="000000"/>
                <w:sz w:val="22"/>
                <w:szCs w:val="22"/>
                <w:lang w:val="en"/>
              </w:rPr>
              <w:t>0.1</w:t>
            </w:r>
            <w:r>
              <w:rPr>
                <w:rFonts w:eastAsia="方正仿宋_GBK"/>
                <w:color w:val="000000"/>
                <w:sz w:val="22"/>
                <w:szCs w:val="22"/>
              </w:rPr>
              <w:t>分。</w:t>
            </w:r>
          </w:p>
        </w:tc>
        <w:tc>
          <w:tcPr>
            <w:tcW w:w="605" w:type="pct"/>
            <w:vAlign w:val="center"/>
          </w:tcPr>
          <w:p>
            <w:pPr>
              <w:spacing w:line="260" w:lineRule="exact"/>
              <w:jc w:val="center"/>
              <w:rPr>
                <w:rFonts w:eastAsia="方正仿宋_GBK"/>
                <w:color w:val="000000"/>
                <w:sz w:val="22"/>
                <w:szCs w:val="22"/>
              </w:rPr>
            </w:pPr>
            <w:r>
              <w:rPr>
                <w:rFonts w:eastAsia="方正仿宋_GBK"/>
                <w:color w:val="000000"/>
                <w:sz w:val="22"/>
                <w:szCs w:val="22"/>
              </w:rPr>
              <w:t>专家评价，行业管理部门录入</w:t>
            </w:r>
          </w:p>
        </w:tc>
        <w:tc>
          <w:tcPr>
            <w:tcW w:w="279" w:type="pct"/>
          </w:tcPr>
          <w:p>
            <w:pPr>
              <w:spacing w:line="260" w:lineRule="exact"/>
              <w:ind w:firstLine="210" w:firstLineChars="100"/>
              <w:jc w:val="left"/>
              <w:rPr>
                <w:rFonts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240" w:type="pct"/>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w:t>
            </w:r>
          </w:p>
        </w:tc>
        <w:tc>
          <w:tcPr>
            <w:tcW w:w="436" w:type="pct"/>
            <w:vMerge w:val="continue"/>
            <w:vAlign w:val="center"/>
          </w:tcPr>
          <w:p>
            <w:pPr>
              <w:spacing w:line="260" w:lineRule="exact"/>
              <w:jc w:val="center"/>
              <w:rPr>
                <w:rFonts w:eastAsia="方正楷体_GBK"/>
                <w:bCs/>
                <w:color w:val="FF0000"/>
                <w:kern w:val="0"/>
                <w:sz w:val="22"/>
                <w:szCs w:val="22"/>
                <w:lang w:bidi="ar"/>
              </w:rPr>
            </w:pPr>
          </w:p>
        </w:tc>
        <w:tc>
          <w:tcPr>
            <w:tcW w:w="421" w:type="pct"/>
            <w:vAlign w:val="center"/>
          </w:tcPr>
          <w:p>
            <w:pPr>
              <w:spacing w:line="260" w:lineRule="exact"/>
              <w:jc w:val="center"/>
              <w:rPr>
                <w:rFonts w:eastAsia="方正仿宋_GBK"/>
                <w:color w:val="000000"/>
                <w:sz w:val="22"/>
                <w:szCs w:val="22"/>
              </w:rPr>
            </w:pPr>
            <w:r>
              <w:rPr>
                <w:rFonts w:eastAsia="方正仿宋_GBK"/>
                <w:color w:val="000000"/>
                <w:sz w:val="22"/>
                <w:szCs w:val="22"/>
              </w:rPr>
              <w:t>乘车</w:t>
            </w:r>
          </w:p>
        </w:tc>
        <w:tc>
          <w:tcPr>
            <w:tcW w:w="290" w:type="pct"/>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21</w:t>
            </w:r>
          </w:p>
        </w:tc>
        <w:tc>
          <w:tcPr>
            <w:tcW w:w="2728" w:type="pct"/>
            <w:gridSpan w:val="3"/>
            <w:vAlign w:val="center"/>
          </w:tcPr>
          <w:p>
            <w:pPr>
              <w:spacing w:line="260" w:lineRule="exact"/>
              <w:rPr>
                <w:rFonts w:eastAsia="方正仿宋_GBK"/>
                <w:color w:val="000000"/>
                <w:sz w:val="22"/>
                <w:szCs w:val="22"/>
              </w:rPr>
            </w:pPr>
            <w:r>
              <w:rPr>
                <w:rFonts w:eastAsia="方正仿宋_GBK"/>
                <w:color w:val="000000"/>
                <w:sz w:val="22"/>
                <w:szCs w:val="22"/>
              </w:rPr>
              <w:t>1.车站未设置人工问询点或者自动查询设备，或者工作人员服务不热情、用语不规范、着装不整洁的，每处扣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2.乘客购、检票不方便快捷，售票（卡）、充值不迅速准确的，每处扣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3.标志标识或者站台广播不清晰、准确、规范的，每处扣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4.站台服务人员未按规定接发列车、进行站台巡视的，每处扣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5.自动扶梯、站台门设备运行不正常的、每处扣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6.卫生、空气和温度、照明、噪声等环境不良好的，每处扣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7.列车座椅、扶手不完好，或者未设置轮椅专用位置的，每处扣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8.列车未按规定进站对位停车的，关门作业时司机未进行瞭望确认的，每次扣</w:t>
            </w:r>
            <w:r>
              <w:rPr>
                <w:rFonts w:eastAsia="方正仿宋_GBK"/>
                <w:color w:val="000000"/>
                <w:sz w:val="22"/>
                <w:szCs w:val="22"/>
                <w:lang w:val="en"/>
              </w:rPr>
              <w:t>0.1</w:t>
            </w:r>
            <w:r>
              <w:rPr>
                <w:rFonts w:eastAsia="方正仿宋_GBK"/>
                <w:color w:val="000000"/>
                <w:sz w:val="22"/>
                <w:szCs w:val="22"/>
              </w:rPr>
              <w:t>分。</w:t>
            </w:r>
          </w:p>
        </w:tc>
        <w:tc>
          <w:tcPr>
            <w:tcW w:w="605" w:type="pct"/>
            <w:vAlign w:val="center"/>
          </w:tcPr>
          <w:p>
            <w:pPr>
              <w:spacing w:line="260" w:lineRule="exact"/>
              <w:jc w:val="center"/>
              <w:rPr>
                <w:rFonts w:eastAsia="方正仿宋_GBK"/>
                <w:color w:val="000000"/>
                <w:sz w:val="22"/>
                <w:szCs w:val="22"/>
              </w:rPr>
            </w:pPr>
            <w:r>
              <w:rPr>
                <w:rFonts w:eastAsia="方正仿宋_GBK"/>
                <w:color w:val="000000"/>
                <w:sz w:val="22"/>
                <w:szCs w:val="22"/>
              </w:rPr>
              <w:t>专家评价，行业管理部门录入</w:t>
            </w:r>
          </w:p>
        </w:tc>
        <w:tc>
          <w:tcPr>
            <w:tcW w:w="279" w:type="pct"/>
          </w:tcPr>
          <w:p>
            <w:pPr>
              <w:spacing w:line="260" w:lineRule="exact"/>
              <w:ind w:firstLine="210" w:firstLineChars="100"/>
              <w:jc w:val="left"/>
              <w:rPr>
                <w:rFonts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240" w:type="pct"/>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3</w:t>
            </w:r>
          </w:p>
        </w:tc>
        <w:tc>
          <w:tcPr>
            <w:tcW w:w="436" w:type="pct"/>
            <w:vMerge w:val="continue"/>
            <w:vAlign w:val="center"/>
          </w:tcPr>
          <w:p>
            <w:pPr>
              <w:spacing w:line="260" w:lineRule="exact"/>
              <w:jc w:val="center"/>
              <w:rPr>
                <w:rFonts w:eastAsia="方正楷体_GBK"/>
                <w:bCs/>
                <w:color w:val="FF0000"/>
                <w:kern w:val="0"/>
                <w:sz w:val="22"/>
                <w:szCs w:val="22"/>
                <w:lang w:bidi="ar"/>
              </w:rPr>
            </w:pPr>
          </w:p>
        </w:tc>
        <w:tc>
          <w:tcPr>
            <w:tcW w:w="421" w:type="pct"/>
            <w:vAlign w:val="center"/>
          </w:tcPr>
          <w:p>
            <w:pPr>
              <w:spacing w:line="260" w:lineRule="exact"/>
              <w:jc w:val="center"/>
              <w:rPr>
                <w:rFonts w:eastAsia="方正仿宋_GBK"/>
                <w:color w:val="000000"/>
                <w:sz w:val="22"/>
                <w:szCs w:val="22"/>
              </w:rPr>
            </w:pPr>
            <w:r>
              <w:rPr>
                <w:rFonts w:eastAsia="方正仿宋_GBK"/>
                <w:color w:val="000000"/>
                <w:sz w:val="22"/>
                <w:szCs w:val="22"/>
              </w:rPr>
              <w:t>基础保障</w:t>
            </w:r>
          </w:p>
        </w:tc>
        <w:tc>
          <w:tcPr>
            <w:tcW w:w="290" w:type="pct"/>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19</w:t>
            </w:r>
          </w:p>
        </w:tc>
        <w:tc>
          <w:tcPr>
            <w:tcW w:w="2728" w:type="pct"/>
            <w:gridSpan w:val="3"/>
            <w:vAlign w:val="center"/>
          </w:tcPr>
          <w:p>
            <w:pPr>
              <w:spacing w:line="260" w:lineRule="exact"/>
              <w:rPr>
                <w:rFonts w:eastAsia="方正仿宋_GBK"/>
                <w:color w:val="000000"/>
                <w:sz w:val="22"/>
                <w:szCs w:val="22"/>
              </w:rPr>
            </w:pPr>
            <w:r>
              <w:rPr>
                <w:rFonts w:eastAsia="方正仿宋_GBK"/>
                <w:color w:val="000000"/>
                <w:sz w:val="22"/>
                <w:szCs w:val="22"/>
              </w:rPr>
              <w:t>1.服务管理制度不完善的，每缺失一项扣0.2分；</w:t>
            </w:r>
          </w:p>
          <w:p>
            <w:pPr>
              <w:spacing w:line="260" w:lineRule="exact"/>
              <w:rPr>
                <w:rFonts w:eastAsia="方正仿宋_GBK"/>
                <w:color w:val="000000"/>
                <w:sz w:val="22"/>
                <w:szCs w:val="22"/>
              </w:rPr>
            </w:pPr>
            <w:r>
              <w:rPr>
                <w:rFonts w:eastAsia="方正仿宋_GBK"/>
                <w:color w:val="000000"/>
                <w:sz w:val="22"/>
                <w:szCs w:val="22"/>
              </w:rPr>
              <w:t>2.人员岗位职责不清晰，或者培训不到位的，扣</w:t>
            </w:r>
            <w:r>
              <w:rPr>
                <w:rFonts w:eastAsia="方正仿宋_GBK"/>
                <w:color w:val="000000"/>
                <w:sz w:val="22"/>
                <w:szCs w:val="22"/>
                <w:lang w:val="en"/>
              </w:rPr>
              <w:t>0.5</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3.未制定或者客运组织方案不合理的，扣</w:t>
            </w:r>
            <w:r>
              <w:rPr>
                <w:rFonts w:eastAsia="方正仿宋_GBK"/>
                <w:color w:val="000000"/>
                <w:sz w:val="22"/>
                <w:szCs w:val="22"/>
                <w:lang w:val="en"/>
              </w:rPr>
              <w:t>0.5</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4.未将服务质量承诺备案并告知公众的，扣</w:t>
            </w:r>
            <w:r>
              <w:rPr>
                <w:rFonts w:eastAsia="方正仿宋_GBK"/>
                <w:color w:val="000000"/>
                <w:sz w:val="22"/>
                <w:szCs w:val="22"/>
                <w:lang w:val="en"/>
              </w:rPr>
              <w:t>0.5</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5.服务投诉受理渠道不畅通，处理不及时的，扣</w:t>
            </w:r>
            <w:r>
              <w:rPr>
                <w:rFonts w:eastAsia="方正仿宋_GBK"/>
                <w:color w:val="000000"/>
                <w:sz w:val="22"/>
                <w:szCs w:val="22"/>
                <w:lang w:val="en"/>
              </w:rPr>
              <w:t>0.5</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6.未建立企业服务监督考核机制，或者对服务质量问题整改不到位的，扣</w:t>
            </w:r>
            <w:r>
              <w:rPr>
                <w:rFonts w:eastAsia="方正仿宋_GBK"/>
                <w:color w:val="000000"/>
                <w:sz w:val="22"/>
                <w:szCs w:val="22"/>
                <w:lang w:val="en"/>
              </w:rPr>
              <w:t>0.5</w:t>
            </w:r>
            <w:r>
              <w:rPr>
                <w:rFonts w:eastAsia="方正仿宋_GBK"/>
                <w:color w:val="000000"/>
                <w:sz w:val="22"/>
                <w:szCs w:val="22"/>
              </w:rPr>
              <w:t xml:space="preserve">分。             </w:t>
            </w:r>
          </w:p>
          <w:p>
            <w:pPr>
              <w:spacing w:line="260" w:lineRule="exact"/>
              <w:rPr>
                <w:rFonts w:eastAsia="方正仿宋_GBK"/>
                <w:color w:val="000000"/>
                <w:sz w:val="22"/>
                <w:szCs w:val="22"/>
              </w:rPr>
            </w:pPr>
            <w:r>
              <w:rPr>
                <w:rFonts w:eastAsia="方正仿宋_GBK"/>
                <w:color w:val="000000"/>
                <w:sz w:val="22"/>
                <w:szCs w:val="22"/>
              </w:rPr>
              <w:t>7.未按要求落实双重预防机制，扣0.5分；</w:t>
            </w:r>
          </w:p>
        </w:tc>
        <w:tc>
          <w:tcPr>
            <w:tcW w:w="605" w:type="pct"/>
            <w:vAlign w:val="center"/>
          </w:tcPr>
          <w:p>
            <w:pPr>
              <w:spacing w:line="260" w:lineRule="exact"/>
              <w:jc w:val="center"/>
              <w:rPr>
                <w:rFonts w:eastAsia="方正仿宋_GBK"/>
                <w:color w:val="000000"/>
                <w:sz w:val="22"/>
                <w:szCs w:val="22"/>
              </w:rPr>
            </w:pPr>
            <w:r>
              <w:rPr>
                <w:rFonts w:eastAsia="方正仿宋_GBK"/>
                <w:color w:val="000000"/>
                <w:sz w:val="22"/>
                <w:szCs w:val="22"/>
              </w:rPr>
              <w:t>专家评价，行业管理部门录入</w:t>
            </w:r>
          </w:p>
        </w:tc>
        <w:tc>
          <w:tcPr>
            <w:tcW w:w="279" w:type="pct"/>
          </w:tcPr>
          <w:p>
            <w:pPr>
              <w:spacing w:line="260" w:lineRule="exact"/>
              <w:ind w:firstLine="210" w:firstLineChars="100"/>
              <w:jc w:val="left"/>
              <w:rPr>
                <w:rFonts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240" w:type="pct"/>
            <w:vAlign w:val="center"/>
          </w:tcPr>
          <w:p>
            <w:pPr>
              <w:spacing w:line="260" w:lineRule="exact"/>
              <w:jc w:val="center"/>
              <w:rPr>
                <w:rFonts w:eastAsia="方正仿宋_GBK"/>
                <w:color w:val="000000"/>
                <w:sz w:val="22"/>
                <w:szCs w:val="22"/>
              </w:rPr>
            </w:pPr>
            <w:r>
              <w:rPr>
                <w:color w:val="000000"/>
                <w:kern w:val="0"/>
                <w:sz w:val="22"/>
                <w:szCs w:val="22"/>
                <w:lang w:bidi="ar"/>
              </w:rPr>
              <w:t>4</w:t>
            </w:r>
          </w:p>
        </w:tc>
        <w:tc>
          <w:tcPr>
            <w:tcW w:w="436" w:type="pct"/>
            <w:vMerge w:val="continue"/>
            <w:vAlign w:val="center"/>
          </w:tcPr>
          <w:p>
            <w:pPr>
              <w:spacing w:line="260" w:lineRule="exact"/>
              <w:rPr>
                <w:rFonts w:eastAsia="方正仿宋_GBK"/>
                <w:color w:val="000000"/>
                <w:sz w:val="22"/>
                <w:szCs w:val="22"/>
              </w:rPr>
            </w:pPr>
          </w:p>
        </w:tc>
        <w:tc>
          <w:tcPr>
            <w:tcW w:w="421" w:type="pct"/>
            <w:vAlign w:val="center"/>
          </w:tcPr>
          <w:p>
            <w:pPr>
              <w:spacing w:line="260" w:lineRule="exact"/>
              <w:rPr>
                <w:rFonts w:eastAsia="方正仿宋_GBK"/>
                <w:color w:val="000000"/>
                <w:sz w:val="22"/>
                <w:szCs w:val="22"/>
              </w:rPr>
            </w:pPr>
            <w:r>
              <w:rPr>
                <w:rFonts w:eastAsia="方正仿宋_GBK"/>
                <w:color w:val="000000"/>
                <w:sz w:val="22"/>
                <w:szCs w:val="22"/>
              </w:rPr>
              <w:t>行政处罚情况</w:t>
            </w:r>
          </w:p>
        </w:tc>
        <w:tc>
          <w:tcPr>
            <w:tcW w:w="290" w:type="pct"/>
            <w:vAlign w:val="center"/>
          </w:tcPr>
          <w:p>
            <w:pPr>
              <w:spacing w:line="260" w:lineRule="exact"/>
              <w:jc w:val="center"/>
              <w:rPr>
                <w:rFonts w:eastAsia="方正仿宋_GBK"/>
                <w:color w:val="000000"/>
                <w:sz w:val="22"/>
                <w:szCs w:val="22"/>
              </w:rPr>
            </w:pPr>
            <w:r>
              <w:rPr>
                <w:color w:val="000000"/>
                <w:kern w:val="0"/>
                <w:sz w:val="22"/>
                <w:szCs w:val="22"/>
                <w:lang w:bidi="ar"/>
              </w:rPr>
              <w:t>15</w:t>
            </w:r>
          </w:p>
        </w:tc>
        <w:tc>
          <w:tcPr>
            <w:tcW w:w="2728" w:type="pct"/>
            <w:gridSpan w:val="3"/>
            <w:vAlign w:val="center"/>
          </w:tcPr>
          <w:p>
            <w:pPr>
              <w:spacing w:line="260" w:lineRule="exact"/>
              <w:rPr>
                <w:rFonts w:eastAsia="方正仿宋_GBK"/>
                <w:color w:val="000000"/>
                <w:sz w:val="22"/>
                <w:szCs w:val="22"/>
              </w:rPr>
            </w:pPr>
            <w:r>
              <w:rPr>
                <w:rFonts w:eastAsia="方正仿宋_GBK"/>
                <w:color w:val="000000"/>
                <w:sz w:val="22"/>
                <w:szCs w:val="22"/>
              </w:rPr>
              <w:t>交通行政执法部门查处的违法行为，每件扣0.1分；</w:t>
            </w:r>
          </w:p>
          <w:p>
            <w:pPr>
              <w:spacing w:line="260" w:lineRule="exact"/>
              <w:rPr>
                <w:rFonts w:eastAsia="方正仿宋_GBK"/>
                <w:color w:val="000000"/>
                <w:sz w:val="22"/>
                <w:szCs w:val="22"/>
              </w:rPr>
            </w:pPr>
            <w:r>
              <w:rPr>
                <w:rFonts w:eastAsia="方正仿宋_GBK"/>
                <w:color w:val="000000"/>
                <w:sz w:val="22"/>
                <w:szCs w:val="22"/>
              </w:rPr>
              <w:t>在考核周期届满时，存在未履行交通运输行政处罚决定的，按照该交通运输行政处罚信用扣分标准，再次扣除相应分数。</w:t>
            </w:r>
          </w:p>
        </w:tc>
        <w:tc>
          <w:tcPr>
            <w:tcW w:w="605" w:type="pct"/>
            <w:vAlign w:val="center"/>
          </w:tcPr>
          <w:p>
            <w:pPr>
              <w:spacing w:line="260" w:lineRule="exact"/>
              <w:rPr>
                <w:rFonts w:eastAsia="方正仿宋_GBK"/>
                <w:color w:val="000000"/>
                <w:sz w:val="22"/>
                <w:szCs w:val="22"/>
              </w:rPr>
            </w:pPr>
            <w:r>
              <w:rPr>
                <w:rFonts w:eastAsia="方正仿宋_GBK"/>
                <w:color w:val="000000"/>
                <w:sz w:val="22"/>
                <w:szCs w:val="22"/>
              </w:rPr>
              <w:t>交通执法部门数据共享</w:t>
            </w:r>
          </w:p>
        </w:tc>
        <w:tc>
          <w:tcPr>
            <w:tcW w:w="279" w:type="pct"/>
          </w:tcPr>
          <w:p>
            <w:pPr>
              <w:spacing w:line="260" w:lineRule="exact"/>
              <w:ind w:firstLine="210" w:firstLineChars="100"/>
              <w:jc w:val="left"/>
              <w:rPr>
                <w:rFonts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40" w:type="pct"/>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5</w:t>
            </w:r>
          </w:p>
        </w:tc>
        <w:tc>
          <w:tcPr>
            <w:tcW w:w="436" w:type="pct"/>
            <w:vMerge w:val="restart"/>
            <w:vAlign w:val="center"/>
          </w:tcPr>
          <w:p>
            <w:pPr>
              <w:spacing w:line="260" w:lineRule="exact"/>
              <w:jc w:val="center"/>
              <w:rPr>
                <w:rFonts w:eastAsia="方正楷体_GBK"/>
                <w:bCs/>
                <w:color w:val="000000"/>
                <w:kern w:val="0"/>
                <w:sz w:val="22"/>
                <w:szCs w:val="22"/>
                <w:lang w:bidi="ar"/>
              </w:rPr>
            </w:pPr>
            <w:r>
              <w:rPr>
                <w:rFonts w:eastAsia="方正楷体_GBK"/>
                <w:bCs/>
                <w:color w:val="000000"/>
                <w:kern w:val="0"/>
                <w:sz w:val="22"/>
                <w:szCs w:val="22"/>
                <w:lang w:bidi="ar"/>
              </w:rPr>
              <w:t>安全生产</w:t>
            </w:r>
          </w:p>
          <w:p>
            <w:pPr>
              <w:spacing w:line="260" w:lineRule="exact"/>
              <w:jc w:val="center"/>
              <w:rPr>
                <w:rFonts w:eastAsia="方正仿宋_GBK"/>
                <w:bCs/>
                <w:color w:val="000000"/>
                <w:kern w:val="0"/>
                <w:sz w:val="22"/>
                <w:szCs w:val="22"/>
                <w:lang w:bidi="ar"/>
              </w:rPr>
            </w:pPr>
            <w:r>
              <w:rPr>
                <w:rFonts w:eastAsia="方正楷体_GBK"/>
                <w:bCs/>
                <w:color w:val="000000"/>
                <w:kern w:val="0"/>
                <w:sz w:val="22"/>
                <w:szCs w:val="22"/>
                <w:lang w:bidi="ar"/>
              </w:rPr>
              <w:t>（20分）</w:t>
            </w:r>
          </w:p>
        </w:tc>
        <w:tc>
          <w:tcPr>
            <w:tcW w:w="421" w:type="pct"/>
            <w:vAlign w:val="center"/>
          </w:tcPr>
          <w:p>
            <w:pPr>
              <w:spacing w:line="260" w:lineRule="exact"/>
              <w:jc w:val="center"/>
              <w:rPr>
                <w:rFonts w:eastAsia="方正仿宋_GBK"/>
                <w:bCs/>
                <w:color w:val="000000"/>
                <w:kern w:val="0"/>
                <w:sz w:val="22"/>
                <w:szCs w:val="22"/>
                <w:lang w:bidi="ar"/>
              </w:rPr>
            </w:pPr>
            <w:r>
              <w:rPr>
                <w:rFonts w:eastAsia="方正仿宋_GBK"/>
                <w:color w:val="000000"/>
                <w:sz w:val="22"/>
                <w:szCs w:val="22"/>
              </w:rPr>
              <w:t>列车运行图兑现率（%）</w:t>
            </w:r>
          </w:p>
        </w:tc>
        <w:tc>
          <w:tcPr>
            <w:tcW w:w="290" w:type="pct"/>
            <w:vAlign w:val="center"/>
          </w:tcPr>
          <w:p>
            <w:pPr>
              <w:widowControl/>
              <w:spacing w:line="260" w:lineRule="exact"/>
              <w:jc w:val="center"/>
              <w:textAlignment w:val="center"/>
              <w:rPr>
                <w:color w:val="000000"/>
                <w:kern w:val="0"/>
                <w:sz w:val="22"/>
                <w:szCs w:val="22"/>
                <w:lang w:val="en" w:bidi="ar"/>
              </w:rPr>
            </w:pPr>
            <w:r>
              <w:rPr>
                <w:color w:val="000000"/>
                <w:kern w:val="0"/>
                <w:sz w:val="22"/>
                <w:szCs w:val="22"/>
                <w:lang w:val="en" w:bidi="ar"/>
              </w:rPr>
              <w:t>3</w:t>
            </w:r>
          </w:p>
        </w:tc>
        <w:tc>
          <w:tcPr>
            <w:tcW w:w="2728" w:type="pct"/>
            <w:gridSpan w:val="3"/>
            <w:vAlign w:val="center"/>
          </w:tcPr>
          <w:p>
            <w:pPr>
              <w:spacing w:line="260" w:lineRule="exact"/>
              <w:rPr>
                <w:rFonts w:eastAsia="方正仿宋_GBK"/>
                <w:color w:val="000000"/>
                <w:sz w:val="22"/>
                <w:szCs w:val="22"/>
              </w:rPr>
            </w:pPr>
            <w:r>
              <w:rPr>
                <w:rFonts w:eastAsia="方正仿宋_GBK"/>
                <w:color w:val="000000"/>
                <w:sz w:val="22"/>
                <w:szCs w:val="22"/>
              </w:rPr>
              <w:t>列车运行图兑现率大于等于99.9%不扣分；大于等于99.5%且小于99.9%扣0.4分；大于等于99%且小于99.5%扣0.8分；大于等于97%且小于99%扣1.2分；小于97%扣1.6分。</w:t>
            </w:r>
          </w:p>
        </w:tc>
        <w:tc>
          <w:tcPr>
            <w:tcW w:w="605" w:type="pct"/>
            <w:vAlign w:val="center"/>
          </w:tcPr>
          <w:p>
            <w:pPr>
              <w:spacing w:line="260" w:lineRule="exact"/>
              <w:jc w:val="center"/>
              <w:rPr>
                <w:rFonts w:eastAsia="方正仿宋_GBK"/>
                <w:bCs/>
                <w:color w:val="000000"/>
                <w:kern w:val="0"/>
                <w:sz w:val="22"/>
                <w:szCs w:val="22"/>
                <w:lang w:bidi="ar"/>
              </w:rPr>
            </w:pPr>
            <w:r>
              <w:rPr>
                <w:rFonts w:eastAsia="方正仿宋_GBK"/>
                <w:color w:val="000000"/>
                <w:sz w:val="22"/>
                <w:szCs w:val="22"/>
              </w:rPr>
              <w:t>企业提交，行业管理部门录入</w:t>
            </w:r>
          </w:p>
        </w:tc>
        <w:tc>
          <w:tcPr>
            <w:tcW w:w="279" w:type="pct"/>
          </w:tcPr>
          <w:p>
            <w:pPr>
              <w:spacing w:line="260" w:lineRule="exact"/>
              <w:jc w:val="left"/>
              <w:rPr>
                <w:rFonts w:eastAsia="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240" w:type="pct"/>
            <w:vAlign w:val="center"/>
          </w:tcPr>
          <w:p>
            <w:pPr>
              <w:widowControl/>
              <w:spacing w:line="260" w:lineRule="exact"/>
              <w:jc w:val="center"/>
              <w:textAlignment w:val="center"/>
              <w:rPr>
                <w:dstrike/>
                <w:color w:val="000000"/>
                <w:kern w:val="0"/>
                <w:sz w:val="22"/>
                <w:szCs w:val="22"/>
                <w:lang w:bidi="ar"/>
              </w:rPr>
            </w:pPr>
            <w:r>
              <w:rPr>
                <w:color w:val="000000"/>
                <w:kern w:val="0"/>
                <w:sz w:val="22"/>
                <w:szCs w:val="22"/>
                <w:lang w:bidi="ar"/>
              </w:rPr>
              <w:t>6</w:t>
            </w:r>
          </w:p>
        </w:tc>
        <w:tc>
          <w:tcPr>
            <w:tcW w:w="436" w:type="pct"/>
            <w:vMerge w:val="continue"/>
            <w:vAlign w:val="center"/>
          </w:tcPr>
          <w:p>
            <w:pPr>
              <w:spacing w:line="260" w:lineRule="exact"/>
              <w:jc w:val="center"/>
              <w:rPr>
                <w:rFonts w:eastAsia="方正仿宋_GBK"/>
                <w:bCs/>
                <w:dstrike/>
                <w:color w:val="000000"/>
                <w:kern w:val="0"/>
                <w:sz w:val="22"/>
                <w:szCs w:val="22"/>
                <w:lang w:bidi="ar"/>
              </w:rPr>
            </w:pPr>
          </w:p>
        </w:tc>
        <w:tc>
          <w:tcPr>
            <w:tcW w:w="421" w:type="pct"/>
            <w:vAlign w:val="center"/>
          </w:tcPr>
          <w:p>
            <w:pPr>
              <w:spacing w:line="260" w:lineRule="exact"/>
              <w:jc w:val="center"/>
              <w:rPr>
                <w:rFonts w:eastAsia="方正仿宋_GBK"/>
                <w:bCs/>
                <w:dstrike/>
                <w:color w:val="000000"/>
                <w:kern w:val="0"/>
                <w:sz w:val="22"/>
                <w:szCs w:val="22"/>
                <w:lang w:bidi="ar"/>
              </w:rPr>
            </w:pPr>
            <w:r>
              <w:rPr>
                <w:rFonts w:eastAsia="方正仿宋_GBK"/>
                <w:color w:val="000000"/>
                <w:sz w:val="22"/>
                <w:szCs w:val="22"/>
              </w:rPr>
              <w:t>列车正点率（%）</w:t>
            </w:r>
          </w:p>
        </w:tc>
        <w:tc>
          <w:tcPr>
            <w:tcW w:w="290" w:type="pct"/>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w:t>
            </w:r>
          </w:p>
        </w:tc>
        <w:tc>
          <w:tcPr>
            <w:tcW w:w="2728" w:type="pct"/>
            <w:gridSpan w:val="3"/>
            <w:vAlign w:val="center"/>
          </w:tcPr>
          <w:p>
            <w:pPr>
              <w:spacing w:line="260" w:lineRule="exact"/>
              <w:rPr>
                <w:rFonts w:eastAsia="方正仿宋_GBK"/>
                <w:color w:val="000000"/>
                <w:sz w:val="22"/>
                <w:szCs w:val="22"/>
              </w:rPr>
            </w:pPr>
            <w:r>
              <w:rPr>
                <w:rFonts w:eastAsia="方正仿宋_GBK"/>
                <w:color w:val="000000"/>
                <w:sz w:val="22"/>
                <w:szCs w:val="22"/>
              </w:rPr>
              <w:t>列车正点率大于等于99.9%不扣分；大于等于99.4%且小于99.9%扣0.4分；大于等于98.5%且小于99.4%扣0.8分；大于等于97%且小于98.5%扣1.2分；小于97%扣1.6分。</w:t>
            </w:r>
          </w:p>
        </w:tc>
        <w:tc>
          <w:tcPr>
            <w:tcW w:w="605" w:type="pct"/>
            <w:vAlign w:val="center"/>
          </w:tcPr>
          <w:p>
            <w:pPr>
              <w:spacing w:line="260" w:lineRule="exact"/>
              <w:jc w:val="center"/>
              <w:rPr>
                <w:rFonts w:eastAsia="方正仿宋_GBK"/>
                <w:bCs/>
                <w:dstrike/>
                <w:color w:val="000000"/>
                <w:kern w:val="0"/>
                <w:sz w:val="22"/>
                <w:szCs w:val="22"/>
                <w:lang w:bidi="ar"/>
              </w:rPr>
            </w:pPr>
            <w:r>
              <w:rPr>
                <w:rFonts w:eastAsia="方正仿宋_GBK"/>
                <w:color w:val="000000"/>
                <w:sz w:val="22"/>
                <w:szCs w:val="22"/>
              </w:rPr>
              <w:t>企业提交，行业管理部门录入</w:t>
            </w:r>
          </w:p>
        </w:tc>
        <w:tc>
          <w:tcPr>
            <w:tcW w:w="279" w:type="pct"/>
          </w:tcPr>
          <w:p>
            <w:pPr>
              <w:spacing w:line="260" w:lineRule="exact"/>
              <w:ind w:firstLine="110" w:firstLineChars="50"/>
              <w:jc w:val="left"/>
              <w:rPr>
                <w:rFonts w:eastAsia="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240" w:type="pct"/>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7</w:t>
            </w:r>
          </w:p>
        </w:tc>
        <w:tc>
          <w:tcPr>
            <w:tcW w:w="436" w:type="pct"/>
            <w:vMerge w:val="continue"/>
            <w:vAlign w:val="center"/>
          </w:tcPr>
          <w:p>
            <w:pPr>
              <w:spacing w:line="260" w:lineRule="exact"/>
              <w:jc w:val="center"/>
              <w:rPr>
                <w:rFonts w:eastAsia="方正仿宋_GBK"/>
                <w:bCs/>
                <w:color w:val="000000"/>
                <w:kern w:val="0"/>
                <w:sz w:val="22"/>
                <w:szCs w:val="22"/>
                <w:lang w:bidi="ar"/>
              </w:rPr>
            </w:pPr>
          </w:p>
        </w:tc>
        <w:tc>
          <w:tcPr>
            <w:tcW w:w="421" w:type="pct"/>
            <w:vAlign w:val="center"/>
          </w:tcPr>
          <w:p>
            <w:pPr>
              <w:spacing w:line="260" w:lineRule="exact"/>
              <w:jc w:val="center"/>
              <w:rPr>
                <w:rFonts w:eastAsia="方正仿宋_GBK"/>
                <w:bCs/>
                <w:color w:val="000000"/>
                <w:kern w:val="0"/>
                <w:sz w:val="22"/>
                <w:szCs w:val="22"/>
                <w:lang w:bidi="ar"/>
              </w:rPr>
            </w:pPr>
            <w:r>
              <w:rPr>
                <w:rFonts w:eastAsia="方正仿宋_GBK"/>
                <w:color w:val="000000"/>
                <w:sz w:val="22"/>
                <w:szCs w:val="22"/>
              </w:rPr>
              <w:t>列车服务可靠度（万列公里/次）</w:t>
            </w:r>
          </w:p>
        </w:tc>
        <w:tc>
          <w:tcPr>
            <w:tcW w:w="290" w:type="pct"/>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3</w:t>
            </w:r>
          </w:p>
        </w:tc>
        <w:tc>
          <w:tcPr>
            <w:tcW w:w="2728" w:type="pct"/>
            <w:gridSpan w:val="3"/>
            <w:vAlign w:val="center"/>
          </w:tcPr>
          <w:p>
            <w:pPr>
              <w:spacing w:line="260" w:lineRule="exact"/>
              <w:rPr>
                <w:rFonts w:eastAsia="方正仿宋_GBK"/>
                <w:color w:val="000000"/>
                <w:sz w:val="22"/>
                <w:szCs w:val="22"/>
              </w:rPr>
            </w:pPr>
            <w:r>
              <w:rPr>
                <w:rFonts w:eastAsia="方正仿宋_GBK"/>
                <w:color w:val="000000"/>
                <w:sz w:val="22"/>
                <w:szCs w:val="22"/>
              </w:rPr>
              <w:t>列车服务可靠度大于等于30不扣分；大于等于20且小于30扣0.6分；大于等于8且小于20扣1.2分；大于等于5且小于8扣1.8分；小于5扣2.4分。</w:t>
            </w:r>
          </w:p>
        </w:tc>
        <w:tc>
          <w:tcPr>
            <w:tcW w:w="605" w:type="pct"/>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279" w:type="pct"/>
          </w:tcPr>
          <w:p>
            <w:pPr>
              <w:spacing w:line="260" w:lineRule="exact"/>
              <w:jc w:val="left"/>
              <w:rPr>
                <w:rFonts w:eastAsia="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40" w:type="pct"/>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8</w:t>
            </w:r>
          </w:p>
        </w:tc>
        <w:tc>
          <w:tcPr>
            <w:tcW w:w="436" w:type="pct"/>
            <w:vMerge w:val="continue"/>
            <w:vAlign w:val="center"/>
          </w:tcPr>
          <w:p>
            <w:pPr>
              <w:spacing w:line="260" w:lineRule="exact"/>
              <w:jc w:val="center"/>
              <w:rPr>
                <w:rFonts w:eastAsia="方正仿宋_GBK"/>
                <w:bCs/>
                <w:color w:val="000000"/>
                <w:kern w:val="0"/>
                <w:sz w:val="22"/>
                <w:szCs w:val="22"/>
                <w:lang w:bidi="ar"/>
              </w:rPr>
            </w:pPr>
          </w:p>
        </w:tc>
        <w:tc>
          <w:tcPr>
            <w:tcW w:w="421" w:type="pct"/>
            <w:vAlign w:val="center"/>
          </w:tcPr>
          <w:p>
            <w:pPr>
              <w:spacing w:line="260" w:lineRule="exact"/>
              <w:jc w:val="center"/>
              <w:rPr>
                <w:rFonts w:eastAsia="方正仿宋_GBK"/>
                <w:bCs/>
                <w:color w:val="000000"/>
                <w:spacing w:val="-20"/>
                <w:kern w:val="0"/>
                <w:sz w:val="22"/>
                <w:szCs w:val="22"/>
                <w:lang w:bidi="ar"/>
              </w:rPr>
            </w:pPr>
            <w:r>
              <w:rPr>
                <w:rFonts w:eastAsia="方正仿宋_GBK"/>
                <w:color w:val="000000"/>
                <w:spacing w:val="-20"/>
                <w:sz w:val="22"/>
                <w:szCs w:val="22"/>
              </w:rPr>
              <w:t>列车退出正线运营故障率（次/万列公里）</w:t>
            </w:r>
          </w:p>
        </w:tc>
        <w:tc>
          <w:tcPr>
            <w:tcW w:w="290" w:type="pct"/>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3</w:t>
            </w:r>
          </w:p>
        </w:tc>
        <w:tc>
          <w:tcPr>
            <w:tcW w:w="2728" w:type="pct"/>
            <w:gridSpan w:val="3"/>
            <w:vAlign w:val="center"/>
          </w:tcPr>
          <w:p>
            <w:pPr>
              <w:spacing w:line="260" w:lineRule="exact"/>
              <w:rPr>
                <w:rFonts w:eastAsia="方正仿宋_GBK"/>
                <w:color w:val="000000"/>
                <w:sz w:val="22"/>
                <w:szCs w:val="22"/>
              </w:rPr>
            </w:pPr>
            <w:r>
              <w:rPr>
                <w:rFonts w:eastAsia="方正仿宋_GBK"/>
                <w:color w:val="000000"/>
                <w:sz w:val="22"/>
                <w:szCs w:val="22"/>
              </w:rPr>
              <w:t>列车退出正线运营故障率小于0.1不扣分；大于等于0.1且小于0.2扣0.6分；大于等于0.2且小于0.4扣1.2分；大于等于0.4且小于0.8扣1.8分；大于等于0.8扣2.4分。</w:t>
            </w:r>
          </w:p>
        </w:tc>
        <w:tc>
          <w:tcPr>
            <w:tcW w:w="605" w:type="pct"/>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279" w:type="pct"/>
          </w:tcPr>
          <w:p>
            <w:pPr>
              <w:spacing w:line="260" w:lineRule="exact"/>
              <w:jc w:val="left"/>
              <w:rPr>
                <w:rFonts w:eastAsia="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40" w:type="pct"/>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9</w:t>
            </w:r>
          </w:p>
        </w:tc>
        <w:tc>
          <w:tcPr>
            <w:tcW w:w="436" w:type="pct"/>
            <w:vMerge w:val="continue"/>
            <w:vAlign w:val="center"/>
          </w:tcPr>
          <w:p>
            <w:pPr>
              <w:spacing w:line="260" w:lineRule="exact"/>
              <w:jc w:val="center"/>
              <w:rPr>
                <w:rFonts w:eastAsia="方正仿宋_GBK"/>
                <w:bCs/>
                <w:color w:val="000000"/>
                <w:kern w:val="0"/>
                <w:sz w:val="22"/>
                <w:szCs w:val="22"/>
                <w:lang w:bidi="ar"/>
              </w:rPr>
            </w:pPr>
          </w:p>
        </w:tc>
        <w:tc>
          <w:tcPr>
            <w:tcW w:w="421" w:type="pct"/>
            <w:vAlign w:val="center"/>
          </w:tcPr>
          <w:p>
            <w:pPr>
              <w:spacing w:line="260" w:lineRule="exact"/>
              <w:jc w:val="center"/>
              <w:rPr>
                <w:rFonts w:eastAsia="方正仿宋_GBK"/>
                <w:bCs/>
                <w:color w:val="000000"/>
                <w:kern w:val="0"/>
                <w:sz w:val="22"/>
                <w:szCs w:val="22"/>
                <w:lang w:bidi="ar"/>
              </w:rPr>
            </w:pPr>
            <w:r>
              <w:rPr>
                <w:rFonts w:eastAsia="方正仿宋_GBK"/>
                <w:color w:val="000000"/>
                <w:sz w:val="22"/>
                <w:szCs w:val="22"/>
              </w:rPr>
              <w:t>自动充值售票机可靠度（%）</w:t>
            </w:r>
          </w:p>
        </w:tc>
        <w:tc>
          <w:tcPr>
            <w:tcW w:w="290" w:type="pct"/>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w:t>
            </w:r>
          </w:p>
        </w:tc>
        <w:tc>
          <w:tcPr>
            <w:tcW w:w="2728" w:type="pct"/>
            <w:gridSpan w:val="3"/>
            <w:vAlign w:val="center"/>
          </w:tcPr>
          <w:p>
            <w:pPr>
              <w:spacing w:line="260" w:lineRule="exact"/>
              <w:jc w:val="left"/>
              <w:rPr>
                <w:rFonts w:eastAsia="方正仿宋_GBK"/>
                <w:color w:val="000000"/>
                <w:sz w:val="22"/>
                <w:szCs w:val="22"/>
              </w:rPr>
            </w:pPr>
            <w:r>
              <w:rPr>
                <w:rFonts w:eastAsia="方正仿宋_GBK"/>
                <w:color w:val="000000"/>
                <w:sz w:val="22"/>
                <w:szCs w:val="22"/>
              </w:rPr>
              <w:t>自动充值售票机可靠度大于等于99.8%不扣分；大于等于99%且小于99.8%扣0.2分；大于等于98%且小于99%扣0.4分；大于等于97%且小于98%扣0.6分；小于97%扣0.8分。</w:t>
            </w:r>
          </w:p>
        </w:tc>
        <w:tc>
          <w:tcPr>
            <w:tcW w:w="605" w:type="pct"/>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279" w:type="pct"/>
          </w:tcPr>
          <w:p>
            <w:pPr>
              <w:spacing w:line="260" w:lineRule="exact"/>
              <w:jc w:val="left"/>
              <w:rPr>
                <w:rFonts w:eastAsia="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40" w:type="pct"/>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10</w:t>
            </w:r>
          </w:p>
        </w:tc>
        <w:tc>
          <w:tcPr>
            <w:tcW w:w="436" w:type="pct"/>
            <w:vMerge w:val="continue"/>
            <w:vAlign w:val="center"/>
          </w:tcPr>
          <w:p>
            <w:pPr>
              <w:spacing w:line="260" w:lineRule="exact"/>
              <w:jc w:val="center"/>
              <w:rPr>
                <w:rFonts w:eastAsia="方正仿宋_GBK"/>
                <w:bCs/>
                <w:color w:val="000000"/>
                <w:kern w:val="0"/>
                <w:sz w:val="22"/>
                <w:szCs w:val="22"/>
                <w:lang w:bidi="ar"/>
              </w:rPr>
            </w:pPr>
          </w:p>
        </w:tc>
        <w:tc>
          <w:tcPr>
            <w:tcW w:w="421" w:type="pct"/>
            <w:vAlign w:val="center"/>
          </w:tcPr>
          <w:p>
            <w:pPr>
              <w:spacing w:line="260" w:lineRule="exact"/>
              <w:jc w:val="center"/>
              <w:rPr>
                <w:rFonts w:eastAsia="方正仿宋_GBK"/>
                <w:bCs/>
                <w:color w:val="000000"/>
                <w:kern w:val="0"/>
                <w:sz w:val="22"/>
                <w:szCs w:val="22"/>
                <w:lang w:bidi="ar"/>
              </w:rPr>
            </w:pPr>
            <w:r>
              <w:rPr>
                <w:rFonts w:eastAsia="方正仿宋_GBK"/>
                <w:color w:val="000000"/>
                <w:sz w:val="22"/>
                <w:szCs w:val="22"/>
              </w:rPr>
              <w:t>进出站闸机可靠度（%）</w:t>
            </w:r>
          </w:p>
        </w:tc>
        <w:tc>
          <w:tcPr>
            <w:tcW w:w="290" w:type="pct"/>
            <w:vAlign w:val="center"/>
          </w:tcPr>
          <w:p>
            <w:pPr>
              <w:widowControl/>
              <w:spacing w:line="260" w:lineRule="exact"/>
              <w:jc w:val="center"/>
              <w:textAlignment w:val="center"/>
              <w:rPr>
                <w:color w:val="000000"/>
                <w:kern w:val="0"/>
                <w:sz w:val="22"/>
                <w:szCs w:val="22"/>
                <w:lang w:val="en" w:bidi="ar"/>
              </w:rPr>
            </w:pPr>
            <w:r>
              <w:rPr>
                <w:color w:val="000000"/>
                <w:kern w:val="0"/>
                <w:sz w:val="22"/>
                <w:szCs w:val="22"/>
                <w:lang w:bidi="ar"/>
              </w:rPr>
              <w:t>1</w:t>
            </w:r>
          </w:p>
        </w:tc>
        <w:tc>
          <w:tcPr>
            <w:tcW w:w="2728" w:type="pct"/>
            <w:gridSpan w:val="3"/>
            <w:vAlign w:val="center"/>
          </w:tcPr>
          <w:p>
            <w:pPr>
              <w:spacing w:line="260" w:lineRule="exact"/>
              <w:rPr>
                <w:rFonts w:eastAsia="方正仿宋_GBK"/>
                <w:color w:val="000000"/>
                <w:sz w:val="22"/>
                <w:szCs w:val="22"/>
              </w:rPr>
            </w:pPr>
            <w:r>
              <w:rPr>
                <w:rFonts w:eastAsia="方正仿宋_GBK"/>
                <w:color w:val="000000"/>
                <w:sz w:val="22"/>
                <w:szCs w:val="22"/>
              </w:rPr>
              <w:t>进出站闸机可靠度大于等于99.9%不扣分；大于等于99.5%且小于99.9%扣0.2分；大于等于99%且小于99.5%扣0.4分；大于等于97%且小于99%扣0.6分；小于97%扣0.8分。</w:t>
            </w:r>
          </w:p>
        </w:tc>
        <w:tc>
          <w:tcPr>
            <w:tcW w:w="605" w:type="pct"/>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279" w:type="pct"/>
          </w:tcPr>
          <w:p>
            <w:pPr>
              <w:spacing w:line="260" w:lineRule="exact"/>
              <w:jc w:val="left"/>
              <w:rPr>
                <w:rFonts w:eastAsia="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40" w:type="pct"/>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11</w:t>
            </w:r>
          </w:p>
        </w:tc>
        <w:tc>
          <w:tcPr>
            <w:tcW w:w="436" w:type="pct"/>
            <w:vMerge w:val="continue"/>
            <w:vAlign w:val="center"/>
          </w:tcPr>
          <w:p>
            <w:pPr>
              <w:spacing w:line="260" w:lineRule="exact"/>
              <w:jc w:val="center"/>
              <w:rPr>
                <w:rFonts w:eastAsia="方正仿宋_GBK"/>
                <w:bCs/>
                <w:color w:val="000000"/>
                <w:kern w:val="0"/>
                <w:sz w:val="22"/>
                <w:szCs w:val="22"/>
                <w:lang w:bidi="ar"/>
              </w:rPr>
            </w:pPr>
          </w:p>
        </w:tc>
        <w:tc>
          <w:tcPr>
            <w:tcW w:w="421" w:type="pct"/>
            <w:vAlign w:val="center"/>
          </w:tcPr>
          <w:p>
            <w:pPr>
              <w:spacing w:line="260" w:lineRule="exact"/>
              <w:jc w:val="center"/>
              <w:rPr>
                <w:rFonts w:eastAsia="方正仿宋_GBK"/>
                <w:bCs/>
                <w:color w:val="000000"/>
                <w:kern w:val="0"/>
                <w:sz w:val="22"/>
                <w:szCs w:val="22"/>
                <w:lang w:bidi="ar"/>
              </w:rPr>
            </w:pPr>
            <w:r>
              <w:rPr>
                <w:rFonts w:eastAsia="方正仿宋_GBK"/>
                <w:color w:val="000000"/>
                <w:sz w:val="22"/>
                <w:szCs w:val="22"/>
              </w:rPr>
              <w:t>电（扶）梯可靠度（%）</w:t>
            </w:r>
          </w:p>
        </w:tc>
        <w:tc>
          <w:tcPr>
            <w:tcW w:w="290" w:type="pct"/>
            <w:vAlign w:val="center"/>
          </w:tcPr>
          <w:p>
            <w:pPr>
              <w:widowControl/>
              <w:spacing w:line="260" w:lineRule="exact"/>
              <w:jc w:val="center"/>
              <w:textAlignment w:val="center"/>
              <w:rPr>
                <w:color w:val="000000"/>
                <w:kern w:val="0"/>
                <w:sz w:val="22"/>
                <w:szCs w:val="22"/>
                <w:lang w:val="en" w:bidi="ar"/>
              </w:rPr>
            </w:pPr>
            <w:r>
              <w:rPr>
                <w:color w:val="000000"/>
                <w:kern w:val="0"/>
                <w:sz w:val="22"/>
                <w:szCs w:val="22"/>
                <w:lang w:bidi="ar"/>
              </w:rPr>
              <w:t>1</w:t>
            </w:r>
          </w:p>
        </w:tc>
        <w:tc>
          <w:tcPr>
            <w:tcW w:w="2728" w:type="pct"/>
            <w:gridSpan w:val="3"/>
            <w:vAlign w:val="center"/>
          </w:tcPr>
          <w:p>
            <w:pPr>
              <w:spacing w:line="260" w:lineRule="exact"/>
              <w:rPr>
                <w:rFonts w:eastAsia="方正仿宋_GBK"/>
                <w:color w:val="000000"/>
                <w:sz w:val="22"/>
                <w:szCs w:val="22"/>
              </w:rPr>
            </w:pPr>
            <w:r>
              <w:rPr>
                <w:rFonts w:eastAsia="方正仿宋_GBK"/>
                <w:color w:val="000000"/>
                <w:sz w:val="22"/>
                <w:szCs w:val="22"/>
              </w:rPr>
              <w:t>电（扶）梯可靠度大于等于99.9%不扣分；大于等于99%且小于99.9%扣0.2分；大于等于98.5%且小于99%扣0.4分；大于等于97%且小于98.5%扣0.6分；小于97%扣0.8分。</w:t>
            </w:r>
          </w:p>
        </w:tc>
        <w:tc>
          <w:tcPr>
            <w:tcW w:w="605" w:type="pct"/>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279" w:type="pct"/>
          </w:tcPr>
          <w:p>
            <w:pPr>
              <w:spacing w:line="260" w:lineRule="exact"/>
              <w:jc w:val="left"/>
              <w:rPr>
                <w:rFonts w:eastAsia="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40" w:type="pct"/>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12</w:t>
            </w:r>
          </w:p>
        </w:tc>
        <w:tc>
          <w:tcPr>
            <w:tcW w:w="436" w:type="pct"/>
            <w:vMerge w:val="continue"/>
            <w:vAlign w:val="center"/>
          </w:tcPr>
          <w:p>
            <w:pPr>
              <w:spacing w:line="260" w:lineRule="exact"/>
              <w:jc w:val="center"/>
              <w:rPr>
                <w:rFonts w:eastAsia="方正楷体_GBK"/>
                <w:bCs/>
                <w:color w:val="000000"/>
                <w:kern w:val="0"/>
                <w:sz w:val="22"/>
                <w:szCs w:val="22"/>
                <w:lang w:bidi="ar"/>
              </w:rPr>
            </w:pPr>
          </w:p>
        </w:tc>
        <w:tc>
          <w:tcPr>
            <w:tcW w:w="421" w:type="pct"/>
            <w:vAlign w:val="center"/>
          </w:tcPr>
          <w:p>
            <w:pPr>
              <w:spacing w:line="260" w:lineRule="exact"/>
              <w:jc w:val="center"/>
              <w:rPr>
                <w:rFonts w:eastAsia="方正仿宋_GBK"/>
                <w:color w:val="000000"/>
                <w:sz w:val="22"/>
                <w:szCs w:val="22"/>
              </w:rPr>
            </w:pPr>
            <w:r>
              <w:rPr>
                <w:rFonts w:eastAsia="方正仿宋_GBK"/>
                <w:color w:val="000000"/>
                <w:sz w:val="22"/>
                <w:szCs w:val="22"/>
              </w:rPr>
              <w:t>乘客信息系统可靠度（%）</w:t>
            </w:r>
          </w:p>
        </w:tc>
        <w:tc>
          <w:tcPr>
            <w:tcW w:w="290" w:type="pct"/>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w:t>
            </w:r>
          </w:p>
        </w:tc>
        <w:tc>
          <w:tcPr>
            <w:tcW w:w="2728" w:type="pct"/>
            <w:gridSpan w:val="3"/>
            <w:vAlign w:val="center"/>
          </w:tcPr>
          <w:p>
            <w:pPr>
              <w:spacing w:line="260" w:lineRule="exact"/>
              <w:rPr>
                <w:rFonts w:eastAsia="方正仿宋_GBK"/>
                <w:color w:val="000000"/>
                <w:sz w:val="22"/>
                <w:szCs w:val="22"/>
              </w:rPr>
            </w:pPr>
            <w:r>
              <w:rPr>
                <w:rFonts w:eastAsia="方正仿宋_GBK"/>
                <w:color w:val="000000"/>
                <w:sz w:val="22"/>
                <w:szCs w:val="22"/>
              </w:rPr>
              <w:t>乘客信息系统可靠度大于等于99.8%不扣分；大于等于99%且小于99.8%扣0.2分；大于等于98%且小于99%扣0.4分；大于等于97%且小于98%扣0.6分；小于97%扣0.8分。</w:t>
            </w:r>
          </w:p>
        </w:tc>
        <w:tc>
          <w:tcPr>
            <w:tcW w:w="605" w:type="pct"/>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279" w:type="pct"/>
          </w:tcPr>
          <w:p>
            <w:pPr>
              <w:spacing w:line="260" w:lineRule="exact"/>
              <w:jc w:val="left"/>
              <w:rPr>
                <w:rFonts w:eastAsia="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40" w:type="pct"/>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13</w:t>
            </w:r>
          </w:p>
        </w:tc>
        <w:tc>
          <w:tcPr>
            <w:tcW w:w="436" w:type="pct"/>
            <w:vMerge w:val="continue"/>
            <w:vAlign w:val="center"/>
          </w:tcPr>
          <w:p>
            <w:pPr>
              <w:spacing w:line="260" w:lineRule="exact"/>
              <w:jc w:val="center"/>
              <w:rPr>
                <w:rFonts w:eastAsia="方正楷体_GBK"/>
                <w:bCs/>
                <w:color w:val="000000"/>
                <w:kern w:val="0"/>
                <w:sz w:val="22"/>
                <w:szCs w:val="22"/>
                <w:lang w:bidi="ar"/>
              </w:rPr>
            </w:pPr>
          </w:p>
        </w:tc>
        <w:tc>
          <w:tcPr>
            <w:tcW w:w="421" w:type="pct"/>
            <w:vAlign w:val="center"/>
          </w:tcPr>
          <w:p>
            <w:pPr>
              <w:spacing w:line="260" w:lineRule="exact"/>
              <w:jc w:val="center"/>
              <w:rPr>
                <w:rFonts w:eastAsia="方正仿宋_GBK"/>
                <w:color w:val="000000"/>
                <w:sz w:val="22"/>
                <w:szCs w:val="22"/>
              </w:rPr>
            </w:pPr>
            <w:r>
              <w:rPr>
                <w:rFonts w:eastAsia="方正仿宋_GBK"/>
                <w:color w:val="000000"/>
                <w:sz w:val="22"/>
                <w:szCs w:val="22"/>
              </w:rPr>
              <w:t>百万乘客有责投诉率（次/百万人次）</w:t>
            </w:r>
          </w:p>
        </w:tc>
        <w:tc>
          <w:tcPr>
            <w:tcW w:w="290" w:type="pct"/>
            <w:vAlign w:val="center"/>
          </w:tcPr>
          <w:p>
            <w:pPr>
              <w:widowControl/>
              <w:spacing w:line="260" w:lineRule="exact"/>
              <w:jc w:val="center"/>
              <w:textAlignment w:val="center"/>
              <w:rPr>
                <w:color w:val="000000"/>
                <w:kern w:val="0"/>
                <w:sz w:val="22"/>
                <w:szCs w:val="22"/>
                <w:lang w:bidi="ar"/>
              </w:rPr>
            </w:pPr>
            <w:r>
              <w:rPr>
                <w:color w:val="000000"/>
                <w:kern w:val="0"/>
                <w:sz w:val="22"/>
                <w:szCs w:val="22"/>
                <w:lang w:val="en" w:bidi="ar"/>
              </w:rPr>
              <w:t>3</w:t>
            </w:r>
          </w:p>
        </w:tc>
        <w:tc>
          <w:tcPr>
            <w:tcW w:w="2728" w:type="pct"/>
            <w:gridSpan w:val="3"/>
            <w:vAlign w:val="center"/>
          </w:tcPr>
          <w:p>
            <w:pPr>
              <w:spacing w:line="260" w:lineRule="exact"/>
              <w:rPr>
                <w:rFonts w:eastAsia="方正仿宋_GBK"/>
                <w:color w:val="000000"/>
                <w:sz w:val="22"/>
                <w:szCs w:val="22"/>
              </w:rPr>
            </w:pPr>
            <w:r>
              <w:rPr>
                <w:rFonts w:eastAsia="方正仿宋_GBK"/>
                <w:color w:val="000000"/>
                <w:sz w:val="22"/>
                <w:szCs w:val="22"/>
              </w:rPr>
              <w:t>百万乘客有责投诉率小于1不扣分；大于等于1且小于2扣0.5分；大于等于2且小于3扣1分；大于等于3且小于5扣1.5分；大于等于5扣2分。</w:t>
            </w:r>
          </w:p>
        </w:tc>
        <w:tc>
          <w:tcPr>
            <w:tcW w:w="605" w:type="pct"/>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279" w:type="pct"/>
          </w:tcPr>
          <w:p>
            <w:pPr>
              <w:spacing w:line="260" w:lineRule="exact"/>
              <w:jc w:val="left"/>
              <w:rPr>
                <w:rFonts w:eastAsia="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40" w:type="pct"/>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14</w:t>
            </w:r>
          </w:p>
        </w:tc>
        <w:tc>
          <w:tcPr>
            <w:tcW w:w="436" w:type="pct"/>
            <w:vMerge w:val="continue"/>
            <w:vAlign w:val="center"/>
          </w:tcPr>
          <w:p>
            <w:pPr>
              <w:spacing w:line="260" w:lineRule="exact"/>
              <w:jc w:val="center"/>
              <w:rPr>
                <w:rFonts w:eastAsia="方正楷体_GBK"/>
                <w:bCs/>
                <w:color w:val="000000"/>
                <w:kern w:val="0"/>
                <w:sz w:val="22"/>
                <w:szCs w:val="22"/>
                <w:lang w:bidi="ar"/>
              </w:rPr>
            </w:pPr>
          </w:p>
        </w:tc>
        <w:tc>
          <w:tcPr>
            <w:tcW w:w="421" w:type="pct"/>
            <w:vAlign w:val="center"/>
          </w:tcPr>
          <w:p>
            <w:pPr>
              <w:spacing w:line="260" w:lineRule="exact"/>
              <w:jc w:val="center"/>
              <w:rPr>
                <w:rFonts w:eastAsia="方正仿宋_GBK"/>
                <w:color w:val="000000"/>
                <w:sz w:val="22"/>
                <w:szCs w:val="22"/>
              </w:rPr>
            </w:pPr>
            <w:r>
              <w:rPr>
                <w:rFonts w:eastAsia="方正仿宋_GBK"/>
                <w:color w:val="000000"/>
                <w:sz w:val="22"/>
                <w:szCs w:val="22"/>
              </w:rPr>
              <w:t>有效乘客投诉回复率（%）</w:t>
            </w:r>
          </w:p>
        </w:tc>
        <w:tc>
          <w:tcPr>
            <w:tcW w:w="290" w:type="pct"/>
            <w:vAlign w:val="center"/>
          </w:tcPr>
          <w:p>
            <w:pPr>
              <w:widowControl/>
              <w:spacing w:line="260" w:lineRule="exact"/>
              <w:jc w:val="center"/>
              <w:textAlignment w:val="center"/>
              <w:rPr>
                <w:color w:val="000000"/>
                <w:kern w:val="0"/>
                <w:sz w:val="22"/>
                <w:szCs w:val="22"/>
                <w:lang w:bidi="ar"/>
              </w:rPr>
            </w:pPr>
            <w:r>
              <w:rPr>
                <w:color w:val="000000"/>
                <w:kern w:val="0"/>
                <w:sz w:val="22"/>
                <w:szCs w:val="22"/>
                <w:lang w:val="en" w:bidi="ar"/>
              </w:rPr>
              <w:t>2</w:t>
            </w:r>
          </w:p>
        </w:tc>
        <w:tc>
          <w:tcPr>
            <w:tcW w:w="2728" w:type="pct"/>
            <w:gridSpan w:val="3"/>
            <w:vAlign w:val="center"/>
          </w:tcPr>
          <w:p>
            <w:pPr>
              <w:spacing w:line="260" w:lineRule="exact"/>
              <w:rPr>
                <w:rFonts w:eastAsia="方正仿宋_GBK"/>
                <w:color w:val="000000"/>
                <w:sz w:val="22"/>
                <w:szCs w:val="22"/>
              </w:rPr>
            </w:pPr>
            <w:r>
              <w:rPr>
                <w:rFonts w:eastAsia="方正仿宋_GBK"/>
                <w:color w:val="000000"/>
                <w:sz w:val="22"/>
                <w:szCs w:val="22"/>
              </w:rPr>
              <w:t>有效乘客投诉回复率等于100%不扣分；大于等于95%且小于100%扣0.3分；大于等于90%且小于95%扣0.6分；大于等于85%且小于90%扣0.9分；小于85%扣1.2分。</w:t>
            </w:r>
          </w:p>
        </w:tc>
        <w:tc>
          <w:tcPr>
            <w:tcW w:w="605" w:type="pct"/>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279" w:type="pct"/>
          </w:tcPr>
          <w:p>
            <w:pPr>
              <w:spacing w:line="260" w:lineRule="exact"/>
              <w:jc w:val="left"/>
              <w:rPr>
                <w:rFonts w:eastAsia="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40" w:type="pct"/>
            <w:vAlign w:val="center"/>
          </w:tcPr>
          <w:p>
            <w:pPr>
              <w:widowControl/>
              <w:spacing w:line="240" w:lineRule="exact"/>
              <w:jc w:val="center"/>
              <w:textAlignment w:val="center"/>
              <w:rPr>
                <w:color w:val="000000"/>
                <w:kern w:val="0"/>
                <w:sz w:val="22"/>
                <w:szCs w:val="22"/>
                <w:lang w:bidi="ar"/>
              </w:rPr>
            </w:pPr>
            <w:r>
              <w:rPr>
                <w:color w:val="000000"/>
                <w:kern w:val="0"/>
                <w:sz w:val="22"/>
                <w:szCs w:val="22"/>
                <w:lang w:bidi="ar"/>
              </w:rPr>
              <w:t>15</w:t>
            </w:r>
          </w:p>
        </w:tc>
        <w:tc>
          <w:tcPr>
            <w:tcW w:w="436" w:type="pct"/>
            <w:vAlign w:val="center"/>
          </w:tcPr>
          <w:p>
            <w:pPr>
              <w:spacing w:line="240" w:lineRule="exact"/>
              <w:jc w:val="center"/>
              <w:rPr>
                <w:rFonts w:eastAsia="方正楷体_GBK"/>
                <w:bCs/>
                <w:color w:val="000000"/>
                <w:kern w:val="0"/>
                <w:sz w:val="22"/>
                <w:szCs w:val="22"/>
                <w:lang w:bidi="ar"/>
              </w:rPr>
            </w:pPr>
            <w:r>
              <w:rPr>
                <w:rFonts w:eastAsia="方正楷体_GBK"/>
                <w:bCs/>
                <w:color w:val="000000"/>
                <w:kern w:val="0"/>
                <w:sz w:val="22"/>
                <w:szCs w:val="22"/>
                <w:lang w:bidi="ar"/>
              </w:rPr>
              <w:t>服务质量</w:t>
            </w:r>
          </w:p>
          <w:p>
            <w:pPr>
              <w:spacing w:line="240" w:lineRule="exact"/>
              <w:jc w:val="center"/>
              <w:rPr>
                <w:rFonts w:eastAsia="方正楷体_GBK"/>
                <w:bCs/>
                <w:color w:val="000000"/>
                <w:kern w:val="0"/>
                <w:sz w:val="22"/>
                <w:szCs w:val="22"/>
                <w:lang w:bidi="ar"/>
              </w:rPr>
            </w:pPr>
            <w:r>
              <w:rPr>
                <w:rFonts w:eastAsia="方正楷体_GBK"/>
                <w:bCs/>
                <w:color w:val="000000"/>
                <w:kern w:val="0"/>
                <w:sz w:val="22"/>
                <w:szCs w:val="22"/>
                <w:lang w:bidi="ar"/>
              </w:rPr>
              <w:t>（10分）</w:t>
            </w:r>
          </w:p>
        </w:tc>
        <w:tc>
          <w:tcPr>
            <w:tcW w:w="421" w:type="pct"/>
            <w:vAlign w:val="center"/>
          </w:tcPr>
          <w:p>
            <w:pPr>
              <w:spacing w:line="240" w:lineRule="exact"/>
              <w:jc w:val="center"/>
              <w:rPr>
                <w:rFonts w:eastAsia="方正仿宋_GBK"/>
                <w:color w:val="000000"/>
                <w:sz w:val="22"/>
                <w:szCs w:val="22"/>
              </w:rPr>
            </w:pPr>
            <w:r>
              <w:rPr>
                <w:rFonts w:eastAsia="方正仿宋_GBK"/>
                <w:color w:val="000000"/>
                <w:sz w:val="22"/>
                <w:szCs w:val="22"/>
              </w:rPr>
              <w:t>乘客满意度</w:t>
            </w:r>
          </w:p>
        </w:tc>
        <w:tc>
          <w:tcPr>
            <w:tcW w:w="290" w:type="pct"/>
            <w:vAlign w:val="center"/>
          </w:tcPr>
          <w:p>
            <w:pPr>
              <w:widowControl/>
              <w:spacing w:line="240" w:lineRule="exact"/>
              <w:jc w:val="center"/>
              <w:textAlignment w:val="center"/>
              <w:rPr>
                <w:color w:val="000000"/>
                <w:kern w:val="0"/>
                <w:sz w:val="22"/>
                <w:szCs w:val="22"/>
                <w:lang w:bidi="ar"/>
              </w:rPr>
            </w:pPr>
            <w:r>
              <w:rPr>
                <w:color w:val="000000"/>
                <w:kern w:val="0"/>
                <w:sz w:val="22"/>
                <w:szCs w:val="22"/>
                <w:lang w:bidi="ar"/>
              </w:rPr>
              <w:t>10</w:t>
            </w:r>
          </w:p>
        </w:tc>
        <w:tc>
          <w:tcPr>
            <w:tcW w:w="2728" w:type="pct"/>
            <w:gridSpan w:val="3"/>
            <w:vAlign w:val="center"/>
          </w:tcPr>
          <w:p>
            <w:pPr>
              <w:spacing w:line="240" w:lineRule="exact"/>
              <w:rPr>
                <w:rFonts w:eastAsia="方正仿宋_GBK"/>
                <w:color w:val="000000"/>
                <w:sz w:val="22"/>
                <w:szCs w:val="22"/>
              </w:rPr>
            </w:pPr>
            <w:r>
              <w:rPr>
                <w:rFonts w:eastAsia="方正仿宋_GBK"/>
                <w:color w:val="000000"/>
                <w:sz w:val="22"/>
                <w:szCs w:val="22"/>
              </w:rPr>
              <w:t>设计调查问卷，从进出站、车站环境与秩序、设施运行、换乘、咨询、投诉、安全感等方面调查乘客满意度。</w:t>
            </w:r>
          </w:p>
        </w:tc>
        <w:tc>
          <w:tcPr>
            <w:tcW w:w="605" w:type="pct"/>
            <w:vAlign w:val="center"/>
          </w:tcPr>
          <w:p>
            <w:pPr>
              <w:spacing w:line="240" w:lineRule="exact"/>
              <w:jc w:val="center"/>
              <w:rPr>
                <w:rFonts w:eastAsia="方正仿宋_GBK"/>
                <w:color w:val="000000"/>
                <w:sz w:val="22"/>
                <w:szCs w:val="22"/>
              </w:rPr>
            </w:pPr>
            <w:r>
              <w:rPr>
                <w:rFonts w:eastAsia="方正仿宋_GBK"/>
                <w:color w:val="000000"/>
                <w:sz w:val="22"/>
                <w:szCs w:val="22"/>
              </w:rPr>
              <w:t>问卷调查，行业管理部门录入</w:t>
            </w:r>
          </w:p>
        </w:tc>
        <w:tc>
          <w:tcPr>
            <w:tcW w:w="279" w:type="pct"/>
          </w:tcPr>
          <w:p>
            <w:pPr>
              <w:spacing w:line="240" w:lineRule="exact"/>
              <w:jc w:val="left"/>
              <w:rPr>
                <w:rFonts w:eastAsia="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40" w:type="pct"/>
            <w:vAlign w:val="center"/>
          </w:tcPr>
          <w:p>
            <w:pPr>
              <w:widowControl/>
              <w:spacing w:line="240" w:lineRule="exact"/>
              <w:jc w:val="center"/>
              <w:textAlignment w:val="center"/>
              <w:rPr>
                <w:color w:val="000000"/>
                <w:kern w:val="0"/>
                <w:sz w:val="22"/>
                <w:szCs w:val="22"/>
                <w:lang w:bidi="ar"/>
              </w:rPr>
            </w:pPr>
            <w:r>
              <w:rPr>
                <w:color w:val="000000"/>
                <w:kern w:val="0"/>
                <w:sz w:val="22"/>
                <w:szCs w:val="22"/>
                <w:lang w:bidi="ar"/>
              </w:rPr>
              <w:t>16</w:t>
            </w:r>
          </w:p>
        </w:tc>
        <w:tc>
          <w:tcPr>
            <w:tcW w:w="436" w:type="pct"/>
            <w:vMerge w:val="restart"/>
            <w:vAlign w:val="center"/>
          </w:tcPr>
          <w:p>
            <w:pPr>
              <w:spacing w:line="240" w:lineRule="exact"/>
              <w:jc w:val="center"/>
              <w:rPr>
                <w:rFonts w:eastAsia="方正楷体_GBK"/>
                <w:bCs/>
                <w:color w:val="000000"/>
                <w:kern w:val="0"/>
                <w:sz w:val="22"/>
                <w:szCs w:val="22"/>
                <w:lang w:bidi="ar"/>
              </w:rPr>
            </w:pPr>
            <w:r>
              <w:rPr>
                <w:rFonts w:eastAsia="方正楷体_GBK"/>
                <w:bCs/>
                <w:color w:val="000000"/>
                <w:kern w:val="0"/>
                <w:sz w:val="22"/>
                <w:szCs w:val="22"/>
                <w:lang w:bidi="ar"/>
              </w:rPr>
              <w:t>社会责任</w:t>
            </w:r>
          </w:p>
          <w:p>
            <w:pPr>
              <w:spacing w:line="240" w:lineRule="exact"/>
              <w:jc w:val="center"/>
              <w:rPr>
                <w:rFonts w:eastAsia="方正楷体_GBK"/>
                <w:bCs/>
                <w:color w:val="000000"/>
                <w:kern w:val="0"/>
                <w:sz w:val="22"/>
                <w:szCs w:val="22"/>
                <w:lang w:bidi="ar"/>
              </w:rPr>
            </w:pPr>
            <w:r>
              <w:rPr>
                <w:rFonts w:eastAsia="方正楷体_GBK"/>
                <w:bCs/>
                <w:color w:val="000000"/>
                <w:kern w:val="0"/>
                <w:sz w:val="22"/>
                <w:szCs w:val="22"/>
                <w:lang w:bidi="ar"/>
              </w:rPr>
              <w:t>（10分）</w:t>
            </w:r>
          </w:p>
        </w:tc>
        <w:tc>
          <w:tcPr>
            <w:tcW w:w="421" w:type="pct"/>
            <w:vAlign w:val="center"/>
          </w:tcPr>
          <w:p>
            <w:pPr>
              <w:spacing w:line="240" w:lineRule="exact"/>
              <w:jc w:val="center"/>
              <w:rPr>
                <w:rFonts w:eastAsia="方正仿宋_GBK"/>
                <w:color w:val="000000"/>
                <w:sz w:val="22"/>
                <w:szCs w:val="22"/>
              </w:rPr>
            </w:pPr>
            <w:r>
              <w:rPr>
                <w:rFonts w:eastAsia="方正仿宋_GBK"/>
                <w:color w:val="000000"/>
                <w:sz w:val="22"/>
                <w:szCs w:val="22"/>
              </w:rPr>
              <w:t>突发事件</w:t>
            </w:r>
          </w:p>
        </w:tc>
        <w:tc>
          <w:tcPr>
            <w:tcW w:w="290" w:type="pct"/>
            <w:vAlign w:val="center"/>
          </w:tcPr>
          <w:p>
            <w:pPr>
              <w:widowControl/>
              <w:spacing w:line="240" w:lineRule="exact"/>
              <w:jc w:val="center"/>
              <w:textAlignment w:val="center"/>
              <w:rPr>
                <w:color w:val="000000"/>
                <w:kern w:val="0"/>
                <w:sz w:val="22"/>
                <w:szCs w:val="22"/>
                <w:lang w:bidi="ar"/>
              </w:rPr>
            </w:pPr>
            <w:r>
              <w:rPr>
                <w:color w:val="000000"/>
                <w:kern w:val="0"/>
                <w:sz w:val="22"/>
                <w:szCs w:val="22"/>
                <w:lang w:bidi="ar"/>
              </w:rPr>
              <w:t>8</w:t>
            </w:r>
          </w:p>
        </w:tc>
        <w:tc>
          <w:tcPr>
            <w:tcW w:w="2728" w:type="pct"/>
            <w:gridSpan w:val="3"/>
            <w:vAlign w:val="center"/>
          </w:tcPr>
          <w:p>
            <w:pPr>
              <w:spacing w:line="240" w:lineRule="exact"/>
              <w:rPr>
                <w:rFonts w:eastAsia="方正仿宋_GBK"/>
                <w:color w:val="000000"/>
                <w:sz w:val="22"/>
                <w:szCs w:val="22"/>
              </w:rPr>
            </w:pPr>
            <w:r>
              <w:rPr>
                <w:rFonts w:eastAsia="方正仿宋_GBK"/>
                <w:color w:val="000000"/>
                <w:sz w:val="22"/>
                <w:szCs w:val="22"/>
              </w:rPr>
              <w:t>1.发生5分钟以上（含）15分钟以下延误事件的，每起扣0.1分；</w:t>
            </w:r>
          </w:p>
          <w:p>
            <w:pPr>
              <w:spacing w:line="240" w:lineRule="exact"/>
              <w:rPr>
                <w:rFonts w:eastAsia="方正仿宋_GBK"/>
                <w:color w:val="000000"/>
                <w:sz w:val="22"/>
                <w:szCs w:val="22"/>
              </w:rPr>
            </w:pPr>
            <w:r>
              <w:rPr>
                <w:rFonts w:eastAsia="方正仿宋_GBK"/>
                <w:color w:val="000000"/>
                <w:sz w:val="22"/>
                <w:szCs w:val="22"/>
              </w:rPr>
              <w:t>2.发生15分钟以上（含）30分钟以下延误事件的，每起扣0.2分；</w:t>
            </w:r>
          </w:p>
          <w:p>
            <w:pPr>
              <w:spacing w:line="240" w:lineRule="exact"/>
              <w:rPr>
                <w:rFonts w:eastAsia="方正仿宋_GBK"/>
                <w:color w:val="000000"/>
                <w:sz w:val="22"/>
                <w:szCs w:val="22"/>
              </w:rPr>
            </w:pPr>
            <w:r>
              <w:rPr>
                <w:rFonts w:eastAsia="方正仿宋_GBK"/>
                <w:color w:val="000000"/>
                <w:sz w:val="22"/>
                <w:szCs w:val="22"/>
              </w:rPr>
              <w:t>3.连续中断行车（指线路中有2个及以上车站或区间发生行车中断）30分钟以上（含）2小时以下的，每起扣0.5分；</w:t>
            </w:r>
          </w:p>
          <w:p>
            <w:pPr>
              <w:spacing w:line="240" w:lineRule="exact"/>
              <w:rPr>
                <w:rFonts w:eastAsia="方正仿宋_GBK"/>
                <w:color w:val="000000"/>
                <w:sz w:val="22"/>
                <w:szCs w:val="22"/>
              </w:rPr>
            </w:pPr>
            <w:r>
              <w:rPr>
                <w:rFonts w:eastAsia="方正仿宋_GBK"/>
                <w:color w:val="000000"/>
                <w:sz w:val="22"/>
                <w:szCs w:val="22"/>
              </w:rPr>
              <w:t>4.发生一般及以上运营突发事件的，每起扣1分。</w:t>
            </w:r>
          </w:p>
          <w:p>
            <w:pPr>
              <w:spacing w:line="240" w:lineRule="exact"/>
              <w:rPr>
                <w:rFonts w:eastAsia="方正仿宋_GBK"/>
                <w:color w:val="000000"/>
                <w:sz w:val="22"/>
                <w:szCs w:val="22"/>
              </w:rPr>
            </w:pPr>
            <w:r>
              <w:rPr>
                <w:rFonts w:eastAsia="方正仿宋_GBK"/>
                <w:color w:val="000000"/>
                <w:sz w:val="22"/>
                <w:szCs w:val="22"/>
              </w:rPr>
              <w:t>（因地震、洪涝、气象灾害等自然灾害及其他不可抗力因素导致的除外）</w:t>
            </w:r>
          </w:p>
        </w:tc>
        <w:tc>
          <w:tcPr>
            <w:tcW w:w="605" w:type="pct"/>
            <w:vAlign w:val="center"/>
          </w:tcPr>
          <w:p>
            <w:pPr>
              <w:spacing w:line="24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279" w:type="pct"/>
          </w:tcPr>
          <w:p>
            <w:pPr>
              <w:pStyle w:val="4"/>
              <w:spacing w:line="240" w:lineRule="exact"/>
              <w:ind w:firstLine="240" w:firstLineChars="100"/>
              <w:rPr>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vAlign w:val="center"/>
          </w:tcPr>
          <w:p>
            <w:pPr>
              <w:widowControl/>
              <w:spacing w:line="240" w:lineRule="exact"/>
              <w:jc w:val="center"/>
              <w:textAlignment w:val="center"/>
              <w:rPr>
                <w:color w:val="000000"/>
                <w:kern w:val="0"/>
                <w:sz w:val="22"/>
                <w:szCs w:val="22"/>
                <w:lang w:bidi="ar"/>
              </w:rPr>
            </w:pPr>
            <w:r>
              <w:rPr>
                <w:color w:val="000000"/>
                <w:kern w:val="0"/>
                <w:sz w:val="22"/>
                <w:szCs w:val="22"/>
                <w:lang w:bidi="ar"/>
              </w:rPr>
              <w:t>17</w:t>
            </w:r>
          </w:p>
        </w:tc>
        <w:tc>
          <w:tcPr>
            <w:tcW w:w="436" w:type="pct"/>
            <w:vMerge w:val="continue"/>
            <w:vAlign w:val="center"/>
          </w:tcPr>
          <w:p>
            <w:pPr>
              <w:spacing w:line="240" w:lineRule="exact"/>
              <w:jc w:val="center"/>
              <w:rPr>
                <w:rFonts w:eastAsia="方正楷体_GBK"/>
                <w:bCs/>
                <w:kern w:val="0"/>
                <w:sz w:val="22"/>
                <w:szCs w:val="22"/>
                <w:lang w:bidi="ar"/>
              </w:rPr>
            </w:pPr>
          </w:p>
        </w:tc>
        <w:tc>
          <w:tcPr>
            <w:tcW w:w="421" w:type="pct"/>
            <w:vAlign w:val="center"/>
          </w:tcPr>
          <w:p>
            <w:pPr>
              <w:spacing w:line="240" w:lineRule="exact"/>
              <w:jc w:val="center"/>
              <w:rPr>
                <w:rFonts w:eastAsia="方正仿宋_GBK"/>
                <w:sz w:val="22"/>
                <w:szCs w:val="22"/>
              </w:rPr>
            </w:pPr>
            <w:r>
              <w:rPr>
                <w:rFonts w:eastAsia="方正仿宋_GBK"/>
                <w:sz w:val="22"/>
                <w:szCs w:val="22"/>
              </w:rPr>
              <w:t>挂牌督办</w:t>
            </w:r>
          </w:p>
        </w:tc>
        <w:tc>
          <w:tcPr>
            <w:tcW w:w="290" w:type="pct"/>
            <w:vAlign w:val="center"/>
          </w:tcPr>
          <w:p>
            <w:pPr>
              <w:widowControl/>
              <w:spacing w:line="240" w:lineRule="exact"/>
              <w:jc w:val="center"/>
              <w:textAlignment w:val="center"/>
              <w:rPr>
                <w:color w:val="000000"/>
                <w:kern w:val="0"/>
                <w:sz w:val="22"/>
                <w:szCs w:val="22"/>
                <w:lang w:bidi="ar"/>
              </w:rPr>
            </w:pPr>
            <w:r>
              <w:rPr>
                <w:color w:val="000000"/>
                <w:kern w:val="0"/>
                <w:sz w:val="22"/>
                <w:szCs w:val="22"/>
                <w:lang w:bidi="ar"/>
              </w:rPr>
              <w:t>2</w:t>
            </w:r>
          </w:p>
        </w:tc>
        <w:tc>
          <w:tcPr>
            <w:tcW w:w="2728" w:type="pct"/>
            <w:gridSpan w:val="3"/>
            <w:vAlign w:val="center"/>
          </w:tcPr>
          <w:p>
            <w:pPr>
              <w:spacing w:line="240" w:lineRule="exact"/>
              <w:rPr>
                <w:rFonts w:eastAsia="方正仿宋_GBK"/>
                <w:color w:val="000000"/>
                <w:sz w:val="22"/>
                <w:szCs w:val="22"/>
              </w:rPr>
            </w:pPr>
            <w:r>
              <w:rPr>
                <w:rFonts w:eastAsia="方正仿宋_GBK"/>
                <w:color w:val="000000"/>
                <w:sz w:val="22"/>
                <w:szCs w:val="22"/>
              </w:rPr>
              <w:t>因运营管理原因被挂牌督办的，每起扣0.5分。</w:t>
            </w:r>
          </w:p>
        </w:tc>
        <w:tc>
          <w:tcPr>
            <w:tcW w:w="605" w:type="pct"/>
            <w:vAlign w:val="center"/>
          </w:tcPr>
          <w:p>
            <w:pPr>
              <w:spacing w:line="240" w:lineRule="exact"/>
              <w:jc w:val="center"/>
              <w:rPr>
                <w:rFonts w:eastAsia="方正仿宋_GBK"/>
                <w:color w:val="000000"/>
                <w:sz w:val="22"/>
                <w:szCs w:val="22"/>
              </w:rPr>
            </w:pPr>
            <w:r>
              <w:rPr>
                <w:rFonts w:eastAsia="方正仿宋_GBK"/>
                <w:color w:val="000000"/>
                <w:sz w:val="22"/>
                <w:szCs w:val="22"/>
              </w:rPr>
              <w:t>交通执法部门通报，行业管理部门录入</w:t>
            </w:r>
          </w:p>
        </w:tc>
        <w:tc>
          <w:tcPr>
            <w:tcW w:w="279" w:type="pct"/>
          </w:tcPr>
          <w:p>
            <w:pPr>
              <w:pStyle w:val="4"/>
              <w:spacing w:line="240" w:lineRule="exact"/>
              <w:ind w:firstLine="240" w:firstLineChars="100"/>
              <w:rPr>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240" w:type="pct"/>
            <w:vAlign w:val="center"/>
          </w:tcPr>
          <w:p>
            <w:pPr>
              <w:widowControl/>
              <w:spacing w:line="240" w:lineRule="exact"/>
              <w:jc w:val="center"/>
              <w:textAlignment w:val="center"/>
              <w:rPr>
                <w:color w:val="000000"/>
                <w:kern w:val="0"/>
                <w:sz w:val="22"/>
                <w:szCs w:val="22"/>
                <w:lang w:bidi="ar"/>
              </w:rPr>
            </w:pPr>
            <w:r>
              <w:rPr>
                <w:color w:val="000000"/>
                <w:kern w:val="0"/>
                <w:sz w:val="22"/>
                <w:szCs w:val="22"/>
                <w:lang w:bidi="ar"/>
              </w:rPr>
              <w:t>18</w:t>
            </w:r>
          </w:p>
        </w:tc>
        <w:tc>
          <w:tcPr>
            <w:tcW w:w="436" w:type="pct"/>
            <w:vAlign w:val="center"/>
          </w:tcPr>
          <w:p>
            <w:pPr>
              <w:spacing w:line="240" w:lineRule="exact"/>
              <w:jc w:val="center"/>
              <w:rPr>
                <w:rFonts w:eastAsia="方正楷体_GBK"/>
                <w:bCs/>
                <w:color w:val="000000"/>
                <w:kern w:val="0"/>
                <w:sz w:val="22"/>
                <w:szCs w:val="22"/>
                <w:lang w:bidi="ar"/>
              </w:rPr>
            </w:pPr>
            <w:r>
              <w:rPr>
                <w:rFonts w:eastAsia="方正楷体_GBK"/>
                <w:bCs/>
                <w:color w:val="000000"/>
                <w:kern w:val="0"/>
                <w:sz w:val="22"/>
                <w:szCs w:val="22"/>
                <w:lang w:bidi="ar"/>
              </w:rPr>
              <w:t>加分项目</w:t>
            </w:r>
          </w:p>
          <w:p>
            <w:pPr>
              <w:spacing w:line="240" w:lineRule="exact"/>
              <w:jc w:val="center"/>
              <w:rPr>
                <w:rFonts w:eastAsia="方正楷体_GBK"/>
                <w:bCs/>
                <w:color w:val="000000"/>
                <w:kern w:val="0"/>
                <w:sz w:val="22"/>
                <w:szCs w:val="22"/>
                <w:lang w:bidi="ar"/>
              </w:rPr>
            </w:pPr>
          </w:p>
        </w:tc>
        <w:tc>
          <w:tcPr>
            <w:tcW w:w="421" w:type="pct"/>
            <w:vAlign w:val="center"/>
          </w:tcPr>
          <w:p>
            <w:pPr>
              <w:spacing w:line="240" w:lineRule="exact"/>
              <w:jc w:val="center"/>
              <w:rPr>
                <w:rFonts w:eastAsia="方正仿宋_GBK"/>
                <w:color w:val="000000"/>
                <w:sz w:val="22"/>
                <w:szCs w:val="22"/>
              </w:rPr>
            </w:pPr>
            <w:r>
              <w:rPr>
                <w:rFonts w:eastAsia="方正仿宋_GBK"/>
                <w:color w:val="000000"/>
                <w:sz w:val="22"/>
                <w:szCs w:val="22"/>
              </w:rPr>
              <w:t>表彰奖励</w:t>
            </w:r>
          </w:p>
        </w:tc>
        <w:tc>
          <w:tcPr>
            <w:tcW w:w="290" w:type="pct"/>
            <w:vAlign w:val="center"/>
          </w:tcPr>
          <w:p>
            <w:pPr>
              <w:widowControl/>
              <w:spacing w:line="240" w:lineRule="exact"/>
              <w:jc w:val="center"/>
              <w:textAlignment w:val="center"/>
              <w:rPr>
                <w:color w:val="000000"/>
                <w:kern w:val="0"/>
                <w:sz w:val="22"/>
                <w:szCs w:val="22"/>
                <w:lang w:bidi="ar"/>
              </w:rPr>
            </w:pPr>
          </w:p>
        </w:tc>
        <w:tc>
          <w:tcPr>
            <w:tcW w:w="2728" w:type="pct"/>
            <w:gridSpan w:val="3"/>
          </w:tcPr>
          <w:p>
            <w:pPr>
              <w:spacing w:line="240" w:lineRule="exact"/>
              <w:rPr>
                <w:rFonts w:eastAsia="方正仿宋_GBK"/>
                <w:color w:val="000000"/>
                <w:sz w:val="22"/>
                <w:szCs w:val="22"/>
              </w:rPr>
            </w:pPr>
            <w:r>
              <w:rPr>
                <w:rFonts w:eastAsia="方正仿宋_GBK"/>
                <w:color w:val="000000"/>
                <w:sz w:val="22"/>
                <w:szCs w:val="22"/>
              </w:rPr>
              <w:t>1.因完成政府政策性任务，或者积极组织参加抢险救灾、应急保障等具有较大社会影响的活动，运营单位获得市级及以上人民政府或者交通运输部表彰表扬的，每项加2分；获得市级交通主管部门表彰表扬的，每项加1分；</w:t>
            </w:r>
          </w:p>
          <w:p>
            <w:pPr>
              <w:spacing w:line="240" w:lineRule="exact"/>
              <w:rPr>
                <w:rFonts w:eastAsia="方正仿宋_GBK"/>
                <w:color w:val="000000"/>
                <w:sz w:val="22"/>
                <w:szCs w:val="22"/>
              </w:rPr>
            </w:pPr>
            <w:r>
              <w:rPr>
                <w:rFonts w:eastAsia="方正仿宋_GBK"/>
                <w:color w:val="000000"/>
                <w:sz w:val="22"/>
                <w:szCs w:val="22"/>
              </w:rPr>
              <w:t>2.班组或者个人因运营管理工作突出，获得市级及以上人民政府或者交通运输部表彰表扬的，每项加1分。</w:t>
            </w:r>
          </w:p>
          <w:p>
            <w:pPr>
              <w:spacing w:line="240" w:lineRule="exact"/>
              <w:rPr>
                <w:rFonts w:eastAsia="方正仿宋_GBK"/>
                <w:color w:val="000000"/>
                <w:sz w:val="22"/>
                <w:szCs w:val="22"/>
              </w:rPr>
            </w:pPr>
            <w:r>
              <w:rPr>
                <w:rFonts w:eastAsia="方正仿宋_GBK"/>
                <w:color w:val="000000"/>
                <w:sz w:val="22"/>
                <w:szCs w:val="22"/>
              </w:rPr>
              <w:t>（总加分上限为5分，因同一事项获得多项表彰表扬的，按照奖项级别最高的计算一次，不重复加分。）</w:t>
            </w:r>
          </w:p>
        </w:tc>
        <w:tc>
          <w:tcPr>
            <w:tcW w:w="605" w:type="pct"/>
            <w:vAlign w:val="center"/>
          </w:tcPr>
          <w:p>
            <w:pPr>
              <w:spacing w:line="240" w:lineRule="exact"/>
              <w:jc w:val="center"/>
              <w:rPr>
                <w:rFonts w:eastAsia="方正仿宋_GBK"/>
                <w:color w:val="000000"/>
                <w:sz w:val="22"/>
                <w:szCs w:val="22"/>
              </w:rPr>
            </w:pPr>
          </w:p>
          <w:p>
            <w:pPr>
              <w:spacing w:line="24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279" w:type="pct"/>
          </w:tcPr>
          <w:p>
            <w:pPr>
              <w:spacing w:line="240" w:lineRule="exact"/>
              <w:jc w:val="left"/>
              <w:rPr>
                <w:rFonts w:eastAsia="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0" w:type="pct"/>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合计</w:t>
            </w:r>
          </w:p>
        </w:tc>
        <w:tc>
          <w:tcPr>
            <w:tcW w:w="436" w:type="pct"/>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100分</w:t>
            </w:r>
          </w:p>
        </w:tc>
        <w:tc>
          <w:tcPr>
            <w:tcW w:w="421" w:type="pct"/>
            <w:vAlign w:val="center"/>
          </w:tcPr>
          <w:p>
            <w:pPr>
              <w:spacing w:line="260" w:lineRule="exact"/>
              <w:jc w:val="center"/>
              <w:rPr>
                <w:rFonts w:eastAsia="方正仿宋_GBK"/>
                <w:color w:val="000000"/>
                <w:sz w:val="22"/>
                <w:szCs w:val="22"/>
              </w:rPr>
            </w:pPr>
          </w:p>
        </w:tc>
        <w:tc>
          <w:tcPr>
            <w:tcW w:w="290" w:type="pct"/>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100</w:t>
            </w:r>
          </w:p>
        </w:tc>
        <w:tc>
          <w:tcPr>
            <w:tcW w:w="2728" w:type="pct"/>
            <w:gridSpan w:val="3"/>
          </w:tcPr>
          <w:p>
            <w:pPr>
              <w:spacing w:line="260" w:lineRule="exact"/>
              <w:rPr>
                <w:rFonts w:eastAsia="方正仿宋_GBK"/>
                <w:color w:val="000000"/>
                <w:sz w:val="22"/>
                <w:szCs w:val="22"/>
              </w:rPr>
            </w:pPr>
          </w:p>
        </w:tc>
        <w:tc>
          <w:tcPr>
            <w:tcW w:w="605" w:type="pct"/>
          </w:tcPr>
          <w:p>
            <w:pPr>
              <w:spacing w:line="260" w:lineRule="exact"/>
              <w:rPr>
                <w:rFonts w:eastAsia="方正仿宋_GBK"/>
                <w:color w:val="000000"/>
                <w:sz w:val="22"/>
                <w:szCs w:val="22"/>
              </w:rPr>
            </w:pPr>
          </w:p>
        </w:tc>
        <w:tc>
          <w:tcPr>
            <w:tcW w:w="279" w:type="pct"/>
          </w:tcPr>
          <w:p>
            <w:pPr>
              <w:spacing w:line="260" w:lineRule="exact"/>
              <w:jc w:val="left"/>
              <w:rPr>
                <w:rFonts w:eastAsia="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6" w:type="pct"/>
            <w:gridSpan w:val="2"/>
            <w:vMerge w:val="restart"/>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评价结论</w:t>
            </w:r>
          </w:p>
        </w:tc>
        <w:tc>
          <w:tcPr>
            <w:tcW w:w="421" w:type="pct"/>
            <w:vAlign w:val="center"/>
          </w:tcPr>
          <w:p>
            <w:pPr>
              <w:spacing w:line="260" w:lineRule="exact"/>
              <w:jc w:val="center"/>
              <w:rPr>
                <w:rFonts w:eastAsia="方正仿宋_GBK"/>
                <w:color w:val="000000"/>
                <w:sz w:val="22"/>
                <w:szCs w:val="22"/>
              </w:rPr>
            </w:pPr>
            <w:r>
              <w:rPr>
                <w:rFonts w:eastAsia="方正仿宋_GBK"/>
                <w:color w:val="000000"/>
                <w:kern w:val="0"/>
                <w:sz w:val="22"/>
                <w:szCs w:val="22"/>
                <w:lang w:bidi="ar"/>
              </w:rPr>
              <w:t>信用等级</w:t>
            </w:r>
          </w:p>
        </w:tc>
        <w:tc>
          <w:tcPr>
            <w:tcW w:w="3902" w:type="pct"/>
            <w:gridSpan w:val="6"/>
            <w:vAlign w:val="center"/>
          </w:tcPr>
          <w:p>
            <w:pPr>
              <w:spacing w:line="260" w:lineRule="exact"/>
              <w:jc w:val="left"/>
              <w:rPr>
                <w:rFonts w:eastAsia="方正仿宋_GBK"/>
                <w:bCs/>
                <w:color w:val="000000"/>
                <w:kern w:val="0"/>
                <w:sz w:val="28"/>
                <w:szCs w:val="28"/>
                <w:lang w:bidi="ar"/>
              </w:rPr>
            </w:pPr>
            <w:r>
              <w:rPr>
                <w:rFonts w:eastAsia="方正仿宋_GBK"/>
                <w:color w:val="000000"/>
                <w:kern w:val="0"/>
                <w:sz w:val="22"/>
                <w:szCs w:val="22"/>
                <w:lang w:bidi="ar"/>
              </w:rPr>
              <w:t>AA□                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6" w:type="pct"/>
            <w:gridSpan w:val="2"/>
            <w:vMerge w:val="continue"/>
            <w:vAlign w:val="center"/>
          </w:tcPr>
          <w:p>
            <w:pPr>
              <w:widowControl/>
              <w:spacing w:line="260" w:lineRule="exact"/>
              <w:jc w:val="center"/>
              <w:rPr>
                <w:rFonts w:eastAsia="方正楷体_GBK"/>
                <w:bCs/>
                <w:color w:val="000000"/>
                <w:sz w:val="22"/>
                <w:szCs w:val="22"/>
              </w:rPr>
            </w:pPr>
          </w:p>
        </w:tc>
        <w:tc>
          <w:tcPr>
            <w:tcW w:w="421" w:type="pct"/>
            <w:vAlign w:val="center"/>
          </w:tcPr>
          <w:p>
            <w:pPr>
              <w:spacing w:line="260" w:lineRule="exact"/>
              <w:jc w:val="center"/>
              <w:rPr>
                <w:rFonts w:eastAsia="方正仿宋_GBK"/>
                <w:color w:val="000000"/>
                <w:sz w:val="22"/>
                <w:szCs w:val="22"/>
              </w:rPr>
            </w:pPr>
            <w:r>
              <w:rPr>
                <w:rFonts w:eastAsia="方正仿宋_GBK"/>
                <w:color w:val="000000"/>
                <w:kern w:val="0"/>
                <w:sz w:val="22"/>
                <w:szCs w:val="22"/>
                <w:lang w:bidi="ar"/>
              </w:rPr>
              <w:t>评价机构</w:t>
            </w:r>
          </w:p>
        </w:tc>
        <w:tc>
          <w:tcPr>
            <w:tcW w:w="3902" w:type="pct"/>
            <w:gridSpan w:val="6"/>
            <w:vAlign w:val="center"/>
          </w:tcPr>
          <w:p>
            <w:pPr>
              <w:spacing w:line="260" w:lineRule="exact"/>
              <w:jc w:val="left"/>
              <w:rPr>
                <w:rFonts w:eastAsia="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6" w:type="pct"/>
            <w:gridSpan w:val="2"/>
            <w:vMerge w:val="continue"/>
            <w:vAlign w:val="center"/>
          </w:tcPr>
          <w:p>
            <w:pPr>
              <w:widowControl/>
              <w:spacing w:line="260" w:lineRule="exact"/>
              <w:jc w:val="center"/>
              <w:rPr>
                <w:rFonts w:eastAsia="方正楷体_GBK"/>
                <w:bCs/>
                <w:color w:val="000000"/>
                <w:sz w:val="22"/>
                <w:szCs w:val="22"/>
              </w:rPr>
            </w:pPr>
          </w:p>
        </w:tc>
        <w:tc>
          <w:tcPr>
            <w:tcW w:w="421" w:type="pct"/>
            <w:vAlign w:val="center"/>
          </w:tcPr>
          <w:p>
            <w:pPr>
              <w:spacing w:line="260" w:lineRule="exact"/>
              <w:jc w:val="center"/>
              <w:rPr>
                <w:rFonts w:eastAsia="方正仿宋_GBK"/>
                <w:color w:val="000000"/>
                <w:sz w:val="22"/>
                <w:szCs w:val="22"/>
              </w:rPr>
            </w:pPr>
            <w:r>
              <w:rPr>
                <w:rFonts w:eastAsia="方正仿宋_GBK"/>
                <w:color w:val="000000"/>
                <w:kern w:val="0"/>
                <w:sz w:val="22"/>
                <w:szCs w:val="22"/>
                <w:lang w:bidi="ar"/>
              </w:rPr>
              <w:t>经办人</w:t>
            </w:r>
          </w:p>
        </w:tc>
        <w:tc>
          <w:tcPr>
            <w:tcW w:w="1374" w:type="pct"/>
            <w:gridSpan w:val="2"/>
            <w:vAlign w:val="center"/>
          </w:tcPr>
          <w:p>
            <w:pPr>
              <w:widowControl/>
              <w:spacing w:line="260" w:lineRule="exact"/>
              <w:jc w:val="center"/>
              <w:textAlignment w:val="center"/>
              <w:rPr>
                <w:color w:val="000000"/>
                <w:kern w:val="0"/>
                <w:sz w:val="22"/>
                <w:szCs w:val="22"/>
                <w:lang w:bidi="ar"/>
              </w:rPr>
            </w:pPr>
          </w:p>
        </w:tc>
        <w:tc>
          <w:tcPr>
            <w:tcW w:w="620" w:type="pct"/>
            <w:vAlign w:val="center"/>
          </w:tcPr>
          <w:p>
            <w:pPr>
              <w:spacing w:line="260" w:lineRule="exact"/>
              <w:jc w:val="center"/>
              <w:rPr>
                <w:rFonts w:eastAsia="方正仿宋_GBK"/>
                <w:color w:val="000000"/>
                <w:sz w:val="22"/>
                <w:szCs w:val="22"/>
              </w:rPr>
            </w:pPr>
            <w:r>
              <w:rPr>
                <w:rFonts w:eastAsia="方正仿宋_GBK"/>
                <w:color w:val="000000"/>
                <w:sz w:val="22"/>
                <w:szCs w:val="22"/>
              </w:rPr>
              <w:t>评价日期</w:t>
            </w:r>
          </w:p>
        </w:tc>
        <w:tc>
          <w:tcPr>
            <w:tcW w:w="1908" w:type="pct"/>
            <w:gridSpan w:val="3"/>
            <w:vAlign w:val="center"/>
          </w:tcPr>
          <w:p>
            <w:pPr>
              <w:spacing w:line="260" w:lineRule="exact"/>
              <w:jc w:val="center"/>
              <w:rPr>
                <w:rFonts w:eastAsia="方正仿宋_GBK"/>
                <w:bCs/>
                <w:color w:val="000000"/>
                <w:kern w:val="0"/>
                <w:sz w:val="28"/>
                <w:szCs w:val="28"/>
                <w:lang w:bidi="ar"/>
              </w:rPr>
            </w:pPr>
            <w:r>
              <w:rPr>
                <w:rFonts w:eastAsia="仿宋_GB2312"/>
                <w:color w:val="000000"/>
                <w:sz w:val="20"/>
              </w:rPr>
              <w:t>年      月      日</w:t>
            </w:r>
          </w:p>
        </w:tc>
      </w:tr>
    </w:tbl>
    <w:p>
      <w:pPr>
        <w:spacing w:line="360" w:lineRule="exact"/>
        <w:rPr>
          <w:rFonts w:hint="eastAsia" w:ascii="方正仿宋_GBK" w:eastAsia="方正仿宋_GBK"/>
          <w:color w:val="000000"/>
          <w:sz w:val="24"/>
        </w:rPr>
      </w:pPr>
      <w:r>
        <w:rPr>
          <w:rFonts w:hint="eastAsia" w:ascii="方正仿宋_GBK" w:eastAsia="方正仿宋_GBK"/>
          <w:color w:val="000000"/>
          <w:sz w:val="24"/>
        </w:rPr>
        <w:t>注：信用评价以线路为单位开展，评价内容为安全生产，经营管理，服务质量和社会责任等四方面。运营单位信用评价得分，以其所辖线路的信用评价平均得分加上加分项目得分计算。</w:t>
      </w:r>
    </w:p>
    <w:p>
      <w:pPr>
        <w:spacing w:line="500" w:lineRule="exact"/>
        <w:jc w:val="left"/>
        <w:rPr>
          <w:rFonts w:ascii="方正黑体_GBK" w:hAnsi="方正黑体_GBK" w:eastAsia="方正黑体_GBK" w:cs="方正黑体_GBK"/>
          <w:color w:val="000000"/>
          <w:sz w:val="32"/>
          <w:szCs w:val="32"/>
        </w:rPr>
      </w:pPr>
    </w:p>
    <w:p>
      <w:pPr>
        <w:spacing w:line="500" w:lineRule="exact"/>
        <w:jc w:val="left"/>
        <w:rPr>
          <w:rFonts w:ascii="方正黑体_GBK" w:hAnsi="方正黑体_GBK" w:eastAsia="方正黑体_GBK" w:cs="方正黑体_GBK"/>
          <w:color w:val="000000"/>
          <w:sz w:val="32"/>
          <w:szCs w:val="32"/>
        </w:rPr>
      </w:pPr>
    </w:p>
    <w:p>
      <w:pPr>
        <w:spacing w:line="500" w:lineRule="exact"/>
        <w:jc w:val="left"/>
        <w:rPr>
          <w:rFonts w:ascii="方正黑体_GBK" w:hAnsi="方正黑体_GBK" w:eastAsia="方正黑体_GBK" w:cs="方正黑体_GBK"/>
          <w:color w:val="000000"/>
          <w:sz w:val="32"/>
          <w:szCs w:val="32"/>
        </w:rPr>
      </w:pPr>
    </w:p>
    <w:p>
      <w:pPr>
        <w:spacing w:line="500" w:lineRule="exact"/>
        <w:jc w:val="lef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附件1-8</w:t>
      </w:r>
    </w:p>
    <w:p>
      <w:pPr>
        <w:pStyle w:val="13"/>
        <w:spacing w:after="0" w:line="500" w:lineRule="exact"/>
        <w:rPr>
          <w:rFonts w:hint="eastAsia"/>
        </w:rPr>
      </w:pPr>
    </w:p>
    <w:p>
      <w:pPr>
        <w:spacing w:line="500" w:lineRule="exact"/>
        <w:jc w:val="center"/>
        <w:rPr>
          <w:rFonts w:eastAsia="方正小标宋_GBK"/>
          <w:bCs/>
          <w:color w:val="000000"/>
          <w:kern w:val="0"/>
          <w:sz w:val="44"/>
          <w:szCs w:val="44"/>
          <w:lang w:bidi="ar"/>
        </w:rPr>
      </w:pPr>
      <w:r>
        <w:rPr>
          <w:rFonts w:eastAsia="方正小标宋_GBK"/>
          <w:bCs/>
          <w:color w:val="000000"/>
          <w:kern w:val="0"/>
          <w:sz w:val="44"/>
          <w:szCs w:val="44"/>
          <w:lang w:bidi="ar"/>
        </w:rPr>
        <w:t>重庆市汽车客运站经营者信用评价标准</w:t>
      </w:r>
    </w:p>
    <w:p>
      <w:pPr>
        <w:spacing w:line="600" w:lineRule="exact"/>
        <w:jc w:val="left"/>
        <w:rPr>
          <w:bCs/>
          <w:color w:val="000000"/>
          <w:kern w:val="0"/>
          <w:sz w:val="32"/>
          <w:szCs w:val="32"/>
          <w:lang w:bidi="ar"/>
        </w:rPr>
      </w:pPr>
      <w:r>
        <w:rPr>
          <w:rFonts w:eastAsia="方正仿宋_GBK"/>
          <w:bCs/>
          <w:color w:val="000000"/>
          <w:kern w:val="0"/>
          <w:sz w:val="28"/>
          <w:szCs w:val="28"/>
          <w:lang w:bidi="ar"/>
        </w:rPr>
        <w:t>被评价企业：                                                            评价年度：</w:t>
      </w:r>
    </w:p>
    <w:tbl>
      <w:tblPr>
        <w:tblStyle w:val="14"/>
        <w:tblW w:w="13928" w:type="dxa"/>
        <w:jc w:val="center"/>
        <w:tblLayout w:type="fixed"/>
        <w:tblCellMar>
          <w:top w:w="0" w:type="dxa"/>
          <w:left w:w="108" w:type="dxa"/>
          <w:bottom w:w="0" w:type="dxa"/>
          <w:right w:w="108" w:type="dxa"/>
        </w:tblCellMar>
      </w:tblPr>
      <w:tblGrid>
        <w:gridCol w:w="555"/>
        <w:gridCol w:w="1280"/>
        <w:gridCol w:w="1267"/>
        <w:gridCol w:w="900"/>
        <w:gridCol w:w="5039"/>
        <w:gridCol w:w="1547"/>
        <w:gridCol w:w="434"/>
        <w:gridCol w:w="2250"/>
        <w:gridCol w:w="656"/>
      </w:tblGrid>
      <w:tr>
        <w:tblPrEx>
          <w:tblCellMar>
            <w:top w:w="0" w:type="dxa"/>
            <w:left w:w="108" w:type="dxa"/>
            <w:bottom w:w="0" w:type="dxa"/>
            <w:right w:w="108" w:type="dxa"/>
          </w:tblCellMar>
        </w:tblPrEx>
        <w:trPr>
          <w:trHeight w:val="731" w:hRule="atLeast"/>
          <w:tblHeader/>
          <w:jc w:val="center"/>
        </w:trPr>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序号</w:t>
            </w:r>
          </w:p>
        </w:tc>
        <w:tc>
          <w:tcPr>
            <w:tcW w:w="1280" w:type="dxa"/>
            <w:tcBorders>
              <w:top w:val="single" w:color="000000" w:sz="4" w:space="0"/>
              <w:left w:val="single" w:color="auto" w:sz="4" w:space="0"/>
              <w:bottom w:val="single" w:color="000000" w:sz="4" w:space="0"/>
              <w:right w:val="single" w:color="000000" w:sz="4" w:space="0"/>
            </w:tcBorders>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一级指标及分值</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二级指标</w:t>
            </w:r>
          </w:p>
        </w:tc>
        <w:tc>
          <w:tcPr>
            <w:tcW w:w="900"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分值</w:t>
            </w:r>
          </w:p>
        </w:tc>
        <w:tc>
          <w:tcPr>
            <w:tcW w:w="70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评分标准</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数据来源</w:t>
            </w:r>
          </w:p>
        </w:tc>
        <w:tc>
          <w:tcPr>
            <w:tcW w:w="656" w:type="dxa"/>
            <w:tcBorders>
              <w:top w:val="single" w:color="000000" w:sz="4" w:space="0"/>
              <w:left w:val="nil"/>
              <w:bottom w:val="single" w:color="000000"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szCs w:val="21"/>
              </w:rPr>
              <w:t>得分</w:t>
            </w:r>
          </w:p>
        </w:tc>
      </w:tr>
      <w:tr>
        <w:tblPrEx>
          <w:tblCellMar>
            <w:top w:w="0" w:type="dxa"/>
            <w:left w:w="108" w:type="dxa"/>
            <w:bottom w:w="0" w:type="dxa"/>
            <w:right w:w="108" w:type="dxa"/>
          </w:tblCellMar>
        </w:tblPrEx>
        <w:trPr>
          <w:trHeight w:val="1498"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w:t>
            </w:r>
          </w:p>
        </w:tc>
        <w:tc>
          <w:tcPr>
            <w:tcW w:w="1280" w:type="dxa"/>
            <w:vMerge w:val="restart"/>
            <w:tcBorders>
              <w:top w:val="nil"/>
              <w:left w:val="single" w:color="000000" w:sz="4" w:space="0"/>
              <w:bottom w:val="nil"/>
              <w:right w:val="nil"/>
            </w:tcBorders>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经营管理</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（40分）</w:t>
            </w:r>
          </w:p>
        </w:tc>
        <w:tc>
          <w:tcPr>
            <w:tcW w:w="1267" w:type="dxa"/>
            <w:vMerge w:val="restart"/>
            <w:tcBorders>
              <w:top w:val="single" w:color="000000" w:sz="4" w:space="0"/>
              <w:left w:val="single" w:color="000000" w:sz="4" w:space="0"/>
              <w:right w:val="single" w:color="auto" w:sz="4" w:space="0"/>
            </w:tcBorders>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合规经营情况</w:t>
            </w:r>
          </w:p>
        </w:tc>
        <w:tc>
          <w:tcPr>
            <w:tcW w:w="900" w:type="dxa"/>
            <w:vMerge w:val="restart"/>
            <w:tcBorders>
              <w:top w:val="single" w:color="auto" w:sz="4" w:space="0"/>
              <w:left w:val="single" w:color="auto" w:sz="4" w:space="0"/>
              <w:right w:val="single" w:color="auto"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20</w:t>
            </w:r>
          </w:p>
        </w:tc>
        <w:tc>
          <w:tcPr>
            <w:tcW w:w="7020"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允许无经营证件的车辆的车辆进站从事经营活动的；允许超载车辆出站的；允许未经安全检查或者安全检查不合格的车辆发车的；无正当理由拒绝客运车辆进站从事经营活动的；设立的停靠点未按照规定备案的；擅自变更客车经营线路的。发生以上情形之一，每次扣2分。随意改变汽车客运站的用途或者服务功能扣3分。</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日常检查，日常信息收集，投诉信息汇总</w:t>
            </w:r>
          </w:p>
        </w:tc>
        <w:tc>
          <w:tcPr>
            <w:tcW w:w="656" w:type="dxa"/>
            <w:tcBorders>
              <w:top w:val="single" w:color="000000" w:sz="4" w:space="0"/>
              <w:left w:val="nil"/>
              <w:bottom w:val="single" w:color="000000" w:sz="4" w:space="0"/>
              <w:right w:val="single" w:color="000000" w:sz="4" w:space="0"/>
            </w:tcBorders>
            <w:vAlign w:val="center"/>
          </w:tcPr>
          <w:p>
            <w:pPr>
              <w:widowControl/>
              <w:spacing w:line="260" w:lineRule="exact"/>
              <w:ind w:firstLine="200" w:firstLineChars="100"/>
              <w:jc w:val="left"/>
              <w:rPr>
                <w:rFonts w:eastAsia="仿宋_GB2312"/>
                <w:color w:val="000000"/>
                <w:sz w:val="20"/>
              </w:rPr>
            </w:pPr>
          </w:p>
        </w:tc>
      </w:tr>
      <w:tr>
        <w:tblPrEx>
          <w:tblCellMar>
            <w:top w:w="0" w:type="dxa"/>
            <w:left w:w="108" w:type="dxa"/>
            <w:bottom w:w="0" w:type="dxa"/>
            <w:right w:w="108" w:type="dxa"/>
          </w:tblCellMar>
        </w:tblPrEx>
        <w:trPr>
          <w:trHeight w:val="625"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sz w:val="22"/>
                <w:szCs w:val="22"/>
              </w:rPr>
              <w:t>2</w:t>
            </w:r>
          </w:p>
        </w:tc>
        <w:tc>
          <w:tcPr>
            <w:tcW w:w="1280" w:type="dxa"/>
            <w:vMerge w:val="continue"/>
            <w:tcBorders>
              <w:top w:val="nil"/>
              <w:left w:val="single" w:color="000000" w:sz="4" w:space="0"/>
              <w:bottom w:val="nil"/>
              <w:right w:val="nil"/>
            </w:tcBorders>
            <w:vAlign w:val="center"/>
          </w:tcPr>
          <w:p>
            <w:pPr>
              <w:widowControl/>
              <w:spacing w:line="260" w:lineRule="exact"/>
              <w:jc w:val="center"/>
              <w:rPr>
                <w:rFonts w:eastAsia="方正楷体_GBK"/>
                <w:bCs/>
                <w:color w:val="000000"/>
                <w:sz w:val="22"/>
                <w:szCs w:val="22"/>
              </w:rPr>
            </w:pPr>
          </w:p>
        </w:tc>
        <w:tc>
          <w:tcPr>
            <w:tcW w:w="1267" w:type="dxa"/>
            <w:vMerge w:val="continue"/>
            <w:tcBorders>
              <w:left w:val="single" w:color="000000" w:sz="4" w:space="0"/>
              <w:right w:val="single" w:color="auto" w:sz="4" w:space="0"/>
            </w:tcBorders>
            <w:vAlign w:val="center"/>
          </w:tcPr>
          <w:p>
            <w:pPr>
              <w:widowControl/>
              <w:spacing w:line="260" w:lineRule="exact"/>
              <w:jc w:val="center"/>
              <w:textAlignment w:val="center"/>
              <w:rPr>
                <w:rFonts w:eastAsia="方正仿宋_GBK"/>
                <w:color w:val="000000"/>
                <w:sz w:val="22"/>
                <w:szCs w:val="22"/>
              </w:rPr>
            </w:pPr>
          </w:p>
        </w:tc>
        <w:tc>
          <w:tcPr>
            <w:tcW w:w="900" w:type="dxa"/>
            <w:vMerge w:val="continue"/>
            <w:tcBorders>
              <w:left w:val="single" w:color="auto" w:sz="4" w:space="0"/>
              <w:right w:val="single" w:color="auto" w:sz="4" w:space="0"/>
            </w:tcBorders>
            <w:vAlign w:val="center"/>
          </w:tcPr>
          <w:p>
            <w:pPr>
              <w:widowControl/>
              <w:spacing w:line="260" w:lineRule="exact"/>
              <w:jc w:val="center"/>
              <w:textAlignment w:val="center"/>
              <w:rPr>
                <w:color w:val="000000"/>
              </w:rPr>
            </w:pPr>
          </w:p>
        </w:tc>
        <w:tc>
          <w:tcPr>
            <w:tcW w:w="7020"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进站应班车辆、驾驶人员未做到车、牌、证齐全有效，不符合运行线路要求。每次扣2分。</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日常检查，日常信息收集，投诉信息汇总</w:t>
            </w:r>
          </w:p>
        </w:tc>
        <w:tc>
          <w:tcPr>
            <w:tcW w:w="656" w:type="dxa"/>
            <w:tcBorders>
              <w:top w:val="single" w:color="000000" w:sz="4" w:space="0"/>
              <w:left w:val="nil"/>
              <w:bottom w:val="single" w:color="000000" w:sz="4" w:space="0"/>
              <w:right w:val="single" w:color="000000" w:sz="4" w:space="0"/>
            </w:tcBorders>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75" w:hRule="atLeast"/>
          <w:jc w:val="center"/>
        </w:trPr>
        <w:tc>
          <w:tcPr>
            <w:tcW w:w="555"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sz w:val="22"/>
                <w:szCs w:val="22"/>
              </w:rPr>
              <w:t>3</w:t>
            </w:r>
          </w:p>
        </w:tc>
        <w:tc>
          <w:tcPr>
            <w:tcW w:w="1280" w:type="dxa"/>
            <w:vMerge w:val="continue"/>
            <w:tcBorders>
              <w:top w:val="nil"/>
              <w:left w:val="single" w:color="000000" w:sz="4" w:space="0"/>
              <w:bottom w:val="single" w:color="auto" w:sz="4" w:space="0"/>
              <w:right w:val="nil"/>
            </w:tcBorders>
            <w:vAlign w:val="center"/>
          </w:tcPr>
          <w:p>
            <w:pPr>
              <w:widowControl/>
              <w:spacing w:line="260" w:lineRule="exact"/>
              <w:jc w:val="center"/>
              <w:rPr>
                <w:rFonts w:eastAsia="方正楷体_GBK"/>
                <w:bCs/>
                <w:color w:val="000000"/>
                <w:sz w:val="22"/>
                <w:szCs w:val="22"/>
              </w:rPr>
            </w:pPr>
          </w:p>
        </w:tc>
        <w:tc>
          <w:tcPr>
            <w:tcW w:w="1267" w:type="dxa"/>
            <w:vMerge w:val="continue"/>
            <w:tcBorders>
              <w:left w:val="single" w:color="000000" w:sz="4" w:space="0"/>
              <w:right w:val="single" w:color="auto" w:sz="4" w:space="0"/>
            </w:tcBorders>
            <w:vAlign w:val="center"/>
          </w:tcPr>
          <w:p>
            <w:pPr>
              <w:widowControl/>
              <w:spacing w:line="260" w:lineRule="exact"/>
              <w:jc w:val="center"/>
              <w:textAlignment w:val="center"/>
              <w:rPr>
                <w:rFonts w:eastAsia="方正仿宋_GBK"/>
                <w:color w:val="000000"/>
                <w:sz w:val="22"/>
                <w:szCs w:val="22"/>
              </w:rPr>
            </w:pPr>
          </w:p>
        </w:tc>
        <w:tc>
          <w:tcPr>
            <w:tcW w:w="900" w:type="dxa"/>
            <w:vMerge w:val="continue"/>
            <w:tcBorders>
              <w:left w:val="single" w:color="auto" w:sz="4" w:space="0"/>
              <w:right w:val="single" w:color="auto" w:sz="4" w:space="0"/>
            </w:tcBorders>
            <w:vAlign w:val="center"/>
          </w:tcPr>
          <w:p>
            <w:pPr>
              <w:widowControl/>
              <w:spacing w:line="260" w:lineRule="exact"/>
              <w:jc w:val="center"/>
              <w:textAlignment w:val="center"/>
              <w:rPr>
                <w:color w:val="000000"/>
              </w:rPr>
            </w:pPr>
          </w:p>
        </w:tc>
        <w:tc>
          <w:tcPr>
            <w:tcW w:w="7020" w:type="dxa"/>
            <w:gridSpan w:val="3"/>
            <w:tcBorders>
              <w:top w:val="single" w:color="000000" w:sz="4" w:space="0"/>
              <w:left w:val="single" w:color="auto" w:sz="4" w:space="0"/>
              <w:bottom w:val="single" w:color="auto" w:sz="4" w:space="0"/>
              <w:right w:val="single" w:color="000000" w:sz="4" w:space="0"/>
            </w:tcBorders>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违反物价、交通主管部门规定收取参营单位费用，不按时结算，无故拖欠、扣压客运经营者营运收入，强制售卖保险的。每次扣2分</w:t>
            </w:r>
          </w:p>
        </w:tc>
        <w:tc>
          <w:tcPr>
            <w:tcW w:w="2250"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日常检查，日常信息收集，投诉信息汇总</w:t>
            </w:r>
          </w:p>
        </w:tc>
        <w:tc>
          <w:tcPr>
            <w:tcW w:w="656" w:type="dxa"/>
            <w:tcBorders>
              <w:top w:val="single" w:color="000000" w:sz="4" w:space="0"/>
              <w:left w:val="nil"/>
              <w:bottom w:val="single" w:color="auto" w:sz="4" w:space="0"/>
              <w:right w:val="single" w:color="000000" w:sz="4" w:space="0"/>
            </w:tcBorders>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536"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4</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楷体_GBK"/>
                <w:bCs/>
                <w:color w:val="000000"/>
                <w:sz w:val="22"/>
                <w:szCs w:val="22"/>
              </w:rPr>
            </w:pPr>
          </w:p>
        </w:tc>
        <w:tc>
          <w:tcPr>
            <w:tcW w:w="1267" w:type="dxa"/>
            <w:vMerge w:val="continue"/>
            <w:tcBorders>
              <w:left w:val="single" w:color="000000" w:sz="4" w:space="0"/>
              <w:bottom w:val="single" w:color="auto" w:sz="4" w:space="0"/>
              <w:right w:val="single" w:color="auto" w:sz="4" w:space="0"/>
            </w:tcBorders>
            <w:vAlign w:val="center"/>
          </w:tcPr>
          <w:p>
            <w:pPr>
              <w:widowControl/>
              <w:spacing w:line="260" w:lineRule="exact"/>
              <w:jc w:val="center"/>
              <w:textAlignment w:val="center"/>
              <w:rPr>
                <w:rFonts w:eastAsia="方正仿宋_GBK"/>
                <w:color w:val="000000"/>
                <w:sz w:val="22"/>
                <w:szCs w:val="22"/>
              </w:rPr>
            </w:pPr>
          </w:p>
        </w:tc>
        <w:tc>
          <w:tcPr>
            <w:tcW w:w="900" w:type="dxa"/>
            <w:vMerge w:val="continue"/>
            <w:tcBorders>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olor w:val="000000"/>
                <w:kern w:val="0"/>
                <w:sz w:val="22"/>
                <w:szCs w:val="22"/>
                <w:lang w:bidi="ar"/>
              </w:rPr>
            </w:pPr>
          </w:p>
        </w:tc>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向旅客公布客车类型等级、运营线路、起讫停靠站点、班次、发车时间、票价及经营者信息。每次扣2分。违反公平、公正、公开的原则，不为进站参营车辆合理安排发车时间，不执行统一调度和管理，公平售票；违反公平、公正、公开的原则，不为进站参营车辆合理安排发车时间，不执行统一调度和管理，公平售票，每次扣2分。</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1273"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5</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楷体_GBK"/>
                <w:bCs/>
                <w:color w:val="000000"/>
                <w:sz w:val="22"/>
                <w:szCs w:val="22"/>
              </w:rPr>
            </w:pPr>
          </w:p>
        </w:tc>
        <w:tc>
          <w:tcPr>
            <w:tcW w:w="1267" w:type="dxa"/>
            <w:vMerge w:val="continue"/>
            <w:tcBorders>
              <w:left w:val="single" w:color="000000" w:sz="4" w:space="0"/>
              <w:bottom w:val="single" w:color="auto" w:sz="4" w:space="0"/>
              <w:right w:val="single" w:color="auto" w:sz="4" w:space="0"/>
            </w:tcBorders>
            <w:vAlign w:val="center"/>
          </w:tcPr>
          <w:p>
            <w:pPr>
              <w:widowControl/>
              <w:spacing w:line="260" w:lineRule="exact"/>
              <w:jc w:val="center"/>
              <w:textAlignment w:val="center"/>
              <w:rPr>
                <w:rFonts w:eastAsia="方正仿宋_GBK"/>
                <w:color w:val="000000"/>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20</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因违规违章经营受交通行政执法部门行政处罚。每行政处罚一次扣3分，其中受停业整顿行政处罚的，每次扣15分。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在考核周期届满时，存在未履行交通运输行政处罚决定的，按照该交通运输行政处罚信用扣分标准，再次扣除相应分数。</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w:t>
            </w:r>
          </w:p>
        </w:tc>
        <w:tc>
          <w:tcPr>
            <w:tcW w:w="656" w:type="dxa"/>
            <w:tcBorders>
              <w:top w:val="single" w:color="auto" w:sz="4" w:space="0"/>
              <w:left w:val="single" w:color="auto" w:sz="4" w:space="0"/>
              <w:bottom w:val="single" w:color="auto" w:sz="4" w:space="0"/>
              <w:right w:val="single" w:color="auto" w:sz="4" w:space="0"/>
            </w:tcBorders>
            <w:vAlign w:val="center"/>
          </w:tcPr>
          <w:p>
            <w:pPr>
              <w:pStyle w:val="4"/>
              <w:widowControl/>
              <w:snapToGrid/>
              <w:spacing w:line="260" w:lineRule="exact"/>
              <w:ind w:firstLine="240" w:firstLineChars="100"/>
            </w:pPr>
          </w:p>
        </w:tc>
      </w:tr>
      <w:tr>
        <w:tblPrEx>
          <w:tblCellMar>
            <w:top w:w="0" w:type="dxa"/>
            <w:left w:w="108" w:type="dxa"/>
            <w:bottom w:w="0" w:type="dxa"/>
            <w:right w:w="108" w:type="dxa"/>
          </w:tblCellMar>
        </w:tblPrEx>
        <w:trPr>
          <w:trHeight w:val="1881" w:hRule="atLeast"/>
          <w:jc w:val="center"/>
        </w:trPr>
        <w:tc>
          <w:tcPr>
            <w:tcW w:w="555" w:type="dxa"/>
            <w:tcBorders>
              <w:top w:val="single" w:color="auto"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6</w:t>
            </w:r>
          </w:p>
        </w:tc>
        <w:tc>
          <w:tcPr>
            <w:tcW w:w="1280"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安全生产</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（30分）</w:t>
            </w:r>
          </w:p>
        </w:tc>
        <w:tc>
          <w:tcPr>
            <w:tcW w:w="1267" w:type="dxa"/>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基础安全情况</w:t>
            </w:r>
          </w:p>
        </w:tc>
        <w:tc>
          <w:tcPr>
            <w:tcW w:w="900" w:type="dxa"/>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 xml:space="preserve">10 </w:t>
            </w:r>
          </w:p>
        </w:tc>
        <w:tc>
          <w:tcPr>
            <w:tcW w:w="7020" w:type="dxa"/>
            <w:gridSpan w:val="3"/>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对站务人员定期进行安全教育培训，每漏1人次扣1分；未按要求开展安全出行知识宣传的，每次扣1分。汽车客运站未建立健全进站参营客运车辆及驾驶员基础管理台账；台帐内容失真无效，无客运车辆、驾驶员台帐各扣2.5分，台帐不健全各扣2分，车辆、驾驶员台帐内容失真无效每车（人）次扣1分。严格落实“三不进站、六不出站”。每发现一次违反“三不进站、六不出站”要求的，扣2.5分。车站视频监控出现异常，经核查属客运站原因的，每次扣1分。</w:t>
            </w:r>
          </w:p>
        </w:tc>
        <w:tc>
          <w:tcPr>
            <w:tcW w:w="2250" w:type="dxa"/>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日常检查，日常信息收集，投诉信息汇总</w:t>
            </w:r>
          </w:p>
        </w:tc>
        <w:tc>
          <w:tcPr>
            <w:tcW w:w="656" w:type="dxa"/>
            <w:tcBorders>
              <w:top w:val="single" w:color="auto" w:sz="4" w:space="0"/>
              <w:left w:val="nil"/>
              <w:bottom w:val="single" w:color="000000" w:sz="4" w:space="0"/>
              <w:right w:val="single" w:color="000000" w:sz="4" w:space="0"/>
            </w:tcBorders>
            <w:vAlign w:val="center"/>
          </w:tcPr>
          <w:p>
            <w:pPr>
              <w:pStyle w:val="4"/>
              <w:spacing w:line="260" w:lineRule="exact"/>
              <w:ind w:firstLine="240" w:firstLineChars="100"/>
            </w:pPr>
          </w:p>
        </w:tc>
      </w:tr>
      <w:tr>
        <w:tblPrEx>
          <w:tblCellMar>
            <w:top w:w="0" w:type="dxa"/>
            <w:left w:w="108" w:type="dxa"/>
            <w:bottom w:w="0" w:type="dxa"/>
            <w:right w:w="108" w:type="dxa"/>
          </w:tblCellMar>
        </w:tblPrEx>
        <w:trPr>
          <w:trHeight w:val="1016"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7</w:t>
            </w:r>
          </w:p>
        </w:tc>
        <w:tc>
          <w:tcPr>
            <w:tcW w:w="12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eastAsia="方正黑体_GBK"/>
                <w:bCs/>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挂牌督办</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5</w:t>
            </w:r>
          </w:p>
        </w:tc>
        <w:tc>
          <w:tcPr>
            <w:tcW w:w="70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考核周期内被列为中央、国家相关部门挂牌督办的信用评价为C级，被市级相关部门挂牌督办的扣2.5分，被区（县）级相关部门挂牌督办的扣1分。</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正式通报、文件通知</w:t>
            </w:r>
          </w:p>
        </w:tc>
        <w:tc>
          <w:tcPr>
            <w:tcW w:w="656" w:type="dxa"/>
            <w:tcBorders>
              <w:top w:val="single" w:color="000000" w:sz="4" w:space="0"/>
              <w:left w:val="nil"/>
              <w:bottom w:val="single" w:color="000000" w:sz="4" w:space="0"/>
              <w:right w:val="single" w:color="000000" w:sz="4" w:space="0"/>
            </w:tcBorders>
            <w:vAlign w:val="center"/>
          </w:tcPr>
          <w:p>
            <w:pPr>
              <w:pStyle w:val="13"/>
              <w:spacing w:after="0" w:line="260" w:lineRule="exact"/>
              <w:ind w:left="0" w:leftChars="0" w:firstLine="210" w:firstLineChars="100"/>
              <w:rPr>
                <w:szCs w:val="21"/>
              </w:rPr>
            </w:pPr>
          </w:p>
        </w:tc>
      </w:tr>
      <w:tr>
        <w:tblPrEx>
          <w:tblCellMar>
            <w:top w:w="0" w:type="dxa"/>
            <w:left w:w="108" w:type="dxa"/>
            <w:bottom w:w="0" w:type="dxa"/>
            <w:right w:w="108" w:type="dxa"/>
          </w:tblCellMar>
        </w:tblPrEx>
        <w:trPr>
          <w:trHeight w:val="1016"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 xml:space="preserve">8 </w:t>
            </w:r>
          </w:p>
        </w:tc>
        <w:tc>
          <w:tcPr>
            <w:tcW w:w="12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eastAsia="方正楷体_GBK"/>
                <w:bCs/>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安全责任事故情况</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15</w:t>
            </w:r>
          </w:p>
        </w:tc>
        <w:tc>
          <w:tcPr>
            <w:tcW w:w="70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因客运站责任发生安全生产事故或者道路旅客运输交通事故。事故每造成伤1人或者每造成直接经济损失10万元扣2分，造成死亡1人扣5分。发生拖延报告亡人事故的，每次扣1分；存在瞒报、谎报亡人事故的，每次扣2分。</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w:t>
            </w:r>
          </w:p>
        </w:tc>
        <w:tc>
          <w:tcPr>
            <w:tcW w:w="656" w:type="dxa"/>
            <w:tcBorders>
              <w:top w:val="single" w:color="000000" w:sz="4" w:space="0"/>
              <w:left w:val="nil"/>
              <w:bottom w:val="single" w:color="000000" w:sz="4" w:space="0"/>
              <w:right w:val="single" w:color="000000" w:sz="4" w:space="0"/>
            </w:tcBorders>
            <w:vAlign w:val="center"/>
          </w:tcPr>
          <w:p>
            <w:pPr>
              <w:pStyle w:val="13"/>
              <w:spacing w:after="0" w:line="260" w:lineRule="exact"/>
              <w:ind w:left="0" w:leftChars="0" w:firstLine="210" w:firstLineChars="100"/>
            </w:pPr>
          </w:p>
        </w:tc>
      </w:tr>
      <w:tr>
        <w:tblPrEx>
          <w:tblCellMar>
            <w:top w:w="0" w:type="dxa"/>
            <w:left w:w="108" w:type="dxa"/>
            <w:bottom w:w="0" w:type="dxa"/>
            <w:right w:w="108" w:type="dxa"/>
          </w:tblCellMar>
        </w:tblPrEx>
        <w:trPr>
          <w:trHeight w:val="864"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 xml:space="preserve">9 </w:t>
            </w:r>
          </w:p>
        </w:tc>
        <w:tc>
          <w:tcPr>
            <w:tcW w:w="128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服务质量</w:t>
            </w:r>
          </w:p>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（15分）</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有责投诉</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仿宋_GBK"/>
                <w:color w:val="000000"/>
                <w:kern w:val="0"/>
                <w:sz w:val="22"/>
                <w:szCs w:val="22"/>
                <w:lang w:val="en" w:bidi="ar"/>
              </w:rPr>
            </w:pPr>
            <w:r>
              <w:rPr>
                <w:rFonts w:eastAsia="方正仿宋_GBK"/>
                <w:color w:val="000000"/>
                <w:kern w:val="0"/>
                <w:sz w:val="22"/>
                <w:szCs w:val="22"/>
                <w:lang w:bidi="ar"/>
              </w:rPr>
              <w:t>10</w:t>
            </w:r>
            <w:r>
              <w:rPr>
                <w:rFonts w:eastAsia="方正仿宋_GBK"/>
                <w:color w:val="000000"/>
                <w:kern w:val="0"/>
                <w:sz w:val="22"/>
                <w:szCs w:val="22"/>
                <w:lang w:val="en" w:bidi="ar"/>
              </w:rPr>
              <w:t xml:space="preserve"> </w:t>
            </w:r>
          </w:p>
        </w:tc>
        <w:tc>
          <w:tcPr>
            <w:tcW w:w="70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每发生一次有责投诉扣2分。</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w:t>
            </w:r>
          </w:p>
        </w:tc>
        <w:tc>
          <w:tcPr>
            <w:tcW w:w="656" w:type="dxa"/>
            <w:tcBorders>
              <w:top w:val="single" w:color="000000" w:sz="4" w:space="0"/>
              <w:left w:val="nil"/>
              <w:bottom w:val="single" w:color="000000" w:sz="4" w:space="0"/>
              <w:right w:val="single" w:color="000000" w:sz="4" w:space="0"/>
            </w:tcBorders>
            <w:vAlign w:val="center"/>
          </w:tcPr>
          <w:p>
            <w:pPr>
              <w:widowControl/>
              <w:spacing w:line="260" w:lineRule="exact"/>
              <w:ind w:firstLine="200" w:firstLineChars="100"/>
              <w:jc w:val="left"/>
              <w:rPr>
                <w:rFonts w:eastAsia="仿宋_GB2312"/>
                <w:color w:val="000000"/>
                <w:sz w:val="20"/>
              </w:rPr>
            </w:pPr>
          </w:p>
        </w:tc>
      </w:tr>
      <w:tr>
        <w:tblPrEx>
          <w:tblCellMar>
            <w:top w:w="0" w:type="dxa"/>
            <w:left w:w="108" w:type="dxa"/>
            <w:bottom w:w="0" w:type="dxa"/>
            <w:right w:w="108" w:type="dxa"/>
          </w:tblCellMar>
        </w:tblPrEx>
        <w:trPr>
          <w:trHeight w:val="831"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10</w:t>
            </w:r>
          </w:p>
        </w:tc>
        <w:tc>
          <w:tcPr>
            <w:tcW w:w="12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eastAsia="方正楷体_GBK"/>
                <w:bCs/>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服务事件情况</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5</w:t>
            </w:r>
          </w:p>
        </w:tc>
        <w:tc>
          <w:tcPr>
            <w:tcW w:w="70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发生服务事件，被辖区有关部门通报的，每次扣1分。。</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w:t>
            </w:r>
          </w:p>
        </w:tc>
        <w:tc>
          <w:tcPr>
            <w:tcW w:w="656" w:type="dxa"/>
            <w:tcBorders>
              <w:top w:val="single" w:color="000000" w:sz="4" w:space="0"/>
              <w:left w:val="nil"/>
              <w:bottom w:val="single" w:color="000000" w:sz="4" w:space="0"/>
              <w:right w:val="single" w:color="000000" w:sz="4" w:space="0"/>
            </w:tcBorders>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58"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11</w:t>
            </w:r>
          </w:p>
        </w:tc>
        <w:tc>
          <w:tcPr>
            <w:tcW w:w="1280" w:type="dxa"/>
            <w:vMerge w:val="restart"/>
            <w:tcBorders>
              <w:top w:val="single" w:color="000000" w:sz="4" w:space="0"/>
              <w:left w:val="single" w:color="000000" w:sz="4" w:space="0"/>
              <w:right w:val="single" w:color="000000" w:sz="4" w:space="0"/>
            </w:tcBorders>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社会责任（15分）</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行业稳定维护情况</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 xml:space="preserve">10 </w:t>
            </w:r>
          </w:p>
        </w:tc>
        <w:tc>
          <w:tcPr>
            <w:tcW w:w="7020"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因经营行为引发集访的，每次扣5分；引发行业稳定的，每次扣10分</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行业信息收集</w:t>
            </w:r>
          </w:p>
        </w:tc>
        <w:tc>
          <w:tcPr>
            <w:tcW w:w="656" w:type="dxa"/>
            <w:tcBorders>
              <w:top w:val="single" w:color="000000" w:sz="4" w:space="0"/>
              <w:left w:val="nil"/>
              <w:bottom w:val="single" w:color="000000" w:sz="4" w:space="0"/>
              <w:right w:val="single" w:color="000000" w:sz="4" w:space="0"/>
            </w:tcBorders>
            <w:vAlign w:val="center"/>
          </w:tcPr>
          <w:p>
            <w:pPr>
              <w:pStyle w:val="4"/>
              <w:spacing w:line="260" w:lineRule="exact"/>
              <w:ind w:firstLine="240" w:firstLineChars="100"/>
            </w:pPr>
          </w:p>
        </w:tc>
      </w:tr>
      <w:tr>
        <w:tblPrEx>
          <w:tblCellMar>
            <w:top w:w="0" w:type="dxa"/>
            <w:left w:w="108" w:type="dxa"/>
            <w:bottom w:w="0" w:type="dxa"/>
            <w:right w:w="108" w:type="dxa"/>
          </w:tblCellMar>
        </w:tblPrEx>
        <w:trPr>
          <w:trHeight w:val="1706"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12</w:t>
            </w:r>
          </w:p>
        </w:tc>
        <w:tc>
          <w:tcPr>
            <w:tcW w:w="1280" w:type="dxa"/>
            <w:vMerge w:val="continue"/>
            <w:tcBorders>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黑体_GBK"/>
                <w:bCs/>
                <w:color w:val="000000"/>
                <w:kern w:val="0"/>
                <w:sz w:val="22"/>
                <w:szCs w:val="22"/>
                <w:lang w:bidi="ar"/>
              </w:rPr>
            </w:pP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 xml:space="preserve">落实行业管理要求 </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5</w:t>
            </w:r>
          </w:p>
        </w:tc>
        <w:tc>
          <w:tcPr>
            <w:tcW w:w="7020"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不按照行业管理的要求或者行业自律安排，在落实工作责任或者维护行业运营秩序方面存在问题被交通行业管理部门通报，轻微事项的每次扣0.5分，情形严重的每次扣1分，被行政部门约谈的，每次加扣1分，约谈后仍不整改的，每次加扣2分。未完成交通主管部门统一安排社会公益性宣传的，每次扣2.5分；未完成政府及其管理部门统一安排应急运输任务的，每次扣5分。未按要求落实双重预防机制的，每次扣2分。</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行业信息收集</w:t>
            </w:r>
          </w:p>
        </w:tc>
        <w:tc>
          <w:tcPr>
            <w:tcW w:w="656" w:type="dxa"/>
            <w:tcBorders>
              <w:top w:val="single" w:color="000000" w:sz="4" w:space="0"/>
              <w:left w:val="nil"/>
              <w:bottom w:val="single" w:color="000000" w:sz="4" w:space="0"/>
              <w:right w:val="single" w:color="000000" w:sz="4" w:space="0"/>
            </w:tcBorders>
            <w:vAlign w:val="center"/>
          </w:tcPr>
          <w:p>
            <w:pPr>
              <w:widowControl/>
              <w:spacing w:line="260" w:lineRule="exact"/>
              <w:ind w:firstLine="200" w:firstLineChars="100"/>
              <w:jc w:val="left"/>
              <w:rPr>
                <w:rFonts w:eastAsia="仿宋_GB2312"/>
                <w:color w:val="000000"/>
                <w:sz w:val="20"/>
              </w:rPr>
            </w:pPr>
          </w:p>
        </w:tc>
      </w:tr>
      <w:tr>
        <w:tblPrEx>
          <w:tblCellMar>
            <w:top w:w="0" w:type="dxa"/>
            <w:left w:w="108" w:type="dxa"/>
            <w:bottom w:w="0" w:type="dxa"/>
            <w:right w:w="108" w:type="dxa"/>
          </w:tblCellMar>
        </w:tblPrEx>
        <w:trPr>
          <w:trHeight w:val="1241"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13</w:t>
            </w:r>
          </w:p>
        </w:tc>
        <w:tc>
          <w:tcPr>
            <w:tcW w:w="1280" w:type="dxa"/>
            <w:vMerge w:val="restart"/>
            <w:tcBorders>
              <w:top w:val="single" w:color="000000" w:sz="4" w:space="0"/>
              <w:left w:val="single" w:color="000000" w:sz="4" w:space="0"/>
              <w:right w:val="single" w:color="000000" w:sz="4" w:space="0"/>
            </w:tcBorders>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加分项</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行业正面典型及荣誉表彰情况</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color w:val="000000"/>
              </w:rPr>
            </w:pPr>
          </w:p>
        </w:tc>
        <w:tc>
          <w:tcPr>
            <w:tcW w:w="70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方正仿宋_GBK"/>
                <w:color w:val="000000"/>
                <w:sz w:val="22"/>
                <w:szCs w:val="22"/>
              </w:rPr>
            </w:pPr>
            <w:r>
              <w:rPr>
                <w:rFonts w:eastAsia="方正仿宋_GBK"/>
                <w:color w:val="000000"/>
                <w:sz w:val="22"/>
                <w:szCs w:val="22"/>
              </w:rPr>
              <w:t>企业经营过程中获得了荣誉或者通报表彰的，国家级每次加2分；部级或者市级政府每次加1分；市级部门或者区县政府级加0.5分；区县部门级加0.2分。同一行为多层次表彰的，以最高级别奖励的标准加分。（最高不超过2.5分）</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企业提交资料</w:t>
            </w:r>
          </w:p>
        </w:tc>
        <w:tc>
          <w:tcPr>
            <w:tcW w:w="656" w:type="dxa"/>
            <w:tcBorders>
              <w:top w:val="single" w:color="000000" w:sz="4" w:space="0"/>
              <w:left w:val="nil"/>
              <w:bottom w:val="single" w:color="000000" w:sz="4" w:space="0"/>
              <w:right w:val="single" w:color="000000" w:sz="4" w:space="0"/>
            </w:tcBorders>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74"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14</w:t>
            </w:r>
          </w:p>
        </w:tc>
        <w:tc>
          <w:tcPr>
            <w:tcW w:w="12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eastAsia="方正楷体_GBK"/>
                <w:bCs/>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新闻媒体正面报道</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color w:val="000000"/>
              </w:rPr>
            </w:pPr>
          </w:p>
        </w:tc>
        <w:tc>
          <w:tcPr>
            <w:tcW w:w="70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企业工作人员出现好人好事被新闻媒体报道的，国家级每件次加</w:t>
            </w:r>
            <w:r>
              <w:rPr>
                <w:rStyle w:val="40"/>
                <w:rFonts w:hint="default" w:ascii="Times New Roman" w:hAnsi="Times New Roman" w:cs="Times New Roman"/>
                <w:color w:val="000000"/>
                <w:lang w:bidi="ar"/>
              </w:rPr>
              <w:t>0.5分</w:t>
            </w:r>
            <w:r>
              <w:rPr>
                <w:rFonts w:eastAsia="方正仿宋_GBK"/>
                <w:color w:val="000000"/>
                <w:kern w:val="0"/>
                <w:sz w:val="22"/>
                <w:szCs w:val="22"/>
                <w:lang w:bidi="ar"/>
              </w:rPr>
              <w:t>；市级每件次加</w:t>
            </w:r>
            <w:r>
              <w:rPr>
                <w:rStyle w:val="40"/>
                <w:rFonts w:hint="default" w:ascii="Times New Roman" w:hAnsi="Times New Roman" w:cs="Times New Roman"/>
                <w:color w:val="000000"/>
                <w:lang w:bidi="ar"/>
              </w:rPr>
              <w:t>0.3分</w:t>
            </w:r>
            <w:r>
              <w:rPr>
                <w:rFonts w:eastAsia="方正仿宋_GBK"/>
                <w:color w:val="000000"/>
                <w:kern w:val="0"/>
                <w:sz w:val="22"/>
                <w:szCs w:val="22"/>
                <w:lang w:bidi="ar"/>
              </w:rPr>
              <w:t>；区县级每件次加</w:t>
            </w:r>
            <w:r>
              <w:rPr>
                <w:rStyle w:val="40"/>
                <w:rFonts w:hint="default" w:ascii="Times New Roman" w:hAnsi="Times New Roman" w:cs="Times New Roman"/>
                <w:color w:val="000000"/>
                <w:lang w:bidi="ar"/>
              </w:rPr>
              <w:t>0.1分</w:t>
            </w:r>
            <w:r>
              <w:rPr>
                <w:rFonts w:eastAsia="方正仿宋_GBK"/>
                <w:color w:val="000000"/>
                <w:kern w:val="0"/>
                <w:sz w:val="22"/>
                <w:szCs w:val="22"/>
                <w:lang w:bidi="ar"/>
              </w:rPr>
              <w:t>。同一事迹多层次报道的，以最高级别媒体报道的标准加分。（最高不超过2.5分）</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企业提交资料</w:t>
            </w:r>
          </w:p>
        </w:tc>
        <w:tc>
          <w:tcPr>
            <w:tcW w:w="656" w:type="dxa"/>
            <w:tcBorders>
              <w:top w:val="single" w:color="000000" w:sz="4" w:space="0"/>
              <w:left w:val="nil"/>
              <w:bottom w:val="single" w:color="000000" w:sz="4" w:space="0"/>
              <w:right w:val="single" w:color="000000" w:sz="4" w:space="0"/>
            </w:tcBorders>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04"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合计</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100分</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仿宋_GBK"/>
                <w:color w:val="000000"/>
                <w:kern w:val="0"/>
                <w:sz w:val="22"/>
                <w:szCs w:val="22"/>
                <w:lang w:bidi="ar"/>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100分</w:t>
            </w:r>
          </w:p>
        </w:tc>
        <w:tc>
          <w:tcPr>
            <w:tcW w:w="70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方正仿宋_GBK"/>
                <w:color w:val="000000"/>
                <w:kern w:val="0"/>
                <w:sz w:val="22"/>
                <w:szCs w:val="22"/>
                <w:lang w:bidi="ar"/>
              </w:rPr>
            </w:pP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方正仿宋_GBK"/>
                <w:color w:val="000000"/>
                <w:kern w:val="0"/>
                <w:sz w:val="22"/>
                <w:szCs w:val="22"/>
                <w:lang w:bidi="ar"/>
              </w:rPr>
            </w:pPr>
          </w:p>
        </w:tc>
        <w:tc>
          <w:tcPr>
            <w:tcW w:w="656" w:type="dxa"/>
            <w:tcBorders>
              <w:top w:val="single" w:color="000000" w:sz="4" w:space="0"/>
              <w:left w:val="nil"/>
              <w:bottom w:val="single" w:color="000000" w:sz="4" w:space="0"/>
              <w:right w:val="single" w:color="000000" w:sz="4" w:space="0"/>
            </w:tcBorders>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464" w:hRule="atLeast"/>
          <w:jc w:val="center"/>
        </w:trPr>
        <w:tc>
          <w:tcPr>
            <w:tcW w:w="1835" w:type="dxa"/>
            <w:gridSpan w:val="2"/>
            <w:vMerge w:val="restart"/>
            <w:tcBorders>
              <w:top w:val="single" w:color="000000" w:sz="4" w:space="0"/>
              <w:left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评价结论</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1082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CellMar>
            <w:top w:w="0" w:type="dxa"/>
            <w:left w:w="108" w:type="dxa"/>
            <w:bottom w:w="0" w:type="dxa"/>
            <w:right w:w="108" w:type="dxa"/>
          </w:tblCellMar>
        </w:tblPrEx>
        <w:trPr>
          <w:trHeight w:val="414" w:hRule="atLeast"/>
          <w:jc w:val="center"/>
        </w:trPr>
        <w:tc>
          <w:tcPr>
            <w:tcW w:w="1835" w:type="dxa"/>
            <w:gridSpan w:val="2"/>
            <w:vMerge w:val="continue"/>
            <w:tcBorders>
              <w:left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评价机构</w:t>
            </w:r>
          </w:p>
        </w:tc>
        <w:tc>
          <w:tcPr>
            <w:tcW w:w="1082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333" w:hRule="atLeast"/>
          <w:jc w:val="center"/>
        </w:trPr>
        <w:tc>
          <w:tcPr>
            <w:tcW w:w="1835" w:type="dxa"/>
            <w:gridSpan w:val="2"/>
            <w:vMerge w:val="continue"/>
            <w:tcBorders>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经办人</w:t>
            </w:r>
          </w:p>
        </w:tc>
        <w:tc>
          <w:tcPr>
            <w:tcW w:w="593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方正仿宋_GBK"/>
                <w:color w:val="000000"/>
                <w:kern w:val="0"/>
                <w:sz w:val="22"/>
                <w:szCs w:val="22"/>
                <w:lang w:bidi="ar"/>
              </w:rPr>
            </w:pP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评价日期</w:t>
            </w:r>
          </w:p>
        </w:tc>
        <w:tc>
          <w:tcPr>
            <w:tcW w:w="334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eastAsia="仿宋_GB2312"/>
                <w:color w:val="000000"/>
                <w:sz w:val="20"/>
              </w:rPr>
            </w:pPr>
            <w:r>
              <w:rPr>
                <w:rFonts w:eastAsia="仿宋_GB2312"/>
                <w:color w:val="000000"/>
                <w:sz w:val="20"/>
              </w:rPr>
              <w:t xml:space="preserve">         年    月    日</w:t>
            </w:r>
          </w:p>
        </w:tc>
      </w:tr>
    </w:tbl>
    <w:p>
      <w:pPr>
        <w:spacing w:line="500" w:lineRule="exact"/>
        <w:jc w:val="left"/>
        <w:rPr>
          <w:rFonts w:hint="eastAsia" w:ascii="方正黑体_GBK" w:hAnsi="方正黑体_GBK" w:eastAsia="方正黑体_GBK" w:cs="方正黑体_GBK"/>
          <w:color w:val="000000"/>
          <w:sz w:val="32"/>
          <w:szCs w:val="32"/>
        </w:rPr>
      </w:pPr>
      <w:r>
        <w:rPr>
          <w:rFonts w:eastAsia="方正黑体_GBK"/>
          <w:color w:val="000000"/>
          <w:sz w:val="32"/>
          <w:szCs w:val="32"/>
        </w:rPr>
        <w:br w:type="page"/>
      </w:r>
      <w:r>
        <w:rPr>
          <w:rFonts w:hint="eastAsia" w:ascii="方正黑体_GBK" w:hAnsi="方正黑体_GBK" w:eastAsia="方正黑体_GBK" w:cs="方正黑体_GBK"/>
          <w:color w:val="000000"/>
          <w:sz w:val="32"/>
          <w:szCs w:val="32"/>
        </w:rPr>
        <w:t>附件1-9</w:t>
      </w:r>
    </w:p>
    <w:p>
      <w:pPr>
        <w:pStyle w:val="13"/>
        <w:spacing w:after="0" w:line="500" w:lineRule="exact"/>
        <w:rPr>
          <w:rFonts w:hint="eastAsia"/>
        </w:rPr>
      </w:pPr>
    </w:p>
    <w:p>
      <w:pPr>
        <w:spacing w:line="500" w:lineRule="exact"/>
        <w:jc w:val="center"/>
        <w:rPr>
          <w:rFonts w:eastAsia="方正小标宋_GBK"/>
          <w:bCs/>
          <w:color w:val="000000"/>
          <w:kern w:val="0"/>
          <w:sz w:val="44"/>
          <w:szCs w:val="44"/>
          <w:lang w:bidi="ar"/>
        </w:rPr>
      </w:pPr>
      <w:r>
        <w:rPr>
          <w:rFonts w:eastAsia="方正小标宋_GBK"/>
          <w:bCs/>
          <w:color w:val="000000"/>
          <w:kern w:val="0"/>
          <w:sz w:val="44"/>
          <w:szCs w:val="44"/>
          <w:lang w:bidi="ar"/>
        </w:rPr>
        <w:t>重庆市机动车驾驶员培训机构信用评价标准</w:t>
      </w:r>
    </w:p>
    <w:p>
      <w:pPr>
        <w:spacing w:line="600" w:lineRule="exact"/>
        <w:jc w:val="left"/>
        <w:rPr>
          <w:bCs/>
          <w:color w:val="000000"/>
          <w:kern w:val="0"/>
          <w:sz w:val="32"/>
          <w:szCs w:val="32"/>
          <w:lang w:bidi="ar"/>
        </w:rPr>
      </w:pPr>
      <w:r>
        <w:rPr>
          <w:rFonts w:eastAsia="方正仿宋_GBK"/>
          <w:bCs/>
          <w:color w:val="000000"/>
          <w:kern w:val="0"/>
          <w:sz w:val="28"/>
          <w:szCs w:val="28"/>
          <w:lang w:bidi="ar"/>
        </w:rPr>
        <w:t>被评价企业：                                                          评价年度：</w:t>
      </w:r>
    </w:p>
    <w:tbl>
      <w:tblPr>
        <w:tblStyle w:val="14"/>
        <w:tblW w:w="14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7"/>
        <w:gridCol w:w="1410"/>
        <w:gridCol w:w="660"/>
        <w:gridCol w:w="4570"/>
        <w:gridCol w:w="1535"/>
        <w:gridCol w:w="649"/>
        <w:gridCol w:w="2636"/>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blHeader/>
          <w:jc w:val="center"/>
        </w:trPr>
        <w:tc>
          <w:tcPr>
            <w:tcW w:w="540" w:type="dxa"/>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序号</w:t>
            </w:r>
          </w:p>
        </w:tc>
        <w:tc>
          <w:tcPr>
            <w:tcW w:w="1357" w:type="dxa"/>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一级指标及分值</w:t>
            </w:r>
          </w:p>
        </w:tc>
        <w:tc>
          <w:tcPr>
            <w:tcW w:w="1410" w:type="dxa"/>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二级指标</w:t>
            </w:r>
          </w:p>
        </w:tc>
        <w:tc>
          <w:tcPr>
            <w:tcW w:w="660" w:type="dxa"/>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分值</w:t>
            </w:r>
          </w:p>
        </w:tc>
        <w:tc>
          <w:tcPr>
            <w:tcW w:w="6754" w:type="dxa"/>
            <w:gridSpan w:val="3"/>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评分标准</w:t>
            </w:r>
          </w:p>
        </w:tc>
        <w:tc>
          <w:tcPr>
            <w:tcW w:w="2636" w:type="dxa"/>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数据来源</w:t>
            </w:r>
          </w:p>
        </w:tc>
        <w:tc>
          <w:tcPr>
            <w:tcW w:w="750" w:type="dxa"/>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540" w:type="dxa"/>
            <w:noWrap/>
            <w:vAlign w:val="center"/>
          </w:tcPr>
          <w:p>
            <w:pPr>
              <w:widowControl/>
              <w:spacing w:line="260" w:lineRule="exact"/>
              <w:jc w:val="center"/>
              <w:textAlignment w:val="center"/>
              <w:rPr>
                <w:color w:val="000000"/>
                <w:sz w:val="22"/>
                <w:szCs w:val="22"/>
              </w:rPr>
            </w:pPr>
            <w:r>
              <w:rPr>
                <w:color w:val="000000"/>
                <w:kern w:val="0"/>
                <w:sz w:val="22"/>
                <w:szCs w:val="22"/>
                <w:lang w:bidi="ar"/>
              </w:rPr>
              <w:t>1</w:t>
            </w:r>
          </w:p>
        </w:tc>
        <w:tc>
          <w:tcPr>
            <w:tcW w:w="1357" w:type="dxa"/>
            <w:vMerge w:val="restart"/>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经营管理</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（35分）</w:t>
            </w:r>
          </w:p>
        </w:tc>
        <w:tc>
          <w:tcPr>
            <w:tcW w:w="1410"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告知</w:t>
            </w:r>
          </w:p>
        </w:tc>
        <w:tc>
          <w:tcPr>
            <w:tcW w:w="660" w:type="dxa"/>
            <w:vAlign w:val="center"/>
          </w:tcPr>
          <w:p>
            <w:pPr>
              <w:widowControl/>
              <w:spacing w:line="260" w:lineRule="exact"/>
              <w:jc w:val="center"/>
              <w:textAlignment w:val="center"/>
              <w:rPr>
                <w:color w:val="000000"/>
              </w:rPr>
            </w:pPr>
            <w:r>
              <w:rPr>
                <w:rFonts w:eastAsia="方正楷体_GBK"/>
                <w:color w:val="000000"/>
                <w:kern w:val="0"/>
                <w:sz w:val="24"/>
                <w:lang w:bidi="ar"/>
              </w:rPr>
              <w:t>5</w:t>
            </w:r>
          </w:p>
        </w:tc>
        <w:tc>
          <w:tcPr>
            <w:tcW w:w="6754" w:type="dxa"/>
            <w:gridSpan w:val="3"/>
            <w:noWrap/>
            <w:vAlign w:val="center"/>
          </w:tcPr>
          <w:p>
            <w:pPr>
              <w:widowControl/>
              <w:spacing w:line="260" w:lineRule="exact"/>
              <w:jc w:val="left"/>
              <w:textAlignment w:val="center"/>
              <w:rPr>
                <w:rFonts w:eastAsia="方正楷体_GBK"/>
                <w:bCs/>
                <w:color w:val="000000"/>
                <w:sz w:val="24"/>
              </w:rPr>
            </w:pPr>
            <w:r>
              <w:rPr>
                <w:rFonts w:eastAsia="方正仿宋_GBK"/>
                <w:color w:val="000000"/>
                <w:kern w:val="0"/>
                <w:sz w:val="22"/>
                <w:szCs w:val="22"/>
                <w:lang w:bidi="ar"/>
              </w:rPr>
              <w:t>未在业务大厅等场所醒目位置公示《机动车驾驶员教学与考试大纲》、收费价目表、培训预约电话或者其他预约方式、辖区道路运输机构的举报投诉电话、训练场地地址、科目设置情况、经营类别、培训范围、教练员培训质量排行榜的，扣1分/项；未健全或者公示不符合要求，扣0.5分/项；缺失3项以上不得分。</w:t>
            </w:r>
          </w:p>
        </w:tc>
        <w:tc>
          <w:tcPr>
            <w:tcW w:w="2636"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750" w:type="dxa"/>
            <w:vAlign w:val="center"/>
          </w:tcPr>
          <w:p>
            <w:pPr>
              <w:widowControl/>
              <w:spacing w:line="260" w:lineRule="exact"/>
              <w:jc w:val="center"/>
              <w:rPr>
                <w:rFonts w:eastAsia="方正楷体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40"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w:t>
            </w:r>
          </w:p>
        </w:tc>
        <w:tc>
          <w:tcPr>
            <w:tcW w:w="1357" w:type="dxa"/>
            <w:vMerge w:val="continue"/>
            <w:vAlign w:val="center"/>
          </w:tcPr>
          <w:p>
            <w:pPr>
              <w:widowControl/>
              <w:spacing w:line="260" w:lineRule="exact"/>
              <w:jc w:val="center"/>
              <w:rPr>
                <w:rFonts w:eastAsia="方正楷体_GBK"/>
                <w:bCs/>
                <w:color w:val="000000"/>
                <w:sz w:val="22"/>
                <w:szCs w:val="22"/>
              </w:rPr>
            </w:pPr>
          </w:p>
        </w:tc>
        <w:tc>
          <w:tcPr>
            <w:tcW w:w="1410"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招生</w:t>
            </w:r>
          </w:p>
        </w:tc>
        <w:tc>
          <w:tcPr>
            <w:tcW w:w="660"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3</w:t>
            </w:r>
          </w:p>
        </w:tc>
        <w:tc>
          <w:tcPr>
            <w:tcW w:w="6754" w:type="dxa"/>
            <w:gridSpan w:val="3"/>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签订《重庆市机动车驾驶培训协议书》的，扣1分/人；填写不全，扣0.5分/人。未按公示价目收费，扣1分/人。采用虚假广告欺骗、招揽学员扣0.5分/人。社会摊点招收学员、擅自接收其他培训机构转让学员扣0.5分/人。</w:t>
            </w:r>
          </w:p>
        </w:tc>
        <w:tc>
          <w:tcPr>
            <w:tcW w:w="2636"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750" w:type="dxa"/>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40"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3</w:t>
            </w:r>
          </w:p>
        </w:tc>
        <w:tc>
          <w:tcPr>
            <w:tcW w:w="1357" w:type="dxa"/>
            <w:vMerge w:val="continue"/>
            <w:vAlign w:val="center"/>
          </w:tcPr>
          <w:p>
            <w:pPr>
              <w:widowControl/>
              <w:spacing w:line="260" w:lineRule="exact"/>
              <w:jc w:val="center"/>
              <w:rPr>
                <w:rFonts w:eastAsia="方正楷体_GBK"/>
                <w:bCs/>
                <w:color w:val="000000"/>
                <w:sz w:val="22"/>
                <w:szCs w:val="22"/>
              </w:rPr>
            </w:pPr>
          </w:p>
        </w:tc>
        <w:tc>
          <w:tcPr>
            <w:tcW w:w="1410"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建章立制</w:t>
            </w:r>
          </w:p>
        </w:tc>
        <w:tc>
          <w:tcPr>
            <w:tcW w:w="660"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5</w:t>
            </w:r>
          </w:p>
        </w:tc>
        <w:tc>
          <w:tcPr>
            <w:tcW w:w="6754" w:type="dxa"/>
            <w:gridSpan w:val="3"/>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未按《机动车驾驶员培训机构资格条件》第7条第2款管理制度的要求健全管理制度体系，缺项扣1分/项；制度落实不到位，扣0.5分/项；缺失3项以上不得分。</w:t>
            </w:r>
          </w:p>
        </w:tc>
        <w:tc>
          <w:tcPr>
            <w:tcW w:w="2636"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750" w:type="dxa"/>
            <w:vAlign w:val="center"/>
          </w:tcPr>
          <w:p>
            <w:pPr>
              <w:pStyle w:val="13"/>
              <w:spacing w:after="0" w:line="260" w:lineRule="exact"/>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540"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4</w:t>
            </w:r>
          </w:p>
        </w:tc>
        <w:tc>
          <w:tcPr>
            <w:tcW w:w="1357" w:type="dxa"/>
            <w:vMerge w:val="continue"/>
            <w:vAlign w:val="center"/>
          </w:tcPr>
          <w:p>
            <w:pPr>
              <w:widowControl/>
              <w:spacing w:line="260" w:lineRule="exact"/>
              <w:jc w:val="center"/>
              <w:rPr>
                <w:rFonts w:eastAsia="方正楷体_GBK"/>
                <w:bCs/>
                <w:color w:val="000000"/>
                <w:sz w:val="22"/>
                <w:szCs w:val="22"/>
              </w:rPr>
            </w:pPr>
          </w:p>
        </w:tc>
        <w:tc>
          <w:tcPr>
            <w:tcW w:w="1410"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学员档案</w:t>
            </w:r>
          </w:p>
        </w:tc>
        <w:tc>
          <w:tcPr>
            <w:tcW w:w="660"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4</w:t>
            </w:r>
          </w:p>
        </w:tc>
        <w:tc>
          <w:tcPr>
            <w:tcW w:w="6754" w:type="dxa"/>
            <w:gridSpan w:val="3"/>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未建立学员档案的（《学员登记表》、《教学日志》、《培训记录》、IC卡、《结业证书》复印件），扣1分/人；档案缺项的，扣0.5分/项；档案内容不完整的，扣0.2分/项；未保留4年的，扣1分/人。</w:t>
            </w:r>
          </w:p>
        </w:tc>
        <w:tc>
          <w:tcPr>
            <w:tcW w:w="2636"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750" w:type="dxa"/>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540"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5</w:t>
            </w:r>
          </w:p>
        </w:tc>
        <w:tc>
          <w:tcPr>
            <w:tcW w:w="1357" w:type="dxa"/>
            <w:vMerge w:val="continue"/>
            <w:vAlign w:val="center"/>
          </w:tcPr>
          <w:p>
            <w:pPr>
              <w:widowControl/>
              <w:spacing w:line="260" w:lineRule="exact"/>
              <w:jc w:val="center"/>
              <w:rPr>
                <w:rFonts w:eastAsia="方正楷体_GBK"/>
                <w:bCs/>
                <w:color w:val="000000"/>
                <w:sz w:val="22"/>
                <w:szCs w:val="22"/>
              </w:rPr>
            </w:pPr>
          </w:p>
        </w:tc>
        <w:tc>
          <w:tcPr>
            <w:tcW w:w="1410"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教练员管理</w:t>
            </w:r>
          </w:p>
        </w:tc>
        <w:tc>
          <w:tcPr>
            <w:tcW w:w="660"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9</w:t>
            </w:r>
          </w:p>
        </w:tc>
        <w:tc>
          <w:tcPr>
            <w:tcW w:w="6754" w:type="dxa"/>
            <w:gridSpan w:val="3"/>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建立健全教练员聘用管理制度，扣1分；未对新聘教练员进行上岗培训，扣1分/人；教练员档案不完善扣1分/人；教练员未持IC卡教学扣1分/人；教练员和教练车未达到1：1的比例，教练员少一名扣0.5分；教练员每年未进行至少一周的再教育培训，教练员少一名扣0.5分。</w:t>
            </w:r>
          </w:p>
        </w:tc>
        <w:tc>
          <w:tcPr>
            <w:tcW w:w="2636"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750" w:type="dxa"/>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540"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6</w:t>
            </w:r>
          </w:p>
        </w:tc>
        <w:tc>
          <w:tcPr>
            <w:tcW w:w="1357" w:type="dxa"/>
            <w:vMerge w:val="continue"/>
            <w:vAlign w:val="center"/>
          </w:tcPr>
          <w:p>
            <w:pPr>
              <w:widowControl/>
              <w:spacing w:line="260" w:lineRule="exact"/>
              <w:jc w:val="center"/>
              <w:rPr>
                <w:rFonts w:eastAsia="方正楷体_GBK"/>
                <w:bCs/>
                <w:color w:val="000000"/>
                <w:sz w:val="22"/>
                <w:szCs w:val="22"/>
              </w:rPr>
            </w:pPr>
          </w:p>
        </w:tc>
        <w:tc>
          <w:tcPr>
            <w:tcW w:w="1410"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教练车管理</w:t>
            </w:r>
          </w:p>
        </w:tc>
        <w:tc>
          <w:tcPr>
            <w:tcW w:w="660"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4</w:t>
            </w:r>
          </w:p>
        </w:tc>
        <w:tc>
          <w:tcPr>
            <w:tcW w:w="6754" w:type="dxa"/>
            <w:gridSpan w:val="3"/>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教练车档案包括车辆基本情况、维护和检测情况、技术等级记录、行驶里程记录等，档案不完善扣1分/车；无教练车标识卡、标牌不齐备、未安装IC卡培训记录仪的车辆从事教学活动的，扣1分/车；车容车貌不整洁，扣0.2分/车；教学车辆档案未保存至车辆报废后1年，扣1分/车。</w:t>
            </w:r>
          </w:p>
        </w:tc>
        <w:tc>
          <w:tcPr>
            <w:tcW w:w="2636"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750" w:type="dxa"/>
            <w:vAlign w:val="center"/>
          </w:tcPr>
          <w:p>
            <w:pPr>
              <w:pStyle w:val="13"/>
              <w:spacing w:after="0" w:line="260" w:lineRule="exact"/>
              <w:ind w:left="0" w:leftChars="0" w:firstLine="210" w:firstLineChars="1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40"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7</w:t>
            </w:r>
          </w:p>
        </w:tc>
        <w:tc>
          <w:tcPr>
            <w:tcW w:w="1357" w:type="dxa"/>
            <w:vMerge w:val="continue"/>
            <w:vAlign w:val="center"/>
          </w:tcPr>
          <w:p>
            <w:pPr>
              <w:widowControl/>
              <w:spacing w:line="260" w:lineRule="exact"/>
              <w:jc w:val="center"/>
              <w:rPr>
                <w:rFonts w:eastAsia="方正楷体_GBK"/>
                <w:bCs/>
                <w:color w:val="000000"/>
                <w:sz w:val="22"/>
                <w:szCs w:val="22"/>
              </w:rPr>
            </w:pPr>
          </w:p>
        </w:tc>
        <w:tc>
          <w:tcPr>
            <w:tcW w:w="1410"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备案管理</w:t>
            </w:r>
          </w:p>
        </w:tc>
        <w:tc>
          <w:tcPr>
            <w:tcW w:w="660"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3</w:t>
            </w:r>
          </w:p>
        </w:tc>
        <w:tc>
          <w:tcPr>
            <w:tcW w:w="6754" w:type="dxa"/>
            <w:gridSpan w:val="3"/>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训练场地未备案扣1分/个；招生点未备案扣1分/个；培训机构变更名称或者法人未备案扣1分；未向辖区道路运输机构报送培训月报表和年度报表的，缺一次报表扣1分/次，报表填错扣0.5分/项；《培训记录》教练员未签字扣0.5分/份。</w:t>
            </w:r>
          </w:p>
        </w:tc>
        <w:tc>
          <w:tcPr>
            <w:tcW w:w="2636"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日常记录数据，经营者填报数据</w:t>
            </w:r>
          </w:p>
        </w:tc>
        <w:tc>
          <w:tcPr>
            <w:tcW w:w="750" w:type="dxa"/>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40" w:type="dxa"/>
            <w:noWrap/>
            <w:vAlign w:val="center"/>
          </w:tcPr>
          <w:p>
            <w:pPr>
              <w:widowControl/>
              <w:spacing w:line="260" w:lineRule="exact"/>
              <w:jc w:val="center"/>
              <w:textAlignment w:val="center"/>
              <w:rPr>
                <w:color w:val="000000"/>
                <w:sz w:val="22"/>
                <w:szCs w:val="22"/>
              </w:rPr>
            </w:pPr>
            <w:r>
              <w:rPr>
                <w:color w:val="000000"/>
                <w:sz w:val="22"/>
                <w:szCs w:val="22"/>
              </w:rPr>
              <w:t>8</w:t>
            </w:r>
          </w:p>
        </w:tc>
        <w:tc>
          <w:tcPr>
            <w:tcW w:w="1357" w:type="dxa"/>
            <w:vMerge w:val="continue"/>
            <w:vAlign w:val="center"/>
          </w:tcPr>
          <w:p>
            <w:pPr>
              <w:widowControl/>
              <w:spacing w:line="260" w:lineRule="exact"/>
              <w:jc w:val="center"/>
              <w:rPr>
                <w:rFonts w:eastAsia="方正楷体_GBK"/>
                <w:bCs/>
                <w:color w:val="000000"/>
                <w:sz w:val="22"/>
                <w:szCs w:val="22"/>
              </w:rPr>
            </w:pPr>
          </w:p>
        </w:tc>
        <w:tc>
          <w:tcPr>
            <w:tcW w:w="1410"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企业建设</w:t>
            </w:r>
          </w:p>
        </w:tc>
        <w:tc>
          <w:tcPr>
            <w:tcW w:w="660" w:type="dxa"/>
            <w:vAlign w:val="center"/>
          </w:tcPr>
          <w:p>
            <w:pPr>
              <w:widowControl/>
              <w:spacing w:line="260" w:lineRule="exact"/>
              <w:jc w:val="center"/>
              <w:textAlignment w:val="center"/>
              <w:rPr>
                <w:color w:val="000000"/>
              </w:rPr>
            </w:pPr>
            <w:r>
              <w:rPr>
                <w:rFonts w:eastAsia="方正仿宋_GBK"/>
                <w:color w:val="000000"/>
                <w:kern w:val="0"/>
                <w:sz w:val="22"/>
                <w:szCs w:val="22"/>
                <w:lang w:bidi="ar"/>
              </w:rPr>
              <w:t>2</w:t>
            </w:r>
          </w:p>
        </w:tc>
        <w:tc>
          <w:tcPr>
            <w:tcW w:w="6754" w:type="dxa"/>
            <w:gridSpan w:val="3"/>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驾驶培训机构工作人员、教练员未保持衣着整洁、着装统一，发现一次扣1分；培训机构按规定与教练员、工作人员签订劳动合同，并按规定缴纳有关保险，未签合同扣1分/人。</w:t>
            </w:r>
          </w:p>
        </w:tc>
        <w:tc>
          <w:tcPr>
            <w:tcW w:w="2636"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750" w:type="dxa"/>
            <w:vAlign w:val="center"/>
          </w:tcPr>
          <w:p>
            <w:pPr>
              <w:widowControl/>
              <w:spacing w:line="260" w:lineRule="exact"/>
              <w:rPr>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540" w:type="dxa"/>
            <w:noWrap/>
            <w:vAlign w:val="center"/>
          </w:tcPr>
          <w:p>
            <w:pPr>
              <w:widowControl/>
              <w:spacing w:line="260" w:lineRule="exact"/>
              <w:jc w:val="center"/>
              <w:textAlignment w:val="center"/>
              <w:rPr>
                <w:color w:val="000000"/>
                <w:sz w:val="22"/>
                <w:szCs w:val="22"/>
              </w:rPr>
            </w:pPr>
            <w:r>
              <w:rPr>
                <w:color w:val="000000"/>
                <w:kern w:val="0"/>
                <w:sz w:val="22"/>
                <w:szCs w:val="22"/>
                <w:lang w:bidi="ar"/>
              </w:rPr>
              <w:t>9</w:t>
            </w:r>
          </w:p>
        </w:tc>
        <w:tc>
          <w:tcPr>
            <w:tcW w:w="1357" w:type="dxa"/>
            <w:vMerge w:val="restart"/>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安全生产</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（20分）</w:t>
            </w:r>
          </w:p>
        </w:tc>
        <w:tc>
          <w:tcPr>
            <w:tcW w:w="1410"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制度落实</w:t>
            </w:r>
          </w:p>
        </w:tc>
        <w:tc>
          <w:tcPr>
            <w:tcW w:w="660" w:type="dxa"/>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754" w:type="dxa"/>
            <w:gridSpan w:val="3"/>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安全组织和人员、安全教育、安全措施、安全检查、事故的处理、重大事故报告、安全应急预案、双重预防机制等安全管理制度未落实的，每项扣2分，缺失2项以上不得分；安全生产挂牌督办，每次扣1分。</w:t>
            </w:r>
          </w:p>
        </w:tc>
        <w:tc>
          <w:tcPr>
            <w:tcW w:w="2636"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750" w:type="dxa"/>
            <w:vAlign w:val="center"/>
          </w:tcPr>
          <w:p>
            <w:pPr>
              <w:pStyle w:val="13"/>
              <w:spacing w:after="0" w:line="260" w:lineRule="exact"/>
              <w:ind w:left="0" w:leftChars="0" w:firstLine="210" w:firstLineChars="1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noWrap/>
            <w:vAlign w:val="center"/>
          </w:tcPr>
          <w:p>
            <w:pPr>
              <w:widowControl/>
              <w:spacing w:line="260" w:lineRule="exact"/>
              <w:jc w:val="center"/>
              <w:textAlignment w:val="center"/>
              <w:rPr>
                <w:color w:val="000000"/>
                <w:sz w:val="22"/>
                <w:szCs w:val="22"/>
              </w:rPr>
            </w:pPr>
            <w:r>
              <w:rPr>
                <w:color w:val="000000"/>
                <w:kern w:val="0"/>
                <w:sz w:val="22"/>
                <w:szCs w:val="22"/>
                <w:lang w:bidi="ar"/>
              </w:rPr>
              <w:t>10</w:t>
            </w:r>
          </w:p>
        </w:tc>
        <w:tc>
          <w:tcPr>
            <w:tcW w:w="1357" w:type="dxa"/>
            <w:vMerge w:val="continue"/>
            <w:vAlign w:val="center"/>
          </w:tcPr>
          <w:p>
            <w:pPr>
              <w:widowControl/>
              <w:spacing w:line="260" w:lineRule="exact"/>
              <w:jc w:val="center"/>
              <w:rPr>
                <w:rFonts w:eastAsia="方正楷体_GBK"/>
                <w:bCs/>
                <w:color w:val="000000"/>
                <w:sz w:val="22"/>
                <w:szCs w:val="22"/>
              </w:rPr>
            </w:pPr>
          </w:p>
        </w:tc>
        <w:tc>
          <w:tcPr>
            <w:tcW w:w="1410"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警示标识</w:t>
            </w:r>
          </w:p>
        </w:tc>
        <w:tc>
          <w:tcPr>
            <w:tcW w:w="660" w:type="dxa"/>
            <w:vAlign w:val="center"/>
          </w:tcPr>
          <w:p>
            <w:pPr>
              <w:widowControl/>
              <w:spacing w:line="260" w:lineRule="exact"/>
              <w:jc w:val="center"/>
              <w:textAlignment w:val="center"/>
              <w:rPr>
                <w:color w:val="000000"/>
              </w:rPr>
            </w:pPr>
            <w:r>
              <w:rPr>
                <w:rFonts w:eastAsia="方正仿宋_GBK"/>
                <w:color w:val="000000"/>
                <w:kern w:val="0"/>
                <w:sz w:val="22"/>
                <w:szCs w:val="22"/>
                <w:lang w:bidi="ar"/>
              </w:rPr>
              <w:t>5</w:t>
            </w:r>
          </w:p>
        </w:tc>
        <w:tc>
          <w:tcPr>
            <w:tcW w:w="6754" w:type="dxa"/>
            <w:gridSpan w:val="3"/>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培训机构未在训练场地醒目位置悬挂或者张贴安全警示标志每次扣2分，标志损坏未修复每次扣1分，发现两次以上本项不得分。</w:t>
            </w:r>
          </w:p>
        </w:tc>
        <w:tc>
          <w:tcPr>
            <w:tcW w:w="2636"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750" w:type="dxa"/>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40" w:type="dxa"/>
            <w:noWrap/>
            <w:vAlign w:val="center"/>
          </w:tcPr>
          <w:p>
            <w:pPr>
              <w:widowControl/>
              <w:spacing w:line="260" w:lineRule="exact"/>
              <w:jc w:val="center"/>
              <w:textAlignment w:val="center"/>
              <w:rPr>
                <w:color w:val="000000"/>
                <w:sz w:val="22"/>
                <w:szCs w:val="22"/>
              </w:rPr>
            </w:pPr>
            <w:r>
              <w:rPr>
                <w:color w:val="000000"/>
                <w:kern w:val="0"/>
                <w:sz w:val="22"/>
                <w:szCs w:val="22"/>
                <w:lang w:bidi="ar"/>
              </w:rPr>
              <w:t>11</w:t>
            </w:r>
          </w:p>
        </w:tc>
        <w:tc>
          <w:tcPr>
            <w:tcW w:w="1357" w:type="dxa"/>
            <w:vMerge w:val="continue"/>
            <w:vAlign w:val="center"/>
          </w:tcPr>
          <w:p>
            <w:pPr>
              <w:widowControl/>
              <w:spacing w:line="260" w:lineRule="exact"/>
              <w:jc w:val="center"/>
              <w:rPr>
                <w:rFonts w:eastAsia="方正楷体_GBK"/>
                <w:bCs/>
                <w:color w:val="000000"/>
                <w:sz w:val="22"/>
                <w:szCs w:val="22"/>
              </w:rPr>
            </w:pPr>
          </w:p>
        </w:tc>
        <w:tc>
          <w:tcPr>
            <w:tcW w:w="1410"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设施条件</w:t>
            </w:r>
          </w:p>
        </w:tc>
        <w:tc>
          <w:tcPr>
            <w:tcW w:w="660" w:type="dxa"/>
            <w:vAlign w:val="center"/>
          </w:tcPr>
          <w:p>
            <w:pPr>
              <w:widowControl/>
              <w:spacing w:line="260" w:lineRule="exact"/>
              <w:jc w:val="center"/>
              <w:textAlignment w:val="center"/>
              <w:rPr>
                <w:color w:val="000000"/>
              </w:rPr>
            </w:pPr>
            <w:r>
              <w:rPr>
                <w:rFonts w:eastAsia="方正仿宋_GBK"/>
                <w:color w:val="000000"/>
                <w:kern w:val="0"/>
                <w:sz w:val="22"/>
                <w:szCs w:val="22"/>
                <w:lang w:bidi="ar"/>
              </w:rPr>
              <w:t>5</w:t>
            </w:r>
          </w:p>
        </w:tc>
        <w:tc>
          <w:tcPr>
            <w:tcW w:w="6754" w:type="dxa"/>
            <w:gridSpan w:val="3"/>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具备相应的安全条件，包括场地封闭设施、训练区隔离设施、安全通道以及消防设施、设备等，具体要求按照《机动车驾驶员培训教练场技术要求》第7条安全条件执行，无相应设施设备扣1分/项，缺失2项以上不得分。</w:t>
            </w:r>
          </w:p>
        </w:tc>
        <w:tc>
          <w:tcPr>
            <w:tcW w:w="2636"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750" w:type="dxa"/>
            <w:vAlign w:val="center"/>
          </w:tcPr>
          <w:p>
            <w:pPr>
              <w:pStyle w:val="13"/>
              <w:spacing w:after="0" w:line="260" w:lineRule="exact"/>
              <w:ind w:left="0" w:leftChars="0" w:firstLine="210" w:firstLineChars="1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40" w:type="dxa"/>
            <w:noWrap/>
            <w:vAlign w:val="center"/>
          </w:tcPr>
          <w:p>
            <w:pPr>
              <w:widowControl/>
              <w:spacing w:line="260" w:lineRule="exact"/>
              <w:jc w:val="center"/>
              <w:textAlignment w:val="center"/>
              <w:rPr>
                <w:color w:val="000000"/>
                <w:sz w:val="22"/>
                <w:szCs w:val="22"/>
              </w:rPr>
            </w:pPr>
            <w:r>
              <w:rPr>
                <w:color w:val="000000"/>
                <w:kern w:val="0"/>
                <w:sz w:val="22"/>
                <w:szCs w:val="22"/>
                <w:lang w:bidi="ar"/>
              </w:rPr>
              <w:t>12</w:t>
            </w:r>
          </w:p>
        </w:tc>
        <w:tc>
          <w:tcPr>
            <w:tcW w:w="1357" w:type="dxa"/>
            <w:vMerge w:val="restart"/>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服务质量</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（35分）</w:t>
            </w:r>
          </w:p>
        </w:tc>
        <w:tc>
          <w:tcPr>
            <w:tcW w:w="1410"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投诉情况</w:t>
            </w:r>
          </w:p>
        </w:tc>
        <w:tc>
          <w:tcPr>
            <w:tcW w:w="660" w:type="dxa"/>
            <w:vAlign w:val="center"/>
          </w:tcPr>
          <w:p>
            <w:pPr>
              <w:widowControl/>
              <w:spacing w:line="260" w:lineRule="exact"/>
              <w:jc w:val="center"/>
              <w:textAlignment w:val="center"/>
              <w:rPr>
                <w:color w:val="000000"/>
              </w:rPr>
            </w:pPr>
            <w:r>
              <w:rPr>
                <w:color w:val="000000"/>
              </w:rPr>
              <w:t>6</w:t>
            </w:r>
          </w:p>
        </w:tc>
        <w:tc>
          <w:tcPr>
            <w:tcW w:w="6754" w:type="dxa"/>
            <w:gridSpan w:val="3"/>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因服务质量发生有责投诉扣1分/次；未建立投诉原始记录台账、投诉处理情况台账的，扣1分/次。</w:t>
            </w:r>
          </w:p>
        </w:tc>
        <w:tc>
          <w:tcPr>
            <w:tcW w:w="2636"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750" w:type="dxa"/>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40"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13</w:t>
            </w:r>
          </w:p>
        </w:tc>
        <w:tc>
          <w:tcPr>
            <w:tcW w:w="1357" w:type="dxa"/>
            <w:vMerge w:val="continue"/>
            <w:vAlign w:val="center"/>
          </w:tcPr>
          <w:p>
            <w:pPr>
              <w:widowControl/>
              <w:spacing w:line="260" w:lineRule="exact"/>
              <w:jc w:val="center"/>
              <w:rPr>
                <w:rFonts w:eastAsia="方正楷体_GBK"/>
                <w:bCs/>
                <w:color w:val="000000"/>
                <w:sz w:val="22"/>
                <w:szCs w:val="22"/>
              </w:rPr>
            </w:pPr>
          </w:p>
        </w:tc>
        <w:tc>
          <w:tcPr>
            <w:tcW w:w="1410"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媒体曝光</w:t>
            </w:r>
          </w:p>
        </w:tc>
        <w:tc>
          <w:tcPr>
            <w:tcW w:w="660"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4</w:t>
            </w:r>
          </w:p>
        </w:tc>
        <w:tc>
          <w:tcPr>
            <w:tcW w:w="6754" w:type="dxa"/>
            <w:gridSpan w:val="3"/>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发生市级新闻媒体负面曝光，且情况属实的，扣4分/次；发生区县级新闻媒体负面曝光，且情况属实的，扣2分/次。</w:t>
            </w:r>
          </w:p>
        </w:tc>
        <w:tc>
          <w:tcPr>
            <w:tcW w:w="2636"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w:t>
            </w:r>
          </w:p>
        </w:tc>
        <w:tc>
          <w:tcPr>
            <w:tcW w:w="750" w:type="dxa"/>
            <w:vAlign w:val="bottom"/>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40" w:type="dxa"/>
            <w:noWrap/>
            <w:vAlign w:val="center"/>
          </w:tcPr>
          <w:p>
            <w:pPr>
              <w:widowControl/>
              <w:spacing w:line="260" w:lineRule="exact"/>
              <w:jc w:val="center"/>
              <w:textAlignment w:val="center"/>
              <w:rPr>
                <w:color w:val="000000"/>
                <w:sz w:val="22"/>
                <w:szCs w:val="22"/>
              </w:rPr>
            </w:pPr>
            <w:r>
              <w:rPr>
                <w:color w:val="000000"/>
                <w:kern w:val="0"/>
                <w:sz w:val="22"/>
                <w:szCs w:val="22"/>
                <w:lang w:bidi="ar"/>
              </w:rPr>
              <w:t>14</w:t>
            </w:r>
          </w:p>
        </w:tc>
        <w:tc>
          <w:tcPr>
            <w:tcW w:w="1357" w:type="dxa"/>
            <w:vMerge w:val="continue"/>
            <w:vAlign w:val="center"/>
          </w:tcPr>
          <w:p>
            <w:pPr>
              <w:widowControl/>
              <w:spacing w:line="260" w:lineRule="exact"/>
              <w:jc w:val="center"/>
              <w:rPr>
                <w:rFonts w:eastAsia="方正楷体_GBK"/>
                <w:bCs/>
                <w:color w:val="000000"/>
                <w:sz w:val="22"/>
                <w:szCs w:val="22"/>
              </w:rPr>
            </w:pPr>
          </w:p>
        </w:tc>
        <w:tc>
          <w:tcPr>
            <w:tcW w:w="1410"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学时管理</w:t>
            </w:r>
          </w:p>
        </w:tc>
        <w:tc>
          <w:tcPr>
            <w:tcW w:w="660" w:type="dxa"/>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754" w:type="dxa"/>
            <w:gridSpan w:val="3"/>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培训学时或者里程弄虚作假的，扣2分/次。</w:t>
            </w:r>
          </w:p>
        </w:tc>
        <w:tc>
          <w:tcPr>
            <w:tcW w:w="2636" w:type="dxa"/>
            <w:vAlign w:val="center"/>
          </w:tcPr>
          <w:p>
            <w:pPr>
              <w:widowControl/>
              <w:spacing w:line="260" w:lineRule="exact"/>
              <w:jc w:val="left"/>
              <w:textAlignment w:val="center"/>
              <w:rPr>
                <w:rFonts w:hint="eastAsia" w:eastAsia="方正仿宋_GBK"/>
                <w:color w:val="000000"/>
                <w:sz w:val="22"/>
                <w:szCs w:val="22"/>
              </w:rPr>
            </w:pPr>
            <w:r>
              <w:rPr>
                <w:rFonts w:eastAsia="方正仿宋_GBK"/>
                <w:color w:val="000000"/>
                <w:kern w:val="0"/>
                <w:sz w:val="22"/>
                <w:szCs w:val="22"/>
                <w:lang w:bidi="ar"/>
              </w:rPr>
              <w:t>系统数据</w:t>
            </w:r>
            <w:r>
              <w:rPr>
                <w:rFonts w:hint="eastAsia" w:eastAsia="方正仿宋_GBK"/>
                <w:color w:val="000000"/>
                <w:kern w:val="0"/>
                <w:sz w:val="22"/>
                <w:szCs w:val="22"/>
                <w:lang w:bidi="ar"/>
              </w:rPr>
              <w:t>，</w:t>
            </w:r>
            <w:r>
              <w:rPr>
                <w:rFonts w:eastAsia="方正仿宋_GBK"/>
                <w:color w:val="000000"/>
                <w:kern w:val="0"/>
                <w:sz w:val="22"/>
                <w:szCs w:val="22"/>
                <w:lang w:bidi="ar"/>
              </w:rPr>
              <w:t>日常记录</w:t>
            </w:r>
            <w:r>
              <w:rPr>
                <w:rFonts w:hint="eastAsia" w:eastAsia="方正仿宋_GBK"/>
                <w:color w:val="000000"/>
                <w:kern w:val="0"/>
                <w:sz w:val="22"/>
                <w:szCs w:val="22"/>
                <w:lang w:bidi="ar"/>
              </w:rPr>
              <w:t>数据</w:t>
            </w:r>
          </w:p>
        </w:tc>
        <w:tc>
          <w:tcPr>
            <w:tcW w:w="750" w:type="dxa"/>
            <w:vAlign w:val="bottom"/>
          </w:tcPr>
          <w:p>
            <w:pPr>
              <w:pStyle w:val="13"/>
              <w:spacing w:after="0" w:line="260" w:lineRule="exact"/>
              <w:ind w:left="0" w:leftChars="0" w:firstLine="210" w:firstLineChars="1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540" w:type="dxa"/>
            <w:noWrap/>
            <w:vAlign w:val="center"/>
          </w:tcPr>
          <w:p>
            <w:pPr>
              <w:widowControl/>
              <w:spacing w:line="260" w:lineRule="exact"/>
              <w:jc w:val="center"/>
              <w:textAlignment w:val="center"/>
              <w:rPr>
                <w:color w:val="000000"/>
                <w:sz w:val="22"/>
                <w:szCs w:val="22"/>
              </w:rPr>
            </w:pPr>
            <w:r>
              <w:rPr>
                <w:color w:val="000000"/>
                <w:kern w:val="0"/>
                <w:sz w:val="22"/>
                <w:szCs w:val="22"/>
                <w:lang w:bidi="ar"/>
              </w:rPr>
              <w:t>15</w:t>
            </w:r>
          </w:p>
        </w:tc>
        <w:tc>
          <w:tcPr>
            <w:tcW w:w="1357" w:type="dxa"/>
            <w:vMerge w:val="continue"/>
            <w:vAlign w:val="center"/>
          </w:tcPr>
          <w:p>
            <w:pPr>
              <w:widowControl/>
              <w:spacing w:line="260" w:lineRule="exact"/>
              <w:jc w:val="center"/>
              <w:rPr>
                <w:rFonts w:eastAsia="方正楷体_GBK"/>
                <w:bCs/>
                <w:color w:val="000000"/>
                <w:sz w:val="22"/>
                <w:szCs w:val="22"/>
              </w:rPr>
            </w:pPr>
          </w:p>
        </w:tc>
        <w:tc>
          <w:tcPr>
            <w:tcW w:w="1410" w:type="dxa"/>
            <w:vAlign w:val="center"/>
          </w:tcPr>
          <w:p>
            <w:pPr>
              <w:widowControl/>
              <w:spacing w:line="260" w:lineRule="exact"/>
              <w:jc w:val="center"/>
              <w:textAlignment w:val="center"/>
              <w:rPr>
                <w:rFonts w:eastAsia="方正仿宋_GBK"/>
                <w:color w:val="000000"/>
                <w:sz w:val="22"/>
                <w:szCs w:val="22"/>
                <w:lang w:val="en"/>
              </w:rPr>
            </w:pPr>
            <w:r>
              <w:rPr>
                <w:rFonts w:eastAsia="方正仿宋_GBK"/>
                <w:color w:val="000000"/>
                <w:kern w:val="0"/>
                <w:sz w:val="22"/>
                <w:szCs w:val="22"/>
                <w:lang w:bidi="ar"/>
              </w:rPr>
              <w:t>合法经营</w:t>
            </w:r>
          </w:p>
        </w:tc>
        <w:tc>
          <w:tcPr>
            <w:tcW w:w="660" w:type="dxa"/>
            <w:vAlign w:val="center"/>
          </w:tcPr>
          <w:p>
            <w:pPr>
              <w:widowControl/>
              <w:spacing w:line="260" w:lineRule="exact"/>
              <w:jc w:val="center"/>
              <w:textAlignment w:val="center"/>
              <w:rPr>
                <w:rFonts w:eastAsia="方正仿宋_GBK"/>
                <w:color w:val="000000"/>
              </w:rPr>
            </w:pPr>
            <w:r>
              <w:rPr>
                <w:rFonts w:eastAsia="方正仿宋_GBK"/>
                <w:color w:val="000000"/>
                <w:kern w:val="0"/>
                <w:sz w:val="22"/>
                <w:szCs w:val="22"/>
                <w:lang w:bidi="ar"/>
              </w:rPr>
              <w:t>15</w:t>
            </w:r>
          </w:p>
        </w:tc>
        <w:tc>
          <w:tcPr>
            <w:tcW w:w="6754" w:type="dxa"/>
            <w:gridSpan w:val="3"/>
            <w:vAlign w:val="center"/>
          </w:tcPr>
          <w:p>
            <w:pPr>
              <w:widowControl/>
              <w:spacing w:line="260" w:lineRule="exact"/>
              <w:jc w:val="left"/>
              <w:textAlignment w:val="center"/>
              <w:rPr>
                <w:rStyle w:val="40"/>
                <w:rFonts w:hint="default" w:ascii="Times New Roman" w:hAnsi="Times New Roman" w:cs="Times New Roman"/>
                <w:color w:val="000000"/>
                <w:lang w:bidi="ar"/>
              </w:rPr>
            </w:pPr>
            <w:r>
              <w:rPr>
                <w:rStyle w:val="40"/>
                <w:rFonts w:hint="default" w:ascii="Times New Roman" w:hAnsi="Times New Roman" w:cs="Times New Roman"/>
                <w:color w:val="000000"/>
                <w:lang w:bidi="ar"/>
              </w:rPr>
              <w:t>未按《教学与考试大纲》规定的内容、学时组织教学的，扣1分/人；未使用正规出版社发行教材的，扣1分；未按培训协议完成学员训练的，扣1分/人；不在许可核定的训练场地训练，扣2分/车；在许可核定的训练场地外以各种形式乱设摊点教学的，扣2分/车；使用非教练车辆从事教学活动的，扣2分/车；索取、收受学员财物或者谋取其他利益的，扣2分/次；其他违法违规，扣1分/次；</w:t>
            </w:r>
          </w:p>
          <w:p>
            <w:pPr>
              <w:widowControl/>
              <w:spacing w:line="260" w:lineRule="exact"/>
              <w:jc w:val="left"/>
              <w:textAlignment w:val="center"/>
              <w:rPr>
                <w:rFonts w:eastAsia="方正仿宋_GBK"/>
                <w:color w:val="000000"/>
                <w:sz w:val="22"/>
                <w:szCs w:val="22"/>
              </w:rPr>
            </w:pPr>
            <w:r>
              <w:rPr>
                <w:rStyle w:val="40"/>
                <w:rFonts w:hint="default" w:ascii="Times New Roman" w:hAnsi="Times New Roman" w:cs="Times New Roman"/>
                <w:color w:val="000000"/>
                <w:lang w:bidi="ar"/>
              </w:rPr>
              <w:t>在考核周期届满时，存在未履行交通运输行政处罚决定的，按照该交通运输行政处罚信用扣分标准，再次扣除相应分数。</w:t>
            </w:r>
          </w:p>
        </w:tc>
        <w:tc>
          <w:tcPr>
            <w:tcW w:w="2636" w:type="dxa"/>
            <w:vAlign w:val="center"/>
          </w:tcPr>
          <w:p>
            <w:pPr>
              <w:widowControl/>
              <w:spacing w:line="260" w:lineRule="exact"/>
              <w:jc w:val="left"/>
              <w:textAlignment w:val="center"/>
              <w:rPr>
                <w:rFonts w:hint="eastAsia" w:eastAsia="方正仿宋_GBK"/>
                <w:color w:val="000000"/>
                <w:sz w:val="22"/>
                <w:szCs w:val="22"/>
              </w:rPr>
            </w:pPr>
            <w:r>
              <w:rPr>
                <w:rFonts w:eastAsia="方正仿宋_GBK"/>
                <w:color w:val="000000"/>
                <w:kern w:val="0"/>
                <w:sz w:val="22"/>
                <w:szCs w:val="22"/>
                <w:lang w:bidi="ar"/>
              </w:rPr>
              <w:t>系统数据</w:t>
            </w:r>
            <w:r>
              <w:rPr>
                <w:rFonts w:hint="eastAsia" w:eastAsia="方正仿宋_GBK"/>
                <w:color w:val="000000"/>
                <w:kern w:val="0"/>
                <w:sz w:val="22"/>
                <w:szCs w:val="22"/>
                <w:lang w:bidi="ar"/>
              </w:rPr>
              <w:t>，</w:t>
            </w:r>
            <w:r>
              <w:rPr>
                <w:rFonts w:eastAsia="方正仿宋_GBK"/>
                <w:color w:val="000000"/>
                <w:kern w:val="0"/>
                <w:sz w:val="22"/>
                <w:szCs w:val="22"/>
                <w:lang w:bidi="ar"/>
              </w:rPr>
              <w:t>日常记录</w:t>
            </w:r>
            <w:r>
              <w:rPr>
                <w:rFonts w:hint="eastAsia" w:eastAsia="方正仿宋_GBK"/>
                <w:color w:val="000000"/>
                <w:kern w:val="0"/>
                <w:sz w:val="22"/>
                <w:szCs w:val="22"/>
                <w:lang w:bidi="ar"/>
              </w:rPr>
              <w:t>数据</w:t>
            </w:r>
          </w:p>
        </w:tc>
        <w:tc>
          <w:tcPr>
            <w:tcW w:w="750" w:type="dxa"/>
            <w:vAlign w:val="center"/>
          </w:tcPr>
          <w:p>
            <w:pPr>
              <w:pStyle w:val="4"/>
              <w:spacing w:line="260" w:lineRule="exact"/>
              <w:ind w:firstLine="24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540" w:type="dxa"/>
            <w:noWrap/>
            <w:vAlign w:val="center"/>
          </w:tcPr>
          <w:p>
            <w:pPr>
              <w:widowControl/>
              <w:spacing w:line="260" w:lineRule="exact"/>
              <w:jc w:val="center"/>
              <w:textAlignment w:val="center"/>
              <w:rPr>
                <w:color w:val="000000"/>
                <w:sz w:val="22"/>
                <w:szCs w:val="22"/>
              </w:rPr>
            </w:pPr>
            <w:r>
              <w:rPr>
                <w:color w:val="000000"/>
                <w:kern w:val="0"/>
                <w:sz w:val="22"/>
                <w:szCs w:val="22"/>
                <w:lang w:bidi="ar"/>
              </w:rPr>
              <w:t>16</w:t>
            </w:r>
          </w:p>
        </w:tc>
        <w:tc>
          <w:tcPr>
            <w:tcW w:w="1357" w:type="dxa"/>
            <w:vMerge w:val="restart"/>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社会责任</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（10分）</w:t>
            </w:r>
          </w:p>
        </w:tc>
        <w:tc>
          <w:tcPr>
            <w:tcW w:w="1410"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环境保护</w:t>
            </w:r>
          </w:p>
        </w:tc>
        <w:tc>
          <w:tcPr>
            <w:tcW w:w="660" w:type="dxa"/>
            <w:vAlign w:val="center"/>
          </w:tcPr>
          <w:p>
            <w:pPr>
              <w:widowControl/>
              <w:spacing w:line="260" w:lineRule="exact"/>
              <w:jc w:val="center"/>
              <w:textAlignment w:val="center"/>
              <w:rPr>
                <w:color w:val="000000"/>
              </w:rPr>
            </w:pPr>
            <w:r>
              <w:rPr>
                <w:rFonts w:eastAsia="方正仿宋_GBK"/>
                <w:color w:val="000000"/>
                <w:kern w:val="0"/>
                <w:sz w:val="22"/>
                <w:szCs w:val="22"/>
                <w:lang w:bidi="ar"/>
              </w:rPr>
              <w:t>4</w:t>
            </w:r>
          </w:p>
        </w:tc>
        <w:tc>
          <w:tcPr>
            <w:tcW w:w="6754" w:type="dxa"/>
            <w:gridSpan w:val="3"/>
            <w:vAlign w:val="center"/>
          </w:tcPr>
          <w:p>
            <w:pPr>
              <w:widowControl/>
              <w:spacing w:line="260" w:lineRule="exact"/>
              <w:jc w:val="left"/>
              <w:textAlignment w:val="center"/>
              <w:rPr>
                <w:rFonts w:eastAsia="方正仿宋_GBK"/>
                <w:color w:val="000000"/>
                <w:sz w:val="22"/>
                <w:szCs w:val="22"/>
              </w:rPr>
            </w:pPr>
            <w:r>
              <w:rPr>
                <w:rStyle w:val="40"/>
                <w:rFonts w:hint="default" w:ascii="Times New Roman" w:hAnsi="Times New Roman" w:cs="Times New Roman"/>
                <w:color w:val="000000"/>
                <w:lang w:bidi="ar"/>
              </w:rPr>
              <w:t>培训机构经营场所、训练场地无绿化设施扣4分，树木花草死亡未更新一处扣1分，排水设施失效扣1分，垃圾油污未及时清理一处扣1分。</w:t>
            </w:r>
          </w:p>
        </w:tc>
        <w:tc>
          <w:tcPr>
            <w:tcW w:w="2636"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750" w:type="dxa"/>
            <w:vAlign w:val="bottom"/>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40" w:type="dxa"/>
            <w:noWrap/>
            <w:vAlign w:val="center"/>
          </w:tcPr>
          <w:p>
            <w:pPr>
              <w:widowControl/>
              <w:spacing w:line="260" w:lineRule="exact"/>
              <w:jc w:val="center"/>
              <w:textAlignment w:val="center"/>
              <w:rPr>
                <w:color w:val="000000"/>
                <w:sz w:val="22"/>
                <w:szCs w:val="22"/>
              </w:rPr>
            </w:pPr>
            <w:r>
              <w:rPr>
                <w:color w:val="000000"/>
                <w:kern w:val="0"/>
                <w:sz w:val="22"/>
                <w:szCs w:val="22"/>
                <w:lang w:bidi="ar"/>
              </w:rPr>
              <w:t>17</w:t>
            </w:r>
          </w:p>
        </w:tc>
        <w:tc>
          <w:tcPr>
            <w:tcW w:w="1357" w:type="dxa"/>
            <w:vMerge w:val="continue"/>
            <w:vAlign w:val="center"/>
          </w:tcPr>
          <w:p>
            <w:pPr>
              <w:widowControl/>
              <w:spacing w:line="260" w:lineRule="exact"/>
              <w:jc w:val="center"/>
              <w:rPr>
                <w:rFonts w:eastAsia="方正楷体_GBK"/>
                <w:bCs/>
                <w:color w:val="000000"/>
                <w:sz w:val="22"/>
                <w:szCs w:val="22"/>
              </w:rPr>
            </w:pPr>
          </w:p>
        </w:tc>
        <w:tc>
          <w:tcPr>
            <w:tcW w:w="1410"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责任事故</w:t>
            </w:r>
          </w:p>
        </w:tc>
        <w:tc>
          <w:tcPr>
            <w:tcW w:w="660" w:type="dxa"/>
            <w:vAlign w:val="center"/>
          </w:tcPr>
          <w:p>
            <w:pPr>
              <w:widowControl/>
              <w:spacing w:line="260" w:lineRule="exact"/>
              <w:jc w:val="center"/>
              <w:textAlignment w:val="center"/>
              <w:rPr>
                <w:color w:val="000000"/>
              </w:rPr>
            </w:pPr>
            <w:r>
              <w:rPr>
                <w:rFonts w:eastAsia="方正仿宋_GBK"/>
                <w:color w:val="000000"/>
                <w:kern w:val="0"/>
                <w:sz w:val="22"/>
                <w:szCs w:val="22"/>
                <w:lang w:bidi="ar"/>
              </w:rPr>
              <w:t>6</w:t>
            </w:r>
          </w:p>
        </w:tc>
        <w:tc>
          <w:tcPr>
            <w:tcW w:w="6754" w:type="dxa"/>
            <w:gridSpan w:val="3"/>
            <w:vAlign w:val="center"/>
          </w:tcPr>
          <w:p>
            <w:pPr>
              <w:widowControl/>
              <w:spacing w:line="260" w:lineRule="exact"/>
              <w:jc w:val="left"/>
              <w:textAlignment w:val="center"/>
              <w:rPr>
                <w:rFonts w:eastAsia="方正仿宋_GBK"/>
                <w:color w:val="000000"/>
                <w:kern w:val="0"/>
                <w:sz w:val="22"/>
                <w:szCs w:val="22"/>
                <w:lang w:bidi="ar"/>
              </w:rPr>
            </w:pPr>
            <w:r>
              <w:rPr>
                <w:rStyle w:val="40"/>
                <w:rFonts w:hint="default" w:ascii="Times New Roman" w:hAnsi="Times New Roman" w:cs="Times New Roman"/>
                <w:color w:val="000000"/>
                <w:lang w:bidi="ar"/>
              </w:rPr>
              <w:t>培训机构驾龄在3年内的毕业学员发生亡人道路交通责任（同责及以上责任）事故，倒查驾校有责的，一次扣3分；瞒报、谎报亡人事故的，每次扣3分/次。</w:t>
            </w:r>
          </w:p>
        </w:tc>
        <w:tc>
          <w:tcPr>
            <w:tcW w:w="2636"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sz w:val="22"/>
                <w:szCs w:val="22"/>
              </w:rPr>
              <w:t>系统数据，日常记录数据</w:t>
            </w:r>
          </w:p>
        </w:tc>
        <w:tc>
          <w:tcPr>
            <w:tcW w:w="750" w:type="dxa"/>
            <w:vAlign w:val="bottom"/>
          </w:tcPr>
          <w:p>
            <w:pPr>
              <w:widowControl/>
              <w:spacing w:line="260" w:lineRule="exact"/>
              <w:ind w:firstLine="200" w:firstLineChars="100"/>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40" w:type="dxa"/>
            <w:noWrap/>
            <w:vAlign w:val="center"/>
          </w:tcPr>
          <w:p>
            <w:pPr>
              <w:widowControl/>
              <w:spacing w:line="260" w:lineRule="exact"/>
              <w:jc w:val="center"/>
              <w:textAlignment w:val="center"/>
              <w:rPr>
                <w:color w:val="000000"/>
                <w:sz w:val="22"/>
                <w:szCs w:val="22"/>
              </w:rPr>
            </w:pPr>
            <w:r>
              <w:rPr>
                <w:color w:val="000000"/>
                <w:kern w:val="0"/>
                <w:sz w:val="22"/>
                <w:szCs w:val="22"/>
                <w:lang w:bidi="ar"/>
              </w:rPr>
              <w:t>18</w:t>
            </w:r>
          </w:p>
        </w:tc>
        <w:tc>
          <w:tcPr>
            <w:tcW w:w="1357" w:type="dxa"/>
            <w:vMerge w:val="restart"/>
            <w:vAlign w:val="center"/>
          </w:tcPr>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加分项目</w:t>
            </w:r>
          </w:p>
        </w:tc>
        <w:tc>
          <w:tcPr>
            <w:tcW w:w="1410"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企业产权</w:t>
            </w:r>
          </w:p>
        </w:tc>
        <w:tc>
          <w:tcPr>
            <w:tcW w:w="660" w:type="dxa"/>
            <w:vAlign w:val="center"/>
          </w:tcPr>
          <w:p>
            <w:pPr>
              <w:widowControl/>
              <w:spacing w:line="260" w:lineRule="exact"/>
              <w:jc w:val="center"/>
              <w:textAlignment w:val="center"/>
              <w:rPr>
                <w:color w:val="000000"/>
              </w:rPr>
            </w:pPr>
          </w:p>
        </w:tc>
        <w:tc>
          <w:tcPr>
            <w:tcW w:w="6754" w:type="dxa"/>
            <w:gridSpan w:val="3"/>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培训机构拥有训练场地产权，每块场地加0.5分。（最高不超过1分）</w:t>
            </w:r>
          </w:p>
        </w:tc>
        <w:tc>
          <w:tcPr>
            <w:tcW w:w="2636"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经营者填报数据</w:t>
            </w:r>
          </w:p>
        </w:tc>
        <w:tc>
          <w:tcPr>
            <w:tcW w:w="750" w:type="dxa"/>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540"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19</w:t>
            </w:r>
          </w:p>
        </w:tc>
        <w:tc>
          <w:tcPr>
            <w:tcW w:w="1357" w:type="dxa"/>
            <w:vMerge w:val="continue"/>
            <w:vAlign w:val="center"/>
          </w:tcPr>
          <w:p>
            <w:pPr>
              <w:widowControl/>
              <w:spacing w:line="260" w:lineRule="exact"/>
              <w:jc w:val="center"/>
              <w:rPr>
                <w:rFonts w:eastAsia="方正楷体_GBK"/>
                <w:bCs/>
                <w:color w:val="000000"/>
                <w:sz w:val="22"/>
                <w:szCs w:val="22"/>
              </w:rPr>
            </w:pPr>
          </w:p>
        </w:tc>
        <w:tc>
          <w:tcPr>
            <w:tcW w:w="1410"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表彰奖励</w:t>
            </w:r>
          </w:p>
        </w:tc>
        <w:tc>
          <w:tcPr>
            <w:tcW w:w="660" w:type="dxa"/>
            <w:vAlign w:val="center"/>
          </w:tcPr>
          <w:p>
            <w:pPr>
              <w:widowControl/>
              <w:spacing w:line="260" w:lineRule="exact"/>
              <w:jc w:val="center"/>
              <w:textAlignment w:val="center"/>
              <w:rPr>
                <w:rFonts w:eastAsia="方正仿宋_GBK"/>
                <w:color w:val="000000"/>
                <w:kern w:val="0"/>
                <w:sz w:val="22"/>
                <w:szCs w:val="22"/>
                <w:lang w:bidi="ar"/>
              </w:rPr>
            </w:pPr>
          </w:p>
        </w:tc>
        <w:tc>
          <w:tcPr>
            <w:tcW w:w="6754" w:type="dxa"/>
            <w:gridSpan w:val="3"/>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企业或者员工获得区县级（自治县）行业管理相关部门表彰的，加0.3分/项；获得市级表彰的，加0.5分/项；获得国家级表彰的加1分/项。（最高不超过1.5分</w:t>
            </w:r>
          </w:p>
        </w:tc>
        <w:tc>
          <w:tcPr>
            <w:tcW w:w="2636"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经营者填报数据</w:t>
            </w:r>
          </w:p>
        </w:tc>
        <w:tc>
          <w:tcPr>
            <w:tcW w:w="750" w:type="dxa"/>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40" w:type="dxa"/>
            <w:noWrap/>
            <w:vAlign w:val="center"/>
          </w:tcPr>
          <w:p>
            <w:pPr>
              <w:widowControl/>
              <w:spacing w:line="260" w:lineRule="exact"/>
              <w:jc w:val="center"/>
              <w:textAlignment w:val="center"/>
              <w:rPr>
                <w:color w:val="000000"/>
                <w:sz w:val="22"/>
                <w:szCs w:val="22"/>
              </w:rPr>
            </w:pPr>
            <w:r>
              <w:rPr>
                <w:color w:val="000000"/>
                <w:kern w:val="0"/>
                <w:sz w:val="22"/>
                <w:szCs w:val="22"/>
                <w:lang w:bidi="ar"/>
              </w:rPr>
              <w:t>20</w:t>
            </w:r>
          </w:p>
        </w:tc>
        <w:tc>
          <w:tcPr>
            <w:tcW w:w="1357" w:type="dxa"/>
            <w:vMerge w:val="continue"/>
            <w:vAlign w:val="center"/>
          </w:tcPr>
          <w:p>
            <w:pPr>
              <w:widowControl/>
              <w:spacing w:line="260" w:lineRule="exact"/>
              <w:jc w:val="center"/>
              <w:rPr>
                <w:rFonts w:eastAsia="方正楷体_GBK"/>
                <w:bCs/>
                <w:color w:val="000000"/>
                <w:sz w:val="22"/>
                <w:szCs w:val="22"/>
              </w:rPr>
            </w:pPr>
          </w:p>
        </w:tc>
        <w:tc>
          <w:tcPr>
            <w:tcW w:w="1410"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“AA”级企业</w:t>
            </w:r>
          </w:p>
        </w:tc>
        <w:tc>
          <w:tcPr>
            <w:tcW w:w="660" w:type="dxa"/>
            <w:vAlign w:val="center"/>
          </w:tcPr>
          <w:p>
            <w:pPr>
              <w:widowControl/>
              <w:spacing w:line="260" w:lineRule="exact"/>
              <w:jc w:val="center"/>
              <w:textAlignment w:val="center"/>
              <w:rPr>
                <w:color w:val="000000"/>
              </w:rPr>
            </w:pPr>
          </w:p>
        </w:tc>
        <w:tc>
          <w:tcPr>
            <w:tcW w:w="6754" w:type="dxa"/>
            <w:gridSpan w:val="3"/>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培训机构连续3次获得“AA”评价，加0.5分。（最高不超过0.5分）</w:t>
            </w:r>
          </w:p>
        </w:tc>
        <w:tc>
          <w:tcPr>
            <w:tcW w:w="2636"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经营者填报数据</w:t>
            </w:r>
          </w:p>
        </w:tc>
        <w:tc>
          <w:tcPr>
            <w:tcW w:w="750" w:type="dxa"/>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40" w:type="dxa"/>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21</w:t>
            </w:r>
          </w:p>
        </w:tc>
        <w:tc>
          <w:tcPr>
            <w:tcW w:w="1357" w:type="dxa"/>
            <w:vMerge w:val="continue"/>
            <w:vAlign w:val="center"/>
          </w:tcPr>
          <w:p>
            <w:pPr>
              <w:widowControl/>
              <w:spacing w:line="260" w:lineRule="exact"/>
              <w:jc w:val="center"/>
              <w:rPr>
                <w:rFonts w:eastAsia="方正楷体_GBK"/>
                <w:bCs/>
                <w:color w:val="000000"/>
                <w:sz w:val="22"/>
                <w:szCs w:val="22"/>
              </w:rPr>
            </w:pPr>
          </w:p>
        </w:tc>
        <w:tc>
          <w:tcPr>
            <w:tcW w:w="1410"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落实“预约学车、先学后付”培训模式</w:t>
            </w:r>
          </w:p>
        </w:tc>
        <w:tc>
          <w:tcPr>
            <w:tcW w:w="660" w:type="dxa"/>
            <w:vAlign w:val="center"/>
          </w:tcPr>
          <w:p>
            <w:pPr>
              <w:widowControl/>
              <w:spacing w:line="260" w:lineRule="exact"/>
              <w:jc w:val="center"/>
              <w:textAlignment w:val="center"/>
              <w:rPr>
                <w:color w:val="000000"/>
              </w:rPr>
            </w:pPr>
          </w:p>
        </w:tc>
        <w:tc>
          <w:tcPr>
            <w:tcW w:w="6754" w:type="dxa"/>
            <w:gridSpan w:val="3"/>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100%实施的加1分；50%-80%实施的加0.75分；30%-50%的加0.5分；1%-30%实施的加0.25分；未实施的不加分。（最高不超过1分）</w:t>
            </w:r>
          </w:p>
        </w:tc>
        <w:tc>
          <w:tcPr>
            <w:tcW w:w="2636"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经营者填报数据</w:t>
            </w:r>
          </w:p>
        </w:tc>
        <w:tc>
          <w:tcPr>
            <w:tcW w:w="750" w:type="dxa"/>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540" w:type="dxa"/>
            <w:noWrap/>
            <w:vAlign w:val="center"/>
          </w:tcPr>
          <w:p>
            <w:pPr>
              <w:widowControl/>
              <w:spacing w:line="260" w:lineRule="exact"/>
              <w:jc w:val="center"/>
              <w:textAlignment w:val="center"/>
              <w:rPr>
                <w:color w:val="000000"/>
                <w:sz w:val="22"/>
                <w:szCs w:val="22"/>
              </w:rPr>
            </w:pPr>
            <w:r>
              <w:rPr>
                <w:color w:val="000000"/>
                <w:kern w:val="0"/>
                <w:sz w:val="22"/>
                <w:szCs w:val="22"/>
                <w:lang w:bidi="ar"/>
              </w:rPr>
              <w:t>22</w:t>
            </w:r>
          </w:p>
        </w:tc>
        <w:tc>
          <w:tcPr>
            <w:tcW w:w="1357" w:type="dxa"/>
            <w:vMerge w:val="continue"/>
            <w:vAlign w:val="center"/>
          </w:tcPr>
          <w:p>
            <w:pPr>
              <w:widowControl/>
              <w:spacing w:line="260" w:lineRule="exact"/>
              <w:jc w:val="center"/>
              <w:rPr>
                <w:rFonts w:eastAsia="方正楷体_GBK"/>
                <w:bCs/>
                <w:color w:val="000000"/>
                <w:sz w:val="22"/>
                <w:szCs w:val="22"/>
              </w:rPr>
            </w:pPr>
          </w:p>
        </w:tc>
        <w:tc>
          <w:tcPr>
            <w:tcW w:w="1410" w:type="dxa"/>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教练员聘用</w:t>
            </w:r>
          </w:p>
        </w:tc>
        <w:tc>
          <w:tcPr>
            <w:tcW w:w="660" w:type="dxa"/>
            <w:vAlign w:val="center"/>
          </w:tcPr>
          <w:p>
            <w:pPr>
              <w:widowControl/>
              <w:spacing w:line="260" w:lineRule="exact"/>
              <w:jc w:val="center"/>
              <w:textAlignment w:val="center"/>
              <w:rPr>
                <w:color w:val="000000"/>
              </w:rPr>
            </w:pPr>
          </w:p>
        </w:tc>
        <w:tc>
          <w:tcPr>
            <w:tcW w:w="6754" w:type="dxa"/>
            <w:gridSpan w:val="3"/>
            <w:vAlign w:val="center"/>
          </w:tcPr>
          <w:p>
            <w:pPr>
              <w:widowControl/>
              <w:spacing w:line="260" w:lineRule="exact"/>
              <w:jc w:val="left"/>
              <w:textAlignment w:val="center"/>
              <w:rPr>
                <w:rFonts w:eastAsia="方正仿宋_GBK"/>
                <w:color w:val="000000"/>
                <w:sz w:val="22"/>
                <w:szCs w:val="22"/>
              </w:rPr>
            </w:pPr>
            <w:r>
              <w:rPr>
                <w:rFonts w:eastAsia="方正仿宋_GBK"/>
                <w:color w:val="000000"/>
                <w:sz w:val="22"/>
                <w:szCs w:val="22"/>
              </w:rPr>
              <w:t>取得原教练员证或者职业技能等级证书的教练员占总教练员人数100%的，加1分；占60-80%的，加0.75分，占30%-60%的，加0.5分；占1%-30%的，加0.25分。（最高不超过1分）</w:t>
            </w:r>
          </w:p>
        </w:tc>
        <w:tc>
          <w:tcPr>
            <w:tcW w:w="2636" w:type="dxa"/>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经营者填报数据</w:t>
            </w:r>
          </w:p>
        </w:tc>
        <w:tc>
          <w:tcPr>
            <w:tcW w:w="750" w:type="dxa"/>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40" w:type="dxa"/>
            <w:noWrap/>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合计</w:t>
            </w:r>
          </w:p>
        </w:tc>
        <w:tc>
          <w:tcPr>
            <w:tcW w:w="1357" w:type="dxa"/>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100分</w:t>
            </w:r>
          </w:p>
        </w:tc>
        <w:tc>
          <w:tcPr>
            <w:tcW w:w="1410" w:type="dxa"/>
            <w:vAlign w:val="center"/>
          </w:tcPr>
          <w:p>
            <w:pPr>
              <w:widowControl/>
              <w:spacing w:line="260" w:lineRule="exact"/>
              <w:jc w:val="center"/>
              <w:textAlignment w:val="center"/>
              <w:rPr>
                <w:rFonts w:eastAsia="方正仿宋_GBK"/>
                <w:color w:val="000000"/>
                <w:kern w:val="0"/>
                <w:sz w:val="22"/>
                <w:szCs w:val="22"/>
                <w:lang w:bidi="ar"/>
              </w:rPr>
            </w:pPr>
          </w:p>
        </w:tc>
        <w:tc>
          <w:tcPr>
            <w:tcW w:w="660"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100分</w:t>
            </w:r>
          </w:p>
        </w:tc>
        <w:tc>
          <w:tcPr>
            <w:tcW w:w="6754" w:type="dxa"/>
            <w:gridSpan w:val="3"/>
            <w:vAlign w:val="center"/>
          </w:tcPr>
          <w:p>
            <w:pPr>
              <w:widowControl/>
              <w:spacing w:line="260" w:lineRule="exact"/>
              <w:jc w:val="left"/>
              <w:textAlignment w:val="center"/>
              <w:rPr>
                <w:rFonts w:eastAsia="方正仿宋_GBK"/>
                <w:color w:val="000000"/>
                <w:kern w:val="0"/>
                <w:sz w:val="22"/>
                <w:szCs w:val="22"/>
                <w:lang w:bidi="ar"/>
              </w:rPr>
            </w:pPr>
          </w:p>
        </w:tc>
        <w:tc>
          <w:tcPr>
            <w:tcW w:w="2636" w:type="dxa"/>
            <w:vAlign w:val="center"/>
          </w:tcPr>
          <w:p>
            <w:pPr>
              <w:widowControl/>
              <w:spacing w:line="260" w:lineRule="exact"/>
              <w:jc w:val="left"/>
              <w:textAlignment w:val="center"/>
              <w:rPr>
                <w:rFonts w:eastAsia="方正仿宋_GBK"/>
                <w:color w:val="000000"/>
                <w:kern w:val="0"/>
                <w:sz w:val="22"/>
                <w:szCs w:val="22"/>
                <w:lang w:bidi="ar"/>
              </w:rPr>
            </w:pPr>
          </w:p>
        </w:tc>
        <w:tc>
          <w:tcPr>
            <w:tcW w:w="750" w:type="dxa"/>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97" w:type="dxa"/>
            <w:gridSpan w:val="2"/>
            <w:vMerge w:val="restart"/>
            <w:noWrap/>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评价结论</w:t>
            </w:r>
          </w:p>
        </w:tc>
        <w:tc>
          <w:tcPr>
            <w:tcW w:w="1410"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10800" w:type="dxa"/>
            <w:gridSpan w:val="6"/>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97" w:type="dxa"/>
            <w:gridSpan w:val="2"/>
            <w:vMerge w:val="continue"/>
            <w:noWrap/>
            <w:vAlign w:val="center"/>
          </w:tcPr>
          <w:p>
            <w:pPr>
              <w:widowControl/>
              <w:spacing w:line="260" w:lineRule="exact"/>
              <w:jc w:val="center"/>
              <w:rPr>
                <w:rFonts w:eastAsia="方正楷体_GBK"/>
                <w:bCs/>
                <w:color w:val="000000"/>
                <w:sz w:val="22"/>
                <w:szCs w:val="22"/>
              </w:rPr>
            </w:pPr>
          </w:p>
        </w:tc>
        <w:tc>
          <w:tcPr>
            <w:tcW w:w="1410"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评价机构</w:t>
            </w:r>
          </w:p>
        </w:tc>
        <w:tc>
          <w:tcPr>
            <w:tcW w:w="10800" w:type="dxa"/>
            <w:gridSpan w:val="6"/>
            <w:vAlign w:val="center"/>
          </w:tcPr>
          <w:p>
            <w:pPr>
              <w:widowControl/>
              <w:spacing w:line="26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97" w:type="dxa"/>
            <w:gridSpan w:val="2"/>
            <w:vMerge w:val="continue"/>
            <w:noWrap/>
            <w:vAlign w:val="center"/>
          </w:tcPr>
          <w:p>
            <w:pPr>
              <w:widowControl/>
              <w:spacing w:line="260" w:lineRule="exact"/>
              <w:jc w:val="center"/>
              <w:rPr>
                <w:rFonts w:eastAsia="方正楷体_GBK"/>
                <w:bCs/>
                <w:color w:val="000000"/>
                <w:sz w:val="22"/>
                <w:szCs w:val="22"/>
              </w:rPr>
            </w:pPr>
          </w:p>
        </w:tc>
        <w:tc>
          <w:tcPr>
            <w:tcW w:w="1410" w:type="dxa"/>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经办人</w:t>
            </w:r>
          </w:p>
        </w:tc>
        <w:tc>
          <w:tcPr>
            <w:tcW w:w="5230" w:type="dxa"/>
            <w:gridSpan w:val="2"/>
            <w:vAlign w:val="center"/>
          </w:tcPr>
          <w:p>
            <w:pPr>
              <w:widowControl/>
              <w:spacing w:line="260" w:lineRule="exact"/>
              <w:jc w:val="center"/>
              <w:textAlignment w:val="center"/>
              <w:rPr>
                <w:rFonts w:eastAsia="方正仿宋_GBK"/>
                <w:color w:val="000000"/>
                <w:kern w:val="0"/>
                <w:sz w:val="22"/>
                <w:szCs w:val="22"/>
                <w:lang w:bidi="ar"/>
              </w:rPr>
            </w:pPr>
          </w:p>
        </w:tc>
        <w:tc>
          <w:tcPr>
            <w:tcW w:w="1535" w:type="dxa"/>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评价日期</w:t>
            </w:r>
          </w:p>
        </w:tc>
        <w:tc>
          <w:tcPr>
            <w:tcW w:w="4035" w:type="dxa"/>
            <w:gridSpan w:val="3"/>
            <w:vAlign w:val="center"/>
          </w:tcPr>
          <w:p>
            <w:pPr>
              <w:widowControl/>
              <w:spacing w:line="260" w:lineRule="exact"/>
              <w:jc w:val="center"/>
              <w:rPr>
                <w:rFonts w:eastAsia="仿宋_GB2312"/>
                <w:color w:val="000000"/>
                <w:sz w:val="20"/>
              </w:rPr>
            </w:pPr>
            <w:r>
              <w:rPr>
                <w:rFonts w:eastAsia="仿宋_GB2312"/>
                <w:color w:val="000000"/>
                <w:sz w:val="20"/>
              </w:rPr>
              <w:t xml:space="preserve">         年    月    日</w:t>
            </w:r>
          </w:p>
        </w:tc>
      </w:tr>
    </w:tbl>
    <w:p>
      <w:pPr>
        <w:jc w:val="left"/>
        <w:rPr>
          <w:rFonts w:eastAsia="方正黑体_GBK"/>
          <w:color w:val="000000"/>
        </w:rPr>
      </w:pPr>
      <w:r>
        <w:rPr>
          <w:rFonts w:eastAsia="方正黑体_GBK"/>
          <w:color w:val="000000"/>
          <w:sz w:val="32"/>
          <w:szCs w:val="32"/>
        </w:rPr>
        <w:br w:type="page"/>
      </w:r>
      <w:r>
        <w:rPr>
          <w:rFonts w:hint="eastAsia" w:ascii="方正黑体_GBK" w:hAnsi="方正黑体_GBK" w:eastAsia="方正黑体_GBK" w:cs="方正黑体_GBK"/>
          <w:color w:val="000000"/>
          <w:sz w:val="32"/>
          <w:szCs w:val="32"/>
        </w:rPr>
        <w:t>附件1-10</w:t>
      </w:r>
    </w:p>
    <w:p>
      <w:pPr>
        <w:spacing w:line="600" w:lineRule="exact"/>
        <w:jc w:val="center"/>
        <w:rPr>
          <w:rFonts w:eastAsia="方正小标宋_GBK"/>
          <w:bCs/>
          <w:color w:val="000000"/>
          <w:sz w:val="44"/>
          <w:szCs w:val="44"/>
        </w:rPr>
      </w:pPr>
      <w:r>
        <w:rPr>
          <w:rFonts w:eastAsia="方正小标宋_GBK"/>
          <w:bCs/>
          <w:color w:val="000000"/>
          <w:sz w:val="44"/>
          <w:szCs w:val="44"/>
        </w:rPr>
        <w:t>重庆市机动车维修企业信用评价标准</w:t>
      </w:r>
    </w:p>
    <w:p>
      <w:pPr>
        <w:spacing w:line="600" w:lineRule="exact"/>
        <w:rPr>
          <w:rFonts w:eastAsia="方正仿宋_GBK"/>
          <w:bCs/>
          <w:color w:val="000000"/>
          <w:sz w:val="24"/>
        </w:rPr>
      </w:pPr>
      <w:r>
        <w:rPr>
          <w:rFonts w:eastAsia="方正仿宋_GBK"/>
          <w:bCs/>
          <w:color w:val="000000"/>
          <w:sz w:val="24"/>
        </w:rPr>
        <w:t>被评价企业：</w:t>
      </w:r>
      <w:r>
        <w:rPr>
          <w:rFonts w:eastAsia="方正仿宋_GBK"/>
          <w:color w:val="000000"/>
          <w:sz w:val="24"/>
        </w:rPr>
        <w:t xml:space="preserve">                                                                            </w:t>
      </w:r>
      <w:r>
        <w:rPr>
          <w:rFonts w:eastAsia="方正仿宋_GBK"/>
          <w:bCs/>
          <w:color w:val="000000"/>
          <w:sz w:val="24"/>
        </w:rPr>
        <w:t>评价年度：</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21"/>
        <w:gridCol w:w="1234"/>
        <w:gridCol w:w="669"/>
        <w:gridCol w:w="896"/>
        <w:gridCol w:w="6554"/>
        <w:gridCol w:w="1962"/>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blHeader/>
          <w:jc w:val="center"/>
        </w:trPr>
        <w:tc>
          <w:tcPr>
            <w:tcW w:w="250" w:type="pct"/>
            <w:vAlign w:val="center"/>
          </w:tcPr>
          <w:p>
            <w:pPr>
              <w:widowControl/>
              <w:spacing w:line="260" w:lineRule="exact"/>
              <w:jc w:val="center"/>
              <w:textAlignment w:val="center"/>
              <w:rPr>
                <w:rStyle w:val="36"/>
                <w:rFonts w:ascii="Times New Roman" w:eastAsia="黑体" w:cs="Times New Roman"/>
                <w:b w:val="0"/>
                <w:sz w:val="24"/>
                <w:lang w:bidi="ar"/>
              </w:rPr>
            </w:pPr>
            <w:r>
              <w:rPr>
                <w:rStyle w:val="36"/>
                <w:rFonts w:ascii="Times New Roman" w:eastAsia="黑体" w:cs="Times New Roman"/>
                <w:b w:val="0"/>
                <w:sz w:val="24"/>
                <w:lang w:bidi="ar"/>
              </w:rPr>
              <w:t>序号</w:t>
            </w:r>
          </w:p>
        </w:tc>
        <w:tc>
          <w:tcPr>
            <w:tcW w:w="472" w:type="pct"/>
            <w:vAlign w:val="center"/>
          </w:tcPr>
          <w:p>
            <w:pPr>
              <w:widowControl/>
              <w:spacing w:line="260" w:lineRule="exact"/>
              <w:jc w:val="center"/>
              <w:textAlignment w:val="center"/>
              <w:rPr>
                <w:rStyle w:val="36"/>
                <w:rFonts w:ascii="Times New Roman" w:eastAsia="黑体" w:cs="Times New Roman"/>
                <w:b w:val="0"/>
                <w:sz w:val="24"/>
                <w:lang w:bidi="ar"/>
              </w:rPr>
            </w:pPr>
            <w:r>
              <w:rPr>
                <w:rStyle w:val="36"/>
                <w:rFonts w:ascii="Times New Roman" w:eastAsia="黑体" w:cs="Times New Roman"/>
                <w:b w:val="0"/>
                <w:sz w:val="24"/>
                <w:lang w:bidi="ar"/>
              </w:rPr>
              <w:t xml:space="preserve">一级指标及分值 </w:t>
            </w:r>
          </w:p>
        </w:tc>
        <w:tc>
          <w:tcPr>
            <w:tcW w:w="441" w:type="pct"/>
            <w:vAlign w:val="center"/>
          </w:tcPr>
          <w:p>
            <w:pPr>
              <w:widowControl/>
              <w:spacing w:line="260" w:lineRule="exact"/>
              <w:jc w:val="center"/>
              <w:textAlignment w:val="center"/>
              <w:rPr>
                <w:rStyle w:val="36"/>
                <w:rFonts w:ascii="Times New Roman" w:eastAsia="黑体" w:cs="Times New Roman"/>
                <w:b w:val="0"/>
                <w:sz w:val="24"/>
                <w:lang w:bidi="ar"/>
              </w:rPr>
            </w:pPr>
            <w:r>
              <w:rPr>
                <w:rStyle w:val="36"/>
                <w:rFonts w:ascii="Times New Roman" w:eastAsia="黑体" w:cs="Times New Roman"/>
                <w:b w:val="0"/>
                <w:sz w:val="24"/>
                <w:lang w:bidi="ar"/>
              </w:rPr>
              <w:t>二级指标</w:t>
            </w:r>
          </w:p>
        </w:tc>
        <w:tc>
          <w:tcPr>
            <w:tcW w:w="239" w:type="pct"/>
            <w:vAlign w:val="center"/>
          </w:tcPr>
          <w:p>
            <w:pPr>
              <w:widowControl/>
              <w:spacing w:line="260" w:lineRule="exact"/>
              <w:jc w:val="center"/>
              <w:textAlignment w:val="center"/>
              <w:rPr>
                <w:rFonts w:eastAsia="黑体"/>
                <w:bCs/>
                <w:color w:val="000000"/>
                <w:sz w:val="24"/>
              </w:rPr>
            </w:pPr>
            <w:r>
              <w:rPr>
                <w:rStyle w:val="36"/>
                <w:rFonts w:ascii="Times New Roman" w:eastAsia="黑体" w:cs="Times New Roman"/>
                <w:b w:val="0"/>
                <w:sz w:val="24"/>
                <w:lang w:bidi="ar"/>
              </w:rPr>
              <w:t>分值</w:t>
            </w:r>
          </w:p>
        </w:tc>
        <w:tc>
          <w:tcPr>
            <w:tcW w:w="2662" w:type="pct"/>
            <w:gridSpan w:val="2"/>
            <w:vAlign w:val="center"/>
          </w:tcPr>
          <w:p>
            <w:pPr>
              <w:widowControl/>
              <w:spacing w:line="260" w:lineRule="exact"/>
              <w:jc w:val="center"/>
              <w:textAlignment w:val="center"/>
              <w:rPr>
                <w:rFonts w:eastAsia="黑体"/>
                <w:bCs/>
                <w:color w:val="000000"/>
                <w:sz w:val="24"/>
              </w:rPr>
            </w:pPr>
            <w:r>
              <w:rPr>
                <w:rStyle w:val="36"/>
                <w:rFonts w:ascii="Times New Roman" w:eastAsia="黑体" w:cs="Times New Roman"/>
                <w:b w:val="0"/>
                <w:sz w:val="24"/>
                <w:lang w:bidi="ar"/>
              </w:rPr>
              <w:t>评分标准</w:t>
            </w:r>
          </w:p>
        </w:tc>
        <w:tc>
          <w:tcPr>
            <w:tcW w:w="701" w:type="pct"/>
            <w:vAlign w:val="center"/>
          </w:tcPr>
          <w:p>
            <w:pPr>
              <w:widowControl/>
              <w:spacing w:line="260" w:lineRule="exact"/>
              <w:jc w:val="center"/>
              <w:textAlignment w:val="center"/>
              <w:rPr>
                <w:rFonts w:eastAsia="黑体"/>
                <w:bCs/>
                <w:color w:val="000000"/>
                <w:sz w:val="24"/>
              </w:rPr>
            </w:pPr>
            <w:r>
              <w:rPr>
                <w:rStyle w:val="36"/>
                <w:rFonts w:ascii="Times New Roman" w:eastAsia="黑体" w:cs="Times New Roman"/>
                <w:b w:val="0"/>
                <w:sz w:val="24"/>
                <w:lang w:bidi="ar"/>
              </w:rPr>
              <w:t>数据来源</w:t>
            </w:r>
          </w:p>
        </w:tc>
        <w:tc>
          <w:tcPr>
            <w:tcW w:w="235" w:type="pct"/>
            <w:vAlign w:val="center"/>
          </w:tcPr>
          <w:p>
            <w:pPr>
              <w:widowControl/>
              <w:spacing w:line="260" w:lineRule="exact"/>
              <w:jc w:val="center"/>
              <w:textAlignment w:val="center"/>
              <w:rPr>
                <w:rFonts w:eastAsia="黑体"/>
                <w:bCs/>
                <w:color w:val="000000"/>
                <w:sz w:val="24"/>
              </w:rPr>
            </w:pPr>
            <w:r>
              <w:rPr>
                <w:rFonts w:eastAsia="方正黑体_GBK"/>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0" w:type="pct"/>
            <w:vAlign w:val="center"/>
          </w:tcPr>
          <w:p>
            <w:pPr>
              <w:widowControl/>
              <w:spacing w:line="260" w:lineRule="exact"/>
              <w:jc w:val="center"/>
              <w:textAlignment w:val="center"/>
              <w:rPr>
                <w:rStyle w:val="25"/>
                <w:rFonts w:eastAsia="仿宋"/>
                <w:bCs/>
                <w:sz w:val="21"/>
                <w:szCs w:val="21"/>
                <w:lang w:bidi="ar"/>
              </w:rPr>
            </w:pPr>
            <w:r>
              <w:rPr>
                <w:rStyle w:val="25"/>
                <w:rFonts w:eastAsia="仿宋"/>
                <w:bCs/>
                <w:sz w:val="21"/>
                <w:szCs w:val="21"/>
                <w:lang w:bidi="ar"/>
              </w:rPr>
              <w:t>1</w:t>
            </w:r>
          </w:p>
        </w:tc>
        <w:tc>
          <w:tcPr>
            <w:tcW w:w="472" w:type="pct"/>
            <w:vMerge w:val="restart"/>
            <w:vAlign w:val="center"/>
          </w:tcPr>
          <w:p>
            <w:pPr>
              <w:widowControl/>
              <w:spacing w:line="260" w:lineRule="exact"/>
              <w:jc w:val="center"/>
              <w:textAlignment w:val="center"/>
              <w:rPr>
                <w:rStyle w:val="36"/>
                <w:rFonts w:ascii="Times New Roman" w:eastAsia="仿宋" w:cs="Times New Roman"/>
                <w:b w:val="0"/>
                <w:lang w:bidi="ar"/>
              </w:rPr>
            </w:pPr>
            <w:r>
              <w:rPr>
                <w:rStyle w:val="36"/>
                <w:rFonts w:ascii="Times New Roman" w:eastAsia="仿宋" w:cs="Times New Roman"/>
                <w:b w:val="0"/>
                <w:lang w:bidi="ar"/>
              </w:rPr>
              <w:t>经营管理</w:t>
            </w:r>
          </w:p>
          <w:p>
            <w:pPr>
              <w:widowControl/>
              <w:spacing w:line="260" w:lineRule="exact"/>
              <w:jc w:val="center"/>
              <w:textAlignment w:val="center"/>
              <w:rPr>
                <w:rStyle w:val="25"/>
                <w:rFonts w:eastAsia="仿宋"/>
                <w:bCs/>
                <w:sz w:val="21"/>
                <w:szCs w:val="21"/>
                <w:lang w:bidi="ar"/>
              </w:rPr>
            </w:pPr>
            <w:r>
              <w:rPr>
                <w:rStyle w:val="36"/>
                <w:rFonts w:ascii="Times New Roman" w:eastAsia="仿宋" w:cs="Times New Roman"/>
                <w:b w:val="0"/>
                <w:lang w:bidi="ar"/>
              </w:rPr>
              <w:t>（</w:t>
            </w:r>
            <w:r>
              <w:rPr>
                <w:rStyle w:val="49"/>
                <w:rFonts w:ascii="Times New Roman" w:hAnsi="Times New Roman" w:eastAsia="仿宋" w:cs="Times New Roman"/>
                <w:bCs/>
                <w:sz w:val="21"/>
                <w:szCs w:val="21"/>
                <w:lang w:bidi="ar"/>
              </w:rPr>
              <w:t>25</w:t>
            </w:r>
            <w:r>
              <w:rPr>
                <w:rStyle w:val="36"/>
                <w:rFonts w:ascii="Times New Roman" w:eastAsia="仿宋" w:cs="Times New Roman"/>
                <w:b w:val="0"/>
                <w:lang w:bidi="ar"/>
              </w:rPr>
              <w:t>分）</w:t>
            </w:r>
          </w:p>
        </w:tc>
        <w:tc>
          <w:tcPr>
            <w:tcW w:w="441" w:type="pct"/>
            <w:vAlign w:val="center"/>
          </w:tcPr>
          <w:p>
            <w:pPr>
              <w:widowControl/>
              <w:spacing w:line="260" w:lineRule="exact"/>
              <w:jc w:val="center"/>
              <w:textAlignment w:val="center"/>
              <w:rPr>
                <w:rFonts w:eastAsia="仿宋"/>
                <w:bCs/>
                <w:color w:val="000000"/>
                <w:szCs w:val="21"/>
              </w:rPr>
            </w:pPr>
            <w:r>
              <w:rPr>
                <w:rStyle w:val="25"/>
                <w:rFonts w:eastAsia="仿宋"/>
                <w:bCs/>
                <w:sz w:val="21"/>
                <w:szCs w:val="21"/>
                <w:lang w:bidi="ar"/>
              </w:rPr>
              <w:t>承诺事项</w:t>
            </w:r>
          </w:p>
        </w:tc>
        <w:tc>
          <w:tcPr>
            <w:tcW w:w="239" w:type="pct"/>
            <w:vAlign w:val="center"/>
          </w:tcPr>
          <w:p>
            <w:pPr>
              <w:widowControl/>
              <w:spacing w:line="260" w:lineRule="exact"/>
              <w:jc w:val="center"/>
              <w:textAlignment w:val="center"/>
              <w:rPr>
                <w:rFonts w:eastAsia="仿宋"/>
                <w:bCs/>
                <w:color w:val="000000"/>
                <w:szCs w:val="21"/>
              </w:rPr>
            </w:pPr>
            <w:r>
              <w:rPr>
                <w:rFonts w:eastAsia="仿宋"/>
                <w:bCs/>
                <w:color w:val="000000"/>
                <w:szCs w:val="21"/>
              </w:rPr>
              <w:t>5</w:t>
            </w:r>
          </w:p>
        </w:tc>
        <w:tc>
          <w:tcPr>
            <w:tcW w:w="2662" w:type="pct"/>
            <w:gridSpan w:val="2"/>
            <w:vAlign w:val="center"/>
          </w:tcPr>
          <w:p>
            <w:pPr>
              <w:widowControl/>
              <w:spacing w:line="260" w:lineRule="exact"/>
              <w:jc w:val="left"/>
              <w:textAlignment w:val="center"/>
              <w:rPr>
                <w:rStyle w:val="25"/>
                <w:rFonts w:eastAsia="仿宋"/>
                <w:bCs/>
                <w:sz w:val="21"/>
                <w:szCs w:val="21"/>
                <w:lang w:bidi="ar"/>
              </w:rPr>
            </w:pPr>
            <w:r>
              <w:rPr>
                <w:rStyle w:val="25"/>
                <w:rFonts w:eastAsia="仿宋"/>
                <w:bCs/>
                <w:sz w:val="21"/>
                <w:szCs w:val="21"/>
                <w:lang w:bidi="ar"/>
              </w:rPr>
              <w:t>备案承诺事项与实际不符的，扣1分/项，超过3项不得分。</w:t>
            </w:r>
          </w:p>
        </w:tc>
        <w:tc>
          <w:tcPr>
            <w:tcW w:w="701" w:type="pct"/>
            <w:vAlign w:val="center"/>
          </w:tcPr>
          <w:p>
            <w:pPr>
              <w:widowControl/>
              <w:spacing w:line="260" w:lineRule="exact"/>
              <w:jc w:val="left"/>
              <w:textAlignment w:val="center"/>
              <w:rPr>
                <w:rFonts w:eastAsia="仿宋"/>
                <w:bCs/>
                <w:color w:val="000000"/>
                <w:szCs w:val="21"/>
              </w:rPr>
            </w:pPr>
            <w:r>
              <w:rPr>
                <w:rStyle w:val="25"/>
                <w:rFonts w:eastAsia="仿宋"/>
                <w:bCs/>
                <w:sz w:val="21"/>
                <w:szCs w:val="21"/>
                <w:lang w:bidi="ar"/>
              </w:rPr>
              <w:t>行业内部数据共享</w:t>
            </w:r>
          </w:p>
        </w:tc>
        <w:tc>
          <w:tcPr>
            <w:tcW w:w="235" w:type="pct"/>
          </w:tcPr>
          <w:p>
            <w:pPr>
              <w:spacing w:line="260" w:lineRule="exact"/>
              <w:ind w:firstLine="210" w:firstLineChars="100"/>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50" w:type="pct"/>
            <w:vAlign w:val="center"/>
          </w:tcPr>
          <w:p>
            <w:pPr>
              <w:widowControl/>
              <w:spacing w:line="260" w:lineRule="exact"/>
              <w:jc w:val="center"/>
              <w:textAlignment w:val="center"/>
              <w:rPr>
                <w:rStyle w:val="25"/>
                <w:rFonts w:eastAsia="仿宋"/>
                <w:bCs/>
                <w:sz w:val="21"/>
                <w:szCs w:val="21"/>
                <w:lang w:bidi="ar"/>
              </w:rPr>
            </w:pPr>
            <w:r>
              <w:rPr>
                <w:rStyle w:val="25"/>
                <w:rFonts w:eastAsia="仿宋"/>
                <w:bCs/>
                <w:sz w:val="21"/>
                <w:szCs w:val="21"/>
                <w:lang w:bidi="ar"/>
              </w:rPr>
              <w:t>2</w:t>
            </w:r>
          </w:p>
        </w:tc>
        <w:tc>
          <w:tcPr>
            <w:tcW w:w="472" w:type="pct"/>
            <w:vMerge w:val="continue"/>
            <w:vAlign w:val="center"/>
          </w:tcPr>
          <w:p>
            <w:pPr>
              <w:widowControl/>
              <w:spacing w:line="260" w:lineRule="exact"/>
              <w:jc w:val="center"/>
              <w:textAlignment w:val="center"/>
              <w:rPr>
                <w:rStyle w:val="25"/>
                <w:rFonts w:eastAsia="仿宋"/>
                <w:bCs/>
                <w:sz w:val="21"/>
                <w:szCs w:val="21"/>
                <w:lang w:bidi="ar"/>
              </w:rPr>
            </w:pPr>
          </w:p>
        </w:tc>
        <w:tc>
          <w:tcPr>
            <w:tcW w:w="441" w:type="pct"/>
            <w:vAlign w:val="center"/>
          </w:tcPr>
          <w:p>
            <w:pPr>
              <w:widowControl/>
              <w:spacing w:line="260" w:lineRule="exact"/>
              <w:jc w:val="center"/>
              <w:textAlignment w:val="center"/>
              <w:rPr>
                <w:rStyle w:val="25"/>
                <w:rFonts w:eastAsia="仿宋"/>
                <w:bCs/>
                <w:sz w:val="21"/>
                <w:szCs w:val="21"/>
                <w:lang w:bidi="ar"/>
              </w:rPr>
            </w:pPr>
            <w:r>
              <w:rPr>
                <w:rStyle w:val="25"/>
                <w:rFonts w:eastAsia="仿宋"/>
                <w:bCs/>
                <w:sz w:val="21"/>
                <w:szCs w:val="21"/>
                <w:lang w:bidi="ar"/>
              </w:rPr>
              <w:t>系统建设</w:t>
            </w:r>
          </w:p>
        </w:tc>
        <w:tc>
          <w:tcPr>
            <w:tcW w:w="239" w:type="pct"/>
            <w:vAlign w:val="center"/>
          </w:tcPr>
          <w:p>
            <w:pPr>
              <w:widowControl/>
              <w:spacing w:line="260" w:lineRule="exact"/>
              <w:jc w:val="center"/>
              <w:textAlignment w:val="center"/>
              <w:rPr>
                <w:rFonts w:eastAsia="仿宋"/>
                <w:bCs/>
                <w:color w:val="000000"/>
                <w:szCs w:val="21"/>
              </w:rPr>
            </w:pPr>
            <w:r>
              <w:rPr>
                <w:rFonts w:eastAsia="仿宋"/>
                <w:bCs/>
                <w:color w:val="000000"/>
                <w:szCs w:val="21"/>
              </w:rPr>
              <w:t>10</w:t>
            </w:r>
          </w:p>
        </w:tc>
        <w:tc>
          <w:tcPr>
            <w:tcW w:w="2662" w:type="pct"/>
            <w:gridSpan w:val="2"/>
            <w:vAlign w:val="center"/>
          </w:tcPr>
          <w:p>
            <w:pPr>
              <w:widowControl/>
              <w:spacing w:line="260" w:lineRule="exact"/>
              <w:jc w:val="left"/>
              <w:textAlignment w:val="center"/>
              <w:rPr>
                <w:rStyle w:val="25"/>
                <w:rFonts w:eastAsia="仿宋"/>
                <w:bCs/>
                <w:sz w:val="21"/>
                <w:szCs w:val="21"/>
                <w:lang w:bidi="ar"/>
              </w:rPr>
            </w:pPr>
            <w:r>
              <w:rPr>
                <w:rStyle w:val="25"/>
                <w:rFonts w:eastAsia="仿宋"/>
                <w:bCs/>
                <w:sz w:val="21"/>
                <w:szCs w:val="21"/>
                <w:lang w:bidi="ar"/>
              </w:rPr>
              <w:t>未按要求建立汽车维修电子健康档案系统或者建立不使用的，不得分。</w:t>
            </w:r>
          </w:p>
        </w:tc>
        <w:tc>
          <w:tcPr>
            <w:tcW w:w="701" w:type="pct"/>
            <w:vAlign w:val="center"/>
          </w:tcPr>
          <w:p>
            <w:pPr>
              <w:widowControl/>
              <w:spacing w:line="260" w:lineRule="exact"/>
              <w:jc w:val="left"/>
              <w:textAlignment w:val="center"/>
              <w:rPr>
                <w:rFonts w:eastAsia="仿宋"/>
                <w:bCs/>
                <w:color w:val="000000"/>
                <w:szCs w:val="21"/>
              </w:rPr>
            </w:pPr>
            <w:r>
              <w:rPr>
                <w:rStyle w:val="25"/>
                <w:rFonts w:eastAsia="仿宋"/>
                <w:bCs/>
                <w:sz w:val="21"/>
                <w:szCs w:val="21"/>
                <w:lang w:bidi="ar"/>
              </w:rPr>
              <w:t>行业内部数据共享</w:t>
            </w:r>
          </w:p>
        </w:tc>
        <w:tc>
          <w:tcPr>
            <w:tcW w:w="235" w:type="pct"/>
            <w:vAlign w:val="center"/>
          </w:tcPr>
          <w:p>
            <w:pPr>
              <w:spacing w:line="260" w:lineRule="exact"/>
              <w:ind w:firstLine="210" w:firstLineChars="100"/>
              <w:jc w:val="left"/>
              <w:rPr>
                <w:rFonts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50" w:type="pct"/>
            <w:vAlign w:val="center"/>
          </w:tcPr>
          <w:p>
            <w:pPr>
              <w:widowControl/>
              <w:spacing w:line="260" w:lineRule="exact"/>
              <w:jc w:val="center"/>
              <w:textAlignment w:val="center"/>
              <w:rPr>
                <w:rStyle w:val="25"/>
                <w:rFonts w:eastAsia="仿宋"/>
                <w:bCs/>
                <w:sz w:val="21"/>
                <w:szCs w:val="21"/>
                <w:lang w:bidi="ar"/>
              </w:rPr>
            </w:pPr>
            <w:r>
              <w:rPr>
                <w:rStyle w:val="25"/>
                <w:rFonts w:eastAsia="仿宋"/>
                <w:bCs/>
                <w:sz w:val="21"/>
                <w:szCs w:val="21"/>
                <w:lang w:bidi="ar"/>
              </w:rPr>
              <w:t>3</w:t>
            </w:r>
          </w:p>
        </w:tc>
        <w:tc>
          <w:tcPr>
            <w:tcW w:w="472" w:type="pct"/>
            <w:vMerge w:val="continue"/>
            <w:vAlign w:val="center"/>
          </w:tcPr>
          <w:p>
            <w:pPr>
              <w:widowControl/>
              <w:spacing w:line="260" w:lineRule="exact"/>
              <w:jc w:val="center"/>
              <w:textAlignment w:val="center"/>
              <w:rPr>
                <w:rStyle w:val="25"/>
                <w:rFonts w:eastAsia="仿宋"/>
                <w:bCs/>
                <w:sz w:val="21"/>
                <w:szCs w:val="21"/>
                <w:lang w:bidi="ar"/>
              </w:rPr>
            </w:pPr>
          </w:p>
        </w:tc>
        <w:tc>
          <w:tcPr>
            <w:tcW w:w="441" w:type="pct"/>
            <w:vAlign w:val="center"/>
          </w:tcPr>
          <w:p>
            <w:pPr>
              <w:widowControl/>
              <w:spacing w:line="260" w:lineRule="exact"/>
              <w:jc w:val="center"/>
              <w:textAlignment w:val="center"/>
              <w:rPr>
                <w:rStyle w:val="25"/>
                <w:rFonts w:eastAsia="仿宋"/>
                <w:bCs/>
                <w:sz w:val="21"/>
                <w:szCs w:val="21"/>
                <w:lang w:bidi="ar"/>
              </w:rPr>
            </w:pPr>
            <w:r>
              <w:rPr>
                <w:rStyle w:val="25"/>
                <w:rFonts w:eastAsia="仿宋"/>
                <w:bCs/>
                <w:sz w:val="21"/>
                <w:szCs w:val="21"/>
                <w:lang w:bidi="ar"/>
              </w:rPr>
              <w:t>数据上传</w:t>
            </w:r>
          </w:p>
        </w:tc>
        <w:tc>
          <w:tcPr>
            <w:tcW w:w="239" w:type="pct"/>
            <w:vAlign w:val="center"/>
          </w:tcPr>
          <w:p>
            <w:pPr>
              <w:widowControl/>
              <w:spacing w:line="260" w:lineRule="exact"/>
              <w:jc w:val="center"/>
              <w:textAlignment w:val="center"/>
              <w:rPr>
                <w:rFonts w:eastAsia="仿宋"/>
                <w:bCs/>
                <w:color w:val="000000"/>
                <w:szCs w:val="21"/>
              </w:rPr>
            </w:pPr>
            <w:r>
              <w:rPr>
                <w:rFonts w:eastAsia="仿宋"/>
                <w:bCs/>
                <w:color w:val="000000"/>
                <w:szCs w:val="21"/>
              </w:rPr>
              <w:t>5</w:t>
            </w:r>
          </w:p>
        </w:tc>
        <w:tc>
          <w:tcPr>
            <w:tcW w:w="2662" w:type="pct"/>
            <w:gridSpan w:val="2"/>
            <w:vAlign w:val="center"/>
          </w:tcPr>
          <w:p>
            <w:pPr>
              <w:widowControl/>
              <w:spacing w:line="260" w:lineRule="exact"/>
              <w:jc w:val="left"/>
              <w:textAlignment w:val="center"/>
              <w:rPr>
                <w:rStyle w:val="25"/>
                <w:rFonts w:eastAsia="仿宋"/>
                <w:bCs/>
                <w:sz w:val="21"/>
                <w:szCs w:val="21"/>
                <w:lang w:bidi="ar"/>
              </w:rPr>
            </w:pPr>
            <w:r>
              <w:rPr>
                <w:rStyle w:val="25"/>
                <w:rFonts w:eastAsia="仿宋"/>
                <w:bCs/>
                <w:sz w:val="21"/>
                <w:szCs w:val="21"/>
                <w:lang w:bidi="ar"/>
              </w:rPr>
              <w:t>使用汽车维修电子健康档案系统未及时如实填写上传数据的，扣1分/辆次；数据缺失的，扣1分/辆次；累计超过3次不得分。</w:t>
            </w:r>
          </w:p>
        </w:tc>
        <w:tc>
          <w:tcPr>
            <w:tcW w:w="701" w:type="pct"/>
            <w:vAlign w:val="center"/>
          </w:tcPr>
          <w:p>
            <w:pPr>
              <w:widowControl/>
              <w:spacing w:line="260" w:lineRule="exact"/>
              <w:jc w:val="left"/>
              <w:textAlignment w:val="center"/>
              <w:rPr>
                <w:rFonts w:eastAsia="仿宋"/>
                <w:bCs/>
                <w:color w:val="000000"/>
                <w:szCs w:val="21"/>
              </w:rPr>
            </w:pPr>
            <w:r>
              <w:rPr>
                <w:rStyle w:val="25"/>
                <w:rFonts w:eastAsia="仿宋"/>
                <w:bCs/>
                <w:sz w:val="21"/>
                <w:szCs w:val="21"/>
                <w:lang w:bidi="ar"/>
              </w:rPr>
              <w:t>行业内部数据共享</w:t>
            </w:r>
          </w:p>
        </w:tc>
        <w:tc>
          <w:tcPr>
            <w:tcW w:w="235" w:type="pct"/>
            <w:vAlign w:val="center"/>
          </w:tcPr>
          <w:p>
            <w:pPr>
              <w:spacing w:line="260" w:lineRule="exact"/>
              <w:ind w:firstLine="210" w:firstLineChars="100"/>
              <w:rPr>
                <w:rFonts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0" w:type="pct"/>
            <w:vAlign w:val="center"/>
          </w:tcPr>
          <w:p>
            <w:pPr>
              <w:widowControl/>
              <w:spacing w:line="260" w:lineRule="exact"/>
              <w:jc w:val="center"/>
              <w:textAlignment w:val="center"/>
              <w:rPr>
                <w:rStyle w:val="25"/>
                <w:rFonts w:eastAsia="仿宋"/>
                <w:bCs/>
                <w:sz w:val="21"/>
                <w:szCs w:val="21"/>
                <w:lang w:bidi="ar"/>
              </w:rPr>
            </w:pPr>
            <w:r>
              <w:rPr>
                <w:rStyle w:val="25"/>
                <w:rFonts w:eastAsia="仿宋"/>
                <w:bCs/>
                <w:sz w:val="21"/>
                <w:szCs w:val="21"/>
                <w:lang w:bidi="ar"/>
              </w:rPr>
              <w:t>4</w:t>
            </w:r>
          </w:p>
        </w:tc>
        <w:tc>
          <w:tcPr>
            <w:tcW w:w="472" w:type="pct"/>
            <w:vMerge w:val="continue"/>
            <w:vAlign w:val="center"/>
          </w:tcPr>
          <w:p>
            <w:pPr>
              <w:widowControl/>
              <w:spacing w:line="260" w:lineRule="exact"/>
              <w:jc w:val="center"/>
              <w:textAlignment w:val="center"/>
              <w:rPr>
                <w:rStyle w:val="25"/>
                <w:rFonts w:eastAsia="仿宋"/>
                <w:bCs/>
                <w:sz w:val="21"/>
                <w:szCs w:val="21"/>
                <w:lang w:bidi="ar"/>
              </w:rPr>
            </w:pPr>
          </w:p>
        </w:tc>
        <w:tc>
          <w:tcPr>
            <w:tcW w:w="441" w:type="pct"/>
            <w:vAlign w:val="center"/>
          </w:tcPr>
          <w:p>
            <w:pPr>
              <w:widowControl/>
              <w:spacing w:line="260" w:lineRule="exact"/>
              <w:jc w:val="center"/>
              <w:textAlignment w:val="center"/>
              <w:rPr>
                <w:rStyle w:val="25"/>
                <w:rFonts w:eastAsia="仿宋"/>
                <w:bCs/>
                <w:sz w:val="21"/>
                <w:szCs w:val="21"/>
                <w:lang w:bidi="ar"/>
              </w:rPr>
            </w:pPr>
            <w:r>
              <w:rPr>
                <w:rStyle w:val="25"/>
                <w:rFonts w:eastAsia="仿宋"/>
                <w:bCs/>
                <w:sz w:val="21"/>
                <w:szCs w:val="21"/>
                <w:lang w:bidi="ar"/>
              </w:rPr>
              <w:t>服务评价</w:t>
            </w:r>
          </w:p>
        </w:tc>
        <w:tc>
          <w:tcPr>
            <w:tcW w:w="239" w:type="pct"/>
            <w:vAlign w:val="center"/>
          </w:tcPr>
          <w:p>
            <w:pPr>
              <w:widowControl/>
              <w:spacing w:line="260" w:lineRule="exact"/>
              <w:jc w:val="center"/>
              <w:textAlignment w:val="center"/>
              <w:rPr>
                <w:rFonts w:eastAsia="仿宋"/>
                <w:bCs/>
                <w:color w:val="000000"/>
                <w:szCs w:val="21"/>
              </w:rPr>
            </w:pPr>
            <w:r>
              <w:rPr>
                <w:rFonts w:eastAsia="仿宋"/>
                <w:bCs/>
                <w:color w:val="000000"/>
                <w:szCs w:val="21"/>
              </w:rPr>
              <w:t>5</w:t>
            </w:r>
          </w:p>
        </w:tc>
        <w:tc>
          <w:tcPr>
            <w:tcW w:w="2662" w:type="pct"/>
            <w:gridSpan w:val="2"/>
            <w:vAlign w:val="center"/>
          </w:tcPr>
          <w:p>
            <w:pPr>
              <w:widowControl/>
              <w:spacing w:line="260" w:lineRule="exact"/>
              <w:jc w:val="left"/>
              <w:textAlignment w:val="center"/>
              <w:rPr>
                <w:rStyle w:val="25"/>
                <w:rFonts w:eastAsia="仿宋"/>
                <w:bCs/>
                <w:sz w:val="21"/>
                <w:szCs w:val="21"/>
                <w:lang w:bidi="ar"/>
              </w:rPr>
            </w:pPr>
            <w:r>
              <w:rPr>
                <w:rStyle w:val="25"/>
                <w:rFonts w:eastAsia="仿宋"/>
                <w:bCs/>
                <w:sz w:val="21"/>
                <w:szCs w:val="21"/>
                <w:lang w:bidi="ar"/>
              </w:rPr>
              <w:t>未主动邀请车主通过维修电子健康档案系统对维修服务进行评价的，扣1分/辆次，超过3次不得分。</w:t>
            </w:r>
          </w:p>
        </w:tc>
        <w:tc>
          <w:tcPr>
            <w:tcW w:w="701" w:type="pct"/>
            <w:vAlign w:val="center"/>
          </w:tcPr>
          <w:p>
            <w:pPr>
              <w:widowControl/>
              <w:spacing w:line="260" w:lineRule="exact"/>
              <w:jc w:val="left"/>
              <w:textAlignment w:val="center"/>
              <w:rPr>
                <w:rFonts w:eastAsia="仿宋"/>
                <w:bCs/>
                <w:color w:val="000000"/>
                <w:szCs w:val="21"/>
              </w:rPr>
            </w:pPr>
            <w:r>
              <w:rPr>
                <w:rStyle w:val="25"/>
                <w:rFonts w:eastAsia="仿宋"/>
                <w:bCs/>
                <w:sz w:val="21"/>
                <w:szCs w:val="21"/>
                <w:lang w:bidi="ar"/>
              </w:rPr>
              <w:t>行业内部数据共享</w:t>
            </w:r>
          </w:p>
        </w:tc>
        <w:tc>
          <w:tcPr>
            <w:tcW w:w="235" w:type="pct"/>
            <w:vAlign w:val="center"/>
          </w:tcPr>
          <w:p>
            <w:pPr>
              <w:spacing w:line="260" w:lineRule="exact"/>
              <w:ind w:firstLine="210" w:firstLineChars="100"/>
              <w:rPr>
                <w:rFonts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250" w:type="pct"/>
            <w:vAlign w:val="center"/>
          </w:tcPr>
          <w:p>
            <w:pPr>
              <w:widowControl/>
              <w:spacing w:line="260" w:lineRule="exact"/>
              <w:jc w:val="center"/>
              <w:textAlignment w:val="center"/>
              <w:rPr>
                <w:rFonts w:eastAsia="仿宋"/>
                <w:bCs/>
                <w:color w:val="000000"/>
                <w:szCs w:val="21"/>
              </w:rPr>
            </w:pPr>
            <w:r>
              <w:rPr>
                <w:rFonts w:eastAsia="仿宋"/>
                <w:bCs/>
                <w:color w:val="000000"/>
                <w:szCs w:val="21"/>
              </w:rPr>
              <w:t xml:space="preserve">5 </w:t>
            </w:r>
          </w:p>
        </w:tc>
        <w:tc>
          <w:tcPr>
            <w:tcW w:w="472" w:type="pct"/>
            <w:vMerge w:val="restart"/>
            <w:vAlign w:val="center"/>
          </w:tcPr>
          <w:p>
            <w:pPr>
              <w:widowControl/>
              <w:spacing w:line="260" w:lineRule="exact"/>
              <w:jc w:val="center"/>
              <w:textAlignment w:val="center"/>
              <w:rPr>
                <w:rStyle w:val="36"/>
                <w:rFonts w:ascii="Times New Roman" w:eastAsia="仿宋" w:cs="Times New Roman"/>
                <w:b w:val="0"/>
                <w:lang w:bidi="ar"/>
              </w:rPr>
            </w:pPr>
            <w:r>
              <w:rPr>
                <w:rStyle w:val="36"/>
                <w:rFonts w:ascii="Times New Roman" w:eastAsia="仿宋" w:cs="Times New Roman"/>
                <w:b w:val="0"/>
                <w:lang w:bidi="ar"/>
              </w:rPr>
              <w:t>安全生产</w:t>
            </w:r>
          </w:p>
          <w:p>
            <w:pPr>
              <w:widowControl/>
              <w:spacing w:line="260" w:lineRule="exact"/>
              <w:jc w:val="center"/>
              <w:textAlignment w:val="center"/>
              <w:rPr>
                <w:rStyle w:val="25"/>
                <w:rFonts w:eastAsia="仿宋"/>
                <w:bCs/>
                <w:sz w:val="21"/>
                <w:szCs w:val="21"/>
                <w:lang w:bidi="ar"/>
              </w:rPr>
            </w:pPr>
            <w:r>
              <w:rPr>
                <w:rStyle w:val="36"/>
                <w:rFonts w:ascii="Times New Roman" w:eastAsia="仿宋" w:cs="Times New Roman"/>
                <w:b w:val="0"/>
                <w:lang w:bidi="ar"/>
              </w:rPr>
              <w:t>（</w:t>
            </w:r>
            <w:r>
              <w:rPr>
                <w:rStyle w:val="57"/>
                <w:rFonts w:hint="default" w:eastAsia="仿宋"/>
                <w:bCs/>
                <w:sz w:val="21"/>
                <w:szCs w:val="21"/>
                <w:lang w:bidi="ar"/>
              </w:rPr>
              <w:t>30</w:t>
            </w:r>
            <w:r>
              <w:rPr>
                <w:rStyle w:val="36"/>
                <w:rFonts w:ascii="Times New Roman" w:eastAsia="仿宋" w:cs="Times New Roman"/>
                <w:b w:val="0"/>
                <w:lang w:bidi="ar"/>
              </w:rPr>
              <w:t>分）</w:t>
            </w:r>
          </w:p>
        </w:tc>
        <w:tc>
          <w:tcPr>
            <w:tcW w:w="441" w:type="pct"/>
            <w:vAlign w:val="center"/>
          </w:tcPr>
          <w:p>
            <w:pPr>
              <w:widowControl/>
              <w:spacing w:line="260" w:lineRule="exact"/>
              <w:jc w:val="center"/>
              <w:textAlignment w:val="center"/>
              <w:rPr>
                <w:rStyle w:val="25"/>
                <w:rFonts w:eastAsia="仿宋"/>
                <w:bCs/>
                <w:sz w:val="21"/>
                <w:szCs w:val="21"/>
                <w:lang w:bidi="ar"/>
              </w:rPr>
            </w:pPr>
            <w:r>
              <w:rPr>
                <w:rStyle w:val="25"/>
                <w:rFonts w:eastAsia="仿宋"/>
                <w:bCs/>
                <w:sz w:val="21"/>
                <w:szCs w:val="21"/>
                <w:lang w:bidi="ar"/>
              </w:rPr>
              <w:t>制度落实</w:t>
            </w:r>
          </w:p>
        </w:tc>
        <w:tc>
          <w:tcPr>
            <w:tcW w:w="239" w:type="pct"/>
            <w:vAlign w:val="center"/>
          </w:tcPr>
          <w:p>
            <w:pPr>
              <w:widowControl/>
              <w:spacing w:line="260" w:lineRule="exact"/>
              <w:jc w:val="center"/>
              <w:textAlignment w:val="center"/>
              <w:rPr>
                <w:rFonts w:eastAsia="仿宋"/>
                <w:bCs/>
                <w:color w:val="000000"/>
                <w:szCs w:val="21"/>
              </w:rPr>
            </w:pPr>
            <w:r>
              <w:rPr>
                <w:rFonts w:eastAsia="仿宋"/>
                <w:bCs/>
                <w:color w:val="000000"/>
                <w:szCs w:val="21"/>
              </w:rPr>
              <w:t>3</w:t>
            </w:r>
          </w:p>
        </w:tc>
        <w:tc>
          <w:tcPr>
            <w:tcW w:w="2662" w:type="pct"/>
            <w:gridSpan w:val="2"/>
            <w:vAlign w:val="center"/>
          </w:tcPr>
          <w:p>
            <w:pPr>
              <w:widowControl/>
              <w:spacing w:line="260" w:lineRule="exact"/>
              <w:jc w:val="left"/>
              <w:textAlignment w:val="center"/>
              <w:rPr>
                <w:rStyle w:val="25"/>
                <w:rFonts w:eastAsia="仿宋"/>
                <w:bCs/>
                <w:sz w:val="21"/>
                <w:szCs w:val="21"/>
                <w:lang w:bidi="ar"/>
              </w:rPr>
            </w:pPr>
            <w:r>
              <w:rPr>
                <w:rStyle w:val="25"/>
                <w:rFonts w:eastAsia="仿宋"/>
                <w:bCs/>
                <w:sz w:val="21"/>
                <w:szCs w:val="21"/>
                <w:lang w:bidi="ar"/>
              </w:rPr>
              <w:t>未健全安全生产责任制、安全管理制度、安全应急预案的，扣1分/项；超过2项不得分。未按要求落实双重预防机制、安全生产“两单两卡”责任清单的，扣1分/项。</w:t>
            </w:r>
          </w:p>
        </w:tc>
        <w:tc>
          <w:tcPr>
            <w:tcW w:w="701" w:type="pct"/>
            <w:vAlign w:val="center"/>
          </w:tcPr>
          <w:p>
            <w:pPr>
              <w:widowControl/>
              <w:spacing w:line="260" w:lineRule="exact"/>
              <w:jc w:val="left"/>
              <w:textAlignment w:val="center"/>
              <w:rPr>
                <w:rFonts w:eastAsia="仿宋"/>
                <w:bCs/>
                <w:color w:val="000000"/>
                <w:szCs w:val="21"/>
              </w:rPr>
            </w:pPr>
            <w:r>
              <w:rPr>
                <w:rStyle w:val="25"/>
                <w:rFonts w:eastAsia="仿宋"/>
                <w:bCs/>
                <w:sz w:val="21"/>
                <w:szCs w:val="21"/>
                <w:lang w:bidi="ar"/>
              </w:rPr>
              <w:t>行业内部数据共享</w:t>
            </w:r>
          </w:p>
        </w:tc>
        <w:tc>
          <w:tcPr>
            <w:tcW w:w="235" w:type="pct"/>
            <w:vAlign w:val="center"/>
          </w:tcPr>
          <w:p>
            <w:pPr>
              <w:pStyle w:val="13"/>
              <w:spacing w:after="0" w:line="260" w:lineRule="exact"/>
              <w:ind w:left="0" w:leftChars="0" w:firstLine="210" w:firstLineChars="10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50" w:type="pct"/>
            <w:vAlign w:val="center"/>
          </w:tcPr>
          <w:p>
            <w:pPr>
              <w:widowControl/>
              <w:spacing w:line="260" w:lineRule="exact"/>
              <w:jc w:val="center"/>
              <w:textAlignment w:val="center"/>
              <w:rPr>
                <w:rStyle w:val="25"/>
                <w:rFonts w:eastAsia="仿宋"/>
                <w:bCs/>
                <w:sz w:val="21"/>
                <w:szCs w:val="21"/>
                <w:lang w:bidi="ar"/>
              </w:rPr>
            </w:pPr>
            <w:r>
              <w:rPr>
                <w:rStyle w:val="25"/>
                <w:rFonts w:eastAsia="仿宋"/>
                <w:bCs/>
                <w:sz w:val="21"/>
                <w:szCs w:val="21"/>
                <w:lang w:bidi="ar"/>
              </w:rPr>
              <w:t>6</w:t>
            </w:r>
          </w:p>
        </w:tc>
        <w:tc>
          <w:tcPr>
            <w:tcW w:w="472" w:type="pct"/>
            <w:vMerge w:val="continue"/>
            <w:vAlign w:val="center"/>
          </w:tcPr>
          <w:p>
            <w:pPr>
              <w:widowControl/>
              <w:spacing w:line="260" w:lineRule="exact"/>
              <w:jc w:val="center"/>
              <w:textAlignment w:val="center"/>
              <w:rPr>
                <w:rStyle w:val="25"/>
                <w:rFonts w:eastAsia="仿宋"/>
                <w:bCs/>
                <w:sz w:val="21"/>
                <w:szCs w:val="21"/>
                <w:lang w:bidi="ar"/>
              </w:rPr>
            </w:pPr>
          </w:p>
        </w:tc>
        <w:tc>
          <w:tcPr>
            <w:tcW w:w="441" w:type="pct"/>
            <w:vAlign w:val="center"/>
          </w:tcPr>
          <w:p>
            <w:pPr>
              <w:widowControl/>
              <w:spacing w:line="260" w:lineRule="exact"/>
              <w:jc w:val="center"/>
              <w:textAlignment w:val="center"/>
              <w:rPr>
                <w:rStyle w:val="25"/>
                <w:rFonts w:eastAsia="仿宋"/>
                <w:bCs/>
                <w:sz w:val="21"/>
                <w:szCs w:val="21"/>
                <w:lang w:bidi="ar"/>
              </w:rPr>
            </w:pPr>
            <w:r>
              <w:rPr>
                <w:rStyle w:val="25"/>
                <w:rFonts w:eastAsia="仿宋"/>
                <w:bCs/>
                <w:sz w:val="21"/>
                <w:szCs w:val="21"/>
                <w:lang w:bidi="ar"/>
              </w:rPr>
              <w:t>操作规程</w:t>
            </w:r>
          </w:p>
        </w:tc>
        <w:tc>
          <w:tcPr>
            <w:tcW w:w="239" w:type="pct"/>
            <w:vAlign w:val="center"/>
          </w:tcPr>
          <w:p>
            <w:pPr>
              <w:widowControl/>
              <w:spacing w:line="260" w:lineRule="exact"/>
              <w:jc w:val="center"/>
              <w:textAlignment w:val="center"/>
              <w:rPr>
                <w:rFonts w:eastAsia="仿宋"/>
                <w:bCs/>
                <w:color w:val="000000"/>
                <w:kern w:val="0"/>
                <w:szCs w:val="21"/>
                <w:lang w:bidi="ar"/>
              </w:rPr>
            </w:pPr>
            <w:r>
              <w:rPr>
                <w:rFonts w:eastAsia="仿宋"/>
                <w:bCs/>
                <w:color w:val="000000"/>
                <w:kern w:val="0"/>
                <w:szCs w:val="21"/>
                <w:lang w:bidi="ar"/>
              </w:rPr>
              <w:t>2</w:t>
            </w:r>
          </w:p>
        </w:tc>
        <w:tc>
          <w:tcPr>
            <w:tcW w:w="2662" w:type="pct"/>
            <w:gridSpan w:val="2"/>
            <w:vAlign w:val="center"/>
          </w:tcPr>
          <w:p>
            <w:pPr>
              <w:widowControl/>
              <w:spacing w:line="260" w:lineRule="exact"/>
              <w:jc w:val="left"/>
              <w:textAlignment w:val="center"/>
              <w:rPr>
                <w:rStyle w:val="25"/>
                <w:rFonts w:eastAsia="仿宋"/>
                <w:bCs/>
                <w:sz w:val="21"/>
                <w:szCs w:val="21"/>
                <w:lang w:bidi="ar"/>
              </w:rPr>
            </w:pPr>
            <w:r>
              <w:rPr>
                <w:rStyle w:val="25"/>
                <w:rFonts w:eastAsia="仿宋"/>
                <w:bCs/>
                <w:sz w:val="21"/>
                <w:szCs w:val="21"/>
                <w:lang w:bidi="ar"/>
              </w:rPr>
              <w:t>各类机电设备安全操作规程未上墙、技术工人未按操作规程操作的，扣1分/项。</w:t>
            </w:r>
          </w:p>
        </w:tc>
        <w:tc>
          <w:tcPr>
            <w:tcW w:w="701" w:type="pct"/>
            <w:vAlign w:val="center"/>
          </w:tcPr>
          <w:p>
            <w:pPr>
              <w:widowControl/>
              <w:spacing w:line="260" w:lineRule="exact"/>
              <w:jc w:val="left"/>
              <w:textAlignment w:val="center"/>
              <w:rPr>
                <w:rStyle w:val="25"/>
                <w:rFonts w:eastAsia="仿宋"/>
                <w:bCs/>
                <w:sz w:val="21"/>
                <w:szCs w:val="21"/>
                <w:lang w:bidi="ar"/>
              </w:rPr>
            </w:pPr>
            <w:r>
              <w:rPr>
                <w:rStyle w:val="25"/>
                <w:rFonts w:eastAsia="仿宋"/>
                <w:bCs/>
                <w:sz w:val="21"/>
                <w:szCs w:val="21"/>
                <w:lang w:bidi="ar"/>
              </w:rPr>
              <w:t>行业内部数据共享</w:t>
            </w:r>
          </w:p>
        </w:tc>
        <w:tc>
          <w:tcPr>
            <w:tcW w:w="235" w:type="pct"/>
            <w:vAlign w:val="center"/>
          </w:tcPr>
          <w:p>
            <w:pPr>
              <w:spacing w:line="260" w:lineRule="exact"/>
              <w:rPr>
                <w:rFonts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50" w:type="pct"/>
            <w:vAlign w:val="center"/>
          </w:tcPr>
          <w:p>
            <w:pPr>
              <w:widowControl/>
              <w:spacing w:line="260" w:lineRule="exact"/>
              <w:jc w:val="center"/>
              <w:textAlignment w:val="center"/>
              <w:rPr>
                <w:rFonts w:eastAsia="仿宋"/>
                <w:bCs/>
                <w:color w:val="000000"/>
                <w:szCs w:val="21"/>
              </w:rPr>
            </w:pPr>
            <w:r>
              <w:rPr>
                <w:rFonts w:eastAsia="仿宋"/>
                <w:bCs/>
                <w:color w:val="000000"/>
                <w:szCs w:val="21"/>
              </w:rPr>
              <w:t>7</w:t>
            </w:r>
          </w:p>
        </w:tc>
        <w:tc>
          <w:tcPr>
            <w:tcW w:w="472" w:type="pct"/>
            <w:vMerge w:val="continue"/>
            <w:vAlign w:val="center"/>
          </w:tcPr>
          <w:p>
            <w:pPr>
              <w:widowControl/>
              <w:spacing w:line="260" w:lineRule="exact"/>
              <w:jc w:val="center"/>
              <w:textAlignment w:val="center"/>
              <w:rPr>
                <w:rStyle w:val="25"/>
                <w:rFonts w:eastAsia="仿宋"/>
                <w:bCs/>
                <w:sz w:val="21"/>
                <w:szCs w:val="21"/>
                <w:lang w:bidi="ar"/>
              </w:rPr>
            </w:pPr>
          </w:p>
        </w:tc>
        <w:tc>
          <w:tcPr>
            <w:tcW w:w="441" w:type="pct"/>
            <w:vAlign w:val="center"/>
          </w:tcPr>
          <w:p>
            <w:pPr>
              <w:widowControl/>
              <w:spacing w:line="260" w:lineRule="exact"/>
              <w:jc w:val="center"/>
              <w:textAlignment w:val="center"/>
              <w:rPr>
                <w:rStyle w:val="25"/>
                <w:rFonts w:eastAsia="仿宋"/>
                <w:bCs/>
                <w:sz w:val="21"/>
                <w:szCs w:val="21"/>
                <w:lang w:bidi="ar"/>
              </w:rPr>
            </w:pPr>
            <w:r>
              <w:rPr>
                <w:rStyle w:val="25"/>
                <w:rFonts w:eastAsia="仿宋"/>
                <w:bCs/>
                <w:sz w:val="21"/>
                <w:szCs w:val="21"/>
                <w:lang w:bidi="ar"/>
              </w:rPr>
              <w:t>劳动保护</w:t>
            </w:r>
          </w:p>
        </w:tc>
        <w:tc>
          <w:tcPr>
            <w:tcW w:w="239" w:type="pct"/>
            <w:vAlign w:val="center"/>
          </w:tcPr>
          <w:p>
            <w:pPr>
              <w:widowControl/>
              <w:spacing w:line="260" w:lineRule="exact"/>
              <w:jc w:val="center"/>
              <w:textAlignment w:val="center"/>
              <w:rPr>
                <w:rFonts w:eastAsia="仿宋"/>
                <w:bCs/>
                <w:color w:val="000000"/>
                <w:szCs w:val="21"/>
              </w:rPr>
            </w:pPr>
            <w:r>
              <w:rPr>
                <w:rFonts w:eastAsia="仿宋"/>
                <w:bCs/>
                <w:color w:val="000000"/>
                <w:kern w:val="0"/>
                <w:szCs w:val="21"/>
                <w:lang w:bidi="ar"/>
              </w:rPr>
              <w:t>5</w:t>
            </w:r>
          </w:p>
        </w:tc>
        <w:tc>
          <w:tcPr>
            <w:tcW w:w="2662" w:type="pct"/>
            <w:gridSpan w:val="2"/>
            <w:vAlign w:val="center"/>
          </w:tcPr>
          <w:p>
            <w:pPr>
              <w:widowControl/>
              <w:spacing w:line="260" w:lineRule="exact"/>
              <w:jc w:val="left"/>
              <w:textAlignment w:val="center"/>
              <w:rPr>
                <w:rStyle w:val="25"/>
                <w:rFonts w:eastAsia="仿宋"/>
                <w:bCs/>
                <w:sz w:val="21"/>
                <w:szCs w:val="21"/>
                <w:lang w:bidi="ar"/>
              </w:rPr>
            </w:pPr>
            <w:r>
              <w:rPr>
                <w:rStyle w:val="25"/>
                <w:rFonts w:eastAsia="仿宋"/>
                <w:bCs/>
                <w:sz w:val="21"/>
                <w:szCs w:val="21"/>
                <w:lang w:bidi="ar"/>
              </w:rPr>
              <w:t>未按规定为技术人员（钣金、涂漆）配备护听器、眼护具、防尘口罩、防毒护具、防护手套、防护服等劳动防护用品或者技术人员未按规定使用佩戴劳动防护用品的，扣1分/项。</w:t>
            </w:r>
          </w:p>
        </w:tc>
        <w:tc>
          <w:tcPr>
            <w:tcW w:w="701" w:type="pct"/>
            <w:vAlign w:val="center"/>
          </w:tcPr>
          <w:p>
            <w:pPr>
              <w:widowControl/>
              <w:spacing w:line="260" w:lineRule="exact"/>
              <w:jc w:val="left"/>
              <w:textAlignment w:val="center"/>
              <w:rPr>
                <w:rFonts w:eastAsia="仿宋"/>
                <w:bCs/>
                <w:color w:val="000000"/>
                <w:szCs w:val="21"/>
              </w:rPr>
            </w:pPr>
            <w:r>
              <w:rPr>
                <w:rStyle w:val="25"/>
                <w:rFonts w:eastAsia="仿宋"/>
                <w:bCs/>
                <w:sz w:val="21"/>
                <w:szCs w:val="21"/>
                <w:lang w:bidi="ar"/>
              </w:rPr>
              <w:t>行业内部数据共享</w:t>
            </w:r>
          </w:p>
        </w:tc>
        <w:tc>
          <w:tcPr>
            <w:tcW w:w="235" w:type="pct"/>
            <w:vAlign w:val="center"/>
          </w:tcPr>
          <w:p>
            <w:pPr>
              <w:spacing w:line="260" w:lineRule="exact"/>
              <w:rPr>
                <w:rFonts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vAlign w:val="center"/>
          </w:tcPr>
          <w:p>
            <w:pPr>
              <w:widowControl/>
              <w:spacing w:line="260" w:lineRule="exact"/>
              <w:jc w:val="center"/>
              <w:textAlignment w:val="center"/>
              <w:rPr>
                <w:rFonts w:eastAsia="仿宋"/>
                <w:bCs/>
                <w:color w:val="000000"/>
                <w:szCs w:val="21"/>
              </w:rPr>
            </w:pPr>
            <w:r>
              <w:rPr>
                <w:rFonts w:eastAsia="仿宋"/>
                <w:bCs/>
                <w:color w:val="000000"/>
                <w:szCs w:val="21"/>
              </w:rPr>
              <w:t>8</w:t>
            </w:r>
          </w:p>
        </w:tc>
        <w:tc>
          <w:tcPr>
            <w:tcW w:w="472" w:type="pct"/>
            <w:vMerge w:val="continue"/>
            <w:vAlign w:val="center"/>
          </w:tcPr>
          <w:p>
            <w:pPr>
              <w:widowControl/>
              <w:spacing w:line="260" w:lineRule="exact"/>
              <w:jc w:val="center"/>
              <w:textAlignment w:val="center"/>
              <w:rPr>
                <w:rStyle w:val="25"/>
                <w:rFonts w:eastAsia="仿宋"/>
                <w:bCs/>
                <w:sz w:val="21"/>
                <w:szCs w:val="21"/>
                <w:lang w:bidi="ar"/>
              </w:rPr>
            </w:pPr>
          </w:p>
        </w:tc>
        <w:tc>
          <w:tcPr>
            <w:tcW w:w="441" w:type="pct"/>
            <w:vAlign w:val="center"/>
          </w:tcPr>
          <w:p>
            <w:pPr>
              <w:widowControl/>
              <w:spacing w:line="260" w:lineRule="exact"/>
              <w:jc w:val="center"/>
              <w:textAlignment w:val="center"/>
              <w:rPr>
                <w:rStyle w:val="25"/>
                <w:rFonts w:eastAsia="仿宋"/>
                <w:bCs/>
                <w:sz w:val="21"/>
                <w:szCs w:val="21"/>
                <w:lang w:bidi="ar"/>
              </w:rPr>
            </w:pPr>
            <w:r>
              <w:rPr>
                <w:rStyle w:val="25"/>
                <w:rFonts w:eastAsia="仿宋"/>
                <w:bCs/>
                <w:sz w:val="21"/>
                <w:szCs w:val="21"/>
                <w:lang w:bidi="ar"/>
              </w:rPr>
              <w:t>安全事故</w:t>
            </w:r>
          </w:p>
        </w:tc>
        <w:tc>
          <w:tcPr>
            <w:tcW w:w="239" w:type="pct"/>
            <w:vAlign w:val="center"/>
          </w:tcPr>
          <w:p>
            <w:pPr>
              <w:widowControl/>
              <w:spacing w:line="260" w:lineRule="exact"/>
              <w:jc w:val="center"/>
              <w:textAlignment w:val="center"/>
              <w:rPr>
                <w:rFonts w:eastAsia="仿宋"/>
                <w:bCs/>
                <w:color w:val="000000"/>
                <w:szCs w:val="21"/>
              </w:rPr>
            </w:pPr>
            <w:r>
              <w:rPr>
                <w:rFonts w:eastAsia="仿宋"/>
                <w:bCs/>
                <w:color w:val="000000"/>
                <w:kern w:val="0"/>
                <w:szCs w:val="21"/>
                <w:lang w:bidi="ar"/>
              </w:rPr>
              <w:t>20</w:t>
            </w:r>
          </w:p>
        </w:tc>
        <w:tc>
          <w:tcPr>
            <w:tcW w:w="2662" w:type="pct"/>
            <w:gridSpan w:val="2"/>
            <w:vAlign w:val="center"/>
          </w:tcPr>
          <w:p>
            <w:pPr>
              <w:widowControl/>
              <w:spacing w:line="260" w:lineRule="exact"/>
              <w:jc w:val="left"/>
              <w:textAlignment w:val="center"/>
              <w:rPr>
                <w:rStyle w:val="25"/>
                <w:rFonts w:eastAsia="仿宋"/>
                <w:bCs/>
                <w:sz w:val="21"/>
                <w:szCs w:val="21"/>
                <w:lang w:bidi="ar"/>
              </w:rPr>
            </w:pPr>
            <w:r>
              <w:rPr>
                <w:rStyle w:val="25"/>
                <w:rFonts w:eastAsia="仿宋"/>
                <w:bCs/>
                <w:sz w:val="21"/>
                <w:szCs w:val="21"/>
                <w:lang w:bidi="ar"/>
              </w:rPr>
              <w:t>发生生产安全责任事故或者维修质量责任事故的，扣10分/起。发生拖延报告亡人事故的，扣5分/次；发生瞒报、谎报亡人事故的，扣10分/次。</w:t>
            </w:r>
          </w:p>
        </w:tc>
        <w:tc>
          <w:tcPr>
            <w:tcW w:w="701" w:type="pct"/>
            <w:vAlign w:val="center"/>
          </w:tcPr>
          <w:p>
            <w:pPr>
              <w:widowControl/>
              <w:spacing w:line="260" w:lineRule="exact"/>
              <w:jc w:val="left"/>
              <w:textAlignment w:val="center"/>
              <w:rPr>
                <w:rFonts w:eastAsia="仿宋"/>
                <w:bCs/>
                <w:color w:val="000000"/>
                <w:szCs w:val="21"/>
              </w:rPr>
            </w:pPr>
            <w:r>
              <w:rPr>
                <w:rStyle w:val="25"/>
                <w:rFonts w:eastAsia="仿宋"/>
                <w:bCs/>
                <w:sz w:val="21"/>
                <w:szCs w:val="21"/>
                <w:lang w:bidi="ar"/>
              </w:rPr>
              <w:t>行业内部数据共享，公安部门、应急管理局等提供信息</w:t>
            </w:r>
          </w:p>
        </w:tc>
        <w:tc>
          <w:tcPr>
            <w:tcW w:w="235" w:type="pct"/>
          </w:tcPr>
          <w:p>
            <w:pPr>
              <w:spacing w:line="260" w:lineRule="exact"/>
              <w:ind w:firstLine="210" w:firstLineChars="100"/>
              <w:rPr>
                <w:rFonts w:eastAsia="方正仿宋_GBK"/>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50" w:type="pct"/>
            <w:vAlign w:val="center"/>
          </w:tcPr>
          <w:p>
            <w:pPr>
              <w:widowControl/>
              <w:spacing w:line="260" w:lineRule="exact"/>
              <w:jc w:val="center"/>
              <w:textAlignment w:val="center"/>
              <w:rPr>
                <w:rFonts w:eastAsia="仿宋"/>
                <w:bCs/>
                <w:color w:val="000000"/>
                <w:sz w:val="20"/>
              </w:rPr>
            </w:pPr>
            <w:r>
              <w:rPr>
                <w:rFonts w:eastAsia="仿宋"/>
                <w:bCs/>
                <w:color w:val="000000"/>
                <w:sz w:val="20"/>
              </w:rPr>
              <w:t>9</w:t>
            </w:r>
          </w:p>
        </w:tc>
        <w:tc>
          <w:tcPr>
            <w:tcW w:w="472" w:type="pct"/>
            <w:vMerge w:val="restart"/>
            <w:vAlign w:val="center"/>
          </w:tcPr>
          <w:p>
            <w:pPr>
              <w:widowControl/>
              <w:spacing w:line="260" w:lineRule="exact"/>
              <w:jc w:val="center"/>
              <w:textAlignment w:val="center"/>
              <w:rPr>
                <w:rStyle w:val="36"/>
                <w:rFonts w:ascii="Times New Roman" w:eastAsia="仿宋" w:cs="Times New Roman"/>
                <w:b w:val="0"/>
                <w:lang w:bidi="ar"/>
              </w:rPr>
            </w:pPr>
            <w:r>
              <w:rPr>
                <w:rStyle w:val="36"/>
                <w:rFonts w:ascii="Times New Roman" w:eastAsia="仿宋" w:cs="Times New Roman"/>
                <w:b w:val="0"/>
                <w:lang w:bidi="ar"/>
              </w:rPr>
              <w:t>服务质量</w:t>
            </w:r>
          </w:p>
          <w:p>
            <w:pPr>
              <w:widowControl/>
              <w:spacing w:line="260" w:lineRule="exact"/>
              <w:jc w:val="center"/>
              <w:textAlignment w:val="center"/>
              <w:rPr>
                <w:rStyle w:val="25"/>
                <w:rFonts w:eastAsia="仿宋"/>
                <w:bCs/>
                <w:lang w:bidi="ar"/>
              </w:rPr>
            </w:pPr>
            <w:r>
              <w:rPr>
                <w:rStyle w:val="36"/>
                <w:rFonts w:ascii="Times New Roman" w:eastAsia="仿宋" w:cs="Times New Roman"/>
                <w:b w:val="0"/>
                <w:lang w:bidi="ar"/>
              </w:rPr>
              <w:t>（20分）</w:t>
            </w:r>
          </w:p>
        </w:tc>
        <w:tc>
          <w:tcPr>
            <w:tcW w:w="441" w:type="pct"/>
            <w:vAlign w:val="center"/>
          </w:tcPr>
          <w:p>
            <w:pPr>
              <w:widowControl/>
              <w:spacing w:line="260" w:lineRule="exact"/>
              <w:jc w:val="center"/>
              <w:textAlignment w:val="center"/>
              <w:rPr>
                <w:rStyle w:val="25"/>
                <w:rFonts w:eastAsia="仿宋"/>
                <w:bCs/>
                <w:sz w:val="21"/>
                <w:szCs w:val="21"/>
                <w:lang w:bidi="ar"/>
              </w:rPr>
            </w:pPr>
            <w:r>
              <w:rPr>
                <w:rStyle w:val="25"/>
                <w:rFonts w:eastAsia="仿宋"/>
                <w:bCs/>
                <w:sz w:val="21"/>
                <w:szCs w:val="21"/>
                <w:lang w:bidi="ar"/>
              </w:rPr>
              <w:t>业务受理</w:t>
            </w:r>
          </w:p>
        </w:tc>
        <w:tc>
          <w:tcPr>
            <w:tcW w:w="239" w:type="pct"/>
            <w:vAlign w:val="center"/>
          </w:tcPr>
          <w:p>
            <w:pPr>
              <w:widowControl/>
              <w:spacing w:line="260" w:lineRule="exact"/>
              <w:jc w:val="center"/>
              <w:textAlignment w:val="center"/>
              <w:rPr>
                <w:rFonts w:eastAsia="仿宋"/>
                <w:bCs/>
                <w:color w:val="000000"/>
                <w:sz w:val="20"/>
              </w:rPr>
            </w:pPr>
            <w:r>
              <w:rPr>
                <w:rFonts w:eastAsia="仿宋"/>
                <w:bCs/>
                <w:color w:val="000000"/>
                <w:sz w:val="20"/>
              </w:rPr>
              <w:t>5</w:t>
            </w:r>
          </w:p>
        </w:tc>
        <w:tc>
          <w:tcPr>
            <w:tcW w:w="2662" w:type="pct"/>
            <w:gridSpan w:val="2"/>
            <w:vAlign w:val="center"/>
          </w:tcPr>
          <w:p>
            <w:pPr>
              <w:widowControl/>
              <w:spacing w:line="260" w:lineRule="exact"/>
              <w:jc w:val="left"/>
              <w:textAlignment w:val="center"/>
              <w:rPr>
                <w:rStyle w:val="25"/>
                <w:rFonts w:eastAsia="仿宋"/>
                <w:bCs/>
                <w:sz w:val="21"/>
                <w:szCs w:val="21"/>
                <w:lang w:bidi="ar"/>
              </w:rPr>
            </w:pPr>
            <w:r>
              <w:rPr>
                <w:rStyle w:val="25"/>
                <w:rFonts w:eastAsia="仿宋"/>
                <w:bCs/>
                <w:sz w:val="21"/>
                <w:szCs w:val="21"/>
                <w:lang w:bidi="ar"/>
              </w:rPr>
              <w:t>未建立业务受理程序、服务质量承诺、客户抱怨受理程序、维修质量保证期制度的，扣1分/项；未提供汽车紧急维修救援服务时间、电话、收费标准的，扣1分/项，累计超过3项不得分。</w:t>
            </w:r>
          </w:p>
        </w:tc>
        <w:tc>
          <w:tcPr>
            <w:tcW w:w="701" w:type="pct"/>
            <w:vAlign w:val="center"/>
          </w:tcPr>
          <w:p>
            <w:pPr>
              <w:widowControl/>
              <w:spacing w:line="260" w:lineRule="exact"/>
              <w:jc w:val="left"/>
              <w:textAlignment w:val="center"/>
              <w:rPr>
                <w:rFonts w:eastAsia="仿宋"/>
                <w:bCs/>
                <w:color w:val="000000"/>
                <w:sz w:val="20"/>
              </w:rPr>
            </w:pPr>
            <w:r>
              <w:rPr>
                <w:rStyle w:val="25"/>
                <w:rFonts w:eastAsia="仿宋"/>
                <w:bCs/>
                <w:lang w:bidi="ar"/>
              </w:rPr>
              <w:t>消费者投诉，行业内部数据共享</w:t>
            </w:r>
          </w:p>
        </w:tc>
        <w:tc>
          <w:tcPr>
            <w:tcW w:w="235" w:type="pct"/>
            <w:vAlign w:val="center"/>
          </w:tcPr>
          <w:p>
            <w:pPr>
              <w:spacing w:line="260" w:lineRule="exact"/>
              <w:ind w:firstLine="200" w:firstLineChars="100"/>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0" w:type="pct"/>
            <w:vAlign w:val="center"/>
          </w:tcPr>
          <w:p>
            <w:pPr>
              <w:widowControl/>
              <w:spacing w:line="260" w:lineRule="exact"/>
              <w:jc w:val="center"/>
              <w:textAlignment w:val="center"/>
              <w:rPr>
                <w:rFonts w:eastAsia="仿宋"/>
                <w:bCs/>
                <w:color w:val="000000"/>
                <w:sz w:val="20"/>
              </w:rPr>
            </w:pPr>
            <w:r>
              <w:rPr>
                <w:rFonts w:eastAsia="仿宋"/>
                <w:bCs/>
                <w:color w:val="000000"/>
                <w:sz w:val="20"/>
              </w:rPr>
              <w:t>10</w:t>
            </w:r>
          </w:p>
        </w:tc>
        <w:tc>
          <w:tcPr>
            <w:tcW w:w="472" w:type="pct"/>
            <w:vMerge w:val="continue"/>
            <w:vAlign w:val="center"/>
          </w:tcPr>
          <w:p>
            <w:pPr>
              <w:widowControl/>
              <w:spacing w:line="260" w:lineRule="exact"/>
              <w:jc w:val="center"/>
              <w:textAlignment w:val="center"/>
              <w:rPr>
                <w:rStyle w:val="25"/>
                <w:rFonts w:eastAsia="仿宋"/>
                <w:bCs/>
                <w:lang w:bidi="ar"/>
              </w:rPr>
            </w:pPr>
          </w:p>
        </w:tc>
        <w:tc>
          <w:tcPr>
            <w:tcW w:w="441" w:type="pct"/>
            <w:vAlign w:val="center"/>
          </w:tcPr>
          <w:p>
            <w:pPr>
              <w:widowControl/>
              <w:spacing w:line="260" w:lineRule="exact"/>
              <w:jc w:val="center"/>
              <w:textAlignment w:val="center"/>
              <w:rPr>
                <w:rStyle w:val="25"/>
                <w:rFonts w:eastAsia="仿宋"/>
                <w:bCs/>
                <w:sz w:val="21"/>
                <w:szCs w:val="21"/>
                <w:lang w:bidi="ar"/>
              </w:rPr>
            </w:pPr>
            <w:r>
              <w:rPr>
                <w:rStyle w:val="25"/>
                <w:rFonts w:eastAsia="仿宋"/>
                <w:bCs/>
                <w:sz w:val="21"/>
                <w:szCs w:val="21"/>
                <w:lang w:bidi="ar"/>
              </w:rPr>
              <w:t>价格公示</w:t>
            </w:r>
          </w:p>
        </w:tc>
        <w:tc>
          <w:tcPr>
            <w:tcW w:w="239" w:type="pct"/>
            <w:vAlign w:val="center"/>
          </w:tcPr>
          <w:p>
            <w:pPr>
              <w:widowControl/>
              <w:spacing w:line="260" w:lineRule="exact"/>
              <w:jc w:val="center"/>
              <w:textAlignment w:val="center"/>
              <w:rPr>
                <w:rFonts w:eastAsia="仿宋"/>
                <w:bCs/>
                <w:color w:val="000000"/>
                <w:sz w:val="20"/>
              </w:rPr>
            </w:pPr>
            <w:r>
              <w:rPr>
                <w:rFonts w:eastAsia="仿宋"/>
                <w:bCs/>
                <w:color w:val="000000"/>
                <w:kern w:val="0"/>
                <w:sz w:val="20"/>
                <w:lang w:bidi="ar"/>
              </w:rPr>
              <w:t>5</w:t>
            </w:r>
          </w:p>
        </w:tc>
        <w:tc>
          <w:tcPr>
            <w:tcW w:w="2662" w:type="pct"/>
            <w:gridSpan w:val="2"/>
            <w:vAlign w:val="center"/>
          </w:tcPr>
          <w:p>
            <w:pPr>
              <w:widowControl/>
              <w:spacing w:line="260" w:lineRule="exact"/>
              <w:jc w:val="left"/>
              <w:textAlignment w:val="center"/>
              <w:rPr>
                <w:rStyle w:val="25"/>
                <w:rFonts w:eastAsia="仿宋"/>
                <w:bCs/>
                <w:sz w:val="21"/>
                <w:szCs w:val="21"/>
                <w:lang w:bidi="ar"/>
              </w:rPr>
            </w:pPr>
            <w:r>
              <w:rPr>
                <w:rStyle w:val="25"/>
                <w:rFonts w:eastAsia="仿宋"/>
                <w:bCs/>
                <w:sz w:val="21"/>
                <w:szCs w:val="21"/>
                <w:lang w:bidi="ar"/>
              </w:rPr>
              <w:t>未在醒目位置公示经过备案的主要维修项目收费价格、维修工时定额、工时单价、常用配件现行价格的，扣1分/项；超过3项不得分。</w:t>
            </w:r>
          </w:p>
        </w:tc>
        <w:tc>
          <w:tcPr>
            <w:tcW w:w="701" w:type="pct"/>
            <w:vAlign w:val="center"/>
          </w:tcPr>
          <w:p>
            <w:pPr>
              <w:widowControl/>
              <w:spacing w:line="260" w:lineRule="exact"/>
              <w:jc w:val="left"/>
              <w:textAlignment w:val="center"/>
              <w:rPr>
                <w:rFonts w:eastAsia="仿宋"/>
                <w:bCs/>
                <w:color w:val="000000"/>
                <w:sz w:val="20"/>
              </w:rPr>
            </w:pPr>
            <w:r>
              <w:rPr>
                <w:rStyle w:val="25"/>
                <w:rFonts w:eastAsia="仿宋"/>
                <w:bCs/>
                <w:lang w:bidi="ar"/>
              </w:rPr>
              <w:t>消费者投诉，行业内部数据共享</w:t>
            </w:r>
          </w:p>
        </w:tc>
        <w:tc>
          <w:tcPr>
            <w:tcW w:w="235" w:type="pct"/>
            <w:vAlign w:val="center"/>
          </w:tcPr>
          <w:p>
            <w:pPr>
              <w:spacing w:line="260" w:lineRule="exact"/>
              <w:ind w:firstLine="200" w:firstLineChars="100"/>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0" w:type="pct"/>
            <w:vAlign w:val="center"/>
          </w:tcPr>
          <w:p>
            <w:pPr>
              <w:widowControl/>
              <w:spacing w:line="260" w:lineRule="exact"/>
              <w:jc w:val="center"/>
              <w:textAlignment w:val="center"/>
              <w:rPr>
                <w:rFonts w:eastAsia="仿宋"/>
                <w:bCs/>
                <w:color w:val="000000"/>
                <w:sz w:val="20"/>
              </w:rPr>
            </w:pPr>
            <w:r>
              <w:rPr>
                <w:rFonts w:eastAsia="仿宋"/>
                <w:bCs/>
                <w:color w:val="000000"/>
                <w:sz w:val="20"/>
              </w:rPr>
              <w:t>11</w:t>
            </w:r>
          </w:p>
        </w:tc>
        <w:tc>
          <w:tcPr>
            <w:tcW w:w="472" w:type="pct"/>
            <w:vMerge w:val="continue"/>
            <w:vAlign w:val="center"/>
          </w:tcPr>
          <w:p>
            <w:pPr>
              <w:widowControl/>
              <w:spacing w:line="260" w:lineRule="exact"/>
              <w:jc w:val="center"/>
              <w:textAlignment w:val="center"/>
              <w:rPr>
                <w:rFonts w:eastAsia="仿宋"/>
                <w:bCs/>
                <w:color w:val="000000"/>
                <w:sz w:val="20"/>
              </w:rPr>
            </w:pPr>
          </w:p>
        </w:tc>
        <w:tc>
          <w:tcPr>
            <w:tcW w:w="441" w:type="pct"/>
            <w:vAlign w:val="center"/>
          </w:tcPr>
          <w:p>
            <w:pPr>
              <w:widowControl/>
              <w:spacing w:line="260" w:lineRule="exact"/>
              <w:jc w:val="center"/>
              <w:textAlignment w:val="center"/>
              <w:rPr>
                <w:rStyle w:val="25"/>
                <w:rFonts w:eastAsia="仿宋"/>
                <w:bCs/>
                <w:sz w:val="21"/>
                <w:szCs w:val="21"/>
                <w:lang w:bidi="ar"/>
              </w:rPr>
            </w:pPr>
            <w:r>
              <w:rPr>
                <w:rStyle w:val="25"/>
                <w:rFonts w:eastAsia="仿宋"/>
                <w:bCs/>
                <w:sz w:val="21"/>
                <w:szCs w:val="21"/>
                <w:lang w:bidi="ar"/>
              </w:rPr>
              <w:t>服务流程</w:t>
            </w:r>
          </w:p>
        </w:tc>
        <w:tc>
          <w:tcPr>
            <w:tcW w:w="239" w:type="pct"/>
            <w:vAlign w:val="center"/>
          </w:tcPr>
          <w:p>
            <w:pPr>
              <w:widowControl/>
              <w:spacing w:line="260" w:lineRule="exact"/>
              <w:jc w:val="center"/>
              <w:textAlignment w:val="center"/>
              <w:rPr>
                <w:rFonts w:eastAsia="仿宋"/>
                <w:bCs/>
                <w:color w:val="000000"/>
                <w:sz w:val="20"/>
              </w:rPr>
            </w:pPr>
            <w:r>
              <w:rPr>
                <w:rFonts w:eastAsia="仿宋"/>
                <w:bCs/>
                <w:color w:val="000000"/>
                <w:sz w:val="20"/>
              </w:rPr>
              <w:t>5</w:t>
            </w:r>
          </w:p>
        </w:tc>
        <w:tc>
          <w:tcPr>
            <w:tcW w:w="2662" w:type="pct"/>
            <w:gridSpan w:val="2"/>
            <w:vAlign w:val="center"/>
          </w:tcPr>
          <w:p>
            <w:pPr>
              <w:widowControl/>
              <w:spacing w:line="260" w:lineRule="exact"/>
              <w:jc w:val="left"/>
              <w:textAlignment w:val="center"/>
              <w:rPr>
                <w:rStyle w:val="25"/>
                <w:rFonts w:eastAsia="仿宋"/>
                <w:bCs/>
                <w:sz w:val="21"/>
                <w:szCs w:val="21"/>
                <w:lang w:bidi="ar"/>
              </w:rPr>
            </w:pPr>
            <w:r>
              <w:rPr>
                <w:rStyle w:val="25"/>
                <w:rFonts w:eastAsia="仿宋"/>
                <w:bCs/>
                <w:sz w:val="21"/>
                <w:szCs w:val="21"/>
                <w:lang w:bidi="ar"/>
              </w:rPr>
              <w:t>未建立客户维修接待、进厂检验、签订合同、维修作业与过程检验、竣工检验、结算交车、返修处理、跟踪服务等制度的，扣1分/项；超过3项不得分。</w:t>
            </w:r>
          </w:p>
        </w:tc>
        <w:tc>
          <w:tcPr>
            <w:tcW w:w="701" w:type="pct"/>
            <w:vAlign w:val="center"/>
          </w:tcPr>
          <w:p>
            <w:pPr>
              <w:widowControl/>
              <w:spacing w:line="260" w:lineRule="exact"/>
              <w:jc w:val="left"/>
              <w:textAlignment w:val="center"/>
              <w:rPr>
                <w:rFonts w:eastAsia="仿宋"/>
                <w:bCs/>
                <w:color w:val="000000"/>
                <w:sz w:val="20"/>
              </w:rPr>
            </w:pPr>
            <w:r>
              <w:rPr>
                <w:rStyle w:val="25"/>
                <w:rFonts w:eastAsia="仿宋"/>
                <w:bCs/>
                <w:lang w:bidi="ar"/>
              </w:rPr>
              <w:t>消费者投诉，行业内部数据共享</w:t>
            </w:r>
          </w:p>
        </w:tc>
        <w:tc>
          <w:tcPr>
            <w:tcW w:w="235" w:type="pct"/>
            <w:vAlign w:val="center"/>
          </w:tcPr>
          <w:p>
            <w:pPr>
              <w:spacing w:line="260" w:lineRule="exact"/>
              <w:ind w:firstLine="200" w:firstLineChars="100"/>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0" w:type="pct"/>
            <w:vAlign w:val="center"/>
          </w:tcPr>
          <w:p>
            <w:pPr>
              <w:widowControl/>
              <w:spacing w:line="260" w:lineRule="exact"/>
              <w:jc w:val="center"/>
              <w:textAlignment w:val="center"/>
              <w:rPr>
                <w:rFonts w:eastAsia="仿宋"/>
                <w:bCs/>
                <w:color w:val="000000"/>
                <w:sz w:val="20"/>
              </w:rPr>
            </w:pPr>
            <w:r>
              <w:rPr>
                <w:rFonts w:eastAsia="仿宋"/>
                <w:bCs/>
                <w:color w:val="000000"/>
                <w:sz w:val="20"/>
              </w:rPr>
              <w:t>12</w:t>
            </w:r>
          </w:p>
        </w:tc>
        <w:tc>
          <w:tcPr>
            <w:tcW w:w="472" w:type="pct"/>
            <w:vMerge w:val="continue"/>
            <w:vAlign w:val="center"/>
          </w:tcPr>
          <w:p>
            <w:pPr>
              <w:widowControl/>
              <w:spacing w:line="260" w:lineRule="exact"/>
              <w:jc w:val="center"/>
              <w:textAlignment w:val="center"/>
              <w:rPr>
                <w:rFonts w:eastAsia="仿宋"/>
                <w:bCs/>
                <w:color w:val="000000"/>
                <w:sz w:val="20"/>
              </w:rPr>
            </w:pPr>
          </w:p>
        </w:tc>
        <w:tc>
          <w:tcPr>
            <w:tcW w:w="441" w:type="pct"/>
            <w:vAlign w:val="center"/>
          </w:tcPr>
          <w:p>
            <w:pPr>
              <w:widowControl/>
              <w:spacing w:line="260" w:lineRule="exact"/>
              <w:jc w:val="center"/>
              <w:textAlignment w:val="center"/>
              <w:rPr>
                <w:rStyle w:val="25"/>
                <w:rFonts w:eastAsia="仿宋"/>
                <w:bCs/>
                <w:sz w:val="21"/>
                <w:szCs w:val="21"/>
                <w:lang w:bidi="ar"/>
              </w:rPr>
            </w:pPr>
            <w:r>
              <w:rPr>
                <w:rStyle w:val="25"/>
                <w:rFonts w:eastAsia="仿宋"/>
                <w:bCs/>
                <w:sz w:val="21"/>
                <w:szCs w:val="21"/>
                <w:lang w:bidi="ar"/>
              </w:rPr>
              <w:t>配件管理</w:t>
            </w:r>
          </w:p>
        </w:tc>
        <w:tc>
          <w:tcPr>
            <w:tcW w:w="239" w:type="pct"/>
            <w:vAlign w:val="center"/>
          </w:tcPr>
          <w:p>
            <w:pPr>
              <w:widowControl/>
              <w:spacing w:line="260" w:lineRule="exact"/>
              <w:jc w:val="center"/>
              <w:textAlignment w:val="center"/>
              <w:rPr>
                <w:rFonts w:eastAsia="仿宋"/>
                <w:bCs/>
                <w:color w:val="000000"/>
                <w:sz w:val="20"/>
              </w:rPr>
            </w:pPr>
            <w:r>
              <w:rPr>
                <w:rFonts w:eastAsia="仿宋"/>
                <w:bCs/>
                <w:color w:val="000000"/>
                <w:sz w:val="20"/>
              </w:rPr>
              <w:t>5</w:t>
            </w:r>
          </w:p>
        </w:tc>
        <w:tc>
          <w:tcPr>
            <w:tcW w:w="2662" w:type="pct"/>
            <w:gridSpan w:val="2"/>
            <w:vAlign w:val="center"/>
          </w:tcPr>
          <w:p>
            <w:pPr>
              <w:widowControl/>
              <w:spacing w:line="260" w:lineRule="exact"/>
              <w:jc w:val="left"/>
              <w:textAlignment w:val="center"/>
              <w:rPr>
                <w:rStyle w:val="25"/>
                <w:rFonts w:eastAsia="仿宋"/>
                <w:bCs/>
                <w:sz w:val="21"/>
                <w:szCs w:val="21"/>
                <w:lang w:bidi="ar"/>
              </w:rPr>
            </w:pPr>
            <w:r>
              <w:rPr>
                <w:rStyle w:val="25"/>
                <w:rFonts w:eastAsia="仿宋"/>
                <w:bCs/>
                <w:sz w:val="21"/>
                <w:szCs w:val="21"/>
                <w:lang w:bidi="ar"/>
              </w:rPr>
              <w:t>未建立采购配件登记制度、进行配件验收、查验产品合格证的，不得分；配件登记卡缺厂名、地址、配件名称、规格型号等信息的，扣2分/项。</w:t>
            </w:r>
          </w:p>
        </w:tc>
        <w:tc>
          <w:tcPr>
            <w:tcW w:w="701" w:type="pct"/>
            <w:vAlign w:val="center"/>
          </w:tcPr>
          <w:p>
            <w:pPr>
              <w:widowControl/>
              <w:spacing w:line="260" w:lineRule="exact"/>
              <w:jc w:val="left"/>
              <w:textAlignment w:val="center"/>
              <w:rPr>
                <w:rFonts w:eastAsia="仿宋"/>
                <w:bCs/>
                <w:color w:val="000000"/>
                <w:sz w:val="20"/>
              </w:rPr>
            </w:pPr>
            <w:r>
              <w:rPr>
                <w:rStyle w:val="25"/>
                <w:rFonts w:eastAsia="仿宋"/>
                <w:bCs/>
                <w:lang w:bidi="ar"/>
              </w:rPr>
              <w:t>消费者投诉，行业内部数据共享</w:t>
            </w:r>
          </w:p>
        </w:tc>
        <w:tc>
          <w:tcPr>
            <w:tcW w:w="235" w:type="pct"/>
            <w:vAlign w:val="center"/>
          </w:tcPr>
          <w:p>
            <w:pPr>
              <w:spacing w:line="260" w:lineRule="exact"/>
              <w:ind w:firstLine="200" w:firstLineChars="100"/>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50" w:type="pct"/>
            <w:vAlign w:val="center"/>
          </w:tcPr>
          <w:p>
            <w:pPr>
              <w:widowControl/>
              <w:spacing w:line="260" w:lineRule="exact"/>
              <w:jc w:val="center"/>
              <w:textAlignment w:val="center"/>
              <w:rPr>
                <w:rStyle w:val="25"/>
                <w:rFonts w:eastAsia="仿宋"/>
                <w:bCs/>
                <w:lang w:bidi="ar"/>
              </w:rPr>
            </w:pPr>
            <w:r>
              <w:rPr>
                <w:rFonts w:eastAsia="仿宋"/>
                <w:bCs/>
                <w:color w:val="000000"/>
                <w:sz w:val="20"/>
              </w:rPr>
              <w:t>13</w:t>
            </w:r>
          </w:p>
        </w:tc>
        <w:tc>
          <w:tcPr>
            <w:tcW w:w="472" w:type="pct"/>
            <w:vMerge w:val="restart"/>
            <w:vAlign w:val="center"/>
          </w:tcPr>
          <w:p>
            <w:pPr>
              <w:widowControl/>
              <w:spacing w:line="260" w:lineRule="exact"/>
              <w:jc w:val="center"/>
              <w:textAlignment w:val="center"/>
              <w:rPr>
                <w:rStyle w:val="36"/>
                <w:rFonts w:ascii="Times New Roman" w:eastAsia="仿宋" w:cs="Times New Roman"/>
                <w:b w:val="0"/>
                <w:lang w:bidi="ar"/>
              </w:rPr>
            </w:pPr>
            <w:r>
              <w:rPr>
                <w:rStyle w:val="36"/>
                <w:rFonts w:ascii="Times New Roman" w:eastAsia="仿宋" w:cs="Times New Roman"/>
                <w:b w:val="0"/>
                <w:lang w:bidi="ar"/>
              </w:rPr>
              <w:t>社会责任</w:t>
            </w:r>
          </w:p>
          <w:p>
            <w:pPr>
              <w:widowControl/>
              <w:spacing w:line="260" w:lineRule="exact"/>
              <w:jc w:val="center"/>
              <w:textAlignment w:val="center"/>
              <w:rPr>
                <w:rStyle w:val="25"/>
                <w:rFonts w:eastAsia="仿宋"/>
                <w:bCs/>
                <w:lang w:bidi="ar"/>
              </w:rPr>
            </w:pPr>
            <w:r>
              <w:rPr>
                <w:rStyle w:val="36"/>
                <w:rFonts w:ascii="Times New Roman" w:eastAsia="仿宋" w:cs="Times New Roman"/>
                <w:b w:val="0"/>
                <w:lang w:bidi="ar"/>
              </w:rPr>
              <w:t>（25分）</w:t>
            </w:r>
          </w:p>
        </w:tc>
        <w:tc>
          <w:tcPr>
            <w:tcW w:w="441" w:type="pct"/>
            <w:vAlign w:val="center"/>
          </w:tcPr>
          <w:p>
            <w:pPr>
              <w:widowControl/>
              <w:spacing w:line="260" w:lineRule="exact"/>
              <w:jc w:val="center"/>
              <w:textAlignment w:val="center"/>
              <w:rPr>
                <w:rStyle w:val="25"/>
                <w:rFonts w:eastAsia="仿宋"/>
                <w:bCs/>
                <w:sz w:val="21"/>
                <w:szCs w:val="21"/>
                <w:lang w:bidi="ar"/>
              </w:rPr>
            </w:pPr>
            <w:r>
              <w:rPr>
                <w:rStyle w:val="25"/>
                <w:rFonts w:eastAsia="仿宋"/>
                <w:bCs/>
                <w:sz w:val="21"/>
                <w:szCs w:val="21"/>
                <w:lang w:bidi="ar"/>
              </w:rPr>
              <w:t>监督管理</w:t>
            </w:r>
          </w:p>
        </w:tc>
        <w:tc>
          <w:tcPr>
            <w:tcW w:w="239" w:type="pct"/>
            <w:vAlign w:val="center"/>
          </w:tcPr>
          <w:p>
            <w:pPr>
              <w:widowControl/>
              <w:spacing w:line="260" w:lineRule="exact"/>
              <w:jc w:val="center"/>
              <w:textAlignment w:val="center"/>
              <w:rPr>
                <w:rFonts w:eastAsia="仿宋"/>
                <w:bCs/>
                <w:color w:val="000000"/>
                <w:sz w:val="20"/>
              </w:rPr>
            </w:pPr>
            <w:r>
              <w:rPr>
                <w:rFonts w:eastAsia="仿宋"/>
                <w:bCs/>
                <w:color w:val="000000"/>
                <w:kern w:val="0"/>
                <w:sz w:val="20"/>
                <w:lang w:bidi="ar"/>
              </w:rPr>
              <w:t>5</w:t>
            </w:r>
          </w:p>
        </w:tc>
        <w:tc>
          <w:tcPr>
            <w:tcW w:w="2662" w:type="pct"/>
            <w:gridSpan w:val="2"/>
            <w:vAlign w:val="center"/>
          </w:tcPr>
          <w:p>
            <w:pPr>
              <w:widowControl/>
              <w:spacing w:line="260" w:lineRule="exact"/>
              <w:jc w:val="left"/>
              <w:textAlignment w:val="center"/>
              <w:rPr>
                <w:rFonts w:eastAsia="仿宋"/>
                <w:bCs/>
                <w:color w:val="000000"/>
                <w:szCs w:val="21"/>
                <w:lang w:bidi="ar"/>
              </w:rPr>
            </w:pPr>
            <w:r>
              <w:rPr>
                <w:rStyle w:val="25"/>
                <w:rFonts w:eastAsia="仿宋"/>
                <w:bCs/>
                <w:sz w:val="21"/>
                <w:szCs w:val="21"/>
                <w:lang w:bidi="ar"/>
              </w:rPr>
              <w:t>被挂牌督办的，扣2分/次；受到责令改正、责令限期整改的，扣2分/次。</w:t>
            </w:r>
          </w:p>
        </w:tc>
        <w:tc>
          <w:tcPr>
            <w:tcW w:w="701" w:type="pct"/>
            <w:vAlign w:val="center"/>
          </w:tcPr>
          <w:p>
            <w:pPr>
              <w:widowControl/>
              <w:spacing w:line="260" w:lineRule="exact"/>
              <w:jc w:val="left"/>
              <w:textAlignment w:val="center"/>
              <w:rPr>
                <w:rStyle w:val="25"/>
                <w:rFonts w:eastAsia="仿宋"/>
                <w:bCs/>
                <w:lang w:bidi="ar"/>
              </w:rPr>
            </w:pPr>
            <w:r>
              <w:rPr>
                <w:rStyle w:val="25"/>
                <w:rFonts w:eastAsia="仿宋"/>
                <w:bCs/>
                <w:lang w:bidi="ar"/>
              </w:rPr>
              <w:t>行业内部数据共享，税务、市场监管、环境保护、公安部门等提供信息，</w:t>
            </w:r>
            <w:r>
              <w:rPr>
                <w:rStyle w:val="49"/>
                <w:rFonts w:ascii="Times New Roman" w:hAnsi="Times New Roman" w:eastAsia="仿宋" w:cs="Times New Roman"/>
                <w:bCs/>
                <w:lang w:bidi="ar"/>
              </w:rPr>
              <w:t>“</w:t>
            </w:r>
            <w:r>
              <w:rPr>
                <w:rStyle w:val="25"/>
                <w:rFonts w:eastAsia="仿宋"/>
                <w:bCs/>
                <w:lang w:bidi="ar"/>
              </w:rPr>
              <w:t>信用中国网站</w:t>
            </w:r>
            <w:r>
              <w:rPr>
                <w:rStyle w:val="49"/>
                <w:rFonts w:ascii="Times New Roman" w:hAnsi="Times New Roman" w:eastAsia="仿宋" w:cs="Times New Roman"/>
                <w:bCs/>
                <w:lang w:bidi="ar"/>
              </w:rPr>
              <w:t>”“</w:t>
            </w:r>
            <w:r>
              <w:rPr>
                <w:rStyle w:val="25"/>
                <w:rFonts w:eastAsia="仿宋"/>
                <w:bCs/>
                <w:lang w:bidi="ar"/>
              </w:rPr>
              <w:t>天眼查</w:t>
            </w:r>
            <w:r>
              <w:rPr>
                <w:rStyle w:val="49"/>
                <w:rFonts w:ascii="Times New Roman" w:hAnsi="Times New Roman" w:eastAsia="仿宋" w:cs="Times New Roman"/>
                <w:bCs/>
                <w:lang w:bidi="ar"/>
              </w:rPr>
              <w:t>”</w:t>
            </w:r>
            <w:r>
              <w:rPr>
                <w:rStyle w:val="25"/>
                <w:rFonts w:eastAsia="仿宋"/>
                <w:bCs/>
                <w:lang w:bidi="ar"/>
              </w:rPr>
              <w:t>等信用信息应用系统核查</w:t>
            </w:r>
          </w:p>
        </w:tc>
        <w:tc>
          <w:tcPr>
            <w:tcW w:w="235" w:type="pct"/>
            <w:vAlign w:val="center"/>
          </w:tcPr>
          <w:p>
            <w:pPr>
              <w:spacing w:line="260" w:lineRule="exact"/>
              <w:ind w:firstLine="200" w:firstLineChars="100"/>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250" w:type="pct"/>
            <w:vAlign w:val="center"/>
          </w:tcPr>
          <w:p>
            <w:pPr>
              <w:widowControl/>
              <w:spacing w:line="260" w:lineRule="exact"/>
              <w:jc w:val="center"/>
              <w:textAlignment w:val="center"/>
              <w:rPr>
                <w:rFonts w:eastAsia="仿宋"/>
                <w:bCs/>
                <w:color w:val="000000"/>
                <w:sz w:val="20"/>
              </w:rPr>
            </w:pPr>
            <w:r>
              <w:rPr>
                <w:rFonts w:eastAsia="仿宋"/>
                <w:bCs/>
                <w:color w:val="000000"/>
                <w:sz w:val="20"/>
              </w:rPr>
              <w:t>14</w:t>
            </w:r>
          </w:p>
        </w:tc>
        <w:tc>
          <w:tcPr>
            <w:tcW w:w="472" w:type="pct"/>
            <w:vMerge w:val="continue"/>
            <w:vAlign w:val="center"/>
          </w:tcPr>
          <w:p>
            <w:pPr>
              <w:widowControl/>
              <w:spacing w:line="260" w:lineRule="exact"/>
              <w:jc w:val="center"/>
              <w:textAlignment w:val="center"/>
              <w:rPr>
                <w:rStyle w:val="25"/>
                <w:rFonts w:eastAsia="仿宋"/>
                <w:bCs/>
                <w:lang w:bidi="ar"/>
              </w:rPr>
            </w:pPr>
          </w:p>
        </w:tc>
        <w:tc>
          <w:tcPr>
            <w:tcW w:w="441" w:type="pct"/>
            <w:vAlign w:val="center"/>
          </w:tcPr>
          <w:p>
            <w:pPr>
              <w:widowControl/>
              <w:spacing w:line="260" w:lineRule="exact"/>
              <w:jc w:val="center"/>
              <w:textAlignment w:val="center"/>
              <w:rPr>
                <w:rFonts w:eastAsia="仿宋"/>
                <w:bCs/>
                <w:color w:val="000000"/>
                <w:szCs w:val="21"/>
                <w:lang w:bidi="ar"/>
              </w:rPr>
            </w:pPr>
            <w:r>
              <w:rPr>
                <w:rFonts w:eastAsia="仿宋"/>
                <w:bCs/>
                <w:color w:val="000000"/>
                <w:szCs w:val="21"/>
                <w:lang w:bidi="ar"/>
              </w:rPr>
              <w:t>行政处罚情况</w:t>
            </w:r>
          </w:p>
        </w:tc>
        <w:tc>
          <w:tcPr>
            <w:tcW w:w="239" w:type="pct"/>
            <w:vAlign w:val="center"/>
          </w:tcPr>
          <w:p>
            <w:pPr>
              <w:widowControl/>
              <w:spacing w:line="260" w:lineRule="exact"/>
              <w:jc w:val="center"/>
              <w:textAlignment w:val="center"/>
              <w:rPr>
                <w:rFonts w:eastAsia="仿宋"/>
                <w:bCs/>
                <w:color w:val="000000"/>
                <w:sz w:val="20"/>
              </w:rPr>
            </w:pPr>
            <w:r>
              <w:rPr>
                <w:rFonts w:eastAsia="仿宋"/>
                <w:bCs/>
                <w:color w:val="000000"/>
                <w:kern w:val="0"/>
                <w:sz w:val="20"/>
                <w:lang w:bidi="ar"/>
              </w:rPr>
              <w:t>15</w:t>
            </w:r>
          </w:p>
        </w:tc>
        <w:tc>
          <w:tcPr>
            <w:tcW w:w="2662" w:type="pct"/>
            <w:gridSpan w:val="2"/>
            <w:vAlign w:val="center"/>
          </w:tcPr>
          <w:p>
            <w:pPr>
              <w:widowControl/>
              <w:spacing w:line="260" w:lineRule="exact"/>
              <w:jc w:val="left"/>
              <w:textAlignment w:val="center"/>
              <w:rPr>
                <w:rStyle w:val="25"/>
                <w:rFonts w:eastAsia="仿宋"/>
                <w:bCs/>
                <w:sz w:val="21"/>
                <w:szCs w:val="21"/>
                <w:lang w:bidi="ar"/>
              </w:rPr>
            </w:pPr>
            <w:r>
              <w:rPr>
                <w:rStyle w:val="25"/>
                <w:rFonts w:eastAsia="仿宋"/>
                <w:bCs/>
                <w:sz w:val="21"/>
                <w:szCs w:val="21"/>
                <w:lang w:bidi="ar"/>
              </w:rPr>
              <w:t>在日常监督检查中发现违反相关法规、规章、行业标准等行为受警告、通报批评行政处罚决定的，扣2分/次；受除警告、通报批评外的行政处罚决定的，扣5分/次；</w:t>
            </w:r>
          </w:p>
          <w:p>
            <w:pPr>
              <w:widowControl/>
              <w:spacing w:line="260" w:lineRule="exact"/>
              <w:jc w:val="left"/>
              <w:textAlignment w:val="center"/>
              <w:rPr>
                <w:rFonts w:eastAsia="仿宋"/>
                <w:bCs/>
                <w:color w:val="000000"/>
                <w:szCs w:val="21"/>
                <w:lang w:bidi="ar"/>
              </w:rPr>
            </w:pPr>
            <w:r>
              <w:rPr>
                <w:rStyle w:val="25"/>
                <w:rFonts w:eastAsia="仿宋"/>
                <w:bCs/>
                <w:sz w:val="21"/>
                <w:szCs w:val="21"/>
                <w:lang w:bidi="ar"/>
              </w:rPr>
              <w:t>在考核周期届满时，存在未履行交通运输行政处罚决定的，按照该交通运输行政处罚信用扣分标准，再次扣除相应分数。</w:t>
            </w:r>
          </w:p>
        </w:tc>
        <w:tc>
          <w:tcPr>
            <w:tcW w:w="701" w:type="pct"/>
            <w:vAlign w:val="center"/>
          </w:tcPr>
          <w:p>
            <w:pPr>
              <w:widowControl/>
              <w:spacing w:line="260" w:lineRule="exact"/>
              <w:jc w:val="left"/>
              <w:textAlignment w:val="center"/>
              <w:rPr>
                <w:rFonts w:eastAsia="仿宋"/>
                <w:bCs/>
                <w:color w:val="000000"/>
                <w:sz w:val="20"/>
              </w:rPr>
            </w:pPr>
            <w:r>
              <w:rPr>
                <w:rStyle w:val="25"/>
                <w:rFonts w:eastAsia="仿宋"/>
                <w:bCs/>
                <w:lang w:bidi="ar"/>
              </w:rPr>
              <w:t>行业内部数据共享，税务、市场监管、环境保护、公安部门等提供信息，</w:t>
            </w:r>
            <w:r>
              <w:rPr>
                <w:rStyle w:val="49"/>
                <w:rFonts w:ascii="Times New Roman" w:hAnsi="Times New Roman" w:eastAsia="仿宋" w:cs="Times New Roman"/>
                <w:bCs/>
                <w:lang w:bidi="ar"/>
              </w:rPr>
              <w:t>“</w:t>
            </w:r>
            <w:r>
              <w:rPr>
                <w:rStyle w:val="25"/>
                <w:rFonts w:eastAsia="仿宋"/>
                <w:bCs/>
                <w:lang w:bidi="ar"/>
              </w:rPr>
              <w:t>信用中国网站</w:t>
            </w:r>
            <w:r>
              <w:rPr>
                <w:rStyle w:val="49"/>
                <w:rFonts w:ascii="Times New Roman" w:hAnsi="Times New Roman" w:eastAsia="仿宋" w:cs="Times New Roman"/>
                <w:bCs/>
                <w:lang w:bidi="ar"/>
              </w:rPr>
              <w:t>”“</w:t>
            </w:r>
            <w:r>
              <w:rPr>
                <w:rStyle w:val="25"/>
                <w:rFonts w:eastAsia="仿宋"/>
                <w:bCs/>
                <w:lang w:bidi="ar"/>
              </w:rPr>
              <w:t>天眼查</w:t>
            </w:r>
            <w:r>
              <w:rPr>
                <w:rStyle w:val="49"/>
                <w:rFonts w:ascii="Times New Roman" w:hAnsi="Times New Roman" w:eastAsia="仿宋" w:cs="Times New Roman"/>
                <w:bCs/>
                <w:lang w:bidi="ar"/>
              </w:rPr>
              <w:t>”</w:t>
            </w:r>
            <w:r>
              <w:rPr>
                <w:rStyle w:val="25"/>
                <w:rFonts w:eastAsia="仿宋"/>
                <w:bCs/>
                <w:lang w:bidi="ar"/>
              </w:rPr>
              <w:t>等信用信息应用系统核查</w:t>
            </w:r>
          </w:p>
        </w:tc>
        <w:tc>
          <w:tcPr>
            <w:tcW w:w="235" w:type="pct"/>
            <w:vAlign w:val="center"/>
          </w:tcPr>
          <w:p>
            <w:pPr>
              <w:spacing w:line="260" w:lineRule="exact"/>
              <w:ind w:firstLine="210" w:firstLineChars="100"/>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250" w:type="pct"/>
            <w:vAlign w:val="center"/>
          </w:tcPr>
          <w:p>
            <w:pPr>
              <w:widowControl/>
              <w:spacing w:line="260" w:lineRule="exact"/>
              <w:jc w:val="center"/>
              <w:textAlignment w:val="center"/>
              <w:rPr>
                <w:rFonts w:eastAsia="仿宋"/>
                <w:bCs/>
                <w:color w:val="000000"/>
                <w:sz w:val="20"/>
              </w:rPr>
            </w:pPr>
            <w:r>
              <w:rPr>
                <w:rFonts w:eastAsia="仿宋"/>
                <w:bCs/>
                <w:color w:val="000000"/>
                <w:sz w:val="20"/>
              </w:rPr>
              <w:t>15</w:t>
            </w:r>
          </w:p>
        </w:tc>
        <w:tc>
          <w:tcPr>
            <w:tcW w:w="472" w:type="pct"/>
            <w:vMerge w:val="continue"/>
            <w:vAlign w:val="center"/>
          </w:tcPr>
          <w:p>
            <w:pPr>
              <w:widowControl/>
              <w:spacing w:line="260" w:lineRule="exact"/>
              <w:jc w:val="center"/>
              <w:textAlignment w:val="center"/>
              <w:rPr>
                <w:rStyle w:val="25"/>
                <w:rFonts w:eastAsia="仿宋"/>
                <w:bCs/>
                <w:lang w:bidi="ar"/>
              </w:rPr>
            </w:pPr>
          </w:p>
        </w:tc>
        <w:tc>
          <w:tcPr>
            <w:tcW w:w="441" w:type="pct"/>
            <w:vAlign w:val="center"/>
          </w:tcPr>
          <w:p>
            <w:pPr>
              <w:widowControl/>
              <w:spacing w:line="260" w:lineRule="exact"/>
              <w:jc w:val="center"/>
              <w:textAlignment w:val="center"/>
              <w:rPr>
                <w:rFonts w:eastAsia="仿宋"/>
                <w:bCs/>
                <w:color w:val="000000"/>
                <w:szCs w:val="21"/>
                <w:lang w:bidi="ar"/>
              </w:rPr>
            </w:pPr>
            <w:r>
              <w:rPr>
                <w:rStyle w:val="25"/>
                <w:rFonts w:eastAsia="仿宋"/>
                <w:bCs/>
                <w:sz w:val="21"/>
                <w:szCs w:val="21"/>
                <w:lang w:bidi="ar"/>
              </w:rPr>
              <w:t>投诉曝光</w:t>
            </w:r>
          </w:p>
        </w:tc>
        <w:tc>
          <w:tcPr>
            <w:tcW w:w="239" w:type="pct"/>
            <w:vAlign w:val="center"/>
          </w:tcPr>
          <w:p>
            <w:pPr>
              <w:widowControl/>
              <w:spacing w:line="260" w:lineRule="exact"/>
              <w:jc w:val="center"/>
              <w:textAlignment w:val="center"/>
              <w:rPr>
                <w:rFonts w:eastAsia="仿宋"/>
                <w:bCs/>
                <w:color w:val="000000"/>
                <w:sz w:val="20"/>
              </w:rPr>
            </w:pPr>
            <w:r>
              <w:rPr>
                <w:rFonts w:eastAsia="仿宋"/>
                <w:bCs/>
                <w:color w:val="000000"/>
                <w:kern w:val="0"/>
                <w:sz w:val="20"/>
                <w:lang w:bidi="ar"/>
              </w:rPr>
              <w:t>5</w:t>
            </w:r>
          </w:p>
        </w:tc>
        <w:tc>
          <w:tcPr>
            <w:tcW w:w="2662" w:type="pct"/>
            <w:gridSpan w:val="2"/>
            <w:vAlign w:val="center"/>
          </w:tcPr>
          <w:p>
            <w:pPr>
              <w:widowControl/>
              <w:spacing w:line="260" w:lineRule="exact"/>
              <w:jc w:val="left"/>
              <w:textAlignment w:val="center"/>
              <w:rPr>
                <w:rFonts w:eastAsia="仿宋"/>
                <w:bCs/>
                <w:color w:val="000000"/>
                <w:szCs w:val="21"/>
                <w:lang w:bidi="ar"/>
              </w:rPr>
            </w:pPr>
            <w:r>
              <w:rPr>
                <w:rFonts w:eastAsia="仿宋"/>
                <w:bCs/>
                <w:color w:val="000000"/>
                <w:szCs w:val="21"/>
                <w:lang w:bidi="ar"/>
              </w:rPr>
              <w:t>发生服务质量有责投诉的，扣2分/次；因责任事件被媒体曝光或者造成其他重大影响的该项不得分。</w:t>
            </w:r>
          </w:p>
        </w:tc>
        <w:tc>
          <w:tcPr>
            <w:tcW w:w="701" w:type="pct"/>
            <w:vAlign w:val="center"/>
          </w:tcPr>
          <w:p>
            <w:pPr>
              <w:widowControl/>
              <w:spacing w:line="260" w:lineRule="exact"/>
              <w:jc w:val="left"/>
              <w:textAlignment w:val="center"/>
              <w:rPr>
                <w:rFonts w:eastAsia="仿宋"/>
                <w:bCs/>
                <w:color w:val="000000"/>
                <w:sz w:val="20"/>
              </w:rPr>
            </w:pPr>
            <w:r>
              <w:rPr>
                <w:rStyle w:val="25"/>
                <w:rFonts w:eastAsia="仿宋"/>
                <w:bCs/>
                <w:lang w:bidi="ar"/>
              </w:rPr>
              <w:t>消费者及媒体投诉反映，</w:t>
            </w:r>
            <w:r>
              <w:rPr>
                <w:rStyle w:val="49"/>
                <w:rFonts w:ascii="Times New Roman" w:hAnsi="Times New Roman" w:eastAsia="仿宋" w:cs="Times New Roman"/>
                <w:bCs/>
                <w:lang w:bidi="ar"/>
              </w:rPr>
              <w:t>“</w:t>
            </w:r>
            <w:r>
              <w:rPr>
                <w:rStyle w:val="25"/>
                <w:rFonts w:eastAsia="仿宋"/>
                <w:bCs/>
                <w:lang w:bidi="ar"/>
              </w:rPr>
              <w:t>信用中国网站</w:t>
            </w:r>
            <w:r>
              <w:rPr>
                <w:rStyle w:val="49"/>
                <w:rFonts w:ascii="Times New Roman" w:hAnsi="Times New Roman" w:eastAsia="仿宋" w:cs="Times New Roman"/>
                <w:bCs/>
                <w:lang w:bidi="ar"/>
              </w:rPr>
              <w:t>”“</w:t>
            </w:r>
            <w:r>
              <w:rPr>
                <w:rStyle w:val="25"/>
                <w:rFonts w:eastAsia="仿宋"/>
                <w:bCs/>
                <w:lang w:bidi="ar"/>
              </w:rPr>
              <w:t>天眼查</w:t>
            </w:r>
            <w:r>
              <w:rPr>
                <w:rStyle w:val="49"/>
                <w:rFonts w:ascii="Times New Roman" w:hAnsi="Times New Roman" w:eastAsia="仿宋" w:cs="Times New Roman"/>
                <w:bCs/>
                <w:lang w:bidi="ar"/>
              </w:rPr>
              <w:t>”</w:t>
            </w:r>
            <w:r>
              <w:rPr>
                <w:rStyle w:val="25"/>
                <w:rFonts w:eastAsia="仿宋"/>
                <w:bCs/>
                <w:lang w:bidi="ar"/>
              </w:rPr>
              <w:t>等信用信息应用系统核查</w:t>
            </w:r>
          </w:p>
        </w:tc>
        <w:tc>
          <w:tcPr>
            <w:tcW w:w="235" w:type="pct"/>
            <w:vAlign w:val="center"/>
          </w:tcPr>
          <w:p>
            <w:pPr>
              <w:spacing w:line="260" w:lineRule="exact"/>
              <w:ind w:firstLine="200" w:firstLineChars="100"/>
              <w:jc w:val="left"/>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0" w:type="pct"/>
            <w:vAlign w:val="center"/>
          </w:tcPr>
          <w:p>
            <w:pPr>
              <w:widowControl/>
              <w:spacing w:line="260" w:lineRule="exact"/>
              <w:jc w:val="center"/>
              <w:textAlignment w:val="center"/>
              <w:rPr>
                <w:rFonts w:eastAsia="仿宋"/>
                <w:bCs/>
                <w:color w:val="000000"/>
                <w:sz w:val="20"/>
              </w:rPr>
            </w:pPr>
            <w:r>
              <w:rPr>
                <w:rFonts w:eastAsia="仿宋"/>
                <w:bCs/>
                <w:color w:val="000000"/>
                <w:sz w:val="20"/>
              </w:rPr>
              <w:t>16</w:t>
            </w:r>
          </w:p>
        </w:tc>
        <w:tc>
          <w:tcPr>
            <w:tcW w:w="472" w:type="pct"/>
            <w:vMerge w:val="restart"/>
            <w:vAlign w:val="center"/>
          </w:tcPr>
          <w:p>
            <w:pPr>
              <w:widowControl/>
              <w:spacing w:line="260" w:lineRule="exact"/>
              <w:jc w:val="center"/>
              <w:textAlignment w:val="center"/>
              <w:rPr>
                <w:rStyle w:val="25"/>
                <w:rFonts w:eastAsia="仿宋"/>
                <w:bCs/>
                <w:lang w:bidi="ar"/>
              </w:rPr>
            </w:pPr>
            <w:r>
              <w:rPr>
                <w:rStyle w:val="36"/>
                <w:rFonts w:ascii="Times New Roman" w:eastAsia="仿宋" w:cs="Times New Roman"/>
                <w:b w:val="0"/>
                <w:lang w:bidi="ar"/>
              </w:rPr>
              <w:t>加分项目</w:t>
            </w:r>
          </w:p>
        </w:tc>
        <w:tc>
          <w:tcPr>
            <w:tcW w:w="441" w:type="pct"/>
            <w:vAlign w:val="center"/>
          </w:tcPr>
          <w:p>
            <w:pPr>
              <w:widowControl/>
              <w:spacing w:line="260" w:lineRule="exact"/>
              <w:jc w:val="center"/>
              <w:textAlignment w:val="center"/>
              <w:rPr>
                <w:rStyle w:val="25"/>
                <w:rFonts w:eastAsia="仿宋"/>
                <w:bCs/>
                <w:sz w:val="21"/>
                <w:szCs w:val="21"/>
                <w:lang w:bidi="ar"/>
              </w:rPr>
            </w:pPr>
            <w:r>
              <w:rPr>
                <w:rStyle w:val="25"/>
                <w:rFonts w:eastAsia="仿宋"/>
                <w:bCs/>
                <w:sz w:val="21"/>
                <w:szCs w:val="21"/>
                <w:lang w:bidi="ar"/>
              </w:rPr>
              <w:t>表彰奖励</w:t>
            </w:r>
          </w:p>
        </w:tc>
        <w:tc>
          <w:tcPr>
            <w:tcW w:w="239" w:type="pct"/>
            <w:vAlign w:val="center"/>
          </w:tcPr>
          <w:p>
            <w:pPr>
              <w:widowControl/>
              <w:spacing w:line="260" w:lineRule="exact"/>
              <w:jc w:val="center"/>
              <w:textAlignment w:val="center"/>
              <w:rPr>
                <w:rFonts w:eastAsia="仿宋"/>
                <w:bCs/>
                <w:color w:val="000000"/>
                <w:sz w:val="20"/>
              </w:rPr>
            </w:pPr>
          </w:p>
        </w:tc>
        <w:tc>
          <w:tcPr>
            <w:tcW w:w="2662" w:type="pct"/>
            <w:gridSpan w:val="2"/>
            <w:vAlign w:val="center"/>
          </w:tcPr>
          <w:p>
            <w:pPr>
              <w:widowControl/>
              <w:spacing w:line="260" w:lineRule="exact"/>
              <w:jc w:val="left"/>
              <w:textAlignment w:val="center"/>
              <w:rPr>
                <w:rStyle w:val="25"/>
                <w:rFonts w:eastAsia="仿宋"/>
                <w:bCs/>
                <w:sz w:val="21"/>
                <w:szCs w:val="21"/>
                <w:lang w:bidi="ar"/>
              </w:rPr>
            </w:pPr>
            <w:r>
              <w:rPr>
                <w:rStyle w:val="25"/>
                <w:rFonts w:eastAsia="仿宋"/>
                <w:bCs/>
                <w:sz w:val="21"/>
                <w:szCs w:val="21"/>
                <w:lang w:bidi="ar"/>
              </w:rPr>
              <w:t>获得区县级表彰的，加0.5分/次；获得市级表彰的，加1分/次；获得国家级表彰的，加2分/次。</w:t>
            </w:r>
          </w:p>
        </w:tc>
        <w:tc>
          <w:tcPr>
            <w:tcW w:w="701" w:type="pct"/>
            <w:vAlign w:val="center"/>
          </w:tcPr>
          <w:p>
            <w:pPr>
              <w:widowControl/>
              <w:spacing w:line="260" w:lineRule="exact"/>
              <w:jc w:val="left"/>
              <w:textAlignment w:val="center"/>
              <w:rPr>
                <w:rFonts w:eastAsia="仿宋"/>
                <w:bCs/>
                <w:color w:val="000000"/>
                <w:sz w:val="20"/>
              </w:rPr>
            </w:pPr>
            <w:r>
              <w:rPr>
                <w:rStyle w:val="25"/>
                <w:rFonts w:eastAsia="仿宋"/>
                <w:bCs/>
                <w:lang w:bidi="ar"/>
              </w:rPr>
              <w:t>企业提供证明材料</w:t>
            </w:r>
          </w:p>
        </w:tc>
        <w:tc>
          <w:tcPr>
            <w:tcW w:w="235" w:type="pct"/>
            <w:vAlign w:val="center"/>
          </w:tcPr>
          <w:p>
            <w:pPr>
              <w:spacing w:line="260" w:lineRule="exact"/>
              <w:ind w:firstLine="200" w:firstLineChars="100"/>
              <w:jc w:val="left"/>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50" w:type="pct"/>
            <w:vAlign w:val="center"/>
          </w:tcPr>
          <w:p>
            <w:pPr>
              <w:widowControl/>
              <w:spacing w:line="260" w:lineRule="exact"/>
              <w:jc w:val="center"/>
              <w:textAlignment w:val="center"/>
              <w:rPr>
                <w:rFonts w:eastAsia="仿宋"/>
                <w:bCs/>
                <w:color w:val="000000"/>
                <w:sz w:val="20"/>
              </w:rPr>
            </w:pPr>
            <w:r>
              <w:rPr>
                <w:rFonts w:eastAsia="仿宋"/>
                <w:bCs/>
                <w:color w:val="000000"/>
                <w:sz w:val="20"/>
              </w:rPr>
              <w:t>17</w:t>
            </w:r>
          </w:p>
        </w:tc>
        <w:tc>
          <w:tcPr>
            <w:tcW w:w="472" w:type="pct"/>
            <w:vMerge w:val="continue"/>
            <w:vAlign w:val="center"/>
          </w:tcPr>
          <w:p>
            <w:pPr>
              <w:widowControl/>
              <w:spacing w:line="260" w:lineRule="exact"/>
              <w:jc w:val="center"/>
              <w:textAlignment w:val="center"/>
              <w:rPr>
                <w:rStyle w:val="25"/>
                <w:rFonts w:eastAsia="仿宋"/>
                <w:bCs/>
                <w:lang w:bidi="ar"/>
              </w:rPr>
            </w:pPr>
          </w:p>
        </w:tc>
        <w:tc>
          <w:tcPr>
            <w:tcW w:w="441" w:type="pct"/>
            <w:vAlign w:val="center"/>
          </w:tcPr>
          <w:p>
            <w:pPr>
              <w:widowControl/>
              <w:spacing w:line="260" w:lineRule="exact"/>
              <w:jc w:val="center"/>
              <w:textAlignment w:val="center"/>
              <w:rPr>
                <w:rStyle w:val="25"/>
                <w:rFonts w:eastAsia="仿宋"/>
                <w:bCs/>
                <w:sz w:val="21"/>
                <w:szCs w:val="21"/>
                <w:lang w:bidi="ar"/>
              </w:rPr>
            </w:pPr>
            <w:r>
              <w:rPr>
                <w:rStyle w:val="25"/>
                <w:rFonts w:eastAsia="仿宋"/>
                <w:bCs/>
                <w:sz w:val="21"/>
                <w:szCs w:val="21"/>
                <w:lang w:bidi="ar"/>
              </w:rPr>
              <w:t>表率作用</w:t>
            </w:r>
          </w:p>
        </w:tc>
        <w:tc>
          <w:tcPr>
            <w:tcW w:w="239" w:type="pct"/>
            <w:vAlign w:val="center"/>
          </w:tcPr>
          <w:p>
            <w:pPr>
              <w:widowControl/>
              <w:spacing w:line="260" w:lineRule="exact"/>
              <w:jc w:val="center"/>
              <w:textAlignment w:val="center"/>
              <w:rPr>
                <w:rFonts w:eastAsia="仿宋"/>
                <w:bCs/>
                <w:color w:val="000000"/>
                <w:sz w:val="20"/>
              </w:rPr>
            </w:pPr>
          </w:p>
        </w:tc>
        <w:tc>
          <w:tcPr>
            <w:tcW w:w="2662" w:type="pct"/>
            <w:gridSpan w:val="2"/>
            <w:vAlign w:val="center"/>
          </w:tcPr>
          <w:p>
            <w:pPr>
              <w:widowControl/>
              <w:spacing w:line="260" w:lineRule="exact"/>
              <w:jc w:val="left"/>
              <w:textAlignment w:val="center"/>
              <w:rPr>
                <w:rFonts w:eastAsia="方正仿宋_GBK"/>
                <w:bCs/>
                <w:color w:val="000000"/>
                <w:sz w:val="20"/>
              </w:rPr>
            </w:pPr>
            <w:r>
              <w:rPr>
                <w:rStyle w:val="25"/>
                <w:rFonts w:eastAsia="仿宋"/>
                <w:bCs/>
                <w:sz w:val="21"/>
                <w:szCs w:val="21"/>
                <w:lang w:bidi="ar"/>
              </w:rPr>
              <w:t>完成政府性任务起表率作用的，加1分/次；积极参加抢险救灾支援、义务维修服务、优质服务等具有较大社会影响公益活动的，加0.5分/次。</w:t>
            </w:r>
          </w:p>
        </w:tc>
        <w:tc>
          <w:tcPr>
            <w:tcW w:w="701" w:type="pct"/>
            <w:vAlign w:val="center"/>
          </w:tcPr>
          <w:p>
            <w:pPr>
              <w:widowControl/>
              <w:spacing w:line="260" w:lineRule="exact"/>
              <w:jc w:val="left"/>
              <w:textAlignment w:val="center"/>
              <w:rPr>
                <w:rFonts w:eastAsia="仿宋"/>
                <w:bCs/>
                <w:color w:val="000000"/>
                <w:sz w:val="20"/>
              </w:rPr>
            </w:pPr>
            <w:r>
              <w:rPr>
                <w:rStyle w:val="25"/>
                <w:rFonts w:eastAsia="仿宋"/>
                <w:bCs/>
                <w:lang w:bidi="ar"/>
              </w:rPr>
              <w:t>企业提供证明材料</w:t>
            </w:r>
          </w:p>
        </w:tc>
        <w:tc>
          <w:tcPr>
            <w:tcW w:w="235" w:type="pct"/>
            <w:vAlign w:val="center"/>
          </w:tcPr>
          <w:p>
            <w:pPr>
              <w:spacing w:line="260" w:lineRule="exact"/>
              <w:ind w:firstLine="200" w:firstLineChars="100"/>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0" w:type="pct"/>
            <w:vAlign w:val="center"/>
          </w:tcPr>
          <w:p>
            <w:pPr>
              <w:widowControl/>
              <w:spacing w:line="260" w:lineRule="exact"/>
              <w:jc w:val="center"/>
              <w:textAlignment w:val="center"/>
              <w:rPr>
                <w:rFonts w:eastAsia="仿宋"/>
                <w:bCs/>
                <w:color w:val="000000"/>
                <w:sz w:val="20"/>
              </w:rPr>
            </w:pPr>
            <w:r>
              <w:rPr>
                <w:rFonts w:eastAsia="仿宋"/>
                <w:bCs/>
                <w:color w:val="000000"/>
                <w:sz w:val="20"/>
              </w:rPr>
              <w:t>合计</w:t>
            </w:r>
          </w:p>
        </w:tc>
        <w:tc>
          <w:tcPr>
            <w:tcW w:w="472" w:type="pct"/>
            <w:vAlign w:val="center"/>
          </w:tcPr>
          <w:p>
            <w:pPr>
              <w:widowControl/>
              <w:spacing w:line="260" w:lineRule="exact"/>
              <w:jc w:val="center"/>
              <w:textAlignment w:val="center"/>
              <w:rPr>
                <w:rStyle w:val="36"/>
                <w:rFonts w:ascii="Times New Roman" w:eastAsia="仿宋" w:cs="Times New Roman"/>
                <w:b w:val="0"/>
                <w:lang w:bidi="ar"/>
              </w:rPr>
            </w:pPr>
            <w:r>
              <w:rPr>
                <w:rStyle w:val="36"/>
                <w:rFonts w:ascii="Times New Roman" w:eastAsia="仿宋" w:cs="Times New Roman"/>
                <w:b w:val="0"/>
                <w:lang w:bidi="ar"/>
              </w:rPr>
              <w:t>100分</w:t>
            </w:r>
          </w:p>
        </w:tc>
        <w:tc>
          <w:tcPr>
            <w:tcW w:w="441" w:type="pct"/>
            <w:vAlign w:val="center"/>
          </w:tcPr>
          <w:p>
            <w:pPr>
              <w:widowControl/>
              <w:spacing w:line="260" w:lineRule="exact"/>
              <w:jc w:val="center"/>
              <w:textAlignment w:val="center"/>
              <w:rPr>
                <w:rStyle w:val="36"/>
                <w:rFonts w:ascii="Times New Roman" w:eastAsia="仿宋" w:cs="Times New Roman"/>
                <w:b w:val="0"/>
                <w:lang w:bidi="ar"/>
              </w:rPr>
            </w:pPr>
          </w:p>
        </w:tc>
        <w:tc>
          <w:tcPr>
            <w:tcW w:w="239" w:type="pct"/>
            <w:vAlign w:val="center"/>
          </w:tcPr>
          <w:p>
            <w:pPr>
              <w:widowControl/>
              <w:spacing w:line="260" w:lineRule="exact"/>
              <w:jc w:val="center"/>
              <w:textAlignment w:val="center"/>
              <w:rPr>
                <w:rFonts w:eastAsia="仿宋"/>
                <w:bCs/>
                <w:color w:val="000000"/>
                <w:sz w:val="20"/>
              </w:rPr>
            </w:pPr>
            <w:r>
              <w:rPr>
                <w:rFonts w:eastAsia="仿宋"/>
                <w:bCs/>
                <w:color w:val="000000"/>
                <w:kern w:val="0"/>
                <w:sz w:val="20"/>
                <w:lang w:bidi="ar"/>
              </w:rPr>
              <w:t>100分</w:t>
            </w:r>
          </w:p>
        </w:tc>
        <w:tc>
          <w:tcPr>
            <w:tcW w:w="2662" w:type="pct"/>
            <w:gridSpan w:val="2"/>
            <w:vAlign w:val="center"/>
          </w:tcPr>
          <w:p>
            <w:pPr>
              <w:spacing w:line="260" w:lineRule="exact"/>
              <w:rPr>
                <w:rFonts w:eastAsia="仿宋"/>
                <w:bCs/>
                <w:color w:val="000000"/>
                <w:sz w:val="20"/>
              </w:rPr>
            </w:pPr>
          </w:p>
        </w:tc>
        <w:tc>
          <w:tcPr>
            <w:tcW w:w="701" w:type="pct"/>
            <w:vAlign w:val="center"/>
          </w:tcPr>
          <w:p>
            <w:pPr>
              <w:spacing w:line="260" w:lineRule="exact"/>
              <w:rPr>
                <w:rFonts w:eastAsia="仿宋"/>
                <w:bCs/>
                <w:color w:val="000000"/>
                <w:sz w:val="20"/>
              </w:rPr>
            </w:pPr>
          </w:p>
        </w:tc>
        <w:tc>
          <w:tcPr>
            <w:tcW w:w="235" w:type="pct"/>
            <w:vAlign w:val="center"/>
          </w:tcPr>
          <w:p>
            <w:pPr>
              <w:spacing w:line="260" w:lineRule="exact"/>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pct"/>
            <w:gridSpan w:val="2"/>
            <w:vMerge w:val="restart"/>
            <w:vAlign w:val="center"/>
          </w:tcPr>
          <w:p>
            <w:pPr>
              <w:widowControl/>
              <w:spacing w:line="260" w:lineRule="exact"/>
              <w:jc w:val="center"/>
              <w:textAlignment w:val="center"/>
              <w:rPr>
                <w:rStyle w:val="36"/>
                <w:rFonts w:ascii="Times New Roman" w:eastAsia="仿宋" w:cs="Times New Roman"/>
                <w:b w:val="0"/>
                <w:lang w:bidi="ar"/>
              </w:rPr>
            </w:pPr>
            <w:r>
              <w:rPr>
                <w:rStyle w:val="36"/>
                <w:rFonts w:ascii="Times New Roman" w:eastAsia="仿宋" w:cs="Times New Roman"/>
                <w:b w:val="0"/>
                <w:lang w:bidi="ar"/>
              </w:rPr>
              <w:t>评价结论</w:t>
            </w:r>
          </w:p>
        </w:tc>
        <w:tc>
          <w:tcPr>
            <w:tcW w:w="441" w:type="pct"/>
            <w:vAlign w:val="center"/>
          </w:tcPr>
          <w:p>
            <w:pPr>
              <w:widowControl/>
              <w:spacing w:line="260" w:lineRule="exact"/>
              <w:jc w:val="center"/>
              <w:textAlignment w:val="center"/>
              <w:rPr>
                <w:rFonts w:eastAsia="仿宋"/>
                <w:bCs/>
                <w:color w:val="000000"/>
                <w:sz w:val="20"/>
              </w:rPr>
            </w:pPr>
            <w:r>
              <w:rPr>
                <w:rStyle w:val="25"/>
                <w:rFonts w:eastAsia="仿宋"/>
                <w:bCs/>
                <w:lang w:bidi="ar"/>
              </w:rPr>
              <w:t>信用等级</w:t>
            </w:r>
          </w:p>
        </w:tc>
        <w:tc>
          <w:tcPr>
            <w:tcW w:w="3837" w:type="pct"/>
            <w:gridSpan w:val="5"/>
            <w:vAlign w:val="center"/>
          </w:tcPr>
          <w:p>
            <w:pPr>
              <w:spacing w:line="260" w:lineRule="exact"/>
              <w:ind w:firstLine="1200" w:firstLineChars="600"/>
              <w:rPr>
                <w:rFonts w:eastAsia="仿宋"/>
                <w:bCs/>
                <w:color w:val="000000"/>
                <w:sz w:val="20"/>
              </w:rPr>
            </w:pPr>
            <w:r>
              <w:rPr>
                <w:rFonts w:eastAsia="仿宋"/>
                <w:bCs/>
                <w:color w:val="000000"/>
                <w:kern w:val="0"/>
                <w:sz w:val="20"/>
                <w:lang w:bidi="ar"/>
              </w:rPr>
              <w:t>AA</w:t>
            </w:r>
            <w:r>
              <w:rPr>
                <w:rStyle w:val="34"/>
                <w:rFonts w:hint="default" w:ascii="Times New Roman" w:hAnsi="Times New Roman" w:eastAsia="仿宋" w:cs="Times New Roman"/>
                <w:bCs/>
                <w:lang w:bidi="ar"/>
              </w:rPr>
              <w:t xml:space="preserve">□ </w:t>
            </w:r>
            <w:r>
              <w:rPr>
                <w:rStyle w:val="57"/>
                <w:rFonts w:hint="default" w:eastAsia="仿宋"/>
                <w:bCs/>
                <w:lang w:bidi="ar"/>
              </w:rPr>
              <w:t xml:space="preserve">        A</w:t>
            </w:r>
            <w:r>
              <w:rPr>
                <w:rStyle w:val="34"/>
                <w:rFonts w:hint="default" w:ascii="Times New Roman" w:hAnsi="Times New Roman" w:eastAsia="仿宋" w:cs="Times New Roman"/>
                <w:bCs/>
                <w:lang w:bidi="ar"/>
              </w:rPr>
              <w:t>□</w:t>
            </w:r>
            <w:r>
              <w:rPr>
                <w:rStyle w:val="57"/>
                <w:rFonts w:hint="default" w:eastAsia="仿宋"/>
                <w:bCs/>
                <w:lang w:bidi="ar"/>
              </w:rPr>
              <w:t xml:space="preserve">           B</w:t>
            </w:r>
            <w:r>
              <w:rPr>
                <w:rStyle w:val="34"/>
                <w:rFonts w:hint="default" w:ascii="Times New Roman" w:hAnsi="Times New Roman" w:eastAsia="仿宋" w:cs="Times New Roman"/>
                <w:bCs/>
                <w:lang w:bidi="ar"/>
              </w:rPr>
              <w:t>□</w:t>
            </w:r>
            <w:r>
              <w:rPr>
                <w:rStyle w:val="57"/>
                <w:rFonts w:hint="default" w:eastAsia="仿宋"/>
                <w:bCs/>
                <w:lang w:bidi="ar"/>
              </w:rPr>
              <w:t xml:space="preserve">           C</w:t>
            </w:r>
            <w:r>
              <w:rPr>
                <w:rStyle w:val="34"/>
                <w:rFonts w:hint="default" w:ascii="Times New Roman" w:hAnsi="Times New Roman" w:eastAsia="仿宋" w:cs="Times New Roman"/>
                <w:bCs/>
                <w:lang w:bidi="ar"/>
              </w:rPr>
              <w:t>□</w:t>
            </w:r>
            <w:r>
              <w:rPr>
                <w:rStyle w:val="57"/>
                <w:rFonts w:hint="default" w:eastAsia="仿宋"/>
                <w:bCs/>
                <w:lang w:bidi="ar"/>
              </w:rPr>
              <w:t xml:space="preserve">           D</w:t>
            </w:r>
            <w:r>
              <w:rPr>
                <w:rStyle w:val="34"/>
                <w:rFonts w:hint="default" w:ascii="Times New Roman" w:hAnsi="Times New Roman" w:eastAsia="仿宋" w:cs="Times New Roman"/>
                <w:bCs/>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pct"/>
            <w:gridSpan w:val="2"/>
            <w:vMerge w:val="continue"/>
            <w:vAlign w:val="center"/>
          </w:tcPr>
          <w:p>
            <w:pPr>
              <w:widowControl/>
              <w:spacing w:line="260" w:lineRule="exact"/>
              <w:jc w:val="center"/>
              <w:textAlignment w:val="center"/>
              <w:rPr>
                <w:rFonts w:eastAsia="仿宋"/>
                <w:bCs/>
                <w:color w:val="000000"/>
                <w:sz w:val="20"/>
              </w:rPr>
            </w:pPr>
          </w:p>
        </w:tc>
        <w:tc>
          <w:tcPr>
            <w:tcW w:w="441" w:type="pct"/>
            <w:vAlign w:val="center"/>
          </w:tcPr>
          <w:p>
            <w:pPr>
              <w:widowControl/>
              <w:spacing w:line="260" w:lineRule="exact"/>
              <w:jc w:val="center"/>
              <w:textAlignment w:val="center"/>
              <w:rPr>
                <w:rFonts w:eastAsia="仿宋"/>
                <w:bCs/>
                <w:color w:val="000000"/>
                <w:sz w:val="20"/>
              </w:rPr>
            </w:pPr>
            <w:r>
              <w:rPr>
                <w:rStyle w:val="25"/>
                <w:rFonts w:eastAsia="仿宋"/>
                <w:bCs/>
                <w:lang w:bidi="ar"/>
              </w:rPr>
              <w:t>评价机构</w:t>
            </w:r>
          </w:p>
        </w:tc>
        <w:tc>
          <w:tcPr>
            <w:tcW w:w="3837" w:type="pct"/>
            <w:gridSpan w:val="5"/>
            <w:vAlign w:val="center"/>
          </w:tcPr>
          <w:p>
            <w:pPr>
              <w:spacing w:line="260" w:lineRule="exact"/>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pct"/>
            <w:gridSpan w:val="2"/>
            <w:vMerge w:val="continue"/>
            <w:vAlign w:val="center"/>
          </w:tcPr>
          <w:p>
            <w:pPr>
              <w:widowControl/>
              <w:spacing w:line="260" w:lineRule="exact"/>
              <w:jc w:val="center"/>
              <w:textAlignment w:val="center"/>
              <w:rPr>
                <w:rFonts w:eastAsia="仿宋"/>
                <w:bCs/>
                <w:color w:val="000000"/>
                <w:sz w:val="20"/>
              </w:rPr>
            </w:pPr>
          </w:p>
        </w:tc>
        <w:tc>
          <w:tcPr>
            <w:tcW w:w="441" w:type="pct"/>
            <w:vAlign w:val="center"/>
          </w:tcPr>
          <w:p>
            <w:pPr>
              <w:widowControl/>
              <w:spacing w:line="260" w:lineRule="exact"/>
              <w:jc w:val="center"/>
              <w:textAlignment w:val="center"/>
              <w:rPr>
                <w:rFonts w:eastAsia="仿宋"/>
                <w:bCs/>
                <w:color w:val="000000"/>
                <w:kern w:val="0"/>
                <w:sz w:val="20"/>
                <w:lang w:bidi="ar"/>
              </w:rPr>
            </w:pPr>
            <w:r>
              <w:rPr>
                <w:rStyle w:val="25"/>
                <w:rFonts w:eastAsia="仿宋"/>
                <w:bCs/>
                <w:lang w:bidi="ar"/>
              </w:rPr>
              <w:t>经</w:t>
            </w:r>
            <w:r>
              <w:rPr>
                <w:rStyle w:val="57"/>
                <w:rFonts w:hint="default" w:eastAsia="仿宋"/>
                <w:bCs/>
                <w:lang w:bidi="ar"/>
              </w:rPr>
              <w:t xml:space="preserve">  </w:t>
            </w:r>
            <w:r>
              <w:rPr>
                <w:rStyle w:val="25"/>
                <w:rFonts w:eastAsia="仿宋"/>
                <w:bCs/>
                <w:lang w:bidi="ar"/>
              </w:rPr>
              <w:t>办</w:t>
            </w:r>
            <w:r>
              <w:rPr>
                <w:rStyle w:val="57"/>
                <w:rFonts w:hint="default" w:eastAsia="仿宋"/>
                <w:bCs/>
                <w:lang w:bidi="ar"/>
              </w:rPr>
              <w:t xml:space="preserve">  </w:t>
            </w:r>
            <w:r>
              <w:rPr>
                <w:rStyle w:val="25"/>
                <w:rFonts w:eastAsia="仿宋"/>
                <w:bCs/>
                <w:lang w:bidi="ar"/>
              </w:rPr>
              <w:t>人</w:t>
            </w:r>
          </w:p>
        </w:tc>
        <w:tc>
          <w:tcPr>
            <w:tcW w:w="559" w:type="pct"/>
            <w:gridSpan w:val="2"/>
            <w:vAlign w:val="center"/>
          </w:tcPr>
          <w:p>
            <w:pPr>
              <w:spacing w:line="260" w:lineRule="exact"/>
              <w:ind w:firstLine="1000" w:firstLineChars="500"/>
              <w:rPr>
                <w:rFonts w:eastAsia="仿宋"/>
                <w:bCs/>
                <w:color w:val="000000"/>
                <w:sz w:val="20"/>
              </w:rPr>
            </w:pPr>
          </w:p>
        </w:tc>
        <w:tc>
          <w:tcPr>
            <w:tcW w:w="2342" w:type="pct"/>
            <w:vAlign w:val="center"/>
          </w:tcPr>
          <w:p>
            <w:pPr>
              <w:spacing w:line="260" w:lineRule="exact"/>
              <w:ind w:firstLine="200" w:firstLineChars="100"/>
              <w:rPr>
                <w:rFonts w:eastAsia="仿宋"/>
                <w:bCs/>
                <w:color w:val="000000"/>
                <w:sz w:val="20"/>
              </w:rPr>
            </w:pPr>
            <w:r>
              <w:rPr>
                <w:rFonts w:eastAsia="仿宋"/>
                <w:bCs/>
                <w:color w:val="000000"/>
                <w:sz w:val="20"/>
              </w:rPr>
              <w:t>评价日期</w:t>
            </w:r>
          </w:p>
        </w:tc>
        <w:tc>
          <w:tcPr>
            <w:tcW w:w="936" w:type="pct"/>
            <w:gridSpan w:val="2"/>
            <w:vAlign w:val="center"/>
          </w:tcPr>
          <w:p>
            <w:pPr>
              <w:spacing w:line="260" w:lineRule="exact"/>
              <w:ind w:firstLine="800" w:firstLineChars="400"/>
              <w:rPr>
                <w:rFonts w:eastAsia="仿宋"/>
                <w:bCs/>
                <w:color w:val="000000"/>
                <w:sz w:val="20"/>
              </w:rPr>
            </w:pPr>
            <w:r>
              <w:rPr>
                <w:rFonts w:eastAsia="仿宋"/>
                <w:bCs/>
                <w:color w:val="000000"/>
                <w:sz w:val="20"/>
              </w:rPr>
              <w:t>年  月  日</w:t>
            </w:r>
          </w:p>
        </w:tc>
      </w:tr>
    </w:tbl>
    <w:p>
      <w:pPr>
        <w:widowControl/>
        <w:spacing w:line="360" w:lineRule="exact"/>
        <w:jc w:val="left"/>
        <w:textAlignment w:val="center"/>
        <w:rPr>
          <w:rStyle w:val="25"/>
          <w:rFonts w:eastAsia="仿宋"/>
          <w:sz w:val="21"/>
          <w:szCs w:val="21"/>
          <w:lang w:bidi="ar"/>
        </w:rPr>
      </w:pPr>
      <w:r>
        <w:rPr>
          <w:rStyle w:val="25"/>
          <w:rFonts w:eastAsia="仿宋"/>
          <w:sz w:val="21"/>
          <w:szCs w:val="21"/>
          <w:lang w:bidi="ar"/>
        </w:rPr>
        <w:t xml:space="preserve">备注：加分项目加分分值上限5分，表彰奖励和表率作用累计加分分值不超过5分。   </w:t>
      </w:r>
    </w:p>
    <w:p>
      <w:pPr>
        <w:spacing w:line="560" w:lineRule="exact"/>
        <w:jc w:val="left"/>
        <w:rPr>
          <w:rFonts w:ascii="方正黑体_GBK" w:hAnsi="方正黑体_GBK" w:eastAsia="方正黑体_GBK" w:cs="方正黑体_GBK"/>
          <w:color w:val="000000"/>
          <w:sz w:val="32"/>
          <w:szCs w:val="32"/>
        </w:rPr>
      </w:pPr>
    </w:p>
    <w:p>
      <w:pPr>
        <w:spacing w:line="560" w:lineRule="exact"/>
        <w:jc w:val="left"/>
        <w:rPr>
          <w:rFonts w:ascii="方正黑体_GBK" w:hAnsi="方正黑体_GBK" w:eastAsia="方正黑体_GBK" w:cs="方正黑体_GBK"/>
          <w:color w:val="000000"/>
          <w:sz w:val="32"/>
          <w:szCs w:val="32"/>
        </w:rPr>
      </w:pPr>
    </w:p>
    <w:p>
      <w:pPr>
        <w:spacing w:line="560" w:lineRule="exact"/>
        <w:jc w:val="left"/>
        <w:rPr>
          <w:rFonts w:ascii="方正黑体_GBK" w:hAnsi="方正黑体_GBK" w:eastAsia="方正黑体_GBK" w:cs="方正黑体_GBK"/>
          <w:color w:val="000000"/>
          <w:sz w:val="32"/>
          <w:szCs w:val="32"/>
        </w:rPr>
      </w:pPr>
    </w:p>
    <w:p>
      <w:pPr>
        <w:spacing w:line="560" w:lineRule="exact"/>
        <w:jc w:val="left"/>
        <w:rPr>
          <w:rFonts w:ascii="方正黑体_GBK" w:hAnsi="方正黑体_GBK" w:eastAsia="方正黑体_GBK" w:cs="方正黑体_GBK"/>
          <w:color w:val="000000"/>
          <w:sz w:val="32"/>
          <w:szCs w:val="32"/>
        </w:rPr>
      </w:pPr>
    </w:p>
    <w:p>
      <w:pPr>
        <w:spacing w:line="560" w:lineRule="exact"/>
        <w:jc w:val="left"/>
        <w:rPr>
          <w:rFonts w:ascii="方正黑体_GBK" w:hAnsi="方正黑体_GBK" w:eastAsia="方正黑体_GBK" w:cs="方正黑体_GBK"/>
          <w:color w:val="000000"/>
          <w:sz w:val="32"/>
          <w:szCs w:val="32"/>
        </w:rPr>
      </w:pPr>
    </w:p>
    <w:p>
      <w:pPr>
        <w:spacing w:line="560" w:lineRule="exact"/>
        <w:jc w:val="left"/>
        <w:rPr>
          <w:rFonts w:ascii="方正黑体_GBK" w:hAnsi="方正黑体_GBK" w:eastAsia="方正黑体_GBK" w:cs="方正黑体_GBK"/>
          <w:color w:val="000000"/>
          <w:sz w:val="32"/>
          <w:szCs w:val="32"/>
        </w:rPr>
      </w:pPr>
    </w:p>
    <w:p>
      <w:pPr>
        <w:spacing w:line="560" w:lineRule="exact"/>
        <w:jc w:val="left"/>
        <w:rPr>
          <w:rFonts w:ascii="方正黑体_GBK" w:hAnsi="方正黑体_GBK" w:eastAsia="方正黑体_GBK" w:cs="方正黑体_GBK"/>
          <w:color w:val="000000"/>
          <w:sz w:val="32"/>
          <w:szCs w:val="32"/>
        </w:rPr>
      </w:pPr>
    </w:p>
    <w:p>
      <w:pPr>
        <w:spacing w:line="560" w:lineRule="exact"/>
        <w:jc w:val="left"/>
        <w:rPr>
          <w:rFonts w:ascii="方正黑体_GBK" w:hAnsi="方正黑体_GBK" w:eastAsia="方正黑体_GBK" w:cs="方正黑体_GBK"/>
          <w:color w:val="000000"/>
          <w:sz w:val="32"/>
          <w:szCs w:val="32"/>
        </w:rPr>
      </w:pPr>
    </w:p>
    <w:p>
      <w:pPr>
        <w:spacing w:line="560" w:lineRule="exact"/>
        <w:jc w:val="lef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附件1-11</w:t>
      </w:r>
    </w:p>
    <w:p>
      <w:pPr>
        <w:pStyle w:val="13"/>
        <w:spacing w:after="0" w:line="560" w:lineRule="exact"/>
        <w:ind w:left="0" w:leftChars="0" w:firstLine="0" w:firstLineChars="0"/>
        <w:rPr>
          <w:rFonts w:hint="eastAsia"/>
        </w:rPr>
      </w:pPr>
    </w:p>
    <w:p>
      <w:pPr>
        <w:spacing w:line="560" w:lineRule="exact"/>
        <w:jc w:val="center"/>
        <w:rPr>
          <w:rFonts w:eastAsia="方正小标宋_GBK"/>
          <w:bCs/>
          <w:color w:val="000000"/>
          <w:kern w:val="0"/>
          <w:sz w:val="44"/>
          <w:szCs w:val="44"/>
          <w:lang w:bidi="ar"/>
        </w:rPr>
      </w:pPr>
      <w:r>
        <w:rPr>
          <w:rFonts w:eastAsia="方正小标宋_GBK"/>
          <w:bCs/>
          <w:color w:val="000000"/>
          <w:kern w:val="0"/>
          <w:sz w:val="44"/>
          <w:szCs w:val="44"/>
          <w:lang w:bidi="ar"/>
        </w:rPr>
        <w:t>重庆市汽车租赁经营者（企业）信用评价标准</w:t>
      </w:r>
    </w:p>
    <w:p>
      <w:pPr>
        <w:spacing w:line="600" w:lineRule="exact"/>
        <w:jc w:val="left"/>
        <w:rPr>
          <w:bCs/>
          <w:color w:val="000000"/>
          <w:kern w:val="0"/>
          <w:sz w:val="32"/>
          <w:szCs w:val="32"/>
          <w:lang w:bidi="ar"/>
        </w:rPr>
      </w:pPr>
      <w:r>
        <w:rPr>
          <w:rFonts w:eastAsia="方正仿宋_GBK"/>
          <w:bCs/>
          <w:color w:val="000000"/>
          <w:kern w:val="0"/>
          <w:sz w:val="28"/>
          <w:szCs w:val="28"/>
          <w:lang w:bidi="ar"/>
        </w:rPr>
        <w:t>被评价企业：                                                            评价年度：</w:t>
      </w:r>
    </w:p>
    <w:tbl>
      <w:tblPr>
        <w:tblStyle w:val="14"/>
        <w:tblW w:w="14060" w:type="dxa"/>
        <w:jc w:val="center"/>
        <w:tblLayout w:type="fixed"/>
        <w:tblCellMar>
          <w:top w:w="0" w:type="dxa"/>
          <w:left w:w="108" w:type="dxa"/>
          <w:bottom w:w="0" w:type="dxa"/>
          <w:right w:w="108" w:type="dxa"/>
        </w:tblCellMar>
      </w:tblPr>
      <w:tblGrid>
        <w:gridCol w:w="555"/>
        <w:gridCol w:w="1280"/>
        <w:gridCol w:w="2089"/>
        <w:gridCol w:w="757"/>
        <w:gridCol w:w="4360"/>
        <w:gridCol w:w="1547"/>
        <w:gridCol w:w="950"/>
        <w:gridCol w:w="1845"/>
        <w:gridCol w:w="677"/>
      </w:tblGrid>
      <w:tr>
        <w:tblPrEx>
          <w:tblCellMar>
            <w:top w:w="0" w:type="dxa"/>
            <w:left w:w="108" w:type="dxa"/>
            <w:bottom w:w="0" w:type="dxa"/>
            <w:right w:w="108" w:type="dxa"/>
          </w:tblCellMar>
        </w:tblPrEx>
        <w:trPr>
          <w:trHeight w:val="731" w:hRule="atLeast"/>
          <w:tblHeader/>
          <w:jc w:val="center"/>
        </w:trPr>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序号</w:t>
            </w:r>
          </w:p>
        </w:tc>
        <w:tc>
          <w:tcPr>
            <w:tcW w:w="1280" w:type="dxa"/>
            <w:tcBorders>
              <w:top w:val="single" w:color="000000" w:sz="4" w:space="0"/>
              <w:left w:val="single" w:color="auto" w:sz="4" w:space="0"/>
              <w:bottom w:val="single" w:color="auto" w:sz="4" w:space="0"/>
              <w:right w:val="single" w:color="000000" w:sz="4" w:space="0"/>
            </w:tcBorders>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一级指标及分值</w:t>
            </w:r>
          </w:p>
        </w:tc>
        <w:tc>
          <w:tcPr>
            <w:tcW w:w="2089"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二级指标</w:t>
            </w:r>
          </w:p>
        </w:tc>
        <w:tc>
          <w:tcPr>
            <w:tcW w:w="757"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分值</w:t>
            </w:r>
          </w:p>
        </w:tc>
        <w:tc>
          <w:tcPr>
            <w:tcW w:w="6857" w:type="dxa"/>
            <w:gridSpan w:val="3"/>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评分标准</w:t>
            </w:r>
          </w:p>
        </w:tc>
        <w:tc>
          <w:tcPr>
            <w:tcW w:w="1845"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数据来源</w:t>
            </w:r>
          </w:p>
        </w:tc>
        <w:tc>
          <w:tcPr>
            <w:tcW w:w="677" w:type="dxa"/>
            <w:tcBorders>
              <w:top w:val="single" w:color="000000" w:sz="4" w:space="0"/>
              <w:left w:val="nil"/>
              <w:bottom w:val="single" w:color="auto"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szCs w:val="21"/>
              </w:rPr>
              <w:t>得分</w:t>
            </w:r>
          </w:p>
        </w:tc>
      </w:tr>
      <w:tr>
        <w:tblPrEx>
          <w:tblCellMar>
            <w:top w:w="0" w:type="dxa"/>
            <w:left w:w="108" w:type="dxa"/>
            <w:bottom w:w="0" w:type="dxa"/>
            <w:right w:w="108" w:type="dxa"/>
          </w:tblCellMar>
        </w:tblPrEx>
        <w:trPr>
          <w:trHeight w:val="1125"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楷体_GBK"/>
                <w:color w:val="000000"/>
                <w:kern w:val="0"/>
                <w:sz w:val="22"/>
                <w:szCs w:val="22"/>
                <w:lang w:bidi="ar"/>
              </w:rPr>
            </w:pPr>
            <w:r>
              <w:rPr>
                <w:rFonts w:eastAsia="方正楷体_GBK"/>
                <w:color w:val="000000"/>
                <w:kern w:val="0"/>
                <w:sz w:val="22"/>
                <w:szCs w:val="22"/>
                <w:lang w:bidi="ar"/>
              </w:rPr>
              <w:t>经营管理</w:t>
            </w:r>
          </w:p>
          <w:p>
            <w:pPr>
              <w:widowControl/>
              <w:spacing w:line="260" w:lineRule="exact"/>
              <w:jc w:val="center"/>
              <w:textAlignment w:val="center"/>
              <w:rPr>
                <w:rFonts w:eastAsia="方正楷体_GBK"/>
                <w:bCs/>
                <w:color w:val="000000"/>
                <w:sz w:val="22"/>
                <w:szCs w:val="22"/>
              </w:rPr>
            </w:pPr>
            <w:r>
              <w:rPr>
                <w:rFonts w:eastAsia="方正楷体_GBK"/>
                <w:color w:val="000000"/>
                <w:kern w:val="0"/>
                <w:sz w:val="22"/>
                <w:szCs w:val="22"/>
                <w:lang w:bidi="ar"/>
              </w:rPr>
              <w:t>（20分）</w:t>
            </w:r>
          </w:p>
        </w:tc>
        <w:tc>
          <w:tcPr>
            <w:tcW w:w="208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落实行业管理要求</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color w:val="000000"/>
              </w:rPr>
            </w:pPr>
            <w:r>
              <w:rPr>
                <w:rFonts w:eastAsia="方正楷体_GBK"/>
                <w:color w:val="000000"/>
                <w:kern w:val="0"/>
                <w:sz w:val="24"/>
                <w:lang w:bidi="ar"/>
              </w:rPr>
              <w:t>10</w:t>
            </w:r>
          </w:p>
        </w:tc>
        <w:tc>
          <w:tcPr>
            <w:tcW w:w="685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textAlignment w:val="center"/>
              <w:rPr>
                <w:rFonts w:eastAsia="方正楷体_GBK"/>
                <w:bCs/>
                <w:color w:val="000000"/>
                <w:sz w:val="24"/>
              </w:rPr>
            </w:pPr>
            <w:r>
              <w:rPr>
                <w:rFonts w:eastAsia="方正仿宋_GBK"/>
                <w:color w:val="000000"/>
                <w:kern w:val="0"/>
                <w:sz w:val="22"/>
                <w:szCs w:val="22"/>
                <w:lang w:bidi="ar"/>
              </w:rPr>
              <w:t>不按照行业管理的要求或者行业自律安排，在落实工作责任或者维护行业运营秩序方面存在问题被交通行业管理部门通报，轻微事项的每次0.5分，情形严重的每次扣1分；被行政管理部门约谈的，每次加扣2分，约谈后仍不整改的，每次加扣3分。</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楷体_GBK"/>
                <w:bCs/>
                <w:color w:val="000000"/>
                <w:sz w:val="24"/>
              </w:rPr>
            </w:pPr>
          </w:p>
        </w:tc>
      </w:tr>
      <w:tr>
        <w:tblPrEx>
          <w:tblCellMar>
            <w:top w:w="0" w:type="dxa"/>
            <w:left w:w="108" w:type="dxa"/>
            <w:bottom w:w="0" w:type="dxa"/>
            <w:right w:w="108" w:type="dxa"/>
          </w:tblCellMar>
        </w:tblPrEx>
        <w:trPr>
          <w:trHeight w:val="807"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2</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承诺履行情况</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85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在行政管理事项中按要求作出了承诺但不履行被通报的，每次扣2分；被行政管理部门约谈的，每次加扣2分，经约谈、告诫提醒后仍不履行的，每次加扣3分。</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851"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3</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楷体_GBK"/>
                <w:color w:val="000000"/>
                <w:kern w:val="0"/>
                <w:sz w:val="22"/>
                <w:szCs w:val="22"/>
                <w:lang w:bidi="ar"/>
              </w:rPr>
            </w:pPr>
            <w:r>
              <w:rPr>
                <w:rFonts w:eastAsia="方正楷体_GBK"/>
                <w:color w:val="000000"/>
                <w:kern w:val="0"/>
                <w:sz w:val="22"/>
                <w:szCs w:val="22"/>
                <w:lang w:bidi="ar"/>
              </w:rPr>
              <w:t>安全生产</w:t>
            </w:r>
          </w:p>
          <w:p>
            <w:pPr>
              <w:widowControl/>
              <w:spacing w:line="260" w:lineRule="exact"/>
              <w:jc w:val="center"/>
              <w:textAlignment w:val="center"/>
              <w:rPr>
                <w:rFonts w:eastAsia="方正楷体_GBK"/>
                <w:bCs/>
                <w:color w:val="000000"/>
                <w:sz w:val="22"/>
                <w:szCs w:val="22"/>
              </w:rPr>
            </w:pPr>
            <w:r>
              <w:rPr>
                <w:rFonts w:eastAsia="方正楷体_GBK"/>
                <w:color w:val="000000"/>
                <w:kern w:val="0"/>
                <w:sz w:val="22"/>
                <w:szCs w:val="22"/>
                <w:lang w:bidi="ar"/>
              </w:rPr>
              <w:t>（30分）</w:t>
            </w:r>
          </w:p>
        </w:tc>
        <w:tc>
          <w:tcPr>
            <w:tcW w:w="208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责任事故伤人率</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color w:val="000000"/>
              </w:rPr>
            </w:pPr>
            <w:r>
              <w:rPr>
                <w:rFonts w:eastAsia="方正仿宋_GBK"/>
                <w:color w:val="000000"/>
                <w:kern w:val="0"/>
                <w:sz w:val="22"/>
                <w:szCs w:val="22"/>
                <w:lang w:bidi="ar"/>
              </w:rPr>
              <w:t>15</w:t>
            </w:r>
          </w:p>
        </w:tc>
        <w:tc>
          <w:tcPr>
            <w:tcW w:w="685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承租人承租期间发生安全事故造成人员伤亡，经公安部门认定车辆存在技术问题，或者未按要求保持车辆技术性能完好所采取必要的维护等原因导致的，仅有人员受伤的，每人次扣0.1分；有人员死亡情况的，每死亡1人扣5分；</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公安部门数据共享（年度统计）</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505"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4</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安全事故报告情况</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color w:val="000000"/>
              </w:rPr>
            </w:pPr>
            <w:r>
              <w:rPr>
                <w:rFonts w:eastAsia="方正仿宋_GBK"/>
                <w:color w:val="000000"/>
                <w:kern w:val="0"/>
                <w:sz w:val="22"/>
                <w:szCs w:val="22"/>
                <w:lang w:bidi="ar"/>
              </w:rPr>
              <w:t>5</w:t>
            </w:r>
          </w:p>
        </w:tc>
        <w:tc>
          <w:tcPr>
            <w:tcW w:w="685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发生拖延报告亡人事故（1小时）的，每次扣0.5分；存在瞒报、谎报亡人事故的，每次扣1分。</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交通和公安部门数据共享</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2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5</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安全生产隐患整顿</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85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按要求落实双重预防机制，扣1分；因存在安全生产隐患，被行政部门挂牌或者通报要求整改的，每次扣2分；因存在严重安全生产隐患，被列入重点安全监管名单的，每次扣3分，被处以部分或者全部停业整顿的，每次扣4分。</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公安应急等部门数据共享</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firstLine="200" w:firstLineChars="100"/>
              <w:jc w:val="left"/>
              <w:rPr>
                <w:rFonts w:eastAsia="仿宋_GB2312"/>
                <w:color w:val="000000"/>
                <w:sz w:val="20"/>
              </w:rPr>
            </w:pPr>
          </w:p>
        </w:tc>
      </w:tr>
      <w:tr>
        <w:tblPrEx>
          <w:tblCellMar>
            <w:top w:w="0" w:type="dxa"/>
            <w:left w:w="108" w:type="dxa"/>
            <w:bottom w:w="0" w:type="dxa"/>
            <w:right w:w="108" w:type="dxa"/>
          </w:tblCellMar>
        </w:tblPrEx>
        <w:trPr>
          <w:trHeight w:val="816"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6</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楷体_GBK"/>
                <w:color w:val="000000"/>
                <w:kern w:val="0"/>
                <w:sz w:val="22"/>
                <w:szCs w:val="22"/>
                <w:lang w:bidi="ar"/>
              </w:rPr>
            </w:pPr>
            <w:r>
              <w:rPr>
                <w:rFonts w:eastAsia="方正楷体_GBK"/>
                <w:color w:val="000000"/>
                <w:kern w:val="0"/>
                <w:sz w:val="22"/>
                <w:szCs w:val="22"/>
                <w:lang w:bidi="ar"/>
              </w:rPr>
              <w:t>服务质量</w:t>
            </w:r>
          </w:p>
          <w:p>
            <w:pPr>
              <w:widowControl/>
              <w:spacing w:line="260" w:lineRule="exact"/>
              <w:jc w:val="center"/>
              <w:textAlignment w:val="center"/>
              <w:rPr>
                <w:rFonts w:eastAsia="方正楷体_GBK"/>
                <w:bCs/>
                <w:color w:val="000000"/>
                <w:sz w:val="22"/>
                <w:szCs w:val="22"/>
              </w:rPr>
            </w:pPr>
            <w:r>
              <w:rPr>
                <w:rFonts w:eastAsia="方正楷体_GBK"/>
                <w:color w:val="000000"/>
                <w:kern w:val="0"/>
                <w:sz w:val="22"/>
                <w:szCs w:val="22"/>
                <w:lang w:bidi="ar"/>
              </w:rPr>
              <w:t>（30分）</w:t>
            </w:r>
          </w:p>
        </w:tc>
        <w:tc>
          <w:tcPr>
            <w:tcW w:w="208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经营服务情况</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color w:val="000000"/>
              </w:rPr>
            </w:pPr>
            <w:r>
              <w:rPr>
                <w:rFonts w:eastAsia="方正仿宋_GBK"/>
                <w:color w:val="000000"/>
                <w:kern w:val="0"/>
                <w:sz w:val="22"/>
                <w:szCs w:val="22"/>
                <w:lang w:bidi="ar"/>
              </w:rPr>
              <w:t>15</w:t>
            </w:r>
          </w:p>
        </w:tc>
        <w:tc>
          <w:tcPr>
            <w:tcW w:w="685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经营者未按期办理转办的服务投诉的，每件次扣0.2分，未按合同要求等落实服务事项被投诉举报并查实的，每件次扣0.5分；经行政管理部门督促仍不落实的，每件次扣1分。</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firstLine="200" w:firstLineChars="100"/>
              <w:jc w:val="left"/>
              <w:rPr>
                <w:rFonts w:eastAsia="仿宋_GB2312"/>
                <w:color w:val="000000"/>
                <w:sz w:val="20"/>
              </w:rPr>
            </w:pPr>
          </w:p>
        </w:tc>
      </w:tr>
      <w:tr>
        <w:tblPrEx>
          <w:tblCellMar>
            <w:top w:w="0" w:type="dxa"/>
            <w:left w:w="108" w:type="dxa"/>
            <w:bottom w:w="0" w:type="dxa"/>
            <w:right w:w="108" w:type="dxa"/>
          </w:tblCellMar>
        </w:tblPrEx>
        <w:trPr>
          <w:trHeight w:val="1085"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7</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投诉处理及执法检查情况</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color w:val="000000"/>
              </w:rPr>
            </w:pPr>
            <w:r>
              <w:rPr>
                <w:rFonts w:eastAsia="方正仿宋_GBK"/>
                <w:color w:val="000000"/>
                <w:kern w:val="0"/>
                <w:sz w:val="22"/>
                <w:szCs w:val="22"/>
                <w:lang w:bidi="ar"/>
              </w:rPr>
              <w:t>15</w:t>
            </w:r>
          </w:p>
        </w:tc>
        <w:tc>
          <w:tcPr>
            <w:tcW w:w="685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交通执法部门查处汽车租赁违法违规行为，并依法做出行政处罚的，每件次扣0.5分；因车辆使用性质未变更而对外租赁被交通执法部门查处的，每件次扣1分；被交通部门通报督促整改的，每次扣1.5分。</w:t>
            </w:r>
          </w:p>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在考核周期届满时，存在未履行交通运输行政处罚决定的，按照该交通运输行政处罚信用扣分标准，再次扣除相应分数。</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677" w:type="dxa"/>
            <w:tcBorders>
              <w:top w:val="single" w:color="auto" w:sz="4" w:space="0"/>
              <w:left w:val="single" w:color="auto" w:sz="4" w:space="0"/>
              <w:bottom w:val="single" w:color="auto" w:sz="4" w:space="0"/>
              <w:right w:val="single" w:color="auto" w:sz="4" w:space="0"/>
            </w:tcBorders>
            <w:vAlign w:val="bottom"/>
          </w:tcPr>
          <w:p>
            <w:pPr>
              <w:widowControl/>
              <w:spacing w:line="260" w:lineRule="exact"/>
              <w:ind w:firstLine="200" w:firstLineChars="100"/>
              <w:jc w:val="left"/>
              <w:rPr>
                <w:rFonts w:eastAsia="仿宋_GB2312"/>
                <w:color w:val="000000"/>
                <w:sz w:val="20"/>
              </w:rPr>
            </w:pPr>
          </w:p>
        </w:tc>
      </w:tr>
      <w:tr>
        <w:tblPrEx>
          <w:tblCellMar>
            <w:top w:w="0" w:type="dxa"/>
            <w:left w:w="108" w:type="dxa"/>
            <w:bottom w:w="0" w:type="dxa"/>
            <w:right w:w="108" w:type="dxa"/>
          </w:tblCellMar>
        </w:tblPrEx>
        <w:trPr>
          <w:trHeight w:val="691"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8</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楷体_GBK"/>
                <w:color w:val="000000"/>
                <w:kern w:val="0"/>
                <w:sz w:val="22"/>
                <w:szCs w:val="22"/>
                <w:lang w:bidi="ar"/>
              </w:rPr>
            </w:pPr>
            <w:r>
              <w:rPr>
                <w:rFonts w:eastAsia="方正楷体_GBK"/>
                <w:color w:val="000000"/>
                <w:kern w:val="0"/>
                <w:sz w:val="22"/>
                <w:szCs w:val="22"/>
                <w:lang w:bidi="ar"/>
              </w:rPr>
              <w:t>社会责任</w:t>
            </w:r>
          </w:p>
          <w:p>
            <w:pPr>
              <w:widowControl/>
              <w:spacing w:line="260" w:lineRule="exact"/>
              <w:jc w:val="center"/>
              <w:textAlignment w:val="center"/>
              <w:rPr>
                <w:rFonts w:eastAsia="方正楷体_GBK"/>
                <w:bCs/>
                <w:color w:val="000000"/>
                <w:sz w:val="22"/>
                <w:szCs w:val="22"/>
              </w:rPr>
            </w:pPr>
            <w:r>
              <w:rPr>
                <w:rFonts w:eastAsia="方正楷体_GBK"/>
                <w:color w:val="000000"/>
                <w:kern w:val="0"/>
                <w:sz w:val="22"/>
                <w:szCs w:val="22"/>
                <w:lang w:bidi="ar"/>
              </w:rPr>
              <w:t>（20分）</w:t>
            </w:r>
          </w:p>
        </w:tc>
        <w:tc>
          <w:tcPr>
            <w:tcW w:w="208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公共事件处置情况</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85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发生公共事件，企业不服从政府或者行政管理调度部署的，每次扣2分；经交通行业管理部门约谈仍不履行的，每次扣3分。</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市级部门数据共享或动态录入</w:t>
            </w:r>
          </w:p>
        </w:tc>
        <w:tc>
          <w:tcPr>
            <w:tcW w:w="677" w:type="dxa"/>
            <w:tcBorders>
              <w:top w:val="single" w:color="auto" w:sz="4" w:space="0"/>
              <w:left w:val="single" w:color="auto" w:sz="4" w:space="0"/>
              <w:bottom w:val="single" w:color="auto" w:sz="4" w:space="0"/>
              <w:right w:val="single" w:color="auto" w:sz="4" w:space="0"/>
            </w:tcBorders>
            <w:vAlign w:val="bottom"/>
          </w:tcPr>
          <w:p>
            <w:pPr>
              <w:widowControl/>
              <w:spacing w:line="260" w:lineRule="exact"/>
              <w:ind w:firstLine="200" w:firstLineChars="100"/>
              <w:jc w:val="left"/>
              <w:rPr>
                <w:rFonts w:eastAsia="仿宋_GB2312"/>
                <w:color w:val="000000"/>
                <w:sz w:val="20"/>
              </w:rPr>
            </w:pPr>
          </w:p>
        </w:tc>
      </w:tr>
      <w:tr>
        <w:tblPrEx>
          <w:tblCellMar>
            <w:top w:w="0" w:type="dxa"/>
            <w:left w:w="108" w:type="dxa"/>
            <w:bottom w:w="0" w:type="dxa"/>
            <w:right w:w="108" w:type="dxa"/>
          </w:tblCellMar>
        </w:tblPrEx>
        <w:trPr>
          <w:trHeight w:val="605"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9</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社会信用情况</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85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企业在经营过程中，因企业经营行为违反法律、法规等被除交通行业管理部门外的有关部门启动调查并被处以行政处罚的，每次扣2分。</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市级部门数据共享或动态录入</w:t>
            </w:r>
          </w:p>
        </w:tc>
        <w:tc>
          <w:tcPr>
            <w:tcW w:w="677" w:type="dxa"/>
            <w:tcBorders>
              <w:top w:val="single" w:color="auto" w:sz="4" w:space="0"/>
              <w:left w:val="single" w:color="auto" w:sz="4" w:space="0"/>
              <w:bottom w:val="single" w:color="auto" w:sz="4" w:space="0"/>
              <w:right w:val="single" w:color="auto" w:sz="4" w:space="0"/>
            </w:tcBorders>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7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10</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楷体_GBK"/>
                <w:bCs/>
                <w:color w:val="000000"/>
                <w:sz w:val="22"/>
                <w:szCs w:val="22"/>
              </w:rPr>
            </w:pPr>
            <w:r>
              <w:rPr>
                <w:rFonts w:eastAsia="方正楷体_GBK"/>
                <w:color w:val="000000"/>
                <w:kern w:val="0"/>
                <w:sz w:val="22"/>
                <w:szCs w:val="22"/>
                <w:lang w:bidi="ar"/>
              </w:rPr>
              <w:t>加分项目</w:t>
            </w:r>
          </w:p>
        </w:tc>
        <w:tc>
          <w:tcPr>
            <w:tcW w:w="208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行业正面典型及荣誉表彰情况</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color w:val="000000"/>
              </w:rPr>
            </w:pPr>
          </w:p>
        </w:tc>
        <w:tc>
          <w:tcPr>
            <w:tcW w:w="685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经营过程中获得了荣誉或者通报表彰的，国家级每次加2分；部级或者市级政府每次加1分；市级部门或者区县政府级加0.5分；区县部门级加0.2分。同一行为多层次表彰的，以最高级别奖励的标准加分。（最高不超过2.5分）</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企业提交动态录入</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43"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11</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新闻媒体正面报道</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color w:val="000000"/>
              </w:rPr>
            </w:pPr>
          </w:p>
        </w:tc>
        <w:tc>
          <w:tcPr>
            <w:tcW w:w="685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企业所属工作人员出现好人好事被新闻媒体报道的，国家级每件次加0.5分；市级每件次加0.3分；区县级每件次加0.1分。同一事迹多层次报道的，以最高级别媒体报道的标准加分。（最高不超过2.5分）</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企业提交动态录入</w:t>
            </w:r>
          </w:p>
        </w:tc>
        <w:tc>
          <w:tcPr>
            <w:tcW w:w="677" w:type="dxa"/>
            <w:tcBorders>
              <w:top w:val="single" w:color="auto" w:sz="4" w:space="0"/>
              <w:left w:val="single" w:color="auto" w:sz="4" w:space="0"/>
              <w:bottom w:val="single" w:color="auto" w:sz="4" w:space="0"/>
              <w:right w:val="single" w:color="auto" w:sz="4" w:space="0"/>
            </w:tcBorders>
          </w:tcPr>
          <w:p>
            <w:pPr>
              <w:pStyle w:val="4"/>
              <w:spacing w:line="260" w:lineRule="exact"/>
              <w:ind w:firstLine="240" w:firstLineChars="100"/>
            </w:pPr>
          </w:p>
        </w:tc>
      </w:tr>
      <w:tr>
        <w:tblPrEx>
          <w:tblCellMar>
            <w:top w:w="0" w:type="dxa"/>
            <w:left w:w="108" w:type="dxa"/>
            <w:bottom w:w="0" w:type="dxa"/>
            <w:right w:w="108" w:type="dxa"/>
          </w:tblCellMar>
        </w:tblPrEx>
        <w:trPr>
          <w:trHeight w:val="335"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方正楷体_GBK"/>
                <w:bCs/>
                <w:color w:val="000000"/>
                <w:sz w:val="22"/>
                <w:szCs w:val="22"/>
              </w:rPr>
            </w:pPr>
            <w:r>
              <w:rPr>
                <w:rFonts w:eastAsia="方正楷体_GBK"/>
                <w:bCs/>
                <w:color w:val="000000"/>
                <w:sz w:val="22"/>
                <w:szCs w:val="22"/>
              </w:rPr>
              <w:t>合计</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楷体_GBK"/>
                <w:bCs/>
                <w:color w:val="000000"/>
                <w:sz w:val="22"/>
                <w:szCs w:val="22"/>
              </w:rPr>
            </w:pPr>
            <w:r>
              <w:rPr>
                <w:rFonts w:eastAsia="方正楷体_GBK"/>
                <w:bCs/>
                <w:color w:val="000000"/>
                <w:sz w:val="22"/>
                <w:szCs w:val="22"/>
              </w:rPr>
              <w:t>100分</w:t>
            </w:r>
          </w:p>
        </w:tc>
        <w:tc>
          <w:tcPr>
            <w:tcW w:w="20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eastAsia="方正仿宋_GBK"/>
                <w:color w:val="000000"/>
                <w:kern w:val="0"/>
                <w:sz w:val="22"/>
                <w:szCs w:val="22"/>
                <w:lang w:bidi="ar"/>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eastAsia="方正仿宋_GBK"/>
                <w:color w:val="000000"/>
                <w:spacing w:val="-20"/>
                <w:kern w:val="0"/>
                <w:sz w:val="22"/>
                <w:szCs w:val="22"/>
                <w:lang w:bidi="ar"/>
              </w:rPr>
            </w:pPr>
            <w:r>
              <w:rPr>
                <w:rFonts w:eastAsia="方正仿宋_GBK"/>
                <w:color w:val="000000"/>
                <w:spacing w:val="-20"/>
                <w:kern w:val="0"/>
                <w:sz w:val="22"/>
                <w:szCs w:val="22"/>
                <w:lang w:bidi="ar"/>
              </w:rPr>
              <w:t>100分</w:t>
            </w:r>
          </w:p>
        </w:tc>
        <w:tc>
          <w:tcPr>
            <w:tcW w:w="685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方正仿宋_GBK"/>
                <w:color w:val="000000"/>
                <w:kern w:val="0"/>
                <w:sz w:val="22"/>
                <w:szCs w:val="22"/>
                <w:lang w:bidi="ar"/>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方正仿宋_GBK"/>
                <w:color w:val="000000"/>
                <w:kern w:val="0"/>
                <w:sz w:val="22"/>
                <w:szCs w:val="22"/>
                <w:lang w:bidi="ar"/>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sz w:val="20"/>
              </w:rPr>
            </w:pPr>
          </w:p>
        </w:tc>
      </w:tr>
      <w:tr>
        <w:tblPrEx>
          <w:tblCellMar>
            <w:top w:w="0" w:type="dxa"/>
            <w:left w:w="108" w:type="dxa"/>
            <w:bottom w:w="0" w:type="dxa"/>
            <w:right w:w="108" w:type="dxa"/>
          </w:tblCellMar>
        </w:tblPrEx>
        <w:trPr>
          <w:trHeight w:val="397" w:hRule="atLeast"/>
          <w:jc w:val="center"/>
        </w:trPr>
        <w:tc>
          <w:tcPr>
            <w:tcW w:w="1835"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评价结论</w:t>
            </w:r>
          </w:p>
        </w:tc>
        <w:tc>
          <w:tcPr>
            <w:tcW w:w="208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10136" w:type="dxa"/>
            <w:gridSpan w:val="6"/>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CellMar>
            <w:top w:w="0" w:type="dxa"/>
            <w:left w:w="108" w:type="dxa"/>
            <w:bottom w:w="0" w:type="dxa"/>
            <w:right w:w="108" w:type="dxa"/>
          </w:tblCellMar>
        </w:tblPrEx>
        <w:trPr>
          <w:trHeight w:val="397" w:hRule="atLeast"/>
          <w:jc w:val="center"/>
        </w:trPr>
        <w:tc>
          <w:tcPr>
            <w:tcW w:w="183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评价机构</w:t>
            </w:r>
          </w:p>
        </w:tc>
        <w:tc>
          <w:tcPr>
            <w:tcW w:w="10136" w:type="dxa"/>
            <w:gridSpan w:val="6"/>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397" w:hRule="atLeast"/>
          <w:jc w:val="center"/>
        </w:trPr>
        <w:tc>
          <w:tcPr>
            <w:tcW w:w="183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经办人</w:t>
            </w:r>
          </w:p>
        </w:tc>
        <w:tc>
          <w:tcPr>
            <w:tcW w:w="5117"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olor w:val="000000"/>
                <w:kern w:val="0"/>
                <w:sz w:val="22"/>
                <w:szCs w:val="22"/>
                <w:lang w:bidi="ar"/>
              </w:rPr>
            </w:pP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评价日期</w:t>
            </w:r>
          </w:p>
        </w:tc>
        <w:tc>
          <w:tcPr>
            <w:tcW w:w="3472"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仿宋_GB2312"/>
                <w:color w:val="000000"/>
                <w:sz w:val="20"/>
              </w:rPr>
            </w:pPr>
            <w:r>
              <w:rPr>
                <w:rFonts w:eastAsia="仿宋_GB2312"/>
                <w:color w:val="000000"/>
                <w:sz w:val="20"/>
              </w:rPr>
              <w:t xml:space="preserve">         年    月    日</w:t>
            </w:r>
          </w:p>
        </w:tc>
      </w:tr>
    </w:tbl>
    <w:p>
      <w:pPr>
        <w:spacing w:line="260" w:lineRule="exact"/>
        <w:ind w:firstLine="480" w:firstLineChars="200"/>
        <w:rPr>
          <w:rFonts w:eastAsia="方正仿宋_GBK"/>
          <w:color w:val="000000"/>
          <w:sz w:val="24"/>
        </w:rPr>
      </w:pPr>
      <w:r>
        <w:rPr>
          <w:rFonts w:eastAsia="方正仿宋_GBK"/>
          <w:color w:val="000000"/>
          <w:sz w:val="24"/>
        </w:rPr>
        <w:t>备注：每个考核专项以分项分值为最高扣（加）分，此项扣（加）满最高分后，不再额外增加扣（加）分；</w:t>
      </w:r>
    </w:p>
    <w:p>
      <w:pPr>
        <w:spacing w:line="260" w:lineRule="exact"/>
        <w:rPr>
          <w:rFonts w:eastAsia="方正黑体_GBK"/>
          <w:color w:val="000000"/>
          <w:sz w:val="32"/>
          <w:szCs w:val="32"/>
        </w:rPr>
        <w:sectPr>
          <w:pgSz w:w="16838" w:h="11906" w:orient="landscape"/>
          <w:pgMar w:top="2098" w:right="1474" w:bottom="1984" w:left="1587" w:header="851" w:footer="992" w:gutter="0"/>
          <w:pgNumType w:fmt="numberInDash"/>
          <w:cols w:space="720" w:num="1"/>
          <w:docGrid w:type="lines" w:linePitch="312" w:charSpace="0"/>
        </w:sectPr>
      </w:pPr>
    </w:p>
    <w:p>
      <w:pPr>
        <w:spacing w:line="500" w:lineRule="exact"/>
        <w:jc w:val="lef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附件1-12</w:t>
      </w:r>
    </w:p>
    <w:p>
      <w:pPr>
        <w:pStyle w:val="13"/>
        <w:spacing w:after="0" w:line="500" w:lineRule="exact"/>
        <w:rPr>
          <w:rFonts w:hint="eastAsia"/>
        </w:rPr>
      </w:pPr>
    </w:p>
    <w:p>
      <w:pPr>
        <w:spacing w:line="500" w:lineRule="exact"/>
        <w:jc w:val="center"/>
        <w:rPr>
          <w:rFonts w:eastAsia="方正小标宋_GBK"/>
          <w:bCs/>
          <w:dstrike/>
          <w:color w:val="000000"/>
          <w:kern w:val="0"/>
          <w:sz w:val="44"/>
          <w:szCs w:val="44"/>
          <w:lang w:bidi="ar"/>
        </w:rPr>
      </w:pPr>
      <w:r>
        <w:rPr>
          <w:rFonts w:eastAsia="方正小标宋_GBK"/>
          <w:bCs/>
          <w:color w:val="000000"/>
          <w:kern w:val="0"/>
          <w:sz w:val="44"/>
          <w:szCs w:val="44"/>
          <w:lang w:bidi="ar"/>
        </w:rPr>
        <w:t>重庆市道路运输</w:t>
      </w:r>
      <w:r>
        <w:rPr>
          <w:rFonts w:hint="eastAsia" w:eastAsia="方正小标宋_GBK"/>
          <w:bCs/>
          <w:color w:val="000000"/>
          <w:kern w:val="0"/>
          <w:sz w:val="44"/>
          <w:szCs w:val="44"/>
          <w:lang w:bidi="ar"/>
        </w:rPr>
        <w:t>从业人员（</w:t>
      </w:r>
      <w:r>
        <w:rPr>
          <w:rFonts w:eastAsia="方正小标宋_GBK"/>
          <w:bCs/>
          <w:color w:val="000000"/>
          <w:kern w:val="0"/>
          <w:sz w:val="44"/>
          <w:szCs w:val="44"/>
          <w:lang w:bidi="ar"/>
        </w:rPr>
        <w:t>驾驶员</w:t>
      </w:r>
      <w:r>
        <w:rPr>
          <w:rFonts w:hint="eastAsia" w:eastAsia="方正小标宋_GBK"/>
          <w:bCs/>
          <w:color w:val="000000"/>
          <w:kern w:val="0"/>
          <w:sz w:val="44"/>
          <w:szCs w:val="44"/>
          <w:lang w:bidi="ar"/>
        </w:rPr>
        <w:t>）</w:t>
      </w:r>
      <w:r>
        <w:rPr>
          <w:rFonts w:eastAsia="方正小标宋_GBK"/>
          <w:bCs/>
          <w:color w:val="000000"/>
          <w:kern w:val="0"/>
          <w:sz w:val="44"/>
          <w:szCs w:val="44"/>
          <w:lang w:bidi="ar"/>
        </w:rPr>
        <w:t>信用评价（</w:t>
      </w:r>
      <w:r>
        <w:rPr>
          <w:rFonts w:eastAsia="方正小标宋_GBK"/>
          <w:bCs/>
          <w:kern w:val="0"/>
          <w:sz w:val="44"/>
          <w:szCs w:val="44"/>
          <w:lang w:bidi="ar"/>
        </w:rPr>
        <w:t>诚信考核）标准</w:t>
      </w:r>
    </w:p>
    <w:tbl>
      <w:tblPr>
        <w:tblStyle w:val="14"/>
        <w:tblW w:w="139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734"/>
        <w:gridCol w:w="8640"/>
        <w:gridCol w:w="1108"/>
        <w:gridCol w:w="34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tblHeader/>
          <w:jc w:val="center"/>
        </w:trPr>
        <w:tc>
          <w:tcPr>
            <w:tcW w:w="734" w:type="dxa"/>
            <w:noWrap/>
            <w:vAlign w:val="center"/>
          </w:tcPr>
          <w:p>
            <w:pPr>
              <w:overflowPunct w:val="0"/>
              <w:spacing w:line="260" w:lineRule="exact"/>
              <w:contextualSpacing/>
              <w:jc w:val="center"/>
              <w:rPr>
                <w:rFonts w:eastAsia="方正黑体_GBK"/>
                <w:bCs/>
                <w:color w:val="000000"/>
                <w:sz w:val="24"/>
              </w:rPr>
            </w:pPr>
            <w:r>
              <w:rPr>
                <w:rFonts w:eastAsia="方正黑体_GBK"/>
                <w:bCs/>
                <w:color w:val="000000"/>
                <w:sz w:val="24"/>
              </w:rPr>
              <w:t>序号</w:t>
            </w:r>
          </w:p>
        </w:tc>
        <w:tc>
          <w:tcPr>
            <w:tcW w:w="8640" w:type="dxa"/>
            <w:noWrap/>
            <w:vAlign w:val="center"/>
          </w:tcPr>
          <w:p>
            <w:pPr>
              <w:overflowPunct w:val="0"/>
              <w:spacing w:line="260" w:lineRule="exact"/>
              <w:contextualSpacing/>
              <w:jc w:val="center"/>
              <w:rPr>
                <w:rFonts w:eastAsia="方正黑体_GBK"/>
                <w:bCs/>
                <w:color w:val="000000"/>
                <w:sz w:val="24"/>
              </w:rPr>
            </w:pPr>
            <w:r>
              <w:rPr>
                <w:rFonts w:eastAsia="方正黑体_GBK"/>
                <w:bCs/>
                <w:color w:val="000000"/>
                <w:sz w:val="24"/>
              </w:rPr>
              <w:t>计分事项</w:t>
            </w:r>
          </w:p>
        </w:tc>
        <w:tc>
          <w:tcPr>
            <w:tcW w:w="1108" w:type="dxa"/>
            <w:noWrap/>
            <w:vAlign w:val="center"/>
          </w:tcPr>
          <w:p>
            <w:pPr>
              <w:overflowPunct w:val="0"/>
              <w:spacing w:line="260" w:lineRule="exact"/>
              <w:contextualSpacing/>
              <w:jc w:val="center"/>
              <w:rPr>
                <w:rFonts w:eastAsia="方正黑体_GBK"/>
                <w:bCs/>
                <w:color w:val="000000"/>
                <w:sz w:val="24"/>
              </w:rPr>
            </w:pPr>
            <w:r>
              <w:rPr>
                <w:rFonts w:eastAsia="方正黑体_GBK"/>
                <w:bCs/>
                <w:color w:val="000000"/>
                <w:sz w:val="24"/>
              </w:rPr>
              <w:t>计分分值</w:t>
            </w:r>
          </w:p>
        </w:tc>
        <w:tc>
          <w:tcPr>
            <w:tcW w:w="3450" w:type="dxa"/>
            <w:noWrap/>
            <w:vAlign w:val="center"/>
          </w:tcPr>
          <w:p>
            <w:pPr>
              <w:overflowPunct w:val="0"/>
              <w:spacing w:line="260" w:lineRule="exact"/>
              <w:contextualSpacing/>
              <w:jc w:val="center"/>
              <w:rPr>
                <w:rFonts w:eastAsia="方正黑体_GBK"/>
                <w:bCs/>
                <w:color w:val="000000"/>
                <w:sz w:val="24"/>
              </w:rPr>
            </w:pPr>
            <w:r>
              <w:rPr>
                <w:rFonts w:eastAsia="方正黑体_GBK"/>
                <w:bCs/>
                <w:color w:val="000000"/>
                <w:sz w:val="24"/>
              </w:rPr>
              <w:t>信息来源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未取得道路运输经营许可，擅自从事道路运输经营活动的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超越从业资格证件核定范围，从事道路运输活动的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转借、转让、出租、涂改从业资格证、车辆营运证以及其他证件的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发生死亡一人以上交通事故，驾驶人员负同等及以上责任的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本次诚信考核过程中发现其有弄虚作假、隐瞒相关诚信考核情况，且情节严重的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驾驶未取得《道路运输证》的危险货物运输车辆，擅自从事道路危险货物运输的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41"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7</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在危险货物运输过程中发生燃烧、爆炸、污染、中毒或者被盗、丢失、流散、泄漏等事故时，驾驶员未按照要求进行应急处置并报告的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8</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出租汽车驾驶员拾到乘客遗留物品拒不上交的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9</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出租汽车驾驶员拒绝接受依法检查，或者采取故意堵塞交通等方式阻碍行政执法的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2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出租汽车驾驶员违反法律法规，参与影响社会公共秩序、损害社会公共利益等停运事件的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11</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转让、倒卖、伪造巡游出租汽车相关票据的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08"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12</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网络预约出租汽车驾驶员对举报、投诉其服务质量或者对其服务作出不满意评价的乘客实施报复行为的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13</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驾驶其他道路运输经营者的车辆从事营运的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pStyle w:val="13"/>
              <w:spacing w:after="0" w:line="260" w:lineRule="exact"/>
              <w:ind w:left="0" w:leftChars="0" w:firstLine="0" w:firstLineChars="0"/>
              <w:jc w:val="center"/>
              <w:rPr>
                <w:rFonts w:eastAsia="方正仿宋_GBK"/>
                <w:color w:val="000000"/>
                <w:kern w:val="0"/>
                <w:sz w:val="24"/>
                <w:lang w:bidi="ar"/>
              </w:rPr>
            </w:pPr>
            <w:r>
              <w:rPr>
                <w:rFonts w:eastAsia="方正仿宋_GBK"/>
                <w:color w:val="000000"/>
                <w:kern w:val="0"/>
                <w:sz w:val="24"/>
                <w:lang w:bidi="ar"/>
              </w:rPr>
              <w:t>14</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将车辆交给无相应从业资格证的人员从事营运的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45"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15</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破坏卫星定位装置、视频监控装置以及恶意人为干扰、屏蔽卫星定位装置、视频监控装置的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16</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使用失效、伪造、变造的从业资格证，从事道路运输经营活动的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17</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考核周期内，发生一次死亡1人及以上道路运输责任事故，负次要责任的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公安部门数据共享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18</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有受到省级及以上交通运输主管部门通报的服务质量记录的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06"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19</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驾驶未取得《道路运输证》的旅客或者货物运输车辆，从事道路旅客或者货物运输经营活动的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驾驶未取得《超限运输车辆通行证》的车辆，从事超限运输经营活动的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76"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21</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发生突发事件时，客运驾驶员等从业人员未</w:t>
            </w:r>
            <w:r>
              <w:rPr>
                <w:rFonts w:hint="eastAsia" w:eastAsia="方正仿宋_GBK"/>
                <w:color w:val="000000"/>
                <w:kern w:val="0"/>
                <w:sz w:val="24"/>
                <w:lang w:bidi="ar"/>
              </w:rPr>
              <w:t>及时处置，或未保护乘客安全</w:t>
            </w:r>
            <w:r>
              <w:rPr>
                <w:rFonts w:eastAsia="方正仿宋_GBK"/>
                <w:color w:val="000000"/>
                <w:kern w:val="0"/>
                <w:sz w:val="24"/>
                <w:lang w:bidi="ar"/>
              </w:rPr>
              <w:t>，先于乘客弃车逃离的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22</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驾驶无包车客运标志牌的车辆，从事客运包车经营的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23</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公共汽车客运驾驶员未按照核准的线路和站点营运，擅自跨线营运的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24</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道路危险货物运输驾驶员不按规定，将危险货物与普通货物混装的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95"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25</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道路危险货物运输驾驶员利用危险货物运输车辆运输食品、生活用品、药品、医疗器具的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26</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起讫点均不在许可的经营区域从事巡游出租汽车经营活动的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27</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接受巡游出租汽车电召任务后未履行约定的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63"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28</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未经约车人或者乘客同意、网络预约出租汽车驾驶员无正当理由未按承诺到达约定地点提供预约服务</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29</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驾驶擅自改装的车辆，从事道路运输经营活动的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30</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有受到设区的市级交通运输主管部门通报的服务质量记录的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31</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驾驶长途客运班车凌晨2时至5时违规运行或者虚假接驳的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公安部门数据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32</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随意上下客、滞站揽客、中途甩客、拒载和倒客</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33</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驾驶无道路客运班线经营许可的车辆，从事班车客运经营的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34</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驾驶客运班车不按批准的客运站点停靠或者不按规定的线路、班次行驶的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35</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道路旅客运输驾驶员在沿途、站外、旅游景区停车场内揽客的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36</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道路旅客运输驾驶员中途甩客或者倒客的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37</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在旅客运输途中擅自变更运输车辆或者将旅客移交他人运输的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38</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驾驶客运包车未按照约定的时间、起始地、目的地或者线路行驶的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39</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未配合汽车客运站执行车辆安全例行检查以及出站检查制度，擅自驾驶客车出站的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40</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危险货物道路运输驾驶员未按照规定悬挂符合国家标准的标志灯和标志牌的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41</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未执行国家和本市出租汽车客运经营服务规范、标准</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overflowPunct w:val="0"/>
              <w:spacing w:line="260" w:lineRule="exact"/>
              <w:contextualSpacing/>
              <w:jc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23"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42</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遮挡、损毁车载智能终端或者车载智能终端具备在线支付功能拒绝乘客使用终端支付运费</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43</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有言行骚扰、侮辱乘客、随地便溺等违背社会公序良俗的行为</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44</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未明示从业服务注册信息</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45</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在未开启空车标志的情况下揽客，或者开启空车标志时拒载</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46</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以预设目的地的方式从事定线运输</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47</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未经乘客同意擅自变更乘客指定的行驶路线</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48</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未经乘客同意，搭载其他乘客</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99"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49</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网络预约出租汽车驾驶员未通过取得经营许可的网络预约出租汽车平台公司获取订单，从事运输服务的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50</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出租汽车驾驶员营运途中甩客或者故意绕道行驶</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51</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在机场、火车站、汽车客运站、港口、公共交通枢纽等客流集散地不服从调度私自揽客的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52</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网络预约出租汽车驾驶员违反规定巡游揽客、站点候客</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53</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实际提供服务车辆、驾驶员与线上提供服务车辆驾驶员不一致的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54</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驾驶未按规定维护、检测的车辆，从事道路运输经营活动的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55</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未按《道路运输从业人员管理规定》及本细则要求参加继续教育的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76"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56</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有受到县级交通运输主管部门通报、行业协会组织公告、有关媒体曝光并经核实的服务质量记录的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16"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57</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驾驶未按规定投保承运人责任险的车辆，从事道路旅客或者危险货物运输经营活动的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178"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58</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疲劳驾驶的，或者客运驾驶员24小时累计驾驶时间超过8个小时，日间连续驾驶超过4个小时，夜间连续驾驶超过2个小时，每次停车休息时间少于20分钟的；道路货物运输驾驶员和道路危险货物运输驾驶员连续驾驶时间超过4个小时，每次停车休息时间少于20分钟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13"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59</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在运营途中发生故障不能继续运营时，未按照乘客意愿安排乘客免费乘坐同线路同方向的公共汽车客运车辆或者未按照票价退还车费</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60</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道路货物运输驾驶员没有采取必要措施防止货物脱落、扬撒的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61</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取得从业资格证的出租汽车驾驶员，未经从业资格注册，从事出租汽车客运服务</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62</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出租汽车驾驶员不按照规定使用文明用语，车容车貌不符合要求的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89"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63</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巡游出租汽车驾驶员不按照规定使用计程计价设备、违规收费或者网络预约出租汽车驾驶员违规收费</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27"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64</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通过12328交通运输服务监督热线受理、12345等地方政务服务便民热线转办的投诉举报，经核实属实且有责的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65</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公共汽车客运驾驶员未为老、弱、病、残、孕和携带婴幼儿的乘客提供必要帮助的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66</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未按规定随车携带《道路客运班线经营信息表》，从事班线客运经营的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06"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67</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未随车携带包车客运标志牌或者包车合同，或者未在规定位置放置班车客运标志牌的，承运国家规定限运、凭证运输的货物未随车携带准运证明或者批准手续的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68</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道路旅客运输驾驶员和道路危险货物运输驾驶员未按照规定填写行车日志的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1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69</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危险货物道路运输驾驶员未按照规定随车携带危险货物运单、安全卡</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bl>
    <w:p>
      <w:pPr>
        <w:spacing w:line="600" w:lineRule="exact"/>
        <w:rPr>
          <w:lang w:val="en"/>
        </w:rPr>
      </w:pPr>
    </w:p>
    <w:p>
      <w:pPr>
        <w:rPr>
          <w:lang w:val="en"/>
        </w:rPr>
      </w:pPr>
    </w:p>
    <w:sectPr>
      <w:pgSz w:w="16838" w:h="11906" w:orient="landscape"/>
      <w:pgMar w:top="1587" w:right="1962" w:bottom="1474" w:left="1848" w:header="851" w:footer="283"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p>
    <w:pPr>
      <w:pStyle w:val="11"/>
      <w:ind w:left="4788" w:leftChars="2280" w:firstLine="6400" w:firstLineChars="2000"/>
      <w:rPr>
        <w:sz w:val="32"/>
      </w:rPr>
    </w:pPr>
  </w:p>
  <w:p>
    <w:pPr>
      <w:pStyle w:val="11"/>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重庆市交通局发布</w:t>
    </w:r>
    <w:r>
      <w:rPr>
        <w:rFonts w:ascii="宋体" w:hAnsi="宋体" w:eastAsia="宋体" w:cs="宋体"/>
        <w:b/>
        <w:bCs/>
        <w:color w:val="005192"/>
        <w:sz w:val="28"/>
        <w:szCs w:val="44"/>
      </w:rPr>
      <w:t xml:space="preserve">     </w:t>
    </w:r>
  </w:p>
  <w:p>
    <w:pPr>
      <w:pStyle w:val="10"/>
    </w:pPr>
    <w:r>
      <w:rPr>
        <w:color w:val="FAFAFA"/>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-356870</wp:posOffset>
              </wp:positionV>
              <wp:extent cx="8550275" cy="0"/>
              <wp:effectExtent l="0" t="0" r="22860" b="19050"/>
              <wp:wrapNone/>
              <wp:docPr id="11" name="直接连接符 11"/>
              <wp:cNvGraphicFramePr/>
              <a:graphic xmlns:a="http://schemas.openxmlformats.org/drawingml/2006/main">
                <a:graphicData uri="http://schemas.microsoft.com/office/word/2010/wordprocessingShape">
                  <wps:wsp>
                    <wps:cNvCnPr/>
                    <wps:spPr>
                      <a:xfrm>
                        <a:off x="0" y="0"/>
                        <a:ext cx="8550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28.1pt;height:0pt;width:673.25pt;mso-position-horizontal:center;mso-position-horizontal-relative:margin;z-index:251660288;mso-width-relative:page;mso-height-relative:page;" filled="f" stroked="t" coordsize="21600,21600" o:gfxdata="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ZMrK7VAAAA&#10;CQEAAA8AAAAAAAAAAQAgAAAAIgAAAGRycy9kb3ducmV2LnhtbFBLAQIUABQAAAAIAIdO4kBJ/h3f&#10;5wEAALQDAAAOAAAAAAAAAAEAIAAAACQBAABkcnMvZTJvRG9jLnhtbFBLBQYAAAAABgAGAFkBAAB9&#10;BQAAAAA=&#10;">
              <v:fill on="f" focussize="0,0"/>
              <v:stroke weight="1.75pt" color="#005192 [3204]" miterlimit="8" joinstyle="miter"/>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402590</wp:posOffset>
              </wp:positionV>
              <wp:extent cx="857250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5725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31.7pt;height:0pt;width:675pt;mso-position-horizontal:center;mso-position-horizontal-relative:page;z-index:251659264;mso-width-relative:page;mso-height-relative:page;" filled="f" stroked="t" coordsize="21600,21600" o:gfxdata="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lyVQdMAAAAHAQAA&#10;DwAAAAAAAAABACAAAAAiAAAAZHJzL2Rvd25yZXYueG1sUEsBAhQAFAAAAAgAh07iQOiDl4/lAQAA&#10;sgMAAA4AAAAAAAAAAQAgAAAAIgEAAGRycy9lMm9Eb2MueG1sUEsFBgAAAAAGAAYAWQEAAHkFAAAA&#10;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lNDFlNWI5OGY4MjQ4MTdlNjFlOWI0ZDY1NzAyMDMifQ=="/>
  </w:docVars>
  <w:rsids>
    <w:rsidRoot w:val="00172A27"/>
    <w:rsid w:val="00172A27"/>
    <w:rsid w:val="001975B8"/>
    <w:rsid w:val="001A1636"/>
    <w:rsid w:val="002E4A79"/>
    <w:rsid w:val="00332C01"/>
    <w:rsid w:val="00336965"/>
    <w:rsid w:val="003D54A6"/>
    <w:rsid w:val="00530F37"/>
    <w:rsid w:val="00635FA0"/>
    <w:rsid w:val="00670CF9"/>
    <w:rsid w:val="00782E70"/>
    <w:rsid w:val="008748A7"/>
    <w:rsid w:val="009E7D10"/>
    <w:rsid w:val="00A42DA2"/>
    <w:rsid w:val="00B107BB"/>
    <w:rsid w:val="00C504D7"/>
    <w:rsid w:val="00E05089"/>
    <w:rsid w:val="00E66DEB"/>
    <w:rsid w:val="00F448AB"/>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3C442C3"/>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link w:val="23"/>
    <w:qFormat/>
    <w:uiPriority w:val="0"/>
    <w:pPr>
      <w:snapToGrid w:val="0"/>
      <w:spacing w:line="300" w:lineRule="auto"/>
    </w:pPr>
    <w:rPr>
      <w:rFonts w:ascii="Times New Roman" w:hAnsi="Times New Roman" w:eastAsia="宋体" w:cs="Times New Roman"/>
      <w:sz w:val="24"/>
      <w:szCs w:val="20"/>
    </w:rPr>
  </w:style>
  <w:style w:type="paragraph" w:styleId="5">
    <w:name w:val="Balloon Text"/>
    <w:basedOn w:val="1"/>
    <w:link w:val="24"/>
    <w:uiPriority w:val="0"/>
    <w:rPr>
      <w:rFonts w:ascii="Times New Roman" w:hAnsi="Times New Roman" w:eastAsia="宋体" w:cs="Times New Roman"/>
      <w:sz w:val="18"/>
      <w:szCs w:val="18"/>
    </w:rPr>
  </w:style>
  <w:style w:type="paragraph" w:styleId="6">
    <w:name w:val="Body Text Indent"/>
    <w:basedOn w:val="1"/>
    <w:link w:val="21"/>
    <w:qFormat/>
    <w:uiPriority w:val="99"/>
    <w:pPr>
      <w:spacing w:after="120"/>
      <w:ind w:left="420" w:leftChars="200"/>
    </w:pPr>
  </w:style>
  <w:style w:type="paragraph" w:styleId="7">
    <w:name w:val="Plain Text"/>
    <w:basedOn w:val="1"/>
    <w:link w:val="27"/>
    <w:uiPriority w:val="0"/>
    <w:rPr>
      <w:rFonts w:ascii="宋体" w:hAnsi="Courier New" w:eastAsia="宋体" w:cs="Times New Roman"/>
      <w:szCs w:val="20"/>
    </w:rPr>
  </w:style>
  <w:style w:type="paragraph" w:styleId="8">
    <w:name w:val="Date"/>
    <w:basedOn w:val="1"/>
    <w:next w:val="1"/>
    <w:link w:val="28"/>
    <w:uiPriority w:val="0"/>
    <w:pPr>
      <w:ind w:left="100" w:leftChars="2500"/>
    </w:pPr>
    <w:rPr>
      <w:rFonts w:ascii="Times New Roman" w:hAnsi="Times New Roman" w:eastAsia="宋体" w:cs="Times New Roman"/>
      <w:szCs w:val="20"/>
    </w:rPr>
  </w:style>
  <w:style w:type="paragraph" w:styleId="9">
    <w:name w:val="Body Text Indent 2"/>
    <w:basedOn w:val="1"/>
    <w:link w:val="29"/>
    <w:qFormat/>
    <w:uiPriority w:val="0"/>
    <w:pPr>
      <w:spacing w:after="120" w:line="480" w:lineRule="auto"/>
      <w:ind w:left="420" w:leftChars="200"/>
    </w:pPr>
    <w:rPr>
      <w:rFonts w:ascii="Times New Roman" w:hAnsi="Times New Roman" w:eastAsia="宋体" w:cs="Times New Roman"/>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link w:val="3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6"/>
    <w:link w:val="22"/>
    <w:unhideWhenUsed/>
    <w:qFormat/>
    <w:uiPriority w:val="0"/>
    <w:pPr>
      <w:ind w:firstLine="420" w:firstLineChars="200"/>
    </w:pPr>
    <w:rPr>
      <w:rFonts w:ascii="Times New Roman" w:hAnsi="Times New Roman" w:eastAsia="宋体" w:cs="Times New Roman"/>
      <w:szCs w:val="20"/>
    </w:rPr>
  </w:style>
  <w:style w:type="character" w:styleId="16">
    <w:name w:val="Strong"/>
    <w:basedOn w:val="15"/>
    <w:qFormat/>
    <w:uiPriority w:val="0"/>
    <w:rPr>
      <w:b/>
      <w:bCs/>
    </w:rPr>
  </w:style>
  <w:style w:type="character" w:styleId="17">
    <w:name w:val="page number"/>
    <w:basedOn w:val="15"/>
    <w:uiPriority w:val="0"/>
  </w:style>
  <w:style w:type="paragraph" w:customStyle="1" w:styleId="18">
    <w:name w:val="p0"/>
    <w:basedOn w:val="1"/>
    <w:qFormat/>
    <w:uiPriority w:val="0"/>
    <w:pPr>
      <w:widowControl/>
    </w:pPr>
    <w:rPr>
      <w:rFonts w:ascii="Calibri" w:hAnsi="Calibri" w:eastAsia="宋体" w:cs="宋体"/>
      <w:kern w:val="0"/>
      <w:szCs w:val="32"/>
    </w:rPr>
  </w:style>
  <w:style w:type="paragraph" w:customStyle="1" w:styleId="19">
    <w:name w:val="Char1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20">
    <w:name w:val="Body text|1"/>
    <w:basedOn w:val="1"/>
    <w:qFormat/>
    <w:uiPriority w:val="0"/>
    <w:pPr>
      <w:spacing w:line="406" w:lineRule="auto"/>
      <w:ind w:firstLine="400"/>
    </w:pPr>
    <w:rPr>
      <w:rFonts w:ascii="宋体" w:hAnsi="宋体" w:eastAsia="宋体" w:cs="宋体"/>
      <w:sz w:val="30"/>
      <w:szCs w:val="30"/>
      <w:lang w:val="zh-TW" w:eastAsia="zh-TW" w:bidi="zh-TW"/>
    </w:rPr>
  </w:style>
  <w:style w:type="character" w:customStyle="1" w:styleId="21">
    <w:name w:val="正文文本缩进 字符"/>
    <w:basedOn w:val="15"/>
    <w:link w:val="6"/>
    <w:qFormat/>
    <w:uiPriority w:val="0"/>
    <w:rPr>
      <w:rFonts w:asciiTheme="minorHAnsi" w:hAnsiTheme="minorHAnsi" w:eastAsiaTheme="minorEastAsia" w:cstheme="minorBidi"/>
      <w:kern w:val="2"/>
      <w:sz w:val="21"/>
      <w:szCs w:val="24"/>
    </w:rPr>
  </w:style>
  <w:style w:type="character" w:customStyle="1" w:styleId="22">
    <w:name w:val="正文首行缩进 2 字符"/>
    <w:basedOn w:val="21"/>
    <w:link w:val="13"/>
    <w:uiPriority w:val="0"/>
    <w:rPr>
      <w:rFonts w:asciiTheme="minorHAnsi" w:hAnsiTheme="minorHAnsi" w:eastAsiaTheme="minorEastAsia" w:cstheme="minorBidi"/>
      <w:kern w:val="2"/>
      <w:sz w:val="21"/>
      <w:szCs w:val="24"/>
    </w:rPr>
  </w:style>
  <w:style w:type="character" w:customStyle="1" w:styleId="23">
    <w:name w:val="正文文本 字符"/>
    <w:basedOn w:val="15"/>
    <w:link w:val="4"/>
    <w:uiPriority w:val="0"/>
    <w:rPr>
      <w:kern w:val="2"/>
      <w:sz w:val="24"/>
    </w:rPr>
  </w:style>
  <w:style w:type="character" w:customStyle="1" w:styleId="24">
    <w:name w:val="批注框文本 字符"/>
    <w:basedOn w:val="15"/>
    <w:link w:val="5"/>
    <w:qFormat/>
    <w:uiPriority w:val="0"/>
    <w:rPr>
      <w:kern w:val="2"/>
      <w:sz w:val="18"/>
      <w:szCs w:val="18"/>
    </w:rPr>
  </w:style>
  <w:style w:type="character" w:customStyle="1" w:styleId="25">
    <w:name w:val="font81"/>
    <w:basedOn w:val="15"/>
    <w:qFormat/>
    <w:uiPriority w:val="0"/>
    <w:rPr>
      <w:rFonts w:hint="default" w:ascii="Times New Roman" w:hAnsi="Times New Roman" w:cs="Times New Roman"/>
      <w:color w:val="000000"/>
      <w:sz w:val="20"/>
      <w:szCs w:val="20"/>
      <w:u w:val="none"/>
    </w:rPr>
  </w:style>
  <w:style w:type="paragraph" w:customStyle="1" w:styleId="26">
    <w:name w:val="p15"/>
    <w:basedOn w:val="1"/>
    <w:uiPriority w:val="0"/>
    <w:pPr>
      <w:widowControl/>
      <w:ind w:firstLine="420"/>
    </w:pPr>
    <w:rPr>
      <w:rFonts w:ascii="Times New Roman" w:hAnsi="Times New Roman" w:eastAsia="宋体" w:cs="Times New Roman"/>
      <w:kern w:val="0"/>
      <w:szCs w:val="21"/>
    </w:rPr>
  </w:style>
  <w:style w:type="character" w:customStyle="1" w:styleId="27">
    <w:name w:val="纯文本 字符"/>
    <w:basedOn w:val="15"/>
    <w:link w:val="7"/>
    <w:qFormat/>
    <w:uiPriority w:val="0"/>
    <w:rPr>
      <w:rFonts w:ascii="宋体" w:hAnsi="Courier New"/>
      <w:kern w:val="2"/>
      <w:sz w:val="21"/>
    </w:rPr>
  </w:style>
  <w:style w:type="character" w:customStyle="1" w:styleId="28">
    <w:name w:val="日期 字符"/>
    <w:basedOn w:val="15"/>
    <w:link w:val="8"/>
    <w:uiPriority w:val="0"/>
    <w:rPr>
      <w:kern w:val="2"/>
      <w:sz w:val="21"/>
    </w:rPr>
  </w:style>
  <w:style w:type="character" w:customStyle="1" w:styleId="29">
    <w:name w:val="正文文本缩进 2 字符"/>
    <w:basedOn w:val="15"/>
    <w:link w:val="9"/>
    <w:uiPriority w:val="0"/>
    <w:rPr>
      <w:kern w:val="2"/>
      <w:sz w:val="21"/>
    </w:rPr>
  </w:style>
  <w:style w:type="character" w:customStyle="1" w:styleId="30">
    <w:name w:val="页眉 字符"/>
    <w:link w:val="11"/>
    <w:uiPriority w:val="0"/>
    <w:rPr>
      <w:rFonts w:asciiTheme="minorHAnsi" w:hAnsiTheme="minorHAnsi" w:eastAsiaTheme="minorEastAsia" w:cstheme="minorBidi"/>
      <w:kern w:val="2"/>
      <w:sz w:val="18"/>
      <w:szCs w:val="24"/>
    </w:rPr>
  </w:style>
  <w:style w:type="paragraph" w:customStyle="1" w:styleId="31">
    <w:name w:val=" Char1 Char Char Char"/>
    <w:basedOn w:val="1"/>
    <w:uiPriority w:val="0"/>
    <w:pPr>
      <w:widowControl/>
      <w:spacing w:after="160" w:line="240" w:lineRule="exact"/>
      <w:jc w:val="left"/>
    </w:pPr>
    <w:rPr>
      <w:rFonts w:ascii="Arial" w:hAnsi="Arial" w:eastAsia="Times New Roman" w:cs="Verdana"/>
      <w:b/>
      <w:kern w:val="0"/>
      <w:sz w:val="24"/>
      <w:lang w:eastAsia="en-US"/>
    </w:rPr>
  </w:style>
  <w:style w:type="character" w:customStyle="1" w:styleId="32">
    <w:name w:val="font161"/>
    <w:basedOn w:val="15"/>
    <w:qFormat/>
    <w:uiPriority w:val="0"/>
    <w:rPr>
      <w:rFonts w:hint="eastAsia" w:ascii="方正仿宋_GBK" w:hAnsi="方正仿宋_GBK" w:eastAsia="方正仿宋_GBK" w:cs="方正仿宋_GBK"/>
      <w:color w:val="FF0000"/>
      <w:sz w:val="22"/>
      <w:szCs w:val="22"/>
      <w:u w:val="none"/>
    </w:rPr>
  </w:style>
  <w:style w:type="character" w:customStyle="1" w:styleId="33">
    <w:name w:val="font231"/>
    <w:basedOn w:val="15"/>
    <w:qFormat/>
    <w:uiPriority w:val="0"/>
    <w:rPr>
      <w:rFonts w:ascii="方正楷体_GBK" w:hAnsi="方正楷体_GBK" w:eastAsia="方正楷体_GBK" w:cs="方正楷体_GBK"/>
      <w:color w:val="000000"/>
      <w:sz w:val="24"/>
      <w:szCs w:val="24"/>
      <w:u w:val="none"/>
    </w:rPr>
  </w:style>
  <w:style w:type="character" w:customStyle="1" w:styleId="34">
    <w:name w:val="font91"/>
    <w:basedOn w:val="15"/>
    <w:qFormat/>
    <w:uiPriority w:val="0"/>
    <w:rPr>
      <w:rFonts w:hint="eastAsia" w:ascii="方正仿宋_GBK" w:hAnsi="方正仿宋_GBK" w:eastAsia="方正仿宋_GBK" w:cs="方正仿宋_GBK"/>
      <w:color w:val="000000"/>
      <w:sz w:val="20"/>
      <w:szCs w:val="20"/>
      <w:u w:val="none"/>
    </w:rPr>
  </w:style>
  <w:style w:type="character" w:customStyle="1" w:styleId="35">
    <w:name w:val="font431"/>
    <w:basedOn w:val="15"/>
    <w:qFormat/>
    <w:uiPriority w:val="0"/>
    <w:rPr>
      <w:rFonts w:hint="eastAsia" w:ascii="方正楷体_GBK" w:hAnsi="方正楷体_GBK" w:eastAsia="方正楷体_GBK" w:cs="方正楷体_GBK"/>
      <w:color w:val="FF0000"/>
      <w:sz w:val="24"/>
      <w:szCs w:val="24"/>
      <w:u w:val="none"/>
    </w:rPr>
  </w:style>
  <w:style w:type="character" w:customStyle="1" w:styleId="36">
    <w:name w:val="font11"/>
    <w:basedOn w:val="15"/>
    <w:qFormat/>
    <w:uiPriority w:val="0"/>
    <w:rPr>
      <w:rFonts w:hint="default" w:ascii="仿宋_GB2312" w:eastAsia="仿宋_GB2312" w:cs="仿宋_GB2312"/>
      <w:b/>
      <w:bCs/>
      <w:color w:val="000000"/>
      <w:sz w:val="21"/>
      <w:szCs w:val="21"/>
      <w:u w:val="none"/>
    </w:rPr>
  </w:style>
  <w:style w:type="character" w:customStyle="1" w:styleId="37">
    <w:name w:val="font241"/>
    <w:basedOn w:val="15"/>
    <w:qFormat/>
    <w:uiPriority w:val="0"/>
    <w:rPr>
      <w:rFonts w:hint="eastAsia" w:ascii="方正楷体_GBK" w:hAnsi="方正楷体_GBK" w:eastAsia="方正楷体_GBK" w:cs="方正楷体_GBK"/>
      <w:color w:val="000000"/>
      <w:sz w:val="22"/>
      <w:szCs w:val="22"/>
      <w:u w:val="none"/>
    </w:rPr>
  </w:style>
  <w:style w:type="character" w:customStyle="1" w:styleId="38">
    <w:name w:val="font61"/>
    <w:basedOn w:val="15"/>
    <w:qFormat/>
    <w:uiPriority w:val="0"/>
    <w:rPr>
      <w:rFonts w:ascii="方正黑体_GBK" w:hAnsi="方正黑体_GBK" w:eastAsia="方正黑体_GBK" w:cs="方正黑体_GBK"/>
      <w:color w:val="000000"/>
      <w:sz w:val="22"/>
      <w:szCs w:val="22"/>
      <w:u w:val="none"/>
    </w:rPr>
  </w:style>
  <w:style w:type="character" w:customStyle="1" w:styleId="39">
    <w:name w:val="font401"/>
    <w:basedOn w:val="15"/>
    <w:uiPriority w:val="0"/>
    <w:rPr>
      <w:rFonts w:hint="eastAsia" w:ascii="方正仿宋_GBK" w:hAnsi="方正仿宋_GBK" w:eastAsia="方正仿宋_GBK" w:cs="方正仿宋_GBK"/>
      <w:color w:val="auto"/>
      <w:sz w:val="28"/>
      <w:szCs w:val="28"/>
      <w:u w:val="none"/>
    </w:rPr>
  </w:style>
  <w:style w:type="character" w:customStyle="1" w:styleId="40">
    <w:name w:val="font01"/>
    <w:basedOn w:val="15"/>
    <w:qFormat/>
    <w:uiPriority w:val="0"/>
    <w:rPr>
      <w:rFonts w:hint="eastAsia" w:ascii="方正仿宋_GBK" w:hAnsi="方正仿宋_GBK" w:eastAsia="方正仿宋_GBK" w:cs="方正仿宋_GBK"/>
      <w:color w:val="FF0000"/>
      <w:sz w:val="22"/>
      <w:szCs w:val="22"/>
      <w:u w:val="none"/>
    </w:rPr>
  </w:style>
  <w:style w:type="character" w:customStyle="1" w:styleId="41">
    <w:name w:val="font451"/>
    <w:basedOn w:val="15"/>
    <w:qFormat/>
    <w:uiPriority w:val="0"/>
    <w:rPr>
      <w:rFonts w:hint="eastAsia" w:ascii="方正楷体_GBK" w:hAnsi="方正楷体_GBK" w:eastAsia="方正楷体_GBK" w:cs="方正楷体_GBK"/>
      <w:color w:val="auto"/>
      <w:sz w:val="22"/>
      <w:szCs w:val="22"/>
      <w:u w:val="none"/>
    </w:rPr>
  </w:style>
  <w:style w:type="character" w:customStyle="1" w:styleId="42">
    <w:name w:val="font171"/>
    <w:basedOn w:val="15"/>
    <w:qFormat/>
    <w:uiPriority w:val="0"/>
    <w:rPr>
      <w:rFonts w:hint="default" w:ascii="Times New Roman" w:hAnsi="Times New Roman" w:cs="Times New Roman"/>
      <w:color w:val="FF0000"/>
      <w:sz w:val="24"/>
      <w:szCs w:val="24"/>
      <w:u w:val="none"/>
    </w:rPr>
  </w:style>
  <w:style w:type="character" w:customStyle="1" w:styleId="43">
    <w:name w:val="font151"/>
    <w:basedOn w:val="15"/>
    <w:qFormat/>
    <w:uiPriority w:val="0"/>
    <w:rPr>
      <w:rFonts w:hint="eastAsia" w:ascii="方正仿宋_GBK" w:hAnsi="方正仿宋_GBK" w:eastAsia="方正仿宋_GBK" w:cs="方正仿宋_GBK"/>
      <w:color w:val="FF0000"/>
      <w:sz w:val="22"/>
      <w:szCs w:val="22"/>
      <w:u w:val="none"/>
    </w:rPr>
  </w:style>
  <w:style w:type="character" w:customStyle="1" w:styleId="44">
    <w:name w:val="font421"/>
    <w:basedOn w:val="15"/>
    <w:qFormat/>
    <w:uiPriority w:val="0"/>
    <w:rPr>
      <w:rFonts w:hint="eastAsia" w:ascii="方正楷体_GBK" w:hAnsi="方正楷体_GBK" w:eastAsia="方正楷体_GBK" w:cs="方正楷体_GBK"/>
      <w:color w:val="auto"/>
      <w:sz w:val="24"/>
      <w:szCs w:val="24"/>
      <w:u w:val="none"/>
    </w:rPr>
  </w:style>
  <w:style w:type="character" w:customStyle="1" w:styleId="45">
    <w:name w:val="font181"/>
    <w:basedOn w:val="15"/>
    <w:qFormat/>
    <w:uiPriority w:val="0"/>
    <w:rPr>
      <w:rFonts w:hint="default" w:ascii="Times New Roman" w:hAnsi="Times New Roman" w:cs="Times New Roman"/>
      <w:color w:val="FF0000"/>
      <w:sz w:val="24"/>
      <w:szCs w:val="24"/>
      <w:u w:val="none"/>
    </w:rPr>
  </w:style>
  <w:style w:type="character" w:customStyle="1" w:styleId="46">
    <w:name w:val="font221"/>
    <w:basedOn w:val="15"/>
    <w:qFormat/>
    <w:uiPriority w:val="0"/>
    <w:rPr>
      <w:rFonts w:hint="eastAsia" w:ascii="方正仿宋_GBK" w:hAnsi="方正仿宋_GBK" w:eastAsia="方正仿宋_GBK" w:cs="方正仿宋_GBK"/>
      <w:color w:val="000000"/>
      <w:sz w:val="28"/>
      <w:szCs w:val="28"/>
      <w:u w:val="none"/>
    </w:rPr>
  </w:style>
  <w:style w:type="character" w:customStyle="1" w:styleId="47">
    <w:name w:val="font281"/>
    <w:basedOn w:val="15"/>
    <w:qFormat/>
    <w:uiPriority w:val="0"/>
    <w:rPr>
      <w:rFonts w:hint="eastAsia" w:ascii="方正仿宋_GBK" w:hAnsi="方正仿宋_GBK" w:eastAsia="方正仿宋_GBK" w:cs="方正仿宋_GBK"/>
      <w:color w:val="000000"/>
      <w:sz w:val="22"/>
      <w:szCs w:val="22"/>
      <w:u w:val="none"/>
    </w:rPr>
  </w:style>
  <w:style w:type="character" w:customStyle="1" w:styleId="48">
    <w:name w:val="font141"/>
    <w:basedOn w:val="15"/>
    <w:qFormat/>
    <w:uiPriority w:val="0"/>
    <w:rPr>
      <w:rFonts w:hint="eastAsia" w:ascii="方正仿宋_GBK" w:hAnsi="方正仿宋_GBK" w:eastAsia="方正仿宋_GBK" w:cs="方正仿宋_GBK"/>
      <w:color w:val="FF0000"/>
      <w:sz w:val="24"/>
      <w:szCs w:val="24"/>
      <w:u w:val="none"/>
    </w:rPr>
  </w:style>
  <w:style w:type="character" w:customStyle="1" w:styleId="49">
    <w:name w:val="font21"/>
    <w:basedOn w:val="15"/>
    <w:qFormat/>
    <w:uiPriority w:val="0"/>
    <w:rPr>
      <w:rFonts w:ascii="方正楷体_GBK" w:hAnsi="方正楷体_GBK" w:eastAsia="方正楷体_GBK" w:cs="方正楷体_GBK"/>
      <w:color w:val="000000"/>
      <w:sz w:val="24"/>
      <w:szCs w:val="24"/>
      <w:u w:val="none"/>
    </w:rPr>
  </w:style>
  <w:style w:type="character" w:customStyle="1" w:styleId="50">
    <w:name w:val="font481"/>
    <w:basedOn w:val="15"/>
    <w:uiPriority w:val="0"/>
    <w:rPr>
      <w:rFonts w:hint="eastAsia" w:ascii="方正仿宋_GBK" w:hAnsi="方正仿宋_GBK" w:eastAsia="方正仿宋_GBK" w:cs="方正仿宋_GBK"/>
      <w:color w:val="FF0000"/>
      <w:sz w:val="24"/>
      <w:szCs w:val="24"/>
      <w:u w:val="none"/>
    </w:rPr>
  </w:style>
  <w:style w:type="character" w:customStyle="1" w:styleId="51">
    <w:name w:val="font461"/>
    <w:basedOn w:val="15"/>
    <w:qFormat/>
    <w:uiPriority w:val="0"/>
    <w:rPr>
      <w:rFonts w:hint="eastAsia" w:ascii="方正仿宋_GBK" w:hAnsi="方正仿宋_GBK" w:eastAsia="方正仿宋_GBK" w:cs="方正仿宋_GBK"/>
      <w:color w:val="auto"/>
      <w:sz w:val="22"/>
      <w:szCs w:val="22"/>
      <w:u w:val="none"/>
    </w:rPr>
  </w:style>
  <w:style w:type="character" w:customStyle="1" w:styleId="52">
    <w:name w:val="font101"/>
    <w:basedOn w:val="15"/>
    <w:qFormat/>
    <w:uiPriority w:val="0"/>
    <w:rPr>
      <w:rFonts w:hint="default" w:ascii="Times New Roman" w:hAnsi="Times New Roman" w:cs="Times New Roman"/>
      <w:color w:val="auto"/>
      <w:sz w:val="22"/>
      <w:szCs w:val="22"/>
      <w:u w:val="none"/>
    </w:rPr>
  </w:style>
  <w:style w:type="character" w:customStyle="1" w:styleId="53">
    <w:name w:val="font441"/>
    <w:basedOn w:val="15"/>
    <w:qFormat/>
    <w:uiPriority w:val="0"/>
    <w:rPr>
      <w:rFonts w:hint="eastAsia" w:ascii="方正仿宋_GBK" w:hAnsi="方正仿宋_GBK" w:eastAsia="方正仿宋_GBK" w:cs="方正仿宋_GBK"/>
      <w:color w:val="auto"/>
      <w:sz w:val="22"/>
      <w:szCs w:val="22"/>
      <w:u w:val="none"/>
    </w:rPr>
  </w:style>
  <w:style w:type="character" w:customStyle="1" w:styleId="54">
    <w:name w:val="font291"/>
    <w:basedOn w:val="15"/>
    <w:qFormat/>
    <w:uiPriority w:val="0"/>
    <w:rPr>
      <w:rFonts w:hint="eastAsia" w:ascii="方正仿宋_GBK" w:hAnsi="方正仿宋_GBK" w:eastAsia="方正仿宋_GBK" w:cs="方正仿宋_GBK"/>
      <w:color w:val="FF0000"/>
      <w:sz w:val="24"/>
      <w:szCs w:val="24"/>
      <w:u w:val="none"/>
    </w:rPr>
  </w:style>
  <w:style w:type="character" w:customStyle="1" w:styleId="55">
    <w:name w:val="font471"/>
    <w:basedOn w:val="15"/>
    <w:qFormat/>
    <w:uiPriority w:val="0"/>
    <w:rPr>
      <w:rFonts w:hint="eastAsia" w:ascii="方正楷体_GBK" w:hAnsi="方正楷体_GBK" w:eastAsia="方正楷体_GBK" w:cs="方正楷体_GBK"/>
      <w:color w:val="auto"/>
      <w:sz w:val="22"/>
      <w:szCs w:val="22"/>
      <w:u w:val="none"/>
    </w:rPr>
  </w:style>
  <w:style w:type="character" w:customStyle="1" w:styleId="56">
    <w:name w:val="font251"/>
    <w:basedOn w:val="15"/>
    <w:qFormat/>
    <w:uiPriority w:val="0"/>
    <w:rPr>
      <w:rFonts w:hint="eastAsia" w:ascii="宋体" w:hAnsi="宋体" w:eastAsia="宋体" w:cs="宋体"/>
      <w:color w:val="000000"/>
      <w:sz w:val="22"/>
      <w:szCs w:val="22"/>
      <w:u w:val="none"/>
    </w:rPr>
  </w:style>
  <w:style w:type="character" w:customStyle="1" w:styleId="57">
    <w:name w:val="font71"/>
    <w:basedOn w:val="15"/>
    <w:qFormat/>
    <w:uiPriority w:val="0"/>
    <w:rPr>
      <w:rFonts w:hint="eastAsia" w:ascii="方正仿宋_GBK" w:hAnsi="方正仿宋_GBK" w:eastAsia="方正仿宋_GBK" w:cs="方正仿宋_GBK"/>
      <w:color w:val="000000"/>
      <w:sz w:val="20"/>
      <w:szCs w:val="20"/>
      <w:u w:val="none"/>
    </w:rPr>
  </w:style>
  <w:style w:type="character" w:customStyle="1" w:styleId="58">
    <w:name w:val="font271"/>
    <w:basedOn w:val="15"/>
    <w:qFormat/>
    <w:uiPriority w:val="0"/>
    <w:rPr>
      <w:rFonts w:hint="eastAsia" w:ascii="方正仿宋_GBK" w:hAnsi="方正仿宋_GBK" w:eastAsia="方正仿宋_GBK" w:cs="方正仿宋_GBK"/>
      <w:color w:val="000000"/>
      <w:sz w:val="20"/>
      <w:szCs w:val="20"/>
      <w:u w:val="none"/>
    </w:rPr>
  </w:style>
  <w:style w:type="character" w:customStyle="1" w:styleId="59">
    <w:name w:val="font261"/>
    <w:basedOn w:val="15"/>
    <w:qFormat/>
    <w:uiPriority w:val="0"/>
    <w:rPr>
      <w:rFonts w:hint="eastAsia" w:ascii="方正楷体_GBK" w:hAnsi="方正楷体_GBK" w:eastAsia="方正楷体_GBK" w:cs="方正楷体_GBK"/>
      <w:color w:val="000000"/>
      <w:sz w:val="40"/>
      <w:szCs w:val="40"/>
      <w:u w:val="none"/>
    </w:rPr>
  </w:style>
  <w:style w:type="character" w:customStyle="1" w:styleId="60">
    <w:name w:val="font131"/>
    <w:basedOn w:val="15"/>
    <w:qFormat/>
    <w:uiPriority w:val="0"/>
    <w:rPr>
      <w:rFonts w:hint="default" w:ascii="Times New Roman" w:hAnsi="Times New Roman" w:cs="Times New Roman"/>
      <w:color w:val="000000"/>
      <w:sz w:val="20"/>
      <w:szCs w:val="20"/>
      <w:u w:val="none"/>
    </w:rPr>
  </w:style>
  <w:style w:type="character" w:customStyle="1" w:styleId="61">
    <w:name w:val="font112"/>
    <w:basedOn w:val="15"/>
    <w:qFormat/>
    <w:uiPriority w:val="0"/>
    <w:rPr>
      <w:rFonts w:hint="eastAsia" w:ascii="方正仿宋_GBK" w:hAnsi="方正仿宋_GBK" w:eastAsia="方正仿宋_GBK" w:cs="方正仿宋_GBK"/>
      <w:color w:val="000000"/>
      <w:sz w:val="20"/>
      <w:szCs w:val="20"/>
      <w:u w:val="none"/>
    </w:rPr>
  </w:style>
  <w:style w:type="paragraph" w:customStyle="1" w:styleId="62">
    <w:name w:val="Header or footer|1"/>
    <w:basedOn w:val="1"/>
    <w:qFormat/>
    <w:uiPriority w:val="0"/>
    <w:rPr>
      <w:rFonts w:ascii="Times New Roman" w:hAnsi="Times New Roman" w:eastAsia="宋体" w:cs="Times New Roman"/>
      <w:sz w:val="28"/>
      <w:szCs w:val="28"/>
      <w:lang w:val="zh-TW" w:eastAsia="zh-TW" w:bidi="zh-TW"/>
    </w:rPr>
  </w:style>
  <w:style w:type="paragraph" w:customStyle="1" w:styleId="63">
    <w:name w:val="p19"/>
    <w:basedOn w:val="1"/>
    <w:uiPriority w:val="0"/>
    <w:pPr>
      <w:widowControl/>
    </w:pPr>
    <w:rPr>
      <w:rFonts w:ascii="Times New Roman" w:hAnsi="Times New Roman" w:eastAsia="宋体" w:cs="Times New Roman"/>
      <w:kern w:val="0"/>
      <w:szCs w:val="21"/>
    </w:rPr>
  </w:style>
  <w:style w:type="paragraph" w:customStyle="1" w:styleId="64">
    <w:name w:val="表格"/>
    <w:basedOn w:val="1"/>
    <w:qFormat/>
    <w:uiPriority w:val="0"/>
    <w:pPr>
      <w:widowControl/>
      <w:jc w:val="left"/>
    </w:pPr>
    <w:rPr>
      <w:rFonts w:ascii="Times New Roman" w:hAnsi="Times New Roman" w:eastAsia="宋体" w:cs="Times New Roman"/>
      <w:bCs/>
      <w:iCs/>
      <w:color w:val="00000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5664</Words>
  <Characters>32288</Characters>
  <Lines>269</Lines>
  <Paragraphs>75</Paragraphs>
  <TotalTime>30</TotalTime>
  <ScaleCrop>false</ScaleCrop>
  <LinksUpToDate>false</LinksUpToDate>
  <CharactersWithSpaces>37877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2023-03-01T07:03:00Z</dcterms:created>
  <dc:creator>t</dc:creator>
  <cp:lastModifiedBy>jtj</cp:lastModifiedBy>
  <cp:lastPrinted>2023-03-01T07:31:00Z</cp:lastPrinted>
  <dcterms:modified xsi:type="dcterms:W3CDTF">2025-02-07T07:52:03Z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48C61CB29D3F4D9384F5922CF0F7FFB4</vt:lpwstr>
  </property>
</Properties>
</file>