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000000"/>
          <w:sz w:val="32"/>
        </w:rPr>
      </w:pPr>
    </w:p>
    <w:p>
      <w:pPr>
        <w:spacing w:line="600" w:lineRule="exact"/>
        <w:jc w:val="center"/>
        <w:rPr>
          <w:rFonts w:hint="eastAsia" w:ascii="方正小标宋_GBK"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olor w:val="000000"/>
          <w:sz w:val="44"/>
          <w:szCs w:val="44"/>
        </w:rPr>
      </w:pPr>
      <w:r>
        <w:rPr>
          <w:rFonts w:hint="eastAsia" w:ascii="方正小标宋_GBK" w:eastAsia="方正小标宋_GBK"/>
          <w:color w:val="000000"/>
          <w:sz w:val="44"/>
          <w:szCs w:val="44"/>
        </w:rPr>
        <w:t>重庆市交通局关于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olor w:val="000000"/>
          <w:spacing w:val="-10"/>
          <w:sz w:val="44"/>
          <w:szCs w:val="44"/>
        </w:rPr>
      </w:pPr>
      <w:r>
        <w:rPr>
          <w:rFonts w:hint="eastAsia" w:ascii="方正小标宋_GBK" w:eastAsia="方正小标宋_GBK"/>
          <w:color w:val="000000"/>
          <w:sz w:val="44"/>
          <w:szCs w:val="44"/>
        </w:rPr>
        <w:t>印</w:t>
      </w:r>
      <w:r>
        <w:rPr>
          <w:rFonts w:hint="eastAsia" w:ascii="方正小标宋_GBK" w:eastAsia="方正小标宋_GBK"/>
          <w:color w:val="000000"/>
          <w:spacing w:val="-10"/>
          <w:sz w:val="44"/>
          <w:szCs w:val="44"/>
        </w:rPr>
        <w:t>发《重庆市道路运输信用管理实施细则》的通知</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_GBK" w:eastAsia="方正小标宋_GBK"/>
          <w:color w:val="000000"/>
          <w:spacing w:val="-10"/>
          <w:sz w:val="44"/>
          <w:szCs w:val="44"/>
        </w:rPr>
      </w:pPr>
      <w:r>
        <w:rPr>
          <w:rFonts w:hint="eastAsia" w:ascii="方正仿宋_GBK" w:eastAsia="方正仿宋_GBK"/>
          <w:color w:val="000000"/>
          <w:sz w:val="32"/>
        </w:rPr>
        <w:t>渝交规〔2021〕26号</w:t>
      </w:r>
    </w:p>
    <w:p>
      <w:pPr>
        <w:keepNext w:val="0"/>
        <w:keepLines w:val="0"/>
        <w:pageBreakBefore w:val="0"/>
        <w:kinsoku/>
        <w:wordWrap/>
        <w:overflowPunct/>
        <w:topLinePunct w:val="0"/>
        <w:autoSpaceDE/>
        <w:autoSpaceDN/>
        <w:bidi w:val="0"/>
        <w:adjustRightInd/>
        <w:spacing w:line="600" w:lineRule="exact"/>
        <w:jc w:val="center"/>
        <w:textAlignment w:val="auto"/>
        <w:rPr>
          <w:rFonts w:eastAsia="黑体"/>
          <w:color w:val="000000"/>
          <w:sz w:val="40"/>
          <w:szCs w:val="32"/>
        </w:rPr>
      </w:pPr>
    </w:p>
    <w:p>
      <w:pPr>
        <w:pStyle w:val="11"/>
        <w:keepNext w:val="0"/>
        <w:keepLines w:val="0"/>
        <w:pageBreakBefore w:val="0"/>
        <w:kinsoku/>
        <w:wordWrap/>
        <w:overflowPunct/>
        <w:topLinePunct w:val="0"/>
        <w:autoSpaceDE/>
        <w:autoSpaceDN/>
        <w:bidi w:val="0"/>
        <w:adjustRightInd/>
        <w:spacing w:line="60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各区县（自治县）交通局，局属各单位，各有关单位：</w:t>
      </w:r>
    </w:p>
    <w:p>
      <w:pPr>
        <w:pStyle w:val="11"/>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道路运输信用管理实施细则》已经局2021年第19次局长办公会审议通过，现印发你们，自2022年1月1日起施行，请认真贯彻执行。《道路运输行业相关信用管理实施细则》（渝交运〔2018〕7号）、《重庆市道路运输企业安全服务质量考核管理办法》（渝交规范〔2020〕2号）同时废止。</w:t>
      </w:r>
    </w:p>
    <w:p>
      <w:pPr>
        <w:pStyle w:val="11"/>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color w:val="000000"/>
          <w:sz w:val="32"/>
          <w:szCs w:val="32"/>
        </w:rPr>
      </w:pPr>
    </w:p>
    <w:p>
      <w:pPr>
        <w:pStyle w:val="11"/>
        <w:keepNext w:val="0"/>
        <w:keepLines w:val="0"/>
        <w:pageBreakBefore w:val="0"/>
        <w:kinsoku/>
        <w:wordWrap w:val="0"/>
        <w:overflowPunct/>
        <w:topLinePunct w:val="0"/>
        <w:autoSpaceDE/>
        <w:autoSpaceDN/>
        <w:bidi w:val="0"/>
        <w:adjustRightInd/>
        <w:spacing w:line="600" w:lineRule="exact"/>
        <w:ind w:firstLine="640" w:firstLineChars="200"/>
        <w:jc w:val="right"/>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 xml:space="preserve">                                重庆市交通局</w:t>
      </w:r>
      <w:r>
        <w:rPr>
          <w:rFonts w:hint="eastAsia" w:ascii="方正仿宋_GBK" w:hAnsi="方正仿宋_GBK" w:eastAsia="方正仿宋_GBK" w:cs="方正仿宋_GBK"/>
          <w:color w:val="000000"/>
          <w:sz w:val="32"/>
          <w:szCs w:val="32"/>
          <w:lang w:val="en-US" w:eastAsia="zh-CN"/>
        </w:rPr>
        <w:t xml:space="preserve">  </w:t>
      </w:r>
    </w:p>
    <w:p>
      <w:pPr>
        <w:pStyle w:val="11"/>
        <w:keepNext w:val="0"/>
        <w:keepLines w:val="0"/>
        <w:pageBreakBefore w:val="0"/>
        <w:kinsoku/>
        <w:wordWrap/>
        <w:overflowPunct/>
        <w:topLinePunct w:val="0"/>
        <w:autoSpaceDE/>
        <w:autoSpaceDN/>
        <w:bidi w:val="0"/>
        <w:adjustRightInd/>
        <w:spacing w:line="600" w:lineRule="exact"/>
        <w:ind w:firstLine="640" w:firstLineChars="200"/>
        <w:jc w:val="righ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2021年12月20日</w:t>
      </w:r>
    </w:p>
    <w:p>
      <w:pPr>
        <w:keepNext w:val="0"/>
        <w:keepLines w:val="0"/>
        <w:pageBreakBefore w:val="0"/>
        <w:kinsoku/>
        <w:wordWrap/>
        <w:overflowPunct/>
        <w:topLinePunct w:val="0"/>
        <w:autoSpaceDE/>
        <w:autoSpaceDN/>
        <w:bidi w:val="0"/>
        <w:adjustRightInd/>
        <w:spacing w:line="600" w:lineRule="exact"/>
        <w:textAlignment w:val="auto"/>
        <w:rPr>
          <w:rFonts w:hint="eastAsia"/>
          <w:lang w:eastAsia="zh-CN"/>
        </w:rPr>
      </w:pPr>
      <w:r>
        <w:rPr>
          <w:rFonts w:hint="eastAsia"/>
          <w:lang w:eastAsia="zh-CN"/>
        </w:rPr>
        <w:br w:type="page"/>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黑体_GBK" w:hAnsi="方正黑体_GBK" w:eastAsia="方正黑体_GBK" w:cs="方正黑体_GBK"/>
          <w:color w:val="000000"/>
          <w:sz w:val="32"/>
          <w:szCs w:val="32"/>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小标宋_GBK" w:eastAsia="方正小标宋_GBK"/>
          <w:color w:val="000000"/>
          <w:sz w:val="44"/>
          <w:szCs w:val="44"/>
        </w:rPr>
      </w:pPr>
      <w:r>
        <w:rPr>
          <w:rFonts w:hint="eastAsia" w:ascii="方正小标宋_GBK" w:eastAsia="方正小标宋_GBK"/>
          <w:color w:val="000000"/>
          <w:sz w:val="44"/>
          <w:szCs w:val="44"/>
        </w:rPr>
        <w:t>重庆市道路运输信用管理实施细则</w:t>
      </w:r>
    </w:p>
    <w:p>
      <w:pPr>
        <w:pStyle w:val="12"/>
        <w:keepNext w:val="0"/>
        <w:keepLines w:val="0"/>
        <w:pageBreakBefore w:val="0"/>
        <w:kinsoku/>
        <w:wordWrap/>
        <w:overflowPunct/>
        <w:topLinePunct w:val="0"/>
        <w:autoSpaceDE/>
        <w:autoSpaceDN/>
        <w:bidi w:val="0"/>
        <w:adjustRightInd/>
        <w:spacing w:line="600" w:lineRule="exact"/>
        <w:ind w:firstLine="0"/>
        <w:jc w:val="center"/>
        <w:textAlignment w:val="auto"/>
        <w:rPr>
          <w:rFonts w:ascii="Times New Roman" w:hAnsi="Times New Roman" w:eastAsia="方正黑体_GBK" w:cs="Times New Roman"/>
          <w:color w:val="000000"/>
          <w:lang w:val="en-US" w:eastAsia="zh-CN"/>
        </w:rPr>
      </w:pPr>
    </w:p>
    <w:p>
      <w:pPr>
        <w:pStyle w:val="12"/>
        <w:keepNext w:val="0"/>
        <w:keepLines w:val="0"/>
        <w:pageBreakBefore w:val="0"/>
        <w:kinsoku/>
        <w:wordWrap/>
        <w:overflowPunct/>
        <w:topLinePunct w:val="0"/>
        <w:autoSpaceDE/>
        <w:autoSpaceDN/>
        <w:bidi w:val="0"/>
        <w:adjustRightInd/>
        <w:spacing w:line="600" w:lineRule="exact"/>
        <w:ind w:firstLine="0"/>
        <w:jc w:val="center"/>
        <w:textAlignment w:val="auto"/>
        <w:rPr>
          <w:rFonts w:ascii="Times New Roman" w:hAnsi="Times New Roman" w:eastAsia="方正黑体_GBK" w:cs="Times New Roman"/>
          <w:color w:val="000000"/>
          <w:lang w:val="en-US" w:eastAsia="zh-CN"/>
        </w:rPr>
      </w:pPr>
      <w:r>
        <w:rPr>
          <w:rFonts w:ascii="Times New Roman" w:hAnsi="Times New Roman" w:eastAsia="方正黑体_GBK" w:cs="Times New Roman"/>
          <w:color w:val="000000"/>
          <w:lang w:val="en-US" w:eastAsia="zh-CN"/>
        </w:rPr>
        <w:t>第一章  总  则</w:t>
      </w:r>
    </w:p>
    <w:p>
      <w:pPr>
        <w:pStyle w:val="12"/>
        <w:keepNext w:val="0"/>
        <w:keepLines w:val="0"/>
        <w:pageBreakBefore w:val="0"/>
        <w:kinsoku/>
        <w:wordWrap/>
        <w:overflowPunct/>
        <w:topLinePunct w:val="0"/>
        <w:autoSpaceDE/>
        <w:autoSpaceDN/>
        <w:bidi w:val="0"/>
        <w:adjustRightInd/>
        <w:spacing w:line="600" w:lineRule="exact"/>
        <w:ind w:firstLine="0"/>
        <w:jc w:val="center"/>
        <w:textAlignment w:val="auto"/>
        <w:rPr>
          <w:rFonts w:ascii="Times New Roman" w:hAnsi="Times New Roman" w:eastAsia="方正仿宋_GBK" w:cs="Times New Roman"/>
          <w:color w:val="000000"/>
          <w:sz w:val="32"/>
          <w:szCs w:val="32"/>
          <w:lang w:val="en-US" w:eastAsia="zh-CN"/>
        </w:rPr>
      </w:pP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val="en-US" w:eastAsia="zh-CN"/>
        </w:rPr>
        <w:t>第一条</w:t>
      </w:r>
      <w:r>
        <w:rPr>
          <w:rFonts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为推进信用交通建设，构建道路运输市场信用体系，完善道路运输市场守信激励和失信惩戒机制，加强道路运输市场事中、事后监管，维护道路运输市场秩序，根据《重庆市道路运输管理条例》《重庆市社会信用条例》等有关规定，结合本市道路运输行业实际，制定本</w:t>
      </w:r>
      <w:r>
        <w:rPr>
          <w:rFonts w:hint="eastAsia"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eastAsia="方正仿宋_GBK"/>
          <w:color w:val="000000"/>
          <w:sz w:val="32"/>
          <w:szCs w:val="32"/>
        </w:rPr>
      </w:pPr>
      <w:r>
        <w:rPr>
          <w:rFonts w:ascii="方正黑体_GBK" w:hAnsi="方正黑体_GBK" w:eastAsia="方正黑体_GBK" w:cs="方正黑体_GBK"/>
          <w:color w:val="000000"/>
          <w:sz w:val="32"/>
          <w:szCs w:val="32"/>
        </w:rPr>
        <w:t>第二条</w:t>
      </w:r>
      <w:r>
        <w:rPr>
          <w:rFonts w:eastAsia="方正仿宋_GBK"/>
          <w:color w:val="000000"/>
          <w:sz w:val="32"/>
          <w:szCs w:val="32"/>
        </w:rPr>
        <w:t xml:space="preserve"> 市、区县交通主管部门及其道路运输事务机构（或者交通主管部门指定的工作机构，下同）对道路运输和道路运输相关业务经营者及其从业人员（以下简称道路运输经营者和从业人员）的信用信息采集、信用等级评价、信用信息公布、信用奖惩等信用管理活动，适用本</w:t>
      </w:r>
      <w:r>
        <w:rPr>
          <w:rFonts w:hint="eastAsia" w:eastAsia="方正仿宋_GBK"/>
          <w:color w:val="000000"/>
          <w:sz w:val="32"/>
          <w:szCs w:val="32"/>
        </w:rPr>
        <w:t>实施细则</w:t>
      </w:r>
      <w:r>
        <w:rPr>
          <w:rFonts w:eastAsia="方正仿宋_GBK"/>
          <w:color w:val="000000"/>
          <w:sz w:val="32"/>
          <w:szCs w:val="32"/>
        </w:rPr>
        <w:t>。</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w:t>
      </w:r>
      <w:r>
        <w:rPr>
          <w:rFonts w:hint="eastAsia"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rPr>
        <w:t>所称的道路运输</w:t>
      </w:r>
      <w:r>
        <w:rPr>
          <w:rFonts w:ascii="Times New Roman" w:hAnsi="Times New Roman" w:eastAsia="方正仿宋_GBK" w:cs="Times New Roman"/>
          <w:color w:val="000000"/>
          <w:sz w:val="32"/>
          <w:szCs w:val="32"/>
          <w:lang w:val="en-US" w:eastAsia="zh-CN"/>
        </w:rPr>
        <w:t>和道路运输相关业务经营者（以下简称道路运输经营者）</w:t>
      </w:r>
      <w:r>
        <w:rPr>
          <w:rFonts w:ascii="Times New Roman" w:hAnsi="Times New Roman" w:eastAsia="方正仿宋_GBK" w:cs="Times New Roman"/>
          <w:color w:val="000000"/>
          <w:sz w:val="32"/>
          <w:szCs w:val="32"/>
        </w:rPr>
        <w:t>是指在</w:t>
      </w:r>
      <w:r>
        <w:rPr>
          <w:rFonts w:ascii="Times New Roman" w:hAnsi="Times New Roman" w:eastAsia="方正仿宋_GBK" w:cs="Times New Roman"/>
          <w:color w:val="000000"/>
          <w:sz w:val="32"/>
          <w:szCs w:val="32"/>
          <w:lang w:eastAsia="zh-CN"/>
        </w:rPr>
        <w:t>本市</w:t>
      </w:r>
      <w:r>
        <w:rPr>
          <w:rFonts w:ascii="Times New Roman" w:hAnsi="Times New Roman" w:eastAsia="方正仿宋_GBK" w:cs="Times New Roman"/>
          <w:color w:val="000000"/>
          <w:sz w:val="32"/>
          <w:szCs w:val="32"/>
          <w:lang w:val="en-US" w:eastAsia="zh-CN"/>
        </w:rPr>
        <w:t>经营</w:t>
      </w:r>
      <w:r>
        <w:rPr>
          <w:rFonts w:ascii="Times New Roman" w:hAnsi="Times New Roman" w:eastAsia="方正仿宋_GBK" w:cs="Times New Roman"/>
          <w:color w:val="000000"/>
          <w:sz w:val="32"/>
          <w:szCs w:val="32"/>
        </w:rPr>
        <w:t>的道路旅客运输</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、道路货物运输</w:t>
      </w:r>
      <w:r>
        <w:rPr>
          <w:rFonts w:ascii="Times New Roman" w:hAnsi="Times New Roman" w:eastAsia="方正仿宋_GBK" w:cs="Times New Roman"/>
          <w:color w:val="000000"/>
          <w:sz w:val="32"/>
          <w:szCs w:val="32"/>
          <w:lang w:eastAsia="zh-CN"/>
        </w:rPr>
        <w:t>经营者（含普通货运和危险货运经营者）</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en-US" w:eastAsia="zh-CN"/>
        </w:rPr>
        <w:t>出租汽车经营者（含巡游出租汽车和网络预约出租汽车经营者）、公共交通经营者（含公共汽车客运和城市轨道交通营运经营者）、</w:t>
      </w:r>
      <w:r>
        <w:rPr>
          <w:rFonts w:ascii="Times New Roman" w:hAnsi="Times New Roman" w:eastAsia="方正仿宋_GBK" w:cs="Times New Roman"/>
          <w:color w:val="000000"/>
          <w:sz w:val="32"/>
          <w:szCs w:val="32"/>
        </w:rPr>
        <w:t>机动车</w:t>
      </w:r>
      <w:r>
        <w:rPr>
          <w:rFonts w:ascii="Times New Roman" w:hAnsi="Times New Roman" w:eastAsia="方正仿宋_GBK" w:cs="Times New Roman"/>
          <w:color w:val="000000"/>
          <w:sz w:val="32"/>
          <w:szCs w:val="32"/>
          <w:lang w:eastAsia="zh-CN"/>
        </w:rPr>
        <w:t>维修经营者</w:t>
      </w:r>
      <w:r>
        <w:rPr>
          <w:rFonts w:ascii="Times New Roman" w:hAnsi="Times New Roman" w:eastAsia="方正仿宋_GBK" w:cs="Times New Roman"/>
          <w:color w:val="000000"/>
          <w:sz w:val="32"/>
          <w:szCs w:val="32"/>
        </w:rPr>
        <w:t>、机动车驾驶员培训机构</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道路</w:t>
      </w:r>
      <w:r>
        <w:rPr>
          <w:rFonts w:ascii="Times New Roman" w:hAnsi="Times New Roman" w:eastAsia="方正仿宋_GBK" w:cs="Times New Roman"/>
          <w:color w:val="000000"/>
          <w:sz w:val="32"/>
          <w:szCs w:val="32"/>
          <w:lang w:eastAsia="zh-CN"/>
        </w:rPr>
        <w:t>旅客</w:t>
      </w:r>
      <w:r>
        <w:rPr>
          <w:rFonts w:ascii="Times New Roman" w:hAnsi="Times New Roman" w:eastAsia="方正仿宋_GBK" w:cs="Times New Roman"/>
          <w:color w:val="000000"/>
          <w:sz w:val="32"/>
          <w:szCs w:val="32"/>
        </w:rPr>
        <w:t>运输站</w:t>
      </w:r>
      <w:r>
        <w:rPr>
          <w:rFonts w:ascii="Times New Roman" w:hAnsi="Times New Roman" w:eastAsia="方正仿宋_GBK" w:cs="Times New Roman"/>
          <w:color w:val="000000"/>
          <w:sz w:val="32"/>
          <w:szCs w:val="32"/>
          <w:lang w:val="en-US" w:eastAsia="zh-CN"/>
        </w:rPr>
        <w:t>和汽车租赁经营者</w:t>
      </w:r>
      <w:r>
        <w:rPr>
          <w:rFonts w:ascii="Times New Roman" w:hAnsi="Times New Roman" w:eastAsia="方正仿宋_GBK" w:cs="Times New Roman"/>
          <w:color w:val="000000"/>
          <w:sz w:val="32"/>
          <w:szCs w:val="32"/>
        </w:rPr>
        <w:t>等。</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10辆车以下普通货运经营者、个体巡游出租汽车经营者可以根据需要申请参加评价，但是，发生本</w:t>
      </w:r>
      <w:r>
        <w:rPr>
          <w:rFonts w:hint="eastAsia"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lang w:val="en-US" w:eastAsia="zh-CN"/>
        </w:rPr>
        <w:t>第十</w:t>
      </w:r>
      <w:r>
        <w:rPr>
          <w:rFonts w:hint="eastAsia" w:ascii="Times New Roman" w:hAnsi="Times New Roman" w:eastAsia="方正仿宋_GBK" w:cs="Times New Roman"/>
          <w:color w:val="000000"/>
          <w:sz w:val="32"/>
          <w:szCs w:val="32"/>
          <w:lang w:val="en-US" w:eastAsia="zh-CN"/>
        </w:rPr>
        <w:t>一</w:t>
      </w:r>
      <w:r>
        <w:rPr>
          <w:rFonts w:ascii="Times New Roman" w:hAnsi="Times New Roman" w:eastAsia="方正仿宋_GBK" w:cs="Times New Roman"/>
          <w:color w:val="000000"/>
          <w:sz w:val="32"/>
          <w:szCs w:val="32"/>
          <w:lang w:val="en-US" w:eastAsia="zh-CN"/>
        </w:rPr>
        <w:t>条、第十</w:t>
      </w:r>
      <w:r>
        <w:rPr>
          <w:rFonts w:hint="eastAsia" w:ascii="Times New Roman" w:hAnsi="Times New Roman" w:eastAsia="方正仿宋_GBK" w:cs="Times New Roman"/>
          <w:color w:val="000000"/>
          <w:sz w:val="32"/>
          <w:szCs w:val="32"/>
          <w:lang w:val="en-US" w:eastAsia="zh-CN"/>
        </w:rPr>
        <w:t>二</w:t>
      </w:r>
      <w:r>
        <w:rPr>
          <w:rFonts w:ascii="Times New Roman" w:hAnsi="Times New Roman" w:eastAsia="方正仿宋_GBK" w:cs="Times New Roman"/>
          <w:color w:val="000000"/>
          <w:sz w:val="32"/>
          <w:szCs w:val="32"/>
          <w:lang w:val="en-US" w:eastAsia="zh-CN"/>
        </w:rPr>
        <w:t>条情形的，应当参加评价。</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w:t>
      </w:r>
      <w:r>
        <w:rPr>
          <w:rFonts w:hint="eastAsia"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rPr>
        <w:t>所称道路运输和道路运输相关业务从业人员</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以下简称道路运输从业人员）</w:t>
      </w:r>
      <w:r>
        <w:rPr>
          <w:rFonts w:ascii="Times New Roman" w:hAnsi="Times New Roman" w:eastAsia="方正仿宋_GBK" w:cs="Times New Roman"/>
          <w:color w:val="000000"/>
          <w:sz w:val="32"/>
          <w:szCs w:val="32"/>
        </w:rPr>
        <w:t>是指</w:t>
      </w:r>
      <w:r>
        <w:rPr>
          <w:rFonts w:ascii="Times New Roman" w:hAnsi="Times New Roman" w:eastAsia="方正仿宋_GBK" w:cs="Times New Roman"/>
          <w:color w:val="000000"/>
          <w:sz w:val="32"/>
          <w:szCs w:val="32"/>
          <w:lang w:val="en-US" w:eastAsia="zh-CN"/>
        </w:rPr>
        <w:t>在本市</w:t>
      </w:r>
      <w:r>
        <w:rPr>
          <w:rFonts w:ascii="Times New Roman" w:hAnsi="Times New Roman" w:eastAsia="方正仿宋_GBK" w:cs="Times New Roman"/>
          <w:color w:val="000000"/>
          <w:sz w:val="32"/>
          <w:szCs w:val="32"/>
        </w:rPr>
        <w:t>从事道路旅客运输、公共汽车客运、巡游出租汽车客运、网</w:t>
      </w:r>
      <w:r>
        <w:rPr>
          <w:rFonts w:ascii="Times New Roman" w:hAnsi="Times New Roman" w:eastAsia="方正仿宋_GBK" w:cs="Times New Roman"/>
          <w:color w:val="000000"/>
          <w:sz w:val="32"/>
          <w:szCs w:val="32"/>
          <w:lang w:val="en-US" w:eastAsia="zh-CN"/>
        </w:rPr>
        <w:t>络预约</w:t>
      </w:r>
      <w:r>
        <w:rPr>
          <w:rFonts w:ascii="Times New Roman" w:hAnsi="Times New Roman" w:eastAsia="方正仿宋_GBK" w:cs="Times New Roman"/>
          <w:color w:val="000000"/>
          <w:sz w:val="32"/>
          <w:szCs w:val="32"/>
        </w:rPr>
        <w:t>出租汽车客运、道路货物运输的驾驶员</w:t>
      </w:r>
      <w:r>
        <w:rPr>
          <w:rFonts w:ascii="Times New Roman" w:hAnsi="Times New Roman" w:eastAsia="方正仿宋_GBK" w:cs="Times New Roman"/>
          <w:color w:val="000000"/>
          <w:sz w:val="32"/>
          <w:szCs w:val="32"/>
          <w:lang w:eastAsia="zh-CN"/>
        </w:rPr>
        <w:t>，以及机动车驾驶员培训教练员</w:t>
      </w:r>
      <w:r>
        <w:rPr>
          <w:rFonts w:ascii="Times New Roman" w:hAnsi="Times New Roman" w:eastAsia="方正仿宋_GBK" w:cs="Times New Roman"/>
          <w:color w:val="000000"/>
          <w:sz w:val="32"/>
          <w:szCs w:val="32"/>
        </w:rPr>
        <w:t>。</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第三条</w:t>
      </w:r>
      <w:r>
        <w:rPr>
          <w:rFonts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对道路运输经营者和从业人员的信用管理，应当遵循公开、公平、公正和动态管理、奖优罚劣的原则。</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第四条</w:t>
      </w:r>
      <w:r>
        <w:rPr>
          <w:rFonts w:ascii="Times New Roman" w:hAnsi="Times New Roman" w:eastAsia="方正仿宋_GBK" w:cs="Times New Roman"/>
          <w:b/>
          <w:bCs/>
          <w:color w:val="000000"/>
          <w:sz w:val="32"/>
          <w:szCs w:val="32"/>
        </w:rPr>
        <w:t xml:space="preserve"> </w:t>
      </w:r>
      <w:r>
        <w:rPr>
          <w:rFonts w:ascii="Times New Roman" w:hAnsi="Times New Roman" w:eastAsia="方正仿宋_GBK" w:cs="Times New Roman"/>
          <w:color w:val="000000"/>
          <w:sz w:val="32"/>
          <w:szCs w:val="32"/>
        </w:rPr>
        <w:t>道路运输经营者和从业人员应当自觉遵守法律、法规及规章</w:t>
      </w:r>
      <w:r>
        <w:rPr>
          <w:rFonts w:ascii="Times New Roman" w:hAnsi="Times New Roman" w:eastAsia="方正仿宋_GBK" w:cs="Times New Roman"/>
          <w:color w:val="000000"/>
          <w:sz w:val="32"/>
          <w:szCs w:val="32"/>
          <w:lang w:eastAsia="zh-CN"/>
        </w:rPr>
        <w:t>规定</w:t>
      </w:r>
      <w:r>
        <w:rPr>
          <w:rFonts w:ascii="Times New Roman" w:hAnsi="Times New Roman" w:eastAsia="方正仿宋_GBK" w:cs="Times New Roman"/>
          <w:color w:val="000000"/>
          <w:sz w:val="32"/>
          <w:szCs w:val="32"/>
        </w:rPr>
        <w:t>，加强管理，诚信经营，履行社会责任，为社会提供优质服务。</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lang w:val="en-US" w:eastAsia="zh-CN"/>
        </w:rPr>
      </w:pPr>
      <w:r>
        <w:rPr>
          <w:rFonts w:ascii="方正黑体_GBK" w:hAnsi="方正黑体_GBK" w:eastAsia="方正黑体_GBK" w:cs="方正黑体_GBK"/>
          <w:color w:val="000000"/>
          <w:sz w:val="32"/>
          <w:szCs w:val="32"/>
          <w:lang w:val="en-US" w:eastAsia="zh-CN"/>
        </w:rPr>
        <w:t>第五条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lang w:eastAsia="zh-CN"/>
        </w:rPr>
        <w:t>市、区县（自治县）</w:t>
      </w:r>
      <w:r>
        <w:rPr>
          <w:rFonts w:ascii="Times New Roman" w:hAnsi="Times New Roman" w:eastAsia="方正仿宋_GBK" w:cs="Times New Roman"/>
          <w:color w:val="000000"/>
          <w:sz w:val="32"/>
          <w:szCs w:val="32"/>
        </w:rPr>
        <w:t>交通主管部门负责组织领导本行政区域内的道路运输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信用管理工作。</w:t>
      </w:r>
      <w:r>
        <w:rPr>
          <w:rFonts w:ascii="Times New Roman" w:hAnsi="Times New Roman" w:eastAsia="方正仿宋_GBK" w:cs="Times New Roman"/>
          <w:color w:val="000000"/>
          <w:sz w:val="32"/>
          <w:szCs w:val="32"/>
          <w:lang w:eastAsia="zh-CN"/>
        </w:rPr>
        <w:t>市、区县（自治县）</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val="en-US" w:eastAsia="zh-CN"/>
        </w:rPr>
        <w:t>事务</w:t>
      </w:r>
      <w:r>
        <w:rPr>
          <w:rFonts w:ascii="Times New Roman" w:hAnsi="Times New Roman" w:eastAsia="方正仿宋_GBK" w:cs="Times New Roman"/>
          <w:color w:val="000000"/>
          <w:sz w:val="32"/>
          <w:szCs w:val="32"/>
        </w:rPr>
        <w:t>机构负责实施本行政区域内的道路运输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信用管理</w:t>
      </w:r>
      <w:r>
        <w:rPr>
          <w:rFonts w:ascii="Times New Roman" w:hAnsi="Times New Roman" w:eastAsia="方正仿宋_GBK" w:cs="Times New Roman"/>
          <w:color w:val="000000"/>
          <w:sz w:val="32"/>
          <w:szCs w:val="32"/>
          <w:lang w:val="en-US" w:eastAsia="zh-CN"/>
        </w:rPr>
        <w:t>事务性</w:t>
      </w:r>
      <w:r>
        <w:rPr>
          <w:rFonts w:ascii="Times New Roman" w:hAnsi="Times New Roman" w:eastAsia="方正仿宋_GBK" w:cs="Times New Roman"/>
          <w:color w:val="000000"/>
          <w:sz w:val="32"/>
          <w:szCs w:val="32"/>
        </w:rPr>
        <w:t>工作。市、区县（自治县）</w:t>
      </w:r>
      <w:r>
        <w:rPr>
          <w:rFonts w:ascii="Times New Roman" w:hAnsi="Times New Roman" w:eastAsia="方正仿宋_GBK" w:cs="Times New Roman"/>
          <w:color w:val="000000"/>
          <w:sz w:val="32"/>
          <w:szCs w:val="32"/>
          <w:lang w:val="en-US" w:eastAsia="zh-CN"/>
        </w:rPr>
        <w:t>交通综合执法机构负责道路运输经营者和从业人员信用管理相关工作。</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第六条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市、区县（自治县）</w:t>
      </w:r>
      <w:r>
        <w:rPr>
          <w:rFonts w:ascii="Times New Roman" w:hAnsi="Times New Roman" w:eastAsia="方正仿宋_GBK" w:cs="Times New Roman"/>
          <w:color w:val="000000"/>
          <w:sz w:val="32"/>
          <w:szCs w:val="32"/>
          <w:lang w:eastAsia="zh-CN"/>
        </w:rPr>
        <w:t>交通主管部门及其</w:t>
      </w:r>
      <w:r>
        <w:rPr>
          <w:rFonts w:ascii="Times New Roman" w:hAnsi="Times New Roman" w:eastAsia="方正仿宋_GBK" w:cs="Times New Roman"/>
          <w:color w:val="000000"/>
          <w:sz w:val="32"/>
          <w:szCs w:val="32"/>
        </w:rPr>
        <w:t>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要逐步建立信用联合奖惩机制，鼓励和支持信用等级</w:t>
      </w:r>
      <w:r>
        <w:rPr>
          <w:rFonts w:ascii="Times New Roman" w:hAnsi="Times New Roman" w:eastAsia="方正仿宋_GBK" w:cs="Times New Roman"/>
          <w:color w:val="000000"/>
          <w:sz w:val="32"/>
          <w:szCs w:val="32"/>
          <w:lang w:val="en-US" w:eastAsia="zh-CN"/>
        </w:rPr>
        <w:t>高</w:t>
      </w:r>
      <w:r>
        <w:rPr>
          <w:rFonts w:ascii="Times New Roman" w:hAnsi="Times New Roman" w:eastAsia="方正仿宋_GBK" w:cs="Times New Roman"/>
          <w:color w:val="000000"/>
          <w:sz w:val="32"/>
          <w:szCs w:val="32"/>
        </w:rPr>
        <w:t>的道路运输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发展。</w:t>
      </w:r>
    </w:p>
    <w:p>
      <w:pPr>
        <w:pStyle w:val="12"/>
        <w:keepNext w:val="0"/>
        <w:keepLines w:val="0"/>
        <w:pageBreakBefore w:val="0"/>
        <w:kinsoku/>
        <w:wordWrap/>
        <w:overflowPunct/>
        <w:topLinePunct w:val="0"/>
        <w:autoSpaceDE/>
        <w:autoSpaceDN/>
        <w:bidi w:val="0"/>
        <w:adjustRightInd/>
        <w:spacing w:line="600" w:lineRule="exact"/>
        <w:ind w:firstLine="0"/>
        <w:jc w:val="center"/>
        <w:textAlignment w:val="auto"/>
        <w:rPr>
          <w:rFonts w:ascii="Times New Roman" w:hAnsi="Times New Roman" w:eastAsia="方正仿宋_GBK" w:cs="Times New Roman"/>
          <w:b/>
          <w:bCs/>
          <w:color w:val="000000"/>
          <w:sz w:val="32"/>
          <w:szCs w:val="32"/>
        </w:rPr>
      </w:pPr>
    </w:p>
    <w:p>
      <w:pPr>
        <w:pStyle w:val="12"/>
        <w:keepNext w:val="0"/>
        <w:keepLines w:val="0"/>
        <w:pageBreakBefore w:val="0"/>
        <w:kinsoku/>
        <w:wordWrap/>
        <w:overflowPunct/>
        <w:topLinePunct w:val="0"/>
        <w:autoSpaceDE/>
        <w:autoSpaceDN/>
        <w:bidi w:val="0"/>
        <w:adjustRightInd/>
        <w:spacing w:line="600" w:lineRule="exact"/>
        <w:ind w:firstLine="640"/>
        <w:jc w:val="center"/>
        <w:textAlignment w:val="auto"/>
        <w:rPr>
          <w:rFonts w:ascii="方正黑体_GBK" w:hAnsi="方正黑体_GBK" w:eastAsia="方正黑体_GBK" w:cs="方正黑体_GBK"/>
          <w:color w:val="000000"/>
          <w:sz w:val="32"/>
          <w:szCs w:val="32"/>
          <w:lang w:val="en-US" w:eastAsia="zh-CN"/>
        </w:rPr>
      </w:pPr>
      <w:r>
        <w:rPr>
          <w:rFonts w:ascii="方正黑体_GBK" w:hAnsi="方正黑体_GBK" w:eastAsia="方正黑体_GBK" w:cs="方正黑体_GBK"/>
          <w:color w:val="000000"/>
          <w:sz w:val="32"/>
          <w:szCs w:val="32"/>
          <w:lang w:val="en-US" w:eastAsia="zh-CN"/>
        </w:rPr>
        <w:t>第二章  信用评价的内容和等级</w:t>
      </w:r>
    </w:p>
    <w:p>
      <w:pPr>
        <w:pStyle w:val="12"/>
        <w:keepNext w:val="0"/>
        <w:keepLines w:val="0"/>
        <w:pageBreakBefore w:val="0"/>
        <w:kinsoku/>
        <w:wordWrap/>
        <w:overflowPunct/>
        <w:topLinePunct w:val="0"/>
        <w:autoSpaceDE/>
        <w:autoSpaceDN/>
        <w:bidi w:val="0"/>
        <w:adjustRightInd/>
        <w:spacing w:line="600" w:lineRule="exact"/>
        <w:ind w:firstLine="0"/>
        <w:jc w:val="center"/>
        <w:textAlignment w:val="auto"/>
        <w:rPr>
          <w:rFonts w:ascii="Times New Roman" w:hAnsi="Times New Roman" w:eastAsia="方正仿宋_GBK" w:cs="Times New Roman"/>
          <w:color w:val="000000"/>
          <w:sz w:val="32"/>
          <w:szCs w:val="32"/>
          <w:lang w:val="en-US" w:eastAsia="zh-CN"/>
        </w:rPr>
      </w:pP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val="en-US" w:eastAsia="zh-CN"/>
        </w:rPr>
        <w:t>第七条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信用评价内容包括对</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经营管理、安全生产、服务质量和社会责任等方面的综合评价。</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val="en-US" w:eastAsia="zh-CN"/>
        </w:rPr>
        <w:t>从业人员信用评价</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是指从业人员在从事道路运输活动中，违反有关法律、法规</w:t>
      </w:r>
      <w:r>
        <w:rPr>
          <w:rFonts w:ascii="Times New Roman" w:hAnsi="Times New Roman" w:eastAsia="方正仿宋_GBK" w:cs="Times New Roman"/>
          <w:color w:val="000000"/>
          <w:sz w:val="32"/>
          <w:szCs w:val="32"/>
          <w:lang w:val="en-US" w:eastAsia="zh-CN"/>
        </w:rPr>
        <w:t>、规章和规范性文件规定</w:t>
      </w:r>
      <w:r>
        <w:rPr>
          <w:rFonts w:ascii="Times New Roman" w:hAnsi="Times New Roman" w:eastAsia="方正仿宋_GBK" w:cs="Times New Roman"/>
          <w:color w:val="000000"/>
          <w:sz w:val="32"/>
          <w:szCs w:val="32"/>
        </w:rPr>
        <w:t>，经相应机关作出行政处罚</w:t>
      </w:r>
      <w:r>
        <w:rPr>
          <w:rFonts w:ascii="Times New Roman" w:hAnsi="Times New Roman" w:eastAsia="方正仿宋_GBK" w:cs="Times New Roman"/>
          <w:color w:val="000000"/>
          <w:sz w:val="32"/>
          <w:szCs w:val="32"/>
          <w:lang w:eastAsia="zh-CN"/>
        </w:rPr>
        <w:t>（处理）</w:t>
      </w:r>
      <w:r>
        <w:rPr>
          <w:rFonts w:ascii="Times New Roman" w:hAnsi="Times New Roman" w:eastAsia="方正仿宋_GBK" w:cs="Times New Roman"/>
          <w:color w:val="000000"/>
          <w:sz w:val="32"/>
          <w:szCs w:val="32"/>
        </w:rPr>
        <w:t>决定，信用评价分值所形成的不良行为记录。</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道路运输各子行业</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信用评价</w:t>
      </w:r>
      <w:r>
        <w:rPr>
          <w:rFonts w:ascii="Times New Roman" w:hAnsi="Times New Roman" w:eastAsia="方正仿宋_GBK" w:cs="Times New Roman"/>
          <w:color w:val="000000"/>
          <w:sz w:val="32"/>
          <w:szCs w:val="32"/>
          <w:lang w:val="en-US" w:eastAsia="zh-CN"/>
        </w:rPr>
        <w:t>计分标准</w:t>
      </w:r>
      <w:r>
        <w:rPr>
          <w:rFonts w:ascii="Times New Roman" w:hAnsi="Times New Roman" w:eastAsia="方正仿宋_GBK" w:cs="Times New Roman"/>
          <w:color w:val="000000"/>
          <w:sz w:val="32"/>
          <w:szCs w:val="32"/>
        </w:rPr>
        <w:t>由</w:t>
      </w:r>
      <w:r>
        <w:rPr>
          <w:rFonts w:ascii="Times New Roman" w:hAnsi="Times New Roman" w:eastAsia="方正仿宋_GBK" w:cs="Times New Roman"/>
          <w:color w:val="000000"/>
          <w:sz w:val="32"/>
          <w:szCs w:val="32"/>
          <w:lang w:eastAsia="zh-CN"/>
        </w:rPr>
        <w:t>市</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val="en-US" w:eastAsia="zh-CN"/>
        </w:rPr>
        <w:t>事务机构</w:t>
      </w:r>
      <w:r>
        <w:rPr>
          <w:rFonts w:hint="eastAsia" w:ascii="Times New Roman" w:hAnsi="Times New Roman" w:eastAsia="方正仿宋_GBK" w:cs="Times New Roman"/>
          <w:color w:val="000000"/>
          <w:sz w:val="32"/>
          <w:szCs w:val="32"/>
          <w:lang w:val="en-US" w:eastAsia="zh-CN"/>
        </w:rPr>
        <w:t>拟</w:t>
      </w:r>
      <w:r>
        <w:rPr>
          <w:rFonts w:ascii="Times New Roman" w:hAnsi="Times New Roman" w:eastAsia="方正仿宋_GBK" w:cs="Times New Roman"/>
          <w:color w:val="000000"/>
          <w:sz w:val="32"/>
          <w:szCs w:val="32"/>
        </w:rPr>
        <w:t>制</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报</w:t>
      </w:r>
      <w:r>
        <w:rPr>
          <w:rFonts w:hint="eastAsia" w:ascii="Times New Roman" w:hAnsi="Times New Roman" w:eastAsia="方正仿宋_GBK" w:cs="Times New Roman"/>
          <w:color w:val="000000"/>
          <w:sz w:val="32"/>
          <w:szCs w:val="32"/>
          <w:lang w:eastAsia="zh-CN"/>
        </w:rPr>
        <w:t>送</w:t>
      </w:r>
      <w:r>
        <w:rPr>
          <w:rFonts w:ascii="Times New Roman" w:hAnsi="Times New Roman" w:eastAsia="方正仿宋_GBK" w:cs="Times New Roman"/>
          <w:color w:val="000000"/>
          <w:sz w:val="32"/>
          <w:szCs w:val="32"/>
          <w:lang w:eastAsia="zh-CN"/>
        </w:rPr>
        <w:t>市</w:t>
      </w:r>
      <w:r>
        <w:rPr>
          <w:rFonts w:ascii="Times New Roman" w:hAnsi="Times New Roman" w:eastAsia="方正仿宋_GBK" w:cs="Times New Roman"/>
          <w:color w:val="000000"/>
          <w:sz w:val="32"/>
          <w:szCs w:val="32"/>
        </w:rPr>
        <w:t>交通</w:t>
      </w:r>
      <w:r>
        <w:rPr>
          <w:rFonts w:ascii="Times New Roman" w:hAnsi="Times New Roman" w:eastAsia="方正仿宋_GBK" w:cs="Times New Roman"/>
          <w:color w:val="000000"/>
          <w:sz w:val="32"/>
          <w:szCs w:val="32"/>
          <w:lang w:val="en-US" w:eastAsia="zh-CN"/>
        </w:rPr>
        <w:t>主管部门</w:t>
      </w:r>
      <w:r>
        <w:rPr>
          <w:rFonts w:hint="eastAsia" w:ascii="Times New Roman" w:hAnsi="Times New Roman" w:eastAsia="方正仿宋_GBK" w:cs="Times New Roman"/>
          <w:color w:val="000000"/>
          <w:sz w:val="32"/>
          <w:szCs w:val="32"/>
          <w:lang w:eastAsia="zh-CN"/>
        </w:rPr>
        <w:t>印发</w:t>
      </w:r>
      <w:r>
        <w:rPr>
          <w:rFonts w:ascii="Times New Roman" w:hAnsi="Times New Roman" w:eastAsia="方正仿宋_GBK" w:cs="Times New Roman"/>
          <w:color w:val="000000"/>
          <w:sz w:val="32"/>
          <w:szCs w:val="32"/>
          <w:lang w:val="en-US" w:eastAsia="zh-CN"/>
        </w:rPr>
        <w:t>实施</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eastAsia="zh-CN"/>
        </w:rPr>
        <w:t>市</w:t>
      </w:r>
      <w:r>
        <w:rPr>
          <w:rFonts w:hint="eastAsia" w:ascii="Times New Roman" w:hAnsi="Times New Roman" w:eastAsia="方正仿宋_GBK" w:cs="Times New Roman"/>
          <w:color w:val="000000"/>
          <w:sz w:val="32"/>
          <w:szCs w:val="32"/>
          <w:lang w:eastAsia="zh-CN"/>
        </w:rPr>
        <w:t>交通主管部门</w:t>
      </w:r>
      <w:r>
        <w:rPr>
          <w:rFonts w:ascii="Times New Roman" w:hAnsi="Times New Roman" w:eastAsia="方正仿宋_GBK" w:cs="Times New Roman"/>
          <w:color w:val="000000"/>
          <w:sz w:val="32"/>
          <w:szCs w:val="32"/>
        </w:rPr>
        <w:t>可以根据行业发展需要</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对评价</w:t>
      </w:r>
      <w:r>
        <w:rPr>
          <w:rFonts w:ascii="Times New Roman" w:hAnsi="Times New Roman" w:eastAsia="方正仿宋_GBK" w:cs="Times New Roman"/>
          <w:color w:val="000000"/>
          <w:sz w:val="32"/>
          <w:szCs w:val="32"/>
          <w:lang w:val="en-US" w:eastAsia="zh-CN"/>
        </w:rPr>
        <w:t>的具体计分标准</w:t>
      </w:r>
      <w:r>
        <w:rPr>
          <w:rFonts w:ascii="Times New Roman" w:hAnsi="Times New Roman" w:eastAsia="方正仿宋_GBK" w:cs="Times New Roman"/>
          <w:color w:val="000000"/>
          <w:sz w:val="32"/>
          <w:szCs w:val="32"/>
        </w:rPr>
        <w:t>进行</w:t>
      </w:r>
      <w:r>
        <w:rPr>
          <w:rFonts w:ascii="Times New Roman" w:hAnsi="Times New Roman" w:eastAsia="方正仿宋_GBK" w:cs="Times New Roman"/>
          <w:color w:val="000000"/>
          <w:sz w:val="32"/>
          <w:szCs w:val="32"/>
          <w:lang w:val="en-US" w:eastAsia="zh-CN"/>
        </w:rPr>
        <w:t>适时</w:t>
      </w:r>
      <w:r>
        <w:rPr>
          <w:rFonts w:ascii="Times New Roman" w:hAnsi="Times New Roman" w:eastAsia="方正仿宋_GBK" w:cs="Times New Roman"/>
          <w:color w:val="000000"/>
          <w:sz w:val="32"/>
          <w:szCs w:val="32"/>
        </w:rPr>
        <w:t>调整</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rPr>
        <w:t>并</w:t>
      </w:r>
      <w:r>
        <w:rPr>
          <w:rFonts w:hint="eastAsia" w:ascii="Times New Roman" w:hAnsi="Times New Roman" w:eastAsia="方正仿宋_GBK" w:cs="Times New Roman"/>
          <w:color w:val="000000"/>
          <w:sz w:val="32"/>
          <w:szCs w:val="32"/>
          <w:lang w:eastAsia="zh-CN"/>
        </w:rPr>
        <w:t>按程序</w:t>
      </w:r>
      <w:r>
        <w:rPr>
          <w:rFonts w:ascii="Times New Roman" w:hAnsi="Times New Roman" w:eastAsia="方正仿宋_GBK" w:cs="Times New Roman"/>
          <w:color w:val="000000"/>
          <w:sz w:val="32"/>
          <w:szCs w:val="32"/>
        </w:rPr>
        <w:t>对外公布</w:t>
      </w:r>
      <w:r>
        <w:rPr>
          <w:rFonts w:hint="eastAsia" w:ascii="Times New Roman" w:hAnsi="Times New Roman" w:eastAsia="方正仿宋_GBK" w:cs="Times New Roman"/>
          <w:color w:val="000000"/>
          <w:sz w:val="32"/>
          <w:szCs w:val="32"/>
          <w:lang w:eastAsia="zh-CN"/>
        </w:rPr>
        <w:t>后</w:t>
      </w:r>
      <w:r>
        <w:rPr>
          <w:rFonts w:ascii="Times New Roman" w:hAnsi="Times New Roman" w:eastAsia="方正仿宋_GBK" w:cs="Times New Roman"/>
          <w:color w:val="000000"/>
          <w:sz w:val="32"/>
          <w:szCs w:val="32"/>
        </w:rPr>
        <w:t>实施。</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第八条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信用评价采用年度评价和动态调整相结合的方式。</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年度评价是指道路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综合道路运输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在一个评价周期内的信用情况，对该</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进行的定期信用评价。</w:t>
      </w:r>
    </w:p>
    <w:p>
      <w:pPr>
        <w:pStyle w:val="12"/>
        <w:keepNext w:val="0"/>
        <w:keepLines w:val="0"/>
        <w:pageBreakBefore w:val="0"/>
        <w:kinsoku/>
        <w:wordWrap/>
        <w:overflowPunct/>
        <w:topLinePunct w:val="0"/>
        <w:autoSpaceDE/>
        <w:autoSpaceDN/>
        <w:bidi w:val="0"/>
        <w:adjustRightInd/>
        <w:spacing w:line="600" w:lineRule="exact"/>
        <w:ind w:firstLine="6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动态调整是指道路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依据道路运输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信用的重大变化情况进行的适时调整。</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第九条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信用评价等级按信用考核得分高低分为</w:t>
      </w:r>
      <w:r>
        <w:rPr>
          <w:rFonts w:ascii="Times New Roman" w:hAnsi="Times New Roman" w:eastAsia="方正仿宋_GBK" w:cs="Times New Roman"/>
          <w:color w:val="000000"/>
          <w:sz w:val="32"/>
          <w:szCs w:val="32"/>
          <w:lang w:val="en-US" w:eastAsia="zh-CN"/>
        </w:rPr>
        <w:t>好、较好</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一般</w:t>
      </w:r>
      <w:r>
        <w:rPr>
          <w:rFonts w:ascii="Times New Roman" w:hAnsi="Times New Roman" w:eastAsia="方正仿宋_GBK" w:cs="Times New Roman"/>
          <w:color w:val="000000"/>
          <w:sz w:val="32"/>
          <w:szCs w:val="32"/>
          <w:lang w:eastAsia="zh-CN"/>
        </w:rPr>
        <w:t>、较差和</w:t>
      </w:r>
      <w:r>
        <w:rPr>
          <w:rFonts w:ascii="Times New Roman" w:hAnsi="Times New Roman" w:eastAsia="方正仿宋_GBK" w:cs="Times New Roman"/>
          <w:color w:val="000000"/>
          <w:sz w:val="32"/>
          <w:szCs w:val="32"/>
          <w:lang w:val="en-US" w:eastAsia="zh-CN"/>
        </w:rPr>
        <w:t>差</w:t>
      </w:r>
      <w:r>
        <w:rPr>
          <w:rFonts w:ascii="Times New Roman" w:hAnsi="Times New Roman" w:eastAsia="方正仿宋_GBK" w:cs="Times New Roman"/>
          <w:color w:val="000000"/>
          <w:sz w:val="32"/>
          <w:szCs w:val="32"/>
        </w:rPr>
        <w:t>五个级别，分别用</w:t>
      </w:r>
      <w:r>
        <w:rPr>
          <w:rFonts w:ascii="Times New Roman" w:hAnsi="Times New Roman" w:eastAsia="方正仿宋_GBK" w:cs="Times New Roman"/>
          <w:color w:val="000000"/>
          <w:sz w:val="32"/>
          <w:szCs w:val="32"/>
          <w:lang w:val="en-US" w:eastAsia="zh-CN" w:bidi="en-US"/>
        </w:rPr>
        <w:t>AA、A、B、C、D</w:t>
      </w:r>
      <w:r>
        <w:rPr>
          <w:rFonts w:ascii="Times New Roman" w:hAnsi="Times New Roman" w:eastAsia="方正仿宋_GBK" w:cs="Times New Roman"/>
          <w:color w:val="000000"/>
          <w:sz w:val="32"/>
          <w:szCs w:val="32"/>
        </w:rPr>
        <w:t>表示。</w:t>
      </w:r>
      <w:r>
        <w:rPr>
          <w:rFonts w:ascii="Times New Roman" w:hAnsi="Times New Roman" w:eastAsia="方正仿宋_GBK" w:cs="Times New Roman"/>
          <w:color w:val="000000"/>
          <w:sz w:val="32"/>
          <w:szCs w:val="32"/>
          <w:lang w:val="en-US" w:eastAsia="zh-CN"/>
        </w:rPr>
        <w:t>道路运输法律、法规、规章及上位规范性文件与本</w:t>
      </w:r>
      <w:r>
        <w:rPr>
          <w:rFonts w:hint="eastAsia"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lang w:val="en-US" w:eastAsia="zh-CN"/>
        </w:rPr>
        <w:t>规定不一致的，从其规定。</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其他规范性文件的安全服务质量考核、信用考核评价划分等级和表示方法与本</w:t>
      </w:r>
      <w:r>
        <w:rPr>
          <w:rFonts w:hint="eastAsia"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lang w:val="en-US" w:eastAsia="zh-CN"/>
        </w:rPr>
        <w:t>不一致的，可与本</w:t>
      </w:r>
      <w:r>
        <w:rPr>
          <w:rFonts w:hint="eastAsia"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lang w:val="en-US" w:eastAsia="zh-CN"/>
        </w:rPr>
        <w:t>对应后进行确认。</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第十条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对道路运输从业人员失信行为实行记分制，单次失信行为记分为1至20分，并实行累积记分。同一个失信行为符合多种失信记分标准的，按照最高记分值予以记分，不重复记分。道路运输从业人员信用评价等级，按照下列标准进行评定：</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（一）上一评价周期的信用评价等级为A以上，评价周期内累计计分为0分的，信用评价等级为AA级</w:t>
      </w:r>
      <w:r>
        <w:rPr>
          <w:rFonts w:hint="eastAsia" w:ascii="Times New Roman" w:hAnsi="Times New Roman" w:eastAsia="方正仿宋_GBK" w:cs="Times New Roman"/>
          <w:color w:val="000000"/>
          <w:sz w:val="32"/>
          <w:szCs w:val="32"/>
          <w:lang w:val="en-US" w:eastAsia="zh-CN"/>
        </w:rPr>
        <w:t>。</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（二）上一评价周期的信用评价等级为B以上，评价周期内信用评价累计计分未达到10分的，信用评价等级为A级</w:t>
      </w:r>
      <w:r>
        <w:rPr>
          <w:rFonts w:hint="eastAsia" w:ascii="Times New Roman" w:hAnsi="Times New Roman" w:eastAsia="方正仿宋_GBK" w:cs="Times New Roman"/>
          <w:color w:val="000000"/>
          <w:sz w:val="32"/>
          <w:szCs w:val="32"/>
          <w:lang w:val="en-US" w:eastAsia="zh-CN"/>
        </w:rPr>
        <w:t>。</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w:t>
      </w:r>
      <w:r>
        <w:rPr>
          <w:rFonts w:hint="eastAsia" w:ascii="方正仿宋_GBK" w:hAnsi="Times New Roman" w:eastAsia="方正仿宋_GBK" w:cs="Times New Roman"/>
          <w:color w:val="000000"/>
          <w:sz w:val="32"/>
          <w:szCs w:val="32"/>
          <w:lang w:val="en-US" w:eastAsia="zh-CN"/>
        </w:rPr>
        <w:t>未达到A级以上的信用评价条件，</w:t>
      </w:r>
      <w:r>
        <w:rPr>
          <w:rFonts w:ascii="Times New Roman" w:hAnsi="Times New Roman" w:eastAsia="方正仿宋_GBK" w:cs="Times New Roman"/>
          <w:color w:val="000000"/>
          <w:sz w:val="32"/>
          <w:szCs w:val="32"/>
          <w:lang w:val="en-US" w:eastAsia="zh-CN"/>
        </w:rPr>
        <w:t>评价周期内信用评价累计计分未达到20分的，信用评价等级为B级。</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（四）评价周期内累计有一次计分为20分的，信用评价等级为C级。</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（五）评价周期内累计有二次计分为20分的，信用评价等级为D级。</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val="en-US" w:eastAsia="zh-CN"/>
        </w:rPr>
        <w:t>第十一条</w:t>
      </w:r>
      <w:r>
        <w:rPr>
          <w:rFonts w:hint="eastAsia"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bidi="en-US"/>
        </w:rPr>
        <w:t>B</w:t>
      </w:r>
      <w:r>
        <w:rPr>
          <w:rFonts w:ascii="Times New Roman" w:hAnsi="Times New Roman" w:eastAsia="方正仿宋_GBK" w:cs="Times New Roman"/>
          <w:color w:val="000000"/>
          <w:sz w:val="32"/>
          <w:szCs w:val="32"/>
        </w:rPr>
        <w:t>级以上道路运输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发生</w:t>
      </w:r>
      <w:r>
        <w:rPr>
          <w:rFonts w:ascii="Times New Roman" w:hAnsi="Times New Roman" w:eastAsia="方正仿宋_GBK" w:cs="Times New Roman"/>
          <w:color w:val="000000"/>
          <w:sz w:val="32"/>
          <w:szCs w:val="32"/>
          <w:lang w:val="en-US" w:eastAsia="zh-CN"/>
        </w:rPr>
        <w:t>以下</w:t>
      </w:r>
      <w:r>
        <w:rPr>
          <w:rFonts w:ascii="Times New Roman" w:hAnsi="Times New Roman" w:eastAsia="方正仿宋_GBK" w:cs="Times New Roman"/>
          <w:color w:val="000000"/>
          <w:sz w:val="32"/>
          <w:szCs w:val="32"/>
        </w:rPr>
        <w:t>较重失信行为</w:t>
      </w:r>
      <w:r>
        <w:rPr>
          <w:rFonts w:ascii="Times New Roman" w:hAnsi="Times New Roman" w:eastAsia="方正仿宋_GBK" w:cs="Times New Roman"/>
          <w:color w:val="000000"/>
          <w:sz w:val="32"/>
          <w:szCs w:val="32"/>
          <w:lang w:val="en-US" w:eastAsia="zh-CN"/>
        </w:rPr>
        <w:t>之一</w:t>
      </w:r>
      <w:r>
        <w:rPr>
          <w:rFonts w:ascii="Times New Roman" w:hAnsi="Times New Roman" w:eastAsia="方正仿宋_GBK" w:cs="Times New Roman"/>
          <w:color w:val="000000"/>
          <w:sz w:val="32"/>
          <w:szCs w:val="32"/>
        </w:rPr>
        <w:t>的，经评级道路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报同级</w:t>
      </w:r>
      <w:r>
        <w:rPr>
          <w:rFonts w:ascii="Times New Roman" w:hAnsi="Times New Roman" w:eastAsia="方正仿宋_GBK" w:cs="Times New Roman"/>
          <w:color w:val="000000"/>
          <w:sz w:val="32"/>
          <w:szCs w:val="32"/>
          <w:lang w:eastAsia="zh-CN"/>
        </w:rPr>
        <w:t>交通主管部门</w:t>
      </w:r>
      <w:r>
        <w:rPr>
          <w:rFonts w:ascii="Times New Roman" w:hAnsi="Times New Roman" w:eastAsia="方正仿宋_GBK" w:cs="Times New Roman"/>
          <w:color w:val="000000"/>
          <w:sz w:val="32"/>
          <w:szCs w:val="32"/>
        </w:rPr>
        <w:t>审定，在20个工作日内将</w:t>
      </w:r>
      <w:r>
        <w:rPr>
          <w:rFonts w:ascii="Times New Roman" w:hAnsi="Times New Roman" w:eastAsia="方正仿宋_GBK" w:cs="Times New Roman"/>
          <w:color w:val="000000"/>
          <w:sz w:val="32"/>
          <w:szCs w:val="32"/>
          <w:lang w:eastAsia="zh-CN"/>
        </w:rPr>
        <w:t>当前</w:t>
      </w:r>
      <w:r>
        <w:rPr>
          <w:rFonts w:ascii="Times New Roman" w:hAnsi="Times New Roman" w:eastAsia="方正仿宋_GBK" w:cs="Times New Roman"/>
          <w:color w:val="000000"/>
          <w:sz w:val="32"/>
          <w:szCs w:val="32"/>
          <w:lang w:val="en-US" w:eastAsia="zh-CN"/>
        </w:rPr>
        <w:t>年度的</w:t>
      </w:r>
      <w:r>
        <w:rPr>
          <w:rFonts w:ascii="Times New Roman" w:hAnsi="Times New Roman" w:eastAsia="方正仿宋_GBK" w:cs="Times New Roman"/>
          <w:color w:val="000000"/>
          <w:sz w:val="32"/>
          <w:szCs w:val="32"/>
        </w:rPr>
        <w:t>信用等级直接</w:t>
      </w:r>
      <w:r>
        <w:rPr>
          <w:rFonts w:ascii="Times New Roman" w:hAnsi="Times New Roman" w:eastAsia="方正仿宋_GBK" w:cs="Times New Roman"/>
          <w:color w:val="000000"/>
          <w:sz w:val="32"/>
          <w:szCs w:val="32"/>
          <w:lang w:eastAsia="zh-CN"/>
        </w:rPr>
        <w:t>确定</w:t>
      </w:r>
      <w:r>
        <w:rPr>
          <w:rFonts w:ascii="Times New Roman" w:hAnsi="Times New Roman" w:eastAsia="方正仿宋_GBK" w:cs="Times New Roman"/>
          <w:color w:val="000000"/>
          <w:sz w:val="32"/>
          <w:szCs w:val="32"/>
        </w:rPr>
        <w:t>为</w:t>
      </w:r>
      <w:r>
        <w:rPr>
          <w:rFonts w:ascii="Times New Roman" w:hAnsi="Times New Roman" w:eastAsia="方正仿宋_GBK" w:cs="Times New Roman"/>
          <w:color w:val="000000"/>
          <w:sz w:val="32"/>
          <w:szCs w:val="32"/>
          <w:lang w:val="en-US" w:eastAsia="zh-CN" w:bidi="en-US"/>
        </w:rPr>
        <w:t>C</w:t>
      </w:r>
      <w:r>
        <w:rPr>
          <w:rFonts w:ascii="Times New Roman" w:hAnsi="Times New Roman" w:eastAsia="方正仿宋_GBK" w:cs="Times New Roman"/>
          <w:color w:val="000000"/>
          <w:sz w:val="32"/>
          <w:szCs w:val="32"/>
        </w:rPr>
        <w:t>级。</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一）发生一次死亡3人以上安全生产责任事故的；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（二）发生较大污染责任事故的；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（三）发生重大服务质量事件的；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（四）违反信访相关规定，被区县（自治县）人民政府或者市级相关部门通报的；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（五）组织或者引发影响社会公共秩序、损害公共利益的停运罢运事件，受到区县（自治县）人民政府或者市级相关部门通报批评的；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（六）安全生产、经营管理、服务质量、社会责任等任一一级指标扣分超过该指标总分80%的；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（七）法律、法规和规章规定，以及国家、市信用管理机构认定的其他较重失信行为。</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val="en-US" w:eastAsia="zh-CN"/>
        </w:rPr>
        <w:t>第十二条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发生</w:t>
      </w:r>
      <w:r>
        <w:rPr>
          <w:rFonts w:ascii="Times New Roman" w:hAnsi="Times New Roman" w:eastAsia="方正仿宋_GBK" w:cs="Times New Roman"/>
          <w:color w:val="000000"/>
          <w:sz w:val="32"/>
          <w:szCs w:val="32"/>
          <w:lang w:val="en-US" w:eastAsia="zh-CN"/>
        </w:rPr>
        <w:t>以下</w:t>
      </w:r>
      <w:r>
        <w:rPr>
          <w:rFonts w:ascii="Times New Roman" w:hAnsi="Times New Roman" w:eastAsia="方正仿宋_GBK" w:cs="Times New Roman"/>
          <w:color w:val="000000"/>
          <w:sz w:val="32"/>
          <w:szCs w:val="32"/>
        </w:rPr>
        <w:t>严重失信行为</w:t>
      </w:r>
      <w:r>
        <w:rPr>
          <w:rFonts w:ascii="Times New Roman" w:hAnsi="Times New Roman" w:eastAsia="方正仿宋_GBK" w:cs="Times New Roman"/>
          <w:color w:val="000000"/>
          <w:sz w:val="32"/>
          <w:szCs w:val="32"/>
          <w:lang w:val="en-US" w:eastAsia="zh-CN"/>
        </w:rPr>
        <w:t>之一</w:t>
      </w:r>
      <w:r>
        <w:rPr>
          <w:rFonts w:ascii="Times New Roman" w:hAnsi="Times New Roman" w:eastAsia="方正仿宋_GBK" w:cs="Times New Roman"/>
          <w:color w:val="000000"/>
          <w:sz w:val="32"/>
          <w:szCs w:val="32"/>
        </w:rPr>
        <w:t>的，经评级道路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报同级</w:t>
      </w:r>
      <w:r>
        <w:rPr>
          <w:rFonts w:ascii="Times New Roman" w:hAnsi="Times New Roman" w:eastAsia="方正仿宋_GBK" w:cs="Times New Roman"/>
          <w:color w:val="000000"/>
          <w:sz w:val="32"/>
          <w:szCs w:val="32"/>
          <w:lang w:eastAsia="zh-CN"/>
        </w:rPr>
        <w:t>交通主管部门</w:t>
      </w:r>
      <w:r>
        <w:rPr>
          <w:rFonts w:ascii="Times New Roman" w:hAnsi="Times New Roman" w:eastAsia="方正仿宋_GBK" w:cs="Times New Roman"/>
          <w:color w:val="000000"/>
          <w:sz w:val="32"/>
          <w:szCs w:val="32"/>
        </w:rPr>
        <w:t>审定，在20个工作日内将</w:t>
      </w:r>
      <w:r>
        <w:rPr>
          <w:rFonts w:ascii="Times New Roman" w:hAnsi="Times New Roman" w:eastAsia="方正仿宋_GBK" w:cs="Times New Roman"/>
          <w:color w:val="000000"/>
          <w:sz w:val="32"/>
          <w:szCs w:val="32"/>
          <w:lang w:eastAsia="zh-CN"/>
        </w:rPr>
        <w:t>当前</w:t>
      </w:r>
      <w:r>
        <w:rPr>
          <w:rFonts w:ascii="Times New Roman" w:hAnsi="Times New Roman" w:eastAsia="方正仿宋_GBK" w:cs="Times New Roman"/>
          <w:color w:val="000000"/>
          <w:sz w:val="32"/>
          <w:szCs w:val="32"/>
          <w:lang w:val="en-US" w:eastAsia="zh-CN"/>
        </w:rPr>
        <w:t>年度的</w:t>
      </w:r>
      <w:r>
        <w:rPr>
          <w:rFonts w:ascii="Times New Roman" w:hAnsi="Times New Roman" w:eastAsia="方正仿宋_GBK" w:cs="Times New Roman"/>
          <w:color w:val="000000"/>
          <w:sz w:val="32"/>
          <w:szCs w:val="32"/>
        </w:rPr>
        <w:t>信用等级直接</w:t>
      </w:r>
      <w:r>
        <w:rPr>
          <w:rFonts w:ascii="Times New Roman" w:hAnsi="Times New Roman" w:eastAsia="方正仿宋_GBK" w:cs="Times New Roman"/>
          <w:color w:val="000000"/>
          <w:sz w:val="32"/>
          <w:szCs w:val="32"/>
          <w:lang w:eastAsia="zh-CN"/>
        </w:rPr>
        <w:t>确定</w:t>
      </w:r>
      <w:r>
        <w:rPr>
          <w:rFonts w:ascii="Times New Roman" w:hAnsi="Times New Roman" w:eastAsia="方正仿宋_GBK" w:cs="Times New Roman"/>
          <w:color w:val="000000"/>
          <w:sz w:val="32"/>
          <w:szCs w:val="32"/>
        </w:rPr>
        <w:t>为</w:t>
      </w:r>
      <w:r>
        <w:rPr>
          <w:rFonts w:ascii="Times New Roman" w:hAnsi="Times New Roman" w:eastAsia="方正仿宋_GBK" w:cs="Times New Roman"/>
          <w:color w:val="000000"/>
          <w:sz w:val="32"/>
          <w:szCs w:val="32"/>
          <w:lang w:val="en-US" w:eastAsia="zh-CN" w:bidi="en-US"/>
        </w:rPr>
        <w:t>D</w:t>
      </w:r>
      <w:r>
        <w:rPr>
          <w:rFonts w:ascii="Times New Roman" w:hAnsi="Times New Roman" w:eastAsia="方正仿宋_GBK" w:cs="Times New Roman"/>
          <w:color w:val="000000"/>
          <w:sz w:val="32"/>
          <w:szCs w:val="32"/>
        </w:rPr>
        <w:t>级。</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一）发生一次死亡10人以上安全生产责任事故；或者一个考核年度内发生两次以上死亡3人以上安全生产责任事故的；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（二）发生重大以上污染责任事故的；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（三）发生特大服务质量事件的；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（四）违反信访相关规定，被市级以上人民政府或者国家相关部门通报的；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（五）组织或者引发影响社会公共秩序、损害公共利益的停运罢运事件，受到市级以上人民政府或者国家相关部门通报批评的；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（六）利用虚假资料或者通过欺骗、贿赂等不正当手段取得行政许可（备案）、行政确认、行政给付、</w:t>
      </w:r>
      <w:bookmarkStart w:id="4" w:name="_GoBack"/>
      <w:bookmarkEnd w:id="4"/>
      <w:r>
        <w:rPr>
          <w:rFonts w:ascii="Times New Roman" w:hAnsi="Times New Roman" w:eastAsia="方正仿宋_GBK" w:cs="Times New Roman"/>
          <w:color w:val="000000"/>
          <w:sz w:val="32"/>
          <w:szCs w:val="32"/>
          <w:lang w:val="en-US" w:eastAsia="zh-CN"/>
        </w:rPr>
        <w:t>行政奖励的；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（七）拒绝完成政府指令性运输任务的；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（八）安全生产、经营管理、服务质量、社会责任等任一一级指标总分被扣完的。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（九）法律、法规和规章规定，以及国家、市信用管理机构认定的其他严重失信行为。</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仿宋_GBK"/>
          <w:color w:val="000000"/>
          <w:sz w:val="32"/>
          <w:szCs w:val="32"/>
        </w:rPr>
      </w:pPr>
      <w:r>
        <w:rPr>
          <w:rFonts w:eastAsia="方正黑体_GBK"/>
          <w:bCs/>
          <w:color w:val="000000"/>
          <w:sz w:val="32"/>
          <w:szCs w:val="32"/>
        </w:rPr>
        <w:t>第</w:t>
      </w:r>
      <w:r>
        <w:rPr>
          <w:rFonts w:hint="eastAsia" w:eastAsia="方正黑体_GBK"/>
          <w:bCs/>
          <w:color w:val="000000"/>
          <w:sz w:val="32"/>
          <w:szCs w:val="32"/>
        </w:rPr>
        <w:t>十三</w:t>
      </w:r>
      <w:r>
        <w:rPr>
          <w:rFonts w:eastAsia="方正黑体_GBK"/>
          <w:bCs/>
          <w:color w:val="000000"/>
          <w:sz w:val="32"/>
          <w:szCs w:val="32"/>
        </w:rPr>
        <w:t>条</w:t>
      </w:r>
      <w:r>
        <w:rPr>
          <w:rFonts w:hint="eastAsia" w:ascii="方正黑体_GBK" w:hAnsi="方正黑体_GBK" w:eastAsia="方正黑体_GBK" w:cs="方正黑体_GBK"/>
          <w:color w:val="000000"/>
          <w:sz w:val="32"/>
          <w:szCs w:val="32"/>
        </w:rPr>
        <w:t xml:space="preserve"> </w:t>
      </w:r>
      <w:r>
        <w:rPr>
          <w:rFonts w:eastAsia="方正仿宋_GBK"/>
          <w:color w:val="000000"/>
          <w:sz w:val="32"/>
          <w:szCs w:val="32"/>
        </w:rPr>
        <w:t>严格按照《重庆市交通运输信用管理办法》规定的认定标准、认定程序，对失信行为信息经认定后予以采集。</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val="en-US" w:eastAsia="zh-CN"/>
        </w:rPr>
        <w:t>第十四条</w:t>
      </w:r>
      <w:r>
        <w:rPr>
          <w:rFonts w:hint="eastAsia"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所设</w:t>
      </w:r>
      <w:r>
        <w:rPr>
          <w:rFonts w:ascii="Times New Roman" w:hAnsi="Times New Roman" w:eastAsia="方正仿宋_GBK" w:cs="Times New Roman"/>
          <w:color w:val="000000"/>
          <w:sz w:val="32"/>
          <w:szCs w:val="32"/>
          <w:lang w:eastAsia="zh-CN"/>
        </w:rPr>
        <w:t>分公司（道路旅客运输站除外）开展信用评价情况记入总公司</w:t>
      </w:r>
      <w:r>
        <w:rPr>
          <w:rFonts w:ascii="Times New Roman" w:hAnsi="Times New Roman" w:eastAsia="方正仿宋_GBK" w:cs="Times New Roman"/>
          <w:color w:val="000000"/>
          <w:sz w:val="32"/>
          <w:szCs w:val="32"/>
        </w:rPr>
        <w:t>评价得分。具有独立法人资格的子公司，应</w:t>
      </w:r>
      <w:r>
        <w:rPr>
          <w:rFonts w:hint="eastAsia" w:ascii="Times New Roman" w:hAnsi="Times New Roman" w:eastAsia="方正仿宋_GBK" w:cs="Times New Roman"/>
          <w:color w:val="000000"/>
          <w:sz w:val="32"/>
          <w:szCs w:val="32"/>
          <w:lang w:eastAsia="zh-CN"/>
        </w:rPr>
        <w:t>当</w:t>
      </w:r>
      <w:r>
        <w:rPr>
          <w:rFonts w:ascii="Times New Roman" w:hAnsi="Times New Roman" w:eastAsia="方正仿宋_GBK" w:cs="Times New Roman"/>
          <w:color w:val="000000"/>
          <w:sz w:val="32"/>
          <w:szCs w:val="32"/>
        </w:rPr>
        <w:t>单独进行信用评价。</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设有</w:t>
      </w:r>
      <w:r>
        <w:rPr>
          <w:rFonts w:hint="eastAsia" w:ascii="Times New Roman" w:hAnsi="Times New Roman" w:eastAsia="方正仿宋_GBK" w:cs="Times New Roman"/>
          <w:color w:val="000000"/>
          <w:sz w:val="32"/>
          <w:szCs w:val="32"/>
          <w:lang w:eastAsia="zh-CN"/>
        </w:rPr>
        <w:t>分公司</w:t>
      </w:r>
      <w:r>
        <w:rPr>
          <w:rFonts w:ascii="Times New Roman" w:hAnsi="Times New Roman" w:eastAsia="方正仿宋_GBK" w:cs="Times New Roman"/>
          <w:color w:val="000000"/>
          <w:sz w:val="32"/>
          <w:szCs w:val="32"/>
        </w:rPr>
        <w:t>的道路</w:t>
      </w:r>
      <w:r>
        <w:rPr>
          <w:rFonts w:hint="eastAsia" w:ascii="Times New Roman" w:hAnsi="Times New Roman" w:eastAsia="方正仿宋_GBK" w:cs="Times New Roman"/>
          <w:color w:val="000000"/>
          <w:sz w:val="32"/>
          <w:szCs w:val="32"/>
          <w:lang w:eastAsia="zh-CN"/>
        </w:rPr>
        <w:t>旅客运输、</w:t>
      </w:r>
      <w:r>
        <w:rPr>
          <w:rFonts w:ascii="Times New Roman" w:hAnsi="Times New Roman" w:eastAsia="方正仿宋_GBK" w:cs="Times New Roman"/>
          <w:color w:val="000000"/>
          <w:sz w:val="32"/>
          <w:szCs w:val="32"/>
        </w:rPr>
        <w:t>货物运输</w:t>
      </w:r>
      <w:r>
        <w:rPr>
          <w:rFonts w:hint="eastAsia" w:ascii="Times New Roman" w:hAnsi="Times New Roman" w:eastAsia="方正仿宋_GBK" w:cs="Times New Roman"/>
          <w:color w:val="000000"/>
          <w:sz w:val="32"/>
          <w:szCs w:val="32"/>
          <w:lang w:eastAsia="zh-CN"/>
        </w:rPr>
        <w:t>、出租汽车和公共汽车客运</w:t>
      </w:r>
      <w:r>
        <w:rPr>
          <w:rFonts w:ascii="Times New Roman" w:hAnsi="Times New Roman" w:eastAsia="方正仿宋_GBK" w:cs="Times New Roman"/>
          <w:color w:val="000000"/>
          <w:sz w:val="32"/>
          <w:szCs w:val="32"/>
        </w:rPr>
        <w:t>企业，总公司名下有车辆的，总公司、</w:t>
      </w:r>
      <w:r>
        <w:rPr>
          <w:rFonts w:hint="eastAsia" w:ascii="Times New Roman" w:hAnsi="Times New Roman" w:eastAsia="方正仿宋_GBK" w:cs="Times New Roman"/>
          <w:color w:val="000000"/>
          <w:sz w:val="32"/>
          <w:szCs w:val="32"/>
          <w:lang w:eastAsia="zh-CN"/>
        </w:rPr>
        <w:t>分公司</w:t>
      </w:r>
      <w:r>
        <w:rPr>
          <w:rFonts w:ascii="Times New Roman" w:hAnsi="Times New Roman" w:eastAsia="方正仿宋_GBK" w:cs="Times New Roman"/>
          <w:color w:val="000000"/>
          <w:sz w:val="32"/>
          <w:szCs w:val="32"/>
        </w:rPr>
        <w:t>应</w:t>
      </w:r>
      <w:r>
        <w:rPr>
          <w:rFonts w:hint="eastAsia" w:ascii="Times New Roman" w:hAnsi="Times New Roman" w:eastAsia="方正仿宋_GBK" w:cs="Times New Roman"/>
          <w:color w:val="000000"/>
          <w:sz w:val="32"/>
          <w:szCs w:val="32"/>
          <w:lang w:eastAsia="zh-CN"/>
        </w:rPr>
        <w:t>当</w:t>
      </w:r>
      <w:r>
        <w:rPr>
          <w:rFonts w:ascii="Times New Roman" w:hAnsi="Times New Roman" w:eastAsia="方正仿宋_GBK" w:cs="Times New Roman"/>
          <w:color w:val="000000"/>
          <w:sz w:val="32"/>
          <w:szCs w:val="32"/>
        </w:rPr>
        <w:t>分别进行信用评价；总公司名下无车辆的，只对</w:t>
      </w:r>
      <w:r>
        <w:rPr>
          <w:rFonts w:hint="eastAsia" w:ascii="Times New Roman" w:hAnsi="Times New Roman" w:eastAsia="方正仿宋_GBK" w:cs="Times New Roman"/>
          <w:color w:val="000000"/>
          <w:sz w:val="32"/>
          <w:szCs w:val="32"/>
          <w:lang w:eastAsia="zh-CN"/>
        </w:rPr>
        <w:t>分公司</w:t>
      </w:r>
      <w:r>
        <w:rPr>
          <w:rFonts w:ascii="Times New Roman" w:hAnsi="Times New Roman" w:eastAsia="方正仿宋_GBK" w:cs="Times New Roman"/>
          <w:color w:val="000000"/>
          <w:sz w:val="32"/>
          <w:szCs w:val="32"/>
        </w:rPr>
        <w:t>进行信用评价。</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第十</w:t>
      </w:r>
      <w:r>
        <w:rPr>
          <w:rFonts w:hint="eastAsia" w:ascii="方正黑体_GBK" w:hAnsi="方正黑体_GBK" w:eastAsia="方正黑体_GBK" w:cs="方正黑体_GBK"/>
          <w:color w:val="000000"/>
          <w:sz w:val="32"/>
          <w:szCs w:val="32"/>
          <w:lang w:val="en-US" w:eastAsia="zh-CN"/>
        </w:rPr>
        <w:t>五</w:t>
      </w:r>
      <w:r>
        <w:rPr>
          <w:rFonts w:ascii="方正黑体_GBK" w:hAnsi="方正黑体_GBK" w:eastAsia="方正黑体_GBK" w:cs="方正黑体_GBK"/>
          <w:color w:val="000000"/>
          <w:sz w:val="32"/>
          <w:szCs w:val="32"/>
          <w:lang w:val="en-US" w:eastAsia="zh-CN"/>
        </w:rPr>
        <w:t>条</w:t>
      </w:r>
      <w:r>
        <w:rPr>
          <w:rFonts w:hint="eastAsia"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同时从事多个道路运输子行业经营活动的，应当分别评定其信用等级。</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p>
    <w:p>
      <w:pPr>
        <w:pStyle w:val="12"/>
        <w:keepNext w:val="0"/>
        <w:keepLines w:val="0"/>
        <w:pageBreakBefore w:val="0"/>
        <w:kinsoku/>
        <w:wordWrap/>
        <w:overflowPunct/>
        <w:topLinePunct w:val="0"/>
        <w:autoSpaceDE/>
        <w:autoSpaceDN/>
        <w:bidi w:val="0"/>
        <w:adjustRightInd/>
        <w:spacing w:line="600" w:lineRule="exact"/>
        <w:ind w:firstLine="0"/>
        <w:jc w:val="center"/>
        <w:textAlignment w:val="auto"/>
        <w:rPr>
          <w:rFonts w:ascii="Times New Roman" w:hAnsi="Times New Roman" w:eastAsia="方正仿宋_GBK" w:cs="Times New Roman"/>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第三章  组织实施</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b/>
          <w:bCs/>
          <w:color w:val="000000"/>
          <w:sz w:val="32"/>
          <w:szCs w:val="32"/>
        </w:rPr>
      </w:pP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第十</w:t>
      </w:r>
      <w:r>
        <w:rPr>
          <w:rFonts w:hint="eastAsia" w:ascii="方正黑体_GBK" w:hAnsi="方正黑体_GBK" w:eastAsia="方正黑体_GBK" w:cs="方正黑体_GBK"/>
          <w:color w:val="000000"/>
          <w:sz w:val="32"/>
          <w:szCs w:val="32"/>
          <w:lang w:val="en-US" w:eastAsia="zh-CN"/>
        </w:rPr>
        <w:t>六</w:t>
      </w:r>
      <w:r>
        <w:rPr>
          <w:rFonts w:ascii="方正黑体_GBK" w:hAnsi="方正黑体_GBK" w:eastAsia="方正黑体_GBK" w:cs="方正黑体_GBK"/>
          <w:color w:val="000000"/>
          <w:sz w:val="32"/>
          <w:szCs w:val="32"/>
          <w:lang w:val="en-US" w:eastAsia="zh-CN"/>
        </w:rPr>
        <w:t>条</w:t>
      </w:r>
      <w:r>
        <w:rPr>
          <w:rFonts w:ascii="Times New Roman" w:hAnsi="Times New Roman" w:eastAsia="方正仿宋_GBK" w:cs="Times New Roman"/>
          <w:b/>
          <w:bCs/>
          <w:color w:val="000000"/>
          <w:sz w:val="32"/>
          <w:szCs w:val="32"/>
        </w:rPr>
        <w:t xml:space="preserve"> </w:t>
      </w:r>
      <w:r>
        <w:rPr>
          <w:rFonts w:ascii="Times New Roman" w:hAnsi="Times New Roman" w:eastAsia="方正仿宋_GBK" w:cs="Times New Roman"/>
          <w:color w:val="000000"/>
          <w:sz w:val="32"/>
          <w:szCs w:val="32"/>
        </w:rPr>
        <w:t>评级道路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应当按照管理权限建立道路运输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的信用档案，记录、归集、管理和维护道路运输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信用信息。</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信用档案包括</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名称、统一社会信用代码</w:t>
      </w:r>
      <w:r>
        <w:rPr>
          <w:rFonts w:ascii="Times New Roman" w:hAnsi="Times New Roman" w:eastAsia="方正仿宋_GBK" w:cs="Times New Roman"/>
          <w:color w:val="000000"/>
          <w:sz w:val="32"/>
          <w:szCs w:val="32"/>
          <w:lang w:eastAsia="zh-CN"/>
        </w:rPr>
        <w:t>（营业执照）</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en-US" w:eastAsia="zh-CN"/>
        </w:rPr>
        <w:t>从业人员身份证号（从业资格证号）、</w:t>
      </w:r>
      <w:r>
        <w:rPr>
          <w:rFonts w:ascii="Times New Roman" w:hAnsi="Times New Roman" w:eastAsia="方正仿宋_GBK" w:cs="Times New Roman"/>
          <w:color w:val="000000"/>
          <w:sz w:val="32"/>
          <w:szCs w:val="32"/>
        </w:rPr>
        <w:t>经营许可证件号、经营范围、</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地</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住）</w:t>
      </w:r>
      <w:r>
        <w:rPr>
          <w:rFonts w:ascii="Times New Roman" w:hAnsi="Times New Roman" w:eastAsia="方正仿宋_GBK" w:cs="Times New Roman"/>
          <w:color w:val="000000"/>
          <w:sz w:val="32"/>
          <w:szCs w:val="32"/>
        </w:rPr>
        <w:t>址、法定代表人姓名、从业人员数量及资格证明、营运车辆等情况。</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同一家道路运输</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从事多个道路运输子行业经营活动的，应分类建立信用档案。</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val="en-US" w:eastAsia="zh-CN"/>
        </w:rPr>
        <w:t>第十七条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信用评价工作通过</w:t>
      </w:r>
      <w:r>
        <w:rPr>
          <w:rFonts w:ascii="Times New Roman" w:hAnsi="Times New Roman" w:eastAsia="方正仿宋_GBK" w:cs="Times New Roman"/>
          <w:color w:val="000000"/>
          <w:sz w:val="32"/>
          <w:szCs w:val="32"/>
          <w:lang w:eastAsia="zh-CN"/>
        </w:rPr>
        <w:t>重庆市</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信用评价信息系统（以下简称评价系统）开展。</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评价系统中数据分为系统数据、专项检查数据、日常记录数据</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填报数据四类，数据来源及采集方式如下：</w:t>
      </w:r>
    </w:p>
    <w:p>
      <w:pPr>
        <w:pStyle w:val="12"/>
        <w:keepNext w:val="0"/>
        <w:keepLines w:val="0"/>
        <w:pageBreakBefore w:val="0"/>
        <w:tabs>
          <w:tab w:val="left" w:pos="1604"/>
        </w:tabs>
        <w:kinsoku/>
        <w:wordWrap/>
        <w:overflowPunct/>
        <w:topLinePunct w:val="0"/>
        <w:autoSpaceDE/>
        <w:autoSpaceDN/>
        <w:bidi w:val="0"/>
        <w:adjustRightInd/>
        <w:spacing w:line="600" w:lineRule="exact"/>
        <w:ind w:firstLine="800"/>
        <w:textAlignment w:val="auto"/>
        <w:rPr>
          <w:rFonts w:ascii="Times New Roman" w:hAnsi="Times New Roman" w:eastAsia="方正仿宋_GBK" w:cs="Times New Roman"/>
          <w:color w:val="000000"/>
          <w:sz w:val="32"/>
          <w:szCs w:val="32"/>
        </w:rPr>
      </w:pPr>
      <w:bookmarkStart w:id="0" w:name="bookmark15"/>
      <w:r>
        <w:rPr>
          <w:rFonts w:hint="eastAsia" w:ascii="方正楷体_GBK" w:hAnsi="方正楷体_GBK" w:eastAsia="方正楷体_GBK" w:cs="方正楷体_GBK"/>
          <w:color w:val="000000"/>
          <w:sz w:val="32"/>
          <w:szCs w:val="32"/>
        </w:rPr>
        <w:t>（</w:t>
      </w:r>
      <w:bookmarkEnd w:id="0"/>
      <w:r>
        <w:rPr>
          <w:rFonts w:hint="eastAsia" w:ascii="方正楷体_GBK" w:hAnsi="方正楷体_GBK" w:eastAsia="方正楷体_GBK" w:cs="方正楷体_GBK"/>
          <w:color w:val="000000"/>
          <w:sz w:val="32"/>
          <w:szCs w:val="32"/>
        </w:rPr>
        <w:t>一）系统数据：</w:t>
      </w:r>
      <w:r>
        <w:rPr>
          <w:rFonts w:ascii="Times New Roman" w:hAnsi="Times New Roman" w:eastAsia="方正仿宋_GBK" w:cs="Times New Roman"/>
          <w:color w:val="000000"/>
          <w:sz w:val="32"/>
          <w:szCs w:val="32"/>
        </w:rPr>
        <w:t>评价系统与全市</w:t>
      </w:r>
      <w:r>
        <w:rPr>
          <w:rFonts w:ascii="Times New Roman" w:hAnsi="Times New Roman" w:eastAsia="方正仿宋_GBK" w:cs="Times New Roman"/>
          <w:color w:val="000000"/>
          <w:sz w:val="32"/>
          <w:szCs w:val="32"/>
          <w:lang w:val="en-US" w:eastAsia="zh-CN"/>
        </w:rPr>
        <w:t>交通</w:t>
      </w:r>
      <w:r>
        <w:rPr>
          <w:rFonts w:ascii="Times New Roman" w:hAnsi="Times New Roman" w:eastAsia="方正仿宋_GBK" w:cs="Times New Roman"/>
          <w:color w:val="000000"/>
          <w:sz w:val="32"/>
          <w:szCs w:val="32"/>
        </w:rPr>
        <w:t>运输信用信息管理系统对接自动获取</w:t>
      </w:r>
      <w:r>
        <w:rPr>
          <w:rFonts w:ascii="Times New Roman" w:hAnsi="Times New Roman" w:eastAsia="方正仿宋_GBK" w:cs="Times New Roman"/>
          <w:color w:val="000000"/>
          <w:sz w:val="32"/>
          <w:szCs w:val="32"/>
          <w:lang w:val="en-US" w:eastAsia="zh-CN"/>
        </w:rPr>
        <w:t>的</w:t>
      </w:r>
      <w:r>
        <w:rPr>
          <w:rFonts w:ascii="Times New Roman" w:hAnsi="Times New Roman" w:eastAsia="方正仿宋_GBK" w:cs="Times New Roman"/>
          <w:color w:val="000000"/>
          <w:sz w:val="32"/>
          <w:szCs w:val="32"/>
        </w:rPr>
        <w:t>信息数据。暂时无法通过评价系统自动获取的，由市、</w:t>
      </w:r>
      <w:r>
        <w:rPr>
          <w:rFonts w:ascii="Times New Roman" w:hAnsi="Times New Roman" w:eastAsia="方正仿宋_GBK" w:cs="Times New Roman"/>
          <w:color w:val="000000"/>
          <w:sz w:val="32"/>
          <w:szCs w:val="32"/>
          <w:lang w:val="en-US" w:eastAsia="zh-CN"/>
        </w:rPr>
        <w:t>区县（自治县）</w:t>
      </w:r>
      <w:r>
        <w:rPr>
          <w:rFonts w:ascii="Times New Roman" w:hAnsi="Times New Roman" w:eastAsia="方正仿宋_GBK" w:cs="Times New Roman"/>
          <w:color w:val="000000"/>
          <w:sz w:val="32"/>
          <w:szCs w:val="32"/>
          <w:lang w:eastAsia="zh-CN"/>
        </w:rPr>
        <w:t>交通主管部门</w:t>
      </w:r>
      <w:r>
        <w:rPr>
          <w:rFonts w:ascii="Times New Roman" w:hAnsi="Times New Roman" w:eastAsia="方正仿宋_GBK" w:cs="Times New Roman"/>
          <w:color w:val="000000"/>
          <w:sz w:val="32"/>
          <w:szCs w:val="32"/>
        </w:rPr>
        <w:t>负责组织道路运输</w:t>
      </w:r>
      <w:r>
        <w:rPr>
          <w:rFonts w:ascii="Times New Roman" w:hAnsi="Times New Roman" w:eastAsia="方正仿宋_GBK" w:cs="Times New Roman"/>
          <w:color w:val="000000"/>
          <w:sz w:val="32"/>
          <w:szCs w:val="32"/>
          <w:lang w:val="en-US" w:eastAsia="zh-CN"/>
        </w:rPr>
        <w:t>事务机构和交通综合执法机构</w:t>
      </w:r>
      <w:r>
        <w:rPr>
          <w:rFonts w:ascii="Times New Roman" w:hAnsi="Times New Roman" w:eastAsia="方正仿宋_GBK" w:cs="Times New Roman"/>
          <w:color w:val="000000"/>
          <w:sz w:val="32"/>
          <w:szCs w:val="32"/>
        </w:rPr>
        <w:t>获取并录入评价系统。</w:t>
      </w:r>
    </w:p>
    <w:p>
      <w:pPr>
        <w:pStyle w:val="12"/>
        <w:keepNext w:val="0"/>
        <w:keepLines w:val="0"/>
        <w:pageBreakBefore w:val="0"/>
        <w:tabs>
          <w:tab w:val="left" w:pos="1597"/>
        </w:tabs>
        <w:kinsoku/>
        <w:wordWrap/>
        <w:overflowPunct/>
        <w:topLinePunct w:val="0"/>
        <w:autoSpaceDE/>
        <w:autoSpaceDN/>
        <w:bidi w:val="0"/>
        <w:adjustRightInd/>
        <w:spacing w:line="600" w:lineRule="exact"/>
        <w:ind w:firstLine="800"/>
        <w:textAlignment w:val="auto"/>
        <w:rPr>
          <w:rFonts w:ascii="Times New Roman" w:hAnsi="Times New Roman" w:eastAsia="方正仿宋_GBK" w:cs="Times New Roman"/>
          <w:color w:val="000000"/>
          <w:sz w:val="32"/>
          <w:szCs w:val="32"/>
        </w:rPr>
      </w:pPr>
      <w:bookmarkStart w:id="1" w:name="bookmark16"/>
      <w:r>
        <w:rPr>
          <w:rFonts w:ascii="方正楷体_GBK" w:hAnsi="方正楷体_GBK" w:eastAsia="方正楷体_GBK" w:cs="方正楷体_GBK"/>
          <w:color w:val="000000"/>
          <w:sz w:val="32"/>
          <w:szCs w:val="32"/>
        </w:rPr>
        <w:t>（</w:t>
      </w:r>
      <w:bookmarkEnd w:id="1"/>
      <w:r>
        <w:rPr>
          <w:rFonts w:ascii="方正楷体_GBK" w:hAnsi="方正楷体_GBK" w:eastAsia="方正楷体_GBK" w:cs="方正楷体_GBK"/>
          <w:color w:val="000000"/>
          <w:sz w:val="32"/>
          <w:szCs w:val="32"/>
        </w:rPr>
        <w:t>二）专项检查数据：</w:t>
      </w:r>
      <w:r>
        <w:rPr>
          <w:rFonts w:ascii="Times New Roman" w:hAnsi="Times New Roman" w:eastAsia="方正仿宋_GBK" w:cs="Times New Roman"/>
          <w:color w:val="000000"/>
          <w:sz w:val="32"/>
          <w:szCs w:val="32"/>
        </w:rPr>
        <w:t>由</w:t>
      </w:r>
      <w:r>
        <w:rPr>
          <w:rFonts w:ascii="Times New Roman" w:hAnsi="Times New Roman" w:eastAsia="方正仿宋_GBK" w:cs="Times New Roman"/>
          <w:color w:val="000000"/>
          <w:sz w:val="32"/>
          <w:szCs w:val="32"/>
          <w:lang w:eastAsia="zh-CN"/>
        </w:rPr>
        <w:t>市、区县（自治县）交通主管部门</w:t>
      </w:r>
      <w:r>
        <w:rPr>
          <w:rFonts w:hint="eastAsia" w:ascii="Times New Roman" w:hAnsi="Times New Roman" w:eastAsia="方正仿宋_GBK" w:cs="Times New Roman"/>
          <w:color w:val="000000"/>
          <w:sz w:val="32"/>
          <w:szCs w:val="32"/>
          <w:lang w:eastAsia="zh-CN"/>
        </w:rPr>
        <w:t>及其</w:t>
      </w:r>
      <w:r>
        <w:rPr>
          <w:rFonts w:ascii="Times New Roman" w:hAnsi="Times New Roman" w:eastAsia="方正仿宋_GBK" w:cs="Times New Roman"/>
          <w:color w:val="000000"/>
          <w:sz w:val="32"/>
          <w:szCs w:val="32"/>
          <w:lang w:eastAsia="zh-CN"/>
        </w:rPr>
        <w:t>交通综合执法机构</w:t>
      </w:r>
      <w:r>
        <w:rPr>
          <w:rFonts w:ascii="Times New Roman" w:hAnsi="Times New Roman" w:eastAsia="方正仿宋_GBK" w:cs="Times New Roman"/>
          <w:color w:val="000000"/>
          <w:sz w:val="32"/>
          <w:szCs w:val="32"/>
        </w:rPr>
        <w:t>按照规定组织对道路运输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进行专项检查时获取的数据。检查人员在检查时应当填写检查记录表，并由</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相关负责人</w:t>
      </w:r>
      <w:r>
        <w:rPr>
          <w:rFonts w:ascii="Times New Roman" w:hAnsi="Times New Roman" w:eastAsia="方正仿宋_GBK" w:cs="Times New Roman"/>
          <w:color w:val="000000"/>
          <w:sz w:val="32"/>
          <w:szCs w:val="32"/>
          <w:lang w:eastAsia="zh-CN"/>
        </w:rPr>
        <w:t>和从业人员</w:t>
      </w:r>
      <w:r>
        <w:rPr>
          <w:rFonts w:ascii="Times New Roman" w:hAnsi="Times New Roman" w:eastAsia="方正仿宋_GBK" w:cs="Times New Roman"/>
          <w:color w:val="000000"/>
          <w:sz w:val="32"/>
          <w:szCs w:val="32"/>
        </w:rPr>
        <w:t>签字认可。</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相关负责人</w:t>
      </w:r>
      <w:r>
        <w:rPr>
          <w:rFonts w:ascii="Times New Roman" w:hAnsi="Times New Roman" w:eastAsia="方正仿宋_GBK" w:cs="Times New Roman"/>
          <w:color w:val="000000"/>
          <w:sz w:val="32"/>
          <w:szCs w:val="32"/>
          <w:lang w:eastAsia="zh-CN"/>
        </w:rPr>
        <w:t>和从业人员</w:t>
      </w:r>
      <w:r>
        <w:rPr>
          <w:rFonts w:ascii="Times New Roman" w:hAnsi="Times New Roman" w:eastAsia="方正仿宋_GBK" w:cs="Times New Roman"/>
          <w:color w:val="000000"/>
          <w:sz w:val="32"/>
          <w:szCs w:val="32"/>
        </w:rPr>
        <w:t>拒绝签字的，检查人员（不少于两人）应当在检查记录表中签字注明。</w:t>
      </w:r>
      <w:r>
        <w:rPr>
          <w:rFonts w:ascii="Times New Roman" w:hAnsi="Times New Roman" w:eastAsia="方正仿宋_GBK" w:cs="Times New Roman"/>
          <w:color w:val="000000"/>
          <w:sz w:val="32"/>
          <w:szCs w:val="32"/>
          <w:lang w:eastAsia="zh-CN"/>
        </w:rPr>
        <w:t>专项检查单位</w:t>
      </w:r>
      <w:r>
        <w:rPr>
          <w:rFonts w:ascii="Times New Roman" w:hAnsi="Times New Roman" w:eastAsia="方正仿宋_GBK" w:cs="Times New Roman"/>
          <w:color w:val="000000"/>
          <w:sz w:val="32"/>
          <w:szCs w:val="32"/>
        </w:rPr>
        <w:t>应将相关数据在检查工作完成后5个工作日内录入评价系统。</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采用专项检查方式获取的评价数据，其文本资料由录入单位保存备查，保存期限不少于3年。</w:t>
      </w:r>
    </w:p>
    <w:p>
      <w:pPr>
        <w:pStyle w:val="12"/>
        <w:keepNext w:val="0"/>
        <w:keepLines w:val="0"/>
        <w:pageBreakBefore w:val="0"/>
        <w:tabs>
          <w:tab w:val="left" w:pos="1582"/>
        </w:tabs>
        <w:kinsoku/>
        <w:wordWrap/>
        <w:overflowPunct/>
        <w:topLinePunct w:val="0"/>
        <w:autoSpaceDE/>
        <w:autoSpaceDN/>
        <w:bidi w:val="0"/>
        <w:adjustRightInd/>
        <w:spacing w:line="600" w:lineRule="exact"/>
        <w:ind w:firstLine="800"/>
        <w:textAlignment w:val="auto"/>
        <w:rPr>
          <w:rFonts w:ascii="Times New Roman" w:hAnsi="Times New Roman" w:eastAsia="方正仿宋_GBK" w:cs="Times New Roman"/>
          <w:color w:val="000000"/>
          <w:sz w:val="32"/>
          <w:szCs w:val="32"/>
        </w:rPr>
      </w:pPr>
      <w:bookmarkStart w:id="2" w:name="bookmark17"/>
      <w:r>
        <w:rPr>
          <w:rFonts w:ascii="方正楷体_GBK" w:hAnsi="方正楷体_GBK" w:eastAsia="方正楷体_GBK" w:cs="方正楷体_GBK"/>
          <w:color w:val="000000"/>
          <w:sz w:val="32"/>
          <w:szCs w:val="32"/>
        </w:rPr>
        <w:t>（</w:t>
      </w:r>
      <w:bookmarkEnd w:id="2"/>
      <w:r>
        <w:rPr>
          <w:rFonts w:ascii="方正楷体_GBK" w:hAnsi="方正楷体_GBK" w:eastAsia="方正楷体_GBK" w:cs="方正楷体_GBK"/>
          <w:color w:val="000000"/>
          <w:sz w:val="32"/>
          <w:szCs w:val="32"/>
        </w:rPr>
        <w:t>三）日常记录数据：</w:t>
      </w:r>
      <w:r>
        <w:rPr>
          <w:rFonts w:ascii="Times New Roman" w:hAnsi="Times New Roman" w:eastAsia="方正仿宋_GBK" w:cs="Times New Roman"/>
          <w:color w:val="000000"/>
          <w:sz w:val="32"/>
          <w:szCs w:val="32"/>
        </w:rPr>
        <w:t>信访投诉、其他部门通报抄报、</w:t>
      </w:r>
      <w:r>
        <w:rPr>
          <w:rFonts w:ascii="Times New Roman" w:hAnsi="Times New Roman" w:eastAsia="方正仿宋_GBK" w:cs="Times New Roman"/>
          <w:color w:val="000000"/>
          <w:sz w:val="32"/>
          <w:szCs w:val="32"/>
          <w:lang w:val="en-US" w:eastAsia="zh-CN"/>
        </w:rPr>
        <w:t>交通主管部门、</w:t>
      </w:r>
      <w:r>
        <w:rPr>
          <w:rFonts w:ascii="Times New Roman" w:hAnsi="Times New Roman" w:eastAsia="方正仿宋_GBK" w:cs="Times New Roman"/>
          <w:color w:val="000000"/>
          <w:sz w:val="32"/>
          <w:szCs w:val="32"/>
        </w:rPr>
        <w:t>道路</w:t>
      </w:r>
      <w:r>
        <w:rPr>
          <w:rFonts w:ascii="Times New Roman" w:hAnsi="Times New Roman" w:eastAsia="方正仿宋_GBK" w:cs="Times New Roman"/>
          <w:color w:val="000000"/>
          <w:sz w:val="32"/>
          <w:szCs w:val="32"/>
          <w:lang w:eastAsia="zh-CN"/>
        </w:rPr>
        <w:t>运输事务机构和交通综合执法机构在</w:t>
      </w:r>
      <w:r>
        <w:rPr>
          <w:rFonts w:ascii="Times New Roman" w:hAnsi="Times New Roman" w:eastAsia="方正仿宋_GBK" w:cs="Times New Roman"/>
          <w:color w:val="000000"/>
          <w:sz w:val="32"/>
          <w:szCs w:val="32"/>
        </w:rPr>
        <w:t>日常管理过程中形成的与信用有关的以及信用管理工作需要的其他信息数据。由评级道路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在核实确认后5个工作日内录入评价系统。</w:t>
      </w:r>
    </w:p>
    <w:p>
      <w:pPr>
        <w:pStyle w:val="12"/>
        <w:keepNext w:val="0"/>
        <w:keepLines w:val="0"/>
        <w:pageBreakBefore w:val="0"/>
        <w:tabs>
          <w:tab w:val="left" w:pos="1561"/>
        </w:tabs>
        <w:kinsoku/>
        <w:wordWrap/>
        <w:overflowPunct/>
        <w:topLinePunct w:val="0"/>
        <w:autoSpaceDE/>
        <w:autoSpaceDN/>
        <w:bidi w:val="0"/>
        <w:adjustRightInd/>
        <w:spacing w:line="600" w:lineRule="exact"/>
        <w:ind w:firstLine="800"/>
        <w:textAlignment w:val="auto"/>
        <w:rPr>
          <w:rFonts w:ascii="Times New Roman" w:hAnsi="Times New Roman" w:eastAsia="方正仿宋_GBK" w:cs="Times New Roman"/>
          <w:color w:val="000000"/>
          <w:sz w:val="32"/>
          <w:szCs w:val="32"/>
        </w:rPr>
      </w:pPr>
      <w:r>
        <w:rPr>
          <w:rFonts w:ascii="方正楷体_GBK" w:hAnsi="方正楷体_GBK" w:eastAsia="方正楷体_GBK" w:cs="方正楷体_GBK"/>
          <w:color w:val="000000"/>
          <w:sz w:val="32"/>
          <w:szCs w:val="32"/>
        </w:rPr>
        <w:t>（四）</w:t>
      </w:r>
      <w:r>
        <w:rPr>
          <w:rFonts w:ascii="方正楷体_GBK" w:hAnsi="方正楷体_GBK" w:eastAsia="方正楷体_GBK" w:cs="方正楷体_GBK"/>
          <w:color w:val="000000"/>
          <w:sz w:val="32"/>
          <w:szCs w:val="32"/>
          <w:lang w:eastAsia="zh-CN"/>
        </w:rPr>
        <w:t>经营者和从业人员</w:t>
      </w:r>
      <w:r>
        <w:rPr>
          <w:rFonts w:ascii="方正楷体_GBK" w:hAnsi="方正楷体_GBK" w:eastAsia="方正楷体_GBK" w:cs="方正楷体_GBK"/>
          <w:color w:val="000000"/>
          <w:sz w:val="32"/>
          <w:szCs w:val="32"/>
        </w:rPr>
        <w:t>填报数据：</w:t>
      </w:r>
      <w:r>
        <w:rPr>
          <w:rFonts w:ascii="Times New Roman" w:hAnsi="Times New Roman" w:eastAsia="方正仿宋_GBK" w:cs="Times New Roman"/>
          <w:color w:val="000000"/>
          <w:sz w:val="32"/>
          <w:szCs w:val="32"/>
        </w:rPr>
        <w:t>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要求</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填报的</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信息数据</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由</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按规定上传相关资料，并及时更新所</w:t>
      </w:r>
      <w:r>
        <w:rPr>
          <w:rFonts w:ascii="Times New Roman" w:hAnsi="Times New Roman" w:eastAsia="方正仿宋_GBK" w:cs="Times New Roman"/>
          <w:color w:val="000000"/>
          <w:sz w:val="32"/>
          <w:szCs w:val="32"/>
          <w:lang w:val="en-US" w:eastAsia="zh-CN"/>
        </w:rPr>
        <w:t>填</w:t>
      </w:r>
      <w:r>
        <w:rPr>
          <w:rFonts w:ascii="Times New Roman" w:hAnsi="Times New Roman" w:eastAsia="方正仿宋_GBK" w:cs="Times New Roman"/>
          <w:color w:val="000000"/>
          <w:sz w:val="32"/>
          <w:szCs w:val="32"/>
        </w:rPr>
        <w:t>报信</w:t>
      </w:r>
      <w:bookmarkStart w:id="3" w:name="bookmark18"/>
      <w:bookmarkEnd w:id="3"/>
      <w:r>
        <w:rPr>
          <w:rFonts w:ascii="Times New Roman" w:hAnsi="Times New Roman" w:eastAsia="方正仿宋_GBK" w:cs="Times New Roman"/>
          <w:color w:val="000000"/>
          <w:sz w:val="32"/>
          <w:szCs w:val="32"/>
        </w:rPr>
        <w:t>息。因</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错报、漏报、迟报信息等原因影响信用评价等级，由</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自行承担。</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对上述数据有异议的，可以向评级道路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提出申诉，评级道路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应当核实数据真实性。因客观原因确需修改和调整的，录入单位应当</w:t>
      </w:r>
      <w:r>
        <w:rPr>
          <w:rFonts w:hint="eastAsia" w:ascii="Times New Roman" w:hAnsi="Times New Roman" w:eastAsia="方正仿宋_GBK" w:cs="Times New Roman"/>
          <w:color w:val="000000"/>
          <w:sz w:val="32"/>
          <w:szCs w:val="32"/>
          <w:lang w:eastAsia="zh-CN"/>
        </w:rPr>
        <w:t>及时</w:t>
      </w:r>
      <w:r>
        <w:rPr>
          <w:rFonts w:ascii="Times New Roman" w:hAnsi="Times New Roman" w:eastAsia="方正仿宋_GBK" w:cs="Times New Roman"/>
          <w:color w:val="000000"/>
          <w:sz w:val="32"/>
          <w:szCs w:val="32"/>
        </w:rPr>
        <w:t>研究</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在5个工作日内修改调整。</w:t>
      </w:r>
    </w:p>
    <w:p>
      <w:pPr>
        <w:pStyle w:val="12"/>
        <w:keepNext w:val="0"/>
        <w:keepLines w:val="0"/>
        <w:pageBreakBefore w:val="0"/>
        <w:tabs>
          <w:tab w:val="left" w:pos="1604"/>
        </w:tabs>
        <w:kinsoku/>
        <w:wordWrap/>
        <w:overflowPunct/>
        <w:topLinePunct w:val="0"/>
        <w:autoSpaceDE/>
        <w:autoSpaceDN/>
        <w:bidi w:val="0"/>
        <w:adjustRightInd/>
        <w:spacing w:line="600" w:lineRule="exact"/>
        <w:ind w:firstLine="800"/>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val="en-US" w:eastAsia="zh-CN"/>
        </w:rPr>
        <w:t>第十八条</w:t>
      </w:r>
      <w:r>
        <w:rPr>
          <w:rFonts w:ascii="Times New Roman" w:hAnsi="Times New Roman" w:eastAsia="方正仿宋_GBK" w:cs="Times New Roman"/>
          <w:b/>
          <w:bCs/>
          <w:color w:val="000000"/>
          <w:sz w:val="32"/>
          <w:szCs w:val="32"/>
        </w:rPr>
        <w:t xml:space="preserve"> </w:t>
      </w:r>
      <w:r>
        <w:rPr>
          <w:rFonts w:ascii="Times New Roman" w:hAnsi="Times New Roman" w:eastAsia="方正仿宋_GBK" w:cs="Times New Roman"/>
          <w:color w:val="000000"/>
          <w:sz w:val="32"/>
          <w:szCs w:val="32"/>
          <w:lang w:val="en-US" w:eastAsia="zh-CN"/>
        </w:rPr>
        <w:t>每季度评价系统自动汇总更新一次评价结果数据，</w:t>
      </w:r>
      <w:r>
        <w:rPr>
          <w:rFonts w:ascii="Times New Roman" w:hAnsi="Times New Roman" w:eastAsia="方正仿宋_GBK" w:cs="Times New Roman"/>
          <w:color w:val="000000"/>
          <w:sz w:val="32"/>
          <w:szCs w:val="32"/>
        </w:rPr>
        <w:t>每年1月31日前，评价系统自动</w:t>
      </w:r>
      <w:r>
        <w:rPr>
          <w:rFonts w:ascii="Times New Roman" w:hAnsi="Times New Roman" w:eastAsia="方正仿宋_GBK" w:cs="Times New Roman"/>
          <w:color w:val="000000"/>
          <w:sz w:val="32"/>
          <w:szCs w:val="32"/>
          <w:lang w:val="en-US" w:eastAsia="zh-CN"/>
        </w:rPr>
        <w:t>汇总</w:t>
      </w:r>
      <w:r>
        <w:rPr>
          <w:rFonts w:ascii="Times New Roman" w:hAnsi="Times New Roman" w:eastAsia="方正仿宋_GBK" w:cs="Times New Roman"/>
          <w:color w:val="000000"/>
          <w:sz w:val="32"/>
          <w:szCs w:val="32"/>
        </w:rPr>
        <w:t>生成评价周期内道路运输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的信用评价得分和等级的初评结果。暂时无法通过评价系统自动</w:t>
      </w:r>
      <w:r>
        <w:rPr>
          <w:rFonts w:ascii="Times New Roman" w:hAnsi="Times New Roman" w:eastAsia="方正仿宋_GBK" w:cs="Times New Roman"/>
          <w:color w:val="000000"/>
          <w:sz w:val="32"/>
          <w:szCs w:val="32"/>
          <w:lang w:val="en-US" w:eastAsia="zh-CN"/>
        </w:rPr>
        <w:t>生成初评结果</w:t>
      </w:r>
      <w:r>
        <w:rPr>
          <w:rFonts w:ascii="Times New Roman" w:hAnsi="Times New Roman" w:eastAsia="方正仿宋_GBK" w:cs="Times New Roman"/>
          <w:color w:val="000000"/>
          <w:sz w:val="32"/>
          <w:szCs w:val="32"/>
        </w:rPr>
        <w:t>的，由市、</w:t>
      </w:r>
      <w:r>
        <w:rPr>
          <w:rFonts w:ascii="Times New Roman" w:hAnsi="Times New Roman" w:eastAsia="方正仿宋_GBK" w:cs="Times New Roman"/>
          <w:color w:val="000000"/>
          <w:sz w:val="32"/>
          <w:szCs w:val="32"/>
          <w:lang w:val="en-US" w:eastAsia="zh-CN"/>
        </w:rPr>
        <w:t>区县（自治县）</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val="en-US" w:eastAsia="zh-CN"/>
        </w:rPr>
        <w:t>事务机构及时组织开展信用评价工作。</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评级道路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对系统自动生成的初评结果与所掌握</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实际情况不一致的，应当及时核实和更新信息。</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w:t>
      </w:r>
      <w:r>
        <w:rPr>
          <w:rFonts w:hint="eastAsia" w:ascii="方正黑体_GBK" w:hAnsi="方正黑体_GBK" w:eastAsia="方正黑体_GBK" w:cs="方正黑体_GBK"/>
          <w:color w:val="000000"/>
          <w:sz w:val="32"/>
          <w:szCs w:val="32"/>
          <w:lang w:val="en-US" w:eastAsia="zh-CN"/>
        </w:rPr>
        <w:t>十九</w:t>
      </w:r>
      <w:r>
        <w:rPr>
          <w:rFonts w:ascii="方正黑体_GBK" w:hAnsi="方正黑体_GBK" w:eastAsia="方正黑体_GBK" w:cs="方正黑体_GBK"/>
          <w:color w:val="000000"/>
          <w:sz w:val="32"/>
          <w:szCs w:val="32"/>
          <w:lang w:val="en-US" w:eastAsia="zh-CN"/>
        </w:rPr>
        <w:t>条</w:t>
      </w:r>
      <w:r>
        <w:rPr>
          <w:rFonts w:ascii="Times New Roman" w:hAnsi="Times New Roman" w:eastAsia="方正仿宋_GBK" w:cs="Times New Roman"/>
          <w:b/>
          <w:bCs/>
          <w:color w:val="000000"/>
          <w:sz w:val="32"/>
          <w:szCs w:val="32"/>
        </w:rPr>
        <w:t xml:space="preserve"> </w:t>
      </w:r>
      <w:r>
        <w:rPr>
          <w:rFonts w:ascii="Times New Roman" w:hAnsi="Times New Roman" w:eastAsia="方正仿宋_GBK" w:cs="Times New Roman"/>
          <w:color w:val="000000"/>
          <w:sz w:val="32"/>
          <w:szCs w:val="32"/>
        </w:rPr>
        <w:t>评级道路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应当</w:t>
      </w:r>
      <w:r>
        <w:rPr>
          <w:rFonts w:ascii="Times New Roman" w:hAnsi="Times New Roman" w:eastAsia="方正仿宋_GBK" w:cs="Times New Roman"/>
          <w:color w:val="000000"/>
          <w:sz w:val="32"/>
          <w:szCs w:val="32"/>
          <w:lang w:val="en-US" w:eastAsia="zh-CN"/>
        </w:rPr>
        <w:t>于2月底前</w:t>
      </w:r>
      <w:r>
        <w:rPr>
          <w:rFonts w:ascii="Times New Roman" w:hAnsi="Times New Roman" w:eastAsia="方正仿宋_GBK" w:cs="Times New Roman"/>
          <w:color w:val="000000"/>
          <w:sz w:val="32"/>
          <w:szCs w:val="32"/>
        </w:rPr>
        <w:t>将经审核的初评结果</w:t>
      </w:r>
      <w:r>
        <w:rPr>
          <w:rFonts w:ascii="Times New Roman" w:hAnsi="Times New Roman" w:eastAsia="方正仿宋_GBK" w:cs="Times New Roman"/>
          <w:color w:val="000000"/>
          <w:sz w:val="32"/>
          <w:szCs w:val="32"/>
          <w:lang w:eastAsia="zh-CN"/>
        </w:rPr>
        <w:t>汇总到</w:t>
      </w:r>
      <w:r>
        <w:rPr>
          <w:rFonts w:ascii="Times New Roman" w:hAnsi="Times New Roman" w:eastAsia="方正仿宋_GBK" w:cs="Times New Roman"/>
          <w:color w:val="000000"/>
          <w:sz w:val="32"/>
          <w:szCs w:val="32"/>
          <w:lang w:val="en-US" w:eastAsia="zh-CN"/>
        </w:rPr>
        <w:t>市道路运输事务机构统一在</w:t>
      </w:r>
      <w:r>
        <w:rPr>
          <w:rFonts w:ascii="Times New Roman" w:hAnsi="Times New Roman" w:eastAsia="方正仿宋_GBK" w:cs="Times New Roman"/>
          <w:color w:val="000000"/>
          <w:sz w:val="32"/>
          <w:szCs w:val="32"/>
        </w:rPr>
        <w:t>“信用交通•重庆”</w:t>
      </w:r>
      <w:r>
        <w:rPr>
          <w:rFonts w:ascii="Times New Roman" w:hAnsi="Times New Roman" w:eastAsia="方正仿宋_GBK" w:cs="Times New Roman"/>
          <w:color w:val="000000"/>
          <w:sz w:val="32"/>
          <w:szCs w:val="32"/>
          <w:lang w:val="en-US" w:eastAsia="zh-CN"/>
        </w:rPr>
        <w:t>网站上集中公示，</w:t>
      </w:r>
      <w:r>
        <w:rPr>
          <w:rFonts w:ascii="Times New Roman" w:hAnsi="Times New Roman" w:eastAsia="方正仿宋_GBK" w:cs="Times New Roman"/>
          <w:color w:val="000000"/>
          <w:sz w:val="32"/>
          <w:szCs w:val="32"/>
        </w:rPr>
        <w:t>公示期为</w:t>
      </w:r>
      <w:r>
        <w:rPr>
          <w:rFonts w:ascii="Times New Roman" w:hAnsi="Times New Roman" w:eastAsia="方正仿宋_GBK" w:cs="Times New Roman"/>
          <w:color w:val="000000"/>
          <w:sz w:val="32"/>
          <w:szCs w:val="32"/>
          <w:lang w:val="en-US" w:eastAsia="zh-CN"/>
        </w:rPr>
        <w:t>7</w:t>
      </w:r>
      <w:r>
        <w:rPr>
          <w:rFonts w:ascii="Times New Roman" w:hAnsi="Times New Roman" w:eastAsia="方正仿宋_GBK" w:cs="Times New Roman"/>
          <w:color w:val="000000"/>
          <w:sz w:val="32"/>
          <w:szCs w:val="32"/>
        </w:rPr>
        <w:t>个工作日。有异议的，评级道路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应当核实，经研究后作出是否调整的决定。</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w:t>
      </w:r>
      <w:r>
        <w:rPr>
          <w:rFonts w:hint="eastAsia" w:ascii="方正黑体_GBK" w:hAnsi="方正黑体_GBK" w:eastAsia="方正黑体_GBK" w:cs="方正黑体_GBK"/>
          <w:color w:val="000000"/>
          <w:sz w:val="32"/>
          <w:szCs w:val="32"/>
          <w:lang w:val="en-US" w:eastAsia="zh-CN"/>
        </w:rPr>
        <w:t>二十</w:t>
      </w:r>
      <w:r>
        <w:rPr>
          <w:rFonts w:ascii="方正黑体_GBK" w:hAnsi="方正黑体_GBK" w:eastAsia="方正黑体_GBK" w:cs="方正黑体_GBK"/>
          <w:color w:val="000000"/>
          <w:sz w:val="32"/>
          <w:szCs w:val="32"/>
          <w:lang w:val="en-US" w:eastAsia="zh-CN"/>
        </w:rPr>
        <w:t>条</w:t>
      </w:r>
      <w:r>
        <w:rPr>
          <w:rFonts w:ascii="Times New Roman" w:hAnsi="Times New Roman" w:eastAsia="方正仿宋_GBK" w:cs="Times New Roman"/>
          <w:b/>
          <w:bCs/>
          <w:color w:val="000000"/>
          <w:sz w:val="32"/>
          <w:szCs w:val="32"/>
        </w:rPr>
        <w:t xml:space="preserve"> </w:t>
      </w:r>
      <w:r>
        <w:rPr>
          <w:rFonts w:ascii="Times New Roman" w:hAnsi="Times New Roman" w:eastAsia="方正仿宋_GBK" w:cs="Times New Roman"/>
          <w:color w:val="000000"/>
          <w:sz w:val="32"/>
          <w:szCs w:val="32"/>
        </w:rPr>
        <w:t>评级道路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应当将评定结果报同级</w:t>
      </w:r>
      <w:r>
        <w:rPr>
          <w:rFonts w:ascii="Times New Roman" w:hAnsi="Times New Roman" w:eastAsia="方正仿宋_GBK" w:cs="Times New Roman"/>
          <w:color w:val="000000"/>
          <w:sz w:val="32"/>
          <w:szCs w:val="32"/>
          <w:lang w:eastAsia="zh-CN"/>
        </w:rPr>
        <w:t>交通主管部门</w:t>
      </w:r>
      <w:r>
        <w:rPr>
          <w:rFonts w:ascii="Times New Roman" w:hAnsi="Times New Roman" w:eastAsia="方正仿宋_GBK" w:cs="Times New Roman"/>
          <w:color w:val="000000"/>
          <w:sz w:val="32"/>
          <w:szCs w:val="32"/>
        </w:rPr>
        <w:t>审定。</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市交通主管部门、市道路运输事务机构或者委托的第三方机构可以对评级道路运输事务机构的评价结果进行督导检查（评估），评级道路运输事务机构应当对检查（评估）情况及时进行核实、据实调整评价结果。</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第二十</w:t>
      </w:r>
      <w:r>
        <w:rPr>
          <w:rFonts w:hint="eastAsia" w:ascii="方正黑体_GBK" w:hAnsi="方正黑体_GBK" w:eastAsia="方正黑体_GBK" w:cs="方正黑体_GBK"/>
          <w:color w:val="000000"/>
          <w:sz w:val="32"/>
          <w:szCs w:val="32"/>
          <w:lang w:val="en-US" w:eastAsia="zh-CN"/>
        </w:rPr>
        <w:t>一</w:t>
      </w:r>
      <w:r>
        <w:rPr>
          <w:rFonts w:ascii="方正黑体_GBK" w:hAnsi="方正黑体_GBK" w:eastAsia="方正黑体_GBK" w:cs="方正黑体_GBK"/>
          <w:color w:val="000000"/>
          <w:sz w:val="32"/>
          <w:szCs w:val="32"/>
          <w:lang w:val="en-US" w:eastAsia="zh-CN"/>
        </w:rPr>
        <w:t>条</w:t>
      </w:r>
      <w:r>
        <w:rPr>
          <w:rFonts w:ascii="Times New Roman" w:hAnsi="Times New Roman" w:eastAsia="方正仿宋_GBK" w:cs="Times New Roman"/>
          <w:b/>
          <w:bCs/>
          <w:color w:val="000000"/>
          <w:sz w:val="32"/>
          <w:szCs w:val="32"/>
        </w:rPr>
        <w:t xml:space="preserve"> </w:t>
      </w:r>
      <w:r>
        <w:rPr>
          <w:rFonts w:ascii="Times New Roman" w:hAnsi="Times New Roman" w:eastAsia="方正仿宋_GBK" w:cs="Times New Roman"/>
          <w:color w:val="000000"/>
          <w:sz w:val="32"/>
          <w:szCs w:val="32"/>
        </w:rPr>
        <w:t>评级道路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应将经交通主管部门审定同意</w:t>
      </w:r>
      <w:r>
        <w:rPr>
          <w:rFonts w:ascii="Times New Roman" w:hAnsi="Times New Roman" w:eastAsia="方正仿宋_GBK" w:cs="Times New Roman"/>
          <w:color w:val="000000"/>
          <w:sz w:val="32"/>
          <w:szCs w:val="32"/>
          <w:lang w:eastAsia="zh-CN"/>
        </w:rPr>
        <w:t>，并经脱敏处理</w:t>
      </w:r>
      <w:r>
        <w:rPr>
          <w:rFonts w:ascii="Times New Roman" w:hAnsi="Times New Roman" w:eastAsia="方正仿宋_GBK" w:cs="Times New Roman"/>
          <w:color w:val="000000"/>
          <w:sz w:val="32"/>
          <w:szCs w:val="32"/>
        </w:rPr>
        <w:t>的道路运输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评价结果</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信用评价等级应在“信用交通•重庆”网站公布，并为社会公众</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提供查询服务，扩大评价结果的应用范围。</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第二十</w:t>
      </w:r>
      <w:r>
        <w:rPr>
          <w:rFonts w:hint="eastAsia" w:ascii="方正黑体_GBK" w:hAnsi="方正黑体_GBK" w:eastAsia="方正黑体_GBK" w:cs="方正黑体_GBK"/>
          <w:color w:val="000000"/>
          <w:sz w:val="32"/>
          <w:szCs w:val="32"/>
          <w:lang w:val="en-US" w:eastAsia="zh-CN"/>
        </w:rPr>
        <w:t>二</w:t>
      </w:r>
      <w:r>
        <w:rPr>
          <w:rFonts w:ascii="方正黑体_GBK" w:hAnsi="方正黑体_GBK" w:eastAsia="方正黑体_GBK" w:cs="方正黑体_GBK"/>
          <w:color w:val="000000"/>
          <w:sz w:val="32"/>
          <w:szCs w:val="32"/>
          <w:lang w:val="en-US" w:eastAsia="zh-CN"/>
        </w:rPr>
        <w:t>条</w:t>
      </w:r>
      <w:r>
        <w:rPr>
          <w:rFonts w:hint="eastAsia" w:ascii="方正黑体_GBK" w:hAnsi="方正黑体_GBK" w:eastAsia="方正黑体_GBK" w:cs="方正黑体_GBK"/>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被认定为失信行为记录的道路运输经营者或者从业人员主动纠正失信行为、消除社会不良影响，全面完成整改的，可以向评级道路运输事务机构申请信用修复。道路运输事务机构应当按照国家和本市有关规定处理。</w:t>
      </w:r>
    </w:p>
    <w:p>
      <w:pPr>
        <w:pStyle w:val="12"/>
        <w:keepNext w:val="0"/>
        <w:keepLines w:val="0"/>
        <w:pageBreakBefore w:val="0"/>
        <w:kinsoku/>
        <w:wordWrap/>
        <w:overflowPunct/>
        <w:topLinePunct w:val="0"/>
        <w:autoSpaceDE/>
        <w:autoSpaceDN/>
        <w:bidi w:val="0"/>
        <w:adjustRightInd/>
        <w:spacing w:line="600" w:lineRule="exact"/>
        <w:ind w:firstLine="0"/>
        <w:jc w:val="center"/>
        <w:textAlignment w:val="auto"/>
        <w:rPr>
          <w:rFonts w:ascii="Times New Roman" w:hAnsi="Times New Roman" w:eastAsia="方正仿宋_GBK" w:cs="Times New Roman"/>
          <w:b/>
          <w:bCs/>
          <w:color w:val="000000"/>
          <w:sz w:val="32"/>
          <w:szCs w:val="32"/>
        </w:rPr>
      </w:pPr>
    </w:p>
    <w:p>
      <w:pPr>
        <w:pStyle w:val="12"/>
        <w:keepNext w:val="0"/>
        <w:keepLines w:val="0"/>
        <w:pageBreakBefore w:val="0"/>
        <w:kinsoku/>
        <w:wordWrap/>
        <w:overflowPunct/>
        <w:topLinePunct w:val="0"/>
        <w:autoSpaceDE/>
        <w:autoSpaceDN/>
        <w:bidi w:val="0"/>
        <w:adjustRightInd/>
        <w:spacing w:line="600" w:lineRule="exact"/>
        <w:ind w:firstLine="0"/>
        <w:jc w:val="center"/>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第四章  信用奖惩</w:t>
      </w:r>
    </w:p>
    <w:p>
      <w:pPr>
        <w:pStyle w:val="12"/>
        <w:keepNext w:val="0"/>
        <w:keepLines w:val="0"/>
        <w:pageBreakBefore w:val="0"/>
        <w:kinsoku/>
        <w:wordWrap/>
        <w:overflowPunct/>
        <w:topLinePunct w:val="0"/>
        <w:autoSpaceDE/>
        <w:autoSpaceDN/>
        <w:bidi w:val="0"/>
        <w:adjustRightInd/>
        <w:spacing w:line="600" w:lineRule="exact"/>
        <w:ind w:firstLine="620"/>
        <w:textAlignment w:val="auto"/>
        <w:rPr>
          <w:rFonts w:ascii="Times New Roman" w:hAnsi="Times New Roman" w:eastAsia="方正仿宋_GBK" w:cs="Times New Roman"/>
          <w:b/>
          <w:bCs/>
          <w:color w:val="000000"/>
          <w:sz w:val="32"/>
          <w:szCs w:val="32"/>
        </w:rPr>
      </w:pPr>
    </w:p>
    <w:p>
      <w:pPr>
        <w:pStyle w:val="12"/>
        <w:keepNext w:val="0"/>
        <w:keepLines w:val="0"/>
        <w:pageBreakBefore w:val="0"/>
        <w:kinsoku/>
        <w:wordWrap/>
        <w:overflowPunct/>
        <w:topLinePunct w:val="0"/>
        <w:autoSpaceDE/>
        <w:autoSpaceDN/>
        <w:bidi w:val="0"/>
        <w:adjustRightInd/>
        <w:spacing w:line="600" w:lineRule="exact"/>
        <w:ind w:firstLine="620"/>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val="en-US" w:eastAsia="zh-CN"/>
        </w:rPr>
        <w:t>第二十三条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市、区县（自治县）</w:t>
      </w:r>
      <w:r>
        <w:rPr>
          <w:rFonts w:ascii="Times New Roman" w:hAnsi="Times New Roman" w:eastAsia="方正仿宋_GBK" w:cs="Times New Roman"/>
          <w:color w:val="000000"/>
          <w:sz w:val="32"/>
          <w:szCs w:val="32"/>
          <w:lang w:eastAsia="zh-CN"/>
        </w:rPr>
        <w:t>交通主管部门</w:t>
      </w:r>
      <w:r>
        <w:rPr>
          <w:rFonts w:ascii="Times New Roman" w:hAnsi="Times New Roman" w:eastAsia="方正仿宋_GBK" w:cs="Times New Roman"/>
          <w:color w:val="000000"/>
          <w:sz w:val="32"/>
          <w:szCs w:val="32"/>
        </w:rPr>
        <w:t>和道路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应当将道路运输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信用评价结果，通过</w:t>
      </w:r>
      <w:r>
        <w:rPr>
          <w:rFonts w:hint="eastAsia" w:ascii="方正仿宋_GBK" w:hAnsi="方正仿宋_GBK" w:eastAsia="方正仿宋_GBK" w:cs="方正仿宋_GBK"/>
          <w:color w:val="000000"/>
          <w:sz w:val="32"/>
          <w:szCs w:val="40"/>
        </w:rPr>
        <w:t>全市交通运输信用信息管理系统</w:t>
      </w:r>
      <w:r>
        <w:rPr>
          <w:rFonts w:ascii="Times New Roman" w:hAnsi="Times New Roman" w:eastAsia="方正仿宋_GBK" w:cs="Times New Roman"/>
          <w:color w:val="000000"/>
          <w:sz w:val="32"/>
          <w:szCs w:val="32"/>
        </w:rPr>
        <w:t>向</w:t>
      </w:r>
      <w:r>
        <w:rPr>
          <w:rFonts w:ascii="Times New Roman" w:hAnsi="Times New Roman" w:eastAsia="方正仿宋_GBK" w:cs="Times New Roman"/>
          <w:color w:val="000000"/>
          <w:sz w:val="32"/>
          <w:szCs w:val="32"/>
          <w:lang w:val="en-US" w:eastAsia="zh-CN"/>
        </w:rPr>
        <w:t>重庆市公共信用信息平台</w:t>
      </w:r>
      <w:r>
        <w:rPr>
          <w:rFonts w:ascii="Times New Roman" w:hAnsi="Times New Roman" w:eastAsia="方正仿宋_GBK" w:cs="Times New Roman"/>
          <w:color w:val="000000"/>
          <w:sz w:val="32"/>
          <w:szCs w:val="32"/>
        </w:rPr>
        <w:t>推送</w:t>
      </w:r>
      <w:r>
        <w:rPr>
          <w:rFonts w:hint="eastAsia" w:ascii="方正仿宋_GBK" w:hAnsi="方正仿宋_GBK" w:eastAsia="方正仿宋_GBK" w:cs="方正仿宋_GBK"/>
          <w:color w:val="000000"/>
          <w:sz w:val="32"/>
          <w:szCs w:val="40"/>
          <w:lang w:eastAsia="zh-CN"/>
        </w:rPr>
        <w:t>，</w:t>
      </w:r>
      <w:r>
        <w:rPr>
          <w:rFonts w:ascii="Times New Roman" w:hAnsi="Times New Roman" w:eastAsia="方正仿宋_GBK" w:cs="Times New Roman"/>
          <w:color w:val="000000"/>
          <w:sz w:val="32"/>
          <w:szCs w:val="32"/>
        </w:rPr>
        <w:t>逐步建立联合奖惩机制。</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val="en-US" w:eastAsia="zh-CN"/>
        </w:rPr>
        <w:t>第二十四条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信用等级评定结果应当作为</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服务质量</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信用、信誉）</w:t>
      </w:r>
      <w:r>
        <w:rPr>
          <w:rFonts w:ascii="Times New Roman" w:hAnsi="Times New Roman" w:eastAsia="方正仿宋_GBK" w:cs="Times New Roman"/>
          <w:color w:val="000000"/>
          <w:sz w:val="32"/>
          <w:szCs w:val="32"/>
        </w:rPr>
        <w:t>招投标、新增运力、扩大经营范围、经营权延续、表彰奖励、品牌创建、资金补助、示范和试点申请、</w:t>
      </w:r>
      <w:r>
        <w:rPr>
          <w:rFonts w:ascii="Times New Roman" w:hAnsi="Times New Roman" w:eastAsia="方正仿宋_GBK" w:cs="Times New Roman"/>
          <w:color w:val="000000"/>
          <w:sz w:val="32"/>
          <w:szCs w:val="32"/>
          <w:lang w:val="en-US" w:eastAsia="zh-CN"/>
        </w:rPr>
        <w:t>评优</w:t>
      </w:r>
      <w:r>
        <w:rPr>
          <w:rFonts w:ascii="Times New Roman" w:hAnsi="Times New Roman" w:eastAsia="方正仿宋_GBK" w:cs="Times New Roman"/>
          <w:color w:val="000000"/>
          <w:sz w:val="32"/>
          <w:szCs w:val="32"/>
        </w:rPr>
        <w:t>评比</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以及实施行政监督、检查和管理</w:t>
      </w:r>
      <w:r>
        <w:rPr>
          <w:rFonts w:ascii="Times New Roman" w:hAnsi="Times New Roman" w:eastAsia="方正仿宋_GBK" w:cs="Times New Roman"/>
          <w:color w:val="000000"/>
          <w:sz w:val="32"/>
          <w:szCs w:val="32"/>
        </w:rPr>
        <w:t>的</w:t>
      </w:r>
      <w:r>
        <w:rPr>
          <w:rFonts w:ascii="Times New Roman" w:hAnsi="Times New Roman" w:eastAsia="方正仿宋_GBK" w:cs="Times New Roman"/>
          <w:color w:val="000000"/>
          <w:sz w:val="32"/>
          <w:szCs w:val="32"/>
          <w:lang w:val="en-US" w:eastAsia="zh-CN"/>
        </w:rPr>
        <w:t>重要</w:t>
      </w:r>
      <w:r>
        <w:rPr>
          <w:rFonts w:ascii="Times New Roman" w:hAnsi="Times New Roman" w:eastAsia="方正仿宋_GBK" w:cs="Times New Roman"/>
          <w:color w:val="000000"/>
          <w:sz w:val="32"/>
          <w:szCs w:val="32"/>
        </w:rPr>
        <w:t>依据。鼓励社会优质资源向信用等级高的道路运输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倾斜。</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lang w:val="en-US" w:eastAsia="zh-CN"/>
        </w:rPr>
      </w:pPr>
      <w:r>
        <w:rPr>
          <w:rFonts w:ascii="方正黑体_GBK" w:hAnsi="方正黑体_GBK" w:eastAsia="方正黑体_GBK" w:cs="方正黑体_GBK"/>
          <w:color w:val="000000"/>
          <w:sz w:val="32"/>
          <w:szCs w:val="32"/>
          <w:lang w:val="en-US" w:eastAsia="zh-CN"/>
        </w:rPr>
        <w:t>第二十</w:t>
      </w:r>
      <w:r>
        <w:rPr>
          <w:rFonts w:hint="eastAsia" w:ascii="方正黑体_GBK" w:hAnsi="方正黑体_GBK" w:eastAsia="方正黑体_GBK" w:cs="方正黑体_GBK"/>
          <w:color w:val="000000"/>
          <w:sz w:val="32"/>
          <w:szCs w:val="32"/>
          <w:lang w:val="en-US" w:eastAsia="zh-CN"/>
        </w:rPr>
        <w:t>五</w:t>
      </w:r>
      <w:r>
        <w:rPr>
          <w:rFonts w:ascii="方正黑体_GBK" w:hAnsi="方正黑体_GBK" w:eastAsia="方正黑体_GBK" w:cs="方正黑体_GBK"/>
          <w:color w:val="000000"/>
          <w:sz w:val="32"/>
          <w:szCs w:val="32"/>
          <w:lang w:val="en-US" w:eastAsia="zh-CN"/>
        </w:rPr>
        <w:t>条</w:t>
      </w:r>
      <w:r>
        <w:rPr>
          <w:rFonts w:ascii="Times New Roman" w:hAnsi="Times New Roman" w:eastAsia="方正仿宋_GBK" w:cs="Times New Roman"/>
          <w:color w:val="000000"/>
          <w:sz w:val="32"/>
          <w:szCs w:val="32"/>
          <w:lang w:val="en-US" w:eastAsia="zh-CN"/>
        </w:rPr>
        <w:t xml:space="preserve"> 对评价等级为A级以上的道路运输经营者和从业人员，在行政许可、资质等级评定中，给予优先办理、简化程序等；在日常监督检查中，优化检查频次；在财政性资金补助（补贴）、试点新项目中，同等条件下列为优先选择对象或者给予重点支持；在荣誉表彰及评先评优时优先考虑；鼓励道路运输经营者优先聘用信用等级高的从业人员。</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第二十</w:t>
      </w:r>
      <w:r>
        <w:rPr>
          <w:rFonts w:hint="eastAsia" w:ascii="方正黑体_GBK" w:hAnsi="方正黑体_GBK" w:eastAsia="方正黑体_GBK" w:cs="方正黑体_GBK"/>
          <w:color w:val="000000"/>
          <w:sz w:val="32"/>
          <w:szCs w:val="32"/>
          <w:lang w:val="en-US" w:eastAsia="zh-CN"/>
        </w:rPr>
        <w:t>六</w:t>
      </w:r>
      <w:r>
        <w:rPr>
          <w:rFonts w:ascii="方正黑体_GBK" w:hAnsi="方正黑体_GBK" w:eastAsia="方正黑体_GBK" w:cs="方正黑体_GBK"/>
          <w:color w:val="000000"/>
          <w:sz w:val="32"/>
          <w:szCs w:val="32"/>
          <w:lang w:val="en-US" w:eastAsia="zh-CN"/>
        </w:rPr>
        <w:t>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最近一次考评结果</w:t>
      </w:r>
      <w:r>
        <w:rPr>
          <w:rFonts w:ascii="Times New Roman" w:hAnsi="Times New Roman" w:eastAsia="方正仿宋_GBK" w:cs="Times New Roman"/>
          <w:color w:val="000000"/>
          <w:sz w:val="32"/>
          <w:szCs w:val="32"/>
          <w:lang w:val="en-US" w:eastAsia="zh-CN"/>
        </w:rPr>
        <w:t>B</w:t>
      </w:r>
      <w:r>
        <w:rPr>
          <w:rFonts w:ascii="Times New Roman" w:hAnsi="Times New Roman" w:eastAsia="方正仿宋_GBK" w:cs="Times New Roman"/>
          <w:color w:val="000000"/>
          <w:sz w:val="32"/>
          <w:szCs w:val="32"/>
        </w:rPr>
        <w:t>级以</w:t>
      </w:r>
      <w:r>
        <w:rPr>
          <w:rFonts w:ascii="Times New Roman" w:hAnsi="Times New Roman" w:eastAsia="方正仿宋_GBK" w:cs="Times New Roman"/>
          <w:color w:val="000000"/>
          <w:sz w:val="32"/>
          <w:szCs w:val="32"/>
          <w:lang w:val="en-US" w:eastAsia="zh-CN"/>
        </w:rPr>
        <w:t>下</w:t>
      </w:r>
      <w:r>
        <w:rPr>
          <w:rFonts w:ascii="Times New Roman" w:hAnsi="Times New Roman" w:eastAsia="方正仿宋_GBK" w:cs="Times New Roman"/>
          <w:color w:val="000000"/>
          <w:sz w:val="32"/>
          <w:szCs w:val="32"/>
        </w:rPr>
        <w:t>的道路运输</w:t>
      </w:r>
      <w:r>
        <w:rPr>
          <w:rFonts w:ascii="Times New Roman" w:hAnsi="Times New Roman" w:eastAsia="方正仿宋_GBK" w:cs="Times New Roman"/>
          <w:color w:val="000000"/>
          <w:sz w:val="32"/>
          <w:szCs w:val="32"/>
          <w:lang w:eastAsia="zh-CN"/>
        </w:rPr>
        <w:t>经营者和从业人员，不得推荐参加行业相关试点工作；不得推荐或授予文明单位（个人）、星级经营者和从业人员</w:t>
      </w:r>
      <w:r>
        <w:rPr>
          <w:rFonts w:ascii="Times New Roman" w:hAnsi="Times New Roman" w:eastAsia="方正仿宋_GBK" w:cs="Times New Roman"/>
          <w:color w:val="000000"/>
          <w:sz w:val="32"/>
          <w:szCs w:val="32"/>
        </w:rPr>
        <w:t>（个人）、先进</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（个人）等荣誉称号。</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第二十</w:t>
      </w:r>
      <w:r>
        <w:rPr>
          <w:rFonts w:hint="eastAsia" w:ascii="方正黑体_GBK" w:hAnsi="方正黑体_GBK" w:eastAsia="方正黑体_GBK" w:cs="方正黑体_GBK"/>
          <w:color w:val="000000"/>
          <w:sz w:val="32"/>
          <w:szCs w:val="32"/>
          <w:lang w:val="en-US" w:eastAsia="zh-CN"/>
        </w:rPr>
        <w:t>七</w:t>
      </w:r>
      <w:r>
        <w:rPr>
          <w:rFonts w:ascii="方正黑体_GBK" w:hAnsi="方正黑体_GBK" w:eastAsia="方正黑体_GBK" w:cs="方正黑体_GBK"/>
          <w:color w:val="000000"/>
          <w:sz w:val="32"/>
          <w:szCs w:val="32"/>
          <w:lang w:val="en-US" w:eastAsia="zh-CN"/>
        </w:rPr>
        <w:t>条</w:t>
      </w:r>
      <w:r>
        <w:rPr>
          <w:rFonts w:ascii="Times New Roman" w:hAnsi="Times New Roman" w:eastAsia="方正仿宋_GBK" w:cs="Times New Roman"/>
          <w:b/>
          <w:bCs/>
          <w:color w:val="000000"/>
          <w:sz w:val="32"/>
          <w:szCs w:val="32"/>
        </w:rPr>
        <w:t xml:space="preserve"> </w:t>
      </w:r>
      <w:r>
        <w:rPr>
          <w:rFonts w:ascii="Times New Roman" w:hAnsi="Times New Roman" w:eastAsia="方正仿宋_GBK" w:cs="Times New Roman"/>
          <w:color w:val="000000"/>
          <w:sz w:val="32"/>
          <w:szCs w:val="32"/>
        </w:rPr>
        <w:t>信用等级为</w:t>
      </w:r>
      <w:r>
        <w:rPr>
          <w:rFonts w:ascii="Times New Roman" w:hAnsi="Times New Roman" w:eastAsia="方正仿宋_GBK" w:cs="Times New Roman"/>
          <w:color w:val="000000"/>
          <w:sz w:val="32"/>
          <w:szCs w:val="32"/>
          <w:lang w:val="en-US" w:eastAsia="zh-CN" w:bidi="en-US"/>
        </w:rPr>
        <w:t>C</w:t>
      </w:r>
      <w:r>
        <w:rPr>
          <w:rFonts w:ascii="Times New Roman" w:hAnsi="Times New Roman" w:eastAsia="方正仿宋_GBK" w:cs="Times New Roman"/>
          <w:color w:val="000000"/>
          <w:sz w:val="32"/>
          <w:szCs w:val="32"/>
        </w:rPr>
        <w:t>级的</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en-US" w:eastAsia="zh-CN"/>
        </w:rPr>
        <w:t>交通主管部门</w:t>
      </w:r>
      <w:r>
        <w:rPr>
          <w:rFonts w:hint="eastAsia" w:ascii="Times New Roman" w:hAnsi="Times New Roman" w:eastAsia="方正仿宋_GBK" w:cs="Times New Roman"/>
          <w:color w:val="000000"/>
          <w:sz w:val="32"/>
          <w:szCs w:val="32"/>
          <w:lang w:val="en-US" w:eastAsia="zh-CN"/>
        </w:rPr>
        <w:t>及其</w:t>
      </w:r>
      <w:r>
        <w:rPr>
          <w:rFonts w:ascii="Times New Roman" w:hAnsi="Times New Roman" w:eastAsia="方正仿宋_GBK" w:cs="Times New Roman"/>
          <w:color w:val="000000"/>
          <w:sz w:val="32"/>
          <w:szCs w:val="32"/>
          <w:lang w:val="en-US" w:eastAsia="zh-CN"/>
        </w:rPr>
        <w:t>交通综合执法机构</w:t>
      </w:r>
      <w:r>
        <w:rPr>
          <w:rFonts w:ascii="Times New Roman" w:hAnsi="Times New Roman" w:eastAsia="方正仿宋_GBK" w:cs="Times New Roman"/>
          <w:color w:val="000000"/>
          <w:sz w:val="32"/>
          <w:szCs w:val="32"/>
        </w:rPr>
        <w:t>应当加强监管，</w:t>
      </w:r>
      <w:r>
        <w:rPr>
          <w:rFonts w:ascii="Times New Roman" w:hAnsi="Times New Roman" w:eastAsia="方正仿宋_GBK" w:cs="Times New Roman"/>
          <w:color w:val="000000"/>
          <w:sz w:val="32"/>
          <w:szCs w:val="32"/>
          <w:lang w:val="en-US" w:eastAsia="zh-CN"/>
        </w:rPr>
        <w:t>增加监督检查频次</w:t>
      </w:r>
      <w:r>
        <w:rPr>
          <w:rFonts w:ascii="Times New Roman" w:hAnsi="Times New Roman" w:eastAsia="方正仿宋_GBK" w:cs="Times New Roman"/>
          <w:color w:val="000000"/>
          <w:sz w:val="32"/>
          <w:szCs w:val="32"/>
        </w:rPr>
        <w:t>。</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第二十</w:t>
      </w:r>
      <w:r>
        <w:rPr>
          <w:rFonts w:hint="eastAsia" w:ascii="方正黑体_GBK" w:hAnsi="方正黑体_GBK" w:eastAsia="方正黑体_GBK" w:cs="方正黑体_GBK"/>
          <w:color w:val="000000"/>
          <w:sz w:val="32"/>
          <w:szCs w:val="32"/>
          <w:lang w:val="en-US" w:eastAsia="zh-CN"/>
        </w:rPr>
        <w:t>八</w:t>
      </w:r>
      <w:r>
        <w:rPr>
          <w:rFonts w:ascii="方正黑体_GBK" w:hAnsi="方正黑体_GBK" w:eastAsia="方正黑体_GBK" w:cs="方正黑体_GBK"/>
          <w:color w:val="000000"/>
          <w:sz w:val="32"/>
          <w:szCs w:val="32"/>
          <w:lang w:val="en-US" w:eastAsia="zh-CN"/>
        </w:rPr>
        <w:t>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信用等级为</w:t>
      </w:r>
      <w:r>
        <w:rPr>
          <w:rFonts w:ascii="Times New Roman" w:hAnsi="Times New Roman" w:eastAsia="方正仿宋_GBK" w:cs="Times New Roman"/>
          <w:color w:val="000000"/>
          <w:sz w:val="32"/>
          <w:szCs w:val="32"/>
          <w:lang w:val="en-US" w:eastAsia="zh-CN" w:bidi="en-US"/>
        </w:rPr>
        <w:t>D</w:t>
      </w:r>
      <w:r>
        <w:rPr>
          <w:rFonts w:ascii="Times New Roman" w:hAnsi="Times New Roman" w:eastAsia="方正仿宋_GBK" w:cs="Times New Roman"/>
          <w:color w:val="000000"/>
          <w:sz w:val="32"/>
          <w:szCs w:val="32"/>
        </w:rPr>
        <w:t>级的</w:t>
      </w:r>
      <w:r>
        <w:rPr>
          <w:rFonts w:ascii="Times New Roman" w:hAnsi="Times New Roman" w:eastAsia="方正仿宋_GBK" w:cs="Times New Roman"/>
          <w:color w:val="000000"/>
          <w:sz w:val="32"/>
          <w:szCs w:val="32"/>
          <w:lang w:eastAsia="zh-CN"/>
        </w:rPr>
        <w:t>经营者法定代表人、</w:t>
      </w:r>
      <w:r>
        <w:rPr>
          <w:rFonts w:ascii="Times New Roman" w:hAnsi="Times New Roman" w:eastAsia="方正仿宋_GBK" w:cs="Times New Roman"/>
          <w:color w:val="000000"/>
          <w:sz w:val="32"/>
          <w:szCs w:val="32"/>
        </w:rPr>
        <w:t>主要负责人、实际控制人</w:t>
      </w:r>
      <w:r>
        <w:rPr>
          <w:rFonts w:hint="eastAsia" w:ascii="Times New Roman" w:hAnsi="Times New Roman" w:eastAsia="方正仿宋_GBK" w:cs="Times New Roman"/>
          <w:color w:val="000000"/>
          <w:sz w:val="32"/>
          <w:szCs w:val="32"/>
          <w:lang w:eastAsia="zh-CN"/>
        </w:rPr>
        <w:t>相关信用信息推送至信用</w:t>
      </w:r>
      <w:r>
        <w:rPr>
          <w:rFonts w:hint="eastAsia" w:ascii="Times New Roman" w:hAnsi="Times New Roman" w:eastAsia="方正仿宋_GBK" w:cs="Times New Roman"/>
          <w:color w:val="000000"/>
          <w:sz w:val="32"/>
          <w:szCs w:val="32"/>
        </w:rPr>
        <w:t>重庆市公共信用信息平台</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en-US" w:eastAsia="zh-CN"/>
        </w:rPr>
        <w:t>由相关部门依法限制参加政府采购、政府投资项目投标、公共事业特许经营等活动；</w:t>
      </w:r>
      <w:r>
        <w:rPr>
          <w:rFonts w:ascii="Times New Roman" w:hAnsi="Times New Roman" w:eastAsia="方正仿宋_GBK" w:cs="Times New Roman"/>
          <w:color w:val="000000"/>
          <w:sz w:val="32"/>
          <w:szCs w:val="32"/>
        </w:rPr>
        <w:t>由交通主管部门依法依规责令限期整改；整改期间停止办理增加经营范围、线路、运力、教练车辆，更换车辆，提高站级等有关业务。</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val="en-US" w:eastAsia="zh-CN"/>
        </w:rPr>
        <w:t>交通主管部门</w:t>
      </w:r>
      <w:r>
        <w:rPr>
          <w:rFonts w:hint="eastAsia" w:ascii="Times New Roman" w:hAnsi="Times New Roman" w:eastAsia="方正仿宋_GBK" w:cs="Times New Roman"/>
          <w:color w:val="000000"/>
          <w:sz w:val="32"/>
          <w:szCs w:val="32"/>
          <w:lang w:val="en-US" w:eastAsia="zh-CN"/>
        </w:rPr>
        <w:t>及其</w:t>
      </w:r>
      <w:r>
        <w:rPr>
          <w:rFonts w:ascii="Times New Roman" w:hAnsi="Times New Roman" w:eastAsia="方正仿宋_GBK" w:cs="Times New Roman"/>
          <w:color w:val="000000"/>
          <w:sz w:val="32"/>
          <w:szCs w:val="32"/>
          <w:lang w:val="en-US" w:eastAsia="zh-CN"/>
        </w:rPr>
        <w:t>交通综合执法机构</w:t>
      </w:r>
      <w:r>
        <w:rPr>
          <w:rFonts w:ascii="Times New Roman" w:hAnsi="Times New Roman" w:eastAsia="方正仿宋_GBK" w:cs="Times New Roman"/>
          <w:color w:val="000000"/>
          <w:sz w:val="32"/>
          <w:szCs w:val="32"/>
        </w:rPr>
        <w:t>应</w:t>
      </w:r>
      <w:r>
        <w:rPr>
          <w:rFonts w:ascii="Times New Roman" w:hAnsi="Times New Roman" w:eastAsia="方正仿宋_GBK" w:cs="Times New Roman"/>
          <w:color w:val="000000"/>
          <w:sz w:val="32"/>
          <w:szCs w:val="32"/>
          <w:lang w:eastAsia="zh-CN"/>
        </w:rPr>
        <w:t>当</w:t>
      </w:r>
      <w:r>
        <w:rPr>
          <w:rFonts w:ascii="Times New Roman" w:hAnsi="Times New Roman" w:eastAsia="方正仿宋_GBK" w:cs="Times New Roman"/>
          <w:color w:val="000000"/>
          <w:sz w:val="32"/>
          <w:szCs w:val="32"/>
        </w:rPr>
        <w:t>将</w:t>
      </w:r>
      <w:r>
        <w:rPr>
          <w:rFonts w:ascii="Times New Roman" w:hAnsi="Times New Roman" w:eastAsia="方正仿宋_GBK" w:cs="Times New Roman"/>
          <w:color w:val="000000"/>
          <w:sz w:val="32"/>
          <w:szCs w:val="32"/>
          <w:lang w:val="en-US" w:eastAsia="zh-CN"/>
        </w:rPr>
        <w:t>信用等级为D级的</w:t>
      </w:r>
      <w:r>
        <w:rPr>
          <w:rFonts w:ascii="Times New Roman" w:hAnsi="Times New Roman" w:eastAsia="方正仿宋_GBK" w:cs="Times New Roman"/>
          <w:color w:val="000000"/>
          <w:sz w:val="32"/>
          <w:szCs w:val="32"/>
          <w:lang w:eastAsia="zh-CN"/>
        </w:rPr>
        <w:t>经营者、从业人员</w:t>
      </w:r>
      <w:r>
        <w:rPr>
          <w:rFonts w:ascii="Times New Roman" w:hAnsi="Times New Roman" w:eastAsia="方正仿宋_GBK" w:cs="Times New Roman"/>
          <w:color w:val="000000"/>
          <w:sz w:val="32"/>
          <w:szCs w:val="32"/>
        </w:rPr>
        <w:t>纳入</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重点监管名单</w:t>
      </w:r>
      <w:r>
        <w:rPr>
          <w:rFonts w:hint="eastAsia" w:ascii="Times New Roman" w:hAnsi="Times New Roman" w:eastAsia="方正仿宋_GBK" w:cs="Times New Roman"/>
          <w:color w:val="000000"/>
          <w:sz w:val="32"/>
          <w:szCs w:val="32"/>
          <w:lang w:val="zh-CN" w:eastAsia="zh-CN" w:bidi="zh-CN"/>
        </w:rPr>
        <w:t>”</w:t>
      </w:r>
      <w:r>
        <w:rPr>
          <w:rFonts w:ascii="Times New Roman" w:hAnsi="Times New Roman" w:eastAsia="方正仿宋_GBK" w:cs="Times New Roman"/>
          <w:color w:val="000000"/>
          <w:sz w:val="32"/>
          <w:szCs w:val="32"/>
          <w:lang w:val="zh-CN" w:eastAsia="zh-CN" w:bidi="zh-CN"/>
        </w:rPr>
        <w:t>，</w:t>
      </w:r>
      <w:r>
        <w:rPr>
          <w:rFonts w:ascii="Times New Roman" w:hAnsi="Times New Roman" w:eastAsia="方正仿宋_GBK" w:cs="Times New Roman"/>
          <w:color w:val="000000"/>
          <w:sz w:val="32"/>
          <w:szCs w:val="32"/>
          <w:lang w:val="en-US" w:eastAsia="zh-CN"/>
        </w:rPr>
        <w:t>增加监督检查频次</w:t>
      </w:r>
      <w:r>
        <w:rPr>
          <w:rFonts w:ascii="Times New Roman" w:hAnsi="Times New Roman" w:eastAsia="方正仿宋_GBK" w:cs="Times New Roman"/>
          <w:color w:val="000000"/>
          <w:sz w:val="32"/>
          <w:szCs w:val="32"/>
        </w:rPr>
        <w:t>；对</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主要负责人、实际控制人、分管负责人进行信用约谈。</w:t>
      </w:r>
    </w:p>
    <w:p>
      <w:pPr>
        <w:pStyle w:val="12"/>
        <w:keepNext w:val="0"/>
        <w:keepLines w:val="0"/>
        <w:pageBreakBefore w:val="0"/>
        <w:kinsoku/>
        <w:wordWrap/>
        <w:overflowPunct/>
        <w:topLinePunct w:val="0"/>
        <w:autoSpaceDE/>
        <w:autoSpaceDN/>
        <w:bidi w:val="0"/>
        <w:adjustRightInd/>
        <w:spacing w:line="600" w:lineRule="exact"/>
        <w:ind w:firstLine="658"/>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w:t>
      </w:r>
      <w:r>
        <w:rPr>
          <w:rFonts w:hint="eastAsia" w:ascii="方正黑体_GBK" w:hAnsi="方正黑体_GBK" w:eastAsia="方正黑体_GBK" w:cs="方正黑体_GBK"/>
          <w:color w:val="000000"/>
          <w:sz w:val="32"/>
          <w:szCs w:val="32"/>
          <w:lang w:val="en-US" w:eastAsia="zh-CN"/>
        </w:rPr>
        <w:t>二十九</w:t>
      </w:r>
      <w:r>
        <w:rPr>
          <w:rFonts w:ascii="方正黑体_GBK" w:hAnsi="方正黑体_GBK" w:eastAsia="方正黑体_GBK" w:cs="方正黑体_GBK"/>
          <w:color w:val="000000"/>
          <w:sz w:val="32"/>
          <w:szCs w:val="32"/>
          <w:lang w:val="en-US" w:eastAsia="zh-CN"/>
        </w:rPr>
        <w:t>条</w:t>
      </w:r>
      <w:r>
        <w:rPr>
          <w:rFonts w:hint="eastAsia"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对连续两年信用等级为</w:t>
      </w:r>
      <w:r>
        <w:rPr>
          <w:rFonts w:ascii="Times New Roman" w:hAnsi="Times New Roman" w:eastAsia="方正仿宋_GBK" w:cs="Times New Roman"/>
          <w:color w:val="000000"/>
          <w:sz w:val="32"/>
          <w:szCs w:val="32"/>
          <w:lang w:val="en-US" w:eastAsia="zh-CN" w:bidi="en-US"/>
        </w:rPr>
        <w:t>D</w:t>
      </w:r>
      <w:r>
        <w:rPr>
          <w:rFonts w:ascii="Times New Roman" w:hAnsi="Times New Roman" w:eastAsia="方正仿宋_GBK" w:cs="Times New Roman"/>
          <w:color w:val="000000"/>
          <w:sz w:val="32"/>
          <w:szCs w:val="32"/>
        </w:rPr>
        <w:t>级的</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，除按照本</w:t>
      </w:r>
      <w:r>
        <w:rPr>
          <w:rFonts w:hint="eastAsia"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rPr>
        <w:t>第二十</w:t>
      </w:r>
      <w:r>
        <w:rPr>
          <w:rFonts w:ascii="Times New Roman" w:hAnsi="Times New Roman" w:eastAsia="方正仿宋_GBK" w:cs="Times New Roman"/>
          <w:color w:val="000000"/>
          <w:sz w:val="32"/>
          <w:szCs w:val="32"/>
          <w:lang w:val="en-US" w:eastAsia="zh-CN"/>
        </w:rPr>
        <w:t>八</w:t>
      </w:r>
      <w:r>
        <w:rPr>
          <w:rFonts w:ascii="Times New Roman" w:hAnsi="Times New Roman" w:eastAsia="方正仿宋_GBK" w:cs="Times New Roman"/>
          <w:color w:val="000000"/>
          <w:sz w:val="32"/>
          <w:szCs w:val="32"/>
        </w:rPr>
        <w:t>条规定执行外，</w:t>
      </w:r>
      <w:r>
        <w:rPr>
          <w:rFonts w:hint="eastAsia" w:ascii="Times New Roman" w:hAnsi="Times New Roman" w:eastAsia="方正仿宋_GBK" w:cs="Times New Roman"/>
          <w:color w:val="000000"/>
          <w:sz w:val="32"/>
          <w:szCs w:val="32"/>
          <w:lang w:eastAsia="zh-CN"/>
        </w:rPr>
        <w:t>由交通综合执法机构约谈并依法依规</w:t>
      </w:r>
      <w:r>
        <w:rPr>
          <w:rFonts w:ascii="Times New Roman" w:hAnsi="Times New Roman" w:eastAsia="方正仿宋_GBK" w:cs="Times New Roman"/>
          <w:color w:val="000000"/>
          <w:sz w:val="32"/>
          <w:szCs w:val="32"/>
        </w:rPr>
        <w:t>责令停业整顿，整顿后仍不符合要求的，责令停止经营或者吊销许可证件；</w:t>
      </w:r>
      <w:r>
        <w:rPr>
          <w:rFonts w:hint="eastAsia" w:ascii="Times New Roman" w:hAnsi="Times New Roman" w:eastAsia="方正仿宋_GBK" w:cs="Times New Roman"/>
          <w:color w:val="000000"/>
          <w:sz w:val="32"/>
          <w:szCs w:val="32"/>
          <w:lang w:eastAsia="zh-CN"/>
        </w:rPr>
        <w:t>由评级</w:t>
      </w:r>
      <w:r>
        <w:rPr>
          <w:rFonts w:ascii="Times New Roman" w:hAnsi="Times New Roman" w:eastAsia="方正仿宋_GBK" w:cs="Times New Roman"/>
          <w:color w:val="000000"/>
          <w:sz w:val="32"/>
          <w:szCs w:val="32"/>
        </w:rPr>
        <w:t>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将</w:t>
      </w:r>
      <w:r>
        <w:rPr>
          <w:rFonts w:ascii="Times New Roman" w:hAnsi="Times New Roman" w:eastAsia="方正仿宋_GBK" w:cs="Times New Roman"/>
          <w:color w:val="000000"/>
          <w:sz w:val="32"/>
          <w:szCs w:val="32"/>
          <w:lang w:val="en-US" w:eastAsia="zh-CN"/>
        </w:rPr>
        <w:t>经营者</w:t>
      </w:r>
      <w:r>
        <w:rPr>
          <w:rFonts w:ascii="Times New Roman" w:hAnsi="Times New Roman" w:eastAsia="方正仿宋_GBK" w:cs="Times New Roman"/>
          <w:color w:val="000000"/>
          <w:sz w:val="32"/>
          <w:szCs w:val="32"/>
        </w:rPr>
        <w:t>主要负责人、实际控制人、分管负责人以及相关</w:t>
      </w:r>
      <w:r>
        <w:rPr>
          <w:rFonts w:ascii="Times New Roman" w:hAnsi="Times New Roman" w:eastAsia="方正仿宋_GBK" w:cs="Times New Roman"/>
          <w:color w:val="000000"/>
          <w:sz w:val="32"/>
          <w:szCs w:val="32"/>
          <w:lang w:val="en-US" w:eastAsia="zh-CN"/>
        </w:rPr>
        <w:t>从业人员</w:t>
      </w:r>
      <w:r>
        <w:rPr>
          <w:rFonts w:ascii="Times New Roman" w:hAnsi="Times New Roman" w:eastAsia="方正仿宋_GBK" w:cs="Times New Roman"/>
          <w:color w:val="000000"/>
          <w:sz w:val="32"/>
          <w:szCs w:val="32"/>
        </w:rPr>
        <w:t>名单推送至</w:t>
      </w:r>
      <w:r>
        <w:rPr>
          <w:rFonts w:hint="eastAsia" w:ascii="Times New Roman" w:hAnsi="Times New Roman" w:eastAsia="方正仿宋_GBK" w:cs="Times New Roman"/>
          <w:color w:val="000000"/>
          <w:sz w:val="32"/>
          <w:szCs w:val="32"/>
        </w:rPr>
        <w:t>重庆市公共信用信息平台</w:t>
      </w:r>
      <w:r>
        <w:rPr>
          <w:rFonts w:ascii="Times New Roman" w:hAnsi="Times New Roman" w:eastAsia="方正仿宋_GBK" w:cs="Times New Roman"/>
          <w:color w:val="000000"/>
          <w:sz w:val="32"/>
          <w:szCs w:val="32"/>
        </w:rPr>
        <w:t>加强管理，并</w:t>
      </w:r>
      <w:r>
        <w:rPr>
          <w:rFonts w:ascii="Times New Roman" w:hAnsi="Times New Roman" w:eastAsia="方正仿宋_GBK" w:cs="Times New Roman"/>
          <w:color w:val="000000"/>
          <w:sz w:val="32"/>
          <w:szCs w:val="32"/>
          <w:lang w:val="en-US" w:eastAsia="zh-CN"/>
        </w:rPr>
        <w:t>可以</w:t>
      </w:r>
      <w:r>
        <w:rPr>
          <w:rFonts w:ascii="Times New Roman" w:hAnsi="Times New Roman" w:eastAsia="方正仿宋_GBK" w:cs="Times New Roman"/>
          <w:color w:val="000000"/>
          <w:sz w:val="32"/>
          <w:szCs w:val="32"/>
        </w:rPr>
        <w:t>向有关部门和单位提出职务禁任</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薪酬惩戒等</w:t>
      </w:r>
      <w:r>
        <w:rPr>
          <w:rFonts w:ascii="Times New Roman" w:hAnsi="Times New Roman" w:eastAsia="方正仿宋_GBK" w:cs="Times New Roman"/>
          <w:color w:val="000000"/>
          <w:sz w:val="32"/>
          <w:szCs w:val="32"/>
        </w:rPr>
        <w:t>建议。</w:t>
      </w:r>
    </w:p>
    <w:p>
      <w:pPr>
        <w:pStyle w:val="12"/>
        <w:keepNext w:val="0"/>
        <w:keepLines w:val="0"/>
        <w:pageBreakBefore w:val="0"/>
        <w:kinsoku/>
        <w:wordWrap/>
        <w:overflowPunct/>
        <w:topLinePunct w:val="0"/>
        <w:autoSpaceDE/>
        <w:autoSpaceDN/>
        <w:bidi w:val="0"/>
        <w:adjustRightInd/>
        <w:spacing w:line="600" w:lineRule="exact"/>
        <w:ind w:firstLine="658"/>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w:t>
      </w:r>
      <w:r>
        <w:rPr>
          <w:rFonts w:hint="eastAsia" w:ascii="方正黑体_GBK" w:hAnsi="方正黑体_GBK" w:eastAsia="方正黑体_GBK" w:cs="方正黑体_GBK"/>
          <w:color w:val="000000"/>
          <w:sz w:val="32"/>
          <w:szCs w:val="32"/>
          <w:lang w:val="en-US" w:eastAsia="zh-CN"/>
        </w:rPr>
        <w:t>三十</w:t>
      </w:r>
      <w:r>
        <w:rPr>
          <w:rFonts w:ascii="方正黑体_GBK" w:hAnsi="方正黑体_GBK" w:eastAsia="方正黑体_GBK" w:cs="方正黑体_GBK"/>
          <w:color w:val="000000"/>
          <w:sz w:val="32"/>
          <w:szCs w:val="32"/>
          <w:lang w:val="en-US" w:eastAsia="zh-CN"/>
        </w:rPr>
        <w:t>条</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危险货物道路运输经营者信用考核为B级以下的，还</w:t>
      </w:r>
      <w:r>
        <w:rPr>
          <w:rFonts w:ascii="Times New Roman" w:hAnsi="Times New Roman" w:eastAsia="方正仿宋_GBK" w:cs="Times New Roman"/>
          <w:color w:val="000000"/>
          <w:sz w:val="32"/>
          <w:szCs w:val="32"/>
          <w:lang w:eastAsia="zh-CN"/>
        </w:rPr>
        <w:t>应当</w:t>
      </w:r>
      <w:r>
        <w:rPr>
          <w:rFonts w:ascii="Times New Roman" w:hAnsi="Times New Roman" w:eastAsia="方正仿宋_GBK" w:cs="Times New Roman"/>
          <w:color w:val="000000"/>
          <w:sz w:val="32"/>
          <w:szCs w:val="32"/>
        </w:rPr>
        <w:t>执行以下规定：</w:t>
      </w:r>
    </w:p>
    <w:p>
      <w:pPr>
        <w:pStyle w:val="12"/>
        <w:keepNext w:val="0"/>
        <w:keepLines w:val="0"/>
        <w:pageBreakBefore w:val="0"/>
        <w:kinsoku/>
        <w:wordWrap/>
        <w:overflowPunct/>
        <w:topLinePunct w:val="0"/>
        <w:autoSpaceDE/>
        <w:autoSpaceDN/>
        <w:bidi w:val="0"/>
        <w:adjustRightInd/>
        <w:spacing w:line="600" w:lineRule="exact"/>
        <w:ind w:firstLine="658"/>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（一）信用等级为B级的，暂停办理新增剧毒化学品、爆炸品、放射性物品经营范围许可业务；设有分支机构的，其所有分支机构暂停办理新增剧毒化学品、爆炸品、放射性物品经营范围许可业务。</w:t>
      </w:r>
    </w:p>
    <w:p>
      <w:pPr>
        <w:pStyle w:val="12"/>
        <w:keepNext w:val="0"/>
        <w:keepLines w:val="0"/>
        <w:pageBreakBefore w:val="0"/>
        <w:kinsoku/>
        <w:wordWrap/>
        <w:overflowPunct/>
        <w:topLinePunct w:val="0"/>
        <w:autoSpaceDE/>
        <w:autoSpaceDN/>
        <w:bidi w:val="0"/>
        <w:adjustRightInd/>
        <w:spacing w:line="600" w:lineRule="exact"/>
        <w:ind w:firstLine="658"/>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信用等级为C级的，暂停办理新增剧毒化学品、爆炸品、放射性物品经营范围、运力业务；暂停办理设立分支机构业务；设有分支机构的，其所有分支机构暂停办理新增剧毒化学品、爆炸品、放射性物品经营范围和运力业务。</w:t>
      </w:r>
    </w:p>
    <w:p>
      <w:pPr>
        <w:pStyle w:val="12"/>
        <w:keepNext w:val="0"/>
        <w:keepLines w:val="0"/>
        <w:pageBreakBefore w:val="0"/>
        <w:kinsoku/>
        <w:wordWrap/>
        <w:overflowPunct/>
        <w:topLinePunct w:val="0"/>
        <w:autoSpaceDE/>
        <w:autoSpaceDN/>
        <w:bidi w:val="0"/>
        <w:adjustRightInd/>
        <w:spacing w:line="600" w:lineRule="exact"/>
        <w:ind w:firstLine="658"/>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（三）信用等级为D级的，暂停办理新增经营范围、运力业务；暂停办理设立分支机构业务；设有分支机构的，其所有分支机构暂停办理新增经营范围和运力业务。</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普通货物道路运输经营者信用等级为D级的，应暂停办理新增经营范围、运力及设立分支机构等相关货运业务；设有分支机构的，其所有分支机构均暂停办理新增经营范围和运力业务。</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val="en-US" w:eastAsia="zh-CN"/>
        </w:rPr>
        <w:t>第三十一条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交通主管部门可以将信用评价结果作为到期延续经营审批的重要依据，依法收</w:t>
      </w:r>
      <w:r>
        <w:rPr>
          <w:rFonts w:ascii="Times New Roman" w:hAnsi="Times New Roman" w:eastAsia="方正仿宋_GBK" w:cs="Times New Roman"/>
          <w:color w:val="000000"/>
          <w:sz w:val="32"/>
          <w:szCs w:val="32"/>
        </w:rPr>
        <w:t>回其顺延年度内</w:t>
      </w:r>
      <w:r>
        <w:rPr>
          <w:rFonts w:ascii="Times New Roman" w:hAnsi="Times New Roman" w:eastAsia="方正仿宋_GBK" w:cs="Times New Roman"/>
          <w:color w:val="000000"/>
          <w:sz w:val="32"/>
          <w:szCs w:val="32"/>
          <w:lang w:val="en-US" w:eastAsia="zh-CN"/>
        </w:rPr>
        <w:t>一定数量</w:t>
      </w:r>
      <w:r>
        <w:rPr>
          <w:rFonts w:ascii="Times New Roman" w:hAnsi="Times New Roman" w:eastAsia="方正仿宋_GBK" w:cs="Times New Roman"/>
          <w:color w:val="000000"/>
          <w:sz w:val="32"/>
          <w:szCs w:val="32"/>
        </w:rPr>
        <w:t>的到期</w:t>
      </w:r>
      <w:r>
        <w:rPr>
          <w:rFonts w:ascii="Times New Roman" w:hAnsi="Times New Roman" w:eastAsia="方正仿宋_GBK" w:cs="Times New Roman"/>
          <w:color w:val="000000"/>
          <w:sz w:val="32"/>
          <w:szCs w:val="32"/>
          <w:lang w:val="en-US" w:eastAsia="zh-CN"/>
        </w:rPr>
        <w:t>客运</w:t>
      </w:r>
      <w:r>
        <w:rPr>
          <w:rFonts w:ascii="Times New Roman" w:hAnsi="Times New Roman" w:eastAsia="方正仿宋_GBK" w:cs="Times New Roman"/>
          <w:color w:val="000000"/>
          <w:sz w:val="32"/>
          <w:szCs w:val="32"/>
        </w:rPr>
        <w:t>经营权。被收回的客运经营权</w:t>
      </w:r>
      <w:r>
        <w:rPr>
          <w:rFonts w:hint="eastAsia" w:ascii="Times New Roman" w:hAnsi="Times New Roman" w:eastAsia="方正仿宋_GBK" w:cs="Times New Roman"/>
          <w:color w:val="000000"/>
          <w:sz w:val="32"/>
          <w:szCs w:val="32"/>
          <w:lang w:eastAsia="zh-CN"/>
        </w:rPr>
        <w:t>在同等条件下，</w:t>
      </w:r>
      <w:r>
        <w:rPr>
          <w:rFonts w:ascii="Times New Roman" w:hAnsi="Times New Roman" w:eastAsia="方正仿宋_GBK" w:cs="Times New Roman"/>
          <w:color w:val="000000"/>
          <w:sz w:val="32"/>
          <w:szCs w:val="32"/>
        </w:rPr>
        <w:t>可</w:t>
      </w:r>
      <w:r>
        <w:rPr>
          <w:rFonts w:ascii="Times New Roman" w:hAnsi="Times New Roman" w:eastAsia="方正仿宋_GBK" w:cs="Times New Roman"/>
          <w:color w:val="000000"/>
          <w:sz w:val="32"/>
          <w:szCs w:val="32"/>
          <w:lang w:eastAsia="zh-CN"/>
        </w:rPr>
        <w:t>以</w:t>
      </w:r>
      <w:r>
        <w:rPr>
          <w:rFonts w:ascii="Times New Roman" w:hAnsi="Times New Roman" w:eastAsia="方正仿宋_GBK" w:cs="Times New Roman"/>
          <w:color w:val="000000"/>
          <w:sz w:val="32"/>
          <w:szCs w:val="32"/>
        </w:rPr>
        <w:t>优先许可给</w:t>
      </w:r>
      <w:r>
        <w:rPr>
          <w:rFonts w:hint="eastAsia" w:ascii="Times New Roman" w:hAnsi="Times New Roman" w:eastAsia="方正仿宋_GBK" w:cs="Times New Roman"/>
          <w:color w:val="000000"/>
          <w:sz w:val="32"/>
          <w:szCs w:val="32"/>
          <w:lang w:eastAsia="zh-CN"/>
        </w:rPr>
        <w:t>最近</w:t>
      </w:r>
      <w:r>
        <w:rPr>
          <w:rFonts w:ascii="Times New Roman" w:hAnsi="Times New Roman" w:eastAsia="方正仿宋_GBK" w:cs="Times New Roman"/>
          <w:color w:val="000000"/>
          <w:sz w:val="32"/>
          <w:szCs w:val="32"/>
        </w:rPr>
        <w:t>两年信用等级为</w:t>
      </w:r>
      <w:r>
        <w:rPr>
          <w:rFonts w:ascii="Times New Roman" w:hAnsi="Times New Roman" w:eastAsia="方正仿宋_GBK" w:cs="Times New Roman"/>
          <w:color w:val="000000"/>
          <w:sz w:val="32"/>
          <w:szCs w:val="32"/>
          <w:lang w:val="en-US" w:eastAsia="zh-CN" w:bidi="en-US"/>
        </w:rPr>
        <w:t>AA</w:t>
      </w:r>
      <w:r>
        <w:rPr>
          <w:rFonts w:ascii="Times New Roman" w:hAnsi="Times New Roman" w:eastAsia="方正仿宋_GBK" w:cs="Times New Roman"/>
          <w:color w:val="000000"/>
          <w:sz w:val="32"/>
          <w:szCs w:val="32"/>
        </w:rPr>
        <w:t>级的</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巡游出租汽车车辆经营权到期后，</w:t>
      </w:r>
      <w:r>
        <w:rPr>
          <w:rFonts w:ascii="Times New Roman" w:hAnsi="Times New Roman" w:eastAsia="方正仿宋_GBK" w:cs="Times New Roman"/>
          <w:color w:val="000000"/>
          <w:sz w:val="32"/>
          <w:szCs w:val="32"/>
          <w:lang w:eastAsia="zh-CN"/>
        </w:rPr>
        <w:t>市、区县交通主管部门</w:t>
      </w:r>
      <w:r>
        <w:rPr>
          <w:rFonts w:ascii="Times New Roman" w:hAnsi="Times New Roman" w:eastAsia="方正仿宋_GBK" w:cs="Times New Roman"/>
          <w:color w:val="000000"/>
          <w:sz w:val="32"/>
          <w:szCs w:val="32"/>
        </w:rPr>
        <w:t>审核巡游出租汽车经营者的</w:t>
      </w:r>
      <w:r>
        <w:rPr>
          <w:rFonts w:ascii="Times New Roman" w:hAnsi="Times New Roman" w:eastAsia="方正仿宋_GBK" w:cs="Times New Roman"/>
          <w:color w:val="000000"/>
          <w:sz w:val="32"/>
          <w:szCs w:val="32"/>
          <w:lang w:eastAsia="zh-CN"/>
        </w:rPr>
        <w:t>信用评价</w:t>
      </w:r>
      <w:r>
        <w:rPr>
          <w:rFonts w:ascii="Times New Roman" w:hAnsi="Times New Roman" w:eastAsia="方正仿宋_GBK" w:cs="Times New Roman"/>
          <w:color w:val="000000"/>
          <w:sz w:val="32"/>
          <w:szCs w:val="32"/>
        </w:rPr>
        <w:t>结果</w:t>
      </w:r>
      <w:r>
        <w:rPr>
          <w:rFonts w:ascii="Times New Roman" w:hAnsi="Times New Roman" w:eastAsia="方正仿宋_GBK" w:cs="Times New Roman"/>
          <w:color w:val="000000"/>
          <w:sz w:val="32"/>
          <w:szCs w:val="32"/>
          <w:lang w:eastAsia="zh-CN"/>
        </w:rPr>
        <w:t>（安全服务质量考核结果、服务质量信誉考核结果可按照本</w:t>
      </w:r>
      <w:r>
        <w:rPr>
          <w:rFonts w:hint="eastAsia"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lang w:eastAsia="zh-CN"/>
        </w:rPr>
        <w:t>第九条规定进行对应后确认）</w:t>
      </w:r>
      <w:r>
        <w:rPr>
          <w:rFonts w:ascii="Times New Roman" w:hAnsi="Times New Roman" w:eastAsia="方正仿宋_GBK" w:cs="Times New Roman"/>
          <w:color w:val="000000"/>
          <w:sz w:val="32"/>
          <w:szCs w:val="32"/>
        </w:rPr>
        <w:t>，按照以下规定处理：</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（一）考核等级在经营期限内有</w:t>
      </w:r>
      <w:r>
        <w:rPr>
          <w:rFonts w:ascii="Times New Roman" w:hAnsi="Times New Roman" w:eastAsia="方正仿宋_GBK" w:cs="Times New Roman"/>
          <w:color w:val="000000"/>
          <w:sz w:val="32"/>
          <w:szCs w:val="32"/>
          <w:lang w:val="en-US" w:eastAsia="zh-CN"/>
        </w:rPr>
        <w:t>C</w:t>
      </w:r>
      <w:r>
        <w:rPr>
          <w:rFonts w:ascii="Times New Roman" w:hAnsi="Times New Roman" w:eastAsia="方正仿宋_GBK" w:cs="Times New Roman"/>
          <w:color w:val="000000"/>
          <w:sz w:val="32"/>
          <w:szCs w:val="32"/>
        </w:rPr>
        <w:t>级的，应当督促其加强内部管理，整改合格后准许其继续经营；</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w:t>
      </w:r>
      <w:r>
        <w:rPr>
          <w:rFonts w:ascii="Times New Roman" w:hAnsi="Times New Roman" w:eastAsia="方正仿宋_GBK" w:cs="Times New Roman"/>
          <w:color w:val="000000"/>
          <w:sz w:val="32"/>
          <w:szCs w:val="32"/>
          <w:lang w:eastAsia="zh-CN"/>
        </w:rPr>
        <w:t>评价</w:t>
      </w:r>
      <w:r>
        <w:rPr>
          <w:rFonts w:ascii="Times New Roman" w:hAnsi="Times New Roman" w:eastAsia="方正仿宋_GBK" w:cs="Times New Roman"/>
          <w:color w:val="000000"/>
          <w:sz w:val="32"/>
          <w:szCs w:val="32"/>
        </w:rPr>
        <w:t>等级在经营期限内有</w:t>
      </w:r>
      <w:r>
        <w:rPr>
          <w:rFonts w:ascii="Times New Roman" w:hAnsi="Times New Roman" w:eastAsia="方正仿宋_GBK" w:cs="Times New Roman"/>
          <w:color w:val="000000"/>
          <w:sz w:val="32"/>
          <w:szCs w:val="32"/>
          <w:lang w:val="en-US" w:eastAsia="zh-CN"/>
        </w:rPr>
        <w:t>D</w:t>
      </w:r>
      <w:r>
        <w:rPr>
          <w:rFonts w:ascii="Times New Roman" w:hAnsi="Times New Roman" w:eastAsia="方正仿宋_GBK" w:cs="Times New Roman"/>
          <w:color w:val="000000"/>
          <w:sz w:val="32"/>
          <w:szCs w:val="32"/>
        </w:rPr>
        <w:t>级或者一半以上为</w:t>
      </w:r>
      <w:r>
        <w:rPr>
          <w:rFonts w:ascii="Times New Roman" w:hAnsi="Times New Roman" w:eastAsia="方正仿宋_GBK" w:cs="Times New Roman"/>
          <w:color w:val="000000"/>
          <w:sz w:val="32"/>
          <w:szCs w:val="32"/>
          <w:lang w:val="en-US" w:eastAsia="zh-CN"/>
        </w:rPr>
        <w:t>C</w:t>
      </w:r>
      <w:r>
        <w:rPr>
          <w:rFonts w:ascii="Times New Roman" w:hAnsi="Times New Roman" w:eastAsia="方正仿宋_GBK" w:cs="Times New Roman"/>
          <w:color w:val="000000"/>
          <w:sz w:val="32"/>
          <w:szCs w:val="32"/>
        </w:rPr>
        <w:t>级的， 可视情况适当核减车辆经营权；</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eastAsia="zh-CN"/>
        </w:rPr>
        <w:t>三</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eastAsia="zh-CN"/>
        </w:rPr>
        <w:t>评价</w:t>
      </w:r>
      <w:r>
        <w:rPr>
          <w:rFonts w:ascii="Times New Roman" w:hAnsi="Times New Roman" w:eastAsia="方正仿宋_GBK" w:cs="Times New Roman"/>
          <w:color w:val="000000"/>
          <w:sz w:val="32"/>
          <w:szCs w:val="32"/>
        </w:rPr>
        <w:t>等级在经营期限内有一半以上为</w:t>
      </w:r>
      <w:r>
        <w:rPr>
          <w:rFonts w:ascii="Times New Roman" w:hAnsi="Times New Roman" w:eastAsia="方正仿宋_GBK" w:cs="Times New Roman"/>
          <w:color w:val="000000"/>
          <w:sz w:val="32"/>
          <w:szCs w:val="32"/>
          <w:lang w:val="en-US" w:eastAsia="zh-CN"/>
        </w:rPr>
        <w:t>D</w:t>
      </w:r>
      <w:r>
        <w:rPr>
          <w:rFonts w:ascii="Times New Roman" w:hAnsi="Times New Roman" w:eastAsia="方正仿宋_GBK" w:cs="Times New Roman"/>
          <w:color w:val="000000"/>
          <w:sz w:val="32"/>
          <w:szCs w:val="32"/>
        </w:rPr>
        <w:t>级的，应当收回车辆经营权。</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p>
    <w:p>
      <w:pPr>
        <w:pStyle w:val="12"/>
        <w:keepNext w:val="0"/>
        <w:keepLines w:val="0"/>
        <w:pageBreakBefore w:val="0"/>
        <w:kinsoku/>
        <w:wordWrap/>
        <w:overflowPunct/>
        <w:topLinePunct w:val="0"/>
        <w:autoSpaceDE/>
        <w:autoSpaceDN/>
        <w:bidi w:val="0"/>
        <w:adjustRightInd/>
        <w:spacing w:line="600" w:lineRule="exact"/>
        <w:ind w:firstLine="0"/>
        <w:jc w:val="center"/>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第五章  附  则</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b/>
          <w:bCs/>
          <w:color w:val="000000"/>
          <w:sz w:val="32"/>
          <w:szCs w:val="32"/>
        </w:rPr>
      </w:pP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val="en-US" w:eastAsia="zh-CN"/>
        </w:rPr>
        <w:t>第三十二条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本</w:t>
      </w:r>
      <w:r>
        <w:rPr>
          <w:rFonts w:hint="eastAsia"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rPr>
        <w:t>下列用语含义：</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eastAsia="zh-CN"/>
        </w:rPr>
        <w:t>（一）</w:t>
      </w:r>
      <w:r>
        <w:rPr>
          <w:rFonts w:ascii="Times New Roman" w:hAnsi="Times New Roman" w:eastAsia="方正仿宋_GBK" w:cs="Times New Roman"/>
          <w:color w:val="000000"/>
          <w:sz w:val="32"/>
          <w:szCs w:val="32"/>
        </w:rPr>
        <w:t>道路运输子行业是指道路旅客运输、道路货物运输</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包含道路普通货物运输和道路危险货物运输）</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en-US" w:eastAsia="zh-CN"/>
        </w:rPr>
        <w:t>出租汽车客运（包含巡游出租汽车和网约预约出租汽车）、公共汽车客运、</w:t>
      </w:r>
      <w:r>
        <w:rPr>
          <w:rFonts w:ascii="Times New Roman" w:hAnsi="Times New Roman" w:eastAsia="方正仿宋_GBK" w:cs="Times New Roman"/>
          <w:color w:val="000000"/>
          <w:sz w:val="32"/>
          <w:szCs w:val="32"/>
        </w:rPr>
        <w:t>机动车维修、机动车驾驶员培训</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汽车租赁</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道路</w:t>
      </w:r>
      <w:r>
        <w:rPr>
          <w:rFonts w:ascii="Times New Roman" w:hAnsi="Times New Roman" w:eastAsia="方正仿宋_GBK" w:cs="Times New Roman"/>
          <w:color w:val="000000"/>
          <w:sz w:val="32"/>
          <w:szCs w:val="32"/>
          <w:lang w:eastAsia="zh-CN"/>
        </w:rPr>
        <w:t>旅客</w:t>
      </w:r>
      <w:r>
        <w:rPr>
          <w:rFonts w:ascii="Times New Roman" w:hAnsi="Times New Roman" w:eastAsia="方正仿宋_GBK" w:cs="Times New Roman"/>
          <w:color w:val="000000"/>
          <w:sz w:val="32"/>
          <w:szCs w:val="32"/>
        </w:rPr>
        <w:t>运输站</w:t>
      </w:r>
      <w:r>
        <w:rPr>
          <w:rFonts w:ascii="Times New Roman" w:hAnsi="Times New Roman" w:eastAsia="方正仿宋_GBK" w:cs="Times New Roman"/>
          <w:color w:val="000000"/>
          <w:sz w:val="32"/>
          <w:szCs w:val="32"/>
          <w:lang w:val="en-US" w:eastAsia="zh-CN"/>
        </w:rPr>
        <w:t>和道路运输从业人员</w:t>
      </w:r>
      <w:r>
        <w:rPr>
          <w:rFonts w:ascii="Times New Roman" w:hAnsi="Times New Roman" w:eastAsia="方正仿宋_GBK" w:cs="Times New Roman"/>
          <w:color w:val="000000"/>
          <w:sz w:val="32"/>
          <w:szCs w:val="32"/>
        </w:rPr>
        <w:t>等行业</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类别）</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以及与公共交通相关的城市轨道交通营运行业</w:t>
      </w:r>
      <w:r>
        <w:rPr>
          <w:rFonts w:ascii="Times New Roman" w:hAnsi="Times New Roman" w:eastAsia="方正仿宋_GBK" w:cs="Times New Roman"/>
          <w:color w:val="000000"/>
          <w:sz w:val="32"/>
          <w:szCs w:val="32"/>
        </w:rPr>
        <w:t>。</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（二）安全生产责任事故，是指道路运输</w:t>
      </w:r>
      <w:r>
        <w:rPr>
          <w:rFonts w:hint="eastAsia" w:ascii="Times New Roman" w:hAnsi="Times New Roman" w:eastAsia="方正仿宋_GBK" w:cs="Times New Roman"/>
          <w:color w:val="000000"/>
          <w:sz w:val="32"/>
          <w:szCs w:val="32"/>
          <w:lang w:val="en-US" w:eastAsia="zh-CN"/>
        </w:rPr>
        <w:t>和道路运输相关业务</w:t>
      </w:r>
      <w:r>
        <w:rPr>
          <w:rFonts w:ascii="Times New Roman" w:hAnsi="Times New Roman" w:eastAsia="方正仿宋_GBK" w:cs="Times New Roman"/>
          <w:color w:val="000000"/>
          <w:sz w:val="32"/>
          <w:szCs w:val="32"/>
          <w:lang w:val="en-US" w:eastAsia="zh-CN"/>
        </w:rPr>
        <w:t>经营者或者从业人员</w:t>
      </w:r>
      <w:r>
        <w:rPr>
          <w:rFonts w:hint="eastAsia" w:ascii="Times New Roman" w:hAnsi="Times New Roman" w:eastAsia="方正仿宋_GBK" w:cs="Times New Roman"/>
          <w:color w:val="000000"/>
          <w:sz w:val="32"/>
          <w:szCs w:val="32"/>
          <w:lang w:val="en-US" w:eastAsia="zh-CN"/>
        </w:rPr>
        <w:t>在从事道路运输或者道路运输相关业务经营中发生</w:t>
      </w:r>
      <w:r>
        <w:rPr>
          <w:rFonts w:ascii="Times New Roman" w:hAnsi="Times New Roman" w:eastAsia="方正仿宋_GBK" w:cs="Times New Roman"/>
          <w:color w:val="000000"/>
          <w:sz w:val="32"/>
          <w:szCs w:val="32"/>
          <w:lang w:val="en-US" w:eastAsia="zh-CN"/>
        </w:rPr>
        <w:t>负同等及以上责任的事故。</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污染责任事故是指由于经营者原因，造成有毒有害物质泄露、丢失、燃烧、爆炸等，对社会环境造成污染，造成国家和社会公众财产损失。造成较大污染，造成较大财产损失的为较大污染责任事故，造成重大及以上污染，造成重大及以上财产损失的为重大以上污染责任事故。</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eastAsia="zh-CN"/>
        </w:rPr>
        <w:t>（四）</w:t>
      </w:r>
      <w:r>
        <w:rPr>
          <w:rFonts w:ascii="Times New Roman" w:hAnsi="Times New Roman" w:eastAsia="方正仿宋_GBK" w:cs="Times New Roman"/>
          <w:color w:val="000000"/>
          <w:sz w:val="32"/>
          <w:szCs w:val="32"/>
        </w:rPr>
        <w:t>服务质量事件是指由于</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lang w:val="en-US" w:eastAsia="zh-CN"/>
        </w:rPr>
        <w:t>或者</w:t>
      </w:r>
      <w:r>
        <w:rPr>
          <w:rFonts w:ascii="Times New Roman" w:hAnsi="Times New Roman" w:eastAsia="方正仿宋_GBK" w:cs="Times New Roman"/>
          <w:color w:val="000000"/>
          <w:sz w:val="32"/>
          <w:szCs w:val="32"/>
          <w:lang w:eastAsia="zh-CN"/>
        </w:rPr>
        <w:t>从业人员</w:t>
      </w:r>
      <w:r>
        <w:rPr>
          <w:rFonts w:ascii="Times New Roman" w:hAnsi="Times New Roman" w:eastAsia="方正仿宋_GBK" w:cs="Times New Roman"/>
          <w:color w:val="000000"/>
          <w:sz w:val="32"/>
          <w:szCs w:val="32"/>
        </w:rPr>
        <w:t>原因，对服务对象造成人身伤害或</w:t>
      </w:r>
      <w:r>
        <w:rPr>
          <w:rFonts w:ascii="Times New Roman" w:hAnsi="Times New Roman" w:eastAsia="方正仿宋_GBK" w:cs="Times New Roman"/>
          <w:color w:val="000000"/>
          <w:sz w:val="32"/>
          <w:szCs w:val="32"/>
          <w:lang w:val="en-US" w:eastAsia="zh-CN"/>
        </w:rPr>
        <w:t>者</w:t>
      </w:r>
      <w:r>
        <w:rPr>
          <w:rFonts w:ascii="Times New Roman" w:hAnsi="Times New Roman" w:eastAsia="方正仿宋_GBK" w:cs="Times New Roman"/>
          <w:color w:val="000000"/>
          <w:sz w:val="32"/>
          <w:szCs w:val="32"/>
        </w:rPr>
        <w:t>财产损失，或</w:t>
      </w:r>
      <w:r>
        <w:rPr>
          <w:rFonts w:ascii="Times New Roman" w:hAnsi="Times New Roman" w:eastAsia="方正仿宋_GBK" w:cs="Times New Roman"/>
          <w:color w:val="000000"/>
          <w:sz w:val="32"/>
          <w:szCs w:val="32"/>
          <w:lang w:val="en-US" w:eastAsia="zh-CN"/>
        </w:rPr>
        <w:t>者</w:t>
      </w:r>
      <w:r>
        <w:rPr>
          <w:rFonts w:ascii="Times New Roman" w:hAnsi="Times New Roman" w:eastAsia="方正仿宋_GBK" w:cs="Times New Roman"/>
          <w:color w:val="000000"/>
          <w:sz w:val="32"/>
          <w:szCs w:val="32"/>
        </w:rPr>
        <w:t>在社会</w:t>
      </w:r>
      <w:r>
        <w:rPr>
          <w:rFonts w:ascii="Times New Roman" w:hAnsi="Times New Roman" w:eastAsia="方正仿宋_GBK" w:cs="Times New Roman"/>
          <w:color w:val="000000"/>
          <w:sz w:val="32"/>
          <w:szCs w:val="32"/>
          <w:lang w:val="en-US" w:eastAsia="zh-CN"/>
        </w:rPr>
        <w:t>上</w:t>
      </w:r>
      <w:r>
        <w:rPr>
          <w:rFonts w:ascii="Times New Roman" w:hAnsi="Times New Roman" w:eastAsia="方正仿宋_GBK" w:cs="Times New Roman"/>
          <w:color w:val="000000"/>
          <w:sz w:val="32"/>
          <w:szCs w:val="32"/>
        </w:rPr>
        <w:t>造成恶劣影响的服务质量事件。受到</w:t>
      </w:r>
      <w:r>
        <w:rPr>
          <w:rFonts w:ascii="Times New Roman" w:hAnsi="Times New Roman" w:eastAsia="方正仿宋_GBK" w:cs="Times New Roman"/>
          <w:color w:val="000000"/>
          <w:sz w:val="32"/>
          <w:szCs w:val="32"/>
          <w:lang w:val="en-US" w:eastAsia="zh-CN"/>
        </w:rPr>
        <w:t>区县级</w:t>
      </w:r>
      <w:r>
        <w:rPr>
          <w:rFonts w:ascii="Times New Roman" w:hAnsi="Times New Roman" w:eastAsia="方正仿宋_GBK" w:cs="Times New Roman"/>
          <w:color w:val="000000"/>
          <w:sz w:val="32"/>
          <w:szCs w:val="32"/>
        </w:rPr>
        <w:t>政府及</w:t>
      </w:r>
      <w:r>
        <w:rPr>
          <w:rFonts w:ascii="Times New Roman" w:hAnsi="Times New Roman" w:eastAsia="方正仿宋_GBK" w:cs="Times New Roman"/>
          <w:color w:val="000000"/>
          <w:sz w:val="32"/>
          <w:szCs w:val="32"/>
          <w:lang w:val="en-US" w:eastAsia="zh-CN"/>
        </w:rPr>
        <w:t>其</w:t>
      </w:r>
      <w:r>
        <w:rPr>
          <w:rFonts w:ascii="Times New Roman" w:hAnsi="Times New Roman" w:eastAsia="方正仿宋_GBK" w:cs="Times New Roman"/>
          <w:color w:val="000000"/>
          <w:sz w:val="32"/>
          <w:szCs w:val="32"/>
        </w:rPr>
        <w:t>职能部门通报批评的为重大服务质量事件，受到</w:t>
      </w:r>
      <w:r>
        <w:rPr>
          <w:rFonts w:ascii="Times New Roman" w:hAnsi="Times New Roman" w:eastAsia="方正仿宋_GBK" w:cs="Times New Roman"/>
          <w:color w:val="000000"/>
          <w:sz w:val="32"/>
          <w:szCs w:val="32"/>
          <w:lang w:val="en-US" w:eastAsia="zh-CN"/>
        </w:rPr>
        <w:t>市</w:t>
      </w:r>
      <w:r>
        <w:rPr>
          <w:rFonts w:ascii="Times New Roman" w:hAnsi="Times New Roman" w:eastAsia="方正仿宋_GBK" w:cs="Times New Roman"/>
          <w:color w:val="000000"/>
          <w:sz w:val="32"/>
          <w:szCs w:val="32"/>
        </w:rPr>
        <w:t>级以上政府及职能部门通报批评的为特大服务质量事件。</w:t>
      </w:r>
    </w:p>
    <w:p>
      <w:pPr>
        <w:pStyle w:val="12"/>
        <w:keepNext w:val="0"/>
        <w:keepLines w:val="0"/>
        <w:pageBreakBefore w:val="0"/>
        <w:kinsoku/>
        <w:wordWrap/>
        <w:overflowPunct/>
        <w:topLinePunct w:val="0"/>
        <w:autoSpaceDE/>
        <w:autoSpaceDN/>
        <w:bidi w:val="0"/>
        <w:adjustRightInd/>
        <w:spacing w:line="600" w:lineRule="exact"/>
        <w:ind w:firstLine="780"/>
        <w:jc w:val="left"/>
        <w:textAlignment w:val="auto"/>
        <w:rPr>
          <w:rFonts w:ascii="Times New Roman" w:hAnsi="Times New Roman" w:eastAsia="方正仿宋_GBK" w:cs="Times New Roman"/>
          <w:color w:val="000000"/>
          <w:sz w:val="32"/>
          <w:szCs w:val="32"/>
          <w:lang w:val="en-US" w:eastAsia="zh-CN"/>
        </w:rPr>
      </w:pPr>
      <w:r>
        <w:rPr>
          <w:rFonts w:ascii="方正黑体_GBK" w:hAnsi="方正黑体_GBK" w:eastAsia="方正黑体_GBK" w:cs="方正黑体_GBK"/>
          <w:color w:val="000000"/>
          <w:sz w:val="32"/>
          <w:szCs w:val="32"/>
          <w:lang w:val="en-US" w:eastAsia="zh-CN"/>
        </w:rPr>
        <w:t>第三十</w:t>
      </w:r>
      <w:r>
        <w:rPr>
          <w:rFonts w:hint="eastAsia" w:ascii="方正黑体_GBK" w:hAnsi="方正黑体_GBK" w:eastAsia="方正黑体_GBK" w:cs="方正黑体_GBK"/>
          <w:color w:val="000000"/>
          <w:sz w:val="32"/>
          <w:szCs w:val="32"/>
          <w:lang w:val="en-US" w:eastAsia="zh-CN"/>
        </w:rPr>
        <w:t>三</w:t>
      </w:r>
      <w:r>
        <w:rPr>
          <w:rFonts w:ascii="方正黑体_GBK" w:hAnsi="方正黑体_GBK" w:eastAsia="方正黑体_GBK" w:cs="方正黑体_GBK"/>
          <w:color w:val="000000"/>
          <w:sz w:val="32"/>
          <w:szCs w:val="32"/>
          <w:lang w:val="en-US" w:eastAsia="zh-CN"/>
        </w:rPr>
        <w:t>条</w:t>
      </w:r>
      <w:r>
        <w:rPr>
          <w:rFonts w:ascii="Times New Roman" w:hAnsi="Times New Roman" w:eastAsia="方正仿宋_GBK" w:cs="Times New Roman"/>
          <w:b/>
          <w:bCs/>
          <w:color w:val="000000"/>
          <w:sz w:val="32"/>
          <w:szCs w:val="32"/>
        </w:rPr>
        <w:t xml:space="preserve"> </w:t>
      </w:r>
      <w:r>
        <w:rPr>
          <w:rFonts w:ascii="Times New Roman" w:hAnsi="Times New Roman" w:eastAsia="方正仿宋_GBK" w:cs="Times New Roman"/>
          <w:color w:val="000000"/>
          <w:sz w:val="32"/>
          <w:szCs w:val="32"/>
        </w:rPr>
        <w:t>本</w:t>
      </w:r>
      <w:r>
        <w:rPr>
          <w:rFonts w:hint="eastAsia"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rPr>
        <w:t>自20</w:t>
      </w:r>
      <w:r>
        <w:rPr>
          <w:rFonts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2</w:t>
      </w:r>
      <w:r>
        <w:rPr>
          <w:rFonts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1</w:t>
      </w:r>
      <w:r>
        <w:rPr>
          <w:rFonts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w:t>
      </w:r>
      <w:r>
        <w:rPr>
          <w:rFonts w:ascii="Times New Roman" w:hAnsi="Times New Roman" w:eastAsia="方正仿宋_GBK" w:cs="Times New Roman"/>
          <w:color w:val="000000"/>
          <w:sz w:val="32"/>
          <w:szCs w:val="32"/>
        </w:rPr>
        <w:t>日起施行。</w:t>
      </w:r>
      <w:r>
        <w:rPr>
          <w:rFonts w:ascii="Times New Roman" w:hAnsi="Times New Roman" w:eastAsia="方正仿宋_GBK" w:cs="Times New Roman"/>
          <w:color w:val="000000"/>
          <w:sz w:val="32"/>
          <w:szCs w:val="32"/>
          <w:lang w:val="en-US" w:eastAsia="zh-CN"/>
        </w:rPr>
        <w:t>《道路运输行业相关信用管理实施细则》（渝交运〔2018〕7号）</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《重庆市道路运输企业安全服务质量考核管理办法》（渝交规范〔2020〕2号）同时废止。</w:t>
      </w:r>
    </w:p>
    <w:p>
      <w:pPr>
        <w:pStyle w:val="12"/>
        <w:keepNext w:val="0"/>
        <w:keepLines w:val="0"/>
        <w:pageBreakBefore w:val="0"/>
        <w:kinsoku/>
        <w:wordWrap/>
        <w:overflowPunct/>
        <w:topLinePunct w:val="0"/>
        <w:autoSpaceDE/>
        <w:autoSpaceDN/>
        <w:bidi w:val="0"/>
        <w:adjustRightInd/>
        <w:spacing w:line="600" w:lineRule="exact"/>
        <w:ind w:firstLine="0"/>
        <w:jc w:val="left"/>
        <w:textAlignment w:val="auto"/>
        <w:rPr>
          <w:rFonts w:ascii="Times New Roman" w:hAnsi="Times New Roman" w:eastAsia="方正仿宋_GBK" w:cs="Times New Roman"/>
          <w:color w:val="000000"/>
          <w:sz w:val="32"/>
          <w:szCs w:val="32"/>
          <w:lang w:val="en-US" w:eastAsia="zh-CN"/>
        </w:rPr>
      </w:pPr>
    </w:p>
    <w:p>
      <w:pPr>
        <w:pStyle w:val="12"/>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附件</w:t>
      </w:r>
      <w:r>
        <w:rPr>
          <w:rFonts w:hint="eastAsia" w:ascii="Times New Roman" w:hAnsi="Times New Roman" w:eastAsia="方正仿宋_GBK" w:cs="Times New Roman"/>
          <w:color w:val="000000"/>
          <w:sz w:val="32"/>
          <w:szCs w:val="32"/>
          <w:lang w:val="en-US" w:eastAsia="zh-CN"/>
        </w:rPr>
        <w:t>：1-1.</w:t>
      </w:r>
      <w:r>
        <w:rPr>
          <w:rFonts w:ascii="Times New Roman" w:hAnsi="Times New Roman" w:eastAsia="方正仿宋_GBK" w:cs="Times New Roman"/>
          <w:color w:val="000000"/>
          <w:sz w:val="32"/>
          <w:szCs w:val="32"/>
          <w:lang w:val="en-US" w:eastAsia="zh-CN"/>
        </w:rPr>
        <w:t>重庆市道路客运</w:t>
      </w:r>
      <w:r>
        <w:rPr>
          <w:rFonts w:hint="eastAsia" w:ascii="Times New Roman" w:hAnsi="Times New Roman" w:eastAsia="方正仿宋_GBK" w:cs="Times New Roman"/>
          <w:color w:val="000000"/>
          <w:sz w:val="32"/>
          <w:szCs w:val="32"/>
          <w:lang w:val="en-US" w:eastAsia="zh-CN"/>
        </w:rPr>
        <w:t>经营者</w:t>
      </w:r>
      <w:r>
        <w:rPr>
          <w:rFonts w:ascii="Times New Roman" w:hAnsi="Times New Roman" w:eastAsia="方正仿宋_GBK" w:cs="Times New Roman"/>
          <w:color w:val="000000"/>
          <w:sz w:val="32"/>
          <w:szCs w:val="32"/>
          <w:lang w:val="en-US" w:eastAsia="zh-CN"/>
        </w:rPr>
        <w:t>信用评价标准</w:t>
      </w:r>
    </w:p>
    <w:p>
      <w:pPr>
        <w:pStyle w:val="12"/>
        <w:keepNext w:val="0"/>
        <w:keepLines w:val="0"/>
        <w:pageBreakBefore w:val="0"/>
        <w:kinsoku/>
        <w:wordWrap/>
        <w:overflowPunct/>
        <w:topLinePunct w:val="0"/>
        <w:autoSpaceDE/>
        <w:autoSpaceDN/>
        <w:bidi w:val="0"/>
        <w:adjustRightInd/>
        <w:spacing w:line="600" w:lineRule="exact"/>
        <w:ind w:firstLine="1600" w:firstLineChars="500"/>
        <w:jc w:val="left"/>
        <w:textAlignment w:val="auto"/>
        <w:rPr>
          <w:rFonts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1-2.</w:t>
      </w:r>
      <w:r>
        <w:rPr>
          <w:rFonts w:ascii="Times New Roman" w:hAnsi="Times New Roman" w:eastAsia="方正仿宋_GBK" w:cs="Times New Roman"/>
          <w:color w:val="000000"/>
          <w:sz w:val="32"/>
          <w:szCs w:val="32"/>
          <w:lang w:val="en-US" w:eastAsia="zh-CN"/>
        </w:rPr>
        <w:t>重庆市普通货物道路运输经营者信用评价标准</w:t>
      </w:r>
    </w:p>
    <w:p>
      <w:pPr>
        <w:pStyle w:val="12"/>
        <w:keepNext w:val="0"/>
        <w:keepLines w:val="0"/>
        <w:pageBreakBefore w:val="0"/>
        <w:kinsoku/>
        <w:wordWrap/>
        <w:overflowPunct/>
        <w:topLinePunct w:val="0"/>
        <w:autoSpaceDE/>
        <w:autoSpaceDN/>
        <w:bidi w:val="0"/>
        <w:adjustRightInd/>
        <w:spacing w:line="600" w:lineRule="exact"/>
        <w:ind w:firstLine="1600" w:firstLineChars="500"/>
        <w:jc w:val="left"/>
        <w:textAlignment w:val="auto"/>
        <w:rPr>
          <w:rFonts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1-3.</w:t>
      </w:r>
      <w:r>
        <w:rPr>
          <w:rFonts w:ascii="Times New Roman" w:hAnsi="Times New Roman" w:eastAsia="方正仿宋_GBK" w:cs="Times New Roman"/>
          <w:color w:val="000000"/>
          <w:sz w:val="32"/>
          <w:szCs w:val="32"/>
          <w:lang w:val="en-US" w:eastAsia="zh-CN"/>
        </w:rPr>
        <w:t>重庆市危险货物道路运输经营者信用评价标准</w:t>
      </w:r>
    </w:p>
    <w:p>
      <w:pPr>
        <w:pStyle w:val="12"/>
        <w:keepNext w:val="0"/>
        <w:keepLines w:val="0"/>
        <w:pageBreakBefore w:val="0"/>
        <w:kinsoku/>
        <w:wordWrap/>
        <w:overflowPunct/>
        <w:topLinePunct w:val="0"/>
        <w:autoSpaceDE/>
        <w:autoSpaceDN/>
        <w:bidi w:val="0"/>
        <w:adjustRightInd/>
        <w:spacing w:line="600" w:lineRule="exact"/>
        <w:ind w:firstLine="1600" w:firstLineChars="500"/>
        <w:jc w:val="left"/>
        <w:textAlignment w:val="auto"/>
        <w:rPr>
          <w:rFonts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1-4.</w:t>
      </w:r>
      <w:r>
        <w:rPr>
          <w:rFonts w:ascii="Times New Roman" w:hAnsi="Times New Roman" w:eastAsia="方正仿宋_GBK" w:cs="Times New Roman"/>
          <w:color w:val="000000"/>
          <w:sz w:val="32"/>
          <w:szCs w:val="32"/>
          <w:lang w:val="en-US" w:eastAsia="zh-CN"/>
        </w:rPr>
        <w:t>重庆市公共汽车客运企业信用评价标准</w:t>
      </w:r>
    </w:p>
    <w:p>
      <w:pPr>
        <w:pStyle w:val="12"/>
        <w:keepNext w:val="0"/>
        <w:keepLines w:val="0"/>
        <w:pageBreakBefore w:val="0"/>
        <w:kinsoku/>
        <w:wordWrap/>
        <w:overflowPunct/>
        <w:topLinePunct w:val="0"/>
        <w:autoSpaceDE/>
        <w:autoSpaceDN/>
        <w:bidi w:val="0"/>
        <w:adjustRightInd/>
        <w:spacing w:line="600" w:lineRule="exact"/>
        <w:ind w:firstLine="1600" w:firstLineChars="500"/>
        <w:jc w:val="left"/>
        <w:textAlignment w:val="auto"/>
        <w:rPr>
          <w:rFonts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1-5.</w:t>
      </w:r>
      <w:r>
        <w:rPr>
          <w:rFonts w:ascii="Times New Roman" w:hAnsi="Times New Roman" w:eastAsia="方正仿宋_GBK" w:cs="Times New Roman"/>
          <w:color w:val="000000"/>
          <w:sz w:val="32"/>
          <w:szCs w:val="32"/>
          <w:lang w:val="en-US" w:eastAsia="zh-CN"/>
        </w:rPr>
        <w:t>重庆市巡游出租汽车经营者信用评价标准</w:t>
      </w:r>
    </w:p>
    <w:p>
      <w:pPr>
        <w:pStyle w:val="12"/>
        <w:keepNext w:val="0"/>
        <w:keepLines w:val="0"/>
        <w:pageBreakBefore w:val="0"/>
        <w:kinsoku/>
        <w:wordWrap/>
        <w:overflowPunct/>
        <w:topLinePunct w:val="0"/>
        <w:autoSpaceDE/>
        <w:autoSpaceDN/>
        <w:bidi w:val="0"/>
        <w:adjustRightInd/>
        <w:spacing w:line="600" w:lineRule="exact"/>
        <w:ind w:left="2236" w:leftChars="760" w:hanging="640" w:hangingChars="200"/>
        <w:jc w:val="left"/>
        <w:textAlignment w:val="auto"/>
        <w:rPr>
          <w:rFonts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1-6.</w:t>
      </w:r>
      <w:r>
        <w:rPr>
          <w:rFonts w:ascii="Times New Roman" w:hAnsi="Times New Roman" w:eastAsia="方正仿宋_GBK" w:cs="Times New Roman"/>
          <w:color w:val="000000"/>
          <w:sz w:val="32"/>
          <w:szCs w:val="32"/>
          <w:lang w:val="en-US" w:eastAsia="zh-CN"/>
        </w:rPr>
        <w:t>重庆市网络预约出租汽车经营者（平台公司）信用评价标准</w:t>
      </w:r>
    </w:p>
    <w:p>
      <w:pPr>
        <w:pStyle w:val="12"/>
        <w:keepNext w:val="0"/>
        <w:keepLines w:val="0"/>
        <w:pageBreakBefore w:val="0"/>
        <w:kinsoku/>
        <w:wordWrap/>
        <w:overflowPunct/>
        <w:topLinePunct w:val="0"/>
        <w:autoSpaceDE/>
        <w:autoSpaceDN/>
        <w:bidi w:val="0"/>
        <w:adjustRightInd/>
        <w:spacing w:line="600" w:lineRule="exact"/>
        <w:ind w:firstLine="1600" w:firstLineChars="500"/>
        <w:jc w:val="left"/>
        <w:textAlignment w:val="auto"/>
        <w:rPr>
          <w:rFonts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1-7.</w:t>
      </w:r>
      <w:r>
        <w:rPr>
          <w:rFonts w:ascii="Times New Roman" w:hAnsi="Times New Roman" w:eastAsia="方正仿宋_GBK" w:cs="Times New Roman"/>
          <w:color w:val="000000"/>
          <w:sz w:val="32"/>
          <w:szCs w:val="32"/>
          <w:lang w:val="en-US" w:eastAsia="zh-CN"/>
        </w:rPr>
        <w:t>重庆市城市轨道交通运营企业信用评价标准</w:t>
      </w:r>
    </w:p>
    <w:p>
      <w:pPr>
        <w:pStyle w:val="12"/>
        <w:keepNext w:val="0"/>
        <w:keepLines w:val="0"/>
        <w:pageBreakBefore w:val="0"/>
        <w:kinsoku/>
        <w:wordWrap/>
        <w:overflowPunct/>
        <w:topLinePunct w:val="0"/>
        <w:autoSpaceDE/>
        <w:autoSpaceDN/>
        <w:bidi w:val="0"/>
        <w:adjustRightInd/>
        <w:spacing w:line="600" w:lineRule="exact"/>
        <w:ind w:firstLine="1600" w:firstLineChars="500"/>
        <w:jc w:val="left"/>
        <w:textAlignment w:val="auto"/>
        <w:rPr>
          <w:rFonts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1-8.</w:t>
      </w:r>
      <w:r>
        <w:rPr>
          <w:rFonts w:ascii="Times New Roman" w:hAnsi="Times New Roman" w:eastAsia="方正仿宋_GBK" w:cs="Times New Roman"/>
          <w:color w:val="000000"/>
          <w:sz w:val="32"/>
          <w:szCs w:val="32"/>
          <w:lang w:val="en-US" w:eastAsia="zh-CN"/>
        </w:rPr>
        <w:t>重庆市</w:t>
      </w:r>
      <w:r>
        <w:rPr>
          <w:rFonts w:hint="eastAsia" w:ascii="Times New Roman" w:hAnsi="Times New Roman" w:eastAsia="方正仿宋_GBK" w:cs="Times New Roman"/>
          <w:color w:val="000000"/>
          <w:sz w:val="32"/>
          <w:szCs w:val="32"/>
          <w:lang w:val="en-US" w:eastAsia="zh-CN"/>
        </w:rPr>
        <w:t>汽车客运</w:t>
      </w:r>
      <w:r>
        <w:rPr>
          <w:rFonts w:ascii="Times New Roman" w:hAnsi="Times New Roman" w:eastAsia="方正仿宋_GBK" w:cs="Times New Roman"/>
          <w:color w:val="000000"/>
          <w:sz w:val="32"/>
          <w:szCs w:val="32"/>
          <w:lang w:val="en-US" w:eastAsia="zh-CN"/>
        </w:rPr>
        <w:t>站信用评价标准</w:t>
      </w:r>
    </w:p>
    <w:p>
      <w:pPr>
        <w:pStyle w:val="12"/>
        <w:keepNext w:val="0"/>
        <w:keepLines w:val="0"/>
        <w:pageBreakBefore w:val="0"/>
        <w:kinsoku/>
        <w:wordWrap/>
        <w:overflowPunct/>
        <w:topLinePunct w:val="0"/>
        <w:autoSpaceDE/>
        <w:autoSpaceDN/>
        <w:bidi w:val="0"/>
        <w:adjustRightInd/>
        <w:spacing w:line="600" w:lineRule="exact"/>
        <w:ind w:firstLine="1600" w:firstLineChars="500"/>
        <w:jc w:val="left"/>
        <w:textAlignment w:val="auto"/>
        <w:rPr>
          <w:rFonts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1-9.</w:t>
      </w:r>
      <w:r>
        <w:rPr>
          <w:rFonts w:ascii="Times New Roman" w:hAnsi="Times New Roman" w:eastAsia="方正仿宋_GBK" w:cs="Times New Roman"/>
          <w:color w:val="000000"/>
          <w:sz w:val="32"/>
          <w:szCs w:val="32"/>
          <w:lang w:val="en-US" w:eastAsia="zh-CN"/>
        </w:rPr>
        <w:t>重庆市机动车驾驶员培训机构信用评价标准</w:t>
      </w:r>
    </w:p>
    <w:p>
      <w:pPr>
        <w:pStyle w:val="12"/>
        <w:keepNext w:val="0"/>
        <w:keepLines w:val="0"/>
        <w:pageBreakBefore w:val="0"/>
        <w:kinsoku/>
        <w:wordWrap/>
        <w:overflowPunct/>
        <w:topLinePunct w:val="0"/>
        <w:autoSpaceDE/>
        <w:autoSpaceDN/>
        <w:bidi w:val="0"/>
        <w:adjustRightInd/>
        <w:spacing w:line="600" w:lineRule="exact"/>
        <w:ind w:firstLine="1600" w:firstLineChars="500"/>
        <w:jc w:val="left"/>
        <w:textAlignment w:val="auto"/>
        <w:rPr>
          <w:rFonts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1-10.</w:t>
      </w:r>
      <w:r>
        <w:rPr>
          <w:rFonts w:ascii="Times New Roman" w:hAnsi="Times New Roman" w:eastAsia="方正仿宋_GBK" w:cs="Times New Roman"/>
          <w:color w:val="000000"/>
          <w:sz w:val="32"/>
          <w:szCs w:val="32"/>
          <w:lang w:val="en-US" w:eastAsia="zh-CN"/>
        </w:rPr>
        <w:t>重庆市机动车维修企业信用评价标准</w:t>
      </w:r>
    </w:p>
    <w:p>
      <w:pPr>
        <w:pStyle w:val="12"/>
        <w:keepNext w:val="0"/>
        <w:keepLines w:val="0"/>
        <w:pageBreakBefore w:val="0"/>
        <w:kinsoku/>
        <w:wordWrap/>
        <w:overflowPunct/>
        <w:topLinePunct w:val="0"/>
        <w:autoSpaceDE/>
        <w:autoSpaceDN/>
        <w:bidi w:val="0"/>
        <w:adjustRightInd/>
        <w:spacing w:line="600" w:lineRule="exact"/>
        <w:ind w:firstLine="1600" w:firstLineChars="500"/>
        <w:jc w:val="left"/>
        <w:textAlignment w:val="auto"/>
        <w:rPr>
          <w:rFonts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1-11.</w:t>
      </w:r>
      <w:r>
        <w:rPr>
          <w:rFonts w:ascii="Times New Roman" w:hAnsi="Times New Roman" w:eastAsia="方正仿宋_GBK" w:cs="Times New Roman"/>
          <w:color w:val="000000"/>
          <w:sz w:val="32"/>
          <w:szCs w:val="32"/>
          <w:lang w:val="en-US" w:eastAsia="zh-CN"/>
        </w:rPr>
        <w:t>重庆市汽车租赁经营者</w:t>
      </w:r>
      <w:r>
        <w:rPr>
          <w:rFonts w:hint="eastAsia" w:ascii="Times New Roman" w:hAnsi="Times New Roman" w:eastAsia="方正仿宋_GBK" w:cs="Times New Roman"/>
          <w:color w:val="000000"/>
          <w:sz w:val="32"/>
          <w:szCs w:val="32"/>
          <w:lang w:val="en-US" w:eastAsia="zh-CN"/>
        </w:rPr>
        <w:t>（企业）</w:t>
      </w:r>
      <w:r>
        <w:rPr>
          <w:rFonts w:ascii="Times New Roman" w:hAnsi="Times New Roman" w:eastAsia="方正仿宋_GBK" w:cs="Times New Roman"/>
          <w:color w:val="000000"/>
          <w:sz w:val="32"/>
          <w:szCs w:val="32"/>
          <w:lang w:val="en-US" w:eastAsia="zh-CN"/>
        </w:rPr>
        <w:t>信用评价标准</w:t>
      </w:r>
    </w:p>
    <w:p>
      <w:pPr>
        <w:pStyle w:val="12"/>
        <w:keepNext w:val="0"/>
        <w:keepLines w:val="0"/>
        <w:pageBreakBefore w:val="0"/>
        <w:kinsoku/>
        <w:wordWrap/>
        <w:overflowPunct/>
        <w:topLinePunct w:val="0"/>
        <w:autoSpaceDE/>
        <w:autoSpaceDN/>
        <w:bidi w:val="0"/>
        <w:adjustRightInd/>
        <w:spacing w:line="600" w:lineRule="exact"/>
        <w:ind w:firstLine="1600" w:firstLineChars="500"/>
        <w:jc w:val="left"/>
        <w:textAlignment w:val="auto"/>
        <w:rPr>
          <w:rFonts w:ascii="Times New Roman" w:hAnsi="Times New Roman" w:eastAsia="方正仿宋_GBK" w:cs="Times New Roman"/>
          <w:color w:val="000000"/>
          <w:sz w:val="32"/>
          <w:szCs w:val="32"/>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pPr>
      <w:r>
        <w:rPr>
          <w:rFonts w:hint="eastAsia" w:ascii="Times New Roman" w:hAnsi="Times New Roman" w:eastAsia="方正仿宋_GBK" w:cs="Times New Roman"/>
          <w:color w:val="000000"/>
          <w:sz w:val="32"/>
          <w:szCs w:val="32"/>
          <w:lang w:val="en-US" w:eastAsia="zh-CN"/>
        </w:rPr>
        <w:t>1-12.</w:t>
      </w:r>
      <w:r>
        <w:rPr>
          <w:rFonts w:ascii="Times New Roman" w:hAnsi="Times New Roman" w:eastAsia="方正仿宋_GBK" w:cs="Times New Roman"/>
          <w:color w:val="000000"/>
          <w:sz w:val="32"/>
          <w:szCs w:val="32"/>
          <w:lang w:val="en-US" w:eastAsia="zh-CN"/>
        </w:rPr>
        <w:t>重庆市道路运输驾驶员信用评价标准</w:t>
      </w:r>
    </w:p>
    <w:p>
      <w:pPr>
        <w:jc w:val="lef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附件1-1</w:t>
      </w:r>
    </w:p>
    <w:p>
      <w:pPr>
        <w:jc w:val="left"/>
        <w:rPr>
          <w:rFonts w:hint="eastAsia"/>
          <w:b/>
          <w:bCs/>
          <w:color w:val="000000"/>
          <w:sz w:val="32"/>
          <w:szCs w:val="32"/>
        </w:rPr>
      </w:pPr>
    </w:p>
    <w:p>
      <w:pPr>
        <w:spacing w:line="594" w:lineRule="exact"/>
        <w:jc w:val="center"/>
        <w:rPr>
          <w:rFonts w:hint="eastAsia" w:ascii="方正小标宋_GBK" w:eastAsia="方正小标宋_GBK"/>
          <w:bCs/>
          <w:color w:val="000000"/>
          <w:kern w:val="0"/>
          <w:sz w:val="44"/>
          <w:szCs w:val="44"/>
          <w:lang w:bidi="ar"/>
        </w:rPr>
      </w:pPr>
      <w:r>
        <w:rPr>
          <w:rFonts w:hint="eastAsia" w:ascii="方正小标宋_GBK" w:eastAsia="方正小标宋_GBK"/>
          <w:bCs/>
          <w:color w:val="000000"/>
          <w:kern w:val="0"/>
          <w:sz w:val="44"/>
          <w:szCs w:val="44"/>
          <w:lang w:bidi="ar"/>
        </w:rPr>
        <w:t>重庆市道路客运经营者信用评价标准</w:t>
      </w:r>
    </w:p>
    <w:p>
      <w:pPr>
        <w:ind w:firstLine="280" w:firstLineChars="100"/>
        <w:jc w:val="left"/>
        <w:rPr>
          <w:bCs/>
          <w:color w:val="000000"/>
          <w:kern w:val="0"/>
          <w:sz w:val="32"/>
          <w:szCs w:val="32"/>
          <w:lang w:bidi="ar"/>
        </w:rPr>
      </w:pPr>
      <w:r>
        <w:rPr>
          <w:rFonts w:hint="eastAsia" w:ascii="方正仿宋_GBK" w:hAnsi="方正仿宋_GBK" w:eastAsia="方正仿宋_GBK" w:cs="方正仿宋_GBK"/>
          <w:bCs/>
          <w:color w:val="000000"/>
          <w:kern w:val="0"/>
          <w:sz w:val="28"/>
          <w:szCs w:val="28"/>
          <w:lang w:bidi="ar"/>
        </w:rPr>
        <w:t>被评价企业：                                                            评价年度：</w:t>
      </w:r>
    </w:p>
    <w:tbl>
      <w:tblPr>
        <w:tblStyle w:val="7"/>
        <w:tblW w:w="13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193"/>
        <w:gridCol w:w="1329"/>
        <w:gridCol w:w="700"/>
        <w:gridCol w:w="4950"/>
        <w:gridCol w:w="870"/>
        <w:gridCol w:w="669"/>
        <w:gridCol w:w="2644"/>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Header/>
          <w:jc w:val="center"/>
        </w:trPr>
        <w:tc>
          <w:tcPr>
            <w:tcW w:w="529" w:type="dxa"/>
            <w:noWrap w:val="0"/>
            <w:vAlign w:val="center"/>
          </w:tcPr>
          <w:p>
            <w:pPr>
              <w:widowControl/>
              <w:spacing w:line="260" w:lineRule="exact"/>
              <w:jc w:val="center"/>
              <w:textAlignment w:val="center"/>
              <w:rPr>
                <w:rFonts w:hint="eastAsia" w:ascii="黑体" w:hAnsi="黑体" w:eastAsia="黑体" w:cs="方正仿宋_GBK"/>
                <w:bCs/>
                <w:color w:val="000000"/>
                <w:kern w:val="0"/>
                <w:sz w:val="24"/>
                <w:szCs w:val="24"/>
                <w:lang w:bidi="ar"/>
              </w:rPr>
            </w:pPr>
            <w:r>
              <w:rPr>
                <w:rFonts w:hint="eastAsia" w:ascii="黑体" w:hAnsi="黑体" w:eastAsia="黑体" w:cs="方正仿宋_GBK"/>
                <w:bCs/>
                <w:color w:val="000000"/>
                <w:kern w:val="0"/>
                <w:sz w:val="24"/>
                <w:szCs w:val="24"/>
                <w:lang w:bidi="ar"/>
              </w:rPr>
              <w:t>序号</w:t>
            </w:r>
          </w:p>
        </w:tc>
        <w:tc>
          <w:tcPr>
            <w:tcW w:w="1193" w:type="dxa"/>
            <w:noWrap w:val="0"/>
            <w:vAlign w:val="center"/>
          </w:tcPr>
          <w:p>
            <w:pPr>
              <w:widowControl/>
              <w:spacing w:line="260" w:lineRule="exact"/>
              <w:jc w:val="center"/>
              <w:textAlignment w:val="center"/>
              <w:rPr>
                <w:rFonts w:hint="eastAsia" w:ascii="黑体" w:hAnsi="黑体" w:eastAsia="黑体" w:cs="方正仿宋_GBK"/>
                <w:bCs/>
                <w:color w:val="000000"/>
                <w:kern w:val="0"/>
                <w:sz w:val="24"/>
                <w:szCs w:val="24"/>
                <w:lang w:bidi="ar"/>
              </w:rPr>
            </w:pPr>
            <w:r>
              <w:rPr>
                <w:rFonts w:hint="eastAsia" w:ascii="黑体" w:hAnsi="黑体" w:eastAsia="黑体" w:cs="方正仿宋_GBK"/>
                <w:bCs/>
                <w:color w:val="000000"/>
                <w:kern w:val="0"/>
                <w:sz w:val="24"/>
                <w:szCs w:val="24"/>
                <w:lang w:bidi="ar"/>
              </w:rPr>
              <w:t>一级指标及分值</w:t>
            </w:r>
          </w:p>
        </w:tc>
        <w:tc>
          <w:tcPr>
            <w:tcW w:w="1329" w:type="dxa"/>
            <w:noWrap/>
            <w:vAlign w:val="center"/>
          </w:tcPr>
          <w:p>
            <w:pPr>
              <w:widowControl/>
              <w:spacing w:line="260" w:lineRule="exact"/>
              <w:jc w:val="center"/>
              <w:textAlignment w:val="center"/>
              <w:rPr>
                <w:rFonts w:hint="eastAsia" w:ascii="黑体" w:hAnsi="黑体" w:eastAsia="黑体" w:cs="方正仿宋_GBK"/>
                <w:bCs/>
                <w:color w:val="000000"/>
                <w:kern w:val="0"/>
                <w:sz w:val="24"/>
                <w:szCs w:val="24"/>
                <w:lang w:bidi="ar"/>
              </w:rPr>
            </w:pPr>
            <w:r>
              <w:rPr>
                <w:rFonts w:hint="eastAsia" w:ascii="黑体" w:hAnsi="黑体" w:eastAsia="黑体" w:cs="方正仿宋_GBK"/>
                <w:bCs/>
                <w:color w:val="000000"/>
                <w:kern w:val="0"/>
                <w:sz w:val="24"/>
                <w:szCs w:val="24"/>
                <w:lang w:bidi="ar"/>
              </w:rPr>
              <w:t>二级指标</w:t>
            </w:r>
          </w:p>
        </w:tc>
        <w:tc>
          <w:tcPr>
            <w:tcW w:w="700" w:type="dxa"/>
            <w:noWrap/>
            <w:vAlign w:val="center"/>
          </w:tcPr>
          <w:p>
            <w:pPr>
              <w:widowControl/>
              <w:spacing w:line="260" w:lineRule="exact"/>
              <w:jc w:val="center"/>
              <w:textAlignment w:val="center"/>
              <w:rPr>
                <w:rFonts w:hint="eastAsia" w:ascii="黑体" w:hAnsi="黑体" w:eastAsia="黑体" w:cs="方正仿宋_GBK"/>
                <w:bCs/>
                <w:color w:val="000000"/>
                <w:kern w:val="0"/>
                <w:sz w:val="24"/>
                <w:szCs w:val="24"/>
                <w:lang w:bidi="ar"/>
              </w:rPr>
            </w:pPr>
            <w:r>
              <w:rPr>
                <w:rFonts w:hint="eastAsia" w:ascii="黑体" w:hAnsi="黑体" w:eastAsia="黑体" w:cs="方正仿宋_GBK"/>
                <w:bCs/>
                <w:color w:val="000000"/>
                <w:kern w:val="0"/>
                <w:sz w:val="24"/>
                <w:szCs w:val="24"/>
                <w:lang w:bidi="ar"/>
              </w:rPr>
              <w:t>分值</w:t>
            </w:r>
          </w:p>
        </w:tc>
        <w:tc>
          <w:tcPr>
            <w:tcW w:w="5820" w:type="dxa"/>
            <w:gridSpan w:val="2"/>
            <w:noWrap w:val="0"/>
            <w:vAlign w:val="center"/>
          </w:tcPr>
          <w:p>
            <w:pPr>
              <w:widowControl/>
              <w:spacing w:line="260" w:lineRule="exact"/>
              <w:jc w:val="center"/>
              <w:textAlignment w:val="center"/>
              <w:rPr>
                <w:rFonts w:hint="eastAsia" w:ascii="黑体" w:hAnsi="黑体" w:eastAsia="黑体" w:cs="方正仿宋_GBK"/>
                <w:bCs/>
                <w:color w:val="000000"/>
                <w:kern w:val="0"/>
                <w:sz w:val="24"/>
                <w:szCs w:val="24"/>
                <w:lang w:bidi="ar"/>
              </w:rPr>
            </w:pPr>
            <w:r>
              <w:rPr>
                <w:rFonts w:hint="eastAsia" w:ascii="黑体" w:hAnsi="黑体" w:eastAsia="黑体" w:cs="方正仿宋_GBK"/>
                <w:bCs/>
                <w:color w:val="000000"/>
                <w:kern w:val="0"/>
                <w:sz w:val="24"/>
                <w:szCs w:val="24"/>
                <w:lang w:bidi="ar"/>
              </w:rPr>
              <w:t>评分标准</w:t>
            </w:r>
          </w:p>
        </w:tc>
        <w:tc>
          <w:tcPr>
            <w:tcW w:w="3313" w:type="dxa"/>
            <w:gridSpan w:val="2"/>
            <w:noWrap/>
            <w:vAlign w:val="center"/>
          </w:tcPr>
          <w:p>
            <w:pPr>
              <w:widowControl/>
              <w:spacing w:line="260" w:lineRule="exact"/>
              <w:jc w:val="center"/>
              <w:textAlignment w:val="center"/>
              <w:rPr>
                <w:rFonts w:hint="eastAsia" w:ascii="黑体" w:hAnsi="黑体" w:eastAsia="黑体" w:cs="方正仿宋_GBK"/>
                <w:bCs/>
                <w:color w:val="000000"/>
                <w:kern w:val="0"/>
                <w:sz w:val="24"/>
                <w:szCs w:val="24"/>
                <w:lang w:bidi="ar"/>
              </w:rPr>
            </w:pPr>
            <w:r>
              <w:rPr>
                <w:rFonts w:hint="eastAsia" w:ascii="黑体" w:hAnsi="黑体" w:eastAsia="黑体" w:cs="方正仿宋_GBK"/>
                <w:bCs/>
                <w:color w:val="000000"/>
                <w:kern w:val="0"/>
                <w:sz w:val="24"/>
                <w:szCs w:val="24"/>
                <w:lang w:bidi="ar"/>
              </w:rPr>
              <w:t>数据来源</w:t>
            </w:r>
          </w:p>
        </w:tc>
        <w:tc>
          <w:tcPr>
            <w:tcW w:w="533" w:type="dxa"/>
            <w:noWrap/>
            <w:vAlign w:val="center"/>
          </w:tcPr>
          <w:p>
            <w:pPr>
              <w:widowControl/>
              <w:spacing w:line="260" w:lineRule="exact"/>
              <w:jc w:val="center"/>
              <w:textAlignment w:val="center"/>
              <w:rPr>
                <w:rFonts w:hint="eastAsia" w:ascii="黑体" w:hAnsi="黑体" w:eastAsia="黑体" w:cs="方正仿宋_GBK"/>
                <w:bCs/>
                <w:color w:val="000000"/>
                <w:kern w:val="0"/>
                <w:sz w:val="24"/>
                <w:szCs w:val="24"/>
                <w:lang w:bidi="ar"/>
              </w:rPr>
            </w:pPr>
            <w:r>
              <w:rPr>
                <w:rFonts w:hint="eastAsia" w:ascii="黑体" w:hAnsi="黑体" w:eastAsia="黑体" w:cs="方正仿宋_GBK"/>
                <w:bCs/>
                <w:color w:val="000000"/>
                <w:kern w:val="0"/>
                <w:sz w:val="24"/>
                <w:szCs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w:t>
            </w:r>
          </w:p>
        </w:tc>
        <w:tc>
          <w:tcPr>
            <w:tcW w:w="1193" w:type="dxa"/>
            <w:vMerge w:val="restart"/>
            <w:noWrap w:val="0"/>
            <w:vAlign w:val="center"/>
          </w:tcPr>
          <w:p>
            <w:pPr>
              <w:widowControl/>
              <w:spacing w:line="260" w:lineRule="exact"/>
              <w:jc w:val="center"/>
              <w:textAlignment w:val="center"/>
              <w:rPr>
                <w:rFonts w:hint="eastAsia" w:eastAsia="方正楷体_GBK"/>
                <w:b/>
                <w:bCs/>
                <w:color w:val="000000"/>
                <w:kern w:val="0"/>
                <w:sz w:val="22"/>
                <w:szCs w:val="22"/>
                <w:lang w:bidi="ar"/>
              </w:rPr>
            </w:pPr>
            <w:r>
              <w:rPr>
                <w:rFonts w:hint="eastAsia" w:eastAsia="方正楷体_GBK"/>
                <w:b/>
                <w:bCs/>
                <w:color w:val="000000"/>
                <w:kern w:val="0"/>
                <w:sz w:val="22"/>
                <w:szCs w:val="22"/>
                <w:lang w:bidi="ar"/>
              </w:rPr>
              <w:t>企业经营</w:t>
            </w:r>
          </w:p>
          <w:p>
            <w:pPr>
              <w:widowControl/>
              <w:spacing w:line="260" w:lineRule="exact"/>
              <w:jc w:val="center"/>
              <w:textAlignment w:val="center"/>
              <w:rPr>
                <w:rFonts w:hint="eastAsia" w:eastAsia="方正楷体_GBK"/>
                <w:b/>
                <w:bCs/>
                <w:color w:val="000000"/>
                <w:kern w:val="0"/>
                <w:sz w:val="22"/>
                <w:szCs w:val="22"/>
                <w:lang w:bidi="ar"/>
              </w:rPr>
            </w:pPr>
            <w:r>
              <w:rPr>
                <w:rFonts w:hint="eastAsia" w:eastAsia="方正楷体_GBK"/>
                <w:b/>
                <w:bCs/>
                <w:color w:val="000000"/>
                <w:kern w:val="0"/>
                <w:sz w:val="22"/>
                <w:szCs w:val="22"/>
                <w:lang w:bidi="ar"/>
              </w:rPr>
              <w:t>（30分）</w:t>
            </w: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年度安全生产目标</w:t>
            </w:r>
          </w:p>
        </w:tc>
        <w:tc>
          <w:tcPr>
            <w:tcW w:w="700" w:type="dxa"/>
            <w:vMerge w:val="restart"/>
            <w:noWrap w:val="0"/>
            <w:vAlign w:val="center"/>
          </w:tcPr>
          <w:p>
            <w:pPr>
              <w:widowControl/>
              <w:spacing w:line="260" w:lineRule="exact"/>
              <w:jc w:val="center"/>
              <w:textAlignment w:val="center"/>
              <w:rPr>
                <w:rFonts w:hint="eastAsia" w:eastAsia="方正楷体_GBK"/>
                <w:color w:val="000000"/>
                <w:kern w:val="0"/>
                <w:sz w:val="24"/>
                <w:szCs w:val="24"/>
                <w:lang w:bidi="ar"/>
              </w:rPr>
            </w:pPr>
            <w:r>
              <w:rPr>
                <w:rFonts w:hint="eastAsia" w:eastAsia="方正楷体_GBK"/>
                <w:color w:val="000000"/>
                <w:kern w:val="0"/>
                <w:sz w:val="24"/>
                <w:szCs w:val="24"/>
                <w:lang w:bidi="ar"/>
              </w:rPr>
              <w:t>并项记分</w:t>
            </w: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企业应制定年度安全生产目标，未制定扣10分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安全目标考核</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企业应依照年度安全生产目标中的规定，对各部门、各岗位人员进行安全目标考核，未公布考核结果及奖惩情况扣10分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3</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安全生产目标责任书</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企业应与驾驶员签订安全生产责任书，每缺一人扣1分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4</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安全生产领导机构</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企业应依法设置安全生产领导机构，未设置扣10分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5</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安全生产管理机构</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企业应依法设置安全生产管理机构，未设置扣10分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6</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车辆技术管理机构</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20辆（含）以上客运车辆的客运企业应当设置车辆技术管理机构，未设置扣10分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7</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安全生产管理人员</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企业应配备专职安全管理人员，未配备扣10分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8</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动态监控人员</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企业应配备不低于2人的专职动态监控人员，未配备扣2分，每缺1人扣1分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9</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车辆技术管理人员</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企业应配备车辆技术管理人员，每50辆/人，最低不少于1人，未配备扣5分，每缺1人扣1分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10</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安全生产工作会议</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企业应定期召开安全生产工作会议，未召开扣1分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11</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安全例会</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企业应定期召开安全例会，未召开扣1分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12</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机动车交通事故责任强制保险</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企业应当投保机动车交通事故责任强制保险，每缺一车扣1分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13</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承运人责任险</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企业应按法规要求，为营运车辆投保承运人责任险，每缺一车扣1分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14</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安全费用提取记录</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企业应当以上年度实际营业收入为计提依据，按照1.5%标准平均逐月提取和使用安全费用，未编制年度安全费用提取记录扣1分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15</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安全费用使用记录</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企业按要求提取和使用安全费用，未编制安全费用使用台账使用记录扣1分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16</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应急救援预案</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企业制定应急救援预案，未制定扣5分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17</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应急预案演练</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企业应定期组织应急演练，每年至少一次综合应急预案演练或者专项应急预案演练，每半年至少组织一次现场处置方案演练，每缺少1次扣1分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18</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隐患排查治理档案</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企业应编制隐患排查治理档案，未编制扣1分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19</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从业资格证</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从业人员应当经考试合格，取得从业资格证才能上岗，每缺一人扣1分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20</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机动车驾驶证</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从业人员应当经考试合格，取得机动车驾驶证才能上岗，每缺一人扣1分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21</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岗前培训</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从业人员岗前培训不少于24学时，每缺1人扣1分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22</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安全教育培训</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驾驶员每月安全教育培训不少于3小时，每缺1人扣1分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23</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教育培训档案</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企业应编制教育培训档案，每缺1人扣1分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24</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从业行为定期考核</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企业应当每3个月对驾驶员进行从业行为定期考核，每缺1人扣1分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25</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驾驶员信息档案</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企业应制定驾驶员信息档案，每缺一人扣1分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26</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车辆营运证</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机动车应有合法有效的车辆营运证，每缺一车扣1分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27</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车辆技术</w:t>
            </w:r>
          </w:p>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档案</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企业应制定车辆技术档案，每缺一车扣1分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28</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车辆二级</w:t>
            </w:r>
          </w:p>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维护</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企业应按规定对车辆进行二级维护，每缺一车扣1分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29</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综合性能</w:t>
            </w:r>
          </w:p>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检测</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企业应每年当对车辆进行综合性能检测，每缺一车扣1分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30</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客运线路信息台账</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企业应编制客运线路信息台账，未编制扣1分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31</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动态监控</w:t>
            </w:r>
          </w:p>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台账</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企业应编制动态监控台账，未编制扣1分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sz w:val="22"/>
                <w:szCs w:val="22"/>
              </w:rPr>
            </w:pPr>
            <w:r>
              <w:rPr>
                <w:color w:val="000000"/>
                <w:kern w:val="0"/>
                <w:sz w:val="22"/>
                <w:szCs w:val="22"/>
                <w:lang w:bidi="ar"/>
              </w:rPr>
              <w:t>1</w:t>
            </w:r>
          </w:p>
        </w:tc>
        <w:tc>
          <w:tcPr>
            <w:tcW w:w="1193" w:type="dxa"/>
            <w:vMerge w:val="restart"/>
            <w:noWrap w:val="0"/>
            <w:vAlign w:val="center"/>
          </w:tcPr>
          <w:p>
            <w:pPr>
              <w:widowControl/>
              <w:spacing w:line="260" w:lineRule="exact"/>
              <w:jc w:val="center"/>
              <w:textAlignment w:val="center"/>
              <w:rPr>
                <w:rFonts w:hint="eastAsia" w:eastAsia="方正楷体_GBK"/>
                <w:b/>
                <w:bCs/>
                <w:color w:val="000000"/>
                <w:sz w:val="22"/>
                <w:szCs w:val="22"/>
              </w:rPr>
            </w:pPr>
            <w:r>
              <w:rPr>
                <w:rFonts w:hint="eastAsia" w:eastAsia="方正楷体_GBK"/>
                <w:b/>
                <w:bCs/>
                <w:color w:val="000000"/>
                <w:sz w:val="22"/>
                <w:szCs w:val="22"/>
              </w:rPr>
              <w:t>安全生产</w:t>
            </w:r>
          </w:p>
          <w:p>
            <w:pPr>
              <w:widowControl/>
              <w:spacing w:line="260" w:lineRule="exact"/>
              <w:jc w:val="center"/>
              <w:textAlignment w:val="center"/>
              <w:rPr>
                <w:rFonts w:hint="eastAsia" w:eastAsia="方正楷体_GBK"/>
                <w:b/>
                <w:bCs/>
                <w:color w:val="000000"/>
                <w:sz w:val="22"/>
                <w:szCs w:val="22"/>
              </w:rPr>
            </w:pPr>
            <w:r>
              <w:rPr>
                <w:rFonts w:hint="eastAsia" w:eastAsia="方正楷体_GBK"/>
                <w:b/>
                <w:bCs/>
                <w:color w:val="000000"/>
                <w:sz w:val="22"/>
                <w:szCs w:val="22"/>
              </w:rPr>
              <w:t>（30分）</w:t>
            </w:r>
          </w:p>
        </w:tc>
        <w:tc>
          <w:tcPr>
            <w:tcW w:w="1329" w:type="dxa"/>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交通事故率</w:t>
            </w:r>
          </w:p>
        </w:tc>
        <w:tc>
          <w:tcPr>
            <w:tcW w:w="700" w:type="dxa"/>
            <w:noWrap w:val="0"/>
            <w:vAlign w:val="center"/>
          </w:tcPr>
          <w:p>
            <w:pPr>
              <w:widowControl/>
              <w:spacing w:line="260" w:lineRule="exact"/>
              <w:jc w:val="center"/>
              <w:textAlignment w:val="center"/>
              <w:rPr>
                <w:color w:val="000000"/>
              </w:rPr>
            </w:pPr>
            <w:r>
              <w:rPr>
                <w:rFonts w:hint="eastAsia" w:eastAsia="方正楷体_GBK"/>
                <w:color w:val="000000"/>
                <w:kern w:val="0"/>
                <w:sz w:val="24"/>
                <w:szCs w:val="24"/>
                <w:lang w:bidi="ar"/>
              </w:rPr>
              <w:t>10分</w:t>
            </w: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企业发生道路旅客运输交通责任事故的（同等责任及以上），事故率每达到0.01次/车，扣2分</w:t>
            </w:r>
          </w:p>
        </w:tc>
        <w:tc>
          <w:tcPr>
            <w:tcW w:w="3313" w:type="dxa"/>
            <w:gridSpan w:val="2"/>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日常检查，日常信息收集，投诉信息汇总</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道路交通违法率</w:t>
            </w:r>
          </w:p>
        </w:tc>
        <w:tc>
          <w:tcPr>
            <w:tcW w:w="700" w:type="dxa"/>
            <w:noWrap w:val="0"/>
            <w:vAlign w:val="center"/>
          </w:tcPr>
          <w:p>
            <w:pPr>
              <w:widowControl/>
              <w:spacing w:line="260" w:lineRule="exact"/>
              <w:jc w:val="center"/>
              <w:textAlignment w:val="center"/>
              <w:rPr>
                <w:rFonts w:eastAsia="方正楷体_GBK"/>
                <w:color w:val="000000"/>
                <w:kern w:val="0"/>
                <w:sz w:val="24"/>
                <w:szCs w:val="24"/>
                <w:lang w:bidi="ar"/>
              </w:rPr>
            </w:pPr>
            <w:r>
              <w:rPr>
                <w:rFonts w:hint="eastAsia" w:eastAsia="方正楷体_GBK"/>
                <w:color w:val="000000"/>
                <w:kern w:val="0"/>
                <w:sz w:val="24"/>
                <w:szCs w:val="24"/>
                <w:lang w:bidi="ar"/>
              </w:rPr>
              <w:t>10分</w:t>
            </w: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企业营运客车道路交通违法率，每达到0.01次/车，扣0.5分。</w:t>
            </w:r>
          </w:p>
        </w:tc>
        <w:tc>
          <w:tcPr>
            <w:tcW w:w="3313" w:type="dxa"/>
            <w:gridSpan w:val="2"/>
            <w:noWrap w:val="0"/>
            <w:vAlign w:val="center"/>
          </w:tcPr>
          <w:p>
            <w:pPr>
              <w:widowControl/>
              <w:spacing w:line="260" w:lineRule="exact"/>
              <w:jc w:val="left"/>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日常检查，日常信息收集，投诉信息汇总</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亡人责任</w:t>
            </w:r>
          </w:p>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事故</w:t>
            </w:r>
          </w:p>
        </w:tc>
        <w:tc>
          <w:tcPr>
            <w:tcW w:w="700" w:type="dxa"/>
            <w:noWrap w:val="0"/>
            <w:vAlign w:val="center"/>
          </w:tcPr>
          <w:p>
            <w:pPr>
              <w:widowControl/>
              <w:spacing w:line="260" w:lineRule="exact"/>
              <w:jc w:val="center"/>
              <w:textAlignment w:val="center"/>
              <w:rPr>
                <w:rFonts w:eastAsia="方正楷体_GBK"/>
                <w:color w:val="000000"/>
                <w:kern w:val="0"/>
                <w:sz w:val="24"/>
                <w:szCs w:val="24"/>
                <w:lang w:bidi="ar"/>
              </w:rPr>
            </w:pPr>
            <w:r>
              <w:rPr>
                <w:rFonts w:hint="eastAsia" w:eastAsia="方正楷体_GBK"/>
                <w:color w:val="000000"/>
                <w:kern w:val="0"/>
                <w:sz w:val="24"/>
                <w:szCs w:val="24"/>
                <w:lang w:bidi="ar"/>
              </w:rPr>
              <w:t>10分</w:t>
            </w: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企业发生道路旅客运输亡人责任事故（同等责任及以上），死亡率每达到0.01人/车,扣5分；发生一次1死亡10人以上的，或者发生2次以上死亡3至9人的重特大道路旅客运输交通责任事故的，考评结果为不合格</w:t>
            </w:r>
          </w:p>
        </w:tc>
        <w:tc>
          <w:tcPr>
            <w:tcW w:w="3313" w:type="dxa"/>
            <w:gridSpan w:val="2"/>
            <w:noWrap w:val="0"/>
            <w:vAlign w:val="center"/>
          </w:tcPr>
          <w:p>
            <w:pPr>
              <w:widowControl/>
              <w:spacing w:line="260" w:lineRule="exact"/>
              <w:jc w:val="left"/>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日常检查，日常信息收集，投诉信息汇总</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9" w:type="dxa"/>
            <w:noWrap/>
            <w:vAlign w:val="center"/>
          </w:tcPr>
          <w:p>
            <w:pPr>
              <w:widowControl/>
              <w:spacing w:line="260" w:lineRule="exact"/>
              <w:jc w:val="center"/>
              <w:textAlignment w:val="center"/>
              <w:rPr>
                <w:rFonts w:hint="eastAsia"/>
                <w:color w:val="000000"/>
                <w:sz w:val="22"/>
                <w:szCs w:val="22"/>
              </w:rPr>
            </w:pPr>
            <w:r>
              <w:rPr>
                <w:rFonts w:hint="eastAsia"/>
                <w:color w:val="000000"/>
                <w:sz w:val="22"/>
                <w:szCs w:val="22"/>
              </w:rPr>
              <w:t>9</w:t>
            </w:r>
          </w:p>
        </w:tc>
        <w:tc>
          <w:tcPr>
            <w:tcW w:w="1193" w:type="dxa"/>
            <w:vMerge w:val="restart"/>
            <w:noWrap w:val="0"/>
            <w:vAlign w:val="center"/>
          </w:tcPr>
          <w:p>
            <w:pPr>
              <w:widowControl/>
              <w:spacing w:line="260" w:lineRule="exact"/>
              <w:jc w:val="center"/>
              <w:textAlignment w:val="center"/>
              <w:rPr>
                <w:rFonts w:hint="eastAsia" w:eastAsia="方正楷体_GBK"/>
                <w:b/>
                <w:bCs/>
                <w:color w:val="000000"/>
                <w:kern w:val="0"/>
                <w:sz w:val="22"/>
                <w:szCs w:val="22"/>
                <w:lang w:bidi="ar"/>
              </w:rPr>
            </w:pPr>
            <w:r>
              <w:rPr>
                <w:rFonts w:hint="eastAsia" w:eastAsia="方正楷体_GBK"/>
                <w:b/>
                <w:bCs/>
                <w:color w:val="000000"/>
                <w:kern w:val="0"/>
                <w:sz w:val="22"/>
                <w:szCs w:val="22"/>
                <w:lang w:bidi="ar"/>
              </w:rPr>
              <w:t>服务质量</w:t>
            </w:r>
          </w:p>
          <w:p>
            <w:pPr>
              <w:widowControl/>
              <w:spacing w:line="260" w:lineRule="exact"/>
              <w:jc w:val="center"/>
              <w:textAlignment w:val="center"/>
              <w:rPr>
                <w:rFonts w:eastAsia="方正楷体_GBK"/>
                <w:b/>
                <w:bCs/>
                <w:color w:val="000000"/>
                <w:kern w:val="0"/>
                <w:sz w:val="22"/>
                <w:szCs w:val="22"/>
                <w:lang w:bidi="ar"/>
              </w:rPr>
            </w:pPr>
            <w:r>
              <w:rPr>
                <w:rFonts w:hint="eastAsia" w:eastAsia="方正楷体_GBK"/>
                <w:b/>
                <w:bCs/>
                <w:color w:val="000000"/>
                <w:kern w:val="0"/>
                <w:sz w:val="22"/>
                <w:szCs w:val="22"/>
                <w:lang w:bidi="ar"/>
              </w:rPr>
              <w:t>（30分）</w:t>
            </w: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服务质量</w:t>
            </w:r>
          </w:p>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有效投诉率</w:t>
            </w:r>
          </w:p>
        </w:tc>
        <w:tc>
          <w:tcPr>
            <w:tcW w:w="700" w:type="dxa"/>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w:t>
            </w:r>
            <w:r>
              <w:rPr>
                <w:rFonts w:hint="eastAsia" w:eastAsia="方正仿宋_GBK"/>
                <w:color w:val="000000"/>
                <w:kern w:val="0"/>
                <w:sz w:val="22"/>
                <w:szCs w:val="22"/>
                <w:lang w:bidi="ar"/>
              </w:rPr>
              <w:t>0分</w:t>
            </w:r>
          </w:p>
        </w:tc>
        <w:tc>
          <w:tcPr>
            <w:tcW w:w="5820" w:type="dxa"/>
            <w:gridSpan w:val="2"/>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企业服务质量有效投诉率每增加0.01次/车，扣2分</w:t>
            </w:r>
          </w:p>
        </w:tc>
        <w:tc>
          <w:tcPr>
            <w:tcW w:w="3313" w:type="dxa"/>
            <w:gridSpan w:val="2"/>
            <w:noWrap w:val="0"/>
            <w:vAlign w:val="center"/>
          </w:tcPr>
          <w:p>
            <w:pPr>
              <w:widowControl/>
              <w:spacing w:line="260" w:lineRule="exact"/>
              <w:jc w:val="center"/>
              <w:textAlignment w:val="center"/>
              <w:rPr>
                <w:rFonts w:hint="eastAsia" w:eastAsia="方正仿宋_GBK"/>
                <w:color w:val="000000"/>
                <w:sz w:val="22"/>
                <w:szCs w:val="22"/>
              </w:rPr>
            </w:pPr>
            <w:r>
              <w:rPr>
                <w:rFonts w:hint="eastAsia" w:eastAsia="方正仿宋_GBK"/>
                <w:color w:val="000000"/>
                <w:kern w:val="0"/>
                <w:sz w:val="22"/>
                <w:szCs w:val="22"/>
                <w:lang w:bidi="ar"/>
              </w:rPr>
              <w:t>日常检查，日常信息收集，投诉信息汇总</w:t>
            </w:r>
          </w:p>
        </w:tc>
        <w:tc>
          <w:tcPr>
            <w:tcW w:w="533" w:type="dxa"/>
            <w:noWrap w:val="0"/>
            <w:vAlign w:val="center"/>
          </w:tcPr>
          <w:p>
            <w:pPr>
              <w:widowControl/>
              <w:spacing w:line="260" w:lineRule="exact"/>
              <w:jc w:val="center"/>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29" w:type="dxa"/>
            <w:noWrap/>
            <w:vAlign w:val="center"/>
          </w:tcPr>
          <w:p>
            <w:pPr>
              <w:widowControl/>
              <w:spacing w:line="260" w:lineRule="exact"/>
              <w:jc w:val="center"/>
              <w:textAlignment w:val="center"/>
              <w:rPr>
                <w:color w:val="000000"/>
                <w:sz w:val="22"/>
                <w:szCs w:val="22"/>
              </w:rPr>
            </w:pPr>
            <w:r>
              <w:rPr>
                <w:color w:val="000000"/>
                <w:kern w:val="0"/>
                <w:sz w:val="22"/>
                <w:szCs w:val="22"/>
                <w:lang w:bidi="ar"/>
              </w:rPr>
              <w:t>1</w:t>
            </w:r>
            <w:r>
              <w:rPr>
                <w:rFonts w:hint="eastAsia"/>
                <w:color w:val="000000"/>
                <w:kern w:val="0"/>
                <w:sz w:val="22"/>
                <w:szCs w:val="22"/>
                <w:lang w:bidi="ar"/>
              </w:rPr>
              <w:t>0</w:t>
            </w:r>
          </w:p>
        </w:tc>
        <w:tc>
          <w:tcPr>
            <w:tcW w:w="1193" w:type="dxa"/>
            <w:vMerge w:val="continue"/>
            <w:noWrap w:val="0"/>
            <w:vAlign w:val="center"/>
          </w:tcPr>
          <w:p>
            <w:pPr>
              <w:widowControl/>
              <w:spacing w:line="260" w:lineRule="exact"/>
              <w:jc w:val="center"/>
              <w:rPr>
                <w:rFonts w:eastAsia="方正楷体_GBK"/>
                <w:b/>
                <w:bCs/>
                <w:color w:val="000000"/>
                <w:sz w:val="22"/>
                <w:szCs w:val="22"/>
              </w:rPr>
            </w:pPr>
          </w:p>
        </w:tc>
        <w:tc>
          <w:tcPr>
            <w:tcW w:w="1329" w:type="dxa"/>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服务事故</w:t>
            </w:r>
          </w:p>
        </w:tc>
        <w:tc>
          <w:tcPr>
            <w:tcW w:w="700" w:type="dxa"/>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20分</w:t>
            </w:r>
          </w:p>
        </w:tc>
        <w:tc>
          <w:tcPr>
            <w:tcW w:w="5820" w:type="dxa"/>
            <w:gridSpan w:val="2"/>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在道路旅客运输过程中，发生严重服务问题，每次扣5分，发生2次以上则考评结果为不合格；发生较大服务事故被辖区有关部门通报的，每次扣10分；发生较大服务事故被市级有关部门通报的，每次扣20分；发生严重服务事故，被国家有关部门通报的，或者发生2次以上较大、重大服务事故，考评结果为不合格</w:t>
            </w:r>
          </w:p>
        </w:tc>
        <w:tc>
          <w:tcPr>
            <w:tcW w:w="3313" w:type="dxa"/>
            <w:gridSpan w:val="2"/>
            <w:noWrap w:val="0"/>
            <w:vAlign w:val="center"/>
          </w:tcPr>
          <w:p>
            <w:pPr>
              <w:widowControl/>
              <w:spacing w:line="260" w:lineRule="exact"/>
              <w:jc w:val="center"/>
              <w:textAlignment w:val="center"/>
              <w:rPr>
                <w:rFonts w:eastAsia="方正仿宋_GBK"/>
                <w:color w:val="000000"/>
                <w:sz w:val="22"/>
                <w:szCs w:val="22"/>
              </w:rPr>
            </w:pPr>
            <w:r>
              <w:rPr>
                <w:rFonts w:hint="eastAsia" w:eastAsia="方正仿宋_GBK"/>
                <w:color w:val="000000"/>
                <w:kern w:val="0"/>
                <w:sz w:val="22"/>
                <w:szCs w:val="22"/>
                <w:lang w:bidi="ar"/>
              </w:rPr>
              <w:t>日常检查，日常信息收集，投诉信息汇总</w:t>
            </w:r>
          </w:p>
        </w:tc>
        <w:tc>
          <w:tcPr>
            <w:tcW w:w="533" w:type="dxa"/>
            <w:noWrap w:val="0"/>
            <w:vAlign w:val="center"/>
          </w:tcPr>
          <w:p>
            <w:pPr>
              <w:widowControl/>
              <w:spacing w:line="260" w:lineRule="exact"/>
              <w:jc w:val="center"/>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12</w:t>
            </w:r>
          </w:p>
        </w:tc>
        <w:tc>
          <w:tcPr>
            <w:tcW w:w="1193" w:type="dxa"/>
            <w:vMerge w:val="restart"/>
            <w:noWrap w:val="0"/>
            <w:vAlign w:val="center"/>
          </w:tcPr>
          <w:p>
            <w:pPr>
              <w:widowControl/>
              <w:spacing w:line="260" w:lineRule="exact"/>
              <w:jc w:val="center"/>
              <w:textAlignment w:val="center"/>
              <w:rPr>
                <w:rFonts w:eastAsia="方正楷体_GBK"/>
                <w:b/>
                <w:bCs/>
                <w:color w:val="000000"/>
                <w:kern w:val="0"/>
                <w:sz w:val="22"/>
                <w:szCs w:val="22"/>
                <w:lang w:bidi="ar"/>
              </w:rPr>
            </w:pPr>
            <w:r>
              <w:rPr>
                <w:rFonts w:hint="eastAsia" w:eastAsia="方正楷体_GBK"/>
                <w:b/>
                <w:bCs/>
                <w:color w:val="000000"/>
                <w:kern w:val="0"/>
                <w:sz w:val="22"/>
                <w:szCs w:val="22"/>
                <w:lang w:bidi="ar"/>
              </w:rPr>
              <w:t>社会责任（10分）</w:t>
            </w: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应急运输</w:t>
            </w:r>
          </w:p>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任务</w:t>
            </w:r>
          </w:p>
        </w:tc>
        <w:tc>
          <w:tcPr>
            <w:tcW w:w="700"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一票</w:t>
            </w:r>
          </w:p>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否决</w:t>
            </w: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完成政府及其管理部门统一安排的运输任务。违反此项</w:t>
            </w:r>
            <w:r>
              <w:rPr>
                <w:rFonts w:hint="eastAsia" w:eastAsia="方正仿宋_GBK"/>
                <w:color w:val="000000"/>
                <w:kern w:val="0"/>
                <w:sz w:val="22"/>
                <w:szCs w:val="22"/>
                <w:lang w:bidi="ar"/>
              </w:rPr>
              <w:t>本次考评不合格。</w:t>
            </w:r>
          </w:p>
        </w:tc>
        <w:tc>
          <w:tcPr>
            <w:tcW w:w="3313" w:type="dxa"/>
            <w:gridSpan w:val="2"/>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行业信息收集</w:t>
            </w:r>
          </w:p>
        </w:tc>
        <w:tc>
          <w:tcPr>
            <w:tcW w:w="533" w:type="dxa"/>
            <w:noWrap w:val="0"/>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13</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行业稳定维护情况</w:t>
            </w:r>
          </w:p>
        </w:tc>
        <w:tc>
          <w:tcPr>
            <w:tcW w:w="700" w:type="dxa"/>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10分</w:t>
            </w: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因经营行为引发集访的，每次扣5分；引发行业稳定的，每次扣10分</w:t>
            </w:r>
          </w:p>
        </w:tc>
        <w:tc>
          <w:tcPr>
            <w:tcW w:w="3313" w:type="dxa"/>
            <w:gridSpan w:val="2"/>
            <w:noWrap w:val="0"/>
            <w:vAlign w:val="center"/>
          </w:tcPr>
          <w:p>
            <w:pPr>
              <w:widowControl/>
              <w:spacing w:line="260" w:lineRule="exact"/>
              <w:jc w:val="left"/>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行业信息收集</w:t>
            </w:r>
          </w:p>
        </w:tc>
        <w:tc>
          <w:tcPr>
            <w:tcW w:w="533" w:type="dxa"/>
            <w:noWrap w:val="0"/>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29" w:type="dxa"/>
            <w:noWrap/>
            <w:vAlign w:val="center"/>
          </w:tcPr>
          <w:p>
            <w:pPr>
              <w:widowControl/>
              <w:spacing w:line="260" w:lineRule="exact"/>
              <w:jc w:val="center"/>
              <w:textAlignment w:val="center"/>
              <w:rPr>
                <w:color w:val="000000"/>
                <w:sz w:val="22"/>
                <w:szCs w:val="22"/>
              </w:rPr>
            </w:pPr>
            <w:r>
              <w:rPr>
                <w:color w:val="000000"/>
                <w:kern w:val="0"/>
                <w:sz w:val="22"/>
                <w:szCs w:val="22"/>
                <w:lang w:bidi="ar"/>
              </w:rPr>
              <w:t>14</w:t>
            </w:r>
          </w:p>
        </w:tc>
        <w:tc>
          <w:tcPr>
            <w:tcW w:w="1193" w:type="dxa"/>
            <w:vMerge w:val="restart"/>
            <w:noWrap w:val="0"/>
            <w:vAlign w:val="center"/>
          </w:tcPr>
          <w:p>
            <w:pPr>
              <w:widowControl/>
              <w:spacing w:line="260" w:lineRule="exact"/>
              <w:jc w:val="center"/>
              <w:rPr>
                <w:rFonts w:hint="eastAsia" w:eastAsia="方正楷体_GBK"/>
                <w:b/>
                <w:bCs/>
                <w:color w:val="000000"/>
                <w:sz w:val="22"/>
                <w:szCs w:val="22"/>
              </w:rPr>
            </w:pPr>
            <w:r>
              <w:rPr>
                <w:rFonts w:hint="eastAsia" w:eastAsia="方正楷体_GBK"/>
                <w:b/>
                <w:bCs/>
                <w:color w:val="000000"/>
                <w:sz w:val="22"/>
                <w:szCs w:val="22"/>
              </w:rPr>
              <w:t>加分项</w:t>
            </w:r>
          </w:p>
        </w:tc>
        <w:tc>
          <w:tcPr>
            <w:tcW w:w="1329" w:type="dxa"/>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行业正面典型及荣誉表彰情况</w:t>
            </w:r>
          </w:p>
        </w:tc>
        <w:tc>
          <w:tcPr>
            <w:tcW w:w="700" w:type="dxa"/>
            <w:noWrap w:val="0"/>
            <w:vAlign w:val="center"/>
          </w:tcPr>
          <w:p>
            <w:pPr>
              <w:widowControl/>
              <w:spacing w:line="260" w:lineRule="exact"/>
              <w:jc w:val="center"/>
              <w:textAlignment w:val="center"/>
              <w:rPr>
                <w:color w:val="000000"/>
              </w:rPr>
            </w:pPr>
          </w:p>
        </w:tc>
        <w:tc>
          <w:tcPr>
            <w:tcW w:w="5820" w:type="dxa"/>
            <w:gridSpan w:val="2"/>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企业经营过程中获得了荣誉或通报表彰的，国家级每次加</w:t>
            </w:r>
            <w:r>
              <w:rPr>
                <w:rStyle w:val="13"/>
                <w:rFonts w:hint="default"/>
                <w:color w:val="000000"/>
                <w:lang w:bidi="ar"/>
              </w:rPr>
              <w:t>2分</w:t>
            </w:r>
            <w:r>
              <w:rPr>
                <w:rFonts w:eastAsia="方正仿宋_GBK"/>
                <w:color w:val="000000"/>
                <w:kern w:val="0"/>
                <w:sz w:val="22"/>
                <w:szCs w:val="22"/>
                <w:lang w:bidi="ar"/>
              </w:rPr>
              <w:t>；部级或市级政府每次加</w:t>
            </w:r>
            <w:r>
              <w:rPr>
                <w:rStyle w:val="13"/>
                <w:rFonts w:hint="default"/>
                <w:color w:val="000000"/>
                <w:lang w:bidi="ar"/>
              </w:rPr>
              <w:t>1分</w:t>
            </w:r>
            <w:r>
              <w:rPr>
                <w:rFonts w:eastAsia="方正仿宋_GBK"/>
                <w:color w:val="000000"/>
                <w:kern w:val="0"/>
                <w:sz w:val="22"/>
                <w:szCs w:val="22"/>
                <w:lang w:bidi="ar"/>
              </w:rPr>
              <w:t>；市级部门或区县政府级加</w:t>
            </w:r>
            <w:r>
              <w:rPr>
                <w:rStyle w:val="13"/>
                <w:rFonts w:hint="default"/>
                <w:color w:val="000000"/>
                <w:lang w:bidi="ar"/>
              </w:rPr>
              <w:t>0.5分</w:t>
            </w:r>
            <w:r>
              <w:rPr>
                <w:rFonts w:eastAsia="方正仿宋_GBK"/>
                <w:color w:val="000000"/>
                <w:kern w:val="0"/>
                <w:sz w:val="22"/>
                <w:szCs w:val="22"/>
                <w:lang w:bidi="ar"/>
              </w:rPr>
              <w:t>；区县部门级加</w:t>
            </w:r>
            <w:r>
              <w:rPr>
                <w:rStyle w:val="13"/>
                <w:rFonts w:hint="default"/>
                <w:color w:val="000000"/>
                <w:lang w:bidi="ar"/>
              </w:rPr>
              <w:t>0.2分</w:t>
            </w:r>
            <w:r>
              <w:rPr>
                <w:rFonts w:eastAsia="方正仿宋_GBK"/>
                <w:color w:val="000000"/>
                <w:kern w:val="0"/>
                <w:sz w:val="22"/>
                <w:szCs w:val="22"/>
                <w:lang w:bidi="ar"/>
              </w:rPr>
              <w:t>。同一行为多层次表彰的，以最高级别奖励的标准加分。</w:t>
            </w:r>
            <w:r>
              <w:rPr>
                <w:rFonts w:hint="eastAsia" w:eastAsia="方正仿宋_GBK"/>
                <w:color w:val="000000"/>
                <w:kern w:val="0"/>
                <w:sz w:val="22"/>
                <w:szCs w:val="22"/>
                <w:lang w:bidi="ar"/>
              </w:rPr>
              <w:t>（最高不超过2.5分）</w:t>
            </w:r>
          </w:p>
        </w:tc>
        <w:tc>
          <w:tcPr>
            <w:tcW w:w="3313" w:type="dxa"/>
            <w:gridSpan w:val="2"/>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企业提交</w:t>
            </w:r>
            <w:r>
              <w:rPr>
                <w:rFonts w:hint="eastAsia" w:eastAsia="方正仿宋_GBK"/>
                <w:color w:val="000000"/>
                <w:kern w:val="0"/>
                <w:sz w:val="22"/>
                <w:szCs w:val="22"/>
                <w:lang w:bidi="ar"/>
              </w:rPr>
              <w:t>资料</w:t>
            </w:r>
          </w:p>
        </w:tc>
        <w:tc>
          <w:tcPr>
            <w:tcW w:w="533" w:type="dxa"/>
            <w:noWrap w:val="0"/>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29" w:type="dxa"/>
            <w:noWrap/>
            <w:vAlign w:val="center"/>
          </w:tcPr>
          <w:p>
            <w:pPr>
              <w:widowControl/>
              <w:spacing w:line="260" w:lineRule="exact"/>
              <w:jc w:val="center"/>
              <w:textAlignment w:val="center"/>
              <w:rPr>
                <w:color w:val="000000"/>
                <w:sz w:val="22"/>
                <w:szCs w:val="22"/>
              </w:rPr>
            </w:pPr>
            <w:r>
              <w:rPr>
                <w:color w:val="000000"/>
                <w:kern w:val="0"/>
                <w:sz w:val="22"/>
                <w:szCs w:val="22"/>
                <w:lang w:bidi="ar"/>
              </w:rPr>
              <w:t>15</w:t>
            </w:r>
          </w:p>
        </w:tc>
        <w:tc>
          <w:tcPr>
            <w:tcW w:w="1193" w:type="dxa"/>
            <w:vMerge w:val="continue"/>
            <w:noWrap w:val="0"/>
            <w:vAlign w:val="center"/>
          </w:tcPr>
          <w:p>
            <w:pPr>
              <w:widowControl/>
              <w:spacing w:line="260" w:lineRule="exact"/>
              <w:jc w:val="center"/>
              <w:rPr>
                <w:rFonts w:eastAsia="方正楷体_GBK"/>
                <w:b/>
                <w:bCs/>
                <w:color w:val="000000"/>
                <w:sz w:val="22"/>
                <w:szCs w:val="22"/>
              </w:rPr>
            </w:pPr>
          </w:p>
        </w:tc>
        <w:tc>
          <w:tcPr>
            <w:tcW w:w="1329" w:type="dxa"/>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新闻媒体正面报道</w:t>
            </w:r>
          </w:p>
        </w:tc>
        <w:tc>
          <w:tcPr>
            <w:tcW w:w="700" w:type="dxa"/>
            <w:noWrap w:val="0"/>
            <w:vAlign w:val="center"/>
          </w:tcPr>
          <w:p>
            <w:pPr>
              <w:widowControl/>
              <w:spacing w:line="260" w:lineRule="exact"/>
              <w:jc w:val="center"/>
              <w:textAlignment w:val="center"/>
              <w:rPr>
                <w:color w:val="000000"/>
              </w:rPr>
            </w:pPr>
          </w:p>
        </w:tc>
        <w:tc>
          <w:tcPr>
            <w:tcW w:w="5820" w:type="dxa"/>
            <w:gridSpan w:val="2"/>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企业工作人员出现好人好事被新闻媒体报道的，国家级每件次加</w:t>
            </w:r>
            <w:r>
              <w:rPr>
                <w:rStyle w:val="13"/>
                <w:rFonts w:hint="default"/>
                <w:color w:val="000000"/>
                <w:lang w:bidi="ar"/>
              </w:rPr>
              <w:t>0.5分</w:t>
            </w:r>
            <w:r>
              <w:rPr>
                <w:rFonts w:eastAsia="方正仿宋_GBK"/>
                <w:color w:val="000000"/>
                <w:kern w:val="0"/>
                <w:sz w:val="22"/>
                <w:szCs w:val="22"/>
                <w:lang w:bidi="ar"/>
              </w:rPr>
              <w:t>；市级每件次加</w:t>
            </w:r>
            <w:r>
              <w:rPr>
                <w:rStyle w:val="13"/>
                <w:rFonts w:hint="default"/>
                <w:color w:val="000000"/>
                <w:lang w:bidi="ar"/>
              </w:rPr>
              <w:t>0.3分</w:t>
            </w:r>
            <w:r>
              <w:rPr>
                <w:rFonts w:eastAsia="方正仿宋_GBK"/>
                <w:color w:val="000000"/>
                <w:kern w:val="0"/>
                <w:sz w:val="22"/>
                <w:szCs w:val="22"/>
                <w:lang w:bidi="ar"/>
              </w:rPr>
              <w:t>；区县级每件次加</w:t>
            </w:r>
            <w:r>
              <w:rPr>
                <w:rStyle w:val="13"/>
                <w:rFonts w:hint="default"/>
                <w:color w:val="000000"/>
                <w:lang w:bidi="ar"/>
              </w:rPr>
              <w:t>0.1分</w:t>
            </w:r>
            <w:r>
              <w:rPr>
                <w:rFonts w:eastAsia="方正仿宋_GBK"/>
                <w:color w:val="000000"/>
                <w:kern w:val="0"/>
                <w:sz w:val="22"/>
                <w:szCs w:val="22"/>
                <w:lang w:bidi="ar"/>
              </w:rPr>
              <w:t>。同一事迹多层次报道的，以最高级别媒体报道的标准加分。</w:t>
            </w:r>
            <w:r>
              <w:rPr>
                <w:rFonts w:hint="eastAsia" w:eastAsia="方正仿宋_GBK"/>
                <w:color w:val="000000"/>
                <w:kern w:val="0"/>
                <w:sz w:val="22"/>
                <w:szCs w:val="22"/>
                <w:lang w:bidi="ar"/>
              </w:rPr>
              <w:t>（最高不超过2.5分）</w:t>
            </w:r>
          </w:p>
        </w:tc>
        <w:tc>
          <w:tcPr>
            <w:tcW w:w="3313" w:type="dxa"/>
            <w:gridSpan w:val="2"/>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企业提交</w:t>
            </w:r>
            <w:r>
              <w:rPr>
                <w:rFonts w:hint="eastAsia" w:eastAsia="方正仿宋_GBK"/>
                <w:color w:val="000000"/>
                <w:kern w:val="0"/>
                <w:sz w:val="22"/>
                <w:szCs w:val="22"/>
                <w:lang w:bidi="ar"/>
              </w:rPr>
              <w:t>资料</w:t>
            </w:r>
          </w:p>
        </w:tc>
        <w:tc>
          <w:tcPr>
            <w:tcW w:w="533" w:type="dxa"/>
            <w:noWrap w:val="0"/>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29" w:type="dxa"/>
            <w:noWrap/>
            <w:vAlign w:val="center"/>
          </w:tcPr>
          <w:p>
            <w:pPr>
              <w:widowControl/>
              <w:spacing w:line="260" w:lineRule="exact"/>
              <w:jc w:val="center"/>
              <w:rPr>
                <w:rFonts w:eastAsia="方正楷体_GBK"/>
                <w:b/>
                <w:bCs/>
                <w:color w:val="000000"/>
                <w:sz w:val="22"/>
                <w:szCs w:val="22"/>
              </w:rPr>
            </w:pPr>
            <w:r>
              <w:rPr>
                <w:rFonts w:hint="eastAsia" w:eastAsia="方正楷体_GBK"/>
                <w:b/>
                <w:bCs/>
                <w:color w:val="000000"/>
                <w:sz w:val="22"/>
                <w:szCs w:val="22"/>
              </w:rPr>
              <w:t>合计</w:t>
            </w:r>
          </w:p>
        </w:tc>
        <w:tc>
          <w:tcPr>
            <w:tcW w:w="1193" w:type="dxa"/>
            <w:noWrap w:val="0"/>
            <w:vAlign w:val="center"/>
          </w:tcPr>
          <w:p>
            <w:pPr>
              <w:widowControl/>
              <w:spacing w:line="260" w:lineRule="exact"/>
              <w:jc w:val="center"/>
              <w:rPr>
                <w:rFonts w:eastAsia="方正楷体_GBK"/>
                <w:b/>
                <w:bCs/>
                <w:color w:val="000000"/>
                <w:sz w:val="22"/>
                <w:szCs w:val="22"/>
              </w:rPr>
            </w:pPr>
            <w:r>
              <w:rPr>
                <w:rFonts w:hint="eastAsia" w:eastAsia="方正楷体_GBK"/>
                <w:b/>
                <w:bCs/>
                <w:color w:val="000000"/>
                <w:sz w:val="22"/>
                <w:szCs w:val="22"/>
              </w:rPr>
              <w:t>100分</w:t>
            </w:r>
          </w:p>
        </w:tc>
        <w:tc>
          <w:tcPr>
            <w:tcW w:w="1329" w:type="dxa"/>
            <w:noWrap w:val="0"/>
            <w:vAlign w:val="center"/>
          </w:tcPr>
          <w:p>
            <w:pPr>
              <w:widowControl/>
              <w:spacing w:line="260" w:lineRule="exact"/>
              <w:jc w:val="center"/>
              <w:textAlignment w:val="center"/>
              <w:rPr>
                <w:rFonts w:eastAsia="方正仿宋_GBK"/>
                <w:color w:val="000000"/>
                <w:kern w:val="0"/>
                <w:sz w:val="22"/>
                <w:szCs w:val="22"/>
                <w:lang w:bidi="ar"/>
              </w:rPr>
            </w:pPr>
          </w:p>
        </w:tc>
        <w:tc>
          <w:tcPr>
            <w:tcW w:w="700" w:type="dxa"/>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100分</w:t>
            </w:r>
          </w:p>
        </w:tc>
        <w:tc>
          <w:tcPr>
            <w:tcW w:w="5820" w:type="dxa"/>
            <w:gridSpan w:val="2"/>
            <w:noWrap w:val="0"/>
            <w:vAlign w:val="center"/>
          </w:tcPr>
          <w:p>
            <w:pPr>
              <w:widowControl/>
              <w:spacing w:line="260" w:lineRule="exact"/>
              <w:jc w:val="left"/>
              <w:textAlignment w:val="center"/>
              <w:rPr>
                <w:rFonts w:eastAsia="方正仿宋_GBK"/>
                <w:color w:val="000000"/>
                <w:kern w:val="0"/>
                <w:sz w:val="22"/>
                <w:szCs w:val="22"/>
                <w:lang w:bidi="ar"/>
              </w:rPr>
            </w:pPr>
          </w:p>
        </w:tc>
        <w:tc>
          <w:tcPr>
            <w:tcW w:w="3313" w:type="dxa"/>
            <w:gridSpan w:val="2"/>
            <w:noWrap w:val="0"/>
            <w:vAlign w:val="center"/>
          </w:tcPr>
          <w:p>
            <w:pPr>
              <w:widowControl/>
              <w:spacing w:line="260" w:lineRule="exact"/>
              <w:jc w:val="left"/>
              <w:textAlignment w:val="center"/>
              <w:rPr>
                <w:rFonts w:eastAsia="方正仿宋_GBK"/>
                <w:color w:val="000000"/>
                <w:kern w:val="0"/>
                <w:sz w:val="22"/>
                <w:szCs w:val="22"/>
                <w:lang w:bidi="ar"/>
              </w:rPr>
            </w:pPr>
          </w:p>
        </w:tc>
        <w:tc>
          <w:tcPr>
            <w:tcW w:w="533" w:type="dxa"/>
            <w:noWrap w:val="0"/>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722" w:type="dxa"/>
            <w:gridSpan w:val="2"/>
            <w:vMerge w:val="restart"/>
            <w:noWrap/>
            <w:vAlign w:val="center"/>
          </w:tcPr>
          <w:p>
            <w:pPr>
              <w:widowControl/>
              <w:spacing w:line="260" w:lineRule="exact"/>
              <w:jc w:val="center"/>
              <w:rPr>
                <w:rFonts w:hint="eastAsia" w:eastAsia="方正楷体_GBK"/>
                <w:b/>
                <w:bCs/>
                <w:color w:val="000000"/>
                <w:sz w:val="22"/>
                <w:szCs w:val="22"/>
              </w:rPr>
            </w:pPr>
            <w:r>
              <w:rPr>
                <w:rFonts w:hint="eastAsia" w:eastAsia="方正楷体_GBK"/>
                <w:b/>
                <w:bCs/>
                <w:color w:val="000000"/>
                <w:sz w:val="22"/>
                <w:szCs w:val="22"/>
              </w:rPr>
              <w:t>评价结论</w:t>
            </w:r>
          </w:p>
        </w:tc>
        <w:tc>
          <w:tcPr>
            <w:tcW w:w="1329" w:type="dxa"/>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10366" w:type="dxa"/>
            <w:gridSpan w:val="6"/>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722" w:type="dxa"/>
            <w:gridSpan w:val="2"/>
            <w:vMerge w:val="continue"/>
            <w:noWrap/>
            <w:vAlign w:val="center"/>
          </w:tcPr>
          <w:p>
            <w:pPr>
              <w:widowControl/>
              <w:spacing w:line="260" w:lineRule="exact"/>
              <w:jc w:val="center"/>
              <w:rPr>
                <w:rFonts w:eastAsia="方正楷体_GBK"/>
                <w:b/>
                <w:bCs/>
                <w:color w:val="000000"/>
                <w:sz w:val="22"/>
                <w:szCs w:val="22"/>
              </w:rPr>
            </w:pPr>
          </w:p>
        </w:tc>
        <w:tc>
          <w:tcPr>
            <w:tcW w:w="1329" w:type="dxa"/>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评价机构</w:t>
            </w:r>
          </w:p>
        </w:tc>
        <w:tc>
          <w:tcPr>
            <w:tcW w:w="10366" w:type="dxa"/>
            <w:gridSpan w:val="6"/>
            <w:noWrap w:val="0"/>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22" w:type="dxa"/>
            <w:gridSpan w:val="2"/>
            <w:vMerge w:val="continue"/>
            <w:noWrap/>
            <w:vAlign w:val="center"/>
          </w:tcPr>
          <w:p>
            <w:pPr>
              <w:widowControl/>
              <w:spacing w:line="260" w:lineRule="exact"/>
              <w:jc w:val="center"/>
              <w:rPr>
                <w:rFonts w:eastAsia="方正楷体_GBK"/>
                <w:b/>
                <w:bCs/>
                <w:color w:val="000000"/>
                <w:sz w:val="22"/>
                <w:szCs w:val="22"/>
              </w:rPr>
            </w:pPr>
          </w:p>
        </w:tc>
        <w:tc>
          <w:tcPr>
            <w:tcW w:w="1329" w:type="dxa"/>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经办人</w:t>
            </w:r>
          </w:p>
        </w:tc>
        <w:tc>
          <w:tcPr>
            <w:tcW w:w="5650" w:type="dxa"/>
            <w:gridSpan w:val="2"/>
            <w:noWrap w:val="0"/>
            <w:vAlign w:val="center"/>
          </w:tcPr>
          <w:p>
            <w:pPr>
              <w:widowControl/>
              <w:spacing w:line="260" w:lineRule="exact"/>
              <w:jc w:val="center"/>
              <w:textAlignment w:val="center"/>
              <w:rPr>
                <w:rFonts w:eastAsia="方正仿宋_GBK"/>
                <w:color w:val="000000"/>
                <w:kern w:val="0"/>
                <w:sz w:val="22"/>
                <w:szCs w:val="22"/>
                <w:lang w:bidi="ar"/>
              </w:rPr>
            </w:pPr>
          </w:p>
        </w:tc>
        <w:tc>
          <w:tcPr>
            <w:tcW w:w="1539" w:type="dxa"/>
            <w:gridSpan w:val="2"/>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评价日期</w:t>
            </w:r>
          </w:p>
        </w:tc>
        <w:tc>
          <w:tcPr>
            <w:tcW w:w="3177" w:type="dxa"/>
            <w:gridSpan w:val="2"/>
            <w:noWrap w:val="0"/>
            <w:vAlign w:val="center"/>
          </w:tcPr>
          <w:p>
            <w:pPr>
              <w:widowControl/>
              <w:spacing w:line="260" w:lineRule="exact"/>
              <w:jc w:val="center"/>
              <w:rPr>
                <w:rFonts w:hint="eastAsia" w:eastAsia="仿宋_GB2312"/>
                <w:color w:val="000000"/>
                <w:sz w:val="20"/>
              </w:rPr>
            </w:pPr>
            <w:r>
              <w:rPr>
                <w:rFonts w:hint="eastAsia" w:eastAsia="仿宋_GB2312"/>
                <w:color w:val="000000"/>
                <w:sz w:val="20"/>
              </w:rPr>
              <w:t xml:space="preserve">         年    月    日</w:t>
            </w:r>
          </w:p>
        </w:tc>
      </w:tr>
    </w:tbl>
    <w:p>
      <w:pPr>
        <w:ind w:firstLine="420" w:firstLineChars="200"/>
        <w:rPr>
          <w:color w:val="000000"/>
        </w:rPr>
      </w:pPr>
    </w:p>
    <w:p>
      <w:pPr>
        <w:rPr>
          <w:rFonts w:eastAsia="方正仿宋_GBK"/>
          <w:b/>
          <w:bCs/>
          <w:color w:val="000000"/>
          <w:sz w:val="32"/>
          <w:szCs w:val="32"/>
        </w:rPr>
      </w:pPr>
    </w:p>
    <w:p>
      <w:pPr>
        <w:rPr>
          <w:b/>
          <w:bCs/>
          <w:color w:val="000000"/>
          <w:sz w:val="32"/>
          <w:szCs w:val="32"/>
        </w:rPr>
      </w:pPr>
    </w:p>
    <w:p>
      <w:pPr>
        <w:rPr>
          <w:rFonts w:hint="eastAsia" w:ascii="黑体" w:hAnsi="黑体" w:eastAsia="黑体"/>
          <w:color w:val="000000"/>
          <w:sz w:val="32"/>
          <w:szCs w:val="32"/>
        </w:rPr>
      </w:pPr>
      <w:r>
        <w:rPr>
          <w:rFonts w:ascii="黑体" w:hAnsi="黑体" w:eastAsia="黑体"/>
          <w:color w:val="000000"/>
          <w:sz w:val="32"/>
          <w:szCs w:val="32"/>
        </w:rPr>
        <w:t>附件</w:t>
      </w:r>
      <w:r>
        <w:rPr>
          <w:rFonts w:hint="eastAsia" w:ascii="黑体" w:hAnsi="黑体" w:eastAsia="黑体"/>
          <w:color w:val="000000"/>
          <w:sz w:val="32"/>
          <w:szCs w:val="32"/>
        </w:rPr>
        <w:t>1-</w:t>
      </w:r>
      <w:r>
        <w:rPr>
          <w:rFonts w:ascii="黑体" w:hAnsi="黑体" w:eastAsia="黑体"/>
          <w:color w:val="000000"/>
          <w:sz w:val="32"/>
          <w:szCs w:val="32"/>
        </w:rPr>
        <w:t>2</w:t>
      </w:r>
    </w:p>
    <w:p>
      <w:pPr>
        <w:rPr>
          <w:rFonts w:hint="eastAsia" w:ascii="黑体" w:hAnsi="黑体" w:eastAsia="黑体"/>
          <w:color w:val="000000"/>
          <w:sz w:val="32"/>
          <w:szCs w:val="32"/>
        </w:rPr>
      </w:pPr>
    </w:p>
    <w:p>
      <w:pPr>
        <w:jc w:val="center"/>
        <w:rPr>
          <w:rStyle w:val="14"/>
          <w:rFonts w:hint="default"/>
          <w:b/>
          <w:bCs/>
          <w:sz w:val="44"/>
          <w:szCs w:val="44"/>
        </w:rPr>
      </w:pPr>
      <w:r>
        <w:rPr>
          <w:rFonts w:eastAsia="方正小标宋_GBK"/>
          <w:color w:val="000000"/>
          <w:kern w:val="0"/>
          <w:sz w:val="44"/>
          <w:szCs w:val="44"/>
          <w:lang w:bidi="ar"/>
        </w:rPr>
        <w:t>重庆市普通货物道路运输经营者信用评价标准</w:t>
      </w:r>
    </w:p>
    <w:p>
      <w:pPr>
        <w:widowControl/>
        <w:jc w:val="left"/>
        <w:textAlignment w:val="center"/>
        <w:rPr>
          <w:rStyle w:val="14"/>
          <w:rFonts w:hint="default"/>
        </w:rPr>
      </w:pPr>
      <w:r>
        <w:rPr>
          <w:rStyle w:val="14"/>
          <w:rFonts w:hint="default"/>
        </w:rPr>
        <w:t>被评价企业（业户）：                                                   评价年度：</w:t>
      </w:r>
    </w:p>
    <w:tbl>
      <w:tblPr>
        <w:tblStyle w:val="7"/>
        <w:tblW w:w="13416" w:type="dxa"/>
        <w:jc w:val="center"/>
        <w:tblLayout w:type="autofit"/>
        <w:tblCellMar>
          <w:top w:w="0" w:type="dxa"/>
          <w:left w:w="0" w:type="dxa"/>
          <w:bottom w:w="0" w:type="dxa"/>
          <w:right w:w="0" w:type="dxa"/>
        </w:tblCellMar>
      </w:tblPr>
      <w:tblGrid>
        <w:gridCol w:w="667"/>
        <w:gridCol w:w="1125"/>
        <w:gridCol w:w="1664"/>
        <w:gridCol w:w="799"/>
        <w:gridCol w:w="5861"/>
        <w:gridCol w:w="2610"/>
        <w:gridCol w:w="690"/>
      </w:tblGrid>
      <w:tr>
        <w:tblPrEx>
          <w:tblCellMar>
            <w:top w:w="0" w:type="dxa"/>
            <w:left w:w="0" w:type="dxa"/>
            <w:bottom w:w="0" w:type="dxa"/>
            <w:right w:w="0" w:type="dxa"/>
          </w:tblCellMar>
        </w:tblPrEx>
        <w:trPr>
          <w:trHeight w:val="394" w:hRule="atLeast"/>
          <w:tblHeader/>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left"/>
              <w:textAlignment w:val="center"/>
              <w:rPr>
                <w:rFonts w:ascii="黑体" w:hAnsi="黑体" w:eastAsia="黑体"/>
                <w:color w:val="000000"/>
                <w:sz w:val="24"/>
                <w:szCs w:val="24"/>
              </w:rPr>
            </w:pPr>
            <w:r>
              <w:rPr>
                <w:rStyle w:val="15"/>
                <w:rFonts w:hint="default" w:ascii="黑体" w:hAnsi="黑体" w:eastAsia="黑体"/>
                <w:color w:val="000000"/>
              </w:rPr>
              <w:t>序号</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黑体" w:hAnsi="黑体" w:eastAsia="黑体"/>
                <w:color w:val="000000"/>
                <w:sz w:val="24"/>
                <w:szCs w:val="24"/>
              </w:rPr>
            </w:pPr>
            <w:r>
              <w:rPr>
                <w:rStyle w:val="15"/>
                <w:rFonts w:hint="default" w:ascii="黑体" w:hAnsi="黑体" w:eastAsia="黑体"/>
                <w:color w:val="000000"/>
              </w:rPr>
              <w:t>一级指标及分值</w:t>
            </w: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黑体" w:hAnsi="黑体" w:eastAsia="黑体"/>
                <w:color w:val="000000"/>
                <w:sz w:val="24"/>
                <w:szCs w:val="24"/>
              </w:rPr>
            </w:pPr>
            <w:r>
              <w:rPr>
                <w:rStyle w:val="15"/>
                <w:rFonts w:hint="default" w:ascii="黑体" w:hAnsi="黑体" w:eastAsia="黑体"/>
                <w:color w:val="000000"/>
              </w:rPr>
              <w:t>二级指标</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黑体" w:hAnsi="黑体" w:eastAsia="黑体"/>
                <w:color w:val="000000"/>
                <w:sz w:val="24"/>
                <w:szCs w:val="24"/>
              </w:rPr>
            </w:pPr>
            <w:r>
              <w:rPr>
                <w:rStyle w:val="15"/>
                <w:rFonts w:hint="default" w:ascii="黑体" w:hAnsi="黑体" w:eastAsia="黑体"/>
                <w:color w:val="000000"/>
              </w:rPr>
              <w:t>分值</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黑体" w:hAnsi="黑体" w:eastAsia="黑体"/>
                <w:color w:val="000000"/>
                <w:sz w:val="24"/>
                <w:szCs w:val="24"/>
              </w:rPr>
            </w:pPr>
            <w:r>
              <w:rPr>
                <w:rStyle w:val="15"/>
                <w:rFonts w:hint="default" w:ascii="黑体" w:hAnsi="黑体" w:eastAsia="黑体"/>
                <w:color w:val="000000"/>
              </w:rPr>
              <w:t>评分标准</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黑体" w:hAnsi="黑体" w:eastAsia="黑体"/>
                <w:color w:val="000000"/>
                <w:sz w:val="24"/>
                <w:szCs w:val="24"/>
              </w:rPr>
            </w:pPr>
            <w:r>
              <w:rPr>
                <w:rStyle w:val="16"/>
                <w:rFonts w:hint="default" w:ascii="黑体" w:hAnsi="黑体" w:eastAsia="黑体"/>
                <w:color w:val="000000"/>
              </w:rPr>
              <w:t>数据来源</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黑体" w:hAnsi="黑体" w:eastAsia="黑体"/>
                <w:color w:val="000000"/>
                <w:sz w:val="24"/>
                <w:szCs w:val="24"/>
              </w:rPr>
            </w:pPr>
            <w:r>
              <w:rPr>
                <w:rStyle w:val="15"/>
                <w:rFonts w:hint="default" w:ascii="黑体" w:hAnsi="黑体" w:eastAsia="黑体"/>
                <w:color w:val="000000"/>
              </w:rPr>
              <w:t>得分</w:t>
            </w: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w:t>
            </w:r>
          </w:p>
        </w:tc>
        <w:tc>
          <w:tcPr>
            <w:tcW w:w="11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hint="eastAsia" w:ascii="方正楷体_GBK" w:hAnsi="方正楷体_GBK" w:eastAsia="方正楷体_GBK" w:cs="方正楷体_GBK"/>
                <w:color w:val="000000"/>
                <w:sz w:val="22"/>
                <w:szCs w:val="22"/>
              </w:rPr>
            </w:pPr>
            <w:r>
              <w:rPr>
                <w:rStyle w:val="17"/>
              </w:rPr>
              <w:t>经营管理（</w:t>
            </w:r>
            <w:r>
              <w:rPr>
                <w:rStyle w:val="18"/>
                <w:rFonts w:eastAsia="方正楷体_GBK"/>
              </w:rPr>
              <w:t>50</w:t>
            </w:r>
            <w:r>
              <w:rPr>
                <w:rStyle w:val="17"/>
              </w:rPr>
              <w:t>分）</w:t>
            </w: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车辆审验超期率</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10</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大于</w:t>
            </w:r>
            <w:r>
              <w:rPr>
                <w:rStyle w:val="20"/>
                <w:rFonts w:hint="default"/>
              </w:rPr>
              <w:t>0</w:t>
            </w:r>
            <w:r>
              <w:rPr>
                <w:rStyle w:val="19"/>
                <w:rFonts w:hint="default"/>
              </w:rPr>
              <w:t>且小于等于</w:t>
            </w:r>
            <w:r>
              <w:rPr>
                <w:rStyle w:val="20"/>
                <w:rFonts w:hint="default"/>
              </w:rPr>
              <w:t>0.01</w:t>
            </w:r>
            <w:r>
              <w:rPr>
                <w:rStyle w:val="19"/>
                <w:rFonts w:hint="default"/>
              </w:rPr>
              <w:t>的，扣</w:t>
            </w:r>
            <w:r>
              <w:rPr>
                <w:rStyle w:val="20"/>
                <w:rFonts w:hint="default"/>
              </w:rPr>
              <w:t>2</w:t>
            </w:r>
            <w:r>
              <w:rPr>
                <w:rStyle w:val="19"/>
                <w:rFonts w:hint="default"/>
              </w:rPr>
              <w:t>分，每增加</w:t>
            </w:r>
            <w:r>
              <w:rPr>
                <w:rStyle w:val="20"/>
                <w:rFonts w:hint="default"/>
              </w:rPr>
              <w:t>0.01</w:t>
            </w:r>
            <w:r>
              <w:rPr>
                <w:rStyle w:val="19"/>
                <w:rFonts w:hint="default"/>
              </w:rPr>
              <w:t>，加扣</w:t>
            </w:r>
            <w:r>
              <w:rPr>
                <w:rStyle w:val="20"/>
                <w:rFonts w:hint="default"/>
              </w:rPr>
              <w:t>0.5</w:t>
            </w:r>
            <w:r>
              <w:rPr>
                <w:rStyle w:val="19"/>
                <w:rFonts w:hint="default"/>
              </w:rPr>
              <w:t>分</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重庆道路运输综合管理与服务系统自动统计</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2</w:t>
            </w:r>
          </w:p>
        </w:tc>
        <w:tc>
          <w:tcPr>
            <w:tcW w:w="11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方正楷体_GBK" w:hAnsi="方正楷体_GBK" w:eastAsia="方正楷体_GBK" w:cs="方正楷体_GBK"/>
                <w:color w:val="000000"/>
                <w:sz w:val="22"/>
                <w:szCs w:val="22"/>
              </w:rPr>
            </w:pP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车辆动态监管情况</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10</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考核周期内动态监督管理考核月平均分</w:t>
            </w:r>
            <w:r>
              <w:rPr>
                <w:rStyle w:val="20"/>
                <w:rFonts w:hint="default"/>
              </w:rPr>
              <w:t>÷100×</w:t>
            </w:r>
            <w:r>
              <w:rPr>
                <w:rStyle w:val="19"/>
                <w:rFonts w:hint="default"/>
              </w:rPr>
              <w:t>本项分值</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重庆道路运输综合管理与服务系统自动统计</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3</w:t>
            </w:r>
          </w:p>
        </w:tc>
        <w:tc>
          <w:tcPr>
            <w:tcW w:w="11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方正楷体_GBK" w:hAnsi="方正楷体_GBK" w:eastAsia="方正楷体_GBK" w:cs="方正楷体_GBK"/>
                <w:color w:val="000000"/>
                <w:sz w:val="22"/>
                <w:szCs w:val="22"/>
              </w:rPr>
            </w:pP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违法违规率</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10</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大于</w:t>
            </w:r>
            <w:r>
              <w:rPr>
                <w:rStyle w:val="20"/>
                <w:rFonts w:hint="default"/>
              </w:rPr>
              <w:t>0</w:t>
            </w:r>
            <w:r>
              <w:rPr>
                <w:rStyle w:val="19"/>
                <w:rFonts w:hint="default"/>
              </w:rPr>
              <w:t>且小于等于</w:t>
            </w:r>
            <w:r>
              <w:rPr>
                <w:rStyle w:val="20"/>
                <w:rFonts w:hint="default"/>
              </w:rPr>
              <w:t>0.01</w:t>
            </w:r>
            <w:r>
              <w:rPr>
                <w:rStyle w:val="19"/>
                <w:rFonts w:hint="default"/>
              </w:rPr>
              <w:t>次</w:t>
            </w:r>
            <w:r>
              <w:rPr>
                <w:rStyle w:val="20"/>
                <w:rFonts w:hint="default"/>
              </w:rPr>
              <w:t>/</w:t>
            </w:r>
            <w:r>
              <w:rPr>
                <w:rStyle w:val="19"/>
                <w:rFonts w:hint="default"/>
              </w:rPr>
              <w:t>车的，扣</w:t>
            </w:r>
            <w:r>
              <w:rPr>
                <w:rStyle w:val="20"/>
                <w:rFonts w:hint="default"/>
              </w:rPr>
              <w:t>2</w:t>
            </w:r>
            <w:r>
              <w:rPr>
                <w:rStyle w:val="19"/>
                <w:rFonts w:hint="default"/>
              </w:rPr>
              <w:t>分，每增加</w:t>
            </w:r>
            <w:r>
              <w:rPr>
                <w:rStyle w:val="20"/>
                <w:rFonts w:hint="default"/>
              </w:rPr>
              <w:t>0.01</w:t>
            </w:r>
            <w:r>
              <w:rPr>
                <w:rStyle w:val="19"/>
                <w:rFonts w:hint="default"/>
              </w:rPr>
              <w:t>次</w:t>
            </w:r>
            <w:r>
              <w:rPr>
                <w:rStyle w:val="20"/>
                <w:rFonts w:hint="default"/>
              </w:rPr>
              <w:t>/</w:t>
            </w:r>
            <w:r>
              <w:rPr>
                <w:rStyle w:val="19"/>
                <w:rFonts w:hint="default"/>
              </w:rPr>
              <w:t>车，加扣</w:t>
            </w:r>
            <w:r>
              <w:rPr>
                <w:rStyle w:val="20"/>
                <w:rFonts w:hint="default"/>
              </w:rPr>
              <w:t>0.5</w:t>
            </w:r>
            <w:r>
              <w:rPr>
                <w:rStyle w:val="19"/>
                <w:rFonts w:hint="default"/>
              </w:rPr>
              <w:t>分</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Fonts w:hint="eastAsia" w:ascii="方正仿宋_GBK" w:hAnsi="方正仿宋_GBK" w:eastAsia="方正仿宋_GBK" w:cs="方正仿宋_GBK"/>
                <w:color w:val="000000"/>
                <w:sz w:val="22"/>
                <w:szCs w:val="22"/>
              </w:rPr>
              <w:t>交通、公安部门执法数据共享或日常收集统计</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b/>
                <w:bCs/>
                <w:color w:val="000000"/>
                <w:sz w:val="22"/>
                <w:szCs w:val="22"/>
              </w:rPr>
            </w:pPr>
          </w:p>
        </w:tc>
      </w:tr>
      <w:tr>
        <w:tblPrEx>
          <w:tblCellMar>
            <w:top w:w="0" w:type="dxa"/>
            <w:left w:w="0" w:type="dxa"/>
            <w:bottom w:w="0" w:type="dxa"/>
            <w:right w:w="0" w:type="dxa"/>
          </w:tblCellMar>
        </w:tblPrEx>
        <w:trPr>
          <w:trHeight w:val="947"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4</w:t>
            </w:r>
          </w:p>
        </w:tc>
        <w:tc>
          <w:tcPr>
            <w:tcW w:w="11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方正楷体_GBK" w:hAnsi="方正楷体_GBK" w:eastAsia="方正楷体_GBK" w:cs="方正楷体_GBK"/>
                <w:color w:val="000000"/>
                <w:sz w:val="22"/>
                <w:szCs w:val="22"/>
              </w:rPr>
            </w:pP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车辆维护情况</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10</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未按规定进行维护的，大于</w:t>
            </w:r>
            <w:r>
              <w:rPr>
                <w:rStyle w:val="20"/>
                <w:rFonts w:hint="default"/>
              </w:rPr>
              <w:t>0</w:t>
            </w:r>
            <w:r>
              <w:rPr>
                <w:rStyle w:val="19"/>
                <w:rFonts w:hint="default"/>
              </w:rPr>
              <w:t>且小于等于</w:t>
            </w:r>
            <w:r>
              <w:rPr>
                <w:rStyle w:val="20"/>
                <w:rFonts w:hint="default"/>
              </w:rPr>
              <w:t>0.01</w:t>
            </w:r>
            <w:r>
              <w:rPr>
                <w:rStyle w:val="19"/>
                <w:rFonts w:hint="default"/>
              </w:rPr>
              <w:t>次</w:t>
            </w:r>
            <w:r>
              <w:rPr>
                <w:rStyle w:val="20"/>
                <w:rFonts w:hint="default"/>
              </w:rPr>
              <w:t>/</w:t>
            </w:r>
            <w:r>
              <w:rPr>
                <w:rStyle w:val="19"/>
                <w:rFonts w:hint="default"/>
              </w:rPr>
              <w:t>车的，扣</w:t>
            </w:r>
            <w:r>
              <w:rPr>
                <w:rStyle w:val="20"/>
                <w:rFonts w:hint="default"/>
              </w:rPr>
              <w:t>2</w:t>
            </w:r>
            <w:r>
              <w:rPr>
                <w:rStyle w:val="19"/>
                <w:rFonts w:hint="default"/>
              </w:rPr>
              <w:t>分，每增加</w:t>
            </w:r>
            <w:r>
              <w:rPr>
                <w:rStyle w:val="20"/>
                <w:rFonts w:hint="default"/>
              </w:rPr>
              <w:t>0.01</w:t>
            </w:r>
            <w:r>
              <w:rPr>
                <w:rStyle w:val="19"/>
                <w:rFonts w:hint="default"/>
              </w:rPr>
              <w:t>次</w:t>
            </w:r>
            <w:r>
              <w:rPr>
                <w:rStyle w:val="20"/>
                <w:rFonts w:hint="default"/>
              </w:rPr>
              <w:t>/</w:t>
            </w:r>
            <w:r>
              <w:rPr>
                <w:rStyle w:val="19"/>
                <w:rFonts w:hint="default"/>
              </w:rPr>
              <w:t>车，加扣</w:t>
            </w:r>
            <w:r>
              <w:rPr>
                <w:rStyle w:val="20"/>
                <w:rFonts w:hint="default"/>
              </w:rPr>
              <w:t>0.5</w:t>
            </w:r>
            <w:r>
              <w:rPr>
                <w:rStyle w:val="19"/>
                <w:rFonts w:hint="default"/>
              </w:rPr>
              <w:t>分</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交通部门检查日常收集统计</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5</w:t>
            </w:r>
          </w:p>
        </w:tc>
        <w:tc>
          <w:tcPr>
            <w:tcW w:w="11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方正楷体_GBK" w:hAnsi="方正楷体_GBK" w:eastAsia="方正楷体_GBK" w:cs="方正楷体_GBK"/>
                <w:color w:val="000000"/>
                <w:sz w:val="22"/>
                <w:szCs w:val="22"/>
              </w:rPr>
            </w:pP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车辆超标排放比例情况</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5</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超标排放车辆占货运车辆总数</w:t>
            </w:r>
            <w:r>
              <w:rPr>
                <w:rStyle w:val="20"/>
                <w:rFonts w:hint="default"/>
              </w:rPr>
              <w:t>10%</w:t>
            </w:r>
            <w:r>
              <w:rPr>
                <w:rStyle w:val="19"/>
                <w:rFonts w:hint="default"/>
              </w:rPr>
              <w:t>以上的，扣</w:t>
            </w:r>
            <w:r>
              <w:rPr>
                <w:rStyle w:val="20"/>
                <w:rFonts w:hint="default"/>
              </w:rPr>
              <w:t>5</w:t>
            </w:r>
            <w:r>
              <w:rPr>
                <w:rStyle w:val="19"/>
                <w:rFonts w:hint="default"/>
              </w:rPr>
              <w:t>分</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市生态环境部门数据共享</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6</w:t>
            </w:r>
          </w:p>
        </w:tc>
        <w:tc>
          <w:tcPr>
            <w:tcW w:w="11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方正楷体_GBK" w:hAnsi="方正楷体_GBK" w:eastAsia="方正楷体_GBK" w:cs="方正楷体_GBK"/>
                <w:color w:val="000000"/>
                <w:sz w:val="22"/>
                <w:szCs w:val="22"/>
              </w:rPr>
            </w:pP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车辆超标排放抽测情况</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5</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存在</w:t>
            </w:r>
            <w:r>
              <w:rPr>
                <w:rStyle w:val="20"/>
                <w:rFonts w:hint="default"/>
              </w:rPr>
              <w:t>3</w:t>
            </w:r>
            <w:r>
              <w:rPr>
                <w:rStyle w:val="19"/>
                <w:rFonts w:hint="default"/>
              </w:rPr>
              <w:t>次抽测超标车辆的，扣</w:t>
            </w:r>
            <w:r>
              <w:rPr>
                <w:rStyle w:val="20"/>
                <w:rFonts w:hint="default"/>
              </w:rPr>
              <w:t>0.5</w:t>
            </w:r>
            <w:r>
              <w:rPr>
                <w:rStyle w:val="19"/>
                <w:rFonts w:hint="default"/>
              </w:rPr>
              <w:t>分</w:t>
            </w:r>
            <w:r>
              <w:rPr>
                <w:rStyle w:val="20"/>
                <w:rFonts w:hint="default"/>
              </w:rPr>
              <w:t>/</w:t>
            </w:r>
            <w:r>
              <w:rPr>
                <w:rStyle w:val="19"/>
                <w:rFonts w:hint="default"/>
              </w:rPr>
              <w:t>车</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市生态环境部门数据共享</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b/>
                <w:bCs/>
                <w:color w:val="000000"/>
                <w:sz w:val="22"/>
                <w:szCs w:val="22"/>
              </w:rPr>
            </w:pPr>
          </w:p>
        </w:tc>
      </w:tr>
      <w:tr>
        <w:tblPrEx>
          <w:tblCellMar>
            <w:top w:w="0" w:type="dxa"/>
            <w:left w:w="0" w:type="dxa"/>
            <w:bottom w:w="0" w:type="dxa"/>
            <w:right w:w="0" w:type="dxa"/>
          </w:tblCellMar>
        </w:tblPrEx>
        <w:trPr>
          <w:trHeight w:val="379"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7</w:t>
            </w:r>
          </w:p>
        </w:tc>
        <w:tc>
          <w:tcPr>
            <w:tcW w:w="11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rStyle w:val="17"/>
              </w:rPr>
              <w:t>安全生产（</w:t>
            </w:r>
            <w:r>
              <w:rPr>
                <w:rStyle w:val="18"/>
              </w:rPr>
              <w:t>30</w:t>
            </w:r>
            <w:r>
              <w:rPr>
                <w:rStyle w:val="17"/>
              </w:rPr>
              <w:t>分）</w:t>
            </w: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安全隐患排查情况</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15</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发现</w:t>
            </w:r>
            <w:r>
              <w:rPr>
                <w:rStyle w:val="20"/>
                <w:rFonts w:hint="default"/>
              </w:rPr>
              <w:t>1</w:t>
            </w:r>
            <w:r>
              <w:rPr>
                <w:rStyle w:val="19"/>
                <w:rFonts w:hint="default"/>
              </w:rPr>
              <w:t>起安全隐患扣</w:t>
            </w:r>
            <w:r>
              <w:rPr>
                <w:rStyle w:val="20"/>
                <w:rFonts w:hint="default"/>
              </w:rPr>
              <w:t>1</w:t>
            </w:r>
            <w:r>
              <w:rPr>
                <w:rStyle w:val="19"/>
                <w:rFonts w:hint="default"/>
              </w:rPr>
              <w:t>分</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Fonts w:hint="eastAsia" w:ascii="方正仿宋_GBK" w:hAnsi="方正仿宋_GBK" w:eastAsia="方正仿宋_GBK" w:cs="方正仿宋_GBK"/>
                <w:color w:val="000000"/>
                <w:sz w:val="22"/>
                <w:szCs w:val="22"/>
              </w:rPr>
              <w:t>交通部门检查日常收集统计</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8</w:t>
            </w:r>
          </w:p>
        </w:tc>
        <w:tc>
          <w:tcPr>
            <w:tcW w:w="11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color w:val="000000"/>
                <w:sz w:val="22"/>
                <w:szCs w:val="22"/>
              </w:rPr>
            </w:pP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交通责任事故死亡率</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10</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大于</w:t>
            </w:r>
            <w:r>
              <w:rPr>
                <w:rStyle w:val="20"/>
                <w:rFonts w:hint="default"/>
              </w:rPr>
              <w:t>0</w:t>
            </w:r>
            <w:r>
              <w:rPr>
                <w:rStyle w:val="19"/>
                <w:rFonts w:hint="default"/>
              </w:rPr>
              <w:t>且小于等于</w:t>
            </w:r>
            <w:r>
              <w:rPr>
                <w:rStyle w:val="20"/>
                <w:rFonts w:hint="default"/>
              </w:rPr>
              <w:t>0.01</w:t>
            </w:r>
            <w:r>
              <w:rPr>
                <w:rStyle w:val="19"/>
                <w:rFonts w:hint="default"/>
              </w:rPr>
              <w:t>人</w:t>
            </w:r>
            <w:r>
              <w:rPr>
                <w:rStyle w:val="20"/>
                <w:rFonts w:hint="default"/>
              </w:rPr>
              <w:t>/</w:t>
            </w:r>
            <w:r>
              <w:rPr>
                <w:rStyle w:val="19"/>
                <w:rFonts w:hint="default"/>
              </w:rPr>
              <w:t>车的，扣</w:t>
            </w:r>
            <w:r>
              <w:rPr>
                <w:rStyle w:val="20"/>
                <w:rFonts w:hint="default"/>
              </w:rPr>
              <w:t>2</w:t>
            </w:r>
            <w:r>
              <w:rPr>
                <w:rStyle w:val="19"/>
                <w:rFonts w:hint="default"/>
              </w:rPr>
              <w:t>分，每增加</w:t>
            </w:r>
            <w:r>
              <w:rPr>
                <w:rStyle w:val="20"/>
                <w:rFonts w:hint="default"/>
              </w:rPr>
              <w:t>0.01</w:t>
            </w:r>
            <w:r>
              <w:rPr>
                <w:rStyle w:val="19"/>
                <w:rFonts w:hint="default"/>
              </w:rPr>
              <w:t>人</w:t>
            </w:r>
            <w:r>
              <w:rPr>
                <w:rStyle w:val="20"/>
                <w:rFonts w:hint="default"/>
              </w:rPr>
              <w:t>/</w:t>
            </w:r>
            <w:r>
              <w:rPr>
                <w:rStyle w:val="19"/>
                <w:rFonts w:hint="default"/>
              </w:rPr>
              <w:t>车，加扣</w:t>
            </w:r>
            <w:r>
              <w:rPr>
                <w:rStyle w:val="20"/>
                <w:rFonts w:hint="default"/>
              </w:rPr>
              <w:t>1</w:t>
            </w:r>
            <w:r>
              <w:rPr>
                <w:rStyle w:val="19"/>
                <w:rFonts w:hint="default"/>
              </w:rPr>
              <w:t>分</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公安部门数据共享或行业管理日常收集统计</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9</w:t>
            </w:r>
          </w:p>
        </w:tc>
        <w:tc>
          <w:tcPr>
            <w:tcW w:w="11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color w:val="000000"/>
                <w:sz w:val="22"/>
                <w:szCs w:val="22"/>
              </w:rPr>
            </w:pP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交通责任事故伤人率</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5</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大于</w:t>
            </w:r>
            <w:r>
              <w:rPr>
                <w:rStyle w:val="20"/>
                <w:rFonts w:hint="default"/>
              </w:rPr>
              <w:t>0</w:t>
            </w:r>
            <w:r>
              <w:rPr>
                <w:rStyle w:val="19"/>
                <w:rFonts w:hint="default"/>
              </w:rPr>
              <w:t>且小于等于</w:t>
            </w:r>
            <w:r>
              <w:rPr>
                <w:rStyle w:val="20"/>
                <w:rFonts w:hint="default"/>
              </w:rPr>
              <w:t>0.01</w:t>
            </w:r>
            <w:r>
              <w:rPr>
                <w:rStyle w:val="19"/>
                <w:rFonts w:hint="default"/>
              </w:rPr>
              <w:t>人</w:t>
            </w:r>
            <w:r>
              <w:rPr>
                <w:rStyle w:val="20"/>
                <w:rFonts w:hint="default"/>
              </w:rPr>
              <w:t>/</w:t>
            </w:r>
            <w:r>
              <w:rPr>
                <w:rStyle w:val="19"/>
                <w:rFonts w:hint="default"/>
              </w:rPr>
              <w:t>车的，扣</w:t>
            </w:r>
            <w:r>
              <w:rPr>
                <w:rStyle w:val="20"/>
                <w:rFonts w:hint="default"/>
              </w:rPr>
              <w:t>1</w:t>
            </w:r>
            <w:r>
              <w:rPr>
                <w:rStyle w:val="19"/>
                <w:rFonts w:hint="default"/>
              </w:rPr>
              <w:t>分，每增加</w:t>
            </w:r>
            <w:r>
              <w:rPr>
                <w:rStyle w:val="20"/>
                <w:rFonts w:hint="default"/>
              </w:rPr>
              <w:t>0.01</w:t>
            </w:r>
            <w:r>
              <w:rPr>
                <w:rStyle w:val="19"/>
                <w:rFonts w:hint="default"/>
              </w:rPr>
              <w:t>人</w:t>
            </w:r>
            <w:r>
              <w:rPr>
                <w:rStyle w:val="20"/>
                <w:rFonts w:hint="default"/>
              </w:rPr>
              <w:t>/</w:t>
            </w:r>
            <w:r>
              <w:rPr>
                <w:rStyle w:val="19"/>
                <w:rFonts w:hint="default"/>
              </w:rPr>
              <w:t>车，加扣</w:t>
            </w:r>
            <w:r>
              <w:rPr>
                <w:rStyle w:val="20"/>
                <w:rFonts w:hint="default"/>
              </w:rPr>
              <w:t>0.5</w:t>
            </w:r>
            <w:r>
              <w:rPr>
                <w:rStyle w:val="19"/>
                <w:rFonts w:hint="default"/>
              </w:rPr>
              <w:t>分</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公安部门数据共享或行业管理日常收集统计</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b/>
                <w:bCs/>
                <w:color w:val="000000"/>
                <w:sz w:val="22"/>
                <w:szCs w:val="22"/>
              </w:rPr>
            </w:pPr>
          </w:p>
        </w:tc>
      </w:tr>
      <w:tr>
        <w:tblPrEx>
          <w:tblCellMar>
            <w:top w:w="0" w:type="dxa"/>
            <w:left w:w="0" w:type="dxa"/>
            <w:bottom w:w="0" w:type="dxa"/>
            <w:right w:w="0" w:type="dxa"/>
          </w:tblCellMar>
        </w:tblPrEx>
        <w:trPr>
          <w:trHeight w:val="379"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10</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rStyle w:val="17"/>
              </w:rPr>
              <w:t>服务质量（</w:t>
            </w:r>
            <w:r>
              <w:rPr>
                <w:rStyle w:val="18"/>
              </w:rPr>
              <w:t>10</w:t>
            </w:r>
            <w:r>
              <w:rPr>
                <w:rStyle w:val="17"/>
              </w:rPr>
              <w:t>分）</w:t>
            </w: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社会投诉率</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10</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2"/>
                <w:szCs w:val="22"/>
              </w:rPr>
            </w:pPr>
            <w:r>
              <w:rPr>
                <w:rStyle w:val="19"/>
                <w:rFonts w:hint="default"/>
              </w:rPr>
              <w:t>出现</w:t>
            </w:r>
            <w:r>
              <w:rPr>
                <w:rStyle w:val="20"/>
                <w:rFonts w:hint="default"/>
              </w:rPr>
              <w:t>1</w:t>
            </w:r>
            <w:r>
              <w:rPr>
                <w:rStyle w:val="19"/>
                <w:rFonts w:hint="default"/>
              </w:rPr>
              <w:t>次投诉扣</w:t>
            </w:r>
            <w:r>
              <w:rPr>
                <w:rStyle w:val="20"/>
                <w:rFonts w:hint="default"/>
              </w:rPr>
              <w:t>0.5</w:t>
            </w:r>
            <w:r>
              <w:rPr>
                <w:rStyle w:val="19"/>
                <w:rFonts w:hint="default"/>
              </w:rPr>
              <w:t>分</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行业管理日常收集统计</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b/>
                <w:bCs/>
                <w:color w:val="000000"/>
                <w:sz w:val="22"/>
                <w:szCs w:val="22"/>
              </w:rPr>
            </w:pPr>
          </w:p>
        </w:tc>
      </w:tr>
      <w:tr>
        <w:tblPrEx>
          <w:tblCellMar>
            <w:top w:w="0" w:type="dxa"/>
            <w:left w:w="0" w:type="dxa"/>
            <w:bottom w:w="0" w:type="dxa"/>
            <w:right w:w="0" w:type="dxa"/>
          </w:tblCellMar>
        </w:tblPrEx>
        <w:trPr>
          <w:trHeight w:val="947"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11</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rStyle w:val="17"/>
              </w:rPr>
              <w:t>社会责任（</w:t>
            </w:r>
            <w:r>
              <w:rPr>
                <w:rStyle w:val="18"/>
              </w:rPr>
              <w:t>10</w:t>
            </w:r>
            <w:r>
              <w:rPr>
                <w:rStyle w:val="17"/>
              </w:rPr>
              <w:t>分）</w:t>
            </w: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企业稳定情况</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10</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由于企业管理原因，导致发生违反《信访条例》规定、出现过激行为，情节不严重的，每次扣</w:t>
            </w:r>
            <w:r>
              <w:rPr>
                <w:rStyle w:val="20"/>
                <w:rFonts w:hint="default"/>
              </w:rPr>
              <w:t>1</w:t>
            </w:r>
            <w:r>
              <w:rPr>
                <w:rStyle w:val="19"/>
                <w:rFonts w:hint="default"/>
              </w:rPr>
              <w:t>分。</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信访、公安等部门数据共享或行业管理日常收集统计</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color w:val="000000"/>
                <w:sz w:val="22"/>
                <w:szCs w:val="22"/>
              </w:rPr>
            </w:pP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12</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rStyle w:val="21"/>
                <w:rFonts w:hint="default"/>
                <w:color w:val="000000"/>
              </w:rPr>
              <w:t>加分项目</w:t>
            </w: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政府指令性运输任务完成情况</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对圆满完成指令性应急运输任务的，加</w:t>
            </w:r>
            <w:r>
              <w:rPr>
                <w:rStyle w:val="20"/>
                <w:rFonts w:hint="default"/>
              </w:rPr>
              <w:t>5</w:t>
            </w:r>
            <w:r>
              <w:rPr>
                <w:rStyle w:val="19"/>
                <w:rFonts w:hint="default"/>
              </w:rPr>
              <w:t>分</w:t>
            </w:r>
            <w:r>
              <w:rPr>
                <w:rFonts w:hint="eastAsia" w:eastAsia="方正仿宋_GBK"/>
                <w:color w:val="000000"/>
                <w:kern w:val="0"/>
                <w:sz w:val="22"/>
                <w:szCs w:val="22"/>
                <w:lang w:bidi="ar"/>
              </w:rPr>
              <w:t>（最高不超过5分）</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22"/>
                <w:rFonts w:hint="default"/>
                <w:color w:val="000000"/>
              </w:rPr>
              <w:t>行业管理日常收集统计</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b/>
                <w:bCs/>
                <w:color w:val="000000"/>
                <w:sz w:val="22"/>
                <w:szCs w:val="22"/>
              </w:rPr>
            </w:pPr>
          </w:p>
        </w:tc>
      </w:tr>
      <w:tr>
        <w:tblPrEx>
          <w:tblCellMar>
            <w:top w:w="0" w:type="dxa"/>
            <w:left w:w="0" w:type="dxa"/>
            <w:bottom w:w="0" w:type="dxa"/>
            <w:right w:w="0" w:type="dxa"/>
          </w:tblCellMar>
        </w:tblPrEx>
        <w:trPr>
          <w:trHeight w:val="379"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left"/>
              <w:textAlignment w:val="center"/>
              <w:rPr>
                <w:rFonts w:hint="eastAsia"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sz w:val="22"/>
                <w:szCs w:val="22"/>
              </w:rPr>
              <w:t>合计</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rStyle w:val="23"/>
              </w:rPr>
              <w:t>1</w:t>
            </w:r>
            <w:r>
              <w:rPr>
                <w:rStyle w:val="23"/>
                <w:rFonts w:hint="eastAsia"/>
              </w:rPr>
              <w:t>0</w:t>
            </w:r>
            <w:r>
              <w:rPr>
                <w:rStyle w:val="23"/>
              </w:rPr>
              <w:t>0</w:t>
            </w:r>
            <w:r>
              <w:rPr>
                <w:rStyle w:val="24"/>
                <w:rFonts w:hint="default"/>
                <w:color w:val="000000"/>
              </w:rPr>
              <w:t>分</w:t>
            </w: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color w:val="000000"/>
                <w:sz w:val="22"/>
                <w:szCs w:val="22"/>
              </w:rPr>
            </w:pP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rStyle w:val="23"/>
              </w:rPr>
              <w:t>1</w:t>
            </w:r>
            <w:r>
              <w:rPr>
                <w:rStyle w:val="23"/>
                <w:rFonts w:hint="eastAsia"/>
              </w:rPr>
              <w:t>0</w:t>
            </w:r>
            <w:r>
              <w:rPr>
                <w:rStyle w:val="23"/>
              </w:rPr>
              <w:t>0</w:t>
            </w:r>
            <w:r>
              <w:rPr>
                <w:rStyle w:val="24"/>
                <w:rFonts w:hint="default"/>
                <w:color w:val="000000"/>
              </w:rPr>
              <w:t>分</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color w:val="000000"/>
                <w:sz w:val="22"/>
                <w:szCs w:val="22"/>
              </w:rPr>
            </w:pP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color w:val="000000"/>
                <w:sz w:val="22"/>
                <w:szCs w:val="22"/>
              </w:rPr>
            </w:pP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color w:val="000000"/>
                <w:sz w:val="22"/>
                <w:szCs w:val="22"/>
              </w:rPr>
            </w:pPr>
          </w:p>
        </w:tc>
      </w:tr>
      <w:tr>
        <w:tblPrEx>
          <w:tblCellMar>
            <w:top w:w="0" w:type="dxa"/>
            <w:left w:w="0" w:type="dxa"/>
            <w:bottom w:w="0" w:type="dxa"/>
            <w:right w:w="0" w:type="dxa"/>
          </w:tblCellMar>
        </w:tblPrEx>
        <w:trPr>
          <w:trHeight w:val="372" w:hRule="atLeast"/>
          <w:jc w:val="center"/>
        </w:trPr>
        <w:tc>
          <w:tcPr>
            <w:tcW w:w="1792"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szCs w:val="24"/>
              </w:rPr>
            </w:pPr>
            <w:r>
              <w:rPr>
                <w:rStyle w:val="15"/>
                <w:rFonts w:hint="default"/>
              </w:rPr>
              <w:t>评价结论</w:t>
            </w: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rStyle w:val="25"/>
                <w:rFonts w:hint="default"/>
                <w:color w:val="000000"/>
              </w:rPr>
              <w:t>考核等级</w:t>
            </w:r>
          </w:p>
        </w:tc>
        <w:tc>
          <w:tcPr>
            <w:tcW w:w="9960"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AA□                  A□                  B□                    C□                     D□</w:t>
            </w:r>
          </w:p>
        </w:tc>
      </w:tr>
      <w:tr>
        <w:tblPrEx>
          <w:tblCellMar>
            <w:top w:w="0" w:type="dxa"/>
            <w:left w:w="0" w:type="dxa"/>
            <w:bottom w:w="0" w:type="dxa"/>
            <w:right w:w="0" w:type="dxa"/>
          </w:tblCellMar>
        </w:tblPrEx>
        <w:trPr>
          <w:trHeight w:val="372" w:hRule="atLeast"/>
          <w:jc w:val="center"/>
        </w:trPr>
        <w:tc>
          <w:tcPr>
            <w:tcW w:w="1792"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color w:val="000000"/>
                <w:sz w:val="24"/>
                <w:szCs w:val="24"/>
              </w:rPr>
            </w:pP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rStyle w:val="25"/>
                <w:rFonts w:hint="default"/>
                <w:color w:val="000000"/>
              </w:rPr>
              <w:t>评价机构名称</w:t>
            </w:r>
          </w:p>
        </w:tc>
        <w:tc>
          <w:tcPr>
            <w:tcW w:w="9960"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color w:val="000000"/>
                <w:sz w:val="22"/>
                <w:szCs w:val="22"/>
              </w:rPr>
            </w:pPr>
          </w:p>
        </w:tc>
      </w:tr>
      <w:tr>
        <w:tblPrEx>
          <w:tblCellMar>
            <w:top w:w="0" w:type="dxa"/>
            <w:left w:w="0" w:type="dxa"/>
            <w:bottom w:w="0" w:type="dxa"/>
            <w:right w:w="0" w:type="dxa"/>
          </w:tblCellMar>
        </w:tblPrEx>
        <w:trPr>
          <w:trHeight w:val="372" w:hRule="atLeast"/>
          <w:jc w:val="center"/>
        </w:trPr>
        <w:tc>
          <w:tcPr>
            <w:tcW w:w="1792"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color w:val="000000"/>
                <w:sz w:val="24"/>
                <w:szCs w:val="24"/>
              </w:rPr>
            </w:pP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rStyle w:val="25"/>
                <w:rFonts w:hint="default"/>
                <w:color w:val="000000"/>
              </w:rPr>
              <w:t>经办人</w:t>
            </w:r>
          </w:p>
        </w:tc>
        <w:tc>
          <w:tcPr>
            <w:tcW w:w="66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color w:val="000000"/>
                <w:sz w:val="22"/>
                <w:szCs w:val="22"/>
              </w:rPr>
            </w:pP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rStyle w:val="25"/>
                <w:rFonts w:hint="default"/>
                <w:color w:val="000000"/>
              </w:rPr>
              <w:t>评价日期</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color w:val="000000"/>
                <w:sz w:val="22"/>
                <w:szCs w:val="22"/>
              </w:rPr>
            </w:pPr>
          </w:p>
        </w:tc>
      </w:tr>
    </w:tbl>
    <w:p>
      <w:pPr>
        <w:spacing w:line="320" w:lineRule="exact"/>
        <w:ind w:firstLine="480" w:firstLineChars="200"/>
        <w:rPr>
          <w:rStyle w:val="26"/>
          <w:rFonts w:hint="default"/>
          <w:color w:val="000000"/>
        </w:rPr>
      </w:pPr>
      <w:r>
        <w:rPr>
          <w:rStyle w:val="26"/>
          <w:rFonts w:hint="default"/>
          <w:color w:val="000000"/>
        </w:rPr>
        <w:t>备注（相关指标释义）：</w:t>
      </w:r>
    </w:p>
    <w:p>
      <w:pPr>
        <w:spacing w:line="320" w:lineRule="exact"/>
        <w:ind w:firstLine="480" w:firstLineChars="200"/>
        <w:rPr>
          <w:rStyle w:val="26"/>
          <w:rFonts w:hint="default"/>
          <w:color w:val="000000"/>
        </w:rPr>
      </w:pPr>
      <w:r>
        <w:rPr>
          <w:rStyle w:val="26"/>
          <w:rFonts w:hint="default"/>
          <w:color w:val="000000"/>
        </w:rPr>
        <w:t>一、道路运输事务机构需建立的信用档案包括：《重庆道路货物运输经营者信用考核综合评价表》、表内非系统自动统计数据记录的相关佐证材料、区县道路运输事务机构在日常管理工作中收集的普通货物道路运输经营者（以下简称货运经营者）信用考核相关信息（资料）等。信用考核档案保存期限不少于</w:t>
      </w:r>
      <w:r>
        <w:rPr>
          <w:rStyle w:val="27"/>
          <w:color w:val="000000"/>
        </w:rPr>
        <w:t>3</w:t>
      </w:r>
      <w:r>
        <w:rPr>
          <w:rStyle w:val="26"/>
          <w:rFonts w:hint="default"/>
          <w:color w:val="000000"/>
        </w:rPr>
        <w:t>年。</w:t>
      </w:r>
    </w:p>
    <w:p>
      <w:pPr>
        <w:spacing w:line="320" w:lineRule="exact"/>
        <w:ind w:firstLine="480" w:firstLineChars="200"/>
        <w:rPr>
          <w:rStyle w:val="26"/>
          <w:rFonts w:hint="default"/>
          <w:color w:val="000000"/>
        </w:rPr>
      </w:pPr>
      <w:r>
        <w:rPr>
          <w:rStyle w:val="26"/>
          <w:rFonts w:hint="default"/>
          <w:color w:val="000000"/>
        </w:rPr>
        <w:t>二、违法违规指：货运经营者、货运从业人员违反道路交通安全及道路运输相关法律法规的规定，受到行政处罚的行为。</w:t>
      </w:r>
    </w:p>
    <w:p>
      <w:pPr>
        <w:spacing w:line="320" w:lineRule="exact"/>
        <w:ind w:firstLine="480" w:firstLineChars="200"/>
        <w:rPr>
          <w:rStyle w:val="26"/>
          <w:rFonts w:hint="default"/>
          <w:color w:val="000000"/>
        </w:rPr>
      </w:pPr>
      <w:r>
        <w:rPr>
          <w:rStyle w:val="26"/>
          <w:rFonts w:hint="default"/>
          <w:color w:val="000000"/>
        </w:rPr>
        <w:t>三、交通责任事故指：考核周期内货运经营者承担同责及同责以上、有人员伤亡的交通事故。</w:t>
      </w:r>
    </w:p>
    <w:p>
      <w:pPr>
        <w:spacing w:line="320" w:lineRule="exact"/>
        <w:ind w:firstLine="480" w:firstLineChars="200"/>
        <w:rPr>
          <w:color w:val="000000"/>
          <w:sz w:val="24"/>
          <w:szCs w:val="24"/>
        </w:rPr>
      </w:pPr>
      <w:r>
        <w:rPr>
          <w:rStyle w:val="26"/>
          <w:rFonts w:hint="default"/>
          <w:color w:val="000000"/>
        </w:rPr>
        <w:t>四、社会投诉指：货运经营者、货运从业人员违反有关规定，损害他人正当权益，货主、其他相关人向交通行业管理部门进行投诉，或新闻媒体对经营者的服务质量事件曝光，经查属实的。</w:t>
      </w:r>
    </w:p>
    <w:p>
      <w:pPr>
        <w:spacing w:line="280" w:lineRule="exact"/>
        <w:rPr>
          <w:rFonts w:hint="eastAsia" w:ascii="黑体" w:hAnsi="黑体" w:eastAsia="黑体"/>
          <w:color w:val="000000"/>
          <w:sz w:val="32"/>
          <w:szCs w:val="32"/>
        </w:rPr>
      </w:pPr>
      <w:r>
        <w:rPr>
          <w:rFonts w:ascii="黑体" w:hAnsi="黑体" w:eastAsia="黑体"/>
          <w:color w:val="000000"/>
          <w:sz w:val="32"/>
          <w:szCs w:val="32"/>
        </w:rPr>
        <w:t>附件</w:t>
      </w:r>
      <w:r>
        <w:rPr>
          <w:rFonts w:hint="eastAsia" w:ascii="黑体" w:hAnsi="黑体" w:eastAsia="黑体"/>
          <w:color w:val="000000"/>
          <w:sz w:val="32"/>
          <w:szCs w:val="32"/>
        </w:rPr>
        <w:t>1-</w:t>
      </w:r>
      <w:r>
        <w:rPr>
          <w:rFonts w:ascii="黑体" w:hAnsi="黑体" w:eastAsia="黑体"/>
          <w:color w:val="000000"/>
          <w:sz w:val="32"/>
          <w:szCs w:val="32"/>
        </w:rPr>
        <w:t>3</w:t>
      </w:r>
    </w:p>
    <w:p>
      <w:pPr>
        <w:spacing w:line="280" w:lineRule="exact"/>
        <w:rPr>
          <w:rFonts w:hint="eastAsia" w:ascii="黑体" w:hAnsi="黑体" w:eastAsia="黑体"/>
          <w:color w:val="000000"/>
          <w:sz w:val="32"/>
          <w:szCs w:val="32"/>
        </w:rPr>
      </w:pPr>
    </w:p>
    <w:p>
      <w:pPr>
        <w:jc w:val="center"/>
        <w:rPr>
          <w:rFonts w:hint="eastAsia" w:eastAsia="方正黑体_GBK"/>
          <w:color w:val="000000"/>
          <w:sz w:val="44"/>
          <w:szCs w:val="44"/>
        </w:rPr>
      </w:pPr>
      <w:r>
        <w:rPr>
          <w:rFonts w:eastAsia="方正小标宋_GBK"/>
          <w:color w:val="000000"/>
          <w:kern w:val="0"/>
          <w:sz w:val="44"/>
          <w:szCs w:val="44"/>
          <w:lang w:bidi="ar"/>
        </w:rPr>
        <w:t>重庆市危险货物道路运输经营者信用评价标准</w:t>
      </w:r>
    </w:p>
    <w:p>
      <w:pPr>
        <w:widowControl/>
        <w:textAlignment w:val="center"/>
        <w:rPr>
          <w:rStyle w:val="28"/>
          <w:rFonts w:hint="default"/>
          <w:sz w:val="32"/>
          <w:szCs w:val="32"/>
          <w:lang w:bidi="ar"/>
        </w:rPr>
      </w:pPr>
      <w:r>
        <w:rPr>
          <w:rStyle w:val="28"/>
          <w:rFonts w:hint="default"/>
          <w:lang w:bidi="ar"/>
        </w:rPr>
        <w:t xml:space="preserve">被评价企业：  </w:t>
      </w:r>
      <w:r>
        <w:rPr>
          <w:rStyle w:val="28"/>
          <w:rFonts w:hint="default"/>
          <w:sz w:val="32"/>
          <w:szCs w:val="32"/>
          <w:lang w:bidi="ar"/>
        </w:rPr>
        <w:t xml:space="preserve">                                                  </w:t>
      </w:r>
      <w:r>
        <w:rPr>
          <w:rStyle w:val="28"/>
          <w:rFonts w:hint="default"/>
          <w:lang w:bidi="ar"/>
        </w:rPr>
        <w:t xml:space="preserve">   评价年度：</w:t>
      </w:r>
    </w:p>
    <w:tbl>
      <w:tblPr>
        <w:tblStyle w:val="7"/>
        <w:tblW w:w="13437" w:type="dxa"/>
        <w:jc w:val="center"/>
        <w:tblLayout w:type="autofit"/>
        <w:tblCellMar>
          <w:top w:w="0" w:type="dxa"/>
          <w:left w:w="108" w:type="dxa"/>
          <w:bottom w:w="0" w:type="dxa"/>
          <w:right w:w="108" w:type="dxa"/>
        </w:tblCellMar>
      </w:tblPr>
      <w:tblGrid>
        <w:gridCol w:w="696"/>
        <w:gridCol w:w="1292"/>
        <w:gridCol w:w="1970"/>
        <w:gridCol w:w="764"/>
        <w:gridCol w:w="4966"/>
        <w:gridCol w:w="2774"/>
        <w:gridCol w:w="975"/>
      </w:tblGrid>
      <w:tr>
        <w:tblPrEx>
          <w:tblCellMar>
            <w:top w:w="0" w:type="dxa"/>
            <w:left w:w="108" w:type="dxa"/>
            <w:bottom w:w="0" w:type="dxa"/>
            <w:right w:w="108" w:type="dxa"/>
          </w:tblCellMar>
        </w:tblPrEx>
        <w:trPr>
          <w:trHeight w:val="90" w:hRule="atLeast"/>
          <w:tblHeader/>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仿宋"/>
                <w:color w:val="000000"/>
                <w:sz w:val="24"/>
                <w:szCs w:val="24"/>
              </w:rPr>
            </w:pPr>
            <w:r>
              <w:rPr>
                <w:rStyle w:val="29"/>
                <w:rFonts w:hint="eastAsia" w:ascii="黑体" w:hAnsi="黑体" w:eastAsia="黑体" w:cs="仿宋"/>
                <w:lang w:bidi="ar"/>
              </w:rPr>
              <w:t>序号</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29"/>
                <w:rFonts w:hint="eastAsia" w:ascii="黑体" w:hAnsi="黑体" w:eastAsia="黑体" w:cs="仿宋"/>
                <w:lang w:bidi="ar"/>
              </w:rPr>
            </w:pPr>
            <w:r>
              <w:rPr>
                <w:rStyle w:val="29"/>
                <w:rFonts w:hint="eastAsia" w:ascii="黑体" w:hAnsi="黑体" w:eastAsia="黑体" w:cs="仿宋"/>
                <w:lang w:bidi="ar"/>
              </w:rPr>
              <w:t>一级指标及分值</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29"/>
                <w:rFonts w:hint="eastAsia" w:ascii="黑体" w:hAnsi="黑体" w:eastAsia="黑体" w:cs="仿宋"/>
                <w:lang w:bidi="ar"/>
              </w:rPr>
            </w:pPr>
            <w:r>
              <w:rPr>
                <w:rStyle w:val="29"/>
                <w:rFonts w:hint="eastAsia" w:ascii="黑体" w:hAnsi="黑体" w:eastAsia="黑体" w:cs="仿宋"/>
                <w:lang w:bidi="ar"/>
              </w:rPr>
              <w:t>二级指标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29"/>
                <w:rFonts w:hint="eastAsia" w:ascii="黑体" w:hAnsi="黑体" w:eastAsia="黑体" w:cs="仿宋"/>
                <w:lang w:bidi="ar"/>
              </w:rPr>
            </w:pPr>
            <w:r>
              <w:rPr>
                <w:rStyle w:val="29"/>
                <w:rFonts w:hint="eastAsia" w:ascii="黑体" w:hAnsi="黑体" w:eastAsia="黑体" w:cs="仿宋"/>
                <w:lang w:bidi="ar"/>
              </w:rPr>
              <w:t>分值</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29"/>
                <w:rFonts w:hint="eastAsia" w:ascii="黑体" w:hAnsi="黑体" w:eastAsia="黑体" w:cs="仿宋"/>
                <w:lang w:bidi="ar"/>
              </w:rPr>
            </w:pPr>
            <w:r>
              <w:rPr>
                <w:rStyle w:val="29"/>
                <w:rFonts w:hint="eastAsia" w:ascii="黑体" w:hAnsi="黑体" w:eastAsia="黑体" w:cs="仿宋"/>
                <w:lang w:bidi="ar"/>
              </w:rPr>
              <w:t>评分标准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29"/>
                <w:rFonts w:hint="eastAsia" w:ascii="黑体" w:hAnsi="黑体" w:eastAsia="黑体" w:cs="仿宋"/>
                <w:lang w:bidi="ar"/>
              </w:rPr>
            </w:pPr>
            <w:r>
              <w:rPr>
                <w:rStyle w:val="29"/>
                <w:rFonts w:hint="eastAsia" w:ascii="黑体" w:hAnsi="黑体" w:eastAsia="黑体" w:cs="仿宋"/>
                <w:lang w:bidi="ar"/>
              </w:rPr>
              <w:t>数据来源</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29"/>
                <w:rFonts w:hint="eastAsia" w:ascii="黑体" w:hAnsi="黑体" w:eastAsia="黑体" w:cs="仿宋"/>
                <w:lang w:bidi="ar"/>
              </w:rPr>
            </w:pPr>
            <w:r>
              <w:rPr>
                <w:rStyle w:val="29"/>
                <w:rFonts w:hint="eastAsia" w:ascii="黑体" w:hAnsi="黑体" w:eastAsia="黑体" w:cs="仿宋"/>
                <w:lang w:bidi="ar"/>
              </w:rPr>
              <w:t>得分</w:t>
            </w: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2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0"/>
                <w:rFonts w:hint="default" w:ascii="仿宋" w:hAnsi="仿宋" w:eastAsia="仿宋" w:cs="仿宋"/>
                <w:lang w:bidi="ar"/>
              </w:rPr>
              <w:t>经营管理（</w:t>
            </w:r>
            <w:r>
              <w:rPr>
                <w:rStyle w:val="23"/>
                <w:rFonts w:hint="eastAsia" w:ascii="仿宋" w:hAnsi="仿宋" w:eastAsia="仿宋" w:cs="仿宋"/>
                <w:lang w:bidi="ar"/>
              </w:rPr>
              <w:t>47</w:t>
            </w:r>
            <w:r>
              <w:rPr>
                <w:rStyle w:val="31"/>
                <w:rFonts w:hint="default" w:ascii="仿宋" w:hAnsi="仿宋" w:eastAsia="仿宋" w:cs="仿宋"/>
                <w:sz w:val="24"/>
                <w:szCs w:val="24"/>
                <w:lang w:bidi="ar"/>
              </w:rPr>
              <w:t>分）</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车辆审验超期率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大于</w:t>
            </w:r>
            <w:r>
              <w:rPr>
                <w:rStyle w:val="17"/>
                <w:rFonts w:hint="eastAsia" w:ascii="仿宋" w:hAnsi="仿宋" w:eastAsia="仿宋" w:cs="仿宋"/>
                <w:sz w:val="24"/>
                <w:szCs w:val="24"/>
                <w:lang w:bidi="ar"/>
              </w:rPr>
              <w:t>0</w:t>
            </w:r>
            <w:r>
              <w:rPr>
                <w:rStyle w:val="32"/>
                <w:rFonts w:hint="default" w:ascii="仿宋" w:hAnsi="仿宋" w:eastAsia="仿宋" w:cs="仿宋"/>
                <w:sz w:val="24"/>
                <w:szCs w:val="24"/>
                <w:lang w:bidi="ar"/>
              </w:rPr>
              <w:t>且小于等于</w:t>
            </w:r>
            <w:r>
              <w:rPr>
                <w:rStyle w:val="17"/>
                <w:rFonts w:hint="eastAsia" w:ascii="仿宋" w:hAnsi="仿宋" w:eastAsia="仿宋" w:cs="仿宋"/>
                <w:sz w:val="24"/>
                <w:szCs w:val="24"/>
                <w:lang w:bidi="ar"/>
              </w:rPr>
              <w:t>0.01</w:t>
            </w:r>
            <w:r>
              <w:rPr>
                <w:rStyle w:val="32"/>
                <w:rFonts w:hint="default" w:ascii="仿宋" w:hAnsi="仿宋" w:eastAsia="仿宋" w:cs="仿宋"/>
                <w:sz w:val="24"/>
                <w:szCs w:val="24"/>
                <w:lang w:bidi="ar"/>
              </w:rPr>
              <w:t>的，扣</w:t>
            </w:r>
            <w:r>
              <w:rPr>
                <w:rStyle w:val="17"/>
                <w:rFonts w:hint="eastAsia" w:ascii="仿宋" w:hAnsi="仿宋" w:eastAsia="仿宋" w:cs="仿宋"/>
                <w:sz w:val="24"/>
                <w:szCs w:val="24"/>
                <w:lang w:bidi="ar"/>
              </w:rPr>
              <w:t>3</w:t>
            </w:r>
            <w:r>
              <w:rPr>
                <w:rStyle w:val="32"/>
                <w:rFonts w:hint="default" w:ascii="仿宋" w:hAnsi="仿宋" w:eastAsia="仿宋" w:cs="仿宋"/>
                <w:sz w:val="24"/>
                <w:szCs w:val="24"/>
                <w:lang w:bidi="ar"/>
              </w:rPr>
              <w:t>分，每增加</w:t>
            </w:r>
            <w:r>
              <w:rPr>
                <w:rStyle w:val="17"/>
                <w:rFonts w:hint="eastAsia" w:ascii="仿宋" w:hAnsi="仿宋" w:eastAsia="仿宋" w:cs="仿宋"/>
                <w:sz w:val="24"/>
                <w:szCs w:val="24"/>
                <w:lang w:bidi="ar"/>
              </w:rPr>
              <w:t>0.01</w:t>
            </w:r>
            <w:r>
              <w:rPr>
                <w:rStyle w:val="32"/>
                <w:rFonts w:hint="default" w:ascii="仿宋" w:hAnsi="仿宋" w:eastAsia="仿宋" w:cs="仿宋"/>
                <w:sz w:val="24"/>
                <w:szCs w:val="24"/>
                <w:lang w:bidi="ar"/>
              </w:rPr>
              <w:t>，加扣</w:t>
            </w:r>
            <w:r>
              <w:rPr>
                <w:rStyle w:val="17"/>
                <w:rFonts w:hint="eastAsia" w:ascii="仿宋" w:hAnsi="仿宋" w:eastAsia="仿宋" w:cs="仿宋"/>
                <w:sz w:val="24"/>
                <w:szCs w:val="24"/>
                <w:lang w:bidi="ar"/>
              </w:rPr>
              <w:t>1</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重庆道路运输综合管理与服务系统自动统计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车辆动态监管考核情况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考核周期内动态监督管理考核月平均分为本项得分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重庆道路运输综合管理与服务系统自动统计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电子运单使用情况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考核周期内电子运单使用考核月平均轨迹匹配率</w:t>
            </w:r>
            <w:r>
              <w:rPr>
                <w:rStyle w:val="17"/>
                <w:rFonts w:hint="eastAsia" w:ascii="仿宋" w:hAnsi="仿宋" w:eastAsia="仿宋" w:cs="仿宋"/>
                <w:sz w:val="24"/>
                <w:szCs w:val="24"/>
                <w:lang w:bidi="ar"/>
              </w:rPr>
              <w:t>×</w:t>
            </w:r>
            <w:r>
              <w:rPr>
                <w:rStyle w:val="32"/>
                <w:rFonts w:hint="default" w:ascii="仿宋" w:hAnsi="仿宋" w:eastAsia="仿宋" w:cs="仿宋"/>
                <w:sz w:val="24"/>
                <w:szCs w:val="24"/>
                <w:lang w:bidi="ar"/>
              </w:rPr>
              <w:t>本项得分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重庆道路运输综合管理与服务系统自动统计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违法违规率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大于</w:t>
            </w:r>
            <w:r>
              <w:rPr>
                <w:rStyle w:val="17"/>
                <w:rFonts w:hint="eastAsia" w:ascii="仿宋" w:hAnsi="仿宋" w:eastAsia="仿宋" w:cs="仿宋"/>
                <w:sz w:val="24"/>
                <w:szCs w:val="24"/>
                <w:lang w:bidi="ar"/>
              </w:rPr>
              <w:t>0</w:t>
            </w:r>
            <w:r>
              <w:rPr>
                <w:rStyle w:val="32"/>
                <w:rFonts w:hint="default" w:ascii="仿宋" w:hAnsi="仿宋" w:eastAsia="仿宋" w:cs="仿宋"/>
                <w:sz w:val="24"/>
                <w:szCs w:val="24"/>
                <w:lang w:bidi="ar"/>
              </w:rPr>
              <w:t>且小于等于</w:t>
            </w:r>
            <w:r>
              <w:rPr>
                <w:rStyle w:val="17"/>
                <w:rFonts w:hint="eastAsia" w:ascii="仿宋" w:hAnsi="仿宋" w:eastAsia="仿宋" w:cs="仿宋"/>
                <w:sz w:val="24"/>
                <w:szCs w:val="24"/>
                <w:lang w:bidi="ar"/>
              </w:rPr>
              <w:t>0.01</w:t>
            </w:r>
            <w:r>
              <w:rPr>
                <w:rStyle w:val="32"/>
                <w:rFonts w:hint="default" w:ascii="仿宋" w:hAnsi="仿宋" w:eastAsia="仿宋" w:cs="仿宋"/>
                <w:sz w:val="24"/>
                <w:szCs w:val="24"/>
                <w:lang w:bidi="ar"/>
              </w:rPr>
              <w:t>次</w:t>
            </w:r>
            <w:r>
              <w:rPr>
                <w:rStyle w:val="17"/>
                <w:rFonts w:hint="eastAsia" w:ascii="仿宋" w:hAnsi="仿宋" w:eastAsia="仿宋" w:cs="仿宋"/>
                <w:sz w:val="24"/>
                <w:szCs w:val="24"/>
                <w:lang w:bidi="ar"/>
              </w:rPr>
              <w:t>/</w:t>
            </w:r>
            <w:r>
              <w:rPr>
                <w:rStyle w:val="32"/>
                <w:rFonts w:hint="default" w:ascii="仿宋" w:hAnsi="仿宋" w:eastAsia="仿宋" w:cs="仿宋"/>
                <w:sz w:val="24"/>
                <w:szCs w:val="24"/>
                <w:lang w:bidi="ar"/>
              </w:rPr>
              <w:t>车的，扣</w:t>
            </w:r>
            <w:r>
              <w:rPr>
                <w:rStyle w:val="17"/>
                <w:rFonts w:hint="eastAsia" w:ascii="仿宋" w:hAnsi="仿宋" w:eastAsia="仿宋" w:cs="仿宋"/>
                <w:sz w:val="24"/>
                <w:szCs w:val="24"/>
                <w:lang w:bidi="ar"/>
              </w:rPr>
              <w:t xml:space="preserve"> 1</w:t>
            </w:r>
            <w:r>
              <w:rPr>
                <w:rStyle w:val="32"/>
                <w:rFonts w:hint="default" w:ascii="仿宋" w:hAnsi="仿宋" w:eastAsia="仿宋" w:cs="仿宋"/>
                <w:sz w:val="24"/>
                <w:szCs w:val="24"/>
                <w:lang w:bidi="ar"/>
              </w:rPr>
              <w:t>分，每增加</w:t>
            </w:r>
            <w:r>
              <w:rPr>
                <w:rStyle w:val="17"/>
                <w:rFonts w:hint="eastAsia" w:ascii="仿宋" w:hAnsi="仿宋" w:eastAsia="仿宋" w:cs="仿宋"/>
                <w:sz w:val="24"/>
                <w:szCs w:val="24"/>
                <w:lang w:bidi="ar"/>
              </w:rPr>
              <w:t>0.01</w:t>
            </w:r>
            <w:r>
              <w:rPr>
                <w:rStyle w:val="32"/>
                <w:rFonts w:hint="default" w:ascii="仿宋" w:hAnsi="仿宋" w:eastAsia="仿宋" w:cs="仿宋"/>
                <w:sz w:val="24"/>
                <w:szCs w:val="24"/>
                <w:lang w:bidi="ar"/>
              </w:rPr>
              <w:t>次</w:t>
            </w:r>
            <w:r>
              <w:rPr>
                <w:rStyle w:val="17"/>
                <w:rFonts w:hint="eastAsia" w:ascii="仿宋" w:hAnsi="仿宋" w:eastAsia="仿宋" w:cs="仿宋"/>
                <w:sz w:val="24"/>
                <w:szCs w:val="24"/>
                <w:lang w:bidi="ar"/>
              </w:rPr>
              <w:t>/</w:t>
            </w:r>
            <w:r>
              <w:rPr>
                <w:rStyle w:val="32"/>
                <w:rFonts w:hint="default" w:ascii="仿宋" w:hAnsi="仿宋" w:eastAsia="仿宋" w:cs="仿宋"/>
                <w:sz w:val="24"/>
                <w:szCs w:val="24"/>
                <w:lang w:bidi="ar"/>
              </w:rPr>
              <w:t>车，加扣</w:t>
            </w:r>
            <w:r>
              <w:rPr>
                <w:rStyle w:val="17"/>
                <w:rFonts w:hint="eastAsia" w:ascii="仿宋" w:hAnsi="仿宋" w:eastAsia="仿宋" w:cs="仿宋"/>
                <w:sz w:val="24"/>
                <w:szCs w:val="24"/>
                <w:lang w:bidi="ar"/>
              </w:rPr>
              <w:t>0.5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交通、公安部门执法数据共享或日常收集统计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车辆技术管理情况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发现一起隐患扣</w:t>
            </w:r>
            <w:r>
              <w:rPr>
                <w:rStyle w:val="17"/>
                <w:rFonts w:hint="eastAsia" w:ascii="仿宋" w:hAnsi="仿宋" w:eastAsia="仿宋" w:cs="仿宋"/>
                <w:sz w:val="24"/>
                <w:szCs w:val="24"/>
                <w:lang w:bidi="ar"/>
              </w:rPr>
              <w:t>0.5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交通部门检查日常收集统计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车辆动态监管制度及落实情况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发现一起隐患扣</w:t>
            </w:r>
            <w:r>
              <w:rPr>
                <w:rStyle w:val="17"/>
                <w:rFonts w:hint="eastAsia" w:ascii="仿宋" w:hAnsi="仿宋" w:eastAsia="仿宋" w:cs="仿宋"/>
                <w:sz w:val="24"/>
                <w:szCs w:val="24"/>
                <w:lang w:bidi="ar"/>
              </w:rPr>
              <w:t>0.5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交通部门检查日常收集统计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违反高速公路禁行规定情况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一个违规记录扣</w:t>
            </w:r>
            <w:r>
              <w:rPr>
                <w:rStyle w:val="17"/>
                <w:rFonts w:hint="eastAsia" w:ascii="仿宋" w:hAnsi="仿宋" w:eastAsia="仿宋" w:cs="仿宋"/>
                <w:sz w:val="24"/>
                <w:szCs w:val="24"/>
                <w:lang w:bidi="ar"/>
              </w:rPr>
              <w:t>0.5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公安部门数据共享或日常收集统计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64"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2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0"/>
                <w:rFonts w:hint="default" w:ascii="仿宋" w:hAnsi="仿宋" w:eastAsia="仿宋" w:cs="仿宋"/>
                <w:lang w:bidi="ar"/>
              </w:rPr>
              <w:t>安全生产（</w:t>
            </w:r>
            <w:r>
              <w:rPr>
                <w:rStyle w:val="23"/>
                <w:rFonts w:hint="eastAsia" w:ascii="仿宋" w:hAnsi="仿宋" w:eastAsia="仿宋" w:cs="仿宋"/>
                <w:lang w:bidi="ar"/>
              </w:rPr>
              <w:t>33</w:t>
            </w:r>
            <w:r>
              <w:rPr>
                <w:rStyle w:val="30"/>
                <w:rFonts w:hint="default" w:ascii="仿宋" w:hAnsi="仿宋" w:eastAsia="仿宋" w:cs="仿宋"/>
                <w:lang w:bidi="ar"/>
              </w:rPr>
              <w:t>分）</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交通责任事故死亡率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大于</w:t>
            </w:r>
            <w:r>
              <w:rPr>
                <w:rStyle w:val="17"/>
                <w:rFonts w:hint="eastAsia" w:ascii="仿宋" w:hAnsi="仿宋" w:eastAsia="仿宋" w:cs="仿宋"/>
                <w:sz w:val="24"/>
                <w:szCs w:val="24"/>
                <w:lang w:bidi="ar"/>
              </w:rPr>
              <w:t>0</w:t>
            </w:r>
            <w:r>
              <w:rPr>
                <w:rStyle w:val="32"/>
                <w:rFonts w:hint="default" w:ascii="仿宋" w:hAnsi="仿宋" w:eastAsia="仿宋" w:cs="仿宋"/>
                <w:sz w:val="24"/>
                <w:szCs w:val="24"/>
                <w:lang w:bidi="ar"/>
              </w:rPr>
              <w:t>且小于等于</w:t>
            </w:r>
            <w:r>
              <w:rPr>
                <w:rStyle w:val="17"/>
                <w:rFonts w:hint="eastAsia" w:ascii="仿宋" w:hAnsi="仿宋" w:eastAsia="仿宋" w:cs="仿宋"/>
                <w:sz w:val="24"/>
                <w:szCs w:val="24"/>
                <w:lang w:bidi="ar"/>
              </w:rPr>
              <w:t>0.01</w:t>
            </w:r>
            <w:r>
              <w:rPr>
                <w:rStyle w:val="32"/>
                <w:rFonts w:hint="default" w:ascii="仿宋" w:hAnsi="仿宋" w:eastAsia="仿宋" w:cs="仿宋"/>
                <w:sz w:val="24"/>
                <w:szCs w:val="24"/>
                <w:lang w:bidi="ar"/>
              </w:rPr>
              <w:t>人</w:t>
            </w:r>
            <w:r>
              <w:rPr>
                <w:rStyle w:val="17"/>
                <w:rFonts w:hint="eastAsia" w:ascii="仿宋" w:hAnsi="仿宋" w:eastAsia="仿宋" w:cs="仿宋"/>
                <w:sz w:val="24"/>
                <w:szCs w:val="24"/>
                <w:lang w:bidi="ar"/>
              </w:rPr>
              <w:t>/</w:t>
            </w:r>
            <w:r>
              <w:rPr>
                <w:rStyle w:val="32"/>
                <w:rFonts w:hint="default" w:ascii="仿宋" w:hAnsi="仿宋" w:eastAsia="仿宋" w:cs="仿宋"/>
                <w:sz w:val="24"/>
                <w:szCs w:val="24"/>
                <w:lang w:bidi="ar"/>
              </w:rPr>
              <w:t>车的，扣</w:t>
            </w:r>
            <w:r>
              <w:rPr>
                <w:rStyle w:val="17"/>
                <w:rFonts w:hint="eastAsia" w:ascii="仿宋" w:hAnsi="仿宋" w:eastAsia="仿宋" w:cs="仿宋"/>
                <w:sz w:val="24"/>
                <w:szCs w:val="24"/>
                <w:lang w:bidi="ar"/>
              </w:rPr>
              <w:t>2</w:t>
            </w:r>
            <w:r>
              <w:rPr>
                <w:rStyle w:val="32"/>
                <w:rFonts w:hint="default" w:ascii="仿宋" w:hAnsi="仿宋" w:eastAsia="仿宋" w:cs="仿宋"/>
                <w:sz w:val="24"/>
                <w:szCs w:val="24"/>
                <w:lang w:bidi="ar"/>
              </w:rPr>
              <w:t>分，每增加</w:t>
            </w:r>
            <w:r>
              <w:rPr>
                <w:rStyle w:val="17"/>
                <w:rFonts w:hint="eastAsia" w:ascii="仿宋" w:hAnsi="仿宋" w:eastAsia="仿宋" w:cs="仿宋"/>
                <w:sz w:val="24"/>
                <w:szCs w:val="24"/>
                <w:lang w:bidi="ar"/>
              </w:rPr>
              <w:t>0.01</w:t>
            </w:r>
            <w:r>
              <w:rPr>
                <w:rStyle w:val="32"/>
                <w:rFonts w:hint="default" w:ascii="仿宋" w:hAnsi="仿宋" w:eastAsia="仿宋" w:cs="仿宋"/>
                <w:sz w:val="24"/>
                <w:szCs w:val="24"/>
                <w:lang w:bidi="ar"/>
              </w:rPr>
              <w:t>人</w:t>
            </w:r>
            <w:r>
              <w:rPr>
                <w:rStyle w:val="17"/>
                <w:rFonts w:hint="eastAsia" w:ascii="仿宋" w:hAnsi="仿宋" w:eastAsia="仿宋" w:cs="仿宋"/>
                <w:sz w:val="24"/>
                <w:szCs w:val="24"/>
                <w:lang w:bidi="ar"/>
              </w:rPr>
              <w:t>/</w:t>
            </w:r>
            <w:r>
              <w:rPr>
                <w:rStyle w:val="32"/>
                <w:rFonts w:hint="default" w:ascii="仿宋" w:hAnsi="仿宋" w:eastAsia="仿宋" w:cs="仿宋"/>
                <w:sz w:val="24"/>
                <w:szCs w:val="24"/>
                <w:lang w:bidi="ar"/>
              </w:rPr>
              <w:t>车，加扣</w:t>
            </w:r>
            <w:r>
              <w:rPr>
                <w:rStyle w:val="17"/>
                <w:rFonts w:hint="eastAsia" w:ascii="仿宋" w:hAnsi="仿宋" w:eastAsia="仿宋" w:cs="仿宋"/>
                <w:sz w:val="24"/>
                <w:szCs w:val="24"/>
                <w:lang w:bidi="ar"/>
              </w:rPr>
              <w:t>0.5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公安部门数据共享或日常收集统计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交通责任事故伤人率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大于</w:t>
            </w:r>
            <w:r>
              <w:rPr>
                <w:rStyle w:val="17"/>
                <w:rFonts w:hint="eastAsia" w:ascii="仿宋" w:hAnsi="仿宋" w:eastAsia="仿宋" w:cs="仿宋"/>
                <w:sz w:val="24"/>
                <w:szCs w:val="24"/>
                <w:lang w:bidi="ar"/>
              </w:rPr>
              <w:t>0</w:t>
            </w:r>
            <w:r>
              <w:rPr>
                <w:rStyle w:val="32"/>
                <w:rFonts w:hint="default" w:ascii="仿宋" w:hAnsi="仿宋" w:eastAsia="仿宋" w:cs="仿宋"/>
                <w:sz w:val="24"/>
                <w:szCs w:val="24"/>
                <w:lang w:bidi="ar"/>
              </w:rPr>
              <w:t>且小于等于</w:t>
            </w:r>
            <w:r>
              <w:rPr>
                <w:rStyle w:val="17"/>
                <w:rFonts w:hint="eastAsia" w:ascii="仿宋" w:hAnsi="仿宋" w:eastAsia="仿宋" w:cs="仿宋"/>
                <w:sz w:val="24"/>
                <w:szCs w:val="24"/>
                <w:lang w:bidi="ar"/>
              </w:rPr>
              <w:t>0.01</w:t>
            </w:r>
            <w:r>
              <w:rPr>
                <w:rStyle w:val="32"/>
                <w:rFonts w:hint="default" w:ascii="仿宋" w:hAnsi="仿宋" w:eastAsia="仿宋" w:cs="仿宋"/>
                <w:sz w:val="24"/>
                <w:szCs w:val="24"/>
                <w:lang w:bidi="ar"/>
              </w:rPr>
              <w:t>人</w:t>
            </w:r>
            <w:r>
              <w:rPr>
                <w:rStyle w:val="17"/>
                <w:rFonts w:hint="eastAsia" w:ascii="仿宋" w:hAnsi="仿宋" w:eastAsia="仿宋" w:cs="仿宋"/>
                <w:sz w:val="24"/>
                <w:szCs w:val="24"/>
                <w:lang w:bidi="ar"/>
              </w:rPr>
              <w:t>/</w:t>
            </w:r>
            <w:r>
              <w:rPr>
                <w:rStyle w:val="32"/>
                <w:rFonts w:hint="default" w:ascii="仿宋" w:hAnsi="仿宋" w:eastAsia="仿宋" w:cs="仿宋"/>
                <w:sz w:val="24"/>
                <w:szCs w:val="24"/>
                <w:lang w:bidi="ar"/>
              </w:rPr>
              <w:t>车的，扣</w:t>
            </w:r>
            <w:r>
              <w:rPr>
                <w:rStyle w:val="17"/>
                <w:rFonts w:hint="eastAsia" w:ascii="仿宋" w:hAnsi="仿宋" w:eastAsia="仿宋" w:cs="仿宋"/>
                <w:sz w:val="24"/>
                <w:szCs w:val="24"/>
                <w:lang w:bidi="ar"/>
              </w:rPr>
              <w:t xml:space="preserve"> 1</w:t>
            </w:r>
            <w:r>
              <w:rPr>
                <w:rStyle w:val="32"/>
                <w:rFonts w:hint="default" w:ascii="仿宋" w:hAnsi="仿宋" w:eastAsia="仿宋" w:cs="仿宋"/>
                <w:sz w:val="24"/>
                <w:szCs w:val="24"/>
                <w:lang w:bidi="ar"/>
              </w:rPr>
              <w:t>分，每增加</w:t>
            </w:r>
            <w:r>
              <w:rPr>
                <w:rStyle w:val="17"/>
                <w:rFonts w:hint="eastAsia" w:ascii="仿宋" w:hAnsi="仿宋" w:eastAsia="仿宋" w:cs="仿宋"/>
                <w:sz w:val="24"/>
                <w:szCs w:val="24"/>
                <w:lang w:bidi="ar"/>
              </w:rPr>
              <w:t>0.01</w:t>
            </w:r>
            <w:r>
              <w:rPr>
                <w:rStyle w:val="32"/>
                <w:rFonts w:hint="default" w:ascii="仿宋" w:hAnsi="仿宋" w:eastAsia="仿宋" w:cs="仿宋"/>
                <w:sz w:val="24"/>
                <w:szCs w:val="24"/>
                <w:lang w:bidi="ar"/>
              </w:rPr>
              <w:t>人</w:t>
            </w:r>
            <w:r>
              <w:rPr>
                <w:rStyle w:val="17"/>
                <w:rFonts w:hint="eastAsia" w:ascii="仿宋" w:hAnsi="仿宋" w:eastAsia="仿宋" w:cs="仿宋"/>
                <w:sz w:val="24"/>
                <w:szCs w:val="24"/>
                <w:lang w:bidi="ar"/>
              </w:rPr>
              <w:t>/</w:t>
            </w:r>
            <w:r>
              <w:rPr>
                <w:rStyle w:val="32"/>
                <w:rFonts w:hint="default" w:ascii="仿宋" w:hAnsi="仿宋" w:eastAsia="仿宋" w:cs="仿宋"/>
                <w:sz w:val="24"/>
                <w:szCs w:val="24"/>
                <w:lang w:bidi="ar"/>
              </w:rPr>
              <w:t>车，加扣</w:t>
            </w:r>
            <w:r>
              <w:rPr>
                <w:rStyle w:val="17"/>
                <w:rFonts w:hint="eastAsia" w:ascii="仿宋" w:hAnsi="仿宋" w:eastAsia="仿宋" w:cs="仿宋"/>
                <w:sz w:val="24"/>
                <w:szCs w:val="24"/>
                <w:lang w:bidi="ar"/>
              </w:rPr>
              <w:t>0.2</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公安部门数据共享或日常收集统计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86"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安全风险辨识评估情况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发现一起隐患扣</w:t>
            </w:r>
            <w:r>
              <w:rPr>
                <w:rStyle w:val="17"/>
                <w:rFonts w:hint="eastAsia" w:ascii="仿宋" w:hAnsi="仿宋" w:eastAsia="仿宋" w:cs="仿宋"/>
                <w:sz w:val="24"/>
                <w:szCs w:val="24"/>
                <w:lang w:bidi="ar"/>
              </w:rPr>
              <w:t>0.5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交通部门检查日常收集统计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81"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日周月隐患排查工作落实情况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发现一处隐患扣</w:t>
            </w:r>
            <w:r>
              <w:rPr>
                <w:rStyle w:val="17"/>
                <w:rFonts w:hint="eastAsia" w:ascii="仿宋" w:hAnsi="仿宋" w:eastAsia="仿宋" w:cs="仿宋"/>
                <w:sz w:val="24"/>
                <w:szCs w:val="24"/>
                <w:lang w:bidi="ar"/>
              </w:rPr>
              <w:t>0.5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交通部门检查日常收集统计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1106"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安全生产费用提取制度及落实情况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发现一处隐患扣</w:t>
            </w:r>
            <w:r>
              <w:rPr>
                <w:rStyle w:val="17"/>
                <w:rFonts w:hint="eastAsia" w:ascii="仿宋" w:hAnsi="仿宋" w:eastAsia="仿宋" w:cs="仿宋"/>
                <w:sz w:val="24"/>
                <w:szCs w:val="24"/>
                <w:lang w:bidi="ar"/>
              </w:rPr>
              <w:t>0.5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交通部门检查日常收集统计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企业安全部门、人员设置及履职情况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发现一处隐患扣</w:t>
            </w:r>
            <w:r>
              <w:rPr>
                <w:rStyle w:val="17"/>
                <w:rFonts w:hint="eastAsia" w:ascii="仿宋" w:hAnsi="仿宋" w:eastAsia="仿宋" w:cs="仿宋"/>
                <w:sz w:val="24"/>
                <w:szCs w:val="24"/>
                <w:lang w:bidi="ar"/>
              </w:rPr>
              <w:t>0.5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交通部门检查日常收集统计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106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从业人员教育培训计划及落实情况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发现一处隐患扣</w:t>
            </w:r>
            <w:r>
              <w:rPr>
                <w:rStyle w:val="17"/>
                <w:rFonts w:hint="eastAsia" w:ascii="仿宋" w:hAnsi="仿宋" w:eastAsia="仿宋" w:cs="仿宋"/>
                <w:sz w:val="24"/>
                <w:szCs w:val="24"/>
                <w:lang w:bidi="ar"/>
              </w:rPr>
              <w:t>0.5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交通部门检查日常收集统计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9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0"/>
                <w:rFonts w:hint="default" w:ascii="仿宋" w:hAnsi="仿宋" w:eastAsia="仿宋" w:cs="仿宋"/>
                <w:lang w:bidi="ar"/>
              </w:rPr>
              <w:t>服务质量（</w:t>
            </w:r>
            <w:r>
              <w:rPr>
                <w:rStyle w:val="23"/>
                <w:rFonts w:hint="eastAsia" w:ascii="仿宋" w:hAnsi="仿宋" w:eastAsia="仿宋" w:cs="仿宋"/>
                <w:lang w:bidi="ar"/>
              </w:rPr>
              <w:t>5</w:t>
            </w:r>
            <w:r>
              <w:rPr>
                <w:rStyle w:val="31"/>
                <w:rFonts w:hint="default" w:ascii="仿宋" w:hAnsi="仿宋" w:eastAsia="仿宋" w:cs="仿宋"/>
                <w:sz w:val="24"/>
                <w:szCs w:val="24"/>
                <w:lang w:bidi="ar"/>
              </w:rPr>
              <w:t>分）</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社会投诉率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出现</w:t>
            </w:r>
            <w:r>
              <w:rPr>
                <w:rStyle w:val="17"/>
                <w:rFonts w:hint="eastAsia" w:ascii="仿宋" w:hAnsi="仿宋" w:eastAsia="仿宋" w:cs="仿宋"/>
                <w:sz w:val="24"/>
                <w:szCs w:val="24"/>
                <w:lang w:bidi="ar"/>
              </w:rPr>
              <w:t>1</w:t>
            </w:r>
            <w:r>
              <w:rPr>
                <w:rStyle w:val="32"/>
                <w:rFonts w:hint="default" w:ascii="仿宋" w:hAnsi="仿宋" w:eastAsia="仿宋" w:cs="仿宋"/>
                <w:sz w:val="24"/>
                <w:szCs w:val="24"/>
                <w:lang w:bidi="ar"/>
              </w:rPr>
              <w:t>次投诉扣</w:t>
            </w:r>
            <w:r>
              <w:rPr>
                <w:rStyle w:val="17"/>
                <w:rFonts w:hint="eastAsia" w:ascii="仿宋" w:hAnsi="仿宋" w:eastAsia="仿宋" w:cs="仿宋"/>
                <w:sz w:val="24"/>
                <w:szCs w:val="24"/>
                <w:lang w:bidi="ar"/>
              </w:rPr>
              <w:t>0.5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行业管理日常收集统计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87"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12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0"/>
                <w:rFonts w:hint="default" w:ascii="仿宋" w:hAnsi="仿宋" w:eastAsia="仿宋" w:cs="仿宋"/>
                <w:lang w:bidi="ar"/>
              </w:rPr>
              <w:t>社会责任（</w:t>
            </w:r>
            <w:r>
              <w:rPr>
                <w:rStyle w:val="23"/>
                <w:rFonts w:hint="eastAsia" w:ascii="仿宋" w:hAnsi="仿宋" w:eastAsia="仿宋" w:cs="仿宋"/>
                <w:lang w:bidi="ar"/>
              </w:rPr>
              <w:t>15</w:t>
            </w:r>
            <w:r>
              <w:rPr>
                <w:rStyle w:val="31"/>
                <w:rFonts w:hint="default" w:ascii="仿宋" w:hAnsi="仿宋" w:eastAsia="仿宋" w:cs="仿宋"/>
                <w:sz w:val="24"/>
                <w:szCs w:val="24"/>
                <w:lang w:bidi="ar"/>
              </w:rPr>
              <w:t>分）</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应急预案制定情况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4"/>
                <w:rFonts w:hint="eastAsia" w:ascii="仿宋" w:hAnsi="仿宋" w:eastAsia="仿宋" w:cs="仿宋"/>
                <w:sz w:val="24"/>
                <w:szCs w:val="24"/>
                <w:lang w:bidi="ar"/>
              </w:rPr>
              <w:t>A.</w:t>
            </w:r>
            <w:r>
              <w:rPr>
                <w:rStyle w:val="35"/>
                <w:rFonts w:hint="default" w:ascii="仿宋" w:hAnsi="仿宋" w:eastAsia="仿宋" w:cs="仿宋"/>
                <w:sz w:val="24"/>
                <w:szCs w:val="24"/>
                <w:lang w:bidi="ar"/>
              </w:rPr>
              <w:t>未制定的扣</w:t>
            </w:r>
            <w:r>
              <w:rPr>
                <w:rStyle w:val="34"/>
                <w:rFonts w:hint="eastAsia" w:ascii="仿宋" w:hAnsi="仿宋" w:eastAsia="仿宋" w:cs="仿宋"/>
                <w:sz w:val="24"/>
                <w:szCs w:val="24"/>
                <w:lang w:bidi="ar"/>
              </w:rPr>
              <w:t>5</w:t>
            </w:r>
            <w:r>
              <w:rPr>
                <w:rStyle w:val="35"/>
                <w:rFonts w:hint="default" w:ascii="仿宋" w:hAnsi="仿宋" w:eastAsia="仿宋" w:cs="仿宋"/>
                <w:sz w:val="24"/>
                <w:szCs w:val="24"/>
                <w:lang w:bidi="ar"/>
              </w:rPr>
              <w:t>分；</w:t>
            </w:r>
            <w:r>
              <w:rPr>
                <w:rStyle w:val="34"/>
                <w:rFonts w:hint="eastAsia" w:ascii="仿宋" w:hAnsi="仿宋" w:eastAsia="仿宋" w:cs="仿宋"/>
                <w:sz w:val="24"/>
                <w:szCs w:val="24"/>
                <w:lang w:bidi="ar"/>
              </w:rPr>
              <w:t>B.</w:t>
            </w:r>
            <w:r>
              <w:rPr>
                <w:rStyle w:val="35"/>
                <w:rFonts w:hint="default" w:ascii="仿宋" w:hAnsi="仿宋" w:eastAsia="仿宋" w:cs="仿宋"/>
                <w:sz w:val="24"/>
                <w:szCs w:val="24"/>
                <w:lang w:bidi="ar"/>
              </w:rPr>
              <w:t>未备案扣</w:t>
            </w:r>
            <w:r>
              <w:rPr>
                <w:rStyle w:val="34"/>
                <w:rFonts w:hint="eastAsia" w:ascii="仿宋" w:hAnsi="仿宋" w:eastAsia="仿宋" w:cs="仿宋"/>
                <w:sz w:val="24"/>
                <w:szCs w:val="24"/>
                <w:lang w:bidi="ar"/>
              </w:rPr>
              <w:t>5</w:t>
            </w:r>
            <w:r>
              <w:rPr>
                <w:rStyle w:val="35"/>
                <w:rFonts w:hint="default" w:ascii="仿宋" w:hAnsi="仿宋" w:eastAsia="仿宋" w:cs="仿宋"/>
                <w:sz w:val="24"/>
                <w:szCs w:val="24"/>
                <w:lang w:bidi="ar"/>
              </w:rPr>
              <w:t>分；</w:t>
            </w:r>
            <w:r>
              <w:rPr>
                <w:rStyle w:val="34"/>
                <w:rFonts w:hint="eastAsia" w:ascii="仿宋" w:hAnsi="仿宋" w:eastAsia="仿宋" w:cs="仿宋"/>
                <w:sz w:val="24"/>
                <w:szCs w:val="24"/>
                <w:lang w:bidi="ar"/>
              </w:rPr>
              <w:t>C.</w:t>
            </w:r>
            <w:r>
              <w:rPr>
                <w:rStyle w:val="35"/>
                <w:rFonts w:hint="default" w:ascii="仿宋" w:hAnsi="仿宋" w:eastAsia="仿宋" w:cs="仿宋"/>
                <w:sz w:val="24"/>
                <w:szCs w:val="24"/>
                <w:lang w:bidi="ar"/>
              </w:rPr>
              <w:t>不完善的扣</w:t>
            </w:r>
            <w:r>
              <w:rPr>
                <w:rStyle w:val="34"/>
                <w:rFonts w:hint="eastAsia" w:ascii="仿宋" w:hAnsi="仿宋" w:eastAsia="仿宋" w:cs="仿宋"/>
                <w:sz w:val="24"/>
                <w:szCs w:val="24"/>
                <w:lang w:bidi="ar"/>
              </w:rPr>
              <w:t>3</w:t>
            </w:r>
            <w:r>
              <w:rPr>
                <w:rStyle w:val="35"/>
                <w:rFonts w:hint="default" w:ascii="仿宋" w:hAnsi="仿宋" w:eastAsia="仿宋" w:cs="仿宋"/>
                <w:sz w:val="24"/>
                <w:szCs w:val="24"/>
                <w:lang w:bidi="ar"/>
              </w:rPr>
              <w:t>。</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交通部门检查日常收集统计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25"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应急演练实施情况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未实施扣</w:t>
            </w:r>
            <w:r>
              <w:rPr>
                <w:rStyle w:val="17"/>
                <w:rFonts w:hint="eastAsia" w:ascii="仿宋" w:hAnsi="仿宋" w:eastAsia="仿宋" w:cs="仿宋"/>
                <w:sz w:val="24"/>
                <w:szCs w:val="24"/>
                <w:lang w:bidi="ar"/>
              </w:rPr>
              <w:t>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交通部门检查日常收集统计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企业稳定情况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由于企业管理原因，导致发生违反《信访条例》规定、出现过激行为，情节不严重的，每次扣</w:t>
            </w:r>
            <w:r>
              <w:rPr>
                <w:rStyle w:val="17"/>
                <w:rFonts w:hint="eastAsia" w:ascii="仿宋" w:hAnsi="仿宋" w:eastAsia="仿宋" w:cs="仿宋"/>
                <w:sz w:val="24"/>
                <w:szCs w:val="24"/>
                <w:lang w:bidi="ar"/>
              </w:rPr>
              <w:t>1</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信访、公安等部门数据共享或行业管理日常收集统计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w:t>
            </w:r>
          </w:p>
        </w:tc>
        <w:tc>
          <w:tcPr>
            <w:tcW w:w="12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0"/>
                <w:rFonts w:hint="default" w:ascii="仿宋" w:hAnsi="仿宋" w:eastAsia="仿宋" w:cs="仿宋"/>
                <w:lang w:bidi="ar"/>
              </w:rPr>
              <w:t>加分项目</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指令性运输任务和应急演练完成情况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4"/>
                <w:rFonts w:hint="eastAsia" w:ascii="仿宋" w:hAnsi="仿宋" w:eastAsia="仿宋" w:cs="仿宋"/>
                <w:sz w:val="24"/>
                <w:szCs w:val="24"/>
                <w:lang w:bidi="ar"/>
              </w:rPr>
              <w:t>A.</w:t>
            </w:r>
            <w:r>
              <w:rPr>
                <w:rStyle w:val="35"/>
                <w:rFonts w:hint="default" w:ascii="仿宋" w:hAnsi="仿宋" w:eastAsia="仿宋" w:cs="仿宋"/>
                <w:sz w:val="24"/>
                <w:szCs w:val="24"/>
                <w:lang w:bidi="ar"/>
              </w:rPr>
              <w:t>完成本区县级人民政府、交通行业管理部门指令性应急运输任务和应急演练任务的，加</w:t>
            </w:r>
            <w:r>
              <w:rPr>
                <w:rStyle w:val="34"/>
                <w:rFonts w:hint="eastAsia" w:ascii="仿宋" w:hAnsi="仿宋" w:eastAsia="仿宋" w:cs="仿宋"/>
                <w:sz w:val="24"/>
                <w:szCs w:val="24"/>
                <w:lang w:bidi="ar"/>
              </w:rPr>
              <w:t>1</w:t>
            </w:r>
            <w:r>
              <w:rPr>
                <w:rStyle w:val="35"/>
                <w:rFonts w:hint="default" w:ascii="仿宋" w:hAnsi="仿宋" w:eastAsia="仿宋" w:cs="仿宋"/>
                <w:sz w:val="24"/>
                <w:szCs w:val="24"/>
                <w:lang w:bidi="ar"/>
              </w:rPr>
              <w:t>分；</w:t>
            </w:r>
            <w:r>
              <w:rPr>
                <w:rStyle w:val="34"/>
                <w:rFonts w:hint="eastAsia" w:ascii="仿宋" w:hAnsi="仿宋" w:eastAsia="仿宋" w:cs="仿宋"/>
                <w:sz w:val="24"/>
                <w:szCs w:val="24"/>
                <w:lang w:bidi="ar"/>
              </w:rPr>
              <w:t>B.</w:t>
            </w:r>
            <w:r>
              <w:rPr>
                <w:rStyle w:val="35"/>
                <w:rFonts w:hint="default" w:ascii="仿宋" w:hAnsi="仿宋" w:eastAsia="仿宋" w:cs="仿宋"/>
                <w:sz w:val="24"/>
                <w:szCs w:val="24"/>
                <w:lang w:bidi="ar"/>
              </w:rPr>
              <w:t>完成市级以上人民政府、交通行业管理部门指令性应急运输任务和应急演练任务，加2.</w:t>
            </w:r>
            <w:r>
              <w:rPr>
                <w:rStyle w:val="34"/>
                <w:rFonts w:hint="eastAsia" w:ascii="仿宋" w:hAnsi="仿宋" w:eastAsia="仿宋" w:cs="仿宋"/>
                <w:sz w:val="24"/>
                <w:szCs w:val="24"/>
                <w:lang w:bidi="ar"/>
              </w:rPr>
              <w:t>5</w:t>
            </w:r>
            <w:r>
              <w:rPr>
                <w:rStyle w:val="35"/>
                <w:rFonts w:hint="default" w:ascii="仿宋" w:hAnsi="仿宋" w:eastAsia="仿宋" w:cs="仿宋"/>
                <w:sz w:val="24"/>
                <w:szCs w:val="24"/>
                <w:lang w:bidi="ar"/>
              </w:rPr>
              <w:t>分。（最高不超过2.5分）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6"/>
                <w:rFonts w:hint="default" w:ascii="仿宋" w:hAnsi="仿宋" w:eastAsia="仿宋" w:cs="仿宋"/>
                <w:color w:val="000000"/>
                <w:sz w:val="24"/>
                <w:szCs w:val="24"/>
                <w:lang w:bidi="ar"/>
              </w:rPr>
              <w:t>行业管理日常收集统计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2041"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向行业作出重要贡献事项</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4"/>
                <w:rFonts w:hint="eastAsia" w:ascii="仿宋" w:hAnsi="仿宋" w:eastAsia="仿宋" w:cs="仿宋"/>
                <w:sz w:val="24"/>
                <w:szCs w:val="24"/>
                <w:lang w:bidi="ar"/>
              </w:rPr>
              <w:t>A.</w:t>
            </w:r>
            <w:r>
              <w:rPr>
                <w:rStyle w:val="35"/>
                <w:rFonts w:hint="default" w:ascii="仿宋" w:hAnsi="仿宋" w:eastAsia="仿宋" w:cs="仿宋"/>
                <w:sz w:val="24"/>
                <w:szCs w:val="24"/>
                <w:lang w:bidi="ar"/>
              </w:rPr>
              <w:t>在市级以上道路运输行业杂志发表危险货物道路运输管理专题文章，加</w:t>
            </w:r>
            <w:r>
              <w:rPr>
                <w:rStyle w:val="34"/>
                <w:rFonts w:hint="eastAsia" w:ascii="仿宋" w:hAnsi="仿宋" w:eastAsia="仿宋" w:cs="仿宋"/>
                <w:sz w:val="24"/>
                <w:szCs w:val="24"/>
                <w:lang w:bidi="ar"/>
              </w:rPr>
              <w:t>1</w:t>
            </w:r>
            <w:r>
              <w:rPr>
                <w:rStyle w:val="35"/>
                <w:rFonts w:hint="default" w:ascii="仿宋" w:hAnsi="仿宋" w:eastAsia="仿宋" w:cs="仿宋"/>
                <w:sz w:val="24"/>
                <w:szCs w:val="24"/>
                <w:lang w:bidi="ar"/>
              </w:rPr>
              <w:t>分（</w:t>
            </w:r>
            <w:r>
              <w:rPr>
                <w:rStyle w:val="34"/>
                <w:rFonts w:hint="eastAsia" w:ascii="仿宋" w:hAnsi="仿宋" w:eastAsia="仿宋" w:cs="仿宋"/>
                <w:sz w:val="24"/>
                <w:szCs w:val="24"/>
                <w:lang w:bidi="ar"/>
              </w:rPr>
              <w:t>B.</w:t>
            </w:r>
            <w:r>
              <w:rPr>
                <w:rStyle w:val="35"/>
                <w:rFonts w:hint="default" w:ascii="仿宋" w:hAnsi="仿宋" w:eastAsia="仿宋" w:cs="仿宋"/>
                <w:sz w:val="24"/>
                <w:szCs w:val="24"/>
                <w:lang w:bidi="ar"/>
              </w:rPr>
              <w:t>累计不超过</w:t>
            </w:r>
            <w:r>
              <w:rPr>
                <w:rStyle w:val="34"/>
                <w:rFonts w:hint="eastAsia" w:ascii="仿宋" w:hAnsi="仿宋" w:eastAsia="仿宋" w:cs="仿宋"/>
                <w:sz w:val="24"/>
                <w:szCs w:val="24"/>
                <w:lang w:bidi="ar"/>
              </w:rPr>
              <w:t>2</w:t>
            </w:r>
            <w:r>
              <w:rPr>
                <w:rStyle w:val="35"/>
                <w:rFonts w:hint="default" w:ascii="仿宋" w:hAnsi="仿宋" w:eastAsia="仿宋" w:cs="仿宋"/>
                <w:sz w:val="24"/>
                <w:szCs w:val="24"/>
                <w:lang w:bidi="ar"/>
              </w:rPr>
              <w:t>分）；</w:t>
            </w:r>
            <w:r>
              <w:rPr>
                <w:rStyle w:val="34"/>
                <w:rFonts w:hint="eastAsia" w:ascii="仿宋" w:hAnsi="仿宋" w:eastAsia="仿宋" w:cs="仿宋"/>
                <w:sz w:val="24"/>
                <w:szCs w:val="24"/>
                <w:lang w:bidi="ar"/>
              </w:rPr>
              <w:t>C.</w:t>
            </w:r>
            <w:r>
              <w:rPr>
                <w:rStyle w:val="35"/>
                <w:rFonts w:hint="default" w:ascii="仿宋" w:hAnsi="仿宋" w:eastAsia="仿宋" w:cs="仿宋"/>
                <w:sz w:val="24"/>
                <w:szCs w:val="24"/>
                <w:lang w:bidi="ar"/>
              </w:rPr>
              <w:t>向市级道路运输行业部门提出合理化建议，并被采纳，加2.</w:t>
            </w:r>
            <w:r>
              <w:rPr>
                <w:rStyle w:val="34"/>
                <w:rFonts w:hint="eastAsia" w:ascii="仿宋" w:hAnsi="仿宋" w:eastAsia="仿宋" w:cs="仿宋"/>
                <w:sz w:val="24"/>
                <w:szCs w:val="24"/>
                <w:lang w:bidi="ar"/>
              </w:rPr>
              <w:t>5</w:t>
            </w:r>
            <w:r>
              <w:rPr>
                <w:rStyle w:val="35"/>
                <w:rFonts w:hint="default" w:ascii="仿宋" w:hAnsi="仿宋" w:eastAsia="仿宋" w:cs="仿宋"/>
                <w:sz w:val="24"/>
                <w:szCs w:val="24"/>
                <w:lang w:bidi="ar"/>
              </w:rPr>
              <w:t>分；</w:t>
            </w:r>
            <w:r>
              <w:rPr>
                <w:rStyle w:val="34"/>
                <w:rFonts w:hint="eastAsia" w:ascii="仿宋" w:hAnsi="仿宋" w:eastAsia="仿宋" w:cs="仿宋"/>
                <w:sz w:val="24"/>
                <w:szCs w:val="24"/>
                <w:lang w:bidi="ar"/>
              </w:rPr>
              <w:t>D.</w:t>
            </w:r>
            <w:r>
              <w:rPr>
                <w:rStyle w:val="35"/>
                <w:rFonts w:hint="default" w:ascii="仿宋" w:hAnsi="仿宋" w:eastAsia="仿宋" w:cs="仿宋"/>
                <w:sz w:val="24"/>
                <w:szCs w:val="24"/>
                <w:lang w:bidi="ar"/>
              </w:rPr>
              <w:t>配合行业管理部门参与行业标准制定，加2.</w:t>
            </w:r>
            <w:r>
              <w:rPr>
                <w:rStyle w:val="34"/>
                <w:rFonts w:hint="eastAsia" w:ascii="仿宋" w:hAnsi="仿宋" w:eastAsia="仿宋" w:cs="仿宋"/>
                <w:sz w:val="24"/>
                <w:szCs w:val="24"/>
                <w:lang w:bidi="ar"/>
              </w:rPr>
              <w:t>5</w:t>
            </w:r>
            <w:r>
              <w:rPr>
                <w:rStyle w:val="35"/>
                <w:rFonts w:hint="default" w:ascii="仿宋" w:hAnsi="仿宋" w:eastAsia="仿宋" w:cs="仿宋"/>
                <w:sz w:val="24"/>
                <w:szCs w:val="24"/>
                <w:lang w:bidi="ar"/>
              </w:rPr>
              <w:t>分。（最高不超过2.5分）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6"/>
                <w:rFonts w:hint="default" w:ascii="仿宋" w:hAnsi="仿宋" w:eastAsia="仿宋" w:cs="仿宋"/>
                <w:color w:val="000000"/>
                <w:sz w:val="24"/>
                <w:szCs w:val="24"/>
                <w:lang w:bidi="ar"/>
              </w:rPr>
              <w:t>行业管理日常收集统计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Style w:val="22"/>
                <w:rFonts w:hint="default" w:ascii="仿宋" w:hAnsi="仿宋" w:eastAsia="仿宋" w:cs="仿宋"/>
                <w:color w:val="000000"/>
                <w:lang w:bidi="ar"/>
              </w:rPr>
              <w:t>合计</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18"/>
                <w:rFonts w:hint="eastAsia" w:ascii="仿宋" w:hAnsi="仿宋" w:eastAsia="仿宋" w:cs="仿宋"/>
                <w:sz w:val="24"/>
                <w:szCs w:val="24"/>
                <w:lang w:bidi="ar"/>
              </w:rPr>
              <w:t>100</w:t>
            </w:r>
            <w:r>
              <w:rPr>
                <w:rStyle w:val="37"/>
                <w:rFonts w:hint="default" w:ascii="仿宋" w:hAnsi="仿宋" w:eastAsia="仿宋" w:cs="仿宋"/>
                <w:sz w:val="24"/>
                <w:szCs w:val="24"/>
                <w:lang w:bidi="ar"/>
              </w:rPr>
              <w:t>分</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18"/>
                <w:rFonts w:hint="eastAsia" w:ascii="仿宋" w:hAnsi="仿宋" w:eastAsia="仿宋" w:cs="仿宋"/>
                <w:sz w:val="24"/>
                <w:szCs w:val="24"/>
                <w:lang w:bidi="ar"/>
              </w:rPr>
              <w:t>100</w:t>
            </w:r>
            <w:r>
              <w:rPr>
                <w:rStyle w:val="38"/>
                <w:rFonts w:hint="default" w:ascii="仿宋" w:hAnsi="仿宋" w:eastAsia="仿宋" w:cs="仿宋"/>
                <w:lang w:bidi="ar"/>
              </w:rPr>
              <w:t>分</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198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22"/>
                <w:rFonts w:hint="default" w:ascii="仿宋" w:hAnsi="仿宋" w:eastAsia="仿宋" w:cs="仿宋"/>
                <w:color w:val="000000"/>
                <w:lang w:bidi="ar"/>
              </w:rPr>
              <w:t>评价结论</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0"/>
                <w:rFonts w:hint="default" w:ascii="仿宋" w:hAnsi="仿宋" w:eastAsia="仿宋" w:cs="仿宋"/>
                <w:lang w:bidi="ar"/>
              </w:rPr>
              <w:t>考核等级</w:t>
            </w:r>
          </w:p>
        </w:tc>
        <w:tc>
          <w:tcPr>
            <w:tcW w:w="947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AA□          A□                B□                C□                D□</w:t>
            </w:r>
          </w:p>
        </w:tc>
      </w:tr>
      <w:tr>
        <w:tblPrEx>
          <w:tblCellMar>
            <w:top w:w="0" w:type="dxa"/>
            <w:left w:w="108" w:type="dxa"/>
            <w:bottom w:w="0" w:type="dxa"/>
            <w:right w:w="108" w:type="dxa"/>
          </w:tblCellMar>
        </w:tblPrEx>
        <w:trPr>
          <w:trHeight w:val="90" w:hRule="atLeast"/>
          <w:jc w:val="center"/>
        </w:trPr>
        <w:tc>
          <w:tcPr>
            <w:tcW w:w="19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0"/>
                <w:rFonts w:hint="default" w:ascii="仿宋" w:hAnsi="仿宋" w:eastAsia="仿宋" w:cs="仿宋"/>
                <w:lang w:bidi="ar"/>
              </w:rPr>
              <w:t>评价机构名称</w:t>
            </w:r>
          </w:p>
        </w:tc>
        <w:tc>
          <w:tcPr>
            <w:tcW w:w="947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19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0"/>
                <w:rFonts w:hint="default" w:ascii="仿宋" w:hAnsi="仿宋" w:eastAsia="仿宋" w:cs="仿宋"/>
                <w:lang w:bidi="ar"/>
              </w:rPr>
              <w:t>经办人</w:t>
            </w:r>
          </w:p>
        </w:tc>
        <w:tc>
          <w:tcPr>
            <w:tcW w:w="573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0"/>
                <w:rFonts w:hint="default" w:ascii="仿宋" w:hAnsi="仿宋" w:eastAsia="仿宋" w:cs="仿宋"/>
                <w:lang w:bidi="ar"/>
              </w:rPr>
              <w:t>评价日期</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bl>
    <w:p>
      <w:pPr>
        <w:spacing w:line="280" w:lineRule="exact"/>
        <w:ind w:firstLine="480" w:firstLineChars="200"/>
        <w:rPr>
          <w:rStyle w:val="39"/>
          <w:rFonts w:hint="default"/>
          <w:color w:val="000000"/>
          <w:lang w:bidi="ar"/>
        </w:rPr>
      </w:pPr>
      <w:r>
        <w:rPr>
          <w:rStyle w:val="39"/>
          <w:rFonts w:hint="default"/>
          <w:color w:val="000000"/>
          <w:lang w:bidi="ar"/>
        </w:rPr>
        <w:t>备注（指标释义）：</w:t>
      </w:r>
    </w:p>
    <w:p>
      <w:pPr>
        <w:spacing w:line="280" w:lineRule="exact"/>
        <w:ind w:firstLine="480" w:firstLineChars="200"/>
        <w:rPr>
          <w:rStyle w:val="39"/>
          <w:rFonts w:hint="default"/>
          <w:color w:val="000000"/>
          <w:lang w:bidi="ar"/>
        </w:rPr>
      </w:pPr>
      <w:r>
        <w:rPr>
          <w:rStyle w:val="39"/>
          <w:rFonts w:hint="default"/>
          <w:color w:val="000000"/>
          <w:lang w:bidi="ar"/>
        </w:rPr>
        <w:t>一、道路运输事务机构需建立的信用档案包括：《重庆市危险货物道路运输经营者信用考核综合评价表》、表内非系统自动统计数据记录的相关佐证材料、区县道路运输事务机构在日常管理工作中收集的危险货物道路运输经营者（以下简称危货经营者）信用考核相关信息（资料）等。信用考核档案保存期限不少于</w:t>
      </w:r>
      <w:r>
        <w:rPr>
          <w:rStyle w:val="40"/>
          <w:color w:val="000000"/>
          <w:lang w:bidi="ar"/>
        </w:rPr>
        <w:t>3</w:t>
      </w:r>
      <w:r>
        <w:rPr>
          <w:rStyle w:val="39"/>
          <w:rFonts w:hint="default"/>
          <w:color w:val="000000"/>
          <w:lang w:bidi="ar"/>
        </w:rPr>
        <w:t>年。</w:t>
      </w:r>
    </w:p>
    <w:p>
      <w:pPr>
        <w:spacing w:line="280" w:lineRule="exact"/>
        <w:ind w:firstLine="480" w:firstLineChars="200"/>
        <w:rPr>
          <w:rStyle w:val="39"/>
          <w:rFonts w:hint="default"/>
          <w:color w:val="000000"/>
          <w:spacing w:val="-6"/>
          <w:lang w:bidi="ar"/>
        </w:rPr>
      </w:pPr>
      <w:r>
        <w:rPr>
          <w:rStyle w:val="39"/>
          <w:rFonts w:hint="default"/>
          <w:color w:val="000000"/>
          <w:lang w:bidi="ar"/>
        </w:rPr>
        <w:t>二、违法</w:t>
      </w:r>
      <w:r>
        <w:rPr>
          <w:rStyle w:val="39"/>
          <w:rFonts w:hint="default"/>
          <w:color w:val="000000"/>
          <w:spacing w:val="-6"/>
          <w:lang w:bidi="ar"/>
        </w:rPr>
        <w:t>违规指：危货经营者、危货运输从业人员违反道路交通安全及道路运输相关法律法规的规定，受到行政处罚的行为。</w:t>
      </w:r>
    </w:p>
    <w:p>
      <w:pPr>
        <w:spacing w:line="280" w:lineRule="exact"/>
        <w:ind w:firstLine="480" w:firstLineChars="200"/>
        <w:rPr>
          <w:rStyle w:val="39"/>
          <w:rFonts w:hint="default"/>
          <w:color w:val="000000"/>
          <w:lang w:bidi="ar"/>
        </w:rPr>
      </w:pPr>
      <w:r>
        <w:rPr>
          <w:rStyle w:val="39"/>
          <w:rFonts w:hint="default"/>
          <w:color w:val="000000"/>
          <w:lang w:bidi="ar"/>
        </w:rPr>
        <w:t>三、违反高速公路禁行规定指：根据相关部门的通报以及日常管理工作收集的相关信息，认定危货车辆违反高速公路禁行规定的行为。</w:t>
      </w:r>
    </w:p>
    <w:p>
      <w:pPr>
        <w:spacing w:line="280" w:lineRule="exact"/>
        <w:ind w:firstLine="480" w:firstLineChars="200"/>
        <w:rPr>
          <w:rStyle w:val="39"/>
          <w:rFonts w:hint="default"/>
          <w:color w:val="000000"/>
          <w:lang w:bidi="ar"/>
        </w:rPr>
      </w:pPr>
      <w:r>
        <w:rPr>
          <w:rStyle w:val="39"/>
          <w:rFonts w:hint="default"/>
          <w:color w:val="000000"/>
          <w:lang w:bidi="ar"/>
        </w:rPr>
        <w:t>四、交通责任事故指：考核周期内危货经营者承担同责及同责以上、有人员伤亡的交通事故。</w:t>
      </w:r>
    </w:p>
    <w:p>
      <w:pPr>
        <w:spacing w:line="280" w:lineRule="exact"/>
        <w:ind w:firstLine="480" w:firstLineChars="200"/>
        <w:rPr>
          <w:color w:val="000000"/>
        </w:rPr>
      </w:pPr>
      <w:r>
        <w:rPr>
          <w:rStyle w:val="39"/>
          <w:rFonts w:hint="default"/>
          <w:color w:val="000000"/>
          <w:lang w:bidi="ar"/>
        </w:rPr>
        <w:t>五、社会投诉指：危货经营者及其从业人员违反有关规定，损害他人正当权益，货主、其他相关人向交通行业管理部门进行投诉，或新闻媒体对经营者的服务质量事件曝光，经查属实的。</w:t>
      </w:r>
    </w:p>
    <w:p>
      <w:pPr>
        <w:snapToGrid w:val="0"/>
        <w:rPr>
          <w:rFonts w:hint="eastAsia" w:ascii="方正黑体_GBK" w:hAnsi="方正黑体_GBK" w:eastAsia="方正黑体_GBK" w:cs="方正黑体_GBK"/>
          <w:color w:val="000000"/>
          <w:sz w:val="32"/>
          <w:szCs w:val="32"/>
        </w:rPr>
      </w:pPr>
    </w:p>
    <w:p>
      <w:pPr>
        <w:snapToGrid w:val="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附件1-4</w:t>
      </w:r>
    </w:p>
    <w:p>
      <w:pPr>
        <w:snapToGrid w:val="0"/>
        <w:rPr>
          <w:rFonts w:hint="eastAsia" w:ascii="方正黑体_GBK" w:hAnsi="方正黑体_GBK" w:eastAsia="方正黑体_GBK" w:cs="方正黑体_GBK"/>
          <w:color w:val="000000"/>
          <w:sz w:val="32"/>
          <w:szCs w:val="32"/>
        </w:rPr>
      </w:pPr>
    </w:p>
    <w:p>
      <w:pPr>
        <w:snapToGrid w:val="0"/>
        <w:jc w:val="center"/>
        <w:rPr>
          <w:rFonts w:eastAsia="方正小标宋_GBK"/>
          <w:color w:val="000000"/>
          <w:sz w:val="44"/>
          <w:szCs w:val="44"/>
        </w:rPr>
      </w:pPr>
      <w:r>
        <w:rPr>
          <w:rFonts w:eastAsia="方正小标宋_GBK"/>
          <w:color w:val="000000"/>
          <w:sz w:val="44"/>
          <w:szCs w:val="44"/>
        </w:rPr>
        <w:t>重庆市公共汽车客运企业信用评价标准</w:t>
      </w:r>
    </w:p>
    <w:p>
      <w:pPr>
        <w:snapToGrid w:val="0"/>
        <w:ind w:firstLine="99" w:firstLineChars="41"/>
        <w:rPr>
          <w:rFonts w:eastAsia="仿宋_GB2312"/>
          <w:b/>
          <w:color w:val="000000"/>
          <w:sz w:val="24"/>
          <w:szCs w:val="24"/>
        </w:rPr>
      </w:pPr>
    </w:p>
    <w:p>
      <w:pPr>
        <w:snapToGrid w:val="0"/>
        <w:ind w:firstLine="560" w:firstLineChars="200"/>
        <w:rPr>
          <w:rFonts w:eastAsia="方正仿宋_GBK"/>
          <w:color w:val="000000"/>
          <w:sz w:val="30"/>
          <w:szCs w:val="30"/>
        </w:rPr>
      </w:pPr>
      <w:r>
        <w:rPr>
          <w:rFonts w:eastAsia="方正仿宋_GBK"/>
          <w:color w:val="000000"/>
          <w:sz w:val="28"/>
          <w:szCs w:val="28"/>
        </w:rPr>
        <w:t>被评价企业：                                                      评价年度</w:t>
      </w:r>
      <w:r>
        <w:rPr>
          <w:rFonts w:hint="eastAsia" w:eastAsia="方正仿宋_GBK"/>
          <w:color w:val="000000"/>
          <w:sz w:val="28"/>
          <w:szCs w:val="28"/>
        </w:rPr>
        <w:t>：</w:t>
      </w:r>
    </w:p>
    <w:tbl>
      <w:tblPr>
        <w:tblStyle w:val="7"/>
        <w:tblpPr w:leftFromText="180" w:rightFromText="180" w:vertAnchor="text" w:tblpX="15506" w:tblpY="-23687"/>
        <w:tblOverlap w:val="never"/>
        <w:tblW w:w="0" w:type="auto"/>
        <w:tblInd w:w="0" w:type="dxa"/>
        <w:tblLayout w:type="fixed"/>
        <w:tblCellMar>
          <w:top w:w="0" w:type="dxa"/>
          <w:left w:w="108" w:type="dxa"/>
          <w:bottom w:w="0" w:type="dxa"/>
          <w:right w:w="108" w:type="dxa"/>
        </w:tblCellMar>
      </w:tblPr>
      <w:tblGrid>
        <w:gridCol w:w="1970"/>
      </w:tblGrid>
      <w:tr>
        <w:trPr>
          <w:trHeight w:val="30" w:hRule="atLeast"/>
        </w:trPr>
        <w:tc>
          <w:tcPr>
            <w:tcW w:w="1970" w:type="dxa"/>
            <w:noWrap w:val="0"/>
            <w:vAlign w:val="top"/>
          </w:tcPr>
          <w:p>
            <w:pPr>
              <w:spacing w:line="280" w:lineRule="exact"/>
              <w:rPr>
                <w:rFonts w:eastAsia="方正仿宋_GBK"/>
                <w:color w:val="000000"/>
                <w:szCs w:val="21"/>
              </w:rPr>
            </w:pPr>
          </w:p>
        </w:tc>
      </w:tr>
      <w:tr>
        <w:tblPrEx>
          <w:tblCellMar>
            <w:top w:w="0" w:type="dxa"/>
            <w:left w:w="108" w:type="dxa"/>
            <w:bottom w:w="0" w:type="dxa"/>
            <w:right w:w="108" w:type="dxa"/>
          </w:tblCellMar>
        </w:tblPrEx>
        <w:trPr>
          <w:trHeight w:val="30" w:hRule="atLeast"/>
        </w:trPr>
        <w:tc>
          <w:tcPr>
            <w:tcW w:w="1970" w:type="dxa"/>
            <w:noWrap w:val="0"/>
            <w:vAlign w:val="top"/>
          </w:tcPr>
          <w:p>
            <w:pPr>
              <w:spacing w:line="280" w:lineRule="exact"/>
              <w:rPr>
                <w:rFonts w:eastAsia="方正仿宋_GBK"/>
                <w:color w:val="000000"/>
                <w:szCs w:val="21"/>
              </w:rPr>
            </w:pPr>
          </w:p>
        </w:tc>
      </w:tr>
    </w:tbl>
    <w:p>
      <w:pPr>
        <w:rPr>
          <w:vanish/>
        </w:rPr>
      </w:pPr>
    </w:p>
    <w:tbl>
      <w:tblPr>
        <w:tblStyle w:val="7"/>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184"/>
        <w:gridCol w:w="1290"/>
        <w:gridCol w:w="602"/>
        <w:gridCol w:w="4723"/>
        <w:gridCol w:w="275"/>
        <w:gridCol w:w="1386"/>
        <w:gridCol w:w="2425"/>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1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方正仿宋_GBK"/>
                <w:bCs/>
                <w:color w:val="000000"/>
                <w:sz w:val="24"/>
                <w:szCs w:val="24"/>
              </w:rPr>
            </w:pPr>
            <w:r>
              <w:rPr>
                <w:rFonts w:hint="eastAsia" w:ascii="黑体" w:hAnsi="黑体" w:eastAsia="黑体" w:cs="方正仿宋_GBK"/>
                <w:bCs/>
                <w:color w:val="000000"/>
                <w:sz w:val="24"/>
                <w:szCs w:val="24"/>
              </w:rPr>
              <w:t>序号</w:t>
            </w:r>
          </w:p>
        </w:tc>
        <w:tc>
          <w:tcPr>
            <w:tcW w:w="4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方正仿宋_GBK"/>
                <w:bCs/>
                <w:color w:val="000000"/>
                <w:sz w:val="24"/>
                <w:szCs w:val="24"/>
              </w:rPr>
            </w:pPr>
            <w:r>
              <w:rPr>
                <w:rFonts w:hint="eastAsia" w:ascii="黑体" w:hAnsi="黑体" w:eastAsia="黑体" w:cs="方正仿宋_GBK"/>
                <w:bCs/>
                <w:color w:val="000000"/>
                <w:sz w:val="24"/>
                <w:szCs w:val="24"/>
              </w:rPr>
              <w:t>一级指标及分值</w:t>
            </w:r>
          </w:p>
        </w:tc>
        <w:tc>
          <w:tcPr>
            <w:tcW w:w="49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方正仿宋_GBK"/>
                <w:bCs/>
                <w:color w:val="000000"/>
                <w:sz w:val="24"/>
                <w:szCs w:val="24"/>
              </w:rPr>
            </w:pPr>
            <w:r>
              <w:rPr>
                <w:rFonts w:hint="eastAsia" w:ascii="黑体" w:hAnsi="黑体" w:eastAsia="黑体" w:cs="方正仿宋_GBK"/>
                <w:bCs/>
                <w:color w:val="000000"/>
                <w:sz w:val="24"/>
                <w:szCs w:val="24"/>
              </w:rPr>
              <w:t>二级指标</w:t>
            </w:r>
          </w:p>
        </w:tc>
        <w:tc>
          <w:tcPr>
            <w:tcW w:w="23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方正仿宋_GBK"/>
                <w:bCs/>
                <w:color w:val="000000"/>
                <w:sz w:val="24"/>
                <w:szCs w:val="24"/>
              </w:rPr>
            </w:pPr>
            <w:r>
              <w:rPr>
                <w:rFonts w:hint="eastAsia" w:ascii="黑体" w:hAnsi="黑体" w:eastAsia="黑体" w:cs="方正仿宋_GBK"/>
                <w:bCs/>
                <w:color w:val="000000"/>
                <w:sz w:val="24"/>
                <w:szCs w:val="24"/>
              </w:rPr>
              <w:t>分值</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方正仿宋_GBK"/>
                <w:bCs/>
                <w:color w:val="000000"/>
                <w:sz w:val="24"/>
                <w:szCs w:val="24"/>
              </w:rPr>
            </w:pPr>
            <w:r>
              <w:rPr>
                <w:rFonts w:hint="eastAsia" w:ascii="黑体" w:hAnsi="黑体" w:eastAsia="黑体" w:cs="方正仿宋_GBK"/>
                <w:bCs/>
                <w:color w:val="000000"/>
                <w:sz w:val="24"/>
                <w:szCs w:val="24"/>
              </w:rPr>
              <w:t>评分标准</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方正仿宋_GBK"/>
                <w:bCs/>
                <w:color w:val="000000"/>
                <w:sz w:val="24"/>
                <w:szCs w:val="24"/>
              </w:rPr>
            </w:pPr>
            <w:r>
              <w:rPr>
                <w:rFonts w:hint="eastAsia" w:ascii="黑体" w:hAnsi="黑体" w:eastAsia="黑体" w:cs="方正仿宋_GBK"/>
                <w:bCs/>
                <w:color w:val="000000"/>
                <w:sz w:val="24"/>
                <w:szCs w:val="24"/>
              </w:rPr>
              <w:t>数据来源</w:t>
            </w:r>
          </w:p>
        </w:tc>
        <w:tc>
          <w:tcPr>
            <w:tcW w:w="24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方正仿宋_GBK"/>
                <w:bCs/>
                <w:color w:val="000000"/>
                <w:sz w:val="24"/>
                <w:szCs w:val="24"/>
              </w:rPr>
            </w:pPr>
            <w:r>
              <w:rPr>
                <w:rFonts w:hint="eastAsia" w:ascii="黑体" w:hAnsi="黑体" w:eastAsia="黑体" w:cs="方正仿宋_GBK"/>
                <w:bCs/>
                <w:color w:val="00000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7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1</w:t>
            </w:r>
          </w:p>
        </w:tc>
        <w:tc>
          <w:tcPr>
            <w:tcW w:w="455"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经营管理</w:t>
            </w:r>
          </w:p>
          <w:p>
            <w:pPr>
              <w:spacing w:line="280" w:lineRule="exact"/>
              <w:jc w:val="center"/>
              <w:rPr>
                <w:rFonts w:eastAsia="方正仿宋_GBK"/>
                <w:color w:val="000000"/>
                <w:szCs w:val="21"/>
              </w:rPr>
            </w:pPr>
            <w:r>
              <w:rPr>
                <w:rFonts w:eastAsia="方正仿宋_GBK"/>
                <w:color w:val="000000"/>
                <w:szCs w:val="21"/>
              </w:rPr>
              <w:t>（20分）</w:t>
            </w:r>
          </w:p>
          <w:p>
            <w:pPr>
              <w:spacing w:line="280" w:lineRule="exact"/>
              <w:jc w:val="center"/>
              <w:rPr>
                <w:rFonts w:eastAsia="方正仿宋_GBK"/>
                <w:color w:val="000000"/>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eastAsia="方正仿宋_GBK"/>
                <w:bCs/>
                <w:color w:val="000000"/>
                <w:szCs w:val="21"/>
              </w:rPr>
            </w:pPr>
            <w:r>
              <w:rPr>
                <w:rFonts w:eastAsia="方正仿宋_GBK"/>
                <w:bCs/>
                <w:color w:val="000000"/>
                <w:szCs w:val="21"/>
              </w:rPr>
              <w:t>上级决策执行情况</w:t>
            </w: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bCs/>
                <w:color w:val="000000"/>
                <w:szCs w:val="21"/>
              </w:rPr>
              <w:t>8</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未贯彻落实市、</w:t>
            </w:r>
            <w:r>
              <w:rPr>
                <w:rFonts w:hint="eastAsia" w:eastAsia="方正仿宋_GBK"/>
                <w:color w:val="000000"/>
                <w:szCs w:val="21"/>
              </w:rPr>
              <w:t>区县党委</w:t>
            </w:r>
            <w:r>
              <w:rPr>
                <w:rFonts w:eastAsia="方正仿宋_GBK"/>
                <w:color w:val="000000"/>
                <w:szCs w:val="21"/>
              </w:rPr>
              <w:t>政府及行业主管部门决策部署，未完成下达的工作任务的，根据落实和完成情况综合评分。</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市、区</w:t>
            </w:r>
            <w:r>
              <w:rPr>
                <w:rFonts w:hint="eastAsia" w:eastAsia="方正仿宋_GBK"/>
                <w:color w:val="000000"/>
                <w:szCs w:val="21"/>
              </w:rPr>
              <w:t>县交通主管部门</w:t>
            </w:r>
            <w:r>
              <w:rPr>
                <w:rFonts w:eastAsia="方正仿宋_GBK"/>
                <w:color w:val="000000"/>
                <w:szCs w:val="21"/>
              </w:rPr>
              <w:t>记录。</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2</w:t>
            </w:r>
          </w:p>
        </w:tc>
        <w:tc>
          <w:tcPr>
            <w:tcW w:w="455" w:type="pct"/>
            <w:vMerge w:val="continue"/>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eastAsia="方正仿宋_GBK"/>
                <w:color w:val="000000"/>
                <w:szCs w:val="21"/>
              </w:rPr>
            </w:pPr>
            <w:r>
              <w:rPr>
                <w:rFonts w:eastAsia="方正仿宋_GBK"/>
                <w:color w:val="000000"/>
                <w:szCs w:val="21"/>
              </w:rPr>
              <w:t>经营违法率</w:t>
            </w: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6</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经营违法率大于0.05次/辆的，每多0.01次/辆，扣</w:t>
            </w:r>
            <w:r>
              <w:rPr>
                <w:rFonts w:hint="eastAsia" w:eastAsia="方正仿宋_GBK"/>
                <w:color w:val="000000"/>
                <w:szCs w:val="21"/>
              </w:rPr>
              <w:t>0.5</w:t>
            </w:r>
            <w:r>
              <w:rPr>
                <w:rFonts w:eastAsia="方正仿宋_GBK"/>
                <w:color w:val="000000"/>
                <w:szCs w:val="21"/>
              </w:rPr>
              <w:t>分。被处以停业整顿的，评价结果直接确定为最低等次。</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交通运输行政执法机构处罚记录、企业报表。经营违法指企业及其从业人员经营行为违反道路运输法律法规受到交通运输行政执法机构处罚。经营违法率=经营违法次数/企业年末在册公交车辆数。</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17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3</w:t>
            </w:r>
          </w:p>
        </w:tc>
        <w:tc>
          <w:tcPr>
            <w:tcW w:w="455"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eastAsia="方正仿宋_GBK"/>
                <w:color w:val="000000"/>
                <w:szCs w:val="21"/>
              </w:rPr>
            </w:pPr>
            <w:r>
              <w:rPr>
                <w:rFonts w:eastAsia="方正仿宋_GBK"/>
                <w:color w:val="000000"/>
                <w:szCs w:val="21"/>
              </w:rPr>
              <w:t>诚信经营</w:t>
            </w: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6</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违反线路特许经营协议约定运营服务要求的，每次扣</w:t>
            </w:r>
            <w:r>
              <w:rPr>
                <w:rFonts w:hint="eastAsia" w:eastAsia="方正仿宋_GBK"/>
                <w:color w:val="000000"/>
                <w:szCs w:val="21"/>
              </w:rPr>
              <w:t>0.5</w:t>
            </w:r>
            <w:r>
              <w:rPr>
                <w:rFonts w:eastAsia="方正仿宋_GBK"/>
                <w:color w:val="000000"/>
                <w:szCs w:val="21"/>
              </w:rPr>
              <w:t>分；无故擅自暂停、终止线路运营，或未取得线路特许经营权擅自开行线路的，每次扣</w:t>
            </w:r>
            <w:r>
              <w:rPr>
                <w:rFonts w:hint="eastAsia" w:eastAsia="方正仿宋_GBK"/>
                <w:color w:val="000000"/>
                <w:szCs w:val="21"/>
              </w:rPr>
              <w:t>1</w:t>
            </w:r>
            <w:r>
              <w:rPr>
                <w:rFonts w:eastAsia="方正仿宋_GBK"/>
                <w:color w:val="000000"/>
                <w:szCs w:val="21"/>
              </w:rPr>
              <w:t>分。</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市、区</w:t>
            </w:r>
            <w:r>
              <w:rPr>
                <w:rFonts w:hint="eastAsia" w:eastAsia="方正仿宋_GBK"/>
                <w:color w:val="000000"/>
                <w:szCs w:val="21"/>
              </w:rPr>
              <w:t>县</w:t>
            </w:r>
            <w:r>
              <w:rPr>
                <w:rFonts w:eastAsia="方正仿宋_GBK"/>
                <w:color w:val="000000"/>
                <w:szCs w:val="21"/>
              </w:rPr>
              <w:t>交通主管部门日常抽查记录。</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4</w:t>
            </w:r>
          </w:p>
        </w:tc>
        <w:tc>
          <w:tcPr>
            <w:tcW w:w="455" w:type="pct"/>
            <w:vMerge w:val="restar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p>
            <w:pPr>
              <w:spacing w:line="280" w:lineRule="exact"/>
              <w:jc w:val="center"/>
              <w:rPr>
                <w:rFonts w:eastAsia="方正仿宋_GBK"/>
                <w:color w:val="000000"/>
                <w:szCs w:val="21"/>
              </w:rPr>
            </w:pPr>
            <w:r>
              <w:rPr>
                <w:rFonts w:eastAsia="方正仿宋_GBK"/>
                <w:color w:val="000000"/>
                <w:szCs w:val="21"/>
              </w:rPr>
              <w:t>安全生产</w:t>
            </w:r>
          </w:p>
          <w:p>
            <w:pPr>
              <w:spacing w:line="280" w:lineRule="exact"/>
              <w:jc w:val="center"/>
              <w:rPr>
                <w:rFonts w:eastAsia="方正仿宋_GBK"/>
                <w:color w:val="000000"/>
                <w:szCs w:val="21"/>
              </w:rPr>
            </w:pPr>
            <w:r>
              <w:rPr>
                <w:rFonts w:eastAsia="方正仿宋_GBK"/>
                <w:color w:val="000000"/>
                <w:szCs w:val="21"/>
              </w:rPr>
              <w:t>（30分）</w:t>
            </w:r>
          </w:p>
        </w:tc>
        <w:tc>
          <w:tcPr>
            <w:tcW w:w="497" w:type="pct"/>
            <w:tcBorders>
              <w:top w:val="single" w:color="auto" w:sz="4" w:space="0"/>
              <w:left w:val="single" w:color="auto" w:sz="4" w:space="0"/>
              <w:bottom w:val="single" w:color="auto" w:sz="4" w:space="0"/>
              <w:right w:val="single" w:color="auto" w:sz="4" w:space="0"/>
            </w:tcBorders>
            <w:noWrap w:val="0"/>
            <w:vAlign w:val="center"/>
          </w:tcPr>
          <w:p>
            <w:pPr>
              <w:pStyle w:val="41"/>
              <w:rPr>
                <w:rFonts w:eastAsia="方正仿宋_GBK"/>
                <w:sz w:val="21"/>
                <w:szCs w:val="21"/>
              </w:rPr>
            </w:pPr>
            <w:r>
              <w:rPr>
                <w:rFonts w:eastAsia="方正仿宋_GBK"/>
                <w:sz w:val="21"/>
                <w:szCs w:val="21"/>
              </w:rPr>
              <w:t>制度落实</w:t>
            </w:r>
          </w:p>
        </w:tc>
        <w:tc>
          <w:tcPr>
            <w:tcW w:w="232" w:type="pct"/>
            <w:tcBorders>
              <w:top w:val="single" w:color="auto" w:sz="4" w:space="0"/>
              <w:left w:val="single" w:color="auto" w:sz="4" w:space="0"/>
              <w:bottom w:val="single" w:color="auto" w:sz="4" w:space="0"/>
              <w:right w:val="single" w:color="auto" w:sz="4" w:space="0"/>
            </w:tcBorders>
            <w:noWrap w:val="0"/>
            <w:vAlign w:val="center"/>
          </w:tcPr>
          <w:p>
            <w:pPr>
              <w:pStyle w:val="41"/>
              <w:rPr>
                <w:rFonts w:eastAsia="方正仿宋_GBK"/>
                <w:sz w:val="21"/>
                <w:szCs w:val="21"/>
              </w:rPr>
            </w:pPr>
            <w:r>
              <w:rPr>
                <w:rFonts w:hint="eastAsia" w:eastAsia="方正仿宋_GBK"/>
                <w:sz w:val="21"/>
                <w:szCs w:val="21"/>
              </w:rPr>
              <w:t>10</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pStyle w:val="41"/>
              <w:rPr>
                <w:rFonts w:eastAsia="方正仿宋_GBK"/>
                <w:sz w:val="21"/>
                <w:szCs w:val="21"/>
              </w:rPr>
            </w:pPr>
            <w:r>
              <w:rPr>
                <w:rFonts w:eastAsia="方正仿宋_GBK"/>
                <w:sz w:val="21"/>
                <w:szCs w:val="21"/>
              </w:rPr>
              <w:t>安全生产责任制、车辆维护保养、动态监控、人员聘用与教育培训、应急管理等各项安全生产管理制度未落实的，每项次扣0.</w:t>
            </w:r>
            <w:r>
              <w:rPr>
                <w:rFonts w:hint="eastAsia" w:eastAsia="方正仿宋_GBK"/>
                <w:sz w:val="21"/>
                <w:szCs w:val="21"/>
              </w:rPr>
              <w:t>2</w:t>
            </w:r>
            <w:r>
              <w:rPr>
                <w:rFonts w:eastAsia="方正仿宋_GBK"/>
                <w:sz w:val="21"/>
                <w:szCs w:val="21"/>
              </w:rPr>
              <w:t>分。</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市、区</w:t>
            </w:r>
            <w:r>
              <w:rPr>
                <w:rFonts w:hint="eastAsia" w:eastAsia="方正仿宋_GBK"/>
                <w:color w:val="000000"/>
                <w:szCs w:val="21"/>
              </w:rPr>
              <w:t>县</w:t>
            </w:r>
            <w:r>
              <w:rPr>
                <w:rFonts w:eastAsia="方正仿宋_GBK"/>
                <w:color w:val="000000"/>
                <w:szCs w:val="21"/>
              </w:rPr>
              <w:t>交通主管部门及综合执法机构检查记录。</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5</w:t>
            </w:r>
          </w:p>
        </w:tc>
        <w:tc>
          <w:tcPr>
            <w:tcW w:w="455" w:type="pct"/>
            <w:vMerge w:val="continue"/>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pStyle w:val="41"/>
              <w:rPr>
                <w:rFonts w:eastAsia="方正仿宋_GBK"/>
                <w:sz w:val="21"/>
                <w:szCs w:val="21"/>
              </w:rPr>
            </w:pPr>
            <w:r>
              <w:rPr>
                <w:rFonts w:eastAsia="方正仿宋_GBK"/>
                <w:sz w:val="21"/>
                <w:szCs w:val="21"/>
              </w:rPr>
              <w:t>道路交通安全违法率</w:t>
            </w:r>
          </w:p>
        </w:tc>
        <w:tc>
          <w:tcPr>
            <w:tcW w:w="232" w:type="pct"/>
            <w:tcBorders>
              <w:top w:val="single" w:color="auto" w:sz="4" w:space="0"/>
              <w:left w:val="single" w:color="auto" w:sz="4" w:space="0"/>
              <w:bottom w:val="single" w:color="auto" w:sz="4" w:space="0"/>
              <w:right w:val="single" w:color="auto" w:sz="4" w:space="0"/>
            </w:tcBorders>
            <w:noWrap w:val="0"/>
            <w:vAlign w:val="center"/>
          </w:tcPr>
          <w:p>
            <w:pPr>
              <w:pStyle w:val="41"/>
              <w:rPr>
                <w:rFonts w:eastAsia="方正仿宋_GBK"/>
                <w:sz w:val="21"/>
                <w:szCs w:val="21"/>
              </w:rPr>
            </w:pPr>
            <w:r>
              <w:rPr>
                <w:rFonts w:hint="eastAsia" w:eastAsia="方正仿宋_GBK"/>
                <w:sz w:val="21"/>
                <w:szCs w:val="21"/>
              </w:rPr>
              <w:t>4</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pStyle w:val="41"/>
              <w:rPr>
                <w:rFonts w:eastAsia="方正仿宋_GBK"/>
                <w:sz w:val="21"/>
                <w:szCs w:val="21"/>
              </w:rPr>
            </w:pPr>
            <w:r>
              <w:rPr>
                <w:rFonts w:eastAsia="方正仿宋_GBK"/>
                <w:sz w:val="21"/>
                <w:szCs w:val="21"/>
              </w:rPr>
              <w:t>道路交通安全违法率在0.3—0.4次/辆之间的扣</w:t>
            </w:r>
            <w:r>
              <w:rPr>
                <w:rFonts w:hint="eastAsia" w:eastAsia="方正仿宋_GBK"/>
                <w:sz w:val="21"/>
                <w:szCs w:val="21"/>
              </w:rPr>
              <w:t>0.5</w:t>
            </w:r>
            <w:r>
              <w:rPr>
                <w:rFonts w:eastAsia="方正仿宋_GBK"/>
                <w:sz w:val="21"/>
                <w:szCs w:val="21"/>
              </w:rPr>
              <w:t>分，在0.4—0.5次/辆之间扣</w:t>
            </w:r>
            <w:r>
              <w:rPr>
                <w:rFonts w:hint="eastAsia" w:eastAsia="方正仿宋_GBK"/>
                <w:sz w:val="21"/>
                <w:szCs w:val="21"/>
              </w:rPr>
              <w:t>2</w:t>
            </w:r>
            <w:r>
              <w:rPr>
                <w:rFonts w:eastAsia="方正仿宋_GBK"/>
                <w:sz w:val="21"/>
                <w:szCs w:val="21"/>
              </w:rPr>
              <w:t>分，大于0.5次/辆的扣</w:t>
            </w:r>
            <w:r>
              <w:rPr>
                <w:rFonts w:hint="eastAsia" w:eastAsia="方正仿宋_GBK"/>
                <w:sz w:val="21"/>
                <w:szCs w:val="21"/>
              </w:rPr>
              <w:t>4</w:t>
            </w:r>
            <w:r>
              <w:rPr>
                <w:rFonts w:eastAsia="方正仿宋_GBK"/>
                <w:sz w:val="21"/>
                <w:szCs w:val="21"/>
              </w:rPr>
              <w:t>分。</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公安交通管理部门处罚记录、企业报表。道路交通安全违法率=年度道路交通安全违法次数/企业年末在册公交车辆数。</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6</w:t>
            </w:r>
          </w:p>
        </w:tc>
        <w:tc>
          <w:tcPr>
            <w:tcW w:w="455" w:type="pct"/>
            <w:vMerge w:val="continue"/>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pStyle w:val="41"/>
              <w:rPr>
                <w:rFonts w:eastAsia="方正仿宋_GBK"/>
                <w:sz w:val="21"/>
                <w:szCs w:val="21"/>
              </w:rPr>
            </w:pPr>
            <w:r>
              <w:rPr>
                <w:rFonts w:eastAsia="方正仿宋_GBK"/>
                <w:sz w:val="21"/>
                <w:szCs w:val="21"/>
              </w:rPr>
              <w:t>公共汽车责任事故死亡率</w:t>
            </w:r>
          </w:p>
        </w:tc>
        <w:tc>
          <w:tcPr>
            <w:tcW w:w="232" w:type="pct"/>
            <w:tcBorders>
              <w:top w:val="single" w:color="auto" w:sz="4" w:space="0"/>
              <w:left w:val="single" w:color="auto" w:sz="4" w:space="0"/>
              <w:bottom w:val="single" w:color="auto" w:sz="4" w:space="0"/>
              <w:right w:val="single" w:color="auto" w:sz="4" w:space="0"/>
            </w:tcBorders>
            <w:noWrap w:val="0"/>
            <w:vAlign w:val="center"/>
          </w:tcPr>
          <w:p>
            <w:pPr>
              <w:pStyle w:val="41"/>
              <w:rPr>
                <w:rFonts w:eastAsia="方正仿宋_GBK"/>
                <w:sz w:val="21"/>
                <w:szCs w:val="21"/>
              </w:rPr>
            </w:pPr>
            <w:r>
              <w:rPr>
                <w:rFonts w:eastAsia="方正仿宋_GBK"/>
                <w:sz w:val="21"/>
                <w:szCs w:val="21"/>
              </w:rPr>
              <w:t>16</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pStyle w:val="41"/>
              <w:rPr>
                <w:rFonts w:eastAsia="方正仿宋_GBK"/>
                <w:sz w:val="21"/>
                <w:szCs w:val="21"/>
              </w:rPr>
            </w:pPr>
            <w:r>
              <w:rPr>
                <w:rFonts w:eastAsia="方正仿宋_GBK"/>
                <w:sz w:val="21"/>
                <w:szCs w:val="21"/>
              </w:rPr>
              <w:t>公共汽车责任事故死亡率在0.03-0.06人/百万公里之间的扣8分，大于0.06人/百万公里的扣16分。发生一次死亡10人以上，或者二次以上死亡3～9人的交通责任事故的，当年评价结果直接确定为最低等次。</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公安交通管理部门安全事故统计信息、企业报表。责任事故指公交客运企业承担同等及以上责任的交通安全事故。公共汽车责任事故死亡率=年度责任事故死亡人数/年度实际载客总里程。</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7</w:t>
            </w:r>
          </w:p>
        </w:tc>
        <w:tc>
          <w:tcPr>
            <w:tcW w:w="455" w:type="pct"/>
            <w:vMerge w:val="restar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p>
            <w:pPr>
              <w:spacing w:line="280" w:lineRule="exact"/>
              <w:jc w:val="center"/>
              <w:rPr>
                <w:rFonts w:eastAsia="方正仿宋_GBK"/>
                <w:color w:val="000000"/>
                <w:szCs w:val="21"/>
              </w:rPr>
            </w:pPr>
            <w:r>
              <w:rPr>
                <w:rFonts w:eastAsia="方正仿宋_GBK"/>
                <w:color w:val="000000"/>
                <w:szCs w:val="21"/>
              </w:rPr>
              <w:t>服务质量</w:t>
            </w:r>
          </w:p>
          <w:p>
            <w:pPr>
              <w:spacing w:line="280" w:lineRule="exact"/>
              <w:jc w:val="center"/>
              <w:rPr>
                <w:rFonts w:eastAsia="方正仿宋_GBK"/>
                <w:color w:val="000000"/>
                <w:szCs w:val="21"/>
              </w:rPr>
            </w:pPr>
            <w:r>
              <w:rPr>
                <w:rFonts w:eastAsia="方正仿宋_GBK"/>
                <w:color w:val="000000"/>
                <w:szCs w:val="21"/>
              </w:rPr>
              <w:t>（30分）</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eastAsia="方正仿宋_GBK"/>
                <w:color w:val="000000"/>
                <w:szCs w:val="21"/>
              </w:rPr>
            </w:pPr>
            <w:r>
              <w:rPr>
                <w:rFonts w:eastAsia="方正仿宋_GBK"/>
                <w:color w:val="000000"/>
                <w:szCs w:val="21"/>
              </w:rPr>
              <w:t>投诉率</w:t>
            </w: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10</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投诉率高于13件/百万人次(中心城区</w:t>
            </w:r>
            <w:r>
              <w:rPr>
                <w:rFonts w:hint="eastAsia" w:eastAsia="方正仿宋_GBK"/>
                <w:color w:val="000000"/>
                <w:szCs w:val="21"/>
              </w:rPr>
              <w:t>以</w:t>
            </w:r>
            <w:r>
              <w:rPr>
                <w:rFonts w:eastAsia="方正仿宋_GBK"/>
                <w:color w:val="000000"/>
                <w:szCs w:val="21"/>
              </w:rPr>
              <w:t>外各区县为18件/百万人次)的，每高1件/百万人次扣</w:t>
            </w:r>
            <w:r>
              <w:rPr>
                <w:rFonts w:hint="eastAsia" w:eastAsia="方正仿宋_GBK"/>
                <w:color w:val="000000"/>
                <w:szCs w:val="21"/>
              </w:rPr>
              <w:t>0.5</w:t>
            </w:r>
            <w:r>
              <w:rPr>
                <w:rFonts w:eastAsia="方正仿宋_GBK"/>
                <w:color w:val="000000"/>
                <w:szCs w:val="21"/>
              </w:rPr>
              <w:t>分，扣完为止。</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市、区</w:t>
            </w:r>
            <w:r>
              <w:rPr>
                <w:rFonts w:hint="eastAsia" w:eastAsia="方正仿宋_GBK"/>
                <w:color w:val="000000"/>
                <w:szCs w:val="21"/>
              </w:rPr>
              <w:t>县</w:t>
            </w:r>
            <w:r>
              <w:rPr>
                <w:rFonts w:eastAsia="方正仿宋_GBK"/>
                <w:color w:val="000000"/>
                <w:szCs w:val="21"/>
              </w:rPr>
              <w:t>交通主管部门通过市民服务热线12345等投诉方式受理的投诉记录。投诉率=年度受理投诉件数/年度客运量。</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8</w:t>
            </w:r>
          </w:p>
        </w:tc>
        <w:tc>
          <w:tcPr>
            <w:tcW w:w="455" w:type="pct"/>
            <w:vMerge w:val="continue"/>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eastAsia="方正仿宋_GBK"/>
                <w:color w:val="000000"/>
                <w:szCs w:val="21"/>
              </w:rPr>
            </w:pPr>
            <w:r>
              <w:rPr>
                <w:rFonts w:eastAsia="方正仿宋_GBK"/>
                <w:color w:val="000000"/>
                <w:szCs w:val="21"/>
              </w:rPr>
              <w:t>信息数据报送（传输）质量</w:t>
            </w: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10</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未按交通部门要求，按时报送（传输）运营信息、统计报表等资料，或报送质量不符合要求未在规定时限内及时补报的，每次扣0.5分。存在虚报、瞒报、造假等严重情形的，评价结果直接确定为最低等次。</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市、区</w:t>
            </w:r>
            <w:r>
              <w:rPr>
                <w:rFonts w:hint="eastAsia" w:eastAsia="方正仿宋_GBK"/>
                <w:color w:val="000000"/>
                <w:szCs w:val="21"/>
              </w:rPr>
              <w:t>县</w:t>
            </w:r>
            <w:r>
              <w:rPr>
                <w:rFonts w:eastAsia="方正仿宋_GBK"/>
                <w:color w:val="000000"/>
                <w:szCs w:val="21"/>
              </w:rPr>
              <w:t>道路运输事务机构日常记录。</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3"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9</w:t>
            </w:r>
          </w:p>
        </w:tc>
        <w:tc>
          <w:tcPr>
            <w:tcW w:w="455" w:type="pct"/>
            <w:vMerge w:val="continue"/>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eastAsia="方正仿宋_GBK"/>
                <w:color w:val="000000"/>
                <w:szCs w:val="21"/>
              </w:rPr>
            </w:pPr>
            <w:r>
              <w:rPr>
                <w:rFonts w:eastAsia="方正仿宋_GBK"/>
                <w:color w:val="000000"/>
                <w:szCs w:val="21"/>
              </w:rPr>
              <w:t>媒体曝光负面事件</w:t>
            </w: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10</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发生有责服务质量事件，被报刊负面报道，篇幅大于1/2版面的，扣1分/次；篇幅小于等于1/2版面的，扣0.5分/次；被市级电视媒体负面报道，每次扣1.5分。同一事件被不同媒体多次报道的，只取最高扣分，不重复计算。发生特大服务质量事件，评价结果直接确定为最低等次。</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市、区</w:t>
            </w:r>
            <w:r>
              <w:rPr>
                <w:rFonts w:hint="eastAsia" w:eastAsia="方正仿宋_GBK"/>
                <w:color w:val="000000"/>
                <w:szCs w:val="21"/>
              </w:rPr>
              <w:t>县</w:t>
            </w:r>
            <w:r>
              <w:rPr>
                <w:rFonts w:eastAsia="方正仿宋_GBK"/>
                <w:color w:val="000000"/>
                <w:szCs w:val="21"/>
              </w:rPr>
              <w:t>道路运输事务机构收集记录。中央、市内主流媒体限新华社、中央电视台以及重庆电视台、重庆日报、重庆商报、重庆晨报、上游新闻等</w:t>
            </w:r>
            <w:r>
              <w:rPr>
                <w:rFonts w:hint="eastAsia" w:eastAsia="方正仿宋_GBK"/>
                <w:color w:val="000000"/>
                <w:szCs w:val="21"/>
              </w:rPr>
              <w:t>。</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176" w:type="pct"/>
            <w:tcBorders>
              <w:top w:val="single" w:color="auto" w:sz="4" w:space="0"/>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10</w:t>
            </w:r>
          </w:p>
        </w:tc>
        <w:tc>
          <w:tcPr>
            <w:tcW w:w="455" w:type="pct"/>
            <w:vMerge w:val="restart"/>
            <w:tcBorders>
              <w:top w:val="single" w:color="auto" w:sz="4" w:space="0"/>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社会责任</w:t>
            </w:r>
          </w:p>
          <w:p>
            <w:pPr>
              <w:spacing w:line="280" w:lineRule="exact"/>
              <w:jc w:val="center"/>
              <w:rPr>
                <w:rFonts w:eastAsia="方正仿宋_GBK"/>
                <w:color w:val="000000"/>
                <w:szCs w:val="21"/>
              </w:rPr>
            </w:pPr>
            <w:r>
              <w:rPr>
                <w:rFonts w:eastAsia="方正仿宋_GBK"/>
                <w:color w:val="000000"/>
                <w:szCs w:val="21"/>
              </w:rPr>
              <w:t>（20分）</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eastAsia="方正仿宋_GBK"/>
                <w:bCs/>
                <w:color w:val="000000"/>
                <w:szCs w:val="21"/>
              </w:rPr>
            </w:pPr>
            <w:r>
              <w:rPr>
                <w:rFonts w:eastAsia="方正仿宋_GBK"/>
                <w:bCs/>
                <w:color w:val="000000"/>
                <w:szCs w:val="21"/>
              </w:rPr>
              <w:t>重要活动与重要时段运输保障</w:t>
            </w: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bCs/>
                <w:color w:val="000000"/>
                <w:szCs w:val="21"/>
              </w:rPr>
              <w:t>8</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未保质保量完成指令性、突发性运输任务以及重要时段、重大公共活动的运力供给和集疏运任务的，每次扣2分。不服从统一调度，无故拒绝、拖延完成运输保障任务的，评价结果直接确定为最低等次。</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市、区县交通主管部门运输调度记录。</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11</w:t>
            </w:r>
          </w:p>
        </w:tc>
        <w:tc>
          <w:tcPr>
            <w:tcW w:w="455" w:type="pct"/>
            <w:vMerge w:val="continue"/>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bCs/>
                <w:color w:val="000000"/>
                <w:szCs w:val="21"/>
              </w:rPr>
            </w:pPr>
            <w:r>
              <w:rPr>
                <w:rFonts w:eastAsia="方正仿宋_GBK"/>
                <w:bCs/>
                <w:color w:val="000000"/>
                <w:szCs w:val="21"/>
              </w:rPr>
              <w:t>维护稳定</w:t>
            </w: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bCs/>
                <w:color w:val="000000"/>
                <w:szCs w:val="21"/>
              </w:rPr>
              <w:t>6</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组织或引发5-9人集访的，每次扣1分；组织或引发10人（含）以上集访的，每次扣2分；以拦车、堵路、损坏公共设施等非正当方式破坏客运秩序的，每次扣3分。组织或引发严重破坏社会公共秩序、损害公共利益的停运罢运事件，造成恶劣影响，受到市级以上人民政府及职能部门通报批评的，评价结果直接确定为最低等次。</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hint="eastAsia" w:eastAsia="方正仿宋_GBK"/>
                <w:color w:val="000000"/>
                <w:szCs w:val="21"/>
              </w:rPr>
              <w:t>市、区县</w:t>
            </w:r>
            <w:r>
              <w:rPr>
                <w:rFonts w:eastAsia="方正仿宋_GBK"/>
                <w:color w:val="000000"/>
                <w:szCs w:val="21"/>
              </w:rPr>
              <w:t>交通主管部门记录。</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12</w:t>
            </w:r>
          </w:p>
        </w:tc>
        <w:tc>
          <w:tcPr>
            <w:tcW w:w="455" w:type="pct"/>
            <w:vMerge w:val="continue"/>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bCs/>
                <w:color w:val="000000"/>
                <w:szCs w:val="21"/>
              </w:rPr>
            </w:pPr>
            <w:r>
              <w:rPr>
                <w:rFonts w:eastAsia="方正仿宋_GBK"/>
                <w:bCs/>
                <w:color w:val="000000"/>
                <w:szCs w:val="21"/>
              </w:rPr>
              <w:t>新能源公交车应用率</w:t>
            </w: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bCs/>
                <w:color w:val="000000"/>
                <w:szCs w:val="21"/>
              </w:rPr>
              <w:t>6</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年度新增（更新）公交车新能源车占比（新能源公交车应用率）未达80%的，每低1个百分点扣</w:t>
            </w:r>
            <w:r>
              <w:rPr>
                <w:rFonts w:hint="eastAsia" w:eastAsia="方正仿宋_GBK"/>
                <w:color w:val="000000"/>
                <w:szCs w:val="21"/>
              </w:rPr>
              <w:t>0.5</w:t>
            </w:r>
            <w:r>
              <w:rPr>
                <w:rFonts w:eastAsia="方正仿宋_GBK"/>
                <w:color w:val="000000"/>
                <w:szCs w:val="21"/>
              </w:rPr>
              <w:t>分。</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企业报表。新能源公交车应用率=年度新增（更新）新能源公交车辆数/年度新增（更新）公交车总数*100%。</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13</w:t>
            </w:r>
          </w:p>
        </w:tc>
        <w:tc>
          <w:tcPr>
            <w:tcW w:w="455" w:type="pct"/>
            <w:vMerge w:val="restar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加分项目</w:t>
            </w:r>
          </w:p>
          <w:p>
            <w:pPr>
              <w:spacing w:line="280" w:lineRule="exact"/>
              <w:jc w:val="center"/>
              <w:rPr>
                <w:rFonts w:eastAsia="方正仿宋_GBK"/>
                <w:color w:val="000000"/>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表彰奖励</w:t>
            </w: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企业及从业人员安全生产、文明服务等方面成绩突出，受到交通运输部或市政府以上表彰的，每次加</w:t>
            </w:r>
            <w:r>
              <w:rPr>
                <w:rFonts w:hint="eastAsia" w:eastAsia="方正仿宋_GBK"/>
                <w:color w:val="000000"/>
                <w:szCs w:val="21"/>
              </w:rPr>
              <w:t>1</w:t>
            </w:r>
            <w:r>
              <w:rPr>
                <w:rFonts w:eastAsia="方正仿宋_GBK"/>
                <w:color w:val="000000"/>
                <w:szCs w:val="21"/>
              </w:rPr>
              <w:t>分；受到市交通运输主管部门（含道路运输管理机构）或区县政府表彰的，每次加</w:t>
            </w:r>
            <w:r>
              <w:rPr>
                <w:rFonts w:hint="eastAsia" w:eastAsia="方正仿宋_GBK"/>
                <w:color w:val="000000"/>
                <w:szCs w:val="21"/>
              </w:rPr>
              <w:t>0.5</w:t>
            </w:r>
            <w:r>
              <w:rPr>
                <w:rFonts w:eastAsia="方正仿宋_GBK"/>
                <w:color w:val="000000"/>
                <w:szCs w:val="21"/>
              </w:rPr>
              <w:t>分。累计加分不超过</w:t>
            </w:r>
            <w:r>
              <w:rPr>
                <w:rFonts w:hint="eastAsia" w:eastAsia="方正仿宋_GBK"/>
                <w:color w:val="000000"/>
                <w:szCs w:val="21"/>
              </w:rPr>
              <w:t>3</w:t>
            </w:r>
            <w:r>
              <w:rPr>
                <w:rFonts w:eastAsia="方正仿宋_GBK"/>
                <w:color w:val="000000"/>
                <w:szCs w:val="21"/>
              </w:rPr>
              <w:t>分。</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企业提供的获奖证明。</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14</w:t>
            </w:r>
          </w:p>
        </w:tc>
        <w:tc>
          <w:tcPr>
            <w:tcW w:w="455" w:type="pct"/>
            <w:vMerge w:val="continue"/>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正面宣传</w:t>
            </w: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运营服务中涌现的好人好事被各级主流新闻媒体报道的，国家级每件次加</w:t>
            </w:r>
            <w:r>
              <w:rPr>
                <w:rFonts w:hint="eastAsia" w:eastAsia="方正仿宋_GBK"/>
                <w:color w:val="000000"/>
                <w:szCs w:val="21"/>
              </w:rPr>
              <w:t>1</w:t>
            </w:r>
            <w:r>
              <w:rPr>
                <w:rFonts w:eastAsia="方正仿宋_GBK"/>
                <w:color w:val="000000"/>
                <w:szCs w:val="21"/>
              </w:rPr>
              <w:t>分，市级每件次加</w:t>
            </w:r>
            <w:r>
              <w:rPr>
                <w:rFonts w:hint="eastAsia" w:eastAsia="方正仿宋_GBK"/>
                <w:color w:val="000000"/>
                <w:szCs w:val="21"/>
              </w:rPr>
              <w:t>0.5</w:t>
            </w:r>
            <w:r>
              <w:rPr>
                <w:rFonts w:eastAsia="方正仿宋_GBK"/>
                <w:color w:val="000000"/>
                <w:szCs w:val="21"/>
              </w:rPr>
              <w:t>分。同一事迹多层次报道的，按最高级媒体报道的标准加分，累计加分不超过</w:t>
            </w:r>
            <w:r>
              <w:rPr>
                <w:rFonts w:hint="eastAsia" w:eastAsia="方正仿宋_GBK"/>
                <w:color w:val="000000"/>
                <w:szCs w:val="21"/>
              </w:rPr>
              <w:t>2</w:t>
            </w:r>
            <w:r>
              <w:rPr>
                <w:rFonts w:eastAsia="方正仿宋_GBK"/>
                <w:color w:val="000000"/>
                <w:szCs w:val="21"/>
              </w:rPr>
              <w:t>分。</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企业提供的证明材料。</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hint="eastAsia" w:eastAsia="方正仿宋_GBK"/>
                <w:color w:val="000000"/>
                <w:szCs w:val="21"/>
              </w:rPr>
            </w:pPr>
            <w:r>
              <w:rPr>
                <w:rFonts w:hint="eastAsia" w:eastAsia="方正仿宋_GBK"/>
                <w:color w:val="000000"/>
                <w:szCs w:val="21"/>
              </w:rPr>
              <w:t>合计</w:t>
            </w:r>
          </w:p>
        </w:tc>
        <w:tc>
          <w:tcPr>
            <w:tcW w:w="455"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hint="eastAsia" w:eastAsia="方正仿宋_GBK"/>
                <w:color w:val="000000"/>
                <w:szCs w:val="21"/>
              </w:rPr>
              <w:t>100分</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hint="eastAsia" w:eastAsia="方正仿宋_GBK"/>
                <w:color w:val="000000"/>
                <w:szCs w:val="21"/>
              </w:rPr>
              <w:t>100分</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632" w:type="pct"/>
            <w:gridSpan w:val="2"/>
            <w:vMerge w:val="restar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hint="eastAsia" w:eastAsia="方正楷体_GBK"/>
                <w:b/>
                <w:bCs/>
                <w:color w:val="000000"/>
                <w:sz w:val="22"/>
                <w:szCs w:val="22"/>
              </w:rPr>
              <w:t>评价结论</w:t>
            </w:r>
          </w:p>
        </w:tc>
        <w:tc>
          <w:tcPr>
            <w:tcW w:w="729"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3638" w:type="pct"/>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hint="eastAsia" w:ascii="方正仿宋_GBK" w:hAnsi="方正仿宋_GBK" w:eastAsia="方正仿宋_GBK" w:cs="方正仿宋_GBK"/>
                <w:color w:val="000000"/>
                <w:kern w:val="0"/>
                <w:sz w:val="22"/>
                <w:szCs w:val="22"/>
                <w:lang w:bidi="ar"/>
              </w:rPr>
              <w:t>AA□                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32" w:type="pct"/>
            <w:gridSpan w:val="2"/>
            <w:vMerge w:val="continue"/>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729"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评价机构</w:t>
            </w:r>
          </w:p>
        </w:tc>
        <w:tc>
          <w:tcPr>
            <w:tcW w:w="3638" w:type="pct"/>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632" w:type="pct"/>
            <w:gridSpan w:val="2"/>
            <w:vMerge w:val="continue"/>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729"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经办人</w:t>
            </w:r>
          </w:p>
        </w:tc>
        <w:tc>
          <w:tcPr>
            <w:tcW w:w="181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640"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hint="eastAsia" w:eastAsia="方正仿宋_GBK"/>
                <w:color w:val="000000"/>
                <w:kern w:val="0"/>
                <w:sz w:val="22"/>
                <w:szCs w:val="22"/>
                <w:lang w:bidi="ar"/>
              </w:rPr>
              <w:t>评价日期</w:t>
            </w:r>
          </w:p>
        </w:tc>
        <w:tc>
          <w:tcPr>
            <w:tcW w:w="117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hint="eastAsia" w:eastAsia="仿宋_GB2312"/>
                <w:color w:val="000000"/>
                <w:sz w:val="20"/>
              </w:rPr>
              <w:t xml:space="preserve">     年    月    日</w:t>
            </w:r>
          </w:p>
        </w:tc>
      </w:tr>
    </w:tbl>
    <w:p>
      <w:pPr>
        <w:spacing w:line="280" w:lineRule="exact"/>
        <w:rPr>
          <w:rFonts w:eastAsia="方正仿宋_GBK"/>
          <w:color w:val="000000"/>
          <w:szCs w:val="21"/>
        </w:rPr>
      </w:pPr>
    </w:p>
    <w:p>
      <w:pPr>
        <w:spacing w:line="280" w:lineRule="exact"/>
        <w:ind w:firstLine="420" w:firstLineChars="200"/>
        <w:rPr>
          <w:rFonts w:eastAsia="方正仿宋_GBK"/>
          <w:color w:val="000000"/>
          <w:szCs w:val="21"/>
        </w:rPr>
      </w:pPr>
      <w:r>
        <w:rPr>
          <w:rFonts w:eastAsia="方正仿宋_GBK"/>
          <w:color w:val="000000"/>
          <w:szCs w:val="21"/>
        </w:rPr>
        <w:t>注：信用记录和得分由企业注册地所在区道路运输事务机构录入系统，其他相关区道路运输事务机构和市道路运输事务机构应将掌握的企业信用记录抄送企业注册地所在区道路运输事务机构。</w:t>
      </w:r>
    </w:p>
    <w:p>
      <w:pPr>
        <w:snapToGrid w:val="0"/>
        <w:jc w:val="left"/>
        <w:rPr>
          <w:rFonts w:hint="eastAsia" w:ascii="方正黑体_GBK" w:hAnsi="方正黑体_GBK" w:eastAsia="方正黑体_GBK" w:cs="方正黑体_GBK"/>
          <w:color w:val="000000"/>
          <w:sz w:val="32"/>
          <w:szCs w:val="32"/>
        </w:rPr>
      </w:pPr>
    </w:p>
    <w:p>
      <w:pPr>
        <w:snapToGrid w:val="0"/>
        <w:jc w:val="lef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附件1-5</w:t>
      </w:r>
    </w:p>
    <w:p>
      <w:pPr>
        <w:snapToGrid w:val="0"/>
        <w:jc w:val="left"/>
        <w:rPr>
          <w:rFonts w:hint="eastAsia" w:ascii="方正黑体_GBK" w:hAnsi="方正黑体_GBK" w:eastAsia="方正黑体_GBK" w:cs="方正黑体_GBK"/>
          <w:color w:val="000000"/>
          <w:sz w:val="32"/>
          <w:szCs w:val="32"/>
        </w:rPr>
      </w:pPr>
    </w:p>
    <w:p>
      <w:pPr>
        <w:jc w:val="center"/>
        <w:rPr>
          <w:rFonts w:hint="eastAsia" w:ascii="方正小标宋_GBK" w:eastAsia="方正小标宋_GBK"/>
          <w:bCs/>
          <w:color w:val="000000"/>
          <w:kern w:val="0"/>
          <w:sz w:val="44"/>
          <w:szCs w:val="44"/>
          <w:lang w:bidi="ar"/>
        </w:rPr>
      </w:pPr>
      <w:r>
        <w:rPr>
          <w:rFonts w:hint="eastAsia" w:ascii="方正小标宋_GBK" w:eastAsia="方正小标宋_GBK"/>
          <w:bCs/>
          <w:color w:val="000000"/>
          <w:kern w:val="0"/>
          <w:sz w:val="44"/>
          <w:szCs w:val="44"/>
          <w:lang w:bidi="ar"/>
        </w:rPr>
        <w:t>重庆市巡游出租汽车经营者信用评价标准</w:t>
      </w:r>
    </w:p>
    <w:p>
      <w:pPr>
        <w:jc w:val="left"/>
        <w:rPr>
          <w:bCs/>
          <w:color w:val="000000"/>
          <w:kern w:val="0"/>
          <w:sz w:val="32"/>
          <w:szCs w:val="32"/>
          <w:lang w:bidi="ar"/>
        </w:rPr>
      </w:pPr>
      <w:r>
        <w:rPr>
          <w:rFonts w:hint="eastAsia" w:ascii="方正仿宋_GBK" w:hAnsi="方正仿宋_GBK" w:eastAsia="方正仿宋_GBK" w:cs="方正仿宋_GBK"/>
          <w:bCs/>
          <w:color w:val="000000"/>
          <w:kern w:val="0"/>
          <w:sz w:val="28"/>
          <w:szCs w:val="28"/>
          <w:lang w:bidi="ar"/>
        </w:rPr>
        <w:t>被评价企业：                                                            评价年度：</w:t>
      </w:r>
    </w:p>
    <w:tbl>
      <w:tblPr>
        <w:tblStyle w:val="7"/>
        <w:tblW w:w="13419" w:type="dxa"/>
        <w:jc w:val="center"/>
        <w:tblLayout w:type="fixed"/>
        <w:tblCellMar>
          <w:top w:w="0" w:type="dxa"/>
          <w:left w:w="108" w:type="dxa"/>
          <w:bottom w:w="0" w:type="dxa"/>
          <w:right w:w="108" w:type="dxa"/>
        </w:tblCellMar>
      </w:tblPr>
      <w:tblGrid>
        <w:gridCol w:w="555"/>
        <w:gridCol w:w="1280"/>
        <w:gridCol w:w="1868"/>
        <w:gridCol w:w="780"/>
        <w:gridCol w:w="4558"/>
        <w:gridCol w:w="1547"/>
        <w:gridCol w:w="570"/>
        <w:gridCol w:w="1485"/>
        <w:gridCol w:w="776"/>
      </w:tblGrid>
      <w:tr>
        <w:tblPrEx>
          <w:tblCellMar>
            <w:top w:w="0" w:type="dxa"/>
            <w:left w:w="108" w:type="dxa"/>
            <w:bottom w:w="0" w:type="dxa"/>
            <w:right w:w="108" w:type="dxa"/>
          </w:tblCellMar>
        </w:tblPrEx>
        <w:trPr>
          <w:trHeight w:val="727" w:hRule="atLeast"/>
          <w:tblHeader/>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序号</w:t>
            </w:r>
          </w:p>
        </w:tc>
        <w:tc>
          <w:tcPr>
            <w:tcW w:w="128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一级指标及分值</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二级指标</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分值</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评分标准</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数据来源</w:t>
            </w:r>
          </w:p>
        </w:tc>
        <w:tc>
          <w:tcPr>
            <w:tcW w:w="776" w:type="dxa"/>
            <w:tcBorders>
              <w:top w:val="single" w:color="000000" w:sz="4" w:space="0"/>
              <w:left w:val="nil"/>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得分</w:t>
            </w:r>
          </w:p>
        </w:tc>
      </w:tr>
      <w:tr>
        <w:tblPrEx>
          <w:tblCellMar>
            <w:top w:w="0" w:type="dxa"/>
            <w:left w:w="108" w:type="dxa"/>
            <w:bottom w:w="0" w:type="dxa"/>
            <w:right w:w="108" w:type="dxa"/>
          </w:tblCellMar>
        </w:tblPrEx>
        <w:trPr>
          <w:trHeight w:val="1125" w:hRule="atLeast"/>
          <w:jc w:val="center"/>
        </w:trPr>
        <w:tc>
          <w:tcPr>
            <w:tcW w:w="555" w:type="dxa"/>
            <w:tcBorders>
              <w:top w:val="single" w:color="auto"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w:t>
            </w:r>
          </w:p>
        </w:tc>
        <w:tc>
          <w:tcPr>
            <w:tcW w:w="12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经营管理</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（20分）</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落实行业管理要求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楷体_GBK"/>
                <w:color w:val="000000"/>
                <w:kern w:val="0"/>
                <w:sz w:val="24"/>
                <w:szCs w:val="24"/>
                <w:lang w:bidi="ar"/>
              </w:rPr>
              <w:t>10</w:t>
            </w:r>
          </w:p>
        </w:tc>
        <w:tc>
          <w:tcPr>
            <w:tcW w:w="6675"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楷体_GBK"/>
                <w:bCs/>
                <w:color w:val="000000"/>
                <w:sz w:val="24"/>
                <w:szCs w:val="24"/>
              </w:rPr>
            </w:pPr>
            <w:r>
              <w:rPr>
                <w:rFonts w:eastAsia="方正仿宋_GBK"/>
                <w:color w:val="000000"/>
                <w:kern w:val="0"/>
                <w:sz w:val="22"/>
                <w:szCs w:val="22"/>
                <w:lang w:bidi="ar"/>
              </w:rPr>
              <w:t>不按照行业管理的要求或行业自律安排，在落实工作责任或维护行业运营秩序方面存在问题被行业管理部门通报的，轻微事项的每次0.5分，情形严重的每次扣1分；被行政部门约谈的，每次加扣2分，约谈后仍不整改的，每次加扣</w:t>
            </w:r>
            <w:r>
              <w:rPr>
                <w:rStyle w:val="13"/>
                <w:rFonts w:hint="default"/>
                <w:color w:val="000000"/>
                <w:lang w:bidi="ar"/>
              </w:rPr>
              <w:t>3分</w:t>
            </w:r>
            <w:r>
              <w:rPr>
                <w:rFonts w:eastAsia="方正仿宋_GBK"/>
                <w:color w:val="000000"/>
                <w:kern w:val="0"/>
                <w:sz w:val="22"/>
                <w:szCs w:val="22"/>
                <w:lang w:bidi="ar"/>
              </w:rPr>
              <w:t>。</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77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4"/>
                <w:szCs w:val="24"/>
              </w:rPr>
            </w:pPr>
          </w:p>
        </w:tc>
      </w:tr>
      <w:tr>
        <w:tblPrEx>
          <w:tblCellMar>
            <w:top w:w="0" w:type="dxa"/>
            <w:left w:w="108" w:type="dxa"/>
            <w:bottom w:w="0" w:type="dxa"/>
            <w:right w:w="108" w:type="dxa"/>
          </w:tblCellMar>
        </w:tblPrEx>
        <w:trPr>
          <w:trHeight w:val="807"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2</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承诺履行情况</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在行政管理事项中按要求作出了承诺但不履行被通报的，每次扣2分；被行政部门约谈的，每次加扣</w:t>
            </w:r>
            <w:r>
              <w:rPr>
                <w:rStyle w:val="13"/>
                <w:rFonts w:hint="default"/>
                <w:color w:val="000000"/>
                <w:lang w:bidi="ar"/>
              </w:rPr>
              <w:t>2分</w:t>
            </w:r>
            <w:r>
              <w:rPr>
                <w:rFonts w:eastAsia="方正仿宋_GBK"/>
                <w:color w:val="000000"/>
                <w:kern w:val="0"/>
                <w:sz w:val="22"/>
                <w:szCs w:val="22"/>
                <w:lang w:bidi="ar"/>
              </w:rPr>
              <w:t>，经约谈、告诫提醒后仍不履行的，每次加扣</w:t>
            </w:r>
            <w:r>
              <w:rPr>
                <w:rStyle w:val="13"/>
                <w:rFonts w:hint="default"/>
                <w:color w:val="000000"/>
                <w:lang w:bidi="ar"/>
              </w:rPr>
              <w:t>3分</w:t>
            </w:r>
            <w:r>
              <w:rPr>
                <w:rFonts w:eastAsia="方正仿宋_GBK"/>
                <w:color w:val="000000"/>
                <w:kern w:val="0"/>
                <w:sz w:val="22"/>
                <w:szCs w:val="22"/>
                <w:lang w:bidi="ar"/>
              </w:rPr>
              <w:t>。</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776"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851"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3</w:t>
            </w:r>
          </w:p>
        </w:tc>
        <w:tc>
          <w:tcPr>
            <w:tcW w:w="1280" w:type="dxa"/>
            <w:vMerge w:val="restart"/>
            <w:tcBorders>
              <w:top w:val="nil"/>
              <w:left w:val="single" w:color="000000" w:sz="4" w:space="0"/>
              <w:bottom w:val="nil"/>
              <w:right w:val="nil"/>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安全生产</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（30分）</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责任事故伤人率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5</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发生行车同责以上事故，伤人率高于0.1人次/百万公里的，每增加0.1人/百万公里扣</w:t>
            </w:r>
            <w:r>
              <w:rPr>
                <w:rStyle w:val="13"/>
                <w:rFonts w:hint="default"/>
                <w:color w:val="000000"/>
                <w:lang w:bidi="ar"/>
              </w:rPr>
              <w:t>0.5分</w:t>
            </w:r>
            <w:r>
              <w:rPr>
                <w:rFonts w:eastAsia="方正仿宋_GBK"/>
                <w:color w:val="000000"/>
                <w:kern w:val="0"/>
                <w:sz w:val="22"/>
                <w:szCs w:val="22"/>
                <w:lang w:bidi="ar"/>
              </w:rPr>
              <w:t>。</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公安部门数据共享（年度统计）</w:t>
            </w:r>
          </w:p>
        </w:tc>
        <w:tc>
          <w:tcPr>
            <w:tcW w:w="77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8"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4</w:t>
            </w:r>
          </w:p>
        </w:tc>
        <w:tc>
          <w:tcPr>
            <w:tcW w:w="1280" w:type="dxa"/>
            <w:vMerge w:val="continue"/>
            <w:tcBorders>
              <w:top w:val="nil"/>
              <w:left w:val="single" w:color="000000" w:sz="4" w:space="0"/>
              <w:bottom w:val="nil"/>
              <w:right w:val="nil"/>
            </w:tcBorders>
            <w:noWrap w:val="0"/>
            <w:vAlign w:val="center"/>
          </w:tcPr>
          <w:p>
            <w:pPr>
              <w:widowControl/>
              <w:spacing w:line="260" w:lineRule="exact"/>
              <w:jc w:val="center"/>
              <w:rPr>
                <w:rFonts w:eastAsia="方正楷体_GBK"/>
                <w:bCs/>
                <w:color w:val="000000"/>
                <w:sz w:val="22"/>
                <w:szCs w:val="2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责任事故亡人情况</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发生行车同责以上亡人事故，每死亡1人扣</w:t>
            </w:r>
            <w:r>
              <w:rPr>
                <w:rStyle w:val="13"/>
                <w:rFonts w:hint="default"/>
                <w:color w:val="000000"/>
                <w:lang w:bidi="ar"/>
              </w:rPr>
              <w:t>5分</w:t>
            </w:r>
            <w:r>
              <w:rPr>
                <w:rFonts w:eastAsia="方正仿宋_GBK"/>
                <w:color w:val="000000"/>
                <w:kern w:val="0"/>
                <w:sz w:val="22"/>
                <w:szCs w:val="22"/>
                <w:lang w:bidi="ar"/>
              </w:rPr>
              <w:t>。</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公安部门数据共享</w:t>
            </w:r>
          </w:p>
        </w:tc>
        <w:tc>
          <w:tcPr>
            <w:tcW w:w="77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3" w:hRule="atLeast"/>
          <w:jc w:val="center"/>
        </w:trPr>
        <w:tc>
          <w:tcPr>
            <w:tcW w:w="555"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5</w:t>
            </w:r>
          </w:p>
        </w:tc>
        <w:tc>
          <w:tcPr>
            <w:tcW w:w="1280" w:type="dxa"/>
            <w:vMerge w:val="continue"/>
            <w:tcBorders>
              <w:top w:val="nil"/>
              <w:left w:val="single" w:color="000000" w:sz="4" w:space="0"/>
              <w:bottom w:val="single" w:color="auto" w:sz="4" w:space="0"/>
              <w:right w:val="nil"/>
            </w:tcBorders>
            <w:noWrap w:val="0"/>
            <w:vAlign w:val="center"/>
          </w:tcPr>
          <w:p>
            <w:pPr>
              <w:widowControl/>
              <w:spacing w:line="260" w:lineRule="exact"/>
              <w:jc w:val="center"/>
              <w:rPr>
                <w:rFonts w:eastAsia="方正楷体_GBK"/>
                <w:bCs/>
                <w:color w:val="000000"/>
                <w:sz w:val="22"/>
                <w:szCs w:val="22"/>
              </w:rPr>
            </w:pPr>
          </w:p>
        </w:tc>
        <w:tc>
          <w:tcPr>
            <w:tcW w:w="186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安全事故报告情况</w:t>
            </w:r>
          </w:p>
        </w:tc>
        <w:tc>
          <w:tcPr>
            <w:tcW w:w="78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5</w:t>
            </w:r>
          </w:p>
        </w:tc>
        <w:tc>
          <w:tcPr>
            <w:tcW w:w="6675"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发生亡人事故拖延报告（3小时）的，每次扣</w:t>
            </w:r>
            <w:r>
              <w:rPr>
                <w:rStyle w:val="13"/>
                <w:rFonts w:hint="default"/>
                <w:color w:val="000000"/>
                <w:lang w:bidi="ar"/>
              </w:rPr>
              <w:t>0.5分</w:t>
            </w:r>
            <w:r>
              <w:rPr>
                <w:rFonts w:eastAsia="方正仿宋_GBK"/>
                <w:color w:val="000000"/>
                <w:kern w:val="0"/>
                <w:sz w:val="22"/>
                <w:szCs w:val="22"/>
                <w:lang w:bidi="ar"/>
              </w:rPr>
              <w:t>；存在瞒报、谎报的，每次扣</w:t>
            </w:r>
            <w:r>
              <w:rPr>
                <w:rStyle w:val="13"/>
                <w:rFonts w:hint="default"/>
                <w:color w:val="000000"/>
                <w:lang w:bidi="ar"/>
              </w:rPr>
              <w:t>1分</w:t>
            </w:r>
            <w:r>
              <w:rPr>
                <w:rFonts w:eastAsia="方正仿宋_GBK"/>
                <w:color w:val="000000"/>
                <w:kern w:val="0"/>
                <w:sz w:val="22"/>
                <w:szCs w:val="22"/>
                <w:lang w:bidi="ar"/>
              </w:rPr>
              <w:t>。</w:t>
            </w:r>
          </w:p>
        </w:tc>
        <w:tc>
          <w:tcPr>
            <w:tcW w:w="148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交通和公安部门数据共享</w:t>
            </w:r>
          </w:p>
        </w:tc>
        <w:tc>
          <w:tcPr>
            <w:tcW w:w="776" w:type="dxa"/>
            <w:tcBorders>
              <w:top w:val="single" w:color="000000" w:sz="4" w:space="0"/>
              <w:left w:val="nil"/>
              <w:bottom w:val="single" w:color="auto"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2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6</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8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安全生产隐患整顿</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67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因存在安全生产隐患，被行政部门挂牌或通报要求整改的，每次扣2分；因存在严重安全生产隐患，被列入重点安全监管名单的，每次扣</w:t>
            </w:r>
            <w:r>
              <w:rPr>
                <w:rStyle w:val="13"/>
                <w:rFonts w:hint="default"/>
                <w:color w:val="000000"/>
                <w:lang w:bidi="ar"/>
              </w:rPr>
              <w:t>3分</w:t>
            </w:r>
            <w:r>
              <w:rPr>
                <w:rFonts w:eastAsia="方正仿宋_GBK"/>
                <w:color w:val="000000"/>
                <w:kern w:val="0"/>
                <w:sz w:val="22"/>
                <w:szCs w:val="22"/>
                <w:lang w:bidi="ar"/>
              </w:rPr>
              <w:t>，被处以部分或全部停业整顿的，每次扣</w:t>
            </w:r>
            <w:r>
              <w:rPr>
                <w:rStyle w:val="13"/>
                <w:rFonts w:hint="default"/>
                <w:color w:val="000000"/>
                <w:lang w:bidi="ar"/>
              </w:rPr>
              <w:t>4分</w:t>
            </w:r>
            <w:r>
              <w:rPr>
                <w:rFonts w:eastAsia="方正仿宋_GBK"/>
                <w:color w:val="000000"/>
                <w:kern w:val="0"/>
                <w:sz w:val="22"/>
                <w:szCs w:val="22"/>
                <w:lang w:bidi="ar"/>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公安应急等部门数据共享</w:t>
            </w:r>
          </w:p>
        </w:tc>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881" w:hRule="atLeast"/>
          <w:jc w:val="center"/>
        </w:trPr>
        <w:tc>
          <w:tcPr>
            <w:tcW w:w="555" w:type="dxa"/>
            <w:tcBorders>
              <w:top w:val="single" w:color="auto"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7</w:t>
            </w:r>
          </w:p>
        </w:tc>
        <w:tc>
          <w:tcPr>
            <w:tcW w:w="1280"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服务质量</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（30分）</w:t>
            </w:r>
          </w:p>
        </w:tc>
        <w:tc>
          <w:tcPr>
            <w:tcW w:w="1868"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eastAsia="方正仿宋_GBK"/>
                <w:color w:val="000000"/>
                <w:kern w:val="0"/>
                <w:sz w:val="22"/>
                <w:szCs w:val="22"/>
                <w:lang w:bidi="ar"/>
              </w:rPr>
              <w:t>服务行为通报</w:t>
            </w:r>
          </w:p>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情况</w:t>
            </w:r>
          </w:p>
        </w:tc>
        <w:tc>
          <w:tcPr>
            <w:tcW w:w="78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675" w:type="dxa"/>
            <w:gridSpan w:val="3"/>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社会和行业监督中，发现驾驶员存在不规范运营服务、言行举止等问题或违背社会公俗良德行为，以及车辆存在车容车貌等问题，被行政管理部门通报的，轻微事项的每次0.5分，情形严重的每次扣2分；被电视、报刊、电台等媒体曝光服务质量事件且属实的，轻微事项每次扣1分，情形严重事项每次扣4分。</w:t>
            </w:r>
          </w:p>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因以上事项被行政管理部门约谈的，每次加扣2分，约谈后仍不整改的，每次加扣</w:t>
            </w:r>
            <w:r>
              <w:rPr>
                <w:rStyle w:val="13"/>
                <w:rFonts w:hint="default"/>
                <w:color w:val="000000"/>
                <w:lang w:bidi="ar"/>
              </w:rPr>
              <w:t>3分</w:t>
            </w:r>
            <w:r>
              <w:rPr>
                <w:rFonts w:eastAsia="方正仿宋_GBK"/>
                <w:color w:val="000000"/>
                <w:kern w:val="0"/>
                <w:sz w:val="22"/>
                <w:szCs w:val="22"/>
                <w:lang w:bidi="ar"/>
              </w:rPr>
              <w:t>。</w:t>
            </w:r>
          </w:p>
        </w:tc>
        <w:tc>
          <w:tcPr>
            <w:tcW w:w="148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776" w:type="dxa"/>
            <w:tcBorders>
              <w:top w:val="single" w:color="auto"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71"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8</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有责乘客投诉率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有责乘客投诉率高于百万分之二十的，每增加百万分之一扣1分。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交通执法部门数据共享（年度统计）</w:t>
            </w:r>
          </w:p>
        </w:tc>
        <w:tc>
          <w:tcPr>
            <w:tcW w:w="776"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016"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9</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投诉处理及执法检查情况</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企业未按要求处置转交的服务投诉或按期反馈处置结果，被通报的，每次扣</w:t>
            </w:r>
            <w:r>
              <w:rPr>
                <w:rStyle w:val="13"/>
                <w:rFonts w:hint="default"/>
                <w:color w:val="000000"/>
                <w:lang w:bidi="ar"/>
              </w:rPr>
              <w:t>0.5分</w:t>
            </w:r>
            <w:r>
              <w:rPr>
                <w:rFonts w:eastAsia="方正仿宋_GBK"/>
                <w:color w:val="000000"/>
                <w:kern w:val="0"/>
                <w:sz w:val="22"/>
                <w:szCs w:val="22"/>
                <w:lang w:bidi="ar"/>
              </w:rPr>
              <w:t>；因处置随意、态度粗暴等原因被通报的，每次扣</w:t>
            </w:r>
            <w:r>
              <w:rPr>
                <w:rStyle w:val="13"/>
                <w:rFonts w:hint="default"/>
                <w:color w:val="000000"/>
                <w:lang w:bidi="ar"/>
              </w:rPr>
              <w:t>1分</w:t>
            </w:r>
            <w:r>
              <w:rPr>
                <w:rFonts w:eastAsia="方正仿宋_GBK"/>
                <w:color w:val="000000"/>
                <w:kern w:val="0"/>
                <w:sz w:val="22"/>
                <w:szCs w:val="22"/>
                <w:lang w:bidi="ar"/>
              </w:rPr>
              <w:t>；因服务质量投诉量较多被</w:t>
            </w:r>
            <w:r>
              <w:rPr>
                <w:rStyle w:val="13"/>
                <w:rFonts w:hint="default"/>
                <w:color w:val="000000"/>
                <w:lang w:bidi="ar"/>
              </w:rPr>
              <w:t>交通部门</w:t>
            </w:r>
            <w:r>
              <w:rPr>
                <w:rFonts w:eastAsia="方正仿宋_GBK"/>
                <w:color w:val="000000"/>
                <w:kern w:val="0"/>
                <w:sz w:val="22"/>
                <w:szCs w:val="22"/>
                <w:lang w:bidi="ar"/>
              </w:rPr>
              <w:t>通报督促整改的，每次扣</w:t>
            </w:r>
            <w:r>
              <w:rPr>
                <w:rStyle w:val="13"/>
                <w:rFonts w:hint="default"/>
                <w:color w:val="000000"/>
                <w:lang w:bidi="ar"/>
              </w:rPr>
              <w:t>1.5分</w:t>
            </w:r>
            <w:r>
              <w:rPr>
                <w:rFonts w:eastAsia="方正仿宋_GBK"/>
                <w:color w:val="000000"/>
                <w:kern w:val="0"/>
                <w:sz w:val="22"/>
                <w:szCs w:val="22"/>
                <w:lang w:bidi="ar"/>
              </w:rPr>
              <w:t>。</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77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96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10</w:t>
            </w:r>
          </w:p>
        </w:tc>
        <w:tc>
          <w:tcPr>
            <w:tcW w:w="12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社会责任</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（20分）</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信访稳定情况</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Style w:val="13"/>
                <w:rFonts w:hint="default"/>
                <w:color w:val="000000"/>
                <w:lang w:bidi="ar"/>
              </w:rPr>
              <w:t>企业所属驾驶员、工作人员（包括股东），违反《信访条例》规定</w:t>
            </w:r>
            <w:r>
              <w:rPr>
                <w:rFonts w:eastAsia="方正仿宋_GBK"/>
                <w:color w:val="000000"/>
                <w:kern w:val="0"/>
                <w:sz w:val="22"/>
                <w:szCs w:val="22"/>
                <w:lang w:bidi="ar"/>
              </w:rPr>
              <w:t>，发生进京或到市委市政府上访的，每次扣</w:t>
            </w:r>
            <w:r>
              <w:rPr>
                <w:rStyle w:val="13"/>
                <w:rFonts w:hint="default"/>
                <w:color w:val="000000"/>
                <w:lang w:bidi="ar"/>
              </w:rPr>
              <w:t>5分</w:t>
            </w:r>
            <w:r>
              <w:rPr>
                <w:rFonts w:eastAsia="方正仿宋_GBK"/>
                <w:color w:val="000000"/>
                <w:kern w:val="0"/>
                <w:sz w:val="22"/>
                <w:szCs w:val="22"/>
                <w:lang w:bidi="ar"/>
              </w:rPr>
              <w:t>；到市级行政部门或区县人民政府上访的，每次扣</w:t>
            </w:r>
            <w:r>
              <w:rPr>
                <w:rStyle w:val="13"/>
                <w:rFonts w:hint="default"/>
                <w:color w:val="000000"/>
                <w:lang w:bidi="ar"/>
              </w:rPr>
              <w:t>3分</w:t>
            </w:r>
            <w:r>
              <w:rPr>
                <w:rFonts w:eastAsia="方正仿宋_GBK"/>
                <w:color w:val="000000"/>
                <w:kern w:val="0"/>
                <w:sz w:val="22"/>
                <w:szCs w:val="22"/>
                <w:lang w:bidi="ar"/>
              </w:rPr>
              <w:t>；到区县行政部门上访的，每次扣</w:t>
            </w:r>
            <w:r>
              <w:rPr>
                <w:rStyle w:val="13"/>
                <w:rFonts w:hint="default"/>
                <w:color w:val="000000"/>
                <w:lang w:bidi="ar"/>
              </w:rPr>
              <w:t>1分</w:t>
            </w:r>
            <w:r>
              <w:rPr>
                <w:rFonts w:eastAsia="方正仿宋_GBK"/>
                <w:color w:val="000000"/>
                <w:kern w:val="0"/>
                <w:sz w:val="22"/>
                <w:szCs w:val="22"/>
                <w:lang w:bidi="ar"/>
              </w:rPr>
              <w:t>。</w:t>
            </w:r>
            <w:r>
              <w:rPr>
                <w:rStyle w:val="13"/>
                <w:rFonts w:hint="default"/>
                <w:color w:val="000000"/>
                <w:lang w:bidi="ar"/>
              </w:rPr>
              <w:t>20人以上</w:t>
            </w:r>
            <w:r>
              <w:rPr>
                <w:rFonts w:eastAsia="方正仿宋_GBK"/>
                <w:color w:val="000000"/>
                <w:kern w:val="0"/>
                <w:sz w:val="22"/>
                <w:szCs w:val="22"/>
                <w:lang w:bidi="ar"/>
              </w:rPr>
              <w:t>到企业</w:t>
            </w:r>
            <w:r>
              <w:rPr>
                <w:rStyle w:val="13"/>
                <w:rFonts w:hint="default"/>
                <w:color w:val="000000"/>
                <w:lang w:bidi="ar"/>
              </w:rPr>
              <w:t>集中反映诉求</w:t>
            </w:r>
            <w:r>
              <w:rPr>
                <w:rFonts w:eastAsia="方正仿宋_GBK"/>
                <w:color w:val="000000"/>
                <w:kern w:val="0"/>
                <w:sz w:val="22"/>
                <w:szCs w:val="22"/>
                <w:lang w:bidi="ar"/>
              </w:rPr>
              <w:t>并由行政部门进行协调处置的，每次扣</w:t>
            </w:r>
            <w:r>
              <w:rPr>
                <w:rStyle w:val="13"/>
                <w:rFonts w:hint="default"/>
                <w:color w:val="000000"/>
                <w:lang w:bidi="ar"/>
              </w:rPr>
              <w:t>1分</w:t>
            </w:r>
            <w:r>
              <w:rPr>
                <w:rFonts w:eastAsia="方正仿宋_GBK"/>
                <w:color w:val="000000"/>
                <w:kern w:val="0"/>
                <w:sz w:val="22"/>
                <w:szCs w:val="22"/>
                <w:lang w:bidi="ar"/>
              </w:rPr>
              <w:t>；经行政部门协调，企业不落实相关协调意见</w:t>
            </w:r>
            <w:r>
              <w:rPr>
                <w:rStyle w:val="13"/>
                <w:rFonts w:hint="default"/>
                <w:color w:val="000000"/>
                <w:lang w:bidi="ar"/>
              </w:rPr>
              <w:t>导致反映诉求持续发生的，每次扣2分；</w:t>
            </w:r>
            <w:r>
              <w:rPr>
                <w:rFonts w:eastAsia="方正仿宋_GBK"/>
                <w:color w:val="000000"/>
                <w:kern w:val="0"/>
                <w:sz w:val="22"/>
                <w:szCs w:val="22"/>
                <w:lang w:bidi="ar"/>
              </w:rPr>
              <w:t>发生部分车辆非正常停运的扣</w:t>
            </w:r>
            <w:r>
              <w:rPr>
                <w:rStyle w:val="13"/>
                <w:rFonts w:hint="default"/>
                <w:color w:val="000000"/>
                <w:lang w:bidi="ar"/>
              </w:rPr>
              <w:t>3分</w:t>
            </w:r>
            <w:r>
              <w:rPr>
                <w:rFonts w:eastAsia="方正仿宋_GBK"/>
                <w:color w:val="000000"/>
                <w:kern w:val="0"/>
                <w:sz w:val="22"/>
                <w:szCs w:val="22"/>
                <w:lang w:bidi="ar"/>
              </w:rPr>
              <w:t>。</w:t>
            </w:r>
          </w:p>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经交通行政部门联合评议，</w:t>
            </w:r>
            <w:r>
              <w:rPr>
                <w:rStyle w:val="13"/>
                <w:rFonts w:hint="default"/>
                <w:color w:val="000000"/>
                <w:lang w:bidi="ar"/>
              </w:rPr>
              <w:t>不属于企业责任或原因引起的信访，</w:t>
            </w:r>
            <w:r>
              <w:rPr>
                <w:rFonts w:eastAsia="方正仿宋_GBK"/>
                <w:color w:val="000000"/>
                <w:kern w:val="0"/>
                <w:sz w:val="22"/>
                <w:szCs w:val="22"/>
                <w:lang w:bidi="ar"/>
              </w:rPr>
              <w:t>本项不扣分。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信访公安等部门数据共享或动态录入</w:t>
            </w:r>
          </w:p>
        </w:tc>
        <w:tc>
          <w:tcPr>
            <w:tcW w:w="776"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91"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11</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eastAsia="方正仿宋_GBK"/>
                <w:color w:val="000000"/>
                <w:kern w:val="0"/>
                <w:sz w:val="22"/>
                <w:szCs w:val="22"/>
                <w:lang w:bidi="ar"/>
              </w:rPr>
              <w:t>公共事件处置</w:t>
            </w:r>
          </w:p>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情况</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5</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发生公共事件，企业</w:t>
            </w:r>
            <w:r>
              <w:rPr>
                <w:rStyle w:val="13"/>
                <w:rFonts w:hint="default"/>
                <w:color w:val="000000"/>
                <w:lang w:bidi="ar"/>
              </w:rPr>
              <w:t>不服从政府或行政管理调度部署的，每次扣2分</w:t>
            </w:r>
            <w:r>
              <w:rPr>
                <w:rFonts w:eastAsia="方正仿宋_GBK"/>
                <w:color w:val="000000"/>
                <w:kern w:val="0"/>
                <w:sz w:val="22"/>
                <w:szCs w:val="22"/>
                <w:lang w:bidi="ar"/>
              </w:rPr>
              <w:t>；经行业管理部门约谈仍不履行的，每次扣</w:t>
            </w:r>
            <w:r>
              <w:rPr>
                <w:rStyle w:val="13"/>
                <w:rFonts w:hint="default"/>
                <w:color w:val="000000"/>
                <w:lang w:bidi="ar"/>
              </w:rPr>
              <w:t>3分</w:t>
            </w:r>
            <w:r>
              <w:rPr>
                <w:rFonts w:eastAsia="方正仿宋_GBK"/>
                <w:color w:val="000000"/>
                <w:kern w:val="0"/>
                <w:sz w:val="22"/>
                <w:szCs w:val="22"/>
                <w:lang w:bidi="ar"/>
              </w:rPr>
              <w:t>。</w:t>
            </w:r>
            <w:r>
              <w:rPr>
                <w:rStyle w:val="13"/>
                <w:rFonts w:hint="default"/>
                <w:color w:val="000000"/>
                <w:lang w:bidi="ar"/>
              </w:rPr>
              <w:t>调度参与的运力未达到应调度数量90%的，每次扣0.5分；运力未达到50%的，每次扣1分。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市级部门数据共享或动态录入</w:t>
            </w:r>
          </w:p>
        </w:tc>
        <w:tc>
          <w:tcPr>
            <w:tcW w:w="776"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3"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12</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社会信用情况</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5</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企业在经营过程中，</w:t>
            </w:r>
            <w:r>
              <w:rPr>
                <w:rStyle w:val="13"/>
                <w:rFonts w:hint="default"/>
                <w:color w:val="000000"/>
                <w:lang w:bidi="ar"/>
              </w:rPr>
              <w:t>因企业经营行为违反法律、法规等被除交通行政部门外的有关部门启动调查并被处以行政处罚的，每次扣2分。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市级部门数据共享或动态录入</w:t>
            </w:r>
          </w:p>
        </w:tc>
        <w:tc>
          <w:tcPr>
            <w:tcW w:w="776"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78"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13</w:t>
            </w:r>
          </w:p>
        </w:tc>
        <w:tc>
          <w:tcPr>
            <w:tcW w:w="12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加分项目</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eastAsia="方正仿宋_GBK"/>
                <w:color w:val="000000"/>
                <w:kern w:val="0"/>
                <w:sz w:val="22"/>
                <w:szCs w:val="22"/>
                <w:lang w:bidi="ar"/>
              </w:rPr>
              <w:t>雷锋的士创建</w:t>
            </w:r>
          </w:p>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情况</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szCs w:val="24"/>
              </w:rPr>
            </w:pPr>
          </w:p>
        </w:tc>
        <w:tc>
          <w:tcPr>
            <w:tcW w:w="6675"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参与雷锋的士志愿服务队，一、二、三星级车辆数量合计超过本企业车辆数1%的，每增加1%加0.1分；四星级车辆每辆加0.2分；五星级车辆每辆加0.3分。</w:t>
            </w:r>
            <w:r>
              <w:rPr>
                <w:rFonts w:hint="eastAsia" w:eastAsia="方正仿宋_GBK"/>
                <w:color w:val="000000"/>
                <w:kern w:val="0"/>
                <w:sz w:val="22"/>
                <w:szCs w:val="22"/>
                <w:lang w:bidi="ar"/>
              </w:rPr>
              <w:t>（最高不超过2分）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交通行政部门动态录入</w:t>
            </w:r>
          </w:p>
        </w:tc>
        <w:tc>
          <w:tcPr>
            <w:tcW w:w="77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14</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行业正面典型及荣誉表彰情况</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szCs w:val="24"/>
              </w:rPr>
            </w:pP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企业经营过程中获得了荣誉或通报表彰的，国家级每次加</w:t>
            </w:r>
            <w:r>
              <w:rPr>
                <w:rStyle w:val="13"/>
                <w:rFonts w:hint="default"/>
                <w:color w:val="000000"/>
                <w:lang w:bidi="ar"/>
              </w:rPr>
              <w:t>2分</w:t>
            </w:r>
            <w:r>
              <w:rPr>
                <w:rFonts w:eastAsia="方正仿宋_GBK"/>
                <w:color w:val="000000"/>
                <w:kern w:val="0"/>
                <w:sz w:val="22"/>
                <w:szCs w:val="22"/>
                <w:lang w:bidi="ar"/>
              </w:rPr>
              <w:t>；部级或市级政府每次加</w:t>
            </w:r>
            <w:r>
              <w:rPr>
                <w:rStyle w:val="13"/>
                <w:rFonts w:hint="default"/>
                <w:color w:val="000000"/>
                <w:lang w:bidi="ar"/>
              </w:rPr>
              <w:t>1分</w:t>
            </w:r>
            <w:r>
              <w:rPr>
                <w:rFonts w:eastAsia="方正仿宋_GBK"/>
                <w:color w:val="000000"/>
                <w:kern w:val="0"/>
                <w:sz w:val="22"/>
                <w:szCs w:val="22"/>
                <w:lang w:bidi="ar"/>
              </w:rPr>
              <w:t>；市级部门或区县政府级加</w:t>
            </w:r>
            <w:r>
              <w:rPr>
                <w:rStyle w:val="13"/>
                <w:rFonts w:hint="default"/>
                <w:color w:val="000000"/>
                <w:lang w:bidi="ar"/>
              </w:rPr>
              <w:t>0.5分</w:t>
            </w:r>
            <w:r>
              <w:rPr>
                <w:rFonts w:eastAsia="方正仿宋_GBK"/>
                <w:color w:val="000000"/>
                <w:kern w:val="0"/>
                <w:sz w:val="22"/>
                <w:szCs w:val="22"/>
                <w:lang w:bidi="ar"/>
              </w:rPr>
              <w:t>；区县部门级加</w:t>
            </w:r>
            <w:r>
              <w:rPr>
                <w:rStyle w:val="13"/>
                <w:rFonts w:hint="default"/>
                <w:color w:val="000000"/>
                <w:lang w:bidi="ar"/>
              </w:rPr>
              <w:t>0.2分</w:t>
            </w:r>
            <w:r>
              <w:rPr>
                <w:rFonts w:eastAsia="方正仿宋_GBK"/>
                <w:color w:val="000000"/>
                <w:kern w:val="0"/>
                <w:sz w:val="22"/>
                <w:szCs w:val="22"/>
                <w:lang w:bidi="ar"/>
              </w:rPr>
              <w:t>。同一行为多层次表彰的，以最高级别奖励的标准加分。</w:t>
            </w:r>
            <w:r>
              <w:rPr>
                <w:rFonts w:hint="eastAsia" w:eastAsia="方正仿宋_GBK"/>
                <w:color w:val="000000"/>
                <w:kern w:val="0"/>
                <w:sz w:val="22"/>
                <w:szCs w:val="22"/>
                <w:lang w:bidi="ar"/>
              </w:rPr>
              <w:t>（最高不超过2分）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企业提交动态录入</w:t>
            </w:r>
          </w:p>
        </w:tc>
        <w:tc>
          <w:tcPr>
            <w:tcW w:w="77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3"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15</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eastAsia="方正仿宋_GBK"/>
                <w:color w:val="000000"/>
                <w:kern w:val="0"/>
                <w:sz w:val="22"/>
                <w:szCs w:val="22"/>
                <w:lang w:bidi="ar"/>
              </w:rPr>
              <w:t>新闻媒体正面</w:t>
            </w:r>
          </w:p>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报道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szCs w:val="24"/>
              </w:rPr>
            </w:pP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企业所属驾驶员、工作人员出现好人好事被新闻媒体报道的，国家级每件次加</w:t>
            </w:r>
            <w:r>
              <w:rPr>
                <w:rStyle w:val="13"/>
                <w:rFonts w:hint="default"/>
                <w:color w:val="000000"/>
                <w:lang w:bidi="ar"/>
              </w:rPr>
              <w:t>0.5分</w:t>
            </w:r>
            <w:r>
              <w:rPr>
                <w:rFonts w:eastAsia="方正仿宋_GBK"/>
                <w:color w:val="000000"/>
                <w:kern w:val="0"/>
                <w:sz w:val="22"/>
                <w:szCs w:val="22"/>
                <w:lang w:bidi="ar"/>
              </w:rPr>
              <w:t>；市级每件次加</w:t>
            </w:r>
            <w:r>
              <w:rPr>
                <w:rStyle w:val="13"/>
                <w:rFonts w:hint="default"/>
                <w:color w:val="000000"/>
                <w:lang w:bidi="ar"/>
              </w:rPr>
              <w:t>0.3分</w:t>
            </w:r>
            <w:r>
              <w:rPr>
                <w:rFonts w:eastAsia="方正仿宋_GBK"/>
                <w:color w:val="000000"/>
                <w:kern w:val="0"/>
                <w:sz w:val="22"/>
                <w:szCs w:val="22"/>
                <w:lang w:bidi="ar"/>
              </w:rPr>
              <w:t>；区县级每件次加</w:t>
            </w:r>
            <w:r>
              <w:rPr>
                <w:rStyle w:val="13"/>
                <w:rFonts w:hint="default"/>
                <w:color w:val="000000"/>
                <w:lang w:bidi="ar"/>
              </w:rPr>
              <w:t>0.1分</w:t>
            </w:r>
            <w:r>
              <w:rPr>
                <w:rFonts w:eastAsia="方正仿宋_GBK"/>
                <w:color w:val="000000"/>
                <w:kern w:val="0"/>
                <w:sz w:val="22"/>
                <w:szCs w:val="22"/>
                <w:lang w:bidi="ar"/>
              </w:rPr>
              <w:t>。同一事迹多层次报道的，以最高级别媒体报道的标准加分。</w:t>
            </w:r>
            <w:r>
              <w:rPr>
                <w:rFonts w:hint="eastAsia" w:eastAsia="方正仿宋_GBK"/>
                <w:color w:val="000000"/>
                <w:kern w:val="0"/>
                <w:sz w:val="22"/>
                <w:szCs w:val="22"/>
                <w:lang w:bidi="ar"/>
              </w:rPr>
              <w:t>（最高不超过1分）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企业提交动态录入</w:t>
            </w:r>
          </w:p>
        </w:tc>
        <w:tc>
          <w:tcPr>
            <w:tcW w:w="77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0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r>
              <w:rPr>
                <w:rFonts w:hint="eastAsia" w:eastAsia="方正楷体_GBK"/>
                <w:bCs/>
                <w:color w:val="000000"/>
                <w:sz w:val="22"/>
                <w:szCs w:val="22"/>
              </w:rPr>
              <w:t>合计</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r>
              <w:rPr>
                <w:rFonts w:hint="eastAsia" w:eastAsia="方正楷体_GBK"/>
                <w:bCs/>
                <w:color w:val="000000"/>
                <w:sz w:val="22"/>
                <w:szCs w:val="22"/>
              </w:rPr>
              <w:t>100分</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100分</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77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464" w:hRule="atLeast"/>
          <w:jc w:val="center"/>
        </w:trPr>
        <w:tc>
          <w:tcPr>
            <w:tcW w:w="1835" w:type="dxa"/>
            <w:gridSpan w:val="2"/>
            <w:vMerge w:val="restart"/>
            <w:tcBorders>
              <w:top w:val="single" w:color="000000" w:sz="4" w:space="0"/>
              <w:left w:val="single" w:color="000000" w:sz="4" w:space="0"/>
              <w:right w:val="single" w:color="000000" w:sz="4" w:space="0"/>
            </w:tcBorders>
            <w:noWrap/>
            <w:vAlign w:val="center"/>
          </w:tcPr>
          <w:p>
            <w:pPr>
              <w:widowControl/>
              <w:spacing w:line="260" w:lineRule="exact"/>
              <w:jc w:val="center"/>
              <w:rPr>
                <w:rFonts w:hint="eastAsia" w:eastAsia="方正楷体_GBK"/>
                <w:bCs/>
                <w:color w:val="000000"/>
                <w:sz w:val="22"/>
                <w:szCs w:val="22"/>
              </w:rPr>
            </w:pPr>
            <w:r>
              <w:rPr>
                <w:rFonts w:hint="eastAsia" w:eastAsia="方正楷体_GBK"/>
                <w:bCs/>
                <w:color w:val="000000"/>
                <w:sz w:val="22"/>
                <w:szCs w:val="22"/>
              </w:rPr>
              <w:t>评价结论</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971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CellMar>
            <w:top w:w="0" w:type="dxa"/>
            <w:left w:w="108" w:type="dxa"/>
            <w:bottom w:w="0" w:type="dxa"/>
            <w:right w:w="108" w:type="dxa"/>
          </w:tblCellMar>
        </w:tblPrEx>
        <w:trPr>
          <w:trHeight w:val="414" w:hRule="atLeast"/>
          <w:jc w:val="center"/>
        </w:trPr>
        <w:tc>
          <w:tcPr>
            <w:tcW w:w="1835" w:type="dxa"/>
            <w:gridSpan w:val="2"/>
            <w:vMerge w:val="continue"/>
            <w:tcBorders>
              <w:left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评价机构</w:t>
            </w:r>
          </w:p>
        </w:tc>
        <w:tc>
          <w:tcPr>
            <w:tcW w:w="971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333" w:hRule="atLeast"/>
          <w:jc w:val="center"/>
        </w:trPr>
        <w:tc>
          <w:tcPr>
            <w:tcW w:w="1835" w:type="dxa"/>
            <w:gridSpan w:val="2"/>
            <w:vMerge w:val="continue"/>
            <w:tcBorders>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经办人</w:t>
            </w:r>
          </w:p>
        </w:tc>
        <w:tc>
          <w:tcPr>
            <w:tcW w:w="533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评价日期</w:t>
            </w:r>
          </w:p>
        </w:tc>
        <w:tc>
          <w:tcPr>
            <w:tcW w:w="28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eastAsia="仿宋_GB2312"/>
                <w:color w:val="000000"/>
                <w:sz w:val="20"/>
              </w:rPr>
            </w:pPr>
            <w:r>
              <w:rPr>
                <w:rFonts w:hint="eastAsia" w:eastAsia="仿宋_GB2312"/>
                <w:color w:val="000000"/>
                <w:sz w:val="20"/>
              </w:rPr>
              <w:t xml:space="preserve">         年    月    日</w:t>
            </w:r>
          </w:p>
        </w:tc>
      </w:tr>
    </w:tbl>
    <w:p>
      <w:pPr>
        <w:spacing w:line="210" w:lineRule="exact"/>
        <w:ind w:firstLine="420" w:firstLineChars="200"/>
        <w:rPr>
          <w:rFonts w:hint="eastAsia" w:ascii="方正仿宋_GBK" w:eastAsia="方正仿宋_GBK"/>
          <w:color w:val="000000"/>
        </w:rPr>
      </w:pPr>
      <w:r>
        <w:rPr>
          <w:rFonts w:hint="eastAsia" w:ascii="方正仿宋_GBK" w:eastAsia="方正仿宋_GBK"/>
          <w:color w:val="000000"/>
        </w:rPr>
        <w:t>备注：</w:t>
      </w:r>
    </w:p>
    <w:p>
      <w:pPr>
        <w:spacing w:line="210" w:lineRule="exact"/>
        <w:ind w:firstLine="420" w:firstLineChars="200"/>
        <w:rPr>
          <w:rFonts w:hint="eastAsia" w:ascii="方正仿宋_GBK" w:eastAsia="方正仿宋_GBK"/>
          <w:color w:val="000000"/>
        </w:rPr>
      </w:pPr>
      <w:r>
        <w:rPr>
          <w:rFonts w:hint="eastAsia" w:ascii="方正仿宋_GBK" w:eastAsia="方正仿宋_GBK"/>
          <w:color w:val="000000"/>
        </w:rPr>
        <w:t>一、每个考核专项以分项分值为最高扣（加）分，此项扣（加）满最高分后，不再额外增加扣（加）分；</w:t>
      </w:r>
    </w:p>
    <w:p>
      <w:pPr>
        <w:spacing w:line="210" w:lineRule="exact"/>
        <w:ind w:firstLine="420" w:firstLineChars="200"/>
        <w:rPr>
          <w:rFonts w:hint="eastAsia" w:ascii="方正仿宋_GBK" w:eastAsia="方正仿宋_GBK"/>
          <w:color w:val="000000"/>
        </w:rPr>
      </w:pPr>
      <w:r>
        <w:rPr>
          <w:rFonts w:hint="eastAsia" w:ascii="方正仿宋_GBK" w:eastAsia="方正仿宋_GBK"/>
          <w:color w:val="000000"/>
        </w:rPr>
        <w:t>二、评分标准中百分比（或比值）的取值方式，统一采取先多保留一位，然后按照“四舍五入”的方式进行取值。如：有责乘客投诉率高于百万分之二十的标准，计算时在20后保留一位小数，再按照“四舍五入”方式取值。</w:t>
      </w:r>
    </w:p>
    <w:p>
      <w:pPr>
        <w:spacing w:line="210" w:lineRule="exact"/>
        <w:ind w:firstLine="420" w:firstLineChars="200"/>
        <w:rPr>
          <w:rFonts w:hint="eastAsia" w:ascii="方正仿宋_GBK" w:eastAsia="方正仿宋_GBK"/>
          <w:color w:val="000000"/>
        </w:rPr>
      </w:pPr>
      <w:r>
        <w:rPr>
          <w:rFonts w:hint="eastAsia" w:ascii="方正仿宋_GBK" w:eastAsia="方正仿宋_GBK"/>
          <w:color w:val="000000"/>
        </w:rPr>
        <w:t>三、相关指标专项包括的内容</w:t>
      </w:r>
    </w:p>
    <w:p>
      <w:pPr>
        <w:spacing w:line="210" w:lineRule="exact"/>
        <w:ind w:firstLine="420" w:firstLineChars="200"/>
        <w:rPr>
          <w:rFonts w:hint="eastAsia" w:ascii="方正仿宋_GBK" w:eastAsia="方正仿宋_GBK"/>
          <w:color w:val="000000"/>
        </w:rPr>
      </w:pPr>
      <w:r>
        <w:rPr>
          <w:rFonts w:hint="eastAsia" w:ascii="方正仿宋_GBK" w:eastAsia="方正仿宋_GBK"/>
          <w:color w:val="000000"/>
        </w:rPr>
        <w:t>（一）落实行业管理要求：是指行业管理部门通过规范性文件明确企业应当履行的工作责任，在考核期内履行情况。包括但不限于：保持车容车貌整洁（车内老旧设施更换）、车辆月检清洗、驾驶员月度培训、保持车载智能终端完好有效、使用监控系统处置终端上报的异常（报警）状态、移动支付应当使用车载智能终端（驾驶员拒绝的）、落实疫情防控工作措施、落实公司化经营（依法签订劳动用工合同、办理驾驶员基本社会保险）等情况，被行业管理部门通报的；</w:t>
      </w:r>
    </w:p>
    <w:p>
      <w:pPr>
        <w:spacing w:line="210" w:lineRule="exact"/>
        <w:ind w:firstLine="420" w:firstLineChars="200"/>
        <w:rPr>
          <w:rFonts w:hint="eastAsia" w:ascii="方正仿宋_GBK" w:eastAsia="方正仿宋_GBK"/>
          <w:color w:val="000000"/>
        </w:rPr>
      </w:pPr>
      <w:r>
        <w:rPr>
          <w:rFonts w:hint="eastAsia" w:ascii="方正仿宋_GBK" w:eastAsia="方正仿宋_GBK"/>
          <w:color w:val="000000"/>
        </w:rPr>
        <w:t>（二）承诺履行情况：是指因行政管理及规范企业经营行为的需要，行业管理部门责成企业作出了相关履责承诺，在考核期内履行情况；</w:t>
      </w:r>
    </w:p>
    <w:p>
      <w:pPr>
        <w:spacing w:line="210" w:lineRule="exact"/>
        <w:ind w:firstLine="420" w:firstLineChars="200"/>
        <w:rPr>
          <w:rFonts w:hint="eastAsia" w:ascii="方正仿宋_GBK" w:eastAsia="方正仿宋_GBK"/>
          <w:color w:val="000000"/>
        </w:rPr>
      </w:pPr>
      <w:r>
        <w:rPr>
          <w:rFonts w:hint="eastAsia" w:ascii="方正仿宋_GBK" w:eastAsia="方正仿宋_GBK"/>
          <w:color w:val="000000"/>
        </w:rPr>
        <w:t>（三）服务行为通报情况：在经营服务或驾驶员服务中，存在不文明、不规范的行为，包括但不限于：行业管理部门例行巡查、社会动态监督、媒体反馈等方式获取的驾驶员不文明服务、拒绝接受扫描车载智能终端付费码移动支付、随地便溺、衣冠不整、与乘客发生肢体冲突造成乘客受伤并公安部门认定承担主要责任等情况，被行业管理部门通报的。</w:t>
      </w:r>
    </w:p>
    <w:p>
      <w:pPr>
        <w:spacing w:line="210" w:lineRule="exact"/>
        <w:ind w:firstLine="420" w:firstLineChars="200"/>
        <w:rPr>
          <w:rFonts w:hint="eastAsia" w:ascii="方正仿宋_GBK" w:eastAsia="方正仿宋_GBK"/>
          <w:color w:val="000000"/>
        </w:rPr>
      </w:pPr>
      <w:r>
        <w:rPr>
          <w:rFonts w:hint="eastAsia" w:ascii="方正仿宋_GBK" w:eastAsia="方正仿宋_GBK"/>
          <w:color w:val="000000"/>
        </w:rPr>
        <w:t>（四）有责乘客投诉率：年度内经营者所属驾驶员发生服务质量投诉被交通执法部门依法作出罚款或暂停营运等行政处罚的次数与所属车辆总营运车次（订单量）的比值。</w:t>
      </w:r>
    </w:p>
    <w:p>
      <w:pPr>
        <w:rPr>
          <w:rFonts w:hint="eastAsia" w:ascii="方正黑体_GBK" w:eastAsia="方正黑体_GBK"/>
          <w:color w:val="000000"/>
          <w:sz w:val="32"/>
          <w:szCs w:val="32"/>
        </w:rPr>
      </w:pPr>
    </w:p>
    <w:p>
      <w:pPr>
        <w:rPr>
          <w:rFonts w:hint="eastAsia" w:ascii="方正黑体_GBK" w:eastAsia="方正黑体_GBK"/>
          <w:color w:val="000000"/>
          <w:sz w:val="32"/>
          <w:szCs w:val="32"/>
        </w:rPr>
      </w:pPr>
    </w:p>
    <w:p>
      <w:pPr>
        <w:rPr>
          <w:rFonts w:hint="eastAsia" w:ascii="方正黑体_GBK" w:eastAsia="方正黑体_GBK"/>
          <w:color w:val="000000"/>
          <w:sz w:val="32"/>
          <w:szCs w:val="32"/>
        </w:rPr>
      </w:pPr>
    </w:p>
    <w:p>
      <w:pPr>
        <w:rPr>
          <w:rFonts w:hint="eastAsia" w:ascii="方正黑体_GBK" w:eastAsia="方正黑体_GBK"/>
          <w:color w:val="000000"/>
          <w:sz w:val="32"/>
          <w:szCs w:val="32"/>
        </w:rPr>
      </w:pPr>
    </w:p>
    <w:p>
      <w:pPr>
        <w:rPr>
          <w:rFonts w:hint="eastAsia" w:ascii="方正黑体_GBK" w:eastAsia="方正黑体_GBK"/>
          <w:color w:val="000000"/>
          <w:sz w:val="32"/>
          <w:szCs w:val="32"/>
        </w:rPr>
      </w:pPr>
      <w:r>
        <w:rPr>
          <w:rFonts w:hint="eastAsia" w:ascii="方正黑体_GBK" w:eastAsia="方正黑体_GBK"/>
          <w:color w:val="000000"/>
          <w:sz w:val="32"/>
          <w:szCs w:val="32"/>
        </w:rPr>
        <w:t>附件1-6</w:t>
      </w:r>
    </w:p>
    <w:p>
      <w:pPr>
        <w:rPr>
          <w:rFonts w:hint="eastAsia" w:ascii="方正黑体_GBK" w:eastAsia="方正黑体_GBK"/>
          <w:color w:val="000000"/>
          <w:sz w:val="32"/>
          <w:szCs w:val="32"/>
        </w:rPr>
      </w:pPr>
    </w:p>
    <w:p>
      <w:pPr>
        <w:jc w:val="center"/>
        <w:rPr>
          <w:rFonts w:hint="eastAsia" w:ascii="方正小标宋_GBK" w:eastAsia="方正小标宋_GBK"/>
          <w:bCs/>
          <w:color w:val="000000"/>
          <w:kern w:val="0"/>
          <w:sz w:val="44"/>
          <w:szCs w:val="44"/>
          <w:lang w:bidi="ar"/>
        </w:rPr>
      </w:pPr>
      <w:r>
        <w:rPr>
          <w:rFonts w:hint="eastAsia" w:ascii="方正小标宋_GBK" w:eastAsia="方正小标宋_GBK"/>
          <w:bCs/>
          <w:color w:val="000000"/>
          <w:kern w:val="0"/>
          <w:sz w:val="44"/>
          <w:szCs w:val="44"/>
          <w:lang w:bidi="ar"/>
        </w:rPr>
        <w:t>重庆市网络预约出租汽车经营者（平台公司）信用评价标准</w:t>
      </w:r>
    </w:p>
    <w:p>
      <w:pPr>
        <w:jc w:val="left"/>
        <w:rPr>
          <w:bCs/>
          <w:color w:val="000000"/>
          <w:kern w:val="0"/>
          <w:sz w:val="32"/>
          <w:szCs w:val="32"/>
          <w:lang w:bidi="ar"/>
        </w:rPr>
      </w:pPr>
      <w:r>
        <w:rPr>
          <w:rFonts w:hint="eastAsia" w:ascii="方正仿宋_GBK" w:hAnsi="方正仿宋_GBK" w:eastAsia="方正仿宋_GBK" w:cs="方正仿宋_GBK"/>
          <w:bCs/>
          <w:color w:val="000000"/>
          <w:kern w:val="0"/>
          <w:sz w:val="28"/>
          <w:szCs w:val="28"/>
          <w:lang w:bidi="ar"/>
        </w:rPr>
        <w:t>被评价企业：                                                            评价年度：</w:t>
      </w:r>
    </w:p>
    <w:tbl>
      <w:tblPr>
        <w:tblStyle w:val="7"/>
        <w:tblW w:w="13620" w:type="dxa"/>
        <w:jc w:val="center"/>
        <w:tblLayout w:type="fixed"/>
        <w:tblCellMar>
          <w:top w:w="0" w:type="dxa"/>
          <w:left w:w="108" w:type="dxa"/>
          <w:bottom w:w="0" w:type="dxa"/>
          <w:right w:w="108" w:type="dxa"/>
        </w:tblCellMar>
      </w:tblPr>
      <w:tblGrid>
        <w:gridCol w:w="645"/>
        <w:gridCol w:w="1320"/>
        <w:gridCol w:w="1703"/>
        <w:gridCol w:w="757"/>
        <w:gridCol w:w="4360"/>
        <w:gridCol w:w="1547"/>
        <w:gridCol w:w="1023"/>
        <w:gridCol w:w="1635"/>
        <w:gridCol w:w="630"/>
      </w:tblGrid>
      <w:tr>
        <w:tblPrEx>
          <w:tblCellMar>
            <w:top w:w="0" w:type="dxa"/>
            <w:left w:w="108" w:type="dxa"/>
            <w:bottom w:w="0" w:type="dxa"/>
            <w:right w:w="108" w:type="dxa"/>
          </w:tblCellMar>
        </w:tblPrEx>
        <w:trPr>
          <w:trHeight w:val="731" w:hRule="atLeast"/>
          <w:tblHeader/>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序号</w:t>
            </w:r>
          </w:p>
        </w:tc>
        <w:tc>
          <w:tcPr>
            <w:tcW w:w="13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一级指标及分值</w:t>
            </w:r>
          </w:p>
        </w:tc>
        <w:tc>
          <w:tcPr>
            <w:tcW w:w="1703"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二级指标</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分值</w:t>
            </w: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评分标准</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数据来源</w:t>
            </w:r>
          </w:p>
        </w:tc>
        <w:tc>
          <w:tcPr>
            <w:tcW w:w="630" w:type="dxa"/>
            <w:tcBorders>
              <w:top w:val="single" w:color="000000" w:sz="4" w:space="0"/>
              <w:left w:val="nil"/>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得分</w:t>
            </w:r>
          </w:p>
        </w:tc>
      </w:tr>
      <w:tr>
        <w:tblPrEx>
          <w:tblCellMar>
            <w:top w:w="0" w:type="dxa"/>
            <w:left w:w="108" w:type="dxa"/>
            <w:bottom w:w="0" w:type="dxa"/>
            <w:right w:w="108" w:type="dxa"/>
          </w:tblCellMar>
        </w:tblPrEx>
        <w:trPr>
          <w:trHeight w:val="1125" w:hRule="atLeast"/>
          <w:jc w:val="center"/>
        </w:trPr>
        <w:tc>
          <w:tcPr>
            <w:tcW w:w="64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楷体_GBK" w:hAnsi="方正楷体_GBK" w:eastAsia="方正楷体_GBK" w:cs="方正楷体_GBK"/>
                <w:color w:val="000000"/>
                <w:kern w:val="0"/>
                <w:sz w:val="22"/>
                <w:szCs w:val="22"/>
                <w:lang w:bidi="ar"/>
              </w:rPr>
            </w:pPr>
            <w:r>
              <w:rPr>
                <w:rFonts w:hint="eastAsia" w:ascii="方正楷体_GBK" w:hAnsi="方正楷体_GBK" w:eastAsia="方正楷体_GBK" w:cs="方正楷体_GBK"/>
                <w:color w:val="000000"/>
                <w:kern w:val="0"/>
                <w:sz w:val="22"/>
                <w:szCs w:val="22"/>
                <w:lang w:bidi="ar"/>
              </w:rPr>
              <w:t>经营管理</w:t>
            </w:r>
          </w:p>
          <w:p>
            <w:pPr>
              <w:widowControl/>
              <w:jc w:val="center"/>
              <w:textAlignment w:val="center"/>
              <w:rPr>
                <w:rFonts w:eastAsia="方正楷体_GBK"/>
                <w:bCs/>
                <w:color w:val="000000"/>
                <w:sz w:val="22"/>
                <w:szCs w:val="22"/>
              </w:rPr>
            </w:pPr>
            <w:r>
              <w:rPr>
                <w:rFonts w:hint="eastAsia" w:ascii="方正楷体_GBK" w:hAnsi="方正楷体_GBK" w:eastAsia="方正楷体_GBK" w:cs="方正楷体_GBK"/>
                <w:color w:val="000000"/>
                <w:kern w:val="0"/>
                <w:sz w:val="22"/>
                <w:szCs w:val="22"/>
                <w:lang w:bidi="ar"/>
              </w:rPr>
              <w:t>（20分）</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落实行业管理要求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r>
              <w:rPr>
                <w:rFonts w:eastAsia="方正楷体_GBK"/>
                <w:color w:val="000000"/>
                <w:kern w:val="0"/>
                <w:sz w:val="24"/>
                <w:szCs w:val="24"/>
                <w:lang w:bidi="ar"/>
              </w:rPr>
              <w:t>10</w:t>
            </w:r>
          </w:p>
        </w:tc>
        <w:tc>
          <w:tcPr>
            <w:tcW w:w="6930"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楷体_GBK"/>
                <w:bCs/>
                <w:color w:val="000000"/>
                <w:sz w:val="24"/>
                <w:szCs w:val="24"/>
              </w:rPr>
            </w:pPr>
            <w:r>
              <w:rPr>
                <w:rFonts w:hint="eastAsia" w:ascii="方正仿宋_GBK" w:hAnsi="方正仿宋_GBK" w:eastAsia="方正仿宋_GBK" w:cs="方正仿宋_GBK"/>
                <w:color w:val="000000"/>
                <w:kern w:val="0"/>
                <w:sz w:val="22"/>
                <w:szCs w:val="22"/>
                <w:lang w:bidi="ar"/>
              </w:rPr>
              <w:t>不按照行业管理的要求或行业自律安排，在落实工作责任或维护行业运营秩序方面存在问题被行业管理部门通报的，轻微事项的每次0.5分，情形严重的每次扣1分；被行政部门约谈的，每次加扣2分，约谈后仍不整改的，每次加扣3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行业管理和交通执法动态录入</w:t>
            </w:r>
          </w:p>
        </w:tc>
        <w:tc>
          <w:tcPr>
            <w:tcW w:w="63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4"/>
                <w:szCs w:val="24"/>
              </w:rPr>
            </w:pPr>
          </w:p>
        </w:tc>
      </w:tr>
      <w:tr>
        <w:tblPrEx>
          <w:tblCellMar>
            <w:top w:w="0" w:type="dxa"/>
            <w:left w:w="108" w:type="dxa"/>
            <w:bottom w:w="0" w:type="dxa"/>
            <w:right w:w="108" w:type="dxa"/>
          </w:tblCellMar>
        </w:tblPrEx>
        <w:trPr>
          <w:trHeight w:val="807"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2</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楷体_GBK"/>
                <w:bCs/>
                <w:color w:val="000000"/>
                <w:sz w:val="22"/>
                <w:szCs w:val="22"/>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承诺履行情况</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r>
              <w:rPr>
                <w:rFonts w:eastAsia="方正仿宋_GBK"/>
                <w:color w:val="000000"/>
                <w:kern w:val="0"/>
                <w:sz w:val="22"/>
                <w:szCs w:val="22"/>
                <w:lang w:bidi="ar"/>
              </w:rPr>
              <w:t>10</w:t>
            </w: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在行政管理事项中按要求作出了承诺但不履行被通报的，每次扣2分；被行政部门约谈的，每次加扣2分，经约谈、告诫提醒后仍不履行的，每次加扣3分。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行业管理和交通执法动态录入</w:t>
            </w:r>
          </w:p>
        </w:tc>
        <w:tc>
          <w:tcPr>
            <w:tcW w:w="630"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851"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3</w:t>
            </w:r>
          </w:p>
        </w:tc>
        <w:tc>
          <w:tcPr>
            <w:tcW w:w="1320" w:type="dxa"/>
            <w:vMerge w:val="restart"/>
            <w:tcBorders>
              <w:top w:val="nil"/>
              <w:left w:val="single" w:color="000000" w:sz="4" w:space="0"/>
              <w:bottom w:val="nil"/>
              <w:right w:val="nil"/>
            </w:tcBorders>
            <w:noWrap w:val="0"/>
            <w:vAlign w:val="center"/>
          </w:tcPr>
          <w:p>
            <w:pPr>
              <w:widowControl/>
              <w:jc w:val="center"/>
              <w:textAlignment w:val="center"/>
              <w:rPr>
                <w:rFonts w:hint="eastAsia" w:ascii="方正楷体_GBK" w:hAnsi="方正楷体_GBK" w:eastAsia="方正楷体_GBK" w:cs="方正楷体_GBK"/>
                <w:color w:val="000000"/>
                <w:kern w:val="0"/>
                <w:sz w:val="22"/>
                <w:szCs w:val="22"/>
                <w:lang w:bidi="ar"/>
              </w:rPr>
            </w:pPr>
            <w:r>
              <w:rPr>
                <w:rFonts w:hint="eastAsia" w:ascii="方正楷体_GBK" w:hAnsi="方正楷体_GBK" w:eastAsia="方正楷体_GBK" w:cs="方正楷体_GBK"/>
                <w:color w:val="000000"/>
                <w:kern w:val="0"/>
                <w:sz w:val="22"/>
                <w:szCs w:val="22"/>
                <w:lang w:bidi="ar"/>
              </w:rPr>
              <w:t>安全生产</w:t>
            </w:r>
          </w:p>
          <w:p>
            <w:pPr>
              <w:widowControl/>
              <w:jc w:val="center"/>
              <w:textAlignment w:val="center"/>
              <w:rPr>
                <w:rFonts w:eastAsia="方正楷体_GBK"/>
                <w:bCs/>
                <w:color w:val="000000"/>
                <w:sz w:val="22"/>
                <w:szCs w:val="22"/>
              </w:rPr>
            </w:pPr>
            <w:r>
              <w:rPr>
                <w:rFonts w:hint="eastAsia" w:ascii="方正楷体_GBK" w:hAnsi="方正楷体_GBK" w:eastAsia="方正楷体_GBK" w:cs="方正楷体_GBK"/>
                <w:color w:val="000000"/>
                <w:kern w:val="0"/>
                <w:sz w:val="22"/>
                <w:szCs w:val="22"/>
                <w:lang w:bidi="ar"/>
              </w:rPr>
              <w:t>（30分）</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责任事故伤人率</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r>
              <w:rPr>
                <w:rFonts w:eastAsia="方正仿宋_GBK"/>
                <w:color w:val="000000"/>
                <w:kern w:val="0"/>
                <w:sz w:val="22"/>
                <w:szCs w:val="22"/>
                <w:lang w:bidi="ar"/>
              </w:rPr>
              <w:t>5</w:t>
            </w: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发生行车同责以上事故，伤人率高于0.1人次/万车次的，每增加0.1人/万车次扣0.5分。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公安部门数据共享（年度统计）</w:t>
            </w:r>
          </w:p>
        </w:tc>
        <w:tc>
          <w:tcPr>
            <w:tcW w:w="63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8"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4</w:t>
            </w:r>
          </w:p>
        </w:tc>
        <w:tc>
          <w:tcPr>
            <w:tcW w:w="1320" w:type="dxa"/>
            <w:vMerge w:val="continue"/>
            <w:tcBorders>
              <w:top w:val="nil"/>
              <w:left w:val="single" w:color="000000" w:sz="4" w:space="0"/>
              <w:bottom w:val="nil"/>
              <w:right w:val="nil"/>
            </w:tcBorders>
            <w:noWrap w:val="0"/>
            <w:vAlign w:val="center"/>
          </w:tcPr>
          <w:p>
            <w:pPr>
              <w:jc w:val="center"/>
              <w:rPr>
                <w:rFonts w:eastAsia="方正楷体_GBK"/>
                <w:bCs/>
                <w:color w:val="000000"/>
                <w:sz w:val="22"/>
                <w:szCs w:val="22"/>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责任事故亡人情况</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r>
              <w:rPr>
                <w:rFonts w:eastAsia="方正仿宋_GBK"/>
                <w:color w:val="000000"/>
                <w:kern w:val="0"/>
                <w:sz w:val="22"/>
                <w:szCs w:val="22"/>
                <w:lang w:bidi="ar"/>
              </w:rPr>
              <w:t>10</w:t>
            </w: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发生行车同责以上亡人事故，每死亡1人扣5分。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公安部门数据共享</w:t>
            </w:r>
          </w:p>
        </w:tc>
        <w:tc>
          <w:tcPr>
            <w:tcW w:w="63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3" w:hRule="atLeast"/>
          <w:jc w:val="center"/>
        </w:trPr>
        <w:tc>
          <w:tcPr>
            <w:tcW w:w="64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5</w:t>
            </w:r>
          </w:p>
        </w:tc>
        <w:tc>
          <w:tcPr>
            <w:tcW w:w="1320" w:type="dxa"/>
            <w:vMerge w:val="continue"/>
            <w:tcBorders>
              <w:top w:val="nil"/>
              <w:left w:val="single" w:color="000000" w:sz="4" w:space="0"/>
              <w:bottom w:val="single" w:color="auto" w:sz="4" w:space="0"/>
              <w:right w:val="nil"/>
            </w:tcBorders>
            <w:noWrap w:val="0"/>
            <w:vAlign w:val="center"/>
          </w:tcPr>
          <w:p>
            <w:pPr>
              <w:jc w:val="center"/>
              <w:rPr>
                <w:rFonts w:eastAsia="方正楷体_GBK"/>
                <w:bCs/>
                <w:color w:val="000000"/>
                <w:sz w:val="22"/>
                <w:szCs w:val="22"/>
              </w:rPr>
            </w:pPr>
          </w:p>
        </w:tc>
        <w:tc>
          <w:tcPr>
            <w:tcW w:w="1703"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安全事故报告情况</w:t>
            </w:r>
          </w:p>
        </w:tc>
        <w:tc>
          <w:tcPr>
            <w:tcW w:w="75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color w:val="000000"/>
              </w:rPr>
            </w:pPr>
            <w:r>
              <w:rPr>
                <w:rFonts w:eastAsia="方正仿宋_GBK"/>
                <w:color w:val="000000"/>
                <w:kern w:val="0"/>
                <w:sz w:val="22"/>
                <w:szCs w:val="22"/>
                <w:lang w:bidi="ar"/>
              </w:rPr>
              <w:t>5</w:t>
            </w:r>
          </w:p>
        </w:tc>
        <w:tc>
          <w:tcPr>
            <w:tcW w:w="6930"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发生亡人事故拖延报告（3小时）的，每次扣0.5分；存在瞒报、谎报的，每次扣1分。</w:t>
            </w:r>
          </w:p>
        </w:tc>
        <w:tc>
          <w:tcPr>
            <w:tcW w:w="163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交通和公安部门数据共享</w:t>
            </w:r>
          </w:p>
        </w:tc>
        <w:tc>
          <w:tcPr>
            <w:tcW w:w="630" w:type="dxa"/>
            <w:tcBorders>
              <w:top w:val="single" w:color="000000" w:sz="4" w:space="0"/>
              <w:left w:val="nil"/>
              <w:bottom w:val="single" w:color="auto"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28" w:hRule="atLeast"/>
          <w:jc w:val="center"/>
        </w:trPr>
        <w:tc>
          <w:tcPr>
            <w:tcW w:w="64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6</w:t>
            </w:r>
          </w:p>
        </w:tc>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eastAsia="方正楷体_GBK"/>
                <w:bCs/>
                <w:color w:val="000000"/>
                <w:sz w:val="22"/>
                <w:szCs w:val="22"/>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安全生产隐患整顿</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rFonts w:eastAsia="方正仿宋_GBK"/>
                <w:color w:val="000000"/>
                <w:kern w:val="0"/>
                <w:sz w:val="22"/>
                <w:szCs w:val="22"/>
                <w:lang w:bidi="ar"/>
              </w:rPr>
              <w:t>10</w:t>
            </w:r>
          </w:p>
        </w:tc>
        <w:tc>
          <w:tcPr>
            <w:tcW w:w="693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因存在安全生产隐患，被行政部门挂牌或通报要求整改的，每次次扣2分；因存在严重安全生产隐患，被列入重点安全监管名单的，每次扣3分，被处以部分或全部停业整顿的，每次扣4分。</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公安应急等部门数据共享</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881" w:hRule="atLeast"/>
          <w:jc w:val="center"/>
        </w:trPr>
        <w:tc>
          <w:tcPr>
            <w:tcW w:w="64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7</w:t>
            </w:r>
          </w:p>
        </w:tc>
        <w:tc>
          <w:tcPr>
            <w:tcW w:w="1320"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楷体_GBK" w:hAnsi="方正楷体_GBK" w:eastAsia="方正楷体_GBK" w:cs="方正楷体_GBK"/>
                <w:color w:val="000000"/>
                <w:kern w:val="0"/>
                <w:sz w:val="22"/>
                <w:szCs w:val="22"/>
                <w:lang w:bidi="ar"/>
              </w:rPr>
            </w:pPr>
            <w:r>
              <w:rPr>
                <w:rFonts w:hint="eastAsia" w:ascii="方正楷体_GBK" w:hAnsi="方正楷体_GBK" w:eastAsia="方正楷体_GBK" w:cs="方正楷体_GBK"/>
                <w:color w:val="000000"/>
                <w:kern w:val="0"/>
                <w:sz w:val="22"/>
                <w:szCs w:val="22"/>
                <w:lang w:bidi="ar"/>
              </w:rPr>
              <w:t>服务质量</w:t>
            </w:r>
          </w:p>
          <w:p>
            <w:pPr>
              <w:widowControl/>
              <w:jc w:val="center"/>
              <w:textAlignment w:val="center"/>
              <w:rPr>
                <w:rFonts w:eastAsia="方正楷体_GBK"/>
                <w:bCs/>
                <w:color w:val="000000"/>
                <w:sz w:val="22"/>
                <w:szCs w:val="22"/>
              </w:rPr>
            </w:pPr>
            <w:r>
              <w:rPr>
                <w:rFonts w:hint="eastAsia" w:ascii="方正楷体_GBK" w:hAnsi="方正楷体_GBK" w:eastAsia="方正楷体_GBK" w:cs="方正楷体_GBK"/>
                <w:color w:val="000000"/>
                <w:kern w:val="0"/>
                <w:sz w:val="22"/>
                <w:szCs w:val="22"/>
                <w:lang w:bidi="ar"/>
              </w:rPr>
              <w:t>（30分）</w:t>
            </w:r>
          </w:p>
        </w:tc>
        <w:tc>
          <w:tcPr>
            <w:tcW w:w="1703"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服务行为通报情况</w:t>
            </w:r>
          </w:p>
        </w:tc>
        <w:tc>
          <w:tcPr>
            <w:tcW w:w="75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r>
              <w:rPr>
                <w:rFonts w:eastAsia="方正仿宋_GBK"/>
                <w:color w:val="000000"/>
                <w:kern w:val="0"/>
                <w:sz w:val="22"/>
                <w:szCs w:val="22"/>
                <w:lang w:bidi="ar"/>
              </w:rPr>
              <w:t>10</w:t>
            </w:r>
          </w:p>
        </w:tc>
        <w:tc>
          <w:tcPr>
            <w:tcW w:w="6930" w:type="dxa"/>
            <w:gridSpan w:val="3"/>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bidi="ar"/>
              </w:rPr>
              <w:t>社会和行业监督中，发现驾驶员存在不规范运营服务、言行举止等问题或违背社会公俗良德行为，以及车辆存在车容车貌等问题，被行政管理部门通报的，轻微事项的每次0.5分，情形严重的每次扣2分；被电视、报刊、电台等媒体曝光服务质量事件且属实的，轻微事项每次扣1分，情形严重事项每次扣4分。</w:t>
            </w:r>
          </w:p>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因以上事项被行政管理部门约谈的，每次加扣2分，约谈后仍不整改的，每次加扣3分。</w:t>
            </w:r>
          </w:p>
        </w:tc>
        <w:tc>
          <w:tcPr>
            <w:tcW w:w="163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行业管理和交通执法动态录入</w:t>
            </w:r>
          </w:p>
        </w:tc>
        <w:tc>
          <w:tcPr>
            <w:tcW w:w="630" w:type="dxa"/>
            <w:tcBorders>
              <w:top w:val="single" w:color="auto"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71"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8</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楷体_GBK"/>
                <w:bCs/>
                <w:color w:val="000000"/>
                <w:sz w:val="22"/>
                <w:szCs w:val="22"/>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有责乘客投诉率</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r>
              <w:rPr>
                <w:rFonts w:eastAsia="方正仿宋_GBK"/>
                <w:color w:val="000000"/>
                <w:kern w:val="0"/>
                <w:sz w:val="22"/>
                <w:szCs w:val="22"/>
                <w:lang w:bidi="ar"/>
              </w:rPr>
              <w:t>10</w:t>
            </w: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有责乘客投诉率高于百万分之二十的，每增加百万分之一扣1分。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交通执法部门数据共享（年度统计）</w:t>
            </w:r>
          </w:p>
        </w:tc>
        <w:tc>
          <w:tcPr>
            <w:tcW w:w="630"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016"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9</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楷体_GBK"/>
                <w:bCs/>
                <w:color w:val="000000"/>
                <w:sz w:val="22"/>
                <w:szCs w:val="22"/>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投诉处理及执法检查情况</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r>
              <w:rPr>
                <w:rFonts w:eastAsia="方正仿宋_GBK"/>
                <w:color w:val="000000"/>
                <w:kern w:val="0"/>
                <w:sz w:val="22"/>
                <w:szCs w:val="22"/>
                <w:lang w:bidi="ar"/>
              </w:rPr>
              <w:t>10</w:t>
            </w: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未按要求处置转交的服务投诉或按期反馈处置结果，被通报的，每次扣0.5分；因处置随意、态度粗暴等原因被通报的，每次扣1分；因服务质量投诉量较多被交通部门通报督促整改的，每次扣1.5分；因向不合法人员、车辆派送订单，被交通行政部门执法查处的，每查处1辆扣1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行业管理和交通执法动态录入</w:t>
            </w:r>
          </w:p>
        </w:tc>
        <w:tc>
          <w:tcPr>
            <w:tcW w:w="63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964"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10</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楷体_GBK" w:hAnsi="方正楷体_GBK" w:eastAsia="方正楷体_GBK" w:cs="方正楷体_GBK"/>
                <w:color w:val="000000"/>
                <w:kern w:val="0"/>
                <w:sz w:val="22"/>
                <w:szCs w:val="22"/>
                <w:lang w:bidi="ar"/>
              </w:rPr>
            </w:pPr>
            <w:r>
              <w:rPr>
                <w:rFonts w:hint="eastAsia" w:ascii="方正楷体_GBK" w:hAnsi="方正楷体_GBK" w:eastAsia="方正楷体_GBK" w:cs="方正楷体_GBK"/>
                <w:color w:val="000000"/>
                <w:kern w:val="0"/>
                <w:sz w:val="22"/>
                <w:szCs w:val="22"/>
                <w:lang w:bidi="ar"/>
              </w:rPr>
              <w:t>社会责任</w:t>
            </w:r>
          </w:p>
          <w:p>
            <w:pPr>
              <w:widowControl/>
              <w:jc w:val="center"/>
              <w:textAlignment w:val="center"/>
              <w:rPr>
                <w:rFonts w:eastAsia="方正楷体_GBK"/>
                <w:bCs/>
                <w:color w:val="000000"/>
                <w:sz w:val="22"/>
                <w:szCs w:val="22"/>
              </w:rPr>
            </w:pPr>
            <w:r>
              <w:rPr>
                <w:rFonts w:hint="eastAsia" w:ascii="方正楷体_GBK" w:hAnsi="方正楷体_GBK" w:eastAsia="方正楷体_GBK" w:cs="方正楷体_GBK"/>
                <w:color w:val="000000"/>
                <w:kern w:val="0"/>
                <w:sz w:val="22"/>
                <w:szCs w:val="22"/>
                <w:lang w:bidi="ar"/>
              </w:rPr>
              <w:t>（20分）</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信访稳定情况</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r>
              <w:rPr>
                <w:rFonts w:eastAsia="方正仿宋_GBK"/>
                <w:color w:val="000000"/>
                <w:kern w:val="0"/>
                <w:sz w:val="22"/>
                <w:szCs w:val="22"/>
                <w:lang w:bidi="ar"/>
              </w:rPr>
              <w:t>10</w:t>
            </w: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bidi="ar"/>
              </w:rPr>
              <w:t>企业所属驾驶员、工作人员（包括股东），违反《信访条例》规定，发生进京或到市委市政府上访的，每次扣5分；到市级行政部门或区县人民政府上访的，每次扣3分；到区县行政部门上访的，每次扣1分。20人以上到企业集中反映诉求并由行政部门进行协调处置的，每次扣1分；经行政部门协调，企业不落实相关协调意见导致反映诉求持续发生的，每次扣2分；发生部分车辆非正常停运的扣3分。</w:t>
            </w:r>
          </w:p>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经交通行政部门联合评议，不属于企业责任或原因引起的信访，本项不扣分。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信访公安等部门数据共享或动态录入</w:t>
            </w:r>
          </w:p>
        </w:tc>
        <w:tc>
          <w:tcPr>
            <w:tcW w:w="630"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91"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11</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楷体_GBK"/>
                <w:bCs/>
                <w:color w:val="000000"/>
                <w:sz w:val="22"/>
                <w:szCs w:val="22"/>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公共事件处置情况</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r>
              <w:rPr>
                <w:rFonts w:eastAsia="方正仿宋_GBK"/>
                <w:color w:val="000000"/>
                <w:kern w:val="0"/>
                <w:sz w:val="22"/>
                <w:szCs w:val="22"/>
                <w:lang w:bidi="ar"/>
              </w:rPr>
              <w:t>5</w:t>
            </w: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发生公共事件，企业不服从政府或行政管理调度部署的，每次扣2分；经行业管理部门约谈仍不履行的，每次扣3分。调度参与的运力未达到应调度数量90%的，每次扣0.5分；运力未达到50%的，每次扣1分。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市级部门数据共享或动态录入</w:t>
            </w:r>
          </w:p>
        </w:tc>
        <w:tc>
          <w:tcPr>
            <w:tcW w:w="630"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3"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12</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楷体_GBK"/>
                <w:bCs/>
                <w:color w:val="000000"/>
                <w:sz w:val="22"/>
                <w:szCs w:val="22"/>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社会信用情况</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r>
              <w:rPr>
                <w:rFonts w:eastAsia="方正仿宋_GBK"/>
                <w:color w:val="000000"/>
                <w:kern w:val="0"/>
                <w:sz w:val="22"/>
                <w:szCs w:val="22"/>
                <w:lang w:bidi="ar"/>
              </w:rPr>
              <w:t>5</w:t>
            </w: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企业在经营过程中，因企业经营行为违反法律、法规等被除交通行政部门外的有关部门启动调查并被处以行政处罚的，每次扣2分。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市级部门数据共享或动态录入</w:t>
            </w:r>
          </w:p>
        </w:tc>
        <w:tc>
          <w:tcPr>
            <w:tcW w:w="630"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78"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13</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楷体_GBK"/>
                <w:bCs/>
                <w:color w:val="000000"/>
                <w:sz w:val="22"/>
                <w:szCs w:val="22"/>
              </w:rPr>
            </w:pPr>
            <w:r>
              <w:rPr>
                <w:rFonts w:hint="eastAsia" w:ascii="方正楷体_GBK" w:hAnsi="方正楷体_GBK" w:eastAsia="方正楷体_GBK" w:cs="方正楷体_GBK"/>
                <w:color w:val="000000"/>
                <w:kern w:val="0"/>
                <w:sz w:val="22"/>
                <w:szCs w:val="22"/>
                <w:lang w:bidi="ar"/>
              </w:rPr>
              <w:t>加分项目</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雷锋的士创建情况</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p>
        </w:tc>
        <w:tc>
          <w:tcPr>
            <w:tcW w:w="6930"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参与雷锋的士志愿服务队，一、二、三星级车辆数量合计超过本企业车辆数1%的，每增加1%加0.1分；四星级车辆每辆加0.2分；五星级车辆每辆加0.3分。</w:t>
            </w:r>
            <w:r>
              <w:rPr>
                <w:rFonts w:hint="eastAsia" w:eastAsia="方正仿宋_GBK"/>
                <w:color w:val="000000"/>
                <w:kern w:val="0"/>
                <w:sz w:val="22"/>
                <w:szCs w:val="22"/>
                <w:lang w:bidi="ar"/>
              </w:rPr>
              <w:t>（最高不超过2分）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交通行政部门动态录入</w:t>
            </w:r>
          </w:p>
        </w:tc>
        <w:tc>
          <w:tcPr>
            <w:tcW w:w="63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9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14</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楷体_GBK"/>
                <w:bCs/>
                <w:color w:val="000000"/>
                <w:sz w:val="22"/>
                <w:szCs w:val="22"/>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行业正面典型及荣誉表彰情况</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color w:val="000000"/>
              </w:rPr>
            </w:pP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企业经营过程中获得了荣誉或通报表彰的，国家级每次加2分；部级或市级政府每次加1分；市级部门或区县政府级加0.5分；区县部门级加0.2分。同一行为多层次表彰的，以最高级别奖励的标准加分。</w:t>
            </w:r>
            <w:r>
              <w:rPr>
                <w:rFonts w:hint="eastAsia" w:eastAsia="方正仿宋_GBK"/>
                <w:color w:val="000000"/>
                <w:kern w:val="0"/>
                <w:sz w:val="22"/>
                <w:szCs w:val="22"/>
                <w:lang w:bidi="ar"/>
              </w:rPr>
              <w:t>（最高不超过2分）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企业提交动态录入</w:t>
            </w:r>
          </w:p>
        </w:tc>
        <w:tc>
          <w:tcPr>
            <w:tcW w:w="63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3"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15</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楷体_GBK"/>
                <w:bCs/>
                <w:color w:val="000000"/>
                <w:sz w:val="22"/>
                <w:szCs w:val="22"/>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新闻媒体正面报道</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企业所属驾驶员、工作人员出现好人好事被新闻媒体报道的，国家级每件次加0.5分；市级每件次加0.3分；区县级每件次加0.1分。同一事迹多层次报道的，以最高级别媒体报道的标准加分。</w:t>
            </w:r>
            <w:r>
              <w:rPr>
                <w:rFonts w:hint="eastAsia" w:eastAsia="方正仿宋_GBK"/>
                <w:color w:val="000000"/>
                <w:kern w:val="0"/>
                <w:sz w:val="22"/>
                <w:szCs w:val="22"/>
                <w:lang w:bidi="ar"/>
              </w:rPr>
              <w:t>（最高不超过1分）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企业提交动态录入</w:t>
            </w:r>
          </w:p>
        </w:tc>
        <w:tc>
          <w:tcPr>
            <w:tcW w:w="63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04"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r>
              <w:rPr>
                <w:rFonts w:hint="eastAsia" w:eastAsia="方正楷体_GBK"/>
                <w:bCs/>
                <w:color w:val="000000"/>
                <w:sz w:val="22"/>
                <w:szCs w:val="22"/>
              </w:rPr>
              <w:t>合计</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r>
              <w:rPr>
                <w:rFonts w:hint="eastAsia" w:eastAsia="方正楷体_GBK"/>
                <w:bCs/>
                <w:color w:val="000000"/>
                <w:sz w:val="22"/>
                <w:szCs w:val="22"/>
              </w:rPr>
              <w:t>100分</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1</w:t>
            </w:r>
            <w:r>
              <w:rPr>
                <w:rFonts w:hint="eastAsia" w:eastAsia="方正仿宋_GBK"/>
                <w:color w:val="000000"/>
                <w:kern w:val="0"/>
                <w:sz w:val="22"/>
                <w:szCs w:val="22"/>
                <w:lang w:bidi="ar"/>
              </w:rPr>
              <w:t>0</w:t>
            </w:r>
            <w:r>
              <w:rPr>
                <w:rFonts w:eastAsia="方正仿宋_GBK"/>
                <w:color w:val="000000"/>
                <w:kern w:val="0"/>
                <w:sz w:val="22"/>
                <w:szCs w:val="22"/>
                <w:lang w:bidi="ar"/>
              </w:rPr>
              <w:t>0分</w:t>
            </w: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63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464" w:hRule="atLeast"/>
          <w:jc w:val="center"/>
        </w:trPr>
        <w:tc>
          <w:tcPr>
            <w:tcW w:w="1965" w:type="dxa"/>
            <w:gridSpan w:val="2"/>
            <w:vMerge w:val="restart"/>
            <w:tcBorders>
              <w:top w:val="single" w:color="000000" w:sz="4" w:space="0"/>
              <w:left w:val="single" w:color="000000" w:sz="4" w:space="0"/>
              <w:right w:val="single" w:color="000000" w:sz="4" w:space="0"/>
            </w:tcBorders>
            <w:noWrap/>
            <w:vAlign w:val="center"/>
          </w:tcPr>
          <w:p>
            <w:pPr>
              <w:widowControl/>
              <w:spacing w:line="260" w:lineRule="exact"/>
              <w:jc w:val="center"/>
              <w:rPr>
                <w:rFonts w:hint="eastAsia" w:eastAsia="方正楷体_GBK"/>
                <w:bCs/>
                <w:color w:val="000000"/>
                <w:sz w:val="22"/>
                <w:szCs w:val="22"/>
              </w:rPr>
            </w:pPr>
            <w:r>
              <w:rPr>
                <w:rFonts w:hint="eastAsia" w:eastAsia="方正楷体_GBK"/>
                <w:bCs/>
                <w:color w:val="000000"/>
                <w:sz w:val="22"/>
                <w:szCs w:val="22"/>
              </w:rPr>
              <w:t>评价结论</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995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CellMar>
            <w:top w:w="0" w:type="dxa"/>
            <w:left w:w="108" w:type="dxa"/>
            <w:bottom w:w="0" w:type="dxa"/>
            <w:right w:w="108" w:type="dxa"/>
          </w:tblCellMar>
        </w:tblPrEx>
        <w:trPr>
          <w:trHeight w:val="414" w:hRule="atLeast"/>
          <w:jc w:val="center"/>
        </w:trPr>
        <w:tc>
          <w:tcPr>
            <w:tcW w:w="1965" w:type="dxa"/>
            <w:gridSpan w:val="2"/>
            <w:vMerge w:val="continue"/>
            <w:tcBorders>
              <w:left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评价机构</w:t>
            </w:r>
          </w:p>
        </w:tc>
        <w:tc>
          <w:tcPr>
            <w:tcW w:w="995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333" w:hRule="atLeast"/>
          <w:jc w:val="center"/>
        </w:trPr>
        <w:tc>
          <w:tcPr>
            <w:tcW w:w="1965" w:type="dxa"/>
            <w:gridSpan w:val="2"/>
            <w:vMerge w:val="continue"/>
            <w:tcBorders>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经办人</w:t>
            </w:r>
          </w:p>
        </w:tc>
        <w:tc>
          <w:tcPr>
            <w:tcW w:w="51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评价日期</w:t>
            </w:r>
          </w:p>
        </w:tc>
        <w:tc>
          <w:tcPr>
            <w:tcW w:w="328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eastAsia="仿宋_GB2312"/>
                <w:color w:val="000000"/>
                <w:sz w:val="20"/>
              </w:rPr>
            </w:pPr>
            <w:r>
              <w:rPr>
                <w:rFonts w:hint="eastAsia" w:eastAsia="仿宋_GB2312"/>
                <w:color w:val="000000"/>
                <w:sz w:val="20"/>
              </w:rPr>
              <w:t xml:space="preserve">         年    月    日</w:t>
            </w:r>
          </w:p>
        </w:tc>
      </w:tr>
    </w:tbl>
    <w:p>
      <w:pPr>
        <w:spacing w:line="200" w:lineRule="exact"/>
        <w:ind w:firstLine="420" w:firstLineChars="200"/>
        <w:rPr>
          <w:rFonts w:hint="eastAsia" w:ascii="方正仿宋_GBK" w:eastAsia="方正仿宋_GBK"/>
          <w:color w:val="000000"/>
        </w:rPr>
      </w:pPr>
      <w:r>
        <w:rPr>
          <w:rFonts w:hint="eastAsia" w:ascii="方正仿宋_GBK" w:eastAsia="方正仿宋_GBK"/>
          <w:color w:val="000000"/>
        </w:rPr>
        <w:t>备注：</w:t>
      </w:r>
    </w:p>
    <w:p>
      <w:pPr>
        <w:spacing w:line="200" w:lineRule="exact"/>
        <w:ind w:firstLine="420" w:firstLineChars="200"/>
        <w:rPr>
          <w:rFonts w:hint="eastAsia" w:ascii="方正仿宋_GBK" w:eastAsia="方正仿宋_GBK"/>
          <w:color w:val="000000"/>
        </w:rPr>
      </w:pPr>
      <w:r>
        <w:rPr>
          <w:rFonts w:hint="eastAsia" w:ascii="方正仿宋_GBK" w:eastAsia="方正仿宋_GBK"/>
          <w:color w:val="000000"/>
        </w:rPr>
        <w:t>一、每个考核专项以分项分值为最高扣（加）分，此项扣（加）满最高分后，不再额外增加扣（加）分；</w:t>
      </w:r>
    </w:p>
    <w:p>
      <w:pPr>
        <w:spacing w:line="200" w:lineRule="exact"/>
        <w:ind w:firstLine="420" w:firstLineChars="200"/>
        <w:rPr>
          <w:rFonts w:hint="eastAsia" w:ascii="方正仿宋_GBK" w:eastAsia="方正仿宋_GBK"/>
          <w:color w:val="000000"/>
        </w:rPr>
      </w:pPr>
      <w:r>
        <w:rPr>
          <w:rFonts w:hint="eastAsia" w:ascii="方正仿宋_GBK" w:eastAsia="方正仿宋_GBK"/>
          <w:color w:val="000000"/>
        </w:rPr>
        <w:t>二、评分标准中百分比（或比值）的取值方式，统一采取先多保留一位，然后按照“四舍五入”的方式进行取值。如：有责乘客投诉率高于百万分之二十的标准，计算时在20后保留一位小数，再按照“四舍五入”方式取值。</w:t>
      </w:r>
    </w:p>
    <w:p>
      <w:pPr>
        <w:spacing w:line="200" w:lineRule="exact"/>
        <w:ind w:firstLine="420" w:firstLineChars="200"/>
        <w:rPr>
          <w:rFonts w:hint="eastAsia" w:ascii="方正仿宋_GBK" w:eastAsia="方正仿宋_GBK"/>
          <w:color w:val="000000"/>
        </w:rPr>
      </w:pPr>
      <w:r>
        <w:rPr>
          <w:rFonts w:hint="eastAsia" w:ascii="方正仿宋_GBK" w:eastAsia="方正仿宋_GBK"/>
          <w:color w:val="000000"/>
        </w:rPr>
        <w:t>三、相关指标专项包括的内容</w:t>
      </w:r>
    </w:p>
    <w:p>
      <w:pPr>
        <w:spacing w:line="200" w:lineRule="exact"/>
        <w:ind w:firstLine="420" w:firstLineChars="200"/>
        <w:rPr>
          <w:rFonts w:hint="eastAsia" w:ascii="方正仿宋_GBK" w:eastAsia="方正仿宋_GBK"/>
          <w:color w:val="000000"/>
        </w:rPr>
      </w:pPr>
      <w:r>
        <w:rPr>
          <w:rFonts w:hint="eastAsia" w:ascii="方正仿宋_GBK" w:eastAsia="方正仿宋_GBK"/>
          <w:color w:val="000000"/>
        </w:rPr>
        <w:t>（一）落实行业管理要求：是指行业管理部门通过规范性文件明确企业应当履行的工作责任，在考核期内履行情况。包括但不限于：保持车容车貌整洁（车内老旧设施更换）、车辆月检清洗、驾驶员月度培训、保持车载智能终端完好有效、使用监控系统处置终端上报的异常（报警）状态、移动支付应当使用车载智能终端（驾驶员拒绝的）、落实疫情防控工作措施、落实公司化经营（依法签订劳动用工合同、办理驾驶员基本社会保险）等情况，被行业管理部门通报的；</w:t>
      </w:r>
    </w:p>
    <w:p>
      <w:pPr>
        <w:spacing w:line="200" w:lineRule="exact"/>
        <w:ind w:firstLine="420" w:firstLineChars="200"/>
        <w:rPr>
          <w:rFonts w:hint="eastAsia" w:ascii="方正仿宋_GBK" w:eastAsia="方正仿宋_GBK"/>
          <w:color w:val="000000"/>
        </w:rPr>
      </w:pPr>
      <w:r>
        <w:rPr>
          <w:rFonts w:hint="eastAsia" w:ascii="方正仿宋_GBK" w:eastAsia="方正仿宋_GBK"/>
          <w:color w:val="000000"/>
        </w:rPr>
        <w:t>（二）承诺履行情况：是指因行政管理及规范企业经营行为的需要，行业管理部门责成企业作出了相关履责承诺，在考核期内履行情况；</w:t>
      </w:r>
    </w:p>
    <w:p>
      <w:pPr>
        <w:spacing w:line="200" w:lineRule="exact"/>
        <w:ind w:firstLine="420" w:firstLineChars="200"/>
        <w:rPr>
          <w:rFonts w:hint="eastAsia" w:ascii="方正仿宋_GBK" w:eastAsia="方正仿宋_GBK"/>
          <w:color w:val="000000"/>
        </w:rPr>
      </w:pPr>
      <w:r>
        <w:rPr>
          <w:rFonts w:hint="eastAsia" w:ascii="方正仿宋_GBK" w:eastAsia="方正仿宋_GBK"/>
          <w:color w:val="000000"/>
        </w:rPr>
        <w:t>（三）服务行为通报情况：在经营服务或驾驶员服务中，存在不文明、不规范的行为，包括但不限于：行业管理部门例行巡查、社会动态监督、媒体反馈等方式获取的驾驶员不文明服务、拒绝接受扫描车载智能终端付费码移动支付、随地便溺、衣冠不整、与乘客发生肢体冲突造成乘客受伤并公安部门认定承担主要责任等情况，被行业管理部门通报的。</w:t>
      </w:r>
    </w:p>
    <w:p>
      <w:pPr>
        <w:spacing w:line="200" w:lineRule="exact"/>
        <w:ind w:firstLine="420" w:firstLineChars="200"/>
        <w:rPr>
          <w:rFonts w:hint="eastAsia" w:ascii="方正仿宋_GBK" w:eastAsia="方正仿宋_GBK"/>
          <w:color w:val="000000"/>
        </w:rPr>
      </w:pPr>
      <w:r>
        <w:rPr>
          <w:rFonts w:hint="eastAsia" w:ascii="方正仿宋_GBK" w:eastAsia="方正仿宋_GBK"/>
          <w:color w:val="000000"/>
        </w:rPr>
        <w:t>（四）有责乘客投诉率：年度内经营者所属驾驶员发生服务质量投诉被交通执法部门依法作出罚款或暂停营运等行政处罚的次数与所属车辆总营运车次（订单量）的比值。</w:t>
      </w:r>
    </w:p>
    <w:p>
      <w:pPr>
        <w:rPr>
          <w:rFonts w:ascii="黑体" w:hAnsi="黑体" w:eastAsia="黑体"/>
          <w:color w:val="000000"/>
          <w:sz w:val="32"/>
          <w:szCs w:val="32"/>
        </w:rPr>
      </w:pPr>
    </w:p>
    <w:p>
      <w:pPr>
        <w:rPr>
          <w:rFonts w:hint="eastAsia" w:ascii="黑体" w:hAnsi="黑体" w:eastAsia="黑体"/>
          <w:color w:val="000000"/>
          <w:sz w:val="32"/>
          <w:szCs w:val="32"/>
        </w:rPr>
      </w:pPr>
      <w:r>
        <w:rPr>
          <w:rFonts w:ascii="黑体" w:hAnsi="黑体" w:eastAsia="黑体"/>
          <w:color w:val="000000"/>
          <w:sz w:val="32"/>
          <w:szCs w:val="32"/>
        </w:rPr>
        <w:t>附件</w:t>
      </w:r>
      <w:r>
        <w:rPr>
          <w:rFonts w:hint="eastAsia" w:ascii="黑体" w:hAnsi="黑体" w:eastAsia="黑体"/>
          <w:color w:val="000000"/>
          <w:sz w:val="32"/>
          <w:szCs w:val="32"/>
        </w:rPr>
        <w:t>1-7</w:t>
      </w:r>
    </w:p>
    <w:p>
      <w:pPr>
        <w:rPr>
          <w:rFonts w:hint="eastAsia" w:ascii="黑体" w:hAnsi="黑体" w:eastAsia="黑体"/>
          <w:color w:val="000000"/>
        </w:rPr>
      </w:pPr>
    </w:p>
    <w:p>
      <w:pPr>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重庆市城市轨道交通运营企业信用评价标准</w:t>
      </w:r>
    </w:p>
    <w:p>
      <w:pPr>
        <w:ind w:firstLine="560" w:firstLineChars="200"/>
        <w:jc w:val="left"/>
        <w:rPr>
          <w:rFonts w:ascii="方正仿宋_GBK" w:hAnsi="方正仿宋_GBK" w:eastAsia="方正仿宋_GBK" w:cs="方正仿宋_GBK"/>
          <w:bCs/>
          <w:color w:val="000000"/>
          <w:kern w:val="0"/>
          <w:sz w:val="28"/>
          <w:szCs w:val="28"/>
          <w:lang w:bidi="ar"/>
        </w:rPr>
      </w:pPr>
      <w:r>
        <w:rPr>
          <w:rFonts w:hint="eastAsia" w:ascii="方正仿宋_GBK" w:hAnsi="方正仿宋_GBK" w:eastAsia="方正仿宋_GBK" w:cs="方正仿宋_GBK"/>
          <w:bCs/>
          <w:color w:val="000000"/>
          <w:kern w:val="0"/>
          <w:sz w:val="28"/>
          <w:szCs w:val="28"/>
          <w:lang w:bidi="ar"/>
        </w:rPr>
        <w:t xml:space="preserve">被评价企业：                       被评价线路：                    评价年度：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65"/>
        <w:gridCol w:w="1815"/>
        <w:gridCol w:w="765"/>
        <w:gridCol w:w="2640"/>
        <w:gridCol w:w="1830"/>
        <w:gridCol w:w="2505"/>
        <w:gridCol w:w="168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trPr>
        <w:tc>
          <w:tcPr>
            <w:tcW w:w="712" w:type="dxa"/>
            <w:noWrap w:val="0"/>
            <w:vAlign w:val="center"/>
          </w:tcPr>
          <w:p>
            <w:pPr>
              <w:widowControl/>
              <w:spacing w:line="280" w:lineRule="exact"/>
              <w:jc w:val="center"/>
              <w:textAlignment w:val="center"/>
              <w:rPr>
                <w:rFonts w:hint="eastAsia" w:ascii="黑体" w:hAnsi="黑体" w:eastAsia="黑体" w:cs="方正仿宋_GBK"/>
                <w:bCs/>
                <w:color w:val="000000"/>
                <w:kern w:val="0"/>
                <w:sz w:val="28"/>
                <w:szCs w:val="28"/>
                <w:lang w:bidi="ar"/>
              </w:rPr>
            </w:pPr>
            <w:r>
              <w:rPr>
                <w:rFonts w:hint="eastAsia" w:ascii="黑体" w:hAnsi="黑体" w:eastAsia="黑体" w:cs="方正仿宋_GBK"/>
                <w:bCs/>
                <w:color w:val="000000"/>
                <w:kern w:val="0"/>
                <w:sz w:val="24"/>
                <w:szCs w:val="24"/>
                <w:lang w:bidi="ar"/>
              </w:rPr>
              <w:t>序号</w:t>
            </w:r>
          </w:p>
        </w:tc>
        <w:tc>
          <w:tcPr>
            <w:tcW w:w="1365" w:type="dxa"/>
            <w:noWrap w:val="0"/>
            <w:vAlign w:val="center"/>
          </w:tcPr>
          <w:p>
            <w:pPr>
              <w:widowControl/>
              <w:spacing w:line="280" w:lineRule="exact"/>
              <w:jc w:val="center"/>
              <w:textAlignment w:val="center"/>
              <w:rPr>
                <w:rFonts w:hint="eastAsia" w:ascii="黑体" w:hAnsi="黑体" w:eastAsia="黑体" w:cs="方正仿宋_GBK"/>
                <w:bCs/>
                <w:color w:val="000000"/>
                <w:kern w:val="0"/>
                <w:sz w:val="28"/>
                <w:szCs w:val="28"/>
                <w:lang w:bidi="ar"/>
              </w:rPr>
            </w:pPr>
            <w:r>
              <w:rPr>
                <w:rFonts w:hint="eastAsia" w:ascii="黑体" w:hAnsi="黑体" w:eastAsia="黑体" w:cs="方正仿宋_GBK"/>
                <w:bCs/>
                <w:color w:val="000000"/>
                <w:kern w:val="0"/>
                <w:sz w:val="24"/>
                <w:szCs w:val="24"/>
                <w:lang w:bidi="ar"/>
              </w:rPr>
              <w:t>一级指标及分值</w:t>
            </w:r>
          </w:p>
        </w:tc>
        <w:tc>
          <w:tcPr>
            <w:tcW w:w="1815" w:type="dxa"/>
            <w:noWrap w:val="0"/>
            <w:vAlign w:val="center"/>
          </w:tcPr>
          <w:p>
            <w:pPr>
              <w:widowControl/>
              <w:spacing w:line="280" w:lineRule="exact"/>
              <w:jc w:val="center"/>
              <w:textAlignment w:val="center"/>
              <w:rPr>
                <w:rFonts w:hint="eastAsia" w:ascii="黑体" w:hAnsi="黑体" w:eastAsia="黑体" w:cs="方正仿宋_GBK"/>
                <w:bCs/>
                <w:color w:val="000000"/>
                <w:kern w:val="0"/>
                <w:sz w:val="28"/>
                <w:szCs w:val="28"/>
                <w:lang w:bidi="ar"/>
              </w:rPr>
            </w:pPr>
            <w:r>
              <w:rPr>
                <w:rFonts w:hint="eastAsia" w:ascii="黑体" w:hAnsi="黑体" w:eastAsia="黑体" w:cs="方正仿宋_GBK"/>
                <w:bCs/>
                <w:color w:val="000000"/>
                <w:kern w:val="0"/>
                <w:sz w:val="24"/>
                <w:szCs w:val="24"/>
                <w:lang w:bidi="ar"/>
              </w:rPr>
              <w:t>二级指标</w:t>
            </w:r>
          </w:p>
        </w:tc>
        <w:tc>
          <w:tcPr>
            <w:tcW w:w="765" w:type="dxa"/>
            <w:noWrap w:val="0"/>
            <w:vAlign w:val="center"/>
          </w:tcPr>
          <w:p>
            <w:pPr>
              <w:widowControl/>
              <w:spacing w:line="280" w:lineRule="exact"/>
              <w:jc w:val="center"/>
              <w:textAlignment w:val="center"/>
              <w:rPr>
                <w:rFonts w:hint="eastAsia" w:ascii="黑体" w:hAnsi="黑体" w:eastAsia="黑体" w:cs="方正仿宋_GBK"/>
                <w:bCs/>
                <w:color w:val="000000"/>
                <w:kern w:val="0"/>
                <w:sz w:val="28"/>
                <w:szCs w:val="28"/>
                <w:lang w:bidi="ar"/>
              </w:rPr>
            </w:pPr>
            <w:r>
              <w:rPr>
                <w:rFonts w:hint="eastAsia" w:ascii="黑体" w:hAnsi="黑体" w:eastAsia="黑体" w:cs="方正仿宋_GBK"/>
                <w:bCs/>
                <w:color w:val="000000"/>
                <w:kern w:val="0"/>
                <w:sz w:val="24"/>
                <w:szCs w:val="24"/>
                <w:lang w:bidi="ar"/>
              </w:rPr>
              <w:t>分值</w:t>
            </w:r>
          </w:p>
        </w:tc>
        <w:tc>
          <w:tcPr>
            <w:tcW w:w="6975" w:type="dxa"/>
            <w:gridSpan w:val="3"/>
            <w:noWrap w:val="0"/>
            <w:vAlign w:val="center"/>
          </w:tcPr>
          <w:p>
            <w:pPr>
              <w:widowControl/>
              <w:spacing w:line="280" w:lineRule="exact"/>
              <w:jc w:val="center"/>
              <w:textAlignment w:val="center"/>
              <w:rPr>
                <w:rFonts w:hint="eastAsia" w:ascii="黑体" w:hAnsi="黑体" w:eastAsia="黑体" w:cs="方正仿宋_GBK"/>
                <w:bCs/>
                <w:color w:val="000000"/>
                <w:kern w:val="0"/>
                <w:sz w:val="28"/>
                <w:szCs w:val="28"/>
                <w:lang w:bidi="ar"/>
              </w:rPr>
            </w:pPr>
            <w:r>
              <w:rPr>
                <w:rFonts w:hint="eastAsia" w:ascii="黑体" w:hAnsi="黑体" w:eastAsia="黑体" w:cs="方正仿宋_GBK"/>
                <w:bCs/>
                <w:color w:val="000000"/>
                <w:kern w:val="0"/>
                <w:sz w:val="24"/>
                <w:szCs w:val="24"/>
                <w:lang w:bidi="ar"/>
              </w:rPr>
              <w:t>评分标准</w:t>
            </w:r>
          </w:p>
        </w:tc>
        <w:tc>
          <w:tcPr>
            <w:tcW w:w="1680" w:type="dxa"/>
            <w:noWrap w:val="0"/>
            <w:vAlign w:val="center"/>
          </w:tcPr>
          <w:p>
            <w:pPr>
              <w:widowControl/>
              <w:spacing w:line="280" w:lineRule="exact"/>
              <w:jc w:val="center"/>
              <w:textAlignment w:val="center"/>
              <w:rPr>
                <w:rFonts w:hint="eastAsia" w:ascii="黑体" w:hAnsi="黑体" w:eastAsia="黑体" w:cs="方正仿宋_GBK"/>
                <w:bCs/>
                <w:color w:val="000000"/>
                <w:kern w:val="0"/>
                <w:sz w:val="28"/>
                <w:szCs w:val="28"/>
                <w:lang w:bidi="ar"/>
              </w:rPr>
            </w:pPr>
            <w:r>
              <w:rPr>
                <w:rFonts w:hint="eastAsia" w:ascii="黑体" w:hAnsi="黑体" w:eastAsia="黑体" w:cs="方正仿宋_GBK"/>
                <w:bCs/>
                <w:color w:val="000000"/>
                <w:kern w:val="0"/>
                <w:sz w:val="24"/>
                <w:szCs w:val="24"/>
                <w:lang w:bidi="ar"/>
              </w:rPr>
              <w:t>数据来源</w:t>
            </w:r>
          </w:p>
        </w:tc>
        <w:tc>
          <w:tcPr>
            <w:tcW w:w="735" w:type="dxa"/>
            <w:noWrap w:val="0"/>
            <w:vAlign w:val="center"/>
          </w:tcPr>
          <w:p>
            <w:pPr>
              <w:widowControl/>
              <w:spacing w:line="280" w:lineRule="exact"/>
              <w:jc w:val="center"/>
              <w:textAlignment w:val="center"/>
              <w:rPr>
                <w:rFonts w:hint="eastAsia" w:ascii="黑体" w:hAnsi="黑体" w:eastAsia="黑体" w:cs="方正仿宋_GBK"/>
                <w:bCs/>
                <w:color w:val="000000"/>
                <w:kern w:val="0"/>
                <w:sz w:val="28"/>
                <w:szCs w:val="28"/>
                <w:lang w:bidi="ar"/>
              </w:rPr>
            </w:pPr>
            <w:r>
              <w:rPr>
                <w:rFonts w:hint="eastAsia" w:ascii="黑体" w:hAnsi="黑体" w:eastAsia="黑体" w:cs="方正仿宋_GBK"/>
                <w:bCs/>
                <w:color w:val="000000"/>
                <w:kern w:val="0"/>
                <w:sz w:val="24"/>
                <w:szCs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w:t>
            </w:r>
          </w:p>
        </w:tc>
        <w:tc>
          <w:tcPr>
            <w:tcW w:w="1365" w:type="dxa"/>
            <w:vMerge w:val="restart"/>
            <w:noWrap w:val="0"/>
            <w:vAlign w:val="center"/>
          </w:tcPr>
          <w:p>
            <w:pPr>
              <w:spacing w:line="280" w:lineRule="exact"/>
              <w:jc w:val="center"/>
              <w:rPr>
                <w:rFonts w:hint="eastAsia" w:eastAsia="方正楷体_GBK"/>
                <w:bCs/>
                <w:color w:val="000000"/>
                <w:kern w:val="0"/>
                <w:sz w:val="22"/>
                <w:szCs w:val="22"/>
                <w:lang w:bidi="ar"/>
              </w:rPr>
            </w:pPr>
            <w:r>
              <w:rPr>
                <w:rFonts w:hint="eastAsia" w:eastAsia="方正楷体_GBK"/>
                <w:bCs/>
                <w:color w:val="000000"/>
                <w:kern w:val="0"/>
                <w:sz w:val="22"/>
                <w:szCs w:val="22"/>
                <w:lang w:bidi="ar"/>
              </w:rPr>
              <w:t>安全生产</w:t>
            </w:r>
          </w:p>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eastAsia="方正楷体_GBK"/>
                <w:bCs/>
                <w:color w:val="000000"/>
                <w:kern w:val="0"/>
                <w:sz w:val="22"/>
                <w:szCs w:val="22"/>
                <w:lang w:bidi="ar"/>
              </w:rPr>
              <w:t>（20分）</w:t>
            </w:r>
          </w:p>
        </w:tc>
        <w:tc>
          <w:tcPr>
            <w:tcW w:w="1815"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列车运行图兑现率（%）</w:t>
            </w:r>
          </w:p>
        </w:tc>
        <w:tc>
          <w:tcPr>
            <w:tcW w:w="765" w:type="dxa"/>
            <w:noWrap w:val="0"/>
            <w:vAlign w:val="center"/>
          </w:tcPr>
          <w:p>
            <w:pPr>
              <w:widowControl/>
              <w:spacing w:line="280" w:lineRule="exact"/>
              <w:jc w:val="center"/>
              <w:textAlignment w:val="center"/>
              <w:rPr>
                <w:rFonts w:hint="eastAsia"/>
                <w:color w:val="000000"/>
                <w:kern w:val="0"/>
                <w:sz w:val="22"/>
                <w:szCs w:val="22"/>
                <w:lang w:bidi="ar"/>
              </w:rPr>
            </w:pPr>
            <w:r>
              <w:rPr>
                <w:rFonts w:hint="eastAsia"/>
                <w:color w:val="000000"/>
                <w:kern w:val="0"/>
                <w:sz w:val="22"/>
                <w:szCs w:val="22"/>
                <w:lang w:bidi="ar"/>
              </w:rPr>
              <w:t>2</w:t>
            </w:r>
          </w:p>
        </w:tc>
        <w:tc>
          <w:tcPr>
            <w:tcW w:w="6975" w:type="dxa"/>
            <w:gridSpan w:val="3"/>
            <w:noWrap w:val="0"/>
            <w:vAlign w:val="center"/>
          </w:tcPr>
          <w:p>
            <w:pPr>
              <w:spacing w:line="280" w:lineRule="exact"/>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列车运行图兑现率大于等于99.9%不扣分；大于等于99.5%且小于99.9%扣0.4分；大于等于99%且小于99.5%扣0.8分；大于等于97%且小于99%扣1.2分；小于97%扣1.6分。</w:t>
            </w:r>
          </w:p>
        </w:tc>
        <w:tc>
          <w:tcPr>
            <w:tcW w:w="1680"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2</w:t>
            </w:r>
          </w:p>
        </w:tc>
        <w:tc>
          <w:tcPr>
            <w:tcW w:w="1365" w:type="dxa"/>
            <w:vMerge w:val="continue"/>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列车正点率（%）</w:t>
            </w:r>
          </w:p>
        </w:tc>
        <w:tc>
          <w:tcPr>
            <w:tcW w:w="765" w:type="dxa"/>
            <w:noWrap w:val="0"/>
            <w:vAlign w:val="center"/>
          </w:tcPr>
          <w:p>
            <w:pPr>
              <w:widowControl/>
              <w:spacing w:line="280" w:lineRule="exact"/>
              <w:jc w:val="center"/>
              <w:textAlignment w:val="center"/>
              <w:rPr>
                <w:rFonts w:hint="eastAsia"/>
                <w:color w:val="000000"/>
                <w:kern w:val="0"/>
                <w:sz w:val="22"/>
                <w:szCs w:val="22"/>
                <w:lang w:bidi="ar"/>
              </w:rPr>
            </w:pPr>
            <w:r>
              <w:rPr>
                <w:rFonts w:hint="eastAsia"/>
                <w:color w:val="000000"/>
                <w:kern w:val="0"/>
                <w:sz w:val="22"/>
                <w:szCs w:val="22"/>
                <w:lang w:bidi="ar"/>
              </w:rPr>
              <w:t>2</w:t>
            </w:r>
          </w:p>
        </w:tc>
        <w:tc>
          <w:tcPr>
            <w:tcW w:w="6975" w:type="dxa"/>
            <w:gridSpan w:val="3"/>
            <w:noWrap w:val="0"/>
            <w:vAlign w:val="center"/>
          </w:tcPr>
          <w:p>
            <w:pPr>
              <w:spacing w:line="280" w:lineRule="exact"/>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列车正点率大于等于99.9%不扣分；大于等于99.4%且小于99.9%扣0.4分；大于等于98.5%且小于99.4%扣0.8分；大于等于97%且小于98.5%扣1.2分；小于97%扣1.6分。</w:t>
            </w:r>
          </w:p>
        </w:tc>
        <w:tc>
          <w:tcPr>
            <w:tcW w:w="1680"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3</w:t>
            </w:r>
          </w:p>
        </w:tc>
        <w:tc>
          <w:tcPr>
            <w:tcW w:w="1365" w:type="dxa"/>
            <w:vMerge w:val="continue"/>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列车服务可靠度（万列公里/次）</w:t>
            </w:r>
          </w:p>
        </w:tc>
        <w:tc>
          <w:tcPr>
            <w:tcW w:w="765" w:type="dxa"/>
            <w:noWrap w:val="0"/>
            <w:vAlign w:val="center"/>
          </w:tcPr>
          <w:p>
            <w:pPr>
              <w:widowControl/>
              <w:spacing w:line="280" w:lineRule="exact"/>
              <w:jc w:val="center"/>
              <w:textAlignment w:val="center"/>
              <w:rPr>
                <w:rFonts w:hint="eastAsia"/>
                <w:color w:val="000000"/>
                <w:kern w:val="0"/>
                <w:sz w:val="22"/>
                <w:szCs w:val="22"/>
                <w:lang w:bidi="ar"/>
              </w:rPr>
            </w:pPr>
            <w:r>
              <w:rPr>
                <w:rFonts w:hint="eastAsia"/>
                <w:color w:val="000000"/>
                <w:kern w:val="0"/>
                <w:sz w:val="22"/>
                <w:szCs w:val="22"/>
                <w:lang w:bidi="ar"/>
              </w:rPr>
              <w:t>3</w:t>
            </w:r>
          </w:p>
        </w:tc>
        <w:tc>
          <w:tcPr>
            <w:tcW w:w="6975" w:type="dxa"/>
            <w:gridSpan w:val="3"/>
            <w:noWrap w:val="0"/>
            <w:vAlign w:val="center"/>
          </w:tcPr>
          <w:p>
            <w:pPr>
              <w:spacing w:line="280" w:lineRule="exact"/>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列车服务可靠度大于等于30不扣分；大于等于20且小于30扣0.6分；大于等于8且小于20扣1.2分；大于等于5且小于8扣1.8分；小于5扣2.4分。</w:t>
            </w:r>
          </w:p>
        </w:tc>
        <w:tc>
          <w:tcPr>
            <w:tcW w:w="1680"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4</w:t>
            </w:r>
          </w:p>
        </w:tc>
        <w:tc>
          <w:tcPr>
            <w:tcW w:w="1365" w:type="dxa"/>
            <w:vMerge w:val="continue"/>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列车退出正线运营故障率（次/万列公里）</w:t>
            </w:r>
          </w:p>
        </w:tc>
        <w:tc>
          <w:tcPr>
            <w:tcW w:w="765"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3</w:t>
            </w:r>
          </w:p>
        </w:tc>
        <w:tc>
          <w:tcPr>
            <w:tcW w:w="6975" w:type="dxa"/>
            <w:gridSpan w:val="3"/>
            <w:noWrap w:val="0"/>
            <w:vAlign w:val="center"/>
          </w:tcPr>
          <w:p>
            <w:pPr>
              <w:spacing w:line="280" w:lineRule="exact"/>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列车退出正线运营故障率小于0.1不扣分；大于等于0.1且小于0.2扣0.6分；大于等于0.2且小于0.4扣1.2分；大于等于0.4且小于0.8扣1.8分；大于等于0.8扣2.4分。</w:t>
            </w:r>
          </w:p>
        </w:tc>
        <w:tc>
          <w:tcPr>
            <w:tcW w:w="1680"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12" w:type="dxa"/>
            <w:noWrap w:val="0"/>
            <w:vAlign w:val="center"/>
          </w:tcPr>
          <w:p>
            <w:pPr>
              <w:widowControl/>
              <w:spacing w:line="280" w:lineRule="exact"/>
              <w:jc w:val="center"/>
              <w:textAlignment w:val="center"/>
              <w:rPr>
                <w:rFonts w:hint="eastAsia"/>
                <w:color w:val="000000"/>
                <w:kern w:val="0"/>
                <w:sz w:val="22"/>
                <w:szCs w:val="22"/>
                <w:lang w:bidi="ar"/>
              </w:rPr>
            </w:pPr>
          </w:p>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5</w:t>
            </w:r>
          </w:p>
        </w:tc>
        <w:tc>
          <w:tcPr>
            <w:tcW w:w="1365" w:type="dxa"/>
            <w:vMerge w:val="continue"/>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客运强度（万人次/公里·日）</w:t>
            </w:r>
          </w:p>
        </w:tc>
        <w:tc>
          <w:tcPr>
            <w:tcW w:w="765" w:type="dxa"/>
            <w:noWrap w:val="0"/>
            <w:vAlign w:val="center"/>
          </w:tcPr>
          <w:p>
            <w:pPr>
              <w:widowControl/>
              <w:spacing w:line="280" w:lineRule="exact"/>
              <w:jc w:val="center"/>
              <w:textAlignment w:val="center"/>
              <w:rPr>
                <w:rFonts w:hint="eastAsia"/>
                <w:color w:val="000000"/>
                <w:kern w:val="0"/>
                <w:sz w:val="22"/>
                <w:szCs w:val="22"/>
                <w:lang w:bidi="ar"/>
              </w:rPr>
            </w:pPr>
            <w:r>
              <w:rPr>
                <w:rFonts w:hint="eastAsia"/>
                <w:color w:val="000000"/>
                <w:kern w:val="0"/>
                <w:sz w:val="22"/>
                <w:szCs w:val="22"/>
                <w:lang w:bidi="ar"/>
              </w:rPr>
              <w:t>2</w:t>
            </w:r>
          </w:p>
        </w:tc>
        <w:tc>
          <w:tcPr>
            <w:tcW w:w="6975" w:type="dxa"/>
            <w:gridSpan w:val="3"/>
            <w:noWrap w:val="0"/>
            <w:vAlign w:val="center"/>
          </w:tcPr>
          <w:p>
            <w:pPr>
              <w:spacing w:line="280" w:lineRule="exact"/>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客运强度大于等于1.5不扣分；大于等于0.7且小于1.5扣0.4分；大于等于0.4且小于0.7扣0.8分；大于等于0.2且小于0.4扣1.2分；小于0.2扣1.6分。</w:t>
            </w:r>
          </w:p>
        </w:tc>
        <w:tc>
          <w:tcPr>
            <w:tcW w:w="1680"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6</w:t>
            </w:r>
          </w:p>
        </w:tc>
        <w:tc>
          <w:tcPr>
            <w:tcW w:w="1365" w:type="dxa"/>
            <w:vMerge w:val="continue"/>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自动充值售票机可靠度（%）</w:t>
            </w:r>
          </w:p>
        </w:tc>
        <w:tc>
          <w:tcPr>
            <w:tcW w:w="765" w:type="dxa"/>
            <w:noWrap w:val="0"/>
            <w:vAlign w:val="center"/>
          </w:tcPr>
          <w:p>
            <w:pPr>
              <w:widowControl/>
              <w:spacing w:line="280" w:lineRule="exact"/>
              <w:jc w:val="center"/>
              <w:textAlignment w:val="center"/>
              <w:rPr>
                <w:rFonts w:hint="eastAsia"/>
                <w:color w:val="000000"/>
                <w:kern w:val="0"/>
                <w:sz w:val="22"/>
                <w:szCs w:val="22"/>
                <w:lang w:bidi="ar"/>
              </w:rPr>
            </w:pPr>
            <w:r>
              <w:rPr>
                <w:rFonts w:hint="eastAsia"/>
                <w:color w:val="000000"/>
                <w:kern w:val="0"/>
                <w:sz w:val="22"/>
                <w:szCs w:val="22"/>
                <w:lang w:bidi="ar"/>
              </w:rPr>
              <w:t>1</w:t>
            </w:r>
          </w:p>
        </w:tc>
        <w:tc>
          <w:tcPr>
            <w:tcW w:w="6975" w:type="dxa"/>
            <w:gridSpan w:val="3"/>
            <w:noWrap w:val="0"/>
            <w:vAlign w:val="center"/>
          </w:tcPr>
          <w:p>
            <w:pPr>
              <w:spacing w:line="28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自动充值售票机可靠度大于等于99.8%不扣分；大于等于99%且小于99.8%扣0.2分；大于等于98%且小于99%扣0.4分；大于等于97%且小于98%扣0.6分；小于97%扣0.8分。</w:t>
            </w:r>
          </w:p>
        </w:tc>
        <w:tc>
          <w:tcPr>
            <w:tcW w:w="1680"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7</w:t>
            </w:r>
          </w:p>
        </w:tc>
        <w:tc>
          <w:tcPr>
            <w:tcW w:w="1365" w:type="dxa"/>
            <w:vMerge w:val="continue"/>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进出站闸机可靠度（%）</w:t>
            </w:r>
          </w:p>
        </w:tc>
        <w:tc>
          <w:tcPr>
            <w:tcW w:w="765" w:type="dxa"/>
            <w:noWrap w:val="0"/>
            <w:vAlign w:val="center"/>
          </w:tcPr>
          <w:p>
            <w:pPr>
              <w:widowControl/>
              <w:spacing w:line="280" w:lineRule="exact"/>
              <w:jc w:val="center"/>
              <w:textAlignment w:val="center"/>
              <w:rPr>
                <w:rFonts w:hint="eastAsia"/>
                <w:color w:val="000000"/>
                <w:kern w:val="0"/>
                <w:sz w:val="22"/>
                <w:szCs w:val="22"/>
                <w:lang w:bidi="ar"/>
              </w:rPr>
            </w:pPr>
          </w:p>
          <w:p>
            <w:pPr>
              <w:widowControl/>
              <w:spacing w:line="280" w:lineRule="exact"/>
              <w:jc w:val="center"/>
              <w:textAlignment w:val="center"/>
              <w:rPr>
                <w:rFonts w:hint="eastAsia"/>
                <w:color w:val="000000"/>
                <w:kern w:val="0"/>
                <w:sz w:val="22"/>
                <w:szCs w:val="22"/>
                <w:lang w:bidi="ar"/>
              </w:rPr>
            </w:pPr>
            <w:r>
              <w:rPr>
                <w:rFonts w:hint="eastAsia"/>
                <w:color w:val="000000"/>
                <w:kern w:val="0"/>
                <w:sz w:val="22"/>
                <w:szCs w:val="22"/>
                <w:lang w:bidi="ar"/>
              </w:rPr>
              <w:t>1</w:t>
            </w:r>
          </w:p>
        </w:tc>
        <w:tc>
          <w:tcPr>
            <w:tcW w:w="6975" w:type="dxa"/>
            <w:gridSpan w:val="3"/>
            <w:noWrap w:val="0"/>
            <w:vAlign w:val="center"/>
          </w:tcPr>
          <w:p>
            <w:pPr>
              <w:spacing w:line="28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进出站闸机可靠度大于等于99.9%不扣分；大于等于99.5%且小于99.9%扣0.2分；大于等于99%且小于99.5%扣0.4分；大于等于97%且小于99%扣0.6分；小于97%扣0.8分。</w:t>
            </w:r>
          </w:p>
        </w:tc>
        <w:tc>
          <w:tcPr>
            <w:tcW w:w="1680"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8</w:t>
            </w:r>
          </w:p>
        </w:tc>
        <w:tc>
          <w:tcPr>
            <w:tcW w:w="1365" w:type="dxa"/>
            <w:vMerge w:val="continue"/>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电（扶）梯可靠度（%）</w:t>
            </w:r>
          </w:p>
        </w:tc>
        <w:tc>
          <w:tcPr>
            <w:tcW w:w="765" w:type="dxa"/>
            <w:noWrap w:val="0"/>
            <w:vAlign w:val="center"/>
          </w:tcPr>
          <w:p>
            <w:pPr>
              <w:widowControl/>
              <w:spacing w:line="280" w:lineRule="exact"/>
              <w:jc w:val="center"/>
              <w:textAlignment w:val="center"/>
              <w:rPr>
                <w:rFonts w:hint="eastAsia"/>
                <w:color w:val="000000"/>
                <w:kern w:val="0"/>
                <w:sz w:val="22"/>
                <w:szCs w:val="22"/>
                <w:lang w:bidi="ar"/>
              </w:rPr>
            </w:pPr>
            <w:r>
              <w:rPr>
                <w:rFonts w:hint="eastAsia"/>
                <w:color w:val="000000"/>
                <w:kern w:val="0"/>
                <w:sz w:val="22"/>
                <w:szCs w:val="22"/>
                <w:lang w:bidi="ar"/>
              </w:rPr>
              <w:t>1</w:t>
            </w:r>
          </w:p>
        </w:tc>
        <w:tc>
          <w:tcPr>
            <w:tcW w:w="6975" w:type="dxa"/>
            <w:gridSpan w:val="3"/>
            <w:noWrap w:val="0"/>
            <w:vAlign w:val="center"/>
          </w:tcPr>
          <w:p>
            <w:pPr>
              <w:spacing w:line="28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电（扶）梯可靠度大于等于99.9%不扣分；大于等于99%且小于99.9%扣0.2分；大于等于98.5%且小于99%扣0.4分；大于等于97%且小于98.5%扣0.6分；小于97%扣0.8分。</w:t>
            </w:r>
          </w:p>
        </w:tc>
        <w:tc>
          <w:tcPr>
            <w:tcW w:w="1680"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9</w:t>
            </w:r>
          </w:p>
        </w:tc>
        <w:tc>
          <w:tcPr>
            <w:tcW w:w="1365" w:type="dxa"/>
            <w:vMerge w:val="continue"/>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乘客信息系统可靠度（%）</w:t>
            </w:r>
          </w:p>
        </w:tc>
        <w:tc>
          <w:tcPr>
            <w:tcW w:w="765" w:type="dxa"/>
            <w:noWrap w:val="0"/>
            <w:vAlign w:val="center"/>
          </w:tcPr>
          <w:p>
            <w:pPr>
              <w:widowControl/>
              <w:spacing w:line="280" w:lineRule="exact"/>
              <w:jc w:val="center"/>
              <w:textAlignment w:val="center"/>
              <w:rPr>
                <w:rFonts w:hint="eastAsia"/>
                <w:color w:val="000000"/>
                <w:kern w:val="0"/>
                <w:sz w:val="22"/>
                <w:szCs w:val="22"/>
                <w:lang w:bidi="ar"/>
              </w:rPr>
            </w:pPr>
            <w:r>
              <w:rPr>
                <w:rFonts w:hint="eastAsia"/>
                <w:color w:val="000000"/>
                <w:kern w:val="0"/>
                <w:sz w:val="22"/>
                <w:szCs w:val="22"/>
                <w:lang w:bidi="ar"/>
              </w:rPr>
              <w:t>1</w:t>
            </w:r>
          </w:p>
        </w:tc>
        <w:tc>
          <w:tcPr>
            <w:tcW w:w="6975" w:type="dxa"/>
            <w:gridSpan w:val="3"/>
            <w:noWrap w:val="0"/>
            <w:vAlign w:val="center"/>
          </w:tcPr>
          <w:p>
            <w:pPr>
              <w:spacing w:line="280" w:lineRule="exact"/>
              <w:jc w:val="lef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乘客信息系统可靠度大于等于99.8%不扣分；大于等于99%且小于99.8%扣0.2分；大于等于98%且小于99%扣0.4分；大于等于97%且小于98%扣0.6分；小于97%扣0.8分。</w:t>
            </w:r>
          </w:p>
        </w:tc>
        <w:tc>
          <w:tcPr>
            <w:tcW w:w="1680"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10</w:t>
            </w:r>
          </w:p>
        </w:tc>
        <w:tc>
          <w:tcPr>
            <w:tcW w:w="1365" w:type="dxa"/>
            <w:vMerge w:val="continue"/>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百万乘客有效投诉率（次/百万人次）</w:t>
            </w:r>
          </w:p>
        </w:tc>
        <w:tc>
          <w:tcPr>
            <w:tcW w:w="765"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2.5</w:t>
            </w:r>
          </w:p>
        </w:tc>
        <w:tc>
          <w:tcPr>
            <w:tcW w:w="6975" w:type="dxa"/>
            <w:gridSpan w:val="3"/>
            <w:noWrap w:val="0"/>
            <w:vAlign w:val="center"/>
          </w:tcPr>
          <w:p>
            <w:pPr>
              <w:spacing w:line="28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百万乘客有效投诉率小于1不扣分；大于等于1且小于2扣0.5分；大于等于2且小于3扣1分；大于等于3且小于5扣1.5分；大于等于5扣2分。</w:t>
            </w:r>
          </w:p>
        </w:tc>
        <w:tc>
          <w:tcPr>
            <w:tcW w:w="1680"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11</w:t>
            </w:r>
          </w:p>
        </w:tc>
        <w:tc>
          <w:tcPr>
            <w:tcW w:w="1365" w:type="dxa"/>
            <w:vMerge w:val="continue"/>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有效乘客投诉回复率（%）</w:t>
            </w:r>
          </w:p>
        </w:tc>
        <w:tc>
          <w:tcPr>
            <w:tcW w:w="765"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1.5</w:t>
            </w:r>
          </w:p>
        </w:tc>
        <w:tc>
          <w:tcPr>
            <w:tcW w:w="6975" w:type="dxa"/>
            <w:gridSpan w:val="3"/>
            <w:noWrap w:val="0"/>
            <w:vAlign w:val="center"/>
          </w:tcPr>
          <w:p>
            <w:pPr>
              <w:spacing w:line="28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有效乘客投诉回复率等于100%不扣分；大于等于95%且小于100%扣0.3分；大于等于90%且小于95%扣0.6分；大于等于85%且小于90%扣0.9分；小于85%扣1.2分。</w:t>
            </w:r>
          </w:p>
        </w:tc>
        <w:tc>
          <w:tcPr>
            <w:tcW w:w="1680"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12</w:t>
            </w:r>
          </w:p>
        </w:tc>
        <w:tc>
          <w:tcPr>
            <w:tcW w:w="1365" w:type="dxa"/>
            <w:vMerge w:val="restart"/>
            <w:noWrap w:val="0"/>
            <w:vAlign w:val="center"/>
          </w:tcPr>
          <w:p>
            <w:pPr>
              <w:spacing w:line="280" w:lineRule="exact"/>
              <w:jc w:val="center"/>
              <w:rPr>
                <w:rFonts w:eastAsia="方正楷体_GBK"/>
                <w:bCs/>
                <w:color w:val="000000"/>
                <w:kern w:val="0"/>
                <w:sz w:val="22"/>
                <w:szCs w:val="22"/>
                <w:lang w:bidi="ar"/>
              </w:rPr>
            </w:pPr>
            <w:r>
              <w:rPr>
                <w:rFonts w:eastAsia="方正楷体_GBK"/>
                <w:bCs/>
                <w:color w:val="000000"/>
                <w:kern w:val="0"/>
                <w:sz w:val="22"/>
                <w:szCs w:val="22"/>
                <w:lang w:bidi="ar"/>
              </w:rPr>
              <w:t>经营管理</w:t>
            </w:r>
          </w:p>
          <w:p>
            <w:pPr>
              <w:spacing w:line="280" w:lineRule="exact"/>
              <w:jc w:val="center"/>
              <w:rPr>
                <w:rFonts w:hint="eastAsia" w:eastAsia="方正楷体_GBK"/>
                <w:bCs/>
                <w:color w:val="000000"/>
                <w:kern w:val="0"/>
                <w:sz w:val="22"/>
                <w:szCs w:val="22"/>
                <w:lang w:bidi="ar"/>
              </w:rPr>
            </w:pPr>
            <w:r>
              <w:rPr>
                <w:rFonts w:eastAsia="方正楷体_GBK"/>
                <w:bCs/>
                <w:color w:val="000000"/>
                <w:kern w:val="0"/>
                <w:sz w:val="22"/>
                <w:szCs w:val="22"/>
                <w:lang w:bidi="ar"/>
              </w:rPr>
              <w:t>（</w:t>
            </w:r>
            <w:r>
              <w:rPr>
                <w:rFonts w:hint="eastAsia" w:eastAsia="方正楷体_GBK"/>
                <w:bCs/>
                <w:color w:val="000000"/>
                <w:kern w:val="0"/>
                <w:sz w:val="22"/>
                <w:szCs w:val="22"/>
                <w:lang w:bidi="ar"/>
              </w:rPr>
              <w:t>6</w:t>
            </w:r>
            <w:r>
              <w:rPr>
                <w:rFonts w:eastAsia="方正楷体_GBK"/>
                <w:bCs/>
                <w:color w:val="000000"/>
                <w:kern w:val="0"/>
                <w:sz w:val="22"/>
                <w:szCs w:val="22"/>
                <w:lang w:bidi="ar"/>
              </w:rPr>
              <w:t>0分）</w:t>
            </w:r>
          </w:p>
        </w:tc>
        <w:tc>
          <w:tcPr>
            <w:tcW w:w="1815"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进出站</w:t>
            </w:r>
          </w:p>
        </w:tc>
        <w:tc>
          <w:tcPr>
            <w:tcW w:w="765"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8</w:t>
            </w:r>
          </w:p>
        </w:tc>
        <w:tc>
          <w:tcPr>
            <w:tcW w:w="6975" w:type="dxa"/>
            <w:gridSpan w:val="3"/>
            <w:noWrap w:val="0"/>
            <w:vAlign w:val="center"/>
          </w:tcPr>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1.</w:t>
            </w:r>
            <w:r>
              <w:rPr>
                <w:rFonts w:ascii="方正仿宋_GBK" w:hAnsi="方正仿宋_GBK" w:eastAsia="方正仿宋_GBK" w:cs="方正仿宋_GBK"/>
                <w:color w:val="000000"/>
                <w:sz w:val="22"/>
                <w:szCs w:val="22"/>
              </w:rPr>
              <w:t>进出站引导标识标志，未满足清晰、醒目、连续、规范要求的，每处扣0.</w:t>
            </w:r>
            <w:r>
              <w:rPr>
                <w:rFonts w:hint="eastAsia" w:ascii="方正仿宋_GBK" w:hAnsi="方正仿宋_GBK" w:eastAsia="方正仿宋_GBK" w:cs="方正仿宋_GBK"/>
                <w:color w:val="000000"/>
                <w:sz w:val="22"/>
                <w:szCs w:val="22"/>
              </w:rPr>
              <w:t>2</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2.未提供</w:t>
            </w:r>
            <w:r>
              <w:rPr>
                <w:rFonts w:ascii="方正仿宋_GBK" w:hAnsi="方正仿宋_GBK" w:eastAsia="方正仿宋_GBK" w:cs="方正仿宋_GBK"/>
                <w:color w:val="000000"/>
                <w:sz w:val="22"/>
                <w:szCs w:val="22"/>
              </w:rPr>
              <w:t>乘车指引</w:t>
            </w:r>
            <w:r>
              <w:rPr>
                <w:rFonts w:hint="eastAsia" w:ascii="方正仿宋_GBK" w:hAnsi="方正仿宋_GBK" w:eastAsia="方正仿宋_GBK" w:cs="方正仿宋_GBK"/>
                <w:color w:val="000000"/>
                <w:sz w:val="22"/>
                <w:szCs w:val="22"/>
              </w:rPr>
              <w:t>或及时告知</w:t>
            </w:r>
            <w:r>
              <w:rPr>
                <w:rFonts w:ascii="方正仿宋_GBK" w:hAnsi="方正仿宋_GBK" w:eastAsia="方正仿宋_GBK" w:cs="方正仿宋_GBK"/>
                <w:color w:val="000000"/>
                <w:sz w:val="22"/>
                <w:szCs w:val="22"/>
              </w:rPr>
              <w:t>非正常运营信息</w:t>
            </w:r>
            <w:r>
              <w:rPr>
                <w:rFonts w:hint="eastAsia" w:ascii="方正仿宋_GBK" w:hAnsi="方正仿宋_GBK" w:eastAsia="方正仿宋_GBK" w:cs="方正仿宋_GBK"/>
                <w:color w:val="000000"/>
                <w:sz w:val="22"/>
                <w:szCs w:val="22"/>
              </w:rPr>
              <w:t>的，</w:t>
            </w:r>
            <w:r>
              <w:rPr>
                <w:rFonts w:ascii="方正仿宋_GBK" w:hAnsi="方正仿宋_GBK" w:eastAsia="方正仿宋_GBK" w:cs="方正仿宋_GBK"/>
                <w:color w:val="000000"/>
                <w:sz w:val="22"/>
                <w:szCs w:val="22"/>
              </w:rPr>
              <w:t>每处扣0.</w:t>
            </w:r>
            <w:r>
              <w:rPr>
                <w:rFonts w:hint="eastAsia" w:ascii="方正仿宋_GBK" w:hAnsi="方正仿宋_GBK" w:eastAsia="方正仿宋_GBK" w:cs="方正仿宋_GBK"/>
                <w:color w:val="000000"/>
                <w:sz w:val="22"/>
                <w:szCs w:val="22"/>
              </w:rPr>
              <w:t>2</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3.</w:t>
            </w:r>
            <w:r>
              <w:rPr>
                <w:rFonts w:ascii="方正仿宋_GBK" w:hAnsi="方正仿宋_GBK" w:eastAsia="方正仿宋_GBK" w:cs="方正仿宋_GBK"/>
                <w:color w:val="000000"/>
                <w:sz w:val="22"/>
                <w:szCs w:val="22"/>
              </w:rPr>
              <w:t>客流流线规划</w:t>
            </w:r>
            <w:r>
              <w:rPr>
                <w:rFonts w:hint="eastAsia" w:ascii="方正仿宋_GBK" w:hAnsi="方正仿宋_GBK" w:eastAsia="方正仿宋_GBK" w:cs="方正仿宋_GBK"/>
                <w:color w:val="000000"/>
                <w:sz w:val="22"/>
                <w:szCs w:val="22"/>
              </w:rPr>
              <w:t>不</w:t>
            </w:r>
            <w:r>
              <w:rPr>
                <w:rFonts w:ascii="方正仿宋_GBK" w:hAnsi="方正仿宋_GBK" w:eastAsia="方正仿宋_GBK" w:cs="方正仿宋_GBK"/>
                <w:color w:val="000000"/>
                <w:sz w:val="22"/>
                <w:szCs w:val="22"/>
              </w:rPr>
              <w:t>合理，进出站</w:t>
            </w:r>
            <w:r>
              <w:rPr>
                <w:rFonts w:hint="eastAsia" w:ascii="方正仿宋_GBK" w:hAnsi="方正仿宋_GBK" w:eastAsia="方正仿宋_GBK" w:cs="方正仿宋_GBK"/>
                <w:color w:val="000000"/>
                <w:sz w:val="22"/>
                <w:szCs w:val="22"/>
              </w:rPr>
              <w:t>不</w:t>
            </w:r>
            <w:r>
              <w:rPr>
                <w:rFonts w:ascii="方正仿宋_GBK" w:hAnsi="方正仿宋_GBK" w:eastAsia="方正仿宋_GBK" w:cs="方正仿宋_GBK"/>
                <w:color w:val="000000"/>
                <w:sz w:val="22"/>
                <w:szCs w:val="22"/>
              </w:rPr>
              <w:t>顺畅</w:t>
            </w:r>
            <w:r>
              <w:rPr>
                <w:rFonts w:hint="eastAsia" w:ascii="方正仿宋_GBK" w:hAnsi="方正仿宋_GBK" w:eastAsia="方正仿宋_GBK" w:cs="方正仿宋_GBK"/>
                <w:color w:val="000000"/>
                <w:sz w:val="22"/>
                <w:szCs w:val="22"/>
              </w:rPr>
              <w:t>的，</w:t>
            </w:r>
            <w:r>
              <w:rPr>
                <w:rFonts w:ascii="方正仿宋_GBK" w:hAnsi="方正仿宋_GBK" w:eastAsia="方正仿宋_GBK" w:cs="方正仿宋_GBK"/>
                <w:color w:val="000000"/>
                <w:sz w:val="22"/>
                <w:szCs w:val="22"/>
              </w:rPr>
              <w:t>每处扣0.</w:t>
            </w:r>
            <w:r>
              <w:rPr>
                <w:rFonts w:hint="eastAsia" w:ascii="方正仿宋_GBK" w:hAnsi="方正仿宋_GBK" w:eastAsia="方正仿宋_GBK" w:cs="方正仿宋_GBK"/>
                <w:color w:val="000000"/>
                <w:sz w:val="22"/>
                <w:szCs w:val="22"/>
              </w:rPr>
              <w:t>2</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tc>
        <w:tc>
          <w:tcPr>
            <w:tcW w:w="1680"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专家评价，行业管理部门录入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13</w:t>
            </w:r>
          </w:p>
        </w:tc>
        <w:tc>
          <w:tcPr>
            <w:tcW w:w="1365" w:type="dxa"/>
            <w:vMerge w:val="continue"/>
            <w:noWrap w:val="0"/>
            <w:vAlign w:val="center"/>
          </w:tcPr>
          <w:p>
            <w:pPr>
              <w:spacing w:line="280" w:lineRule="exact"/>
              <w:jc w:val="center"/>
              <w:rPr>
                <w:rFonts w:hint="eastAsia" w:eastAsia="方正楷体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乘车</w:t>
            </w:r>
          </w:p>
        </w:tc>
        <w:tc>
          <w:tcPr>
            <w:tcW w:w="765"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34</w:t>
            </w:r>
          </w:p>
        </w:tc>
        <w:tc>
          <w:tcPr>
            <w:tcW w:w="6975" w:type="dxa"/>
            <w:gridSpan w:val="3"/>
            <w:noWrap w:val="0"/>
            <w:vAlign w:val="center"/>
          </w:tcPr>
          <w:p>
            <w:pPr>
              <w:spacing w:line="28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1.</w:t>
            </w:r>
            <w:r>
              <w:rPr>
                <w:rFonts w:ascii="方正仿宋_GBK" w:hAnsi="方正仿宋_GBK" w:eastAsia="方正仿宋_GBK" w:cs="方正仿宋_GBK"/>
                <w:color w:val="000000"/>
                <w:sz w:val="22"/>
                <w:szCs w:val="22"/>
              </w:rPr>
              <w:t>车站未设置人工问询点或自动查询设备，</w:t>
            </w:r>
            <w:r>
              <w:rPr>
                <w:rFonts w:hint="eastAsia" w:ascii="方正仿宋_GBK" w:hAnsi="方正仿宋_GBK" w:eastAsia="方正仿宋_GBK" w:cs="方正仿宋_GBK"/>
                <w:color w:val="000000"/>
                <w:sz w:val="22"/>
                <w:szCs w:val="22"/>
              </w:rPr>
              <w:t>或工作人员</w:t>
            </w:r>
            <w:r>
              <w:rPr>
                <w:rFonts w:ascii="方正仿宋_GBK" w:hAnsi="方正仿宋_GBK" w:eastAsia="方正仿宋_GBK" w:cs="方正仿宋_GBK"/>
                <w:color w:val="000000"/>
                <w:sz w:val="22"/>
                <w:szCs w:val="22"/>
              </w:rPr>
              <w:t>服务</w:t>
            </w:r>
            <w:r>
              <w:rPr>
                <w:rFonts w:hint="eastAsia" w:ascii="方正仿宋_GBK" w:hAnsi="方正仿宋_GBK" w:eastAsia="方正仿宋_GBK" w:cs="方正仿宋_GBK"/>
                <w:color w:val="000000"/>
                <w:sz w:val="22"/>
                <w:szCs w:val="22"/>
              </w:rPr>
              <w:t>不</w:t>
            </w:r>
            <w:r>
              <w:rPr>
                <w:rFonts w:ascii="方正仿宋_GBK" w:hAnsi="方正仿宋_GBK" w:eastAsia="方正仿宋_GBK" w:cs="方正仿宋_GBK"/>
                <w:color w:val="000000"/>
                <w:sz w:val="22"/>
                <w:szCs w:val="22"/>
              </w:rPr>
              <w:t>热情、用语</w:t>
            </w:r>
            <w:r>
              <w:rPr>
                <w:rFonts w:hint="eastAsia" w:ascii="方正仿宋_GBK" w:hAnsi="方正仿宋_GBK" w:eastAsia="方正仿宋_GBK" w:cs="方正仿宋_GBK"/>
                <w:color w:val="000000"/>
                <w:sz w:val="22"/>
                <w:szCs w:val="22"/>
              </w:rPr>
              <w:t>不</w:t>
            </w:r>
            <w:r>
              <w:rPr>
                <w:rFonts w:ascii="方正仿宋_GBK" w:hAnsi="方正仿宋_GBK" w:eastAsia="方正仿宋_GBK" w:cs="方正仿宋_GBK"/>
                <w:color w:val="000000"/>
                <w:sz w:val="22"/>
                <w:szCs w:val="22"/>
              </w:rPr>
              <w:t>规范</w:t>
            </w:r>
            <w:r>
              <w:rPr>
                <w:rFonts w:hint="eastAsia" w:ascii="方正仿宋_GBK" w:hAnsi="方正仿宋_GBK" w:eastAsia="方正仿宋_GBK" w:cs="方正仿宋_GBK"/>
                <w:color w:val="000000"/>
                <w:sz w:val="22"/>
                <w:szCs w:val="22"/>
              </w:rPr>
              <w:t>、着装不整洁的，</w:t>
            </w:r>
            <w:r>
              <w:rPr>
                <w:rFonts w:ascii="方正仿宋_GBK" w:hAnsi="方正仿宋_GBK" w:eastAsia="方正仿宋_GBK" w:cs="方正仿宋_GBK"/>
                <w:color w:val="000000"/>
                <w:sz w:val="22"/>
                <w:szCs w:val="22"/>
              </w:rPr>
              <w:t>每</w:t>
            </w:r>
            <w:r>
              <w:rPr>
                <w:rFonts w:hint="eastAsia" w:ascii="方正仿宋_GBK" w:hAnsi="方正仿宋_GBK" w:eastAsia="方正仿宋_GBK" w:cs="方正仿宋_GBK"/>
                <w:color w:val="000000"/>
                <w:sz w:val="22"/>
                <w:szCs w:val="22"/>
              </w:rPr>
              <w:t>处</w:t>
            </w:r>
            <w:r>
              <w:rPr>
                <w:rFonts w:ascii="方正仿宋_GBK" w:hAnsi="方正仿宋_GBK" w:eastAsia="方正仿宋_GBK" w:cs="方正仿宋_GBK"/>
                <w:color w:val="000000"/>
                <w:sz w:val="22"/>
                <w:szCs w:val="22"/>
              </w:rPr>
              <w:t>扣0.</w:t>
            </w:r>
            <w:r>
              <w:rPr>
                <w:rFonts w:hint="eastAsia" w:ascii="方正仿宋_GBK" w:hAnsi="方正仿宋_GBK" w:eastAsia="方正仿宋_GBK" w:cs="方正仿宋_GBK"/>
                <w:color w:val="000000"/>
                <w:sz w:val="22"/>
                <w:szCs w:val="22"/>
              </w:rPr>
              <w:t>2分；</w:t>
            </w:r>
          </w:p>
          <w:p>
            <w:pPr>
              <w:spacing w:line="28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2.乘客购、检票不方便快捷，</w:t>
            </w:r>
            <w:r>
              <w:rPr>
                <w:rFonts w:ascii="方正仿宋_GBK" w:hAnsi="方正仿宋_GBK" w:eastAsia="方正仿宋_GBK" w:cs="方正仿宋_GBK"/>
                <w:color w:val="000000"/>
                <w:sz w:val="22"/>
                <w:szCs w:val="22"/>
              </w:rPr>
              <w:t>售票（卡）、充值</w:t>
            </w:r>
            <w:r>
              <w:rPr>
                <w:rFonts w:hint="eastAsia" w:ascii="方正仿宋_GBK" w:hAnsi="方正仿宋_GBK" w:eastAsia="方正仿宋_GBK" w:cs="方正仿宋_GBK"/>
                <w:color w:val="000000"/>
                <w:sz w:val="22"/>
                <w:szCs w:val="22"/>
              </w:rPr>
              <w:t>不</w:t>
            </w:r>
            <w:r>
              <w:rPr>
                <w:rFonts w:ascii="方正仿宋_GBK" w:hAnsi="方正仿宋_GBK" w:eastAsia="方正仿宋_GBK" w:cs="方正仿宋_GBK"/>
                <w:color w:val="000000"/>
                <w:sz w:val="22"/>
                <w:szCs w:val="22"/>
              </w:rPr>
              <w:t>迅速准确</w:t>
            </w:r>
            <w:r>
              <w:rPr>
                <w:rFonts w:hint="eastAsia" w:ascii="方正仿宋_GBK" w:hAnsi="方正仿宋_GBK" w:eastAsia="方正仿宋_GBK" w:cs="方正仿宋_GBK"/>
                <w:color w:val="000000"/>
                <w:sz w:val="22"/>
                <w:szCs w:val="22"/>
              </w:rPr>
              <w:t>的，</w:t>
            </w:r>
            <w:r>
              <w:rPr>
                <w:rFonts w:ascii="方正仿宋_GBK" w:hAnsi="方正仿宋_GBK" w:eastAsia="方正仿宋_GBK" w:cs="方正仿宋_GBK"/>
                <w:color w:val="000000"/>
                <w:sz w:val="22"/>
                <w:szCs w:val="22"/>
              </w:rPr>
              <w:t>每</w:t>
            </w:r>
            <w:r>
              <w:rPr>
                <w:rFonts w:hint="eastAsia" w:ascii="方正仿宋_GBK" w:hAnsi="方正仿宋_GBK" w:eastAsia="方正仿宋_GBK" w:cs="方正仿宋_GBK"/>
                <w:color w:val="000000"/>
                <w:sz w:val="22"/>
                <w:szCs w:val="22"/>
              </w:rPr>
              <w:t>处</w:t>
            </w:r>
            <w:r>
              <w:rPr>
                <w:rFonts w:ascii="方正仿宋_GBK" w:hAnsi="方正仿宋_GBK" w:eastAsia="方正仿宋_GBK" w:cs="方正仿宋_GBK"/>
                <w:color w:val="000000"/>
                <w:sz w:val="22"/>
                <w:szCs w:val="22"/>
              </w:rPr>
              <w:t>扣0.</w:t>
            </w:r>
            <w:r>
              <w:rPr>
                <w:rFonts w:hint="eastAsia" w:ascii="方正仿宋_GBK" w:hAnsi="方正仿宋_GBK" w:eastAsia="方正仿宋_GBK" w:cs="方正仿宋_GBK"/>
                <w:color w:val="000000"/>
                <w:sz w:val="22"/>
                <w:szCs w:val="22"/>
              </w:rPr>
              <w:t>2分；</w:t>
            </w:r>
          </w:p>
          <w:p>
            <w:pPr>
              <w:spacing w:line="28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3.标志标识及站台</w:t>
            </w:r>
            <w:r>
              <w:rPr>
                <w:rFonts w:ascii="方正仿宋_GBK" w:hAnsi="方正仿宋_GBK" w:eastAsia="方正仿宋_GBK" w:cs="方正仿宋_GBK"/>
                <w:color w:val="000000"/>
                <w:sz w:val="22"/>
                <w:szCs w:val="22"/>
              </w:rPr>
              <w:t>广播</w:t>
            </w:r>
            <w:r>
              <w:rPr>
                <w:rFonts w:hint="eastAsia" w:ascii="方正仿宋_GBK" w:hAnsi="方正仿宋_GBK" w:eastAsia="方正仿宋_GBK" w:cs="方正仿宋_GBK"/>
                <w:color w:val="000000"/>
                <w:sz w:val="22"/>
                <w:szCs w:val="22"/>
              </w:rPr>
              <w:t>不</w:t>
            </w:r>
            <w:r>
              <w:rPr>
                <w:rFonts w:ascii="方正仿宋_GBK" w:hAnsi="方正仿宋_GBK" w:eastAsia="方正仿宋_GBK" w:cs="方正仿宋_GBK"/>
                <w:color w:val="000000"/>
                <w:sz w:val="22"/>
                <w:szCs w:val="22"/>
              </w:rPr>
              <w:t>清晰、准确、规范</w:t>
            </w:r>
            <w:r>
              <w:rPr>
                <w:rFonts w:hint="eastAsia" w:ascii="方正仿宋_GBK" w:hAnsi="方正仿宋_GBK" w:eastAsia="方正仿宋_GBK" w:cs="方正仿宋_GBK"/>
                <w:color w:val="000000"/>
                <w:sz w:val="22"/>
                <w:szCs w:val="22"/>
              </w:rPr>
              <w:t>的，</w:t>
            </w:r>
            <w:r>
              <w:rPr>
                <w:rFonts w:ascii="方正仿宋_GBK" w:hAnsi="方正仿宋_GBK" w:eastAsia="方正仿宋_GBK" w:cs="方正仿宋_GBK"/>
                <w:color w:val="000000"/>
                <w:sz w:val="22"/>
                <w:szCs w:val="22"/>
              </w:rPr>
              <w:t>每处扣0.</w:t>
            </w:r>
            <w:r>
              <w:rPr>
                <w:rFonts w:hint="eastAsia" w:ascii="方正仿宋_GBK" w:hAnsi="方正仿宋_GBK" w:eastAsia="方正仿宋_GBK" w:cs="方正仿宋_GBK"/>
                <w:color w:val="000000"/>
                <w:sz w:val="22"/>
                <w:szCs w:val="22"/>
              </w:rPr>
              <w:t>2</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p>
            <w:pPr>
              <w:spacing w:line="28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4.</w:t>
            </w:r>
            <w:r>
              <w:rPr>
                <w:rFonts w:ascii="方正仿宋_GBK" w:hAnsi="方正仿宋_GBK" w:eastAsia="方正仿宋_GBK" w:cs="方正仿宋_GBK"/>
                <w:color w:val="000000"/>
                <w:sz w:val="22"/>
                <w:szCs w:val="22"/>
              </w:rPr>
              <w:t>站台服务人员未按规定接发列车</w:t>
            </w:r>
            <w:r>
              <w:rPr>
                <w:rFonts w:hint="eastAsia" w:ascii="方正仿宋_GBK" w:hAnsi="方正仿宋_GBK" w:eastAsia="方正仿宋_GBK" w:cs="方正仿宋_GBK"/>
                <w:color w:val="000000"/>
                <w:sz w:val="22"/>
                <w:szCs w:val="22"/>
              </w:rPr>
              <w:t>、进行站台巡视的，</w:t>
            </w:r>
            <w:r>
              <w:rPr>
                <w:rFonts w:ascii="方正仿宋_GBK" w:hAnsi="方正仿宋_GBK" w:eastAsia="方正仿宋_GBK" w:cs="方正仿宋_GBK"/>
                <w:color w:val="000000"/>
                <w:sz w:val="22"/>
                <w:szCs w:val="22"/>
              </w:rPr>
              <w:t>每处扣0.</w:t>
            </w:r>
            <w:r>
              <w:rPr>
                <w:rFonts w:hint="eastAsia" w:ascii="方正仿宋_GBK" w:hAnsi="方正仿宋_GBK" w:eastAsia="方正仿宋_GBK" w:cs="方正仿宋_GBK"/>
                <w:color w:val="000000"/>
                <w:sz w:val="22"/>
                <w:szCs w:val="22"/>
              </w:rPr>
              <w:t>2</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p>
            <w:pPr>
              <w:spacing w:line="28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5.自动扶梯、站台门设备运行不正常的、</w:t>
            </w:r>
            <w:r>
              <w:rPr>
                <w:rFonts w:ascii="方正仿宋_GBK" w:hAnsi="方正仿宋_GBK" w:eastAsia="方正仿宋_GBK" w:cs="方正仿宋_GBK"/>
                <w:color w:val="000000"/>
                <w:sz w:val="22"/>
                <w:szCs w:val="22"/>
              </w:rPr>
              <w:t>每处扣0.</w:t>
            </w:r>
            <w:r>
              <w:rPr>
                <w:rFonts w:hint="eastAsia" w:ascii="方正仿宋_GBK" w:hAnsi="方正仿宋_GBK" w:eastAsia="方正仿宋_GBK" w:cs="方正仿宋_GBK"/>
                <w:color w:val="000000"/>
                <w:sz w:val="22"/>
                <w:szCs w:val="22"/>
              </w:rPr>
              <w:t>2</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6.卫生、空气和温度、照明、噪声等环境不良好的，</w:t>
            </w:r>
            <w:r>
              <w:rPr>
                <w:rFonts w:ascii="方正仿宋_GBK" w:hAnsi="方正仿宋_GBK" w:eastAsia="方正仿宋_GBK" w:cs="方正仿宋_GBK"/>
                <w:color w:val="000000"/>
                <w:sz w:val="22"/>
                <w:szCs w:val="22"/>
              </w:rPr>
              <w:t>每处扣0.</w:t>
            </w:r>
            <w:r>
              <w:rPr>
                <w:rFonts w:hint="eastAsia" w:ascii="方正仿宋_GBK" w:hAnsi="方正仿宋_GBK" w:eastAsia="方正仿宋_GBK" w:cs="方正仿宋_GBK"/>
                <w:color w:val="000000"/>
                <w:sz w:val="22"/>
                <w:szCs w:val="22"/>
              </w:rPr>
              <w:t>2</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7.列车座椅、扶手不完好，或未设置</w:t>
            </w:r>
            <w:r>
              <w:rPr>
                <w:rFonts w:ascii="方正仿宋_GBK" w:hAnsi="方正仿宋_GBK" w:eastAsia="方正仿宋_GBK" w:cs="方正仿宋_GBK"/>
                <w:color w:val="000000"/>
                <w:sz w:val="22"/>
                <w:szCs w:val="22"/>
              </w:rPr>
              <w:t>轮椅专用位置</w:t>
            </w:r>
            <w:r>
              <w:rPr>
                <w:rFonts w:hint="eastAsia" w:ascii="方正仿宋_GBK" w:hAnsi="方正仿宋_GBK" w:eastAsia="方正仿宋_GBK" w:cs="方正仿宋_GBK"/>
                <w:color w:val="000000"/>
                <w:sz w:val="22"/>
                <w:szCs w:val="22"/>
              </w:rPr>
              <w:t>的，</w:t>
            </w:r>
            <w:r>
              <w:rPr>
                <w:rFonts w:ascii="方正仿宋_GBK" w:hAnsi="方正仿宋_GBK" w:eastAsia="方正仿宋_GBK" w:cs="方正仿宋_GBK"/>
                <w:color w:val="000000"/>
                <w:sz w:val="22"/>
                <w:szCs w:val="22"/>
              </w:rPr>
              <w:t>每处扣0.</w:t>
            </w:r>
            <w:r>
              <w:rPr>
                <w:rFonts w:hint="eastAsia" w:ascii="方正仿宋_GBK" w:hAnsi="方正仿宋_GBK" w:eastAsia="方正仿宋_GBK" w:cs="方正仿宋_GBK"/>
                <w:color w:val="000000"/>
                <w:sz w:val="22"/>
                <w:szCs w:val="22"/>
              </w:rPr>
              <w:t>2</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8.</w:t>
            </w:r>
            <w:r>
              <w:rPr>
                <w:rFonts w:ascii="方正仿宋_GBK" w:hAnsi="方正仿宋_GBK" w:eastAsia="方正仿宋_GBK" w:cs="方正仿宋_GBK"/>
                <w:color w:val="000000"/>
                <w:sz w:val="22"/>
                <w:szCs w:val="22"/>
              </w:rPr>
              <w:t>列车未按规定进站对位停车的，关门作业时司机未进行瞭望确认的，每</w:t>
            </w:r>
            <w:r>
              <w:rPr>
                <w:rFonts w:hint="eastAsia" w:ascii="方正仿宋_GBK" w:hAnsi="方正仿宋_GBK" w:eastAsia="方正仿宋_GBK" w:cs="方正仿宋_GBK"/>
                <w:color w:val="000000"/>
                <w:sz w:val="22"/>
                <w:szCs w:val="22"/>
              </w:rPr>
              <w:t>次</w:t>
            </w:r>
            <w:r>
              <w:rPr>
                <w:rFonts w:ascii="方正仿宋_GBK" w:hAnsi="方正仿宋_GBK" w:eastAsia="方正仿宋_GBK" w:cs="方正仿宋_GBK"/>
                <w:color w:val="000000"/>
                <w:sz w:val="22"/>
                <w:szCs w:val="22"/>
              </w:rPr>
              <w:t>扣0.</w:t>
            </w:r>
            <w:r>
              <w:rPr>
                <w:rFonts w:hint="eastAsia" w:ascii="方正仿宋_GBK" w:hAnsi="方正仿宋_GBK" w:eastAsia="方正仿宋_GBK" w:cs="方正仿宋_GBK"/>
                <w:color w:val="000000"/>
                <w:sz w:val="22"/>
                <w:szCs w:val="22"/>
              </w:rPr>
              <w:t>2</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tc>
        <w:tc>
          <w:tcPr>
            <w:tcW w:w="1680"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专家评价，行业管理部门录入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14</w:t>
            </w:r>
          </w:p>
        </w:tc>
        <w:tc>
          <w:tcPr>
            <w:tcW w:w="1365" w:type="dxa"/>
            <w:vMerge w:val="continue"/>
            <w:noWrap w:val="0"/>
            <w:vAlign w:val="center"/>
          </w:tcPr>
          <w:p>
            <w:pPr>
              <w:spacing w:line="280" w:lineRule="exact"/>
              <w:jc w:val="center"/>
              <w:rPr>
                <w:rFonts w:hint="eastAsia" w:eastAsia="方正楷体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基础保障</w:t>
            </w:r>
          </w:p>
        </w:tc>
        <w:tc>
          <w:tcPr>
            <w:tcW w:w="765"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18</w:t>
            </w:r>
          </w:p>
        </w:tc>
        <w:tc>
          <w:tcPr>
            <w:tcW w:w="6975" w:type="dxa"/>
            <w:gridSpan w:val="3"/>
            <w:noWrap w:val="0"/>
            <w:vAlign w:val="center"/>
          </w:tcPr>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1.</w:t>
            </w:r>
            <w:r>
              <w:rPr>
                <w:rFonts w:ascii="方正仿宋_GBK" w:hAnsi="方正仿宋_GBK" w:eastAsia="方正仿宋_GBK" w:cs="方正仿宋_GBK"/>
                <w:color w:val="000000"/>
                <w:sz w:val="22"/>
                <w:szCs w:val="22"/>
              </w:rPr>
              <w:t>服务管理制度</w:t>
            </w:r>
            <w:r>
              <w:rPr>
                <w:rFonts w:hint="eastAsia" w:ascii="方正仿宋_GBK" w:hAnsi="方正仿宋_GBK" w:eastAsia="方正仿宋_GBK" w:cs="方正仿宋_GBK"/>
                <w:color w:val="000000"/>
                <w:sz w:val="22"/>
                <w:szCs w:val="22"/>
              </w:rPr>
              <w:t>不</w:t>
            </w:r>
            <w:r>
              <w:rPr>
                <w:rFonts w:ascii="方正仿宋_GBK" w:hAnsi="方正仿宋_GBK" w:eastAsia="方正仿宋_GBK" w:cs="方正仿宋_GBK"/>
                <w:color w:val="000000"/>
                <w:sz w:val="22"/>
                <w:szCs w:val="22"/>
              </w:rPr>
              <w:t>完善</w:t>
            </w:r>
            <w:r>
              <w:rPr>
                <w:rFonts w:hint="eastAsia" w:ascii="方正仿宋_GBK" w:hAnsi="方正仿宋_GBK" w:eastAsia="方正仿宋_GBK" w:cs="方正仿宋_GBK"/>
                <w:color w:val="000000"/>
                <w:sz w:val="22"/>
                <w:szCs w:val="22"/>
              </w:rPr>
              <w:t>的，</w:t>
            </w:r>
            <w:r>
              <w:rPr>
                <w:rFonts w:ascii="方正仿宋_GBK" w:hAnsi="方正仿宋_GBK" w:eastAsia="方正仿宋_GBK" w:cs="方正仿宋_GBK"/>
                <w:color w:val="000000"/>
                <w:sz w:val="22"/>
                <w:szCs w:val="22"/>
              </w:rPr>
              <w:t>每缺失一项扣0.</w:t>
            </w:r>
            <w:r>
              <w:rPr>
                <w:rFonts w:hint="eastAsia" w:ascii="方正仿宋_GBK" w:hAnsi="方正仿宋_GBK" w:eastAsia="方正仿宋_GBK" w:cs="方正仿宋_GBK"/>
                <w:color w:val="000000"/>
                <w:sz w:val="22"/>
                <w:szCs w:val="22"/>
              </w:rPr>
              <w:t>4</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2.人员岗位职责不清晰，或培训不到位的，</w:t>
            </w:r>
            <w:r>
              <w:rPr>
                <w:rFonts w:ascii="方正仿宋_GBK" w:hAnsi="方正仿宋_GBK" w:eastAsia="方正仿宋_GBK" w:cs="方正仿宋_GBK"/>
                <w:color w:val="000000"/>
                <w:sz w:val="22"/>
                <w:szCs w:val="22"/>
              </w:rPr>
              <w:t>扣</w:t>
            </w:r>
            <w:r>
              <w:rPr>
                <w:rFonts w:hint="eastAsia" w:ascii="方正仿宋_GBK" w:hAnsi="方正仿宋_GBK" w:eastAsia="方正仿宋_GBK" w:cs="方正仿宋_GBK"/>
                <w:color w:val="000000"/>
                <w:sz w:val="22"/>
                <w:szCs w:val="22"/>
              </w:rPr>
              <w:t>3</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3.未制定或客运组织方案不合理的，扣3分；</w:t>
            </w:r>
          </w:p>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4.未将</w:t>
            </w:r>
            <w:r>
              <w:rPr>
                <w:rFonts w:ascii="方正仿宋_GBK" w:hAnsi="方正仿宋_GBK" w:eastAsia="方正仿宋_GBK" w:cs="方正仿宋_GBK"/>
                <w:color w:val="000000"/>
                <w:sz w:val="22"/>
                <w:szCs w:val="22"/>
              </w:rPr>
              <w:t>服务质量承诺备案</w:t>
            </w:r>
            <w:r>
              <w:rPr>
                <w:rFonts w:hint="eastAsia" w:ascii="方正仿宋_GBK" w:hAnsi="方正仿宋_GBK" w:eastAsia="方正仿宋_GBK" w:cs="方正仿宋_GBK"/>
                <w:color w:val="000000"/>
                <w:sz w:val="22"/>
                <w:szCs w:val="22"/>
              </w:rPr>
              <w:t>并告知公众的，扣3分；</w:t>
            </w:r>
          </w:p>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5.服务</w:t>
            </w:r>
            <w:r>
              <w:rPr>
                <w:rFonts w:ascii="方正仿宋_GBK" w:hAnsi="方正仿宋_GBK" w:eastAsia="方正仿宋_GBK" w:cs="方正仿宋_GBK"/>
                <w:color w:val="000000"/>
                <w:sz w:val="22"/>
                <w:szCs w:val="22"/>
              </w:rPr>
              <w:t>投诉受理渠道</w:t>
            </w:r>
            <w:r>
              <w:rPr>
                <w:rFonts w:hint="eastAsia" w:ascii="方正仿宋_GBK" w:hAnsi="方正仿宋_GBK" w:eastAsia="方正仿宋_GBK" w:cs="方正仿宋_GBK"/>
                <w:color w:val="000000"/>
                <w:sz w:val="22"/>
                <w:szCs w:val="22"/>
              </w:rPr>
              <w:t>不</w:t>
            </w:r>
            <w:r>
              <w:rPr>
                <w:rFonts w:ascii="方正仿宋_GBK" w:hAnsi="方正仿宋_GBK" w:eastAsia="方正仿宋_GBK" w:cs="方正仿宋_GBK"/>
                <w:color w:val="000000"/>
                <w:sz w:val="22"/>
                <w:szCs w:val="22"/>
              </w:rPr>
              <w:t>畅通，处理</w:t>
            </w:r>
            <w:r>
              <w:rPr>
                <w:rFonts w:hint="eastAsia" w:ascii="方正仿宋_GBK" w:hAnsi="方正仿宋_GBK" w:eastAsia="方正仿宋_GBK" w:cs="方正仿宋_GBK"/>
                <w:color w:val="000000"/>
                <w:sz w:val="22"/>
                <w:szCs w:val="22"/>
              </w:rPr>
              <w:t>不</w:t>
            </w:r>
            <w:r>
              <w:rPr>
                <w:rFonts w:ascii="方正仿宋_GBK" w:hAnsi="方正仿宋_GBK" w:eastAsia="方正仿宋_GBK" w:cs="方正仿宋_GBK"/>
                <w:color w:val="000000"/>
                <w:sz w:val="22"/>
                <w:szCs w:val="22"/>
              </w:rPr>
              <w:t>及时</w:t>
            </w:r>
            <w:r>
              <w:rPr>
                <w:rFonts w:hint="eastAsia" w:ascii="方正仿宋_GBK" w:hAnsi="方正仿宋_GBK" w:eastAsia="方正仿宋_GBK" w:cs="方正仿宋_GBK"/>
                <w:color w:val="000000"/>
                <w:sz w:val="22"/>
                <w:szCs w:val="22"/>
              </w:rPr>
              <w:t>的，</w:t>
            </w:r>
            <w:r>
              <w:rPr>
                <w:rFonts w:ascii="方正仿宋_GBK" w:hAnsi="方正仿宋_GBK" w:eastAsia="方正仿宋_GBK" w:cs="方正仿宋_GBK"/>
                <w:color w:val="000000"/>
                <w:sz w:val="22"/>
                <w:szCs w:val="22"/>
              </w:rPr>
              <w:t>扣</w:t>
            </w:r>
            <w:r>
              <w:rPr>
                <w:rFonts w:hint="eastAsia" w:ascii="方正仿宋_GBK" w:hAnsi="方正仿宋_GBK" w:eastAsia="方正仿宋_GBK" w:cs="方正仿宋_GBK"/>
                <w:color w:val="000000"/>
                <w:sz w:val="22"/>
                <w:szCs w:val="22"/>
              </w:rPr>
              <w:t>3</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6.</w:t>
            </w:r>
            <w:r>
              <w:rPr>
                <w:rFonts w:ascii="方正仿宋_GBK" w:hAnsi="方正仿宋_GBK" w:eastAsia="方正仿宋_GBK" w:cs="方正仿宋_GBK"/>
                <w:color w:val="000000"/>
                <w:sz w:val="22"/>
                <w:szCs w:val="22"/>
              </w:rPr>
              <w:t>未建立企业服务监督考核机制</w:t>
            </w:r>
            <w:r>
              <w:rPr>
                <w:rFonts w:hint="eastAsia" w:ascii="方正仿宋_GBK" w:hAnsi="方正仿宋_GBK" w:eastAsia="方正仿宋_GBK" w:cs="方正仿宋_GBK"/>
                <w:color w:val="000000"/>
                <w:sz w:val="22"/>
                <w:szCs w:val="22"/>
              </w:rPr>
              <w:t>，</w:t>
            </w:r>
            <w:r>
              <w:rPr>
                <w:rFonts w:ascii="方正仿宋_GBK" w:hAnsi="方正仿宋_GBK" w:eastAsia="方正仿宋_GBK" w:cs="方正仿宋_GBK"/>
                <w:color w:val="000000"/>
                <w:sz w:val="22"/>
                <w:szCs w:val="22"/>
              </w:rPr>
              <w:t>或</w:t>
            </w:r>
            <w:r>
              <w:rPr>
                <w:rFonts w:hint="eastAsia" w:ascii="方正仿宋_GBK" w:hAnsi="方正仿宋_GBK" w:eastAsia="方正仿宋_GBK" w:cs="方正仿宋_GBK"/>
                <w:color w:val="000000"/>
                <w:sz w:val="22"/>
                <w:szCs w:val="22"/>
              </w:rPr>
              <w:t>对</w:t>
            </w:r>
            <w:r>
              <w:rPr>
                <w:rFonts w:ascii="方正仿宋_GBK" w:hAnsi="方正仿宋_GBK" w:eastAsia="方正仿宋_GBK" w:cs="方正仿宋_GBK"/>
                <w:color w:val="000000"/>
                <w:sz w:val="22"/>
                <w:szCs w:val="22"/>
              </w:rPr>
              <w:t>服务质量问题</w:t>
            </w:r>
            <w:r>
              <w:rPr>
                <w:rFonts w:hint="eastAsia" w:ascii="方正仿宋_GBK" w:hAnsi="方正仿宋_GBK" w:eastAsia="方正仿宋_GBK" w:cs="方正仿宋_GBK"/>
                <w:color w:val="000000"/>
                <w:sz w:val="22"/>
                <w:szCs w:val="22"/>
              </w:rPr>
              <w:t>整改</w:t>
            </w:r>
            <w:r>
              <w:rPr>
                <w:rFonts w:ascii="方正仿宋_GBK" w:hAnsi="方正仿宋_GBK" w:eastAsia="方正仿宋_GBK" w:cs="方正仿宋_GBK"/>
                <w:color w:val="000000"/>
                <w:sz w:val="22"/>
                <w:szCs w:val="22"/>
              </w:rPr>
              <w:t>不到位的</w:t>
            </w:r>
            <w:r>
              <w:rPr>
                <w:rFonts w:hint="eastAsia" w:ascii="方正仿宋_GBK" w:hAnsi="方正仿宋_GBK" w:eastAsia="方正仿宋_GBK" w:cs="方正仿宋_GBK"/>
                <w:color w:val="000000"/>
                <w:sz w:val="22"/>
                <w:szCs w:val="22"/>
              </w:rPr>
              <w:t>，</w:t>
            </w:r>
            <w:r>
              <w:rPr>
                <w:rFonts w:ascii="方正仿宋_GBK" w:hAnsi="方正仿宋_GBK" w:eastAsia="方正仿宋_GBK" w:cs="方正仿宋_GBK"/>
                <w:color w:val="000000"/>
                <w:sz w:val="22"/>
                <w:szCs w:val="22"/>
              </w:rPr>
              <w:t>扣</w:t>
            </w:r>
            <w:r>
              <w:rPr>
                <w:rFonts w:hint="eastAsia" w:ascii="方正仿宋_GBK" w:hAnsi="方正仿宋_GBK" w:eastAsia="方正仿宋_GBK" w:cs="方正仿宋_GBK"/>
                <w:color w:val="000000"/>
                <w:sz w:val="22"/>
                <w:szCs w:val="22"/>
              </w:rPr>
              <w:t>3</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tc>
        <w:tc>
          <w:tcPr>
            <w:tcW w:w="1680"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专家评价，行业管理部门录入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15</w:t>
            </w:r>
          </w:p>
        </w:tc>
        <w:tc>
          <w:tcPr>
            <w:tcW w:w="1365" w:type="dxa"/>
            <w:noWrap w:val="0"/>
            <w:vAlign w:val="center"/>
          </w:tcPr>
          <w:p>
            <w:pPr>
              <w:spacing w:line="280" w:lineRule="exact"/>
              <w:jc w:val="center"/>
              <w:rPr>
                <w:rFonts w:hint="eastAsia" w:eastAsia="方正楷体_GBK"/>
                <w:bCs/>
                <w:color w:val="000000"/>
                <w:kern w:val="0"/>
                <w:sz w:val="22"/>
                <w:szCs w:val="22"/>
                <w:lang w:bidi="ar"/>
              </w:rPr>
            </w:pPr>
            <w:r>
              <w:rPr>
                <w:rFonts w:hint="eastAsia" w:eastAsia="方正楷体_GBK"/>
                <w:bCs/>
                <w:color w:val="000000"/>
                <w:kern w:val="0"/>
                <w:sz w:val="22"/>
                <w:szCs w:val="22"/>
                <w:lang w:bidi="ar"/>
              </w:rPr>
              <w:t>服务质量</w:t>
            </w:r>
          </w:p>
          <w:p>
            <w:pPr>
              <w:spacing w:line="280" w:lineRule="exact"/>
              <w:jc w:val="center"/>
              <w:rPr>
                <w:rFonts w:hint="eastAsia" w:eastAsia="方正楷体_GBK"/>
                <w:bCs/>
                <w:color w:val="000000"/>
                <w:kern w:val="0"/>
                <w:sz w:val="22"/>
                <w:szCs w:val="22"/>
                <w:lang w:bidi="ar"/>
              </w:rPr>
            </w:pPr>
            <w:r>
              <w:rPr>
                <w:rFonts w:hint="eastAsia" w:eastAsia="方正楷体_GBK"/>
                <w:bCs/>
                <w:color w:val="000000"/>
                <w:kern w:val="0"/>
                <w:sz w:val="22"/>
                <w:szCs w:val="22"/>
                <w:lang w:bidi="ar"/>
              </w:rPr>
              <w:t>（10分）</w:t>
            </w:r>
          </w:p>
        </w:tc>
        <w:tc>
          <w:tcPr>
            <w:tcW w:w="1815"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乘客满意度</w:t>
            </w:r>
          </w:p>
        </w:tc>
        <w:tc>
          <w:tcPr>
            <w:tcW w:w="765"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10</w:t>
            </w:r>
          </w:p>
        </w:tc>
        <w:tc>
          <w:tcPr>
            <w:tcW w:w="6975" w:type="dxa"/>
            <w:gridSpan w:val="3"/>
            <w:noWrap w:val="0"/>
            <w:vAlign w:val="center"/>
          </w:tcPr>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设计调查问卷，从进出站、车站环境与秩序、设施运行、换乘、咨询、投诉、安全感等方面调查乘客满意度。</w:t>
            </w:r>
          </w:p>
        </w:tc>
        <w:tc>
          <w:tcPr>
            <w:tcW w:w="1680"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问卷调查，行业管理部门录入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16</w:t>
            </w:r>
          </w:p>
        </w:tc>
        <w:tc>
          <w:tcPr>
            <w:tcW w:w="1365" w:type="dxa"/>
            <w:noWrap w:val="0"/>
            <w:vAlign w:val="center"/>
          </w:tcPr>
          <w:p>
            <w:pPr>
              <w:spacing w:line="280" w:lineRule="exact"/>
              <w:jc w:val="center"/>
              <w:rPr>
                <w:rFonts w:eastAsia="方正楷体_GBK"/>
                <w:bCs/>
                <w:color w:val="000000"/>
                <w:kern w:val="0"/>
                <w:sz w:val="22"/>
                <w:szCs w:val="22"/>
                <w:lang w:bidi="ar"/>
              </w:rPr>
            </w:pPr>
            <w:r>
              <w:rPr>
                <w:rFonts w:eastAsia="方正楷体_GBK"/>
                <w:bCs/>
                <w:color w:val="000000"/>
                <w:kern w:val="0"/>
                <w:sz w:val="22"/>
                <w:szCs w:val="22"/>
                <w:lang w:bidi="ar"/>
              </w:rPr>
              <w:t>社会责任</w:t>
            </w:r>
          </w:p>
          <w:p>
            <w:pPr>
              <w:spacing w:line="280" w:lineRule="exact"/>
              <w:jc w:val="center"/>
              <w:rPr>
                <w:rFonts w:hint="eastAsia" w:eastAsia="方正楷体_GBK"/>
                <w:bCs/>
                <w:color w:val="000000"/>
                <w:kern w:val="0"/>
                <w:sz w:val="22"/>
                <w:szCs w:val="22"/>
                <w:lang w:bidi="ar"/>
              </w:rPr>
            </w:pPr>
            <w:r>
              <w:rPr>
                <w:rFonts w:eastAsia="方正楷体_GBK"/>
                <w:bCs/>
                <w:color w:val="000000"/>
                <w:kern w:val="0"/>
                <w:sz w:val="22"/>
                <w:szCs w:val="22"/>
                <w:lang w:bidi="ar"/>
              </w:rPr>
              <w:t>（10分）</w:t>
            </w:r>
          </w:p>
        </w:tc>
        <w:tc>
          <w:tcPr>
            <w:tcW w:w="1815" w:type="dxa"/>
            <w:noWrap w:val="0"/>
            <w:vAlign w:val="center"/>
          </w:tcPr>
          <w:p>
            <w:pPr>
              <w:spacing w:line="280" w:lineRule="exact"/>
              <w:jc w:val="center"/>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突发事件</w:t>
            </w:r>
          </w:p>
          <w:p>
            <w:pPr>
              <w:spacing w:line="280" w:lineRule="exact"/>
              <w:jc w:val="center"/>
              <w:rPr>
                <w:rFonts w:hint="eastAsia" w:ascii="方正仿宋_GBK" w:hAnsi="方正仿宋_GBK" w:eastAsia="方正仿宋_GBK" w:cs="方正仿宋_GBK"/>
                <w:color w:val="000000"/>
                <w:sz w:val="22"/>
                <w:szCs w:val="22"/>
              </w:rPr>
            </w:pPr>
          </w:p>
        </w:tc>
        <w:tc>
          <w:tcPr>
            <w:tcW w:w="765"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10</w:t>
            </w:r>
          </w:p>
        </w:tc>
        <w:tc>
          <w:tcPr>
            <w:tcW w:w="6975" w:type="dxa"/>
            <w:gridSpan w:val="3"/>
            <w:noWrap w:val="0"/>
            <w:vAlign w:val="center"/>
          </w:tcPr>
          <w:p>
            <w:pPr>
              <w:spacing w:line="280" w:lineRule="exact"/>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1.发生5分钟以上（含）15分钟以下延误事件的，每起减0.</w:t>
            </w:r>
            <w:r>
              <w:rPr>
                <w:rFonts w:hint="eastAsia" w:ascii="方正仿宋_GBK" w:hAnsi="方正仿宋_GBK" w:eastAsia="方正仿宋_GBK" w:cs="方正仿宋_GBK"/>
                <w:color w:val="000000"/>
                <w:sz w:val="22"/>
                <w:szCs w:val="22"/>
              </w:rPr>
              <w:t>1</w:t>
            </w:r>
            <w:r>
              <w:rPr>
                <w:rFonts w:ascii="方正仿宋_GBK" w:hAnsi="方正仿宋_GBK" w:eastAsia="方正仿宋_GBK" w:cs="方正仿宋_GBK"/>
                <w:color w:val="000000"/>
                <w:sz w:val="22"/>
                <w:szCs w:val="22"/>
              </w:rPr>
              <w:t>分；</w:t>
            </w:r>
          </w:p>
          <w:p>
            <w:pPr>
              <w:spacing w:line="280" w:lineRule="exact"/>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2.发生15分钟以上（含）30分钟以下延误事件的，每起减</w:t>
            </w:r>
            <w:r>
              <w:rPr>
                <w:rFonts w:hint="eastAsia" w:ascii="方正仿宋_GBK" w:hAnsi="方正仿宋_GBK" w:eastAsia="方正仿宋_GBK" w:cs="方正仿宋_GBK"/>
                <w:color w:val="000000"/>
                <w:sz w:val="22"/>
                <w:szCs w:val="22"/>
              </w:rPr>
              <w:t>0.2</w:t>
            </w:r>
            <w:r>
              <w:rPr>
                <w:rFonts w:ascii="方正仿宋_GBK" w:hAnsi="方正仿宋_GBK" w:eastAsia="方正仿宋_GBK" w:cs="方正仿宋_GBK"/>
                <w:color w:val="000000"/>
                <w:sz w:val="22"/>
                <w:szCs w:val="22"/>
              </w:rPr>
              <w:t>分；</w:t>
            </w:r>
          </w:p>
          <w:p>
            <w:pPr>
              <w:spacing w:line="280" w:lineRule="exact"/>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3.连续中断行车（指线路中有2个及以上车站或区间发生行车中断）30分钟以上（含）2小时以下的，每起减</w:t>
            </w:r>
            <w:r>
              <w:rPr>
                <w:rFonts w:hint="eastAsia" w:ascii="方正仿宋_GBK" w:hAnsi="方正仿宋_GBK" w:eastAsia="方正仿宋_GBK" w:cs="方正仿宋_GBK"/>
                <w:color w:val="000000"/>
                <w:sz w:val="22"/>
                <w:szCs w:val="22"/>
              </w:rPr>
              <w:t>0.5</w:t>
            </w:r>
            <w:r>
              <w:rPr>
                <w:rFonts w:ascii="方正仿宋_GBK" w:hAnsi="方正仿宋_GBK" w:eastAsia="方正仿宋_GBK" w:cs="方正仿宋_GBK"/>
                <w:color w:val="000000"/>
                <w:sz w:val="22"/>
                <w:szCs w:val="22"/>
              </w:rPr>
              <w:t>分；</w:t>
            </w:r>
          </w:p>
          <w:p>
            <w:pPr>
              <w:spacing w:line="280" w:lineRule="exact"/>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4.发生一般运营突发事件的，每起减</w:t>
            </w:r>
            <w:r>
              <w:rPr>
                <w:rFonts w:hint="eastAsia" w:ascii="方正仿宋_GBK" w:hAnsi="方正仿宋_GBK" w:eastAsia="方正仿宋_GBK" w:cs="方正仿宋_GBK"/>
                <w:color w:val="000000"/>
                <w:sz w:val="22"/>
                <w:szCs w:val="22"/>
              </w:rPr>
              <w:t>1</w:t>
            </w:r>
            <w:r>
              <w:rPr>
                <w:rFonts w:ascii="方正仿宋_GBK" w:hAnsi="方正仿宋_GBK" w:eastAsia="方正仿宋_GBK" w:cs="方正仿宋_GBK"/>
                <w:color w:val="000000"/>
                <w:sz w:val="22"/>
                <w:szCs w:val="22"/>
              </w:rPr>
              <w:t>分。</w:t>
            </w:r>
          </w:p>
          <w:p>
            <w:pPr>
              <w:spacing w:line="280" w:lineRule="exact"/>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（因地震、洪涝、气象灾害等自然灾害及其他不可抗力因素导致的除外）</w:t>
            </w:r>
          </w:p>
        </w:tc>
        <w:tc>
          <w:tcPr>
            <w:tcW w:w="1680" w:type="dxa"/>
            <w:noWrap w:val="0"/>
            <w:vAlign w:val="center"/>
          </w:tcPr>
          <w:p>
            <w:pPr>
              <w:spacing w:line="28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17</w:t>
            </w:r>
          </w:p>
        </w:tc>
        <w:tc>
          <w:tcPr>
            <w:tcW w:w="1365" w:type="dxa"/>
            <w:noWrap w:val="0"/>
            <w:vAlign w:val="center"/>
          </w:tcPr>
          <w:p>
            <w:pPr>
              <w:spacing w:line="280" w:lineRule="exact"/>
              <w:jc w:val="center"/>
              <w:rPr>
                <w:rFonts w:eastAsia="方正楷体_GBK"/>
                <w:bCs/>
                <w:color w:val="000000"/>
                <w:kern w:val="0"/>
                <w:sz w:val="22"/>
                <w:szCs w:val="22"/>
                <w:lang w:bidi="ar"/>
              </w:rPr>
            </w:pPr>
            <w:r>
              <w:rPr>
                <w:rFonts w:eastAsia="方正楷体_GBK"/>
                <w:bCs/>
                <w:color w:val="000000"/>
                <w:kern w:val="0"/>
                <w:sz w:val="22"/>
                <w:szCs w:val="22"/>
                <w:lang w:bidi="ar"/>
              </w:rPr>
              <w:t>加分项目</w:t>
            </w:r>
          </w:p>
          <w:p>
            <w:pPr>
              <w:spacing w:line="280" w:lineRule="exact"/>
              <w:jc w:val="center"/>
              <w:rPr>
                <w:rFonts w:hint="eastAsia" w:eastAsia="方正楷体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表彰奖励</w:t>
            </w:r>
          </w:p>
        </w:tc>
        <w:tc>
          <w:tcPr>
            <w:tcW w:w="765" w:type="dxa"/>
            <w:noWrap w:val="0"/>
            <w:vAlign w:val="center"/>
          </w:tcPr>
          <w:p>
            <w:pPr>
              <w:widowControl/>
              <w:spacing w:line="280" w:lineRule="exact"/>
              <w:jc w:val="center"/>
              <w:textAlignment w:val="center"/>
              <w:rPr>
                <w:color w:val="000000"/>
                <w:kern w:val="0"/>
                <w:sz w:val="22"/>
                <w:szCs w:val="22"/>
                <w:lang w:bidi="ar"/>
              </w:rPr>
            </w:pPr>
          </w:p>
        </w:tc>
        <w:tc>
          <w:tcPr>
            <w:tcW w:w="6975" w:type="dxa"/>
            <w:gridSpan w:val="3"/>
            <w:noWrap w:val="0"/>
            <w:vAlign w:val="top"/>
          </w:tcPr>
          <w:p>
            <w:pPr>
              <w:spacing w:line="280" w:lineRule="exact"/>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1.因完成政府政策性任务，或者积极组织参加抢险救灾、应急保障等具有较大社会影响的活动，运营单位获得市级及以上人民政府或交通运输部表彰表扬的，每项加</w:t>
            </w:r>
            <w:r>
              <w:rPr>
                <w:rFonts w:hint="eastAsia" w:ascii="方正仿宋_GBK" w:hAnsi="方正仿宋_GBK" w:eastAsia="方正仿宋_GBK" w:cs="方正仿宋_GBK"/>
                <w:color w:val="000000"/>
                <w:sz w:val="22"/>
                <w:szCs w:val="22"/>
              </w:rPr>
              <w:t>2</w:t>
            </w:r>
            <w:r>
              <w:rPr>
                <w:rFonts w:ascii="方正仿宋_GBK" w:hAnsi="方正仿宋_GBK" w:eastAsia="方正仿宋_GBK" w:cs="方正仿宋_GBK"/>
                <w:color w:val="000000"/>
                <w:sz w:val="22"/>
                <w:szCs w:val="22"/>
              </w:rPr>
              <w:t>分；获得市级交通运输主管部门表彰表扬的，每项加</w:t>
            </w:r>
            <w:r>
              <w:rPr>
                <w:rFonts w:hint="eastAsia" w:ascii="方正仿宋_GBK" w:hAnsi="方正仿宋_GBK" w:eastAsia="方正仿宋_GBK" w:cs="方正仿宋_GBK"/>
                <w:color w:val="000000"/>
                <w:sz w:val="22"/>
                <w:szCs w:val="22"/>
              </w:rPr>
              <w:t>1</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p>
            <w:pPr>
              <w:spacing w:line="280" w:lineRule="exact"/>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2.班组和个人因运营管理工作突出，获得市级及以上人民政府或交通运输部表彰表扬的，每项加</w:t>
            </w:r>
            <w:r>
              <w:rPr>
                <w:rFonts w:hint="eastAsia" w:ascii="方正仿宋_GBK" w:hAnsi="方正仿宋_GBK" w:eastAsia="方正仿宋_GBK" w:cs="方正仿宋_GBK"/>
                <w:color w:val="000000"/>
                <w:sz w:val="22"/>
                <w:szCs w:val="22"/>
              </w:rPr>
              <w:t>1</w:t>
            </w:r>
            <w:r>
              <w:rPr>
                <w:rFonts w:ascii="方正仿宋_GBK" w:hAnsi="方正仿宋_GBK" w:eastAsia="方正仿宋_GBK" w:cs="方正仿宋_GBK"/>
                <w:color w:val="000000"/>
                <w:sz w:val="22"/>
                <w:szCs w:val="22"/>
              </w:rPr>
              <w:t>分。</w:t>
            </w:r>
          </w:p>
          <w:p>
            <w:pPr>
              <w:spacing w:line="280" w:lineRule="exact"/>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（总加分上限为</w:t>
            </w:r>
            <w:r>
              <w:rPr>
                <w:rFonts w:hint="eastAsia" w:ascii="方正仿宋_GBK" w:hAnsi="方正仿宋_GBK" w:eastAsia="方正仿宋_GBK" w:cs="方正仿宋_GBK"/>
                <w:color w:val="000000"/>
                <w:sz w:val="22"/>
                <w:szCs w:val="22"/>
              </w:rPr>
              <w:t>5</w:t>
            </w:r>
            <w:r>
              <w:rPr>
                <w:rFonts w:ascii="方正仿宋_GBK" w:hAnsi="方正仿宋_GBK" w:eastAsia="方正仿宋_GBK" w:cs="方正仿宋_GBK"/>
                <w:color w:val="000000"/>
                <w:sz w:val="22"/>
                <w:szCs w:val="22"/>
              </w:rPr>
              <w:t>分，因同一事项获得多项表彰表扬的，按照奖项级别最高的计算一次，不重复加分。）</w:t>
            </w:r>
          </w:p>
        </w:tc>
        <w:tc>
          <w:tcPr>
            <w:tcW w:w="1680" w:type="dxa"/>
            <w:noWrap w:val="0"/>
            <w:vAlign w:val="center"/>
          </w:tcPr>
          <w:p>
            <w:pPr>
              <w:spacing w:line="280" w:lineRule="exact"/>
              <w:jc w:val="center"/>
              <w:rPr>
                <w:rFonts w:hint="eastAsia" w:ascii="方正仿宋_GBK" w:hAnsi="方正仿宋_GBK" w:eastAsia="方正仿宋_GBK" w:cs="方正仿宋_GBK"/>
                <w:color w:val="000000"/>
                <w:sz w:val="22"/>
                <w:szCs w:val="22"/>
              </w:rPr>
            </w:pPr>
          </w:p>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12" w:type="dxa"/>
            <w:noWrap w:val="0"/>
            <w:vAlign w:val="center"/>
          </w:tcPr>
          <w:p>
            <w:pPr>
              <w:widowControl/>
              <w:spacing w:line="280" w:lineRule="exact"/>
              <w:jc w:val="center"/>
              <w:rPr>
                <w:rFonts w:hint="eastAsia" w:ascii="Calibri" w:hAnsi="Calibri" w:eastAsia="方正楷体_GBK"/>
                <w:bCs/>
                <w:color w:val="000000"/>
                <w:sz w:val="22"/>
                <w:szCs w:val="22"/>
              </w:rPr>
            </w:pPr>
            <w:r>
              <w:rPr>
                <w:rFonts w:hint="eastAsia" w:eastAsia="方正楷体_GBK"/>
                <w:bCs/>
                <w:color w:val="000000"/>
                <w:sz w:val="22"/>
                <w:szCs w:val="22"/>
              </w:rPr>
              <w:t>合计</w:t>
            </w:r>
          </w:p>
        </w:tc>
        <w:tc>
          <w:tcPr>
            <w:tcW w:w="1365" w:type="dxa"/>
            <w:noWrap w:val="0"/>
            <w:vAlign w:val="center"/>
          </w:tcPr>
          <w:p>
            <w:pPr>
              <w:widowControl/>
              <w:spacing w:line="280" w:lineRule="exact"/>
              <w:jc w:val="center"/>
              <w:rPr>
                <w:rFonts w:ascii="Calibri" w:hAnsi="Calibri" w:eastAsia="方正楷体_GBK"/>
                <w:bCs/>
                <w:color w:val="000000"/>
                <w:sz w:val="22"/>
                <w:szCs w:val="22"/>
              </w:rPr>
            </w:pPr>
            <w:r>
              <w:rPr>
                <w:rFonts w:hint="eastAsia" w:eastAsia="方正楷体_GBK"/>
                <w:bCs/>
                <w:color w:val="000000"/>
                <w:sz w:val="22"/>
                <w:szCs w:val="22"/>
              </w:rPr>
              <w:t>100分</w:t>
            </w:r>
          </w:p>
        </w:tc>
        <w:tc>
          <w:tcPr>
            <w:tcW w:w="1815" w:type="dxa"/>
            <w:noWrap w:val="0"/>
            <w:vAlign w:val="center"/>
          </w:tcPr>
          <w:p>
            <w:pPr>
              <w:spacing w:line="280" w:lineRule="exact"/>
              <w:jc w:val="center"/>
              <w:rPr>
                <w:rFonts w:hint="eastAsia" w:ascii="方正仿宋_GBK" w:hAnsi="方正仿宋_GBK" w:eastAsia="方正仿宋_GBK" w:cs="方正仿宋_GBK"/>
                <w:color w:val="000000"/>
                <w:sz w:val="22"/>
                <w:szCs w:val="22"/>
              </w:rPr>
            </w:pPr>
          </w:p>
        </w:tc>
        <w:tc>
          <w:tcPr>
            <w:tcW w:w="765"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100</w:t>
            </w:r>
          </w:p>
        </w:tc>
        <w:tc>
          <w:tcPr>
            <w:tcW w:w="6975" w:type="dxa"/>
            <w:gridSpan w:val="3"/>
            <w:noWrap w:val="0"/>
            <w:vAlign w:val="top"/>
          </w:tcPr>
          <w:p>
            <w:pPr>
              <w:spacing w:line="280" w:lineRule="exact"/>
              <w:rPr>
                <w:rFonts w:ascii="方正仿宋_GBK" w:hAnsi="方正仿宋_GBK" w:eastAsia="方正仿宋_GBK" w:cs="方正仿宋_GBK"/>
                <w:color w:val="000000"/>
                <w:sz w:val="22"/>
                <w:szCs w:val="22"/>
              </w:rPr>
            </w:pPr>
          </w:p>
        </w:tc>
        <w:tc>
          <w:tcPr>
            <w:tcW w:w="1680" w:type="dxa"/>
            <w:noWrap w:val="0"/>
            <w:vAlign w:val="top"/>
          </w:tcPr>
          <w:p>
            <w:pPr>
              <w:spacing w:line="280" w:lineRule="exact"/>
              <w:rPr>
                <w:rFonts w:hint="eastAsia" w:ascii="方正仿宋_GBK" w:hAnsi="方正仿宋_GBK" w:eastAsia="方正仿宋_GBK" w:cs="方正仿宋_GBK"/>
                <w:color w:val="000000"/>
                <w:sz w:val="22"/>
                <w:szCs w:val="22"/>
              </w:rPr>
            </w:pP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077" w:type="dxa"/>
            <w:gridSpan w:val="2"/>
            <w:vMerge w:val="restart"/>
            <w:noWrap w:val="0"/>
            <w:vAlign w:val="center"/>
          </w:tcPr>
          <w:p>
            <w:pPr>
              <w:widowControl/>
              <w:spacing w:line="280" w:lineRule="exact"/>
              <w:jc w:val="center"/>
              <w:rPr>
                <w:rFonts w:hint="eastAsia" w:eastAsia="方正楷体_GBK"/>
                <w:bCs/>
                <w:color w:val="000000"/>
                <w:sz w:val="22"/>
                <w:szCs w:val="22"/>
              </w:rPr>
            </w:pPr>
            <w:r>
              <w:rPr>
                <w:rFonts w:hint="eastAsia" w:eastAsia="方正楷体_GBK"/>
                <w:bCs/>
                <w:color w:val="000000"/>
                <w:sz w:val="22"/>
                <w:szCs w:val="22"/>
              </w:rPr>
              <w:t>评价结论</w:t>
            </w:r>
          </w:p>
        </w:tc>
        <w:tc>
          <w:tcPr>
            <w:tcW w:w="1815"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eastAsia="方正仿宋_GBK"/>
                <w:color w:val="000000"/>
                <w:kern w:val="0"/>
                <w:sz w:val="22"/>
                <w:szCs w:val="22"/>
                <w:lang w:bidi="ar"/>
              </w:rPr>
              <w:t>信用等级</w:t>
            </w:r>
          </w:p>
        </w:tc>
        <w:tc>
          <w:tcPr>
            <w:tcW w:w="10155" w:type="dxa"/>
            <w:gridSpan w:val="6"/>
            <w:noWrap w:val="0"/>
            <w:vAlign w:val="center"/>
          </w:tcPr>
          <w:p>
            <w:pPr>
              <w:spacing w:line="280" w:lineRule="exact"/>
              <w:jc w:val="left"/>
              <w:rPr>
                <w:rFonts w:hint="eastAsia" w:ascii="方正仿宋_GBK" w:hAnsi="方正仿宋_GBK" w:eastAsia="方正仿宋_GBK" w:cs="方正仿宋_GBK"/>
                <w:bCs/>
                <w:color w:val="000000"/>
                <w:kern w:val="0"/>
                <w:sz w:val="28"/>
                <w:szCs w:val="28"/>
                <w:lang w:bidi="ar"/>
              </w:rPr>
            </w:pPr>
            <w:r>
              <w:rPr>
                <w:rFonts w:eastAsia="方正仿宋_GBK"/>
                <w:color w:val="000000"/>
                <w:kern w:val="0"/>
                <w:sz w:val="22"/>
                <w:szCs w:val="22"/>
                <w:lang w:bidi="ar"/>
              </w:rPr>
              <w:t>AA□                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077" w:type="dxa"/>
            <w:gridSpan w:val="2"/>
            <w:vMerge w:val="continue"/>
            <w:noWrap w:val="0"/>
            <w:vAlign w:val="center"/>
          </w:tcPr>
          <w:p>
            <w:pPr>
              <w:widowControl/>
              <w:spacing w:line="280" w:lineRule="exact"/>
              <w:jc w:val="center"/>
              <w:rPr>
                <w:rFonts w:hint="eastAsia" w:eastAsia="方正楷体_GBK"/>
                <w:bCs/>
                <w:color w:val="000000"/>
                <w:sz w:val="22"/>
                <w:szCs w:val="22"/>
              </w:rPr>
            </w:pPr>
          </w:p>
        </w:tc>
        <w:tc>
          <w:tcPr>
            <w:tcW w:w="1815"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eastAsia="方正仿宋_GBK"/>
                <w:color w:val="000000"/>
                <w:kern w:val="0"/>
                <w:sz w:val="22"/>
                <w:szCs w:val="22"/>
                <w:lang w:bidi="ar"/>
              </w:rPr>
              <w:t>评价机构</w:t>
            </w:r>
          </w:p>
        </w:tc>
        <w:tc>
          <w:tcPr>
            <w:tcW w:w="10155" w:type="dxa"/>
            <w:gridSpan w:val="6"/>
            <w:noWrap w:val="0"/>
            <w:vAlign w:val="center"/>
          </w:tcPr>
          <w:p>
            <w:pPr>
              <w:spacing w:line="280" w:lineRule="exact"/>
              <w:jc w:val="left"/>
              <w:rPr>
                <w:rFonts w:hint="eastAsia" w:ascii="方正仿宋_GBK" w:hAnsi="方正仿宋_GBK" w:eastAsia="方正仿宋_GBK" w:cs="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77" w:type="dxa"/>
            <w:gridSpan w:val="2"/>
            <w:vMerge w:val="continue"/>
            <w:noWrap w:val="0"/>
            <w:vAlign w:val="center"/>
          </w:tcPr>
          <w:p>
            <w:pPr>
              <w:widowControl/>
              <w:spacing w:line="280" w:lineRule="exact"/>
              <w:jc w:val="center"/>
              <w:rPr>
                <w:rFonts w:hint="eastAsia" w:eastAsia="方正楷体_GBK"/>
                <w:bCs/>
                <w:color w:val="000000"/>
                <w:sz w:val="22"/>
                <w:szCs w:val="22"/>
              </w:rPr>
            </w:pPr>
          </w:p>
        </w:tc>
        <w:tc>
          <w:tcPr>
            <w:tcW w:w="1815"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eastAsia="方正仿宋_GBK"/>
                <w:color w:val="000000"/>
                <w:kern w:val="0"/>
                <w:sz w:val="22"/>
                <w:szCs w:val="22"/>
                <w:lang w:bidi="ar"/>
              </w:rPr>
              <w:t>经办人</w:t>
            </w:r>
          </w:p>
        </w:tc>
        <w:tc>
          <w:tcPr>
            <w:tcW w:w="3405" w:type="dxa"/>
            <w:gridSpan w:val="2"/>
            <w:noWrap w:val="0"/>
            <w:vAlign w:val="center"/>
          </w:tcPr>
          <w:p>
            <w:pPr>
              <w:widowControl/>
              <w:spacing w:line="280" w:lineRule="exact"/>
              <w:jc w:val="center"/>
              <w:textAlignment w:val="center"/>
              <w:rPr>
                <w:rFonts w:hint="eastAsia"/>
                <w:color w:val="000000"/>
                <w:kern w:val="0"/>
                <w:sz w:val="22"/>
                <w:szCs w:val="22"/>
                <w:lang w:bidi="ar"/>
              </w:rPr>
            </w:pPr>
          </w:p>
        </w:tc>
        <w:tc>
          <w:tcPr>
            <w:tcW w:w="1830" w:type="dxa"/>
            <w:noWrap w:val="0"/>
            <w:vAlign w:val="center"/>
          </w:tcPr>
          <w:p>
            <w:pPr>
              <w:spacing w:line="280" w:lineRule="exact"/>
              <w:jc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评价日期</w:t>
            </w:r>
          </w:p>
        </w:tc>
        <w:tc>
          <w:tcPr>
            <w:tcW w:w="4920" w:type="dxa"/>
            <w:gridSpan w:val="3"/>
            <w:noWrap w:val="0"/>
            <w:vAlign w:val="center"/>
          </w:tcPr>
          <w:p>
            <w:pPr>
              <w:spacing w:line="280" w:lineRule="exact"/>
              <w:jc w:val="center"/>
              <w:rPr>
                <w:rFonts w:hint="eastAsia" w:ascii="方正仿宋_GBK" w:hAnsi="方正仿宋_GBK" w:eastAsia="方正仿宋_GBK" w:cs="方正仿宋_GBK"/>
                <w:bCs/>
                <w:color w:val="000000"/>
                <w:kern w:val="0"/>
                <w:sz w:val="28"/>
                <w:szCs w:val="28"/>
                <w:lang w:bidi="ar"/>
              </w:rPr>
            </w:pPr>
            <w:r>
              <w:rPr>
                <w:rFonts w:hint="eastAsia" w:eastAsia="仿宋_GB2312"/>
                <w:color w:val="000000"/>
                <w:sz w:val="20"/>
              </w:rPr>
              <w:t>年      月      日</w:t>
            </w:r>
          </w:p>
        </w:tc>
      </w:tr>
    </w:tbl>
    <w:p>
      <w:pPr>
        <w:spacing w:line="280" w:lineRule="exact"/>
        <w:rPr>
          <w:rFonts w:hint="eastAsia" w:ascii="方正仿宋_GBK" w:hAnsi="方正仿宋_GBK" w:eastAsia="方正仿宋_GBK" w:cs="方正仿宋_GBK"/>
          <w:color w:val="000000"/>
          <w:sz w:val="24"/>
          <w:szCs w:val="24"/>
        </w:rPr>
      </w:pPr>
    </w:p>
    <w:p>
      <w:pPr>
        <w:spacing w:line="280" w:lineRule="exact"/>
        <w:rPr>
          <w:color w:val="000000"/>
        </w:rPr>
      </w:pPr>
      <w:r>
        <w:rPr>
          <w:rFonts w:hint="eastAsia" w:ascii="方正仿宋_GBK" w:hAnsi="方正仿宋_GBK" w:eastAsia="方正仿宋_GBK" w:cs="方正仿宋_GBK"/>
          <w:color w:val="000000"/>
          <w:sz w:val="24"/>
          <w:szCs w:val="24"/>
        </w:rPr>
        <w:t>注：</w:t>
      </w:r>
      <w:r>
        <w:rPr>
          <w:rFonts w:hint="eastAsia" w:eastAsia="方正仿宋_GBK"/>
          <w:color w:val="000000"/>
          <w:sz w:val="24"/>
          <w:szCs w:val="24"/>
        </w:rPr>
        <w:t>信用评价以线路为单位开展，评价内容为安全生产，经营管理，服务质量和社会责任等四方面。</w:t>
      </w:r>
      <w:r>
        <w:rPr>
          <w:rFonts w:eastAsia="仿宋_GB2312"/>
          <w:color w:val="000000"/>
          <w:sz w:val="24"/>
          <w:szCs w:val="24"/>
        </w:rPr>
        <w:t>运营单位</w:t>
      </w:r>
      <w:r>
        <w:rPr>
          <w:rFonts w:hint="eastAsia" w:eastAsia="仿宋_GB2312"/>
          <w:color w:val="000000"/>
          <w:sz w:val="24"/>
          <w:szCs w:val="24"/>
        </w:rPr>
        <w:t>信用</w:t>
      </w:r>
      <w:r>
        <w:rPr>
          <w:rFonts w:eastAsia="仿宋_GB2312"/>
          <w:color w:val="000000"/>
          <w:sz w:val="24"/>
          <w:szCs w:val="24"/>
        </w:rPr>
        <w:t>评价得分，以其所辖线路的</w:t>
      </w:r>
      <w:r>
        <w:rPr>
          <w:rFonts w:hint="eastAsia" w:eastAsia="仿宋_GB2312"/>
          <w:color w:val="000000"/>
          <w:sz w:val="24"/>
          <w:szCs w:val="24"/>
        </w:rPr>
        <w:t>信用</w:t>
      </w:r>
      <w:r>
        <w:rPr>
          <w:rFonts w:eastAsia="仿宋_GB2312"/>
          <w:color w:val="000000"/>
          <w:sz w:val="24"/>
          <w:szCs w:val="24"/>
        </w:rPr>
        <w:t>评价</w:t>
      </w:r>
      <w:r>
        <w:rPr>
          <w:rFonts w:hint="eastAsia" w:eastAsia="仿宋_GB2312"/>
          <w:color w:val="000000"/>
          <w:sz w:val="24"/>
          <w:szCs w:val="24"/>
        </w:rPr>
        <w:t>平均</w:t>
      </w:r>
      <w:r>
        <w:rPr>
          <w:rFonts w:eastAsia="仿宋_GB2312"/>
          <w:color w:val="000000"/>
          <w:sz w:val="24"/>
          <w:szCs w:val="24"/>
        </w:rPr>
        <w:t>得分</w:t>
      </w:r>
      <w:r>
        <w:rPr>
          <w:rFonts w:hint="eastAsia" w:eastAsia="仿宋_GB2312"/>
          <w:color w:val="000000"/>
          <w:sz w:val="24"/>
          <w:szCs w:val="24"/>
        </w:rPr>
        <w:t>加上加分项目得分计算</w:t>
      </w:r>
      <w:r>
        <w:rPr>
          <w:rFonts w:eastAsia="仿宋_GB2312"/>
          <w:color w:val="000000"/>
          <w:sz w:val="24"/>
          <w:szCs w:val="24"/>
        </w:rPr>
        <w:t>。</w:t>
      </w:r>
    </w:p>
    <w:p>
      <w:pPr>
        <w:spacing w:line="320" w:lineRule="exact"/>
        <w:rPr>
          <w:rFonts w:hint="eastAsia"/>
          <w:color w:val="000000"/>
        </w:rPr>
      </w:pPr>
    </w:p>
    <w:p>
      <w:pPr>
        <w:spacing w:line="320" w:lineRule="exact"/>
        <w:rPr>
          <w:rFonts w:hint="eastAsia"/>
          <w:color w:val="000000"/>
        </w:rPr>
      </w:pPr>
    </w:p>
    <w:p>
      <w:pPr>
        <w:spacing w:line="320" w:lineRule="exact"/>
        <w:rPr>
          <w:rFonts w:hint="eastAsia"/>
          <w:color w:val="000000"/>
        </w:rPr>
      </w:pPr>
    </w:p>
    <w:p>
      <w:pPr>
        <w:spacing w:line="320" w:lineRule="exact"/>
        <w:rPr>
          <w:rFonts w:hint="eastAsia"/>
          <w:color w:val="000000"/>
        </w:rPr>
      </w:pPr>
    </w:p>
    <w:p>
      <w:pPr>
        <w:spacing w:line="320" w:lineRule="exact"/>
        <w:rPr>
          <w:rFonts w:hint="eastAsia"/>
          <w:color w:val="000000"/>
        </w:rPr>
      </w:pPr>
    </w:p>
    <w:p>
      <w:pPr>
        <w:spacing w:line="320" w:lineRule="exact"/>
        <w:rPr>
          <w:rFonts w:hint="eastAsia"/>
          <w:color w:val="000000"/>
        </w:rPr>
      </w:pPr>
    </w:p>
    <w:p>
      <w:pPr>
        <w:spacing w:line="320" w:lineRule="exact"/>
        <w:rPr>
          <w:rFonts w:hint="eastAsia"/>
          <w:color w:val="000000"/>
        </w:rPr>
      </w:pPr>
    </w:p>
    <w:p>
      <w:pPr>
        <w:rPr>
          <w:rFonts w:hint="eastAsia" w:ascii="黑体" w:hAnsi="黑体" w:eastAsia="黑体"/>
          <w:color w:val="000000"/>
          <w:sz w:val="32"/>
          <w:szCs w:val="32"/>
        </w:rPr>
      </w:pPr>
      <w:r>
        <w:rPr>
          <w:rFonts w:ascii="黑体" w:hAnsi="黑体" w:eastAsia="黑体"/>
          <w:color w:val="000000"/>
          <w:sz w:val="32"/>
          <w:szCs w:val="32"/>
        </w:rPr>
        <w:t>附件</w:t>
      </w:r>
      <w:r>
        <w:rPr>
          <w:rFonts w:hint="eastAsia" w:ascii="黑体" w:hAnsi="黑体" w:eastAsia="黑体"/>
          <w:color w:val="000000"/>
          <w:sz w:val="32"/>
          <w:szCs w:val="32"/>
        </w:rPr>
        <w:t>1-8</w:t>
      </w:r>
    </w:p>
    <w:p>
      <w:pPr>
        <w:rPr>
          <w:rFonts w:hint="eastAsia" w:ascii="黑体" w:hAnsi="黑体" w:eastAsia="黑体"/>
          <w:b/>
          <w:bCs/>
          <w:color w:val="000000"/>
          <w:sz w:val="32"/>
          <w:szCs w:val="32"/>
        </w:rPr>
      </w:pPr>
    </w:p>
    <w:p>
      <w:pPr>
        <w:jc w:val="center"/>
        <w:rPr>
          <w:rFonts w:hint="eastAsia" w:ascii="方正小标宋_GBK" w:eastAsia="方正小标宋_GBK"/>
          <w:bCs/>
          <w:color w:val="000000"/>
          <w:kern w:val="0"/>
          <w:sz w:val="44"/>
          <w:szCs w:val="44"/>
          <w:lang w:bidi="ar"/>
        </w:rPr>
      </w:pPr>
      <w:r>
        <w:rPr>
          <w:rFonts w:hint="eastAsia" w:ascii="方正小标宋_GBK" w:eastAsia="方正小标宋_GBK"/>
          <w:bCs/>
          <w:color w:val="000000"/>
          <w:kern w:val="0"/>
          <w:sz w:val="44"/>
          <w:szCs w:val="44"/>
          <w:lang w:bidi="ar"/>
        </w:rPr>
        <w:t>重庆市汽车客运站经营者信用评价标准</w:t>
      </w:r>
    </w:p>
    <w:p>
      <w:pPr>
        <w:jc w:val="left"/>
        <w:rPr>
          <w:bCs/>
          <w:color w:val="000000"/>
          <w:kern w:val="0"/>
          <w:sz w:val="32"/>
          <w:szCs w:val="32"/>
          <w:lang w:bidi="ar"/>
        </w:rPr>
      </w:pPr>
      <w:r>
        <w:rPr>
          <w:rFonts w:hint="eastAsia" w:ascii="方正仿宋_GBK" w:hAnsi="方正仿宋_GBK" w:eastAsia="方正仿宋_GBK" w:cs="方正仿宋_GBK"/>
          <w:bCs/>
          <w:color w:val="000000"/>
          <w:kern w:val="0"/>
          <w:sz w:val="28"/>
          <w:szCs w:val="28"/>
          <w:lang w:bidi="ar"/>
        </w:rPr>
        <w:t>被评价企业：                                                            评价年度：</w:t>
      </w:r>
    </w:p>
    <w:tbl>
      <w:tblPr>
        <w:tblStyle w:val="7"/>
        <w:tblW w:w="13620" w:type="dxa"/>
        <w:jc w:val="center"/>
        <w:tblLayout w:type="fixed"/>
        <w:tblCellMar>
          <w:top w:w="0" w:type="dxa"/>
          <w:left w:w="108" w:type="dxa"/>
          <w:bottom w:w="0" w:type="dxa"/>
          <w:right w:w="108" w:type="dxa"/>
        </w:tblCellMar>
      </w:tblPr>
      <w:tblGrid>
        <w:gridCol w:w="555"/>
        <w:gridCol w:w="1280"/>
        <w:gridCol w:w="1510"/>
        <w:gridCol w:w="735"/>
        <w:gridCol w:w="4961"/>
        <w:gridCol w:w="1547"/>
        <w:gridCol w:w="737"/>
        <w:gridCol w:w="1650"/>
        <w:gridCol w:w="645"/>
      </w:tblGrid>
      <w:tr>
        <w:tblPrEx>
          <w:tblCellMar>
            <w:top w:w="0" w:type="dxa"/>
            <w:left w:w="108" w:type="dxa"/>
            <w:bottom w:w="0" w:type="dxa"/>
            <w:right w:w="108" w:type="dxa"/>
          </w:tblCellMar>
        </w:tblPrEx>
        <w:trPr>
          <w:trHeight w:val="731" w:hRule="atLeast"/>
          <w:tblHeader/>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序号</w:t>
            </w:r>
          </w:p>
        </w:tc>
        <w:tc>
          <w:tcPr>
            <w:tcW w:w="128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一级指标及分值</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二级指标</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分值</w:t>
            </w:r>
          </w:p>
        </w:tc>
        <w:tc>
          <w:tcPr>
            <w:tcW w:w="72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评分标准</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数据来源</w:t>
            </w:r>
          </w:p>
        </w:tc>
        <w:tc>
          <w:tcPr>
            <w:tcW w:w="645" w:type="dxa"/>
            <w:tcBorders>
              <w:top w:val="single" w:color="000000" w:sz="4" w:space="0"/>
              <w:left w:val="nil"/>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得分</w:t>
            </w:r>
          </w:p>
        </w:tc>
      </w:tr>
      <w:tr>
        <w:tblPrEx>
          <w:tblCellMar>
            <w:top w:w="0" w:type="dxa"/>
            <w:left w:w="108" w:type="dxa"/>
            <w:bottom w:w="0" w:type="dxa"/>
            <w:right w:w="108" w:type="dxa"/>
          </w:tblCellMar>
        </w:tblPrEx>
        <w:trPr>
          <w:trHeight w:val="1085" w:hRule="atLeast"/>
          <w:jc w:val="center"/>
        </w:trPr>
        <w:tc>
          <w:tcPr>
            <w:tcW w:w="555" w:type="dxa"/>
            <w:tcBorders>
              <w:top w:val="single" w:color="auto"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方正楷体_GBK"/>
                <w:bCs/>
                <w:color w:val="000000"/>
                <w:kern w:val="0"/>
                <w:sz w:val="22"/>
                <w:szCs w:val="22"/>
                <w:lang w:bidi="ar"/>
              </w:rPr>
            </w:pPr>
            <w:r>
              <w:rPr>
                <w:rFonts w:hint="eastAsia" w:eastAsia="方正楷体_GBK"/>
                <w:bCs/>
                <w:color w:val="000000"/>
                <w:kern w:val="0"/>
                <w:sz w:val="22"/>
                <w:szCs w:val="22"/>
                <w:lang w:bidi="ar"/>
              </w:rPr>
              <w:t>设施设备</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（20分）</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eastAsia="方正仿宋_GBK"/>
                <w:color w:val="000000"/>
                <w:kern w:val="0"/>
                <w:sz w:val="22"/>
                <w:szCs w:val="22"/>
                <w:lang w:bidi="ar"/>
              </w:rPr>
              <w:t>设施设备完好情况</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楷体_GBK"/>
                <w:color w:val="000000"/>
                <w:kern w:val="0"/>
                <w:sz w:val="24"/>
                <w:szCs w:val="24"/>
                <w:lang w:bidi="ar"/>
              </w:rPr>
              <w:t>20</w:t>
            </w:r>
          </w:p>
        </w:tc>
        <w:tc>
          <w:tcPr>
            <w:tcW w:w="7245"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楷体_GBK"/>
                <w:bCs/>
                <w:color w:val="000000"/>
                <w:sz w:val="24"/>
                <w:szCs w:val="24"/>
              </w:rPr>
            </w:pPr>
            <w:r>
              <w:rPr>
                <w:rFonts w:eastAsia="方正仿宋_GBK"/>
                <w:color w:val="000000"/>
                <w:kern w:val="0"/>
                <w:sz w:val="22"/>
                <w:szCs w:val="22"/>
                <w:lang w:bidi="ar"/>
              </w:rPr>
              <w:t>汽车客运站的设施设备配置齐全、完好、有效，且各种标志规范、准确、齐全、醒目。对照相应站级应有的设施、设备，每</w:t>
            </w:r>
            <w:r>
              <w:rPr>
                <w:rFonts w:hint="eastAsia" w:eastAsia="方正仿宋_GBK"/>
                <w:color w:val="000000"/>
                <w:kern w:val="0"/>
                <w:sz w:val="22"/>
                <w:szCs w:val="22"/>
                <w:lang w:bidi="ar"/>
              </w:rPr>
              <w:t>缺</w:t>
            </w:r>
            <w:r>
              <w:rPr>
                <w:rFonts w:eastAsia="方正仿宋_GBK"/>
                <w:color w:val="000000"/>
                <w:kern w:val="0"/>
                <w:sz w:val="22"/>
                <w:szCs w:val="22"/>
                <w:lang w:bidi="ar"/>
              </w:rPr>
              <w:t>少一项扣2分，每一项不符合要求扣1分，无标志或标志不符合要求每处扣2分；随意改变汽车客运站的用途和服务功能扣5分。</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日常检查，日常信息收集，投诉信息汇总</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4"/>
                <w:szCs w:val="24"/>
              </w:rPr>
            </w:pPr>
          </w:p>
        </w:tc>
      </w:tr>
      <w:tr>
        <w:tblPrEx>
          <w:tblCellMar>
            <w:top w:w="0" w:type="dxa"/>
            <w:left w:w="108" w:type="dxa"/>
            <w:bottom w:w="0" w:type="dxa"/>
            <w:right w:w="108" w:type="dxa"/>
          </w:tblCellMar>
        </w:tblPrEx>
        <w:trPr>
          <w:trHeight w:val="90"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2</w:t>
            </w:r>
          </w:p>
        </w:tc>
        <w:tc>
          <w:tcPr>
            <w:tcW w:w="1280" w:type="dxa"/>
            <w:vMerge w:val="restart"/>
            <w:tcBorders>
              <w:top w:val="nil"/>
              <w:left w:val="single" w:color="000000" w:sz="4" w:space="0"/>
              <w:bottom w:val="nil"/>
              <w:right w:val="nil"/>
            </w:tcBorders>
            <w:noWrap w:val="0"/>
            <w:vAlign w:val="center"/>
          </w:tcPr>
          <w:p>
            <w:pPr>
              <w:widowControl/>
              <w:spacing w:line="260" w:lineRule="exact"/>
              <w:jc w:val="center"/>
              <w:textAlignment w:val="center"/>
              <w:rPr>
                <w:rFonts w:hint="eastAsia" w:eastAsia="方正楷体_GBK"/>
                <w:bCs/>
                <w:color w:val="000000"/>
                <w:kern w:val="0"/>
                <w:sz w:val="22"/>
                <w:szCs w:val="22"/>
                <w:lang w:bidi="ar"/>
              </w:rPr>
            </w:pPr>
            <w:r>
              <w:rPr>
                <w:rFonts w:hint="eastAsia" w:eastAsia="方正楷体_GBK"/>
                <w:bCs/>
                <w:color w:val="000000"/>
                <w:kern w:val="0"/>
                <w:sz w:val="22"/>
                <w:szCs w:val="22"/>
                <w:lang w:bidi="ar"/>
              </w:rPr>
              <w:t>经营行为</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（30分）</w:t>
            </w:r>
          </w:p>
        </w:tc>
        <w:tc>
          <w:tcPr>
            <w:tcW w:w="1510" w:type="dxa"/>
            <w:vMerge w:val="restart"/>
            <w:tcBorders>
              <w:top w:val="single" w:color="000000" w:sz="4" w:space="0"/>
              <w:left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eastAsia="方正仿宋_GBK"/>
                <w:color w:val="000000"/>
                <w:kern w:val="0"/>
                <w:sz w:val="22"/>
                <w:szCs w:val="22"/>
                <w:lang w:bidi="ar"/>
              </w:rPr>
              <w:t>合规经营情况</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6</w:t>
            </w:r>
          </w:p>
        </w:tc>
        <w:tc>
          <w:tcPr>
            <w:tcW w:w="72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允许无经营证件的车辆的车辆进站从事经营活动的；允许超载车辆出站的；允许未经安全检查或者安全检查不合格的车辆发车的； 无正当理由拒绝客运车辆进站从事经营活动的；设立的停靠点未按照规定备案的；</w:t>
            </w:r>
            <w:r>
              <w:rPr>
                <w:rFonts w:eastAsia="方正仿宋_GBK"/>
                <w:color w:val="000000"/>
                <w:kern w:val="0"/>
                <w:sz w:val="22"/>
                <w:szCs w:val="22"/>
                <w:lang w:bidi="ar"/>
              </w:rPr>
              <w:t>擅自变更客车经营线路</w:t>
            </w:r>
            <w:r>
              <w:rPr>
                <w:rFonts w:hint="eastAsia" w:eastAsia="方正仿宋_GBK"/>
                <w:color w:val="000000"/>
                <w:kern w:val="0"/>
                <w:sz w:val="22"/>
                <w:szCs w:val="22"/>
                <w:lang w:bidi="ar"/>
              </w:rPr>
              <w:t>。每次扣2分。</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日常检查，日常信息收集，投诉信息汇总</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598"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color w:val="000000"/>
                <w:sz w:val="22"/>
                <w:szCs w:val="22"/>
              </w:rPr>
            </w:pPr>
            <w:r>
              <w:rPr>
                <w:rFonts w:hint="eastAsia"/>
                <w:color w:val="000000"/>
                <w:sz w:val="22"/>
                <w:szCs w:val="22"/>
              </w:rPr>
              <w:t>3</w:t>
            </w:r>
          </w:p>
        </w:tc>
        <w:tc>
          <w:tcPr>
            <w:tcW w:w="1280" w:type="dxa"/>
            <w:vMerge w:val="continue"/>
            <w:tcBorders>
              <w:top w:val="nil"/>
              <w:left w:val="single" w:color="000000" w:sz="4" w:space="0"/>
              <w:bottom w:val="nil"/>
              <w:right w:val="nil"/>
            </w:tcBorders>
            <w:noWrap w:val="0"/>
            <w:vAlign w:val="center"/>
          </w:tcPr>
          <w:p>
            <w:pPr>
              <w:widowControl/>
              <w:spacing w:line="260" w:lineRule="exact"/>
              <w:jc w:val="center"/>
              <w:rPr>
                <w:rFonts w:eastAsia="方正楷体_GBK"/>
                <w:bCs/>
                <w:color w:val="000000"/>
                <w:sz w:val="22"/>
                <w:szCs w:val="22"/>
              </w:rPr>
            </w:pPr>
          </w:p>
        </w:tc>
        <w:tc>
          <w:tcPr>
            <w:tcW w:w="1510" w:type="dxa"/>
            <w:vMerge w:val="continue"/>
            <w:tcBorders>
              <w:left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6</w:t>
            </w:r>
          </w:p>
        </w:tc>
        <w:tc>
          <w:tcPr>
            <w:tcW w:w="72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进站应班车辆、驾驶人员未做到车、牌、证齐全有效，不符合运行线路要求</w:t>
            </w:r>
            <w:r>
              <w:rPr>
                <w:rFonts w:hint="eastAsia" w:eastAsia="方正仿宋_GBK"/>
                <w:color w:val="000000"/>
                <w:kern w:val="0"/>
                <w:sz w:val="22"/>
                <w:szCs w:val="22"/>
                <w:lang w:bidi="ar"/>
              </w:rPr>
              <w:t>。每次扣2分。</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日常检查，日常信息收集，投诉信息汇总</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553" w:hRule="atLeast"/>
          <w:jc w:val="center"/>
        </w:trPr>
        <w:tc>
          <w:tcPr>
            <w:tcW w:w="555"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rFonts w:hint="eastAsia"/>
                <w:color w:val="000000"/>
                <w:sz w:val="22"/>
                <w:szCs w:val="22"/>
              </w:rPr>
            </w:pPr>
            <w:r>
              <w:rPr>
                <w:rFonts w:hint="eastAsia"/>
                <w:color w:val="000000"/>
                <w:sz w:val="22"/>
                <w:szCs w:val="22"/>
              </w:rPr>
              <w:t>4</w:t>
            </w:r>
          </w:p>
        </w:tc>
        <w:tc>
          <w:tcPr>
            <w:tcW w:w="1280" w:type="dxa"/>
            <w:vMerge w:val="continue"/>
            <w:tcBorders>
              <w:top w:val="nil"/>
              <w:left w:val="single" w:color="000000" w:sz="4" w:space="0"/>
              <w:bottom w:val="single" w:color="auto" w:sz="4" w:space="0"/>
              <w:right w:val="nil"/>
            </w:tcBorders>
            <w:noWrap w:val="0"/>
            <w:vAlign w:val="center"/>
          </w:tcPr>
          <w:p>
            <w:pPr>
              <w:widowControl/>
              <w:spacing w:line="260" w:lineRule="exact"/>
              <w:jc w:val="center"/>
              <w:rPr>
                <w:rFonts w:eastAsia="方正楷体_GBK"/>
                <w:bCs/>
                <w:color w:val="000000"/>
                <w:sz w:val="22"/>
                <w:szCs w:val="22"/>
              </w:rPr>
            </w:pPr>
          </w:p>
        </w:tc>
        <w:tc>
          <w:tcPr>
            <w:tcW w:w="1510" w:type="dxa"/>
            <w:vMerge w:val="continue"/>
            <w:tcBorders>
              <w:left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p>
        </w:tc>
        <w:tc>
          <w:tcPr>
            <w:tcW w:w="73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6</w:t>
            </w:r>
          </w:p>
        </w:tc>
        <w:tc>
          <w:tcPr>
            <w:tcW w:w="7245"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违反物价、交通</w:t>
            </w:r>
            <w:r>
              <w:rPr>
                <w:rFonts w:hint="eastAsia" w:eastAsia="方正仿宋_GBK"/>
                <w:color w:val="000000"/>
                <w:kern w:val="0"/>
                <w:sz w:val="22"/>
                <w:szCs w:val="22"/>
                <w:lang w:bidi="ar"/>
              </w:rPr>
              <w:t>主管部门</w:t>
            </w:r>
            <w:r>
              <w:rPr>
                <w:rFonts w:eastAsia="方正仿宋_GBK"/>
                <w:color w:val="000000"/>
                <w:kern w:val="0"/>
                <w:sz w:val="22"/>
                <w:szCs w:val="22"/>
                <w:lang w:bidi="ar"/>
              </w:rPr>
              <w:t>规定收取参营单位费用，不按时结算，无故拖欠、扣压客运经营者</w:t>
            </w:r>
            <w:r>
              <w:rPr>
                <w:rFonts w:hint="eastAsia" w:eastAsia="方正仿宋_GBK"/>
                <w:color w:val="000000"/>
                <w:kern w:val="0"/>
                <w:sz w:val="22"/>
                <w:szCs w:val="22"/>
                <w:lang w:bidi="ar"/>
              </w:rPr>
              <w:t>营运</w:t>
            </w:r>
            <w:r>
              <w:rPr>
                <w:rFonts w:eastAsia="方正仿宋_GBK"/>
                <w:color w:val="000000"/>
                <w:kern w:val="0"/>
                <w:sz w:val="22"/>
                <w:szCs w:val="22"/>
                <w:lang w:bidi="ar"/>
              </w:rPr>
              <w:t>收入</w:t>
            </w:r>
            <w:r>
              <w:rPr>
                <w:rFonts w:hint="eastAsia" w:eastAsia="方正仿宋_GBK"/>
                <w:color w:val="000000"/>
                <w:kern w:val="0"/>
                <w:sz w:val="22"/>
                <w:szCs w:val="22"/>
                <w:lang w:bidi="ar"/>
              </w:rPr>
              <w:t>，强制售卖保险的。每次扣2分</w:t>
            </w:r>
          </w:p>
        </w:tc>
        <w:tc>
          <w:tcPr>
            <w:tcW w:w="165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日常检查，日常信息收集，投诉信息汇总</w:t>
            </w:r>
          </w:p>
        </w:tc>
        <w:tc>
          <w:tcPr>
            <w:tcW w:w="645" w:type="dxa"/>
            <w:tcBorders>
              <w:top w:val="single" w:color="000000" w:sz="4" w:space="0"/>
              <w:left w:val="nil"/>
              <w:bottom w:val="single" w:color="auto"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3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5</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510" w:type="dxa"/>
            <w:vMerge w:val="continue"/>
            <w:tcBorders>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6</w:t>
            </w:r>
          </w:p>
        </w:tc>
        <w:tc>
          <w:tcPr>
            <w:tcW w:w="724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因</w:t>
            </w:r>
            <w:r>
              <w:rPr>
                <w:rFonts w:eastAsia="方正仿宋_GBK"/>
                <w:color w:val="000000"/>
                <w:kern w:val="0"/>
                <w:sz w:val="22"/>
                <w:szCs w:val="22"/>
                <w:lang w:bidi="ar"/>
              </w:rPr>
              <w:t>违规违章经营受交通管理部门行政处罚。每行政处罚</w:t>
            </w:r>
            <w:r>
              <w:rPr>
                <w:rFonts w:hint="eastAsia" w:eastAsia="方正仿宋_GBK"/>
                <w:color w:val="000000"/>
                <w:kern w:val="0"/>
                <w:sz w:val="22"/>
                <w:szCs w:val="22"/>
                <w:lang w:bidi="ar"/>
              </w:rPr>
              <w:t>一次</w:t>
            </w:r>
            <w:r>
              <w:rPr>
                <w:rFonts w:eastAsia="方正仿宋_GBK"/>
                <w:color w:val="000000"/>
                <w:kern w:val="0"/>
                <w:sz w:val="22"/>
                <w:szCs w:val="22"/>
                <w:lang w:bidi="ar"/>
              </w:rPr>
              <w:t>扣3分，其中受停业整顿行政处罚的，考核结果为不合格</w:t>
            </w:r>
            <w:r>
              <w:rPr>
                <w:rFonts w:hint="eastAsia" w:eastAsia="方正仿宋_GBK"/>
                <w:color w:val="000000"/>
                <w:kern w:val="0"/>
                <w:sz w:val="22"/>
                <w:szCs w:val="22"/>
                <w:lang w:bidi="ar"/>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日常检查，日常信息收集，投诉信息汇总</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2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6</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510" w:type="dxa"/>
            <w:vMerge w:val="continue"/>
            <w:tcBorders>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6</w:t>
            </w:r>
          </w:p>
        </w:tc>
        <w:tc>
          <w:tcPr>
            <w:tcW w:w="724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未向旅客公布客车类型等级、运营线路、起讫停靠站点、班次、发车时间、票价及经营者信息</w:t>
            </w:r>
            <w:r>
              <w:rPr>
                <w:rFonts w:hint="eastAsia" w:eastAsia="方正仿宋_GBK"/>
                <w:color w:val="000000"/>
                <w:kern w:val="0"/>
                <w:sz w:val="22"/>
                <w:szCs w:val="22"/>
                <w:lang w:bidi="ar"/>
              </w:rPr>
              <w:t>。每次扣2分。</w:t>
            </w:r>
            <w:r>
              <w:rPr>
                <w:rFonts w:eastAsia="方正仿宋_GBK"/>
                <w:color w:val="000000"/>
                <w:kern w:val="0"/>
                <w:sz w:val="22"/>
                <w:szCs w:val="22"/>
                <w:lang w:bidi="ar"/>
              </w:rPr>
              <w:t>违反公平、公正、公开的原则，不为进站参营车辆合理安排发车时间，不执行统一调度和管理，公平售票；违反公平、公正、公开的原则，不为进站参营车辆合理安排发车时间，不执行统一调度和管理，公平售票。引起有效投诉的每次扣2分</w:t>
            </w:r>
            <w:r>
              <w:rPr>
                <w:rFonts w:hint="eastAsia" w:eastAsia="方正仿宋_GBK"/>
                <w:color w:val="000000"/>
                <w:kern w:val="0"/>
                <w:sz w:val="22"/>
                <w:szCs w:val="22"/>
                <w:lang w:bidi="ar"/>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日常检查，日常信息收集，投诉信息汇总</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881" w:hRule="atLeast"/>
          <w:jc w:val="center"/>
        </w:trPr>
        <w:tc>
          <w:tcPr>
            <w:tcW w:w="555" w:type="dxa"/>
            <w:tcBorders>
              <w:top w:val="single" w:color="auto"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7</w:t>
            </w:r>
          </w:p>
        </w:tc>
        <w:tc>
          <w:tcPr>
            <w:tcW w:w="1280"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方正楷体_GBK"/>
                <w:bCs/>
                <w:color w:val="000000"/>
                <w:kern w:val="0"/>
                <w:sz w:val="22"/>
                <w:szCs w:val="22"/>
                <w:lang w:bidi="ar"/>
              </w:rPr>
            </w:pPr>
            <w:r>
              <w:rPr>
                <w:rFonts w:hint="eastAsia" w:eastAsia="方正楷体_GBK"/>
                <w:bCs/>
                <w:color w:val="000000"/>
                <w:kern w:val="0"/>
                <w:sz w:val="22"/>
                <w:szCs w:val="22"/>
                <w:lang w:bidi="ar"/>
              </w:rPr>
              <w:t>安全生产</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w:t>
            </w:r>
            <w:r>
              <w:rPr>
                <w:rFonts w:hint="eastAsia" w:eastAsia="方正楷体_GBK"/>
                <w:bCs/>
                <w:color w:val="000000"/>
                <w:kern w:val="0"/>
                <w:sz w:val="22"/>
                <w:szCs w:val="22"/>
                <w:lang w:bidi="ar"/>
              </w:rPr>
              <w:t>20</w:t>
            </w:r>
            <w:r>
              <w:rPr>
                <w:rFonts w:eastAsia="方正楷体_GBK"/>
                <w:bCs/>
                <w:color w:val="000000"/>
                <w:kern w:val="0"/>
                <w:sz w:val="22"/>
                <w:szCs w:val="22"/>
                <w:lang w:bidi="ar"/>
              </w:rPr>
              <w:t>分）</w:t>
            </w:r>
          </w:p>
        </w:tc>
        <w:tc>
          <w:tcPr>
            <w:tcW w:w="151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eastAsia="方正仿宋_GBK"/>
                <w:color w:val="000000"/>
                <w:kern w:val="0"/>
                <w:sz w:val="22"/>
                <w:szCs w:val="22"/>
                <w:lang w:bidi="ar"/>
              </w:rPr>
              <w:t>基础安全情况</w:t>
            </w:r>
          </w:p>
        </w:tc>
        <w:tc>
          <w:tcPr>
            <w:tcW w:w="73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10</w:t>
            </w:r>
          </w:p>
        </w:tc>
        <w:tc>
          <w:tcPr>
            <w:tcW w:w="7245" w:type="dxa"/>
            <w:gridSpan w:val="3"/>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未对</w:t>
            </w:r>
            <w:r>
              <w:rPr>
                <w:rFonts w:hint="eastAsia" w:eastAsia="方正仿宋_GBK"/>
                <w:color w:val="000000"/>
                <w:kern w:val="0"/>
                <w:sz w:val="22"/>
                <w:szCs w:val="22"/>
                <w:lang w:bidi="ar"/>
              </w:rPr>
              <w:t>站务人员</w:t>
            </w:r>
            <w:r>
              <w:rPr>
                <w:rFonts w:eastAsia="方正仿宋_GBK"/>
                <w:color w:val="000000"/>
                <w:kern w:val="0"/>
                <w:sz w:val="22"/>
                <w:szCs w:val="22"/>
                <w:lang w:bidi="ar"/>
              </w:rPr>
              <w:t>定期进行安全教育培训，未对旅客经常开展安全知识宣传</w:t>
            </w:r>
            <w:r>
              <w:rPr>
                <w:rFonts w:hint="eastAsia" w:eastAsia="方正仿宋_GBK"/>
                <w:color w:val="000000"/>
                <w:kern w:val="0"/>
                <w:sz w:val="22"/>
                <w:szCs w:val="22"/>
                <w:lang w:bidi="ar"/>
              </w:rPr>
              <w:t>。每漏1人次扣1分。</w:t>
            </w:r>
            <w:r>
              <w:rPr>
                <w:rFonts w:eastAsia="方正仿宋_GBK"/>
                <w:color w:val="000000"/>
                <w:kern w:val="0"/>
                <w:sz w:val="22"/>
                <w:szCs w:val="22"/>
                <w:lang w:bidi="ar"/>
              </w:rPr>
              <w:t>汽车客运站未建立健全进站参营客运车辆及驾驶员基础管理台账；台帐内容失真无效</w:t>
            </w:r>
            <w:r>
              <w:rPr>
                <w:rFonts w:hint="eastAsia" w:eastAsia="方正仿宋_GBK"/>
                <w:color w:val="000000"/>
                <w:kern w:val="0"/>
                <w:sz w:val="22"/>
                <w:szCs w:val="22"/>
                <w:lang w:bidi="ar"/>
              </w:rPr>
              <w:t>，</w:t>
            </w:r>
            <w:r>
              <w:rPr>
                <w:rFonts w:eastAsia="方正仿宋_GBK"/>
                <w:color w:val="000000"/>
                <w:kern w:val="0"/>
                <w:sz w:val="22"/>
                <w:szCs w:val="22"/>
                <w:lang w:bidi="ar"/>
              </w:rPr>
              <w:t>无客运车辆、驾驶员台帐各扣3分，台帐不健全各扣2分，车辆、驾驶员台帐内容失真无效每车（人）次扣1分。</w:t>
            </w:r>
            <w:r>
              <w:rPr>
                <w:rFonts w:hint="eastAsia" w:eastAsia="方正仿宋_GBK"/>
                <w:color w:val="000000"/>
                <w:kern w:val="0"/>
                <w:sz w:val="22"/>
                <w:szCs w:val="22"/>
                <w:lang w:bidi="ar"/>
              </w:rPr>
              <w:t>严格落实“三不进站、六不出站”。每发现一次违反“三不进站、六不出站”要求的，扣3分。</w:t>
            </w:r>
          </w:p>
        </w:tc>
        <w:tc>
          <w:tcPr>
            <w:tcW w:w="165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日常检查，日常信息收集，投诉信息汇总</w:t>
            </w:r>
          </w:p>
        </w:tc>
        <w:tc>
          <w:tcPr>
            <w:tcW w:w="645" w:type="dxa"/>
            <w:tcBorders>
              <w:top w:val="single" w:color="auto"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016"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8</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安全责任事故情况</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10</w:t>
            </w:r>
          </w:p>
        </w:tc>
        <w:tc>
          <w:tcPr>
            <w:tcW w:w="72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因客运站责任发生安全生产事故或者道路旅客运输交通事故。事故每造成伤1人或者每造成直接经济损失10万元扣2分，每造成死亡1人扣</w:t>
            </w:r>
            <w:r>
              <w:rPr>
                <w:rFonts w:hint="eastAsia" w:eastAsia="方正仿宋_GBK"/>
                <w:color w:val="000000"/>
                <w:kern w:val="0"/>
                <w:sz w:val="22"/>
                <w:szCs w:val="22"/>
                <w:lang w:bidi="ar"/>
              </w:rPr>
              <w:t>5</w:t>
            </w:r>
            <w:r>
              <w:rPr>
                <w:rFonts w:eastAsia="方正仿宋_GBK"/>
                <w:color w:val="000000"/>
                <w:kern w:val="0"/>
                <w:sz w:val="22"/>
                <w:szCs w:val="22"/>
                <w:lang w:bidi="ar"/>
              </w:rPr>
              <w:t>分；</w:t>
            </w:r>
            <w:r>
              <w:rPr>
                <w:rFonts w:hint="eastAsia" w:eastAsia="方正仿宋_GBK"/>
                <w:color w:val="000000"/>
                <w:kern w:val="0"/>
                <w:sz w:val="22"/>
                <w:szCs w:val="22"/>
                <w:lang w:bidi="ar"/>
              </w:rPr>
              <w:t>发生一次死亡3人以上事故的，本次考核不合格。</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日常检查，日常信息收集，投诉信息汇总</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86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color w:val="000000"/>
                <w:sz w:val="22"/>
                <w:szCs w:val="22"/>
              </w:rPr>
            </w:pPr>
            <w:r>
              <w:rPr>
                <w:rFonts w:hint="eastAsia"/>
                <w:color w:val="000000"/>
                <w:sz w:val="22"/>
                <w:szCs w:val="22"/>
              </w:rPr>
              <w:t>9</w:t>
            </w:r>
          </w:p>
        </w:tc>
        <w:tc>
          <w:tcPr>
            <w:tcW w:w="12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方正楷体_GBK"/>
                <w:bCs/>
                <w:color w:val="000000"/>
                <w:kern w:val="0"/>
                <w:sz w:val="22"/>
                <w:szCs w:val="22"/>
                <w:lang w:bidi="ar"/>
              </w:rPr>
            </w:pPr>
            <w:r>
              <w:rPr>
                <w:rFonts w:hint="eastAsia" w:eastAsia="方正楷体_GBK"/>
                <w:bCs/>
                <w:color w:val="000000"/>
                <w:kern w:val="0"/>
                <w:sz w:val="22"/>
                <w:szCs w:val="22"/>
                <w:lang w:bidi="ar"/>
              </w:rPr>
              <w:t>服务质量</w:t>
            </w:r>
          </w:p>
          <w:p>
            <w:pPr>
              <w:widowControl/>
              <w:spacing w:line="260" w:lineRule="exact"/>
              <w:jc w:val="center"/>
              <w:textAlignment w:val="center"/>
              <w:rPr>
                <w:rFonts w:eastAsia="方正楷体_GBK"/>
                <w:bCs/>
                <w:color w:val="000000"/>
                <w:kern w:val="0"/>
                <w:sz w:val="22"/>
                <w:szCs w:val="22"/>
                <w:lang w:bidi="ar"/>
              </w:rPr>
            </w:pPr>
            <w:r>
              <w:rPr>
                <w:rFonts w:hint="eastAsia" w:eastAsia="方正楷体_GBK"/>
                <w:bCs/>
                <w:color w:val="000000"/>
                <w:kern w:val="0"/>
                <w:sz w:val="22"/>
                <w:szCs w:val="22"/>
                <w:lang w:bidi="ar"/>
              </w:rPr>
              <w:t>（20分）</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eastAsia="方正仿宋_GBK"/>
                <w:color w:val="000000"/>
                <w:kern w:val="0"/>
                <w:sz w:val="22"/>
                <w:szCs w:val="22"/>
                <w:lang w:bidi="ar"/>
              </w:rPr>
              <w:t>有效投诉情况</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72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Style w:val="13"/>
                <w:rFonts w:hint="default"/>
                <w:color w:val="000000"/>
                <w:lang w:bidi="ar"/>
              </w:rPr>
              <w:t>每发生一次有效投诉扣1分。</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eastAsia="方正仿宋_GBK"/>
                <w:color w:val="000000"/>
                <w:sz w:val="22"/>
                <w:szCs w:val="22"/>
              </w:rPr>
            </w:pPr>
            <w:r>
              <w:rPr>
                <w:rFonts w:hint="eastAsia" w:eastAsia="方正仿宋_GBK"/>
                <w:color w:val="000000"/>
                <w:kern w:val="0"/>
                <w:sz w:val="22"/>
                <w:szCs w:val="22"/>
                <w:lang w:bidi="ar"/>
              </w:rPr>
              <w:t>日常检查，日常信息收集，投诉信息汇总</w:t>
            </w:r>
          </w:p>
        </w:tc>
        <w:tc>
          <w:tcPr>
            <w:tcW w:w="645"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831"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w:t>
            </w:r>
            <w:r>
              <w:rPr>
                <w:rFonts w:hint="eastAsia"/>
                <w:color w:val="000000"/>
                <w:kern w:val="0"/>
                <w:sz w:val="22"/>
                <w:szCs w:val="22"/>
                <w:lang w:bidi="ar"/>
              </w:rPr>
              <w:t>0</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eastAsia="方正仿宋_GBK"/>
                <w:color w:val="000000"/>
                <w:kern w:val="0"/>
                <w:sz w:val="22"/>
                <w:szCs w:val="22"/>
                <w:lang w:bidi="ar"/>
              </w:rPr>
              <w:t>一般性服务事故情况</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10</w:t>
            </w:r>
          </w:p>
        </w:tc>
        <w:tc>
          <w:tcPr>
            <w:tcW w:w="72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发生一般服务事故，每次扣5分。</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日常检查，日常信息收集，投诉信息汇总</w:t>
            </w:r>
          </w:p>
        </w:tc>
        <w:tc>
          <w:tcPr>
            <w:tcW w:w="645"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3"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w:t>
            </w:r>
            <w:r>
              <w:rPr>
                <w:rFonts w:hint="eastAsia"/>
                <w:color w:val="000000"/>
                <w:kern w:val="0"/>
                <w:sz w:val="22"/>
                <w:szCs w:val="22"/>
                <w:lang w:bidi="ar"/>
              </w:rPr>
              <w:t>1</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eastAsia="方正仿宋_GBK"/>
                <w:color w:val="000000"/>
                <w:kern w:val="0"/>
                <w:sz w:val="22"/>
                <w:szCs w:val="22"/>
                <w:lang w:bidi="ar"/>
              </w:rPr>
              <w:t>重大服务事故情况</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10</w:t>
            </w:r>
          </w:p>
        </w:tc>
        <w:tc>
          <w:tcPr>
            <w:tcW w:w="72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发生辱骂、殴打乘客等重大恶性服务事故，本次考评不合格。</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日常检查，日常信息收集，投诉信息汇总</w:t>
            </w:r>
          </w:p>
        </w:tc>
        <w:tc>
          <w:tcPr>
            <w:tcW w:w="645"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58"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12</w:t>
            </w:r>
          </w:p>
        </w:tc>
        <w:tc>
          <w:tcPr>
            <w:tcW w:w="1280" w:type="dxa"/>
            <w:vMerge w:val="restart"/>
            <w:tcBorders>
              <w:top w:val="single" w:color="000000" w:sz="4" w:space="0"/>
              <w:left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hint="eastAsia" w:eastAsia="方正楷体_GBK"/>
                <w:bCs/>
                <w:color w:val="000000"/>
                <w:kern w:val="0"/>
                <w:sz w:val="22"/>
                <w:szCs w:val="22"/>
                <w:lang w:bidi="ar"/>
              </w:rPr>
              <w:t>社会责任（10分）</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社会责任履行情况</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一票</w:t>
            </w:r>
          </w:p>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否决</w:t>
            </w:r>
          </w:p>
        </w:tc>
        <w:tc>
          <w:tcPr>
            <w:tcW w:w="7245"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未完成交通主管部门统一安排的社会公益性宣传； 未</w:t>
            </w:r>
            <w:r>
              <w:rPr>
                <w:rFonts w:eastAsia="方正仿宋_GBK"/>
                <w:color w:val="000000"/>
                <w:kern w:val="0"/>
                <w:sz w:val="22"/>
                <w:szCs w:val="22"/>
                <w:lang w:bidi="ar"/>
              </w:rPr>
              <w:t>完成政府及其管理部门统一安排的</w:t>
            </w:r>
            <w:r>
              <w:rPr>
                <w:rFonts w:hint="eastAsia" w:eastAsia="方正仿宋_GBK"/>
                <w:color w:val="000000"/>
                <w:kern w:val="0"/>
                <w:sz w:val="22"/>
                <w:szCs w:val="22"/>
                <w:lang w:bidi="ar"/>
              </w:rPr>
              <w:t>应急</w:t>
            </w:r>
            <w:r>
              <w:rPr>
                <w:rFonts w:eastAsia="方正仿宋_GBK"/>
                <w:color w:val="000000"/>
                <w:kern w:val="0"/>
                <w:sz w:val="22"/>
                <w:szCs w:val="22"/>
                <w:lang w:bidi="ar"/>
              </w:rPr>
              <w:t>运输任务。违反此项</w:t>
            </w:r>
            <w:r>
              <w:rPr>
                <w:rFonts w:hint="eastAsia" w:eastAsia="方正仿宋_GBK"/>
                <w:color w:val="000000"/>
                <w:kern w:val="0"/>
                <w:sz w:val="22"/>
                <w:szCs w:val="22"/>
                <w:lang w:bidi="ar"/>
              </w:rPr>
              <w:t>本次考评不合格。</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行业信息收集</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528"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13</w:t>
            </w:r>
          </w:p>
        </w:tc>
        <w:tc>
          <w:tcPr>
            <w:tcW w:w="1280" w:type="dxa"/>
            <w:vMerge w:val="continue"/>
            <w:tcBorders>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方正楷体_GBK"/>
                <w:bCs/>
                <w:color w:val="000000"/>
                <w:kern w:val="0"/>
                <w:sz w:val="22"/>
                <w:szCs w:val="22"/>
                <w:lang w:bidi="ar"/>
              </w:rPr>
            </w:pP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行业稳定维护情况</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10</w:t>
            </w:r>
          </w:p>
        </w:tc>
        <w:tc>
          <w:tcPr>
            <w:tcW w:w="7245"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因经营行为引发集访的，每次扣5分；引发行业稳定的，每次扣10分</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行业信息收集</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241"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14</w:t>
            </w:r>
          </w:p>
        </w:tc>
        <w:tc>
          <w:tcPr>
            <w:tcW w:w="1280" w:type="dxa"/>
            <w:vMerge w:val="restart"/>
            <w:tcBorders>
              <w:top w:val="single" w:color="000000" w:sz="4" w:space="0"/>
              <w:left w:val="single" w:color="000000" w:sz="4" w:space="0"/>
              <w:right w:val="single" w:color="000000" w:sz="4" w:space="0"/>
            </w:tcBorders>
            <w:noWrap w:val="0"/>
            <w:vAlign w:val="center"/>
          </w:tcPr>
          <w:p>
            <w:pPr>
              <w:widowControl/>
              <w:spacing w:line="260" w:lineRule="exact"/>
              <w:jc w:val="center"/>
              <w:rPr>
                <w:rFonts w:hint="eastAsia" w:eastAsia="方正楷体_GBK"/>
                <w:bCs/>
                <w:color w:val="000000"/>
                <w:sz w:val="22"/>
                <w:szCs w:val="22"/>
              </w:rPr>
            </w:pPr>
            <w:r>
              <w:rPr>
                <w:rFonts w:hint="eastAsia" w:eastAsia="方正楷体_GBK"/>
                <w:bCs/>
                <w:color w:val="000000"/>
                <w:sz w:val="22"/>
                <w:szCs w:val="22"/>
              </w:rPr>
              <w:t>加分项</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行业正面典型及荣誉表彰情况</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p>
        </w:tc>
        <w:tc>
          <w:tcPr>
            <w:tcW w:w="72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企业经营过程中获得了荣誉或通报表彰的，国家级每次加</w:t>
            </w:r>
            <w:r>
              <w:rPr>
                <w:rStyle w:val="13"/>
                <w:rFonts w:hint="default"/>
                <w:color w:val="000000"/>
                <w:lang w:bidi="ar"/>
              </w:rPr>
              <w:t>2分</w:t>
            </w:r>
            <w:r>
              <w:rPr>
                <w:rFonts w:eastAsia="方正仿宋_GBK"/>
                <w:color w:val="000000"/>
                <w:kern w:val="0"/>
                <w:sz w:val="22"/>
                <w:szCs w:val="22"/>
                <w:lang w:bidi="ar"/>
              </w:rPr>
              <w:t>；部级或市级政府每次加</w:t>
            </w:r>
            <w:r>
              <w:rPr>
                <w:rStyle w:val="13"/>
                <w:rFonts w:hint="default"/>
                <w:color w:val="000000"/>
                <w:lang w:bidi="ar"/>
              </w:rPr>
              <w:t>1分</w:t>
            </w:r>
            <w:r>
              <w:rPr>
                <w:rFonts w:eastAsia="方正仿宋_GBK"/>
                <w:color w:val="000000"/>
                <w:kern w:val="0"/>
                <w:sz w:val="22"/>
                <w:szCs w:val="22"/>
                <w:lang w:bidi="ar"/>
              </w:rPr>
              <w:t>；市级部门或区县政府级加</w:t>
            </w:r>
            <w:r>
              <w:rPr>
                <w:rStyle w:val="13"/>
                <w:rFonts w:hint="default"/>
                <w:color w:val="000000"/>
                <w:lang w:bidi="ar"/>
              </w:rPr>
              <w:t>0.5分</w:t>
            </w:r>
            <w:r>
              <w:rPr>
                <w:rFonts w:eastAsia="方正仿宋_GBK"/>
                <w:color w:val="000000"/>
                <w:kern w:val="0"/>
                <w:sz w:val="22"/>
                <w:szCs w:val="22"/>
                <w:lang w:bidi="ar"/>
              </w:rPr>
              <w:t>；区县部门级加</w:t>
            </w:r>
            <w:r>
              <w:rPr>
                <w:rStyle w:val="13"/>
                <w:rFonts w:hint="default"/>
                <w:color w:val="000000"/>
                <w:lang w:bidi="ar"/>
              </w:rPr>
              <w:t>0.2分</w:t>
            </w:r>
            <w:r>
              <w:rPr>
                <w:rFonts w:eastAsia="方正仿宋_GBK"/>
                <w:color w:val="000000"/>
                <w:kern w:val="0"/>
                <w:sz w:val="22"/>
                <w:szCs w:val="22"/>
                <w:lang w:bidi="ar"/>
              </w:rPr>
              <w:t>。同一行为多层次表彰的，以最高级别奖励的标准加分。</w:t>
            </w:r>
            <w:r>
              <w:rPr>
                <w:rFonts w:hint="eastAsia" w:eastAsia="方正仿宋_GBK"/>
                <w:color w:val="000000"/>
                <w:kern w:val="0"/>
                <w:sz w:val="22"/>
                <w:szCs w:val="22"/>
                <w:lang w:bidi="ar"/>
              </w:rPr>
              <w:t>（最高不超过2.5分）</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企业提交</w:t>
            </w:r>
            <w:r>
              <w:rPr>
                <w:rFonts w:hint="eastAsia" w:eastAsia="方正仿宋_GBK"/>
                <w:color w:val="000000"/>
                <w:kern w:val="0"/>
                <w:sz w:val="22"/>
                <w:szCs w:val="22"/>
                <w:lang w:bidi="ar"/>
              </w:rPr>
              <w:t>资料</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7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15</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新闻媒体正面报道</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p>
        </w:tc>
        <w:tc>
          <w:tcPr>
            <w:tcW w:w="72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企业工作人员出现好人好事被新闻媒体报道的，国家级每件次加</w:t>
            </w:r>
            <w:r>
              <w:rPr>
                <w:rStyle w:val="13"/>
                <w:rFonts w:hint="default"/>
                <w:color w:val="000000"/>
                <w:lang w:bidi="ar"/>
              </w:rPr>
              <w:t>0.5分</w:t>
            </w:r>
            <w:r>
              <w:rPr>
                <w:rFonts w:eastAsia="方正仿宋_GBK"/>
                <w:color w:val="000000"/>
                <w:kern w:val="0"/>
                <w:sz w:val="22"/>
                <w:szCs w:val="22"/>
                <w:lang w:bidi="ar"/>
              </w:rPr>
              <w:t>；市级每件次加</w:t>
            </w:r>
            <w:r>
              <w:rPr>
                <w:rStyle w:val="13"/>
                <w:rFonts w:hint="default"/>
                <w:color w:val="000000"/>
                <w:lang w:bidi="ar"/>
              </w:rPr>
              <w:t>0.3分</w:t>
            </w:r>
            <w:r>
              <w:rPr>
                <w:rFonts w:eastAsia="方正仿宋_GBK"/>
                <w:color w:val="000000"/>
                <w:kern w:val="0"/>
                <w:sz w:val="22"/>
                <w:szCs w:val="22"/>
                <w:lang w:bidi="ar"/>
              </w:rPr>
              <w:t>；区县级每件次加</w:t>
            </w:r>
            <w:r>
              <w:rPr>
                <w:rStyle w:val="13"/>
                <w:rFonts w:hint="default"/>
                <w:color w:val="000000"/>
                <w:lang w:bidi="ar"/>
              </w:rPr>
              <w:t>0.1分</w:t>
            </w:r>
            <w:r>
              <w:rPr>
                <w:rFonts w:eastAsia="方正仿宋_GBK"/>
                <w:color w:val="000000"/>
                <w:kern w:val="0"/>
                <w:sz w:val="22"/>
                <w:szCs w:val="22"/>
                <w:lang w:bidi="ar"/>
              </w:rPr>
              <w:t>。同一事迹多层次报道的，以最高级别媒体报道的标准加分。</w:t>
            </w:r>
            <w:r>
              <w:rPr>
                <w:rFonts w:hint="eastAsia" w:eastAsia="方正仿宋_GBK"/>
                <w:color w:val="000000"/>
                <w:kern w:val="0"/>
                <w:sz w:val="22"/>
                <w:szCs w:val="22"/>
                <w:lang w:bidi="ar"/>
              </w:rPr>
              <w:t>（最高不超过2.5分）</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企业提交</w:t>
            </w:r>
            <w:r>
              <w:rPr>
                <w:rFonts w:hint="eastAsia" w:eastAsia="方正仿宋_GBK"/>
                <w:color w:val="000000"/>
                <w:kern w:val="0"/>
                <w:sz w:val="22"/>
                <w:szCs w:val="22"/>
                <w:lang w:bidi="ar"/>
              </w:rPr>
              <w:t>资料</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0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r>
              <w:rPr>
                <w:rFonts w:hint="eastAsia" w:eastAsia="方正楷体_GBK"/>
                <w:bCs/>
                <w:color w:val="000000"/>
                <w:sz w:val="22"/>
                <w:szCs w:val="22"/>
              </w:rPr>
              <w:t>合计</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r>
              <w:rPr>
                <w:rFonts w:hint="eastAsia" w:eastAsia="方正楷体_GBK"/>
                <w:bCs/>
                <w:color w:val="000000"/>
                <w:sz w:val="22"/>
                <w:szCs w:val="22"/>
              </w:rPr>
              <w:t>100分</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100分</w:t>
            </w:r>
          </w:p>
        </w:tc>
        <w:tc>
          <w:tcPr>
            <w:tcW w:w="72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464" w:hRule="atLeast"/>
          <w:jc w:val="center"/>
        </w:trPr>
        <w:tc>
          <w:tcPr>
            <w:tcW w:w="1835" w:type="dxa"/>
            <w:gridSpan w:val="2"/>
            <w:vMerge w:val="restart"/>
            <w:tcBorders>
              <w:top w:val="single" w:color="000000" w:sz="4" w:space="0"/>
              <w:left w:val="single" w:color="000000" w:sz="4" w:space="0"/>
              <w:right w:val="single" w:color="000000" w:sz="4" w:space="0"/>
            </w:tcBorders>
            <w:noWrap/>
            <w:vAlign w:val="center"/>
          </w:tcPr>
          <w:p>
            <w:pPr>
              <w:widowControl/>
              <w:spacing w:line="260" w:lineRule="exact"/>
              <w:jc w:val="center"/>
              <w:rPr>
                <w:rFonts w:hint="eastAsia" w:eastAsia="方正楷体_GBK"/>
                <w:bCs/>
                <w:color w:val="000000"/>
                <w:sz w:val="22"/>
                <w:szCs w:val="22"/>
              </w:rPr>
            </w:pPr>
            <w:r>
              <w:rPr>
                <w:rFonts w:hint="eastAsia" w:eastAsia="方正楷体_GBK"/>
                <w:bCs/>
                <w:color w:val="000000"/>
                <w:sz w:val="22"/>
                <w:szCs w:val="22"/>
              </w:rPr>
              <w:t>评价结论</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1027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CellMar>
            <w:top w:w="0" w:type="dxa"/>
            <w:left w:w="108" w:type="dxa"/>
            <w:bottom w:w="0" w:type="dxa"/>
            <w:right w:w="108" w:type="dxa"/>
          </w:tblCellMar>
        </w:tblPrEx>
        <w:trPr>
          <w:trHeight w:val="414" w:hRule="atLeast"/>
          <w:jc w:val="center"/>
        </w:trPr>
        <w:tc>
          <w:tcPr>
            <w:tcW w:w="1835" w:type="dxa"/>
            <w:gridSpan w:val="2"/>
            <w:vMerge w:val="continue"/>
            <w:tcBorders>
              <w:left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评价机构</w:t>
            </w:r>
          </w:p>
        </w:tc>
        <w:tc>
          <w:tcPr>
            <w:tcW w:w="1027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333" w:hRule="atLeast"/>
          <w:jc w:val="center"/>
        </w:trPr>
        <w:tc>
          <w:tcPr>
            <w:tcW w:w="1835" w:type="dxa"/>
            <w:gridSpan w:val="2"/>
            <w:vMerge w:val="continue"/>
            <w:tcBorders>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经办人</w:t>
            </w:r>
          </w:p>
        </w:tc>
        <w:tc>
          <w:tcPr>
            <w:tcW w:w="56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评价日期</w:t>
            </w:r>
          </w:p>
        </w:tc>
        <w:tc>
          <w:tcPr>
            <w:tcW w:w="303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eastAsia="仿宋_GB2312"/>
                <w:color w:val="000000"/>
                <w:sz w:val="20"/>
              </w:rPr>
            </w:pPr>
            <w:r>
              <w:rPr>
                <w:rFonts w:hint="eastAsia" w:eastAsia="仿宋_GB2312"/>
                <w:color w:val="000000"/>
                <w:sz w:val="20"/>
              </w:rPr>
              <w:t xml:space="preserve">         年    月    日</w:t>
            </w:r>
          </w:p>
        </w:tc>
      </w:tr>
    </w:tbl>
    <w:p>
      <w:pPr>
        <w:ind w:firstLine="420" w:firstLineChars="200"/>
        <w:rPr>
          <w:color w:val="000000"/>
        </w:rPr>
      </w:pPr>
    </w:p>
    <w:p>
      <w:pPr>
        <w:rPr>
          <w:rFonts w:hint="eastAsia" w:ascii="方正黑体_GBK" w:eastAsia="方正黑体_GBK"/>
          <w:color w:val="000000"/>
          <w:sz w:val="32"/>
          <w:szCs w:val="32"/>
        </w:rPr>
      </w:pPr>
    </w:p>
    <w:p>
      <w:pPr>
        <w:rPr>
          <w:rFonts w:hint="eastAsia" w:ascii="方正黑体_GBK" w:eastAsia="方正黑体_GBK"/>
          <w:color w:val="000000"/>
          <w:sz w:val="32"/>
          <w:szCs w:val="32"/>
        </w:rPr>
      </w:pPr>
    </w:p>
    <w:p>
      <w:pPr>
        <w:rPr>
          <w:rFonts w:hint="eastAsia" w:ascii="方正黑体_GBK" w:eastAsia="方正黑体_GBK"/>
          <w:color w:val="000000"/>
          <w:sz w:val="32"/>
          <w:szCs w:val="32"/>
        </w:rPr>
      </w:pPr>
    </w:p>
    <w:p>
      <w:pPr>
        <w:rPr>
          <w:rFonts w:hint="eastAsia" w:ascii="方正黑体_GBK" w:eastAsia="方正黑体_GBK"/>
          <w:color w:val="000000"/>
          <w:sz w:val="32"/>
          <w:szCs w:val="32"/>
        </w:rPr>
      </w:pPr>
    </w:p>
    <w:p>
      <w:pPr>
        <w:rPr>
          <w:rFonts w:hint="eastAsia" w:ascii="方正黑体_GBK" w:eastAsia="方正黑体_GBK"/>
          <w:color w:val="000000"/>
          <w:sz w:val="32"/>
          <w:szCs w:val="32"/>
        </w:rPr>
      </w:pPr>
      <w:r>
        <w:rPr>
          <w:rFonts w:hint="eastAsia" w:ascii="方正黑体_GBK" w:eastAsia="方正黑体_GBK"/>
          <w:color w:val="000000"/>
          <w:sz w:val="32"/>
          <w:szCs w:val="32"/>
        </w:rPr>
        <w:t>附件1-9</w:t>
      </w:r>
    </w:p>
    <w:p>
      <w:pPr>
        <w:rPr>
          <w:rFonts w:hint="eastAsia" w:ascii="方正黑体_GBK" w:eastAsia="方正黑体_GBK"/>
          <w:b/>
          <w:bCs/>
          <w:color w:val="000000"/>
          <w:kern w:val="0"/>
          <w:sz w:val="32"/>
          <w:szCs w:val="32"/>
          <w:lang w:bidi="ar"/>
        </w:rPr>
      </w:pPr>
    </w:p>
    <w:p>
      <w:pPr>
        <w:ind w:firstLine="2640" w:firstLineChars="600"/>
        <w:jc w:val="left"/>
        <w:rPr>
          <w:rFonts w:hint="eastAsia" w:ascii="方正小标宋_GBK" w:eastAsia="方正小标宋_GBK"/>
          <w:bCs/>
          <w:color w:val="000000"/>
          <w:kern w:val="0"/>
          <w:sz w:val="44"/>
          <w:szCs w:val="44"/>
          <w:lang w:bidi="ar"/>
        </w:rPr>
      </w:pPr>
      <w:r>
        <w:rPr>
          <w:rFonts w:hint="eastAsia" w:ascii="方正小标宋_GBK" w:eastAsia="方正小标宋_GBK"/>
          <w:bCs/>
          <w:color w:val="000000"/>
          <w:kern w:val="0"/>
          <w:sz w:val="44"/>
          <w:szCs w:val="44"/>
          <w:lang w:bidi="ar"/>
        </w:rPr>
        <w:t>重庆市机动车驾驶员培训机构信用评价标准</w:t>
      </w:r>
    </w:p>
    <w:p>
      <w:pPr>
        <w:jc w:val="left"/>
        <w:rPr>
          <w:bCs/>
          <w:color w:val="000000"/>
          <w:kern w:val="0"/>
          <w:sz w:val="32"/>
          <w:szCs w:val="32"/>
          <w:lang w:bidi="ar"/>
        </w:rPr>
      </w:pPr>
      <w:r>
        <w:rPr>
          <w:rFonts w:hint="eastAsia" w:ascii="方正仿宋_GBK" w:hAnsi="方正仿宋_GBK" w:eastAsia="方正仿宋_GBK" w:cs="方正仿宋_GBK"/>
          <w:bCs/>
          <w:color w:val="000000"/>
          <w:kern w:val="0"/>
          <w:sz w:val="28"/>
          <w:szCs w:val="28"/>
          <w:lang w:bidi="ar"/>
        </w:rPr>
        <w:t>被评价企业：                                                          评价年度：</w:t>
      </w:r>
    </w:p>
    <w:tbl>
      <w:tblPr>
        <w:tblStyle w:val="7"/>
        <w:tblW w:w="13334" w:type="dxa"/>
        <w:jc w:val="center"/>
        <w:tblLayout w:type="fixed"/>
        <w:tblCellMar>
          <w:top w:w="0" w:type="dxa"/>
          <w:left w:w="108" w:type="dxa"/>
          <w:bottom w:w="0" w:type="dxa"/>
          <w:right w:w="108" w:type="dxa"/>
        </w:tblCellMar>
      </w:tblPr>
      <w:tblGrid>
        <w:gridCol w:w="540"/>
        <w:gridCol w:w="1273"/>
        <w:gridCol w:w="1377"/>
        <w:gridCol w:w="759"/>
        <w:gridCol w:w="4588"/>
        <w:gridCol w:w="1535"/>
        <w:gridCol w:w="818"/>
        <w:gridCol w:w="1875"/>
        <w:gridCol w:w="569"/>
      </w:tblGrid>
      <w:tr>
        <w:tblPrEx>
          <w:tblCellMar>
            <w:top w:w="0" w:type="dxa"/>
            <w:left w:w="108" w:type="dxa"/>
            <w:bottom w:w="0" w:type="dxa"/>
            <w:right w:w="108" w:type="dxa"/>
          </w:tblCellMar>
        </w:tblPrEx>
        <w:trPr>
          <w:trHeight w:val="731" w:hRule="atLeas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序号</w:t>
            </w:r>
          </w:p>
        </w:tc>
        <w:tc>
          <w:tcPr>
            <w:tcW w:w="1273" w:type="dxa"/>
            <w:tcBorders>
              <w:top w:val="single" w:color="000000" w:sz="4" w:space="0"/>
              <w:left w:val="single" w:color="auto" w:sz="4" w:space="0"/>
              <w:bottom w:val="single" w:color="auto" w:sz="4" w:space="0"/>
              <w:right w:val="single" w:color="000000"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一级指标及分值</w:t>
            </w:r>
          </w:p>
        </w:tc>
        <w:tc>
          <w:tcPr>
            <w:tcW w:w="1377"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二级指标</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分值</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评分标准</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数据来源</w:t>
            </w:r>
          </w:p>
        </w:tc>
        <w:tc>
          <w:tcPr>
            <w:tcW w:w="569" w:type="dxa"/>
            <w:tcBorders>
              <w:top w:val="single" w:color="000000" w:sz="4" w:space="0"/>
              <w:left w:val="nil"/>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得分</w:t>
            </w:r>
          </w:p>
        </w:tc>
      </w:tr>
      <w:tr>
        <w:tblPrEx>
          <w:tblCellMar>
            <w:top w:w="0" w:type="dxa"/>
            <w:left w:w="108" w:type="dxa"/>
            <w:bottom w:w="0" w:type="dxa"/>
            <w:right w:w="108" w:type="dxa"/>
          </w:tblCellMar>
        </w:tblPrEx>
        <w:trPr>
          <w:trHeight w:val="1241"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w:t>
            </w:r>
          </w:p>
        </w:tc>
        <w:tc>
          <w:tcPr>
            <w:tcW w:w="12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经营管理</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w:t>
            </w:r>
            <w:r>
              <w:rPr>
                <w:rFonts w:hint="eastAsia" w:eastAsia="方正楷体_GBK"/>
                <w:bCs/>
                <w:color w:val="000000"/>
                <w:kern w:val="0"/>
                <w:sz w:val="22"/>
                <w:szCs w:val="22"/>
                <w:lang w:bidi="ar"/>
              </w:rPr>
              <w:t>3</w:t>
            </w:r>
            <w:r>
              <w:rPr>
                <w:rFonts w:eastAsia="方正楷体_GBK"/>
                <w:bCs/>
                <w:color w:val="000000"/>
                <w:kern w:val="0"/>
                <w:sz w:val="22"/>
                <w:szCs w:val="22"/>
                <w:lang w:bidi="ar"/>
              </w:rPr>
              <w:t>0分）</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告知</w:t>
            </w:r>
          </w:p>
        </w:tc>
        <w:tc>
          <w:tcPr>
            <w:tcW w:w="7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楷体_GBK"/>
                <w:color w:val="000000"/>
                <w:kern w:val="0"/>
                <w:sz w:val="24"/>
                <w:szCs w:val="24"/>
                <w:lang w:bidi="ar"/>
              </w:rPr>
              <w:t>5</w:t>
            </w:r>
          </w:p>
        </w:tc>
        <w:tc>
          <w:tcPr>
            <w:tcW w:w="6941"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楷体_GBK"/>
                <w:bCs/>
                <w:color w:val="000000"/>
                <w:sz w:val="24"/>
                <w:szCs w:val="24"/>
              </w:rPr>
            </w:pPr>
            <w:r>
              <w:rPr>
                <w:rFonts w:eastAsia="方正仿宋_GBK"/>
                <w:color w:val="000000"/>
                <w:kern w:val="0"/>
                <w:sz w:val="22"/>
                <w:szCs w:val="22"/>
                <w:lang w:bidi="ar"/>
              </w:rPr>
              <w:t>未在业务大厅等场所醒目位置公示《机动车驾驶员教学与考试大纲》、收费价目表、培训预约电话或其他预约方式、辖区运管机构的举报投诉电话、训练场地地址、科目设置情况、经营类别、培训范围、教练员培训质量排行榜的，扣1分/项；未健全或公示不符合要求，扣0.5分/项；缺失3项以上不得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4"/>
                <w:szCs w:val="24"/>
              </w:rPr>
            </w:pPr>
          </w:p>
        </w:tc>
      </w:tr>
      <w:tr>
        <w:tblPrEx>
          <w:tblCellMar>
            <w:top w:w="0" w:type="dxa"/>
            <w:left w:w="108" w:type="dxa"/>
            <w:bottom w:w="0" w:type="dxa"/>
            <w:right w:w="108" w:type="dxa"/>
          </w:tblCellMar>
        </w:tblPrEx>
        <w:trPr>
          <w:trHeight w:val="908"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w:t>
            </w: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招生</w:t>
            </w:r>
          </w:p>
        </w:tc>
        <w:tc>
          <w:tcPr>
            <w:tcW w:w="7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3</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签订《重庆市机动车驾驶培训协议书》的，扣1分/人；填写不全，扣0.5分/人。未按公示价目收费，扣1分/人。采用虚假广告欺骗、招揽学员扣0.5分/人。社会摊点招收学员、擅自接收其他培训机构转让学员扣0.5分/人。</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707"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3</w:t>
            </w: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建章立制</w:t>
            </w:r>
          </w:p>
        </w:tc>
        <w:tc>
          <w:tcPr>
            <w:tcW w:w="7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5</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未按《机动车驾驶员培训机构资格条件》的要求健全管理制度体系，缺项扣1分/项；制度落实不到位，扣0.5分/项；缺失3项以上不得分。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789"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4</w:t>
            </w: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学员档案</w:t>
            </w:r>
          </w:p>
        </w:tc>
        <w:tc>
          <w:tcPr>
            <w:tcW w:w="7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4</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未建立学员档案的（《学员登记表》、《教学日志》、《培训记录》、IC卡、《结业证书》复印件），扣1分/人；档案缺项的，扣0.5分/项；档案内容不完整的，扣0.2分/项；未保留4年的，扣1分/人。</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707"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5</w:t>
            </w: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教练员管理</w:t>
            </w:r>
          </w:p>
        </w:tc>
        <w:tc>
          <w:tcPr>
            <w:tcW w:w="7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4</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教练员档案不完善扣1分/人；教练员未持IC卡教学扣1分/人；教练员和教练车未达到1：1的比例，教练员少一名扣0.5分；教练员每年未进行至少一周的脱岗培训，教练员少一名扣0.5分。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789" w:hRule="atLeast"/>
          <w:jc w:val="center"/>
        </w:trPr>
        <w:tc>
          <w:tcPr>
            <w:tcW w:w="540" w:type="dxa"/>
            <w:tcBorders>
              <w:top w:val="single" w:color="auto"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6</w:t>
            </w:r>
          </w:p>
        </w:tc>
        <w:tc>
          <w:tcPr>
            <w:tcW w:w="1273"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教练车管理</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4</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教练车档案不完善扣1分/车；无教练车标识卡、标牌不齐备、未安装IC卡培训记录仪的车辆从事教学活动的，扣1分/车；车容车貌不整洁，扣0.2分/车。</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1142"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7</w:t>
            </w: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备案管理</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3</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训练场地未备案扣1分/个；招生点未备案扣1分/个；培训机构变更名称或法人未备案扣1分；未向辖区运管机构报送《培训记录》、培训月报表和年度报表的，缺一次报表扣1分/次，报表填错扣0.5分/项；《培训记录》教练员未签字扣0.5分/份。</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日常记录数据，经营者填报数据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683"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color w:val="000000"/>
                <w:sz w:val="22"/>
                <w:szCs w:val="22"/>
              </w:rPr>
            </w:pPr>
            <w:r>
              <w:rPr>
                <w:rFonts w:hint="eastAsia"/>
                <w:color w:val="000000"/>
                <w:sz w:val="22"/>
                <w:szCs w:val="22"/>
              </w:rPr>
              <w:t>8</w:t>
            </w: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企业建设</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2</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驾驶培训机构工作人员、教练员未保持衣着整洁、着装统一，发现一次扣1分；培训机构按规定与教练员、工作人员签订劳动合同，并按规定缴纳有关保险，未签合同扣1分/人。</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853"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9</w:t>
            </w:r>
          </w:p>
        </w:tc>
        <w:tc>
          <w:tcPr>
            <w:tcW w:w="1273" w:type="dxa"/>
            <w:vMerge w:val="restart"/>
            <w:tcBorders>
              <w:top w:val="nil"/>
              <w:left w:val="single" w:color="000000" w:sz="4" w:space="0"/>
              <w:bottom w:val="nil"/>
              <w:right w:val="nil"/>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安全生产</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w:t>
            </w:r>
            <w:r>
              <w:rPr>
                <w:rFonts w:hint="eastAsia" w:eastAsia="方正楷体_GBK"/>
                <w:bCs/>
                <w:color w:val="000000"/>
                <w:kern w:val="0"/>
                <w:sz w:val="22"/>
                <w:szCs w:val="22"/>
                <w:lang w:bidi="ar"/>
              </w:rPr>
              <w:t>2</w:t>
            </w:r>
            <w:r>
              <w:rPr>
                <w:rFonts w:eastAsia="方正楷体_GBK"/>
                <w:bCs/>
                <w:color w:val="000000"/>
                <w:kern w:val="0"/>
                <w:sz w:val="22"/>
                <w:szCs w:val="22"/>
                <w:lang w:bidi="ar"/>
              </w:rPr>
              <w:t>0分）</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制度落实</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10</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安全组织和人员、安全教育、安全措施、安全检查、事故的处理、重大事故报告、安全应急预案等安全管理制度未落实的，每项扣2分，缺失2项以上不得分。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57"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10</w:t>
            </w:r>
          </w:p>
        </w:tc>
        <w:tc>
          <w:tcPr>
            <w:tcW w:w="1273" w:type="dxa"/>
            <w:vMerge w:val="continue"/>
            <w:tcBorders>
              <w:top w:val="nil"/>
              <w:left w:val="single" w:color="000000" w:sz="4" w:space="0"/>
              <w:bottom w:val="nil"/>
              <w:right w:val="nil"/>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警示标识</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5</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培训机构未在训练场地醒目位置悬挂或张贴安全警示标志每次扣2分，标志损坏未修复每次扣1分，发现两次以上本项不得分。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83" w:hRule="atLeast"/>
          <w:jc w:val="center"/>
        </w:trPr>
        <w:tc>
          <w:tcPr>
            <w:tcW w:w="540"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11</w:t>
            </w:r>
          </w:p>
        </w:tc>
        <w:tc>
          <w:tcPr>
            <w:tcW w:w="1273" w:type="dxa"/>
            <w:vMerge w:val="continue"/>
            <w:tcBorders>
              <w:top w:val="nil"/>
              <w:left w:val="single" w:color="000000" w:sz="4" w:space="0"/>
              <w:bottom w:val="single" w:color="auto" w:sz="4" w:space="0"/>
              <w:right w:val="nil"/>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设施条件</w:t>
            </w:r>
          </w:p>
        </w:tc>
        <w:tc>
          <w:tcPr>
            <w:tcW w:w="75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5</w:t>
            </w:r>
          </w:p>
        </w:tc>
        <w:tc>
          <w:tcPr>
            <w:tcW w:w="6941"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具备相应的安全条件，包括场地封闭设施、训练区隔离设施、安全通道以及消防设施、设备等，具体要求按照《机动车驾驶员培训教练场技术要求》，无相应设施设备扣1分/项，缺失2项以上不得分。</w:t>
            </w:r>
          </w:p>
        </w:tc>
        <w:tc>
          <w:tcPr>
            <w:tcW w:w="187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569" w:type="dxa"/>
            <w:tcBorders>
              <w:top w:val="single" w:color="000000" w:sz="4" w:space="0"/>
              <w:left w:val="nil"/>
              <w:bottom w:val="single" w:color="auto"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06" w:hRule="atLeast"/>
          <w:jc w:val="center"/>
        </w:trPr>
        <w:tc>
          <w:tcPr>
            <w:tcW w:w="540" w:type="dxa"/>
            <w:tcBorders>
              <w:top w:val="single" w:color="auto"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12</w:t>
            </w:r>
          </w:p>
        </w:tc>
        <w:tc>
          <w:tcPr>
            <w:tcW w:w="1273"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服务质量</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w:t>
            </w:r>
            <w:r>
              <w:rPr>
                <w:rFonts w:hint="eastAsia" w:eastAsia="方正楷体_GBK"/>
                <w:bCs/>
                <w:color w:val="000000"/>
                <w:kern w:val="0"/>
                <w:sz w:val="22"/>
                <w:szCs w:val="22"/>
                <w:lang w:bidi="ar"/>
              </w:rPr>
              <w:t>4</w:t>
            </w:r>
            <w:r>
              <w:rPr>
                <w:rFonts w:eastAsia="方正楷体_GBK"/>
                <w:bCs/>
                <w:color w:val="000000"/>
                <w:kern w:val="0"/>
                <w:sz w:val="22"/>
                <w:szCs w:val="22"/>
                <w:lang w:bidi="ar"/>
              </w:rPr>
              <w:t>0分）</w:t>
            </w:r>
          </w:p>
        </w:tc>
        <w:tc>
          <w:tcPr>
            <w:tcW w:w="1377"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投诉情况</w:t>
            </w:r>
          </w:p>
        </w:tc>
        <w:tc>
          <w:tcPr>
            <w:tcW w:w="7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16</w:t>
            </w:r>
          </w:p>
        </w:tc>
        <w:tc>
          <w:tcPr>
            <w:tcW w:w="6941" w:type="dxa"/>
            <w:gridSpan w:val="3"/>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因服务质量发生有责投诉扣2分/次；未建立投诉原始记录台账、投诉处理情况台账的，扣1分/次。</w:t>
            </w:r>
          </w:p>
        </w:tc>
        <w:tc>
          <w:tcPr>
            <w:tcW w:w="187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569" w:type="dxa"/>
            <w:tcBorders>
              <w:top w:val="single" w:color="auto"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537"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13</w:t>
            </w: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媒体曝光</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4</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发生市级新闻媒体曝光，且情况属实的，扣4分/次；发生区县级新闻媒体曝光，且情况属实的，扣2分/次。</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w:t>
            </w:r>
          </w:p>
        </w:tc>
        <w:tc>
          <w:tcPr>
            <w:tcW w:w="569"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464"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14</w:t>
            </w: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学时管理</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学员学时记录与实际学时不符的，扣2分/人。</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系统数据</w:t>
            </w:r>
          </w:p>
        </w:tc>
        <w:tc>
          <w:tcPr>
            <w:tcW w:w="569"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085"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15</w:t>
            </w: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培训管理</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未按《教学与考试大纲》规定的内容、学时组织教学的，扣1分/人；未按培训协议完成学员训练的，扣1分/人；不在许可核定的训练场地训练，扣2分/车；在许可核定的训练场地外以各种形式乱设摊点教学的，扣2分/车；使用非教练车辆从事教学活动的，扣2分/车。</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系统数据、日常记录书据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96"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16</w:t>
            </w:r>
          </w:p>
        </w:tc>
        <w:tc>
          <w:tcPr>
            <w:tcW w:w="127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社会责任</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w:t>
            </w:r>
            <w:r>
              <w:rPr>
                <w:rFonts w:hint="eastAsia" w:eastAsia="方正楷体_GBK"/>
                <w:bCs/>
                <w:color w:val="000000"/>
                <w:kern w:val="0"/>
                <w:sz w:val="22"/>
                <w:szCs w:val="22"/>
                <w:lang w:bidi="ar"/>
              </w:rPr>
              <w:t>1</w:t>
            </w:r>
            <w:r>
              <w:rPr>
                <w:rFonts w:eastAsia="方正楷体_GBK"/>
                <w:bCs/>
                <w:color w:val="000000"/>
                <w:kern w:val="0"/>
                <w:sz w:val="22"/>
                <w:szCs w:val="22"/>
                <w:lang w:bidi="ar"/>
              </w:rPr>
              <w:t>0分）</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环境保护</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4</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Style w:val="13"/>
                <w:rFonts w:hint="default"/>
                <w:color w:val="000000"/>
                <w:lang w:bidi="ar"/>
              </w:rPr>
              <w:t>培训机构经营场所、训练场地无绿化设施扣4分，树木花草死亡未更新一处扣1分，排水设施失效扣1分，垃圾油污未及时清理一处扣1分。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569"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51"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17</w:t>
            </w: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责任事故</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6</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培训机构驾龄在3年内的毕业学员发生重大道路交通责任（同责及以上责任）事故，倒查驾校有责的，一次扣3分。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系统数据</w:t>
            </w:r>
          </w:p>
        </w:tc>
        <w:tc>
          <w:tcPr>
            <w:tcW w:w="569"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561"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18</w:t>
            </w:r>
          </w:p>
        </w:tc>
        <w:tc>
          <w:tcPr>
            <w:tcW w:w="127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加分项目</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企业产权</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p>
        </w:tc>
        <w:tc>
          <w:tcPr>
            <w:tcW w:w="6941"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培训机构拥有训练场地产权，每块场地加0.5分。</w:t>
            </w:r>
            <w:r>
              <w:rPr>
                <w:rFonts w:hint="eastAsia" w:eastAsia="方正仿宋_GBK"/>
                <w:color w:val="000000"/>
                <w:kern w:val="0"/>
                <w:sz w:val="22"/>
                <w:szCs w:val="22"/>
                <w:lang w:bidi="ar"/>
              </w:rPr>
              <w:t>（最高不超过1分）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经营者填报数据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865"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19</w:t>
            </w: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表彰奖励</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企业或员工获得区县级（自治县）行业管理及相关部门表彰的，加0.3分/项；获得市级表彰的，加0.5分/项；获得国家级表彰的加1分/项。</w:t>
            </w:r>
            <w:r>
              <w:rPr>
                <w:rFonts w:hint="eastAsia" w:eastAsia="方正仿宋_GBK"/>
                <w:color w:val="000000"/>
                <w:kern w:val="0"/>
                <w:sz w:val="22"/>
                <w:szCs w:val="22"/>
                <w:lang w:bidi="ar"/>
              </w:rPr>
              <w:t>（最高不超过2.5分）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经营者填报数据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44"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20</w:t>
            </w: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“AA”级企业</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培训机构连续3次获得“AA”评价，加</w:t>
            </w:r>
            <w:r>
              <w:rPr>
                <w:rFonts w:hint="eastAsia" w:eastAsia="方正仿宋_GBK"/>
                <w:color w:val="000000"/>
                <w:kern w:val="0"/>
                <w:sz w:val="22"/>
                <w:szCs w:val="22"/>
                <w:lang w:bidi="ar"/>
              </w:rPr>
              <w:t>0.5</w:t>
            </w:r>
            <w:r>
              <w:rPr>
                <w:rFonts w:eastAsia="方正仿宋_GBK"/>
                <w:color w:val="000000"/>
                <w:kern w:val="0"/>
                <w:sz w:val="22"/>
                <w:szCs w:val="22"/>
                <w:lang w:bidi="ar"/>
              </w:rPr>
              <w:t>分。</w:t>
            </w:r>
            <w:r>
              <w:rPr>
                <w:rFonts w:hint="eastAsia" w:eastAsia="方正仿宋_GBK"/>
                <w:color w:val="000000"/>
                <w:kern w:val="0"/>
                <w:sz w:val="22"/>
                <w:szCs w:val="22"/>
                <w:lang w:bidi="ar"/>
              </w:rPr>
              <w:t>（最高不超过0.5分）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经营者填报数据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08"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21</w:t>
            </w: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落实“预约学车、先学后付”培训模式</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100%实施的加</w:t>
            </w:r>
            <w:r>
              <w:rPr>
                <w:rFonts w:hint="eastAsia" w:eastAsia="方正仿宋_GBK"/>
                <w:color w:val="000000"/>
                <w:kern w:val="0"/>
                <w:sz w:val="22"/>
                <w:szCs w:val="22"/>
                <w:lang w:bidi="ar"/>
              </w:rPr>
              <w:t>1</w:t>
            </w:r>
            <w:r>
              <w:rPr>
                <w:rFonts w:eastAsia="方正仿宋_GBK"/>
                <w:color w:val="000000"/>
                <w:kern w:val="0"/>
                <w:sz w:val="22"/>
                <w:szCs w:val="22"/>
                <w:lang w:bidi="ar"/>
              </w:rPr>
              <w:t>分；50%-80%实施的加</w:t>
            </w:r>
            <w:r>
              <w:rPr>
                <w:rFonts w:hint="eastAsia" w:eastAsia="方正仿宋_GBK"/>
                <w:color w:val="000000"/>
                <w:kern w:val="0"/>
                <w:sz w:val="22"/>
                <w:szCs w:val="22"/>
                <w:lang w:bidi="ar"/>
              </w:rPr>
              <w:t>0.75</w:t>
            </w:r>
            <w:r>
              <w:rPr>
                <w:rFonts w:eastAsia="方正仿宋_GBK"/>
                <w:color w:val="000000"/>
                <w:kern w:val="0"/>
                <w:sz w:val="22"/>
                <w:szCs w:val="22"/>
                <w:lang w:bidi="ar"/>
              </w:rPr>
              <w:t>分；30%-50%的加</w:t>
            </w:r>
            <w:r>
              <w:rPr>
                <w:rFonts w:hint="eastAsia" w:eastAsia="方正仿宋_GBK"/>
                <w:color w:val="000000"/>
                <w:kern w:val="0"/>
                <w:sz w:val="22"/>
                <w:szCs w:val="22"/>
                <w:lang w:bidi="ar"/>
              </w:rPr>
              <w:t>0.5</w:t>
            </w:r>
            <w:r>
              <w:rPr>
                <w:rFonts w:eastAsia="方正仿宋_GBK"/>
                <w:color w:val="000000"/>
                <w:kern w:val="0"/>
                <w:sz w:val="22"/>
                <w:szCs w:val="22"/>
                <w:lang w:bidi="ar"/>
              </w:rPr>
              <w:t>分；1%-30%实施的加0.</w:t>
            </w:r>
            <w:r>
              <w:rPr>
                <w:rFonts w:hint="eastAsia" w:eastAsia="方正仿宋_GBK"/>
                <w:color w:val="000000"/>
                <w:kern w:val="0"/>
                <w:sz w:val="22"/>
                <w:szCs w:val="22"/>
                <w:lang w:bidi="ar"/>
              </w:rPr>
              <w:t>2</w:t>
            </w:r>
            <w:r>
              <w:rPr>
                <w:rFonts w:eastAsia="方正仿宋_GBK"/>
                <w:color w:val="000000"/>
                <w:kern w:val="0"/>
                <w:sz w:val="22"/>
                <w:szCs w:val="22"/>
                <w:lang w:bidi="ar"/>
              </w:rPr>
              <w:t>5分；未实施的不加分。</w:t>
            </w:r>
            <w:r>
              <w:rPr>
                <w:rFonts w:hint="eastAsia" w:eastAsia="方正仿宋_GBK"/>
                <w:color w:val="000000"/>
                <w:kern w:val="0"/>
                <w:sz w:val="22"/>
                <w:szCs w:val="22"/>
                <w:lang w:bidi="ar"/>
              </w:rPr>
              <w:t>（最高不超过1分）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经营者填报数据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18"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r>
              <w:rPr>
                <w:rFonts w:hint="eastAsia" w:eastAsia="方正楷体_GBK"/>
                <w:bCs/>
                <w:color w:val="000000"/>
                <w:sz w:val="22"/>
                <w:szCs w:val="22"/>
              </w:rPr>
              <w:t>合计</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r>
              <w:rPr>
                <w:rFonts w:hint="eastAsia" w:eastAsia="方正楷体_GBK"/>
                <w:bCs/>
                <w:color w:val="000000"/>
                <w:sz w:val="22"/>
                <w:szCs w:val="22"/>
              </w:rPr>
              <w:t>100分</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100分</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410" w:hRule="atLeast"/>
          <w:jc w:val="center"/>
        </w:trPr>
        <w:tc>
          <w:tcPr>
            <w:tcW w:w="1813" w:type="dxa"/>
            <w:gridSpan w:val="2"/>
            <w:vMerge w:val="restart"/>
            <w:tcBorders>
              <w:top w:val="single" w:color="000000" w:sz="4" w:space="0"/>
              <w:left w:val="single" w:color="000000" w:sz="4" w:space="0"/>
              <w:right w:val="single" w:color="000000" w:sz="4" w:space="0"/>
            </w:tcBorders>
            <w:noWrap/>
            <w:vAlign w:val="center"/>
          </w:tcPr>
          <w:p>
            <w:pPr>
              <w:widowControl/>
              <w:spacing w:line="260" w:lineRule="exact"/>
              <w:jc w:val="center"/>
              <w:rPr>
                <w:rFonts w:hint="eastAsia" w:eastAsia="方正楷体_GBK"/>
                <w:bCs/>
                <w:color w:val="000000"/>
                <w:sz w:val="22"/>
                <w:szCs w:val="22"/>
              </w:rPr>
            </w:pPr>
            <w:r>
              <w:rPr>
                <w:rFonts w:hint="eastAsia" w:eastAsia="方正楷体_GBK"/>
                <w:bCs/>
                <w:color w:val="000000"/>
                <w:sz w:val="22"/>
                <w:szCs w:val="22"/>
              </w:rPr>
              <w:t>评价结论</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1014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CellMar>
            <w:top w:w="0" w:type="dxa"/>
            <w:left w:w="108" w:type="dxa"/>
            <w:bottom w:w="0" w:type="dxa"/>
            <w:right w:w="108" w:type="dxa"/>
          </w:tblCellMar>
        </w:tblPrEx>
        <w:trPr>
          <w:trHeight w:val="367" w:hRule="atLeast"/>
          <w:jc w:val="center"/>
        </w:trPr>
        <w:tc>
          <w:tcPr>
            <w:tcW w:w="1813" w:type="dxa"/>
            <w:gridSpan w:val="2"/>
            <w:vMerge w:val="continue"/>
            <w:tcBorders>
              <w:left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评价机构</w:t>
            </w:r>
          </w:p>
        </w:tc>
        <w:tc>
          <w:tcPr>
            <w:tcW w:w="1014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306" w:hRule="atLeast"/>
          <w:jc w:val="center"/>
        </w:trPr>
        <w:tc>
          <w:tcPr>
            <w:tcW w:w="1813" w:type="dxa"/>
            <w:gridSpan w:val="2"/>
            <w:vMerge w:val="continue"/>
            <w:tcBorders>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经办人</w:t>
            </w:r>
          </w:p>
        </w:tc>
        <w:tc>
          <w:tcPr>
            <w:tcW w:w="53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评价日期</w:t>
            </w:r>
          </w:p>
        </w:tc>
        <w:tc>
          <w:tcPr>
            <w:tcW w:w="326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eastAsia="仿宋_GB2312"/>
                <w:color w:val="000000"/>
                <w:sz w:val="20"/>
              </w:rPr>
            </w:pPr>
            <w:r>
              <w:rPr>
                <w:rFonts w:hint="eastAsia" w:eastAsia="仿宋_GB2312"/>
                <w:color w:val="000000"/>
                <w:sz w:val="20"/>
              </w:rPr>
              <w:t xml:space="preserve">         年    月    日</w:t>
            </w:r>
          </w:p>
        </w:tc>
      </w:tr>
    </w:tbl>
    <w:p>
      <w:pPr>
        <w:spacing w:line="2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备注：</w:t>
      </w:r>
    </w:p>
    <w:p>
      <w:pPr>
        <w:spacing w:line="2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一、道路运输企业因违反道路运输相关法律法规被吊销道路运输经营许可证的；</w:t>
      </w:r>
    </w:p>
    <w:p>
      <w:pPr>
        <w:spacing w:line="2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二、故意隐瞒、瞒报亡人安全或行车责任事故信息的；</w:t>
      </w:r>
    </w:p>
    <w:p>
      <w:pPr>
        <w:spacing w:line="2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三、组织煽动从业人员及学员进行上访、罢工、闹事，引发群体事件造成恶劣影响的。</w:t>
      </w:r>
    </w:p>
    <w:p>
      <w:pPr>
        <w:spacing w:line="2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凡发生以上行为之一的，本年度信用分值直接扣50分。</w:t>
      </w:r>
    </w:p>
    <w:p>
      <w:pPr>
        <w:spacing w:line="320" w:lineRule="exact"/>
        <w:rPr>
          <w:rFonts w:eastAsia="仿宋"/>
          <w:color w:val="000000"/>
        </w:rPr>
      </w:pPr>
    </w:p>
    <w:p>
      <w:pPr>
        <w:rPr>
          <w:rFonts w:hint="eastAsia" w:ascii="方正黑体_GBK" w:eastAsia="方正黑体_GBK"/>
          <w:color w:val="000000"/>
          <w:sz w:val="32"/>
          <w:szCs w:val="32"/>
        </w:rPr>
      </w:pPr>
    </w:p>
    <w:p>
      <w:pPr>
        <w:rPr>
          <w:rFonts w:hint="eastAsia" w:ascii="方正黑体_GBK" w:eastAsia="方正黑体_GBK"/>
          <w:color w:val="000000"/>
          <w:sz w:val="32"/>
          <w:szCs w:val="32"/>
        </w:rPr>
      </w:pPr>
      <w:r>
        <w:rPr>
          <w:rFonts w:hint="eastAsia" w:ascii="方正黑体_GBK" w:eastAsia="方正黑体_GBK"/>
          <w:color w:val="000000"/>
          <w:sz w:val="32"/>
          <w:szCs w:val="32"/>
        </w:rPr>
        <w:t>附件1-10</w:t>
      </w:r>
    </w:p>
    <w:p>
      <w:pPr>
        <w:rPr>
          <w:rFonts w:hint="eastAsia" w:ascii="方正黑体_GBK" w:eastAsia="方正黑体_GBK"/>
          <w:color w:val="000000"/>
        </w:rPr>
      </w:pPr>
    </w:p>
    <w:p>
      <w:pPr>
        <w:jc w:val="center"/>
        <w:rPr>
          <w:rFonts w:hint="eastAsia" w:ascii="方正小标宋_GBK" w:eastAsia="方正小标宋_GBK"/>
          <w:bCs/>
          <w:color w:val="000000"/>
          <w:sz w:val="44"/>
          <w:szCs w:val="44"/>
        </w:rPr>
      </w:pPr>
      <w:r>
        <w:rPr>
          <w:rFonts w:hint="eastAsia" w:ascii="方正小标宋_GBK" w:eastAsia="方正小标宋_GBK"/>
          <w:bCs/>
          <w:color w:val="000000"/>
          <w:sz w:val="44"/>
          <w:szCs w:val="44"/>
        </w:rPr>
        <w:t>重庆市机动车维修企业信用评价标准</w:t>
      </w:r>
    </w:p>
    <w:p>
      <w:pPr>
        <w:rPr>
          <w:rFonts w:hint="eastAsia" w:ascii="方正仿宋_GBK" w:eastAsia="方正仿宋_GBK"/>
          <w:bCs/>
          <w:color w:val="000000"/>
          <w:sz w:val="24"/>
          <w:szCs w:val="24"/>
        </w:rPr>
      </w:pPr>
      <w:r>
        <w:rPr>
          <w:rFonts w:hint="eastAsia" w:ascii="方正仿宋_GBK" w:eastAsia="方正仿宋_GBK"/>
          <w:bCs/>
          <w:color w:val="000000"/>
          <w:sz w:val="24"/>
          <w:szCs w:val="24"/>
        </w:rPr>
        <w:t>被评价企业：</w:t>
      </w:r>
      <w:r>
        <w:rPr>
          <w:rFonts w:hint="eastAsia" w:ascii="方正仿宋_GBK" w:eastAsia="方正仿宋_GBK"/>
          <w:color w:val="000000"/>
          <w:sz w:val="24"/>
          <w:szCs w:val="24"/>
        </w:rPr>
        <w:t xml:space="preserve">                                                                            </w:t>
      </w:r>
      <w:r>
        <w:rPr>
          <w:rFonts w:hint="eastAsia" w:ascii="方正仿宋_GBK" w:eastAsia="方正仿宋_GBK"/>
          <w:bCs/>
          <w:color w:val="000000"/>
          <w:sz w:val="24"/>
          <w:szCs w:val="24"/>
        </w:rPr>
        <w:t>评价年度：</w:t>
      </w:r>
    </w:p>
    <w:tbl>
      <w:tblPr>
        <w:tblStyle w:val="7"/>
        <w:tblW w:w="13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334"/>
        <w:gridCol w:w="1245"/>
        <w:gridCol w:w="674"/>
        <w:gridCol w:w="905"/>
        <w:gridCol w:w="5591"/>
        <w:gridCol w:w="2184"/>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blHeader/>
          <w:jc w:val="center"/>
        </w:trPr>
        <w:tc>
          <w:tcPr>
            <w:tcW w:w="706" w:type="dxa"/>
            <w:noWrap w:val="0"/>
            <w:vAlign w:val="center"/>
          </w:tcPr>
          <w:p>
            <w:pPr>
              <w:widowControl/>
              <w:spacing w:line="280" w:lineRule="exact"/>
              <w:jc w:val="center"/>
              <w:textAlignment w:val="center"/>
              <w:rPr>
                <w:rStyle w:val="18"/>
                <w:rFonts w:hint="eastAsia" w:ascii="黑体" w:hAnsi="黑体" w:eastAsia="黑体" w:cs="仿宋"/>
                <w:b w:val="0"/>
                <w:sz w:val="24"/>
                <w:szCs w:val="24"/>
                <w:lang w:bidi="ar"/>
              </w:rPr>
            </w:pPr>
            <w:r>
              <w:rPr>
                <w:rStyle w:val="18"/>
                <w:rFonts w:hint="eastAsia" w:ascii="黑体" w:hAnsi="黑体" w:eastAsia="黑体" w:cs="仿宋"/>
                <w:b w:val="0"/>
                <w:sz w:val="24"/>
                <w:szCs w:val="24"/>
                <w:lang w:bidi="ar"/>
              </w:rPr>
              <w:t>序号</w:t>
            </w:r>
          </w:p>
        </w:tc>
        <w:tc>
          <w:tcPr>
            <w:tcW w:w="1334" w:type="dxa"/>
            <w:noWrap w:val="0"/>
            <w:vAlign w:val="center"/>
          </w:tcPr>
          <w:p>
            <w:pPr>
              <w:widowControl/>
              <w:spacing w:line="280" w:lineRule="exact"/>
              <w:jc w:val="center"/>
              <w:textAlignment w:val="center"/>
              <w:rPr>
                <w:rStyle w:val="18"/>
                <w:rFonts w:hint="eastAsia" w:ascii="黑体" w:hAnsi="黑体" w:eastAsia="黑体" w:cs="仿宋"/>
                <w:b w:val="0"/>
                <w:sz w:val="24"/>
                <w:szCs w:val="24"/>
                <w:lang w:bidi="ar"/>
              </w:rPr>
            </w:pPr>
            <w:r>
              <w:rPr>
                <w:rStyle w:val="18"/>
                <w:rFonts w:hint="eastAsia" w:ascii="黑体" w:hAnsi="黑体" w:eastAsia="黑体" w:cs="仿宋"/>
                <w:b w:val="0"/>
                <w:sz w:val="24"/>
                <w:szCs w:val="24"/>
                <w:lang w:bidi="ar"/>
              </w:rPr>
              <w:t xml:space="preserve">一级指标及分值 </w:t>
            </w:r>
          </w:p>
        </w:tc>
        <w:tc>
          <w:tcPr>
            <w:tcW w:w="1245" w:type="dxa"/>
            <w:noWrap w:val="0"/>
            <w:vAlign w:val="center"/>
          </w:tcPr>
          <w:p>
            <w:pPr>
              <w:widowControl/>
              <w:spacing w:line="280" w:lineRule="exact"/>
              <w:jc w:val="center"/>
              <w:textAlignment w:val="center"/>
              <w:rPr>
                <w:rStyle w:val="18"/>
                <w:rFonts w:hint="eastAsia" w:ascii="黑体" w:hAnsi="黑体" w:eastAsia="黑体" w:cs="仿宋"/>
                <w:b w:val="0"/>
                <w:sz w:val="24"/>
                <w:szCs w:val="24"/>
                <w:lang w:bidi="ar"/>
              </w:rPr>
            </w:pPr>
            <w:r>
              <w:rPr>
                <w:rStyle w:val="18"/>
                <w:rFonts w:hint="eastAsia" w:ascii="黑体" w:hAnsi="黑体" w:eastAsia="黑体" w:cs="仿宋"/>
                <w:b w:val="0"/>
                <w:sz w:val="24"/>
                <w:szCs w:val="24"/>
                <w:lang w:bidi="ar"/>
              </w:rPr>
              <w:t>二级指标</w:t>
            </w:r>
          </w:p>
        </w:tc>
        <w:tc>
          <w:tcPr>
            <w:tcW w:w="674" w:type="dxa"/>
            <w:noWrap w:val="0"/>
            <w:vAlign w:val="center"/>
          </w:tcPr>
          <w:p>
            <w:pPr>
              <w:widowControl/>
              <w:spacing w:line="280" w:lineRule="exact"/>
              <w:jc w:val="center"/>
              <w:textAlignment w:val="center"/>
              <w:rPr>
                <w:rFonts w:hint="eastAsia" w:ascii="黑体" w:hAnsi="黑体" w:eastAsia="黑体" w:cs="仿宋"/>
                <w:color w:val="000000"/>
                <w:sz w:val="24"/>
                <w:szCs w:val="24"/>
              </w:rPr>
            </w:pPr>
            <w:r>
              <w:rPr>
                <w:rStyle w:val="18"/>
                <w:rFonts w:hint="eastAsia" w:ascii="黑体" w:hAnsi="黑体" w:eastAsia="黑体" w:cs="仿宋"/>
                <w:b w:val="0"/>
                <w:sz w:val="24"/>
                <w:szCs w:val="24"/>
                <w:lang w:bidi="ar"/>
              </w:rPr>
              <w:t>分值</w:t>
            </w:r>
          </w:p>
        </w:tc>
        <w:tc>
          <w:tcPr>
            <w:tcW w:w="6496" w:type="dxa"/>
            <w:gridSpan w:val="2"/>
            <w:noWrap w:val="0"/>
            <w:vAlign w:val="center"/>
          </w:tcPr>
          <w:p>
            <w:pPr>
              <w:widowControl/>
              <w:spacing w:line="280" w:lineRule="exact"/>
              <w:jc w:val="center"/>
              <w:textAlignment w:val="center"/>
              <w:rPr>
                <w:rFonts w:hint="eastAsia" w:ascii="黑体" w:hAnsi="黑体" w:eastAsia="黑体" w:cs="仿宋"/>
                <w:color w:val="000000"/>
                <w:sz w:val="24"/>
                <w:szCs w:val="24"/>
              </w:rPr>
            </w:pPr>
            <w:r>
              <w:rPr>
                <w:rStyle w:val="18"/>
                <w:rFonts w:hint="eastAsia" w:ascii="黑体" w:hAnsi="黑体" w:eastAsia="黑体" w:cs="仿宋"/>
                <w:b w:val="0"/>
                <w:sz w:val="24"/>
                <w:szCs w:val="24"/>
                <w:lang w:bidi="ar"/>
              </w:rPr>
              <w:t>评分标准</w:t>
            </w:r>
          </w:p>
        </w:tc>
        <w:tc>
          <w:tcPr>
            <w:tcW w:w="2184" w:type="dxa"/>
            <w:noWrap w:val="0"/>
            <w:vAlign w:val="center"/>
          </w:tcPr>
          <w:p>
            <w:pPr>
              <w:widowControl/>
              <w:spacing w:line="280" w:lineRule="exact"/>
              <w:jc w:val="center"/>
              <w:textAlignment w:val="center"/>
              <w:rPr>
                <w:rFonts w:hint="eastAsia" w:ascii="黑体" w:hAnsi="黑体" w:eastAsia="黑体" w:cs="仿宋"/>
                <w:color w:val="000000"/>
                <w:sz w:val="24"/>
                <w:szCs w:val="24"/>
              </w:rPr>
            </w:pPr>
            <w:r>
              <w:rPr>
                <w:rStyle w:val="18"/>
                <w:rFonts w:hint="eastAsia" w:ascii="黑体" w:hAnsi="黑体" w:eastAsia="黑体" w:cs="仿宋"/>
                <w:b w:val="0"/>
                <w:sz w:val="24"/>
                <w:szCs w:val="24"/>
                <w:lang w:bidi="ar"/>
              </w:rPr>
              <w:t>数据来源</w:t>
            </w:r>
          </w:p>
        </w:tc>
        <w:tc>
          <w:tcPr>
            <w:tcW w:w="682" w:type="dxa"/>
            <w:noWrap w:val="0"/>
            <w:vAlign w:val="center"/>
          </w:tcPr>
          <w:p>
            <w:pPr>
              <w:widowControl/>
              <w:spacing w:line="280" w:lineRule="exact"/>
              <w:jc w:val="center"/>
              <w:textAlignment w:val="center"/>
              <w:rPr>
                <w:rFonts w:hint="eastAsia" w:ascii="黑体" w:hAnsi="黑体" w:eastAsia="黑体" w:cs="仿宋"/>
                <w:color w:val="000000"/>
                <w:sz w:val="24"/>
                <w:szCs w:val="24"/>
              </w:rPr>
            </w:pPr>
            <w:r>
              <w:rPr>
                <w:rFonts w:hint="eastAsia" w:ascii="黑体" w:hAnsi="黑体" w:eastAsia="黑体" w:cs="仿宋"/>
                <w:color w:val="00000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6" w:type="dxa"/>
            <w:noWrap w:val="0"/>
            <w:vAlign w:val="center"/>
          </w:tcPr>
          <w:p>
            <w:pPr>
              <w:widowControl/>
              <w:spacing w:line="280" w:lineRule="exact"/>
              <w:jc w:val="center"/>
              <w:textAlignment w:val="center"/>
              <w:rPr>
                <w:rStyle w:val="17"/>
                <w:rFonts w:hint="eastAsia" w:ascii="仿宋" w:hAnsi="仿宋" w:eastAsia="仿宋" w:cs="仿宋"/>
                <w:sz w:val="21"/>
                <w:szCs w:val="21"/>
                <w:lang w:bidi="ar"/>
              </w:rPr>
            </w:pPr>
            <w:r>
              <w:rPr>
                <w:rStyle w:val="17"/>
                <w:rFonts w:hint="eastAsia" w:ascii="仿宋" w:hAnsi="仿宋" w:eastAsia="仿宋" w:cs="仿宋"/>
                <w:sz w:val="21"/>
                <w:szCs w:val="21"/>
                <w:lang w:bidi="ar"/>
              </w:rPr>
              <w:t>1</w:t>
            </w:r>
          </w:p>
        </w:tc>
        <w:tc>
          <w:tcPr>
            <w:tcW w:w="1334" w:type="dxa"/>
            <w:vMerge w:val="restart"/>
            <w:noWrap w:val="0"/>
            <w:vAlign w:val="center"/>
          </w:tcPr>
          <w:p>
            <w:pPr>
              <w:widowControl/>
              <w:spacing w:line="280" w:lineRule="exact"/>
              <w:jc w:val="center"/>
              <w:textAlignment w:val="center"/>
              <w:rPr>
                <w:rStyle w:val="18"/>
                <w:rFonts w:hint="eastAsia" w:ascii="仿宋" w:hAnsi="仿宋" w:eastAsia="仿宋" w:cs="仿宋"/>
                <w:b w:val="0"/>
                <w:lang w:bidi="ar"/>
              </w:rPr>
            </w:pPr>
            <w:r>
              <w:rPr>
                <w:rStyle w:val="18"/>
                <w:rFonts w:hint="eastAsia" w:ascii="仿宋" w:hAnsi="仿宋" w:eastAsia="仿宋" w:cs="仿宋"/>
                <w:b w:val="0"/>
                <w:lang w:bidi="ar"/>
              </w:rPr>
              <w:t>经营管理</w:t>
            </w:r>
          </w:p>
          <w:p>
            <w:pPr>
              <w:widowControl/>
              <w:spacing w:line="280" w:lineRule="exact"/>
              <w:jc w:val="center"/>
              <w:textAlignment w:val="center"/>
              <w:rPr>
                <w:rStyle w:val="17"/>
                <w:rFonts w:hint="eastAsia" w:ascii="仿宋" w:hAnsi="仿宋" w:eastAsia="仿宋" w:cs="仿宋"/>
                <w:sz w:val="21"/>
                <w:szCs w:val="21"/>
                <w:lang w:bidi="ar"/>
              </w:rPr>
            </w:pPr>
            <w:r>
              <w:rPr>
                <w:rStyle w:val="18"/>
                <w:rFonts w:hint="eastAsia" w:ascii="仿宋" w:hAnsi="仿宋" w:eastAsia="仿宋" w:cs="仿宋"/>
                <w:b w:val="0"/>
                <w:lang w:bidi="ar"/>
              </w:rPr>
              <w:t>（</w:t>
            </w:r>
            <w:r>
              <w:rPr>
                <w:rStyle w:val="42"/>
                <w:rFonts w:hint="eastAsia" w:ascii="仿宋" w:hAnsi="仿宋" w:eastAsia="仿宋" w:cs="仿宋"/>
                <w:sz w:val="21"/>
                <w:szCs w:val="21"/>
                <w:lang w:bidi="ar"/>
              </w:rPr>
              <w:t>25</w:t>
            </w:r>
            <w:r>
              <w:rPr>
                <w:rStyle w:val="18"/>
                <w:rFonts w:hint="eastAsia" w:ascii="仿宋" w:hAnsi="仿宋" w:eastAsia="仿宋" w:cs="仿宋"/>
                <w:b w:val="0"/>
                <w:lang w:bidi="ar"/>
              </w:rPr>
              <w:t>分）</w:t>
            </w:r>
          </w:p>
        </w:tc>
        <w:tc>
          <w:tcPr>
            <w:tcW w:w="1245" w:type="dxa"/>
            <w:noWrap w:val="0"/>
            <w:vAlign w:val="center"/>
          </w:tcPr>
          <w:p>
            <w:pPr>
              <w:widowControl/>
              <w:spacing w:line="280" w:lineRule="exact"/>
              <w:jc w:val="center"/>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承诺事项</w:t>
            </w:r>
          </w:p>
        </w:tc>
        <w:tc>
          <w:tcPr>
            <w:tcW w:w="674" w:type="dxa"/>
            <w:noWrap w:val="0"/>
            <w:vAlign w:val="center"/>
          </w:tcPr>
          <w:p>
            <w:pPr>
              <w:widowControl/>
              <w:spacing w:line="28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备案承诺事项与实际不相符的，扣2分</w:t>
            </w:r>
            <w:r>
              <w:rPr>
                <w:rStyle w:val="43"/>
                <w:rFonts w:hint="default" w:ascii="仿宋" w:hAnsi="仿宋" w:eastAsia="仿宋" w:cs="仿宋"/>
                <w:sz w:val="21"/>
                <w:szCs w:val="21"/>
                <w:lang w:bidi="ar"/>
              </w:rPr>
              <w:t>/</w:t>
            </w:r>
            <w:r>
              <w:rPr>
                <w:rStyle w:val="17"/>
                <w:rFonts w:hint="eastAsia" w:ascii="仿宋" w:hAnsi="仿宋" w:eastAsia="仿宋" w:cs="仿宋"/>
                <w:sz w:val="21"/>
                <w:szCs w:val="21"/>
                <w:lang w:bidi="ar"/>
              </w:rPr>
              <w:t>项，缺失2项以上不得分；严重不符的（场地、设备），信用等级直接确定为</w:t>
            </w:r>
            <w:r>
              <w:rPr>
                <w:rStyle w:val="43"/>
                <w:rFonts w:hint="default" w:ascii="仿宋" w:hAnsi="仿宋" w:eastAsia="仿宋" w:cs="仿宋"/>
                <w:sz w:val="21"/>
                <w:szCs w:val="21"/>
                <w:lang w:bidi="ar"/>
              </w:rPr>
              <w:t>D</w:t>
            </w:r>
            <w:r>
              <w:rPr>
                <w:rStyle w:val="17"/>
                <w:rFonts w:hint="eastAsia" w:ascii="仿宋" w:hAnsi="仿宋" w:eastAsia="仿宋" w:cs="仿宋"/>
                <w:sz w:val="21"/>
                <w:szCs w:val="21"/>
                <w:lang w:bidi="ar"/>
              </w:rPr>
              <w:t>级。</w:t>
            </w:r>
          </w:p>
        </w:tc>
        <w:tc>
          <w:tcPr>
            <w:tcW w:w="2184" w:type="dxa"/>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行业内部数据共享</w:t>
            </w:r>
          </w:p>
        </w:tc>
        <w:tc>
          <w:tcPr>
            <w:tcW w:w="682" w:type="dxa"/>
            <w:noWrap w:val="0"/>
            <w:vAlign w:val="center"/>
          </w:tcPr>
          <w:p>
            <w:pPr>
              <w:spacing w:line="280" w:lineRule="exac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6" w:type="dxa"/>
            <w:noWrap w:val="0"/>
            <w:vAlign w:val="center"/>
          </w:tcPr>
          <w:p>
            <w:pPr>
              <w:widowControl/>
              <w:spacing w:line="280" w:lineRule="exact"/>
              <w:jc w:val="center"/>
              <w:textAlignment w:val="center"/>
              <w:rPr>
                <w:rStyle w:val="17"/>
                <w:rFonts w:hint="eastAsia" w:ascii="仿宋" w:hAnsi="仿宋" w:eastAsia="仿宋" w:cs="仿宋"/>
                <w:sz w:val="21"/>
                <w:szCs w:val="21"/>
                <w:lang w:bidi="ar"/>
              </w:rPr>
            </w:pPr>
            <w:r>
              <w:rPr>
                <w:rStyle w:val="17"/>
                <w:rFonts w:hint="eastAsia" w:ascii="仿宋" w:hAnsi="仿宋" w:eastAsia="仿宋" w:cs="仿宋"/>
                <w:sz w:val="21"/>
                <w:szCs w:val="21"/>
                <w:lang w:bidi="ar"/>
              </w:rPr>
              <w:t>2</w:t>
            </w:r>
          </w:p>
        </w:tc>
        <w:tc>
          <w:tcPr>
            <w:tcW w:w="1334" w:type="dxa"/>
            <w:vMerge w:val="continue"/>
            <w:noWrap w:val="0"/>
            <w:vAlign w:val="center"/>
          </w:tcPr>
          <w:p>
            <w:pPr>
              <w:widowControl/>
              <w:spacing w:line="280" w:lineRule="exact"/>
              <w:jc w:val="center"/>
              <w:textAlignment w:val="center"/>
              <w:rPr>
                <w:rStyle w:val="17"/>
                <w:rFonts w:hint="eastAsia" w:ascii="仿宋" w:hAnsi="仿宋" w:eastAsia="仿宋" w:cs="仿宋"/>
                <w:sz w:val="21"/>
                <w:szCs w:val="21"/>
                <w:lang w:bidi="ar"/>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系统建设</w:t>
            </w:r>
          </w:p>
        </w:tc>
        <w:tc>
          <w:tcPr>
            <w:tcW w:w="674" w:type="dxa"/>
            <w:noWrap w:val="0"/>
            <w:vAlign w:val="center"/>
          </w:tcPr>
          <w:p>
            <w:pPr>
              <w:widowControl/>
              <w:spacing w:line="28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10</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建立汽车维修电子健康档案系统不使用的，不得分。</w:t>
            </w:r>
          </w:p>
        </w:tc>
        <w:tc>
          <w:tcPr>
            <w:tcW w:w="2184" w:type="dxa"/>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行业内部数据共享</w:t>
            </w:r>
          </w:p>
        </w:tc>
        <w:tc>
          <w:tcPr>
            <w:tcW w:w="682" w:type="dxa"/>
            <w:noWrap w:val="0"/>
            <w:vAlign w:val="center"/>
          </w:tcPr>
          <w:p>
            <w:pPr>
              <w:spacing w:line="280" w:lineRule="exac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6" w:type="dxa"/>
            <w:noWrap w:val="0"/>
            <w:vAlign w:val="center"/>
          </w:tcPr>
          <w:p>
            <w:pPr>
              <w:widowControl/>
              <w:spacing w:line="280" w:lineRule="exact"/>
              <w:jc w:val="center"/>
              <w:textAlignment w:val="center"/>
              <w:rPr>
                <w:rStyle w:val="17"/>
                <w:rFonts w:hint="eastAsia" w:ascii="仿宋" w:hAnsi="仿宋" w:eastAsia="仿宋" w:cs="仿宋"/>
                <w:sz w:val="21"/>
                <w:szCs w:val="21"/>
                <w:lang w:bidi="ar"/>
              </w:rPr>
            </w:pPr>
            <w:r>
              <w:rPr>
                <w:rStyle w:val="17"/>
                <w:rFonts w:hint="eastAsia" w:ascii="仿宋" w:hAnsi="仿宋" w:eastAsia="仿宋" w:cs="仿宋"/>
                <w:sz w:val="21"/>
                <w:szCs w:val="21"/>
                <w:lang w:bidi="ar"/>
              </w:rPr>
              <w:t>3</w:t>
            </w:r>
          </w:p>
        </w:tc>
        <w:tc>
          <w:tcPr>
            <w:tcW w:w="1334" w:type="dxa"/>
            <w:vMerge w:val="continue"/>
            <w:noWrap w:val="0"/>
            <w:vAlign w:val="center"/>
          </w:tcPr>
          <w:p>
            <w:pPr>
              <w:widowControl/>
              <w:spacing w:line="280" w:lineRule="exact"/>
              <w:jc w:val="center"/>
              <w:textAlignment w:val="center"/>
              <w:rPr>
                <w:rStyle w:val="17"/>
                <w:rFonts w:hint="eastAsia" w:ascii="仿宋" w:hAnsi="仿宋" w:eastAsia="仿宋" w:cs="仿宋"/>
                <w:sz w:val="21"/>
                <w:szCs w:val="21"/>
                <w:lang w:bidi="ar"/>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数据上传</w:t>
            </w:r>
          </w:p>
        </w:tc>
        <w:tc>
          <w:tcPr>
            <w:tcW w:w="674" w:type="dxa"/>
            <w:noWrap w:val="0"/>
            <w:vAlign w:val="center"/>
          </w:tcPr>
          <w:p>
            <w:pPr>
              <w:widowControl/>
              <w:spacing w:line="28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使用汽车维修电子健康档案系统未及时如实填写上传数据的，扣1</w:t>
            </w:r>
            <w:r>
              <w:rPr>
                <w:rStyle w:val="17"/>
                <w:rFonts w:hint="eastAsia" w:ascii="仿宋" w:hAnsi="仿宋" w:eastAsia="仿宋" w:cs="仿宋"/>
                <w:sz w:val="21"/>
                <w:szCs w:val="21"/>
                <w:lang w:bidi="ar"/>
              </w:rPr>
              <w:t>分</w:t>
            </w:r>
            <w:r>
              <w:rPr>
                <w:rStyle w:val="43"/>
                <w:rFonts w:hint="default" w:ascii="仿宋" w:hAnsi="仿宋" w:eastAsia="仿宋" w:cs="仿宋"/>
                <w:sz w:val="21"/>
                <w:szCs w:val="21"/>
                <w:lang w:bidi="ar"/>
              </w:rPr>
              <w:t>/</w:t>
            </w:r>
            <w:r>
              <w:rPr>
                <w:rStyle w:val="17"/>
                <w:rFonts w:hint="eastAsia" w:ascii="仿宋" w:hAnsi="仿宋" w:eastAsia="仿宋" w:cs="仿宋"/>
                <w:sz w:val="21"/>
                <w:szCs w:val="21"/>
                <w:lang w:bidi="ar"/>
              </w:rPr>
              <w:t>辆次；数据缺失的，扣</w:t>
            </w:r>
            <w:r>
              <w:rPr>
                <w:rStyle w:val="43"/>
                <w:rFonts w:hint="default" w:ascii="仿宋" w:hAnsi="仿宋" w:eastAsia="仿宋" w:cs="仿宋"/>
                <w:sz w:val="21"/>
                <w:szCs w:val="21"/>
                <w:lang w:bidi="ar"/>
              </w:rPr>
              <w:t>1</w:t>
            </w:r>
            <w:r>
              <w:rPr>
                <w:rStyle w:val="17"/>
                <w:rFonts w:hint="eastAsia" w:ascii="仿宋" w:hAnsi="仿宋" w:eastAsia="仿宋" w:cs="仿宋"/>
                <w:sz w:val="21"/>
                <w:szCs w:val="21"/>
                <w:lang w:bidi="ar"/>
              </w:rPr>
              <w:t>分</w:t>
            </w:r>
            <w:r>
              <w:rPr>
                <w:rStyle w:val="43"/>
                <w:rFonts w:hint="default" w:ascii="仿宋" w:hAnsi="仿宋" w:eastAsia="仿宋" w:cs="仿宋"/>
                <w:sz w:val="21"/>
                <w:szCs w:val="21"/>
                <w:lang w:bidi="ar"/>
              </w:rPr>
              <w:t>/</w:t>
            </w:r>
            <w:r>
              <w:rPr>
                <w:rStyle w:val="17"/>
                <w:rFonts w:hint="eastAsia" w:ascii="仿宋" w:hAnsi="仿宋" w:eastAsia="仿宋" w:cs="仿宋"/>
                <w:sz w:val="21"/>
                <w:szCs w:val="21"/>
                <w:lang w:bidi="ar"/>
              </w:rPr>
              <w:t>辆次；发现</w:t>
            </w:r>
            <w:r>
              <w:rPr>
                <w:rStyle w:val="43"/>
                <w:rFonts w:hint="default" w:ascii="仿宋" w:hAnsi="仿宋" w:eastAsia="仿宋" w:cs="仿宋"/>
                <w:sz w:val="21"/>
                <w:szCs w:val="21"/>
                <w:lang w:bidi="ar"/>
              </w:rPr>
              <w:t xml:space="preserve">3 </w:t>
            </w:r>
            <w:r>
              <w:rPr>
                <w:rStyle w:val="17"/>
                <w:rFonts w:hint="eastAsia" w:ascii="仿宋" w:hAnsi="仿宋" w:eastAsia="仿宋" w:cs="仿宋"/>
                <w:sz w:val="21"/>
                <w:szCs w:val="21"/>
                <w:lang w:bidi="ar"/>
              </w:rPr>
              <w:t>次以上数据未上传不得分。</w:t>
            </w:r>
          </w:p>
        </w:tc>
        <w:tc>
          <w:tcPr>
            <w:tcW w:w="2184" w:type="dxa"/>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行业内部数据共享</w:t>
            </w:r>
          </w:p>
        </w:tc>
        <w:tc>
          <w:tcPr>
            <w:tcW w:w="682" w:type="dxa"/>
            <w:noWrap w:val="0"/>
            <w:vAlign w:val="center"/>
          </w:tcPr>
          <w:p>
            <w:pPr>
              <w:spacing w:line="280" w:lineRule="exac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6" w:type="dxa"/>
            <w:noWrap w:val="0"/>
            <w:vAlign w:val="center"/>
          </w:tcPr>
          <w:p>
            <w:pPr>
              <w:widowControl/>
              <w:spacing w:line="280" w:lineRule="exact"/>
              <w:jc w:val="center"/>
              <w:textAlignment w:val="center"/>
              <w:rPr>
                <w:rStyle w:val="17"/>
                <w:rFonts w:hint="eastAsia" w:ascii="仿宋" w:hAnsi="仿宋" w:eastAsia="仿宋" w:cs="仿宋"/>
                <w:sz w:val="21"/>
                <w:szCs w:val="21"/>
                <w:lang w:bidi="ar"/>
              </w:rPr>
            </w:pPr>
            <w:r>
              <w:rPr>
                <w:rStyle w:val="17"/>
                <w:rFonts w:hint="eastAsia" w:ascii="仿宋" w:hAnsi="仿宋" w:eastAsia="仿宋" w:cs="仿宋"/>
                <w:sz w:val="21"/>
                <w:szCs w:val="21"/>
                <w:lang w:bidi="ar"/>
              </w:rPr>
              <w:t>4</w:t>
            </w:r>
          </w:p>
        </w:tc>
        <w:tc>
          <w:tcPr>
            <w:tcW w:w="1334" w:type="dxa"/>
            <w:vMerge w:val="continue"/>
            <w:noWrap w:val="0"/>
            <w:vAlign w:val="center"/>
          </w:tcPr>
          <w:p>
            <w:pPr>
              <w:widowControl/>
              <w:spacing w:line="280" w:lineRule="exact"/>
              <w:jc w:val="center"/>
              <w:textAlignment w:val="center"/>
              <w:rPr>
                <w:rStyle w:val="17"/>
                <w:rFonts w:hint="eastAsia" w:ascii="仿宋" w:hAnsi="仿宋" w:eastAsia="仿宋" w:cs="仿宋"/>
                <w:sz w:val="21"/>
                <w:szCs w:val="21"/>
                <w:lang w:bidi="ar"/>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服务评价</w:t>
            </w:r>
          </w:p>
        </w:tc>
        <w:tc>
          <w:tcPr>
            <w:tcW w:w="674" w:type="dxa"/>
            <w:noWrap w:val="0"/>
            <w:vAlign w:val="center"/>
          </w:tcPr>
          <w:p>
            <w:pPr>
              <w:widowControl/>
              <w:spacing w:line="28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未主动邀请车主通过维修电子健康档案系统对维修服务进行评价的，扣1分</w:t>
            </w:r>
            <w:r>
              <w:rPr>
                <w:rStyle w:val="43"/>
                <w:rFonts w:hint="default" w:ascii="仿宋" w:hAnsi="仿宋" w:eastAsia="仿宋" w:cs="仿宋"/>
                <w:sz w:val="21"/>
                <w:szCs w:val="21"/>
                <w:lang w:bidi="ar"/>
              </w:rPr>
              <w:t>/</w:t>
            </w:r>
            <w:r>
              <w:rPr>
                <w:rStyle w:val="17"/>
                <w:rFonts w:hint="eastAsia" w:ascii="仿宋" w:hAnsi="仿宋" w:eastAsia="仿宋" w:cs="仿宋"/>
                <w:sz w:val="21"/>
                <w:szCs w:val="21"/>
                <w:lang w:bidi="ar"/>
              </w:rPr>
              <w:t>辆次，3次以上不得分</w:t>
            </w:r>
          </w:p>
        </w:tc>
        <w:tc>
          <w:tcPr>
            <w:tcW w:w="2184" w:type="dxa"/>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行业内部数据共享</w:t>
            </w:r>
          </w:p>
        </w:tc>
        <w:tc>
          <w:tcPr>
            <w:tcW w:w="682" w:type="dxa"/>
            <w:noWrap w:val="0"/>
            <w:vAlign w:val="center"/>
          </w:tcPr>
          <w:p>
            <w:pPr>
              <w:spacing w:line="280" w:lineRule="exac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 xml:space="preserve">5 </w:t>
            </w:r>
          </w:p>
        </w:tc>
        <w:tc>
          <w:tcPr>
            <w:tcW w:w="1334" w:type="dxa"/>
            <w:vMerge w:val="restart"/>
            <w:noWrap w:val="0"/>
            <w:vAlign w:val="center"/>
          </w:tcPr>
          <w:p>
            <w:pPr>
              <w:widowControl/>
              <w:spacing w:line="280" w:lineRule="exact"/>
              <w:jc w:val="center"/>
              <w:textAlignment w:val="center"/>
              <w:rPr>
                <w:rStyle w:val="18"/>
                <w:rFonts w:hint="eastAsia" w:ascii="仿宋" w:hAnsi="仿宋" w:eastAsia="仿宋" w:cs="仿宋"/>
                <w:b w:val="0"/>
                <w:lang w:bidi="ar"/>
              </w:rPr>
            </w:pPr>
            <w:r>
              <w:rPr>
                <w:rStyle w:val="18"/>
                <w:rFonts w:hint="eastAsia" w:ascii="仿宋" w:hAnsi="仿宋" w:eastAsia="仿宋" w:cs="仿宋"/>
                <w:b w:val="0"/>
                <w:lang w:bidi="ar"/>
              </w:rPr>
              <w:t>安全生产</w:t>
            </w:r>
          </w:p>
          <w:p>
            <w:pPr>
              <w:widowControl/>
              <w:spacing w:line="280" w:lineRule="exact"/>
              <w:jc w:val="center"/>
              <w:textAlignment w:val="center"/>
              <w:rPr>
                <w:rStyle w:val="17"/>
                <w:rFonts w:hint="eastAsia" w:ascii="仿宋" w:hAnsi="仿宋" w:eastAsia="仿宋" w:cs="仿宋"/>
                <w:sz w:val="21"/>
                <w:szCs w:val="21"/>
                <w:lang w:bidi="ar"/>
              </w:rPr>
            </w:pPr>
            <w:r>
              <w:rPr>
                <w:rStyle w:val="18"/>
                <w:rFonts w:hint="eastAsia" w:ascii="仿宋" w:hAnsi="仿宋" w:eastAsia="仿宋" w:cs="仿宋"/>
                <w:b w:val="0"/>
                <w:lang w:bidi="ar"/>
              </w:rPr>
              <w:t>（</w:t>
            </w:r>
            <w:r>
              <w:rPr>
                <w:rStyle w:val="43"/>
                <w:rFonts w:hint="default" w:ascii="仿宋" w:hAnsi="仿宋" w:eastAsia="仿宋" w:cs="仿宋"/>
                <w:sz w:val="21"/>
                <w:szCs w:val="21"/>
                <w:lang w:bidi="ar"/>
              </w:rPr>
              <w:t>30</w:t>
            </w:r>
            <w:r>
              <w:rPr>
                <w:rStyle w:val="18"/>
                <w:rFonts w:hint="eastAsia" w:ascii="仿宋" w:hAnsi="仿宋" w:eastAsia="仿宋" w:cs="仿宋"/>
                <w:b w:val="0"/>
                <w:lang w:bidi="ar"/>
              </w:rPr>
              <w:t>分）</w:t>
            </w:r>
          </w:p>
        </w:tc>
        <w:tc>
          <w:tcPr>
            <w:tcW w:w="1245" w:type="dxa"/>
            <w:noWrap w:val="0"/>
            <w:vAlign w:val="center"/>
          </w:tcPr>
          <w:p>
            <w:pPr>
              <w:widowControl/>
              <w:spacing w:line="280" w:lineRule="exact"/>
              <w:jc w:val="center"/>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制度落实</w:t>
            </w:r>
          </w:p>
        </w:tc>
        <w:tc>
          <w:tcPr>
            <w:tcW w:w="674" w:type="dxa"/>
            <w:noWrap w:val="0"/>
            <w:vAlign w:val="center"/>
          </w:tcPr>
          <w:p>
            <w:pPr>
              <w:widowControl/>
              <w:spacing w:line="28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未健全安全生产责任制、安全管理制度、安全应急预案的，扣</w:t>
            </w:r>
            <w:r>
              <w:rPr>
                <w:rStyle w:val="43"/>
                <w:rFonts w:hint="default" w:ascii="仿宋" w:hAnsi="仿宋" w:eastAsia="仿宋" w:cs="仿宋"/>
                <w:sz w:val="21"/>
                <w:szCs w:val="21"/>
                <w:lang w:bidi="ar"/>
              </w:rPr>
              <w:t>1</w:t>
            </w:r>
            <w:r>
              <w:rPr>
                <w:rStyle w:val="17"/>
                <w:rFonts w:hint="eastAsia" w:ascii="仿宋" w:hAnsi="仿宋" w:eastAsia="仿宋" w:cs="仿宋"/>
                <w:sz w:val="21"/>
                <w:szCs w:val="21"/>
                <w:lang w:bidi="ar"/>
              </w:rPr>
              <w:t>分</w:t>
            </w:r>
            <w:r>
              <w:rPr>
                <w:rStyle w:val="43"/>
                <w:rFonts w:hint="default" w:ascii="仿宋" w:hAnsi="仿宋" w:eastAsia="仿宋" w:cs="仿宋"/>
                <w:sz w:val="21"/>
                <w:szCs w:val="21"/>
                <w:lang w:bidi="ar"/>
              </w:rPr>
              <w:t>/</w:t>
            </w:r>
            <w:r>
              <w:rPr>
                <w:rStyle w:val="17"/>
                <w:rFonts w:hint="eastAsia" w:ascii="仿宋" w:hAnsi="仿宋" w:eastAsia="仿宋" w:cs="仿宋"/>
                <w:sz w:val="21"/>
                <w:szCs w:val="21"/>
                <w:lang w:bidi="ar"/>
              </w:rPr>
              <w:t>项；缺失2项以上不得分。</w:t>
            </w:r>
          </w:p>
        </w:tc>
        <w:tc>
          <w:tcPr>
            <w:tcW w:w="2184" w:type="dxa"/>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行业内部数据共享</w:t>
            </w:r>
          </w:p>
        </w:tc>
        <w:tc>
          <w:tcPr>
            <w:tcW w:w="682" w:type="dxa"/>
            <w:noWrap w:val="0"/>
            <w:vAlign w:val="center"/>
          </w:tcPr>
          <w:p>
            <w:pPr>
              <w:spacing w:line="280" w:lineRule="exac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06" w:type="dxa"/>
            <w:noWrap w:val="0"/>
            <w:vAlign w:val="center"/>
          </w:tcPr>
          <w:p>
            <w:pPr>
              <w:widowControl/>
              <w:spacing w:line="280" w:lineRule="exact"/>
              <w:jc w:val="center"/>
              <w:textAlignment w:val="center"/>
              <w:rPr>
                <w:rStyle w:val="17"/>
                <w:rFonts w:hint="eastAsia" w:ascii="仿宋" w:hAnsi="仿宋" w:eastAsia="仿宋" w:cs="仿宋"/>
                <w:sz w:val="21"/>
                <w:szCs w:val="21"/>
                <w:lang w:bidi="ar"/>
              </w:rPr>
            </w:pPr>
            <w:r>
              <w:rPr>
                <w:rStyle w:val="17"/>
                <w:rFonts w:hint="eastAsia" w:ascii="仿宋" w:hAnsi="仿宋" w:eastAsia="仿宋" w:cs="仿宋"/>
                <w:sz w:val="21"/>
                <w:szCs w:val="21"/>
                <w:lang w:bidi="ar"/>
              </w:rPr>
              <w:t>6</w:t>
            </w:r>
          </w:p>
        </w:tc>
        <w:tc>
          <w:tcPr>
            <w:tcW w:w="1334" w:type="dxa"/>
            <w:vMerge w:val="continue"/>
            <w:noWrap w:val="0"/>
            <w:vAlign w:val="center"/>
          </w:tcPr>
          <w:p>
            <w:pPr>
              <w:widowControl/>
              <w:spacing w:line="280" w:lineRule="exact"/>
              <w:jc w:val="center"/>
              <w:textAlignment w:val="center"/>
              <w:rPr>
                <w:rStyle w:val="17"/>
                <w:rFonts w:hint="eastAsia" w:ascii="仿宋" w:hAnsi="仿宋" w:eastAsia="仿宋" w:cs="仿宋"/>
                <w:sz w:val="21"/>
                <w:szCs w:val="21"/>
                <w:lang w:bidi="ar"/>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Cs w:val="21"/>
                <w:lang w:bidi="ar"/>
              </w:rPr>
            </w:pPr>
            <w:r>
              <w:rPr>
                <w:rStyle w:val="17"/>
                <w:rFonts w:hint="eastAsia" w:ascii="仿宋" w:hAnsi="仿宋" w:eastAsia="仿宋" w:cs="仿宋"/>
                <w:sz w:val="21"/>
                <w:szCs w:val="21"/>
                <w:lang w:bidi="ar"/>
              </w:rPr>
              <w:t>操作规程</w:t>
            </w:r>
          </w:p>
        </w:tc>
        <w:tc>
          <w:tcPr>
            <w:tcW w:w="674" w:type="dxa"/>
            <w:noWrap w:val="0"/>
            <w:vAlign w:val="center"/>
          </w:tcPr>
          <w:p>
            <w:pPr>
              <w:widowControl/>
              <w:spacing w:line="280" w:lineRule="exact"/>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6496" w:type="dxa"/>
            <w:gridSpan w:val="2"/>
            <w:noWrap w:val="0"/>
            <w:vAlign w:val="center"/>
          </w:tcPr>
          <w:p>
            <w:pPr>
              <w:widowControl/>
              <w:spacing w:line="280" w:lineRule="exact"/>
              <w:jc w:val="left"/>
              <w:textAlignment w:val="center"/>
              <w:rPr>
                <w:rStyle w:val="17"/>
                <w:rFonts w:hint="eastAsia" w:ascii="仿宋" w:hAnsi="仿宋" w:eastAsia="仿宋" w:cs="仿宋"/>
                <w:sz w:val="21"/>
                <w:szCs w:val="21"/>
                <w:lang w:bidi="ar"/>
              </w:rPr>
            </w:pPr>
            <w:r>
              <w:rPr>
                <w:rStyle w:val="17"/>
                <w:rFonts w:hint="eastAsia" w:ascii="仿宋" w:hAnsi="仿宋" w:eastAsia="仿宋" w:cs="仿宋"/>
                <w:sz w:val="21"/>
                <w:szCs w:val="21"/>
                <w:lang w:bidi="ar"/>
              </w:rPr>
              <w:t>各类机电设备安全操作规程未上墙、技术工人未按操作规程操作的，扣1分</w:t>
            </w:r>
            <w:r>
              <w:rPr>
                <w:rStyle w:val="43"/>
                <w:rFonts w:hint="default" w:ascii="仿宋" w:hAnsi="仿宋" w:eastAsia="仿宋" w:cs="仿宋"/>
                <w:sz w:val="21"/>
                <w:szCs w:val="21"/>
                <w:lang w:bidi="ar"/>
              </w:rPr>
              <w:t>/</w:t>
            </w:r>
            <w:r>
              <w:rPr>
                <w:rStyle w:val="17"/>
                <w:rFonts w:hint="eastAsia" w:ascii="仿宋" w:hAnsi="仿宋" w:eastAsia="仿宋" w:cs="仿宋"/>
                <w:sz w:val="21"/>
                <w:szCs w:val="21"/>
                <w:lang w:bidi="ar"/>
              </w:rPr>
              <w:t>项。</w:t>
            </w:r>
          </w:p>
        </w:tc>
        <w:tc>
          <w:tcPr>
            <w:tcW w:w="2184" w:type="dxa"/>
            <w:noWrap w:val="0"/>
            <w:vAlign w:val="center"/>
          </w:tcPr>
          <w:p>
            <w:pPr>
              <w:widowControl/>
              <w:spacing w:line="280" w:lineRule="exact"/>
              <w:jc w:val="left"/>
              <w:textAlignment w:val="center"/>
              <w:rPr>
                <w:rStyle w:val="17"/>
                <w:rFonts w:hint="eastAsia" w:ascii="仿宋" w:hAnsi="仿宋" w:eastAsia="仿宋" w:cs="仿宋"/>
                <w:sz w:val="21"/>
                <w:szCs w:val="21"/>
                <w:lang w:bidi="ar"/>
              </w:rPr>
            </w:pPr>
            <w:r>
              <w:rPr>
                <w:rStyle w:val="17"/>
                <w:rFonts w:hint="eastAsia" w:ascii="仿宋" w:hAnsi="仿宋" w:eastAsia="仿宋" w:cs="仿宋"/>
                <w:sz w:val="21"/>
                <w:szCs w:val="21"/>
                <w:lang w:bidi="ar"/>
              </w:rPr>
              <w:t>行业内部数据共享</w:t>
            </w:r>
          </w:p>
        </w:tc>
        <w:tc>
          <w:tcPr>
            <w:tcW w:w="682" w:type="dxa"/>
            <w:noWrap w:val="0"/>
            <w:vAlign w:val="center"/>
          </w:tcPr>
          <w:p>
            <w:pPr>
              <w:spacing w:line="280" w:lineRule="exac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7</w:t>
            </w:r>
          </w:p>
        </w:tc>
        <w:tc>
          <w:tcPr>
            <w:tcW w:w="1334" w:type="dxa"/>
            <w:vMerge w:val="continue"/>
            <w:noWrap w:val="0"/>
            <w:vAlign w:val="center"/>
          </w:tcPr>
          <w:p>
            <w:pPr>
              <w:widowControl/>
              <w:spacing w:line="280" w:lineRule="exact"/>
              <w:jc w:val="center"/>
              <w:textAlignment w:val="center"/>
              <w:rPr>
                <w:rStyle w:val="17"/>
                <w:rFonts w:hint="eastAsia" w:ascii="仿宋" w:hAnsi="仿宋" w:eastAsia="仿宋" w:cs="仿宋"/>
                <w:sz w:val="21"/>
                <w:szCs w:val="21"/>
                <w:lang w:bidi="ar"/>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劳动保护</w:t>
            </w:r>
          </w:p>
        </w:tc>
        <w:tc>
          <w:tcPr>
            <w:tcW w:w="674" w:type="dxa"/>
            <w:noWrap w:val="0"/>
            <w:vAlign w:val="center"/>
          </w:tcPr>
          <w:p>
            <w:pPr>
              <w:widowControl/>
              <w:spacing w:line="280" w:lineRule="exac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未按规定为技术人员（钣金、涂漆）配备护听器、眼护具、防尘口罩、防毒护具、防护手套、防护服等劳动防护用品或技术人员未按规定使用佩戴劳动防护用品的，扣</w:t>
            </w:r>
            <w:r>
              <w:rPr>
                <w:rStyle w:val="43"/>
                <w:rFonts w:hint="default" w:ascii="仿宋" w:hAnsi="仿宋" w:eastAsia="仿宋" w:cs="仿宋"/>
                <w:sz w:val="21"/>
                <w:szCs w:val="21"/>
                <w:lang w:bidi="ar"/>
              </w:rPr>
              <w:t>1</w:t>
            </w:r>
            <w:r>
              <w:rPr>
                <w:rStyle w:val="17"/>
                <w:rFonts w:hint="eastAsia" w:ascii="仿宋" w:hAnsi="仿宋" w:eastAsia="仿宋" w:cs="仿宋"/>
                <w:sz w:val="21"/>
                <w:szCs w:val="21"/>
                <w:lang w:bidi="ar"/>
              </w:rPr>
              <w:t>分</w:t>
            </w:r>
            <w:r>
              <w:rPr>
                <w:rStyle w:val="43"/>
                <w:rFonts w:hint="default" w:ascii="仿宋" w:hAnsi="仿宋" w:eastAsia="仿宋" w:cs="仿宋"/>
                <w:sz w:val="21"/>
                <w:szCs w:val="21"/>
                <w:lang w:bidi="ar"/>
              </w:rPr>
              <w:t>/</w:t>
            </w:r>
            <w:r>
              <w:rPr>
                <w:rStyle w:val="17"/>
                <w:rFonts w:hint="eastAsia" w:ascii="仿宋" w:hAnsi="仿宋" w:eastAsia="仿宋" w:cs="仿宋"/>
                <w:sz w:val="21"/>
                <w:szCs w:val="21"/>
                <w:lang w:bidi="ar"/>
              </w:rPr>
              <w:t>项。</w:t>
            </w:r>
          </w:p>
        </w:tc>
        <w:tc>
          <w:tcPr>
            <w:tcW w:w="2184" w:type="dxa"/>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行业内部数据共享</w:t>
            </w:r>
          </w:p>
        </w:tc>
        <w:tc>
          <w:tcPr>
            <w:tcW w:w="682" w:type="dxa"/>
            <w:noWrap w:val="0"/>
            <w:vAlign w:val="center"/>
          </w:tcPr>
          <w:p>
            <w:pPr>
              <w:spacing w:line="280" w:lineRule="exac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8</w:t>
            </w:r>
          </w:p>
        </w:tc>
        <w:tc>
          <w:tcPr>
            <w:tcW w:w="1334" w:type="dxa"/>
            <w:vMerge w:val="continue"/>
            <w:noWrap w:val="0"/>
            <w:vAlign w:val="center"/>
          </w:tcPr>
          <w:p>
            <w:pPr>
              <w:widowControl/>
              <w:spacing w:line="280" w:lineRule="exact"/>
              <w:jc w:val="center"/>
              <w:textAlignment w:val="center"/>
              <w:rPr>
                <w:rStyle w:val="17"/>
                <w:rFonts w:hint="eastAsia" w:ascii="仿宋" w:hAnsi="仿宋" w:eastAsia="仿宋" w:cs="仿宋"/>
                <w:sz w:val="21"/>
                <w:szCs w:val="21"/>
                <w:lang w:bidi="ar"/>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安全事故</w:t>
            </w:r>
          </w:p>
        </w:tc>
        <w:tc>
          <w:tcPr>
            <w:tcW w:w="674" w:type="dxa"/>
            <w:noWrap w:val="0"/>
            <w:vAlign w:val="center"/>
          </w:tcPr>
          <w:p>
            <w:pPr>
              <w:widowControl/>
              <w:spacing w:line="280" w:lineRule="exac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发生生产安全责任事故和维修质量责任事故的，扣</w:t>
            </w:r>
            <w:r>
              <w:rPr>
                <w:rStyle w:val="43"/>
                <w:rFonts w:hint="default" w:ascii="仿宋" w:hAnsi="仿宋" w:eastAsia="仿宋" w:cs="仿宋"/>
                <w:sz w:val="21"/>
                <w:szCs w:val="21"/>
                <w:lang w:bidi="ar"/>
              </w:rPr>
              <w:t>10</w:t>
            </w:r>
            <w:r>
              <w:rPr>
                <w:rStyle w:val="17"/>
                <w:rFonts w:hint="eastAsia" w:ascii="仿宋" w:hAnsi="仿宋" w:eastAsia="仿宋" w:cs="仿宋"/>
                <w:sz w:val="21"/>
                <w:szCs w:val="21"/>
                <w:lang w:bidi="ar"/>
              </w:rPr>
              <w:t>分</w:t>
            </w:r>
            <w:r>
              <w:rPr>
                <w:rStyle w:val="43"/>
                <w:rFonts w:hint="default" w:ascii="仿宋" w:hAnsi="仿宋" w:eastAsia="仿宋" w:cs="仿宋"/>
                <w:sz w:val="21"/>
                <w:szCs w:val="21"/>
                <w:lang w:bidi="ar"/>
              </w:rPr>
              <w:t>/起</w:t>
            </w:r>
            <w:r>
              <w:rPr>
                <w:rStyle w:val="17"/>
                <w:rFonts w:hint="eastAsia" w:ascii="仿宋" w:hAnsi="仿宋" w:eastAsia="仿宋" w:cs="仿宋"/>
                <w:sz w:val="21"/>
                <w:szCs w:val="21"/>
                <w:lang w:bidi="ar"/>
              </w:rPr>
              <w:t>；造成人员死亡的，信用等级直接确定为</w:t>
            </w:r>
            <w:r>
              <w:rPr>
                <w:rStyle w:val="43"/>
                <w:rFonts w:hint="default" w:ascii="仿宋" w:hAnsi="仿宋" w:eastAsia="仿宋" w:cs="仿宋"/>
                <w:sz w:val="21"/>
                <w:szCs w:val="21"/>
                <w:lang w:bidi="ar"/>
              </w:rPr>
              <w:t>D</w:t>
            </w:r>
            <w:r>
              <w:rPr>
                <w:rStyle w:val="17"/>
                <w:rFonts w:hint="eastAsia" w:ascii="仿宋" w:hAnsi="仿宋" w:eastAsia="仿宋" w:cs="仿宋"/>
                <w:sz w:val="21"/>
                <w:szCs w:val="21"/>
                <w:lang w:bidi="ar"/>
              </w:rPr>
              <w:t>级。</w:t>
            </w:r>
          </w:p>
        </w:tc>
        <w:tc>
          <w:tcPr>
            <w:tcW w:w="2184" w:type="dxa"/>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行业内部数据共享，公安部门、应急管理局等提供信息</w:t>
            </w:r>
          </w:p>
        </w:tc>
        <w:tc>
          <w:tcPr>
            <w:tcW w:w="682" w:type="dxa"/>
            <w:noWrap w:val="0"/>
            <w:vAlign w:val="center"/>
          </w:tcPr>
          <w:p>
            <w:pPr>
              <w:spacing w:line="280" w:lineRule="exac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9</w:t>
            </w:r>
          </w:p>
        </w:tc>
        <w:tc>
          <w:tcPr>
            <w:tcW w:w="1334" w:type="dxa"/>
            <w:vMerge w:val="restart"/>
            <w:noWrap w:val="0"/>
            <w:vAlign w:val="center"/>
          </w:tcPr>
          <w:p>
            <w:pPr>
              <w:widowControl/>
              <w:spacing w:line="280" w:lineRule="exact"/>
              <w:jc w:val="center"/>
              <w:textAlignment w:val="center"/>
              <w:rPr>
                <w:rStyle w:val="18"/>
                <w:rFonts w:hint="eastAsia" w:ascii="仿宋" w:hAnsi="仿宋" w:eastAsia="仿宋" w:cs="仿宋"/>
                <w:lang w:bidi="ar"/>
              </w:rPr>
            </w:pPr>
            <w:r>
              <w:rPr>
                <w:rStyle w:val="18"/>
                <w:rFonts w:hint="eastAsia" w:ascii="仿宋" w:hAnsi="仿宋" w:eastAsia="仿宋" w:cs="仿宋"/>
                <w:lang w:bidi="ar"/>
              </w:rPr>
              <w:t>服务质量</w:t>
            </w:r>
          </w:p>
          <w:p>
            <w:pPr>
              <w:widowControl/>
              <w:spacing w:line="280" w:lineRule="exact"/>
              <w:jc w:val="center"/>
              <w:textAlignment w:val="center"/>
              <w:rPr>
                <w:rStyle w:val="17"/>
                <w:rFonts w:hint="eastAsia" w:ascii="仿宋" w:hAnsi="仿宋" w:eastAsia="仿宋" w:cs="仿宋"/>
                <w:lang w:bidi="ar"/>
              </w:rPr>
            </w:pPr>
            <w:r>
              <w:rPr>
                <w:rStyle w:val="18"/>
                <w:rFonts w:hint="eastAsia" w:ascii="仿宋" w:hAnsi="仿宋" w:eastAsia="仿宋" w:cs="仿宋"/>
                <w:lang w:bidi="ar"/>
              </w:rPr>
              <w:t>（</w:t>
            </w:r>
            <w:r>
              <w:rPr>
                <w:rStyle w:val="43"/>
                <w:rFonts w:hint="default" w:ascii="仿宋" w:hAnsi="仿宋" w:eastAsia="仿宋" w:cs="仿宋"/>
                <w:lang w:bidi="ar"/>
              </w:rPr>
              <w:t>20</w:t>
            </w:r>
            <w:r>
              <w:rPr>
                <w:rStyle w:val="18"/>
                <w:rFonts w:hint="eastAsia" w:ascii="仿宋" w:hAnsi="仿宋" w:eastAsia="仿宋" w:cs="仿宋"/>
                <w:lang w:bidi="ar"/>
              </w:rPr>
              <w:t>分）</w:t>
            </w: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rPr>
            </w:pPr>
            <w:r>
              <w:rPr>
                <w:rStyle w:val="17"/>
                <w:rFonts w:hint="eastAsia" w:ascii="仿宋" w:hAnsi="仿宋" w:eastAsia="仿宋" w:cs="仿宋"/>
                <w:lang w:bidi="ar"/>
              </w:rPr>
              <w:t>业务受理</w:t>
            </w:r>
          </w:p>
        </w:tc>
        <w:tc>
          <w:tcPr>
            <w:tcW w:w="674"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5</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未建立业务受理程序、服务质量承诺、客户抱怨受理程序、维修质量保证期制度的，扣1分</w:t>
            </w:r>
            <w:r>
              <w:rPr>
                <w:rStyle w:val="43"/>
                <w:rFonts w:hint="default" w:ascii="仿宋" w:hAnsi="仿宋" w:eastAsia="仿宋" w:cs="仿宋"/>
                <w:lang w:bidi="ar"/>
              </w:rPr>
              <w:t>/</w:t>
            </w:r>
            <w:r>
              <w:rPr>
                <w:rStyle w:val="17"/>
                <w:rFonts w:hint="eastAsia" w:ascii="仿宋" w:hAnsi="仿宋" w:eastAsia="仿宋" w:cs="仿宋"/>
                <w:lang w:bidi="ar"/>
              </w:rPr>
              <w:t>项；未提供汽车紧急维修救援服务时间、电话、收费标准的，扣</w:t>
            </w:r>
            <w:r>
              <w:rPr>
                <w:rStyle w:val="43"/>
                <w:rFonts w:hint="default" w:ascii="仿宋" w:hAnsi="仿宋" w:eastAsia="仿宋" w:cs="仿宋"/>
                <w:lang w:bidi="ar"/>
              </w:rPr>
              <w:t>1</w:t>
            </w:r>
            <w:r>
              <w:rPr>
                <w:rStyle w:val="17"/>
                <w:rFonts w:hint="eastAsia" w:ascii="仿宋" w:hAnsi="仿宋" w:eastAsia="仿宋" w:cs="仿宋"/>
                <w:lang w:bidi="ar"/>
              </w:rPr>
              <w:t>分</w:t>
            </w:r>
            <w:r>
              <w:rPr>
                <w:rStyle w:val="43"/>
                <w:rFonts w:hint="default" w:ascii="仿宋" w:hAnsi="仿宋" w:eastAsia="仿宋" w:cs="仿宋"/>
                <w:lang w:bidi="ar"/>
              </w:rPr>
              <w:t>/</w:t>
            </w:r>
            <w:r>
              <w:rPr>
                <w:rStyle w:val="17"/>
                <w:rFonts w:hint="eastAsia" w:ascii="仿宋" w:hAnsi="仿宋" w:eastAsia="仿宋" w:cs="仿宋"/>
                <w:lang w:bidi="ar"/>
              </w:rPr>
              <w:t>项，分别缺失3项以上不得分。</w:t>
            </w:r>
          </w:p>
        </w:tc>
        <w:tc>
          <w:tcPr>
            <w:tcW w:w="2184" w:type="dxa"/>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消费者投诉，行业内部数据共享</w:t>
            </w:r>
          </w:p>
        </w:tc>
        <w:tc>
          <w:tcPr>
            <w:tcW w:w="682" w:type="dxa"/>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10</w:t>
            </w:r>
          </w:p>
        </w:tc>
        <w:tc>
          <w:tcPr>
            <w:tcW w:w="1334" w:type="dxa"/>
            <w:vMerge w:val="continue"/>
            <w:noWrap w:val="0"/>
            <w:vAlign w:val="center"/>
          </w:tcPr>
          <w:p>
            <w:pPr>
              <w:widowControl/>
              <w:spacing w:line="280" w:lineRule="exact"/>
              <w:jc w:val="center"/>
              <w:textAlignment w:val="center"/>
              <w:rPr>
                <w:rStyle w:val="17"/>
                <w:rFonts w:hint="eastAsia" w:ascii="仿宋" w:hAnsi="仿宋" w:eastAsia="仿宋" w:cs="仿宋"/>
                <w:lang w:bidi="ar"/>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rPr>
            </w:pPr>
            <w:r>
              <w:rPr>
                <w:rStyle w:val="17"/>
                <w:rFonts w:hint="eastAsia" w:ascii="仿宋" w:hAnsi="仿宋" w:eastAsia="仿宋" w:cs="仿宋"/>
                <w:lang w:bidi="ar"/>
              </w:rPr>
              <w:t>价格公示</w:t>
            </w:r>
          </w:p>
        </w:tc>
        <w:tc>
          <w:tcPr>
            <w:tcW w:w="674"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5</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未在醒目位置公示经过备案的主要维修项目收费价格、维修工时定额、工时单价、常用配件现行价格的，扣1分</w:t>
            </w:r>
            <w:r>
              <w:rPr>
                <w:rStyle w:val="43"/>
                <w:rFonts w:hint="default" w:ascii="仿宋" w:hAnsi="仿宋" w:eastAsia="仿宋" w:cs="仿宋"/>
                <w:lang w:bidi="ar"/>
              </w:rPr>
              <w:t>/</w:t>
            </w:r>
            <w:r>
              <w:rPr>
                <w:rStyle w:val="17"/>
                <w:rFonts w:hint="eastAsia" w:ascii="仿宋" w:hAnsi="仿宋" w:eastAsia="仿宋" w:cs="仿宋"/>
                <w:lang w:bidi="ar"/>
              </w:rPr>
              <w:t>项；缺失3项以上不得分。</w:t>
            </w:r>
          </w:p>
        </w:tc>
        <w:tc>
          <w:tcPr>
            <w:tcW w:w="2184" w:type="dxa"/>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消费者投诉，行业内部数据共享</w:t>
            </w:r>
          </w:p>
        </w:tc>
        <w:tc>
          <w:tcPr>
            <w:tcW w:w="682" w:type="dxa"/>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11</w:t>
            </w:r>
          </w:p>
        </w:tc>
        <w:tc>
          <w:tcPr>
            <w:tcW w:w="1334" w:type="dxa"/>
            <w:vMerge w:val="continue"/>
            <w:noWrap w:val="0"/>
            <w:vAlign w:val="center"/>
          </w:tcPr>
          <w:p>
            <w:pPr>
              <w:widowControl/>
              <w:spacing w:line="280" w:lineRule="exact"/>
              <w:jc w:val="center"/>
              <w:textAlignment w:val="center"/>
              <w:rPr>
                <w:rFonts w:hint="eastAsia" w:ascii="仿宋" w:hAnsi="仿宋" w:eastAsia="仿宋" w:cs="仿宋"/>
                <w:color w:val="000000"/>
                <w:sz w:val="20"/>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服务流程</w:t>
            </w:r>
          </w:p>
        </w:tc>
        <w:tc>
          <w:tcPr>
            <w:tcW w:w="674"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5</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 w:val="20"/>
              </w:rPr>
            </w:pPr>
            <w:r>
              <w:rPr>
                <w:rFonts w:hint="eastAsia" w:ascii="仿宋" w:hAnsi="仿宋" w:eastAsia="仿宋" w:cs="仿宋"/>
                <w:color w:val="000000"/>
                <w:sz w:val="20"/>
              </w:rPr>
              <w:t>未建立客户维修接待、进厂检验、签订合同、维修作业与过程检验、竣工检验、结算交车、返修处理、跟踪服务等制度的，</w:t>
            </w:r>
            <w:r>
              <w:rPr>
                <w:rStyle w:val="17"/>
                <w:rFonts w:hint="eastAsia" w:ascii="仿宋" w:hAnsi="仿宋" w:eastAsia="仿宋" w:cs="仿宋"/>
                <w:lang w:bidi="ar"/>
              </w:rPr>
              <w:t>扣1分</w:t>
            </w:r>
            <w:r>
              <w:rPr>
                <w:rStyle w:val="43"/>
                <w:rFonts w:hint="default" w:ascii="仿宋" w:hAnsi="仿宋" w:eastAsia="仿宋" w:cs="仿宋"/>
                <w:lang w:bidi="ar"/>
              </w:rPr>
              <w:t>/</w:t>
            </w:r>
            <w:r>
              <w:rPr>
                <w:rStyle w:val="17"/>
                <w:rFonts w:hint="eastAsia" w:ascii="仿宋" w:hAnsi="仿宋" w:eastAsia="仿宋" w:cs="仿宋"/>
                <w:lang w:bidi="ar"/>
              </w:rPr>
              <w:t>项；缺失3项以上不得分。</w:t>
            </w:r>
          </w:p>
        </w:tc>
        <w:tc>
          <w:tcPr>
            <w:tcW w:w="2184" w:type="dxa"/>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消费者投诉，行业内部数据共享</w:t>
            </w:r>
          </w:p>
        </w:tc>
        <w:tc>
          <w:tcPr>
            <w:tcW w:w="682" w:type="dxa"/>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12</w:t>
            </w:r>
          </w:p>
        </w:tc>
        <w:tc>
          <w:tcPr>
            <w:tcW w:w="1334" w:type="dxa"/>
            <w:vMerge w:val="continue"/>
            <w:noWrap w:val="0"/>
            <w:vAlign w:val="center"/>
          </w:tcPr>
          <w:p>
            <w:pPr>
              <w:widowControl/>
              <w:spacing w:line="280" w:lineRule="exact"/>
              <w:jc w:val="center"/>
              <w:textAlignment w:val="center"/>
              <w:rPr>
                <w:rFonts w:hint="eastAsia" w:ascii="仿宋" w:hAnsi="仿宋" w:eastAsia="仿宋" w:cs="仿宋"/>
                <w:color w:val="000000"/>
                <w:sz w:val="20"/>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配件管理</w:t>
            </w:r>
          </w:p>
        </w:tc>
        <w:tc>
          <w:tcPr>
            <w:tcW w:w="674"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5</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 w:val="20"/>
              </w:rPr>
            </w:pPr>
            <w:r>
              <w:rPr>
                <w:rFonts w:hint="eastAsia" w:ascii="仿宋" w:hAnsi="仿宋" w:eastAsia="仿宋" w:cs="仿宋"/>
                <w:color w:val="000000"/>
                <w:sz w:val="20"/>
              </w:rPr>
              <w:t>未建立采购配件登记制度、进行配件验收、查验产品合格证的，不得分；配件登记卡</w:t>
            </w:r>
            <w:r>
              <w:rPr>
                <w:rStyle w:val="17"/>
                <w:rFonts w:hint="eastAsia" w:ascii="仿宋" w:hAnsi="仿宋" w:eastAsia="仿宋" w:cs="仿宋"/>
                <w:lang w:bidi="ar"/>
              </w:rPr>
              <w:t>缺厂名、地址、配件名称、规格型号等信息的，扣2分</w:t>
            </w:r>
            <w:r>
              <w:rPr>
                <w:rStyle w:val="43"/>
                <w:rFonts w:hint="default" w:ascii="仿宋" w:hAnsi="仿宋" w:eastAsia="仿宋" w:cs="仿宋"/>
                <w:lang w:bidi="ar"/>
              </w:rPr>
              <w:t>/</w:t>
            </w:r>
            <w:r>
              <w:rPr>
                <w:rStyle w:val="17"/>
                <w:rFonts w:hint="eastAsia" w:ascii="仿宋" w:hAnsi="仿宋" w:eastAsia="仿宋" w:cs="仿宋"/>
                <w:lang w:bidi="ar"/>
              </w:rPr>
              <w:t>项，缺失2项以上不得分。</w:t>
            </w:r>
          </w:p>
        </w:tc>
        <w:tc>
          <w:tcPr>
            <w:tcW w:w="2184" w:type="dxa"/>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消费者投诉，行业内部数据共享</w:t>
            </w:r>
          </w:p>
        </w:tc>
        <w:tc>
          <w:tcPr>
            <w:tcW w:w="682" w:type="dxa"/>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06" w:type="dxa"/>
            <w:noWrap w:val="0"/>
            <w:vAlign w:val="center"/>
          </w:tcPr>
          <w:p>
            <w:pPr>
              <w:widowControl/>
              <w:spacing w:line="280" w:lineRule="exact"/>
              <w:jc w:val="center"/>
              <w:textAlignment w:val="center"/>
              <w:rPr>
                <w:rStyle w:val="17"/>
                <w:rFonts w:hint="eastAsia" w:ascii="仿宋" w:hAnsi="仿宋" w:eastAsia="仿宋" w:cs="仿宋"/>
                <w:lang w:bidi="ar"/>
              </w:rPr>
            </w:pPr>
            <w:r>
              <w:rPr>
                <w:rStyle w:val="17"/>
                <w:rFonts w:hint="eastAsia" w:ascii="仿宋" w:hAnsi="仿宋" w:eastAsia="仿宋" w:cs="仿宋"/>
                <w:lang w:bidi="ar"/>
              </w:rPr>
              <w:t>13</w:t>
            </w:r>
          </w:p>
        </w:tc>
        <w:tc>
          <w:tcPr>
            <w:tcW w:w="1334" w:type="dxa"/>
            <w:vMerge w:val="restart"/>
            <w:noWrap w:val="0"/>
            <w:vAlign w:val="center"/>
          </w:tcPr>
          <w:p>
            <w:pPr>
              <w:widowControl/>
              <w:spacing w:line="280" w:lineRule="exact"/>
              <w:jc w:val="center"/>
              <w:textAlignment w:val="center"/>
              <w:rPr>
                <w:rStyle w:val="18"/>
                <w:rFonts w:hint="eastAsia" w:ascii="仿宋" w:hAnsi="仿宋" w:eastAsia="仿宋" w:cs="仿宋"/>
                <w:lang w:bidi="ar"/>
              </w:rPr>
            </w:pPr>
            <w:r>
              <w:rPr>
                <w:rStyle w:val="18"/>
                <w:rFonts w:hint="eastAsia" w:ascii="仿宋" w:hAnsi="仿宋" w:eastAsia="仿宋" w:cs="仿宋"/>
                <w:lang w:bidi="ar"/>
              </w:rPr>
              <w:t>社会责任</w:t>
            </w:r>
          </w:p>
          <w:p>
            <w:pPr>
              <w:widowControl/>
              <w:spacing w:line="280" w:lineRule="exact"/>
              <w:jc w:val="center"/>
              <w:textAlignment w:val="center"/>
              <w:rPr>
                <w:rStyle w:val="17"/>
                <w:rFonts w:hint="eastAsia" w:ascii="仿宋" w:hAnsi="仿宋" w:eastAsia="仿宋" w:cs="仿宋"/>
                <w:lang w:bidi="ar"/>
              </w:rPr>
            </w:pPr>
            <w:r>
              <w:rPr>
                <w:rStyle w:val="18"/>
                <w:rFonts w:hint="eastAsia" w:ascii="仿宋" w:hAnsi="仿宋" w:eastAsia="仿宋" w:cs="仿宋"/>
                <w:lang w:bidi="ar"/>
              </w:rPr>
              <w:t>（</w:t>
            </w:r>
            <w:r>
              <w:rPr>
                <w:rStyle w:val="42"/>
                <w:rFonts w:hint="eastAsia" w:ascii="仿宋" w:hAnsi="仿宋" w:eastAsia="仿宋" w:cs="仿宋"/>
                <w:lang w:bidi="ar"/>
              </w:rPr>
              <w:t>25</w:t>
            </w:r>
            <w:r>
              <w:rPr>
                <w:rStyle w:val="18"/>
                <w:rFonts w:hint="eastAsia" w:ascii="仿宋" w:hAnsi="仿宋" w:eastAsia="仿宋" w:cs="仿宋"/>
                <w:lang w:bidi="ar"/>
              </w:rPr>
              <w:t>分）</w:t>
            </w: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lang w:bidi="ar"/>
              </w:rPr>
            </w:pPr>
            <w:r>
              <w:rPr>
                <w:rStyle w:val="17"/>
                <w:rFonts w:hint="eastAsia" w:ascii="仿宋" w:hAnsi="仿宋" w:eastAsia="仿宋" w:cs="仿宋"/>
                <w:lang w:bidi="ar"/>
              </w:rPr>
              <w:t>监督检查</w:t>
            </w:r>
          </w:p>
        </w:tc>
        <w:tc>
          <w:tcPr>
            <w:tcW w:w="674" w:type="dxa"/>
            <w:noWrap w:val="0"/>
            <w:vAlign w:val="center"/>
          </w:tcPr>
          <w:p>
            <w:pPr>
              <w:widowControl/>
              <w:spacing w:line="280" w:lineRule="exact"/>
              <w:jc w:val="center"/>
              <w:textAlignment w:val="center"/>
              <w:rPr>
                <w:rFonts w:hint="eastAsia" w:ascii="仿宋" w:hAnsi="仿宋" w:eastAsia="仿宋" w:cs="仿宋"/>
                <w:color w:val="000000"/>
                <w:kern w:val="0"/>
                <w:sz w:val="20"/>
                <w:lang w:bidi="ar"/>
              </w:rPr>
            </w:pPr>
            <w:r>
              <w:rPr>
                <w:rFonts w:hint="eastAsia" w:ascii="仿宋" w:hAnsi="仿宋" w:eastAsia="仿宋" w:cs="仿宋"/>
                <w:color w:val="000000"/>
                <w:kern w:val="0"/>
                <w:sz w:val="20"/>
                <w:lang w:bidi="ar"/>
              </w:rPr>
              <w:t>5</w:t>
            </w:r>
          </w:p>
        </w:tc>
        <w:tc>
          <w:tcPr>
            <w:tcW w:w="6496" w:type="dxa"/>
            <w:gridSpan w:val="2"/>
            <w:noWrap w:val="0"/>
            <w:vAlign w:val="center"/>
          </w:tcPr>
          <w:p>
            <w:pPr>
              <w:widowControl/>
              <w:spacing w:line="280" w:lineRule="exact"/>
              <w:jc w:val="left"/>
              <w:textAlignment w:val="center"/>
              <w:rPr>
                <w:rStyle w:val="17"/>
                <w:rFonts w:hint="eastAsia" w:ascii="仿宋" w:hAnsi="仿宋" w:eastAsia="仿宋" w:cs="仿宋"/>
                <w:lang w:bidi="ar"/>
              </w:rPr>
            </w:pPr>
            <w:r>
              <w:rPr>
                <w:rStyle w:val="17"/>
                <w:rFonts w:hint="eastAsia" w:ascii="仿宋" w:hAnsi="仿宋" w:eastAsia="仿宋" w:cs="仿宋"/>
                <w:lang w:bidi="ar"/>
              </w:rPr>
              <w:t>在日常监督检查中发现违反相关法规、规章、行业标准等行为的，扣</w:t>
            </w:r>
            <w:r>
              <w:rPr>
                <w:rStyle w:val="43"/>
                <w:rFonts w:hint="default" w:ascii="仿宋" w:hAnsi="仿宋" w:eastAsia="仿宋" w:cs="仿宋"/>
                <w:lang w:bidi="ar"/>
              </w:rPr>
              <w:t>2</w:t>
            </w:r>
            <w:r>
              <w:rPr>
                <w:rStyle w:val="17"/>
                <w:rFonts w:hint="eastAsia" w:ascii="仿宋" w:hAnsi="仿宋" w:eastAsia="仿宋" w:cs="仿宋"/>
                <w:lang w:bidi="ar"/>
              </w:rPr>
              <w:t>分</w:t>
            </w:r>
            <w:r>
              <w:rPr>
                <w:rStyle w:val="43"/>
                <w:rFonts w:hint="default" w:ascii="仿宋" w:hAnsi="仿宋" w:eastAsia="仿宋" w:cs="仿宋"/>
                <w:lang w:bidi="ar"/>
              </w:rPr>
              <w:t>/</w:t>
            </w:r>
            <w:r>
              <w:rPr>
                <w:rStyle w:val="17"/>
                <w:rFonts w:hint="eastAsia" w:ascii="仿宋" w:hAnsi="仿宋" w:eastAsia="仿宋" w:cs="仿宋"/>
                <w:lang w:bidi="ar"/>
              </w:rPr>
              <w:t>次；违反</w:t>
            </w:r>
            <w:r>
              <w:rPr>
                <w:rStyle w:val="43"/>
                <w:rFonts w:hint="default" w:ascii="仿宋" w:hAnsi="仿宋" w:eastAsia="仿宋" w:cs="仿宋"/>
                <w:lang w:bidi="ar"/>
              </w:rPr>
              <w:t>2</w:t>
            </w:r>
            <w:r>
              <w:rPr>
                <w:rStyle w:val="17"/>
                <w:rFonts w:hint="eastAsia" w:ascii="仿宋" w:hAnsi="仿宋" w:eastAsia="仿宋" w:cs="仿宋"/>
                <w:lang w:bidi="ar"/>
              </w:rPr>
              <w:t>次以上不得分。</w:t>
            </w:r>
          </w:p>
        </w:tc>
        <w:tc>
          <w:tcPr>
            <w:tcW w:w="2184" w:type="dxa"/>
            <w:noWrap w:val="0"/>
            <w:vAlign w:val="center"/>
          </w:tcPr>
          <w:p>
            <w:pPr>
              <w:widowControl/>
              <w:spacing w:line="280" w:lineRule="exact"/>
              <w:jc w:val="left"/>
              <w:textAlignment w:val="center"/>
              <w:rPr>
                <w:rStyle w:val="17"/>
                <w:rFonts w:hint="eastAsia" w:ascii="仿宋" w:hAnsi="仿宋" w:eastAsia="仿宋" w:cs="仿宋"/>
                <w:lang w:bidi="ar"/>
              </w:rPr>
            </w:pPr>
            <w:r>
              <w:rPr>
                <w:rStyle w:val="17"/>
                <w:rFonts w:hint="eastAsia" w:ascii="仿宋" w:hAnsi="仿宋" w:eastAsia="仿宋" w:cs="仿宋"/>
                <w:lang w:bidi="ar"/>
              </w:rPr>
              <w:t>行业内部数据共享，税务、市场监管、环境保护、公安部门等提供信息</w:t>
            </w:r>
          </w:p>
        </w:tc>
        <w:tc>
          <w:tcPr>
            <w:tcW w:w="682" w:type="dxa"/>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14</w:t>
            </w:r>
          </w:p>
        </w:tc>
        <w:tc>
          <w:tcPr>
            <w:tcW w:w="1334" w:type="dxa"/>
            <w:vMerge w:val="continue"/>
            <w:noWrap w:val="0"/>
            <w:vAlign w:val="center"/>
          </w:tcPr>
          <w:p>
            <w:pPr>
              <w:widowControl/>
              <w:spacing w:line="280" w:lineRule="exact"/>
              <w:jc w:val="center"/>
              <w:textAlignment w:val="center"/>
              <w:rPr>
                <w:rStyle w:val="17"/>
                <w:rFonts w:hint="eastAsia" w:ascii="仿宋" w:hAnsi="仿宋" w:eastAsia="仿宋" w:cs="仿宋"/>
                <w:lang w:bidi="ar"/>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rPr>
            </w:pPr>
            <w:r>
              <w:rPr>
                <w:rStyle w:val="17"/>
                <w:rFonts w:hint="eastAsia" w:ascii="仿宋" w:hAnsi="仿宋" w:eastAsia="仿宋" w:cs="仿宋"/>
                <w:lang w:bidi="ar"/>
              </w:rPr>
              <w:t>整改通报</w:t>
            </w:r>
          </w:p>
        </w:tc>
        <w:tc>
          <w:tcPr>
            <w:tcW w:w="674"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5</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违反相关法规、规章、行业标准等受限期整改处罚的，扣</w:t>
            </w:r>
            <w:r>
              <w:rPr>
                <w:rStyle w:val="43"/>
                <w:rFonts w:hint="default" w:ascii="仿宋" w:hAnsi="仿宋" w:eastAsia="仿宋" w:cs="仿宋"/>
                <w:lang w:bidi="ar"/>
              </w:rPr>
              <w:t>2</w:t>
            </w:r>
            <w:r>
              <w:rPr>
                <w:rStyle w:val="17"/>
                <w:rFonts w:hint="eastAsia" w:ascii="仿宋" w:hAnsi="仿宋" w:eastAsia="仿宋" w:cs="仿宋"/>
                <w:lang w:bidi="ar"/>
              </w:rPr>
              <w:t>分</w:t>
            </w:r>
            <w:r>
              <w:rPr>
                <w:rStyle w:val="43"/>
                <w:rFonts w:hint="default" w:ascii="仿宋" w:hAnsi="仿宋" w:eastAsia="仿宋" w:cs="仿宋"/>
                <w:lang w:bidi="ar"/>
              </w:rPr>
              <w:t>/</w:t>
            </w:r>
            <w:r>
              <w:rPr>
                <w:rStyle w:val="17"/>
                <w:rFonts w:hint="eastAsia" w:ascii="仿宋" w:hAnsi="仿宋" w:eastAsia="仿宋" w:cs="仿宋"/>
                <w:lang w:bidi="ar"/>
              </w:rPr>
              <w:t>次；违反</w:t>
            </w:r>
            <w:r>
              <w:rPr>
                <w:rStyle w:val="43"/>
                <w:rFonts w:hint="default" w:ascii="仿宋" w:hAnsi="仿宋" w:eastAsia="仿宋" w:cs="仿宋"/>
                <w:lang w:bidi="ar"/>
              </w:rPr>
              <w:t>2</w:t>
            </w:r>
            <w:r>
              <w:rPr>
                <w:rStyle w:val="17"/>
                <w:rFonts w:hint="eastAsia" w:ascii="仿宋" w:hAnsi="仿宋" w:eastAsia="仿宋" w:cs="仿宋"/>
                <w:lang w:bidi="ar"/>
              </w:rPr>
              <w:t>次以上不得分。</w:t>
            </w:r>
          </w:p>
        </w:tc>
        <w:tc>
          <w:tcPr>
            <w:tcW w:w="2184" w:type="dxa"/>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行业内部数据共享，税务、市场监管、环境保护、公安部门等提供信息，</w:t>
            </w:r>
            <w:r>
              <w:rPr>
                <w:rStyle w:val="42"/>
                <w:rFonts w:hint="eastAsia" w:ascii="仿宋" w:hAnsi="仿宋" w:eastAsia="仿宋" w:cs="仿宋"/>
                <w:lang w:bidi="ar"/>
              </w:rPr>
              <w:t>“</w:t>
            </w:r>
            <w:r>
              <w:rPr>
                <w:rStyle w:val="17"/>
                <w:rFonts w:hint="eastAsia" w:ascii="仿宋" w:hAnsi="仿宋" w:eastAsia="仿宋" w:cs="仿宋"/>
                <w:lang w:bidi="ar"/>
              </w:rPr>
              <w:t>信用中国网站</w:t>
            </w:r>
            <w:r>
              <w:rPr>
                <w:rStyle w:val="42"/>
                <w:rFonts w:hint="eastAsia" w:ascii="仿宋" w:hAnsi="仿宋" w:eastAsia="仿宋" w:cs="仿宋"/>
                <w:lang w:bidi="ar"/>
              </w:rPr>
              <w:t>”“</w:t>
            </w:r>
            <w:r>
              <w:rPr>
                <w:rStyle w:val="17"/>
                <w:rFonts w:hint="eastAsia" w:ascii="仿宋" w:hAnsi="仿宋" w:eastAsia="仿宋" w:cs="仿宋"/>
                <w:lang w:bidi="ar"/>
              </w:rPr>
              <w:t>天眼查</w:t>
            </w:r>
            <w:r>
              <w:rPr>
                <w:rStyle w:val="42"/>
                <w:rFonts w:hint="eastAsia" w:ascii="仿宋" w:hAnsi="仿宋" w:eastAsia="仿宋" w:cs="仿宋"/>
                <w:lang w:bidi="ar"/>
              </w:rPr>
              <w:t>”</w:t>
            </w:r>
            <w:r>
              <w:rPr>
                <w:rStyle w:val="17"/>
                <w:rFonts w:hint="eastAsia" w:ascii="仿宋" w:hAnsi="仿宋" w:eastAsia="仿宋" w:cs="仿宋"/>
                <w:lang w:bidi="ar"/>
              </w:rPr>
              <w:t>等信用信息应用系统核查</w:t>
            </w:r>
          </w:p>
        </w:tc>
        <w:tc>
          <w:tcPr>
            <w:tcW w:w="682" w:type="dxa"/>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15</w:t>
            </w:r>
          </w:p>
        </w:tc>
        <w:tc>
          <w:tcPr>
            <w:tcW w:w="1334" w:type="dxa"/>
            <w:vMerge w:val="continue"/>
            <w:noWrap w:val="0"/>
            <w:vAlign w:val="center"/>
          </w:tcPr>
          <w:p>
            <w:pPr>
              <w:widowControl/>
              <w:spacing w:line="280" w:lineRule="exact"/>
              <w:jc w:val="center"/>
              <w:textAlignment w:val="center"/>
              <w:rPr>
                <w:rStyle w:val="17"/>
                <w:rFonts w:hint="eastAsia" w:ascii="仿宋" w:hAnsi="仿宋" w:eastAsia="仿宋" w:cs="仿宋"/>
                <w:lang w:bidi="ar"/>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rPr>
            </w:pPr>
            <w:r>
              <w:rPr>
                <w:rStyle w:val="17"/>
                <w:rFonts w:hint="eastAsia" w:ascii="仿宋" w:hAnsi="仿宋" w:eastAsia="仿宋" w:cs="仿宋"/>
                <w:lang w:bidi="ar"/>
              </w:rPr>
              <w:t>停业罚款</w:t>
            </w:r>
          </w:p>
        </w:tc>
        <w:tc>
          <w:tcPr>
            <w:tcW w:w="674"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10</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违反相关法规、规章、行业标准等受责令停业、罚款处罚的，扣</w:t>
            </w:r>
            <w:r>
              <w:rPr>
                <w:rStyle w:val="43"/>
                <w:rFonts w:hint="default" w:ascii="仿宋" w:hAnsi="仿宋" w:eastAsia="仿宋" w:cs="仿宋"/>
                <w:lang w:bidi="ar"/>
              </w:rPr>
              <w:t>10</w:t>
            </w:r>
            <w:r>
              <w:rPr>
                <w:rStyle w:val="17"/>
                <w:rFonts w:hint="eastAsia" w:ascii="仿宋" w:hAnsi="仿宋" w:eastAsia="仿宋" w:cs="仿宋"/>
                <w:lang w:bidi="ar"/>
              </w:rPr>
              <w:t>分</w:t>
            </w:r>
            <w:r>
              <w:rPr>
                <w:rStyle w:val="43"/>
                <w:rFonts w:hint="default" w:ascii="仿宋" w:hAnsi="仿宋" w:eastAsia="仿宋" w:cs="仿宋"/>
                <w:lang w:bidi="ar"/>
              </w:rPr>
              <w:t>/</w:t>
            </w:r>
            <w:r>
              <w:rPr>
                <w:rStyle w:val="17"/>
                <w:rFonts w:hint="eastAsia" w:ascii="仿宋" w:hAnsi="仿宋" w:eastAsia="仿宋" w:cs="仿宋"/>
                <w:lang w:bidi="ar"/>
              </w:rPr>
              <w:t>次。</w:t>
            </w:r>
          </w:p>
        </w:tc>
        <w:tc>
          <w:tcPr>
            <w:tcW w:w="2184" w:type="dxa"/>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行业内部数据共享，税务、市场监管、环境保护、公安部门等提供信息，</w:t>
            </w:r>
            <w:r>
              <w:rPr>
                <w:rStyle w:val="42"/>
                <w:rFonts w:hint="eastAsia" w:ascii="仿宋" w:hAnsi="仿宋" w:eastAsia="仿宋" w:cs="仿宋"/>
                <w:lang w:bidi="ar"/>
              </w:rPr>
              <w:t>“</w:t>
            </w:r>
            <w:r>
              <w:rPr>
                <w:rStyle w:val="17"/>
                <w:rFonts w:hint="eastAsia" w:ascii="仿宋" w:hAnsi="仿宋" w:eastAsia="仿宋" w:cs="仿宋"/>
                <w:lang w:bidi="ar"/>
              </w:rPr>
              <w:t>信用中国网站</w:t>
            </w:r>
            <w:r>
              <w:rPr>
                <w:rStyle w:val="42"/>
                <w:rFonts w:hint="eastAsia" w:ascii="仿宋" w:hAnsi="仿宋" w:eastAsia="仿宋" w:cs="仿宋"/>
                <w:lang w:bidi="ar"/>
              </w:rPr>
              <w:t>”“</w:t>
            </w:r>
            <w:r>
              <w:rPr>
                <w:rStyle w:val="17"/>
                <w:rFonts w:hint="eastAsia" w:ascii="仿宋" w:hAnsi="仿宋" w:eastAsia="仿宋" w:cs="仿宋"/>
                <w:lang w:bidi="ar"/>
              </w:rPr>
              <w:t>天眼查</w:t>
            </w:r>
            <w:r>
              <w:rPr>
                <w:rStyle w:val="42"/>
                <w:rFonts w:hint="eastAsia" w:ascii="仿宋" w:hAnsi="仿宋" w:eastAsia="仿宋" w:cs="仿宋"/>
                <w:lang w:bidi="ar"/>
              </w:rPr>
              <w:t>”</w:t>
            </w:r>
            <w:r>
              <w:rPr>
                <w:rStyle w:val="17"/>
                <w:rFonts w:hint="eastAsia" w:ascii="仿宋" w:hAnsi="仿宋" w:eastAsia="仿宋" w:cs="仿宋"/>
                <w:lang w:bidi="ar"/>
              </w:rPr>
              <w:t>等信用信息应用系统核查</w:t>
            </w:r>
          </w:p>
        </w:tc>
        <w:tc>
          <w:tcPr>
            <w:tcW w:w="682" w:type="dxa"/>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16</w:t>
            </w:r>
          </w:p>
        </w:tc>
        <w:tc>
          <w:tcPr>
            <w:tcW w:w="1334" w:type="dxa"/>
            <w:vMerge w:val="continue"/>
            <w:noWrap w:val="0"/>
            <w:vAlign w:val="center"/>
          </w:tcPr>
          <w:p>
            <w:pPr>
              <w:widowControl/>
              <w:spacing w:line="280" w:lineRule="exact"/>
              <w:jc w:val="center"/>
              <w:textAlignment w:val="center"/>
              <w:rPr>
                <w:rStyle w:val="17"/>
                <w:rFonts w:hint="eastAsia" w:ascii="仿宋" w:hAnsi="仿宋" w:eastAsia="仿宋" w:cs="仿宋"/>
                <w:lang w:bidi="ar"/>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rPr>
            </w:pPr>
            <w:r>
              <w:rPr>
                <w:rStyle w:val="17"/>
                <w:rFonts w:hint="eastAsia" w:ascii="仿宋" w:hAnsi="仿宋" w:eastAsia="仿宋" w:cs="仿宋"/>
                <w:lang w:bidi="ar"/>
              </w:rPr>
              <w:t>投诉曝光</w:t>
            </w:r>
          </w:p>
        </w:tc>
        <w:tc>
          <w:tcPr>
            <w:tcW w:w="674"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5</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因服务质量发生有责投诉、媒体曝光造成重大影响的，扣</w:t>
            </w:r>
            <w:r>
              <w:rPr>
                <w:rStyle w:val="43"/>
                <w:rFonts w:hint="default" w:ascii="仿宋" w:hAnsi="仿宋" w:eastAsia="仿宋" w:cs="仿宋"/>
                <w:lang w:bidi="ar"/>
              </w:rPr>
              <w:t>5</w:t>
            </w:r>
            <w:r>
              <w:rPr>
                <w:rStyle w:val="17"/>
                <w:rFonts w:hint="eastAsia" w:ascii="仿宋" w:hAnsi="仿宋" w:eastAsia="仿宋" w:cs="仿宋"/>
                <w:lang w:bidi="ar"/>
              </w:rPr>
              <w:t>分</w:t>
            </w:r>
            <w:r>
              <w:rPr>
                <w:rStyle w:val="43"/>
                <w:rFonts w:hint="default" w:ascii="仿宋" w:hAnsi="仿宋" w:eastAsia="仿宋" w:cs="仿宋"/>
                <w:lang w:bidi="ar"/>
              </w:rPr>
              <w:t>/</w:t>
            </w:r>
            <w:r>
              <w:rPr>
                <w:rStyle w:val="17"/>
                <w:rFonts w:hint="eastAsia" w:ascii="仿宋" w:hAnsi="仿宋" w:eastAsia="仿宋" w:cs="仿宋"/>
                <w:lang w:bidi="ar"/>
              </w:rPr>
              <w:t>次。</w:t>
            </w:r>
          </w:p>
        </w:tc>
        <w:tc>
          <w:tcPr>
            <w:tcW w:w="2184" w:type="dxa"/>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消费者及媒体投诉反映，</w:t>
            </w:r>
            <w:r>
              <w:rPr>
                <w:rStyle w:val="42"/>
                <w:rFonts w:hint="eastAsia" w:ascii="仿宋" w:hAnsi="仿宋" w:eastAsia="仿宋" w:cs="仿宋"/>
                <w:lang w:bidi="ar"/>
              </w:rPr>
              <w:t>“</w:t>
            </w:r>
            <w:r>
              <w:rPr>
                <w:rStyle w:val="17"/>
                <w:rFonts w:hint="eastAsia" w:ascii="仿宋" w:hAnsi="仿宋" w:eastAsia="仿宋" w:cs="仿宋"/>
                <w:lang w:bidi="ar"/>
              </w:rPr>
              <w:t>信用中国网站</w:t>
            </w:r>
            <w:r>
              <w:rPr>
                <w:rStyle w:val="42"/>
                <w:rFonts w:hint="eastAsia" w:ascii="仿宋" w:hAnsi="仿宋" w:eastAsia="仿宋" w:cs="仿宋"/>
                <w:lang w:bidi="ar"/>
              </w:rPr>
              <w:t>”“</w:t>
            </w:r>
            <w:r>
              <w:rPr>
                <w:rStyle w:val="17"/>
                <w:rFonts w:hint="eastAsia" w:ascii="仿宋" w:hAnsi="仿宋" w:eastAsia="仿宋" w:cs="仿宋"/>
                <w:lang w:bidi="ar"/>
              </w:rPr>
              <w:t>天眼查</w:t>
            </w:r>
            <w:r>
              <w:rPr>
                <w:rStyle w:val="42"/>
                <w:rFonts w:hint="eastAsia" w:ascii="仿宋" w:hAnsi="仿宋" w:eastAsia="仿宋" w:cs="仿宋"/>
                <w:lang w:bidi="ar"/>
              </w:rPr>
              <w:t>”</w:t>
            </w:r>
            <w:r>
              <w:rPr>
                <w:rStyle w:val="17"/>
                <w:rFonts w:hint="eastAsia" w:ascii="仿宋" w:hAnsi="仿宋" w:eastAsia="仿宋" w:cs="仿宋"/>
                <w:lang w:bidi="ar"/>
              </w:rPr>
              <w:t>等信用信息应用系统核查</w:t>
            </w:r>
          </w:p>
        </w:tc>
        <w:tc>
          <w:tcPr>
            <w:tcW w:w="682" w:type="dxa"/>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17</w:t>
            </w:r>
          </w:p>
        </w:tc>
        <w:tc>
          <w:tcPr>
            <w:tcW w:w="1334" w:type="dxa"/>
            <w:vMerge w:val="restart"/>
            <w:noWrap w:val="0"/>
            <w:vAlign w:val="center"/>
          </w:tcPr>
          <w:p>
            <w:pPr>
              <w:widowControl/>
              <w:spacing w:line="280" w:lineRule="exact"/>
              <w:jc w:val="center"/>
              <w:textAlignment w:val="center"/>
              <w:rPr>
                <w:rStyle w:val="17"/>
                <w:rFonts w:hint="eastAsia" w:ascii="仿宋" w:hAnsi="仿宋" w:eastAsia="仿宋" w:cs="仿宋"/>
                <w:lang w:bidi="ar"/>
              </w:rPr>
            </w:pPr>
            <w:r>
              <w:rPr>
                <w:rStyle w:val="18"/>
                <w:rFonts w:hint="eastAsia" w:ascii="仿宋" w:hAnsi="仿宋" w:eastAsia="仿宋" w:cs="仿宋"/>
                <w:lang w:bidi="ar"/>
              </w:rPr>
              <w:t>加分项目</w:t>
            </w: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rPr>
            </w:pPr>
            <w:r>
              <w:rPr>
                <w:rStyle w:val="17"/>
                <w:rFonts w:hint="eastAsia" w:ascii="仿宋" w:hAnsi="仿宋" w:eastAsia="仿宋" w:cs="仿宋"/>
                <w:lang w:bidi="ar"/>
              </w:rPr>
              <w:t>表彰奖励</w:t>
            </w:r>
          </w:p>
        </w:tc>
        <w:tc>
          <w:tcPr>
            <w:tcW w:w="674" w:type="dxa"/>
            <w:noWrap w:val="0"/>
            <w:vAlign w:val="center"/>
          </w:tcPr>
          <w:p>
            <w:pPr>
              <w:widowControl/>
              <w:spacing w:line="280" w:lineRule="exact"/>
              <w:jc w:val="center"/>
              <w:textAlignment w:val="center"/>
              <w:rPr>
                <w:rFonts w:hint="eastAsia" w:ascii="仿宋" w:hAnsi="仿宋" w:eastAsia="仿宋" w:cs="仿宋"/>
                <w:color w:val="000000"/>
                <w:sz w:val="20"/>
              </w:rPr>
            </w:pP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获得区县级表彰的，加</w:t>
            </w:r>
            <w:r>
              <w:rPr>
                <w:rStyle w:val="43"/>
                <w:rFonts w:hint="default" w:ascii="仿宋" w:hAnsi="仿宋" w:eastAsia="仿宋" w:cs="仿宋"/>
                <w:lang w:bidi="ar"/>
              </w:rPr>
              <w:t>1</w:t>
            </w:r>
            <w:r>
              <w:rPr>
                <w:rStyle w:val="17"/>
                <w:rFonts w:hint="eastAsia" w:ascii="仿宋" w:hAnsi="仿宋" w:eastAsia="仿宋" w:cs="仿宋"/>
                <w:lang w:bidi="ar"/>
              </w:rPr>
              <w:t>分；获得市级表彰的，加</w:t>
            </w:r>
            <w:r>
              <w:rPr>
                <w:rStyle w:val="43"/>
                <w:rFonts w:hint="default" w:ascii="仿宋" w:hAnsi="仿宋" w:eastAsia="仿宋" w:cs="仿宋"/>
                <w:lang w:bidi="ar"/>
              </w:rPr>
              <w:t>2</w:t>
            </w:r>
            <w:r>
              <w:rPr>
                <w:rStyle w:val="17"/>
                <w:rFonts w:hint="eastAsia" w:ascii="仿宋" w:hAnsi="仿宋" w:eastAsia="仿宋" w:cs="仿宋"/>
                <w:lang w:bidi="ar"/>
              </w:rPr>
              <w:t>分；获得国家级表彰的，加</w:t>
            </w:r>
            <w:r>
              <w:rPr>
                <w:rStyle w:val="43"/>
                <w:rFonts w:hint="default" w:ascii="仿宋" w:hAnsi="仿宋" w:eastAsia="仿宋" w:cs="仿宋"/>
                <w:lang w:bidi="ar"/>
              </w:rPr>
              <w:t>3</w:t>
            </w:r>
            <w:r>
              <w:rPr>
                <w:rStyle w:val="17"/>
                <w:rFonts w:hint="eastAsia" w:ascii="仿宋" w:hAnsi="仿宋" w:eastAsia="仿宋" w:cs="仿宋"/>
                <w:lang w:bidi="ar"/>
              </w:rPr>
              <w:t>分；累计加分不超过</w:t>
            </w:r>
            <w:r>
              <w:rPr>
                <w:rStyle w:val="43"/>
                <w:rFonts w:hint="default" w:ascii="仿宋" w:hAnsi="仿宋" w:eastAsia="仿宋" w:cs="仿宋"/>
                <w:lang w:bidi="ar"/>
              </w:rPr>
              <w:t>5</w:t>
            </w:r>
            <w:r>
              <w:rPr>
                <w:rStyle w:val="17"/>
                <w:rFonts w:hint="eastAsia" w:ascii="仿宋" w:hAnsi="仿宋" w:eastAsia="仿宋" w:cs="仿宋"/>
                <w:lang w:bidi="ar"/>
              </w:rPr>
              <w:t>分。</w:t>
            </w:r>
            <w:r>
              <w:rPr>
                <w:rFonts w:hint="eastAsia" w:eastAsia="方正仿宋_GBK"/>
                <w:color w:val="000000"/>
                <w:kern w:val="0"/>
                <w:sz w:val="22"/>
                <w:szCs w:val="22"/>
                <w:lang w:bidi="ar"/>
              </w:rPr>
              <w:t>（最高不超过2.5分）</w:t>
            </w:r>
          </w:p>
        </w:tc>
        <w:tc>
          <w:tcPr>
            <w:tcW w:w="2184" w:type="dxa"/>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企业提供证明材料</w:t>
            </w:r>
          </w:p>
        </w:tc>
        <w:tc>
          <w:tcPr>
            <w:tcW w:w="682" w:type="dxa"/>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18</w:t>
            </w:r>
          </w:p>
        </w:tc>
        <w:tc>
          <w:tcPr>
            <w:tcW w:w="1334" w:type="dxa"/>
            <w:vMerge w:val="continue"/>
            <w:noWrap w:val="0"/>
            <w:vAlign w:val="center"/>
          </w:tcPr>
          <w:p>
            <w:pPr>
              <w:widowControl/>
              <w:spacing w:line="280" w:lineRule="exact"/>
              <w:jc w:val="center"/>
              <w:textAlignment w:val="center"/>
              <w:rPr>
                <w:rStyle w:val="17"/>
                <w:rFonts w:hint="eastAsia" w:ascii="仿宋" w:hAnsi="仿宋" w:eastAsia="仿宋" w:cs="仿宋"/>
                <w:lang w:bidi="ar"/>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rPr>
            </w:pPr>
            <w:r>
              <w:rPr>
                <w:rStyle w:val="17"/>
                <w:rFonts w:hint="eastAsia" w:ascii="仿宋" w:hAnsi="仿宋" w:eastAsia="仿宋" w:cs="仿宋"/>
                <w:lang w:bidi="ar"/>
              </w:rPr>
              <w:t>表率作用</w:t>
            </w:r>
          </w:p>
        </w:tc>
        <w:tc>
          <w:tcPr>
            <w:tcW w:w="674" w:type="dxa"/>
            <w:noWrap w:val="0"/>
            <w:vAlign w:val="center"/>
          </w:tcPr>
          <w:p>
            <w:pPr>
              <w:widowControl/>
              <w:spacing w:line="280" w:lineRule="exact"/>
              <w:jc w:val="center"/>
              <w:textAlignment w:val="center"/>
              <w:rPr>
                <w:rFonts w:hint="eastAsia" w:ascii="仿宋" w:hAnsi="仿宋" w:eastAsia="仿宋" w:cs="仿宋"/>
                <w:color w:val="000000"/>
                <w:sz w:val="20"/>
              </w:rPr>
            </w:pP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完成政府性任务起表率作用的，或积极参加抢险救灾支援、义务维修服务、优质服务等具有较大社会影响公益活动的，加</w:t>
            </w:r>
            <w:r>
              <w:rPr>
                <w:rStyle w:val="43"/>
                <w:rFonts w:hint="default" w:ascii="仿宋" w:hAnsi="仿宋" w:eastAsia="仿宋" w:cs="仿宋"/>
                <w:lang w:bidi="ar"/>
              </w:rPr>
              <w:t>2</w:t>
            </w:r>
            <w:r>
              <w:rPr>
                <w:rStyle w:val="17"/>
                <w:rFonts w:hint="eastAsia" w:ascii="仿宋" w:hAnsi="仿宋" w:eastAsia="仿宋" w:cs="仿宋"/>
                <w:lang w:bidi="ar"/>
              </w:rPr>
              <w:t>分</w:t>
            </w:r>
            <w:r>
              <w:rPr>
                <w:rStyle w:val="43"/>
                <w:rFonts w:hint="default" w:ascii="仿宋" w:hAnsi="仿宋" w:eastAsia="仿宋" w:cs="仿宋"/>
                <w:lang w:bidi="ar"/>
              </w:rPr>
              <w:t>/</w:t>
            </w:r>
            <w:r>
              <w:rPr>
                <w:rStyle w:val="17"/>
                <w:rFonts w:hint="eastAsia" w:ascii="仿宋" w:hAnsi="仿宋" w:eastAsia="仿宋" w:cs="仿宋"/>
                <w:lang w:bidi="ar"/>
              </w:rPr>
              <w:t>项；累计加分不超过</w:t>
            </w:r>
            <w:r>
              <w:rPr>
                <w:rStyle w:val="43"/>
                <w:rFonts w:hint="default" w:ascii="仿宋" w:hAnsi="仿宋" w:eastAsia="仿宋" w:cs="仿宋"/>
                <w:lang w:bidi="ar"/>
              </w:rPr>
              <w:t>5</w:t>
            </w:r>
            <w:r>
              <w:rPr>
                <w:rStyle w:val="17"/>
                <w:rFonts w:hint="eastAsia" w:ascii="仿宋" w:hAnsi="仿宋" w:eastAsia="仿宋" w:cs="仿宋"/>
                <w:lang w:bidi="ar"/>
              </w:rPr>
              <w:t>分。</w:t>
            </w:r>
            <w:r>
              <w:rPr>
                <w:rFonts w:hint="eastAsia" w:eastAsia="方正仿宋_GBK"/>
                <w:color w:val="000000"/>
                <w:kern w:val="0"/>
                <w:sz w:val="22"/>
                <w:szCs w:val="22"/>
                <w:lang w:bidi="ar"/>
              </w:rPr>
              <w:t>（最高不超过2.5分）</w:t>
            </w:r>
          </w:p>
        </w:tc>
        <w:tc>
          <w:tcPr>
            <w:tcW w:w="2184" w:type="dxa"/>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企业提供证明材料</w:t>
            </w:r>
          </w:p>
        </w:tc>
        <w:tc>
          <w:tcPr>
            <w:tcW w:w="682" w:type="dxa"/>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合计</w:t>
            </w:r>
          </w:p>
        </w:tc>
        <w:tc>
          <w:tcPr>
            <w:tcW w:w="1334" w:type="dxa"/>
            <w:noWrap w:val="0"/>
            <w:vAlign w:val="center"/>
          </w:tcPr>
          <w:p>
            <w:pPr>
              <w:widowControl/>
              <w:spacing w:line="280" w:lineRule="exact"/>
              <w:jc w:val="center"/>
              <w:textAlignment w:val="center"/>
              <w:rPr>
                <w:rStyle w:val="18"/>
                <w:rFonts w:hint="eastAsia" w:ascii="仿宋" w:hAnsi="仿宋" w:eastAsia="仿宋" w:cs="仿宋"/>
                <w:lang w:bidi="ar"/>
              </w:rPr>
            </w:pPr>
            <w:r>
              <w:rPr>
                <w:rStyle w:val="18"/>
                <w:rFonts w:hint="eastAsia" w:ascii="仿宋" w:hAnsi="仿宋" w:eastAsia="仿宋" w:cs="仿宋"/>
                <w:lang w:bidi="ar"/>
              </w:rPr>
              <w:t>100分</w:t>
            </w:r>
          </w:p>
        </w:tc>
        <w:tc>
          <w:tcPr>
            <w:tcW w:w="1245" w:type="dxa"/>
            <w:noWrap w:val="0"/>
            <w:vAlign w:val="center"/>
          </w:tcPr>
          <w:p>
            <w:pPr>
              <w:widowControl/>
              <w:spacing w:line="280" w:lineRule="exact"/>
              <w:jc w:val="center"/>
              <w:textAlignment w:val="center"/>
              <w:rPr>
                <w:rStyle w:val="18"/>
                <w:rFonts w:hint="eastAsia" w:ascii="仿宋" w:hAnsi="仿宋" w:eastAsia="仿宋" w:cs="仿宋"/>
                <w:lang w:bidi="ar"/>
              </w:rPr>
            </w:pPr>
          </w:p>
        </w:tc>
        <w:tc>
          <w:tcPr>
            <w:tcW w:w="674"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100分</w:t>
            </w:r>
          </w:p>
        </w:tc>
        <w:tc>
          <w:tcPr>
            <w:tcW w:w="6496" w:type="dxa"/>
            <w:gridSpan w:val="2"/>
            <w:noWrap w:val="0"/>
            <w:vAlign w:val="center"/>
          </w:tcPr>
          <w:p>
            <w:pPr>
              <w:spacing w:line="280" w:lineRule="exact"/>
              <w:rPr>
                <w:rFonts w:hint="eastAsia" w:ascii="仿宋" w:hAnsi="仿宋" w:eastAsia="仿宋" w:cs="仿宋"/>
                <w:color w:val="000000"/>
                <w:sz w:val="20"/>
              </w:rPr>
            </w:pPr>
          </w:p>
        </w:tc>
        <w:tc>
          <w:tcPr>
            <w:tcW w:w="2184" w:type="dxa"/>
            <w:noWrap w:val="0"/>
            <w:vAlign w:val="center"/>
          </w:tcPr>
          <w:p>
            <w:pPr>
              <w:spacing w:line="280" w:lineRule="exact"/>
              <w:rPr>
                <w:rFonts w:hint="eastAsia" w:ascii="仿宋" w:hAnsi="仿宋" w:eastAsia="仿宋" w:cs="仿宋"/>
                <w:color w:val="000000"/>
                <w:sz w:val="20"/>
              </w:rPr>
            </w:pPr>
          </w:p>
        </w:tc>
        <w:tc>
          <w:tcPr>
            <w:tcW w:w="682" w:type="dxa"/>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40" w:type="dxa"/>
            <w:gridSpan w:val="2"/>
            <w:vMerge w:val="restart"/>
            <w:noWrap w:val="0"/>
            <w:vAlign w:val="center"/>
          </w:tcPr>
          <w:p>
            <w:pPr>
              <w:widowControl/>
              <w:spacing w:line="280" w:lineRule="exact"/>
              <w:jc w:val="center"/>
              <w:textAlignment w:val="center"/>
              <w:rPr>
                <w:rStyle w:val="18"/>
                <w:rFonts w:hint="eastAsia" w:ascii="仿宋" w:hAnsi="仿宋" w:eastAsia="仿宋" w:cs="仿宋"/>
                <w:lang w:bidi="ar"/>
              </w:rPr>
            </w:pPr>
            <w:r>
              <w:rPr>
                <w:rStyle w:val="18"/>
                <w:rFonts w:hint="eastAsia" w:ascii="仿宋" w:hAnsi="仿宋" w:eastAsia="仿宋" w:cs="仿宋"/>
                <w:lang w:bidi="ar"/>
              </w:rPr>
              <w:t>评价结论</w:t>
            </w: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rPr>
            </w:pPr>
            <w:r>
              <w:rPr>
                <w:rStyle w:val="17"/>
                <w:rFonts w:hint="eastAsia" w:ascii="仿宋" w:hAnsi="仿宋" w:eastAsia="仿宋" w:cs="仿宋"/>
                <w:lang w:bidi="ar"/>
              </w:rPr>
              <w:t>信用等级</w:t>
            </w:r>
          </w:p>
        </w:tc>
        <w:tc>
          <w:tcPr>
            <w:tcW w:w="10036" w:type="dxa"/>
            <w:gridSpan w:val="5"/>
            <w:noWrap w:val="0"/>
            <w:vAlign w:val="center"/>
          </w:tcPr>
          <w:p>
            <w:pPr>
              <w:spacing w:line="280" w:lineRule="exact"/>
              <w:ind w:firstLine="1200" w:firstLineChars="600"/>
              <w:rPr>
                <w:rFonts w:hint="eastAsia" w:ascii="仿宋" w:hAnsi="仿宋" w:eastAsia="仿宋" w:cs="仿宋"/>
                <w:color w:val="000000"/>
                <w:sz w:val="20"/>
              </w:rPr>
            </w:pPr>
            <w:r>
              <w:rPr>
                <w:rFonts w:hint="eastAsia" w:ascii="仿宋" w:hAnsi="仿宋" w:eastAsia="仿宋" w:cs="仿宋"/>
                <w:color w:val="000000"/>
                <w:kern w:val="0"/>
                <w:sz w:val="20"/>
                <w:lang w:bidi="ar"/>
              </w:rPr>
              <w:t>AA</w:t>
            </w:r>
            <w:r>
              <w:rPr>
                <w:rStyle w:val="20"/>
                <w:rFonts w:hint="default" w:ascii="仿宋" w:hAnsi="仿宋" w:eastAsia="仿宋" w:cs="仿宋"/>
                <w:lang w:bidi="ar"/>
              </w:rPr>
              <w:t xml:space="preserve">□ </w:t>
            </w:r>
            <w:r>
              <w:rPr>
                <w:rStyle w:val="43"/>
                <w:rFonts w:hint="default" w:ascii="仿宋" w:hAnsi="仿宋" w:eastAsia="仿宋" w:cs="仿宋"/>
                <w:lang w:bidi="ar"/>
              </w:rPr>
              <w:t xml:space="preserve">        A</w:t>
            </w:r>
            <w:r>
              <w:rPr>
                <w:rStyle w:val="20"/>
                <w:rFonts w:hint="default" w:ascii="仿宋" w:hAnsi="仿宋" w:eastAsia="仿宋" w:cs="仿宋"/>
                <w:lang w:bidi="ar"/>
              </w:rPr>
              <w:t>□</w:t>
            </w:r>
            <w:r>
              <w:rPr>
                <w:rStyle w:val="43"/>
                <w:rFonts w:hint="default" w:ascii="仿宋" w:hAnsi="仿宋" w:eastAsia="仿宋" w:cs="仿宋"/>
                <w:lang w:bidi="ar"/>
              </w:rPr>
              <w:t xml:space="preserve">           B</w:t>
            </w:r>
            <w:r>
              <w:rPr>
                <w:rStyle w:val="20"/>
                <w:rFonts w:hint="default" w:ascii="仿宋" w:hAnsi="仿宋" w:eastAsia="仿宋" w:cs="仿宋"/>
                <w:lang w:bidi="ar"/>
              </w:rPr>
              <w:t>□</w:t>
            </w:r>
            <w:r>
              <w:rPr>
                <w:rStyle w:val="43"/>
                <w:rFonts w:hint="default" w:ascii="仿宋" w:hAnsi="仿宋" w:eastAsia="仿宋" w:cs="仿宋"/>
                <w:lang w:bidi="ar"/>
              </w:rPr>
              <w:t xml:space="preserve">           C</w:t>
            </w:r>
            <w:r>
              <w:rPr>
                <w:rStyle w:val="20"/>
                <w:rFonts w:hint="default" w:ascii="仿宋" w:hAnsi="仿宋" w:eastAsia="仿宋" w:cs="仿宋"/>
                <w:lang w:bidi="ar"/>
              </w:rPr>
              <w:t>□</w:t>
            </w:r>
            <w:r>
              <w:rPr>
                <w:rStyle w:val="43"/>
                <w:rFonts w:hint="default" w:ascii="仿宋" w:hAnsi="仿宋" w:eastAsia="仿宋" w:cs="仿宋"/>
                <w:lang w:bidi="ar"/>
              </w:rPr>
              <w:t xml:space="preserve">           D</w:t>
            </w:r>
            <w:r>
              <w:rPr>
                <w:rStyle w:val="20"/>
                <w:rFonts w:hint="default" w:ascii="仿宋" w:hAnsi="仿宋" w:eastAsia="仿宋" w:cs="仿宋"/>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40" w:type="dxa"/>
            <w:gridSpan w:val="2"/>
            <w:vMerge w:val="continue"/>
            <w:noWrap w:val="0"/>
            <w:vAlign w:val="center"/>
          </w:tcPr>
          <w:p>
            <w:pPr>
              <w:widowControl/>
              <w:spacing w:line="280" w:lineRule="exact"/>
              <w:jc w:val="center"/>
              <w:textAlignment w:val="center"/>
              <w:rPr>
                <w:rFonts w:hint="eastAsia" w:ascii="仿宋" w:hAnsi="仿宋" w:eastAsia="仿宋" w:cs="仿宋"/>
                <w:color w:val="000000"/>
                <w:sz w:val="20"/>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rPr>
            </w:pPr>
            <w:r>
              <w:rPr>
                <w:rStyle w:val="17"/>
                <w:rFonts w:hint="eastAsia" w:ascii="仿宋" w:hAnsi="仿宋" w:eastAsia="仿宋" w:cs="仿宋"/>
                <w:lang w:bidi="ar"/>
              </w:rPr>
              <w:t>评价机构</w:t>
            </w:r>
          </w:p>
        </w:tc>
        <w:tc>
          <w:tcPr>
            <w:tcW w:w="10036" w:type="dxa"/>
            <w:gridSpan w:val="5"/>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40" w:type="dxa"/>
            <w:gridSpan w:val="2"/>
            <w:vMerge w:val="continue"/>
            <w:noWrap w:val="0"/>
            <w:vAlign w:val="center"/>
          </w:tcPr>
          <w:p>
            <w:pPr>
              <w:widowControl/>
              <w:spacing w:line="280" w:lineRule="exact"/>
              <w:jc w:val="center"/>
              <w:textAlignment w:val="center"/>
              <w:rPr>
                <w:rFonts w:hint="eastAsia" w:ascii="仿宋" w:hAnsi="仿宋" w:eastAsia="仿宋" w:cs="仿宋"/>
                <w:color w:val="000000"/>
                <w:sz w:val="20"/>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kern w:val="0"/>
                <w:sz w:val="20"/>
                <w:lang w:bidi="ar"/>
              </w:rPr>
            </w:pPr>
            <w:r>
              <w:rPr>
                <w:rStyle w:val="17"/>
                <w:rFonts w:hint="eastAsia" w:ascii="仿宋" w:hAnsi="仿宋" w:eastAsia="仿宋" w:cs="仿宋"/>
                <w:lang w:bidi="ar"/>
              </w:rPr>
              <w:t>经</w:t>
            </w:r>
            <w:r>
              <w:rPr>
                <w:rStyle w:val="43"/>
                <w:rFonts w:hint="default" w:ascii="仿宋" w:hAnsi="仿宋" w:eastAsia="仿宋" w:cs="仿宋"/>
                <w:lang w:bidi="ar"/>
              </w:rPr>
              <w:t xml:space="preserve">  </w:t>
            </w:r>
            <w:r>
              <w:rPr>
                <w:rStyle w:val="17"/>
                <w:rFonts w:hint="eastAsia" w:ascii="仿宋" w:hAnsi="仿宋" w:eastAsia="仿宋" w:cs="仿宋"/>
                <w:lang w:bidi="ar"/>
              </w:rPr>
              <w:t>办</w:t>
            </w:r>
            <w:r>
              <w:rPr>
                <w:rStyle w:val="43"/>
                <w:rFonts w:hint="default" w:ascii="仿宋" w:hAnsi="仿宋" w:eastAsia="仿宋" w:cs="仿宋"/>
                <w:lang w:bidi="ar"/>
              </w:rPr>
              <w:t xml:space="preserve">  </w:t>
            </w:r>
            <w:r>
              <w:rPr>
                <w:rStyle w:val="17"/>
                <w:rFonts w:hint="eastAsia" w:ascii="仿宋" w:hAnsi="仿宋" w:eastAsia="仿宋" w:cs="仿宋"/>
                <w:lang w:bidi="ar"/>
              </w:rPr>
              <w:t>人</w:t>
            </w:r>
          </w:p>
        </w:tc>
        <w:tc>
          <w:tcPr>
            <w:tcW w:w="1579" w:type="dxa"/>
            <w:gridSpan w:val="2"/>
            <w:noWrap w:val="0"/>
            <w:vAlign w:val="center"/>
          </w:tcPr>
          <w:p>
            <w:pPr>
              <w:spacing w:line="280" w:lineRule="exact"/>
              <w:ind w:firstLine="1000" w:firstLineChars="500"/>
              <w:rPr>
                <w:rFonts w:hint="eastAsia" w:ascii="仿宋" w:hAnsi="仿宋" w:eastAsia="仿宋" w:cs="仿宋"/>
                <w:color w:val="000000"/>
                <w:sz w:val="20"/>
              </w:rPr>
            </w:pPr>
          </w:p>
        </w:tc>
        <w:tc>
          <w:tcPr>
            <w:tcW w:w="5591" w:type="dxa"/>
            <w:noWrap w:val="0"/>
            <w:vAlign w:val="center"/>
          </w:tcPr>
          <w:p>
            <w:pPr>
              <w:spacing w:line="280" w:lineRule="exact"/>
              <w:ind w:firstLine="200" w:firstLineChars="100"/>
              <w:rPr>
                <w:rFonts w:hint="eastAsia" w:ascii="仿宋" w:hAnsi="仿宋" w:eastAsia="仿宋" w:cs="仿宋"/>
                <w:color w:val="000000"/>
                <w:sz w:val="20"/>
              </w:rPr>
            </w:pPr>
            <w:r>
              <w:rPr>
                <w:rFonts w:hint="eastAsia" w:ascii="仿宋" w:hAnsi="仿宋" w:eastAsia="仿宋" w:cs="仿宋"/>
                <w:color w:val="000000"/>
                <w:sz w:val="20"/>
              </w:rPr>
              <w:t>评价日期</w:t>
            </w:r>
          </w:p>
        </w:tc>
        <w:tc>
          <w:tcPr>
            <w:tcW w:w="2866" w:type="dxa"/>
            <w:gridSpan w:val="2"/>
            <w:noWrap w:val="0"/>
            <w:vAlign w:val="center"/>
          </w:tcPr>
          <w:p>
            <w:pPr>
              <w:spacing w:line="280" w:lineRule="exact"/>
              <w:ind w:firstLine="800" w:firstLineChars="400"/>
              <w:rPr>
                <w:rFonts w:hint="eastAsia" w:ascii="仿宋" w:hAnsi="仿宋" w:eastAsia="仿宋" w:cs="仿宋"/>
                <w:color w:val="000000"/>
                <w:sz w:val="20"/>
              </w:rPr>
            </w:pPr>
            <w:r>
              <w:rPr>
                <w:rFonts w:hint="eastAsia" w:ascii="仿宋" w:hAnsi="仿宋" w:eastAsia="仿宋" w:cs="仿宋"/>
                <w:color w:val="000000"/>
                <w:sz w:val="20"/>
              </w:rPr>
              <w:t>年  月  日</w:t>
            </w:r>
          </w:p>
        </w:tc>
      </w:tr>
    </w:tbl>
    <w:p>
      <w:pPr>
        <w:rPr>
          <w:color w:val="000000"/>
        </w:rPr>
      </w:pPr>
    </w:p>
    <w:p>
      <w:pPr>
        <w:spacing w:line="320" w:lineRule="exact"/>
        <w:rPr>
          <w:color w:val="000000"/>
        </w:rPr>
      </w:pPr>
    </w:p>
    <w:p>
      <w:pPr>
        <w:spacing w:line="320" w:lineRule="exact"/>
        <w:rPr>
          <w:color w:val="000000"/>
        </w:rPr>
      </w:pPr>
    </w:p>
    <w:p>
      <w:pPr>
        <w:rPr>
          <w:rFonts w:hint="eastAsia" w:ascii="黑体" w:hAnsi="黑体" w:eastAsia="黑体"/>
          <w:color w:val="000000"/>
          <w:sz w:val="32"/>
          <w:szCs w:val="32"/>
        </w:rPr>
      </w:pPr>
      <w:r>
        <w:rPr>
          <w:rFonts w:ascii="黑体" w:hAnsi="黑体" w:eastAsia="黑体"/>
          <w:color w:val="000000"/>
          <w:sz w:val="32"/>
          <w:szCs w:val="32"/>
        </w:rPr>
        <w:t>附件</w:t>
      </w:r>
      <w:r>
        <w:rPr>
          <w:rFonts w:hint="eastAsia" w:ascii="黑体" w:hAnsi="黑体" w:eastAsia="黑体"/>
          <w:color w:val="000000"/>
          <w:sz w:val="32"/>
          <w:szCs w:val="32"/>
        </w:rPr>
        <w:t>1-</w:t>
      </w:r>
      <w:r>
        <w:rPr>
          <w:rFonts w:ascii="黑体" w:hAnsi="黑体" w:eastAsia="黑体"/>
          <w:color w:val="000000"/>
          <w:sz w:val="32"/>
          <w:szCs w:val="32"/>
        </w:rPr>
        <w:t>1</w:t>
      </w:r>
      <w:r>
        <w:rPr>
          <w:rFonts w:hint="eastAsia" w:ascii="黑体" w:hAnsi="黑体" w:eastAsia="黑体"/>
          <w:color w:val="000000"/>
          <w:sz w:val="32"/>
          <w:szCs w:val="32"/>
        </w:rPr>
        <w:t>1</w:t>
      </w:r>
    </w:p>
    <w:p>
      <w:pPr>
        <w:spacing w:line="400" w:lineRule="exact"/>
        <w:rPr>
          <w:rFonts w:hint="eastAsia" w:ascii="黑体" w:hAnsi="黑体" w:eastAsia="黑体"/>
          <w:color w:val="000000"/>
          <w:sz w:val="32"/>
          <w:szCs w:val="32"/>
        </w:rPr>
      </w:pPr>
    </w:p>
    <w:p>
      <w:pPr>
        <w:jc w:val="center"/>
        <w:rPr>
          <w:rFonts w:hint="eastAsia" w:ascii="方正小标宋_GBK" w:eastAsia="方正小标宋_GBK"/>
          <w:bCs/>
          <w:color w:val="000000"/>
          <w:kern w:val="0"/>
          <w:sz w:val="44"/>
          <w:szCs w:val="44"/>
          <w:lang w:bidi="ar"/>
        </w:rPr>
      </w:pPr>
      <w:r>
        <w:rPr>
          <w:rFonts w:hint="eastAsia" w:ascii="方正小标宋_GBK" w:eastAsia="方正小标宋_GBK"/>
          <w:bCs/>
          <w:color w:val="000000"/>
          <w:kern w:val="0"/>
          <w:sz w:val="44"/>
          <w:szCs w:val="44"/>
          <w:lang w:bidi="ar"/>
        </w:rPr>
        <w:t>重庆市汽车租赁经营者（企业）信用评价标准</w:t>
      </w:r>
    </w:p>
    <w:p>
      <w:pPr>
        <w:jc w:val="left"/>
        <w:rPr>
          <w:bCs/>
          <w:color w:val="000000"/>
          <w:kern w:val="0"/>
          <w:sz w:val="32"/>
          <w:szCs w:val="32"/>
          <w:lang w:bidi="ar"/>
        </w:rPr>
      </w:pPr>
      <w:r>
        <w:rPr>
          <w:rFonts w:hint="eastAsia" w:ascii="方正仿宋_GBK" w:hAnsi="方正仿宋_GBK" w:eastAsia="方正仿宋_GBK" w:cs="方正仿宋_GBK"/>
          <w:bCs/>
          <w:color w:val="000000"/>
          <w:kern w:val="0"/>
          <w:sz w:val="28"/>
          <w:szCs w:val="28"/>
          <w:lang w:bidi="ar"/>
        </w:rPr>
        <w:t>被评价企业：                                                            评价年度：</w:t>
      </w:r>
    </w:p>
    <w:tbl>
      <w:tblPr>
        <w:tblStyle w:val="7"/>
        <w:tblW w:w="13404" w:type="dxa"/>
        <w:jc w:val="center"/>
        <w:tblLayout w:type="fixed"/>
        <w:tblCellMar>
          <w:top w:w="0" w:type="dxa"/>
          <w:left w:w="108" w:type="dxa"/>
          <w:bottom w:w="0" w:type="dxa"/>
          <w:right w:w="108" w:type="dxa"/>
        </w:tblCellMar>
      </w:tblPr>
      <w:tblGrid>
        <w:gridCol w:w="555"/>
        <w:gridCol w:w="1280"/>
        <w:gridCol w:w="2089"/>
        <w:gridCol w:w="757"/>
        <w:gridCol w:w="4360"/>
        <w:gridCol w:w="1547"/>
        <w:gridCol w:w="648"/>
        <w:gridCol w:w="1500"/>
        <w:gridCol w:w="668"/>
      </w:tblGrid>
      <w:tr>
        <w:tblPrEx>
          <w:tblCellMar>
            <w:top w:w="0" w:type="dxa"/>
            <w:left w:w="108" w:type="dxa"/>
            <w:bottom w:w="0" w:type="dxa"/>
            <w:right w:w="108" w:type="dxa"/>
          </w:tblCellMar>
        </w:tblPrEx>
        <w:trPr>
          <w:trHeight w:val="731" w:hRule="atLeast"/>
          <w:tblHeader/>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序号</w:t>
            </w:r>
          </w:p>
        </w:tc>
        <w:tc>
          <w:tcPr>
            <w:tcW w:w="1280" w:type="dxa"/>
            <w:tcBorders>
              <w:top w:val="single" w:color="000000" w:sz="4" w:space="0"/>
              <w:left w:val="single" w:color="auto" w:sz="4" w:space="0"/>
              <w:bottom w:val="single" w:color="auto" w:sz="4" w:space="0"/>
              <w:right w:val="single" w:color="000000"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一级指标及分值</w:t>
            </w:r>
          </w:p>
        </w:tc>
        <w:tc>
          <w:tcPr>
            <w:tcW w:w="2089"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二级指标</w:t>
            </w:r>
          </w:p>
        </w:tc>
        <w:tc>
          <w:tcPr>
            <w:tcW w:w="757"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分值</w:t>
            </w:r>
          </w:p>
        </w:tc>
        <w:tc>
          <w:tcPr>
            <w:tcW w:w="6555"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评分标准</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数据来源</w:t>
            </w:r>
          </w:p>
        </w:tc>
        <w:tc>
          <w:tcPr>
            <w:tcW w:w="668" w:type="dxa"/>
            <w:tcBorders>
              <w:top w:val="single" w:color="000000" w:sz="4" w:space="0"/>
              <w:left w:val="nil"/>
              <w:bottom w:val="single" w:color="auto"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得分</w:t>
            </w:r>
          </w:p>
        </w:tc>
      </w:tr>
      <w:tr>
        <w:tblPrEx>
          <w:tblCellMar>
            <w:top w:w="0" w:type="dxa"/>
            <w:left w:w="108" w:type="dxa"/>
            <w:bottom w:w="0" w:type="dxa"/>
            <w:right w:w="108" w:type="dxa"/>
          </w:tblCellMar>
        </w:tblPrEx>
        <w:trPr>
          <w:trHeight w:val="1125"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rFonts w:hint="eastAsia" w:ascii="宋体" w:hAnsi="宋体" w:cs="宋体"/>
                <w:color w:val="000000"/>
                <w:kern w:val="0"/>
                <w:sz w:val="22"/>
                <w:szCs w:val="22"/>
                <w:lang w:bidi="ar"/>
              </w:rPr>
              <w:t>1</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方正楷体_GBK" w:hAnsi="方正楷体_GBK" w:eastAsia="方正楷体_GBK" w:cs="方正楷体_GBK"/>
                <w:color w:val="000000"/>
                <w:kern w:val="0"/>
                <w:sz w:val="22"/>
                <w:szCs w:val="22"/>
                <w:lang w:bidi="ar"/>
              </w:rPr>
            </w:pPr>
            <w:r>
              <w:rPr>
                <w:rFonts w:hint="eastAsia" w:ascii="方正楷体_GBK" w:hAnsi="方正楷体_GBK" w:eastAsia="方正楷体_GBK" w:cs="方正楷体_GBK"/>
                <w:color w:val="000000"/>
                <w:kern w:val="0"/>
                <w:sz w:val="22"/>
                <w:szCs w:val="22"/>
                <w:lang w:bidi="ar"/>
              </w:rPr>
              <w:t>经营管理</w:t>
            </w:r>
          </w:p>
          <w:p>
            <w:pPr>
              <w:widowControl/>
              <w:spacing w:line="240" w:lineRule="exact"/>
              <w:jc w:val="center"/>
              <w:textAlignment w:val="center"/>
              <w:rPr>
                <w:rFonts w:eastAsia="方正楷体_GBK"/>
                <w:bCs/>
                <w:color w:val="000000"/>
                <w:sz w:val="22"/>
                <w:szCs w:val="22"/>
              </w:rPr>
            </w:pPr>
            <w:r>
              <w:rPr>
                <w:rFonts w:hint="eastAsia" w:ascii="方正楷体_GBK" w:hAnsi="方正楷体_GBK" w:eastAsia="方正楷体_GBK" w:cs="方正楷体_GBK"/>
                <w:color w:val="000000"/>
                <w:kern w:val="0"/>
                <w:sz w:val="22"/>
                <w:szCs w:val="22"/>
                <w:lang w:bidi="ar"/>
              </w:rPr>
              <w:t>（20分）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落实行业管理要求</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hint="eastAsia" w:ascii="方正楷体_GBK" w:hAnsi="方正楷体_GBK" w:eastAsia="方正楷体_GBK" w:cs="方正楷体_GBK"/>
                <w:color w:val="000000"/>
                <w:kern w:val="0"/>
                <w:sz w:val="24"/>
                <w:szCs w:val="24"/>
                <w:lang w:bidi="ar"/>
              </w:rPr>
              <w:t>10</w:t>
            </w:r>
          </w:p>
        </w:tc>
        <w:tc>
          <w:tcPr>
            <w:tcW w:w="655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textAlignment w:val="center"/>
              <w:rPr>
                <w:rFonts w:eastAsia="方正楷体_GBK"/>
                <w:bCs/>
                <w:color w:val="000000"/>
                <w:sz w:val="24"/>
                <w:szCs w:val="24"/>
              </w:rPr>
            </w:pPr>
            <w:r>
              <w:rPr>
                <w:rFonts w:hint="eastAsia" w:ascii="方正仿宋_GBK" w:hAnsi="方正仿宋_GBK" w:eastAsia="方正仿宋_GBK" w:cs="方正仿宋_GBK"/>
                <w:color w:val="000000"/>
                <w:kern w:val="0"/>
                <w:sz w:val="22"/>
                <w:szCs w:val="22"/>
                <w:lang w:bidi="ar"/>
              </w:rPr>
              <w:t>不按照行业管理的要求或行业自律安排，在落实工作责任或维护行业运营秩序方面存在问题被行业管理部门通报的，轻微事项的每次0.5分，情形严重的每次扣1分；被行政部门约谈的，每次加扣2分，约谈后仍不整改的，每次加扣3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行业管理和交通执法动态录入</w:t>
            </w: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4"/>
                <w:szCs w:val="24"/>
              </w:rPr>
            </w:pPr>
          </w:p>
        </w:tc>
      </w:tr>
      <w:tr>
        <w:tblPrEx>
          <w:tblCellMar>
            <w:top w:w="0" w:type="dxa"/>
            <w:left w:w="108" w:type="dxa"/>
            <w:bottom w:w="0" w:type="dxa"/>
            <w:right w:w="108" w:type="dxa"/>
          </w:tblCellMar>
        </w:tblPrEx>
        <w:trPr>
          <w:trHeight w:val="807"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rFonts w:hint="eastAsia" w:ascii="宋体" w:hAnsi="宋体" w:cs="宋体"/>
                <w:color w:val="000000"/>
                <w:kern w:val="0"/>
                <w:sz w:val="22"/>
                <w:szCs w:val="22"/>
                <w:lang w:bidi="ar"/>
              </w:rPr>
              <w:t>2</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承诺履行情况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hint="eastAsia" w:ascii="方正仿宋_GBK" w:hAnsi="方正仿宋_GBK" w:eastAsia="方正仿宋_GBK" w:cs="方正仿宋_GBK"/>
                <w:color w:val="000000"/>
                <w:kern w:val="0"/>
                <w:sz w:val="22"/>
                <w:szCs w:val="22"/>
                <w:lang w:bidi="ar"/>
              </w:rPr>
              <w:t>10</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在行政管理事项中按要求作出了承诺但不履行被通报的，每次扣2分；被行政部门约谈的，每次加扣2分，经约谈、告诫提醒后仍不履行的，每次加扣3分。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行业管理和交通执法动态录入</w:t>
            </w: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851"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rFonts w:hint="eastAsia" w:ascii="宋体" w:hAnsi="宋体" w:cs="宋体"/>
                <w:color w:val="000000"/>
                <w:kern w:val="0"/>
                <w:sz w:val="22"/>
                <w:szCs w:val="22"/>
                <w:lang w:bidi="ar"/>
              </w:rPr>
              <w:t>3</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方正楷体_GBK" w:hAnsi="方正楷体_GBK" w:eastAsia="方正楷体_GBK" w:cs="方正楷体_GBK"/>
                <w:color w:val="000000"/>
                <w:kern w:val="0"/>
                <w:sz w:val="22"/>
                <w:szCs w:val="22"/>
                <w:lang w:bidi="ar"/>
              </w:rPr>
            </w:pPr>
            <w:r>
              <w:rPr>
                <w:rFonts w:hint="eastAsia" w:ascii="方正楷体_GBK" w:hAnsi="方正楷体_GBK" w:eastAsia="方正楷体_GBK" w:cs="方正楷体_GBK"/>
                <w:color w:val="000000"/>
                <w:kern w:val="0"/>
                <w:sz w:val="22"/>
                <w:szCs w:val="22"/>
                <w:lang w:bidi="ar"/>
              </w:rPr>
              <w:t>安全生产</w:t>
            </w:r>
          </w:p>
          <w:p>
            <w:pPr>
              <w:widowControl/>
              <w:spacing w:line="240" w:lineRule="exact"/>
              <w:jc w:val="center"/>
              <w:textAlignment w:val="center"/>
              <w:rPr>
                <w:rFonts w:eastAsia="方正楷体_GBK"/>
                <w:bCs/>
                <w:color w:val="000000"/>
                <w:sz w:val="22"/>
                <w:szCs w:val="22"/>
              </w:rPr>
            </w:pPr>
            <w:r>
              <w:rPr>
                <w:rFonts w:hint="eastAsia" w:ascii="方正楷体_GBK" w:hAnsi="方正楷体_GBK" w:eastAsia="方正楷体_GBK" w:cs="方正楷体_GBK"/>
                <w:color w:val="000000"/>
                <w:kern w:val="0"/>
                <w:sz w:val="22"/>
                <w:szCs w:val="22"/>
                <w:lang w:bidi="ar"/>
              </w:rPr>
              <w:t>（30分）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责任事故伤人率</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hint="eastAsia" w:ascii="方正仿宋_GBK" w:hAnsi="方正仿宋_GBK" w:eastAsia="方正仿宋_GBK" w:cs="方正仿宋_GBK"/>
                <w:color w:val="000000"/>
                <w:kern w:val="0"/>
                <w:sz w:val="22"/>
                <w:szCs w:val="22"/>
                <w:lang w:bidi="ar"/>
              </w:rPr>
              <w:t>15</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承租人承租期间发生安全事故造成人员伤亡，经公安部门认定车辆存在技术问题，或者未按要求保持车辆技术性能完好所采取必要的维护等原因导致的，仅有人员受伤的，每人次扣0.1分；有人员死亡情况的，每死亡1人扣5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公安部门数据共享（年度统计）</w:t>
            </w: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rFonts w:hint="eastAsia" w:ascii="宋体" w:hAnsi="宋体" w:cs="宋体"/>
                <w:color w:val="000000"/>
                <w:kern w:val="0"/>
                <w:sz w:val="22"/>
                <w:szCs w:val="22"/>
                <w:lang w:bidi="ar"/>
              </w:rPr>
              <w:t>4</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安全事故报告情况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hint="eastAsia" w:ascii="方正仿宋_GBK" w:hAnsi="方正仿宋_GBK" w:eastAsia="方正仿宋_GBK" w:cs="方正仿宋_GBK"/>
                <w:color w:val="000000"/>
                <w:kern w:val="0"/>
                <w:sz w:val="22"/>
                <w:szCs w:val="22"/>
                <w:lang w:bidi="ar"/>
              </w:rPr>
              <w:t>5</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发生亡人事故拖延报告（3小时）的，每次扣0.5分；存在瞒报、谎报的，每次扣1分。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交通和公安部门数据共享</w:t>
            </w: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2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rFonts w:hint="eastAsia" w:ascii="宋体" w:hAnsi="宋体" w:cs="宋体"/>
                <w:color w:val="000000"/>
                <w:kern w:val="0"/>
                <w:sz w:val="22"/>
                <w:szCs w:val="22"/>
                <w:lang w:bidi="ar"/>
              </w:rPr>
              <w:t>5</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安全生产隐患整顿</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hint="eastAsia" w:ascii="方正仿宋_GBK" w:hAnsi="方正仿宋_GBK" w:eastAsia="方正仿宋_GBK" w:cs="方正仿宋_GBK"/>
                <w:color w:val="000000"/>
                <w:kern w:val="0"/>
                <w:sz w:val="22"/>
                <w:szCs w:val="22"/>
                <w:lang w:bidi="ar"/>
              </w:rPr>
              <w:t>10</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因存在安全生产隐患，被行政部门挂牌或通报要求整改的，每次扣2分；因存在严重安全生产隐患，被列入重点安全监管名单的，每次扣3分，被处以部分或全部停业整顿的，每次扣4分。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公安应急等部门数据共享</w:t>
            </w: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816"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color w:val="000000"/>
                <w:sz w:val="22"/>
                <w:szCs w:val="22"/>
              </w:rPr>
            </w:pPr>
            <w:r>
              <w:rPr>
                <w:rFonts w:hint="eastAsia" w:ascii="宋体" w:hAnsi="宋体" w:cs="宋体"/>
                <w:color w:val="000000"/>
                <w:kern w:val="0"/>
                <w:sz w:val="22"/>
                <w:szCs w:val="22"/>
                <w:lang w:bidi="ar"/>
              </w:rPr>
              <w:t>6</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方正楷体_GBK" w:hAnsi="方正楷体_GBK" w:eastAsia="方正楷体_GBK" w:cs="方正楷体_GBK"/>
                <w:color w:val="000000"/>
                <w:kern w:val="0"/>
                <w:sz w:val="22"/>
                <w:szCs w:val="22"/>
                <w:lang w:bidi="ar"/>
              </w:rPr>
            </w:pPr>
            <w:r>
              <w:rPr>
                <w:rFonts w:hint="eastAsia" w:ascii="方正楷体_GBK" w:hAnsi="方正楷体_GBK" w:eastAsia="方正楷体_GBK" w:cs="方正楷体_GBK"/>
                <w:color w:val="000000"/>
                <w:kern w:val="0"/>
                <w:sz w:val="22"/>
                <w:szCs w:val="22"/>
                <w:lang w:bidi="ar"/>
              </w:rPr>
              <w:t>服务质量</w:t>
            </w:r>
          </w:p>
          <w:p>
            <w:pPr>
              <w:widowControl/>
              <w:spacing w:line="280" w:lineRule="exact"/>
              <w:jc w:val="center"/>
              <w:textAlignment w:val="center"/>
              <w:rPr>
                <w:rFonts w:eastAsia="方正楷体_GBK"/>
                <w:bCs/>
                <w:color w:val="000000"/>
                <w:sz w:val="22"/>
                <w:szCs w:val="22"/>
              </w:rPr>
            </w:pPr>
            <w:r>
              <w:rPr>
                <w:rFonts w:hint="eastAsia" w:ascii="方正楷体_GBK" w:hAnsi="方正楷体_GBK" w:eastAsia="方正楷体_GBK" w:cs="方正楷体_GBK"/>
                <w:color w:val="000000"/>
                <w:kern w:val="0"/>
                <w:sz w:val="22"/>
                <w:szCs w:val="22"/>
                <w:lang w:bidi="ar"/>
              </w:rPr>
              <w:t>（30分）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经营服务情况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color w:val="000000"/>
              </w:rPr>
            </w:pPr>
            <w:r>
              <w:rPr>
                <w:rFonts w:hint="eastAsia" w:ascii="方正仿宋_GBK" w:hAnsi="方正仿宋_GBK" w:eastAsia="方正仿宋_GBK" w:cs="方正仿宋_GBK"/>
                <w:color w:val="000000"/>
                <w:kern w:val="0"/>
                <w:sz w:val="22"/>
                <w:szCs w:val="22"/>
                <w:lang w:bidi="ar"/>
              </w:rPr>
              <w:t>15</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经营者未按合同要求等落实服务事项被投诉举报并查实的，每件次扣0.5分；经行政部门督促仍不落实的，每件次扣1分。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行业管理和交通执法动态录入</w:t>
            </w: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085"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color w:val="000000"/>
                <w:sz w:val="22"/>
                <w:szCs w:val="22"/>
              </w:rPr>
            </w:pPr>
            <w:r>
              <w:rPr>
                <w:rFonts w:hint="eastAsia" w:ascii="宋体" w:hAnsi="宋体" w:cs="宋体"/>
                <w:color w:val="000000"/>
                <w:kern w:val="0"/>
                <w:sz w:val="22"/>
                <w:szCs w:val="22"/>
                <w:lang w:bidi="ar"/>
              </w:rPr>
              <w:t>7</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投诉处理及执法检查情况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color w:val="000000"/>
              </w:rPr>
            </w:pPr>
            <w:r>
              <w:rPr>
                <w:rFonts w:hint="eastAsia" w:ascii="方正仿宋_GBK" w:hAnsi="方正仿宋_GBK" w:eastAsia="方正仿宋_GBK" w:cs="方正仿宋_GBK"/>
                <w:color w:val="000000"/>
                <w:kern w:val="0"/>
                <w:sz w:val="22"/>
                <w:szCs w:val="22"/>
                <w:lang w:bidi="ar"/>
              </w:rPr>
              <w:t>15</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未按要求处置转交的服务投诉或按期反馈处置结果，被通报的，每次扣0.5分；因处置随意、态度粗暴等原因被通报的，每次扣1分；因车辆使用性质未变更而对外租赁被交通执法部门查处的，每件次扣1分；被交通部门通报督促整改的，每次扣1.5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行业管理和交通执法动态录入</w:t>
            </w:r>
          </w:p>
        </w:tc>
        <w:tc>
          <w:tcPr>
            <w:tcW w:w="668" w:type="dxa"/>
            <w:tcBorders>
              <w:top w:val="single" w:color="auto" w:sz="4" w:space="0"/>
              <w:left w:val="single" w:color="auto" w:sz="4" w:space="0"/>
              <w:bottom w:val="single" w:color="auto" w:sz="4" w:space="0"/>
              <w:right w:val="single" w:color="auto"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049"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color w:val="000000"/>
                <w:sz w:val="22"/>
                <w:szCs w:val="22"/>
              </w:rPr>
            </w:pPr>
            <w:r>
              <w:rPr>
                <w:rFonts w:hint="eastAsia" w:ascii="宋体" w:hAnsi="宋体" w:cs="宋体"/>
                <w:color w:val="000000"/>
                <w:kern w:val="0"/>
                <w:sz w:val="22"/>
                <w:szCs w:val="22"/>
                <w:lang w:bidi="ar"/>
              </w:rPr>
              <w:t>8</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方正楷体_GBK" w:hAnsi="方正楷体_GBK" w:eastAsia="方正楷体_GBK" w:cs="方正楷体_GBK"/>
                <w:color w:val="000000"/>
                <w:kern w:val="0"/>
                <w:sz w:val="22"/>
                <w:szCs w:val="22"/>
                <w:lang w:bidi="ar"/>
              </w:rPr>
            </w:pPr>
            <w:r>
              <w:rPr>
                <w:rFonts w:hint="eastAsia" w:ascii="方正楷体_GBK" w:hAnsi="方正楷体_GBK" w:eastAsia="方正楷体_GBK" w:cs="方正楷体_GBK"/>
                <w:color w:val="000000"/>
                <w:kern w:val="0"/>
                <w:sz w:val="22"/>
                <w:szCs w:val="22"/>
                <w:lang w:bidi="ar"/>
              </w:rPr>
              <w:t>社会责任</w:t>
            </w:r>
          </w:p>
          <w:p>
            <w:pPr>
              <w:widowControl/>
              <w:spacing w:line="280" w:lineRule="exact"/>
              <w:jc w:val="center"/>
              <w:textAlignment w:val="center"/>
              <w:rPr>
                <w:rFonts w:eastAsia="方正楷体_GBK"/>
                <w:bCs/>
                <w:color w:val="000000"/>
                <w:sz w:val="22"/>
                <w:szCs w:val="22"/>
              </w:rPr>
            </w:pPr>
            <w:r>
              <w:rPr>
                <w:rFonts w:hint="eastAsia" w:ascii="方正楷体_GBK" w:hAnsi="方正楷体_GBK" w:eastAsia="方正楷体_GBK" w:cs="方正楷体_GBK"/>
                <w:color w:val="000000"/>
                <w:kern w:val="0"/>
                <w:sz w:val="22"/>
                <w:szCs w:val="22"/>
                <w:lang w:bidi="ar"/>
              </w:rPr>
              <w:t>（20分）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公共事件处置情况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color w:val="000000"/>
              </w:rPr>
            </w:pPr>
            <w:r>
              <w:rPr>
                <w:rFonts w:hint="eastAsia" w:ascii="方正仿宋_GBK" w:hAnsi="方正仿宋_GBK" w:eastAsia="方正仿宋_GBK" w:cs="方正仿宋_GBK"/>
                <w:color w:val="000000"/>
                <w:kern w:val="0"/>
                <w:sz w:val="22"/>
                <w:szCs w:val="22"/>
                <w:lang w:bidi="ar"/>
              </w:rPr>
              <w:t>10</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发生公共事件，企业不服从政府或行政管理调度部署的，每次扣2分；经行业管理部门约谈仍不履行的，每次扣3分。调度参与的运力未达到应调度数量90%的，每次扣0.5分；运力未达到50%的，每次扣1分。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市级部门数据共享或动态录入</w:t>
            </w:r>
          </w:p>
        </w:tc>
        <w:tc>
          <w:tcPr>
            <w:tcW w:w="668" w:type="dxa"/>
            <w:tcBorders>
              <w:top w:val="single" w:color="auto" w:sz="4" w:space="0"/>
              <w:left w:val="single" w:color="auto" w:sz="4" w:space="0"/>
              <w:bottom w:val="single" w:color="auto" w:sz="4" w:space="0"/>
              <w:right w:val="single" w:color="auto"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05"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color w:val="000000"/>
                <w:sz w:val="22"/>
                <w:szCs w:val="22"/>
              </w:rPr>
            </w:pPr>
            <w:r>
              <w:rPr>
                <w:rFonts w:hint="eastAsia" w:ascii="宋体" w:hAnsi="宋体" w:cs="宋体"/>
                <w:color w:val="000000"/>
                <w:kern w:val="0"/>
                <w:sz w:val="22"/>
                <w:szCs w:val="22"/>
                <w:lang w:bidi="ar"/>
              </w:rPr>
              <w:t>9</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社会信用情况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color w:val="000000"/>
              </w:rPr>
            </w:pPr>
            <w:r>
              <w:rPr>
                <w:rFonts w:hint="eastAsia" w:ascii="方正仿宋_GBK" w:hAnsi="方正仿宋_GBK" w:eastAsia="方正仿宋_GBK" w:cs="方正仿宋_GBK"/>
                <w:color w:val="000000"/>
                <w:kern w:val="0"/>
                <w:sz w:val="22"/>
                <w:szCs w:val="22"/>
                <w:lang w:bidi="ar"/>
              </w:rPr>
              <w:t>10</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企业在经营过程中，因企业经营行为违反法律、法规等被除交通行政部门外的有关部门启动调查并被处以行政处罚的，每次扣2分。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市级部门数据共享或动态录入</w:t>
            </w:r>
          </w:p>
        </w:tc>
        <w:tc>
          <w:tcPr>
            <w:tcW w:w="668" w:type="dxa"/>
            <w:tcBorders>
              <w:top w:val="single" w:color="auto" w:sz="4" w:space="0"/>
              <w:left w:val="single" w:color="auto" w:sz="4" w:space="0"/>
              <w:bottom w:val="single" w:color="auto" w:sz="4" w:space="0"/>
              <w:right w:val="single" w:color="auto"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7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color w:val="000000"/>
                <w:sz w:val="22"/>
                <w:szCs w:val="22"/>
              </w:rPr>
            </w:pPr>
            <w:r>
              <w:rPr>
                <w:rFonts w:hint="eastAsia" w:ascii="宋体" w:hAnsi="宋体" w:cs="宋体"/>
                <w:color w:val="000000"/>
                <w:kern w:val="0"/>
                <w:sz w:val="22"/>
                <w:szCs w:val="22"/>
                <w:lang w:bidi="ar"/>
              </w:rPr>
              <w:t>10</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方正楷体_GBK"/>
                <w:bCs/>
                <w:color w:val="000000"/>
                <w:sz w:val="22"/>
                <w:szCs w:val="22"/>
              </w:rPr>
            </w:pPr>
            <w:r>
              <w:rPr>
                <w:rFonts w:hint="eastAsia" w:ascii="方正楷体_GBK" w:hAnsi="方正楷体_GBK" w:eastAsia="方正楷体_GBK" w:cs="方正楷体_GBK"/>
                <w:color w:val="000000"/>
                <w:kern w:val="0"/>
                <w:sz w:val="22"/>
                <w:szCs w:val="22"/>
                <w:lang w:bidi="ar"/>
              </w:rPr>
              <w:t>加分项目</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行业正面典型及荣誉表彰情况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color w:val="000000"/>
              </w:rPr>
            </w:pPr>
          </w:p>
        </w:tc>
        <w:tc>
          <w:tcPr>
            <w:tcW w:w="655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企业经营过程中获得了荣誉或通报表彰的，国家级每次加2分；部级或市级政府每次加1分；市级部门或区县政府级加0.5分；区县部门级加0.2分。同一行为多层次表彰的，以最高级别奖励的标准加分。</w:t>
            </w:r>
            <w:r>
              <w:rPr>
                <w:rFonts w:hint="eastAsia" w:eastAsia="方正仿宋_GBK"/>
                <w:color w:val="000000"/>
                <w:kern w:val="0"/>
                <w:sz w:val="22"/>
                <w:szCs w:val="22"/>
                <w:lang w:bidi="ar"/>
              </w:rPr>
              <w:t>（最高不超过2.5分）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企业提交动态录入</w:t>
            </w: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3"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color w:val="000000"/>
                <w:sz w:val="22"/>
                <w:szCs w:val="22"/>
              </w:rPr>
            </w:pPr>
            <w:r>
              <w:rPr>
                <w:rFonts w:hint="eastAsia" w:ascii="宋体" w:hAnsi="宋体" w:cs="宋体"/>
                <w:color w:val="000000"/>
                <w:kern w:val="0"/>
                <w:sz w:val="22"/>
                <w:szCs w:val="22"/>
                <w:lang w:bidi="ar"/>
              </w:rPr>
              <w:t>11</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新闻媒体正面报道</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color w:val="000000"/>
              </w:rPr>
            </w:pP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企业所属驾驶员、工作人员出现好人好事被新闻媒体报道的，国家级每件次加0.5分；市级每件次加0.3分；区县级每件次加0.1分。同一事迹多层次报道的，以最高级别媒体报道的标准加分。</w:t>
            </w:r>
            <w:r>
              <w:rPr>
                <w:rFonts w:hint="eastAsia" w:eastAsia="方正仿宋_GBK"/>
                <w:color w:val="000000"/>
                <w:kern w:val="0"/>
                <w:sz w:val="22"/>
                <w:szCs w:val="22"/>
                <w:lang w:bidi="ar"/>
              </w:rPr>
              <w:t>（最高不超过2.5分）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企业提交动态录入</w:t>
            </w: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01"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方正楷体_GBK"/>
                <w:bCs/>
                <w:color w:val="000000"/>
                <w:sz w:val="22"/>
                <w:szCs w:val="22"/>
              </w:rPr>
            </w:pPr>
            <w:r>
              <w:rPr>
                <w:rFonts w:hint="eastAsia" w:eastAsia="方正楷体_GBK"/>
                <w:bCs/>
                <w:color w:val="000000"/>
                <w:sz w:val="22"/>
                <w:szCs w:val="22"/>
              </w:rPr>
              <w:t>合计</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2"/>
                <w:szCs w:val="22"/>
              </w:rPr>
            </w:pPr>
            <w:r>
              <w:rPr>
                <w:rFonts w:hint="eastAsia" w:eastAsia="方正楷体_GBK"/>
                <w:bCs/>
                <w:color w:val="000000"/>
                <w:sz w:val="22"/>
                <w:szCs w:val="22"/>
              </w:rPr>
              <w:t>100分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kern w:val="0"/>
                <w:sz w:val="22"/>
                <w:szCs w:val="22"/>
                <w:lang w:bidi="ar"/>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1</w:t>
            </w:r>
            <w:r>
              <w:rPr>
                <w:rFonts w:hint="eastAsia" w:eastAsia="方正仿宋_GBK"/>
                <w:color w:val="000000"/>
                <w:kern w:val="0"/>
                <w:sz w:val="22"/>
                <w:szCs w:val="22"/>
                <w:lang w:bidi="ar"/>
              </w:rPr>
              <w:t>0</w:t>
            </w:r>
            <w:r>
              <w:rPr>
                <w:rFonts w:eastAsia="方正仿宋_GBK"/>
                <w:color w:val="000000"/>
                <w:kern w:val="0"/>
                <w:sz w:val="22"/>
                <w:szCs w:val="22"/>
                <w:lang w:bidi="ar"/>
              </w:rPr>
              <w:t>0分</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sz w:val="20"/>
              </w:rPr>
            </w:pPr>
          </w:p>
        </w:tc>
      </w:tr>
      <w:tr>
        <w:tblPrEx>
          <w:tblCellMar>
            <w:top w:w="0" w:type="dxa"/>
            <w:left w:w="108" w:type="dxa"/>
            <w:bottom w:w="0" w:type="dxa"/>
            <w:right w:w="108" w:type="dxa"/>
          </w:tblCellMar>
        </w:tblPrEx>
        <w:trPr>
          <w:trHeight w:val="464" w:hRule="atLeast"/>
          <w:jc w:val="center"/>
        </w:trPr>
        <w:tc>
          <w:tcPr>
            <w:tcW w:w="1835"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hint="eastAsia" w:eastAsia="方正楷体_GBK"/>
                <w:bCs/>
                <w:color w:val="000000"/>
                <w:sz w:val="22"/>
                <w:szCs w:val="22"/>
              </w:rPr>
            </w:pPr>
            <w:r>
              <w:rPr>
                <w:rFonts w:hint="eastAsia" w:eastAsia="方正楷体_GBK"/>
                <w:bCs/>
                <w:color w:val="000000"/>
                <w:sz w:val="22"/>
                <w:szCs w:val="22"/>
              </w:rPr>
              <w:t>评价结论</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948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CellMar>
            <w:top w:w="0" w:type="dxa"/>
            <w:left w:w="108" w:type="dxa"/>
            <w:bottom w:w="0" w:type="dxa"/>
            <w:right w:w="108" w:type="dxa"/>
          </w:tblCellMar>
        </w:tblPrEx>
        <w:trPr>
          <w:trHeight w:val="414" w:hRule="atLeast"/>
          <w:jc w:val="center"/>
        </w:trPr>
        <w:tc>
          <w:tcPr>
            <w:tcW w:w="183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评价机构</w:t>
            </w:r>
          </w:p>
        </w:tc>
        <w:tc>
          <w:tcPr>
            <w:tcW w:w="948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333" w:hRule="atLeast"/>
          <w:jc w:val="center"/>
        </w:trPr>
        <w:tc>
          <w:tcPr>
            <w:tcW w:w="183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经办人</w:t>
            </w:r>
          </w:p>
        </w:tc>
        <w:tc>
          <w:tcPr>
            <w:tcW w:w="51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评价日期</w:t>
            </w:r>
          </w:p>
        </w:tc>
        <w:tc>
          <w:tcPr>
            <w:tcW w:w="281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eastAsia="仿宋_GB2312"/>
                <w:color w:val="000000"/>
                <w:sz w:val="20"/>
              </w:rPr>
            </w:pPr>
            <w:r>
              <w:rPr>
                <w:rFonts w:hint="eastAsia" w:eastAsia="仿宋_GB2312"/>
                <w:color w:val="000000"/>
                <w:sz w:val="20"/>
              </w:rPr>
              <w:t xml:space="preserve">         年    月    日</w:t>
            </w:r>
          </w:p>
        </w:tc>
      </w:tr>
    </w:tbl>
    <w:p>
      <w:pPr>
        <w:ind w:firstLine="480" w:firstLineChars="200"/>
        <w:rPr>
          <w:rFonts w:hint="eastAsia" w:ascii="方正仿宋_GBK" w:eastAsia="方正仿宋_GBK"/>
          <w:color w:val="000000"/>
          <w:sz w:val="24"/>
          <w:szCs w:val="24"/>
        </w:rPr>
      </w:pPr>
      <w:r>
        <w:rPr>
          <w:rFonts w:hint="eastAsia" w:ascii="方正仿宋_GBK" w:eastAsia="方正仿宋_GBK"/>
          <w:color w:val="000000"/>
          <w:sz w:val="24"/>
          <w:szCs w:val="24"/>
        </w:rPr>
        <w:t>备注：每个考核专项以分项分值为最高扣（加）分，此项扣（加）满最高分后，不再额外增加扣（加）分；</w:t>
      </w:r>
    </w:p>
    <w:p>
      <w:pPr>
        <w:rPr>
          <w:rFonts w:eastAsia="方正黑体_GBK"/>
          <w:color w:val="000000"/>
          <w:sz w:val="32"/>
          <w:szCs w:val="32"/>
        </w:rPr>
      </w:pPr>
    </w:p>
    <w:p>
      <w:pPr>
        <w:rPr>
          <w:rFonts w:hint="eastAsia" w:ascii="方正黑体_GBK" w:eastAsia="方正黑体_GBK"/>
          <w:color w:val="000000"/>
          <w:sz w:val="32"/>
          <w:szCs w:val="32"/>
        </w:rPr>
      </w:pPr>
    </w:p>
    <w:p>
      <w:pPr>
        <w:rPr>
          <w:rFonts w:hint="eastAsia" w:ascii="方正黑体_GBK" w:eastAsia="方正黑体_GBK"/>
          <w:color w:val="000000"/>
          <w:sz w:val="32"/>
          <w:szCs w:val="32"/>
        </w:rPr>
      </w:pPr>
    </w:p>
    <w:p>
      <w:pPr>
        <w:rPr>
          <w:rFonts w:hint="eastAsia" w:ascii="方正黑体_GBK" w:eastAsia="方正黑体_GBK"/>
          <w:color w:val="000000"/>
          <w:sz w:val="32"/>
          <w:szCs w:val="32"/>
        </w:rPr>
      </w:pPr>
      <w:r>
        <w:rPr>
          <w:rFonts w:hint="eastAsia" w:ascii="方正黑体_GBK" w:eastAsia="方正黑体_GBK"/>
          <w:color w:val="000000"/>
          <w:sz w:val="32"/>
          <w:szCs w:val="32"/>
        </w:rPr>
        <w:t>附件1-12</w:t>
      </w:r>
    </w:p>
    <w:p>
      <w:pPr>
        <w:rPr>
          <w:rFonts w:hint="eastAsia" w:ascii="方正黑体_GBK" w:eastAsia="方正黑体_GBK"/>
          <w:color w:val="000000"/>
        </w:rPr>
      </w:pPr>
    </w:p>
    <w:p>
      <w:pPr>
        <w:jc w:val="center"/>
        <w:rPr>
          <w:rFonts w:hint="eastAsia" w:ascii="方正小标宋_GBK" w:eastAsia="方正小标宋_GBK"/>
          <w:bCs/>
          <w:color w:val="000000"/>
          <w:kern w:val="0"/>
          <w:sz w:val="44"/>
          <w:szCs w:val="44"/>
          <w:lang w:bidi="ar"/>
        </w:rPr>
      </w:pPr>
      <w:r>
        <w:rPr>
          <w:rFonts w:hint="eastAsia" w:ascii="方正小标宋_GBK" w:eastAsia="方正小标宋_GBK"/>
          <w:bCs/>
          <w:color w:val="000000"/>
          <w:kern w:val="0"/>
          <w:sz w:val="44"/>
          <w:szCs w:val="44"/>
          <w:lang w:bidi="ar"/>
        </w:rPr>
        <w:t>重庆市道路运输驾驶员信用评价标准</w:t>
      </w:r>
    </w:p>
    <w:tbl>
      <w:tblPr>
        <w:tblStyle w:val="7"/>
        <w:tblW w:w="132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671"/>
        <w:gridCol w:w="743"/>
        <w:gridCol w:w="7815"/>
        <w:gridCol w:w="690"/>
        <w:gridCol w:w="33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tblHeader/>
          <w:jc w:val="center"/>
        </w:trPr>
        <w:tc>
          <w:tcPr>
            <w:tcW w:w="671" w:type="dxa"/>
            <w:noWrap/>
            <w:vAlign w:val="center"/>
          </w:tcPr>
          <w:p>
            <w:pPr>
              <w:overflowPunct w:val="0"/>
              <w:contextualSpacing/>
              <w:jc w:val="left"/>
              <w:rPr>
                <w:rFonts w:hint="eastAsia" w:ascii="方正黑体_GBK" w:hAnsi="仿宋" w:eastAsia="方正黑体_GBK" w:cs="仿宋"/>
                <w:bCs/>
                <w:color w:val="000000"/>
                <w:sz w:val="24"/>
                <w:szCs w:val="24"/>
              </w:rPr>
            </w:pPr>
            <w:r>
              <w:rPr>
                <w:rFonts w:hint="eastAsia" w:ascii="方正黑体_GBK" w:hAnsi="仿宋" w:eastAsia="方正黑体_GBK" w:cs="仿宋"/>
                <w:bCs/>
                <w:color w:val="000000"/>
                <w:sz w:val="24"/>
                <w:szCs w:val="24"/>
              </w:rPr>
              <w:t>序号</w:t>
            </w:r>
          </w:p>
        </w:tc>
        <w:tc>
          <w:tcPr>
            <w:tcW w:w="743" w:type="dxa"/>
            <w:noWrap/>
            <w:vAlign w:val="center"/>
          </w:tcPr>
          <w:p>
            <w:pPr>
              <w:overflowPunct w:val="0"/>
              <w:contextualSpacing/>
              <w:jc w:val="left"/>
              <w:rPr>
                <w:rFonts w:hint="eastAsia" w:ascii="方正黑体_GBK" w:hAnsi="仿宋" w:eastAsia="方正黑体_GBK" w:cs="仿宋"/>
                <w:bCs/>
                <w:color w:val="000000"/>
                <w:sz w:val="24"/>
                <w:szCs w:val="24"/>
              </w:rPr>
            </w:pPr>
            <w:r>
              <w:rPr>
                <w:rFonts w:hint="eastAsia" w:ascii="方正黑体_GBK" w:hAnsi="仿宋" w:eastAsia="方正黑体_GBK" w:cs="仿宋"/>
                <w:bCs/>
                <w:color w:val="000000"/>
                <w:sz w:val="24"/>
                <w:szCs w:val="24"/>
              </w:rPr>
              <w:t>项目</w:t>
            </w:r>
          </w:p>
        </w:tc>
        <w:tc>
          <w:tcPr>
            <w:tcW w:w="7815" w:type="dxa"/>
            <w:noWrap/>
            <w:vAlign w:val="center"/>
          </w:tcPr>
          <w:p>
            <w:pPr>
              <w:overflowPunct w:val="0"/>
              <w:contextualSpacing/>
              <w:jc w:val="center"/>
              <w:rPr>
                <w:rFonts w:hint="eastAsia" w:ascii="方正黑体_GBK" w:hAnsi="仿宋" w:eastAsia="方正黑体_GBK" w:cs="仿宋"/>
                <w:bCs/>
                <w:color w:val="000000"/>
                <w:sz w:val="24"/>
                <w:szCs w:val="24"/>
              </w:rPr>
            </w:pPr>
            <w:r>
              <w:rPr>
                <w:rFonts w:hint="eastAsia" w:ascii="方正黑体_GBK" w:hAnsi="仿宋" w:eastAsia="方正黑体_GBK" w:cs="仿宋"/>
                <w:bCs/>
                <w:color w:val="000000"/>
                <w:sz w:val="24"/>
                <w:szCs w:val="24"/>
              </w:rPr>
              <w:t>诚信服务计分事项</w:t>
            </w:r>
          </w:p>
        </w:tc>
        <w:tc>
          <w:tcPr>
            <w:tcW w:w="690" w:type="dxa"/>
            <w:noWrap/>
            <w:vAlign w:val="center"/>
          </w:tcPr>
          <w:p>
            <w:pPr>
              <w:overflowPunct w:val="0"/>
              <w:contextualSpacing/>
              <w:jc w:val="center"/>
              <w:rPr>
                <w:rFonts w:hint="eastAsia" w:ascii="方正黑体_GBK" w:hAnsi="仿宋" w:eastAsia="方正黑体_GBK" w:cs="仿宋"/>
                <w:bCs/>
                <w:color w:val="000000"/>
                <w:sz w:val="24"/>
                <w:szCs w:val="24"/>
              </w:rPr>
            </w:pPr>
            <w:r>
              <w:rPr>
                <w:rFonts w:hint="eastAsia" w:ascii="方正黑体_GBK" w:hAnsi="仿宋" w:eastAsia="方正黑体_GBK" w:cs="仿宋"/>
                <w:bCs/>
                <w:color w:val="000000"/>
                <w:sz w:val="24"/>
                <w:szCs w:val="24"/>
              </w:rPr>
              <w:t>计分分值</w:t>
            </w:r>
          </w:p>
        </w:tc>
        <w:tc>
          <w:tcPr>
            <w:tcW w:w="3363" w:type="dxa"/>
            <w:noWrap/>
            <w:vAlign w:val="center"/>
          </w:tcPr>
          <w:p>
            <w:pPr>
              <w:overflowPunct w:val="0"/>
              <w:contextualSpacing/>
              <w:jc w:val="center"/>
              <w:rPr>
                <w:rFonts w:hint="eastAsia" w:ascii="方正黑体_GBK" w:hAnsi="仿宋" w:eastAsia="方正黑体_GBK" w:cs="仿宋"/>
                <w:bCs/>
                <w:color w:val="000000"/>
                <w:sz w:val="24"/>
                <w:szCs w:val="24"/>
              </w:rPr>
            </w:pPr>
            <w:r>
              <w:rPr>
                <w:rFonts w:hint="eastAsia" w:ascii="方正黑体_GBK" w:hAnsi="仿宋" w:eastAsia="方正黑体_GBK" w:cs="仿宋"/>
                <w:bCs/>
                <w:color w:val="000000"/>
                <w:sz w:val="24"/>
                <w:szCs w:val="24"/>
              </w:rPr>
              <w:t>信息来源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1</w:t>
            </w:r>
          </w:p>
        </w:tc>
        <w:tc>
          <w:tcPr>
            <w:tcW w:w="743" w:type="dxa"/>
            <w:vMerge w:val="restart"/>
            <w:noWrap/>
            <w:vAlign w:val="center"/>
          </w:tcPr>
          <w:p>
            <w:pPr>
              <w:widowControl/>
              <w:jc w:val="left"/>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营运违规</w:t>
            </w: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危险货物道路运输驾驶员违反《危险货物道路运输安全管理办法》第六十八条第一项、第二项规定</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20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2</w:t>
            </w:r>
          </w:p>
        </w:tc>
        <w:tc>
          <w:tcPr>
            <w:tcW w:w="743" w:type="dxa"/>
            <w:vMerge w:val="continue"/>
            <w:noWrap/>
            <w:vAlign w:val="center"/>
          </w:tcPr>
          <w:p>
            <w:pPr>
              <w:widowControl/>
              <w:jc w:val="left"/>
              <w:textAlignment w:val="center"/>
              <w:rPr>
                <w:rFonts w:hint="eastAsia" w:ascii="方正仿宋_GBK" w:hAnsi="仿宋" w:eastAsia="方正仿宋_GBK" w:cs="仿宋"/>
                <w:color w:val="000000"/>
                <w:kern w:val="0"/>
                <w:sz w:val="24"/>
                <w:szCs w:val="24"/>
                <w:lang w:bidi="ar"/>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使用报废车辆从事道路运输营运的</w:t>
            </w:r>
          </w:p>
        </w:tc>
        <w:tc>
          <w:tcPr>
            <w:tcW w:w="690"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20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3</w:t>
            </w:r>
          </w:p>
        </w:tc>
        <w:tc>
          <w:tcPr>
            <w:tcW w:w="743" w:type="dxa"/>
            <w:vMerge w:val="continue"/>
            <w:noWrap/>
            <w:vAlign w:val="center"/>
          </w:tcPr>
          <w:p>
            <w:pPr>
              <w:widowControl/>
              <w:jc w:val="left"/>
              <w:textAlignment w:val="center"/>
              <w:rPr>
                <w:rFonts w:hint="eastAsia" w:ascii="方正仿宋_GBK" w:hAnsi="仿宋" w:eastAsia="方正仿宋_GBK" w:cs="仿宋"/>
                <w:color w:val="000000"/>
                <w:kern w:val="0"/>
                <w:sz w:val="24"/>
                <w:szCs w:val="24"/>
                <w:lang w:bidi="ar"/>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驾驶未取得《道路运输证》危险货物运输车辆，擅自从事道路危险货物运输</w:t>
            </w:r>
          </w:p>
        </w:tc>
        <w:tc>
          <w:tcPr>
            <w:tcW w:w="690"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20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4</w:t>
            </w:r>
          </w:p>
        </w:tc>
        <w:tc>
          <w:tcPr>
            <w:tcW w:w="743" w:type="dxa"/>
            <w:vMerge w:val="continue"/>
            <w:noWrap/>
            <w:vAlign w:val="center"/>
          </w:tcPr>
          <w:p>
            <w:pPr>
              <w:widowControl/>
              <w:jc w:val="left"/>
              <w:textAlignment w:val="center"/>
              <w:rPr>
                <w:rFonts w:hint="eastAsia" w:ascii="方正仿宋_GBK" w:hAnsi="仿宋" w:eastAsia="方正仿宋_GBK" w:cs="仿宋"/>
                <w:color w:val="000000"/>
                <w:kern w:val="0"/>
                <w:sz w:val="24"/>
                <w:szCs w:val="24"/>
                <w:lang w:bidi="ar"/>
              </w:rPr>
            </w:pPr>
          </w:p>
        </w:tc>
        <w:tc>
          <w:tcPr>
            <w:tcW w:w="7815" w:type="dxa"/>
            <w:noWrap/>
            <w:vAlign w:val="center"/>
          </w:tcPr>
          <w:p>
            <w:pPr>
              <w:widowControl/>
              <w:textAlignment w:val="center"/>
              <w:rPr>
                <w:rFonts w:hint="eastAsia" w:ascii="方正仿宋_GBK" w:hAnsi="仿宋" w:eastAsia="方正仿宋_GBK" w:cs="仿宋"/>
                <w:color w:val="000000"/>
                <w:sz w:val="24"/>
                <w:szCs w:val="24"/>
                <w:lang w:bidi="ar"/>
              </w:rPr>
            </w:pPr>
            <w:r>
              <w:rPr>
                <w:rFonts w:hint="eastAsia" w:ascii="方正仿宋_GBK" w:hAnsi="仿宋" w:eastAsia="方正仿宋_GBK" w:cs="仿宋"/>
                <w:color w:val="000000"/>
                <w:kern w:val="0"/>
                <w:sz w:val="24"/>
                <w:szCs w:val="24"/>
                <w:lang w:bidi="ar"/>
              </w:rPr>
              <w:t>驾驶未取得道路运输经营许可，擅自从事道路运输经营活动的</w:t>
            </w:r>
          </w:p>
        </w:tc>
        <w:tc>
          <w:tcPr>
            <w:tcW w:w="690"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Style w:val="44"/>
                <w:rFonts w:hint="eastAsia" w:ascii="方正仿宋_GBK" w:hAnsi="仿宋" w:eastAsia="方正仿宋_GBK" w:cs="仿宋"/>
                <w:sz w:val="24"/>
                <w:szCs w:val="24"/>
                <w:lang w:bidi="ar"/>
              </w:rPr>
              <w:t>20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5</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驾驶未取得《超限运输车辆通行证》的车辆，从事超限运输经营活动的</w:t>
            </w:r>
          </w:p>
        </w:tc>
        <w:tc>
          <w:tcPr>
            <w:tcW w:w="690"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10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6</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危险货物道路运输驾驶员违反《重庆市道路运输驾驶员管理办法》第五十二条第四项规定</w:t>
            </w:r>
          </w:p>
        </w:tc>
        <w:tc>
          <w:tcPr>
            <w:tcW w:w="690"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10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7</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道路运输驾驶员违反《重庆市道路运输驾驶员管理办法》第四十七条规定</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10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8</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载客长途客运班车凌晨2时至5时，未按相关规定停止运行或实行接驳运输的</w:t>
            </w:r>
          </w:p>
        </w:tc>
        <w:tc>
          <w:tcPr>
            <w:tcW w:w="690"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10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9</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公共汽车客运驾驶员未按照核准的线路和站点营运，擅自跨线营运的</w:t>
            </w:r>
          </w:p>
        </w:tc>
        <w:tc>
          <w:tcPr>
            <w:tcW w:w="690"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10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10</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驾驶无《道路运输证》的车辆，从事道路旅客或者货物运输经营活动</w:t>
            </w:r>
          </w:p>
        </w:tc>
        <w:tc>
          <w:tcPr>
            <w:tcW w:w="690"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10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11</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客运驾驶员违反《重庆市道路运输管理条例》第七十三条规定</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5</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12</w:t>
            </w:r>
          </w:p>
        </w:tc>
        <w:tc>
          <w:tcPr>
            <w:tcW w:w="743" w:type="dxa"/>
            <w:vMerge w:val="continue"/>
            <w:noWrap/>
            <w:vAlign w:val="center"/>
          </w:tcPr>
          <w:p>
            <w:pPr>
              <w:widowControl/>
              <w:snapToGrid w:val="0"/>
              <w:jc w:val="left"/>
              <w:rPr>
                <w:rFonts w:hint="eastAsia" w:ascii="方正仿宋_GBK" w:hAnsi="仿宋" w:eastAsia="方正仿宋_GBK" w:cs="仿宋"/>
                <w:color w:val="000000"/>
                <w:kern w:val="0"/>
                <w:sz w:val="24"/>
                <w:szCs w:val="24"/>
                <w:lang w:bidi="ar"/>
              </w:rPr>
            </w:pPr>
          </w:p>
        </w:tc>
        <w:tc>
          <w:tcPr>
            <w:tcW w:w="7815" w:type="dxa"/>
            <w:noWrap/>
            <w:vAlign w:val="center"/>
          </w:tcPr>
          <w:p>
            <w:pPr>
              <w:widowControl/>
              <w:snapToGrid w:val="0"/>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出租汽车驾驶员违反《重庆市道路运输管理条例》第七十六条规定</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5</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13</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驾驶无道路客运班线经营许可的车辆，从事班车客运经营的</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5</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14</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jc w:val="left"/>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驾驶擅自改装的车辆，从事道路运输经营活动的</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5</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15</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驾驶客运班车不按批准的客运站点停靠或者不按规定的线路、班次行驶的</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5</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16</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驾驶客运包车未按照约定的时间、起始地、目的地和线路行驶的</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5</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17</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lang w:bidi="ar"/>
              </w:rPr>
            </w:pPr>
            <w:r>
              <w:rPr>
                <w:rFonts w:hint="eastAsia" w:ascii="方正仿宋_GBK" w:hAnsi="仿宋" w:eastAsia="方正仿宋_GBK" w:cs="仿宋"/>
                <w:color w:val="000000"/>
                <w:kern w:val="0"/>
                <w:sz w:val="24"/>
                <w:szCs w:val="24"/>
                <w:lang w:bidi="ar"/>
              </w:rPr>
              <w:t>网络预约出租汽车驾驶员和车辆通过未取得经营许可的网络服务平台提供运营服务的</w:t>
            </w:r>
          </w:p>
        </w:tc>
        <w:tc>
          <w:tcPr>
            <w:tcW w:w="690" w:type="dxa"/>
            <w:noWrap/>
            <w:vAlign w:val="center"/>
          </w:tcPr>
          <w:p>
            <w:pPr>
              <w:overflowPunct w:val="0"/>
              <w:contextualSpacing/>
              <w:jc w:val="center"/>
              <w:rPr>
                <w:rFonts w:hint="eastAsia" w:ascii="方正仿宋_GBK" w:hAnsi="仿宋" w:eastAsia="方正仿宋_GBK" w:cs="仿宋"/>
                <w:color w:val="000000"/>
                <w:sz w:val="24"/>
                <w:szCs w:val="24"/>
              </w:rPr>
            </w:pPr>
            <w:r>
              <w:rPr>
                <w:rStyle w:val="44"/>
                <w:rFonts w:hint="eastAsia" w:ascii="方正仿宋_GBK" w:hAnsi="仿宋" w:eastAsia="方正仿宋_GBK" w:cs="仿宋"/>
                <w:sz w:val="24"/>
                <w:szCs w:val="24"/>
                <w:lang w:bidi="ar"/>
              </w:rPr>
              <w:t>5</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18</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道路运输驾驶员违反《重庆市道路运输驾驶员管理办法》第十三条规定</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3</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19</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客运驾驶员违反《重庆市公共汽车客运条例》第三十七条第五项规定</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3</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20</w:t>
            </w:r>
          </w:p>
        </w:tc>
        <w:tc>
          <w:tcPr>
            <w:tcW w:w="743" w:type="dxa"/>
            <w:vMerge w:val="restart"/>
            <w:noWrap/>
            <w:vAlign w:val="center"/>
          </w:tcPr>
          <w:p>
            <w:pPr>
              <w:overflowPunct w:val="0"/>
              <w:contextualSpacing/>
              <w:jc w:val="left"/>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监督检查</w:t>
            </w: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道路运输驾驶员被暂扣从业资格证后，仍从事道路运输经营的</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20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21</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本次诚信考核过程中或者上一次诚信考核等级签注后，发现其有弄虚作假、隐瞒相关诚信考核情况，且情节严重的</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20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22</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转让、出租</w:t>
            </w:r>
            <w:r>
              <w:rPr>
                <w:rStyle w:val="44"/>
                <w:rFonts w:hint="eastAsia" w:ascii="方正仿宋_GBK" w:hAnsi="仿宋" w:eastAsia="方正仿宋_GBK" w:cs="仿宋"/>
                <w:sz w:val="24"/>
                <w:szCs w:val="24"/>
                <w:lang w:bidi="ar"/>
              </w:rPr>
              <w:t>驾驶员</w:t>
            </w:r>
            <w:r>
              <w:rPr>
                <w:rFonts w:hint="eastAsia" w:ascii="方正仿宋_GBK" w:hAnsi="仿宋" w:eastAsia="方正仿宋_GBK" w:cs="仿宋"/>
                <w:color w:val="000000"/>
                <w:kern w:val="0"/>
                <w:sz w:val="24"/>
                <w:szCs w:val="24"/>
                <w:lang w:bidi="ar"/>
              </w:rPr>
              <w:t>从业资格证件的</w:t>
            </w:r>
          </w:p>
        </w:tc>
        <w:tc>
          <w:tcPr>
            <w:tcW w:w="690"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20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23</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超越从业资格证件核定范围，从事道路运输活动的</w:t>
            </w:r>
          </w:p>
        </w:tc>
        <w:tc>
          <w:tcPr>
            <w:tcW w:w="690"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20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24</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使用失效、擅自涂改、伪造、变造或者被注销的从业资格证，从事道路运输经营活动的</w:t>
            </w:r>
          </w:p>
        </w:tc>
        <w:tc>
          <w:tcPr>
            <w:tcW w:w="690"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10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25</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有受到市级以上政府、交通运输主管部门通报批评服务质量记录的或者违规行为被媒体曝光的</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10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26</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发生公共突发事件，无正当理由，不接受政府或者有关部门统一调度安排的</w:t>
            </w:r>
          </w:p>
        </w:tc>
        <w:tc>
          <w:tcPr>
            <w:tcW w:w="690" w:type="dxa"/>
            <w:noWrap/>
            <w:vAlign w:val="center"/>
          </w:tcPr>
          <w:p>
            <w:pPr>
              <w:widowControl/>
              <w:jc w:val="center"/>
              <w:textAlignment w:val="center"/>
              <w:rPr>
                <w:rStyle w:val="44"/>
                <w:rFonts w:hint="eastAsia" w:ascii="方正仿宋_GBK" w:hAnsi="仿宋" w:eastAsia="方正仿宋_GBK" w:cs="仿宋"/>
                <w:sz w:val="24"/>
                <w:szCs w:val="24"/>
                <w:lang w:bidi="ar"/>
              </w:rPr>
            </w:pPr>
            <w:r>
              <w:rPr>
                <w:rFonts w:hint="eastAsia" w:ascii="方正仿宋_GBK" w:hAnsi="仿宋" w:eastAsia="方正仿宋_GBK" w:cs="仿宋"/>
                <w:color w:val="000000"/>
                <w:kern w:val="0"/>
                <w:sz w:val="24"/>
                <w:szCs w:val="24"/>
                <w:lang w:bidi="ar"/>
              </w:rPr>
              <w:t>10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27</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危险货物道路运输驾驶员未按照规定随车携带危险货物运单、安全卡</w:t>
            </w:r>
          </w:p>
        </w:tc>
        <w:tc>
          <w:tcPr>
            <w:tcW w:w="690"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10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28</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客运驾驶员未配合汽车客运站执行车辆安全例行检查以及出站检查制度，擅自驾驶客车出站的</w:t>
            </w:r>
          </w:p>
        </w:tc>
        <w:tc>
          <w:tcPr>
            <w:tcW w:w="690" w:type="dxa"/>
            <w:noWrap/>
            <w:vAlign w:val="center"/>
          </w:tcPr>
          <w:p>
            <w:pPr>
              <w:widowControl/>
              <w:jc w:val="center"/>
              <w:textAlignment w:val="center"/>
              <w:rPr>
                <w:rStyle w:val="44"/>
                <w:rFonts w:hint="eastAsia" w:ascii="方正仿宋_GBK" w:hAnsi="仿宋" w:eastAsia="方正仿宋_GBK" w:cs="仿宋"/>
                <w:sz w:val="24"/>
                <w:szCs w:val="24"/>
                <w:lang w:bidi="ar"/>
              </w:rPr>
            </w:pPr>
            <w:r>
              <w:rPr>
                <w:rFonts w:hint="eastAsia" w:ascii="方正仿宋_GBK" w:hAnsi="仿宋" w:eastAsia="方正仿宋_GBK" w:cs="仿宋"/>
                <w:color w:val="000000"/>
                <w:kern w:val="0"/>
                <w:sz w:val="24"/>
                <w:szCs w:val="24"/>
                <w:lang w:bidi="ar"/>
              </w:rPr>
              <w:t>5</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29</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持有效从业资格证的从业人员，有替考或者代考行为的</w:t>
            </w:r>
          </w:p>
        </w:tc>
        <w:tc>
          <w:tcPr>
            <w:tcW w:w="690" w:type="dxa"/>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30</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危险货物道路运输驾驶员未按照规定悬挂符合国家标准的标志灯和标志牌的</w:t>
            </w:r>
          </w:p>
        </w:tc>
        <w:tc>
          <w:tcPr>
            <w:tcW w:w="690" w:type="dxa"/>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31</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从事大型物件运输的，未按照规定装置统一标志和悬挂标志旗，在夜间行驶和停车休息时未设置标志灯的</w:t>
            </w:r>
          </w:p>
        </w:tc>
        <w:tc>
          <w:tcPr>
            <w:tcW w:w="690" w:type="dxa"/>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32</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取得从业资格证的出租汽车驾驶员，未经出租汽车行政主管部门从业资格执业备案（注册），从事出租汽车客运服务的</w:t>
            </w:r>
          </w:p>
        </w:tc>
        <w:tc>
          <w:tcPr>
            <w:tcW w:w="690" w:type="dxa"/>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33</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从事班线客运经营的，未按规定随车携带《道路客运班线经营许可证明》</w:t>
            </w:r>
          </w:p>
        </w:tc>
        <w:tc>
          <w:tcPr>
            <w:tcW w:w="690" w:type="dxa"/>
            <w:noWrap/>
            <w:vAlign w:val="center"/>
          </w:tcPr>
          <w:p>
            <w:pPr>
              <w:widowControl/>
              <w:jc w:val="center"/>
              <w:textAlignment w:val="center"/>
              <w:rPr>
                <w:rStyle w:val="44"/>
                <w:rFonts w:hint="eastAsia" w:ascii="仿宋" w:hAnsi="仿宋" w:eastAsia="仿宋" w:cs="仿宋"/>
                <w:sz w:val="24"/>
                <w:szCs w:val="24"/>
                <w:lang w:bidi="ar"/>
              </w:rPr>
            </w:pPr>
            <w:r>
              <w:rPr>
                <w:rFonts w:hint="eastAsia" w:ascii="仿宋" w:hAnsi="仿宋" w:eastAsia="仿宋" w:cs="仿宋"/>
                <w:color w:val="000000"/>
                <w:kern w:val="0"/>
                <w:sz w:val="24"/>
                <w:szCs w:val="24"/>
                <w:lang w:bidi="ar"/>
              </w:rPr>
              <w:t>1</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34</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从事道路旅客运输经营的，未在规定位置放置客运标志牌</w:t>
            </w:r>
          </w:p>
        </w:tc>
        <w:tc>
          <w:tcPr>
            <w:tcW w:w="690" w:type="dxa"/>
            <w:noWrap/>
            <w:vAlign w:val="center"/>
          </w:tcPr>
          <w:p>
            <w:pPr>
              <w:widowControl/>
              <w:jc w:val="center"/>
              <w:textAlignment w:val="center"/>
              <w:rPr>
                <w:rStyle w:val="44"/>
                <w:rFonts w:hint="eastAsia" w:ascii="仿宋" w:hAnsi="仿宋" w:eastAsia="仿宋" w:cs="仿宋"/>
                <w:sz w:val="24"/>
                <w:szCs w:val="24"/>
                <w:lang w:bidi="ar"/>
              </w:rPr>
            </w:pPr>
            <w:r>
              <w:rPr>
                <w:rFonts w:hint="eastAsia" w:ascii="仿宋" w:hAnsi="仿宋" w:eastAsia="仿宋" w:cs="仿宋"/>
                <w:color w:val="000000"/>
                <w:kern w:val="0"/>
                <w:sz w:val="24"/>
                <w:szCs w:val="24"/>
                <w:lang w:bidi="ar"/>
              </w:rPr>
              <w:t>1</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35</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道路危险货物运输和经营性道路旅客运输驾驶员未按规定填写行车日志的</w:t>
            </w:r>
          </w:p>
        </w:tc>
        <w:tc>
          <w:tcPr>
            <w:tcW w:w="690" w:type="dxa"/>
            <w:noWrap/>
            <w:vAlign w:val="center"/>
          </w:tcPr>
          <w:p>
            <w:pPr>
              <w:widowControl/>
              <w:jc w:val="center"/>
              <w:textAlignment w:val="center"/>
              <w:rPr>
                <w:rStyle w:val="44"/>
                <w:rFonts w:hint="eastAsia" w:ascii="仿宋" w:hAnsi="仿宋" w:eastAsia="仿宋" w:cs="仿宋"/>
                <w:sz w:val="24"/>
                <w:szCs w:val="24"/>
                <w:lang w:bidi="ar"/>
              </w:rPr>
            </w:pPr>
            <w:r>
              <w:rPr>
                <w:rFonts w:hint="eastAsia" w:ascii="仿宋" w:hAnsi="仿宋" w:eastAsia="仿宋" w:cs="仿宋"/>
                <w:color w:val="000000"/>
                <w:kern w:val="0"/>
                <w:sz w:val="24"/>
                <w:szCs w:val="24"/>
                <w:lang w:bidi="ar"/>
              </w:rPr>
              <w:t>1</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36</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旅客运输驾驶员应当按照有关规定在发车前进行旅客系固安全带、播放宣传片等安全事项告知</w:t>
            </w:r>
          </w:p>
        </w:tc>
        <w:tc>
          <w:tcPr>
            <w:tcW w:w="690" w:type="dxa"/>
            <w:noWrap/>
            <w:vAlign w:val="center"/>
          </w:tcPr>
          <w:p>
            <w:pPr>
              <w:widowControl/>
              <w:jc w:val="center"/>
              <w:textAlignment w:val="center"/>
              <w:rPr>
                <w:rStyle w:val="44"/>
                <w:rFonts w:hint="eastAsia" w:ascii="仿宋" w:hAnsi="仿宋" w:eastAsia="仿宋" w:cs="仿宋"/>
                <w:sz w:val="24"/>
                <w:szCs w:val="24"/>
                <w:lang w:bidi="ar"/>
              </w:rPr>
            </w:pPr>
            <w:r>
              <w:rPr>
                <w:rFonts w:hint="eastAsia" w:ascii="仿宋" w:hAnsi="仿宋" w:eastAsia="仿宋" w:cs="仿宋"/>
                <w:color w:val="000000"/>
                <w:kern w:val="0"/>
                <w:sz w:val="24"/>
                <w:szCs w:val="24"/>
                <w:lang w:bidi="ar"/>
              </w:rPr>
              <w:t>1</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37</w:t>
            </w:r>
          </w:p>
        </w:tc>
        <w:tc>
          <w:tcPr>
            <w:tcW w:w="743" w:type="dxa"/>
            <w:vMerge w:val="restart"/>
            <w:noWrap/>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有责投诉</w:t>
            </w: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网络预约出租汽车驾驶员对举报、投诉其服务质量或者对其服务作出不满意评价的乘客实施报复行为的</w:t>
            </w:r>
          </w:p>
        </w:tc>
        <w:tc>
          <w:tcPr>
            <w:tcW w:w="690" w:type="dxa"/>
            <w:noWrap/>
            <w:vAlign w:val="center"/>
          </w:tcPr>
          <w:p>
            <w:pPr>
              <w:widowControl/>
              <w:jc w:val="center"/>
              <w:textAlignment w:val="center"/>
              <w:rPr>
                <w:rStyle w:val="44"/>
                <w:rFonts w:hint="eastAsia" w:ascii="仿宋" w:hAnsi="仿宋" w:eastAsia="仿宋" w:cs="仿宋"/>
                <w:sz w:val="24"/>
                <w:szCs w:val="24"/>
                <w:lang w:bidi="ar"/>
              </w:rPr>
            </w:pPr>
            <w:r>
              <w:rPr>
                <w:rFonts w:hint="eastAsia" w:ascii="仿宋" w:hAnsi="仿宋" w:eastAsia="仿宋" w:cs="仿宋"/>
                <w:color w:val="000000"/>
                <w:kern w:val="0"/>
                <w:sz w:val="24"/>
                <w:szCs w:val="24"/>
                <w:lang w:bidi="ar"/>
              </w:rPr>
              <w:t>20</w:t>
            </w:r>
          </w:p>
        </w:tc>
        <w:tc>
          <w:tcPr>
            <w:tcW w:w="3363"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38</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发生突发事件时，客运驾驶员等从业人员未采取措施，妥善安置或有序疏散乘客，先于乘客弃车逃离的</w:t>
            </w:r>
          </w:p>
        </w:tc>
        <w:tc>
          <w:tcPr>
            <w:tcW w:w="690" w:type="dxa"/>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3363"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39</w:t>
            </w:r>
          </w:p>
        </w:tc>
        <w:tc>
          <w:tcPr>
            <w:tcW w:w="743" w:type="dxa"/>
            <w:vMerge w:val="continue"/>
            <w:noWrap/>
            <w:vAlign w:val="center"/>
          </w:tcPr>
          <w:p>
            <w:pPr>
              <w:widowControl/>
              <w:jc w:val="left"/>
              <w:textAlignment w:val="center"/>
              <w:rPr>
                <w:rFonts w:hint="eastAsia" w:ascii="仿宋" w:hAnsi="仿宋" w:eastAsia="仿宋" w:cs="仿宋"/>
                <w:b/>
                <w:bCs/>
                <w:color w:val="000000"/>
                <w:kern w:val="0"/>
                <w:sz w:val="24"/>
                <w:szCs w:val="24"/>
                <w:lang w:bidi="ar"/>
              </w:rPr>
            </w:pPr>
          </w:p>
        </w:tc>
        <w:tc>
          <w:tcPr>
            <w:tcW w:w="7815" w:type="dxa"/>
            <w:noWrap/>
            <w:vAlign w:val="center"/>
          </w:tcPr>
          <w:p>
            <w:pPr>
              <w:widowControl/>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出租驾驶员行车途中存在违背社会公序良德，随地便溺的</w:t>
            </w:r>
          </w:p>
        </w:tc>
        <w:tc>
          <w:tcPr>
            <w:tcW w:w="690" w:type="dxa"/>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3363"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40</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网络预约出租汽车驾驶员违规收费其它费用的</w:t>
            </w:r>
          </w:p>
        </w:tc>
        <w:tc>
          <w:tcPr>
            <w:tcW w:w="690" w:type="dxa"/>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3363"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41</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网络预约出租汽车线上提供服务的车辆与线下实际提供服务的车辆不一致的</w:t>
            </w:r>
          </w:p>
        </w:tc>
        <w:tc>
          <w:tcPr>
            <w:tcW w:w="690" w:type="dxa"/>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3363"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42</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公共汽车客运驾驶员未为老、弱、病、残、孕和携带婴幼儿的乘客提供必要帮助的</w:t>
            </w:r>
          </w:p>
        </w:tc>
        <w:tc>
          <w:tcPr>
            <w:tcW w:w="690" w:type="dxa"/>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3363"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43</w:t>
            </w:r>
          </w:p>
        </w:tc>
        <w:tc>
          <w:tcPr>
            <w:tcW w:w="743" w:type="dxa"/>
            <w:vMerge w:val="continue"/>
            <w:noWrap/>
            <w:vAlign w:val="center"/>
          </w:tcPr>
          <w:p>
            <w:pPr>
              <w:widowControl/>
              <w:jc w:val="left"/>
              <w:textAlignment w:val="center"/>
              <w:rPr>
                <w:rFonts w:hint="eastAsia" w:ascii="仿宋" w:hAnsi="仿宋" w:eastAsia="仿宋" w:cs="仿宋"/>
                <w:b/>
                <w:bCs/>
                <w:color w:val="000000"/>
                <w:kern w:val="0"/>
                <w:sz w:val="24"/>
                <w:szCs w:val="24"/>
                <w:lang w:bidi="ar"/>
              </w:rPr>
            </w:pPr>
          </w:p>
        </w:tc>
        <w:tc>
          <w:tcPr>
            <w:tcW w:w="7815" w:type="dxa"/>
            <w:noWrap/>
            <w:vAlign w:val="center"/>
          </w:tcPr>
          <w:p>
            <w:pPr>
              <w:widowControl/>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巡游出租车不接受乘客使用车载智能终端电子支付车费的</w:t>
            </w:r>
          </w:p>
        </w:tc>
        <w:tc>
          <w:tcPr>
            <w:tcW w:w="690" w:type="dxa"/>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3363"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44</w:t>
            </w:r>
          </w:p>
        </w:tc>
        <w:tc>
          <w:tcPr>
            <w:tcW w:w="743" w:type="dxa"/>
            <w:vMerge w:val="restart"/>
            <w:noWrap/>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安全事故</w:t>
            </w: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考核周期内，发生一次死亡1人及以上道路运输责任事故，负同等责任的</w:t>
            </w:r>
          </w:p>
        </w:tc>
        <w:tc>
          <w:tcPr>
            <w:tcW w:w="690" w:type="dxa"/>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公安部门数据共享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45</w:t>
            </w:r>
          </w:p>
        </w:tc>
        <w:tc>
          <w:tcPr>
            <w:tcW w:w="743" w:type="dxa"/>
            <w:vMerge w:val="continue"/>
            <w:noWrap/>
            <w:vAlign w:val="center"/>
          </w:tcPr>
          <w:p>
            <w:pPr>
              <w:overflowPunct w:val="0"/>
              <w:contextualSpacing/>
              <w:jc w:val="left"/>
              <w:rPr>
                <w:rFonts w:hint="eastAsia" w:ascii="仿宋" w:hAnsi="仿宋" w:eastAsia="仿宋" w:cs="仿宋"/>
                <w:color w:val="000000"/>
                <w:sz w:val="24"/>
                <w:szCs w:val="24"/>
                <w:lang w:bidi="ar"/>
              </w:rPr>
            </w:pPr>
          </w:p>
        </w:tc>
        <w:tc>
          <w:tcPr>
            <w:tcW w:w="7815" w:type="dxa"/>
            <w:noWrap/>
            <w:vAlign w:val="center"/>
          </w:tcPr>
          <w:p>
            <w:pPr>
              <w:overflowPunct w:val="0"/>
              <w:contextualSpacing/>
              <w:jc w:val="left"/>
              <w:rPr>
                <w:rFonts w:hint="eastAsia" w:ascii="仿宋" w:hAnsi="仿宋" w:eastAsia="仿宋" w:cs="仿宋"/>
                <w:color w:val="000000"/>
                <w:sz w:val="24"/>
                <w:szCs w:val="24"/>
                <w:lang w:bidi="ar"/>
              </w:rPr>
            </w:pPr>
            <w:r>
              <w:rPr>
                <w:rFonts w:hint="eastAsia" w:ascii="仿宋" w:hAnsi="仿宋" w:eastAsia="仿宋" w:cs="仿宋"/>
                <w:color w:val="000000"/>
                <w:kern w:val="0"/>
                <w:sz w:val="24"/>
                <w:szCs w:val="24"/>
                <w:lang w:bidi="ar"/>
              </w:rPr>
              <w:t>考核周期内，发生一次死亡1人及以上道路运输责任事故，负次要责任的</w:t>
            </w:r>
          </w:p>
        </w:tc>
        <w:tc>
          <w:tcPr>
            <w:tcW w:w="690" w:type="dxa"/>
            <w:noWrap/>
            <w:vAlign w:val="center"/>
          </w:tcPr>
          <w:p>
            <w:pPr>
              <w:overflowPunct w:val="0"/>
              <w:contextualSpacing/>
              <w:jc w:val="center"/>
              <w:rPr>
                <w:rFonts w:hint="eastAsia" w:ascii="仿宋" w:hAnsi="仿宋" w:eastAsia="仿宋" w:cs="仿宋"/>
                <w:color w:val="000000"/>
                <w:sz w:val="24"/>
                <w:szCs w:val="24"/>
                <w:lang w:bidi="ar"/>
              </w:rPr>
            </w:pPr>
            <w:r>
              <w:rPr>
                <w:rStyle w:val="44"/>
                <w:rFonts w:hint="eastAsia" w:ascii="仿宋" w:hAnsi="仿宋" w:eastAsia="仿宋" w:cs="仿宋"/>
                <w:sz w:val="24"/>
                <w:szCs w:val="24"/>
                <w:lang w:bidi="ar"/>
              </w:rPr>
              <w:t>10</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公安部门数据共享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46</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使用罐式专用车辆或者运输有毒、感染性、腐蚀性危险货物的专用车辆运输普通货物的或者未对专用车辆进行消除危害处理的</w:t>
            </w:r>
          </w:p>
        </w:tc>
        <w:tc>
          <w:tcPr>
            <w:tcW w:w="690" w:type="dxa"/>
            <w:noWrap/>
            <w:vAlign w:val="center"/>
          </w:tcPr>
          <w:p>
            <w:pPr>
              <w:widowControl/>
              <w:jc w:val="center"/>
              <w:textAlignment w:val="center"/>
              <w:rPr>
                <w:rStyle w:val="44"/>
                <w:rFonts w:hint="eastAsia" w:ascii="仿宋" w:hAnsi="仿宋" w:eastAsia="仿宋" w:cs="仿宋"/>
                <w:sz w:val="24"/>
                <w:szCs w:val="24"/>
                <w:lang w:bidi="ar"/>
              </w:rPr>
            </w:pPr>
            <w:r>
              <w:rPr>
                <w:rFonts w:hint="eastAsia" w:ascii="仿宋" w:hAnsi="仿宋" w:eastAsia="仿宋" w:cs="仿宋"/>
                <w:color w:val="000000"/>
                <w:kern w:val="0"/>
                <w:sz w:val="24"/>
                <w:szCs w:val="24"/>
                <w:lang w:bidi="ar"/>
              </w:rPr>
              <w:t>10</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47</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驾驶的危险货物运输车辆未按照危险化学品的特性采取必要安全防护措施的</w:t>
            </w:r>
          </w:p>
        </w:tc>
        <w:tc>
          <w:tcPr>
            <w:tcW w:w="690" w:type="dxa"/>
            <w:noWrap/>
            <w:vAlign w:val="center"/>
          </w:tcPr>
          <w:p>
            <w:pPr>
              <w:widowControl/>
              <w:jc w:val="center"/>
              <w:textAlignment w:val="center"/>
              <w:rPr>
                <w:rStyle w:val="44"/>
                <w:rFonts w:hint="eastAsia" w:ascii="仿宋" w:hAnsi="仿宋" w:eastAsia="仿宋" w:cs="仿宋"/>
                <w:sz w:val="24"/>
                <w:szCs w:val="24"/>
                <w:lang w:bidi="ar"/>
              </w:rPr>
            </w:pPr>
            <w:r>
              <w:rPr>
                <w:rFonts w:hint="eastAsia" w:ascii="仿宋" w:hAnsi="仿宋" w:eastAsia="仿宋" w:cs="仿宋"/>
                <w:color w:val="000000"/>
                <w:kern w:val="0"/>
                <w:sz w:val="24"/>
                <w:szCs w:val="24"/>
                <w:lang w:bidi="ar"/>
              </w:rPr>
              <w:t>5</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48</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驾驶未按规定投保承运人责任险的车辆，从事道路旅客或者危险货物运输经营活动的</w:t>
            </w:r>
          </w:p>
        </w:tc>
        <w:tc>
          <w:tcPr>
            <w:tcW w:w="690" w:type="dxa"/>
            <w:noWrap/>
            <w:vAlign w:val="center"/>
          </w:tcPr>
          <w:p>
            <w:pPr>
              <w:widowControl/>
              <w:jc w:val="center"/>
              <w:textAlignment w:val="center"/>
              <w:rPr>
                <w:rStyle w:val="44"/>
                <w:rFonts w:hint="eastAsia" w:ascii="仿宋" w:hAnsi="仿宋" w:eastAsia="仿宋" w:cs="仿宋"/>
                <w:sz w:val="24"/>
                <w:szCs w:val="24"/>
                <w:lang w:bidi="ar"/>
              </w:rPr>
            </w:pPr>
            <w:r>
              <w:rPr>
                <w:rFonts w:hint="eastAsia" w:ascii="仿宋" w:hAnsi="仿宋" w:eastAsia="仿宋" w:cs="仿宋"/>
                <w:color w:val="000000"/>
                <w:kern w:val="0"/>
                <w:sz w:val="24"/>
                <w:szCs w:val="24"/>
                <w:lang w:bidi="ar"/>
              </w:rPr>
              <w:t>3</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49</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驾驶未按规定维护、检测运输的车辆，从事道路运输经营活动的</w:t>
            </w:r>
          </w:p>
        </w:tc>
        <w:tc>
          <w:tcPr>
            <w:tcW w:w="690" w:type="dxa"/>
            <w:noWrap/>
            <w:vAlign w:val="center"/>
          </w:tcPr>
          <w:p>
            <w:pPr>
              <w:widowControl/>
              <w:jc w:val="center"/>
              <w:textAlignment w:val="center"/>
              <w:rPr>
                <w:rStyle w:val="44"/>
                <w:rFonts w:hint="eastAsia" w:ascii="仿宋" w:hAnsi="仿宋" w:eastAsia="仿宋" w:cs="仿宋"/>
                <w:sz w:val="24"/>
                <w:szCs w:val="24"/>
                <w:lang w:bidi="ar"/>
              </w:rPr>
            </w:pPr>
            <w:r>
              <w:rPr>
                <w:rFonts w:hint="eastAsia" w:ascii="仿宋" w:hAnsi="仿宋" w:eastAsia="仿宋" w:cs="仿宋"/>
                <w:color w:val="000000"/>
                <w:kern w:val="0"/>
                <w:sz w:val="24"/>
                <w:szCs w:val="24"/>
                <w:lang w:bidi="ar"/>
              </w:rPr>
              <w:t>3</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bl>
    <w:p>
      <w:pPr>
        <w:rPr>
          <w:color w:val="000000"/>
        </w:rPr>
      </w:pPr>
    </w:p>
    <w:p>
      <w:pPr>
        <w:rPr>
          <w:rFonts w:hint="eastAsia"/>
          <w:lang w:val="en-US" w:eastAsia="zh-CN"/>
        </w:rPr>
      </w:pPr>
    </w:p>
    <w:sectPr>
      <w:pgSz w:w="16838" w:h="11906" w:orient="landscape"/>
      <w:pgMar w:top="1587" w:right="1962" w:bottom="1474" w:left="1848" w:header="510" w:footer="624"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8279765" cy="0"/>
              <wp:effectExtent l="0" t="10795" r="6985" b="17780"/>
              <wp:wrapNone/>
              <wp:docPr id="11" name="直接连接符 11"/>
              <wp:cNvGraphicFramePr/>
              <a:graphic xmlns:a="http://schemas.openxmlformats.org/drawingml/2006/main">
                <a:graphicData uri="http://schemas.microsoft.com/office/word/2010/wordprocessingShape">
                  <wps:wsp>
                    <wps:cNvCnPr/>
                    <wps:spPr>
                      <a:xfrm>
                        <a:off x="0" y="0"/>
                        <a:ext cx="827976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651.95pt;z-index:251660288;mso-width-relative:page;mso-height-relative:page;" filled="f" stroked="t" coordsize="21600,21600" o:gfxdata="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w46TNQAAAAI&#10;AQAADwAAAAAAAAABACAAAAAiAAAAZHJzL2Rvd25yZXYueG1sUEsBAhQAFAAAAAgAh07iQBylN9nn&#10;AQAAtAMAAA4AAAAAAAAAAQAgAAAAIw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79765"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79765"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651.95pt;z-index:251659264;mso-width-relative:page;mso-height-relative:page;" filled="f" stroked="t" coordsize="21600,21600" o:gfxdata="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NZQx1gAAAAgBAAAPAAAAAAAAAAEAIAAAACIAAABkcnMvZG93bnJldi54bWxQSwEC&#10;FAAUAAAACACHTuJA3S0gJvYBAADBAwAADgAAAAAAAAABACAAAAAlAQAAZHJzL2Uyb0RvYy54bWxQ&#10;SwUGAAAAAAYABgBZAQAAj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5E77BDB"/>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35700F"/>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Body text|1"/>
    <w:basedOn w:val="1"/>
    <w:qFormat/>
    <w:uiPriority w:val="0"/>
    <w:pPr>
      <w:spacing w:line="406" w:lineRule="auto"/>
      <w:ind w:firstLine="400"/>
    </w:pPr>
    <w:rPr>
      <w:rFonts w:ascii="宋体" w:hAnsi="宋体" w:cs="宋体"/>
      <w:sz w:val="30"/>
      <w:szCs w:val="30"/>
      <w:lang w:val="zh-TW" w:eastAsia="zh-TW" w:bidi="zh-TW"/>
    </w:rPr>
  </w:style>
  <w:style w:type="character" w:customStyle="1" w:styleId="13">
    <w:name w:val="font01"/>
    <w:qFormat/>
    <w:uiPriority w:val="0"/>
    <w:rPr>
      <w:rFonts w:hint="eastAsia" w:ascii="方正仿宋_GBK" w:hAnsi="方正仿宋_GBK" w:eastAsia="方正仿宋_GBK" w:cs="方正仿宋_GBK"/>
      <w:color w:val="FF0000"/>
      <w:sz w:val="22"/>
      <w:szCs w:val="22"/>
      <w:u w:val="none"/>
    </w:rPr>
  </w:style>
  <w:style w:type="character" w:customStyle="1" w:styleId="14">
    <w:name w:val="font401"/>
    <w:qFormat/>
    <w:uiPriority w:val="0"/>
    <w:rPr>
      <w:rFonts w:hint="eastAsia" w:ascii="方正仿宋_GBK" w:hAnsi="方正仿宋_GBK" w:eastAsia="方正仿宋_GBK" w:cs="方正仿宋_GBK"/>
      <w:color w:val="auto"/>
      <w:sz w:val="28"/>
      <w:szCs w:val="28"/>
      <w:u w:val="none"/>
    </w:rPr>
  </w:style>
  <w:style w:type="character" w:customStyle="1" w:styleId="15">
    <w:name w:val="font421"/>
    <w:qFormat/>
    <w:uiPriority w:val="0"/>
    <w:rPr>
      <w:rFonts w:hint="eastAsia" w:ascii="方正楷体_GBK" w:hAnsi="方正楷体_GBK" w:eastAsia="方正楷体_GBK" w:cs="方正楷体_GBK"/>
      <w:color w:val="auto"/>
      <w:sz w:val="24"/>
      <w:szCs w:val="24"/>
      <w:u w:val="none"/>
    </w:rPr>
  </w:style>
  <w:style w:type="character" w:customStyle="1" w:styleId="16">
    <w:name w:val="font431"/>
    <w:qFormat/>
    <w:uiPriority w:val="0"/>
    <w:rPr>
      <w:rFonts w:hint="eastAsia" w:ascii="方正楷体_GBK" w:hAnsi="方正楷体_GBK" w:eastAsia="方正楷体_GBK" w:cs="方正楷体_GBK"/>
      <w:color w:val="FF0000"/>
      <w:sz w:val="24"/>
      <w:szCs w:val="24"/>
      <w:u w:val="none"/>
    </w:rPr>
  </w:style>
  <w:style w:type="character" w:customStyle="1" w:styleId="17">
    <w:name w:val="font81"/>
    <w:qFormat/>
    <w:uiPriority w:val="0"/>
    <w:rPr>
      <w:rFonts w:hint="default" w:ascii="Times New Roman" w:hAnsi="Times New Roman" w:cs="Times New Roman"/>
      <w:color w:val="000000"/>
      <w:sz w:val="20"/>
      <w:szCs w:val="20"/>
      <w:u w:val="none"/>
    </w:rPr>
  </w:style>
  <w:style w:type="character" w:customStyle="1" w:styleId="18">
    <w:name w:val="font11"/>
    <w:qFormat/>
    <w:uiPriority w:val="0"/>
    <w:rPr>
      <w:rFonts w:hint="default" w:ascii="仿宋_GB2312" w:eastAsia="仿宋_GB2312" w:cs="仿宋_GB2312"/>
      <w:b/>
      <w:bCs/>
      <w:color w:val="000000"/>
      <w:sz w:val="21"/>
      <w:szCs w:val="21"/>
      <w:u w:val="none"/>
    </w:rPr>
  </w:style>
  <w:style w:type="character" w:customStyle="1" w:styleId="19">
    <w:name w:val="font441"/>
    <w:qFormat/>
    <w:uiPriority w:val="0"/>
    <w:rPr>
      <w:rFonts w:hint="eastAsia" w:ascii="方正仿宋_GBK" w:hAnsi="方正仿宋_GBK" w:eastAsia="方正仿宋_GBK" w:cs="方正仿宋_GBK"/>
      <w:color w:val="auto"/>
      <w:sz w:val="22"/>
      <w:szCs w:val="22"/>
      <w:u w:val="none"/>
    </w:rPr>
  </w:style>
  <w:style w:type="character" w:customStyle="1" w:styleId="20">
    <w:name w:val="font91"/>
    <w:qFormat/>
    <w:uiPriority w:val="0"/>
    <w:rPr>
      <w:rFonts w:hint="eastAsia" w:ascii="方正仿宋_GBK" w:hAnsi="方正仿宋_GBK" w:eastAsia="方正仿宋_GBK" w:cs="方正仿宋_GBK"/>
      <w:color w:val="000000"/>
      <w:sz w:val="20"/>
      <w:szCs w:val="20"/>
      <w:u w:val="none"/>
    </w:rPr>
  </w:style>
  <w:style w:type="character" w:customStyle="1" w:styleId="21">
    <w:name w:val="font451"/>
    <w:qFormat/>
    <w:uiPriority w:val="0"/>
    <w:rPr>
      <w:rFonts w:hint="eastAsia" w:ascii="方正楷体_GBK" w:hAnsi="方正楷体_GBK" w:eastAsia="方正楷体_GBK" w:cs="方正楷体_GBK"/>
      <w:color w:val="auto"/>
      <w:sz w:val="22"/>
      <w:szCs w:val="22"/>
      <w:u w:val="none"/>
    </w:rPr>
  </w:style>
  <w:style w:type="character" w:customStyle="1" w:styleId="22">
    <w:name w:val="font141"/>
    <w:qFormat/>
    <w:uiPriority w:val="0"/>
    <w:rPr>
      <w:rFonts w:hint="eastAsia" w:ascii="方正仿宋_GBK" w:hAnsi="方正仿宋_GBK" w:eastAsia="方正仿宋_GBK" w:cs="方正仿宋_GBK"/>
      <w:color w:val="FF0000"/>
      <w:sz w:val="24"/>
      <w:szCs w:val="24"/>
      <w:u w:val="none"/>
    </w:rPr>
  </w:style>
  <w:style w:type="character" w:customStyle="1" w:styleId="23">
    <w:name w:val="font101"/>
    <w:qFormat/>
    <w:uiPriority w:val="0"/>
    <w:rPr>
      <w:rFonts w:hint="default" w:ascii="Times New Roman" w:hAnsi="Times New Roman" w:cs="Times New Roman"/>
      <w:color w:val="auto"/>
      <w:sz w:val="22"/>
      <w:szCs w:val="22"/>
      <w:u w:val="none"/>
    </w:rPr>
  </w:style>
  <w:style w:type="character" w:customStyle="1" w:styleId="24">
    <w:name w:val="font461"/>
    <w:qFormat/>
    <w:uiPriority w:val="0"/>
    <w:rPr>
      <w:rFonts w:hint="eastAsia" w:ascii="方正仿宋_GBK" w:hAnsi="方正仿宋_GBK" w:eastAsia="方正仿宋_GBK" w:cs="方正仿宋_GBK"/>
      <w:color w:val="auto"/>
      <w:sz w:val="22"/>
      <w:szCs w:val="22"/>
      <w:u w:val="none"/>
    </w:rPr>
  </w:style>
  <w:style w:type="character" w:customStyle="1" w:styleId="25">
    <w:name w:val="font471"/>
    <w:qFormat/>
    <w:uiPriority w:val="0"/>
    <w:rPr>
      <w:rFonts w:hint="eastAsia" w:ascii="方正楷体_GBK" w:hAnsi="方正楷体_GBK" w:eastAsia="方正楷体_GBK" w:cs="方正楷体_GBK"/>
      <w:color w:val="auto"/>
      <w:sz w:val="22"/>
      <w:szCs w:val="22"/>
      <w:u w:val="none"/>
    </w:rPr>
  </w:style>
  <w:style w:type="character" w:customStyle="1" w:styleId="26">
    <w:name w:val="font481"/>
    <w:qFormat/>
    <w:uiPriority w:val="0"/>
    <w:rPr>
      <w:rFonts w:hint="eastAsia" w:ascii="方正仿宋_GBK" w:hAnsi="方正仿宋_GBK" w:eastAsia="方正仿宋_GBK" w:cs="方正仿宋_GBK"/>
      <w:color w:val="FF0000"/>
      <w:sz w:val="24"/>
      <w:szCs w:val="24"/>
      <w:u w:val="none"/>
    </w:rPr>
  </w:style>
  <w:style w:type="character" w:customStyle="1" w:styleId="27">
    <w:name w:val="font171"/>
    <w:qFormat/>
    <w:uiPriority w:val="0"/>
    <w:rPr>
      <w:rFonts w:hint="default" w:ascii="Times New Roman" w:hAnsi="Times New Roman" w:cs="Times New Roman"/>
      <w:color w:val="FF0000"/>
      <w:sz w:val="24"/>
      <w:szCs w:val="24"/>
      <w:u w:val="none"/>
    </w:rPr>
  </w:style>
  <w:style w:type="character" w:customStyle="1" w:styleId="28">
    <w:name w:val="font221"/>
    <w:qFormat/>
    <w:uiPriority w:val="0"/>
    <w:rPr>
      <w:rFonts w:hint="eastAsia" w:ascii="方正仿宋_GBK" w:hAnsi="方正仿宋_GBK" w:eastAsia="方正仿宋_GBK" w:cs="方正仿宋_GBK"/>
      <w:color w:val="000000"/>
      <w:sz w:val="28"/>
      <w:szCs w:val="28"/>
      <w:u w:val="none"/>
    </w:rPr>
  </w:style>
  <w:style w:type="character" w:customStyle="1" w:styleId="29">
    <w:name w:val="font231"/>
    <w:qFormat/>
    <w:uiPriority w:val="0"/>
    <w:rPr>
      <w:rFonts w:ascii="方正楷体_GBK" w:hAnsi="方正楷体_GBK" w:eastAsia="方正楷体_GBK" w:cs="方正楷体_GBK"/>
      <w:color w:val="000000"/>
      <w:sz w:val="24"/>
      <w:szCs w:val="24"/>
      <w:u w:val="none"/>
    </w:rPr>
  </w:style>
  <w:style w:type="character" w:customStyle="1" w:styleId="30">
    <w:name w:val="font241"/>
    <w:qFormat/>
    <w:uiPriority w:val="0"/>
    <w:rPr>
      <w:rFonts w:hint="eastAsia" w:ascii="方正楷体_GBK" w:hAnsi="方正楷体_GBK" w:eastAsia="方正楷体_GBK" w:cs="方正楷体_GBK"/>
      <w:color w:val="000000"/>
      <w:sz w:val="22"/>
      <w:szCs w:val="22"/>
      <w:u w:val="none"/>
    </w:rPr>
  </w:style>
  <w:style w:type="character" w:customStyle="1" w:styleId="31">
    <w:name w:val="font251"/>
    <w:qFormat/>
    <w:uiPriority w:val="0"/>
    <w:rPr>
      <w:rFonts w:hint="eastAsia" w:ascii="宋体" w:hAnsi="宋体" w:eastAsia="宋体" w:cs="宋体"/>
      <w:color w:val="000000"/>
      <w:sz w:val="22"/>
      <w:szCs w:val="22"/>
      <w:u w:val="none"/>
    </w:rPr>
  </w:style>
  <w:style w:type="character" w:customStyle="1" w:styleId="32">
    <w:name w:val="font261"/>
    <w:qFormat/>
    <w:uiPriority w:val="0"/>
    <w:rPr>
      <w:rFonts w:hint="eastAsia" w:ascii="方正楷体_GBK" w:hAnsi="方正楷体_GBK" w:eastAsia="方正楷体_GBK" w:cs="方正楷体_GBK"/>
      <w:color w:val="000000"/>
      <w:sz w:val="40"/>
      <w:szCs w:val="40"/>
      <w:u w:val="none"/>
    </w:rPr>
  </w:style>
  <w:style w:type="character" w:customStyle="1" w:styleId="33">
    <w:name w:val="font151"/>
    <w:qFormat/>
    <w:uiPriority w:val="0"/>
    <w:rPr>
      <w:rFonts w:hint="eastAsia" w:ascii="方正仿宋_GBK" w:hAnsi="方正仿宋_GBK" w:eastAsia="方正仿宋_GBK" w:cs="方正仿宋_GBK"/>
      <w:color w:val="FF0000"/>
      <w:sz w:val="22"/>
      <w:szCs w:val="22"/>
      <w:u w:val="none"/>
    </w:rPr>
  </w:style>
  <w:style w:type="character" w:customStyle="1" w:styleId="34">
    <w:name w:val="font131"/>
    <w:qFormat/>
    <w:uiPriority w:val="0"/>
    <w:rPr>
      <w:rFonts w:hint="default" w:ascii="Times New Roman" w:hAnsi="Times New Roman" w:cs="Times New Roman"/>
      <w:color w:val="000000"/>
      <w:sz w:val="20"/>
      <w:szCs w:val="20"/>
      <w:u w:val="none"/>
    </w:rPr>
  </w:style>
  <w:style w:type="character" w:customStyle="1" w:styleId="35">
    <w:name w:val="font271"/>
    <w:qFormat/>
    <w:uiPriority w:val="0"/>
    <w:rPr>
      <w:rFonts w:hint="eastAsia" w:ascii="方正仿宋_GBK" w:hAnsi="方正仿宋_GBK" w:eastAsia="方正仿宋_GBK" w:cs="方正仿宋_GBK"/>
      <w:color w:val="000000"/>
      <w:sz w:val="20"/>
      <w:szCs w:val="20"/>
      <w:u w:val="none"/>
    </w:rPr>
  </w:style>
  <w:style w:type="character" w:customStyle="1" w:styleId="36">
    <w:name w:val="font161"/>
    <w:qFormat/>
    <w:uiPriority w:val="0"/>
    <w:rPr>
      <w:rFonts w:hint="eastAsia" w:ascii="方正仿宋_GBK" w:hAnsi="方正仿宋_GBK" w:eastAsia="方正仿宋_GBK" w:cs="方正仿宋_GBK"/>
      <w:color w:val="FF0000"/>
      <w:sz w:val="22"/>
      <w:szCs w:val="22"/>
      <w:u w:val="none"/>
    </w:rPr>
  </w:style>
  <w:style w:type="character" w:customStyle="1" w:styleId="37">
    <w:name w:val="font112"/>
    <w:qFormat/>
    <w:uiPriority w:val="0"/>
    <w:rPr>
      <w:rFonts w:hint="eastAsia" w:ascii="方正仿宋_GBK" w:hAnsi="方正仿宋_GBK" w:eastAsia="方正仿宋_GBK" w:cs="方正仿宋_GBK"/>
      <w:color w:val="000000"/>
      <w:sz w:val="20"/>
      <w:szCs w:val="20"/>
      <w:u w:val="none"/>
    </w:rPr>
  </w:style>
  <w:style w:type="character" w:customStyle="1" w:styleId="38">
    <w:name w:val="font281"/>
    <w:qFormat/>
    <w:uiPriority w:val="0"/>
    <w:rPr>
      <w:rFonts w:hint="eastAsia" w:ascii="方正仿宋_GBK" w:hAnsi="方正仿宋_GBK" w:eastAsia="方正仿宋_GBK" w:cs="方正仿宋_GBK"/>
      <w:color w:val="000000"/>
      <w:sz w:val="22"/>
      <w:szCs w:val="22"/>
      <w:u w:val="none"/>
    </w:rPr>
  </w:style>
  <w:style w:type="character" w:customStyle="1" w:styleId="39">
    <w:name w:val="font291"/>
    <w:qFormat/>
    <w:uiPriority w:val="0"/>
    <w:rPr>
      <w:rFonts w:hint="eastAsia" w:ascii="方正仿宋_GBK" w:hAnsi="方正仿宋_GBK" w:eastAsia="方正仿宋_GBK" w:cs="方正仿宋_GBK"/>
      <w:color w:val="FF0000"/>
      <w:sz w:val="24"/>
      <w:szCs w:val="24"/>
      <w:u w:val="none"/>
    </w:rPr>
  </w:style>
  <w:style w:type="character" w:customStyle="1" w:styleId="40">
    <w:name w:val="font181"/>
    <w:qFormat/>
    <w:uiPriority w:val="0"/>
    <w:rPr>
      <w:rFonts w:hint="default" w:ascii="Times New Roman" w:hAnsi="Times New Roman" w:cs="Times New Roman"/>
      <w:color w:val="FF0000"/>
      <w:sz w:val="24"/>
      <w:szCs w:val="24"/>
      <w:u w:val="none"/>
    </w:rPr>
  </w:style>
  <w:style w:type="paragraph" w:customStyle="1" w:styleId="41">
    <w:name w:val="表格"/>
    <w:basedOn w:val="1"/>
    <w:qFormat/>
    <w:uiPriority w:val="0"/>
    <w:pPr>
      <w:widowControl/>
      <w:jc w:val="left"/>
    </w:pPr>
    <w:rPr>
      <w:bCs/>
      <w:iCs/>
      <w:color w:val="000000"/>
      <w:kern w:val="0"/>
      <w:sz w:val="24"/>
    </w:rPr>
  </w:style>
  <w:style w:type="character" w:customStyle="1" w:styleId="42">
    <w:name w:val="font21"/>
    <w:qFormat/>
    <w:uiPriority w:val="0"/>
    <w:rPr>
      <w:rFonts w:ascii="方正楷体_GBK" w:hAnsi="方正楷体_GBK" w:eastAsia="方正楷体_GBK" w:cs="方正楷体_GBK"/>
      <w:color w:val="000000"/>
      <w:sz w:val="24"/>
      <w:szCs w:val="24"/>
      <w:u w:val="none"/>
    </w:rPr>
  </w:style>
  <w:style w:type="character" w:customStyle="1" w:styleId="43">
    <w:name w:val="font71"/>
    <w:qFormat/>
    <w:uiPriority w:val="0"/>
    <w:rPr>
      <w:rFonts w:hint="eastAsia" w:ascii="方正仿宋_GBK" w:hAnsi="方正仿宋_GBK" w:eastAsia="方正仿宋_GBK" w:cs="方正仿宋_GBK"/>
      <w:color w:val="000000"/>
      <w:sz w:val="20"/>
      <w:szCs w:val="20"/>
      <w:u w:val="none"/>
    </w:rPr>
  </w:style>
  <w:style w:type="character" w:customStyle="1" w:styleId="44">
    <w:name w:val="font61"/>
    <w:qFormat/>
    <w:uiPriority w:val="0"/>
    <w:rPr>
      <w:rFonts w:ascii="方正黑体_GBK" w:hAnsi="方正黑体_GBK" w:eastAsia="方正黑体_GBK" w:cs="方正黑体_GBK"/>
      <w:color w:val="000000"/>
      <w:sz w:val="22"/>
      <w:szCs w:val="22"/>
      <w:u w:val="none"/>
    </w:rPr>
  </w:style>
  <w:style w:type="paragraph" w:customStyle="1" w:styleId="45">
    <w:name w:val="Header or footer|1"/>
    <w:basedOn w:val="1"/>
    <w:qFormat/>
    <w:uiPriority w:val="0"/>
    <w:rPr>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jtj</cp:lastModifiedBy>
  <cp:lastPrinted>2022-06-06T16:09:00Z</cp:lastPrinted>
  <dcterms:modified xsi:type="dcterms:W3CDTF">2025-03-12T09:28:45Z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1A5843B153BB4CECACD14FEE5B008A93</vt:lpwstr>
  </property>
</Properties>
</file>