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pPr>
        <w:jc w:val="center"/>
        <w:rPr>
          <w:rFonts w:hint="eastAsia" w:ascii="仿宋" w:hAnsi="仿宋" w:eastAsia="仿宋" w:cs="仿宋"/>
          <w:color w:val="auto"/>
          <w:highlight w:val="none"/>
        </w:rPr>
      </w:pPr>
    </w:p>
    <w:p>
      <w:pPr>
        <w:jc w:val="center"/>
        <w:rPr>
          <w:rFonts w:hint="eastAsia" w:ascii="仿宋" w:hAnsi="仿宋" w:eastAsia="仿宋" w:cs="仿宋"/>
          <w:color w:val="auto"/>
          <w:highlight w:val="none"/>
        </w:rPr>
      </w:pPr>
    </w:p>
    <w:p>
      <w:pPr>
        <w:spacing w:line="700" w:lineRule="exact"/>
        <w:jc w:val="center"/>
        <w:rPr>
          <w:rFonts w:hint="eastAsia" w:ascii="仿宋" w:hAnsi="仿宋" w:eastAsia="仿宋" w:cs="仿宋"/>
          <w:color w:val="auto"/>
          <w:spacing w:val="80"/>
          <w:sz w:val="112"/>
          <w:szCs w:val="112"/>
          <w:highlight w:val="none"/>
        </w:rPr>
      </w:pPr>
    </w:p>
    <w:p>
      <w:pPr>
        <w:jc w:val="center"/>
        <w:outlineLvl w:val="0"/>
        <w:rPr>
          <w:rFonts w:hint="eastAsia" w:ascii="仿宋" w:hAnsi="仿宋" w:eastAsia="仿宋" w:cs="仿宋"/>
          <w:b/>
          <w:bCs/>
          <w:color w:val="auto"/>
          <w:spacing w:val="80"/>
          <w:sz w:val="112"/>
          <w:szCs w:val="112"/>
          <w:highlight w:val="none"/>
        </w:rPr>
      </w:pPr>
      <w:r>
        <w:rPr>
          <w:rFonts w:hint="eastAsia" w:ascii="仿宋" w:hAnsi="仿宋" w:eastAsia="仿宋" w:cs="仿宋"/>
          <w:b/>
          <w:bCs/>
          <w:color w:val="auto"/>
          <w:spacing w:val="80"/>
          <w:sz w:val="112"/>
          <w:szCs w:val="112"/>
          <w:highlight w:val="none"/>
        </w:rPr>
        <w:t>竞争性磋商</w:t>
      </w:r>
    </w:p>
    <w:p>
      <w:pPr>
        <w:jc w:val="center"/>
        <w:outlineLvl w:val="0"/>
        <w:rPr>
          <w:rFonts w:hint="eastAsia" w:ascii="仿宋" w:hAnsi="仿宋" w:eastAsia="仿宋" w:cs="仿宋"/>
          <w:b/>
          <w:bCs/>
          <w:color w:val="auto"/>
          <w:spacing w:val="80"/>
          <w:sz w:val="112"/>
          <w:szCs w:val="112"/>
          <w:highlight w:val="none"/>
        </w:rPr>
      </w:pPr>
      <w:r>
        <w:rPr>
          <w:rFonts w:hint="eastAsia" w:ascii="仿宋" w:hAnsi="仿宋" w:eastAsia="仿宋" w:cs="仿宋"/>
          <w:b/>
          <w:bCs/>
          <w:color w:val="auto"/>
          <w:spacing w:val="80"/>
          <w:sz w:val="112"/>
          <w:szCs w:val="112"/>
          <w:highlight w:val="none"/>
        </w:rPr>
        <w:t>文件</w:t>
      </w:r>
    </w:p>
    <w:p>
      <w:pPr>
        <w:spacing w:line="700" w:lineRule="exact"/>
        <w:jc w:val="center"/>
        <w:rPr>
          <w:rFonts w:hint="eastAsia" w:ascii="仿宋" w:hAnsi="仿宋" w:eastAsia="仿宋" w:cs="仿宋"/>
          <w:color w:val="auto"/>
          <w:sz w:val="32"/>
          <w:highlight w:val="none"/>
        </w:rPr>
      </w:pPr>
    </w:p>
    <w:p>
      <w:pPr>
        <w:spacing w:line="700" w:lineRule="exact"/>
        <w:jc w:val="center"/>
        <w:rPr>
          <w:rFonts w:hint="eastAsia" w:ascii="仿宋" w:hAnsi="仿宋" w:eastAsia="仿宋" w:cs="仿宋"/>
          <w:color w:val="auto"/>
          <w:sz w:val="32"/>
          <w:highlight w:val="none"/>
        </w:rPr>
      </w:pPr>
    </w:p>
    <w:p>
      <w:pPr>
        <w:spacing w:line="700" w:lineRule="exact"/>
        <w:jc w:val="center"/>
        <w:rPr>
          <w:rFonts w:hint="eastAsia" w:ascii="仿宋" w:hAnsi="仿宋" w:eastAsia="仿宋" w:cs="仿宋"/>
          <w:color w:val="auto"/>
          <w:sz w:val="32"/>
          <w:highlight w:val="none"/>
        </w:rPr>
      </w:pPr>
    </w:p>
    <w:p>
      <w:pPr>
        <w:spacing w:line="700" w:lineRule="exact"/>
        <w:ind w:right="180" w:firstLine="361" w:firstLineChars="100"/>
        <w:jc w:val="left"/>
        <w:rPr>
          <w:rFonts w:hint="eastAsia" w:ascii="仿宋" w:hAnsi="仿宋" w:eastAsia="仿宋" w:cs="仿宋"/>
          <w:b/>
          <w:bCs/>
          <w:color w:val="auto"/>
          <w:sz w:val="36"/>
          <w:szCs w:val="30"/>
          <w:highlight w:val="none"/>
          <w:lang w:eastAsia="zh-CN"/>
        </w:rPr>
      </w:pPr>
      <w:r>
        <w:rPr>
          <w:rFonts w:hint="eastAsia" w:ascii="仿宋" w:hAnsi="仿宋" w:eastAsia="仿宋" w:cs="仿宋"/>
          <w:b/>
          <w:bCs/>
          <w:color w:val="auto"/>
          <w:sz w:val="36"/>
          <w:szCs w:val="30"/>
          <w:highlight w:val="none"/>
        </w:rPr>
        <w:t>项目编号：FG2500161406A</w:t>
      </w:r>
      <w:r>
        <w:rPr>
          <w:rFonts w:hint="eastAsia" w:ascii="仿宋" w:hAnsi="仿宋" w:eastAsia="仿宋" w:cs="仿宋"/>
          <w:b/>
          <w:bCs/>
          <w:color w:val="auto"/>
          <w:sz w:val="36"/>
          <w:szCs w:val="30"/>
          <w:highlight w:val="none"/>
          <w:lang w:val="en-US" w:eastAsia="zh-CN"/>
        </w:rPr>
        <w:t xml:space="preserve"> </w:t>
      </w:r>
    </w:p>
    <w:p>
      <w:pPr>
        <w:spacing w:line="700" w:lineRule="exact"/>
        <w:ind w:left="2165" w:leftChars="128" w:hanging="1807" w:hangingChars="500"/>
        <w:jc w:val="left"/>
        <w:rPr>
          <w:rFonts w:hint="eastAsia" w:ascii="仿宋" w:hAnsi="仿宋" w:eastAsia="仿宋" w:cs="仿宋"/>
          <w:b/>
          <w:bCs/>
          <w:color w:val="auto"/>
          <w:sz w:val="36"/>
          <w:szCs w:val="30"/>
          <w:highlight w:val="none"/>
          <w:lang w:eastAsia="zh-CN"/>
        </w:rPr>
      </w:pPr>
      <w:r>
        <w:rPr>
          <w:rFonts w:hint="eastAsia" w:ascii="仿宋" w:hAnsi="仿宋" w:eastAsia="仿宋" w:cs="仿宋"/>
          <w:b/>
          <w:bCs/>
          <w:color w:val="auto"/>
          <w:sz w:val="36"/>
          <w:szCs w:val="30"/>
          <w:highlight w:val="none"/>
        </w:rPr>
        <w:t>项目名称：</w:t>
      </w:r>
      <w:r>
        <w:rPr>
          <w:rFonts w:hint="eastAsia" w:ascii="仿宋" w:hAnsi="仿宋" w:eastAsia="仿宋" w:cs="仿宋"/>
          <w:b/>
          <w:bCs/>
          <w:color w:val="auto"/>
          <w:sz w:val="36"/>
          <w:szCs w:val="30"/>
          <w:highlight w:val="none"/>
          <w:lang w:eastAsia="zh-CN"/>
        </w:rPr>
        <w:t>重庆市高速公路养护管理年度监督检查</w:t>
      </w:r>
    </w:p>
    <w:p>
      <w:pPr>
        <w:spacing w:line="700" w:lineRule="exact"/>
        <w:rPr>
          <w:rFonts w:hint="eastAsia" w:ascii="仿宋" w:hAnsi="仿宋" w:eastAsia="仿宋" w:cs="仿宋"/>
          <w:b/>
          <w:bCs/>
          <w:color w:val="auto"/>
          <w:sz w:val="36"/>
          <w:szCs w:val="30"/>
          <w:highlight w:val="none"/>
        </w:rPr>
      </w:pPr>
    </w:p>
    <w:p>
      <w:pPr>
        <w:spacing w:line="700" w:lineRule="exact"/>
        <w:rPr>
          <w:rFonts w:hint="eastAsia" w:ascii="仿宋" w:hAnsi="仿宋" w:eastAsia="仿宋" w:cs="仿宋"/>
          <w:b/>
          <w:bCs/>
          <w:color w:val="auto"/>
          <w:sz w:val="36"/>
          <w:szCs w:val="30"/>
          <w:highlight w:val="none"/>
        </w:rPr>
      </w:pPr>
    </w:p>
    <w:p>
      <w:pPr>
        <w:pStyle w:val="2"/>
        <w:rPr>
          <w:rFonts w:hint="eastAsia" w:ascii="仿宋" w:hAnsi="仿宋" w:eastAsia="仿宋" w:cs="仿宋"/>
          <w:b/>
          <w:bCs/>
          <w:color w:val="auto"/>
          <w:sz w:val="36"/>
          <w:szCs w:val="30"/>
          <w:highlight w:val="none"/>
        </w:rPr>
      </w:pPr>
    </w:p>
    <w:p>
      <w:pPr>
        <w:rPr>
          <w:rFonts w:hint="eastAsia"/>
          <w:color w:val="auto"/>
          <w:highlight w:val="none"/>
        </w:rPr>
      </w:pPr>
    </w:p>
    <w:p>
      <w:pPr>
        <w:spacing w:line="700" w:lineRule="exact"/>
        <w:jc w:val="center"/>
        <w:rPr>
          <w:rFonts w:hint="eastAsia" w:ascii="仿宋" w:hAnsi="仿宋" w:eastAsia="仿宋" w:cs="仿宋"/>
          <w:b/>
          <w:bCs/>
          <w:color w:val="auto"/>
          <w:sz w:val="36"/>
          <w:szCs w:val="30"/>
          <w:highlight w:val="none"/>
        </w:rPr>
      </w:pPr>
      <w:r>
        <w:rPr>
          <w:rFonts w:hint="eastAsia" w:ascii="仿宋" w:hAnsi="仿宋" w:eastAsia="仿宋" w:cs="仿宋"/>
          <w:b/>
          <w:bCs/>
          <w:color w:val="auto"/>
          <w:sz w:val="36"/>
          <w:szCs w:val="30"/>
          <w:highlight w:val="none"/>
        </w:rPr>
        <w:t>采购人：重庆市交通运输委员会</w:t>
      </w:r>
    </w:p>
    <w:p>
      <w:pPr>
        <w:spacing w:line="700" w:lineRule="exact"/>
        <w:ind w:left="840" w:leftChars="300" w:firstLine="542" w:firstLineChars="150"/>
        <w:rPr>
          <w:rFonts w:hint="eastAsia" w:ascii="仿宋" w:hAnsi="仿宋" w:eastAsia="仿宋" w:cs="仿宋"/>
          <w:b/>
          <w:bCs/>
          <w:color w:val="auto"/>
          <w:sz w:val="36"/>
          <w:szCs w:val="30"/>
          <w:highlight w:val="none"/>
        </w:rPr>
      </w:pPr>
      <w:r>
        <w:rPr>
          <w:rFonts w:hint="eastAsia" w:ascii="仿宋" w:hAnsi="仿宋" w:eastAsia="仿宋" w:cs="仿宋"/>
          <w:b/>
          <w:bCs/>
          <w:color w:val="auto"/>
          <w:sz w:val="36"/>
          <w:szCs w:val="30"/>
          <w:highlight w:val="none"/>
        </w:rPr>
        <w:t>采购代理机构：重庆国际投资咨询集团有限公司</w:t>
      </w:r>
    </w:p>
    <w:p>
      <w:pPr>
        <w:spacing w:line="700" w:lineRule="exact"/>
        <w:ind w:firstLine="3614" w:firstLineChars="1000"/>
        <w:rPr>
          <w:rFonts w:hint="eastAsia" w:ascii="仿宋" w:hAnsi="仿宋" w:eastAsia="仿宋" w:cs="仿宋"/>
          <w:b/>
          <w:bCs/>
          <w:color w:val="auto"/>
          <w:sz w:val="36"/>
          <w:szCs w:val="30"/>
          <w:highlight w:val="none"/>
        </w:rPr>
      </w:pPr>
      <w:r>
        <w:rPr>
          <w:rFonts w:hint="eastAsia" w:ascii="仿宋" w:hAnsi="仿宋" w:eastAsia="仿宋" w:cs="仿宋"/>
          <w:b/>
          <w:bCs/>
          <w:color w:val="auto"/>
          <w:sz w:val="36"/>
          <w:szCs w:val="30"/>
          <w:highlight w:val="none"/>
        </w:rPr>
        <w:t>二○二五年</w:t>
      </w:r>
      <w:r>
        <w:rPr>
          <w:rFonts w:hint="eastAsia" w:ascii="仿宋" w:hAnsi="仿宋" w:eastAsia="仿宋" w:cs="仿宋"/>
          <w:b/>
          <w:bCs/>
          <w:color w:val="auto"/>
          <w:sz w:val="36"/>
          <w:szCs w:val="30"/>
          <w:highlight w:val="none"/>
          <w:lang w:val="en-US" w:eastAsia="zh-CN"/>
        </w:rPr>
        <w:t>十一</w:t>
      </w:r>
      <w:r>
        <w:rPr>
          <w:rFonts w:hint="eastAsia" w:ascii="仿宋" w:hAnsi="仿宋" w:eastAsia="仿宋" w:cs="仿宋"/>
          <w:b/>
          <w:bCs/>
          <w:color w:val="auto"/>
          <w:sz w:val="36"/>
          <w:szCs w:val="30"/>
          <w:highlight w:val="none"/>
        </w:rPr>
        <w:t>月</w:t>
      </w:r>
    </w:p>
    <w:p>
      <w:pPr>
        <w:spacing w:line="480" w:lineRule="exact"/>
        <w:jc w:val="center"/>
        <w:rPr>
          <w:rFonts w:hint="eastAsia" w:ascii="仿宋" w:hAnsi="仿宋" w:eastAsia="仿宋" w:cs="仿宋"/>
          <w:color w:val="auto"/>
          <w:sz w:val="44"/>
          <w:szCs w:val="28"/>
          <w:highlight w:val="none"/>
        </w:rPr>
      </w:pPr>
    </w:p>
    <w:p>
      <w:pPr>
        <w:spacing w:line="480" w:lineRule="exact"/>
        <w:jc w:val="center"/>
        <w:rPr>
          <w:rFonts w:ascii="仿宋" w:hAnsi="仿宋" w:eastAsia="仿宋" w:cs="仿宋"/>
          <w:color w:val="auto"/>
          <w:sz w:val="44"/>
          <w:szCs w:val="28"/>
          <w:highlight w:val="none"/>
        </w:rPr>
      </w:pPr>
    </w:p>
    <w:p>
      <w:pPr>
        <w:spacing w:line="480" w:lineRule="exact"/>
        <w:jc w:val="center"/>
        <w:outlineLvl w:val="0"/>
        <w:rPr>
          <w:rFonts w:hint="eastAsia" w:ascii="仿宋" w:hAnsi="仿宋" w:eastAsia="仿宋" w:cs="仿宋"/>
          <w:color w:val="auto"/>
          <w:sz w:val="44"/>
          <w:szCs w:val="28"/>
          <w:highlight w:val="none"/>
        </w:rPr>
      </w:pPr>
    </w:p>
    <w:p>
      <w:pPr>
        <w:spacing w:line="480" w:lineRule="exact"/>
        <w:jc w:val="center"/>
        <w:outlineLvl w:val="0"/>
        <w:rPr>
          <w:rFonts w:hint="eastAsia" w:ascii="仿宋" w:hAnsi="仿宋" w:eastAsia="仿宋" w:cs="仿宋"/>
          <w:color w:val="auto"/>
          <w:sz w:val="44"/>
          <w:szCs w:val="28"/>
          <w:highlight w:val="none"/>
        </w:rPr>
      </w:pPr>
      <w:r>
        <w:rPr>
          <w:rFonts w:hint="eastAsia" w:ascii="仿宋" w:hAnsi="仿宋" w:eastAsia="仿宋" w:cs="仿宋"/>
          <w:color w:val="auto"/>
          <w:sz w:val="44"/>
          <w:szCs w:val="28"/>
          <w:highlight w:val="none"/>
        </w:rPr>
        <w:br w:type="page"/>
      </w:r>
      <w:r>
        <w:rPr>
          <w:rFonts w:hint="eastAsia" w:ascii="仿宋" w:hAnsi="仿宋" w:eastAsia="仿宋" w:cs="仿宋"/>
          <w:color w:val="auto"/>
          <w:sz w:val="44"/>
          <w:szCs w:val="28"/>
          <w:highlight w:val="none"/>
        </w:rPr>
        <w:t>目   录</w:t>
      </w:r>
    </w:p>
    <w:p>
      <w:pPr>
        <w:pStyle w:val="11"/>
        <w:tabs>
          <w:tab w:val="right" w:leader="dot" w:pos="9299"/>
        </w:tabs>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TOC \o "1-3" \h \z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_Toc13280 </w:instrText>
      </w:r>
      <w:r>
        <w:rPr>
          <w:rFonts w:hint="eastAsia" w:ascii="仿宋" w:hAnsi="仿宋" w:eastAsia="仿宋" w:cs="仿宋"/>
          <w:szCs w:val="21"/>
          <w:highlight w:val="none"/>
        </w:rPr>
        <w:fldChar w:fldCharType="separate"/>
      </w:r>
      <w:r>
        <w:rPr>
          <w:rFonts w:hint="eastAsia" w:ascii="仿宋" w:hAnsi="仿宋" w:eastAsia="仿宋" w:cs="仿宋"/>
          <w:szCs w:val="32"/>
          <w:highlight w:val="none"/>
        </w:rPr>
        <w:t>第一篇  采购邀请书</w:t>
      </w:r>
      <w:r>
        <w:tab/>
      </w:r>
      <w:r>
        <w:fldChar w:fldCharType="begin"/>
      </w:r>
      <w:r>
        <w:instrText xml:space="preserve"> PAGEREF _Toc13280 \h </w:instrText>
      </w:r>
      <w:r>
        <w:fldChar w:fldCharType="separate"/>
      </w:r>
      <w:r>
        <w:t>- 4 -</w:t>
      </w:r>
      <w:r>
        <w:fldChar w:fldCharType="end"/>
      </w:r>
      <w:r>
        <w:rPr>
          <w:rFonts w:hint="eastAsia" w:ascii="仿宋" w:hAnsi="仿宋" w:eastAsia="仿宋" w:cs="仿宋"/>
          <w:color w:val="auto"/>
          <w:szCs w:val="21"/>
          <w:highlight w:val="none"/>
        </w:rPr>
        <w:fldChar w:fldCharType="end"/>
      </w:r>
    </w:p>
    <w:p>
      <w:pPr>
        <w:pStyle w:val="11"/>
        <w:tabs>
          <w:tab w:val="right" w:leader="dot" w:pos="9299"/>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_Toc11019 </w:instrText>
      </w:r>
      <w:r>
        <w:rPr>
          <w:rFonts w:hint="eastAsia" w:ascii="仿宋" w:hAnsi="仿宋" w:eastAsia="仿宋" w:cs="仿宋"/>
          <w:szCs w:val="21"/>
          <w:highlight w:val="none"/>
        </w:rPr>
        <w:fldChar w:fldCharType="separate"/>
      </w:r>
      <w:r>
        <w:rPr>
          <w:rFonts w:hint="eastAsia" w:ascii="仿宋" w:hAnsi="仿宋" w:eastAsia="仿宋" w:cs="仿宋"/>
          <w:szCs w:val="32"/>
          <w:highlight w:val="none"/>
        </w:rPr>
        <w:t>第二篇  采购服务需求</w:t>
      </w:r>
      <w:r>
        <w:tab/>
      </w:r>
      <w:r>
        <w:fldChar w:fldCharType="begin"/>
      </w:r>
      <w:r>
        <w:instrText xml:space="preserve"> PAGEREF _Toc11019 \h </w:instrText>
      </w:r>
      <w:r>
        <w:fldChar w:fldCharType="separate"/>
      </w:r>
      <w:r>
        <w:t>- 6 -</w:t>
      </w:r>
      <w:r>
        <w:fldChar w:fldCharType="end"/>
      </w:r>
      <w:r>
        <w:rPr>
          <w:rFonts w:hint="eastAsia" w:ascii="仿宋" w:hAnsi="仿宋" w:eastAsia="仿宋" w:cs="仿宋"/>
          <w:color w:val="auto"/>
          <w:szCs w:val="21"/>
          <w:highlight w:val="none"/>
        </w:rPr>
        <w:fldChar w:fldCharType="end"/>
      </w:r>
    </w:p>
    <w:p>
      <w:pPr>
        <w:pStyle w:val="11"/>
        <w:tabs>
          <w:tab w:val="right" w:leader="dot" w:pos="9299"/>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_Toc3323 </w:instrText>
      </w:r>
      <w:r>
        <w:rPr>
          <w:rFonts w:hint="eastAsia" w:ascii="仿宋" w:hAnsi="仿宋" w:eastAsia="仿宋" w:cs="仿宋"/>
          <w:szCs w:val="21"/>
          <w:highlight w:val="none"/>
        </w:rPr>
        <w:fldChar w:fldCharType="separate"/>
      </w:r>
      <w:r>
        <w:rPr>
          <w:rFonts w:hint="eastAsia" w:ascii="仿宋" w:hAnsi="仿宋" w:eastAsia="仿宋" w:cs="仿宋"/>
          <w:szCs w:val="32"/>
          <w:highlight w:val="none"/>
        </w:rPr>
        <w:t>第三篇  采购商务需求</w:t>
      </w:r>
      <w:r>
        <w:tab/>
      </w:r>
      <w:r>
        <w:fldChar w:fldCharType="begin"/>
      </w:r>
      <w:r>
        <w:instrText xml:space="preserve"> PAGEREF _Toc3323 \h </w:instrText>
      </w:r>
      <w:r>
        <w:fldChar w:fldCharType="separate"/>
      </w:r>
      <w:r>
        <w:t>- 7 -</w:t>
      </w:r>
      <w:r>
        <w:fldChar w:fldCharType="end"/>
      </w:r>
      <w:r>
        <w:rPr>
          <w:rFonts w:hint="eastAsia" w:ascii="仿宋" w:hAnsi="仿宋" w:eastAsia="仿宋" w:cs="仿宋"/>
          <w:color w:val="auto"/>
          <w:szCs w:val="21"/>
          <w:highlight w:val="none"/>
        </w:rPr>
        <w:fldChar w:fldCharType="end"/>
      </w:r>
    </w:p>
    <w:p>
      <w:pPr>
        <w:pStyle w:val="11"/>
        <w:tabs>
          <w:tab w:val="right" w:leader="dot" w:pos="9299"/>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_Toc16640 </w:instrText>
      </w:r>
      <w:r>
        <w:rPr>
          <w:rFonts w:hint="eastAsia" w:ascii="仿宋" w:hAnsi="仿宋" w:eastAsia="仿宋" w:cs="仿宋"/>
          <w:szCs w:val="21"/>
          <w:highlight w:val="none"/>
        </w:rPr>
        <w:fldChar w:fldCharType="separate"/>
      </w:r>
      <w:r>
        <w:rPr>
          <w:rFonts w:hint="eastAsia" w:ascii="仿宋" w:hAnsi="仿宋" w:eastAsia="仿宋" w:cs="仿宋"/>
          <w:szCs w:val="32"/>
          <w:highlight w:val="none"/>
        </w:rPr>
        <w:t>第四篇  磋商程序及方法、评审标准、无效响应和采购终止</w:t>
      </w:r>
      <w:r>
        <w:tab/>
      </w:r>
      <w:r>
        <w:fldChar w:fldCharType="begin"/>
      </w:r>
      <w:r>
        <w:instrText xml:space="preserve"> PAGEREF _Toc16640 \h </w:instrText>
      </w:r>
      <w:r>
        <w:fldChar w:fldCharType="separate"/>
      </w:r>
      <w:r>
        <w:t>- 8 -</w:t>
      </w:r>
      <w:r>
        <w:fldChar w:fldCharType="end"/>
      </w:r>
      <w:r>
        <w:rPr>
          <w:rFonts w:hint="eastAsia" w:ascii="仿宋" w:hAnsi="仿宋" w:eastAsia="仿宋" w:cs="仿宋"/>
          <w:color w:val="auto"/>
          <w:szCs w:val="21"/>
          <w:highlight w:val="none"/>
        </w:rPr>
        <w:fldChar w:fldCharType="end"/>
      </w:r>
    </w:p>
    <w:p>
      <w:pPr>
        <w:pStyle w:val="11"/>
        <w:tabs>
          <w:tab w:val="right" w:leader="dot" w:pos="9299"/>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_Toc6051 </w:instrText>
      </w:r>
      <w:r>
        <w:rPr>
          <w:rFonts w:hint="eastAsia" w:ascii="仿宋" w:hAnsi="仿宋" w:eastAsia="仿宋" w:cs="仿宋"/>
          <w:szCs w:val="21"/>
          <w:highlight w:val="none"/>
        </w:rPr>
        <w:fldChar w:fldCharType="separate"/>
      </w:r>
      <w:r>
        <w:rPr>
          <w:rFonts w:hint="eastAsia" w:ascii="仿宋" w:hAnsi="仿宋" w:eastAsia="仿宋" w:cs="仿宋"/>
          <w:szCs w:val="32"/>
          <w:highlight w:val="none"/>
        </w:rPr>
        <w:t>第五篇  供应商须知</w:t>
      </w:r>
      <w:r>
        <w:tab/>
      </w:r>
      <w:r>
        <w:fldChar w:fldCharType="begin"/>
      </w:r>
      <w:r>
        <w:instrText xml:space="preserve"> PAGEREF _Toc6051 \h </w:instrText>
      </w:r>
      <w:r>
        <w:fldChar w:fldCharType="separate"/>
      </w:r>
      <w:r>
        <w:t>- 13 -</w:t>
      </w:r>
      <w:r>
        <w:fldChar w:fldCharType="end"/>
      </w:r>
      <w:r>
        <w:rPr>
          <w:rFonts w:hint="eastAsia" w:ascii="仿宋" w:hAnsi="仿宋" w:eastAsia="仿宋" w:cs="仿宋"/>
          <w:color w:val="auto"/>
          <w:szCs w:val="21"/>
          <w:highlight w:val="none"/>
        </w:rPr>
        <w:fldChar w:fldCharType="end"/>
      </w:r>
    </w:p>
    <w:p>
      <w:pPr>
        <w:pStyle w:val="11"/>
        <w:tabs>
          <w:tab w:val="right" w:leader="dot" w:pos="9299"/>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_Toc10409 </w:instrText>
      </w:r>
      <w:r>
        <w:rPr>
          <w:rFonts w:hint="eastAsia" w:ascii="仿宋" w:hAnsi="仿宋" w:eastAsia="仿宋" w:cs="仿宋"/>
          <w:szCs w:val="21"/>
          <w:highlight w:val="none"/>
        </w:rPr>
        <w:fldChar w:fldCharType="separate"/>
      </w:r>
      <w:r>
        <w:rPr>
          <w:rFonts w:hint="eastAsia" w:ascii="仿宋" w:hAnsi="仿宋" w:eastAsia="仿宋" w:cs="仿宋"/>
          <w:bCs/>
          <w:szCs w:val="30"/>
          <w:highlight w:val="none"/>
        </w:rPr>
        <w:t>第六篇  合同草案条款</w:t>
      </w:r>
      <w:r>
        <w:tab/>
      </w:r>
      <w:r>
        <w:fldChar w:fldCharType="begin"/>
      </w:r>
      <w:r>
        <w:instrText xml:space="preserve"> PAGEREF _Toc10409 \h </w:instrText>
      </w:r>
      <w:r>
        <w:fldChar w:fldCharType="separate"/>
      </w:r>
      <w:r>
        <w:t>- 17 -</w:t>
      </w:r>
      <w:r>
        <w:fldChar w:fldCharType="end"/>
      </w:r>
      <w:r>
        <w:rPr>
          <w:rFonts w:hint="eastAsia" w:ascii="仿宋" w:hAnsi="仿宋" w:eastAsia="仿宋" w:cs="仿宋"/>
          <w:color w:val="auto"/>
          <w:szCs w:val="21"/>
          <w:highlight w:val="none"/>
        </w:rPr>
        <w:fldChar w:fldCharType="end"/>
      </w:r>
    </w:p>
    <w:p>
      <w:pPr>
        <w:pStyle w:val="11"/>
        <w:tabs>
          <w:tab w:val="right" w:leader="dot" w:pos="9299"/>
        </w:tabs>
      </w:pPr>
      <w:r>
        <w:rPr>
          <w:rFonts w:hint="eastAsia" w:ascii="仿宋" w:hAnsi="仿宋" w:eastAsia="仿宋" w:cs="仿宋"/>
          <w:color w:val="auto"/>
          <w:szCs w:val="21"/>
          <w:highlight w:val="none"/>
        </w:rPr>
        <w:fldChar w:fldCharType="begin"/>
      </w:r>
      <w:r>
        <w:rPr>
          <w:rFonts w:hint="eastAsia" w:ascii="仿宋" w:hAnsi="仿宋" w:eastAsia="仿宋" w:cs="仿宋"/>
          <w:szCs w:val="21"/>
          <w:highlight w:val="none"/>
        </w:rPr>
        <w:instrText xml:space="preserve"> HYPERLINK \l _Toc778 </w:instrText>
      </w:r>
      <w:r>
        <w:rPr>
          <w:rFonts w:hint="eastAsia" w:ascii="仿宋" w:hAnsi="仿宋" w:eastAsia="仿宋" w:cs="仿宋"/>
          <w:szCs w:val="21"/>
          <w:highlight w:val="none"/>
        </w:rPr>
        <w:fldChar w:fldCharType="separate"/>
      </w:r>
      <w:r>
        <w:rPr>
          <w:rFonts w:hint="eastAsia" w:ascii="仿宋" w:hAnsi="仿宋" w:eastAsia="仿宋" w:cs="仿宋"/>
          <w:bCs/>
          <w:szCs w:val="30"/>
          <w:highlight w:val="none"/>
        </w:rPr>
        <w:t>第七篇  响应文件编制要求</w:t>
      </w:r>
      <w:r>
        <w:tab/>
      </w:r>
      <w:r>
        <w:fldChar w:fldCharType="begin"/>
      </w:r>
      <w:r>
        <w:instrText xml:space="preserve"> PAGEREF _Toc778 \h </w:instrText>
      </w:r>
      <w:r>
        <w:fldChar w:fldCharType="separate"/>
      </w:r>
      <w:r>
        <w:t>- 22 -</w:t>
      </w:r>
      <w:r>
        <w:fldChar w:fldCharType="end"/>
      </w:r>
      <w:r>
        <w:rPr>
          <w:rFonts w:hint="eastAsia" w:ascii="仿宋" w:hAnsi="仿宋" w:eastAsia="仿宋" w:cs="仿宋"/>
          <w:color w:val="auto"/>
          <w:szCs w:val="21"/>
          <w:highlight w:val="none"/>
        </w:rPr>
        <w:fldChar w:fldCharType="end"/>
      </w:r>
    </w:p>
    <w:p>
      <w:pPr>
        <w:pStyle w:val="11"/>
        <w:tabs>
          <w:tab w:val="right" w:leader="dot" w:pos="9299"/>
        </w:tabs>
      </w:pPr>
    </w:p>
    <w:p>
      <w:pPr>
        <w:pStyle w:val="11"/>
        <w:tabs>
          <w:tab w:val="right" w:leader="dot" w:pos="9402"/>
        </w:tabs>
        <w:spacing w:line="480" w:lineRule="exact"/>
        <w:ind w:left="560"/>
        <w:jc w:val="center"/>
        <w:rPr>
          <w:rFonts w:hint="eastAsia" w:ascii="仿宋" w:hAnsi="仿宋" w:eastAsia="仿宋" w:cs="仿宋"/>
          <w:color w:val="auto"/>
          <w:sz w:val="18"/>
          <w:szCs w:val="22"/>
          <w:highlight w:val="none"/>
        </w:rPr>
        <w:sectPr>
          <w:headerReference r:id="rId4" w:type="first"/>
          <w:footerReference r:id="rId7" w:type="first"/>
          <w:headerReference r:id="rId3" w:type="default"/>
          <w:footerReference r:id="rId5" w:type="default"/>
          <w:footerReference r:id="rId6" w:type="even"/>
          <w:pgSz w:w="11907" w:h="16840"/>
          <w:pgMar w:top="1134" w:right="1304" w:bottom="1134" w:left="1304" w:header="680" w:footer="992" w:gutter="0"/>
          <w:pgNumType w:fmt="numberInDash" w:start="1"/>
          <w:cols w:space="720" w:num="1"/>
          <w:docGrid w:linePitch="380" w:charSpace="-5735"/>
        </w:sectPr>
      </w:pPr>
      <w:r>
        <w:rPr>
          <w:rFonts w:hint="eastAsia" w:ascii="仿宋" w:hAnsi="仿宋" w:eastAsia="仿宋" w:cs="仿宋"/>
          <w:color w:val="auto"/>
          <w:szCs w:val="21"/>
          <w:highlight w:val="none"/>
        </w:rPr>
        <w:fldChar w:fldCharType="end"/>
      </w:r>
    </w:p>
    <w:p>
      <w:pPr>
        <w:pStyle w:val="3"/>
        <w:spacing w:line="360" w:lineRule="auto"/>
        <w:jc w:val="center"/>
        <w:rPr>
          <w:rFonts w:hint="eastAsia" w:ascii="仿宋" w:hAnsi="仿宋" w:eastAsia="仿宋" w:cs="仿宋"/>
          <w:color w:val="auto"/>
          <w:szCs w:val="32"/>
          <w:highlight w:val="none"/>
        </w:rPr>
      </w:pPr>
      <w:bookmarkStart w:id="0" w:name="_Toc12789052"/>
      <w:bookmarkStart w:id="1" w:name="_Toc11641050"/>
      <w:bookmarkStart w:id="2" w:name="_Toc13280"/>
      <w:r>
        <w:rPr>
          <w:rFonts w:hint="eastAsia" w:ascii="仿宋" w:hAnsi="仿宋" w:eastAsia="仿宋" w:cs="仿宋"/>
          <w:color w:val="auto"/>
          <w:szCs w:val="32"/>
          <w:highlight w:val="none"/>
        </w:rPr>
        <w:t>第一篇  采购邀请书</w:t>
      </w:r>
      <w:bookmarkEnd w:id="0"/>
      <w:bookmarkEnd w:id="1"/>
      <w:bookmarkEnd w:id="2"/>
    </w:p>
    <w:p>
      <w:pPr>
        <w:snapToGrid w:val="0"/>
        <w:spacing w:line="4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重庆国际投资咨询集团有限公司（以下简称：采购代理机构）受</w:t>
      </w:r>
      <w:r>
        <w:rPr>
          <w:rFonts w:hint="eastAsia" w:ascii="仿宋" w:hAnsi="仿宋" w:eastAsia="仿宋" w:cs="仿宋"/>
          <w:color w:val="auto"/>
          <w:sz w:val="24"/>
          <w:szCs w:val="24"/>
          <w:highlight w:val="none"/>
          <w:u w:val="single"/>
        </w:rPr>
        <w:t xml:space="preserve"> </w:t>
      </w:r>
      <w:bookmarkStart w:id="3" w:name="OLE_LINK2"/>
      <w:r>
        <w:rPr>
          <w:rFonts w:hint="eastAsia" w:ascii="仿宋" w:hAnsi="仿宋" w:eastAsia="仿宋" w:cs="仿宋"/>
          <w:color w:val="auto"/>
          <w:sz w:val="24"/>
          <w:szCs w:val="24"/>
          <w:highlight w:val="none"/>
          <w:u w:val="single"/>
        </w:rPr>
        <w:t>重庆市交通运输委员会</w:t>
      </w:r>
      <w:bookmarkEnd w:id="3"/>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（以下简称：采购人）的委托，对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重庆市高速公路养护管理年度监督检查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进行竞争性磋商采购。欢迎有资格的供应商前来参与磋商。</w:t>
      </w:r>
    </w:p>
    <w:p>
      <w:pPr>
        <w:pStyle w:val="4"/>
        <w:spacing w:before="0" w:after="0" w:line="400" w:lineRule="exact"/>
        <w:rPr>
          <w:rFonts w:hint="eastAsia" w:ascii="仿宋" w:hAnsi="仿宋" w:eastAsia="仿宋" w:cs="仿宋"/>
          <w:color w:val="auto"/>
          <w:sz w:val="24"/>
          <w:szCs w:val="24"/>
          <w:highlight w:val="none"/>
        </w:rPr>
      </w:pPr>
      <w:bookmarkStart w:id="4" w:name="_Toc29760"/>
      <w:bookmarkStart w:id="5" w:name="_Toc313893526"/>
      <w:bookmarkStart w:id="6" w:name="_Toc8355"/>
      <w:bookmarkStart w:id="7" w:name="_Toc6349"/>
      <w:bookmarkStart w:id="8" w:name="_Toc317775175"/>
      <w:r>
        <w:rPr>
          <w:rFonts w:hint="eastAsia" w:ascii="仿宋" w:hAnsi="仿宋" w:eastAsia="仿宋" w:cs="仿宋"/>
          <w:color w:val="auto"/>
          <w:sz w:val="24"/>
          <w:szCs w:val="24"/>
          <w:highlight w:val="none"/>
        </w:rPr>
        <w:t>一、竞争性磋商内容</w:t>
      </w:r>
      <w:bookmarkEnd w:id="4"/>
      <w:bookmarkEnd w:id="5"/>
      <w:bookmarkEnd w:id="6"/>
      <w:bookmarkEnd w:id="7"/>
      <w:bookmarkEnd w:id="8"/>
    </w:p>
    <w:tbl>
      <w:tblPr>
        <w:tblStyle w:val="12"/>
        <w:tblW w:w="47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2953"/>
        <w:gridCol w:w="1317"/>
        <w:gridCol w:w="1881"/>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28" w:type="pct"/>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分包号</w:t>
            </w:r>
          </w:p>
        </w:tc>
        <w:tc>
          <w:tcPr>
            <w:tcW w:w="1644" w:type="pct"/>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33" w:type="pct"/>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采购预算（万元）</w:t>
            </w:r>
          </w:p>
        </w:tc>
        <w:tc>
          <w:tcPr>
            <w:tcW w:w="1047" w:type="pct"/>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成交数量（名）</w:t>
            </w:r>
          </w:p>
        </w:tc>
        <w:tc>
          <w:tcPr>
            <w:tcW w:w="1047" w:type="pct"/>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528"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4"/>
                <w:szCs w:val="24"/>
                <w:highlight w:val="none"/>
              </w:rPr>
            </w:pPr>
            <w:bookmarkStart w:id="9" w:name="_Hlk344477914"/>
            <w:r>
              <w:rPr>
                <w:rFonts w:hint="eastAsia" w:ascii="仿宋" w:hAnsi="仿宋" w:eastAsia="仿宋" w:cs="仿宋"/>
                <w:color w:val="auto"/>
                <w:sz w:val="24"/>
                <w:szCs w:val="24"/>
                <w:highlight w:val="none"/>
              </w:rPr>
              <w:t>1</w:t>
            </w:r>
          </w:p>
        </w:tc>
        <w:tc>
          <w:tcPr>
            <w:tcW w:w="1644"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4"/>
                <w:szCs w:val="24"/>
                <w:highlight w:val="none"/>
                <w:lang w:eastAsia="zh-CN"/>
              </w:rPr>
            </w:pPr>
            <w:bookmarkStart w:id="10" w:name="OLE_LINK3"/>
            <w:r>
              <w:rPr>
                <w:rFonts w:hint="eastAsia" w:ascii="仿宋" w:hAnsi="仿宋" w:eastAsia="仿宋" w:cs="仿宋"/>
                <w:color w:val="auto"/>
                <w:sz w:val="24"/>
                <w:szCs w:val="24"/>
                <w:highlight w:val="none"/>
                <w:lang w:eastAsia="zh-CN"/>
              </w:rPr>
              <w:t>重庆市高速公路养护管理年度监督检查</w:t>
            </w:r>
            <w:bookmarkEnd w:id="10"/>
          </w:p>
        </w:tc>
        <w:tc>
          <w:tcPr>
            <w:tcW w:w="733"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1047"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47" w:type="pct"/>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ascii="仿宋" w:hAnsi="仿宋" w:cs="仿宋"/>
                <w:color w:val="auto"/>
                <w:sz w:val="24"/>
                <w:szCs w:val="24"/>
                <w:highlight w:val="none"/>
              </w:rPr>
            </w:pPr>
            <w:r>
              <w:rPr>
                <w:rFonts w:hint="eastAsia" w:ascii="仿宋" w:hAnsi="仿宋" w:eastAsia="仿宋" w:cs="仿宋"/>
                <w:color w:val="auto"/>
                <w:kern w:val="0"/>
                <w:sz w:val="24"/>
                <w:szCs w:val="24"/>
                <w:highlight w:val="none"/>
              </w:rPr>
              <w:t>其他未列明行业</w:t>
            </w:r>
          </w:p>
        </w:tc>
      </w:tr>
      <w:bookmarkEnd w:id="9"/>
    </w:tbl>
    <w:p>
      <w:pPr>
        <w:pStyle w:val="4"/>
        <w:spacing w:before="0" w:after="0" w:line="400" w:lineRule="exact"/>
        <w:rPr>
          <w:rFonts w:hint="eastAsia" w:ascii="仿宋" w:hAnsi="仿宋" w:eastAsia="仿宋" w:cs="仿宋"/>
          <w:color w:val="auto"/>
          <w:sz w:val="24"/>
          <w:szCs w:val="24"/>
          <w:highlight w:val="none"/>
        </w:rPr>
      </w:pPr>
      <w:bookmarkStart w:id="11" w:name="_Toc26520"/>
      <w:bookmarkStart w:id="12" w:name="_Toc18726"/>
      <w:bookmarkStart w:id="13" w:name="_Toc15935"/>
      <w:bookmarkStart w:id="14" w:name="_Toc373860293"/>
      <w:bookmarkStart w:id="15" w:name="_Toc317775178"/>
      <w:r>
        <w:rPr>
          <w:rFonts w:hint="eastAsia" w:ascii="仿宋" w:hAnsi="仿宋" w:eastAsia="仿宋" w:cs="仿宋"/>
          <w:color w:val="auto"/>
          <w:sz w:val="24"/>
          <w:szCs w:val="24"/>
          <w:highlight w:val="none"/>
        </w:rPr>
        <w:t>二、资金来源</w:t>
      </w:r>
      <w:bookmarkEnd w:id="11"/>
      <w:bookmarkEnd w:id="12"/>
      <w:bookmarkEnd w:id="13"/>
    </w:p>
    <w:p>
      <w:pPr>
        <w:pStyle w:val="4"/>
        <w:spacing w:before="0" w:after="0" w:line="400" w:lineRule="exact"/>
        <w:ind w:firstLine="480" w:firstLineChars="200"/>
        <w:rPr>
          <w:rFonts w:hint="eastAsia" w:ascii="仿宋" w:hAnsi="仿宋" w:eastAsia="仿宋" w:cs="仿宋"/>
          <w:b w:val="0"/>
          <w:color w:val="auto"/>
          <w:sz w:val="24"/>
          <w:szCs w:val="24"/>
          <w:highlight w:val="none"/>
        </w:rPr>
      </w:pPr>
      <w:bookmarkStart w:id="16" w:name="_Toc6291"/>
      <w:bookmarkStart w:id="17" w:name="_Toc29755"/>
      <w:bookmarkStart w:id="18" w:name="_Toc12272"/>
      <w:r>
        <w:rPr>
          <w:rFonts w:hint="eastAsia" w:ascii="仿宋" w:hAnsi="仿宋" w:eastAsia="仿宋" w:cs="仿宋"/>
          <w:b w:val="0"/>
          <w:color w:val="auto"/>
          <w:sz w:val="24"/>
          <w:szCs w:val="24"/>
          <w:highlight w:val="none"/>
        </w:rPr>
        <w:t>财政预算资金，预算金额为</w:t>
      </w:r>
      <w:r>
        <w:rPr>
          <w:rFonts w:hint="eastAsia" w:ascii="仿宋" w:hAnsi="仿宋" w:eastAsia="仿宋" w:cs="仿宋"/>
          <w:b w:val="0"/>
          <w:color w:val="auto"/>
          <w:sz w:val="24"/>
          <w:szCs w:val="24"/>
          <w:highlight w:val="none"/>
          <w:lang w:val="en-US" w:eastAsia="zh-CN"/>
        </w:rPr>
        <w:t>30</w:t>
      </w:r>
      <w:r>
        <w:rPr>
          <w:rFonts w:hint="eastAsia" w:ascii="仿宋" w:hAnsi="仿宋" w:eastAsia="仿宋" w:cs="仿宋"/>
          <w:b w:val="0"/>
          <w:color w:val="auto"/>
          <w:sz w:val="24"/>
          <w:szCs w:val="24"/>
          <w:highlight w:val="none"/>
        </w:rPr>
        <w:t>万元。</w:t>
      </w:r>
      <w:bookmarkEnd w:id="16"/>
    </w:p>
    <w:p>
      <w:pPr>
        <w:pStyle w:val="4"/>
        <w:spacing w:before="0" w:after="0" w:line="400" w:lineRule="exact"/>
        <w:rPr>
          <w:rFonts w:hint="eastAsia" w:ascii="仿宋" w:hAnsi="仿宋" w:eastAsia="仿宋" w:cs="仿宋"/>
          <w:color w:val="auto"/>
          <w:sz w:val="24"/>
          <w:szCs w:val="24"/>
          <w:highlight w:val="none"/>
        </w:rPr>
      </w:pPr>
      <w:bookmarkStart w:id="19" w:name="_Toc20324"/>
      <w:r>
        <w:rPr>
          <w:rFonts w:hint="eastAsia" w:ascii="仿宋" w:hAnsi="仿宋" w:eastAsia="仿宋" w:cs="仿宋"/>
          <w:color w:val="auto"/>
          <w:sz w:val="24"/>
          <w:szCs w:val="24"/>
          <w:highlight w:val="none"/>
        </w:rPr>
        <w:t>三、供应商资格条件</w:t>
      </w:r>
      <w:bookmarkEnd w:id="17"/>
      <w:bookmarkEnd w:id="18"/>
      <w:bookmarkEnd w:id="19"/>
    </w:p>
    <w:p>
      <w:pPr>
        <w:snapToGrid w:val="0"/>
        <w:spacing w:line="400" w:lineRule="exact"/>
        <w:ind w:firstLine="600" w:firstLineChars="250"/>
        <w:rPr>
          <w:rFonts w:hint="eastAsia" w:ascii="仿宋" w:hAnsi="仿宋" w:eastAsia="仿宋" w:cs="仿宋"/>
          <w:color w:val="auto"/>
          <w:sz w:val="24"/>
          <w:szCs w:val="24"/>
          <w:highlight w:val="none"/>
        </w:rPr>
      </w:pPr>
      <w:bookmarkStart w:id="20" w:name="_Toc8708"/>
      <w:bookmarkStart w:id="21" w:name="_Toc6322"/>
      <w:r>
        <w:rPr>
          <w:rFonts w:hint="eastAsia" w:ascii="仿宋" w:hAnsi="仿宋" w:eastAsia="仿宋" w:cs="仿宋"/>
          <w:color w:val="auto"/>
          <w:sz w:val="24"/>
          <w:szCs w:val="24"/>
          <w:highlight w:val="none"/>
        </w:rPr>
        <w:t>（一）基本资格要求</w:t>
      </w:r>
    </w:p>
    <w:p>
      <w:pPr>
        <w:snapToGrid w:val="0"/>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pPr>
        <w:snapToGrid w:val="0"/>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pPr>
        <w:snapToGrid w:val="0"/>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pPr>
        <w:snapToGrid w:val="0"/>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4、有依法缴纳税收和社会保障资金的良好记录； </w:t>
      </w:r>
    </w:p>
    <w:p>
      <w:pPr>
        <w:snapToGrid w:val="0"/>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5、参加采购活动前三年内，在经营活动中没有重大违法记录；</w:t>
      </w:r>
    </w:p>
    <w:p>
      <w:pPr>
        <w:snapToGrid w:val="0"/>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p>
      <w:pPr>
        <w:snapToGrid w:val="0"/>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（二）本项目的特定资格要求</w:t>
      </w:r>
    </w:p>
    <w:p>
      <w:pPr>
        <w:snapToGrid w:val="0"/>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具有交通运输主管部门颁发的有效的公路水运工程质量检测机构资质证书（资质专业、类别、等级应满足以下要求：公路工程甲级）或公路水运工程试验检测机构等级证书（专业、类别、等级应满足以下要求：公路工程综合甲级）。</w:t>
      </w:r>
    </w:p>
    <w:p>
      <w:pPr>
        <w:snapToGrid w:val="0"/>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（三）落实政府采购政策需满足的资格要求：无。</w:t>
      </w:r>
    </w:p>
    <w:p>
      <w:pPr>
        <w:pStyle w:val="4"/>
        <w:spacing w:before="0" w:after="0" w:line="400" w:lineRule="exact"/>
        <w:rPr>
          <w:rFonts w:hint="eastAsia" w:ascii="仿宋" w:hAnsi="仿宋" w:eastAsia="仿宋" w:cs="仿宋"/>
          <w:color w:val="auto"/>
          <w:sz w:val="24"/>
          <w:szCs w:val="24"/>
          <w:highlight w:val="none"/>
        </w:rPr>
      </w:pPr>
      <w:bookmarkStart w:id="22" w:name="_Toc19799"/>
      <w:r>
        <w:rPr>
          <w:rFonts w:hint="eastAsia" w:ascii="仿宋" w:hAnsi="仿宋" w:eastAsia="仿宋" w:cs="仿宋"/>
          <w:color w:val="auto"/>
          <w:sz w:val="24"/>
          <w:szCs w:val="24"/>
          <w:highlight w:val="none"/>
        </w:rPr>
        <w:t>四、磋商有关说明</w:t>
      </w:r>
      <w:bookmarkEnd w:id="14"/>
      <w:bookmarkEnd w:id="20"/>
      <w:bookmarkEnd w:id="21"/>
      <w:bookmarkEnd w:id="22"/>
    </w:p>
    <w:p>
      <w:pPr>
        <w:spacing w:line="400" w:lineRule="exact"/>
        <w:ind w:firstLine="480" w:firstLineChars="200"/>
        <w:rPr>
          <w:rFonts w:hint="eastAsia" w:ascii="仿宋" w:hAnsi="仿宋" w:eastAsia="仿宋"/>
          <w:color w:val="auto"/>
          <w:sz w:val="24"/>
          <w:szCs w:val="24"/>
          <w:highlight w:val="none"/>
        </w:rPr>
      </w:pPr>
      <w:bookmarkStart w:id="23" w:name="_Toc8544"/>
      <w:bookmarkStart w:id="24" w:name="_Toc3264"/>
      <w:bookmarkStart w:id="25" w:name="_Toc373860294"/>
      <w:r>
        <w:rPr>
          <w:rFonts w:hint="eastAsia" w:ascii="仿宋" w:hAnsi="仿宋" w:eastAsia="仿宋"/>
          <w:color w:val="auto"/>
          <w:sz w:val="24"/>
          <w:szCs w:val="24"/>
          <w:highlight w:val="none"/>
        </w:rPr>
        <w:t>（一）凡有意参加磋商的供应商，请于公告发布之日（2025年</w:t>
      </w:r>
      <w:r>
        <w:rPr>
          <w:rFonts w:hint="eastAsia" w:ascii="仿宋" w:hAnsi="仿宋" w:eastAsia="仿宋"/>
          <w:color w:val="auto"/>
          <w:sz w:val="24"/>
          <w:szCs w:val="24"/>
          <w:highlight w:val="none"/>
          <w:lang w:val="en-US" w:eastAsia="zh-CN"/>
        </w:rPr>
        <w:t>11</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7</w:t>
      </w:r>
      <w:r>
        <w:rPr>
          <w:rFonts w:hint="eastAsia" w:ascii="仿宋" w:hAnsi="仿宋" w:eastAsia="仿宋"/>
          <w:color w:val="auto"/>
          <w:sz w:val="24"/>
          <w:szCs w:val="24"/>
          <w:highlight w:val="none"/>
        </w:rPr>
        <w:t>日）起至提交首次响应文件截止时间之前，在重庆市交通运输委员会官方网站（http://jtj.cq.gov.cn/）下载本项目竞争性磋商文件以及补遗等磋商前公布的所有项目资料，无论供应商领取或下载与否，均视为已知晓所有磋商内容。</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（二）报名方式</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无需</w:t>
      </w:r>
      <w:r>
        <w:rPr>
          <w:rFonts w:hint="eastAsia" w:ascii="仿宋" w:hAnsi="仿宋" w:eastAsia="仿宋"/>
          <w:color w:val="auto"/>
          <w:sz w:val="24"/>
          <w:szCs w:val="24"/>
          <w:highlight w:val="none"/>
        </w:rPr>
        <w:t>报名。</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（三）供应商须满足以下要件，其响应文件才被接受:</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 按时递交了响应文件。</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（四）磋商地点：重庆国际投资咨询集团有限公司开标厅（重庆市江北区五里店五简路2号重庆咨询大厦A栋），具体接标处详见磋商当天负一楼大厅电子显示屏安排。 </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（五）提交响应文件开始时间：2025年</w:t>
      </w:r>
      <w:r>
        <w:rPr>
          <w:rFonts w:hint="eastAsia" w:ascii="仿宋" w:hAnsi="仿宋" w:eastAsia="仿宋"/>
          <w:color w:val="auto"/>
          <w:sz w:val="24"/>
          <w:szCs w:val="24"/>
          <w:highlight w:val="none"/>
          <w:lang w:val="en-US" w:eastAsia="zh-CN"/>
        </w:rPr>
        <w:t>11</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20</w:t>
      </w:r>
      <w:r>
        <w:rPr>
          <w:rFonts w:hint="eastAsia" w:ascii="仿宋" w:hAnsi="仿宋" w:eastAsia="仿宋"/>
          <w:color w:val="auto"/>
          <w:sz w:val="24"/>
          <w:szCs w:val="24"/>
          <w:highlight w:val="none"/>
        </w:rPr>
        <w:t>日北京时间14时00分。</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（六）提交响应文件截止时间：2025年</w:t>
      </w:r>
      <w:r>
        <w:rPr>
          <w:rFonts w:hint="eastAsia" w:ascii="仿宋" w:hAnsi="仿宋" w:eastAsia="仿宋"/>
          <w:color w:val="auto"/>
          <w:sz w:val="24"/>
          <w:szCs w:val="24"/>
          <w:highlight w:val="none"/>
          <w:lang w:val="en-US" w:eastAsia="zh-CN"/>
        </w:rPr>
        <w:t>11</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20</w:t>
      </w:r>
      <w:r>
        <w:rPr>
          <w:rFonts w:hint="eastAsia" w:ascii="仿宋" w:hAnsi="仿宋" w:eastAsia="仿宋"/>
          <w:color w:val="auto"/>
          <w:sz w:val="24"/>
          <w:szCs w:val="24"/>
          <w:highlight w:val="none"/>
        </w:rPr>
        <w:t>日北京时间14时30分。</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（七）磋商开始时间：2025年</w:t>
      </w:r>
      <w:r>
        <w:rPr>
          <w:rFonts w:hint="eastAsia" w:ascii="仿宋" w:hAnsi="仿宋" w:eastAsia="仿宋"/>
          <w:color w:val="auto"/>
          <w:sz w:val="24"/>
          <w:szCs w:val="24"/>
          <w:highlight w:val="none"/>
          <w:lang w:val="en-US" w:eastAsia="zh-CN"/>
        </w:rPr>
        <w:t>11</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20</w:t>
      </w:r>
      <w:r>
        <w:rPr>
          <w:rFonts w:hint="eastAsia" w:ascii="仿宋" w:hAnsi="仿宋" w:eastAsia="仿宋"/>
          <w:color w:val="auto"/>
          <w:sz w:val="24"/>
          <w:szCs w:val="24"/>
          <w:highlight w:val="none"/>
        </w:rPr>
        <w:t>日北京时间14时30分。</w:t>
      </w:r>
    </w:p>
    <w:p>
      <w:pPr>
        <w:pStyle w:val="4"/>
        <w:spacing w:before="0" w:after="0" w:line="400" w:lineRule="exact"/>
        <w:rPr>
          <w:rFonts w:hint="eastAsia" w:ascii="仿宋" w:hAnsi="仿宋" w:eastAsia="仿宋" w:cs="仿宋"/>
          <w:color w:val="auto"/>
          <w:sz w:val="24"/>
          <w:szCs w:val="24"/>
          <w:highlight w:val="none"/>
        </w:rPr>
      </w:pPr>
      <w:bookmarkStart w:id="26" w:name="_Toc30524"/>
      <w:r>
        <w:rPr>
          <w:rFonts w:hint="eastAsia" w:ascii="仿宋" w:hAnsi="仿宋" w:eastAsia="仿宋" w:cs="仿宋"/>
          <w:color w:val="auto"/>
          <w:sz w:val="24"/>
          <w:szCs w:val="24"/>
          <w:highlight w:val="none"/>
        </w:rPr>
        <w:t>五、磋商保证金</w:t>
      </w:r>
      <w:bookmarkEnd w:id="23"/>
      <w:bookmarkEnd w:id="24"/>
      <w:bookmarkEnd w:id="25"/>
      <w:bookmarkEnd w:id="26"/>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本项目不收取保证金。</w:t>
      </w:r>
    </w:p>
    <w:p>
      <w:pPr>
        <w:pStyle w:val="4"/>
        <w:spacing w:before="0" w:after="0" w:line="400" w:lineRule="exact"/>
        <w:rPr>
          <w:rFonts w:hint="eastAsia" w:ascii="仿宋" w:hAnsi="仿宋" w:eastAsia="仿宋" w:cs="仿宋"/>
          <w:color w:val="auto"/>
          <w:sz w:val="24"/>
          <w:szCs w:val="24"/>
          <w:highlight w:val="none"/>
        </w:rPr>
      </w:pPr>
      <w:bookmarkStart w:id="27" w:name="_Toc24915"/>
      <w:bookmarkStart w:id="28" w:name="_Toc2697"/>
      <w:bookmarkStart w:id="29" w:name="_Toc11650"/>
      <w:r>
        <w:rPr>
          <w:rFonts w:hint="eastAsia" w:ascii="仿宋" w:hAnsi="仿宋" w:eastAsia="仿宋" w:cs="仿宋"/>
          <w:color w:val="auto"/>
          <w:sz w:val="24"/>
          <w:szCs w:val="24"/>
          <w:highlight w:val="none"/>
        </w:rPr>
        <w:t>六、</w:t>
      </w:r>
      <w:bookmarkEnd w:id="15"/>
      <w:r>
        <w:rPr>
          <w:rFonts w:hint="eastAsia" w:ascii="仿宋" w:hAnsi="仿宋" w:eastAsia="仿宋" w:cs="仿宋"/>
          <w:color w:val="auto"/>
          <w:sz w:val="24"/>
          <w:szCs w:val="24"/>
          <w:highlight w:val="none"/>
        </w:rPr>
        <w:t>其它有关规定</w:t>
      </w:r>
      <w:bookmarkEnd w:id="27"/>
      <w:bookmarkEnd w:id="28"/>
      <w:bookmarkEnd w:id="29"/>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（一）单位负责人为同一人或者存在直接控股、管理关系的不同供应商，不得参加同一合同项下的政府采购活动，否则均为无效响应。</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（二）本项目的补遗文件（如果有）一律在</w:t>
      </w:r>
      <w:r>
        <w:rPr>
          <w:rFonts w:hint="eastAsia" w:ascii="仿宋" w:hAnsi="仿宋" w:eastAsia="仿宋"/>
          <w:color w:val="auto"/>
          <w:sz w:val="24"/>
          <w:szCs w:val="24"/>
          <w:highlight w:val="none"/>
        </w:rPr>
        <w:t>重庆市交通运输委员会官方网站（http://jtj.cq.gov.cn/）下载</w:t>
      </w:r>
      <w:r>
        <w:rPr>
          <w:rFonts w:hint="eastAsia" w:ascii="仿宋" w:hAnsi="仿宋" w:eastAsia="仿宋" w:cs="仿宋"/>
          <w:color w:val="auto"/>
          <w:sz w:val="24"/>
          <w:szCs w:val="24"/>
          <w:highlight w:val="none"/>
        </w:rPr>
        <w:t>；</w:t>
      </w:r>
      <w:r>
        <w:rPr>
          <w:rFonts w:hint="eastAsia" w:ascii="仿宋" w:hAnsi="仿宋" w:eastAsia="仿宋"/>
          <w:color w:val="auto"/>
          <w:sz w:val="24"/>
          <w:szCs w:val="24"/>
          <w:highlight w:val="none"/>
        </w:rPr>
        <w:t>无论供应商下载与否，</w:t>
      </w:r>
      <w:r>
        <w:rPr>
          <w:rFonts w:hint="eastAsia" w:ascii="仿宋" w:hAnsi="仿宋" w:eastAsia="仿宋" w:cs="仿宋"/>
          <w:color w:val="auto"/>
          <w:sz w:val="24"/>
          <w:szCs w:val="24"/>
          <w:highlight w:val="none"/>
        </w:rPr>
        <w:t>均视同供应商已知晓本项目补遗文件（如果有）的内容。</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（三）超过响应文件截止时间递交的响应文件，恕不接收。</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（四）磋商费用：无论磋商结果如何，供应商参与本项目磋商的所有费用均应由供应商自行承担。</w:t>
      </w:r>
    </w:p>
    <w:p>
      <w:pPr>
        <w:pStyle w:val="2"/>
        <w:rPr>
          <w:rFonts w:hint="eastAsia" w:eastAsia="仿宋"/>
          <w:color w:val="auto"/>
          <w:highlight w:val="none"/>
        </w:rPr>
      </w:pPr>
      <w:r>
        <w:rPr>
          <w:rFonts w:hint="eastAsia" w:ascii="仿宋" w:hAnsi="仿宋" w:eastAsia="仿宋" w:cs="仿宋"/>
          <w:color w:val="auto"/>
          <w:szCs w:val="24"/>
          <w:highlight w:val="none"/>
        </w:rPr>
        <w:t>（五）本项目不接受联合体参与磋商。</w:t>
      </w:r>
    </w:p>
    <w:p>
      <w:pPr>
        <w:pStyle w:val="4"/>
        <w:spacing w:before="0" w:after="0" w:line="400" w:lineRule="exact"/>
        <w:rPr>
          <w:rFonts w:hint="eastAsia" w:ascii="仿宋" w:hAnsi="仿宋" w:eastAsia="仿宋" w:cs="仿宋"/>
          <w:color w:val="auto"/>
          <w:sz w:val="24"/>
          <w:szCs w:val="24"/>
          <w:highlight w:val="none"/>
        </w:rPr>
      </w:pPr>
      <w:bookmarkStart w:id="30" w:name="_Toc7894"/>
      <w:bookmarkStart w:id="31" w:name="_Toc5254"/>
      <w:bookmarkStart w:id="32" w:name="_Toc20799"/>
      <w:r>
        <w:rPr>
          <w:rFonts w:hint="eastAsia" w:ascii="仿宋" w:hAnsi="仿宋" w:eastAsia="仿宋" w:cs="仿宋"/>
          <w:color w:val="auto"/>
          <w:sz w:val="24"/>
          <w:szCs w:val="24"/>
          <w:highlight w:val="none"/>
        </w:rPr>
        <w:t>七、联系方式</w:t>
      </w:r>
      <w:bookmarkEnd w:id="30"/>
      <w:bookmarkEnd w:id="31"/>
      <w:bookmarkEnd w:id="32"/>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（一）采购人：重庆市交通运输委</w:t>
      </w:r>
      <w:r>
        <w:rPr>
          <w:rFonts w:hint="eastAsia" w:ascii="仿宋" w:hAnsi="仿宋" w:eastAsia="仿宋"/>
          <w:color w:val="auto"/>
          <w:sz w:val="24"/>
          <w:szCs w:val="24"/>
          <w:highlight w:val="none"/>
        </w:rPr>
        <w:t>员会</w:t>
      </w:r>
    </w:p>
    <w:p>
      <w:pPr>
        <w:snapToGrid w:val="0"/>
        <w:spacing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楚</w:t>
      </w:r>
      <w:r>
        <w:rPr>
          <w:rFonts w:hint="eastAsia" w:ascii="仿宋" w:hAnsi="仿宋" w:eastAsia="仿宋" w:cs="仿宋"/>
          <w:color w:val="auto"/>
          <w:sz w:val="24"/>
          <w:szCs w:val="24"/>
          <w:highlight w:val="none"/>
        </w:rPr>
        <w:t>老师</w:t>
      </w:r>
    </w:p>
    <w:p>
      <w:pPr>
        <w:snapToGrid w:val="0"/>
        <w:spacing w:line="40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  话：023-8918</w:t>
      </w:r>
      <w:r>
        <w:rPr>
          <w:rFonts w:hint="eastAsia" w:ascii="仿宋" w:hAnsi="仿宋" w:eastAsia="仿宋" w:cs="仿宋"/>
          <w:color w:val="auto"/>
          <w:sz w:val="24"/>
          <w:szCs w:val="24"/>
          <w:highlight w:val="none"/>
          <w:lang w:val="en-US" w:eastAsia="zh-CN"/>
        </w:rPr>
        <w:t>3094</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  址：重庆市渝北区龙溪红锦大道20号  </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（二）采购代理机构：重庆国际投资咨询集团有限公司</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联系人：刘老师</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bookmarkStart w:id="33" w:name="OLE_LINK1"/>
      <w:r>
        <w:rPr>
          <w:rFonts w:hint="eastAsia" w:ascii="仿宋" w:hAnsi="仿宋" w:eastAsia="仿宋" w:cs="仿宋"/>
          <w:color w:val="auto"/>
          <w:sz w:val="24"/>
          <w:szCs w:val="24"/>
          <w:highlight w:val="none"/>
        </w:rPr>
        <w:t>023-67107374</w:t>
      </w:r>
      <w:bookmarkEnd w:id="33"/>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址：重庆市江北区五简路2号重庆咨询大厦A座</w:t>
      </w:r>
    </w:p>
    <w:p>
      <w:pPr>
        <w:spacing w:after="120" w:line="360" w:lineRule="auto"/>
        <w:ind w:firstLine="420"/>
        <w:rPr>
          <w:rFonts w:hint="eastAsia" w:ascii="仿宋" w:hAnsi="仿宋" w:eastAsia="仿宋" w:cs="仿宋"/>
          <w:color w:val="auto"/>
          <w:sz w:val="24"/>
          <w:szCs w:val="24"/>
          <w:highlight w:val="none"/>
        </w:rPr>
      </w:pPr>
      <w:r>
        <w:rPr>
          <w:rFonts w:ascii="仿宋" w:hAnsi="仿宋" w:eastAsia="仿宋" w:cs="仿宋"/>
          <w:color w:val="auto"/>
          <w:sz w:val="24"/>
          <w:highlight w:val="none"/>
        </w:rPr>
        <w:br w:type="page"/>
      </w:r>
    </w:p>
    <w:p>
      <w:pPr>
        <w:pStyle w:val="3"/>
        <w:spacing w:before="0" w:after="0" w:line="360" w:lineRule="auto"/>
        <w:ind w:firstLine="2891" w:firstLineChars="900"/>
        <w:rPr>
          <w:rFonts w:hint="eastAsia" w:ascii="仿宋" w:hAnsi="仿宋" w:eastAsia="仿宋" w:cs="仿宋"/>
          <w:color w:val="auto"/>
          <w:sz w:val="24"/>
          <w:szCs w:val="24"/>
          <w:highlight w:val="none"/>
        </w:rPr>
      </w:pPr>
      <w:bookmarkStart w:id="34" w:name="_Toc11019"/>
      <w:r>
        <w:rPr>
          <w:rFonts w:hint="eastAsia" w:ascii="仿宋" w:hAnsi="仿宋" w:eastAsia="仿宋" w:cs="仿宋"/>
          <w:color w:val="auto"/>
          <w:szCs w:val="32"/>
          <w:highlight w:val="none"/>
        </w:rPr>
        <w:t>第二篇  采购服务需求</w:t>
      </w:r>
      <w:bookmarkEnd w:id="34"/>
      <w:bookmarkStart w:id="35" w:name="_Toc23228"/>
      <w:bookmarkStart w:id="36" w:name="_Toc35102214"/>
      <w:bookmarkStart w:id="37" w:name="_Toc12789058"/>
    </w:p>
    <w:p>
      <w:pPr>
        <w:pStyle w:val="3"/>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38" w:name="_Toc76462325"/>
      <w:bookmarkStart w:id="39" w:name="_Toc24358"/>
      <w:bookmarkStart w:id="40" w:name="_Toc17546"/>
      <w:bookmarkStart w:id="41" w:name="_Toc106030879"/>
      <w:r>
        <w:rPr>
          <w:rFonts w:hint="eastAsia" w:ascii="仿宋" w:hAnsi="仿宋" w:eastAsia="仿宋" w:cs="仿宋"/>
          <w:color w:val="auto"/>
          <w:sz w:val="24"/>
          <w:highlight w:val="none"/>
        </w:rPr>
        <w:t>一、项目基本概况介绍</w:t>
      </w:r>
      <w:bookmarkEnd w:id="38"/>
      <w:bookmarkEnd w:id="39"/>
      <w:bookmarkEnd w:id="40"/>
      <w:bookmarkEnd w:id="41"/>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5"/>
        <w:gridCol w:w="2560"/>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656" w:type="pct"/>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1345" w:type="pct"/>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数量/单位</w:t>
            </w:r>
          </w:p>
        </w:tc>
        <w:tc>
          <w:tcPr>
            <w:tcW w:w="998" w:type="pct"/>
            <w:noWrap w:val="0"/>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656" w:type="pct"/>
            <w:noWrap w:val="0"/>
            <w:vAlign w:val="center"/>
          </w:tcPr>
          <w:p>
            <w:pPr>
              <w:spacing w:line="4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重庆市高速公路养护管理年度监督检查</w:t>
            </w:r>
          </w:p>
        </w:tc>
        <w:tc>
          <w:tcPr>
            <w:tcW w:w="1345" w:type="pct"/>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98" w:type="pct"/>
            <w:noWrap w:val="0"/>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w:t>
            </w:r>
          </w:p>
        </w:tc>
      </w:tr>
    </w:tbl>
    <w:p>
      <w:pPr>
        <w:pStyle w:val="3"/>
        <w:numPr>
          <w:ilvl w:val="0"/>
          <w:numId w:val="1"/>
        </w:numPr>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42" w:name="_Toc24985"/>
      <w:bookmarkStart w:id="43" w:name="_Toc106030881"/>
      <w:bookmarkStart w:id="44" w:name="_Toc344475116"/>
      <w:bookmarkStart w:id="45" w:name="_Toc10505"/>
      <w:bookmarkStart w:id="46" w:name="_Toc76462326"/>
      <w:bookmarkStart w:id="47" w:name="_Toc313536013"/>
      <w:r>
        <w:rPr>
          <w:rFonts w:hint="eastAsia" w:ascii="仿宋" w:hAnsi="仿宋" w:eastAsia="仿宋" w:cs="仿宋"/>
          <w:color w:val="auto"/>
          <w:sz w:val="24"/>
          <w:highlight w:val="none"/>
        </w:rPr>
        <w:t>项目服务内容</w:t>
      </w:r>
      <w:bookmarkEnd w:id="42"/>
    </w:p>
    <w:p>
      <w:pPr>
        <w:snapToGrid w:val="0"/>
        <w:spacing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按照采购人的具体工作需求推进，对重庆市高速公路结构物养护管理状况：高速公路结构物受力部位和结构易损构件、复查和检测养护管理工作中发现的重大问题；养护管理单位管养状况：高速公路经营管理单位履行高速公路运营管理主体责任情况，包括高速公路养护、经营管理、保障通行、服务质量等管养状况进行监督检查。</w:t>
      </w:r>
    </w:p>
    <w:p>
      <w:pPr>
        <w:pStyle w:val="3"/>
        <w:numPr>
          <w:ilvl w:val="0"/>
          <w:numId w:val="1"/>
        </w:numPr>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48" w:name="_Toc29498"/>
      <w:r>
        <w:rPr>
          <w:rFonts w:hint="eastAsia" w:ascii="仿宋" w:hAnsi="仿宋" w:eastAsia="仿宋" w:cs="仿宋"/>
          <w:color w:val="auto"/>
          <w:sz w:val="24"/>
          <w:highlight w:val="none"/>
        </w:rPr>
        <w:t>项目服务要求</w:t>
      </w:r>
      <w:bookmarkEnd w:id="48"/>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1、在协议有效期内，严格按照采购人的要求及工作计划，开展重庆市高速公路养护管理年度监督检查工作，出具年度监督检查报告1份。</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2、监督检查高速公路管理养护单位不少于5个。</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3、严格遵守各项廉政规定和工作纪律。</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4、本项目不得部分或全部转让或分包。</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应为采购人配备具有较高专业水准、丰富从业经验、勤勉尽责的专门项目团队，完成采购人的高速公路养护管理年度监督检查事宜，其成员应相对稳定。如团队成员发生调整时，成交供应商应及时告知采购人，同时保证，此调整不得影响其服务的质量和效率。</w:t>
      </w:r>
    </w:p>
    <w:p>
      <w:pPr>
        <w:pStyle w:val="3"/>
        <w:numPr>
          <w:ilvl w:val="0"/>
          <w:numId w:val="1"/>
        </w:numPr>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49" w:name="_Toc21399"/>
      <w:r>
        <w:rPr>
          <w:rFonts w:hint="eastAsia" w:ascii="仿宋" w:hAnsi="仿宋" w:eastAsia="仿宋" w:cs="仿宋"/>
          <w:color w:val="auto"/>
          <w:sz w:val="24"/>
          <w:highlight w:val="none"/>
        </w:rPr>
        <w:t>项目服务期限</w:t>
      </w:r>
      <w:bookmarkEnd w:id="49"/>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根据采购人要求及具体工作计划执行，2025年12月31日前完成。如因项目推进或其他非成交供应商主观因素导致2025年12月31日前无法完成所有项目，则相应工作顺延至2026年，直至完成所有工作内容为止。</w:t>
      </w:r>
    </w:p>
    <w:p>
      <w:pPr>
        <w:pStyle w:val="3"/>
        <w:numPr>
          <w:ilvl w:val="0"/>
          <w:numId w:val="1"/>
        </w:numPr>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50" w:name="_Toc17330"/>
      <w:r>
        <w:rPr>
          <w:rFonts w:hint="eastAsia" w:ascii="仿宋" w:hAnsi="仿宋" w:eastAsia="仿宋" w:cs="仿宋"/>
          <w:color w:val="auto"/>
          <w:sz w:val="24"/>
          <w:highlight w:val="none"/>
        </w:rPr>
        <w:t>项目服务完成标志</w:t>
      </w:r>
      <w:bookmarkEnd w:id="50"/>
    </w:p>
    <w:p>
      <w:pPr>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高速公路养护管理年度监督检查报告1份提交采购人。</w:t>
      </w:r>
    </w:p>
    <w:bookmarkEnd w:id="35"/>
    <w:bookmarkEnd w:id="36"/>
    <w:bookmarkEnd w:id="43"/>
    <w:bookmarkEnd w:id="44"/>
    <w:bookmarkEnd w:id="45"/>
    <w:bookmarkEnd w:id="46"/>
    <w:bookmarkEnd w:id="47"/>
    <w:p>
      <w:pPr>
        <w:pStyle w:val="3"/>
        <w:spacing w:before="0" w:after="0" w:line="360" w:lineRule="auto"/>
        <w:ind w:firstLine="2891" w:firstLineChars="900"/>
        <w:rPr>
          <w:rFonts w:ascii="仿宋" w:hAnsi="仿宋" w:eastAsia="仿宋" w:cs="仿宋"/>
          <w:color w:val="auto"/>
          <w:szCs w:val="32"/>
          <w:highlight w:val="none"/>
        </w:rPr>
      </w:pPr>
      <w:r>
        <w:rPr>
          <w:rFonts w:hint="eastAsia" w:ascii="仿宋" w:hAnsi="仿宋" w:eastAsia="仿宋" w:cs="仿宋"/>
          <w:color w:val="auto"/>
          <w:szCs w:val="32"/>
          <w:highlight w:val="none"/>
        </w:rPr>
        <w:br w:type="page"/>
      </w:r>
      <w:bookmarkStart w:id="51" w:name="_Toc3323"/>
      <w:r>
        <w:rPr>
          <w:rFonts w:hint="eastAsia" w:ascii="仿宋" w:hAnsi="仿宋" w:eastAsia="仿宋" w:cs="仿宋"/>
          <w:color w:val="auto"/>
          <w:szCs w:val="32"/>
          <w:highlight w:val="none"/>
        </w:rPr>
        <w:t>第三篇  采购商务需求</w:t>
      </w:r>
      <w:bookmarkEnd w:id="37"/>
      <w:bookmarkEnd w:id="51"/>
    </w:p>
    <w:p>
      <w:pPr>
        <w:pStyle w:val="4"/>
        <w:spacing w:before="0" w:after="0" w:line="400" w:lineRule="exact"/>
        <w:rPr>
          <w:rFonts w:hint="eastAsia" w:ascii="仿宋" w:hAnsi="仿宋" w:eastAsia="仿宋" w:cs="仿宋"/>
          <w:color w:val="auto"/>
          <w:sz w:val="24"/>
          <w:szCs w:val="24"/>
          <w:highlight w:val="none"/>
        </w:rPr>
      </w:pPr>
      <w:bookmarkStart w:id="52" w:name="_Toc24142"/>
      <w:bookmarkStart w:id="53" w:name="_Toc35102216"/>
      <w:bookmarkStart w:id="54" w:name="_Toc15551"/>
      <w:bookmarkStart w:id="55" w:name="_Toc9485"/>
      <w:bookmarkStart w:id="56" w:name="_Toc344475120"/>
      <w:r>
        <w:rPr>
          <w:rFonts w:hint="eastAsia" w:ascii="仿宋" w:hAnsi="仿宋" w:eastAsia="仿宋" w:cs="仿宋"/>
          <w:color w:val="auto"/>
          <w:sz w:val="24"/>
          <w:szCs w:val="24"/>
          <w:highlight w:val="none"/>
        </w:rPr>
        <w:t>一、服务期、地点及验收方式</w:t>
      </w:r>
      <w:bookmarkEnd w:id="52"/>
      <w:bookmarkEnd w:id="53"/>
      <w:bookmarkEnd w:id="54"/>
      <w:bookmarkEnd w:id="55"/>
      <w:bookmarkEnd w:id="56"/>
    </w:p>
    <w:p>
      <w:pPr>
        <w:snapToGrid w:val="0"/>
        <w:spacing w:line="400" w:lineRule="exact"/>
        <w:ind w:firstLine="480" w:firstLineChars="200"/>
        <w:rPr>
          <w:rFonts w:hint="eastAsia" w:ascii="仿宋" w:hAnsi="仿宋" w:eastAsia="仿宋" w:cs="仿宋"/>
          <w:color w:val="auto"/>
          <w:sz w:val="24"/>
          <w:szCs w:val="24"/>
          <w:highlight w:val="none"/>
        </w:rPr>
      </w:pPr>
      <w:bookmarkStart w:id="57" w:name="_Toc344475121"/>
      <w:r>
        <w:rPr>
          <w:rFonts w:hint="eastAsia" w:ascii="仿宋" w:hAnsi="仿宋" w:eastAsia="仿宋" w:cs="仿宋"/>
          <w:color w:val="auto"/>
          <w:sz w:val="24"/>
          <w:szCs w:val="24"/>
          <w:highlight w:val="none"/>
        </w:rPr>
        <w:t>（一）服务时间：根据</w:t>
      </w:r>
      <w:r>
        <w:rPr>
          <w:rFonts w:hint="eastAsia" w:ascii="仿宋" w:hAnsi="仿宋" w:eastAsia="仿宋"/>
          <w:color w:val="auto"/>
          <w:sz w:val="24"/>
          <w:szCs w:val="24"/>
          <w:highlight w:val="none"/>
        </w:rPr>
        <w:t>采购人要求及</w:t>
      </w:r>
      <w:r>
        <w:rPr>
          <w:rFonts w:hint="eastAsia" w:ascii="仿宋" w:hAnsi="仿宋" w:eastAsia="仿宋" w:cs="仿宋"/>
          <w:color w:val="auto"/>
          <w:sz w:val="24"/>
          <w:szCs w:val="24"/>
          <w:highlight w:val="none"/>
        </w:rPr>
        <w:t>具体工作计划执行，2025年12月31日前完成。如因项目推进或其他非</w:t>
      </w:r>
      <w:r>
        <w:rPr>
          <w:rFonts w:hint="eastAsia" w:ascii="仿宋" w:hAnsi="仿宋" w:eastAsia="仿宋"/>
          <w:color w:val="auto"/>
          <w:sz w:val="24"/>
          <w:szCs w:val="24"/>
          <w:highlight w:val="none"/>
        </w:rPr>
        <w:t>成交供应商</w:t>
      </w:r>
      <w:r>
        <w:rPr>
          <w:rFonts w:hint="eastAsia" w:ascii="仿宋" w:hAnsi="仿宋" w:eastAsia="仿宋" w:cs="仿宋"/>
          <w:color w:val="auto"/>
          <w:sz w:val="24"/>
          <w:szCs w:val="24"/>
          <w:highlight w:val="none"/>
        </w:rPr>
        <w:t>主观因素导致2025年12月31日前无法完成所有项目，则相应工作顺延至2026年，直至完成所有工作内容为止。</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（二）服务地点：重庆市，具体地点以采购人安排为准。</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（三）验收方式：成交供应商严格按照采购人需求提供完整成果报告，采购人根据合同、竞争性磋商和响应文件内容在7个工作日内对成交供应商提交的成果报告进行验收。</w:t>
      </w:r>
    </w:p>
    <w:bookmarkEnd w:id="57"/>
    <w:p>
      <w:pPr>
        <w:pStyle w:val="4"/>
        <w:spacing w:before="0" w:after="0" w:line="400" w:lineRule="exact"/>
        <w:rPr>
          <w:rFonts w:hint="eastAsia" w:ascii="仿宋" w:hAnsi="仿宋" w:eastAsia="仿宋" w:cs="仿宋"/>
          <w:color w:val="auto"/>
          <w:sz w:val="24"/>
          <w:szCs w:val="24"/>
          <w:highlight w:val="none"/>
        </w:rPr>
      </w:pPr>
      <w:bookmarkStart w:id="58" w:name="_Toc5732"/>
      <w:bookmarkStart w:id="59" w:name="_Toc26033"/>
      <w:bookmarkStart w:id="60" w:name="_Toc35102218"/>
      <w:bookmarkStart w:id="61" w:name="_Toc16713"/>
      <w:r>
        <w:rPr>
          <w:rFonts w:hint="eastAsia" w:ascii="仿宋" w:hAnsi="仿宋" w:eastAsia="仿宋" w:cs="仿宋"/>
          <w:color w:val="auto"/>
          <w:sz w:val="24"/>
          <w:szCs w:val="24"/>
          <w:highlight w:val="none"/>
        </w:rPr>
        <w:t>二、报价要求</w:t>
      </w:r>
      <w:bookmarkEnd w:id="58"/>
      <w:bookmarkEnd w:id="59"/>
      <w:bookmarkEnd w:id="60"/>
      <w:bookmarkEnd w:id="61"/>
    </w:p>
    <w:p>
      <w:pPr>
        <w:snapToGrid w:val="0"/>
        <w:spacing w:line="400" w:lineRule="exact"/>
        <w:ind w:firstLine="540"/>
        <w:rPr>
          <w:rFonts w:ascii="仿宋" w:hAnsi="仿宋" w:eastAsia="仿宋" w:cs="仿宋"/>
          <w:bCs/>
          <w:color w:val="auto"/>
          <w:sz w:val="24"/>
          <w:highlight w:val="none"/>
        </w:rPr>
      </w:pPr>
      <w:bookmarkStart w:id="62" w:name="_Toc31998"/>
      <w:bookmarkStart w:id="63" w:name="_Toc35102219"/>
      <w:bookmarkStart w:id="64" w:name="_Toc18627"/>
      <w:r>
        <w:rPr>
          <w:rFonts w:hint="eastAsia" w:ascii="仿宋" w:hAnsi="仿宋" w:eastAsia="仿宋" w:cs="仿宋"/>
          <w:bCs/>
          <w:color w:val="auto"/>
          <w:sz w:val="24"/>
          <w:highlight w:val="none"/>
        </w:rPr>
        <w:t>本项目磋商报价最高限价</w:t>
      </w:r>
      <w:r>
        <w:rPr>
          <w:rFonts w:hint="eastAsia" w:ascii="仿宋" w:hAnsi="仿宋" w:eastAsia="仿宋" w:cs="仿宋"/>
          <w:bCs/>
          <w:color w:val="auto"/>
          <w:sz w:val="24"/>
          <w:highlight w:val="none"/>
          <w:lang w:val="en-US" w:eastAsia="zh-CN"/>
        </w:rPr>
        <w:t>30</w:t>
      </w:r>
      <w:r>
        <w:rPr>
          <w:rFonts w:hint="eastAsia" w:ascii="仿宋" w:hAnsi="仿宋" w:eastAsia="仿宋" w:cs="仿宋"/>
          <w:bCs/>
          <w:color w:val="auto"/>
          <w:sz w:val="24"/>
          <w:highlight w:val="none"/>
        </w:rPr>
        <w:t>万元人民币，所有供应商磋商报价不得超过最高限价。磋商报价包括完成服务范围内所有工作所需的费用。包括但不限于所需的人员一切费用、成果资料一切费用、税金及其他所需的一切费用。成交供应商自身原因造成漏报、少报皆由其自行承担责任，采购人不再补偿。</w:t>
      </w:r>
    </w:p>
    <w:p>
      <w:pPr>
        <w:pStyle w:val="4"/>
        <w:spacing w:before="0" w:after="0" w:line="400" w:lineRule="exact"/>
        <w:rPr>
          <w:rFonts w:hint="eastAsia" w:ascii="仿宋" w:hAnsi="仿宋" w:eastAsia="仿宋" w:cs="仿宋"/>
          <w:color w:val="auto"/>
          <w:sz w:val="24"/>
          <w:szCs w:val="24"/>
          <w:highlight w:val="none"/>
        </w:rPr>
      </w:pPr>
      <w:bookmarkStart w:id="65" w:name="_Toc5145"/>
      <w:r>
        <w:rPr>
          <w:rFonts w:hint="eastAsia" w:ascii="仿宋" w:hAnsi="仿宋" w:eastAsia="仿宋" w:cs="仿宋"/>
          <w:color w:val="auto"/>
          <w:sz w:val="24"/>
          <w:szCs w:val="24"/>
          <w:highlight w:val="none"/>
        </w:rPr>
        <w:t>三、</w:t>
      </w:r>
      <w:bookmarkStart w:id="66" w:name="_Toc344475122"/>
      <w:r>
        <w:rPr>
          <w:rFonts w:hint="eastAsia" w:ascii="仿宋" w:hAnsi="仿宋" w:eastAsia="仿宋" w:cs="仿宋"/>
          <w:color w:val="auto"/>
          <w:sz w:val="24"/>
          <w:szCs w:val="24"/>
          <w:highlight w:val="none"/>
        </w:rPr>
        <w:t>付款方式</w:t>
      </w:r>
      <w:bookmarkEnd w:id="62"/>
      <w:bookmarkEnd w:id="63"/>
      <w:bookmarkEnd w:id="64"/>
      <w:bookmarkEnd w:id="65"/>
      <w:bookmarkEnd w:id="66"/>
    </w:p>
    <w:p>
      <w:pPr>
        <w:snapToGrid w:val="0"/>
        <w:spacing w:line="400" w:lineRule="exact"/>
        <w:ind w:firstLine="540"/>
        <w:rPr>
          <w:rFonts w:ascii="仿宋" w:hAnsi="仿宋" w:eastAsia="仿宋" w:cs="仿宋"/>
          <w:bCs/>
          <w:color w:val="auto"/>
          <w:sz w:val="24"/>
          <w:highlight w:val="none"/>
        </w:rPr>
      </w:pPr>
      <w:bookmarkStart w:id="67" w:name="_Toc29322"/>
      <w:bookmarkStart w:id="68" w:name="_Toc344475123"/>
      <w:bookmarkStart w:id="69" w:name="_Toc15325"/>
      <w:bookmarkStart w:id="70" w:name="_Toc35102220"/>
      <w:r>
        <w:rPr>
          <w:rFonts w:hint="eastAsia" w:ascii="仿宋" w:hAnsi="仿宋" w:eastAsia="仿宋" w:cs="仿宋"/>
          <w:bCs/>
          <w:color w:val="auto"/>
          <w:sz w:val="24"/>
          <w:highlight w:val="none"/>
        </w:rPr>
        <w:t>合同签订并生效后，甲方在收到乙方发票后5个工作日内，甲方支付合同款总额的50%作为预付款，合同服务期满，且服务成果经验收合格后支付合同款总额的50%。</w:t>
      </w:r>
    </w:p>
    <w:p>
      <w:pPr>
        <w:pStyle w:val="4"/>
        <w:spacing w:before="0" w:after="0" w:line="400" w:lineRule="exact"/>
        <w:rPr>
          <w:rFonts w:hint="eastAsia" w:ascii="仿宋" w:hAnsi="仿宋" w:eastAsia="仿宋" w:cs="仿宋"/>
          <w:color w:val="auto"/>
          <w:sz w:val="24"/>
          <w:szCs w:val="24"/>
          <w:highlight w:val="none"/>
        </w:rPr>
      </w:pPr>
      <w:bookmarkStart w:id="71" w:name="_Toc26257"/>
      <w:r>
        <w:rPr>
          <w:rFonts w:hint="eastAsia" w:ascii="仿宋" w:hAnsi="仿宋" w:eastAsia="仿宋" w:cs="仿宋"/>
          <w:color w:val="auto"/>
          <w:sz w:val="24"/>
          <w:szCs w:val="24"/>
          <w:highlight w:val="none"/>
        </w:rPr>
        <w:t>四、</w:t>
      </w:r>
      <w:bookmarkStart w:id="72" w:name="_Toc398650620"/>
      <w:r>
        <w:rPr>
          <w:rFonts w:hint="eastAsia" w:ascii="仿宋" w:hAnsi="仿宋" w:eastAsia="仿宋" w:cs="仿宋"/>
          <w:color w:val="auto"/>
          <w:sz w:val="24"/>
          <w:szCs w:val="24"/>
          <w:highlight w:val="none"/>
        </w:rPr>
        <w:t>质量保证及售后服务</w:t>
      </w:r>
      <w:bookmarkEnd w:id="67"/>
      <w:bookmarkEnd w:id="71"/>
      <w:bookmarkEnd w:id="72"/>
    </w:p>
    <w:p>
      <w:pPr>
        <w:snapToGrid w:val="0"/>
        <w:spacing w:line="400" w:lineRule="exact"/>
        <w:ind w:firstLine="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供应商须严格按照采购文件和采购人要求及自身所提供的投标文件实施本项目。未经采购人允许，不得改变实施方案，否则将取消供应商承办资格。由采购人选择第二成交候选人承办本项目。成交供应商在实施过程中接受采购人的监督和建议，做好项目各阶段实施情况总结、资料收集及整理。</w:t>
      </w:r>
    </w:p>
    <w:p>
      <w:pPr>
        <w:pStyle w:val="4"/>
        <w:spacing w:before="0" w:after="0" w:line="400" w:lineRule="exact"/>
        <w:rPr>
          <w:rFonts w:hint="eastAsia" w:ascii="仿宋" w:hAnsi="仿宋" w:eastAsia="仿宋" w:cs="仿宋"/>
          <w:color w:val="auto"/>
          <w:sz w:val="24"/>
          <w:szCs w:val="24"/>
          <w:highlight w:val="none"/>
        </w:rPr>
      </w:pPr>
      <w:bookmarkStart w:id="73" w:name="_Toc2528"/>
      <w:bookmarkStart w:id="74" w:name="_Toc21514"/>
      <w:r>
        <w:rPr>
          <w:rFonts w:hint="eastAsia" w:ascii="仿宋" w:hAnsi="仿宋" w:eastAsia="仿宋" w:cs="仿宋"/>
          <w:color w:val="auto"/>
          <w:sz w:val="24"/>
          <w:szCs w:val="24"/>
          <w:highlight w:val="none"/>
        </w:rPr>
        <w:t>五、知识产权</w:t>
      </w:r>
      <w:bookmarkEnd w:id="68"/>
      <w:bookmarkEnd w:id="69"/>
      <w:bookmarkEnd w:id="70"/>
      <w:bookmarkEnd w:id="73"/>
      <w:bookmarkEnd w:id="74"/>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本项目服务成果的</w:t>
      </w:r>
      <w:r>
        <w:rPr>
          <w:rFonts w:hint="eastAsia" w:ascii="仿宋" w:hAnsi="仿宋" w:eastAsia="仿宋" w:cs="仿宋"/>
          <w:color w:val="auto"/>
          <w:sz w:val="24"/>
          <w:szCs w:val="24"/>
          <w:highlight w:val="none"/>
        </w:rPr>
        <w:t>知识产权归采购人所有。</w:t>
      </w:r>
    </w:p>
    <w:p>
      <w:pPr>
        <w:pStyle w:val="4"/>
        <w:spacing w:before="0" w:after="0" w:line="400" w:lineRule="exact"/>
        <w:rPr>
          <w:rFonts w:hint="eastAsia" w:ascii="仿宋" w:hAnsi="仿宋" w:eastAsia="仿宋" w:cs="仿宋"/>
          <w:color w:val="auto"/>
          <w:sz w:val="24"/>
          <w:szCs w:val="24"/>
          <w:highlight w:val="none"/>
        </w:rPr>
      </w:pPr>
      <w:bookmarkStart w:id="75" w:name="_Toc344475124"/>
      <w:bookmarkStart w:id="76" w:name="_Toc35102221"/>
      <w:bookmarkStart w:id="77" w:name="_Toc28306"/>
      <w:bookmarkStart w:id="78" w:name="_Toc25929"/>
      <w:bookmarkStart w:id="79" w:name="_Toc7547"/>
      <w:r>
        <w:rPr>
          <w:rFonts w:hint="eastAsia" w:ascii="仿宋" w:hAnsi="仿宋" w:eastAsia="仿宋" w:cs="仿宋"/>
          <w:color w:val="auto"/>
          <w:sz w:val="24"/>
          <w:szCs w:val="24"/>
          <w:highlight w:val="none"/>
        </w:rPr>
        <w:t>六、</w:t>
      </w:r>
      <w:bookmarkEnd w:id="75"/>
      <w:bookmarkStart w:id="80" w:name="_Toc344475125"/>
      <w:r>
        <w:rPr>
          <w:rFonts w:hint="eastAsia" w:ascii="仿宋" w:hAnsi="仿宋" w:eastAsia="仿宋" w:cs="仿宋"/>
          <w:color w:val="auto"/>
          <w:sz w:val="24"/>
          <w:szCs w:val="24"/>
          <w:highlight w:val="none"/>
        </w:rPr>
        <w:t>其他</w:t>
      </w:r>
      <w:bookmarkEnd w:id="76"/>
      <w:bookmarkEnd w:id="77"/>
      <w:bookmarkEnd w:id="78"/>
      <w:bookmarkEnd w:id="79"/>
    </w:p>
    <w:bookmarkEnd w:id="80"/>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（一）合同签订后，中标供应商应无条件接受采购人对该项目的全程监督。</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（二）未经采购人同意，中标供应商不得将成交的项目分包、转让给其他单位或个人。</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（三）其他未尽事宜由供需双方在采购合同中详细约定</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（四）供应商必须在投标文件中承诺必须达到本篇及本采购文件其他条款的要求。</w:t>
      </w:r>
    </w:p>
    <w:p>
      <w:pPr>
        <w:spacing w:line="360" w:lineRule="auto"/>
        <w:rPr>
          <w:rFonts w:hint="eastAsia" w:ascii="仿宋" w:hAnsi="仿宋" w:eastAsia="仿宋" w:cs="仿宋"/>
          <w:color w:val="auto"/>
          <w:highlight w:val="none"/>
        </w:rPr>
      </w:pPr>
    </w:p>
    <w:p>
      <w:pPr>
        <w:pStyle w:val="3"/>
        <w:spacing w:before="0" w:after="0" w:line="360" w:lineRule="auto"/>
        <w:jc w:val="center"/>
        <w:rPr>
          <w:rFonts w:hint="eastAsia" w:ascii="仿宋" w:hAnsi="仿宋" w:eastAsia="仿宋" w:cs="仿宋"/>
          <w:color w:val="auto"/>
          <w:szCs w:val="32"/>
          <w:highlight w:val="none"/>
        </w:rPr>
      </w:pPr>
      <w:r>
        <w:rPr>
          <w:rFonts w:hint="eastAsia" w:ascii="仿宋" w:hAnsi="仿宋" w:eastAsia="仿宋" w:cs="仿宋"/>
          <w:color w:val="auto"/>
          <w:szCs w:val="32"/>
          <w:highlight w:val="none"/>
        </w:rPr>
        <w:br w:type="page"/>
      </w:r>
      <w:bookmarkStart w:id="81" w:name="_Toc16640"/>
      <w:r>
        <w:rPr>
          <w:rFonts w:hint="eastAsia" w:ascii="仿宋" w:hAnsi="仿宋" w:eastAsia="仿宋" w:cs="仿宋"/>
          <w:color w:val="auto"/>
          <w:szCs w:val="32"/>
          <w:highlight w:val="none"/>
        </w:rPr>
        <w:t>第四篇  磋商程序及方法、评审标准、无效响应和采购终止</w:t>
      </w:r>
      <w:bookmarkEnd w:id="81"/>
    </w:p>
    <w:p>
      <w:pPr>
        <w:pStyle w:val="4"/>
        <w:spacing w:before="0" w:after="0" w:line="440" w:lineRule="exact"/>
        <w:rPr>
          <w:rFonts w:hint="eastAsia" w:ascii="仿宋" w:hAnsi="仿宋" w:eastAsia="仿宋" w:cs="仿宋"/>
          <w:color w:val="auto"/>
          <w:sz w:val="24"/>
          <w:szCs w:val="24"/>
          <w:highlight w:val="none"/>
        </w:rPr>
      </w:pPr>
      <w:bookmarkStart w:id="82" w:name="_Toc30369"/>
      <w:bookmarkStart w:id="83" w:name="_Toc32555"/>
      <w:bookmarkStart w:id="84" w:name="_Toc447"/>
      <w:r>
        <w:rPr>
          <w:rFonts w:hint="eastAsia" w:ascii="仿宋" w:hAnsi="仿宋" w:eastAsia="仿宋" w:cs="仿宋"/>
          <w:color w:val="auto"/>
          <w:sz w:val="24"/>
          <w:szCs w:val="24"/>
          <w:highlight w:val="none"/>
        </w:rPr>
        <w:t>一、磋商程序及方法</w:t>
      </w:r>
      <w:bookmarkEnd w:id="82"/>
      <w:bookmarkEnd w:id="83"/>
      <w:bookmarkEnd w:id="84"/>
    </w:p>
    <w:p>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（二）磋商小组对各供应商的资格条件、响应文件的有效性、完整性和响应程度进行审查。各供应商只有在完全符合要求的前提下，才能参与正式磋商。</w:t>
      </w:r>
    </w:p>
    <w:p>
      <w:pPr>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1.资格性审查。依据法律法规和竞争性磋商文件的规定，对响应文件中的资格证明、等进行审查，以确定供应商是否具备磋商资格。资格性审查资料表如下：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76" w:type="dxa"/>
            <w:noWrap w:val="0"/>
            <w:vAlign w:val="center"/>
          </w:tcPr>
          <w:p>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5388" w:type="dxa"/>
            <w:gridSpan w:val="2"/>
            <w:noWrap w:val="0"/>
            <w:vAlign w:val="center"/>
          </w:tcPr>
          <w:p>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检查因素</w:t>
            </w:r>
          </w:p>
        </w:tc>
        <w:tc>
          <w:tcPr>
            <w:tcW w:w="3564" w:type="dxa"/>
            <w:noWrap w:val="0"/>
            <w:vAlign w:val="center"/>
          </w:tcPr>
          <w:p>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trPr>
        <w:tc>
          <w:tcPr>
            <w:tcW w:w="676" w:type="dxa"/>
            <w:vMerge w:val="restart"/>
            <w:noWrap w:val="0"/>
            <w:vAlign w:val="center"/>
          </w:tcPr>
          <w:p>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09" w:type="dxa"/>
            <w:vMerge w:val="restart"/>
            <w:noWrap w:val="0"/>
            <w:vAlign w:val="center"/>
          </w:tcPr>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供应商应符合的基本资格条件</w:t>
            </w:r>
          </w:p>
        </w:tc>
        <w:tc>
          <w:tcPr>
            <w:tcW w:w="4679" w:type="dxa"/>
            <w:noWrap w:val="0"/>
            <w:vAlign w:val="center"/>
          </w:tcPr>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3564" w:type="dxa"/>
            <w:noWrap w:val="0"/>
            <w:vAlign w:val="center"/>
          </w:tcPr>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1.供应商法人营业执照或事业单位法人证书（副本）或个体工商户营业执照或有效的自然人身份证明或社会团体法人登记证书（提供复印件）。 </w:t>
            </w:r>
          </w:p>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676" w:type="dxa"/>
            <w:vMerge w:val="continue"/>
            <w:noWrap w:val="0"/>
            <w:vAlign w:val="center"/>
          </w:tcPr>
          <w:p>
            <w:pPr>
              <w:spacing w:line="240" w:lineRule="exact"/>
              <w:jc w:val="center"/>
              <w:rPr>
                <w:rFonts w:hint="eastAsia" w:ascii="仿宋" w:hAnsi="仿宋" w:eastAsia="仿宋" w:cs="仿宋"/>
                <w:color w:val="auto"/>
                <w:sz w:val="24"/>
                <w:szCs w:val="24"/>
                <w:highlight w:val="none"/>
              </w:rPr>
            </w:pPr>
          </w:p>
        </w:tc>
        <w:tc>
          <w:tcPr>
            <w:tcW w:w="709" w:type="dxa"/>
            <w:vMerge w:val="continue"/>
            <w:noWrap w:val="0"/>
            <w:vAlign w:val="center"/>
          </w:tcPr>
          <w:p>
            <w:pPr>
              <w:spacing w:line="240" w:lineRule="exact"/>
              <w:rPr>
                <w:rFonts w:hint="eastAsia" w:ascii="仿宋" w:hAnsi="仿宋" w:eastAsia="仿宋" w:cs="仿宋"/>
                <w:color w:val="auto"/>
                <w:sz w:val="24"/>
                <w:szCs w:val="24"/>
                <w:highlight w:val="none"/>
              </w:rPr>
            </w:pPr>
          </w:p>
        </w:tc>
        <w:tc>
          <w:tcPr>
            <w:tcW w:w="4679" w:type="dxa"/>
            <w:noWrap w:val="0"/>
            <w:vAlign w:val="center"/>
          </w:tcPr>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tc>
        <w:tc>
          <w:tcPr>
            <w:tcW w:w="3564" w:type="dxa"/>
            <w:vMerge w:val="restart"/>
            <w:noWrap w:val="0"/>
            <w:vAlign w:val="center"/>
          </w:tcPr>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676" w:type="dxa"/>
            <w:vMerge w:val="continue"/>
            <w:noWrap w:val="0"/>
            <w:vAlign w:val="center"/>
          </w:tcPr>
          <w:p>
            <w:pPr>
              <w:spacing w:line="240" w:lineRule="exact"/>
              <w:jc w:val="center"/>
              <w:rPr>
                <w:rFonts w:hint="eastAsia" w:ascii="仿宋" w:hAnsi="仿宋" w:eastAsia="仿宋" w:cs="仿宋"/>
                <w:color w:val="auto"/>
                <w:sz w:val="24"/>
                <w:szCs w:val="24"/>
                <w:highlight w:val="none"/>
              </w:rPr>
            </w:pPr>
          </w:p>
        </w:tc>
        <w:tc>
          <w:tcPr>
            <w:tcW w:w="709" w:type="dxa"/>
            <w:vMerge w:val="continue"/>
            <w:noWrap w:val="0"/>
            <w:vAlign w:val="center"/>
          </w:tcPr>
          <w:p>
            <w:pPr>
              <w:spacing w:line="240" w:lineRule="exact"/>
              <w:rPr>
                <w:rFonts w:hint="eastAsia" w:ascii="仿宋" w:hAnsi="仿宋" w:eastAsia="仿宋" w:cs="仿宋"/>
                <w:color w:val="auto"/>
                <w:sz w:val="24"/>
                <w:szCs w:val="24"/>
                <w:highlight w:val="none"/>
              </w:rPr>
            </w:pPr>
          </w:p>
        </w:tc>
        <w:tc>
          <w:tcPr>
            <w:tcW w:w="4679" w:type="dxa"/>
            <w:noWrap w:val="0"/>
            <w:vAlign w:val="center"/>
          </w:tcPr>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tc>
        <w:tc>
          <w:tcPr>
            <w:tcW w:w="3564" w:type="dxa"/>
            <w:vMerge w:val="continue"/>
            <w:noWrap w:val="0"/>
            <w:vAlign w:val="center"/>
          </w:tcPr>
          <w:p>
            <w:pPr>
              <w:spacing w:line="2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6" w:type="dxa"/>
            <w:vMerge w:val="continue"/>
            <w:noWrap w:val="0"/>
            <w:vAlign w:val="center"/>
          </w:tcPr>
          <w:p>
            <w:pPr>
              <w:spacing w:line="240" w:lineRule="exact"/>
              <w:jc w:val="center"/>
              <w:rPr>
                <w:rFonts w:hint="eastAsia" w:ascii="仿宋" w:hAnsi="仿宋" w:eastAsia="仿宋" w:cs="仿宋"/>
                <w:color w:val="auto"/>
                <w:sz w:val="24"/>
                <w:szCs w:val="24"/>
                <w:highlight w:val="none"/>
              </w:rPr>
            </w:pPr>
          </w:p>
        </w:tc>
        <w:tc>
          <w:tcPr>
            <w:tcW w:w="709" w:type="dxa"/>
            <w:vMerge w:val="continue"/>
            <w:noWrap w:val="0"/>
            <w:vAlign w:val="center"/>
          </w:tcPr>
          <w:p>
            <w:pPr>
              <w:spacing w:line="240" w:lineRule="exact"/>
              <w:rPr>
                <w:rFonts w:hint="eastAsia" w:ascii="仿宋" w:hAnsi="仿宋" w:eastAsia="仿宋" w:cs="仿宋"/>
                <w:color w:val="auto"/>
                <w:sz w:val="24"/>
                <w:szCs w:val="24"/>
                <w:highlight w:val="none"/>
              </w:rPr>
            </w:pPr>
          </w:p>
        </w:tc>
        <w:tc>
          <w:tcPr>
            <w:tcW w:w="4679" w:type="dxa"/>
            <w:noWrap w:val="0"/>
            <w:vAlign w:val="center"/>
          </w:tcPr>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（4）有依法缴纳税收和社会保障金的良好记录</w:t>
            </w:r>
          </w:p>
        </w:tc>
        <w:tc>
          <w:tcPr>
            <w:tcW w:w="3564" w:type="dxa"/>
            <w:vMerge w:val="continue"/>
            <w:noWrap w:val="0"/>
            <w:vAlign w:val="center"/>
          </w:tcPr>
          <w:p>
            <w:pPr>
              <w:spacing w:line="2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676" w:type="dxa"/>
            <w:vMerge w:val="continue"/>
            <w:noWrap w:val="0"/>
            <w:vAlign w:val="center"/>
          </w:tcPr>
          <w:p>
            <w:pPr>
              <w:spacing w:line="240" w:lineRule="exact"/>
              <w:jc w:val="center"/>
              <w:rPr>
                <w:rFonts w:hint="eastAsia" w:ascii="仿宋" w:hAnsi="仿宋" w:eastAsia="仿宋" w:cs="仿宋"/>
                <w:color w:val="auto"/>
                <w:sz w:val="24"/>
                <w:szCs w:val="24"/>
                <w:highlight w:val="none"/>
              </w:rPr>
            </w:pPr>
          </w:p>
        </w:tc>
        <w:tc>
          <w:tcPr>
            <w:tcW w:w="709" w:type="dxa"/>
            <w:vMerge w:val="continue"/>
            <w:noWrap w:val="0"/>
            <w:vAlign w:val="center"/>
          </w:tcPr>
          <w:p>
            <w:pPr>
              <w:spacing w:line="240" w:lineRule="exact"/>
              <w:rPr>
                <w:rFonts w:hint="eastAsia" w:ascii="仿宋" w:hAnsi="仿宋" w:eastAsia="仿宋" w:cs="仿宋"/>
                <w:color w:val="auto"/>
                <w:sz w:val="24"/>
                <w:szCs w:val="24"/>
                <w:highlight w:val="none"/>
              </w:rPr>
            </w:pPr>
          </w:p>
        </w:tc>
        <w:tc>
          <w:tcPr>
            <w:tcW w:w="4679" w:type="dxa"/>
            <w:noWrap w:val="0"/>
            <w:vAlign w:val="center"/>
          </w:tcPr>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w:t>
            </w:r>
          </w:p>
        </w:tc>
        <w:tc>
          <w:tcPr>
            <w:tcW w:w="3564" w:type="dxa"/>
            <w:vMerge w:val="continue"/>
            <w:noWrap w:val="0"/>
            <w:vAlign w:val="center"/>
          </w:tcPr>
          <w:p>
            <w:pPr>
              <w:spacing w:line="2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676" w:type="dxa"/>
            <w:vMerge w:val="continue"/>
            <w:noWrap w:val="0"/>
            <w:vAlign w:val="center"/>
          </w:tcPr>
          <w:p>
            <w:pPr>
              <w:spacing w:line="240" w:lineRule="exact"/>
              <w:jc w:val="center"/>
              <w:rPr>
                <w:rFonts w:hint="eastAsia" w:ascii="仿宋" w:hAnsi="仿宋" w:eastAsia="仿宋" w:cs="仿宋"/>
                <w:color w:val="auto"/>
                <w:sz w:val="24"/>
                <w:szCs w:val="24"/>
                <w:highlight w:val="none"/>
              </w:rPr>
            </w:pPr>
          </w:p>
        </w:tc>
        <w:tc>
          <w:tcPr>
            <w:tcW w:w="709" w:type="dxa"/>
            <w:vMerge w:val="continue"/>
            <w:noWrap w:val="0"/>
            <w:vAlign w:val="center"/>
          </w:tcPr>
          <w:p>
            <w:pPr>
              <w:spacing w:line="240" w:lineRule="exact"/>
              <w:rPr>
                <w:rFonts w:hint="eastAsia" w:ascii="仿宋" w:hAnsi="仿宋" w:eastAsia="仿宋" w:cs="仿宋"/>
                <w:color w:val="auto"/>
                <w:sz w:val="24"/>
                <w:szCs w:val="24"/>
                <w:highlight w:val="none"/>
              </w:rPr>
            </w:pPr>
          </w:p>
        </w:tc>
        <w:tc>
          <w:tcPr>
            <w:tcW w:w="4679" w:type="dxa"/>
            <w:noWrap w:val="0"/>
            <w:vAlign w:val="center"/>
          </w:tcPr>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tc>
        <w:tc>
          <w:tcPr>
            <w:tcW w:w="3564" w:type="dxa"/>
            <w:noWrap w:val="0"/>
            <w:vAlign w:val="center"/>
          </w:tcPr>
          <w:p>
            <w:pPr>
              <w:spacing w:line="240" w:lineRule="exac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5388" w:type="dxa"/>
            <w:gridSpan w:val="2"/>
            <w:noWrap w:val="0"/>
            <w:vAlign w:val="center"/>
          </w:tcPr>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特定资格条件</w:t>
            </w:r>
          </w:p>
        </w:tc>
        <w:tc>
          <w:tcPr>
            <w:tcW w:w="3564" w:type="dxa"/>
            <w:noWrap w:val="0"/>
            <w:vAlign w:val="center"/>
          </w:tcPr>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按“第一篇三、供应商资格要求（三）本项目的特定资格要求”的要求提交。</w:t>
            </w:r>
          </w:p>
        </w:tc>
      </w:tr>
    </w:tbl>
    <w:p>
      <w:pPr>
        <w:tabs>
          <w:tab w:val="left" w:pos="312"/>
        </w:tabs>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号）”执行。供应商可于响应文件递交截止时间前通过“信用中国”网站(www.creditchina.gov.cn)、“中国政府采购网”(www.ccgp.gov.cn)等渠道查询信用记录。</w:t>
      </w:r>
    </w:p>
    <w:p>
      <w:pPr>
        <w:numPr>
          <w:ilvl w:val="0"/>
          <w:numId w:val="2"/>
        </w:num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符合性审查。依据竞争性磋商文件的规定，从响应文件的有效性、完整性和对竞争性磋商文件的响应程度进行审查，以确定是否对竞争性磋商文件的实质性要求作出响应。符合性审查资料表如下：</w:t>
      </w:r>
    </w:p>
    <w:tbl>
      <w:tblPr>
        <w:tblStyle w:val="12"/>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9"/>
        <w:gridCol w:w="1984"/>
        <w:gridCol w:w="5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40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w:t>
            </w:r>
          </w:p>
        </w:tc>
        <w:tc>
          <w:tcPr>
            <w:tcW w:w="54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41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有效性审查</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响应文件签署或盖章</w:t>
            </w:r>
          </w:p>
        </w:tc>
        <w:tc>
          <w:tcPr>
            <w:tcW w:w="54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按竞争性磋商文件“第七篇响应文件编制要求”要求签署或盖章。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14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54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法定代表人身份证明及授权委托书有效，符合竞争性磋商文件规定的格式，签字或盖章齐全。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14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c>
          <w:tcPr>
            <w:tcW w:w="54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每个分包只能有一个</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14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报价唯一</w:t>
            </w:r>
          </w:p>
        </w:tc>
        <w:tc>
          <w:tcPr>
            <w:tcW w:w="54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只能在采购预算范围内报价，</w:t>
            </w:r>
            <w:r>
              <w:rPr>
                <w:rFonts w:hint="eastAsia" w:ascii="仿宋" w:hAnsi="仿宋" w:eastAsia="仿宋" w:cs="仿宋"/>
                <w:color w:val="auto"/>
                <w:sz w:val="24"/>
                <w:szCs w:val="24"/>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完整性审查</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文件份数</w:t>
            </w:r>
          </w:p>
        </w:tc>
        <w:tc>
          <w:tcPr>
            <w:tcW w:w="54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文件正、副本数量（含电子文档），符合</w:t>
            </w:r>
            <w:r>
              <w:rPr>
                <w:rFonts w:hint="eastAsia" w:ascii="仿宋" w:hAnsi="仿宋" w:eastAsia="仿宋" w:cs="仿宋"/>
                <w:color w:val="auto"/>
                <w:sz w:val="24"/>
                <w:szCs w:val="24"/>
                <w:highlight w:val="none"/>
              </w:rPr>
              <w:t>竞争性磋商</w:t>
            </w:r>
            <w:r>
              <w:rPr>
                <w:rFonts w:hint="eastAsia" w:ascii="仿宋" w:hAnsi="仿宋" w:eastAsia="仿宋" w:cs="仿宋"/>
                <w:color w:val="auto"/>
                <w:sz w:val="24"/>
                <w:szCs w:val="24"/>
                <w:highlight w:val="none"/>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41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竞争性磋商文件的响应程度审查</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响应文件内容</w:t>
            </w:r>
          </w:p>
        </w:tc>
        <w:tc>
          <w:tcPr>
            <w:tcW w:w="5410" w:type="dxa"/>
            <w:tcBorders>
              <w:top w:val="single" w:color="auto" w:sz="4" w:space="0"/>
              <w:left w:val="single" w:color="auto" w:sz="4" w:space="0"/>
              <w:bottom w:val="single" w:color="auto" w:sz="4" w:space="0"/>
              <w:right w:val="single" w:color="auto" w:sz="4" w:space="0"/>
            </w:tcBorders>
            <w:noWrap w:val="0"/>
            <w:vAlign w:val="center"/>
          </w:tcPr>
          <w:p>
            <w:pPr>
              <w:pStyle w:val="8"/>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对竞争性磋商文件第二、三篇规定的磋商内容作出响应。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24"/>
                <w:szCs w:val="24"/>
                <w:highlight w:val="none"/>
              </w:rPr>
            </w:pPr>
          </w:p>
        </w:tc>
        <w:tc>
          <w:tcPr>
            <w:tcW w:w="14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sz w:val="24"/>
                <w:szCs w:val="24"/>
                <w:highlight w:val="none"/>
                <w:lang w:val="zh-CN"/>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磋商有效期</w:t>
            </w:r>
          </w:p>
        </w:tc>
        <w:tc>
          <w:tcPr>
            <w:tcW w:w="541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满足磋商文件</w:t>
            </w:r>
            <w:r>
              <w:rPr>
                <w:rFonts w:hint="eastAsia" w:ascii="仿宋" w:hAnsi="仿宋" w:eastAsia="仿宋" w:cs="仿宋"/>
                <w:color w:val="auto"/>
                <w:sz w:val="24"/>
                <w:szCs w:val="24"/>
                <w:highlight w:val="none"/>
                <w:lang w:val="zh-CN"/>
              </w:rPr>
              <w:t>规定。</w:t>
            </w:r>
          </w:p>
        </w:tc>
      </w:tr>
    </w:tbl>
    <w:p>
      <w:pPr>
        <w:snapToGrid w:val="0"/>
        <w:spacing w:line="400" w:lineRule="exact"/>
        <w:ind w:firstLine="600" w:firstLineChars="2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pPr>
        <w:snapToGrid w:val="0"/>
        <w:spacing w:line="400" w:lineRule="exact"/>
        <w:ind w:firstLine="600" w:firstLineChars="2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napToGrid w:val="0"/>
        <w:spacing w:line="400" w:lineRule="exact"/>
        <w:ind w:firstLine="600" w:firstLineChars="2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snapToGrid w:val="0"/>
        <w:spacing w:line="400" w:lineRule="exact"/>
        <w:ind w:firstLine="600" w:firstLineChars="2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（五）在磋商过程中</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磋商的任何一方不得向他人透露与磋商有关的服务资料、价格或其他信息。</w:t>
      </w:r>
    </w:p>
    <w:p>
      <w:pPr>
        <w:snapToGrid w:val="0"/>
        <w:spacing w:line="400" w:lineRule="exact"/>
        <w:ind w:firstLine="600" w:firstLineChars="2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pPr>
        <w:snapToGrid w:val="0"/>
        <w:spacing w:line="400" w:lineRule="exact"/>
        <w:ind w:firstLine="600" w:firstLineChars="2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（七）供应商在磋商时作出的所有书面承诺须由法定代表人（或其授权代表）或自然人（供应商为自然人）签署。</w:t>
      </w:r>
    </w:p>
    <w:p>
      <w:pPr>
        <w:snapToGrid w:val="0"/>
        <w:spacing w:line="400" w:lineRule="exact"/>
        <w:ind w:firstLine="600" w:firstLineChars="2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pPr>
        <w:snapToGrid w:val="0"/>
        <w:spacing w:line="400" w:lineRule="exact"/>
        <w:ind w:firstLine="600" w:firstLineChars="2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其中，服务部分最终得分为磋商小组平均值。满分为100分。</w:t>
      </w:r>
    </w:p>
    <w:p>
      <w:pPr>
        <w:snapToGrid w:val="0"/>
        <w:spacing w:line="400" w:lineRule="exact"/>
        <w:ind w:firstLine="600" w:firstLineChars="250"/>
        <w:rPr>
          <w:rFonts w:hint="eastAsia" w:ascii="仿宋" w:hAnsi="仿宋" w:eastAsia="仿宋"/>
          <w:b/>
          <w:bCs/>
          <w:color w:val="auto"/>
          <w:sz w:val="24"/>
          <w:szCs w:val="24"/>
          <w:highlight w:val="none"/>
        </w:rPr>
      </w:pPr>
      <w:r>
        <w:rPr>
          <w:rFonts w:hint="eastAsia" w:ascii="仿宋" w:hAnsi="仿宋" w:eastAsia="仿宋"/>
          <w:color w:val="auto"/>
          <w:sz w:val="24"/>
          <w:szCs w:val="24"/>
          <w:highlight w:val="none"/>
        </w:rPr>
        <w:t>（十）磋商小组各成员独立对每个有效响应（通过资格性审查、符合性审查的供应商）的文件进行评价、打分，然后汇总每个供应商每项评分因素的得分，并根据综合评分情况按照评审得分由高到低顺序推荐1-3名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pPr>
        <w:pStyle w:val="4"/>
        <w:numPr>
          <w:ilvl w:val="0"/>
          <w:numId w:val="3"/>
        </w:numPr>
        <w:spacing w:before="0" w:after="0" w:line="440" w:lineRule="exact"/>
        <w:rPr>
          <w:rFonts w:hint="eastAsia" w:ascii="仿宋" w:hAnsi="仿宋" w:eastAsia="仿宋" w:cs="仿宋"/>
          <w:color w:val="auto"/>
          <w:sz w:val="24"/>
          <w:szCs w:val="24"/>
          <w:highlight w:val="none"/>
        </w:rPr>
      </w:pPr>
      <w:bookmarkStart w:id="85" w:name="_Toc21222"/>
      <w:bookmarkStart w:id="86" w:name="_Toc102227320"/>
      <w:bookmarkStart w:id="87" w:name="_Toc18120"/>
      <w:bookmarkStart w:id="88" w:name="_Toc924"/>
      <w:bookmarkStart w:id="89" w:name="_Toc342913394"/>
      <w:r>
        <w:rPr>
          <w:rFonts w:hint="eastAsia" w:ascii="仿宋" w:hAnsi="仿宋" w:eastAsia="仿宋" w:cs="仿宋"/>
          <w:color w:val="auto"/>
          <w:sz w:val="24"/>
          <w:szCs w:val="24"/>
          <w:highlight w:val="none"/>
        </w:rPr>
        <w:t>评审标准</w:t>
      </w:r>
      <w:bookmarkEnd w:id="85"/>
      <w:bookmarkEnd w:id="86"/>
      <w:bookmarkEnd w:id="87"/>
      <w:bookmarkEnd w:id="88"/>
      <w:bookmarkEnd w:id="89"/>
      <w:bookmarkStart w:id="90" w:name="_Toc76462335"/>
      <w:bookmarkStart w:id="91" w:name="_Toc12999"/>
      <w:bookmarkStart w:id="92" w:name="_Toc106030890"/>
    </w:p>
    <w:tbl>
      <w:tblPr>
        <w:tblStyle w:val="12"/>
        <w:tblW w:w="48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
        <w:gridCol w:w="1367"/>
        <w:gridCol w:w="1083"/>
        <w:gridCol w:w="4475"/>
        <w:gridCol w:w="2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 w:type="pct"/>
            <w:shd w:val="clear" w:color="auto" w:fill="FFFFFF"/>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734" w:type="pct"/>
            <w:shd w:val="clear" w:color="auto" w:fill="FFFFFF"/>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评分因素及权重</w:t>
            </w:r>
          </w:p>
        </w:tc>
        <w:tc>
          <w:tcPr>
            <w:tcW w:w="581" w:type="pct"/>
            <w:shd w:val="clear" w:color="auto" w:fill="FFFFFF"/>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2403" w:type="pct"/>
            <w:shd w:val="clear" w:color="auto" w:fill="FFFFFF"/>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c>
          <w:tcPr>
            <w:tcW w:w="1080" w:type="pct"/>
            <w:shd w:val="clear" w:color="auto" w:fill="FFFFFF"/>
            <w:noWrap w:val="0"/>
            <w:vAlign w:val="center"/>
          </w:tcPr>
          <w:p>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99"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34"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581" w:type="pc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20分</w:t>
            </w:r>
          </w:p>
        </w:tc>
        <w:tc>
          <w:tcPr>
            <w:tcW w:w="2403" w:type="pct"/>
            <w:noWrap w:val="0"/>
            <w:vAlign w:val="center"/>
          </w:tcPr>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满足资格性、符合性要求且最后报价最低的供应商的价格为磋商基准价，按照下列公式计算每个供应商的磋商报价得分。</w:t>
            </w:r>
          </w:p>
          <w:p>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磋商报价得分=（磋商基准价/最后磋商报价）×价格权值×100</w:t>
            </w:r>
          </w:p>
        </w:tc>
        <w:tc>
          <w:tcPr>
            <w:tcW w:w="1080" w:type="pct"/>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对小微企业的价格用扣除后的价格参与评审，详见“关于小微企业报价扣除比例说明”。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99" w:type="pct"/>
            <w:vMerge w:val="restar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734" w:type="pct"/>
            <w:vMerge w:val="restar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服务部分</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w:t>
            </w:r>
          </w:p>
        </w:tc>
        <w:tc>
          <w:tcPr>
            <w:tcW w:w="581" w:type="pct"/>
            <w:vMerge w:val="restar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服务方案（</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0分）</w:t>
            </w:r>
          </w:p>
        </w:tc>
        <w:tc>
          <w:tcPr>
            <w:tcW w:w="2403" w:type="pct"/>
            <w:noWrap w:val="0"/>
            <w:vAlign w:val="center"/>
          </w:tcPr>
          <w:p>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1.对工作内容的理解。</w:t>
            </w:r>
          </w:p>
          <w:p>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结合第二篇及第三篇等要求，全面、准确理解</w:t>
            </w:r>
            <w:r>
              <w:rPr>
                <w:rFonts w:hint="eastAsia" w:ascii="仿宋" w:hAnsi="仿宋" w:eastAsia="仿宋" w:cs="仿宋"/>
                <w:color w:val="auto"/>
                <w:sz w:val="24"/>
                <w:szCs w:val="24"/>
                <w:highlight w:val="none"/>
                <w:lang w:eastAsia="zh-CN"/>
              </w:rPr>
              <w:t>高速公路养护管理年度监督检查</w:t>
            </w:r>
            <w:r>
              <w:rPr>
                <w:rFonts w:hint="default" w:ascii="Times New Roman" w:hAnsi="Times New Roman" w:eastAsia="仿宋" w:cs="Times New Roman"/>
                <w:color w:val="auto"/>
                <w:sz w:val="24"/>
                <w:szCs w:val="24"/>
                <w:highlight w:val="none"/>
              </w:rPr>
              <w:t>工作背景、服务内容等。</w:t>
            </w:r>
          </w:p>
          <w:p>
            <w:pPr>
              <w:rPr>
                <w:rFonts w:hint="eastAsia" w:ascii="仿宋" w:hAnsi="仿宋" w:eastAsia="仿宋" w:cs="仿宋"/>
                <w:color w:val="auto"/>
                <w:sz w:val="24"/>
                <w:szCs w:val="24"/>
                <w:highlight w:val="none"/>
              </w:rPr>
            </w:pPr>
            <w:r>
              <w:rPr>
                <w:rFonts w:hint="default" w:ascii="Times New Roman" w:hAnsi="Times New Roman" w:eastAsia="仿宋" w:cs="Times New Roman"/>
                <w:color w:val="auto"/>
                <w:sz w:val="24"/>
                <w:szCs w:val="24"/>
                <w:highlight w:val="none"/>
              </w:rPr>
              <w:t>方案无瑕疵的得12分；方案有1处瑕疵的得8分；方案有2处瑕疵的得5分；方案有3处及以上瑕疵或无方案的不得分。</w:t>
            </w:r>
          </w:p>
        </w:tc>
        <w:tc>
          <w:tcPr>
            <w:tcW w:w="1080" w:type="pct"/>
            <w:vMerge w:val="restart"/>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1.投标人根据招标文件内容提供方案（格式自定）。</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项内容中所称的“瑕疵”指方案存在（1）内容缺项或内容表述不完整；（2）缺少任意一项内容的针对性描述分析或缺少关键分析点；（3）方案内容表述前后矛盾、无连贯性；（4）方案操作性不强或内容存在逻辑不合理；（5）措施保障安排并不适用本项目；（6）方案不是专门针对本项目制定；（7）方案中提出的措施举措不符合采购人工作流程要求或不利于本项目目标的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99" w:type="pct"/>
            <w:vMerge w:val="continue"/>
            <w:noWrap w:val="0"/>
            <w:vAlign w:val="center"/>
          </w:tcPr>
          <w:p>
            <w:pPr>
              <w:jc w:val="center"/>
              <w:rPr>
                <w:rFonts w:hint="eastAsia" w:ascii="仿宋" w:hAnsi="仿宋" w:eastAsia="仿宋" w:cs="仿宋"/>
                <w:color w:val="auto"/>
                <w:sz w:val="24"/>
                <w:szCs w:val="24"/>
                <w:highlight w:val="none"/>
              </w:rPr>
            </w:pPr>
          </w:p>
        </w:tc>
        <w:tc>
          <w:tcPr>
            <w:tcW w:w="734" w:type="pct"/>
            <w:vMerge w:val="continue"/>
            <w:noWrap w:val="0"/>
            <w:vAlign w:val="center"/>
          </w:tcPr>
          <w:p>
            <w:pPr>
              <w:jc w:val="center"/>
              <w:rPr>
                <w:rFonts w:hint="eastAsia" w:ascii="仿宋" w:hAnsi="仿宋" w:eastAsia="仿宋" w:cs="仿宋"/>
                <w:color w:val="auto"/>
                <w:sz w:val="24"/>
                <w:szCs w:val="24"/>
                <w:highlight w:val="none"/>
              </w:rPr>
            </w:pPr>
          </w:p>
        </w:tc>
        <w:tc>
          <w:tcPr>
            <w:tcW w:w="581" w:type="pct"/>
            <w:vMerge w:val="continue"/>
            <w:noWrap w:val="0"/>
            <w:vAlign w:val="center"/>
          </w:tcPr>
          <w:p>
            <w:pPr>
              <w:jc w:val="center"/>
              <w:rPr>
                <w:rFonts w:hint="eastAsia" w:ascii="仿宋" w:hAnsi="仿宋" w:eastAsia="仿宋" w:cs="仿宋"/>
                <w:color w:val="auto"/>
                <w:sz w:val="24"/>
                <w:szCs w:val="24"/>
                <w:highlight w:val="none"/>
              </w:rPr>
            </w:pPr>
          </w:p>
        </w:tc>
        <w:tc>
          <w:tcPr>
            <w:tcW w:w="2403" w:type="pct"/>
            <w:noWrap w:val="0"/>
            <w:vAlign w:val="center"/>
          </w:tcPr>
          <w:p>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2.项目实施方案。</w:t>
            </w:r>
          </w:p>
          <w:p>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结合第二篇及第三篇等要求，提供项目实施方案，包括但不限于开展高速公路养护管理年度监督检查的工作思路、工作程序等。实施方案应目的明确、内容齐全且合理，具有可操作性。</w:t>
            </w:r>
          </w:p>
          <w:p>
            <w:pPr>
              <w:rPr>
                <w:rFonts w:hint="eastAsia" w:ascii="仿宋" w:hAnsi="仿宋" w:eastAsia="仿宋" w:cs="仿宋"/>
                <w:color w:val="auto"/>
                <w:sz w:val="24"/>
                <w:szCs w:val="24"/>
                <w:highlight w:val="none"/>
              </w:rPr>
            </w:pPr>
            <w:r>
              <w:rPr>
                <w:rFonts w:hint="default" w:ascii="Times New Roman" w:hAnsi="Times New Roman" w:eastAsia="仿宋" w:cs="Times New Roman"/>
                <w:color w:val="auto"/>
                <w:sz w:val="24"/>
                <w:szCs w:val="24"/>
                <w:highlight w:val="none"/>
              </w:rPr>
              <w:t>方案无瑕疵的得12分；方案有1处瑕疵的得8分；方案有2处瑕疵的得5分；方案有3处及以上瑕疵或无方案的不得分。</w:t>
            </w:r>
          </w:p>
        </w:tc>
        <w:tc>
          <w:tcPr>
            <w:tcW w:w="1080" w:type="pct"/>
            <w:vMerge w:val="continue"/>
            <w:noWrap w:val="0"/>
            <w:vAlign w:val="center"/>
          </w:tcPr>
          <w:p>
            <w:pPr>
              <w:ind w:firstLine="480" w:firstLineChars="20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trPr>
        <w:tc>
          <w:tcPr>
            <w:tcW w:w="199" w:type="pct"/>
            <w:vMerge w:val="continue"/>
            <w:noWrap w:val="0"/>
            <w:vAlign w:val="center"/>
          </w:tcPr>
          <w:p>
            <w:pPr>
              <w:jc w:val="center"/>
              <w:rPr>
                <w:rFonts w:hint="eastAsia" w:ascii="仿宋" w:hAnsi="仿宋" w:eastAsia="仿宋" w:cs="仿宋"/>
                <w:color w:val="auto"/>
                <w:sz w:val="24"/>
                <w:szCs w:val="24"/>
                <w:highlight w:val="none"/>
              </w:rPr>
            </w:pPr>
          </w:p>
        </w:tc>
        <w:tc>
          <w:tcPr>
            <w:tcW w:w="734" w:type="pct"/>
            <w:vMerge w:val="continue"/>
            <w:noWrap w:val="0"/>
            <w:vAlign w:val="center"/>
          </w:tcPr>
          <w:p>
            <w:pPr>
              <w:jc w:val="center"/>
              <w:rPr>
                <w:rFonts w:hint="eastAsia" w:ascii="仿宋" w:hAnsi="仿宋" w:eastAsia="仿宋" w:cs="仿宋"/>
                <w:color w:val="auto"/>
                <w:sz w:val="24"/>
                <w:szCs w:val="24"/>
                <w:highlight w:val="none"/>
              </w:rPr>
            </w:pPr>
          </w:p>
        </w:tc>
        <w:tc>
          <w:tcPr>
            <w:tcW w:w="581" w:type="pct"/>
            <w:vMerge w:val="continue"/>
            <w:noWrap w:val="0"/>
            <w:vAlign w:val="center"/>
          </w:tcPr>
          <w:p>
            <w:pPr>
              <w:jc w:val="center"/>
              <w:rPr>
                <w:rFonts w:hint="eastAsia" w:ascii="仿宋" w:hAnsi="仿宋" w:eastAsia="仿宋" w:cs="仿宋"/>
                <w:color w:val="auto"/>
                <w:sz w:val="24"/>
                <w:szCs w:val="24"/>
                <w:highlight w:val="none"/>
              </w:rPr>
            </w:pPr>
          </w:p>
        </w:tc>
        <w:tc>
          <w:tcPr>
            <w:tcW w:w="2403" w:type="pct"/>
            <w:noWrap w:val="0"/>
            <w:vAlign w:val="center"/>
          </w:tcPr>
          <w:p>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3.重难点分析。</w:t>
            </w:r>
          </w:p>
          <w:p>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结合以往已完成的类似项目实际案例，针对</w:t>
            </w:r>
            <w:r>
              <w:rPr>
                <w:rFonts w:hint="eastAsia" w:ascii="仿宋" w:hAnsi="仿宋" w:eastAsia="仿宋" w:cs="仿宋"/>
                <w:color w:val="auto"/>
                <w:sz w:val="24"/>
                <w:szCs w:val="24"/>
                <w:highlight w:val="none"/>
                <w:lang w:eastAsia="zh-CN"/>
              </w:rPr>
              <w:t>高速公路养护管理年度监督检查</w:t>
            </w:r>
            <w:r>
              <w:rPr>
                <w:rFonts w:hint="default" w:ascii="Times New Roman" w:hAnsi="Times New Roman" w:eastAsia="仿宋" w:cs="Times New Roman"/>
                <w:color w:val="auto"/>
                <w:sz w:val="24"/>
                <w:szCs w:val="24"/>
                <w:highlight w:val="none"/>
              </w:rPr>
              <w:t>工作的重难点、关键性技术问题提出科学合理的对策。</w:t>
            </w:r>
          </w:p>
          <w:p>
            <w:pPr>
              <w:rPr>
                <w:rFonts w:hint="eastAsia" w:ascii="仿宋" w:hAnsi="仿宋" w:eastAsia="仿宋" w:cs="仿宋"/>
                <w:color w:val="auto"/>
                <w:sz w:val="24"/>
                <w:szCs w:val="24"/>
                <w:highlight w:val="none"/>
              </w:rPr>
            </w:pPr>
            <w:r>
              <w:rPr>
                <w:rFonts w:hint="default" w:ascii="Times New Roman" w:hAnsi="Times New Roman" w:eastAsia="仿宋" w:cs="Times New Roman"/>
                <w:color w:val="auto"/>
                <w:sz w:val="24"/>
                <w:szCs w:val="24"/>
                <w:highlight w:val="none"/>
              </w:rPr>
              <w:t>方案无瑕疵的得12分；方案有1处瑕疵的得8分；方案有2处瑕疵的得5分；方案有3处及以上瑕疵或无方案的不得分。</w:t>
            </w:r>
          </w:p>
        </w:tc>
        <w:tc>
          <w:tcPr>
            <w:tcW w:w="1080" w:type="pct"/>
            <w:vMerge w:val="continue"/>
            <w:noWrap w:val="0"/>
            <w:vAlign w:val="center"/>
          </w:tcPr>
          <w:p>
            <w:pPr>
              <w:ind w:firstLine="480" w:firstLineChars="20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trPr>
        <w:tc>
          <w:tcPr>
            <w:tcW w:w="199" w:type="pct"/>
            <w:vMerge w:val="continue"/>
            <w:noWrap w:val="0"/>
            <w:vAlign w:val="center"/>
          </w:tcPr>
          <w:p>
            <w:pPr>
              <w:jc w:val="center"/>
              <w:rPr>
                <w:rFonts w:hint="eastAsia" w:ascii="仿宋" w:hAnsi="仿宋" w:eastAsia="仿宋" w:cs="仿宋"/>
                <w:color w:val="auto"/>
                <w:sz w:val="24"/>
                <w:szCs w:val="24"/>
                <w:highlight w:val="none"/>
              </w:rPr>
            </w:pPr>
          </w:p>
        </w:tc>
        <w:tc>
          <w:tcPr>
            <w:tcW w:w="734" w:type="pct"/>
            <w:vMerge w:val="continue"/>
            <w:noWrap w:val="0"/>
            <w:vAlign w:val="center"/>
          </w:tcPr>
          <w:p>
            <w:pPr>
              <w:jc w:val="center"/>
              <w:rPr>
                <w:rFonts w:hint="eastAsia" w:ascii="仿宋" w:hAnsi="仿宋" w:eastAsia="仿宋" w:cs="仿宋"/>
                <w:color w:val="auto"/>
                <w:sz w:val="24"/>
                <w:szCs w:val="24"/>
                <w:highlight w:val="none"/>
              </w:rPr>
            </w:pPr>
          </w:p>
        </w:tc>
        <w:tc>
          <w:tcPr>
            <w:tcW w:w="581" w:type="pct"/>
            <w:vMerge w:val="continue"/>
            <w:noWrap w:val="0"/>
            <w:vAlign w:val="center"/>
          </w:tcPr>
          <w:p>
            <w:pPr>
              <w:jc w:val="center"/>
              <w:rPr>
                <w:rFonts w:hint="eastAsia" w:ascii="仿宋" w:hAnsi="仿宋" w:eastAsia="仿宋" w:cs="仿宋"/>
                <w:color w:val="auto"/>
                <w:sz w:val="24"/>
                <w:szCs w:val="24"/>
                <w:highlight w:val="none"/>
              </w:rPr>
            </w:pPr>
          </w:p>
        </w:tc>
        <w:tc>
          <w:tcPr>
            <w:tcW w:w="2403" w:type="pct"/>
            <w:noWrap w:val="0"/>
            <w:vAlign w:val="center"/>
          </w:tcPr>
          <w:p>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4.项目进度保证措施。</w:t>
            </w:r>
          </w:p>
          <w:p>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结合第二篇及第三篇等要求，制定科学、合理的进度保证措施，包括工作安排及拟投入本项目人员等。</w:t>
            </w:r>
          </w:p>
          <w:p>
            <w:pPr>
              <w:rPr>
                <w:rFonts w:hint="eastAsia" w:ascii="仿宋" w:hAnsi="仿宋" w:eastAsia="仿宋" w:cs="仿宋"/>
                <w:color w:val="auto"/>
                <w:sz w:val="24"/>
                <w:szCs w:val="24"/>
                <w:highlight w:val="none"/>
              </w:rPr>
            </w:pPr>
            <w:r>
              <w:rPr>
                <w:rFonts w:hint="default" w:ascii="Times New Roman" w:hAnsi="Times New Roman" w:eastAsia="仿宋" w:cs="Times New Roman"/>
                <w:color w:val="auto"/>
                <w:sz w:val="24"/>
                <w:szCs w:val="24"/>
                <w:highlight w:val="none"/>
              </w:rPr>
              <w:t>方案无瑕疵的得12分；方案有1处瑕疵的得8分；方案有2处瑕疵的得5分；方案有3处及以上瑕疵或无方案的不得分。</w:t>
            </w:r>
          </w:p>
        </w:tc>
        <w:tc>
          <w:tcPr>
            <w:tcW w:w="1080" w:type="pct"/>
            <w:vMerge w:val="continue"/>
            <w:noWrap w:val="0"/>
            <w:vAlign w:val="center"/>
          </w:tcPr>
          <w:p>
            <w:pPr>
              <w:ind w:firstLine="480" w:firstLineChars="20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 w:type="pct"/>
            <w:vMerge w:val="continue"/>
            <w:noWrap w:val="0"/>
            <w:vAlign w:val="center"/>
          </w:tcPr>
          <w:p>
            <w:pPr>
              <w:jc w:val="center"/>
              <w:rPr>
                <w:rFonts w:hint="eastAsia" w:ascii="仿宋" w:hAnsi="仿宋" w:eastAsia="仿宋" w:cs="仿宋"/>
                <w:color w:val="auto"/>
                <w:sz w:val="24"/>
                <w:szCs w:val="24"/>
                <w:highlight w:val="none"/>
              </w:rPr>
            </w:pPr>
          </w:p>
        </w:tc>
        <w:tc>
          <w:tcPr>
            <w:tcW w:w="734" w:type="pct"/>
            <w:vMerge w:val="continue"/>
            <w:noWrap w:val="0"/>
            <w:vAlign w:val="center"/>
          </w:tcPr>
          <w:p>
            <w:pPr>
              <w:jc w:val="center"/>
              <w:rPr>
                <w:rFonts w:hint="eastAsia" w:ascii="仿宋" w:hAnsi="仿宋" w:eastAsia="仿宋" w:cs="仿宋"/>
                <w:color w:val="auto"/>
                <w:sz w:val="24"/>
                <w:szCs w:val="24"/>
                <w:highlight w:val="none"/>
              </w:rPr>
            </w:pPr>
          </w:p>
        </w:tc>
        <w:tc>
          <w:tcPr>
            <w:tcW w:w="581" w:type="pct"/>
            <w:vMerge w:val="continue"/>
            <w:noWrap w:val="0"/>
            <w:vAlign w:val="center"/>
          </w:tcPr>
          <w:p>
            <w:pPr>
              <w:jc w:val="center"/>
              <w:rPr>
                <w:rFonts w:hint="eastAsia" w:ascii="仿宋" w:hAnsi="仿宋" w:eastAsia="仿宋" w:cs="仿宋"/>
                <w:color w:val="auto"/>
                <w:sz w:val="24"/>
                <w:szCs w:val="24"/>
                <w:highlight w:val="none"/>
              </w:rPr>
            </w:pPr>
          </w:p>
        </w:tc>
        <w:tc>
          <w:tcPr>
            <w:tcW w:w="2403" w:type="pct"/>
            <w:noWrap w:val="0"/>
            <w:vAlign w:val="center"/>
          </w:tcPr>
          <w:p>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5.项目质量保障措施。</w:t>
            </w:r>
          </w:p>
          <w:p>
            <w:pP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结合第二篇及第三篇等要求，</w:t>
            </w:r>
            <w:r>
              <w:rPr>
                <w:rFonts w:hint="eastAsia" w:eastAsia="仿宋" w:cs="Times New Roman"/>
                <w:color w:val="auto"/>
                <w:sz w:val="24"/>
                <w:szCs w:val="24"/>
                <w:highlight w:val="none"/>
                <w:lang w:val="en-US" w:eastAsia="zh-CN"/>
              </w:rPr>
              <w:t>对</w:t>
            </w:r>
            <w:r>
              <w:rPr>
                <w:rFonts w:hint="eastAsia" w:ascii="仿宋" w:hAnsi="仿宋" w:eastAsia="仿宋" w:cs="仿宋"/>
                <w:color w:val="auto"/>
                <w:sz w:val="24"/>
                <w:szCs w:val="24"/>
                <w:highlight w:val="none"/>
                <w:lang w:eastAsia="zh-CN"/>
              </w:rPr>
              <w:t>高速公路养护管理年度监督检查</w:t>
            </w:r>
            <w:r>
              <w:rPr>
                <w:rFonts w:hint="default" w:ascii="Times New Roman" w:hAnsi="Times New Roman" w:eastAsia="仿宋" w:cs="Times New Roman"/>
                <w:color w:val="auto"/>
                <w:sz w:val="24"/>
                <w:szCs w:val="24"/>
                <w:highlight w:val="none"/>
              </w:rPr>
              <w:t>制定完善合理、科学严谨的质量保障措施，保障项目质量。</w:t>
            </w:r>
          </w:p>
          <w:p>
            <w:pPr>
              <w:rPr>
                <w:rFonts w:hint="eastAsia" w:ascii="仿宋" w:hAnsi="仿宋" w:eastAsia="仿宋" w:cs="仿宋"/>
                <w:color w:val="auto"/>
                <w:sz w:val="24"/>
                <w:szCs w:val="24"/>
                <w:highlight w:val="none"/>
              </w:rPr>
            </w:pPr>
            <w:r>
              <w:rPr>
                <w:rFonts w:hint="default" w:ascii="Times New Roman" w:hAnsi="Times New Roman" w:eastAsia="仿宋" w:cs="Times New Roman"/>
                <w:color w:val="auto"/>
                <w:sz w:val="24"/>
                <w:szCs w:val="24"/>
                <w:highlight w:val="none"/>
              </w:rPr>
              <w:t>方案无瑕疵的得12分；方案有1处瑕疵的得8分；方案有2处瑕疵的得5分；方案有3处及以上瑕疵或无方案的不得分。</w:t>
            </w:r>
          </w:p>
        </w:tc>
        <w:tc>
          <w:tcPr>
            <w:tcW w:w="1080" w:type="pct"/>
            <w:vMerge w:val="continue"/>
            <w:noWrap w:val="0"/>
            <w:vAlign w:val="center"/>
          </w:tcPr>
          <w:p>
            <w:pPr>
              <w:ind w:firstLine="480" w:firstLineChars="20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1" w:hRule="atLeast"/>
        </w:trPr>
        <w:tc>
          <w:tcPr>
            <w:tcW w:w="199" w:type="pct"/>
            <w:vMerge w:val="restar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734" w:type="pct"/>
            <w:vMerge w:val="restart"/>
            <w:noWrap w:val="0"/>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w:t>
            </w:r>
          </w:p>
        </w:tc>
        <w:tc>
          <w:tcPr>
            <w:tcW w:w="581" w:type="pct"/>
            <w:vMerge w:val="restart"/>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项目负责人资历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w:t>
            </w:r>
          </w:p>
        </w:tc>
        <w:tc>
          <w:tcPr>
            <w:tcW w:w="2403" w:type="pct"/>
            <w:noWrap w:val="0"/>
            <w:vAlign w:val="center"/>
          </w:tcPr>
          <w:p>
            <w:pPr>
              <w:pStyle w:val="17"/>
              <w:spacing w:line="240" w:lineRule="atLeas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拟派项目负责人为本单位人员，具有工程类专业</w:t>
            </w:r>
            <w:r>
              <w:rPr>
                <w:rFonts w:hint="eastAsia" w:ascii="仿宋" w:hAnsi="仿宋" w:eastAsia="仿宋" w:cs="仿宋"/>
                <w:color w:val="auto"/>
                <w:sz w:val="24"/>
                <w:szCs w:val="24"/>
                <w:highlight w:val="none"/>
                <w:lang w:val="en-US" w:eastAsia="zh-CN"/>
              </w:rPr>
              <w:t>中级</w:t>
            </w:r>
            <w:r>
              <w:rPr>
                <w:rFonts w:hint="eastAsia" w:ascii="仿宋" w:hAnsi="仿宋" w:eastAsia="仿宋" w:cs="仿宋"/>
                <w:color w:val="auto"/>
                <w:sz w:val="24"/>
                <w:szCs w:val="24"/>
                <w:highlight w:val="none"/>
              </w:rPr>
              <w:t>职称的得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分，具有工程类专业</w:t>
            </w:r>
            <w:r>
              <w:rPr>
                <w:rFonts w:hint="eastAsia" w:ascii="仿宋" w:hAnsi="仿宋" w:eastAsia="仿宋" w:cs="仿宋"/>
                <w:color w:val="auto"/>
                <w:sz w:val="24"/>
                <w:szCs w:val="24"/>
                <w:highlight w:val="none"/>
                <w:lang w:val="en-US" w:eastAsia="zh-CN"/>
              </w:rPr>
              <w:t>副</w:t>
            </w:r>
            <w:r>
              <w:rPr>
                <w:rFonts w:hint="eastAsia" w:ascii="仿宋" w:hAnsi="仿宋" w:eastAsia="仿宋" w:cs="仿宋"/>
                <w:color w:val="auto"/>
                <w:sz w:val="24"/>
                <w:szCs w:val="24"/>
                <w:highlight w:val="none"/>
              </w:rPr>
              <w:t>高职称</w:t>
            </w:r>
            <w:r>
              <w:rPr>
                <w:rFonts w:hint="eastAsia" w:ascii="仿宋" w:hAnsi="仿宋" w:eastAsia="仿宋" w:cs="仿宋"/>
                <w:color w:val="auto"/>
                <w:sz w:val="24"/>
                <w:szCs w:val="24"/>
                <w:highlight w:val="none"/>
                <w:lang w:val="en-US" w:eastAsia="zh-CN"/>
              </w:rPr>
              <w:t>及以上</w:t>
            </w:r>
            <w:r>
              <w:rPr>
                <w:rFonts w:hint="eastAsia" w:ascii="仿宋" w:hAnsi="仿宋" w:eastAsia="仿宋" w:cs="仿宋"/>
                <w:color w:val="auto"/>
                <w:sz w:val="24"/>
                <w:szCs w:val="24"/>
                <w:highlight w:val="none"/>
              </w:rPr>
              <w:t>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最多得3分。</w:t>
            </w:r>
          </w:p>
          <w:p>
            <w:pPr>
              <w:pStyle w:val="17"/>
              <w:spacing w:line="240" w:lineRule="atLeas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拟派项目负责人持有公路工程试验检测师(试验检测工程师)职业资格证书的得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分，最多得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pPr>
              <w:pStyle w:val="17"/>
              <w:spacing w:line="240" w:lineRule="atLeast"/>
              <w:jc w:val="left"/>
              <w:rPr>
                <w:rFonts w:hint="eastAsia" w:ascii="仿宋" w:hAnsi="仿宋" w:eastAsia="仿宋" w:cs="仿宋"/>
                <w:color w:val="auto"/>
                <w:sz w:val="24"/>
                <w:szCs w:val="24"/>
                <w:highlight w:val="none"/>
              </w:rPr>
            </w:pPr>
          </w:p>
        </w:tc>
        <w:tc>
          <w:tcPr>
            <w:tcW w:w="1080" w:type="pct"/>
            <w:vMerge w:val="restart"/>
            <w:noWrap w:val="0"/>
            <w:vAlign w:val="center"/>
          </w:tcPr>
          <w:p>
            <w:pPr>
              <w:pStyle w:val="17"/>
              <w:spacing w:line="240" w:lineRule="atLeast"/>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1.提供人员身份证、职称证书、职业资格证书等复印件，并加盖</w:t>
            </w:r>
            <w:r>
              <w:rPr>
                <w:rFonts w:hint="eastAsia" w:ascii="Times New Roman" w:hAnsi="Times New Roman" w:eastAsia="仿宋" w:cs="Times New Roman"/>
                <w:color w:val="auto"/>
                <w:sz w:val="24"/>
                <w:szCs w:val="24"/>
                <w:highlight w:val="none"/>
                <w:lang w:val="en-US" w:eastAsia="zh-CN"/>
              </w:rPr>
              <w:t>供应商</w:t>
            </w:r>
            <w:r>
              <w:rPr>
                <w:rFonts w:hint="default" w:ascii="Times New Roman" w:hAnsi="Times New Roman" w:eastAsia="仿宋" w:cs="Times New Roman"/>
                <w:color w:val="auto"/>
                <w:sz w:val="24"/>
                <w:szCs w:val="24"/>
                <w:highlight w:val="none"/>
              </w:rPr>
              <w:t>公章。</w:t>
            </w:r>
          </w:p>
          <w:p>
            <w:pPr>
              <w:pStyle w:val="17"/>
              <w:spacing w:line="240" w:lineRule="atLeast"/>
              <w:jc w:val="left"/>
              <w:rPr>
                <w:rFonts w:hint="eastAsia" w:ascii="仿宋" w:hAnsi="仿宋" w:eastAsia="仿宋" w:cs="仿宋"/>
                <w:color w:val="auto"/>
                <w:sz w:val="24"/>
                <w:szCs w:val="24"/>
                <w:highlight w:val="none"/>
              </w:rPr>
            </w:pPr>
            <w:r>
              <w:rPr>
                <w:rFonts w:hint="eastAsia" w:ascii="Times New Roman" w:hAnsi="Times New Roman" w:eastAsia="仿宋" w:cs="Times New Roman"/>
                <w:color w:val="auto"/>
                <w:sz w:val="24"/>
                <w:szCs w:val="24"/>
                <w:highlight w:val="none"/>
                <w:lang w:val="en-US" w:eastAsia="zh-CN"/>
              </w:rPr>
              <w:t>2</w:t>
            </w:r>
            <w:r>
              <w:rPr>
                <w:rFonts w:hint="default" w:ascii="Times New Roman" w:hAnsi="Times New Roman" w:eastAsia="仿宋" w:cs="Times New Roman"/>
                <w:color w:val="auto"/>
                <w:sz w:val="24"/>
                <w:szCs w:val="24"/>
                <w:highlight w:val="none"/>
              </w:rPr>
              <w:t>.提供拟派本项目所有人员的社保缴纳证明资料复印件（开标前最近一个月，新成立公司或新入职员工可提供劳动合同复印件），并加盖</w:t>
            </w:r>
            <w:r>
              <w:rPr>
                <w:rFonts w:hint="eastAsia" w:ascii="Times New Roman" w:hAnsi="Times New Roman" w:eastAsia="仿宋" w:cs="Times New Roman"/>
                <w:color w:val="auto"/>
                <w:sz w:val="24"/>
                <w:szCs w:val="24"/>
                <w:highlight w:val="none"/>
                <w:lang w:val="en-US" w:eastAsia="zh-CN"/>
              </w:rPr>
              <w:t>供应商</w:t>
            </w:r>
            <w:r>
              <w:rPr>
                <w:rFonts w:hint="default" w:ascii="Times New Roman" w:hAnsi="Times New Roman" w:eastAsia="仿宋" w:cs="Times New Roman"/>
                <w:color w:val="auto"/>
                <w:sz w:val="24"/>
                <w:szCs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99" w:type="pct"/>
            <w:vMerge w:val="continue"/>
            <w:noWrap w:val="0"/>
            <w:vAlign w:val="center"/>
          </w:tcPr>
          <w:p>
            <w:pPr>
              <w:jc w:val="center"/>
              <w:rPr>
                <w:rFonts w:hint="eastAsia" w:ascii="仿宋" w:hAnsi="仿宋" w:eastAsia="仿宋" w:cs="仿宋"/>
                <w:color w:val="auto"/>
                <w:sz w:val="24"/>
                <w:szCs w:val="24"/>
                <w:highlight w:val="none"/>
              </w:rPr>
            </w:pPr>
          </w:p>
        </w:tc>
        <w:tc>
          <w:tcPr>
            <w:tcW w:w="734" w:type="pct"/>
            <w:vMerge w:val="continue"/>
            <w:noWrap w:val="0"/>
            <w:vAlign w:val="center"/>
          </w:tcPr>
          <w:p>
            <w:pPr>
              <w:jc w:val="center"/>
              <w:rPr>
                <w:rFonts w:hint="eastAsia" w:ascii="仿宋" w:hAnsi="仿宋" w:eastAsia="仿宋" w:cs="仿宋"/>
                <w:color w:val="auto"/>
                <w:sz w:val="24"/>
                <w:szCs w:val="24"/>
                <w:highlight w:val="none"/>
              </w:rPr>
            </w:pPr>
          </w:p>
        </w:tc>
        <w:tc>
          <w:tcPr>
            <w:tcW w:w="581" w:type="pct"/>
            <w:noWrap w:val="0"/>
            <w:vAlign w:val="center"/>
          </w:tcPr>
          <w:p>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供应商业绩（14分）</w:t>
            </w:r>
          </w:p>
        </w:tc>
        <w:tc>
          <w:tcPr>
            <w:tcW w:w="2403" w:type="pct"/>
            <w:noWrap w:val="0"/>
            <w:vAlign w:val="center"/>
          </w:tcPr>
          <w:p>
            <w:pPr>
              <w:jc w:val="left"/>
              <w:rPr>
                <w:rFonts w:hint="eastAsia" w:ascii="仿宋" w:hAnsi="仿宋" w:eastAsia="仿宋" w:cs="仿宋"/>
                <w:color w:val="auto"/>
                <w:kern w:val="0"/>
                <w:sz w:val="24"/>
                <w:szCs w:val="24"/>
                <w:highlight w:val="none"/>
              </w:rPr>
            </w:pPr>
            <w:r>
              <w:rPr>
                <w:rFonts w:hint="default" w:ascii="Times New Roman" w:hAnsi="Times New Roman" w:eastAsia="仿宋" w:cs="Times New Roman"/>
                <w:color w:val="auto"/>
                <w:sz w:val="24"/>
                <w:szCs w:val="24"/>
                <w:highlight w:val="none"/>
              </w:rPr>
              <w:t>供应商近五年（2020年1月</w:t>
            </w:r>
            <w:r>
              <w:rPr>
                <w:rFonts w:hint="eastAsia" w:ascii="Times New Roman" w:hAnsi="Times New Roman" w:eastAsia="仿宋" w:cs="Times New Roman"/>
                <w:color w:val="auto"/>
                <w:sz w:val="24"/>
                <w:szCs w:val="24"/>
                <w:highlight w:val="none"/>
                <w:lang w:val="en-US" w:eastAsia="zh-CN"/>
              </w:rPr>
              <w:t>1日</w:t>
            </w:r>
            <w:r>
              <w:rPr>
                <w:rFonts w:hint="default" w:ascii="Times New Roman" w:hAnsi="Times New Roman" w:eastAsia="仿宋" w:cs="Times New Roman"/>
                <w:color w:val="auto"/>
                <w:sz w:val="24"/>
                <w:szCs w:val="24"/>
                <w:highlight w:val="none"/>
              </w:rPr>
              <w:t>至磋商开始时间</w:t>
            </w:r>
            <w:r>
              <w:rPr>
                <w:rFonts w:hint="eastAsia" w:ascii="Times New Roman" w:hAnsi="Times New Roman" w:eastAsia="仿宋" w:cs="Times New Roman"/>
                <w:color w:val="auto"/>
                <w:sz w:val="24"/>
                <w:szCs w:val="24"/>
                <w:highlight w:val="none"/>
                <w:lang w:val="en-US" w:eastAsia="zh-CN"/>
              </w:rPr>
              <w:t>止</w:t>
            </w:r>
            <w:r>
              <w:rPr>
                <w:rFonts w:hint="default" w:ascii="Times New Roman" w:hAnsi="Times New Roman" w:eastAsia="仿宋" w:cs="Times New Roman"/>
                <w:color w:val="auto"/>
                <w:sz w:val="24"/>
                <w:szCs w:val="24"/>
                <w:highlight w:val="none"/>
              </w:rPr>
              <w:t>），承担过</w:t>
            </w:r>
            <w:r>
              <w:rPr>
                <w:rFonts w:hint="eastAsia" w:eastAsia="仿宋" w:cs="Times New Roman"/>
                <w:color w:val="auto"/>
                <w:sz w:val="24"/>
                <w:szCs w:val="24"/>
                <w:highlight w:val="none"/>
                <w:lang w:val="en-US" w:eastAsia="zh-CN"/>
              </w:rPr>
              <w:t>类似</w:t>
            </w:r>
            <w:r>
              <w:rPr>
                <w:rFonts w:hint="default" w:ascii="Times New Roman" w:hAnsi="Times New Roman" w:eastAsia="仿宋" w:cs="Times New Roman"/>
                <w:color w:val="auto"/>
                <w:sz w:val="24"/>
                <w:szCs w:val="24"/>
                <w:highlight w:val="none"/>
              </w:rPr>
              <w:t>项目</w:t>
            </w:r>
            <w:r>
              <w:rPr>
                <w:rFonts w:hint="eastAsia" w:ascii="Times New Roman" w:hAnsi="Times New Roman" w:eastAsia="仿宋" w:cs="Times New Roman"/>
                <w:color w:val="auto"/>
                <w:sz w:val="24"/>
                <w:szCs w:val="24"/>
                <w:highlight w:val="none"/>
                <w:lang w:val="en-US" w:eastAsia="zh-CN"/>
              </w:rPr>
              <w:t>业绩</w:t>
            </w:r>
            <w:r>
              <w:rPr>
                <w:rFonts w:hint="default" w:ascii="Times New Roman" w:hAnsi="Times New Roman" w:eastAsia="仿宋" w:cs="Times New Roman"/>
                <w:color w:val="auto"/>
                <w:sz w:val="24"/>
                <w:szCs w:val="24"/>
                <w:highlight w:val="none"/>
              </w:rPr>
              <w:t>的，每</w:t>
            </w:r>
            <w:r>
              <w:rPr>
                <w:rFonts w:hint="eastAsia" w:ascii="Times New Roman" w:hAnsi="Times New Roman" w:eastAsia="仿宋" w:cs="Times New Roman"/>
                <w:color w:val="auto"/>
                <w:sz w:val="24"/>
                <w:szCs w:val="24"/>
                <w:highlight w:val="none"/>
                <w:lang w:val="en-US" w:eastAsia="zh-CN"/>
              </w:rPr>
              <w:t>有1</w:t>
            </w:r>
            <w:r>
              <w:rPr>
                <w:rFonts w:hint="default" w:ascii="Times New Roman" w:hAnsi="Times New Roman" w:eastAsia="仿宋" w:cs="Times New Roman"/>
                <w:color w:val="auto"/>
                <w:sz w:val="24"/>
                <w:szCs w:val="24"/>
                <w:highlight w:val="none"/>
              </w:rPr>
              <w:t>个业绩得</w:t>
            </w:r>
            <w:r>
              <w:rPr>
                <w:rFonts w:hint="eastAsia" w:ascii="Times New Roman" w:hAnsi="Times New Roman" w:eastAsia="仿宋" w:cs="Times New Roman"/>
                <w:color w:val="auto"/>
                <w:sz w:val="24"/>
                <w:szCs w:val="24"/>
                <w:highlight w:val="none"/>
                <w:lang w:val="en-US" w:eastAsia="zh-CN"/>
              </w:rPr>
              <w:t>2</w:t>
            </w:r>
            <w:r>
              <w:rPr>
                <w:rFonts w:hint="default" w:ascii="Times New Roman" w:hAnsi="Times New Roman" w:eastAsia="仿宋" w:cs="Times New Roman"/>
                <w:color w:val="auto"/>
                <w:sz w:val="24"/>
                <w:szCs w:val="24"/>
                <w:highlight w:val="none"/>
              </w:rPr>
              <w:t>分</w:t>
            </w:r>
            <w:r>
              <w:rPr>
                <w:rFonts w:hint="eastAsia" w:ascii="Times New Roman" w:hAnsi="Times New Roman"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本项最多得</w:t>
            </w:r>
            <w:r>
              <w:rPr>
                <w:rFonts w:hint="eastAsia" w:ascii="Times New Roman" w:hAnsi="Times New Roman" w:eastAsia="仿宋" w:cs="Times New Roman"/>
                <w:color w:val="auto"/>
                <w:kern w:val="2"/>
                <w:sz w:val="24"/>
                <w:szCs w:val="24"/>
                <w:highlight w:val="none"/>
                <w:lang w:val="en-US" w:eastAsia="zh-CN"/>
              </w:rPr>
              <w:t>14</w:t>
            </w:r>
            <w:r>
              <w:rPr>
                <w:rFonts w:hint="default" w:ascii="Times New Roman" w:hAnsi="Times New Roman" w:eastAsia="仿宋" w:cs="Times New Roman"/>
                <w:color w:val="auto"/>
                <w:sz w:val="24"/>
                <w:szCs w:val="24"/>
                <w:highlight w:val="none"/>
              </w:rPr>
              <w:t>分。</w:t>
            </w:r>
          </w:p>
        </w:tc>
        <w:tc>
          <w:tcPr>
            <w:tcW w:w="1080" w:type="pct"/>
            <w:noWrap w:val="0"/>
            <w:vAlign w:val="center"/>
          </w:tcPr>
          <w:p>
            <w:pPr>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提供相应业绩的证明材料（合同协议书或政府有关主管部门下发的文件等</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复印件，并加盖供应商公章。</w:t>
            </w:r>
          </w:p>
        </w:tc>
      </w:tr>
    </w:tbl>
    <w:p>
      <w:pPr>
        <w:rPr>
          <w:rFonts w:hint="eastAsia"/>
          <w:color w:val="auto"/>
          <w:highlight w:val="none"/>
        </w:rPr>
      </w:pP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注：关于小微企业报价扣除比例说明</w:t>
      </w: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1.供应商为小微企业参与磋商的，对小微型企业给予10%的扣除，以扣除后的报价参与评审。</w:t>
      </w: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2.监狱企业、残疾人福利性单位视同小型、微型企业。</w:t>
      </w:r>
    </w:p>
    <w:p>
      <w:pPr>
        <w:pStyle w:val="4"/>
        <w:spacing w:before="0" w:after="0" w:line="440" w:lineRule="exact"/>
        <w:rPr>
          <w:rFonts w:hint="eastAsia" w:ascii="仿宋" w:hAnsi="仿宋" w:eastAsia="仿宋" w:cs="仿宋"/>
          <w:color w:val="auto"/>
          <w:sz w:val="24"/>
          <w:szCs w:val="24"/>
          <w:highlight w:val="none"/>
        </w:rPr>
      </w:pPr>
      <w:bookmarkStart w:id="93" w:name="_Toc26565"/>
      <w:r>
        <w:rPr>
          <w:rFonts w:hint="eastAsia" w:ascii="仿宋" w:hAnsi="仿宋" w:eastAsia="仿宋" w:cs="仿宋"/>
          <w:color w:val="auto"/>
          <w:sz w:val="24"/>
          <w:szCs w:val="24"/>
          <w:highlight w:val="none"/>
        </w:rPr>
        <w:t>三、无效响应</w:t>
      </w:r>
      <w:bookmarkEnd w:id="90"/>
      <w:bookmarkEnd w:id="91"/>
      <w:bookmarkEnd w:id="92"/>
      <w:bookmarkEnd w:id="93"/>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供应商发生以下条款情况之一者，视为无效响应，其响应文件将被拒绝：</w:t>
      </w: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（一）供应商不符合规定的资格条件的；</w:t>
      </w: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（二）供应商的法定代表人（或其授权代表）或自然人未参加磋商；</w:t>
      </w: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（三）供应商所提交的响应文件不按“第七篇响应文件编制要求”要求签署或盖章；</w:t>
      </w: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（四）供应商的最后报价超过采购预算或最高限价的；</w:t>
      </w: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（五）法定代表人为同一个人的两个及两个以上法人，母公司、全资子公司及其控股公司，在同一包采购中同时参与磋商；</w:t>
      </w: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（六）单位负责人为同一人或者存在直接控股、管理关系的不同供应商，参加同一合同项下的政府采购活动的；</w:t>
      </w: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（七）供应商磋商有效期不满足竞争性磋商文件要求的；</w:t>
      </w: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（八）供应商响应文件内容有与国家现行法律法规相违背的内容，或附有采购人无法接受的条件；</w:t>
      </w: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（九）法律、法规和竞争性磋商文件规定的其他无效情形。</w:t>
      </w:r>
    </w:p>
    <w:p>
      <w:pPr>
        <w:pStyle w:val="4"/>
        <w:spacing w:before="0" w:after="0" w:line="440" w:lineRule="exact"/>
        <w:rPr>
          <w:rFonts w:hint="eastAsia" w:ascii="仿宋" w:hAnsi="仿宋" w:eastAsia="仿宋" w:cs="仿宋"/>
          <w:color w:val="auto"/>
          <w:sz w:val="24"/>
          <w:szCs w:val="24"/>
          <w:highlight w:val="none"/>
        </w:rPr>
      </w:pPr>
      <w:bookmarkStart w:id="94" w:name="_Toc76462336"/>
      <w:bookmarkStart w:id="95" w:name="_Toc106030891"/>
      <w:bookmarkStart w:id="96" w:name="_Toc12244"/>
      <w:bookmarkStart w:id="97" w:name="_Toc7153"/>
      <w:r>
        <w:rPr>
          <w:rFonts w:hint="eastAsia" w:ascii="仿宋" w:hAnsi="仿宋" w:eastAsia="仿宋" w:cs="仿宋"/>
          <w:color w:val="auto"/>
          <w:sz w:val="24"/>
          <w:szCs w:val="24"/>
          <w:highlight w:val="none"/>
        </w:rPr>
        <w:t>四、采购终止</w:t>
      </w:r>
      <w:bookmarkEnd w:id="94"/>
      <w:bookmarkEnd w:id="95"/>
      <w:bookmarkEnd w:id="96"/>
      <w:bookmarkEnd w:id="97"/>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出现下列情形之一的，采购人或者采购代理机构应当终止竞争性磋商采购活动，发布项目终止公告并说明原因，重新开展采购活动：</w:t>
      </w: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（一）因情况变化，不再符合规定的竞争性磋商采购方式适用情形的；</w:t>
      </w:r>
    </w:p>
    <w:p>
      <w:pPr>
        <w:snapToGrid w:val="0"/>
        <w:spacing w:line="400" w:lineRule="exact"/>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（二）出现影响采购公正的违法、违规行为的。</w:t>
      </w:r>
    </w:p>
    <w:p>
      <w:pPr>
        <w:snapToGrid w:val="0"/>
        <w:spacing w:line="400" w:lineRule="exact"/>
        <w:ind w:firstLine="465"/>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sectPr>
          <w:footerReference r:id="rId8" w:type="default"/>
          <w:pgSz w:w="11907" w:h="16840"/>
          <w:pgMar w:top="1134" w:right="1304" w:bottom="1134" w:left="1304" w:header="624" w:footer="992" w:gutter="0"/>
          <w:pgNumType w:fmt="numberInDash"/>
          <w:cols w:space="720" w:num="1"/>
          <w:docGrid w:linePitch="312" w:charSpace="0"/>
        </w:sectPr>
      </w:pPr>
    </w:p>
    <w:p>
      <w:pPr>
        <w:pStyle w:val="3"/>
        <w:spacing w:line="360" w:lineRule="auto"/>
        <w:jc w:val="center"/>
        <w:rPr>
          <w:rFonts w:hint="eastAsia" w:ascii="仿宋" w:hAnsi="仿宋" w:eastAsia="仿宋" w:cs="仿宋"/>
          <w:color w:val="auto"/>
          <w:szCs w:val="32"/>
          <w:highlight w:val="none"/>
        </w:rPr>
      </w:pPr>
      <w:bookmarkStart w:id="98" w:name="_Toc6051"/>
      <w:bookmarkStart w:id="99" w:name="_Toc102227313"/>
      <w:r>
        <w:rPr>
          <w:rFonts w:hint="eastAsia" w:ascii="仿宋" w:hAnsi="仿宋" w:eastAsia="仿宋" w:cs="仿宋"/>
          <w:color w:val="auto"/>
          <w:szCs w:val="32"/>
          <w:highlight w:val="none"/>
        </w:rPr>
        <w:t>第五篇  供应商须知</w:t>
      </w:r>
      <w:bookmarkEnd w:id="98"/>
      <w:bookmarkEnd w:id="99"/>
    </w:p>
    <w:p>
      <w:pPr>
        <w:pStyle w:val="4"/>
        <w:spacing w:before="0" w:after="0" w:line="440" w:lineRule="exact"/>
        <w:rPr>
          <w:rFonts w:hint="eastAsia" w:ascii="仿宋" w:hAnsi="仿宋" w:eastAsia="仿宋" w:cs="仿宋"/>
          <w:color w:val="auto"/>
          <w:sz w:val="24"/>
          <w:szCs w:val="24"/>
          <w:highlight w:val="none"/>
        </w:rPr>
      </w:pPr>
      <w:bookmarkStart w:id="100" w:name="_Toc9428"/>
      <w:bookmarkStart w:id="101" w:name="_Toc342913389"/>
      <w:bookmarkStart w:id="102" w:name="_Toc27997"/>
      <w:bookmarkStart w:id="103" w:name="_Toc11478"/>
      <w:r>
        <w:rPr>
          <w:rFonts w:hint="eastAsia" w:ascii="仿宋" w:hAnsi="仿宋" w:eastAsia="仿宋" w:cs="仿宋"/>
          <w:color w:val="auto"/>
          <w:sz w:val="24"/>
          <w:szCs w:val="24"/>
          <w:highlight w:val="none"/>
        </w:rPr>
        <w:t>一、磋商费用</w:t>
      </w:r>
      <w:bookmarkEnd w:id="100"/>
      <w:bookmarkEnd w:id="101"/>
      <w:bookmarkEnd w:id="102"/>
      <w:bookmarkEnd w:id="103"/>
    </w:p>
    <w:p>
      <w:pPr>
        <w:pStyle w:val="18"/>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pPr>
        <w:pStyle w:val="4"/>
        <w:tabs>
          <w:tab w:val="left" w:pos="2640"/>
        </w:tabs>
        <w:spacing w:before="0" w:after="0" w:line="400" w:lineRule="exact"/>
        <w:rPr>
          <w:rFonts w:hint="eastAsia" w:ascii="仿宋" w:hAnsi="仿宋" w:eastAsia="仿宋" w:cs="仿宋"/>
          <w:color w:val="auto"/>
          <w:sz w:val="24"/>
          <w:szCs w:val="24"/>
          <w:highlight w:val="none"/>
        </w:rPr>
      </w:pPr>
      <w:bookmarkStart w:id="104" w:name="_Toc22764"/>
      <w:bookmarkStart w:id="105" w:name="_Toc7537"/>
      <w:bookmarkStart w:id="106" w:name="_Toc3580"/>
      <w:bookmarkStart w:id="107" w:name="_Toc342913391"/>
      <w:r>
        <w:rPr>
          <w:rFonts w:hint="eastAsia" w:ascii="仿宋" w:hAnsi="仿宋" w:eastAsia="仿宋" w:cs="仿宋"/>
          <w:color w:val="auto"/>
          <w:sz w:val="24"/>
          <w:szCs w:val="24"/>
          <w:highlight w:val="none"/>
        </w:rPr>
        <w:t>二、竞争性磋商文件</w:t>
      </w:r>
      <w:bookmarkEnd w:id="104"/>
      <w:bookmarkEnd w:id="105"/>
      <w:bookmarkEnd w:id="106"/>
      <w:bookmarkEnd w:id="107"/>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（一）竞争性磋商文件由采购邀请书、供应商须知、采购服务需求、采购商务需求、磋商程序及方法、评审标准、无效响应和采购终止、合同草案条款、响应文件编制要求七部分组成。</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（二）采购人（或采购代理机构）所作的一切有效的书面通知、修改及补充，都是竞争性磋商文件不可分割的部分。</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（三）竞争性磋商文件的解释</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bookmarkStart w:id="108" w:name="_Toc318159780"/>
      <w:bookmarkStart w:id="109" w:name="_Toc318159160"/>
      <w:bookmarkStart w:id="110" w:name="_Toc318159349"/>
      <w:bookmarkStart w:id="111" w:name="_Toc318166429"/>
      <w:r>
        <w:rPr>
          <w:rFonts w:hint="eastAsia" w:ascii="仿宋" w:hAnsi="仿宋" w:eastAsia="仿宋" w:cs="仿宋"/>
          <w:color w:val="auto"/>
          <w:sz w:val="24"/>
          <w:szCs w:val="24"/>
          <w:highlight w:val="none"/>
        </w:rPr>
        <w:t>本竞争性磋商文件中，磋商小组根据与供应商进行磋商可能实质性变动的内容为竞争性磋商文件第三、四、五篇全部内容。</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108"/>
    <w:bookmarkEnd w:id="109"/>
    <w:bookmarkEnd w:id="110"/>
    <w:bookmarkEnd w:id="111"/>
    <w:p>
      <w:pPr>
        <w:pStyle w:val="4"/>
        <w:spacing w:before="0" w:after="0" w:line="400" w:lineRule="exact"/>
        <w:rPr>
          <w:rFonts w:hint="eastAsia" w:ascii="仿宋" w:hAnsi="仿宋" w:eastAsia="仿宋" w:cs="仿宋"/>
          <w:color w:val="auto"/>
          <w:sz w:val="24"/>
          <w:szCs w:val="24"/>
          <w:highlight w:val="none"/>
        </w:rPr>
      </w:pPr>
      <w:bookmarkStart w:id="112" w:name="_Toc13417"/>
      <w:bookmarkStart w:id="113" w:name="_Toc5725"/>
      <w:bookmarkStart w:id="114" w:name="_Toc179714297"/>
      <w:bookmarkStart w:id="115" w:name="_Toc102227318"/>
      <w:bookmarkStart w:id="116" w:name="_Toc342913392"/>
      <w:bookmarkStart w:id="117" w:name="_Toc30668"/>
      <w:r>
        <w:rPr>
          <w:rFonts w:hint="eastAsia" w:ascii="仿宋" w:hAnsi="仿宋" w:eastAsia="仿宋" w:cs="仿宋"/>
          <w:color w:val="auto"/>
          <w:sz w:val="24"/>
          <w:szCs w:val="24"/>
          <w:highlight w:val="none"/>
        </w:rPr>
        <w:t>三、磋商要求</w:t>
      </w:r>
      <w:bookmarkEnd w:id="112"/>
      <w:bookmarkEnd w:id="113"/>
      <w:bookmarkEnd w:id="114"/>
      <w:bookmarkEnd w:id="115"/>
      <w:bookmarkEnd w:id="116"/>
      <w:bookmarkEnd w:id="117"/>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（一）响应文件</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1.供应商应当按照竞争性磋商文件的要求编制响应文件，并对竞争性磋商文件提出的要求和条件做出实质性响应，响应文件原则上采用软面订本，同时应编制完整的页码、目录。</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2.响应文件组成</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（二）联合体</w:t>
      </w:r>
    </w:p>
    <w:p>
      <w:pPr>
        <w:spacing w:line="4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本项目不接受联合体参与磋商。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（三）磋商有效期：响应文件及有关承诺文件有效期为提交响应文件截止时间起90天。</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（四）磋商保证金：</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（五）修正错误</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1.若供应商所递交的响应文件或最后报价中的价格出现大写金额和小写金额不一致的错误，以大写金额修正为准。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（六）提交响应文件的份数和签署</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2.响应文件按竞争性磋商文件“第七篇响应文件编制要求”要求签署或盖章。</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（七）响应文件的递交</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r>
        <w:rPr>
          <w:rFonts w:hint="eastAsia" w:ascii="仿宋" w:hAnsi="仿宋" w:eastAsia="仿宋" w:cs="仿宋"/>
          <w:color w:val="auto"/>
          <w:sz w:val="24"/>
          <w:szCs w:val="24"/>
          <w:highlight w:val="none"/>
        </w:rPr>
        <w:t>。</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（八）供应商参与人员</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各个供应商应当派1-2名代表参与磋商，至少1人应为法定代表人或具有法定代表人授权委托书的授权代表。</w:t>
      </w:r>
    </w:p>
    <w:p>
      <w:pPr>
        <w:pStyle w:val="4"/>
        <w:spacing w:before="0" w:after="0" w:line="400" w:lineRule="exact"/>
        <w:rPr>
          <w:rFonts w:hint="eastAsia" w:ascii="仿宋" w:hAnsi="仿宋" w:eastAsia="仿宋" w:cs="仿宋"/>
          <w:color w:val="auto"/>
          <w:sz w:val="24"/>
          <w:szCs w:val="24"/>
          <w:highlight w:val="none"/>
        </w:rPr>
      </w:pPr>
      <w:bookmarkStart w:id="118" w:name="_Toc6768"/>
      <w:bookmarkStart w:id="119" w:name="_Toc31056"/>
      <w:bookmarkStart w:id="120" w:name="_Toc27878"/>
      <w:r>
        <w:rPr>
          <w:rFonts w:hint="eastAsia" w:ascii="仿宋" w:hAnsi="仿宋" w:eastAsia="仿宋" w:cs="仿宋"/>
          <w:color w:val="auto"/>
          <w:sz w:val="24"/>
          <w:szCs w:val="24"/>
          <w:highlight w:val="none"/>
        </w:rPr>
        <w:t>四、成交供应商的确认和变更</w:t>
      </w:r>
      <w:bookmarkEnd w:id="118"/>
      <w:bookmarkEnd w:id="119"/>
      <w:bookmarkEnd w:id="120"/>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（一）成交供应商的确认</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（二）成交供应商的变更</w:t>
      </w:r>
    </w:p>
    <w:p>
      <w:pPr>
        <w:spacing w:line="400" w:lineRule="exact"/>
        <w:ind w:firstLine="480" w:firstLineChars="200"/>
        <w:rPr>
          <w:rFonts w:hint="eastAsia" w:ascii="仿宋" w:hAnsi="仿宋" w:eastAsia="仿宋" w:cs="仿宋"/>
          <w:color w:val="auto"/>
          <w:sz w:val="24"/>
          <w:szCs w:val="24"/>
          <w:highlight w:val="none"/>
        </w:rPr>
      </w:pPr>
      <w:bookmarkStart w:id="121" w:name="_Toc342913395"/>
      <w:bookmarkStart w:id="122" w:name="_Toc102227321"/>
      <w:r>
        <w:rPr>
          <w:rFonts w:hint="eastAsia" w:ascii="仿宋" w:hAnsi="仿宋" w:eastAsia="仿宋" w:cs="仿宋"/>
          <w:color w:val="auto"/>
          <w:sz w:val="24"/>
          <w:szCs w:val="24"/>
          <w:highlight w:val="none"/>
        </w:rPr>
        <w:t>成交供应商拒绝与采购人签订合同的，采购人可以按照评标报告推荐的成交候选供应商顺序，确定排名下一位的候选人为成交供应商，也可以重新开展政府采购活动。</w:t>
      </w:r>
    </w:p>
    <w:p>
      <w:pPr>
        <w:pStyle w:val="4"/>
        <w:spacing w:before="0" w:after="0" w:line="400" w:lineRule="exact"/>
        <w:rPr>
          <w:rFonts w:hint="eastAsia" w:ascii="仿宋" w:hAnsi="仿宋" w:eastAsia="仿宋" w:cs="仿宋"/>
          <w:color w:val="auto"/>
          <w:sz w:val="24"/>
          <w:szCs w:val="24"/>
          <w:highlight w:val="none"/>
        </w:rPr>
      </w:pPr>
      <w:bookmarkStart w:id="123" w:name="_Toc30630"/>
      <w:bookmarkStart w:id="124" w:name="_Toc20182"/>
      <w:bookmarkStart w:id="125" w:name="_Toc27588"/>
      <w:r>
        <w:rPr>
          <w:rFonts w:hint="eastAsia" w:ascii="仿宋" w:hAnsi="仿宋" w:eastAsia="仿宋" w:cs="仿宋"/>
          <w:color w:val="auto"/>
          <w:sz w:val="24"/>
          <w:szCs w:val="24"/>
          <w:highlight w:val="none"/>
        </w:rPr>
        <w:t>五、成交通知</w:t>
      </w:r>
      <w:bookmarkEnd w:id="121"/>
      <w:bookmarkEnd w:id="122"/>
      <w:bookmarkEnd w:id="123"/>
      <w:bookmarkEnd w:id="124"/>
      <w:bookmarkEnd w:id="125"/>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（一）成交供应商确定后，采购人将在重庆市交通运输委</w:t>
      </w:r>
      <w:r>
        <w:rPr>
          <w:rFonts w:hint="eastAsia" w:ascii="仿宋" w:hAnsi="仿宋" w:eastAsia="仿宋"/>
          <w:color w:val="auto"/>
          <w:sz w:val="24"/>
          <w:szCs w:val="24"/>
          <w:highlight w:val="none"/>
        </w:rPr>
        <w:t>员会</w:t>
      </w:r>
      <w:r>
        <w:rPr>
          <w:rFonts w:hint="eastAsia" w:ascii="仿宋" w:hAnsi="仿宋" w:eastAsia="仿宋" w:cs="仿宋"/>
          <w:color w:val="auto"/>
          <w:sz w:val="24"/>
          <w:szCs w:val="24"/>
          <w:highlight w:val="none"/>
        </w:rPr>
        <w:t>官方网站（http://jtj.cq.gov.cn/）上发布成交结果公告。</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（二）结果公告发出同时，采购代理机构将以书面形式发出《成交通知书》。《成交通知书》一经发出即发生法律效力。</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（三）《成交通知书》将作为签订合同的依据。</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（四）如有供应商对成交结果提出质疑的，在质疑处理完毕后发出成交通知书。</w:t>
      </w:r>
    </w:p>
    <w:p>
      <w:pPr>
        <w:pStyle w:val="4"/>
        <w:spacing w:before="0" w:after="0" w:line="400" w:lineRule="exact"/>
        <w:rPr>
          <w:rFonts w:hint="eastAsia" w:ascii="仿宋" w:hAnsi="仿宋" w:eastAsia="仿宋" w:cs="仿宋"/>
          <w:color w:val="auto"/>
          <w:sz w:val="24"/>
          <w:szCs w:val="24"/>
          <w:highlight w:val="none"/>
        </w:rPr>
      </w:pPr>
      <w:bookmarkStart w:id="126" w:name="_Toc505"/>
      <w:bookmarkStart w:id="127" w:name="_Toc8344"/>
      <w:bookmarkStart w:id="128" w:name="_Toc29999"/>
      <w:r>
        <w:rPr>
          <w:rFonts w:hint="eastAsia" w:ascii="仿宋" w:hAnsi="仿宋" w:eastAsia="仿宋" w:cs="仿宋"/>
          <w:color w:val="auto"/>
          <w:sz w:val="24"/>
          <w:szCs w:val="24"/>
          <w:highlight w:val="none"/>
        </w:rPr>
        <w:t>六、关于质疑和投诉</w:t>
      </w:r>
      <w:bookmarkEnd w:id="126"/>
      <w:bookmarkEnd w:id="127"/>
      <w:bookmarkEnd w:id="128"/>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供应商认为采购文件、采购过程和成交结果使自己的权益</w:t>
      </w:r>
      <w:r>
        <w:rPr>
          <w:rFonts w:hint="eastAsia" w:ascii="仿宋" w:hAnsi="仿宋" w:eastAsia="仿宋" w:cs="仿宋"/>
          <w:color w:val="auto"/>
          <w:sz w:val="24"/>
          <w:szCs w:val="24"/>
          <w:highlight w:val="none"/>
          <w:lang w:eastAsia="zh-CN"/>
        </w:rPr>
        <w:t>受到</w:t>
      </w:r>
      <w:bookmarkStart w:id="182" w:name="_GoBack"/>
      <w:bookmarkEnd w:id="182"/>
      <w:r>
        <w:rPr>
          <w:rFonts w:hint="eastAsia" w:ascii="仿宋" w:hAnsi="仿宋" w:eastAsia="仿宋" w:cs="仿宋"/>
          <w:color w:val="auto"/>
          <w:sz w:val="24"/>
          <w:szCs w:val="24"/>
          <w:highlight w:val="none"/>
        </w:rPr>
        <w:t>伤害的，可向采购人或采购代理机构以书面形式提出质疑。</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提出质疑的应当是参与所质疑项目采购活动的供应商。 </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1.质疑时限、内容</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供应商认为采购文件、采购过程、成交结果使自己的权益受到损害的，可以在知道或者应知其权益受到损害之日起7个工作日内，以书面形式向采购人、采购代理机构提出质疑。</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1.2供应商提出质疑应当提交质疑函和必要的证明材料，质疑函应当包括下列内容：</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1.2.1供应商的姓名或者名称、地址、邮编、联系人及联系电话；</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1.2.2质疑项目的名称、项目号以及磋商项目编号；</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1.2.3具体、明确的质疑事项和与质疑事项相关的请求；</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1.2.4事实依据；</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1.2.5必要的法律依据；</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1.2.6提出质疑的日期；</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1.2.7营业执照（或事业单位法人证书，或个体工商户营业执照或有效的自然人身份证明、组织机构代码证）复印件；</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1.2.8法定代表人授权委托书原件、法定代表人身份证复印件和其授权代表的身份证复印件（供应商为自然人的提供自然人身份证复印件）；</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1.3供应商为自然人的，质疑函应当由本人签字；供应商为法人或者其他组织的，质疑函应当由法定代表人、主要负责人，或者其授权代表签字或者盖章，并加盖公章。</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2.质疑答复</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采购人、采购代理机构应当在收到供应商的书面质疑后七个工作日内作出答复，并以书面形式通知质疑供应商和其他有关供应商。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3.1供应商应按照《政府采购质疑和投诉办法》（财政部令第94号）及相关法律法规要求，在法定质疑期内一次性提出针对同一采购程序环节的质疑。</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3.2质疑函范本可在财政部门户网站和中国政府采购网下载。</w:t>
      </w:r>
    </w:p>
    <w:p>
      <w:pPr>
        <w:pStyle w:val="4"/>
        <w:spacing w:before="0" w:after="0" w:line="400" w:lineRule="exact"/>
        <w:rPr>
          <w:rFonts w:hint="eastAsia" w:ascii="仿宋" w:hAnsi="仿宋" w:eastAsia="仿宋" w:cs="仿宋"/>
          <w:color w:val="auto"/>
          <w:sz w:val="24"/>
          <w:szCs w:val="24"/>
          <w:highlight w:val="none"/>
        </w:rPr>
      </w:pPr>
      <w:bookmarkStart w:id="129" w:name="_Toc22705"/>
      <w:bookmarkStart w:id="130" w:name="_Toc24195"/>
      <w:bookmarkStart w:id="131" w:name="_Toc18348"/>
      <w:r>
        <w:rPr>
          <w:rFonts w:hint="eastAsia" w:ascii="仿宋" w:hAnsi="仿宋" w:eastAsia="仿宋" w:cs="仿宋"/>
          <w:color w:val="auto"/>
          <w:sz w:val="24"/>
          <w:szCs w:val="24"/>
          <w:highlight w:val="none"/>
        </w:rPr>
        <w:t>七、采购代理服务费</w:t>
      </w:r>
      <w:bookmarkEnd w:id="129"/>
      <w:bookmarkEnd w:id="130"/>
      <w:bookmarkEnd w:id="131"/>
    </w:p>
    <w:p>
      <w:pPr>
        <w:spacing w:line="400" w:lineRule="exact"/>
        <w:ind w:firstLine="480" w:firstLineChars="200"/>
        <w:rPr>
          <w:rFonts w:hint="eastAsia" w:ascii="仿宋" w:hAnsi="仿宋" w:eastAsia="仿宋" w:cs="仿宋"/>
          <w:color w:val="auto"/>
          <w:sz w:val="24"/>
          <w:highlight w:val="none"/>
        </w:rPr>
      </w:pPr>
      <w:bookmarkStart w:id="132" w:name="_Toc102227322"/>
      <w:bookmarkStart w:id="133" w:name="_Toc342913396"/>
      <w:bookmarkStart w:id="134" w:name="_Toc12789059"/>
      <w:bookmarkStart w:id="135" w:name="_Toc11641055"/>
      <w:r>
        <w:rPr>
          <w:rFonts w:hint="eastAsia" w:ascii="仿宋" w:hAnsi="仿宋" w:eastAsia="仿宋" w:cs="仿宋"/>
          <w:color w:val="auto"/>
          <w:sz w:val="24"/>
          <w:highlight w:val="none"/>
        </w:rPr>
        <w:t>（一）供应商成交后向采购代理机构缴纳采购代理服务费（由成交供应商在领取成交通知书之前一次性支付给采购代理机构），本次采购代理服务费为7000元整。</w:t>
      </w:r>
    </w:p>
    <w:p>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（二）采购代理服务费缴纳账号：</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户  名：重庆国际投资咨询集团有限公司</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开户行：兴业银行重庆分行营业部</w:t>
      </w:r>
    </w:p>
    <w:p>
      <w:pPr>
        <w:snapToGrid w:val="0"/>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账  号：346010100105300879</w:t>
      </w:r>
    </w:p>
    <w:p>
      <w:pPr>
        <w:snapToGrid w:val="0"/>
        <w:spacing w:line="400" w:lineRule="exact"/>
        <w:ind w:firstLine="560" w:firstLineChars="200"/>
        <w:rPr>
          <w:rFonts w:hint="eastAsia"/>
          <w:color w:val="auto"/>
          <w:highlight w:val="none"/>
        </w:rPr>
      </w:pPr>
    </w:p>
    <w:p>
      <w:pPr>
        <w:pStyle w:val="4"/>
        <w:spacing w:before="0" w:after="0" w:line="400" w:lineRule="exact"/>
        <w:rPr>
          <w:rFonts w:hint="eastAsia" w:ascii="仿宋" w:hAnsi="仿宋" w:eastAsia="仿宋" w:cs="仿宋"/>
          <w:color w:val="auto"/>
          <w:sz w:val="24"/>
          <w:szCs w:val="24"/>
          <w:highlight w:val="none"/>
        </w:rPr>
      </w:pPr>
      <w:bookmarkStart w:id="136" w:name="_Toc23410"/>
      <w:bookmarkStart w:id="137" w:name="_Toc31110"/>
      <w:bookmarkStart w:id="138" w:name="_Toc23035"/>
      <w:r>
        <w:rPr>
          <w:rFonts w:hint="eastAsia" w:ascii="仿宋" w:hAnsi="仿宋" w:eastAsia="仿宋" w:cs="仿宋"/>
          <w:color w:val="auto"/>
          <w:sz w:val="24"/>
          <w:szCs w:val="24"/>
          <w:highlight w:val="none"/>
        </w:rPr>
        <w:t>八、签订</w:t>
      </w:r>
      <w:bookmarkEnd w:id="132"/>
      <w:r>
        <w:rPr>
          <w:rFonts w:hint="eastAsia" w:ascii="仿宋" w:hAnsi="仿宋" w:eastAsia="仿宋" w:cs="仿宋"/>
          <w:color w:val="auto"/>
          <w:sz w:val="24"/>
          <w:szCs w:val="24"/>
          <w:highlight w:val="none"/>
        </w:rPr>
        <w:t>合同</w:t>
      </w:r>
      <w:bookmarkEnd w:id="133"/>
      <w:bookmarkEnd w:id="136"/>
      <w:bookmarkEnd w:id="137"/>
      <w:bookmarkEnd w:id="138"/>
    </w:p>
    <w:p>
      <w:pPr>
        <w:spacing w:line="400" w:lineRule="exact"/>
        <w:ind w:firstLine="480" w:firstLineChars="200"/>
        <w:rPr>
          <w:rFonts w:hint="eastAsia" w:ascii="仿宋" w:hAnsi="仿宋" w:eastAsia="仿宋" w:cs="仿宋"/>
          <w:color w:val="auto"/>
          <w:sz w:val="24"/>
          <w:szCs w:val="24"/>
          <w:highlight w:val="none"/>
        </w:rPr>
      </w:pPr>
      <w:bookmarkStart w:id="139" w:name="_Toc14780"/>
      <w:r>
        <w:rPr>
          <w:rFonts w:hint="eastAsia" w:ascii="仿宋" w:hAnsi="仿宋" w:eastAsia="仿宋" w:cs="仿宋"/>
          <w:color w:val="auto"/>
          <w:sz w:val="24"/>
          <w:szCs w:val="24"/>
          <w:highlight w:val="none"/>
        </w:rPr>
        <w:t>（一）采购人应当自成交通知书发出之日起二十日内，按照竞争性磋商文件和成交供应商响应文件的约定，与成交供应商签订书面合同。所签订的合同不得对竞争性磋商文件和供应商的响应文件作实质性修改。</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（二）竞争性磋商文件、供应商的响应文件及澄清文件等，均为签订采购合同的依据。</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（三）合同生效条款由供需双方约定，法律、行政法规规定应当办理批准、登记等手续后生效的合同，依照其规定。</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（四）合同按照采购人单位要求适用的合同格式版本。</w:t>
      </w:r>
    </w:p>
    <w:bookmarkEnd w:id="134"/>
    <w:bookmarkEnd w:id="135"/>
    <w:bookmarkEnd w:id="139"/>
    <w:p>
      <w:pPr>
        <w:pStyle w:val="3"/>
        <w:spacing w:before="0" w:after="0" w:line="360" w:lineRule="auto"/>
        <w:jc w:val="center"/>
        <w:rPr>
          <w:rFonts w:hint="eastAsia" w:ascii="仿宋" w:hAnsi="仿宋" w:eastAsia="仿宋" w:cs="仿宋"/>
          <w:color w:val="auto"/>
          <w:sz w:val="24"/>
          <w:szCs w:val="24"/>
          <w:highlight w:val="none"/>
        </w:rPr>
        <w:sectPr>
          <w:footerReference r:id="rId9" w:type="default"/>
          <w:footerReference r:id="rId10" w:type="even"/>
          <w:pgSz w:w="11907" w:h="16840"/>
          <w:pgMar w:top="1134" w:right="1304" w:bottom="1134" w:left="1304" w:header="624" w:footer="992" w:gutter="0"/>
          <w:pgNumType w:fmt="numberInDash"/>
          <w:cols w:space="720" w:num="1"/>
          <w:docGrid w:linePitch="312" w:charSpace="0"/>
        </w:sectPr>
      </w:pPr>
    </w:p>
    <w:p>
      <w:pPr>
        <w:pStyle w:val="11"/>
        <w:tabs>
          <w:tab w:val="right" w:leader="dot" w:pos="9412"/>
        </w:tabs>
        <w:ind w:left="560"/>
        <w:rPr>
          <w:rFonts w:hint="eastAsia" w:ascii="仿宋" w:hAnsi="仿宋" w:eastAsia="仿宋" w:cs="仿宋"/>
          <w:b/>
          <w:color w:val="auto"/>
          <w:szCs w:val="32"/>
          <w:highlight w:val="none"/>
        </w:rPr>
      </w:pPr>
      <w:bookmarkStart w:id="140" w:name="_Hlt41879464"/>
      <w:bookmarkEnd w:id="140"/>
      <w:bookmarkStart w:id="141" w:name="_Toc35279474"/>
      <w:bookmarkStart w:id="142" w:name="_Toc12789072"/>
    </w:p>
    <w:bookmarkEnd w:id="141"/>
    <w:p>
      <w:pPr>
        <w:pStyle w:val="3"/>
        <w:spacing w:before="0" w:after="0" w:line="360" w:lineRule="auto"/>
        <w:jc w:val="center"/>
        <w:rPr>
          <w:rFonts w:hint="eastAsia" w:ascii="仿宋" w:hAnsi="仿宋" w:eastAsia="仿宋" w:cs="仿宋"/>
          <w:bCs/>
          <w:color w:val="auto"/>
          <w:sz w:val="36"/>
          <w:szCs w:val="30"/>
          <w:highlight w:val="none"/>
        </w:rPr>
      </w:pPr>
      <w:bookmarkStart w:id="143" w:name="_Toc10409"/>
      <w:r>
        <w:rPr>
          <w:rFonts w:hint="eastAsia" w:ascii="仿宋" w:hAnsi="仿宋" w:eastAsia="仿宋" w:cs="仿宋"/>
          <w:bCs/>
          <w:color w:val="auto"/>
          <w:sz w:val="36"/>
          <w:szCs w:val="30"/>
          <w:highlight w:val="none"/>
        </w:rPr>
        <w:t>第六篇  合同草案条款</w:t>
      </w:r>
      <w:bookmarkEnd w:id="143"/>
    </w:p>
    <w:p>
      <w:pPr>
        <w:spacing w:line="360" w:lineRule="auto"/>
        <w:rPr>
          <w:rFonts w:hint="eastAsia" w:ascii="仿宋" w:hAnsi="仿宋" w:eastAsia="仿宋" w:cs="仿宋"/>
          <w:b/>
          <w:color w:val="auto"/>
          <w:szCs w:val="28"/>
          <w:highlight w:val="none"/>
          <w:lang w:eastAsia="zh-CN"/>
        </w:rPr>
      </w:pPr>
      <w:r>
        <w:rPr>
          <w:rFonts w:hint="eastAsia" w:ascii="仿宋" w:hAnsi="仿宋" w:eastAsia="仿宋"/>
          <w:b/>
          <w:color w:val="auto"/>
          <w:szCs w:val="28"/>
          <w:highlight w:val="none"/>
        </w:rPr>
        <w:t>项目名称：</w:t>
      </w:r>
      <w:r>
        <w:rPr>
          <w:rFonts w:hint="eastAsia" w:ascii="仿宋" w:hAnsi="仿宋" w:eastAsia="仿宋" w:cs="仿宋"/>
          <w:b/>
          <w:bCs/>
          <w:color w:val="auto"/>
          <w:szCs w:val="28"/>
          <w:highlight w:val="none"/>
          <w:lang w:eastAsia="zh-CN"/>
        </w:rPr>
        <w:t>重庆市高速公路养护管理年度监督检查</w:t>
      </w:r>
    </w:p>
    <w:p>
      <w:pPr>
        <w:spacing w:line="360" w:lineRule="auto"/>
        <w:rPr>
          <w:rFonts w:ascii="仿宋" w:hAnsi="仿宋" w:eastAsia="仿宋"/>
          <w:b/>
          <w:color w:val="auto"/>
          <w:szCs w:val="28"/>
          <w:highlight w:val="none"/>
        </w:rPr>
      </w:pPr>
      <w:r>
        <w:rPr>
          <w:rFonts w:hint="eastAsia" w:ascii="仿宋" w:hAnsi="仿宋" w:eastAsia="仿宋"/>
          <w:b/>
          <w:color w:val="auto"/>
          <w:szCs w:val="28"/>
          <w:highlight w:val="none"/>
        </w:rPr>
        <w:t>采购计划编号：</w:t>
      </w:r>
    </w:p>
    <w:p>
      <w:pPr>
        <w:spacing w:line="360" w:lineRule="auto"/>
        <w:rPr>
          <w:rFonts w:ascii="仿宋" w:hAnsi="仿宋" w:eastAsia="仿宋"/>
          <w:b/>
          <w:color w:val="auto"/>
          <w:szCs w:val="28"/>
          <w:highlight w:val="none"/>
        </w:rPr>
      </w:pPr>
      <w:r>
        <w:rPr>
          <w:rFonts w:hint="eastAsia" w:ascii="仿宋" w:hAnsi="仿宋" w:eastAsia="仿宋"/>
          <w:b/>
          <w:color w:val="auto"/>
          <w:szCs w:val="28"/>
          <w:highlight w:val="none"/>
        </w:rPr>
        <w:t>合同</w:t>
      </w:r>
      <w:r>
        <w:rPr>
          <w:rFonts w:ascii="仿宋" w:hAnsi="仿宋" w:eastAsia="仿宋"/>
          <w:b/>
          <w:color w:val="auto"/>
          <w:szCs w:val="28"/>
          <w:highlight w:val="none"/>
        </w:rPr>
        <w:t>编号</w:t>
      </w:r>
      <w:r>
        <w:rPr>
          <w:rFonts w:hint="eastAsia" w:ascii="仿宋" w:hAnsi="仿宋" w:eastAsia="仿宋"/>
          <w:b/>
          <w:color w:val="auto"/>
          <w:szCs w:val="28"/>
          <w:highlight w:val="none"/>
        </w:rPr>
        <w:t>：</w:t>
      </w:r>
    </w:p>
    <w:p>
      <w:pPr>
        <w:spacing w:line="360" w:lineRule="auto"/>
        <w:jc w:val="left"/>
        <w:rPr>
          <w:rFonts w:ascii="仿宋" w:hAnsi="仿宋" w:eastAsia="仿宋"/>
          <w:b/>
          <w:color w:val="auto"/>
          <w:szCs w:val="28"/>
          <w:highlight w:val="none"/>
        </w:rPr>
      </w:pPr>
    </w:p>
    <w:p>
      <w:pPr>
        <w:spacing w:line="360" w:lineRule="auto"/>
        <w:jc w:val="left"/>
        <w:rPr>
          <w:rFonts w:ascii="仿宋" w:hAnsi="仿宋" w:eastAsia="仿宋"/>
          <w:b/>
          <w:color w:val="auto"/>
          <w:szCs w:val="28"/>
          <w:highlight w:val="none"/>
        </w:rPr>
      </w:pPr>
    </w:p>
    <w:p>
      <w:pPr>
        <w:spacing w:line="360" w:lineRule="auto"/>
        <w:jc w:val="left"/>
        <w:rPr>
          <w:rFonts w:ascii="仿宋" w:hAnsi="仿宋" w:eastAsia="仿宋"/>
          <w:b/>
          <w:color w:val="auto"/>
          <w:szCs w:val="28"/>
          <w:highlight w:val="none"/>
        </w:rPr>
      </w:pPr>
    </w:p>
    <w:p>
      <w:pPr>
        <w:spacing w:line="360" w:lineRule="auto"/>
        <w:jc w:val="left"/>
        <w:rPr>
          <w:rFonts w:ascii="仿宋" w:hAnsi="仿宋" w:eastAsia="仿宋"/>
          <w:b/>
          <w:color w:val="auto"/>
          <w:szCs w:val="28"/>
          <w:highlight w:val="none"/>
        </w:rPr>
      </w:pPr>
    </w:p>
    <w:p>
      <w:pPr>
        <w:spacing w:line="360" w:lineRule="auto"/>
        <w:jc w:val="left"/>
        <w:rPr>
          <w:rFonts w:ascii="仿宋" w:hAnsi="仿宋" w:eastAsia="仿宋"/>
          <w:b/>
          <w:color w:val="auto"/>
          <w:szCs w:val="28"/>
          <w:highlight w:val="none"/>
        </w:rPr>
      </w:pPr>
    </w:p>
    <w:p>
      <w:pPr>
        <w:spacing w:line="360" w:lineRule="auto"/>
        <w:jc w:val="left"/>
        <w:rPr>
          <w:rFonts w:ascii="仿宋" w:hAnsi="仿宋" w:eastAsia="仿宋"/>
          <w:b/>
          <w:color w:val="auto"/>
          <w:szCs w:val="28"/>
          <w:highlight w:val="none"/>
        </w:rPr>
      </w:pPr>
    </w:p>
    <w:p>
      <w:pPr>
        <w:spacing w:line="360" w:lineRule="auto"/>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服务合同</w:t>
      </w:r>
    </w:p>
    <w:p>
      <w:pPr>
        <w:spacing w:line="360" w:lineRule="auto"/>
        <w:jc w:val="center"/>
        <w:rPr>
          <w:rFonts w:ascii="仿宋" w:hAnsi="仿宋" w:eastAsia="仿宋"/>
          <w:b/>
          <w:color w:val="auto"/>
          <w:szCs w:val="28"/>
          <w:highlight w:val="none"/>
        </w:rPr>
      </w:pPr>
    </w:p>
    <w:p>
      <w:pPr>
        <w:spacing w:line="360" w:lineRule="auto"/>
        <w:jc w:val="center"/>
        <w:rPr>
          <w:rFonts w:hint="eastAsia" w:ascii="仿宋" w:hAnsi="仿宋" w:eastAsia="仿宋"/>
          <w:b/>
          <w:color w:val="auto"/>
          <w:szCs w:val="28"/>
          <w:highlight w:val="none"/>
        </w:rPr>
      </w:pPr>
    </w:p>
    <w:p>
      <w:pPr>
        <w:spacing w:line="360" w:lineRule="auto"/>
        <w:jc w:val="center"/>
        <w:rPr>
          <w:rFonts w:ascii="仿宋" w:hAnsi="仿宋" w:eastAsia="仿宋"/>
          <w:b/>
          <w:color w:val="auto"/>
          <w:szCs w:val="28"/>
          <w:highlight w:val="none"/>
        </w:rPr>
      </w:pPr>
    </w:p>
    <w:p>
      <w:pPr>
        <w:spacing w:line="360" w:lineRule="auto"/>
        <w:jc w:val="center"/>
        <w:rPr>
          <w:rFonts w:ascii="仿宋" w:hAnsi="仿宋" w:eastAsia="仿宋"/>
          <w:b/>
          <w:color w:val="auto"/>
          <w:szCs w:val="28"/>
          <w:highlight w:val="none"/>
        </w:rPr>
      </w:pPr>
    </w:p>
    <w:p>
      <w:pPr>
        <w:spacing w:line="360" w:lineRule="auto"/>
        <w:jc w:val="center"/>
        <w:rPr>
          <w:rFonts w:ascii="仿宋" w:hAnsi="仿宋" w:eastAsia="仿宋"/>
          <w:b/>
          <w:color w:val="auto"/>
          <w:szCs w:val="28"/>
          <w:highlight w:val="none"/>
        </w:rPr>
      </w:pPr>
    </w:p>
    <w:p>
      <w:pPr>
        <w:spacing w:line="360" w:lineRule="auto"/>
        <w:jc w:val="center"/>
        <w:rPr>
          <w:rFonts w:ascii="仿宋" w:hAnsi="仿宋" w:eastAsia="仿宋"/>
          <w:b/>
          <w:color w:val="auto"/>
          <w:szCs w:val="28"/>
          <w:highlight w:val="none"/>
        </w:rPr>
      </w:pPr>
    </w:p>
    <w:p>
      <w:pPr>
        <w:spacing w:line="360" w:lineRule="auto"/>
        <w:rPr>
          <w:rFonts w:ascii="仿宋" w:hAnsi="仿宋" w:eastAsia="仿宋"/>
          <w:b/>
          <w:color w:val="auto"/>
          <w:szCs w:val="28"/>
          <w:highlight w:val="none"/>
        </w:rPr>
      </w:pPr>
    </w:p>
    <w:p>
      <w:pPr>
        <w:spacing w:line="360" w:lineRule="auto"/>
        <w:jc w:val="center"/>
        <w:rPr>
          <w:rFonts w:ascii="仿宋" w:hAnsi="仿宋" w:eastAsia="仿宋"/>
          <w:color w:val="auto"/>
          <w:szCs w:val="28"/>
          <w:highlight w:val="none"/>
        </w:rPr>
      </w:pPr>
    </w:p>
    <w:p>
      <w:pPr>
        <w:spacing w:line="360" w:lineRule="auto"/>
        <w:ind w:firstLine="562" w:firstLineChars="200"/>
        <w:rPr>
          <w:rFonts w:ascii="仿宋" w:hAnsi="仿宋" w:eastAsia="仿宋"/>
          <w:b/>
          <w:color w:val="auto"/>
          <w:szCs w:val="28"/>
          <w:highlight w:val="none"/>
        </w:rPr>
      </w:pPr>
      <w:r>
        <w:rPr>
          <w:rFonts w:hint="eastAsia" w:ascii="仿宋" w:hAnsi="仿宋" w:eastAsia="仿宋"/>
          <w:b/>
          <w:color w:val="auto"/>
          <w:szCs w:val="28"/>
          <w:highlight w:val="none"/>
        </w:rPr>
        <w:t>采购人（甲方）：重庆市交通运输委员会</w:t>
      </w:r>
    </w:p>
    <w:p>
      <w:pPr>
        <w:spacing w:line="360" w:lineRule="auto"/>
        <w:ind w:firstLine="562" w:firstLineChars="200"/>
        <w:rPr>
          <w:rFonts w:ascii="仿宋" w:hAnsi="仿宋" w:eastAsia="仿宋"/>
          <w:b/>
          <w:color w:val="auto"/>
          <w:szCs w:val="28"/>
          <w:highlight w:val="none"/>
        </w:rPr>
      </w:pPr>
      <w:r>
        <w:rPr>
          <w:rFonts w:hint="eastAsia" w:ascii="仿宋" w:hAnsi="仿宋" w:eastAsia="仿宋"/>
          <w:b/>
          <w:color w:val="auto"/>
          <w:szCs w:val="28"/>
          <w:highlight w:val="none"/>
        </w:rPr>
        <w:t xml:space="preserve">供应商（乙方）：                     </w:t>
      </w:r>
    </w:p>
    <w:p>
      <w:pPr>
        <w:spacing w:line="360" w:lineRule="auto"/>
        <w:ind w:firstLine="3072" w:firstLineChars="1093"/>
        <w:rPr>
          <w:rFonts w:hint="eastAsia" w:ascii="仿宋" w:hAnsi="仿宋" w:eastAsia="仿宋"/>
          <w:b/>
          <w:color w:val="auto"/>
          <w:szCs w:val="28"/>
          <w:highlight w:val="none"/>
        </w:rPr>
      </w:pPr>
    </w:p>
    <w:p>
      <w:pPr>
        <w:spacing w:line="360" w:lineRule="auto"/>
        <w:ind w:firstLine="562" w:firstLineChars="200"/>
        <w:rPr>
          <w:rFonts w:hint="eastAsia" w:ascii="仿宋" w:hAnsi="仿宋" w:eastAsia="仿宋" w:cs="仿宋"/>
          <w:color w:val="auto"/>
          <w:sz w:val="24"/>
          <w:szCs w:val="24"/>
          <w:highlight w:val="none"/>
        </w:rPr>
      </w:pPr>
      <w:r>
        <w:rPr>
          <w:rFonts w:hint="eastAsia" w:ascii="仿宋" w:hAnsi="仿宋" w:eastAsia="仿宋"/>
          <w:b/>
          <w:color w:val="auto"/>
          <w:szCs w:val="28"/>
          <w:highlight w:val="none"/>
        </w:rPr>
        <w:t>签订时间：     年   月   日</w:t>
      </w:r>
      <w:r>
        <w:rPr>
          <w:rFonts w:ascii="仿宋" w:hAnsi="仿宋" w:eastAsia="仿宋"/>
          <w:b/>
          <w:color w:val="auto"/>
          <w:szCs w:val="28"/>
          <w:highlight w:val="none"/>
        </w:rPr>
        <w:br w:type="column"/>
      </w:r>
      <w:r>
        <w:rPr>
          <w:rFonts w:hint="eastAsia" w:ascii="仿宋" w:hAnsi="仿宋" w:eastAsia="仿宋"/>
          <w:b/>
          <w:color w:val="auto"/>
          <w:szCs w:val="28"/>
          <w:highlight w:val="none"/>
        </w:rPr>
        <w:t xml:space="preserve">  </w:t>
      </w:r>
      <w:r>
        <w:rPr>
          <w:rFonts w:hint="eastAsia" w:ascii="仿宋" w:hAnsi="仿宋" w:eastAsia="仿宋" w:cs="仿宋"/>
          <w:color w:val="auto"/>
          <w:kern w:val="0"/>
          <w:sz w:val="24"/>
          <w:szCs w:val="24"/>
          <w:highlight w:val="none"/>
        </w:rPr>
        <w:t>甲方委托乙方承担</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重庆市高速公路养护管理年度监督检查</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（以下简称“本项目”）工作，依据《中华人民共和国民法典》有关规定，经双方协商一致，签订本合同。</w:t>
      </w:r>
    </w:p>
    <w:p>
      <w:pPr>
        <w:snapToGrid w:val="0"/>
        <w:spacing w:line="360" w:lineRule="auto"/>
        <w:ind w:firstLine="482" w:firstLineChars="200"/>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第一条</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工作内容、要求和提交成果的形式</w:t>
      </w:r>
    </w:p>
    <w:p>
      <w:pPr>
        <w:snapToGrid w:val="0"/>
        <w:spacing w:line="360" w:lineRule="auto"/>
        <w:ind w:firstLine="482" w:firstLineChars="200"/>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（一）工作内容</w:t>
      </w:r>
    </w:p>
    <w:p>
      <w:pPr>
        <w:snapToGrid w:val="0"/>
        <w:spacing w:line="360" w:lineRule="auto"/>
        <w:ind w:firstLine="480" w:firstLineChars="200"/>
        <w:outlineLvl w:val="1"/>
        <w:rPr>
          <w:rFonts w:hint="eastAsia" w:ascii="仿宋" w:hAnsi="仿宋" w:eastAsia="仿宋" w:cs="仿宋"/>
          <w:color w:val="auto"/>
          <w:sz w:val="24"/>
          <w:szCs w:val="24"/>
          <w:highlight w:val="none"/>
        </w:rPr>
      </w:pPr>
      <w:r>
        <w:rPr>
          <w:rFonts w:hint="default" w:ascii="Times New Roman" w:hAnsi="Times New Roman" w:eastAsia="仿宋" w:cs="Times New Roman"/>
          <w:color w:val="auto"/>
          <w:sz w:val="24"/>
          <w:szCs w:val="24"/>
          <w:highlight w:val="none"/>
        </w:rPr>
        <w:t>按照</w:t>
      </w:r>
      <w:r>
        <w:rPr>
          <w:rFonts w:hint="eastAsia" w:ascii="Times New Roman" w:hAnsi="Times New Roman" w:eastAsia="仿宋" w:cs="Times New Roman"/>
          <w:color w:val="auto"/>
          <w:sz w:val="24"/>
          <w:szCs w:val="24"/>
          <w:highlight w:val="none"/>
          <w:lang w:val="en-US" w:eastAsia="zh-CN"/>
        </w:rPr>
        <w:t>甲方</w:t>
      </w:r>
      <w:r>
        <w:rPr>
          <w:rFonts w:hint="default" w:ascii="Times New Roman" w:hAnsi="Times New Roman" w:eastAsia="仿宋" w:cs="Times New Roman"/>
          <w:color w:val="auto"/>
          <w:sz w:val="24"/>
          <w:szCs w:val="24"/>
          <w:highlight w:val="none"/>
        </w:rPr>
        <w:t>的具体工作需求推进，对重庆市高速公路结构物养护管理状况：高速公路结构物受力部位和结构易损构件、复查和检测养护管理工作中发现的重大问题；养护管理单位管养状况：高速公路经营管理单位履行高速公路运营管理主体责任情况，包括高速公路养护、经营管理、保障通行、服务质量等管养状况进行监督检查。</w:t>
      </w:r>
    </w:p>
    <w:p>
      <w:pPr>
        <w:snapToGrid w:val="0"/>
        <w:spacing w:line="360" w:lineRule="auto"/>
        <w:ind w:firstLine="482" w:firstLineChars="200"/>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（二）工作要求</w:t>
      </w:r>
    </w:p>
    <w:p>
      <w:pPr>
        <w:snapToGrid w:val="0"/>
        <w:spacing w:line="360" w:lineRule="auto"/>
        <w:ind w:firstLine="480" w:firstLineChars="200"/>
        <w:outlineLvl w:val="1"/>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1、在协议有效期内，严格按照</w:t>
      </w:r>
      <w:r>
        <w:rPr>
          <w:rFonts w:hint="eastAsia" w:ascii="Times New Roman" w:hAnsi="Times New Roman" w:eastAsia="仿宋" w:cs="Times New Roman"/>
          <w:color w:val="auto"/>
          <w:sz w:val="24"/>
          <w:szCs w:val="24"/>
          <w:highlight w:val="none"/>
          <w:lang w:val="en-US" w:eastAsia="zh-CN"/>
        </w:rPr>
        <w:t>甲方</w:t>
      </w:r>
      <w:r>
        <w:rPr>
          <w:rFonts w:hint="default" w:ascii="Times New Roman" w:hAnsi="Times New Roman" w:eastAsia="仿宋" w:cs="Times New Roman"/>
          <w:color w:val="auto"/>
          <w:kern w:val="0"/>
          <w:sz w:val="24"/>
          <w:szCs w:val="24"/>
          <w:highlight w:val="none"/>
        </w:rPr>
        <w:t>的要求及工作计划，开展重庆市高速公路养护管理年度监督检查工作，出具年度监督检查报告1份。</w:t>
      </w:r>
    </w:p>
    <w:p>
      <w:pPr>
        <w:snapToGrid w:val="0"/>
        <w:spacing w:line="360" w:lineRule="auto"/>
        <w:ind w:firstLine="480" w:firstLineChars="200"/>
        <w:outlineLvl w:val="1"/>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2、监督检查高速公路管理养护单位不少于5个。</w:t>
      </w:r>
    </w:p>
    <w:p>
      <w:pPr>
        <w:snapToGrid w:val="0"/>
        <w:spacing w:line="360" w:lineRule="auto"/>
        <w:ind w:firstLine="480" w:firstLineChars="200"/>
        <w:outlineLvl w:val="1"/>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3、严格遵守各项廉政规定和工作纪律。</w:t>
      </w:r>
    </w:p>
    <w:p>
      <w:pPr>
        <w:snapToGrid w:val="0"/>
        <w:spacing w:line="360" w:lineRule="auto"/>
        <w:ind w:firstLine="480" w:firstLineChars="200"/>
        <w:outlineLvl w:val="1"/>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rPr>
        <w:t>4、本项目不得部分或全部转让或分包。</w:t>
      </w:r>
    </w:p>
    <w:p>
      <w:pPr>
        <w:snapToGrid w:val="0"/>
        <w:spacing w:line="360" w:lineRule="auto"/>
        <w:ind w:firstLine="480" w:firstLineChars="200"/>
        <w:outlineLvl w:val="1"/>
        <w:rPr>
          <w:rFonts w:hint="eastAsia" w:ascii="仿宋" w:hAnsi="仿宋" w:eastAsia="仿宋" w:cs="仿宋"/>
          <w:color w:val="auto"/>
          <w:kern w:val="0"/>
          <w:sz w:val="24"/>
          <w:szCs w:val="24"/>
          <w:highlight w:val="none"/>
        </w:rPr>
      </w:pPr>
      <w:r>
        <w:rPr>
          <w:rFonts w:hint="default" w:ascii="Times New Roman" w:hAnsi="Times New Roman" w:eastAsia="仿宋" w:cs="Times New Roman"/>
          <w:color w:val="auto"/>
          <w:kern w:val="0"/>
          <w:sz w:val="24"/>
          <w:szCs w:val="24"/>
          <w:highlight w:val="none"/>
        </w:rPr>
        <w:t>5、应为</w:t>
      </w:r>
      <w:r>
        <w:rPr>
          <w:rFonts w:hint="eastAsia" w:ascii="Times New Roman" w:hAnsi="Times New Roman" w:eastAsia="仿宋" w:cs="Times New Roman"/>
          <w:color w:val="auto"/>
          <w:sz w:val="24"/>
          <w:szCs w:val="24"/>
          <w:highlight w:val="none"/>
          <w:lang w:val="en-US" w:eastAsia="zh-CN"/>
        </w:rPr>
        <w:t>甲方</w:t>
      </w:r>
      <w:r>
        <w:rPr>
          <w:rFonts w:hint="default" w:ascii="Times New Roman" w:hAnsi="Times New Roman" w:eastAsia="仿宋" w:cs="Times New Roman"/>
          <w:color w:val="auto"/>
          <w:kern w:val="0"/>
          <w:sz w:val="24"/>
          <w:szCs w:val="24"/>
          <w:highlight w:val="none"/>
        </w:rPr>
        <w:t>配备具有较高专业水准、丰富从业经验、勤勉尽责的专门项目团队，完成</w:t>
      </w:r>
      <w:r>
        <w:rPr>
          <w:rFonts w:hint="eastAsia" w:ascii="Times New Roman" w:hAnsi="Times New Roman" w:eastAsia="仿宋" w:cs="Times New Roman"/>
          <w:color w:val="auto"/>
          <w:sz w:val="24"/>
          <w:szCs w:val="24"/>
          <w:highlight w:val="none"/>
          <w:lang w:val="en-US" w:eastAsia="zh-CN"/>
        </w:rPr>
        <w:t>甲方</w:t>
      </w:r>
      <w:r>
        <w:rPr>
          <w:rFonts w:hint="default" w:ascii="Times New Roman" w:hAnsi="Times New Roman" w:eastAsia="仿宋" w:cs="Times New Roman"/>
          <w:color w:val="auto"/>
          <w:kern w:val="0"/>
          <w:sz w:val="24"/>
          <w:szCs w:val="24"/>
          <w:highlight w:val="none"/>
        </w:rPr>
        <w:t>的高速公路养护管理年度监督检查事宜，其成员应相对稳定。如团队成员发生调整时，成交供应商应及时告知采购人，同时保证，此调整不得影响其服务的质量和效率。</w:t>
      </w:r>
    </w:p>
    <w:p>
      <w:pPr>
        <w:snapToGrid w:val="0"/>
        <w:spacing w:line="360" w:lineRule="auto"/>
        <w:ind w:firstLine="482" w:firstLineChars="200"/>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（三）成果提交形式</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default" w:ascii="Times New Roman" w:hAnsi="Times New Roman" w:eastAsia="仿宋" w:cs="Times New Roman"/>
          <w:color w:val="auto"/>
          <w:kern w:val="0"/>
          <w:sz w:val="24"/>
          <w:szCs w:val="24"/>
          <w:highlight w:val="none"/>
        </w:rPr>
        <w:t>高速公路养护管理年度监督检查报告1份</w:t>
      </w:r>
      <w:r>
        <w:rPr>
          <w:rFonts w:hint="eastAsia" w:ascii="仿宋" w:hAnsi="仿宋" w:eastAsia="仿宋" w:cs="仿宋"/>
          <w:bCs/>
          <w:color w:val="auto"/>
          <w:sz w:val="24"/>
          <w:szCs w:val="24"/>
          <w:highlight w:val="none"/>
        </w:rPr>
        <w:t>。（以加盖公章的电子版形式提交）</w:t>
      </w:r>
    </w:p>
    <w:p>
      <w:pPr>
        <w:snapToGrid w:val="0"/>
        <w:spacing w:line="360" w:lineRule="auto"/>
        <w:ind w:firstLine="482" w:firstLineChars="200"/>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第二条</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履行地点、方式和期限</w:t>
      </w:r>
    </w:p>
    <w:p>
      <w:pPr>
        <w:snapToGrid w:val="0"/>
        <w:spacing w:line="360" w:lineRule="auto"/>
        <w:ind w:firstLine="482" w:firstLineChars="200"/>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（一）履行地点</w:t>
      </w:r>
      <w:r>
        <w:rPr>
          <w:rFonts w:hint="eastAsia" w:ascii="仿宋" w:hAnsi="仿宋" w:eastAsia="仿宋" w:cs="仿宋"/>
          <w:bCs/>
          <w:color w:val="auto"/>
          <w:sz w:val="24"/>
          <w:szCs w:val="24"/>
          <w:highlight w:val="none"/>
        </w:rPr>
        <w:t>：重庆市内</w:t>
      </w:r>
      <w:r>
        <w:rPr>
          <w:rFonts w:hint="eastAsia" w:ascii="仿宋" w:hAnsi="仿宋" w:eastAsia="仿宋" w:cs="仿宋"/>
          <w:color w:val="auto"/>
          <w:sz w:val="24"/>
          <w:szCs w:val="24"/>
          <w:highlight w:val="none"/>
        </w:rPr>
        <w:t>，具体地点以采购人安排为准</w:t>
      </w:r>
      <w:r>
        <w:rPr>
          <w:rFonts w:hint="eastAsia" w:ascii="仿宋" w:hAnsi="仿宋" w:eastAsia="仿宋" w:cs="仿宋"/>
          <w:bCs/>
          <w:color w:val="auto"/>
          <w:sz w:val="24"/>
          <w:szCs w:val="24"/>
          <w:highlight w:val="none"/>
        </w:rPr>
        <w:t>。</w:t>
      </w:r>
    </w:p>
    <w:p>
      <w:pPr>
        <w:snapToGrid w:val="0"/>
        <w:spacing w:line="360" w:lineRule="auto"/>
        <w:ind w:firstLine="482" w:firstLineChars="200"/>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（二）履行方式与期限</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1.服务期限：根据具体工作计划执行，2025年12月31日前完成。如因项目推进或其他非乙方主观因素导致2025年12月31日前无法完成所有项目，则相应工作顺延至2026年，直至完成所有工作内容为止。</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2.因特殊原因需延期的由双方友好协商，经甲方书面同意或双方协商确定延长期限后，乙方应在延期期限内完成本项目。</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3.验收方式：乙方严格按照甲方需求提供完整成果资料，甲方根据合同、招标文件和投标文件内容</w:t>
      </w:r>
      <w:r>
        <w:rPr>
          <w:rFonts w:hint="eastAsia" w:ascii="仿宋" w:hAnsi="仿宋" w:eastAsia="仿宋" w:cs="仿宋"/>
          <w:color w:val="auto"/>
          <w:sz w:val="24"/>
          <w:szCs w:val="24"/>
          <w:highlight w:val="none"/>
        </w:rPr>
        <w:t>在7个工作日内</w:t>
      </w:r>
      <w:r>
        <w:rPr>
          <w:rFonts w:hint="eastAsia" w:ascii="仿宋" w:hAnsi="仿宋" w:eastAsia="仿宋" w:cs="仿宋"/>
          <w:bCs/>
          <w:color w:val="auto"/>
          <w:sz w:val="24"/>
          <w:szCs w:val="24"/>
          <w:highlight w:val="none"/>
        </w:rPr>
        <w:t>对乙方提交的成果资料进行验收。</w:t>
      </w:r>
    </w:p>
    <w:p>
      <w:pPr>
        <w:snapToGrid w:val="0"/>
        <w:spacing w:line="360" w:lineRule="auto"/>
        <w:ind w:firstLine="482" w:firstLineChars="200"/>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第三条</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甲方的协作事项</w:t>
      </w:r>
    </w:p>
    <w:p>
      <w:pPr>
        <w:pStyle w:val="5"/>
        <w:tabs>
          <w:tab w:val="left" w:pos="1134"/>
        </w:tabs>
        <w:spacing w:line="360" w:lineRule="auto"/>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甲方应配合乙方工作，及时、准确、有效地向乙方提供下列协作事项：</w:t>
      </w:r>
    </w:p>
    <w:p>
      <w:pPr>
        <w:pStyle w:val="5"/>
        <w:tabs>
          <w:tab w:val="left" w:pos="1134"/>
        </w:tabs>
        <w:spacing w:line="360" w:lineRule="auto"/>
        <w:ind w:firstLine="480" w:firstLineChars="200"/>
        <w:textAlignment w:val="auto"/>
        <w:rPr>
          <w:rFonts w:ascii="仿宋" w:hAnsi="仿宋" w:eastAsia="仿宋" w:cs="仿宋"/>
          <w:color w:val="auto"/>
          <w:szCs w:val="24"/>
          <w:highlight w:val="none"/>
        </w:rPr>
      </w:pPr>
      <w:r>
        <w:rPr>
          <w:rFonts w:hint="eastAsia" w:ascii="仿宋" w:hAnsi="仿宋" w:eastAsia="仿宋" w:cs="仿宋"/>
          <w:color w:val="auto"/>
          <w:szCs w:val="24"/>
          <w:highlight w:val="none"/>
        </w:rPr>
        <w:t>1、</w:t>
      </w:r>
      <w:r>
        <w:rPr>
          <w:rFonts w:hint="default" w:ascii="Times New Roman" w:hAnsi="Times New Roman" w:eastAsia="仿宋" w:cs="Times New Roman"/>
          <w:color w:val="auto"/>
          <w:szCs w:val="24"/>
          <w:highlight w:val="none"/>
        </w:rPr>
        <w:t>统筹协调各高速公路经营管理单位配合养护管理年度监督检查工作</w:t>
      </w:r>
      <w:r>
        <w:rPr>
          <w:rFonts w:hint="eastAsia" w:ascii="仿宋" w:hAnsi="仿宋" w:eastAsia="仿宋" w:cs="仿宋"/>
          <w:color w:val="auto"/>
          <w:szCs w:val="24"/>
          <w:highlight w:val="none"/>
        </w:rPr>
        <w:t>。</w:t>
      </w:r>
    </w:p>
    <w:p>
      <w:pPr>
        <w:pStyle w:val="5"/>
        <w:tabs>
          <w:tab w:val="left" w:pos="1134"/>
        </w:tabs>
        <w:spacing w:line="360" w:lineRule="auto"/>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2、对成果报告进行验收。</w:t>
      </w:r>
    </w:p>
    <w:p>
      <w:pPr>
        <w:pStyle w:val="5"/>
        <w:tabs>
          <w:tab w:val="left" w:pos="1134"/>
        </w:tabs>
        <w:spacing w:line="360" w:lineRule="auto"/>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3、及时按合同约定分期支付相应的款项。</w:t>
      </w:r>
    </w:p>
    <w:p>
      <w:pPr>
        <w:pStyle w:val="5"/>
        <w:tabs>
          <w:tab w:val="left" w:pos="1134"/>
        </w:tabs>
        <w:spacing w:line="360" w:lineRule="auto"/>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4、对相关工作有特殊要求或变更时，及时通知乙方。</w:t>
      </w:r>
    </w:p>
    <w:p>
      <w:pPr>
        <w:snapToGrid w:val="0"/>
        <w:spacing w:line="360" w:lineRule="auto"/>
        <w:ind w:firstLine="482" w:firstLineChars="200"/>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第四条</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技术情报和资料的保密</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1.乙方对本项目中所涉及的所有文档、数据、介质和相关信息保密，未经甲方书面许可，不得透露给第三方。</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2.不论本合同是否变更、解除、终止，本条款长期有效。</w:t>
      </w:r>
    </w:p>
    <w:p>
      <w:pPr>
        <w:snapToGrid w:val="0"/>
        <w:spacing w:line="360" w:lineRule="auto"/>
        <w:ind w:firstLine="482" w:firstLineChars="200"/>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第五条</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报酬及其支付方式</w:t>
      </w:r>
    </w:p>
    <w:p>
      <w:pPr>
        <w:snapToGrid w:val="0"/>
        <w:spacing w:line="360" w:lineRule="auto"/>
        <w:ind w:firstLine="482" w:firstLineChars="200"/>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（一）合同金额</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本合同金额（含税价）为人民币</w:t>
      </w:r>
      <w:r>
        <w:rPr>
          <w:rFonts w:hint="eastAsia" w:ascii="仿宋" w:hAnsi="仿宋" w:eastAsia="仿宋" w:cs="仿宋"/>
          <w:bCs/>
          <w:color w:val="auto"/>
          <w:sz w:val="24"/>
          <w:szCs w:val="24"/>
          <w:highlight w:val="none"/>
          <w:u w:val="single"/>
        </w:rPr>
        <w:t>XXX</w:t>
      </w:r>
      <w:r>
        <w:rPr>
          <w:rFonts w:hint="eastAsia" w:ascii="仿宋" w:hAnsi="仿宋" w:eastAsia="仿宋" w:cs="仿宋"/>
          <w:bCs/>
          <w:color w:val="auto"/>
          <w:sz w:val="24"/>
          <w:szCs w:val="24"/>
          <w:highlight w:val="none"/>
        </w:rPr>
        <w:t>万元整（大写：</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）,费用包干使用，由甲方支付给乙方。项目分</w:t>
      </w:r>
      <w:r>
        <w:rPr>
          <w:rFonts w:hint="eastAsia" w:ascii="仿宋" w:hAnsi="仿宋" w:eastAsia="仿宋" w:cs="仿宋"/>
          <w:bCs/>
          <w:color w:val="auto"/>
          <w:sz w:val="24"/>
          <w:szCs w:val="24"/>
          <w:highlight w:val="none"/>
          <w:u w:val="single"/>
        </w:rPr>
        <w:t>2</w:t>
      </w:r>
      <w:r>
        <w:rPr>
          <w:rFonts w:hint="eastAsia" w:ascii="仿宋" w:hAnsi="仿宋" w:eastAsia="仿宋" w:cs="仿宋"/>
          <w:bCs/>
          <w:color w:val="auto"/>
          <w:sz w:val="24"/>
          <w:szCs w:val="24"/>
          <w:highlight w:val="none"/>
        </w:rPr>
        <w:t>期付款，甲方付款前，乙方应提供等额法定的增值税发票，否则甲方有权拒付款项且不承担任何责任。对满足合同约定支付条件的，甲方原则上应在收到发票后5个工作日内按程序办理支付手续。</w:t>
      </w:r>
    </w:p>
    <w:p>
      <w:pPr>
        <w:snapToGrid w:val="0"/>
        <w:spacing w:line="360" w:lineRule="auto"/>
        <w:ind w:firstLine="482" w:firstLineChars="200"/>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（二）支付方式</w:t>
      </w:r>
    </w:p>
    <w:p>
      <w:pPr>
        <w:snapToGrid w:val="0"/>
        <w:spacing w:line="360" w:lineRule="auto"/>
        <w:ind w:firstLine="480" w:firstLineChars="200"/>
        <w:rPr>
          <w:rFonts w:hint="eastAsia" w:ascii="仿宋" w:hAnsi="仿宋" w:eastAsia="仿宋" w:cs="仿宋"/>
          <w:bCs/>
          <w:color w:val="auto"/>
          <w:sz w:val="24"/>
          <w:szCs w:val="24"/>
          <w:highlight w:val="none"/>
        </w:rPr>
      </w:pPr>
      <w:bookmarkStart w:id="144" w:name="OLE_LINK7"/>
      <w:r>
        <w:rPr>
          <w:rFonts w:hint="eastAsia" w:ascii="仿宋" w:hAnsi="仿宋" w:eastAsia="仿宋" w:cs="仿宋"/>
          <w:bCs/>
          <w:color w:val="auto"/>
          <w:sz w:val="24"/>
          <w:szCs w:val="24"/>
          <w:highlight w:val="none"/>
        </w:rPr>
        <w:t>合同签订并生效后，甲方在收到乙方发票后5个工作日内，甲方支付合同款总额的50%作为预付款，合同服务期满，且服务成果经验收合格后支付合同款总额的50%。</w:t>
      </w:r>
      <w:bookmarkEnd w:id="144"/>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乙方指定收款账户：</w:t>
      </w:r>
    </w:p>
    <w:p>
      <w:pPr>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（1）名称：                </w:t>
      </w:r>
    </w:p>
    <w:p>
      <w:pPr>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（2）银行账户：            </w:t>
      </w:r>
    </w:p>
    <w:p>
      <w:pPr>
        <w:snapToGrid w:val="0"/>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（3）开户银行：            </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乙方指定合同签署部分载明的银行账户为指定收款账户，乙方对其指定的收款账户信息的准确性、安全性、合法性负责。该收款账户需要中途变更的，须在开票前5日以书面形式通知甲方，否则，甲方向上述账户付款的视为已完成付款义务。</w:t>
      </w:r>
    </w:p>
    <w:p>
      <w:pPr>
        <w:snapToGrid w:val="0"/>
        <w:spacing w:line="360" w:lineRule="auto"/>
        <w:ind w:firstLine="482" w:firstLineChars="200"/>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第六条</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违约责任</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除本合同另有约定外，违反本合同约定，违约方应按《中华人民共和国民法典》等法律法规的有关规定，承担违约责任。</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1.乙方违反本合同第一条工作要求中约定的,甲方可要求乙方按合同金额的1‰/次支付违约金，并要求乙方继续履行合同。</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2.乙方擅自将本项目转给他人的，甲方可解除本合同，不向乙方支付任何费用（已经支付的应当退还），并要求乙方支付合同金额的30%作为违约金。</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根据本合同第四条技术情报和资料的保密约定，因乙方原因导致与本服务合同相关的文件资料等泄露的，若本服务合同还在履行阶段，甲方可解除本合同，不向乙方支付任何费用（已经支付的应当退还），并要求乙方支付合同金额的30%作为违约金。若本服务合同双方已经履行完毕，甲方可要求乙方赔偿甲方因此受到的损失（包括直接损失与间接损失）。</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4.根据本合同第五条报酬及其支付方式约定，如遇特殊情况未经双方友好协商，甲方未按约定支付合同金额的，乙方可要求甲方支付合同金额的1%违约金。</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5.守约方为维权而支出的所有费用(包括但不限于律师代理费、差旅费、保全及保全担保费、鉴定费、公告费等)均由违约方承担。</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6.根据本条“违约责任”约定，因乙方违约，甲方决定解除合同的，乙方应当退还甲方已支付款项，同时向甲方支付合同总金额的30%违约金。</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乙方应安全、妥善履行本合同，履行本合同期间，乙方自行负责其工作人员的人身、财产安全。因乙方原因造成甲方或任意第三方受人身损害或财产损失的，乙方承担一切责任，包括但不限于律师费、保全及保全担保费、诉讼收费、公证费、鉴定费、交通费、误工费、医疗费等。</w:t>
      </w:r>
    </w:p>
    <w:p>
      <w:pPr>
        <w:snapToGrid w:val="0"/>
        <w:spacing w:line="360" w:lineRule="auto"/>
        <w:ind w:firstLine="482" w:firstLineChars="200"/>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第七条</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送达条款的约定</w:t>
      </w:r>
    </w:p>
    <w:p>
      <w:pPr>
        <w:snapToGrid w:val="0"/>
        <w:spacing w:line="360" w:lineRule="auto"/>
        <w:ind w:firstLine="480" w:firstLineChars="200"/>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各方一致确认本合同中双方当事人预留的送达地址和联系方式为各方履行合同、解决合同争议时接收其他方商业文件信函或司法机关(法院)诉讼、仲裁文书的送达地址和联系方式。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任何一方若需变更送达地址，应在地址变更后三日内书面通知对方；未按约定方式通知的，原约定送达地址仍为有效送达地址。</w:t>
      </w:r>
    </w:p>
    <w:p>
      <w:pPr>
        <w:snapToGrid w:val="0"/>
        <w:spacing w:line="360" w:lineRule="auto"/>
        <w:ind w:firstLine="482" w:firstLineChars="200"/>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第八条</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知识产权</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甲方对本协议产生的所有成果资料享有著作权，甲方在中华人民共和国境内使用乙方提供的成果资料时免受第三方提出的侵犯其专利权或其它知识产权的起诉。如果第三方提出侵权指控，乙方应承担由此而引起的一切法律责任和费用。</w:t>
      </w:r>
    </w:p>
    <w:p>
      <w:pPr>
        <w:snapToGrid w:val="0"/>
        <w:spacing w:line="360" w:lineRule="auto"/>
        <w:ind w:firstLine="482" w:firstLineChars="200"/>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第九条</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争议的解决办法</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1.在合同履行过程中发生争议，双方应当协商解决。</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2.双方不愿协商或者协商不成时，双方可向甲方所在地人民法院提起诉讼。</w:t>
      </w:r>
    </w:p>
    <w:p>
      <w:pPr>
        <w:snapToGrid w:val="0"/>
        <w:spacing w:line="360" w:lineRule="auto"/>
        <w:ind w:firstLine="482" w:firstLineChars="200"/>
        <w:outlineLvl w:val="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第十条</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其它</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1.本合同未尽事宜，双方协商解决或签订补充合同。</w:t>
      </w:r>
    </w:p>
    <w:p>
      <w:pPr>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2.本合同一式</w:t>
      </w:r>
      <w:r>
        <w:rPr>
          <w:rFonts w:hint="eastAsia" w:ascii="仿宋" w:hAnsi="仿宋" w:eastAsia="仿宋" w:cs="仿宋"/>
          <w:bCs/>
          <w:color w:val="auto"/>
          <w:sz w:val="24"/>
          <w:szCs w:val="24"/>
          <w:highlight w:val="none"/>
          <w:u w:val="single"/>
        </w:rPr>
        <w:t>捌</w:t>
      </w:r>
      <w:r>
        <w:rPr>
          <w:rFonts w:hint="eastAsia" w:ascii="仿宋" w:hAnsi="仿宋" w:eastAsia="仿宋" w:cs="仿宋"/>
          <w:bCs/>
          <w:color w:val="auto"/>
          <w:sz w:val="24"/>
          <w:szCs w:val="24"/>
          <w:highlight w:val="none"/>
        </w:rPr>
        <w:t>份，甲乙双方各执</w:t>
      </w:r>
      <w:r>
        <w:rPr>
          <w:rFonts w:hint="eastAsia" w:ascii="仿宋" w:hAnsi="仿宋" w:eastAsia="仿宋" w:cs="仿宋"/>
          <w:bCs/>
          <w:color w:val="auto"/>
          <w:sz w:val="24"/>
          <w:szCs w:val="24"/>
          <w:highlight w:val="none"/>
          <w:u w:val="single"/>
        </w:rPr>
        <w:t>肆</w:t>
      </w:r>
      <w:r>
        <w:rPr>
          <w:rFonts w:hint="eastAsia" w:ascii="仿宋" w:hAnsi="仿宋" w:eastAsia="仿宋" w:cs="仿宋"/>
          <w:bCs/>
          <w:color w:val="auto"/>
          <w:sz w:val="24"/>
          <w:szCs w:val="24"/>
          <w:highlight w:val="none"/>
        </w:rPr>
        <w:t>份，具有同等法律效力。双方签字和盖章后生效。</w:t>
      </w:r>
    </w:p>
    <w:p>
      <w:pPr>
        <w:rPr>
          <w:rFonts w:ascii="仿宋" w:hAnsi="仿宋" w:eastAsia="仿宋" w:cs="宋体"/>
          <w:bCs/>
          <w:color w:val="auto"/>
          <w:sz w:val="24"/>
          <w:szCs w:val="24"/>
          <w:highlight w:val="none"/>
        </w:rPr>
      </w:pPr>
    </w:p>
    <w:p>
      <w:pPr>
        <w:pStyle w:val="2"/>
        <w:rPr>
          <w:rFonts w:hint="eastAsia"/>
          <w:color w:val="auto"/>
          <w:highlight w:val="none"/>
        </w:rPr>
      </w:pPr>
    </w:p>
    <w:tbl>
      <w:tblPr>
        <w:tblStyle w:val="12"/>
        <w:tblpPr w:leftFromText="180" w:rightFromText="180" w:vertAnchor="text" w:horzAnchor="margin" w:tblpY="860"/>
        <w:tblOverlap w:val="never"/>
        <w:tblW w:w="0" w:type="auto"/>
        <w:tblInd w:w="0" w:type="dxa"/>
        <w:tblLayout w:type="fixed"/>
        <w:tblCellMar>
          <w:top w:w="0" w:type="dxa"/>
          <w:left w:w="108" w:type="dxa"/>
          <w:bottom w:w="0" w:type="dxa"/>
          <w:right w:w="108" w:type="dxa"/>
        </w:tblCellMar>
      </w:tblPr>
      <w:tblGrid>
        <w:gridCol w:w="9628"/>
      </w:tblGrid>
      <w:tr>
        <w:tblPrEx>
          <w:tblCellMar>
            <w:top w:w="0" w:type="dxa"/>
            <w:left w:w="108" w:type="dxa"/>
            <w:bottom w:w="0" w:type="dxa"/>
            <w:right w:w="108" w:type="dxa"/>
          </w:tblCellMar>
        </w:tblPrEx>
        <w:tc>
          <w:tcPr>
            <w:tcW w:w="9628" w:type="dxa"/>
            <w:noWrap w:val="0"/>
            <w:vAlign w:val="top"/>
          </w:tcPr>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采购人（甲方）：</w:t>
            </w:r>
            <w:r>
              <w:rPr>
                <w:rFonts w:hint="eastAsia" w:ascii="仿宋" w:hAnsi="仿宋" w:eastAsia="仿宋"/>
                <w:b/>
                <w:bCs/>
                <w:color w:val="auto"/>
                <w:sz w:val="24"/>
                <w:szCs w:val="24"/>
                <w:highlight w:val="none"/>
              </w:rPr>
              <w:t>重庆市交通运输委员会</w:t>
            </w:r>
          </w:p>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单位代表或授权代表：</w:t>
            </w:r>
          </w:p>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联系人：</w:t>
            </w:r>
          </w:p>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通信地址：重庆市渝北区红锦大道20号</w:t>
            </w:r>
          </w:p>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邮政编码：401147</w:t>
            </w:r>
          </w:p>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p>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传真：</w:t>
            </w:r>
          </w:p>
        </w:tc>
      </w:tr>
      <w:tr>
        <w:tc>
          <w:tcPr>
            <w:tcW w:w="9628" w:type="dxa"/>
            <w:noWrap w:val="0"/>
            <w:vAlign w:val="top"/>
          </w:tcPr>
          <w:p>
            <w:pPr>
              <w:spacing w:line="300" w:lineRule="auto"/>
              <w:rPr>
                <w:rFonts w:hint="eastAsia" w:ascii="仿宋" w:hAnsi="仿宋" w:eastAsia="仿宋"/>
                <w:color w:val="auto"/>
                <w:sz w:val="24"/>
                <w:szCs w:val="24"/>
                <w:highlight w:val="none"/>
              </w:rPr>
            </w:pPr>
          </w:p>
          <w:p>
            <w:pPr>
              <w:spacing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供应商（乙方）：</w:t>
            </w:r>
          </w:p>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单位代表：</w:t>
            </w:r>
          </w:p>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联系人：</w:t>
            </w:r>
          </w:p>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通信地址：</w:t>
            </w:r>
          </w:p>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邮政编码：</w:t>
            </w:r>
          </w:p>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p>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传真：</w:t>
            </w:r>
          </w:p>
          <w:p>
            <w:pPr>
              <w:spacing w:before="120" w:beforeLines="50" w:after="120" w:afterLines="50"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开户银行：</w:t>
            </w:r>
          </w:p>
          <w:p>
            <w:pPr>
              <w:spacing w:line="30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账号：</w:t>
            </w:r>
          </w:p>
        </w:tc>
      </w:tr>
    </w:tbl>
    <w:p>
      <w:pPr>
        <w:snapToGrid w:val="0"/>
        <w:spacing w:line="380" w:lineRule="exact"/>
        <w:rPr>
          <w:rFonts w:hint="eastAsia" w:ascii="仿宋" w:hAnsi="仿宋" w:eastAsia="仿宋" w:cs="宋体"/>
          <w:b/>
          <w:color w:val="auto"/>
          <w:sz w:val="24"/>
          <w:szCs w:val="24"/>
          <w:highlight w:val="none"/>
        </w:rPr>
      </w:pPr>
    </w:p>
    <w:p>
      <w:pPr>
        <w:pStyle w:val="19"/>
        <w:spacing w:before="0" w:after="0" w:line="560" w:lineRule="exact"/>
        <w:ind w:firstLine="0"/>
        <w:jc w:val="left"/>
        <w:rPr>
          <w:rFonts w:hint="eastAsia" w:ascii="仿宋" w:hAnsi="仿宋" w:eastAsia="仿宋" w:cs="仿宋"/>
          <w:color w:val="auto"/>
          <w:sz w:val="24"/>
          <w:szCs w:val="24"/>
          <w:highlight w:val="none"/>
        </w:rPr>
      </w:pPr>
    </w:p>
    <w:bookmarkEnd w:id="142"/>
    <w:p>
      <w:pPr>
        <w:pStyle w:val="2"/>
        <w:rPr>
          <w:rFonts w:hint="eastAsia" w:ascii="仿宋" w:hAnsi="仿宋" w:eastAsia="仿宋" w:cs="仿宋"/>
          <w:bCs/>
          <w:color w:val="auto"/>
          <w:sz w:val="36"/>
          <w:szCs w:val="30"/>
          <w:highlight w:val="none"/>
        </w:rPr>
      </w:pPr>
      <w:bookmarkStart w:id="145" w:name="_Toc76462349"/>
      <w:bookmarkStart w:id="146" w:name="_Toc106030905"/>
    </w:p>
    <w:p>
      <w:pPr>
        <w:rPr>
          <w:rFonts w:hint="eastAsia" w:ascii="仿宋" w:hAnsi="仿宋" w:eastAsia="仿宋" w:cs="仿宋"/>
          <w:bCs/>
          <w:color w:val="auto"/>
          <w:sz w:val="36"/>
          <w:szCs w:val="30"/>
          <w:highlight w:val="none"/>
        </w:rPr>
      </w:pPr>
    </w:p>
    <w:p>
      <w:pPr>
        <w:pStyle w:val="2"/>
        <w:rPr>
          <w:rFonts w:hint="eastAsia" w:ascii="仿宋" w:hAnsi="仿宋" w:eastAsia="仿宋" w:cs="仿宋"/>
          <w:bCs/>
          <w:color w:val="auto"/>
          <w:sz w:val="36"/>
          <w:szCs w:val="30"/>
          <w:highlight w:val="none"/>
        </w:rPr>
      </w:pPr>
    </w:p>
    <w:p>
      <w:pPr>
        <w:rPr>
          <w:rFonts w:hint="eastAsia" w:ascii="仿宋" w:hAnsi="仿宋" w:eastAsia="仿宋" w:cs="仿宋"/>
          <w:bCs/>
          <w:color w:val="auto"/>
          <w:sz w:val="36"/>
          <w:szCs w:val="30"/>
          <w:highlight w:val="none"/>
        </w:rPr>
      </w:pPr>
    </w:p>
    <w:p>
      <w:pPr>
        <w:pStyle w:val="2"/>
        <w:rPr>
          <w:rFonts w:hint="eastAsia"/>
          <w:color w:val="auto"/>
          <w:highlight w:val="none"/>
        </w:rPr>
      </w:pPr>
    </w:p>
    <w:p>
      <w:pPr>
        <w:pStyle w:val="3"/>
        <w:spacing w:before="0" w:after="0" w:line="360" w:lineRule="auto"/>
        <w:jc w:val="center"/>
        <w:rPr>
          <w:rFonts w:hint="eastAsia" w:ascii="仿宋" w:hAnsi="仿宋" w:eastAsia="仿宋" w:cs="仿宋"/>
          <w:bCs/>
          <w:color w:val="auto"/>
          <w:sz w:val="36"/>
          <w:szCs w:val="30"/>
          <w:highlight w:val="none"/>
        </w:rPr>
      </w:pPr>
    </w:p>
    <w:p>
      <w:pPr>
        <w:pStyle w:val="3"/>
        <w:spacing w:before="0" w:after="0" w:line="360" w:lineRule="auto"/>
        <w:jc w:val="center"/>
        <w:rPr>
          <w:rFonts w:hint="eastAsia" w:ascii="仿宋" w:hAnsi="仿宋" w:eastAsia="仿宋" w:cs="仿宋"/>
          <w:bCs/>
          <w:color w:val="auto"/>
          <w:sz w:val="36"/>
          <w:szCs w:val="30"/>
          <w:highlight w:val="none"/>
        </w:rPr>
      </w:pPr>
      <w:bookmarkStart w:id="147" w:name="_Toc778"/>
      <w:r>
        <w:rPr>
          <w:rFonts w:hint="eastAsia" w:ascii="仿宋" w:hAnsi="仿宋" w:eastAsia="仿宋" w:cs="仿宋"/>
          <w:bCs/>
          <w:color w:val="auto"/>
          <w:sz w:val="36"/>
          <w:szCs w:val="30"/>
          <w:highlight w:val="none"/>
        </w:rPr>
        <w:t>第七篇  响应文件编制要求</w:t>
      </w:r>
      <w:bookmarkEnd w:id="145"/>
      <w:bookmarkEnd w:id="146"/>
      <w:bookmarkEnd w:id="147"/>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一、经济部分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（一）竞争性磋商报价函</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二、服务部分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（一）服务响应偏离表</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（二）服务方案</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（三）其他资料（格式自定）</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三、商务部分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（二）第四篇评审标准“商务部分”所要求证明材料</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（三）其它优惠承诺（格式自定）</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四、资格条件及其他</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（一）法人营业执照或事业单位法人证书（副本）或个体工商户营业执照或有效的自然人身份证明或社会团体法人登记证书复印件</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（三）法定代表人授权委托书（格式）</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（四）基本资格条件承诺函（格式）</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（五）特定资格条件证明文件</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五、其他资料</w:t>
      </w:r>
    </w:p>
    <w:p>
      <w:pPr>
        <w:spacing w:line="40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（一）中小企业声明函、监狱企业证明文件、残疾人福利性单位声明函</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（二）其他与项目有关的资料</w:t>
      </w:r>
    </w:p>
    <w:p>
      <w:pPr>
        <w:snapToGrid w:val="0"/>
        <w:spacing w:line="360" w:lineRule="auto"/>
        <w:rPr>
          <w:rFonts w:hint="eastAsia" w:ascii="仿宋" w:hAnsi="仿宋" w:eastAsia="仿宋" w:cs="仿宋"/>
          <w:color w:val="auto"/>
          <w:sz w:val="24"/>
          <w:szCs w:val="24"/>
          <w:highlight w:val="none"/>
          <w:bdr w:val="single" w:color="auto" w:sz="4" w:space="0"/>
        </w:rPr>
        <w:sectPr>
          <w:pgSz w:w="11907" w:h="16840"/>
          <w:pgMar w:top="1134" w:right="1304" w:bottom="1134" w:left="1304" w:header="624" w:footer="992" w:gutter="0"/>
          <w:pgNumType w:fmt="numberInDash"/>
          <w:cols w:space="720" w:num="1"/>
          <w:docGrid w:linePitch="380" w:charSpace="-5735"/>
        </w:sectPr>
      </w:pPr>
    </w:p>
    <w:p>
      <w:pPr>
        <w:pStyle w:val="3"/>
        <w:adjustRightInd w:val="0"/>
        <w:snapToGrid w:val="0"/>
        <w:spacing w:before="0" w:after="0" w:line="400" w:lineRule="exact"/>
        <w:ind w:firstLine="482" w:firstLineChars="200"/>
        <w:rPr>
          <w:rFonts w:hint="eastAsia" w:ascii="仿宋" w:hAnsi="仿宋" w:eastAsia="仿宋" w:cs="仿宋"/>
          <w:color w:val="auto"/>
          <w:sz w:val="24"/>
          <w:highlight w:val="none"/>
        </w:rPr>
      </w:pPr>
      <w:bookmarkStart w:id="148" w:name="_Toc313008356"/>
      <w:bookmarkStart w:id="149" w:name="_Toc17299"/>
      <w:bookmarkStart w:id="150" w:name="_Toc313888360"/>
      <w:bookmarkStart w:id="151" w:name="_Toc76462350"/>
      <w:bookmarkStart w:id="152" w:name="_Toc106030906"/>
      <w:bookmarkStart w:id="153" w:name="_Toc25150"/>
      <w:bookmarkStart w:id="154" w:name="_Toc342913419"/>
      <w:bookmarkStart w:id="155" w:name="_Toc283382454"/>
      <w:bookmarkStart w:id="156" w:name="_Toc12789073"/>
      <w:r>
        <w:rPr>
          <w:rFonts w:hint="eastAsia" w:ascii="仿宋" w:hAnsi="仿宋" w:eastAsia="仿宋" w:cs="仿宋"/>
          <w:color w:val="auto"/>
          <w:sz w:val="24"/>
          <w:highlight w:val="none"/>
        </w:rPr>
        <w:t>一、经济部分</w:t>
      </w:r>
      <w:bookmarkEnd w:id="148"/>
      <w:bookmarkEnd w:id="149"/>
      <w:bookmarkEnd w:id="150"/>
      <w:bookmarkEnd w:id="151"/>
      <w:bookmarkEnd w:id="152"/>
      <w:bookmarkEnd w:id="153"/>
      <w:bookmarkEnd w:id="154"/>
    </w:p>
    <w:bookmarkEnd w:id="155"/>
    <w:bookmarkEnd w:id="156"/>
    <w:p>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（一）竞争性磋商报价函</w:t>
      </w:r>
    </w:p>
    <w:p>
      <w:pPr>
        <w:jc w:val="center"/>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竞争性磋商报价函</w:t>
      </w:r>
    </w:p>
    <w:p>
      <w:pPr>
        <w:tabs>
          <w:tab w:val="left" w:pos="6300"/>
        </w:tabs>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（采购代理机构名称）</w:t>
      </w:r>
      <w:r>
        <w:rPr>
          <w:rFonts w:hint="eastAsia" w:ascii="仿宋" w:hAnsi="仿宋" w:eastAsia="仿宋" w:cs="仿宋"/>
          <w:color w:val="auto"/>
          <w:sz w:val="24"/>
          <w:szCs w:val="24"/>
          <w:highlight w:val="none"/>
        </w:rPr>
        <w:t>：</w:t>
      </w:r>
    </w:p>
    <w:p>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我方收到____________________________（磋商项目名称）的竞争性磋商文件，经详细研究，决定参加该项目的磋商。</w:t>
      </w:r>
    </w:p>
    <w:p>
      <w:pPr>
        <w:tabs>
          <w:tab w:val="left" w:pos="6300"/>
        </w:tabs>
        <w:snapToGrid w:val="0"/>
        <w:spacing w:line="312" w:lineRule="auto"/>
        <w:ind w:left="238" w:leftChars="85"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1.愿意按照竞争性磋商文件中的一切要求，提供本项目的服务，初始报价为人民币大写：________；人民币小写：________元。以我公司最后报价为准。</w:t>
      </w:r>
    </w:p>
    <w:p>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2.我方现提交的响应文件为：响应文件正本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份，电子文档</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3.我方承诺：本次磋商的有效期为提交响应文件截止时间起90天。</w:t>
      </w:r>
    </w:p>
    <w:p>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4.我方完全理解和接受贵方竞争性磋商文件的一切规定和要求及评审办法。</w:t>
      </w:r>
    </w:p>
    <w:p>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5.在整个竞争性磋商过程中，我方若有违规行为，接受按照《中华人民共和国政府采购法》和《竞争性磋商文件》之规定给予惩罚。</w:t>
      </w:r>
    </w:p>
    <w:p>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6.我方若成为成交供应商，将按照最终磋商结果签订合同，并且严格履行合同义务。本承诺函将成为合同不可分割的一部分，与合同具有同等的法律效力。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7.如果我方成为成交供应商，保证在接到成交通知书后，向采购代理机构</w:t>
      </w:r>
      <w:r>
        <w:rPr>
          <w:rFonts w:hint="eastAsia" w:ascii="仿宋" w:hAnsi="仿宋" w:eastAsia="仿宋" w:cs="仿宋"/>
          <w:color w:val="auto"/>
          <w:sz w:val="24"/>
          <w:highlight w:val="none"/>
        </w:rPr>
        <w:t>缴纳</w:t>
      </w:r>
      <w:r>
        <w:rPr>
          <w:rFonts w:hint="eastAsia" w:ascii="仿宋" w:hAnsi="仿宋" w:eastAsia="仿宋" w:cs="仿宋"/>
          <w:color w:val="auto"/>
          <w:sz w:val="24"/>
          <w:szCs w:val="24"/>
          <w:highlight w:val="none"/>
        </w:rPr>
        <w:t>竞争性磋商文件规定的采购代理服务费。</w:t>
      </w:r>
    </w:p>
    <w:p>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供应商（公章）或自然人签署：</w:t>
      </w:r>
    </w:p>
    <w:p>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p>
    <w:p>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                                             传真：</w:t>
      </w:r>
    </w:p>
    <w:p>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网址：                                             邮编：</w:t>
      </w:r>
    </w:p>
    <w:p>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pPr>
        <w:spacing w:line="312"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 xml:space="preserve">                                                  年   月   日</w:t>
      </w:r>
      <w:bookmarkStart w:id="157" w:name="_Toc342913420"/>
      <w:bookmarkStart w:id="158" w:name="_Toc106030907"/>
      <w:bookmarkStart w:id="159" w:name="_Toc76462351"/>
      <w:bookmarkStart w:id="160" w:name="_Toc313888361"/>
      <w:bookmarkStart w:id="161" w:name="_Toc313008357"/>
      <w:r>
        <w:rPr>
          <w:rFonts w:hint="eastAsia" w:ascii="仿宋" w:hAnsi="仿宋" w:eastAsia="仿宋" w:cs="仿宋"/>
          <w:color w:val="auto"/>
          <w:sz w:val="24"/>
          <w:highlight w:val="none"/>
        </w:rPr>
        <w:br w:type="page"/>
      </w:r>
      <w:r>
        <w:rPr>
          <w:rFonts w:hint="eastAsia" w:ascii="仿宋" w:hAnsi="仿宋" w:eastAsia="仿宋" w:cs="仿宋"/>
          <w:b/>
          <w:color w:val="auto"/>
          <w:sz w:val="24"/>
          <w:highlight w:val="none"/>
        </w:rPr>
        <w:t>二、服务部分</w:t>
      </w:r>
      <w:bookmarkEnd w:id="157"/>
      <w:bookmarkEnd w:id="158"/>
      <w:bookmarkEnd w:id="159"/>
      <w:bookmarkEnd w:id="160"/>
      <w:bookmarkEnd w:id="161"/>
    </w:p>
    <w:p>
      <w:pPr>
        <w:tabs>
          <w:tab w:val="left" w:pos="6300"/>
        </w:tabs>
        <w:snapToGrid w:val="0"/>
        <w:spacing w:line="400" w:lineRule="exact"/>
        <w:ind w:firstLine="480" w:firstLineChars="200"/>
        <w:rPr>
          <w:rFonts w:hint="eastAsia" w:ascii="仿宋" w:hAnsi="仿宋" w:eastAsia="仿宋" w:cs="仿宋"/>
          <w:color w:val="auto"/>
          <w:szCs w:val="24"/>
          <w:highlight w:val="none"/>
        </w:rPr>
      </w:pPr>
      <w:r>
        <w:rPr>
          <w:rFonts w:hint="eastAsia" w:ascii="仿宋" w:hAnsi="仿宋" w:eastAsia="仿宋" w:cs="仿宋"/>
          <w:color w:val="auto"/>
          <w:sz w:val="24"/>
          <w:szCs w:val="24"/>
          <w:highlight w:val="none"/>
        </w:rPr>
        <w:t>（一）服务响应偏离表</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项目号：                                </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磋商项目名称：</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2933"/>
        <w:gridCol w:w="3045"/>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541"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采购需求</w:t>
            </w:r>
          </w:p>
        </w:tc>
        <w:tc>
          <w:tcPr>
            <w:tcW w:w="160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响应情况</w:t>
            </w:r>
          </w:p>
        </w:tc>
        <w:tc>
          <w:tcPr>
            <w:tcW w:w="1199"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541"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600" w:type="pct"/>
            <w:noWrap w:val="0"/>
            <w:vAlign w:val="center"/>
          </w:tcPr>
          <w:p>
            <w:pPr>
              <w:tabs>
                <w:tab w:val="left" w:pos="6300"/>
              </w:tabs>
              <w:snapToGrid w:val="0"/>
              <w:spacing w:line="500" w:lineRule="exact"/>
              <w:outlineLvl w:val="0"/>
              <w:rPr>
                <w:rFonts w:hint="eastAsia" w:ascii="仿宋" w:hAnsi="仿宋" w:eastAsia="仿宋" w:cs="仿宋"/>
                <w:color w:val="auto"/>
                <w:sz w:val="21"/>
                <w:szCs w:val="21"/>
                <w:highlight w:val="none"/>
              </w:rPr>
            </w:pPr>
          </w:p>
        </w:tc>
        <w:tc>
          <w:tcPr>
            <w:tcW w:w="1199"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541"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60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199"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541"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60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199"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541"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60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199"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541"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60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199"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541"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60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199"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541"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60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199"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541"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60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199"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541"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60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199"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541"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600"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1199" w:type="pct"/>
            <w:noWrap w:val="0"/>
            <w:vAlign w:val="center"/>
          </w:tcPr>
          <w:p>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bl>
    <w:p>
      <w:pPr>
        <w:spacing w:line="500" w:lineRule="exact"/>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供应商：                            </w:t>
      </w:r>
      <w:r>
        <w:rPr>
          <w:rFonts w:hint="eastAsia" w:ascii="仿宋" w:hAnsi="仿宋" w:eastAsia="仿宋" w:cs="仿宋"/>
          <w:color w:val="auto"/>
          <w:sz w:val="24"/>
          <w:szCs w:val="24"/>
          <w:highlight w:val="none"/>
        </w:rPr>
        <w:t>法定代表人（或其授权代表）或自然人：</w:t>
      </w:r>
    </w:p>
    <w:p>
      <w:pPr>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w:t>
      </w:r>
    </w:p>
    <w:p>
      <w:pPr>
        <w:spacing w:line="500" w:lineRule="exact"/>
        <w:ind w:firstLine="720" w:firstLineChars="3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                               （签署或盖章）</w:t>
      </w:r>
    </w:p>
    <w:p>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 xml:space="preserve">                                              年     月     日</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本表即为对本项目“第二篇  项目服务需求”中所列条款进行比较和响应；</w:t>
      </w:r>
    </w:p>
    <w:p>
      <w:pPr>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2.本表可扩展。</w:t>
      </w:r>
    </w:p>
    <w:p>
      <w:pPr>
        <w:tabs>
          <w:tab w:val="left" w:pos="6300"/>
        </w:tabs>
        <w:snapToGrid w:val="0"/>
        <w:spacing w:line="400" w:lineRule="exact"/>
        <w:ind w:firstLine="56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br w:type="page"/>
      </w:r>
      <w:r>
        <w:rPr>
          <w:rFonts w:hint="eastAsia" w:ascii="仿宋" w:hAnsi="仿宋" w:eastAsia="仿宋" w:cs="仿宋"/>
          <w:color w:val="auto"/>
          <w:sz w:val="24"/>
          <w:szCs w:val="24"/>
          <w:highlight w:val="none"/>
        </w:rPr>
        <w:t>（二）服务方案</w:t>
      </w:r>
      <w:r>
        <w:rPr>
          <w:rFonts w:hint="eastAsia" w:ascii="仿宋" w:hAnsi="仿宋" w:eastAsia="仿宋" w:cs="仿宋"/>
          <w:color w:val="auto"/>
          <w:szCs w:val="24"/>
          <w:highlight w:val="none"/>
        </w:rPr>
        <w:br w:type="page"/>
      </w:r>
      <w:r>
        <w:rPr>
          <w:rFonts w:hint="eastAsia" w:ascii="仿宋" w:hAnsi="仿宋" w:eastAsia="仿宋" w:cs="仿宋"/>
          <w:color w:val="auto"/>
          <w:szCs w:val="24"/>
          <w:highlight w:val="none"/>
        </w:rPr>
        <w:t xml:space="preserve">  </w:t>
      </w:r>
      <w:r>
        <w:rPr>
          <w:rFonts w:hint="eastAsia" w:ascii="仿宋" w:hAnsi="仿宋" w:eastAsia="仿宋" w:cs="仿宋"/>
          <w:color w:val="auto"/>
          <w:sz w:val="24"/>
          <w:szCs w:val="24"/>
          <w:highlight w:val="none"/>
        </w:rPr>
        <w:t>（三）其他资料（格式自定）</w:t>
      </w:r>
    </w:p>
    <w:p>
      <w:pPr>
        <w:pStyle w:val="3"/>
        <w:adjustRightInd w:val="0"/>
        <w:snapToGrid w:val="0"/>
        <w:spacing w:before="0" w:after="0" w:line="400" w:lineRule="exact"/>
        <w:ind w:firstLine="640" w:firstLineChars="200"/>
        <w:rPr>
          <w:rFonts w:hint="eastAsia" w:ascii="仿宋" w:hAnsi="仿宋" w:eastAsia="仿宋" w:cs="仿宋"/>
          <w:color w:val="auto"/>
          <w:sz w:val="24"/>
          <w:highlight w:val="none"/>
        </w:rPr>
      </w:pPr>
      <w:r>
        <w:rPr>
          <w:rFonts w:hint="eastAsia" w:ascii="仿宋" w:hAnsi="仿宋" w:eastAsia="仿宋" w:cs="仿宋"/>
          <w:b w:val="0"/>
          <w:color w:val="auto"/>
          <w:highlight w:val="none"/>
        </w:rPr>
        <w:br w:type="page"/>
      </w:r>
      <w:bookmarkStart w:id="162" w:name="_Toc313008358"/>
      <w:bookmarkStart w:id="163" w:name="_Toc106030908"/>
      <w:bookmarkStart w:id="164" w:name="_Toc76462352"/>
      <w:bookmarkStart w:id="165" w:name="_Toc313888362"/>
      <w:bookmarkStart w:id="166" w:name="_Toc27172"/>
      <w:bookmarkStart w:id="167" w:name="_Toc342913421"/>
      <w:bookmarkStart w:id="168" w:name="_Toc13424"/>
      <w:r>
        <w:rPr>
          <w:rFonts w:hint="eastAsia" w:ascii="仿宋" w:hAnsi="仿宋" w:eastAsia="仿宋" w:cs="仿宋"/>
          <w:color w:val="auto"/>
          <w:sz w:val="24"/>
          <w:highlight w:val="none"/>
        </w:rPr>
        <w:t>三、商务部分</w:t>
      </w:r>
      <w:bookmarkEnd w:id="162"/>
      <w:bookmarkEnd w:id="163"/>
      <w:bookmarkEnd w:id="164"/>
      <w:bookmarkEnd w:id="165"/>
      <w:bookmarkEnd w:id="166"/>
      <w:bookmarkEnd w:id="167"/>
      <w:bookmarkEnd w:id="168"/>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项目号：                                </w:t>
      </w: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磋商项目名称： </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pPr>
              <w:snapToGrid w:val="0"/>
              <w:spacing w:line="360" w:lineRule="auto"/>
              <w:ind w:firstLine="465"/>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序号</w:t>
            </w:r>
          </w:p>
        </w:tc>
        <w:tc>
          <w:tcPr>
            <w:tcW w:w="3179"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磋商项目商务需求</w:t>
            </w:r>
          </w:p>
        </w:tc>
        <w:tc>
          <w:tcPr>
            <w:tcW w:w="2434"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响应情况</w:t>
            </w:r>
          </w:p>
        </w:tc>
        <w:tc>
          <w:tcPr>
            <w:tcW w:w="2355"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r>
              <w:rPr>
                <w:rFonts w:hint="eastAsia" w:ascii="仿宋" w:hAnsi="仿宋" w:eastAsia="仿宋" w:cs="仿宋"/>
                <w:color w:val="auto"/>
                <w:sz w:val="21"/>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noWrap w:val="0"/>
            <w:vAlign w:val="center"/>
          </w:tcPr>
          <w:p>
            <w:pPr>
              <w:tabs>
                <w:tab w:val="left" w:pos="6300"/>
              </w:tabs>
              <w:snapToGrid w:val="0"/>
              <w:spacing w:line="360" w:lineRule="auto"/>
              <w:outlineLvl w:val="0"/>
              <w:rPr>
                <w:rFonts w:hint="eastAsia" w:ascii="仿宋" w:hAnsi="仿宋" w:eastAsia="仿宋" w:cs="仿宋"/>
                <w:color w:val="auto"/>
                <w:sz w:val="21"/>
                <w:szCs w:val="24"/>
                <w:highlight w:val="none"/>
              </w:rPr>
            </w:pPr>
          </w:p>
        </w:tc>
        <w:tc>
          <w:tcPr>
            <w:tcW w:w="2355"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3179"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434"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c>
          <w:tcPr>
            <w:tcW w:w="2355" w:type="dxa"/>
            <w:noWrap w:val="0"/>
            <w:vAlign w:val="center"/>
          </w:tcPr>
          <w:p>
            <w:pPr>
              <w:tabs>
                <w:tab w:val="left" w:pos="6300"/>
              </w:tabs>
              <w:snapToGrid w:val="0"/>
              <w:spacing w:line="360" w:lineRule="auto"/>
              <w:jc w:val="center"/>
              <w:outlineLvl w:val="0"/>
              <w:rPr>
                <w:rFonts w:hint="eastAsia" w:ascii="仿宋" w:hAnsi="仿宋" w:eastAsia="仿宋" w:cs="仿宋"/>
                <w:color w:val="auto"/>
                <w:sz w:val="21"/>
                <w:szCs w:val="24"/>
                <w:highlight w:val="none"/>
              </w:rPr>
            </w:pPr>
          </w:p>
        </w:tc>
      </w:tr>
    </w:tbl>
    <w:p>
      <w:pPr>
        <w:snapToGrid w:val="0"/>
        <w:spacing w:line="360" w:lineRule="auto"/>
        <w:ind w:firstLine="465"/>
        <w:rPr>
          <w:rFonts w:hint="eastAsia" w:ascii="仿宋" w:hAnsi="仿宋" w:eastAsia="仿宋" w:cs="仿宋"/>
          <w:color w:val="auto"/>
          <w:sz w:val="24"/>
          <w:szCs w:val="24"/>
          <w:highlight w:val="none"/>
        </w:rPr>
      </w:pPr>
    </w:p>
    <w:p>
      <w:pPr>
        <w:spacing w:line="500" w:lineRule="exact"/>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供应商：                          </w:t>
      </w:r>
      <w:r>
        <w:rPr>
          <w:rFonts w:hint="eastAsia" w:ascii="仿宋" w:hAnsi="仿宋" w:eastAsia="仿宋" w:cs="仿宋"/>
          <w:color w:val="auto"/>
          <w:sz w:val="24"/>
          <w:szCs w:val="24"/>
          <w:highlight w:val="none"/>
        </w:rPr>
        <w:t>法定代表人（或其授权代表）或自然人：</w:t>
      </w:r>
    </w:p>
    <w:p>
      <w:pPr>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w:t>
      </w:r>
    </w:p>
    <w:p>
      <w:pPr>
        <w:spacing w:line="500" w:lineRule="exact"/>
        <w:ind w:firstLine="360" w:firstLineChars="1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（供应商公章）                                 （签署或盖章）</w:t>
      </w:r>
    </w:p>
    <w:p>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 xml:space="preserve">                                            年     月     日</w:t>
      </w:r>
    </w:p>
    <w:p>
      <w:pPr>
        <w:tabs>
          <w:tab w:val="left" w:pos="6300"/>
        </w:tabs>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pPr>
        <w:tabs>
          <w:tab w:val="left" w:pos="6300"/>
        </w:tabs>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本表即为对本项目“第三篇  项目商务需求”中所列条款进行比较和响应；</w:t>
      </w:r>
    </w:p>
    <w:p>
      <w:pPr>
        <w:snapToGrid w:val="0"/>
        <w:spacing w:line="400" w:lineRule="exact"/>
        <w:ind w:firstLine="480" w:firstLineChars="200"/>
        <w:rPr>
          <w:rFonts w:hint="eastAsia" w:ascii="仿宋" w:hAnsi="仿宋" w:eastAsia="仿宋" w:cs="仿宋"/>
          <w:b/>
          <w:color w:val="auto"/>
          <w:highlight w:val="none"/>
        </w:rPr>
        <w:sectPr>
          <w:headerReference r:id="rId11" w:type="default"/>
          <w:pgSz w:w="11907" w:h="16840"/>
          <w:pgMar w:top="1134" w:right="1304" w:bottom="1134" w:left="1304" w:header="624" w:footer="992" w:gutter="0"/>
          <w:pgNumType w:fmt="numberInDash"/>
          <w:cols w:space="720" w:num="1"/>
          <w:docGrid w:linePitch="380" w:charSpace="-5735"/>
        </w:sectPr>
      </w:pPr>
      <w:r>
        <w:rPr>
          <w:rFonts w:hint="eastAsia" w:ascii="仿宋" w:hAnsi="仿宋" w:eastAsia="仿宋" w:cs="仿宋"/>
          <w:color w:val="auto"/>
          <w:sz w:val="24"/>
          <w:highlight w:val="none"/>
        </w:rPr>
        <w:t>2.本表可扩展。</w:t>
      </w:r>
    </w:p>
    <w:p>
      <w:pPr>
        <w:snapToGrid w:val="0"/>
        <w:spacing w:line="400" w:lineRule="exact"/>
        <w:ind w:firstLine="480" w:firstLineChars="200"/>
        <w:rPr>
          <w:rFonts w:hint="eastAsia" w:ascii="仿宋" w:hAnsi="仿宋" w:eastAsia="仿宋" w:cs="仿宋"/>
          <w:color w:val="auto"/>
          <w:sz w:val="24"/>
          <w:szCs w:val="24"/>
          <w:highlight w:val="none"/>
        </w:rPr>
      </w:pPr>
      <w:bookmarkStart w:id="169" w:name="_Toc283382459"/>
      <w:r>
        <w:rPr>
          <w:rFonts w:hint="eastAsia" w:ascii="仿宋" w:hAnsi="仿宋" w:eastAsia="仿宋" w:cs="仿宋"/>
          <w:color w:val="auto"/>
          <w:sz w:val="24"/>
          <w:szCs w:val="24"/>
          <w:highlight w:val="none"/>
        </w:rPr>
        <w:t>（二）第四篇评审标准“商务部分”所要求证明材料</w:t>
      </w: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（三）其它优惠承诺（格式自定）</w:t>
      </w:r>
    </w:p>
    <w:p>
      <w:pPr>
        <w:snapToGrid w:val="0"/>
        <w:spacing w:line="400" w:lineRule="exact"/>
        <w:ind w:firstLine="480" w:firstLineChars="200"/>
        <w:rPr>
          <w:rFonts w:hint="eastAsia" w:ascii="仿宋" w:hAnsi="仿宋" w:eastAsia="仿宋" w:cs="仿宋"/>
          <w:color w:val="auto"/>
          <w:sz w:val="24"/>
          <w:szCs w:val="24"/>
          <w:highlight w:val="none"/>
        </w:rPr>
      </w:pPr>
    </w:p>
    <w:p>
      <w:pPr>
        <w:pStyle w:val="3"/>
        <w:adjustRightInd w:val="0"/>
        <w:snapToGrid w:val="0"/>
        <w:spacing w:before="0" w:after="0" w:line="400" w:lineRule="exact"/>
        <w:ind w:firstLine="482"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br w:type="page"/>
      </w:r>
      <w:bookmarkEnd w:id="169"/>
      <w:bookmarkStart w:id="170" w:name="_Toc16807"/>
      <w:bookmarkStart w:id="171" w:name="_Toc106030909"/>
      <w:bookmarkStart w:id="172" w:name="_Toc342913422"/>
      <w:bookmarkStart w:id="173" w:name="_Toc76462353"/>
      <w:bookmarkStart w:id="174" w:name="_Toc313888363"/>
      <w:bookmarkStart w:id="175" w:name="_Toc313008359"/>
      <w:bookmarkStart w:id="176" w:name="_Toc30814"/>
      <w:r>
        <w:rPr>
          <w:rFonts w:hint="eastAsia" w:ascii="仿宋" w:hAnsi="仿宋" w:eastAsia="仿宋" w:cs="仿宋"/>
          <w:color w:val="auto"/>
          <w:sz w:val="24"/>
          <w:highlight w:val="none"/>
        </w:rPr>
        <w:t>四、资格条件</w:t>
      </w:r>
      <w:bookmarkEnd w:id="170"/>
      <w:bookmarkEnd w:id="171"/>
      <w:bookmarkEnd w:id="172"/>
      <w:bookmarkEnd w:id="173"/>
      <w:bookmarkEnd w:id="174"/>
      <w:bookmarkEnd w:id="175"/>
      <w:r>
        <w:rPr>
          <w:rFonts w:hint="eastAsia" w:ascii="仿宋" w:hAnsi="仿宋" w:eastAsia="仿宋" w:cs="仿宋"/>
          <w:color w:val="auto"/>
          <w:sz w:val="24"/>
          <w:highlight w:val="none"/>
        </w:rPr>
        <w:t>及其他</w:t>
      </w:r>
      <w:bookmarkEnd w:id="176"/>
    </w:p>
    <w:p>
      <w:pPr>
        <w:tabs>
          <w:tab w:val="left" w:pos="6300"/>
        </w:tabs>
        <w:snapToGrid w:val="0"/>
        <w:spacing w:line="4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（一）法人营业执照或事业单位法人证书（副本）或个体工商户营业执照或有效的自然人身份证明或社会团体法人登记证书复印件</w:t>
      </w:r>
    </w:p>
    <w:p>
      <w:pPr>
        <w:tabs>
          <w:tab w:val="left" w:pos="6300"/>
        </w:tabs>
        <w:snapToGrid w:val="0"/>
        <w:spacing w:line="400" w:lineRule="exact"/>
        <w:ind w:firstLine="570"/>
        <w:rPr>
          <w:rFonts w:hint="eastAsia" w:ascii="仿宋" w:hAnsi="仿宋" w:eastAsia="仿宋" w:cs="仿宋"/>
          <w:color w:val="auto"/>
          <w:highlight w:val="none"/>
        </w:rPr>
      </w:pPr>
    </w:p>
    <w:p>
      <w:pPr>
        <w:tabs>
          <w:tab w:val="left" w:pos="6300"/>
        </w:tabs>
        <w:snapToGrid w:val="0"/>
        <w:spacing w:line="500" w:lineRule="exact"/>
        <w:ind w:firstLine="570"/>
        <w:rPr>
          <w:rFonts w:hint="eastAsia" w:ascii="仿宋" w:hAnsi="仿宋" w:eastAsia="仿宋" w:cs="仿宋"/>
          <w:color w:val="auto"/>
          <w:highlight w:val="none"/>
        </w:rPr>
      </w:pPr>
    </w:p>
    <w:p>
      <w:pPr>
        <w:tabs>
          <w:tab w:val="left" w:pos="6300"/>
        </w:tabs>
        <w:snapToGrid w:val="0"/>
        <w:spacing w:line="500" w:lineRule="exact"/>
        <w:ind w:firstLine="570"/>
        <w:rPr>
          <w:rFonts w:hint="eastAsia" w:ascii="仿宋" w:hAnsi="仿宋" w:eastAsia="仿宋" w:cs="仿宋"/>
          <w:color w:val="auto"/>
          <w:highlight w:val="none"/>
        </w:rPr>
      </w:pPr>
    </w:p>
    <w:p>
      <w:pPr>
        <w:tabs>
          <w:tab w:val="left" w:pos="6300"/>
        </w:tabs>
        <w:snapToGrid w:val="0"/>
        <w:spacing w:line="500" w:lineRule="exact"/>
        <w:ind w:firstLine="570"/>
        <w:rPr>
          <w:rFonts w:hint="eastAsia" w:ascii="仿宋" w:hAnsi="仿宋" w:eastAsia="仿宋" w:cs="仿宋"/>
          <w:color w:val="auto"/>
          <w:highlight w:val="none"/>
        </w:rPr>
      </w:pPr>
    </w:p>
    <w:p>
      <w:pPr>
        <w:tabs>
          <w:tab w:val="left" w:pos="6300"/>
        </w:tabs>
        <w:snapToGrid w:val="0"/>
        <w:spacing w:line="500" w:lineRule="exact"/>
        <w:ind w:firstLine="570"/>
        <w:rPr>
          <w:rFonts w:hint="eastAsia" w:ascii="仿宋" w:hAnsi="仿宋" w:eastAsia="仿宋" w:cs="仿宋"/>
          <w:color w:val="auto"/>
          <w:highlight w:val="none"/>
        </w:rPr>
      </w:pPr>
    </w:p>
    <w:p>
      <w:pPr>
        <w:snapToGrid w:val="0"/>
        <w:spacing w:line="400" w:lineRule="exact"/>
        <w:ind w:firstLine="560" w:firstLineChars="20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color w:val="auto"/>
          <w:sz w:val="24"/>
          <w:szCs w:val="24"/>
          <w:highlight w:val="none"/>
        </w:rPr>
        <w:t>（二）法定代表人身份证明书（格式）</w:t>
      </w: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磋商项目名称：</w:t>
      </w:r>
      <w:r>
        <w:rPr>
          <w:rFonts w:hint="eastAsia" w:ascii="仿宋" w:hAnsi="仿宋" w:eastAsia="仿宋" w:cs="仿宋"/>
          <w:color w:val="auto"/>
          <w:sz w:val="24"/>
          <w:highlight w:val="none"/>
          <w:u w:val="single"/>
        </w:rPr>
        <w:t xml:space="preserve">                                                </w:t>
      </w: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（采购代理机构名称）：</w:t>
      </w:r>
    </w:p>
    <w:p>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（法定代表人姓名）在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（职务名称）职务，是（供应商名称）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的法定代表人。</w:t>
      </w: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（供应商公章）</w:t>
      </w: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法定代表人电话：XXXXXXX      电子邮箱：XXXXXX@XXXXX（若授权他人办理并签署响应文件的可不填写法定代表人电话</w:t>
      </w:r>
      <w:r>
        <w:rPr>
          <w:rFonts w:hint="eastAsia" w:ascii="仿宋" w:hAnsi="仿宋" w:eastAsia="仿宋" w:cs="仿宋"/>
          <w:color w:val="auto"/>
          <w:sz w:val="24"/>
          <w:highlight w:val="none"/>
          <w:lang w:val="en-US" w:eastAsia="zh-CN"/>
        </w:rPr>
        <w:t>和电子邮箱</w:t>
      </w:r>
      <w:r>
        <w:rPr>
          <w:rFonts w:hint="eastAsia" w:ascii="仿宋" w:hAnsi="仿宋" w:eastAsia="仿宋" w:cs="仿宋"/>
          <w:color w:val="auto"/>
          <w:sz w:val="24"/>
          <w:highlight w:val="none"/>
        </w:rPr>
        <w:t>）</w:t>
      </w:r>
    </w:p>
    <w:p>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（附：法定代表人身份证正反面复印件）</w:t>
      </w: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p>
    <w:p>
      <w:pPr>
        <w:snapToGrid w:val="0"/>
        <w:spacing w:line="400" w:lineRule="exact"/>
        <w:ind w:firstLine="560" w:firstLineChars="20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column"/>
      </w:r>
      <w:r>
        <w:rPr>
          <w:rFonts w:hint="eastAsia" w:ascii="仿宋" w:hAnsi="仿宋" w:eastAsia="仿宋" w:cs="仿宋"/>
          <w:color w:val="auto"/>
          <w:sz w:val="24"/>
          <w:szCs w:val="24"/>
          <w:highlight w:val="none"/>
        </w:rPr>
        <w:t>（三）法定代表人授权委托书（格式）</w:t>
      </w:r>
    </w:p>
    <w:p>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磋商项目名称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（采购代理机构名称）：</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（供应商法定代表人名称）是</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（供应商名称）的法定代表人，特授权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（被授权人姓名及身份证代码）代表我单位全权办理上述项目的磋商、签约等具体工作，并签署全部有关文件、协议及合同。</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我单位对被授权人的</w:t>
      </w:r>
      <w:r>
        <w:rPr>
          <w:rFonts w:hint="eastAsia" w:ascii="仿宋" w:hAnsi="仿宋" w:eastAsia="仿宋" w:cs="仿宋"/>
          <w:color w:val="auto"/>
          <w:sz w:val="24"/>
          <w:szCs w:val="28"/>
          <w:highlight w:val="none"/>
        </w:rPr>
        <w:t>签署</w:t>
      </w:r>
      <w:r>
        <w:rPr>
          <w:rFonts w:hint="eastAsia" w:ascii="仿宋" w:hAnsi="仿宋" w:eastAsia="仿宋" w:cs="仿宋"/>
          <w:color w:val="auto"/>
          <w:sz w:val="24"/>
          <w:highlight w:val="none"/>
        </w:rPr>
        <w:t>负全部责任。</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                                 供应商法定代表人：</w:t>
      </w:r>
    </w:p>
    <w:p>
      <w:pPr>
        <w:tabs>
          <w:tab w:val="left" w:pos="6300"/>
        </w:tabs>
        <w:snapToGrid w:val="0"/>
        <w:spacing w:line="500" w:lineRule="exact"/>
        <w:ind w:firstLine="57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（签署或盖章）                                （签署或盖章）</w:t>
      </w:r>
    </w:p>
    <w:p>
      <w:pPr>
        <w:tabs>
          <w:tab w:val="left" w:pos="6300"/>
        </w:tabs>
        <w:snapToGrid w:val="0"/>
        <w:spacing w:line="500" w:lineRule="exact"/>
        <w:ind w:firstLine="570"/>
        <w:rPr>
          <w:rFonts w:hint="eastAsia" w:ascii="仿宋" w:hAnsi="仿宋" w:eastAsia="仿宋" w:cs="仿宋"/>
          <w:color w:val="auto"/>
          <w:sz w:val="24"/>
          <w:szCs w:val="28"/>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（附：被授权人身份证正反面复印件）</w:t>
      </w:r>
    </w:p>
    <w:p>
      <w:pPr>
        <w:tabs>
          <w:tab w:val="left" w:pos="6300"/>
        </w:tabs>
        <w:snapToGrid w:val="0"/>
        <w:spacing w:line="50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firstLine="570"/>
        <w:rPr>
          <w:rFonts w:hint="eastAsia" w:ascii="仿宋" w:hAnsi="仿宋" w:eastAsia="仿宋" w:cs="仿宋"/>
          <w:color w:val="auto"/>
          <w:sz w:val="24"/>
          <w:highlight w:val="none"/>
        </w:rPr>
      </w:pPr>
    </w:p>
    <w:p>
      <w:pPr>
        <w:tabs>
          <w:tab w:val="left" w:pos="6300"/>
        </w:tabs>
        <w:snapToGrid w:val="0"/>
        <w:spacing w:line="500" w:lineRule="exact"/>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pPr>
        <w:tabs>
          <w:tab w:val="left" w:pos="6300"/>
        </w:tabs>
        <w:snapToGrid w:val="0"/>
        <w:spacing w:line="500" w:lineRule="exact"/>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pPr>
        <w:tabs>
          <w:tab w:val="left" w:pos="6300"/>
        </w:tabs>
        <w:snapToGrid w:val="0"/>
        <w:spacing w:line="500" w:lineRule="exact"/>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被授权人电话：XXXXXXX     电子邮箱：XXXXXX@XXXXX（若法定代表人办理并签署响应文件的可不填写被授权人电话</w:t>
      </w:r>
      <w:r>
        <w:rPr>
          <w:rFonts w:hint="eastAsia" w:ascii="仿宋" w:hAnsi="仿宋" w:eastAsia="仿宋" w:cs="仿宋"/>
          <w:color w:val="auto"/>
          <w:sz w:val="24"/>
          <w:highlight w:val="none"/>
          <w:lang w:val="en-US" w:eastAsia="zh-CN"/>
        </w:rPr>
        <w:t>和电子邮箱</w:t>
      </w:r>
      <w:r>
        <w:rPr>
          <w:rFonts w:hint="eastAsia" w:ascii="仿宋" w:hAnsi="仿宋" w:eastAsia="仿宋" w:cs="仿宋"/>
          <w:color w:val="auto"/>
          <w:sz w:val="24"/>
          <w:highlight w:val="none"/>
        </w:rPr>
        <w:t>）</w:t>
      </w:r>
    </w:p>
    <w:p>
      <w:pPr>
        <w:tabs>
          <w:tab w:val="left" w:pos="6300"/>
        </w:tabs>
        <w:snapToGrid w:val="0"/>
        <w:spacing w:line="500" w:lineRule="exact"/>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pPr>
        <w:tabs>
          <w:tab w:val="left" w:pos="6300"/>
        </w:tabs>
        <w:snapToGrid w:val="0"/>
        <w:spacing w:line="500" w:lineRule="exact"/>
        <w:ind w:right="480" w:firstLine="57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1.若为法定代表人办理并签署响应文件的，不提供此文件。</w:t>
      </w:r>
    </w:p>
    <w:p>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column"/>
      </w: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8"/>
          <w:highlight w:val="none"/>
        </w:rPr>
        <w:t>基本资格条件承诺函</w:t>
      </w:r>
    </w:p>
    <w:p>
      <w:pPr>
        <w:tabs>
          <w:tab w:val="left" w:pos="6300"/>
        </w:tabs>
        <w:snapToGrid w:val="0"/>
        <w:spacing w:line="500" w:lineRule="exact"/>
        <w:ind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基本资格条件承诺函</w:t>
      </w:r>
    </w:p>
    <w:p>
      <w:pPr>
        <w:tabs>
          <w:tab w:val="left" w:pos="6300"/>
        </w:tabs>
        <w:snapToGrid w:val="0"/>
        <w:spacing w:line="530" w:lineRule="exact"/>
        <w:rPr>
          <w:rFonts w:hint="eastAsia" w:ascii="仿宋" w:hAnsi="仿宋" w:eastAsia="仿宋" w:cs="仿宋"/>
          <w:color w:val="auto"/>
          <w:sz w:val="24"/>
          <w:highlight w:val="none"/>
        </w:rPr>
      </w:pP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（采购代理机构名称）：</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（供应商名称）郑重承诺：</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1.我方具有良好的商业信誉和健全的财务会计制度，具有履行合同所必需的设备和专业技术能力，具</w:t>
      </w:r>
      <w:r>
        <w:rPr>
          <w:rFonts w:hint="eastAsia" w:ascii="仿宋" w:hAnsi="仿宋" w:eastAsia="仿宋" w:cs="仿宋"/>
          <w:color w:val="auto"/>
          <w:sz w:val="24"/>
          <w:highlight w:val="none"/>
          <w:lang w:val="zh-CN"/>
        </w:rPr>
        <w:t>有依法缴纳税收和社会保障金的良好记录</w:t>
      </w:r>
      <w:r>
        <w:rPr>
          <w:rFonts w:hint="eastAsia" w:ascii="仿宋" w:hAnsi="仿宋" w:eastAsia="仿宋" w:cs="仿宋"/>
          <w:color w:val="auto"/>
          <w:sz w:val="24"/>
          <w:highlight w:val="none"/>
        </w:rPr>
        <w:t>，参加本项目采购活动前三年内无重大违法活动记录。</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我方对以上承诺负全部法律责任。</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pPr>
        <w:tabs>
          <w:tab w:val="left" w:pos="6300"/>
        </w:tabs>
        <w:snapToGrid w:val="0"/>
        <w:spacing w:line="500" w:lineRule="exact"/>
        <w:ind w:firstLine="480" w:firstLineChars="200"/>
        <w:rPr>
          <w:rFonts w:hint="eastAsia" w:ascii="仿宋" w:hAnsi="仿宋" w:eastAsia="仿宋" w:cs="仿宋"/>
          <w:color w:val="auto"/>
          <w:sz w:val="24"/>
          <w:highlight w:val="none"/>
        </w:rPr>
      </w:pPr>
    </w:p>
    <w:p>
      <w:pPr>
        <w:tabs>
          <w:tab w:val="left" w:pos="6300"/>
        </w:tabs>
        <w:snapToGrid w:val="0"/>
        <w:spacing w:line="500" w:lineRule="exact"/>
        <w:ind w:firstLine="480" w:firstLineChars="20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pPr>
        <w:tabs>
          <w:tab w:val="left" w:pos="6300"/>
        </w:tabs>
        <w:snapToGrid w:val="0"/>
        <w:spacing w:line="500" w:lineRule="exact"/>
        <w:jc w:val="righ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年   月   日</w:t>
      </w:r>
    </w:p>
    <w:p>
      <w:pPr>
        <w:snapToGrid w:val="0"/>
        <w:spacing w:line="400" w:lineRule="exact"/>
        <w:ind w:firstLine="560" w:firstLineChars="200"/>
        <w:rPr>
          <w:rFonts w:hint="eastAsia" w:ascii="仿宋" w:hAnsi="仿宋" w:eastAsia="仿宋" w:cs="仿宋"/>
          <w:color w:val="auto"/>
          <w:sz w:val="24"/>
          <w:szCs w:val="24"/>
          <w:highlight w:val="none"/>
        </w:rPr>
      </w:pPr>
      <w:r>
        <w:rPr>
          <w:rFonts w:hint="eastAsia" w:ascii="仿宋" w:hAnsi="仿宋" w:eastAsia="仿宋" w:cs="仿宋"/>
          <w:color w:val="auto"/>
          <w:highlight w:val="none"/>
        </w:rPr>
        <w:br w:type="page"/>
      </w:r>
      <w:r>
        <w:rPr>
          <w:rFonts w:hint="eastAsia" w:ascii="仿宋" w:hAnsi="仿宋" w:eastAsia="仿宋" w:cs="仿宋"/>
          <w:color w:val="auto"/>
          <w:sz w:val="24"/>
          <w:szCs w:val="24"/>
          <w:highlight w:val="none"/>
        </w:rPr>
        <w:t>（五）特定资格条件证明文件</w:t>
      </w:r>
    </w:p>
    <w:p>
      <w:pPr>
        <w:tabs>
          <w:tab w:val="left" w:pos="6300"/>
        </w:tabs>
        <w:snapToGrid w:val="0"/>
        <w:spacing w:line="400" w:lineRule="exact"/>
        <w:ind w:firstLine="480" w:firstLineChars="200"/>
        <w:rPr>
          <w:rFonts w:hint="eastAsia" w:ascii="仿宋" w:hAnsi="仿宋" w:eastAsia="仿宋" w:cs="仿宋"/>
          <w:color w:val="auto"/>
          <w:sz w:val="24"/>
          <w:szCs w:val="24"/>
          <w:highlight w:val="none"/>
        </w:rPr>
      </w:pPr>
    </w:p>
    <w:p>
      <w:pPr>
        <w:pStyle w:val="3"/>
        <w:adjustRightInd w:val="0"/>
        <w:snapToGrid w:val="0"/>
        <w:spacing w:before="0" w:after="0" w:line="400" w:lineRule="exact"/>
        <w:ind w:firstLine="560" w:firstLineChars="200"/>
        <w:rPr>
          <w:rFonts w:hint="eastAsia" w:ascii="仿宋" w:hAnsi="仿宋" w:eastAsia="仿宋" w:cs="仿宋"/>
          <w:color w:val="auto"/>
          <w:sz w:val="24"/>
          <w:highlight w:val="none"/>
        </w:rPr>
      </w:pPr>
      <w:bookmarkStart w:id="177" w:name="_Toc14422"/>
      <w:r>
        <w:rPr>
          <w:rFonts w:hint="eastAsia" w:ascii="仿宋" w:hAnsi="仿宋" w:eastAsia="仿宋" w:cs="仿宋"/>
          <w:b w:val="0"/>
          <w:color w:val="auto"/>
          <w:sz w:val="28"/>
          <w:highlight w:val="none"/>
        </w:rPr>
        <w:br w:type="page"/>
      </w:r>
      <w:bookmarkStart w:id="178" w:name="_Toc106030910"/>
      <w:bookmarkStart w:id="179" w:name="_Toc29448"/>
      <w:bookmarkStart w:id="180" w:name="_Toc76462354"/>
      <w:bookmarkStart w:id="181" w:name="_Toc22683"/>
      <w:r>
        <w:rPr>
          <w:rFonts w:hint="eastAsia" w:ascii="仿宋" w:hAnsi="仿宋" w:eastAsia="仿宋" w:cs="仿宋"/>
          <w:color w:val="auto"/>
          <w:sz w:val="24"/>
          <w:highlight w:val="none"/>
        </w:rPr>
        <w:t>五、其他资料</w:t>
      </w:r>
      <w:bookmarkEnd w:id="177"/>
      <w:bookmarkEnd w:id="178"/>
      <w:bookmarkEnd w:id="179"/>
      <w:bookmarkEnd w:id="180"/>
      <w:bookmarkEnd w:id="181"/>
    </w:p>
    <w:p>
      <w:pPr>
        <w:tabs>
          <w:tab w:val="left" w:pos="6300"/>
        </w:tabs>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（一）中小企业声明函、监狱企业证明文件、残疾人福利性单位声明函</w:t>
      </w:r>
    </w:p>
    <w:p>
      <w:pPr>
        <w:tabs>
          <w:tab w:val="left" w:pos="6300"/>
        </w:tabs>
        <w:snapToGrid w:val="0"/>
        <w:spacing w:line="500" w:lineRule="exact"/>
        <w:ind w:firstLine="560" w:firstLineChars="200"/>
        <w:jc w:val="center"/>
        <w:rPr>
          <w:rFonts w:hint="eastAsia" w:ascii="仿宋" w:hAnsi="仿宋" w:eastAsia="仿宋" w:cs="仿宋"/>
          <w:color w:val="auto"/>
          <w:highlight w:val="none"/>
        </w:rPr>
      </w:pPr>
      <w:r>
        <w:rPr>
          <w:rFonts w:hint="eastAsia" w:ascii="仿宋" w:hAnsi="仿宋" w:eastAsia="仿宋" w:cs="仿宋"/>
          <w:color w:val="auto"/>
          <w:highlight w:val="none"/>
        </w:rPr>
        <w:t>中小企业声明函</w:t>
      </w:r>
    </w:p>
    <w:p>
      <w:pPr>
        <w:tabs>
          <w:tab w:val="left" w:pos="6300"/>
        </w:tabs>
        <w:snapToGrid w:val="0"/>
        <w:spacing w:line="5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本公司郑重声明，根据《政府采购促进中小企业发展管理办法》（</w:t>
      </w:r>
      <w:r>
        <w:rPr>
          <w:rFonts w:hint="eastAsia" w:ascii="仿宋" w:hAnsi="仿宋" w:eastAsia="仿宋" w:cs="仿宋"/>
          <w:color w:val="auto"/>
          <w:sz w:val="24"/>
          <w:szCs w:val="24"/>
          <w:highlight w:val="none"/>
        </w:rPr>
        <w:t>财库〔2020〕46号</w:t>
      </w:r>
      <w:r>
        <w:rPr>
          <w:rFonts w:hint="eastAsia" w:ascii="仿宋" w:hAnsi="仿宋" w:eastAsia="仿宋" w:cs="仿宋"/>
          <w:color w:val="auto"/>
          <w:sz w:val="24"/>
          <w:szCs w:val="28"/>
          <w:highlight w:val="none"/>
        </w:rPr>
        <w:t>）的规定，本公司参加</w:t>
      </w:r>
      <w:r>
        <w:rPr>
          <w:rFonts w:hint="eastAsia" w:ascii="仿宋" w:hAnsi="仿宋" w:eastAsia="仿宋" w:cs="仿宋"/>
          <w:i/>
          <w:color w:val="auto"/>
          <w:sz w:val="24"/>
          <w:szCs w:val="28"/>
          <w:highlight w:val="none"/>
          <w:u w:val="single"/>
        </w:rPr>
        <w:t>（单位名称）</w:t>
      </w:r>
      <w:r>
        <w:rPr>
          <w:rFonts w:hint="eastAsia" w:ascii="仿宋" w:hAnsi="仿宋" w:eastAsia="仿宋" w:cs="仿宋"/>
          <w:color w:val="auto"/>
          <w:sz w:val="24"/>
          <w:szCs w:val="28"/>
          <w:highlight w:val="none"/>
        </w:rPr>
        <w:t>的</w:t>
      </w:r>
      <w:r>
        <w:rPr>
          <w:rFonts w:hint="eastAsia" w:ascii="仿宋" w:hAnsi="仿宋" w:eastAsia="仿宋" w:cs="仿宋"/>
          <w:i/>
          <w:color w:val="auto"/>
          <w:sz w:val="24"/>
          <w:szCs w:val="28"/>
          <w:highlight w:val="none"/>
          <w:u w:val="single"/>
        </w:rPr>
        <w:t>（项目名称）</w:t>
      </w:r>
      <w:r>
        <w:rPr>
          <w:rFonts w:hint="eastAsia" w:ascii="仿宋" w:hAnsi="仿宋" w:eastAsia="仿宋" w:cs="仿宋"/>
          <w:color w:val="auto"/>
          <w:sz w:val="24"/>
          <w:szCs w:val="28"/>
          <w:highlight w:val="none"/>
        </w:rPr>
        <w:t>采购活动，服务全部由符合政策要求的中小企业承接。相关企业的具体情况如下：</w:t>
      </w:r>
    </w:p>
    <w:p>
      <w:pPr>
        <w:tabs>
          <w:tab w:val="left" w:pos="6300"/>
        </w:tabs>
        <w:snapToGrid w:val="0"/>
        <w:spacing w:line="5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1.</w:t>
      </w:r>
      <w:r>
        <w:rPr>
          <w:rFonts w:hint="eastAsia" w:ascii="仿宋" w:hAnsi="仿宋" w:eastAsia="仿宋" w:cs="仿宋"/>
          <w:i/>
          <w:color w:val="auto"/>
          <w:sz w:val="24"/>
          <w:szCs w:val="28"/>
          <w:highlight w:val="none"/>
          <w:u w:val="single"/>
        </w:rPr>
        <w:t>（标的名称）</w:t>
      </w:r>
      <w:r>
        <w:rPr>
          <w:rFonts w:hint="eastAsia" w:ascii="仿宋" w:hAnsi="仿宋" w:eastAsia="仿宋" w:cs="仿宋"/>
          <w:color w:val="auto"/>
          <w:sz w:val="24"/>
          <w:szCs w:val="28"/>
          <w:highlight w:val="none"/>
        </w:rPr>
        <w:t>，属于</w:t>
      </w:r>
      <w:r>
        <w:rPr>
          <w:rFonts w:hint="eastAsia" w:ascii="仿宋" w:hAnsi="仿宋" w:eastAsia="仿宋" w:cs="仿宋"/>
          <w:i/>
          <w:color w:val="auto"/>
          <w:sz w:val="24"/>
          <w:szCs w:val="28"/>
          <w:highlight w:val="none"/>
          <w:u w:val="single"/>
        </w:rPr>
        <w:t>（采购文件中明确的所属行业）</w:t>
      </w:r>
      <w:r>
        <w:rPr>
          <w:rFonts w:hint="eastAsia" w:ascii="仿宋" w:hAnsi="仿宋" w:eastAsia="仿宋" w:cs="仿宋"/>
          <w:color w:val="auto"/>
          <w:sz w:val="24"/>
          <w:szCs w:val="28"/>
          <w:highlight w:val="none"/>
        </w:rPr>
        <w:t>；承接企业为</w:t>
      </w:r>
      <w:r>
        <w:rPr>
          <w:rFonts w:hint="eastAsia" w:ascii="仿宋" w:hAnsi="仿宋" w:eastAsia="仿宋" w:cs="仿宋"/>
          <w:i/>
          <w:color w:val="auto"/>
          <w:sz w:val="24"/>
          <w:szCs w:val="28"/>
          <w:highlight w:val="none"/>
          <w:u w:val="single"/>
        </w:rPr>
        <w:t>（企业名称）</w:t>
      </w:r>
      <w:r>
        <w:rPr>
          <w:rFonts w:hint="eastAsia" w:ascii="仿宋" w:hAnsi="仿宋" w:eastAsia="仿宋" w:cs="仿宋"/>
          <w:color w:val="auto"/>
          <w:sz w:val="24"/>
          <w:szCs w:val="28"/>
          <w:highlight w:val="none"/>
        </w:rPr>
        <w:t>，从业人员</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人，营业收入为</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万元，资产总额为</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万元，属于</w:t>
      </w:r>
      <w:r>
        <w:rPr>
          <w:rFonts w:hint="eastAsia" w:ascii="仿宋" w:hAnsi="仿宋" w:eastAsia="仿宋" w:cs="仿宋"/>
          <w:i/>
          <w:color w:val="auto"/>
          <w:sz w:val="24"/>
          <w:szCs w:val="28"/>
          <w:highlight w:val="none"/>
          <w:u w:val="single"/>
        </w:rPr>
        <w:t>（中型企业、小型企业、微型企业）</w:t>
      </w:r>
      <w:r>
        <w:rPr>
          <w:rFonts w:hint="eastAsia" w:ascii="仿宋" w:hAnsi="仿宋" w:eastAsia="仿宋" w:cs="仿宋"/>
          <w:color w:val="auto"/>
          <w:sz w:val="24"/>
          <w:szCs w:val="28"/>
          <w:highlight w:val="none"/>
        </w:rPr>
        <w:t>；</w:t>
      </w:r>
    </w:p>
    <w:p>
      <w:pPr>
        <w:tabs>
          <w:tab w:val="left" w:pos="6300"/>
        </w:tabs>
        <w:snapToGrid w:val="0"/>
        <w:spacing w:line="5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为本标的提供的服务人员</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人，其中与本企业签订劳动合同</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人，其他人员</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人。有其他人员的不符合中小企业扶持政策（适用于服务采购项目）;</w:t>
      </w:r>
    </w:p>
    <w:p>
      <w:pPr>
        <w:tabs>
          <w:tab w:val="left" w:pos="6300"/>
        </w:tabs>
        <w:snapToGrid w:val="0"/>
        <w:spacing w:line="5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2.</w:t>
      </w:r>
      <w:r>
        <w:rPr>
          <w:rFonts w:hint="eastAsia" w:ascii="仿宋" w:hAnsi="仿宋" w:eastAsia="仿宋" w:cs="仿宋"/>
          <w:i/>
          <w:color w:val="auto"/>
          <w:sz w:val="24"/>
          <w:szCs w:val="28"/>
          <w:highlight w:val="none"/>
          <w:u w:val="single"/>
        </w:rPr>
        <w:t xml:space="preserve"> （标的名称）</w:t>
      </w:r>
      <w:r>
        <w:rPr>
          <w:rFonts w:hint="eastAsia" w:ascii="仿宋" w:hAnsi="仿宋" w:eastAsia="仿宋" w:cs="仿宋"/>
          <w:color w:val="auto"/>
          <w:sz w:val="24"/>
          <w:szCs w:val="28"/>
          <w:highlight w:val="none"/>
        </w:rPr>
        <w:t>，属于</w:t>
      </w:r>
      <w:r>
        <w:rPr>
          <w:rFonts w:hint="eastAsia" w:ascii="仿宋" w:hAnsi="仿宋" w:eastAsia="仿宋" w:cs="仿宋"/>
          <w:i/>
          <w:color w:val="auto"/>
          <w:sz w:val="24"/>
          <w:szCs w:val="28"/>
          <w:highlight w:val="none"/>
          <w:u w:val="single"/>
        </w:rPr>
        <w:t>（采购文件中明确的所属行业）</w:t>
      </w:r>
      <w:r>
        <w:rPr>
          <w:rFonts w:hint="eastAsia" w:ascii="仿宋" w:hAnsi="仿宋" w:eastAsia="仿宋" w:cs="仿宋"/>
          <w:color w:val="auto"/>
          <w:sz w:val="24"/>
          <w:szCs w:val="28"/>
          <w:highlight w:val="none"/>
        </w:rPr>
        <w:t>；承接企业为</w:t>
      </w:r>
      <w:r>
        <w:rPr>
          <w:rFonts w:hint="eastAsia" w:ascii="仿宋" w:hAnsi="仿宋" w:eastAsia="仿宋" w:cs="仿宋"/>
          <w:i/>
          <w:color w:val="auto"/>
          <w:sz w:val="24"/>
          <w:szCs w:val="28"/>
          <w:highlight w:val="none"/>
          <w:u w:val="single"/>
        </w:rPr>
        <w:t>（企业名称）</w:t>
      </w:r>
      <w:r>
        <w:rPr>
          <w:rFonts w:hint="eastAsia" w:ascii="仿宋" w:hAnsi="仿宋" w:eastAsia="仿宋" w:cs="仿宋"/>
          <w:color w:val="auto"/>
          <w:sz w:val="24"/>
          <w:szCs w:val="28"/>
          <w:highlight w:val="none"/>
        </w:rPr>
        <w:t>，从业人员</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人，营业收入为</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万元，资产总额为</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万元，属于</w:t>
      </w:r>
      <w:r>
        <w:rPr>
          <w:rFonts w:hint="eastAsia" w:ascii="仿宋" w:hAnsi="仿宋" w:eastAsia="仿宋" w:cs="仿宋"/>
          <w:i/>
          <w:color w:val="auto"/>
          <w:sz w:val="24"/>
          <w:szCs w:val="28"/>
          <w:highlight w:val="none"/>
          <w:u w:val="single"/>
        </w:rPr>
        <w:t>（中型企业、小型企业、微型企业）</w:t>
      </w:r>
      <w:r>
        <w:rPr>
          <w:rFonts w:hint="eastAsia" w:ascii="仿宋" w:hAnsi="仿宋" w:eastAsia="仿宋" w:cs="仿宋"/>
          <w:color w:val="auto"/>
          <w:sz w:val="24"/>
          <w:szCs w:val="28"/>
          <w:highlight w:val="none"/>
        </w:rPr>
        <w:t>；</w:t>
      </w:r>
    </w:p>
    <w:p>
      <w:pPr>
        <w:tabs>
          <w:tab w:val="left" w:pos="6300"/>
        </w:tabs>
        <w:snapToGrid w:val="0"/>
        <w:spacing w:line="5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为本标的提供的服务人员</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人，其中与本企业签订劳动合同</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人，其他人员</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人。有其他人员的不符合中小企业扶持政策（适用于服务采购项目）;</w:t>
      </w:r>
    </w:p>
    <w:p>
      <w:pPr>
        <w:tabs>
          <w:tab w:val="left" w:pos="6300"/>
        </w:tabs>
        <w:snapToGrid w:val="0"/>
        <w:spacing w:line="5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w:t>
      </w:r>
    </w:p>
    <w:p>
      <w:pPr>
        <w:tabs>
          <w:tab w:val="left" w:pos="6300"/>
        </w:tabs>
        <w:snapToGrid w:val="0"/>
        <w:spacing w:line="5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以上企业，不属于大企业的分支机构，不存在控股股东为大企业的情形，也不存在与大企业的负责人为同一人的情形。</w:t>
      </w:r>
    </w:p>
    <w:p>
      <w:pPr>
        <w:tabs>
          <w:tab w:val="left" w:pos="6300"/>
        </w:tabs>
        <w:snapToGrid w:val="0"/>
        <w:spacing w:line="5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本企业对上述声明内容的真实性负责。如有虚假，将依法承担相应责任。</w:t>
      </w:r>
    </w:p>
    <w:p>
      <w:pPr>
        <w:tabs>
          <w:tab w:val="left" w:pos="6300"/>
        </w:tabs>
        <w:snapToGrid w:val="0"/>
        <w:spacing w:line="5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w:t>
      </w:r>
    </w:p>
    <w:p>
      <w:pPr>
        <w:tabs>
          <w:tab w:val="left" w:pos="6300"/>
        </w:tabs>
        <w:snapToGrid w:val="0"/>
        <w:spacing w:line="500" w:lineRule="exact"/>
        <w:ind w:firstLine="6120" w:firstLineChars="25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企业名称（盖章）： </w:t>
      </w:r>
    </w:p>
    <w:p>
      <w:pPr>
        <w:tabs>
          <w:tab w:val="left" w:pos="6300"/>
        </w:tabs>
        <w:snapToGrid w:val="0"/>
        <w:spacing w:line="500" w:lineRule="exact"/>
        <w:ind w:right="784" w:firstLine="6120" w:firstLineChars="255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日期：</w:t>
      </w:r>
    </w:p>
    <w:p>
      <w:pPr>
        <w:tabs>
          <w:tab w:val="left" w:pos="6300"/>
        </w:tabs>
        <w:snapToGrid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填写时应注意以下事项：</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1.从业人员、营业收入、资产总额填报上一年度数据，无上一年度数据的新成立企业可不填报。</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2.中小企业应当按照《中小企业划型标准规定》（工信部联企业〔2011〕300号），如实填写并提交《中小企业声明函》。</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3.供应商填写《中小企业声明函》中所属行业时，应与采购文件第一篇“采购标的对应的中小企业划分标准所属行业”中填写的所属行业一致。</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4.本声明函“企业名称（盖章）”处为供应商盖章。</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注：各行业划型标准：</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tabs>
          <w:tab w:val="left" w:pos="6300"/>
        </w:tabs>
        <w:snapToGrid w:val="0"/>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（十六）其他未列明行业。从业人员300人以下的为中小微型企业。其中，从业人员100人及以上的为中型企业；从业人员10人及以上的为小型企业；从业人员10人以下的为微型企业。</w:t>
      </w:r>
    </w:p>
    <w:p>
      <w:pPr>
        <w:tabs>
          <w:tab w:val="left" w:pos="6300"/>
        </w:tabs>
        <w:snapToGrid w:val="0"/>
        <w:spacing w:line="500" w:lineRule="exact"/>
        <w:ind w:firstLine="480" w:firstLineChars="200"/>
        <w:jc w:val="center"/>
        <w:rPr>
          <w:rFonts w:hint="eastAsia" w:ascii="仿宋" w:hAnsi="仿宋" w:eastAsia="仿宋" w:cs="仿宋"/>
          <w:color w:val="auto"/>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highlight w:val="none"/>
        </w:rPr>
        <w:t>监狱企业证明文件</w:t>
      </w:r>
    </w:p>
    <w:p>
      <w:pPr>
        <w:tabs>
          <w:tab w:val="left" w:pos="6300"/>
        </w:tabs>
        <w:snapToGrid w:val="0"/>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以省级以上监狱管理局、戒毒管理局（含新疆生产建设兵团）出具的属于监狱企业的证明文件为准。</w:t>
      </w:r>
    </w:p>
    <w:p>
      <w:pPr>
        <w:tabs>
          <w:tab w:val="left" w:pos="6300"/>
        </w:tabs>
        <w:snapToGrid w:val="0"/>
        <w:spacing w:line="500" w:lineRule="exact"/>
        <w:ind w:firstLine="480" w:firstLineChars="200"/>
        <w:jc w:val="center"/>
        <w:rPr>
          <w:rFonts w:hint="eastAsia" w:ascii="仿宋" w:hAnsi="仿宋" w:eastAsia="仿宋" w:cs="仿宋"/>
          <w:color w:val="auto"/>
          <w:highlight w:val="none"/>
        </w:rPr>
      </w:pPr>
      <w:r>
        <w:rPr>
          <w:rFonts w:hint="eastAsia" w:ascii="仿宋" w:hAnsi="仿宋" w:eastAsia="仿宋" w:cs="仿宋"/>
          <w:color w:val="auto"/>
          <w:sz w:val="24"/>
          <w:highlight w:val="none"/>
        </w:rPr>
        <w:br w:type="page"/>
      </w:r>
      <w:r>
        <w:rPr>
          <w:rFonts w:hint="eastAsia" w:ascii="仿宋" w:hAnsi="仿宋" w:eastAsia="仿宋" w:cs="仿宋"/>
          <w:color w:val="auto"/>
          <w:highlight w:val="none"/>
        </w:rPr>
        <w:t>残疾人福利性单位声明函</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tabs>
          <w:tab w:val="left" w:pos="6300"/>
        </w:tabs>
        <w:snapToGrid w:val="0"/>
        <w:spacing w:line="500" w:lineRule="exact"/>
        <w:ind w:firstLine="480" w:firstLineChars="200"/>
        <w:rPr>
          <w:rFonts w:hint="eastAsia" w:ascii="仿宋" w:hAnsi="仿宋" w:eastAsia="仿宋" w:cs="仿宋"/>
          <w:color w:val="auto"/>
          <w:sz w:val="24"/>
          <w:highlight w:val="none"/>
        </w:rPr>
      </w:pPr>
    </w:p>
    <w:p>
      <w:pPr>
        <w:tabs>
          <w:tab w:val="left" w:pos="6300"/>
        </w:tabs>
        <w:snapToGrid w:val="0"/>
        <w:spacing w:line="500" w:lineRule="exact"/>
        <w:ind w:firstLine="480" w:firstLineChars="200"/>
        <w:rPr>
          <w:rFonts w:hint="eastAsia" w:ascii="仿宋" w:hAnsi="仿宋" w:eastAsia="仿宋" w:cs="仿宋"/>
          <w:color w:val="auto"/>
          <w:sz w:val="24"/>
          <w:highlight w:val="none"/>
        </w:rPr>
      </w:pPr>
    </w:p>
    <w:p>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供应商名称（盖章）：</w:t>
      </w:r>
    </w:p>
    <w:p>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pPr>
        <w:snapToGrid w:val="0"/>
        <w:spacing w:line="440" w:lineRule="exact"/>
        <w:ind w:firstLine="480" w:firstLineChars="200"/>
        <w:rPr>
          <w:rFonts w:hint="eastAsia" w:ascii="仿宋" w:hAnsi="仿宋" w:eastAsia="仿宋" w:cs="仿宋"/>
          <w:color w:val="auto"/>
          <w:sz w:val="24"/>
          <w:highlight w:val="none"/>
        </w:rPr>
      </w:pPr>
    </w:p>
    <w:p>
      <w:pPr>
        <w:snapToGrid w:val="0"/>
        <w:spacing w:line="440" w:lineRule="exact"/>
        <w:ind w:firstLine="480" w:firstLineChars="200"/>
        <w:rPr>
          <w:rFonts w:hint="eastAsia" w:ascii="仿宋" w:hAnsi="仿宋" w:eastAsia="仿宋" w:cs="仿宋"/>
          <w:color w:val="auto"/>
          <w:sz w:val="24"/>
          <w:highlight w:val="none"/>
        </w:rPr>
      </w:pPr>
    </w:p>
    <w:p>
      <w:pPr>
        <w:snapToGrid w:val="0"/>
        <w:spacing w:line="440" w:lineRule="exact"/>
        <w:ind w:firstLine="480" w:firstLineChars="200"/>
        <w:rPr>
          <w:rFonts w:hint="eastAsia" w:ascii="仿宋" w:hAnsi="仿宋" w:eastAsia="仿宋" w:cs="仿宋"/>
          <w:color w:val="auto"/>
          <w:sz w:val="24"/>
          <w:highlight w:val="none"/>
        </w:rPr>
      </w:pPr>
    </w:p>
    <w:p>
      <w:pPr>
        <w:snapToGrid w:val="0"/>
        <w:spacing w:line="440" w:lineRule="exact"/>
        <w:ind w:firstLine="480" w:firstLineChars="200"/>
        <w:rPr>
          <w:rFonts w:hint="eastAsia" w:ascii="仿宋" w:hAnsi="仿宋" w:eastAsia="仿宋" w:cs="仿宋"/>
          <w:color w:val="auto"/>
          <w:sz w:val="24"/>
          <w:highlight w:val="none"/>
        </w:rPr>
      </w:pPr>
    </w:p>
    <w:p>
      <w:pPr>
        <w:snapToGrid w:val="0"/>
        <w:spacing w:line="440" w:lineRule="exact"/>
        <w:ind w:firstLine="480" w:firstLineChars="200"/>
        <w:rPr>
          <w:rFonts w:hint="eastAsia" w:ascii="仿宋" w:hAnsi="仿宋" w:eastAsia="仿宋" w:cs="仿宋"/>
          <w:color w:val="auto"/>
          <w:sz w:val="24"/>
          <w:highlight w:val="none"/>
        </w:rPr>
      </w:pPr>
    </w:p>
    <w:p>
      <w:pPr>
        <w:snapToGrid w:val="0"/>
        <w:spacing w:line="440" w:lineRule="exact"/>
        <w:ind w:firstLine="480" w:firstLineChars="200"/>
        <w:rPr>
          <w:rFonts w:hint="eastAsia" w:ascii="仿宋" w:hAnsi="仿宋" w:eastAsia="仿宋" w:cs="仿宋"/>
          <w:color w:val="auto"/>
          <w:sz w:val="24"/>
          <w:highlight w:val="none"/>
        </w:rPr>
      </w:pPr>
    </w:p>
    <w:p>
      <w:pPr>
        <w:snapToGrid w:val="0"/>
        <w:spacing w:line="440" w:lineRule="exact"/>
        <w:ind w:firstLine="480" w:firstLineChars="200"/>
        <w:rPr>
          <w:rFonts w:hint="eastAsia" w:ascii="仿宋" w:hAnsi="仿宋" w:eastAsia="仿宋" w:cs="仿宋"/>
          <w:color w:val="auto"/>
          <w:sz w:val="24"/>
          <w:highlight w:val="none"/>
        </w:rPr>
      </w:pPr>
    </w:p>
    <w:p>
      <w:pPr>
        <w:snapToGrid w:val="0"/>
        <w:spacing w:line="440" w:lineRule="exact"/>
        <w:ind w:firstLine="480" w:firstLineChars="200"/>
        <w:rPr>
          <w:rFonts w:hint="eastAsia" w:ascii="仿宋" w:hAnsi="仿宋" w:eastAsia="仿宋" w:cs="仿宋"/>
          <w:color w:val="auto"/>
          <w:sz w:val="24"/>
          <w:highlight w:val="none"/>
        </w:rPr>
      </w:pPr>
    </w:p>
    <w:p>
      <w:pPr>
        <w:snapToGrid w:val="0"/>
        <w:spacing w:line="440" w:lineRule="exact"/>
        <w:ind w:firstLine="480" w:firstLineChars="200"/>
        <w:rPr>
          <w:rFonts w:hint="eastAsia" w:ascii="仿宋" w:hAnsi="仿宋" w:eastAsia="仿宋" w:cs="仿宋"/>
          <w:color w:val="auto"/>
          <w:sz w:val="24"/>
          <w:highlight w:val="none"/>
        </w:rPr>
      </w:pPr>
    </w:p>
    <w:p>
      <w:pPr>
        <w:snapToGrid w:val="0"/>
        <w:spacing w:line="440" w:lineRule="exact"/>
        <w:ind w:firstLine="480" w:firstLineChars="200"/>
        <w:rPr>
          <w:rFonts w:hint="eastAsia" w:ascii="仿宋" w:hAnsi="仿宋" w:eastAsia="仿宋" w:cs="仿宋"/>
          <w:color w:val="auto"/>
          <w:sz w:val="24"/>
          <w:highlight w:val="none"/>
        </w:rPr>
      </w:pPr>
    </w:p>
    <w:p>
      <w:pPr>
        <w:snapToGrid w:val="0"/>
        <w:spacing w:line="440" w:lineRule="exact"/>
        <w:ind w:firstLine="480" w:firstLineChars="200"/>
        <w:rPr>
          <w:rFonts w:hint="eastAsia" w:ascii="仿宋" w:hAnsi="仿宋" w:eastAsia="仿宋" w:cs="仿宋"/>
          <w:color w:val="auto"/>
          <w:sz w:val="24"/>
          <w:highlight w:val="none"/>
        </w:rPr>
      </w:pPr>
    </w:p>
    <w:p>
      <w:pPr>
        <w:snapToGrid w:val="0"/>
        <w:spacing w:line="440" w:lineRule="exact"/>
        <w:ind w:firstLine="480" w:firstLineChars="200"/>
        <w:rPr>
          <w:rFonts w:hint="eastAsia" w:ascii="仿宋" w:hAnsi="仿宋" w:eastAsia="仿宋" w:cs="仿宋"/>
          <w:color w:val="auto"/>
          <w:sz w:val="24"/>
          <w:highlight w:val="none"/>
        </w:rPr>
      </w:pPr>
    </w:p>
    <w:p>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若成交供应商为残疾人福利性单位的，将在结果公告时公告其《残疾人福利性单位声明函》。</w:t>
      </w:r>
    </w:p>
    <w:p>
      <w:pPr>
        <w:snapToGrid w:val="0"/>
        <w:spacing w:line="440" w:lineRule="exact"/>
        <w:ind w:firstLine="480" w:firstLineChars="200"/>
        <w:rPr>
          <w:rFonts w:hint="eastAsia" w:ascii="仿宋" w:hAnsi="仿宋" w:eastAsia="仿宋" w:cs="仿宋"/>
          <w:color w:val="auto"/>
          <w:sz w:val="24"/>
          <w:highlight w:val="none"/>
        </w:rPr>
      </w:pPr>
    </w:p>
    <w:p>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color w:val="auto"/>
          <w:sz w:val="24"/>
          <w:szCs w:val="24"/>
          <w:highlight w:val="none"/>
        </w:rPr>
        <w:t>（二）其他与项目有关的资料</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其他与项目有关的资料（自附）：供应商总体情况介绍、其他与本项目有关的资料等。</w:t>
      </w:r>
    </w:p>
    <w:p>
      <w:pPr>
        <w:spacing w:line="360" w:lineRule="auto"/>
        <w:ind w:firstLine="480" w:firstLineChars="200"/>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rPr>
          <w:rFonts w:hint="eastAsia" w:ascii="仿宋" w:hAnsi="仿宋" w:eastAsia="仿宋" w:cs="仿宋"/>
          <w:color w:val="auto"/>
          <w:sz w:val="24"/>
          <w:szCs w:val="24"/>
          <w:highlight w:val="none"/>
        </w:rPr>
      </w:pPr>
    </w:p>
    <w:p>
      <w:pPr>
        <w:spacing w:line="360" w:lineRule="auto"/>
        <w:ind w:firstLine="480" w:firstLineChars="200"/>
        <w:jc w:val="center"/>
        <w:outlineLvl w:val="0"/>
        <w:rPr>
          <w:rFonts w:hint="eastAsia" w:ascii="仿宋" w:hAnsi="仿宋" w:eastAsia="仿宋" w:cs="仿宋"/>
          <w:color w:val="auto"/>
          <w:highlight w:val="none"/>
        </w:rPr>
      </w:pPr>
      <w:r>
        <w:rPr>
          <w:rFonts w:hint="eastAsia" w:ascii="仿宋" w:hAnsi="仿宋" w:eastAsia="仿宋" w:cs="仿宋"/>
          <w:color w:val="auto"/>
          <w:sz w:val="24"/>
          <w:szCs w:val="24"/>
          <w:highlight w:val="none"/>
        </w:rPr>
        <w:t>（结束）</w:t>
      </w:r>
    </w:p>
    <w:p>
      <w:pPr>
        <w:spacing w:line="360" w:lineRule="auto"/>
        <w:ind w:firstLine="480" w:firstLineChars="200"/>
        <w:jc w:val="center"/>
        <w:rPr>
          <w:rFonts w:hint="eastAsia" w:ascii="仿宋" w:hAnsi="仿宋" w:eastAsia="仿宋" w:cs="仿宋"/>
          <w:color w:val="auto"/>
          <w:sz w:val="24"/>
          <w:szCs w:val="24"/>
          <w:highlight w:val="none"/>
        </w:rPr>
      </w:pPr>
    </w:p>
    <w:p>
      <w:pPr>
        <w:rPr>
          <w:color w:val="auto"/>
          <w:highlight w:val="none"/>
        </w:rPr>
      </w:pPr>
    </w:p>
    <w:sectPr>
      <w:pgSz w:w="11907" w:h="16840"/>
      <w:pgMar w:top="1134" w:right="1304"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jc w:val="center"/>
      <w:rPr>
        <w:rStyle w:val="14"/>
        <w:rFonts w:hint="eastAsia" w:ascii="宋体"/>
        <w:sz w:val="21"/>
        <w:szCs w:val="21"/>
      </w:rPr>
    </w:pPr>
    <w:r>
      <w:rPr>
        <w:rFonts w:ascii="宋体"/>
        <w:sz w:val="21"/>
        <w:szCs w:val="21"/>
      </w:rPr>
      <w:fldChar w:fldCharType="begin"/>
    </w:r>
    <w:r>
      <w:rPr>
        <w:rStyle w:val="14"/>
        <w:rFonts w:ascii="宋体"/>
        <w:sz w:val="21"/>
        <w:szCs w:val="21"/>
      </w:rPr>
      <w:instrText xml:space="preserve">PAGE  </w:instrText>
    </w:r>
    <w:r>
      <w:rPr>
        <w:rFonts w:ascii="宋体"/>
        <w:sz w:val="21"/>
        <w:szCs w:val="21"/>
      </w:rPr>
      <w:fldChar w:fldCharType="separate"/>
    </w:r>
    <w:r>
      <w:rPr>
        <w:rStyle w:val="14"/>
        <w:rFonts w:ascii="宋体"/>
        <w:sz w:val="21"/>
        <w:szCs w:val="21"/>
      </w:rPr>
      <w:t>- 2 -</w:t>
    </w:r>
    <w:r>
      <w:rPr>
        <w:rFonts w:ascii="宋体"/>
        <w:sz w:val="21"/>
        <w:szCs w:val="21"/>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separate"/>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p>
  <w:p>
    <w:pPr>
      <w:pStyle w:val="9"/>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- 11 -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- 20 -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separate"/>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hint="eastAsia"/>
      </w:rPr>
    </w:pPr>
    <w:r>
      <w:rPr>
        <w:rFonts w:hint="eastAsia"/>
      </w:rPr>
      <w:t xml:space="preserve">                                    </w:t>
    </w:r>
  </w:p>
  <w:p>
    <w:pPr>
      <w:pStyle w:val="10"/>
      <w:ind w:firstLine="3960" w:firstLineChars="2200"/>
      <w:jc w:val="both"/>
      <w:rPr>
        <w:rFonts w:hint="eastAsia" w:ascii="仿宋" w:hAnsi="仿宋"/>
        <w:sz w:val="21"/>
        <w:szCs w:val="21"/>
      </w:rPr>
    </w:pPr>
    <w:r>
      <w:rPr>
        <w:rFonts w:hint="eastAsia"/>
      </w:rPr>
      <w:t xml:space="preserve">                   重庆市高速公路养护管理年度监督检查</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hint="eastAsia" w:ascii="方正仿宋_GBK" w:eastAsia="方正仿宋_GBK"/>
        <w:sz w:val="21"/>
        <w:szCs w:val="21"/>
      </w:rPr>
    </w:pPr>
    <w:r>
      <w:rPr>
        <w:rFonts w:hint="eastAsia" w:ascii="方正仿宋_GBK" w:eastAsia="方正仿宋_GBK"/>
        <w:sz w:val="21"/>
        <w:szCs w:val="21"/>
      </w:rPr>
      <w:t xml:space="preserve">                                             </w:t>
    </w:r>
  </w:p>
  <w:p>
    <w:pPr>
      <w:pStyle w:val="10"/>
      <w:ind w:firstLine="3960" w:firstLineChars="2200"/>
      <w:jc w:val="both"/>
      <w:rPr>
        <w:rFonts w:hint="eastAsia" w:ascii="方正仿宋_GBK" w:eastAsia="方正仿宋_GBK"/>
        <w:sz w:val="21"/>
        <w:szCs w:val="21"/>
      </w:rPr>
    </w:pPr>
    <w:r>
      <w:rPr>
        <w:rFonts w:hint="eastAsia"/>
      </w:rPr>
      <w:t xml:space="preserve">                    重庆市高速公路养护管理年度监督检查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4E380"/>
    <w:multiLevelType w:val="singleLevel"/>
    <w:tmpl w:val="9E84E380"/>
    <w:lvl w:ilvl="0" w:tentative="0">
      <w:start w:val="2"/>
      <w:numFmt w:val="decimal"/>
      <w:lvlText w:val="%1."/>
      <w:lvlJc w:val="left"/>
      <w:pPr>
        <w:tabs>
          <w:tab w:val="left" w:pos="312"/>
        </w:tabs>
      </w:pPr>
    </w:lvl>
  </w:abstractNum>
  <w:abstractNum w:abstractNumId="1">
    <w:nsid w:val="BD5FA388"/>
    <w:multiLevelType w:val="singleLevel"/>
    <w:tmpl w:val="BD5FA388"/>
    <w:lvl w:ilvl="0" w:tentative="0">
      <w:start w:val="2"/>
      <w:numFmt w:val="chineseCounting"/>
      <w:suff w:val="nothing"/>
      <w:lvlText w:val="%1、"/>
      <w:lvlJc w:val="left"/>
      <w:rPr>
        <w:rFonts w:hint="eastAsia"/>
      </w:rPr>
    </w:lvl>
  </w:abstractNum>
  <w:abstractNum w:abstractNumId="2">
    <w:nsid w:val="EBB5B2D4"/>
    <w:multiLevelType w:val="singleLevel"/>
    <w:tmpl w:val="EBB5B2D4"/>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NDFlNWI5OGY4MjQ4MTdlNjFlOWI0ZDY1NzAyMDMifQ=="/>
  </w:docVars>
  <w:rsids>
    <w:rsidRoot w:val="00000000"/>
    <w:rsid w:val="037F4234"/>
    <w:rsid w:val="08A0156B"/>
    <w:rsid w:val="0BCC1310"/>
    <w:rsid w:val="111F0C7A"/>
    <w:rsid w:val="1270479D"/>
    <w:rsid w:val="17786D2E"/>
    <w:rsid w:val="19D903A4"/>
    <w:rsid w:val="1C64420C"/>
    <w:rsid w:val="20EC100A"/>
    <w:rsid w:val="2AF158CB"/>
    <w:rsid w:val="38786037"/>
    <w:rsid w:val="3AC366B3"/>
    <w:rsid w:val="3B297DA7"/>
    <w:rsid w:val="4BAF7ADE"/>
    <w:rsid w:val="564D1B48"/>
    <w:rsid w:val="60485F16"/>
    <w:rsid w:val="60C3484F"/>
    <w:rsid w:val="62B83736"/>
    <w:rsid w:val="651704EC"/>
    <w:rsid w:val="66870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1"/>
    <w:qFormat/>
    <w:uiPriority w:val="0"/>
    <w:pPr>
      <w:spacing w:line="360" w:lineRule="auto"/>
      <w:ind w:firstLine="420"/>
    </w:pPr>
    <w:rPr>
      <w:rFonts w:ascii="宋体" w:hAnsi="宋体"/>
      <w:sz w:val="24"/>
    </w:rPr>
  </w:style>
  <w:style w:type="paragraph" w:styleId="5">
    <w:name w:val="annotation text"/>
    <w:basedOn w:val="1"/>
    <w:next w:val="1"/>
    <w:qFormat/>
    <w:uiPriority w:val="0"/>
    <w:pPr>
      <w:adjustRightInd w:val="0"/>
      <w:spacing w:line="360" w:lineRule="atLeast"/>
      <w:jc w:val="left"/>
      <w:textAlignment w:val="baseline"/>
    </w:pPr>
    <w:rPr>
      <w:kern w:val="0"/>
      <w:sz w:val="24"/>
    </w:rPr>
  </w:style>
  <w:style w:type="paragraph" w:styleId="6">
    <w:name w:val="toc 3"/>
    <w:basedOn w:val="1"/>
    <w:next w:val="1"/>
    <w:qFormat/>
    <w:uiPriority w:val="0"/>
    <w:pPr>
      <w:ind w:left="840" w:leftChars="400"/>
    </w:pPr>
  </w:style>
  <w:style w:type="paragraph" w:styleId="7">
    <w:name w:val="Plain Text"/>
    <w:basedOn w:val="1"/>
    <w:qFormat/>
    <w:uiPriority w:val="0"/>
    <w:rPr>
      <w:rFonts w:ascii="宋体" w:hAnsi="Courier New"/>
      <w:sz w:val="21"/>
    </w:rPr>
  </w:style>
  <w:style w:type="paragraph" w:styleId="8">
    <w:name w:val="Date"/>
    <w:basedOn w:val="1"/>
    <w:next w:val="1"/>
    <w:qFormat/>
    <w:uiPriority w:val="0"/>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2"/>
    <w:basedOn w:val="1"/>
    <w:next w:val="1"/>
    <w:qFormat/>
    <w:uiPriority w:val="39"/>
    <w:pPr>
      <w:ind w:left="420" w:leftChars="200"/>
    </w:pPr>
  </w:style>
  <w:style w:type="character" w:styleId="14">
    <w:name w:val="page number"/>
    <w:qFormat/>
    <w:uiPriority w:val="0"/>
  </w:style>
  <w:style w:type="character" w:styleId="15">
    <w:name w:val="FollowedHyperlink"/>
    <w:basedOn w:val="13"/>
    <w:uiPriority w:val="0"/>
    <w:rPr>
      <w:color w:val="333333"/>
      <w:u w:val="none"/>
    </w:rPr>
  </w:style>
  <w:style w:type="character" w:styleId="16">
    <w:name w:val="Hyperlink"/>
    <w:basedOn w:val="13"/>
    <w:qFormat/>
    <w:uiPriority w:val="0"/>
    <w:rPr>
      <w:color w:val="333333"/>
      <w:u w:val="none"/>
    </w:rPr>
  </w:style>
  <w:style w:type="paragraph" w:customStyle="1" w:styleId="17">
    <w:name w:val="p0"/>
    <w:basedOn w:val="1"/>
    <w:qFormat/>
    <w:uiPriority w:val="0"/>
    <w:pPr>
      <w:widowControl/>
    </w:pPr>
    <w:rPr>
      <w:kern w:val="0"/>
      <w:szCs w:val="21"/>
    </w:rPr>
  </w:style>
  <w:style w:type="paragraph" w:customStyle="1" w:styleId="18">
    <w:name w:val="1"/>
    <w:basedOn w:val="1"/>
    <w:next w:val="7"/>
    <w:qFormat/>
    <w:uiPriority w:val="0"/>
    <w:rPr>
      <w:rFonts w:ascii="宋体" w:hAnsi="Courier New"/>
      <w:sz w:val="21"/>
    </w:rPr>
  </w:style>
  <w:style w:type="paragraph" w:customStyle="1" w:styleId="19">
    <w:name w:val="正文（缩进）"/>
    <w:basedOn w:val="1"/>
    <w:qFormat/>
    <w:uiPriority w:val="0"/>
    <w:pPr>
      <w:spacing w:before="156" w:after="156"/>
      <w:ind w:firstLine="48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2617</Words>
  <Characters>2754</Characters>
  <Lines>0</Lines>
  <Paragraphs>0</Paragraphs>
  <TotalTime>10</TotalTime>
  <ScaleCrop>false</ScaleCrop>
  <LinksUpToDate>false</LinksUpToDate>
  <CharactersWithSpaces>2818</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2025-10-29T09:30:00Z</dcterms:created>
  <dc:creator>jtj</dc:creator>
  <cp:lastModifiedBy>jtj</cp:lastModifiedBy>
  <dcterms:modified xsi:type="dcterms:W3CDTF">2025-11-07T07:27:11Z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KSOTemplateDocerSaveRecord">
    <vt:lpwstr>eyJoZGlkIjoiNDI1NGQ4MDY4NjMxYWVlMzc3ODM2NDE0MmU1ODUxYzYiLCJ1c2VySWQiOiIzODA5ODUxNjEifQ==</vt:lpwstr>
  </property>
  <property fmtid="{D5CDD505-2E9C-101B-9397-08002B2CF9AE}" pid="4" name="ICV">
    <vt:lpwstr>46454DDAD737410BB534F38245096DCF_12</vt:lpwstr>
  </property>
</Properties>
</file>