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1600" w:lineRule="exact"/>
        <w:jc w:val="center"/>
        <w:outlineLvl w:val="0"/>
        <w:rPr>
          <w:rFonts w:hint="default" w:ascii="Times New Roman" w:hAnsi="Times New Roman" w:eastAsia="方正黑体_GBK" w:cs="Times New Roman"/>
          <w:sz w:val="84"/>
          <w:szCs w:val="84"/>
        </w:rPr>
      </w:pPr>
      <w:r>
        <w:rPr>
          <w:rFonts w:hint="default" w:ascii="Times New Roman" w:hAnsi="Times New Roman" w:eastAsia="方正黑体_GBK" w:cs="Times New Roman"/>
          <w:sz w:val="84"/>
          <w:szCs w:val="84"/>
        </w:rPr>
        <w:t>重庆市港航海事事务中心政府采购</w:t>
      </w:r>
    </w:p>
    <w:p>
      <w:pPr>
        <w:jc w:val="center"/>
        <w:rPr>
          <w:rFonts w:hint="default" w:ascii="Times New Roman" w:hAnsi="Times New Roman" w:cs="Times New Roman"/>
          <w:sz w:val="84"/>
          <w:szCs w:val="84"/>
        </w:rPr>
      </w:pPr>
    </w:p>
    <w:p>
      <w:pPr>
        <w:spacing w:line="1600" w:lineRule="exact"/>
        <w:jc w:val="center"/>
        <w:outlineLvl w:val="0"/>
        <w:rPr>
          <w:rFonts w:hint="default" w:ascii="Times New Roman" w:hAnsi="Times New Roman" w:eastAsia="方正黑体_GBK" w:cs="Times New Roman"/>
          <w:sz w:val="72"/>
          <w:szCs w:val="72"/>
        </w:rPr>
      </w:pPr>
      <w:r>
        <w:rPr>
          <w:rFonts w:hint="default" w:ascii="Times New Roman" w:hAnsi="Times New Roman" w:eastAsia="方正黑体_GBK" w:cs="Times New Roman"/>
          <w:sz w:val="72"/>
          <w:szCs w:val="72"/>
        </w:rPr>
        <w:t>限额以下磋商评分采购文件</w:t>
      </w:r>
    </w:p>
    <w:p>
      <w:pPr>
        <w:spacing w:line="700" w:lineRule="exact"/>
        <w:jc w:val="center"/>
        <w:rPr>
          <w:rFonts w:hint="default" w:ascii="Times New Roman" w:hAnsi="Times New Roman" w:eastAsia="黑体" w:cs="Times New Roman"/>
          <w:sz w:val="32"/>
        </w:rPr>
      </w:pPr>
    </w:p>
    <w:p>
      <w:pPr>
        <w:spacing w:line="700" w:lineRule="exact"/>
        <w:jc w:val="center"/>
        <w:rPr>
          <w:rFonts w:hint="default" w:ascii="Times New Roman" w:hAnsi="Times New Roman" w:eastAsia="黑体" w:cs="Times New Roman"/>
          <w:sz w:val="32"/>
        </w:rPr>
      </w:pPr>
    </w:p>
    <w:p>
      <w:pPr>
        <w:spacing w:line="700" w:lineRule="exact"/>
        <w:jc w:val="center"/>
        <w:rPr>
          <w:rFonts w:hint="default" w:ascii="Times New Roman" w:hAnsi="Times New Roman" w:eastAsia="黑体" w:cs="Times New Roman"/>
          <w:sz w:val="32"/>
        </w:rPr>
      </w:pPr>
    </w:p>
    <w:p>
      <w:pPr>
        <w:spacing w:line="700" w:lineRule="exact"/>
        <w:jc w:val="center"/>
        <w:rPr>
          <w:rFonts w:hint="default" w:ascii="Times New Roman" w:hAnsi="Times New Roman" w:eastAsia="方正小标宋_GBK" w:cs="Times New Roman"/>
          <w:sz w:val="36"/>
          <w:szCs w:val="36"/>
          <w:lang w:val="en-US" w:eastAsia="zh-CN"/>
        </w:rPr>
      </w:pPr>
      <w:r>
        <w:rPr>
          <w:rFonts w:hint="default" w:ascii="Times New Roman" w:hAnsi="Times New Roman" w:eastAsia="方正小标宋_GBK" w:cs="Times New Roman"/>
          <w:sz w:val="36"/>
          <w:szCs w:val="36"/>
        </w:rPr>
        <w:t>项目名称：</w:t>
      </w:r>
      <w:r>
        <w:rPr>
          <w:rFonts w:hint="default" w:ascii="Times New Roman" w:hAnsi="Times New Roman" w:eastAsia="方正小标宋_GBK" w:cs="Times New Roman"/>
          <w:sz w:val="36"/>
          <w:szCs w:val="36"/>
          <w:lang w:val="en-US" w:eastAsia="zh-CN"/>
        </w:rPr>
        <w:t>乌江、嘉陵江电子航道图设计服务</w:t>
      </w:r>
    </w:p>
    <w:p>
      <w:pPr>
        <w:spacing w:line="540" w:lineRule="exact"/>
        <w:jc w:val="center"/>
        <w:rPr>
          <w:rFonts w:hint="default" w:ascii="Times New Roman" w:hAnsi="Times New Roman" w:eastAsia="方正小标宋_GBK" w:cs="Times New Roman"/>
          <w:sz w:val="36"/>
          <w:szCs w:val="36"/>
        </w:rPr>
      </w:pPr>
    </w:p>
    <w:p>
      <w:pPr>
        <w:spacing w:line="500" w:lineRule="exact"/>
        <w:ind w:firstLine="1440" w:firstLineChars="400"/>
        <w:jc w:val="left"/>
        <w:outlineLvl w:val="0"/>
        <w:rPr>
          <w:rFonts w:hint="default" w:ascii="Times New Roman" w:hAnsi="Times New Roman" w:eastAsia="方正小标宋_GBK" w:cs="Times New Roman"/>
          <w:sz w:val="36"/>
          <w:szCs w:val="36"/>
        </w:rPr>
      </w:pPr>
    </w:p>
    <w:p>
      <w:pPr>
        <w:spacing w:line="500" w:lineRule="exact"/>
        <w:ind w:firstLine="1440" w:firstLineChars="400"/>
        <w:jc w:val="left"/>
        <w:outlineLvl w:val="0"/>
        <w:rPr>
          <w:rFonts w:hint="default" w:ascii="Times New Roman" w:hAnsi="Times New Roman" w:eastAsia="方正小标宋_GBK" w:cs="Times New Roman"/>
          <w:sz w:val="36"/>
          <w:szCs w:val="36"/>
        </w:rPr>
      </w:pPr>
    </w:p>
    <w:p>
      <w:pPr>
        <w:spacing w:line="500" w:lineRule="exact"/>
        <w:ind w:firstLine="1440" w:firstLineChars="400"/>
        <w:jc w:val="left"/>
        <w:outlineLvl w:val="0"/>
        <w:rPr>
          <w:rFonts w:hint="default" w:ascii="Times New Roman" w:hAnsi="Times New Roman" w:eastAsia="方正小标宋_GBK" w:cs="Times New Roman"/>
          <w:sz w:val="36"/>
          <w:szCs w:val="36"/>
        </w:rPr>
      </w:pPr>
    </w:p>
    <w:p>
      <w:pPr>
        <w:spacing w:line="500" w:lineRule="exact"/>
        <w:ind w:firstLine="1440" w:firstLineChars="400"/>
        <w:jc w:val="left"/>
        <w:outlineLvl w:val="0"/>
        <w:rPr>
          <w:rFonts w:hint="default" w:ascii="Times New Roman" w:hAnsi="Times New Roman" w:eastAsia="方正小标宋_GBK" w:cs="Times New Roman"/>
          <w:sz w:val="36"/>
          <w:szCs w:val="36"/>
        </w:rPr>
      </w:pPr>
    </w:p>
    <w:p>
      <w:pPr>
        <w:spacing w:line="500" w:lineRule="exact"/>
        <w:ind w:firstLine="1440" w:firstLineChars="400"/>
        <w:jc w:val="left"/>
        <w:outlineLvl w:val="0"/>
        <w:rPr>
          <w:rFonts w:hint="default" w:ascii="Times New Roman" w:hAnsi="Times New Roman" w:eastAsia="方正小标宋_GBK" w:cs="Times New Roman"/>
          <w:sz w:val="36"/>
          <w:szCs w:val="36"/>
        </w:rPr>
      </w:pPr>
    </w:p>
    <w:p>
      <w:pPr>
        <w:spacing w:line="500" w:lineRule="exact"/>
        <w:ind w:firstLine="1440" w:firstLineChars="400"/>
        <w:jc w:val="left"/>
        <w:outlineLvl w:val="0"/>
        <w:rPr>
          <w:rFonts w:hint="default" w:ascii="Times New Roman" w:hAnsi="Times New Roman" w:eastAsia="方正小标宋_GBK" w:cs="Times New Roman"/>
          <w:sz w:val="36"/>
          <w:szCs w:val="36"/>
        </w:rPr>
      </w:pPr>
    </w:p>
    <w:p>
      <w:pPr>
        <w:spacing w:line="500" w:lineRule="exact"/>
        <w:ind w:firstLine="1440" w:firstLineChars="400"/>
        <w:jc w:val="left"/>
        <w:outlineLvl w:val="0"/>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采购人：重庆市港航海事事务中心</w:t>
      </w:r>
    </w:p>
    <w:p>
      <w:pPr>
        <w:spacing w:line="500" w:lineRule="exact"/>
        <w:outlineLvl w:val="0"/>
        <w:rPr>
          <w:rFonts w:hint="default" w:ascii="Times New Roman" w:hAnsi="Times New Roman" w:eastAsia="方正小标宋_GBK" w:cs="Times New Roman"/>
          <w:sz w:val="36"/>
          <w:szCs w:val="36"/>
        </w:rPr>
      </w:pPr>
    </w:p>
    <w:p>
      <w:pPr>
        <w:spacing w:line="720" w:lineRule="exact"/>
        <w:jc w:val="center"/>
        <w:outlineLvl w:val="0"/>
        <w:rPr>
          <w:rFonts w:hint="default" w:ascii="Times New Roman" w:hAnsi="Times New Roman" w:eastAsia="方正黑体_GBK" w:cs="Times New Roman"/>
          <w:sz w:val="48"/>
          <w:szCs w:val="32"/>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pgNumType w:fmt="numberInDash" w:start="1"/>
          <w:cols w:space="720" w:num="1"/>
          <w:titlePg/>
          <w:docGrid w:linePitch="381" w:charSpace="-5735"/>
        </w:sectPr>
      </w:pPr>
      <w:r>
        <w:rPr>
          <w:rFonts w:hint="default" w:ascii="Times New Roman" w:hAnsi="Times New Roman" w:eastAsia="方正小标宋_GBK" w:cs="Times New Roman"/>
          <w:sz w:val="36"/>
          <w:szCs w:val="36"/>
        </w:rPr>
        <w:t>二〇二</w:t>
      </w:r>
      <w:r>
        <w:rPr>
          <w:rFonts w:hint="default" w:ascii="Times New Roman" w:hAnsi="Times New Roman" w:eastAsia="方正小标宋_GBK" w:cs="Times New Roman"/>
          <w:sz w:val="36"/>
          <w:szCs w:val="36"/>
          <w:lang w:val="en-US" w:eastAsia="zh-CN"/>
        </w:rPr>
        <w:t>五</w:t>
      </w:r>
      <w:r>
        <w:rPr>
          <w:rFonts w:hint="default" w:ascii="Times New Roman" w:hAnsi="Times New Roman" w:eastAsia="方正小标宋_GBK" w:cs="Times New Roman"/>
          <w:sz w:val="36"/>
          <w:szCs w:val="36"/>
        </w:rPr>
        <w:t>年</w:t>
      </w:r>
      <w:r>
        <w:rPr>
          <w:rFonts w:hint="default" w:ascii="Times New Roman" w:hAnsi="Times New Roman" w:eastAsia="方正小标宋_GBK" w:cs="Times New Roman"/>
          <w:sz w:val="36"/>
          <w:szCs w:val="36"/>
          <w:lang w:val="en-US" w:eastAsia="zh-CN"/>
        </w:rPr>
        <w:t>十一</w:t>
      </w:r>
      <w:r>
        <w:rPr>
          <w:rFonts w:hint="default" w:ascii="Times New Roman" w:hAnsi="Times New Roman" w:eastAsia="方正小标宋_GBK" w:cs="Times New Roman"/>
          <w:sz w:val="36"/>
          <w:szCs w:val="36"/>
        </w:rPr>
        <w:t>月</w:t>
      </w:r>
    </w:p>
    <w:p>
      <w:pPr>
        <w:pStyle w:val="3"/>
        <w:spacing w:line="360" w:lineRule="auto"/>
        <w:jc w:val="center"/>
        <w:rPr>
          <w:rFonts w:hint="default" w:ascii="Times New Roman" w:hAnsi="Times New Roman" w:eastAsia="方正小标宋_GBK" w:cs="Times New Roman"/>
          <w:b w:val="0"/>
          <w:szCs w:val="30"/>
        </w:rPr>
      </w:pPr>
      <w:bookmarkStart w:id="0" w:name="_Toc76462316"/>
      <w:bookmarkStart w:id="1" w:name="_Toc11641050"/>
      <w:bookmarkStart w:id="2" w:name="_Toc106030870"/>
      <w:bookmarkStart w:id="3" w:name="_Toc12789052"/>
      <w:r>
        <w:rPr>
          <w:rFonts w:hint="default" w:ascii="Times New Roman" w:hAnsi="Times New Roman" w:eastAsia="方正小标宋_GBK" w:cs="Times New Roman"/>
          <w:b w:val="0"/>
          <w:sz w:val="36"/>
          <w:szCs w:val="30"/>
        </w:rPr>
        <w:t>第一篇  采购邀请书</w:t>
      </w:r>
      <w:bookmarkEnd w:id="0"/>
      <w:bookmarkEnd w:id="1"/>
      <w:bookmarkEnd w:id="2"/>
      <w:bookmarkEnd w:id="3"/>
    </w:p>
    <w:p>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重庆市港航海事事务中心对</w:t>
      </w:r>
      <w:r>
        <w:rPr>
          <w:rFonts w:hint="eastAsia" w:ascii="Times New Roman" w:hAnsi="Times New Roman" w:eastAsia="方正仿宋_GBK" w:cs="Times New Roman"/>
          <w:sz w:val="24"/>
          <w:szCs w:val="24"/>
          <w:lang w:val="en-US" w:eastAsia="zh-CN"/>
        </w:rPr>
        <w:t>嘉陵江、乌江电子航道图专项设计</w:t>
      </w:r>
      <w:r>
        <w:rPr>
          <w:rFonts w:hint="default" w:ascii="Times New Roman" w:hAnsi="Times New Roman" w:eastAsia="方正仿宋_GBK" w:cs="Times New Roman"/>
          <w:sz w:val="24"/>
          <w:szCs w:val="24"/>
        </w:rPr>
        <w:t>服务项目进行限额以下磋商评分采购。欢迎有资格的供应商前来参与竞争。</w:t>
      </w:r>
    </w:p>
    <w:p>
      <w:pPr>
        <w:pStyle w:val="3"/>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4" w:name="_Toc106030871"/>
      <w:bookmarkStart w:id="5" w:name="_Toc76462317"/>
      <w:bookmarkStart w:id="6" w:name="_Toc317775175"/>
      <w:bookmarkStart w:id="7" w:name="_Toc313893526"/>
      <w:r>
        <w:rPr>
          <w:rFonts w:hint="default" w:ascii="Times New Roman" w:hAnsi="Times New Roman" w:eastAsia="方正仿宋_GBK" w:cs="Times New Roman"/>
          <w:sz w:val="24"/>
        </w:rPr>
        <w:t>一、限额以下磋商评分内容</w:t>
      </w:r>
      <w:bookmarkEnd w:id="4"/>
      <w:bookmarkEnd w:id="5"/>
      <w:bookmarkEnd w:id="6"/>
      <w:bookmarkEnd w:id="7"/>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701"/>
        <w:gridCol w:w="2410"/>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660" w:type="dxa"/>
            <w:tcBorders>
              <w:top w:val="single" w:color="auto" w:sz="4" w:space="0"/>
              <w:left w:val="single" w:color="auto" w:sz="4" w:space="0"/>
              <w:right w:val="single" w:color="auto" w:sz="4" w:space="0"/>
            </w:tcBorders>
            <w:noWrap w:val="0"/>
            <w:vAlign w:val="center"/>
          </w:tcPr>
          <w:p>
            <w:pPr>
              <w:widowControl/>
              <w:jc w:val="center"/>
              <w:rPr>
                <w:rFonts w:hint="default" w:ascii="Times New Roman" w:hAnsi="Times New Roman" w:eastAsia="方正仿宋_GBK" w:cs="Times New Roman"/>
                <w:b/>
                <w:bCs/>
                <w:kern w:val="0"/>
                <w:sz w:val="21"/>
                <w:szCs w:val="24"/>
              </w:rPr>
            </w:pPr>
            <w:r>
              <w:rPr>
                <w:rFonts w:hint="default" w:ascii="Times New Roman" w:hAnsi="Times New Roman" w:eastAsia="方正仿宋_GBK" w:cs="Times New Roman"/>
                <w:b/>
                <w:bCs/>
                <w:kern w:val="0"/>
                <w:sz w:val="21"/>
                <w:szCs w:val="24"/>
              </w:rPr>
              <w:t>包号及名称</w:t>
            </w:r>
          </w:p>
        </w:tc>
        <w:tc>
          <w:tcPr>
            <w:tcW w:w="1701" w:type="dxa"/>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方正仿宋_GBK" w:cs="Times New Roman"/>
                <w:b/>
                <w:bCs/>
                <w:kern w:val="0"/>
                <w:sz w:val="21"/>
                <w:szCs w:val="24"/>
              </w:rPr>
            </w:pPr>
            <w:r>
              <w:rPr>
                <w:rFonts w:hint="default" w:ascii="Times New Roman" w:hAnsi="Times New Roman" w:eastAsia="方正仿宋_GBK" w:cs="Times New Roman"/>
                <w:b/>
                <w:bCs/>
                <w:kern w:val="0"/>
                <w:sz w:val="21"/>
                <w:szCs w:val="24"/>
              </w:rPr>
              <w:t>最高限价（万元）</w:t>
            </w:r>
          </w:p>
        </w:tc>
        <w:tc>
          <w:tcPr>
            <w:tcW w:w="2410" w:type="dxa"/>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方正仿宋_GBK" w:cs="Times New Roman"/>
                <w:b/>
                <w:bCs/>
                <w:kern w:val="0"/>
                <w:sz w:val="21"/>
                <w:szCs w:val="24"/>
              </w:rPr>
            </w:pPr>
            <w:r>
              <w:rPr>
                <w:rFonts w:hint="default" w:ascii="Times New Roman" w:hAnsi="Times New Roman" w:eastAsia="方正仿宋_GBK" w:cs="Times New Roman"/>
                <w:b/>
                <w:bCs/>
                <w:kern w:val="0"/>
                <w:sz w:val="21"/>
                <w:szCs w:val="24"/>
              </w:rPr>
              <w:t>成交供应商数量（名）</w:t>
            </w:r>
          </w:p>
        </w:tc>
        <w:tc>
          <w:tcPr>
            <w:tcW w:w="2516" w:type="dxa"/>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方正仿宋_GBK" w:cs="Times New Roman"/>
                <w:b/>
                <w:bCs/>
                <w:kern w:val="0"/>
                <w:sz w:val="21"/>
                <w:szCs w:val="24"/>
              </w:rPr>
            </w:pPr>
            <w:r>
              <w:rPr>
                <w:rFonts w:hint="default" w:ascii="Times New Roman" w:hAnsi="Times New Roman" w:eastAsia="方正仿宋_GBK" w:cs="Times New Roman"/>
                <w:b/>
                <w:bCs/>
                <w:kern w:val="0"/>
                <w:sz w:val="2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660" w:type="dxa"/>
            <w:tcBorders>
              <w:top w:val="single" w:color="auto" w:sz="4" w:space="0"/>
              <w:left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1"/>
                <w:szCs w:val="24"/>
                <w:lang w:val="en-US" w:eastAsia="zh-CN"/>
              </w:rPr>
            </w:pPr>
            <w:bookmarkStart w:id="8" w:name="_Hlk344477914"/>
            <w:r>
              <w:rPr>
                <w:rFonts w:hint="default" w:ascii="Times New Roman" w:hAnsi="Times New Roman" w:eastAsia="宋体" w:cs="Times New Roman"/>
                <w:sz w:val="21"/>
                <w:szCs w:val="21"/>
                <w:lang w:val="en-US" w:eastAsia="zh-CN"/>
              </w:rPr>
              <w:t>嘉陵江、乌江电子航道图设计服务</w:t>
            </w:r>
          </w:p>
        </w:tc>
        <w:tc>
          <w:tcPr>
            <w:tcW w:w="1701" w:type="dxa"/>
            <w:tcBorders>
              <w:top w:val="single" w:color="auto" w:sz="4" w:space="0"/>
              <w:left w:val="single" w:color="auto" w:sz="4" w:space="0"/>
              <w:right w:val="single" w:color="auto" w:sz="4" w:space="0"/>
            </w:tcBorders>
            <w:noWrap w:val="0"/>
            <w:vAlign w:val="center"/>
          </w:tcPr>
          <w:p>
            <w:pPr>
              <w:widowControl/>
              <w:jc w:val="center"/>
              <w:rPr>
                <w:rFonts w:hint="default" w:ascii="Times New Roman" w:hAnsi="Times New Roman" w:eastAsia="方正仿宋_GBK" w:cs="Times New Roman"/>
                <w:kern w:val="0"/>
                <w:sz w:val="21"/>
                <w:szCs w:val="24"/>
                <w:lang w:val="en-US" w:eastAsia="zh-CN"/>
              </w:rPr>
            </w:pPr>
            <w:r>
              <w:rPr>
                <w:rFonts w:hint="default" w:ascii="Times New Roman" w:hAnsi="Times New Roman" w:eastAsia="方正仿宋_GBK" w:cs="Times New Roman"/>
                <w:kern w:val="0"/>
                <w:sz w:val="21"/>
                <w:szCs w:val="24"/>
                <w:lang w:val="en-US" w:eastAsia="zh-CN"/>
              </w:rPr>
              <w:t>9.8</w:t>
            </w:r>
          </w:p>
        </w:tc>
        <w:tc>
          <w:tcPr>
            <w:tcW w:w="2410" w:type="dxa"/>
            <w:tcBorders>
              <w:top w:val="single" w:color="auto" w:sz="4" w:space="0"/>
              <w:left w:val="single" w:color="auto" w:sz="4" w:space="0"/>
              <w:right w:val="single" w:color="auto" w:sz="4" w:space="0"/>
            </w:tcBorders>
            <w:noWrap w:val="0"/>
            <w:vAlign w:val="center"/>
          </w:tcPr>
          <w:p>
            <w:pPr>
              <w:widowControl/>
              <w:jc w:val="center"/>
              <w:rPr>
                <w:rFonts w:hint="default" w:ascii="Times New Roman" w:hAnsi="Times New Roman" w:eastAsia="方正仿宋_GBK" w:cs="Times New Roman"/>
                <w:kern w:val="0"/>
                <w:sz w:val="21"/>
                <w:szCs w:val="24"/>
              </w:rPr>
            </w:pPr>
            <w:r>
              <w:rPr>
                <w:rFonts w:hint="default" w:ascii="Times New Roman" w:hAnsi="Times New Roman" w:cs="Times New Roman"/>
                <w:sz w:val="21"/>
                <w:szCs w:val="21"/>
              </w:rPr>
              <w:t>1</w:t>
            </w:r>
          </w:p>
        </w:tc>
        <w:tc>
          <w:tcPr>
            <w:tcW w:w="2516" w:type="dxa"/>
            <w:tcBorders>
              <w:top w:val="single" w:color="auto" w:sz="4" w:space="0"/>
              <w:left w:val="single" w:color="auto" w:sz="4" w:space="0"/>
              <w:right w:val="single" w:color="auto" w:sz="4" w:space="0"/>
            </w:tcBorders>
            <w:noWrap w:val="0"/>
            <w:vAlign w:val="center"/>
          </w:tcPr>
          <w:p>
            <w:pPr>
              <w:widowControl/>
              <w:jc w:val="center"/>
              <w:rPr>
                <w:rFonts w:hint="default" w:ascii="Times New Roman" w:hAnsi="Times New Roman" w:eastAsia="方正仿宋_GBK" w:cs="Times New Roman"/>
                <w:b/>
                <w:sz w:val="21"/>
                <w:szCs w:val="21"/>
              </w:rPr>
            </w:pPr>
            <w:r>
              <w:rPr>
                <w:rFonts w:hint="default" w:ascii="Times New Roman" w:hAnsi="Times New Roman" w:cs="Times New Roman"/>
                <w:sz w:val="21"/>
                <w:szCs w:val="21"/>
              </w:rPr>
              <w:t>其他未列明行业</w:t>
            </w:r>
          </w:p>
        </w:tc>
      </w:tr>
      <w:bookmarkEnd w:id="8"/>
    </w:tbl>
    <w:p>
      <w:pPr>
        <w:pStyle w:val="3"/>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9" w:name="_Toc76462318"/>
      <w:bookmarkStart w:id="10" w:name="_Toc106030872"/>
      <w:bookmarkStart w:id="11" w:name="_Toc373860293"/>
      <w:bookmarkStart w:id="12" w:name="_Toc317775178"/>
      <w:r>
        <w:rPr>
          <w:rFonts w:hint="default" w:ascii="Times New Roman" w:hAnsi="Times New Roman" w:eastAsia="方正仿宋_GBK" w:cs="Times New Roman"/>
          <w:sz w:val="24"/>
        </w:rPr>
        <w:t>二、资金来源</w:t>
      </w:r>
      <w:bookmarkEnd w:id="9"/>
      <w:bookmarkEnd w:id="10"/>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财政预算资金，预算金额为</w:t>
      </w:r>
      <w:r>
        <w:rPr>
          <w:rFonts w:hint="default" w:ascii="Times New Roman" w:hAnsi="Times New Roman" w:eastAsia="方正仿宋_GBK" w:cs="Times New Roman"/>
          <w:sz w:val="24"/>
          <w:szCs w:val="24"/>
          <w:lang w:val="en-US" w:eastAsia="zh-CN"/>
        </w:rPr>
        <w:t>9.8</w:t>
      </w:r>
      <w:r>
        <w:rPr>
          <w:rFonts w:hint="default" w:ascii="Times New Roman" w:hAnsi="Times New Roman" w:eastAsia="方正仿宋_GBK" w:cs="Times New Roman"/>
          <w:sz w:val="24"/>
          <w:szCs w:val="24"/>
        </w:rPr>
        <w:t>万元。</w:t>
      </w:r>
    </w:p>
    <w:p>
      <w:pPr>
        <w:pStyle w:val="3"/>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13" w:name="_Toc106030873"/>
      <w:bookmarkStart w:id="14" w:name="_Toc76462319"/>
      <w:r>
        <w:rPr>
          <w:rFonts w:hint="default" w:ascii="Times New Roman" w:hAnsi="Times New Roman" w:eastAsia="方正仿宋_GBK" w:cs="Times New Roman"/>
          <w:sz w:val="24"/>
        </w:rPr>
        <w:t>三、供应商资格条件</w:t>
      </w:r>
      <w:bookmarkEnd w:id="13"/>
      <w:bookmarkEnd w:id="14"/>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（一）满足《中华人民共和国政府采购法》第二十二条规定；</w:t>
      </w:r>
    </w:p>
    <w:p>
      <w:pPr>
        <w:spacing w:line="400" w:lineRule="exact"/>
        <w:ind w:firstLine="0" w:firstLineChars="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（二）本项目的特定资格要求：</w:t>
      </w:r>
      <w:r>
        <w:rPr>
          <w:sz w:val="24"/>
        </w:rPr>
        <w:t>具备建设行政主管部门核发的工程设计综合甲级资质或工程设计水运行业甲级资质</w:t>
      </w:r>
      <w:r>
        <w:rPr>
          <w:rFonts w:hint="eastAsia"/>
          <w:sz w:val="24"/>
          <w:lang w:val="en-US" w:eastAsia="zh-CN"/>
        </w:rPr>
        <w:t>或</w:t>
      </w:r>
      <w:r>
        <w:rPr>
          <w:sz w:val="24"/>
        </w:rPr>
        <w:t>工程设计水运行业</w:t>
      </w:r>
      <w:r>
        <w:rPr>
          <w:rFonts w:hint="eastAsia"/>
          <w:sz w:val="24"/>
          <w:lang w:eastAsia="zh-CN"/>
        </w:rPr>
        <w:t>（</w:t>
      </w:r>
      <w:r>
        <w:rPr>
          <w:rFonts w:hint="eastAsia"/>
          <w:sz w:val="24"/>
          <w:lang w:val="en-US" w:eastAsia="zh-CN"/>
        </w:rPr>
        <w:t>航道工程</w:t>
      </w:r>
      <w:r>
        <w:rPr>
          <w:rFonts w:hint="eastAsia"/>
          <w:sz w:val="24"/>
          <w:lang w:eastAsia="zh-CN"/>
        </w:rPr>
        <w:t>）</w:t>
      </w:r>
      <w:r>
        <w:rPr>
          <w:rFonts w:hint="eastAsia"/>
          <w:sz w:val="24"/>
          <w:lang w:val="en-US" w:eastAsia="zh-CN"/>
        </w:rPr>
        <w:t>专业</w:t>
      </w:r>
      <w:r>
        <w:rPr>
          <w:sz w:val="24"/>
        </w:rPr>
        <w:t>甲级资质。</w:t>
      </w:r>
    </w:p>
    <w:p>
      <w:pPr>
        <w:pStyle w:val="3"/>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15" w:name="_Toc76462320"/>
      <w:bookmarkStart w:id="16" w:name="_Toc106030874"/>
      <w:r>
        <w:rPr>
          <w:rFonts w:hint="default" w:ascii="Times New Roman" w:hAnsi="Times New Roman" w:eastAsia="方正仿宋_GBK" w:cs="Times New Roman"/>
          <w:sz w:val="24"/>
        </w:rPr>
        <w:t>四、限额以下磋商评分有关说明</w:t>
      </w:r>
      <w:bookmarkEnd w:id="11"/>
      <w:bookmarkEnd w:id="15"/>
      <w:bookmarkEnd w:id="16"/>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（一）凡有意参加竞争的供应商，请在重庆市交通</w:t>
      </w:r>
      <w:r>
        <w:rPr>
          <w:rFonts w:hint="default" w:ascii="Times New Roman" w:hAnsi="Times New Roman" w:eastAsia="方正仿宋_GBK" w:cs="Times New Roman"/>
          <w:sz w:val="24"/>
          <w:szCs w:val="24"/>
          <w:lang w:val="en-US" w:eastAsia="zh-CN"/>
        </w:rPr>
        <w:t>运输委</w:t>
      </w:r>
      <w:r>
        <w:rPr>
          <w:rFonts w:hint="default" w:ascii="Times New Roman" w:hAnsi="Times New Roman" w:eastAsia="方正仿宋_GBK" w:cs="Times New Roman"/>
          <w:sz w:val="24"/>
          <w:szCs w:val="24"/>
        </w:rPr>
        <w:t>官网上下载本项目采购文件以及图纸、澄清等限额以下磋商评分前公布的所有项目资料，无论供应商下载或领取与否，均视为已知晓所有限额以下磋商评分实质性要求内容。</w:t>
      </w:r>
    </w:p>
    <w:p>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（二）限额以下磋商评分公告期限：自采购公告发布之日起三个工作日。</w:t>
      </w:r>
    </w:p>
    <w:p>
      <w:pPr>
        <w:snapToGrid w:val="0"/>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（三）报名方式：</w:t>
      </w:r>
      <w:r>
        <w:rPr>
          <w:rFonts w:hint="default" w:ascii="Times New Roman" w:hAnsi="Times New Roman" w:eastAsia="方正仿宋_GBK" w:cs="Times New Roman"/>
          <w:color w:val="auto"/>
          <w:sz w:val="24"/>
          <w:highlight w:val="none"/>
        </w:rPr>
        <w:t>在202</w:t>
      </w:r>
      <w:r>
        <w:rPr>
          <w:rFonts w:hint="default" w:ascii="Times New Roman" w:hAnsi="Times New Roman" w:eastAsia="方正仿宋_GBK" w:cs="Times New Roman"/>
          <w:color w:val="auto"/>
          <w:sz w:val="24"/>
          <w:highlight w:val="none"/>
          <w:lang w:val="en-US" w:eastAsia="zh-CN"/>
        </w:rPr>
        <w:t>5</w:t>
      </w:r>
      <w:r>
        <w:rPr>
          <w:rFonts w:hint="default" w:ascii="Times New Roman" w:hAnsi="Times New Roman" w:eastAsia="方正仿宋_GBK" w:cs="Times New Roman"/>
          <w:color w:val="auto"/>
          <w:sz w:val="24"/>
          <w:highlight w:val="none"/>
        </w:rPr>
        <w:t>年</w:t>
      </w:r>
      <w:r>
        <w:rPr>
          <w:rFonts w:hint="eastAsia" w:eastAsia="方正仿宋_GBK" w:cs="Times New Roman"/>
          <w:color w:val="auto"/>
          <w:sz w:val="24"/>
          <w:highlight w:val="none"/>
          <w:lang w:val="en-US" w:eastAsia="zh-CN"/>
        </w:rPr>
        <w:t>11</w:t>
      </w:r>
      <w:r>
        <w:rPr>
          <w:rFonts w:hint="default" w:ascii="Times New Roman" w:hAnsi="Times New Roman" w:eastAsia="方正仿宋_GBK" w:cs="Times New Roman"/>
          <w:color w:val="auto"/>
          <w:sz w:val="24"/>
          <w:highlight w:val="none"/>
        </w:rPr>
        <w:t>月</w:t>
      </w:r>
      <w:r>
        <w:rPr>
          <w:rFonts w:hint="eastAsia" w:eastAsia="方正仿宋_GBK" w:cs="Times New Roman"/>
          <w:color w:val="auto"/>
          <w:sz w:val="24"/>
          <w:highlight w:val="none"/>
          <w:lang w:val="en-US" w:eastAsia="zh-CN"/>
        </w:rPr>
        <w:t>5</w:t>
      </w:r>
      <w:r>
        <w:rPr>
          <w:rFonts w:hint="default" w:ascii="Times New Roman" w:hAnsi="Times New Roman" w:eastAsia="方正仿宋_GBK" w:cs="Times New Roman"/>
          <w:color w:val="auto"/>
          <w:sz w:val="24"/>
          <w:highlight w:val="none"/>
        </w:rPr>
        <w:t>日9:00时前，将《报名表》（加盖供应商公章）</w:t>
      </w:r>
      <w:r>
        <w:rPr>
          <w:rFonts w:hint="default" w:ascii="Times New Roman" w:hAnsi="Times New Roman" w:eastAsia="方正仿宋_GBK" w:cs="Times New Roman"/>
          <w:color w:val="auto"/>
          <w:sz w:val="24"/>
          <w:highlight w:val="none"/>
        </w:rPr>
        <w:fldChar w:fldCharType="begin"/>
      </w:r>
      <w:r>
        <w:rPr>
          <w:rFonts w:hint="default" w:ascii="Times New Roman" w:hAnsi="Times New Roman" w:eastAsia="方正仿宋_GBK" w:cs="Times New Roman"/>
          <w:color w:val="auto"/>
          <w:sz w:val="24"/>
          <w:highlight w:val="none"/>
        </w:rPr>
        <w:instrText xml:space="preserve"> HYPERLINK "mailto:扫描后发送至ghjzbc@163.com" </w:instrText>
      </w:r>
      <w:r>
        <w:rPr>
          <w:rFonts w:hint="default" w:ascii="Times New Roman" w:hAnsi="Times New Roman" w:eastAsia="方正仿宋_GBK" w:cs="Times New Roman"/>
          <w:color w:val="auto"/>
          <w:sz w:val="24"/>
          <w:highlight w:val="none"/>
        </w:rPr>
        <w:fldChar w:fldCharType="separate"/>
      </w:r>
      <w:r>
        <w:rPr>
          <w:rFonts w:hint="default" w:ascii="Times New Roman" w:hAnsi="Times New Roman" w:eastAsia="方正仿宋_GBK" w:cs="Times New Roman"/>
          <w:color w:val="auto"/>
          <w:sz w:val="24"/>
          <w:highlight w:val="none"/>
        </w:rPr>
        <w:t>扫描后发送至</w:t>
      </w:r>
      <w:r>
        <w:rPr>
          <w:rFonts w:hint="default" w:ascii="Times New Roman" w:hAnsi="Times New Roman" w:eastAsia="方正仿宋_GBK" w:cs="Times New Roman"/>
          <w:b/>
          <w:color w:val="auto"/>
          <w:sz w:val="24"/>
          <w:highlight w:val="none"/>
        </w:rPr>
        <w:t>ghjzbc@163.com</w:t>
      </w:r>
      <w:r>
        <w:rPr>
          <w:rFonts w:hint="default" w:ascii="Times New Roman" w:hAnsi="Times New Roman" w:eastAsia="方正仿宋_GBK" w:cs="Times New Roman"/>
          <w:color w:val="auto"/>
          <w:sz w:val="24"/>
          <w:highlight w:val="none"/>
        </w:rPr>
        <w:fldChar w:fldCharType="end"/>
      </w:r>
      <w:r>
        <w:rPr>
          <w:rFonts w:hint="default" w:ascii="Times New Roman" w:hAnsi="Times New Roman" w:eastAsia="方正仿宋_GBK" w:cs="Times New Roman"/>
          <w:color w:val="auto"/>
          <w:sz w:val="24"/>
          <w:highlight w:val="none"/>
        </w:rPr>
        <w:t>邮箱</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highlight w:val="none"/>
        </w:rPr>
        <w:t>邮箱、截止时间按邮箱显示邮件到达时间为准，未按规定提前报名的供应商的响应文件将被拒收。</w:t>
      </w:r>
    </w:p>
    <w:p>
      <w:pPr>
        <w:snapToGrid w:val="0"/>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（四）递交响应文件地点：重庆市港航海事事务中心1</w:t>
      </w:r>
      <w:r>
        <w:rPr>
          <w:rFonts w:hint="default"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楼会议室（地址：重庆市江北区红石路2号东和银都B座）</w:t>
      </w:r>
    </w:p>
    <w:p>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（五）响应文件递交截止时间：202</w:t>
      </w:r>
      <w:r>
        <w:rPr>
          <w:rFonts w:hint="default" w:ascii="Times New Roman" w:hAnsi="Times New Roman"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年</w:t>
      </w:r>
      <w:r>
        <w:rPr>
          <w:rFonts w:hint="eastAsia" w:eastAsia="方正仿宋_GBK" w:cs="Times New Roman"/>
          <w:color w:val="auto"/>
          <w:sz w:val="24"/>
          <w:szCs w:val="24"/>
          <w:highlight w:val="none"/>
          <w:lang w:val="en-US" w:eastAsia="zh-CN"/>
        </w:rPr>
        <w:t>11</w:t>
      </w:r>
      <w:r>
        <w:rPr>
          <w:rFonts w:hint="default" w:ascii="Times New Roman" w:hAnsi="Times New Roman" w:eastAsia="方正仿宋_GBK" w:cs="Times New Roman"/>
          <w:color w:val="auto"/>
          <w:sz w:val="24"/>
          <w:szCs w:val="24"/>
          <w:highlight w:val="none"/>
        </w:rPr>
        <w:t>月</w:t>
      </w:r>
      <w:r>
        <w:rPr>
          <w:rFonts w:hint="eastAsia"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日北京时间14:00时至14:30时</w:t>
      </w:r>
    </w:p>
    <w:p>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（六）评审开始时间：202</w:t>
      </w:r>
      <w:r>
        <w:rPr>
          <w:rFonts w:hint="default" w:ascii="Times New Roman" w:hAnsi="Times New Roman"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年</w:t>
      </w:r>
      <w:r>
        <w:rPr>
          <w:rFonts w:hint="eastAsia" w:eastAsia="方正仿宋_GBK" w:cs="Times New Roman"/>
          <w:color w:val="auto"/>
          <w:sz w:val="24"/>
          <w:szCs w:val="24"/>
          <w:highlight w:val="none"/>
          <w:lang w:val="en-US" w:eastAsia="zh-CN"/>
        </w:rPr>
        <w:t>11</w:t>
      </w:r>
      <w:r>
        <w:rPr>
          <w:rFonts w:hint="default" w:ascii="Times New Roman" w:hAnsi="Times New Roman" w:eastAsia="方正仿宋_GBK" w:cs="Times New Roman"/>
          <w:color w:val="auto"/>
          <w:sz w:val="24"/>
          <w:szCs w:val="24"/>
          <w:highlight w:val="none"/>
        </w:rPr>
        <w:t>月</w:t>
      </w:r>
      <w:r>
        <w:rPr>
          <w:rFonts w:hint="eastAsia"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日北京时间14:30时</w:t>
      </w:r>
    </w:p>
    <w:p>
      <w:pPr>
        <w:pStyle w:val="3"/>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17" w:name="_Toc106030875"/>
      <w:bookmarkStart w:id="18" w:name="_Toc373860294"/>
      <w:bookmarkStart w:id="19" w:name="_Toc76462321"/>
      <w:r>
        <w:rPr>
          <w:rFonts w:hint="default" w:ascii="Times New Roman" w:hAnsi="Times New Roman" w:eastAsia="方正仿宋_GBK" w:cs="Times New Roman"/>
          <w:sz w:val="24"/>
        </w:rPr>
        <w:t>五、</w:t>
      </w:r>
      <w:bookmarkEnd w:id="12"/>
      <w:bookmarkEnd w:id="17"/>
      <w:bookmarkEnd w:id="18"/>
      <w:bookmarkEnd w:id="19"/>
      <w:bookmarkStart w:id="20" w:name="_Toc76462322"/>
      <w:bookmarkStart w:id="21" w:name="_Toc106030876"/>
      <w:bookmarkStart w:id="22" w:name="_Toc480466699"/>
      <w:r>
        <w:rPr>
          <w:rFonts w:hint="default" w:ascii="Times New Roman" w:hAnsi="Times New Roman" w:eastAsia="方正仿宋_GBK" w:cs="Times New Roman"/>
          <w:sz w:val="24"/>
        </w:rPr>
        <w:t>其它有关规定</w:t>
      </w:r>
      <w:bookmarkEnd w:id="20"/>
      <w:bookmarkEnd w:id="21"/>
      <w:bookmarkEnd w:id="22"/>
    </w:p>
    <w:p>
      <w:pPr>
        <w:snapToGrid w:val="0"/>
        <w:spacing w:line="400" w:lineRule="exact"/>
        <w:ind w:firstLine="360" w:firstLineChars="15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（一）单位负责人为同一人或者存在直接控股、管理关系的不同供应商，不得参加同一合同项（包）下的政府采购活动，否则均为无效响应。</w:t>
      </w:r>
    </w:p>
    <w:p>
      <w:pPr>
        <w:snapToGrid w:val="0"/>
        <w:spacing w:line="400" w:lineRule="exact"/>
        <w:ind w:firstLine="360" w:firstLineChars="15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二</w:t>
      </w:r>
      <w:r>
        <w:rPr>
          <w:rFonts w:hint="default" w:ascii="Times New Roman" w:hAnsi="Times New Roman" w:eastAsia="方正仿宋_GBK" w:cs="Times New Roman"/>
          <w:sz w:val="24"/>
          <w:szCs w:val="24"/>
        </w:rPr>
        <w:t>）本项目的澄清文件（如果有）一律在重庆市</w:t>
      </w:r>
      <w:r>
        <w:rPr>
          <w:rFonts w:hint="default" w:ascii="Times New Roman" w:hAnsi="Times New Roman" w:eastAsia="方正仿宋_GBK" w:cs="Times New Roman"/>
          <w:sz w:val="24"/>
          <w:szCs w:val="24"/>
          <w:lang w:eastAsia="zh-CN"/>
        </w:rPr>
        <w:t>交通运输委</w:t>
      </w:r>
      <w:r>
        <w:rPr>
          <w:rFonts w:hint="default" w:ascii="Times New Roman" w:hAnsi="Times New Roman" w:eastAsia="方正仿宋_GBK" w:cs="Times New Roman"/>
          <w:sz w:val="24"/>
          <w:szCs w:val="24"/>
        </w:rPr>
        <w:t>官网上发布，请各供应商注意下载或到采购代理机构处领取；无论供应商下载或领取与否，均视同供应商已知晓本项目澄清文件（如果有）的内容。</w:t>
      </w:r>
    </w:p>
    <w:p>
      <w:pPr>
        <w:snapToGrid w:val="0"/>
        <w:spacing w:line="400" w:lineRule="exact"/>
        <w:ind w:firstLine="360" w:firstLineChars="15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三</w:t>
      </w:r>
      <w:r>
        <w:rPr>
          <w:rFonts w:hint="default" w:ascii="Times New Roman" w:hAnsi="Times New Roman" w:eastAsia="方正仿宋_GBK" w:cs="Times New Roman"/>
          <w:sz w:val="24"/>
          <w:szCs w:val="24"/>
        </w:rPr>
        <w:t>）超过响应文件截止时间递交的响应文件，恕不接收。</w:t>
      </w:r>
    </w:p>
    <w:p>
      <w:pPr>
        <w:snapToGrid w:val="0"/>
        <w:spacing w:line="400" w:lineRule="exact"/>
        <w:ind w:firstLine="360" w:firstLineChars="15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四</w:t>
      </w:r>
      <w:r>
        <w:rPr>
          <w:rFonts w:hint="default" w:ascii="Times New Roman" w:hAnsi="Times New Roman" w:eastAsia="方正仿宋_GBK" w:cs="Times New Roman"/>
          <w:sz w:val="24"/>
          <w:szCs w:val="24"/>
        </w:rPr>
        <w:t>）限额以下磋商评分费用：无论评审结果如何，供应商参与本项目竞争的所有费用均应由供应商自行承担。</w:t>
      </w:r>
    </w:p>
    <w:p>
      <w:pPr>
        <w:snapToGrid w:val="0"/>
        <w:spacing w:line="400" w:lineRule="exact"/>
        <w:ind w:firstLine="360" w:firstLineChars="150"/>
        <w:rPr>
          <w:rFonts w:hint="default" w:ascii="Times New Roman" w:hAnsi="Times New Roman" w:eastAsia="方正仿宋_GBK" w:cs="Times New Roman"/>
          <w:b/>
          <w:sz w:val="24"/>
          <w:szCs w:val="24"/>
        </w:rPr>
      </w:pP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五</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b/>
          <w:i/>
          <w:iCs/>
          <w:sz w:val="24"/>
          <w:szCs w:val="24"/>
        </w:rPr>
        <w:t>本项目不接受联合体参与竞争，否则按无效处理</w:t>
      </w:r>
      <w:r>
        <w:rPr>
          <w:rFonts w:hint="default" w:ascii="Times New Roman" w:hAnsi="Times New Roman" w:eastAsia="方正仿宋_GBK" w:cs="Times New Roman"/>
          <w:b/>
          <w:sz w:val="24"/>
          <w:szCs w:val="24"/>
        </w:rPr>
        <w:t>。</w:t>
      </w:r>
    </w:p>
    <w:p>
      <w:pPr>
        <w:snapToGrid w:val="0"/>
        <w:spacing w:line="400" w:lineRule="exact"/>
        <w:ind w:firstLine="360" w:firstLineChars="15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六</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b/>
          <w:i/>
          <w:iCs/>
          <w:sz w:val="24"/>
          <w:szCs w:val="24"/>
        </w:rPr>
        <w:t>本项目不接受合同分包，否则按无效处理</w:t>
      </w:r>
      <w:r>
        <w:rPr>
          <w:rFonts w:hint="default" w:ascii="Times New Roman" w:hAnsi="Times New Roman" w:eastAsia="方正仿宋_GBK" w:cs="Times New Roman"/>
          <w:b/>
          <w:sz w:val="24"/>
          <w:szCs w:val="24"/>
        </w:rPr>
        <w:t>。</w:t>
      </w:r>
    </w:p>
    <w:p>
      <w:pPr>
        <w:snapToGrid w:val="0"/>
        <w:spacing w:line="400" w:lineRule="exact"/>
        <w:ind w:firstLine="360" w:firstLineChars="15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七</w:t>
      </w:r>
      <w:r>
        <w:rPr>
          <w:rFonts w:hint="default" w:ascii="Times New Roman" w:hAnsi="Times New Roman" w:eastAsia="方正仿宋_GBK" w:cs="Times New Roman"/>
          <w:sz w:val="24"/>
          <w:szCs w:val="24"/>
        </w:rPr>
        <w:t>）</w:t>
      </w:r>
      <w:bookmarkStart w:id="23" w:name="_Toc480466700"/>
      <w:r>
        <w:rPr>
          <w:rFonts w:hint="default" w:ascii="Times New Roman" w:hAnsi="Times New Roman" w:eastAsia="方正仿宋_GBK" w:cs="Times New Roman"/>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不得参与政府采购活动。</w:t>
      </w:r>
    </w:p>
    <w:p>
      <w:pPr>
        <w:pStyle w:val="3"/>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24" w:name="_Toc76462323"/>
      <w:bookmarkStart w:id="25" w:name="_Toc106030877"/>
      <w:r>
        <w:rPr>
          <w:rFonts w:hint="eastAsia" w:ascii="Times New Roman" w:hAnsi="Times New Roman" w:eastAsia="方正仿宋_GBK" w:cs="Times New Roman"/>
          <w:sz w:val="24"/>
          <w:lang w:eastAsia="zh-CN"/>
        </w:rPr>
        <w:t>六</w:t>
      </w:r>
      <w:bookmarkStart w:id="148" w:name="_GoBack"/>
      <w:bookmarkEnd w:id="148"/>
      <w:r>
        <w:rPr>
          <w:rFonts w:hint="default" w:ascii="Times New Roman" w:hAnsi="Times New Roman" w:eastAsia="方正仿宋_GBK" w:cs="Times New Roman"/>
          <w:sz w:val="24"/>
        </w:rPr>
        <w:t>、联系方式</w:t>
      </w:r>
      <w:bookmarkEnd w:id="23"/>
      <w:bookmarkEnd w:id="24"/>
      <w:bookmarkEnd w:id="25"/>
    </w:p>
    <w:p>
      <w:pPr>
        <w:snapToGrid w:val="0"/>
        <w:spacing w:line="400" w:lineRule="exact"/>
        <w:ind w:firstLine="480" w:firstLineChars="200"/>
        <w:outlineLvl w:val="2"/>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（一）采购人：重庆市港航海事事务中心</w:t>
      </w:r>
    </w:p>
    <w:p>
      <w:pPr>
        <w:snapToGrid w:val="0"/>
        <w:spacing w:line="400" w:lineRule="exact"/>
        <w:ind w:firstLine="480" w:firstLineChars="200"/>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 xml:space="preserve">联系人： </w:t>
      </w:r>
      <w:r>
        <w:rPr>
          <w:rFonts w:hint="default" w:ascii="Times New Roman" w:hAnsi="Times New Roman" w:eastAsia="方正仿宋_GBK" w:cs="Times New Roman"/>
          <w:sz w:val="24"/>
          <w:szCs w:val="24"/>
          <w:lang w:val="en-US" w:eastAsia="zh-CN"/>
        </w:rPr>
        <w:t>陈松</w:t>
      </w:r>
    </w:p>
    <w:p>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电  话：023-89183563</w:t>
      </w:r>
    </w:p>
    <w:p>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传  真：023-89183563</w:t>
      </w:r>
    </w:p>
    <w:p>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地  址：重庆市江北区红石路2号</w:t>
      </w:r>
    </w:p>
    <w:p>
      <w:pPr>
        <w:snapToGrid w:val="0"/>
        <w:spacing w:line="400" w:lineRule="exact"/>
        <w:ind w:firstLine="482" w:firstLineChars="200"/>
        <w:rPr>
          <w:rFonts w:hint="default" w:ascii="Times New Roman" w:hAnsi="Times New Roman" w:cs="Times New Roman"/>
          <w:b/>
          <w:sz w:val="24"/>
          <w:szCs w:val="24"/>
        </w:rPr>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964" w:footer="992" w:gutter="0"/>
          <w:pgNumType w:fmt="numberInDash"/>
          <w:cols w:space="720" w:num="1"/>
          <w:docGrid w:linePitch="312" w:charSpace="0"/>
        </w:sectPr>
      </w:pPr>
    </w:p>
    <w:p>
      <w:pPr>
        <w:pStyle w:val="3"/>
        <w:spacing w:before="0" w:after="0" w:line="360" w:lineRule="auto"/>
        <w:jc w:val="center"/>
        <w:rPr>
          <w:rFonts w:hint="default" w:ascii="Times New Roman" w:hAnsi="Times New Roman" w:eastAsia="方正小标宋_GBK" w:cs="Times New Roman"/>
          <w:b w:val="0"/>
          <w:sz w:val="30"/>
          <w:szCs w:val="30"/>
        </w:rPr>
      </w:pPr>
      <w:bookmarkStart w:id="26" w:name="_Toc106030878"/>
      <w:bookmarkStart w:id="27" w:name="_Toc76462324"/>
      <w:r>
        <w:rPr>
          <w:rFonts w:hint="default" w:ascii="Times New Roman" w:hAnsi="Times New Roman" w:eastAsia="方正小标宋_GBK" w:cs="Times New Roman"/>
          <w:b w:val="0"/>
          <w:sz w:val="36"/>
          <w:szCs w:val="30"/>
        </w:rPr>
        <w:t>第二篇  项目服务需求</w:t>
      </w:r>
      <w:bookmarkEnd w:id="26"/>
      <w:bookmarkEnd w:id="27"/>
    </w:p>
    <w:p>
      <w:pPr>
        <w:keepNext/>
        <w:keepLines/>
        <w:widowControl w:val="0"/>
        <w:numPr>
          <w:ilvl w:val="0"/>
          <w:numId w:val="13"/>
        </w:numPr>
        <w:spacing w:before="0" w:after="0" w:line="400" w:lineRule="exact"/>
        <w:jc w:val="both"/>
        <w:outlineLvl w:val="2"/>
        <w:rPr>
          <w:rFonts w:hint="default" w:ascii="Times New Roman" w:hAnsi="Times New Roman" w:eastAsia="宋体" w:cs="Times New Roman"/>
          <w:b/>
          <w:kern w:val="2"/>
          <w:sz w:val="24"/>
          <w:szCs w:val="24"/>
          <w:lang w:val="en-US" w:eastAsia="zh-CN" w:bidi="ar-SA"/>
        </w:rPr>
      </w:pPr>
      <w:bookmarkStart w:id="28" w:name="_Toc28916"/>
      <w:bookmarkStart w:id="29" w:name="_Toc12789058"/>
      <w:bookmarkStart w:id="30" w:name="_Toc106030882"/>
      <w:bookmarkStart w:id="31" w:name="_Toc76462327"/>
      <w:r>
        <w:rPr>
          <w:rFonts w:hint="default" w:ascii="Times New Roman" w:hAnsi="Times New Roman" w:eastAsia="宋体" w:cs="Times New Roman"/>
          <w:b/>
          <w:kern w:val="2"/>
          <w:sz w:val="24"/>
          <w:szCs w:val="24"/>
          <w:lang w:val="en-US" w:eastAsia="zh-CN" w:bidi="ar-SA"/>
        </w:rPr>
        <w:t>项目概况</w:t>
      </w:r>
      <w:bookmarkEnd w:id="28"/>
    </w:p>
    <w:tbl>
      <w:tblPr>
        <w:tblStyle w:val="5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3"/>
        <w:gridCol w:w="1500"/>
        <w:gridCol w:w="4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330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Times New Roman" w:hAnsi="Times New Roman" w:eastAsia="方正仿宋_GBK" w:cs="Times New Roman"/>
                <w:sz w:val="22"/>
                <w:szCs w:val="22"/>
                <w:lang w:val="en-US" w:eastAsia="zh-CN"/>
              </w:rPr>
            </w:pPr>
            <w:bookmarkStart w:id="32" w:name="_Toc505262393"/>
            <w:bookmarkStart w:id="33" w:name="_Toc313536013"/>
            <w:bookmarkStart w:id="34" w:name="_Toc777"/>
            <w:bookmarkStart w:id="35" w:name="_Toc344475116"/>
            <w:r>
              <w:rPr>
                <w:rFonts w:hint="default" w:ascii="Times New Roman" w:hAnsi="Times New Roman" w:eastAsia="方正仿宋_GBK" w:cs="Times New Roman"/>
                <w:sz w:val="22"/>
                <w:szCs w:val="22"/>
                <w:lang w:val="en-US" w:eastAsia="zh-CN"/>
              </w:rPr>
              <w:t>项目名称</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Times New Roman" w:hAnsi="Times New Roman" w:eastAsia="方正仿宋_GBK" w:cs="Times New Roman"/>
                <w:sz w:val="22"/>
                <w:szCs w:val="22"/>
                <w:lang w:val="en-US" w:eastAsia="zh-CN"/>
              </w:rPr>
            </w:pPr>
            <w:r>
              <w:rPr>
                <w:rFonts w:hint="default" w:ascii="Times New Roman" w:hAnsi="Times New Roman" w:eastAsia="方正仿宋_GBK" w:cs="Times New Roman"/>
                <w:sz w:val="22"/>
                <w:szCs w:val="22"/>
                <w:lang w:val="en-US" w:eastAsia="zh-CN"/>
              </w:rPr>
              <w:t>数量/单位</w:t>
            </w:r>
          </w:p>
        </w:tc>
        <w:tc>
          <w:tcPr>
            <w:tcW w:w="482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Times New Roman" w:hAnsi="Times New Roman" w:eastAsia="方正仿宋_GBK" w:cs="Times New Roman"/>
                <w:sz w:val="22"/>
                <w:szCs w:val="22"/>
                <w:lang w:val="en-US" w:eastAsia="zh-CN"/>
              </w:rPr>
            </w:pPr>
            <w:r>
              <w:rPr>
                <w:rFonts w:hint="default" w:ascii="Times New Roman" w:hAnsi="Times New Roman" w:eastAsia="方正仿宋_GBK" w:cs="Times New Roman"/>
                <w:sz w:val="22"/>
                <w:szCs w:val="2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30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default" w:ascii="Times New Roman" w:hAnsi="Times New Roman" w:eastAsia="方正仿宋_GBK" w:cs="Times New Roman"/>
                <w:sz w:val="22"/>
                <w:szCs w:val="22"/>
                <w:lang w:val="en-US" w:eastAsia="zh-CN"/>
              </w:rPr>
            </w:pPr>
            <w:r>
              <w:rPr>
                <w:rFonts w:hint="default" w:ascii="Times New Roman" w:hAnsi="Times New Roman" w:eastAsia="宋体" w:cs="Times New Roman"/>
                <w:sz w:val="21"/>
                <w:szCs w:val="21"/>
                <w:lang w:val="en-US" w:eastAsia="zh-CN"/>
              </w:rPr>
              <w:t>嘉陵江、乌江电子航道图设计服务</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Times New Roman" w:hAnsi="Times New Roman" w:eastAsia="方正仿宋_GBK" w:cs="Times New Roman"/>
                <w:sz w:val="22"/>
                <w:szCs w:val="22"/>
                <w:lang w:val="en-US" w:eastAsia="zh-CN"/>
              </w:rPr>
            </w:pPr>
            <w:r>
              <w:rPr>
                <w:rFonts w:hint="default" w:ascii="Times New Roman" w:hAnsi="Times New Roman" w:eastAsia="方正仿宋_GBK" w:cs="Times New Roman"/>
                <w:sz w:val="22"/>
                <w:szCs w:val="22"/>
                <w:lang w:val="en-US" w:eastAsia="zh-CN"/>
              </w:rPr>
              <w:t>1</w:t>
            </w:r>
          </w:p>
        </w:tc>
        <w:tc>
          <w:tcPr>
            <w:tcW w:w="482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firstLine="330" w:firstLineChars="150"/>
              <w:rPr>
                <w:rFonts w:hint="default" w:ascii="Times New Roman" w:hAnsi="Times New Roman" w:eastAsia="方正仿宋_GBK" w:cs="Times New Roman"/>
                <w:sz w:val="22"/>
                <w:szCs w:val="22"/>
                <w:lang w:val="en-US" w:eastAsia="zh-CN"/>
              </w:rPr>
            </w:pPr>
            <w:r>
              <w:rPr>
                <w:rFonts w:hint="default" w:ascii="Times New Roman" w:hAnsi="Times New Roman" w:eastAsia="方正仿宋_GBK" w:cs="Times New Roman"/>
                <w:sz w:val="22"/>
                <w:szCs w:val="22"/>
                <w:lang w:val="en-US" w:eastAsia="zh-CN"/>
              </w:rPr>
              <w:t>服务范围：采购文件制定范围;</w:t>
            </w:r>
          </w:p>
          <w:p>
            <w:pPr>
              <w:snapToGrid w:val="0"/>
              <w:spacing w:line="400" w:lineRule="exact"/>
              <w:ind w:firstLine="330" w:firstLineChars="150"/>
              <w:rPr>
                <w:rFonts w:hint="default" w:ascii="Times New Roman" w:hAnsi="Times New Roman" w:eastAsia="方正仿宋_GBK" w:cs="Times New Roman"/>
                <w:sz w:val="22"/>
                <w:szCs w:val="22"/>
                <w:lang w:val="en-US" w:eastAsia="zh-CN"/>
              </w:rPr>
            </w:pPr>
            <w:r>
              <w:rPr>
                <w:rFonts w:hint="default" w:ascii="Times New Roman" w:hAnsi="Times New Roman" w:eastAsia="方正仿宋_GBK" w:cs="Times New Roman"/>
                <w:sz w:val="22"/>
                <w:szCs w:val="22"/>
                <w:lang w:val="en-US" w:eastAsia="zh-CN"/>
              </w:rPr>
              <w:t>服务要求：符合采购人的需求;</w:t>
            </w:r>
          </w:p>
          <w:p>
            <w:pPr>
              <w:snapToGrid w:val="0"/>
              <w:spacing w:line="400" w:lineRule="exact"/>
              <w:ind w:firstLine="330" w:firstLineChars="150"/>
              <w:rPr>
                <w:rFonts w:hint="default" w:ascii="Times New Roman" w:hAnsi="Times New Roman" w:eastAsia="方正仿宋_GBK" w:cs="Times New Roman"/>
                <w:sz w:val="22"/>
                <w:szCs w:val="22"/>
                <w:lang w:val="en-US" w:eastAsia="zh-CN"/>
              </w:rPr>
            </w:pPr>
            <w:r>
              <w:rPr>
                <w:rFonts w:hint="default" w:ascii="Times New Roman" w:hAnsi="Times New Roman" w:eastAsia="方正仿宋_GBK" w:cs="Times New Roman"/>
                <w:sz w:val="22"/>
                <w:szCs w:val="22"/>
                <w:lang w:val="en-US" w:eastAsia="zh-CN"/>
              </w:rPr>
              <w:t>服务标准：按采购文件及相关国家标准执行。</w:t>
            </w:r>
          </w:p>
        </w:tc>
      </w:tr>
      <w:bookmarkEnd w:id="32"/>
      <w:bookmarkEnd w:id="33"/>
      <w:bookmarkEnd w:id="34"/>
      <w:bookmarkEnd w:id="35"/>
    </w:tbl>
    <w:p>
      <w:pPr>
        <w:keepNext/>
        <w:keepLines/>
        <w:widowControl w:val="0"/>
        <w:spacing w:before="0" w:after="0" w:line="240" w:lineRule="auto"/>
        <w:jc w:val="both"/>
        <w:outlineLvl w:val="2"/>
        <w:rPr>
          <w:rFonts w:hint="default" w:ascii="Times New Roman" w:hAnsi="Times New Roman" w:eastAsia="宋体" w:cs="Times New Roman"/>
          <w:b/>
          <w:kern w:val="0"/>
          <w:sz w:val="21"/>
          <w:szCs w:val="21"/>
          <w:u w:val="single"/>
          <w:lang w:val="en-US" w:eastAsia="zh-CN" w:bidi="ar-SA"/>
        </w:rPr>
      </w:pPr>
    </w:p>
    <w:p>
      <w:pPr>
        <w:keepNext/>
        <w:keepLines/>
        <w:widowControl w:val="0"/>
        <w:spacing w:before="0" w:after="0" w:line="240" w:lineRule="auto"/>
        <w:jc w:val="both"/>
        <w:outlineLvl w:val="2"/>
        <w:rPr>
          <w:rFonts w:hint="default" w:ascii="Times New Roman" w:hAnsi="Times New Roman" w:eastAsia="宋体" w:cs="Times New Roman"/>
          <w:b/>
          <w:kern w:val="2"/>
          <w:sz w:val="24"/>
          <w:szCs w:val="24"/>
          <w:lang w:val="en-US" w:eastAsia="zh-CN" w:bidi="ar-SA"/>
        </w:rPr>
      </w:pPr>
      <w:bookmarkStart w:id="36" w:name="_Toc2406"/>
      <w:r>
        <w:rPr>
          <w:rFonts w:hint="default" w:ascii="Times New Roman" w:hAnsi="Times New Roman" w:eastAsia="宋体" w:cs="Times New Roman"/>
          <w:b/>
          <w:kern w:val="2"/>
          <w:sz w:val="24"/>
          <w:szCs w:val="24"/>
          <w:lang w:val="en-US" w:eastAsia="zh-CN" w:bidi="ar-SA"/>
        </w:rPr>
        <w:t>二、项目服务内容</w:t>
      </w:r>
      <w:bookmarkEnd w:id="36"/>
    </w:p>
    <w:p>
      <w:pPr>
        <w:snapToGrid w:val="0"/>
        <w:spacing w:line="400" w:lineRule="exact"/>
        <w:ind w:firstLine="600" w:firstLineChars="250"/>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(一）项目基本概况</w:t>
      </w:r>
    </w:p>
    <w:p>
      <w:pPr>
        <w:snapToGrid w:val="0"/>
        <w:spacing w:line="400" w:lineRule="exact"/>
        <w:ind w:firstLine="480" w:firstLineChars="20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根据《重庆市“三轴贯双圈  一廊联江海”公路水路交通基础设施数字化转型升级实施方案》、《交通运输部办公厅关于重庆市 “三轴贯双圈一廊联江海”公路水路交通基础设施数字化转型升级实施方案及资金安排的意见》（交办规划函 〔2025〕 1248 号）及《重庆市公路水路交通基础设施数字化转型升级任务清单》（渝交计〔2025〕97 号）等相关文件要求，拟嘉陵江、乌江电子航道图建设，主要内容为嘉陵江建设153公里（含已建设40公里，本项目实际建设为113公里），现就嘉陵江、乌江电子航道图</w:t>
      </w:r>
      <w:r>
        <w:rPr>
          <w:rFonts w:hint="eastAsia" w:eastAsia="方正仿宋_GBK" w:cs="Times New Roman"/>
          <w:color w:val="auto"/>
          <w:sz w:val="24"/>
          <w:szCs w:val="24"/>
          <w:lang w:val="en-US" w:eastAsia="zh-CN"/>
        </w:rPr>
        <w:t>设计</w:t>
      </w:r>
      <w:r>
        <w:rPr>
          <w:rFonts w:hint="default" w:ascii="Times New Roman" w:hAnsi="Times New Roman" w:eastAsia="方正仿宋_GBK" w:cs="Times New Roman"/>
          <w:color w:val="auto"/>
          <w:sz w:val="24"/>
          <w:szCs w:val="24"/>
          <w:lang w:val="en-US" w:eastAsia="zh-CN"/>
        </w:rPr>
        <w:t>服务进行采购。</w:t>
      </w:r>
    </w:p>
    <w:p>
      <w:pPr>
        <w:pStyle w:val="22"/>
        <w:ind w:firstLine="480" w:firstLineChars="20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（二）设计服务要求</w:t>
      </w:r>
    </w:p>
    <w:p>
      <w:pPr>
        <w:snapToGrid w:val="0"/>
        <w:spacing w:line="400" w:lineRule="exact"/>
        <w:ind w:firstLine="480" w:firstLineChars="20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依托《内河电子航道图技术规范》《内河数字航道工程建设技术规范》《内河航道信息交换标准》等行业标准和长江干线电子航道图建设等经验，编制嘉陵江、乌江电子航道图设计文件。</w:t>
      </w:r>
    </w:p>
    <w:p>
      <w:pPr>
        <w:pStyle w:val="22"/>
        <w:numPr>
          <w:ilvl w:val="0"/>
          <w:numId w:val="14"/>
        </w:numPr>
        <w:ind w:firstLine="480" w:firstLineChars="20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设计服务标准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330" w:lineRule="atLeast"/>
        <w:ind w:left="0" w:right="0" w:firstLine="480" w:firstLineChars="200"/>
        <w:rPr>
          <w:rStyle w:val="241"/>
          <w:rFonts w:hint="default" w:ascii="Times New Roman" w:hAnsi="Times New Roman" w:eastAsia="方正仿宋_GBK" w:cs="Times New Roman"/>
          <w:b w:val="0"/>
          <w:sz w:val="24"/>
          <w:szCs w:val="24"/>
        </w:rPr>
      </w:pPr>
      <w:r>
        <w:rPr>
          <w:rStyle w:val="241"/>
          <w:rFonts w:hint="default" w:ascii="Times New Roman" w:hAnsi="Times New Roman" w:eastAsia="方正仿宋_GBK" w:cs="Times New Roman"/>
          <w:b w:val="0"/>
          <w:sz w:val="24"/>
          <w:szCs w:val="24"/>
          <w:lang w:val="en-US"/>
        </w:rPr>
        <w:t>1</w:t>
      </w:r>
      <w:r>
        <w:rPr>
          <w:rStyle w:val="241"/>
          <w:rFonts w:hint="default" w:ascii="Times New Roman" w:hAnsi="Times New Roman" w:eastAsia="方正仿宋_GBK" w:cs="Times New Roman"/>
          <w:b w:val="0"/>
          <w:sz w:val="24"/>
          <w:szCs w:val="24"/>
        </w:rPr>
        <w:t>、《内河电子航道图工程技术标准》</w:t>
      </w:r>
      <w:r>
        <w:rPr>
          <w:rStyle w:val="241"/>
          <w:rFonts w:hint="default" w:ascii="Times New Roman" w:hAnsi="Times New Roman" w:eastAsia="方正仿宋_GBK" w:cs="Times New Roman"/>
          <w:b w:val="0"/>
          <w:sz w:val="24"/>
          <w:szCs w:val="24"/>
        </w:rPr>
        <w:fldChar w:fldCharType="begin"/>
      </w:r>
      <w:r>
        <w:rPr>
          <w:rStyle w:val="241"/>
          <w:rFonts w:hint="default" w:ascii="Times New Roman" w:hAnsi="Times New Roman" w:eastAsia="方正仿宋_GBK" w:cs="Times New Roman"/>
          <w:b w:val="0"/>
          <w:sz w:val="24"/>
          <w:szCs w:val="24"/>
        </w:rPr>
        <w:instrText xml:space="preserve"> HYPERLINK "https://www.so.com/link?m=wVM2p1nao6KmRsLsPyKJzjviyrm05yQu5KjhlefSuTiBEaJWrERMdO0nZ/gGdfRdImHdV/3P2Z+GAWLkqZ5n+nA9OsMjOTEoGXqx1VTfZJwVanfOsaF7t/l+NxhQQM5xC73v/7u//Ff3cE2RZt3DleGqXnKLt2H7/Nj2XscoHyWbdTOnJWaUgDzTu60VdO+4yhwBH62r9ImoBfin8" \t "https://www.so.com/_blank" </w:instrText>
      </w:r>
      <w:r>
        <w:rPr>
          <w:rStyle w:val="241"/>
          <w:rFonts w:hint="default" w:ascii="Times New Roman" w:hAnsi="Times New Roman" w:eastAsia="方正仿宋_GBK" w:cs="Times New Roman"/>
          <w:b w:val="0"/>
          <w:sz w:val="24"/>
          <w:szCs w:val="24"/>
        </w:rPr>
        <w:fldChar w:fldCharType="separate"/>
      </w:r>
      <w:r>
        <w:rPr>
          <w:rStyle w:val="241"/>
          <w:rFonts w:hint="default" w:ascii="Times New Roman" w:hAnsi="Times New Roman" w:eastAsia="方正仿宋_GBK" w:cs="Times New Roman"/>
          <w:b w:val="0"/>
          <w:sz w:val="24"/>
          <w:szCs w:val="24"/>
        </w:rPr>
        <w:t>GB-T51465-2024</w:t>
      </w:r>
      <w:r>
        <w:rPr>
          <w:rStyle w:val="241"/>
          <w:rFonts w:hint="default" w:ascii="Times New Roman" w:hAnsi="Times New Roman" w:eastAsia="方正仿宋_GBK" w:cs="Times New Roman"/>
          <w:b w:val="0"/>
          <w:sz w:val="24"/>
          <w:szCs w:val="24"/>
        </w:rPr>
        <w:fldChar w:fldCharType="end"/>
      </w:r>
      <w:r>
        <w:rPr>
          <w:rStyle w:val="241"/>
          <w:rFonts w:hint="default" w:ascii="Times New Roman" w:hAnsi="Times New Roman" w:eastAsia="方正仿宋_GBK" w:cs="Times New Roman"/>
          <w:b w:val="0"/>
          <w:sz w:val="24"/>
          <w:szCs w:val="24"/>
        </w:rPr>
        <w:t>；</w:t>
      </w:r>
    </w:p>
    <w:p>
      <w:pPr>
        <w:spacing w:line="240" w:lineRule="auto"/>
        <w:ind w:firstLine="480" w:firstLineChars="200"/>
        <w:outlineLvl w:val="1"/>
        <w:rPr>
          <w:rStyle w:val="241"/>
          <w:rFonts w:hint="default" w:ascii="Times New Roman" w:hAnsi="Times New Roman" w:eastAsia="方正仿宋_GBK" w:cs="Times New Roman"/>
          <w:b w:val="0"/>
          <w:sz w:val="24"/>
          <w:szCs w:val="24"/>
        </w:rPr>
      </w:pPr>
      <w:r>
        <w:rPr>
          <w:rStyle w:val="241"/>
          <w:rFonts w:hint="default" w:ascii="Times New Roman" w:hAnsi="Times New Roman" w:eastAsia="方正仿宋_GBK" w:cs="Times New Roman"/>
          <w:b w:val="0"/>
          <w:sz w:val="24"/>
          <w:szCs w:val="24"/>
          <w:lang w:val="en-US"/>
        </w:rPr>
        <w:t>2</w:t>
      </w:r>
      <w:r>
        <w:rPr>
          <w:rStyle w:val="241"/>
          <w:rFonts w:hint="default" w:ascii="Times New Roman" w:hAnsi="Times New Roman" w:eastAsia="方正仿宋_GBK" w:cs="Times New Roman"/>
          <w:b w:val="0"/>
          <w:sz w:val="24"/>
          <w:szCs w:val="24"/>
        </w:rPr>
        <w:t>、《水运工程测量规范》(JTS 131－2012)；</w:t>
      </w:r>
    </w:p>
    <w:p>
      <w:pPr>
        <w:spacing w:line="240" w:lineRule="auto"/>
        <w:ind w:firstLine="480" w:firstLineChars="200"/>
        <w:outlineLvl w:val="1"/>
        <w:rPr>
          <w:rStyle w:val="241"/>
          <w:rFonts w:hint="default" w:ascii="Times New Roman" w:hAnsi="Times New Roman" w:eastAsia="方正仿宋_GBK" w:cs="Times New Roman"/>
          <w:b w:val="0"/>
          <w:sz w:val="24"/>
          <w:szCs w:val="24"/>
        </w:rPr>
      </w:pPr>
      <w:r>
        <w:rPr>
          <w:rStyle w:val="241"/>
          <w:rFonts w:hint="default" w:ascii="Times New Roman" w:hAnsi="Times New Roman" w:eastAsia="方正仿宋_GBK" w:cs="Times New Roman"/>
          <w:b w:val="0"/>
          <w:sz w:val="24"/>
          <w:szCs w:val="24"/>
          <w:lang w:val="en-US"/>
        </w:rPr>
        <w:t>3</w:t>
      </w:r>
      <w:r>
        <w:rPr>
          <w:rStyle w:val="241"/>
          <w:rFonts w:hint="default" w:ascii="Times New Roman" w:hAnsi="Times New Roman" w:eastAsia="方正仿宋_GBK" w:cs="Times New Roman"/>
          <w:b w:val="0"/>
          <w:sz w:val="24"/>
          <w:szCs w:val="24"/>
        </w:rPr>
        <w:t>、《水运工程测量质量检验标准》（JTS 258-2008）；</w:t>
      </w:r>
    </w:p>
    <w:p>
      <w:pPr>
        <w:spacing w:line="240" w:lineRule="auto"/>
        <w:ind w:firstLine="480" w:firstLineChars="200"/>
        <w:outlineLvl w:val="1"/>
        <w:rPr>
          <w:rStyle w:val="241"/>
          <w:rFonts w:hint="default" w:ascii="Times New Roman" w:hAnsi="Times New Roman" w:eastAsia="方正仿宋_GBK" w:cs="Times New Roman"/>
          <w:b w:val="0"/>
          <w:sz w:val="24"/>
          <w:szCs w:val="24"/>
        </w:rPr>
      </w:pPr>
      <w:r>
        <w:rPr>
          <w:rStyle w:val="241"/>
          <w:rFonts w:hint="default" w:ascii="Times New Roman" w:hAnsi="Times New Roman" w:eastAsia="方正仿宋_GBK" w:cs="Times New Roman"/>
          <w:b w:val="0"/>
          <w:sz w:val="24"/>
          <w:szCs w:val="24"/>
          <w:lang w:val="en-US"/>
        </w:rPr>
        <w:t>4</w:t>
      </w:r>
      <w:r>
        <w:rPr>
          <w:rStyle w:val="241"/>
          <w:rFonts w:hint="default" w:ascii="Times New Roman" w:hAnsi="Times New Roman" w:eastAsia="方正仿宋_GBK" w:cs="Times New Roman"/>
          <w:b w:val="0"/>
          <w:sz w:val="24"/>
          <w:szCs w:val="24"/>
        </w:rPr>
        <w:t>、《国家基本比例尺地形图分幅与编号》(GB/T 13989－92)；</w:t>
      </w:r>
    </w:p>
    <w:p>
      <w:pPr>
        <w:spacing w:line="240" w:lineRule="auto"/>
        <w:ind w:firstLine="480" w:firstLineChars="200"/>
        <w:outlineLvl w:val="1"/>
        <w:rPr>
          <w:rStyle w:val="241"/>
          <w:rFonts w:hint="default" w:ascii="Times New Roman" w:hAnsi="Times New Roman" w:eastAsia="方正仿宋_GBK" w:cs="Times New Roman"/>
          <w:b w:val="0"/>
          <w:sz w:val="24"/>
          <w:szCs w:val="24"/>
        </w:rPr>
      </w:pPr>
      <w:r>
        <w:rPr>
          <w:rStyle w:val="241"/>
          <w:rFonts w:hint="default" w:ascii="Times New Roman" w:hAnsi="Times New Roman" w:eastAsia="方正仿宋_GBK" w:cs="Times New Roman"/>
          <w:b w:val="0"/>
          <w:sz w:val="24"/>
          <w:szCs w:val="24"/>
          <w:lang w:val="en-US"/>
        </w:rPr>
        <w:t>5</w:t>
      </w:r>
      <w:r>
        <w:rPr>
          <w:rStyle w:val="241"/>
          <w:rFonts w:hint="default" w:ascii="Times New Roman" w:hAnsi="Times New Roman" w:eastAsia="方正仿宋_GBK" w:cs="Times New Roman"/>
          <w:b w:val="0"/>
          <w:sz w:val="24"/>
          <w:szCs w:val="24"/>
        </w:rPr>
        <w:t>、《国家三、四等水准测量规范》(GB 12898－2009)；</w:t>
      </w:r>
    </w:p>
    <w:p>
      <w:pPr>
        <w:spacing w:line="240" w:lineRule="auto"/>
        <w:ind w:firstLine="480" w:firstLineChars="200"/>
        <w:outlineLvl w:val="1"/>
        <w:rPr>
          <w:rStyle w:val="241"/>
          <w:rFonts w:hint="default" w:ascii="Times New Roman" w:hAnsi="Times New Roman" w:eastAsia="方正仿宋_GBK" w:cs="Times New Roman"/>
          <w:b w:val="0"/>
          <w:sz w:val="24"/>
          <w:szCs w:val="24"/>
        </w:rPr>
      </w:pPr>
      <w:r>
        <w:rPr>
          <w:rStyle w:val="241"/>
          <w:rFonts w:hint="default" w:ascii="Times New Roman" w:hAnsi="Times New Roman" w:eastAsia="方正仿宋_GBK" w:cs="Times New Roman"/>
          <w:b w:val="0"/>
          <w:sz w:val="24"/>
          <w:szCs w:val="24"/>
          <w:lang w:val="en-US"/>
        </w:rPr>
        <w:t>6</w:t>
      </w:r>
      <w:r>
        <w:rPr>
          <w:rStyle w:val="241"/>
          <w:rFonts w:hint="default" w:ascii="Times New Roman" w:hAnsi="Times New Roman" w:eastAsia="方正仿宋_GBK" w:cs="Times New Roman"/>
          <w:b w:val="0"/>
          <w:sz w:val="24"/>
          <w:szCs w:val="24"/>
        </w:rPr>
        <w:t xml:space="preserve">、《内河助航标志》（GB 5863-93）； </w:t>
      </w:r>
    </w:p>
    <w:p>
      <w:pPr>
        <w:spacing w:line="240" w:lineRule="auto"/>
        <w:ind w:firstLine="480" w:firstLineChars="200"/>
        <w:outlineLvl w:val="1"/>
        <w:rPr>
          <w:rStyle w:val="241"/>
          <w:rFonts w:hint="default" w:ascii="Times New Roman" w:hAnsi="Times New Roman" w:eastAsia="方正仿宋_GBK" w:cs="Times New Roman"/>
          <w:b w:val="0"/>
          <w:sz w:val="24"/>
          <w:szCs w:val="24"/>
        </w:rPr>
      </w:pPr>
      <w:r>
        <w:rPr>
          <w:rStyle w:val="241"/>
          <w:rFonts w:hint="default" w:ascii="Times New Roman" w:hAnsi="Times New Roman" w:eastAsia="方正仿宋_GBK" w:cs="Times New Roman"/>
          <w:b w:val="0"/>
          <w:sz w:val="24"/>
          <w:szCs w:val="24"/>
          <w:lang w:val="en-US"/>
        </w:rPr>
        <w:t>7</w:t>
      </w:r>
      <w:r>
        <w:rPr>
          <w:rStyle w:val="241"/>
          <w:rFonts w:hint="default" w:ascii="Times New Roman" w:hAnsi="Times New Roman" w:eastAsia="方正仿宋_GBK" w:cs="Times New Roman"/>
          <w:b w:val="0"/>
          <w:sz w:val="24"/>
          <w:szCs w:val="24"/>
        </w:rPr>
        <w:t>、《内河电子航道图技术规范》（JTS-195-3-2019）；</w:t>
      </w:r>
    </w:p>
    <w:p>
      <w:pPr>
        <w:spacing w:line="240" w:lineRule="auto"/>
        <w:ind w:firstLine="480" w:firstLineChars="200"/>
        <w:outlineLvl w:val="1"/>
        <w:rPr>
          <w:rStyle w:val="241"/>
          <w:rFonts w:hint="default" w:ascii="Times New Roman" w:hAnsi="Times New Roman" w:eastAsia="方正仿宋_GBK" w:cs="Times New Roman"/>
          <w:b w:val="0"/>
          <w:sz w:val="24"/>
          <w:szCs w:val="24"/>
        </w:rPr>
      </w:pPr>
      <w:r>
        <w:rPr>
          <w:rStyle w:val="241"/>
          <w:rFonts w:hint="default" w:ascii="Times New Roman" w:hAnsi="Times New Roman" w:eastAsia="方正仿宋_GBK" w:cs="Times New Roman"/>
          <w:b w:val="0"/>
          <w:sz w:val="24"/>
          <w:szCs w:val="24"/>
          <w:lang w:val="en-US"/>
        </w:rPr>
        <w:t>8</w:t>
      </w:r>
      <w:r>
        <w:rPr>
          <w:rStyle w:val="241"/>
          <w:rFonts w:hint="default" w:ascii="Times New Roman" w:hAnsi="Times New Roman" w:eastAsia="方正仿宋_GBK" w:cs="Times New Roman"/>
          <w:b w:val="0"/>
          <w:sz w:val="24"/>
          <w:szCs w:val="24"/>
        </w:rPr>
        <w:t xml:space="preserve">、《长江电子航道图制作规范》（JT/T765—2016）； </w:t>
      </w:r>
    </w:p>
    <w:p>
      <w:pPr>
        <w:spacing w:line="240" w:lineRule="auto"/>
        <w:ind w:firstLine="480" w:firstLineChars="200"/>
        <w:outlineLvl w:val="1"/>
        <w:rPr>
          <w:rStyle w:val="241"/>
          <w:rFonts w:hint="default" w:ascii="Times New Roman" w:hAnsi="Times New Roman" w:eastAsia="方正仿宋_GBK" w:cs="Times New Roman"/>
          <w:b w:val="0"/>
          <w:sz w:val="24"/>
          <w:szCs w:val="24"/>
        </w:rPr>
      </w:pPr>
      <w:r>
        <w:rPr>
          <w:rStyle w:val="241"/>
          <w:rFonts w:hint="default" w:ascii="Times New Roman" w:hAnsi="Times New Roman" w:eastAsia="方正仿宋_GBK" w:cs="Times New Roman"/>
          <w:b w:val="0"/>
          <w:sz w:val="24"/>
          <w:szCs w:val="24"/>
          <w:lang w:val="en-US"/>
        </w:rPr>
        <w:t>9</w:t>
      </w:r>
      <w:r>
        <w:rPr>
          <w:rStyle w:val="241"/>
          <w:rFonts w:hint="default" w:ascii="Times New Roman" w:hAnsi="Times New Roman" w:eastAsia="方正仿宋_GBK" w:cs="Times New Roman"/>
          <w:b w:val="0"/>
          <w:sz w:val="24"/>
          <w:szCs w:val="24"/>
        </w:rPr>
        <w:t>、《公开地图内容表示若干规定》（国测法字〔2003〕1号）；</w:t>
      </w:r>
    </w:p>
    <w:p>
      <w:pPr>
        <w:pStyle w:val="22"/>
        <w:numPr>
          <w:ilvl w:val="0"/>
          <w:numId w:val="0"/>
        </w:numPr>
        <w:ind w:firstLine="480" w:firstLineChars="200"/>
        <w:rPr>
          <w:rFonts w:hint="default" w:ascii="Times New Roman" w:hAnsi="Times New Roman" w:eastAsia="方正仿宋_GBK" w:cs="Times New Roman"/>
          <w:color w:val="auto"/>
          <w:sz w:val="24"/>
          <w:szCs w:val="24"/>
          <w:lang w:val="en-US" w:eastAsia="zh-CN"/>
        </w:rPr>
      </w:pPr>
      <w:r>
        <w:rPr>
          <w:rStyle w:val="241"/>
          <w:rFonts w:hint="default" w:ascii="Times New Roman" w:hAnsi="Times New Roman" w:eastAsia="方正仿宋_GBK" w:cs="Times New Roman"/>
          <w:b w:val="0"/>
          <w:sz w:val="24"/>
          <w:szCs w:val="24"/>
          <w:lang w:val="en-US"/>
        </w:rPr>
        <w:t>10</w:t>
      </w:r>
      <w:r>
        <w:rPr>
          <w:rStyle w:val="241"/>
          <w:rFonts w:hint="default" w:ascii="Times New Roman" w:hAnsi="Times New Roman" w:eastAsia="方正仿宋_GBK" w:cs="Times New Roman"/>
          <w:b w:val="0"/>
          <w:sz w:val="24"/>
          <w:szCs w:val="24"/>
        </w:rPr>
        <w:t>、《公开地图内容表示补充规定（试行）》（国测图字〔2009〕2号）</w:t>
      </w:r>
    </w:p>
    <w:p>
      <w:pPr>
        <w:keepNext/>
        <w:keepLines/>
        <w:widowControl w:val="0"/>
        <w:spacing w:before="0" w:after="0" w:line="240" w:lineRule="auto"/>
        <w:jc w:val="both"/>
        <w:outlineLvl w:val="2"/>
        <w:rPr>
          <w:rFonts w:hint="default" w:ascii="Times New Roman" w:hAnsi="Times New Roman" w:eastAsia="宋体" w:cs="Times New Roman"/>
          <w:b/>
          <w:kern w:val="2"/>
          <w:sz w:val="24"/>
          <w:szCs w:val="24"/>
          <w:lang w:val="en-US" w:eastAsia="zh-CN" w:bidi="ar-SA"/>
        </w:rPr>
      </w:pPr>
      <w:bookmarkStart w:id="37" w:name="_Toc21425"/>
    </w:p>
    <w:p>
      <w:pPr>
        <w:keepNext/>
        <w:keepLines/>
        <w:widowControl w:val="0"/>
        <w:spacing w:before="0" w:after="0" w:line="240" w:lineRule="auto"/>
        <w:jc w:val="both"/>
        <w:outlineLvl w:val="2"/>
        <w:rPr>
          <w:rFonts w:hint="default" w:ascii="Times New Roman" w:hAnsi="Times New Roman" w:eastAsia="宋体" w:cs="Times New Roman"/>
          <w:b/>
          <w:kern w:val="2"/>
          <w:sz w:val="24"/>
          <w:szCs w:val="24"/>
          <w:lang w:val="en-US" w:eastAsia="zh-CN" w:bidi="ar-SA"/>
        </w:rPr>
      </w:pPr>
      <w:r>
        <w:rPr>
          <w:rFonts w:hint="default" w:ascii="Times New Roman" w:hAnsi="Times New Roman" w:eastAsia="宋体" w:cs="Times New Roman"/>
          <w:b/>
          <w:kern w:val="2"/>
          <w:sz w:val="24"/>
          <w:szCs w:val="24"/>
          <w:lang w:val="en-US" w:eastAsia="zh-CN" w:bidi="ar-SA"/>
        </w:rPr>
        <w:t>三、服务及质量需求</w:t>
      </w:r>
      <w:bookmarkEnd w:id="37"/>
    </w:p>
    <w:p>
      <w:pPr>
        <w:snapToGrid w:val="0"/>
        <w:spacing w:line="400" w:lineRule="exact"/>
        <w:ind w:firstLine="480" w:firstLineChars="20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1、按照国家规范与标准要求，结合重庆发展实际，编制《嘉陵江、乌江电子航道图专项设计》，满足采购方对报告内容、格式的有关要求和规定，主要工作包含但不限于以下内容：</w:t>
      </w:r>
    </w:p>
    <w:p>
      <w:pPr>
        <w:snapToGrid w:val="0"/>
        <w:spacing w:line="400" w:lineRule="exact"/>
        <w:ind w:firstLine="480" w:firstLineChars="20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（1）分析提炼建设单位的需求；</w:t>
      </w:r>
    </w:p>
    <w:p>
      <w:pPr>
        <w:snapToGrid w:val="0"/>
        <w:spacing w:line="400" w:lineRule="exact"/>
        <w:ind w:firstLine="480" w:firstLineChars="20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（2）论证电子航道图建设的必要性；</w:t>
      </w:r>
    </w:p>
    <w:p>
      <w:pPr>
        <w:snapToGrid w:val="0"/>
        <w:spacing w:line="400" w:lineRule="exact"/>
        <w:ind w:firstLine="480" w:firstLineChars="20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（3）分析并提出电子航道图建设的总体方案</w:t>
      </w:r>
      <w:r>
        <w:rPr>
          <w:rFonts w:hint="eastAsia" w:eastAsia="方正仿宋_GBK" w:cs="Times New Roman"/>
          <w:color w:val="auto"/>
          <w:sz w:val="24"/>
          <w:szCs w:val="24"/>
          <w:lang w:val="en-US" w:eastAsia="zh-CN"/>
        </w:rPr>
        <w:t>；</w:t>
      </w:r>
    </w:p>
    <w:p>
      <w:pPr>
        <w:snapToGrid w:val="0"/>
        <w:spacing w:line="400" w:lineRule="exact"/>
        <w:ind w:firstLine="480" w:firstLineChars="200"/>
        <w:rPr>
          <w:rFonts w:hint="default" w:ascii="Times New Roman" w:hAnsi="Times New Roman" w:eastAsia="方正仿宋_GBK" w:cs="Times New Roman"/>
          <w:color w:val="auto"/>
          <w:sz w:val="24"/>
          <w:szCs w:val="24"/>
          <w:lang w:val="en-US" w:eastAsia="zh-CN"/>
        </w:rPr>
      </w:pPr>
      <w:r>
        <w:rPr>
          <w:rFonts w:hint="eastAsia" w:eastAsia="方正仿宋_GBK" w:cs="Times New Roman"/>
          <w:color w:val="auto"/>
          <w:sz w:val="24"/>
          <w:szCs w:val="24"/>
          <w:lang w:val="en-US" w:eastAsia="zh-CN"/>
        </w:rPr>
        <w:t>（4）电子航道图建设预算</w:t>
      </w:r>
      <w:r>
        <w:rPr>
          <w:rFonts w:hint="default" w:ascii="Times New Roman" w:hAnsi="Times New Roman" w:eastAsia="方正仿宋_GBK" w:cs="Times New Roman"/>
          <w:color w:val="auto"/>
          <w:sz w:val="24"/>
          <w:szCs w:val="24"/>
          <w:lang w:val="en-US" w:eastAsia="zh-CN"/>
        </w:rPr>
        <w:t>；</w:t>
      </w:r>
    </w:p>
    <w:p>
      <w:pPr>
        <w:snapToGrid w:val="0"/>
        <w:spacing w:line="400" w:lineRule="exact"/>
        <w:ind w:firstLine="480" w:firstLineChars="20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w:t>
      </w:r>
      <w:r>
        <w:rPr>
          <w:rFonts w:hint="eastAsia" w:eastAsia="方正仿宋_GBK" w:cs="Times New Roman"/>
          <w:color w:val="auto"/>
          <w:sz w:val="24"/>
          <w:szCs w:val="24"/>
          <w:lang w:val="en-US" w:eastAsia="zh-CN"/>
        </w:rPr>
        <w:t>5</w:t>
      </w:r>
      <w:r>
        <w:rPr>
          <w:rFonts w:hint="default" w:ascii="Times New Roman" w:hAnsi="Times New Roman" w:eastAsia="方正仿宋_GBK" w:cs="Times New Roman"/>
          <w:color w:val="auto"/>
          <w:sz w:val="24"/>
          <w:szCs w:val="24"/>
          <w:lang w:val="en-US" w:eastAsia="zh-CN"/>
        </w:rPr>
        <w:t>）编制《嘉陵江、乌江电子航道图设计》</w:t>
      </w:r>
      <w:r>
        <w:rPr>
          <w:rFonts w:hint="eastAsia" w:eastAsia="方正仿宋_GBK" w:cs="Times New Roman"/>
          <w:color w:val="auto"/>
          <w:sz w:val="24"/>
          <w:szCs w:val="24"/>
          <w:lang w:val="en-US" w:eastAsia="zh-CN"/>
        </w:rPr>
        <w:t>，并通过</w:t>
      </w:r>
      <w:r>
        <w:rPr>
          <w:rFonts w:hint="default" w:ascii="Times New Roman" w:hAnsi="Times New Roman" w:eastAsia="方正仿宋_GBK" w:cs="Times New Roman"/>
          <w:kern w:val="0"/>
          <w:sz w:val="24"/>
          <w:szCs w:val="24"/>
          <w:lang w:val="en-US" w:eastAsia="zh-CN" w:bidi="ar-SA"/>
        </w:rPr>
        <w:t>行政主管部门</w:t>
      </w:r>
      <w:r>
        <w:rPr>
          <w:rFonts w:hint="eastAsia" w:eastAsia="方正仿宋_GBK" w:cs="Times New Roman"/>
          <w:color w:val="auto"/>
          <w:sz w:val="24"/>
          <w:szCs w:val="24"/>
          <w:lang w:val="en-US" w:eastAsia="zh-CN"/>
        </w:rPr>
        <w:t>审查，提供通过审查后的纸质设计文件5份及电子文档1份</w:t>
      </w:r>
      <w:r>
        <w:rPr>
          <w:rFonts w:hint="default" w:ascii="Times New Roman" w:hAnsi="Times New Roman" w:eastAsia="方正仿宋_GBK" w:cs="Times New Roman"/>
          <w:color w:val="auto"/>
          <w:sz w:val="24"/>
          <w:szCs w:val="24"/>
          <w:lang w:val="en-US" w:eastAsia="zh-CN"/>
        </w:rPr>
        <w:t>。</w:t>
      </w:r>
    </w:p>
    <w:p>
      <w:pPr>
        <w:snapToGrid w:val="0"/>
        <w:spacing w:line="400" w:lineRule="exact"/>
        <w:ind w:firstLine="480" w:firstLineChars="20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（5）配合采购方开展项目的招标、实施、验收等阶段设计内容的评估、确认等工作。</w:t>
      </w:r>
    </w:p>
    <w:p>
      <w:pPr>
        <w:snapToGrid w:val="0"/>
        <w:spacing w:line="400" w:lineRule="exact"/>
        <w:ind w:firstLine="480" w:firstLineChars="20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2、设计成果须报送行政主管部门并通过审查。</w:t>
      </w:r>
    </w:p>
    <w:p>
      <w:pPr>
        <w:keepNext/>
        <w:keepLines/>
        <w:widowControl w:val="0"/>
        <w:spacing w:before="0" w:after="0" w:line="240" w:lineRule="auto"/>
        <w:jc w:val="both"/>
        <w:outlineLvl w:val="2"/>
        <w:rPr>
          <w:rFonts w:hint="default" w:ascii="Times New Roman" w:hAnsi="Times New Roman" w:eastAsia="宋体" w:cs="Times New Roman"/>
          <w:b/>
          <w:kern w:val="2"/>
          <w:sz w:val="24"/>
          <w:szCs w:val="24"/>
          <w:lang w:val="en-US" w:eastAsia="zh-CN" w:bidi="ar-SA"/>
        </w:rPr>
      </w:pPr>
      <w:bookmarkStart w:id="38" w:name="_Toc534374777"/>
      <w:bookmarkStart w:id="39" w:name="_Toc21951"/>
      <w:bookmarkStart w:id="40" w:name="_Toc7031"/>
      <w:r>
        <w:rPr>
          <w:rFonts w:hint="default" w:ascii="Times New Roman" w:hAnsi="Times New Roman" w:eastAsia="宋体" w:cs="Times New Roman"/>
          <w:b/>
          <w:kern w:val="2"/>
          <w:sz w:val="24"/>
          <w:szCs w:val="24"/>
          <w:lang w:val="en-US" w:eastAsia="zh-CN" w:bidi="ar-SA"/>
        </w:rPr>
        <w:t>四、服务方案</w:t>
      </w:r>
      <w:bookmarkEnd w:id="38"/>
      <w:bookmarkEnd w:id="39"/>
      <w:bookmarkEnd w:id="40"/>
    </w:p>
    <w:p>
      <w:pPr>
        <w:pStyle w:val="22"/>
        <w:ind w:firstLine="480" w:firstLineChars="200"/>
        <w:rPr>
          <w:rFonts w:hint="default"/>
          <w:lang w:val="en-US" w:eastAsia="zh-CN"/>
        </w:rPr>
      </w:pPr>
      <w:r>
        <w:rPr>
          <w:rFonts w:hint="default" w:ascii="Times New Roman" w:hAnsi="Times New Roman" w:eastAsia="方正仿宋_GBK" w:cs="Times New Roman"/>
          <w:color w:val="auto"/>
          <w:kern w:val="2"/>
          <w:sz w:val="24"/>
          <w:szCs w:val="24"/>
          <w:lang w:val="en-US" w:eastAsia="zh-CN" w:bidi="ar-SA"/>
        </w:rPr>
        <w:t>供应商应针对本项目制定服务方案。</w:t>
      </w:r>
      <w:r>
        <w:rPr>
          <w:rFonts w:hint="eastAsia" w:ascii="Times New Roman" w:hAnsi="Times New Roman" w:eastAsia="方正仿宋_GBK" w:cs="Times New Roman"/>
          <w:color w:val="auto"/>
          <w:kern w:val="2"/>
          <w:sz w:val="24"/>
          <w:szCs w:val="24"/>
          <w:lang w:val="en-US" w:eastAsia="zh-CN" w:bidi="ar-SA"/>
        </w:rPr>
        <w:t>包括不限于对项目基本情况认知、电子航道图的规范性、完整性、安全保密性，数据采集与制作方案、进度计划、项目工作重点、难点分析及解决对策情况等。</w:t>
      </w:r>
    </w:p>
    <w:p>
      <w:pPr>
        <w:pStyle w:val="22"/>
        <w:rPr>
          <w:rFonts w:hint="default"/>
          <w:lang w:val="en-US" w:eastAsia="zh-CN"/>
        </w:rPr>
      </w:pPr>
    </w:p>
    <w:p>
      <w:pPr>
        <w:pStyle w:val="3"/>
        <w:spacing w:before="0" w:after="0" w:line="360" w:lineRule="auto"/>
        <w:jc w:val="center"/>
        <w:rPr>
          <w:rFonts w:hint="default" w:ascii="Times New Roman" w:hAnsi="Times New Roman" w:eastAsia="方正小标宋_GBK" w:cs="Times New Roman"/>
          <w:b w:val="0"/>
          <w:sz w:val="36"/>
          <w:szCs w:val="30"/>
        </w:rPr>
      </w:pPr>
      <w:r>
        <w:rPr>
          <w:rFonts w:hint="default" w:ascii="Times New Roman" w:hAnsi="Times New Roman" w:eastAsia="方正小标宋_GBK" w:cs="Times New Roman"/>
          <w:b w:val="0"/>
          <w:sz w:val="36"/>
          <w:szCs w:val="30"/>
        </w:rPr>
        <w:br w:type="page"/>
      </w:r>
      <w:r>
        <w:rPr>
          <w:rFonts w:hint="default" w:ascii="Times New Roman" w:hAnsi="Times New Roman" w:eastAsia="方正小标宋_GBK" w:cs="Times New Roman"/>
          <w:b w:val="0"/>
          <w:sz w:val="36"/>
          <w:szCs w:val="30"/>
        </w:rPr>
        <w:t xml:space="preserve">第三篇  </w:t>
      </w:r>
      <w:bookmarkEnd w:id="29"/>
      <w:r>
        <w:rPr>
          <w:rFonts w:hint="default" w:ascii="Times New Roman" w:hAnsi="Times New Roman" w:eastAsia="方正小标宋_GBK" w:cs="Times New Roman"/>
          <w:b w:val="0"/>
          <w:sz w:val="36"/>
          <w:szCs w:val="30"/>
        </w:rPr>
        <w:t>项目商务需求</w:t>
      </w:r>
      <w:bookmarkEnd w:id="30"/>
      <w:bookmarkEnd w:id="31"/>
    </w:p>
    <w:p>
      <w:pPr>
        <w:pStyle w:val="3"/>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41" w:name="_Toc76462328"/>
      <w:bookmarkStart w:id="42" w:name="_Toc344475120"/>
      <w:bookmarkStart w:id="43" w:name="_Toc106030883"/>
      <w:r>
        <w:rPr>
          <w:rFonts w:hint="default" w:ascii="Times New Roman" w:hAnsi="Times New Roman" w:eastAsia="方正仿宋_GBK" w:cs="Times New Roman"/>
          <w:sz w:val="24"/>
        </w:rPr>
        <w:t>一、服务期、地点及验收方式</w:t>
      </w:r>
      <w:bookmarkEnd w:id="41"/>
      <w:bookmarkEnd w:id="42"/>
      <w:bookmarkEnd w:id="43"/>
    </w:p>
    <w:p>
      <w:pPr>
        <w:pStyle w:val="33"/>
        <w:spacing w:line="400" w:lineRule="exact"/>
        <w:ind w:firstLine="480" w:firstLineChars="200"/>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val="en-US" w:eastAsia="zh-CN" w:bidi="ar-SA"/>
        </w:rPr>
        <w:t>（一）服务期：合同签订之日</w:t>
      </w:r>
      <w:r>
        <w:rPr>
          <w:rFonts w:hint="eastAsia" w:eastAsia="方正仿宋_GBK" w:cs="Times New Roman"/>
          <w:kern w:val="0"/>
          <w:sz w:val="24"/>
          <w:szCs w:val="24"/>
          <w:lang w:val="en-US" w:eastAsia="zh-CN" w:bidi="ar-SA"/>
        </w:rPr>
        <w:t>15</w:t>
      </w:r>
      <w:r>
        <w:rPr>
          <w:rFonts w:hint="default" w:ascii="Times New Roman" w:hAnsi="Times New Roman" w:eastAsia="方正仿宋_GBK" w:cs="Times New Roman"/>
          <w:kern w:val="0"/>
          <w:sz w:val="24"/>
          <w:szCs w:val="24"/>
          <w:lang w:val="en-US" w:eastAsia="zh-CN" w:bidi="ar-SA"/>
        </w:rPr>
        <w:t>个日历天。</w:t>
      </w:r>
    </w:p>
    <w:p>
      <w:pPr>
        <w:pStyle w:val="33"/>
        <w:spacing w:line="400" w:lineRule="exact"/>
        <w:ind w:firstLine="480" w:firstLineChars="200"/>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val="en-US" w:eastAsia="zh-CN" w:bidi="ar-SA"/>
        </w:rPr>
        <w:t>（二）服务地点：重庆市。</w:t>
      </w:r>
    </w:p>
    <w:p>
      <w:pPr>
        <w:pStyle w:val="33"/>
        <w:spacing w:line="400" w:lineRule="exact"/>
        <w:ind w:firstLine="480" w:firstLineChars="200"/>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val="en-US" w:eastAsia="zh-CN" w:bidi="ar-SA"/>
        </w:rPr>
        <w:t>（三）验收方式：</w:t>
      </w:r>
    </w:p>
    <w:p>
      <w:pPr>
        <w:pStyle w:val="33"/>
        <w:spacing w:line="400" w:lineRule="exact"/>
        <w:ind w:firstLine="480" w:firstLineChars="200"/>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val="en-US" w:eastAsia="zh-CN" w:bidi="ar-SA"/>
        </w:rPr>
        <w:t>编制专项</w:t>
      </w:r>
      <w:r>
        <w:rPr>
          <w:rFonts w:hint="eastAsia" w:eastAsia="方正仿宋_GBK" w:cs="Times New Roman"/>
          <w:kern w:val="0"/>
          <w:sz w:val="24"/>
          <w:szCs w:val="24"/>
          <w:lang w:val="en-US" w:eastAsia="zh-CN" w:bidi="ar-SA"/>
        </w:rPr>
        <w:t>设计</w:t>
      </w:r>
      <w:r>
        <w:rPr>
          <w:rFonts w:hint="default" w:ascii="Times New Roman" w:hAnsi="Times New Roman" w:eastAsia="方正仿宋_GBK" w:cs="Times New Roman"/>
          <w:kern w:val="0"/>
          <w:sz w:val="24"/>
          <w:szCs w:val="24"/>
          <w:lang w:val="en-US" w:eastAsia="zh-CN" w:bidi="ar-SA"/>
        </w:rPr>
        <w:t>必须符合有关法律、法规和各种技术规范、标准要求，并通过行政主管部门的审查。</w:t>
      </w:r>
    </w:p>
    <w:p>
      <w:pPr>
        <w:pStyle w:val="3"/>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44" w:name="_Toc344475121"/>
      <w:bookmarkStart w:id="45" w:name="_Toc106030884"/>
      <w:bookmarkStart w:id="46" w:name="_Toc76462329"/>
      <w:r>
        <w:rPr>
          <w:rFonts w:hint="default" w:ascii="Times New Roman" w:hAnsi="Times New Roman" w:eastAsia="方正仿宋_GBK" w:cs="Times New Roman"/>
          <w:sz w:val="24"/>
        </w:rPr>
        <w:t>二、</w:t>
      </w:r>
      <w:bookmarkEnd w:id="44"/>
      <w:r>
        <w:rPr>
          <w:rFonts w:hint="default" w:ascii="Times New Roman" w:hAnsi="Times New Roman" w:eastAsia="方正仿宋_GBK" w:cs="Times New Roman"/>
          <w:sz w:val="24"/>
        </w:rPr>
        <w:t>报价要求</w:t>
      </w:r>
      <w:bookmarkEnd w:id="45"/>
      <w:bookmarkEnd w:id="46"/>
    </w:p>
    <w:p>
      <w:pPr>
        <w:pStyle w:val="33"/>
        <w:spacing w:line="400" w:lineRule="exact"/>
        <w:ind w:firstLine="480" w:firstLineChars="200"/>
        <w:rPr>
          <w:rFonts w:hint="default" w:ascii="Times New Roman" w:hAnsi="Times New Roman" w:eastAsia="方正仿宋_GBK" w:cs="Times New Roman"/>
          <w:kern w:val="0"/>
          <w:sz w:val="24"/>
          <w:szCs w:val="24"/>
          <w:lang w:val="zh-TW" w:eastAsia="zh-TW" w:bidi="ar-SA"/>
        </w:rPr>
      </w:pPr>
      <w:bookmarkStart w:id="47" w:name="_Toc106030885"/>
      <w:bookmarkStart w:id="48" w:name="_Toc76462330"/>
      <w:bookmarkStart w:id="49" w:name="_Toc344475122"/>
      <w:r>
        <w:rPr>
          <w:rFonts w:hint="default" w:ascii="Times New Roman" w:hAnsi="Times New Roman" w:eastAsia="方正仿宋_GBK" w:cs="Times New Roman"/>
          <w:kern w:val="0"/>
          <w:sz w:val="24"/>
          <w:szCs w:val="24"/>
          <w:lang w:val="zh-TW" w:eastAsia="zh-TW" w:bidi="ar-SA"/>
        </w:rPr>
        <w:t>（一）本项目采取固定总价的定价方式，磋商报价须为人民币报价，且不得超过最高限价。</w:t>
      </w:r>
    </w:p>
    <w:p>
      <w:pPr>
        <w:pStyle w:val="33"/>
        <w:spacing w:line="400" w:lineRule="exact"/>
        <w:ind w:firstLine="480" w:firstLineChars="200"/>
        <w:rPr>
          <w:rFonts w:hint="default" w:ascii="Times New Roman" w:hAnsi="Times New Roman" w:eastAsia="方正仿宋_GBK" w:cs="Times New Roman"/>
          <w:kern w:val="0"/>
          <w:sz w:val="24"/>
          <w:szCs w:val="24"/>
          <w:lang w:val="zh-TW" w:eastAsia="zh-TW" w:bidi="ar-SA"/>
        </w:rPr>
      </w:pPr>
      <w:r>
        <w:rPr>
          <w:rFonts w:hint="default" w:ascii="Times New Roman" w:hAnsi="Times New Roman" w:eastAsia="方正仿宋_GBK" w:cs="Times New Roman"/>
          <w:kern w:val="0"/>
          <w:sz w:val="24"/>
          <w:szCs w:val="24"/>
          <w:lang w:val="zh-TW" w:eastAsia="zh-TW" w:bidi="ar-SA"/>
        </w:rPr>
        <w:t>（二）磋商报价包括但不限于完成本项目所需的人工费、服务费、租赁费、差旅费、设备费、资料费、</w:t>
      </w:r>
      <w:r>
        <w:rPr>
          <w:rFonts w:hint="default" w:ascii="Times New Roman" w:hAnsi="Times New Roman" w:eastAsia="方正仿宋_GBK" w:cs="Times New Roman"/>
          <w:kern w:val="0"/>
          <w:sz w:val="24"/>
          <w:szCs w:val="24"/>
          <w:lang w:val="zh-TW" w:eastAsia="zh-CN" w:bidi="ar-SA"/>
        </w:rPr>
        <w:t>餐饮费、</w:t>
      </w:r>
      <w:r>
        <w:rPr>
          <w:rFonts w:hint="default" w:ascii="Times New Roman" w:hAnsi="Times New Roman" w:eastAsia="方正仿宋_GBK" w:cs="Times New Roman"/>
          <w:kern w:val="0"/>
          <w:sz w:val="24"/>
          <w:szCs w:val="24"/>
          <w:lang w:val="en-US" w:eastAsia="zh-CN" w:bidi="ar-SA"/>
        </w:rPr>
        <w:t>专家审查费</w:t>
      </w:r>
      <w:r>
        <w:rPr>
          <w:rFonts w:hint="default" w:ascii="Times New Roman" w:hAnsi="Times New Roman" w:eastAsia="方正仿宋_GBK" w:cs="Times New Roman"/>
          <w:kern w:val="0"/>
          <w:sz w:val="24"/>
          <w:szCs w:val="24"/>
          <w:lang w:val="zh-TW" w:eastAsia="zh-CN" w:bidi="ar-SA"/>
        </w:rPr>
        <w:t>、</w:t>
      </w:r>
      <w:r>
        <w:rPr>
          <w:rFonts w:hint="default" w:ascii="Times New Roman" w:hAnsi="Times New Roman" w:eastAsia="方正仿宋_GBK" w:cs="Times New Roman"/>
          <w:kern w:val="0"/>
          <w:sz w:val="24"/>
          <w:szCs w:val="24"/>
          <w:lang w:val="zh-TW" w:eastAsia="zh-TW" w:bidi="ar-SA"/>
        </w:rPr>
        <w:t>保险费、税费、利润等</w:t>
      </w:r>
      <w:r>
        <w:rPr>
          <w:rFonts w:hint="default" w:ascii="Times New Roman" w:hAnsi="Times New Roman" w:eastAsia="方正仿宋_GBK" w:cs="Times New Roman"/>
          <w:kern w:val="0"/>
          <w:sz w:val="24"/>
          <w:szCs w:val="24"/>
          <w:lang w:val="zh-TW" w:eastAsia="zh-CN" w:bidi="ar-SA"/>
        </w:rPr>
        <w:t>完成项目所有服务所需的</w:t>
      </w:r>
      <w:r>
        <w:rPr>
          <w:rFonts w:hint="default" w:ascii="Times New Roman" w:hAnsi="Times New Roman" w:eastAsia="方正仿宋_GBK" w:cs="Times New Roman"/>
          <w:kern w:val="0"/>
          <w:sz w:val="24"/>
          <w:szCs w:val="24"/>
          <w:lang w:val="zh-TW" w:eastAsia="zh-TW" w:bidi="ar-SA"/>
        </w:rPr>
        <w:t>全部费用。磋商报价是履行本项目全部义务所发生的费用和利润等一切费用的综合报价，供应商在递交报价时应充分考虑其风险因素，因成交供应商自身原因造成漏报、少报皆由其自行承担责任，采购人不再补偿。</w:t>
      </w:r>
    </w:p>
    <w:p>
      <w:pPr>
        <w:pStyle w:val="3"/>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三、付款方式</w:t>
      </w:r>
      <w:bookmarkEnd w:id="47"/>
      <w:bookmarkEnd w:id="48"/>
      <w:bookmarkEnd w:id="49"/>
    </w:p>
    <w:p>
      <w:pPr>
        <w:pStyle w:val="3"/>
        <w:adjustRightInd w:val="0"/>
        <w:snapToGrid w:val="0"/>
        <w:spacing w:before="0" w:after="0" w:line="400" w:lineRule="exact"/>
        <w:ind w:firstLine="480" w:firstLineChars="200"/>
        <w:rPr>
          <w:rFonts w:hint="default" w:ascii="Times New Roman" w:hAnsi="Times New Roman" w:eastAsia="方正仿宋_GBK" w:cs="Times New Roman"/>
          <w:b w:val="0"/>
          <w:bCs/>
          <w:kern w:val="0"/>
          <w:sz w:val="24"/>
          <w:szCs w:val="24"/>
          <w:lang w:eastAsia="zh-CN"/>
        </w:rPr>
      </w:pPr>
      <w:bookmarkStart w:id="50" w:name="_Toc106034637"/>
      <w:bookmarkStart w:id="51" w:name="_Toc24751"/>
      <w:bookmarkStart w:id="52" w:name="_Toc7228"/>
      <w:bookmarkStart w:id="53" w:name="_Toc65660346"/>
      <w:r>
        <w:rPr>
          <w:rFonts w:hint="default" w:ascii="Times New Roman" w:hAnsi="Times New Roman" w:eastAsia="方正仿宋_GBK" w:cs="Times New Roman"/>
          <w:b w:val="0"/>
          <w:bCs/>
          <w:kern w:val="0"/>
          <w:sz w:val="24"/>
          <w:szCs w:val="24"/>
          <w:lang w:val="en-US" w:eastAsia="zh-CN"/>
        </w:rPr>
        <w:t>完成专项设计并通过行政主管部门审查后</w:t>
      </w:r>
      <w:r>
        <w:rPr>
          <w:rFonts w:hint="default" w:ascii="Times New Roman" w:hAnsi="Times New Roman" w:eastAsia="方正仿宋_GBK" w:cs="Times New Roman"/>
          <w:b w:val="0"/>
          <w:bCs/>
          <w:kern w:val="0"/>
          <w:sz w:val="24"/>
          <w:szCs w:val="24"/>
        </w:rPr>
        <w:t>，</w:t>
      </w:r>
      <w:r>
        <w:rPr>
          <w:rFonts w:hint="eastAsia" w:ascii="方正仿宋_GBK" w:hAnsi="宋体" w:eastAsia="方正仿宋_GBK"/>
          <w:sz w:val="24"/>
          <w:szCs w:val="24"/>
        </w:rPr>
        <w:t>采购人视预算到位情况向成交供应商一次性支付全部费用</w:t>
      </w:r>
      <w:r>
        <w:rPr>
          <w:rFonts w:hint="eastAsia" w:ascii="方正仿宋_GBK" w:hAnsi="宋体" w:eastAsia="方正仿宋_GBK"/>
          <w:sz w:val="24"/>
          <w:szCs w:val="24"/>
          <w:lang w:eastAsia="zh-CN"/>
        </w:rPr>
        <w:t>。</w:t>
      </w:r>
      <w:r>
        <w:rPr>
          <w:rFonts w:hint="eastAsia" w:ascii="方正仿宋_GBK" w:hAnsi="宋体" w:eastAsia="方正仿宋_GBK" w:cs="宋体"/>
          <w:kern w:val="0"/>
          <w:sz w:val="24"/>
          <w:szCs w:val="24"/>
        </w:rPr>
        <w:t>采购人付款前，成交供应商须向采购人提交付款申请，采购人在收到申请后及时启动付款流程审批，审批完成后通知供应商出具发票并在收到发票之日起</w:t>
      </w:r>
      <w:r>
        <w:rPr>
          <w:rFonts w:ascii="方正仿宋_GBK" w:hAnsi="宋体" w:eastAsia="方正仿宋_GBK" w:cs="宋体"/>
          <w:kern w:val="0"/>
          <w:sz w:val="24"/>
          <w:szCs w:val="24"/>
        </w:rPr>
        <w:t>的</w:t>
      </w:r>
      <w:r>
        <w:rPr>
          <w:rFonts w:hint="eastAsia" w:ascii="方正仿宋_GBK" w:hAnsi="宋体" w:eastAsia="方正仿宋_GBK" w:cs="宋体"/>
          <w:kern w:val="0"/>
          <w:sz w:val="24"/>
          <w:szCs w:val="24"/>
        </w:rPr>
        <w:t>5</w:t>
      </w:r>
      <w:r>
        <w:rPr>
          <w:rFonts w:ascii="方正仿宋_GBK" w:hAnsi="宋体" w:eastAsia="方正仿宋_GBK" w:cs="宋体"/>
          <w:kern w:val="0"/>
          <w:sz w:val="24"/>
          <w:szCs w:val="24"/>
        </w:rPr>
        <w:t>个工作日</w:t>
      </w:r>
      <w:r>
        <w:rPr>
          <w:rFonts w:hint="eastAsia" w:ascii="方正仿宋_GBK" w:hAnsi="宋体" w:eastAsia="方正仿宋_GBK" w:cs="宋体"/>
          <w:kern w:val="0"/>
          <w:sz w:val="24"/>
          <w:szCs w:val="24"/>
        </w:rPr>
        <w:t>内完成</w:t>
      </w:r>
      <w:r>
        <w:rPr>
          <w:rFonts w:ascii="方正仿宋_GBK" w:hAnsi="宋体" w:eastAsia="方正仿宋_GBK" w:cs="宋体"/>
          <w:kern w:val="0"/>
          <w:sz w:val="24"/>
          <w:szCs w:val="24"/>
        </w:rPr>
        <w:t>支付</w:t>
      </w:r>
      <w:r>
        <w:rPr>
          <w:rFonts w:hint="eastAsia" w:ascii="方正仿宋_GBK" w:hAnsi="宋体" w:eastAsia="方正仿宋_GBK" w:cs="宋体"/>
          <w:kern w:val="0"/>
          <w:sz w:val="24"/>
          <w:szCs w:val="24"/>
        </w:rPr>
        <w:t>。</w:t>
      </w:r>
      <w:r>
        <w:rPr>
          <w:rFonts w:hint="default" w:ascii="Times New Roman" w:hAnsi="Times New Roman" w:eastAsia="方正仿宋_GBK" w:cs="Times New Roman"/>
          <w:b w:val="0"/>
          <w:bCs/>
          <w:kern w:val="0"/>
          <w:sz w:val="24"/>
          <w:szCs w:val="24"/>
          <w:lang w:val="en-US" w:eastAsia="zh-CN"/>
        </w:rPr>
        <w:t>采购</w:t>
      </w:r>
      <w:r>
        <w:rPr>
          <w:rFonts w:hint="default" w:ascii="Times New Roman" w:hAnsi="Times New Roman" w:eastAsia="方正仿宋_GBK" w:cs="Times New Roman"/>
          <w:b w:val="0"/>
          <w:bCs/>
          <w:kern w:val="0"/>
          <w:sz w:val="24"/>
          <w:szCs w:val="24"/>
          <w:lang w:eastAsia="zh-CN"/>
        </w:rPr>
        <w:t>款项支付以实际预算情况为准，当年因预算金额低于支付款项的，只支付预算金额，剩余款项待预算到位后支付，不算违约。</w:t>
      </w:r>
    </w:p>
    <w:p>
      <w:pPr>
        <w:pStyle w:val="3"/>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四、知识产权</w:t>
      </w:r>
      <w:bookmarkEnd w:id="50"/>
      <w:bookmarkEnd w:id="51"/>
      <w:bookmarkEnd w:id="52"/>
      <w:bookmarkEnd w:id="53"/>
    </w:p>
    <w:p>
      <w:pPr>
        <w:snapToGrid w:val="0"/>
        <w:spacing w:line="400" w:lineRule="exact"/>
        <w:ind w:firstLine="54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t>本项目知识产权归采购人所有。</w:t>
      </w:r>
    </w:p>
    <w:p>
      <w:pPr>
        <w:snapToGrid w:val="0"/>
        <w:spacing w:line="400" w:lineRule="exact"/>
        <w:ind w:firstLine="54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pPr>
        <w:pStyle w:val="3"/>
        <w:adjustRightInd w:val="0"/>
        <w:snapToGrid w:val="0"/>
        <w:spacing w:before="0" w:after="0" w:line="400" w:lineRule="exact"/>
        <w:ind w:firstLine="482" w:firstLineChars="200"/>
        <w:jc w:val="left"/>
        <w:rPr>
          <w:rFonts w:hint="default" w:ascii="Times New Roman" w:hAnsi="Times New Roman" w:eastAsia="方正仿宋_GBK" w:cs="Times New Roman"/>
          <w:sz w:val="24"/>
        </w:rPr>
      </w:pPr>
      <w:bookmarkStart w:id="54" w:name="_Toc947"/>
      <w:bookmarkStart w:id="55" w:name="_Toc108013105"/>
      <w:bookmarkStart w:id="56" w:name="_Toc31910"/>
      <w:bookmarkStart w:id="57" w:name="_Toc19427"/>
      <w:bookmarkStart w:id="58" w:name="_Toc25707"/>
      <w:bookmarkStart w:id="59" w:name="_Toc18104"/>
      <w:bookmarkStart w:id="60" w:name="_Toc466546918"/>
      <w:bookmarkStart w:id="61" w:name="_Toc2954"/>
      <w:bookmarkStart w:id="62" w:name="_Toc65660348"/>
      <w:bookmarkStart w:id="63" w:name="_Toc31659"/>
      <w:bookmarkStart w:id="64" w:name="_Toc23902"/>
      <w:bookmarkStart w:id="65" w:name="_Toc21248"/>
      <w:bookmarkStart w:id="66" w:name="_Toc106034788"/>
      <w:r>
        <w:rPr>
          <w:rFonts w:hint="default" w:ascii="Times New Roman" w:hAnsi="Times New Roman" w:eastAsia="方正仿宋_GBK" w:cs="Times New Roman"/>
          <w:sz w:val="24"/>
        </w:rPr>
        <w:t>五、项目风险管控</w:t>
      </w:r>
      <w:bookmarkEnd w:id="54"/>
      <w:bookmarkEnd w:id="55"/>
      <w:bookmarkEnd w:id="56"/>
      <w:bookmarkEnd w:id="57"/>
      <w:bookmarkEnd w:id="58"/>
      <w:bookmarkEnd w:id="59"/>
    </w:p>
    <w:p>
      <w:pPr>
        <w:adjustRightInd w:val="0"/>
        <w:snapToGrid w:val="0"/>
        <w:spacing w:line="40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本项目采购过程和合同履行过程中，如遇国家政策变化、实施环境变化、重大技术变化、预算项目调整等情况，按下列方式处置：</w:t>
      </w:r>
    </w:p>
    <w:p>
      <w:pPr>
        <w:adjustRightInd w:val="0"/>
        <w:snapToGrid w:val="0"/>
        <w:spacing w:line="40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1.处于采购过程中的，如果相关变化将导致采购任务取消的，应当按照《中华人民共和国政府采购法》第三十六条规定，取消采购任务，作废标处理；</w:t>
      </w:r>
    </w:p>
    <w:p>
      <w:pPr>
        <w:adjustRightInd w:val="0"/>
        <w:snapToGrid w:val="0"/>
        <w:spacing w:line="40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2.采购已经完成，尚未签订合同的，如果相关变化导致不能实现合同目的，按不可抗力事件处理，取消采购任务，采购人与供应商不再签订合同；</w:t>
      </w:r>
    </w:p>
    <w:p>
      <w:pPr>
        <w:adjustRightInd w:val="0"/>
        <w:snapToGrid w:val="0"/>
        <w:spacing w:line="400" w:lineRule="exact"/>
        <w:ind w:firstLine="480" w:firstLineChars="200"/>
        <w:jc w:val="left"/>
        <w:rPr>
          <w:rFonts w:hint="default" w:ascii="Times New Roman" w:hAnsi="Times New Roman" w:eastAsia="方正仿宋_GBK" w:cs="Times New Roman"/>
          <w:sz w:val="24"/>
          <w:szCs w:val="24"/>
        </w:rPr>
      </w:pPr>
      <w:bookmarkStart w:id="67" w:name="_Toc6830"/>
      <w:r>
        <w:rPr>
          <w:rFonts w:hint="default" w:ascii="Times New Roman" w:hAnsi="Times New Roman" w:eastAsia="方正仿宋_GBK" w:cs="Times New Roman"/>
          <w:sz w:val="24"/>
          <w:szCs w:val="24"/>
        </w:rPr>
        <w:t>3.合同已签订的，如果相关变化导致不能实现合同目的或合同价款等实质性条款变化，针对变化部分按不可抗力事件处理，采购人与供应商协商后解除合同或签订补充协议。</w:t>
      </w:r>
      <w:bookmarkEnd w:id="60"/>
      <w:bookmarkEnd w:id="61"/>
      <w:bookmarkEnd w:id="67"/>
    </w:p>
    <w:p>
      <w:pPr>
        <w:pStyle w:val="3"/>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六、违约责任</w:t>
      </w:r>
    </w:p>
    <w:p>
      <w:pPr>
        <w:pStyle w:val="3"/>
        <w:adjustRightInd w:val="0"/>
        <w:snapToGrid w:val="0"/>
        <w:spacing w:before="0" w:after="0" w:line="400" w:lineRule="exact"/>
        <w:ind w:firstLine="480" w:firstLineChars="200"/>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（一）因供应商原因，未能及时完成本项目</w:t>
      </w:r>
      <w:r>
        <w:rPr>
          <w:rFonts w:hint="default" w:ascii="Times New Roman" w:hAnsi="Times New Roman" w:eastAsia="方正仿宋_GBK" w:cs="Times New Roman"/>
          <w:b w:val="0"/>
          <w:bCs/>
          <w:sz w:val="24"/>
          <w:szCs w:val="24"/>
          <w:lang w:val="en-US" w:eastAsia="zh-CN"/>
        </w:rPr>
        <w:t>设计</w:t>
      </w:r>
      <w:r>
        <w:rPr>
          <w:rFonts w:hint="default" w:ascii="Times New Roman" w:hAnsi="Times New Roman" w:eastAsia="方正仿宋_GBK" w:cs="Times New Roman"/>
          <w:b w:val="0"/>
          <w:bCs/>
          <w:sz w:val="24"/>
          <w:szCs w:val="24"/>
        </w:rPr>
        <w:t>服务的， 每超期1个日历日，采购人从项目合同价中扣除合同总价的【</w:t>
      </w:r>
      <w:r>
        <w:rPr>
          <w:rFonts w:hint="default" w:ascii="Times New Roman" w:hAnsi="Times New Roman" w:eastAsia="方正仿宋_GBK" w:cs="Times New Roman"/>
          <w:b w:val="0"/>
          <w:bCs/>
          <w:sz w:val="24"/>
          <w:szCs w:val="24"/>
          <w:lang w:val="en-US" w:eastAsia="zh-CN"/>
        </w:rPr>
        <w:t>万</w:t>
      </w:r>
      <w:r>
        <w:rPr>
          <w:rFonts w:hint="default" w:ascii="Times New Roman" w:hAnsi="Times New Roman" w:eastAsia="方正仿宋_GBK" w:cs="Times New Roman"/>
          <w:b w:val="0"/>
          <w:bCs/>
          <w:sz w:val="24"/>
          <w:szCs w:val="24"/>
        </w:rPr>
        <w:t>分之一】，作为逾期违约金；超期 【</w:t>
      </w:r>
      <w:r>
        <w:rPr>
          <w:rFonts w:hint="eastAsia" w:ascii="Times New Roman" w:hAnsi="Times New Roman" w:eastAsia="方正仿宋_GBK" w:cs="Times New Roman"/>
          <w:b w:val="0"/>
          <w:bCs/>
          <w:sz w:val="24"/>
          <w:szCs w:val="24"/>
          <w:lang w:val="en-US" w:eastAsia="zh-CN"/>
        </w:rPr>
        <w:t>2</w:t>
      </w:r>
      <w:r>
        <w:rPr>
          <w:rFonts w:hint="default" w:ascii="Times New Roman" w:hAnsi="Times New Roman" w:eastAsia="方正仿宋_GBK" w:cs="Times New Roman"/>
          <w:b w:val="0"/>
          <w:bCs/>
          <w:sz w:val="24"/>
          <w:szCs w:val="24"/>
          <w:lang w:val="en-US" w:eastAsia="zh-CN"/>
        </w:rPr>
        <w:t>0</w:t>
      </w:r>
      <w:r>
        <w:rPr>
          <w:rFonts w:hint="default" w:ascii="Times New Roman" w:hAnsi="Times New Roman" w:eastAsia="方正仿宋_GBK" w:cs="Times New Roman"/>
          <w:b w:val="0"/>
          <w:bCs/>
          <w:sz w:val="24"/>
          <w:szCs w:val="24"/>
        </w:rPr>
        <w:t xml:space="preserve">】个日历日，甲方有权终止合同，乙方除退还甲方全部已付本金和同期利率的利息外，还应赔偿由此给甲方造成的经济损失（包括但不限于因甲方主张权利而产生的律师费、差旅费、诉讼费、公告费、保险费、保全费等）。 </w:t>
      </w:r>
    </w:p>
    <w:p>
      <w:pPr>
        <w:pStyle w:val="3"/>
        <w:adjustRightInd w:val="0"/>
        <w:snapToGrid w:val="0"/>
        <w:spacing w:before="0" w:after="0" w:line="400" w:lineRule="exact"/>
        <w:ind w:firstLine="480" w:firstLineChars="200"/>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（二）供应商服务内容不满足标准要求的，由供应商负责整改，由此产生的费用由供应商承担，且非经采购人书面同意，供应商仍需按本双方约定的期限完成服务。</w:t>
      </w:r>
    </w:p>
    <w:p>
      <w:pPr>
        <w:pStyle w:val="3"/>
        <w:adjustRightInd w:val="0"/>
        <w:snapToGrid w:val="0"/>
        <w:spacing w:before="0" w:after="0" w:line="400" w:lineRule="exact"/>
        <w:ind w:firstLine="480" w:firstLineChars="200"/>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（三）在供应商按约履行本合同的情况下，若采购人未能按约定时间支付合同款项，每延迟1个日历日，应当按照欠付款项的【</w:t>
      </w:r>
      <w:r>
        <w:rPr>
          <w:rFonts w:hint="default" w:ascii="Times New Roman" w:hAnsi="Times New Roman" w:eastAsia="方正仿宋_GBK" w:cs="Times New Roman"/>
          <w:b w:val="0"/>
          <w:bCs/>
          <w:sz w:val="24"/>
          <w:szCs w:val="24"/>
          <w:lang w:val="en-US" w:eastAsia="zh-CN"/>
        </w:rPr>
        <w:t>万</w:t>
      </w:r>
      <w:r>
        <w:rPr>
          <w:rFonts w:hint="default" w:ascii="Times New Roman" w:hAnsi="Times New Roman" w:eastAsia="方正仿宋_GBK" w:cs="Times New Roman"/>
          <w:b w:val="0"/>
          <w:bCs/>
          <w:sz w:val="24"/>
          <w:szCs w:val="24"/>
        </w:rPr>
        <w:t>分之一】向供应商支付违约金。逾期超过【30】个日历日以上时，供应商有权单方终止本合同。</w:t>
      </w:r>
    </w:p>
    <w:p>
      <w:pPr>
        <w:pStyle w:val="3"/>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七、合同争议</w:t>
      </w:r>
    </w:p>
    <w:p>
      <w:pPr>
        <w:adjustRightInd w:val="0"/>
        <w:snapToGrid w:val="0"/>
        <w:spacing w:line="40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项目执行中，如发生争议由双方协商解决，协商不成向甲方所在地具有管辖权人民法院提请诉讼。</w:t>
      </w:r>
    </w:p>
    <w:p>
      <w:pPr>
        <w:pStyle w:val="3"/>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八、其他</w:t>
      </w:r>
      <w:bookmarkEnd w:id="62"/>
      <w:bookmarkEnd w:id="63"/>
      <w:bookmarkEnd w:id="64"/>
      <w:bookmarkEnd w:id="65"/>
      <w:bookmarkEnd w:id="66"/>
    </w:p>
    <w:p>
      <w:pPr>
        <w:adjustRightInd w:val="0"/>
        <w:snapToGrid w:val="0"/>
        <w:spacing w:line="40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其他未尽事宜由供需双方在采购合同中详细约定。</w:t>
      </w:r>
    </w:p>
    <w:p>
      <w:pPr>
        <w:snapToGrid w:val="0"/>
        <w:spacing w:line="400" w:lineRule="exact"/>
        <w:ind w:firstLine="540"/>
        <w:rPr>
          <w:rFonts w:hint="default" w:ascii="Times New Roman" w:hAnsi="Times New Roman" w:eastAsia="方正仿宋_GBK" w:cs="Times New Roman"/>
          <w:sz w:val="24"/>
          <w:szCs w:val="24"/>
        </w:rPr>
      </w:pPr>
    </w:p>
    <w:p>
      <w:pPr>
        <w:snapToGrid w:val="0"/>
        <w:spacing w:line="400" w:lineRule="exact"/>
        <w:ind w:firstLine="540"/>
        <w:rPr>
          <w:rFonts w:hint="default" w:ascii="Times New Roman" w:hAnsi="Times New Roman" w:eastAsia="方正仿宋_GBK" w:cs="Times New Roman"/>
          <w:sz w:val="24"/>
          <w:szCs w:val="24"/>
        </w:rPr>
      </w:pPr>
    </w:p>
    <w:p>
      <w:pPr>
        <w:pStyle w:val="3"/>
        <w:pageBreakBefore/>
        <w:spacing w:before="0" w:after="0" w:line="360" w:lineRule="auto"/>
        <w:jc w:val="center"/>
        <w:rPr>
          <w:rFonts w:hint="default" w:ascii="Times New Roman" w:hAnsi="Times New Roman" w:eastAsia="方正小标宋_GBK" w:cs="Times New Roman"/>
          <w:b w:val="0"/>
          <w:sz w:val="36"/>
          <w:szCs w:val="30"/>
        </w:rPr>
      </w:pPr>
      <w:bookmarkStart w:id="68" w:name="_Toc76462332"/>
      <w:bookmarkStart w:id="69" w:name="_Toc106030887"/>
      <w:r>
        <w:rPr>
          <w:rFonts w:hint="default" w:ascii="Times New Roman" w:hAnsi="Times New Roman" w:eastAsia="方正小标宋_GBK" w:cs="Times New Roman"/>
          <w:b w:val="0"/>
          <w:sz w:val="36"/>
          <w:szCs w:val="30"/>
        </w:rPr>
        <w:t>第四篇  评分程序及方法、评审标准、无效响应和</w:t>
      </w:r>
      <w:r>
        <w:rPr>
          <w:rFonts w:hint="default" w:ascii="Times New Roman" w:hAnsi="Times New Roman" w:eastAsia="方正小标宋_GBK" w:cs="Times New Roman"/>
          <w:b w:val="0"/>
          <w:sz w:val="36"/>
          <w:szCs w:val="36"/>
        </w:rPr>
        <w:t>采购终止</w:t>
      </w:r>
      <w:bookmarkEnd w:id="68"/>
      <w:bookmarkEnd w:id="69"/>
    </w:p>
    <w:p>
      <w:pPr>
        <w:pStyle w:val="3"/>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70" w:name="_Toc106030888"/>
      <w:bookmarkStart w:id="71" w:name="_Toc76462333"/>
      <w:r>
        <w:rPr>
          <w:rFonts w:hint="default" w:ascii="Times New Roman" w:hAnsi="Times New Roman" w:eastAsia="方正仿宋_GBK" w:cs="Times New Roman"/>
          <w:sz w:val="24"/>
        </w:rPr>
        <w:t>一、评分程序及方法</w:t>
      </w:r>
      <w:bookmarkEnd w:id="70"/>
      <w:bookmarkEnd w:id="71"/>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（一）评分按采购文件规定的时间和地点进行，供应商须有法定代表人（或其授权代表）或自然人参加并签到。限额以下磋商评分以</w:t>
      </w:r>
      <w:r>
        <w:rPr>
          <w:rFonts w:hint="eastAsia" w:eastAsia="方正仿宋_GBK" w:cs="Times New Roman"/>
          <w:sz w:val="24"/>
          <w:szCs w:val="24"/>
          <w:highlight w:val="none"/>
          <w:lang w:val="en-US" w:eastAsia="zh-CN"/>
        </w:rPr>
        <w:t>报名先后</w:t>
      </w:r>
      <w:r>
        <w:rPr>
          <w:rFonts w:hint="default" w:ascii="Times New Roman" w:hAnsi="Times New Roman" w:eastAsia="方正仿宋_GBK" w:cs="Times New Roman"/>
          <w:sz w:val="24"/>
          <w:szCs w:val="24"/>
        </w:rPr>
        <w:t>确定磋商顺序，由本项目评审小组分别与各供应商进行磋商。</w:t>
      </w: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（二）评审小组对各供应商的资格条件、响应文件的有效性、完整性和响应程度进行审查。各供应商只有在完全符合要求的前提下，才能参与正式磋商。</w:t>
      </w:r>
    </w:p>
    <w:p>
      <w:pPr>
        <w:snapToGrid w:val="0"/>
        <w:spacing w:line="400" w:lineRule="exact"/>
        <w:ind w:firstLine="480" w:firstLineChars="20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sz w:val="24"/>
          <w:szCs w:val="24"/>
        </w:rPr>
        <w:t>1.</w:t>
      </w:r>
      <w:r>
        <w:rPr>
          <w:rFonts w:hint="default" w:ascii="Times New Roman" w:hAnsi="Times New Roman" w:eastAsia="方正仿宋_GBK" w:cs="Times New Roman"/>
          <w:kern w:val="0"/>
          <w:sz w:val="24"/>
          <w:szCs w:val="24"/>
        </w:rPr>
        <w:t>资格性审查。依据法律法规和采购文件的规定，对响应文件中的资格证明、等进行审查，以确定供应商是否具备磋商资格。资格性审查资料表如下：</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b/>
                <w:kern w:val="0"/>
                <w:sz w:val="21"/>
                <w:szCs w:val="21"/>
              </w:rPr>
            </w:pPr>
            <w:r>
              <w:rPr>
                <w:rFonts w:hint="default" w:ascii="Times New Roman" w:hAnsi="Times New Roman" w:eastAsia="方正仿宋_GBK" w:cs="Times New Roman"/>
                <w:b/>
                <w:kern w:val="0"/>
                <w:sz w:val="21"/>
                <w:szCs w:val="21"/>
              </w:rPr>
              <w:t>序号</w:t>
            </w: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b/>
                <w:kern w:val="0"/>
                <w:sz w:val="21"/>
                <w:szCs w:val="21"/>
              </w:rPr>
            </w:pPr>
            <w:r>
              <w:rPr>
                <w:rFonts w:hint="default" w:ascii="Times New Roman" w:hAnsi="Times New Roman" w:eastAsia="方正仿宋_GBK" w:cs="Times New Roman"/>
                <w:b/>
                <w:kern w:val="0"/>
                <w:sz w:val="21"/>
                <w:szCs w:val="21"/>
              </w:rPr>
              <w:t>检查因素</w:t>
            </w:r>
          </w:p>
        </w:tc>
        <w:tc>
          <w:tcPr>
            <w:tcW w:w="49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b/>
                <w:kern w:val="0"/>
                <w:sz w:val="21"/>
                <w:szCs w:val="21"/>
              </w:rPr>
            </w:pPr>
            <w:r>
              <w:rPr>
                <w:rFonts w:hint="default" w:ascii="Times New Roman" w:hAnsi="Times New Roman" w:eastAsia="方正仿宋_GBK" w:cs="Times New Roman"/>
                <w:b/>
                <w:kern w:val="0"/>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pPr>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w:t>
            </w:r>
          </w:p>
        </w:tc>
        <w:tc>
          <w:tcPr>
            <w:tcW w:w="709" w:type="dxa"/>
            <w:vMerge w:val="restart"/>
            <w:noWrap w:val="0"/>
            <w:vAlign w:val="center"/>
          </w:tcPr>
          <w:p>
            <w:pPr>
              <w:rPr>
                <w:rFonts w:hint="default" w:ascii="Times New Roman" w:hAnsi="Times New Roman" w:eastAsia="方正仿宋_GBK" w:cs="Times New Roman"/>
                <w:sz w:val="21"/>
                <w:szCs w:val="21"/>
                <w:lang w:val="zh-CN"/>
              </w:rPr>
            </w:pPr>
            <w:r>
              <w:rPr>
                <w:rFonts w:hint="default" w:ascii="Times New Roman" w:hAnsi="Times New Roman" w:eastAsia="方正仿宋_GBK" w:cs="Times New Roman"/>
                <w:sz w:val="21"/>
                <w:szCs w:val="21"/>
                <w:lang w:val="zh-CN"/>
              </w:rPr>
              <w:t>《中华人民共和国政府采购法》第二十二条规定</w:t>
            </w:r>
          </w:p>
        </w:tc>
        <w:tc>
          <w:tcPr>
            <w:tcW w:w="3118" w:type="dxa"/>
            <w:noWrap w:val="0"/>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1.具有独立承担民事责任的能力</w:t>
            </w:r>
          </w:p>
        </w:tc>
        <w:tc>
          <w:tcPr>
            <w:tcW w:w="4984" w:type="dxa"/>
            <w:noWrap w:val="0"/>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 xml:space="preserve">1.供应商法人营业执照（副本）或事业单位法人证书（副本）或个体工商户营业执照或有效的自然人身份证明或社会团体法人登记证书（提供复印件）。 </w:t>
            </w:r>
          </w:p>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jc w:val="center"/>
              <w:rPr>
                <w:rFonts w:hint="default" w:ascii="Times New Roman" w:hAnsi="Times New Roman" w:eastAsia="方正仿宋_GBK" w:cs="Times New Roman"/>
                <w:sz w:val="21"/>
                <w:szCs w:val="21"/>
              </w:rPr>
            </w:pPr>
          </w:p>
        </w:tc>
        <w:tc>
          <w:tcPr>
            <w:tcW w:w="709" w:type="dxa"/>
            <w:vMerge w:val="continue"/>
            <w:noWrap w:val="0"/>
            <w:vAlign w:val="center"/>
          </w:tcPr>
          <w:p>
            <w:pPr>
              <w:rPr>
                <w:rFonts w:hint="default" w:ascii="Times New Roman" w:hAnsi="Times New Roman" w:eastAsia="方正仿宋_GBK" w:cs="Times New Roman"/>
                <w:sz w:val="21"/>
                <w:szCs w:val="21"/>
                <w:lang w:val="zh-CN"/>
              </w:rPr>
            </w:pPr>
          </w:p>
        </w:tc>
        <w:tc>
          <w:tcPr>
            <w:tcW w:w="3118" w:type="dxa"/>
            <w:noWrap w:val="0"/>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zh-CN"/>
              </w:rPr>
              <w:t>2.</w:t>
            </w:r>
            <w:r>
              <w:rPr>
                <w:rFonts w:hint="default" w:ascii="Times New Roman" w:hAnsi="Times New Roman" w:eastAsia="方正仿宋_GBK" w:cs="Times New Roman"/>
                <w:sz w:val="21"/>
                <w:szCs w:val="21"/>
              </w:rPr>
              <w:t>具有良好的商业信誉和健全的财务会计制度</w:t>
            </w:r>
          </w:p>
        </w:tc>
        <w:tc>
          <w:tcPr>
            <w:tcW w:w="4984" w:type="dxa"/>
            <w:vMerge w:val="restart"/>
            <w:noWrap w:val="0"/>
            <w:vAlign w:val="center"/>
          </w:tcPr>
          <w:p>
            <w:pPr>
              <w:rPr>
                <w:rFonts w:hint="default" w:ascii="Times New Roman" w:hAnsi="Times New Roman" w:eastAsia="方正仿宋_GBK" w:cs="Times New Roman"/>
                <w:b/>
                <w:sz w:val="21"/>
                <w:szCs w:val="21"/>
              </w:rPr>
            </w:pPr>
            <w:r>
              <w:rPr>
                <w:rFonts w:hint="default" w:ascii="Times New Roman" w:hAnsi="Times New Roman" w:eastAsia="方正仿宋_GBK" w:cs="Times New Roman"/>
                <w:sz w:val="21"/>
                <w:szCs w:val="21"/>
              </w:rPr>
              <w:t>供应商提供“基本资格条件承诺函”（格式详见第七篇）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jc w:val="center"/>
              <w:rPr>
                <w:rFonts w:hint="default" w:ascii="Times New Roman" w:hAnsi="Times New Roman" w:eastAsia="方正仿宋_GBK" w:cs="Times New Roman"/>
                <w:sz w:val="21"/>
                <w:szCs w:val="21"/>
              </w:rPr>
            </w:pPr>
          </w:p>
        </w:tc>
        <w:tc>
          <w:tcPr>
            <w:tcW w:w="709" w:type="dxa"/>
            <w:vMerge w:val="continue"/>
            <w:noWrap w:val="0"/>
            <w:vAlign w:val="center"/>
          </w:tcPr>
          <w:p>
            <w:pPr>
              <w:rPr>
                <w:rFonts w:hint="default" w:ascii="Times New Roman" w:hAnsi="Times New Roman" w:eastAsia="方正仿宋_GBK" w:cs="Times New Roman"/>
                <w:sz w:val="21"/>
                <w:szCs w:val="21"/>
                <w:lang w:val="zh-CN"/>
              </w:rPr>
            </w:pPr>
          </w:p>
        </w:tc>
        <w:tc>
          <w:tcPr>
            <w:tcW w:w="3118" w:type="dxa"/>
            <w:noWrap w:val="0"/>
            <w:vAlign w:val="center"/>
          </w:tcPr>
          <w:p>
            <w:pPr>
              <w:rPr>
                <w:rFonts w:hint="default" w:ascii="Times New Roman" w:hAnsi="Times New Roman" w:eastAsia="方正仿宋_GBK" w:cs="Times New Roman"/>
                <w:sz w:val="21"/>
                <w:szCs w:val="21"/>
                <w:lang w:val="zh-CN"/>
              </w:rPr>
            </w:pPr>
            <w:r>
              <w:rPr>
                <w:rFonts w:hint="default" w:ascii="Times New Roman" w:hAnsi="Times New Roman" w:eastAsia="方正仿宋_GBK" w:cs="Times New Roman"/>
                <w:sz w:val="21"/>
                <w:szCs w:val="21"/>
                <w:lang w:val="zh-CN"/>
              </w:rPr>
              <w:t>3.具有履行合同所必需的设备和专业技术能力</w:t>
            </w:r>
          </w:p>
        </w:tc>
        <w:tc>
          <w:tcPr>
            <w:tcW w:w="4984" w:type="dxa"/>
            <w:vMerge w:val="continue"/>
            <w:noWrap w:val="0"/>
            <w:vAlign w:val="center"/>
          </w:tcPr>
          <w:p>
            <w:pPr>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jc w:val="center"/>
              <w:rPr>
                <w:rFonts w:hint="default" w:ascii="Times New Roman" w:hAnsi="Times New Roman" w:eastAsia="方正仿宋_GBK" w:cs="Times New Roman"/>
                <w:sz w:val="21"/>
                <w:szCs w:val="21"/>
              </w:rPr>
            </w:pPr>
          </w:p>
        </w:tc>
        <w:tc>
          <w:tcPr>
            <w:tcW w:w="709" w:type="dxa"/>
            <w:vMerge w:val="continue"/>
            <w:noWrap w:val="0"/>
            <w:vAlign w:val="center"/>
          </w:tcPr>
          <w:p>
            <w:pPr>
              <w:rPr>
                <w:rFonts w:hint="default" w:ascii="Times New Roman" w:hAnsi="Times New Roman" w:eastAsia="方正仿宋_GBK" w:cs="Times New Roman"/>
                <w:sz w:val="21"/>
                <w:szCs w:val="21"/>
                <w:lang w:val="zh-CN"/>
              </w:rPr>
            </w:pPr>
          </w:p>
        </w:tc>
        <w:tc>
          <w:tcPr>
            <w:tcW w:w="3118" w:type="dxa"/>
            <w:noWrap w:val="0"/>
            <w:vAlign w:val="center"/>
          </w:tcPr>
          <w:p>
            <w:pPr>
              <w:rPr>
                <w:rFonts w:hint="default" w:ascii="Times New Roman" w:hAnsi="Times New Roman" w:eastAsia="方正仿宋_GBK" w:cs="Times New Roman"/>
                <w:sz w:val="21"/>
                <w:szCs w:val="21"/>
                <w:lang w:val="zh-CN"/>
              </w:rPr>
            </w:pPr>
            <w:r>
              <w:rPr>
                <w:rFonts w:hint="default" w:ascii="Times New Roman" w:hAnsi="Times New Roman" w:eastAsia="方正仿宋_GBK" w:cs="Times New Roman"/>
                <w:sz w:val="21"/>
                <w:szCs w:val="21"/>
                <w:lang w:val="zh-CN"/>
              </w:rPr>
              <w:t>4.有依法缴纳税收和社会保障金的良好记录</w:t>
            </w:r>
          </w:p>
        </w:tc>
        <w:tc>
          <w:tcPr>
            <w:tcW w:w="4984" w:type="dxa"/>
            <w:vMerge w:val="continue"/>
            <w:noWrap w:val="0"/>
            <w:vAlign w:val="center"/>
          </w:tcPr>
          <w:p>
            <w:pPr>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jc w:val="center"/>
              <w:rPr>
                <w:rFonts w:hint="default" w:ascii="Times New Roman" w:hAnsi="Times New Roman" w:eastAsia="方正仿宋_GBK" w:cs="Times New Roman"/>
                <w:sz w:val="21"/>
                <w:szCs w:val="21"/>
              </w:rPr>
            </w:pPr>
          </w:p>
        </w:tc>
        <w:tc>
          <w:tcPr>
            <w:tcW w:w="709" w:type="dxa"/>
            <w:vMerge w:val="continue"/>
            <w:noWrap w:val="0"/>
            <w:vAlign w:val="center"/>
          </w:tcPr>
          <w:p>
            <w:pPr>
              <w:rPr>
                <w:rFonts w:hint="default" w:ascii="Times New Roman" w:hAnsi="Times New Roman" w:eastAsia="方正仿宋_GBK" w:cs="Times New Roman"/>
                <w:sz w:val="21"/>
                <w:szCs w:val="21"/>
                <w:lang w:val="zh-CN"/>
              </w:rPr>
            </w:pPr>
          </w:p>
        </w:tc>
        <w:tc>
          <w:tcPr>
            <w:tcW w:w="3118" w:type="dxa"/>
            <w:noWrap w:val="0"/>
            <w:vAlign w:val="center"/>
          </w:tcPr>
          <w:p>
            <w:pPr>
              <w:rPr>
                <w:rFonts w:hint="default" w:ascii="Times New Roman" w:hAnsi="Times New Roman" w:eastAsia="方正仿宋_GBK" w:cs="Times New Roman"/>
                <w:sz w:val="21"/>
                <w:szCs w:val="21"/>
                <w:lang w:val="zh-CN"/>
              </w:rPr>
            </w:pPr>
            <w:r>
              <w:rPr>
                <w:rFonts w:hint="default" w:ascii="Times New Roman" w:hAnsi="Times New Roman" w:eastAsia="方正仿宋_GBK" w:cs="Times New Roman"/>
                <w:sz w:val="21"/>
                <w:szCs w:val="21"/>
              </w:rPr>
              <w:t>5.参加政府采购活动前三年内，在经营活动中没有重大违法记录</w:t>
            </w:r>
          </w:p>
        </w:tc>
        <w:tc>
          <w:tcPr>
            <w:tcW w:w="4984" w:type="dxa"/>
            <w:vMerge w:val="continue"/>
            <w:noWrap w:val="0"/>
            <w:vAlign w:val="center"/>
          </w:tcPr>
          <w:p>
            <w:pPr>
              <w:rPr>
                <w:rFonts w:hint="default" w:ascii="Times New Roman" w:hAnsi="Times New Roman" w:eastAsia="方正仿宋_GBK"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pPr>
              <w:jc w:val="center"/>
              <w:rPr>
                <w:rFonts w:hint="default" w:ascii="Times New Roman" w:hAnsi="Times New Roman" w:eastAsia="方正仿宋_GBK" w:cs="Times New Roman"/>
                <w:sz w:val="21"/>
                <w:szCs w:val="21"/>
              </w:rPr>
            </w:pPr>
          </w:p>
        </w:tc>
        <w:tc>
          <w:tcPr>
            <w:tcW w:w="709" w:type="dxa"/>
            <w:vMerge w:val="continue"/>
            <w:noWrap w:val="0"/>
            <w:vAlign w:val="center"/>
          </w:tcPr>
          <w:p>
            <w:pPr>
              <w:rPr>
                <w:rFonts w:hint="default" w:ascii="Times New Roman" w:hAnsi="Times New Roman" w:eastAsia="方正仿宋_GBK" w:cs="Times New Roman"/>
                <w:sz w:val="21"/>
                <w:szCs w:val="21"/>
              </w:rPr>
            </w:pPr>
          </w:p>
        </w:tc>
        <w:tc>
          <w:tcPr>
            <w:tcW w:w="3118" w:type="dxa"/>
            <w:noWrap w:val="0"/>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6.法律、行政法规规定的其他条件</w:t>
            </w:r>
          </w:p>
        </w:tc>
        <w:tc>
          <w:tcPr>
            <w:tcW w:w="4984" w:type="dxa"/>
            <w:noWrap w:val="0"/>
            <w:vAlign w:val="center"/>
          </w:tcPr>
          <w:p>
            <w:pPr>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pPr>
              <w:jc w:val="center"/>
              <w:rPr>
                <w:rFonts w:hint="default" w:ascii="Times New Roman" w:hAnsi="Times New Roman" w:eastAsia="方正仿宋_GBK" w:cs="Times New Roman"/>
                <w:sz w:val="21"/>
                <w:szCs w:val="21"/>
              </w:rPr>
            </w:pPr>
          </w:p>
        </w:tc>
        <w:tc>
          <w:tcPr>
            <w:tcW w:w="709" w:type="dxa"/>
            <w:vMerge w:val="continue"/>
            <w:noWrap w:val="0"/>
            <w:vAlign w:val="center"/>
          </w:tcPr>
          <w:p>
            <w:pPr>
              <w:rPr>
                <w:rFonts w:hint="default" w:ascii="Times New Roman" w:hAnsi="Times New Roman" w:eastAsia="方正仿宋_GBK" w:cs="Times New Roman"/>
                <w:sz w:val="21"/>
                <w:szCs w:val="21"/>
              </w:rPr>
            </w:pPr>
          </w:p>
        </w:tc>
        <w:tc>
          <w:tcPr>
            <w:tcW w:w="3118" w:type="dxa"/>
            <w:noWrap w:val="0"/>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7.本项目的特定资格要求</w:t>
            </w:r>
          </w:p>
        </w:tc>
        <w:tc>
          <w:tcPr>
            <w:tcW w:w="4984" w:type="dxa"/>
            <w:noWrap w:val="0"/>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按“第一篇三、供应商资格要求（二）本项目的特定资格要求”的要求提交（如果有）。</w:t>
            </w:r>
          </w:p>
        </w:tc>
      </w:tr>
    </w:tbl>
    <w:p>
      <w:pPr>
        <w:snapToGrid w:val="0"/>
        <w:spacing w:line="400" w:lineRule="exact"/>
        <w:ind w:firstLine="480" w:firstLineChars="20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注：</w:t>
      </w:r>
    </w:p>
    <w:p>
      <w:pPr>
        <w:snapToGrid w:val="0"/>
        <w:spacing w:line="400" w:lineRule="exact"/>
        <w:ind w:firstLine="480" w:firstLineChars="20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fldChar w:fldCharType="begin"/>
      </w:r>
      <w:r>
        <w:rPr>
          <w:rFonts w:hint="default" w:ascii="Times New Roman" w:hAnsi="Times New Roman" w:eastAsia="方正仿宋_GBK" w:cs="Times New Roman"/>
          <w:kern w:val="0"/>
          <w:sz w:val="24"/>
          <w:szCs w:val="24"/>
        </w:rPr>
        <w:instrText xml:space="preserve"> eq \o\ac(○,</w:instrText>
      </w:r>
      <w:r>
        <w:rPr>
          <w:rFonts w:hint="default" w:ascii="Times New Roman" w:hAnsi="Times New Roman" w:eastAsia="方正仿宋_GBK" w:cs="Times New Roman"/>
          <w:kern w:val="0"/>
          <w:position w:val="3"/>
          <w:sz w:val="16"/>
          <w:szCs w:val="24"/>
        </w:rPr>
        <w:instrText xml:space="preserve">1</w:instrText>
      </w:r>
      <w:r>
        <w:rPr>
          <w:rFonts w:hint="default" w:ascii="Times New Roman" w:hAnsi="Times New Roman" w:eastAsia="方正仿宋_GBK" w:cs="Times New Roman"/>
          <w:kern w:val="0"/>
          <w:sz w:val="24"/>
          <w:szCs w:val="24"/>
        </w:rPr>
        <w:instrText xml:space="preserve">)</w:instrText>
      </w:r>
      <w:r>
        <w:rPr>
          <w:rFonts w:hint="default" w:ascii="Times New Roman" w:hAnsi="Times New Roman" w:eastAsia="方正仿宋_GBK" w:cs="Times New Roman"/>
          <w:kern w:val="0"/>
          <w:sz w:val="24"/>
          <w:szCs w:val="24"/>
        </w:rPr>
        <w:fldChar w:fldCharType="end"/>
      </w:r>
      <w:r>
        <w:rPr>
          <w:rFonts w:hint="default" w:ascii="Times New Roman" w:hAnsi="Times New Roman" w:eastAsia="方正仿宋_GBK" w:cs="Times New Roman"/>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pPr>
        <w:snapToGrid w:val="0"/>
        <w:spacing w:line="400" w:lineRule="exact"/>
        <w:ind w:firstLine="480" w:firstLineChars="20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2.符合性审查。依据采购文件的规定，从响应文件的有效性、完整性和对采购文件的响应程度进行审查，以确定是否对采购文件的实质性要求作出响应。符合性审查资料表如下：</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pPr>
              <w:jc w:val="center"/>
              <w:rPr>
                <w:rFonts w:hint="default" w:ascii="Times New Roman" w:hAnsi="Times New Roman" w:eastAsia="方正仿宋_GBK" w:cs="Times New Roman"/>
                <w:b/>
                <w:kern w:val="0"/>
                <w:sz w:val="21"/>
                <w:szCs w:val="21"/>
              </w:rPr>
            </w:pPr>
            <w:r>
              <w:rPr>
                <w:rFonts w:hint="default" w:ascii="Times New Roman" w:hAnsi="Times New Roman" w:eastAsia="方正仿宋_GBK" w:cs="Times New Roman"/>
                <w:b/>
                <w:kern w:val="0"/>
                <w:sz w:val="21"/>
                <w:szCs w:val="21"/>
              </w:rPr>
              <w:t>序号</w:t>
            </w:r>
          </w:p>
        </w:tc>
        <w:tc>
          <w:tcPr>
            <w:tcW w:w="3544" w:type="dxa"/>
            <w:gridSpan w:val="2"/>
            <w:noWrap w:val="0"/>
            <w:vAlign w:val="center"/>
          </w:tcPr>
          <w:p>
            <w:pPr>
              <w:jc w:val="center"/>
              <w:rPr>
                <w:rFonts w:hint="default" w:ascii="Times New Roman" w:hAnsi="Times New Roman" w:eastAsia="方正仿宋_GBK" w:cs="Times New Roman"/>
                <w:b/>
                <w:kern w:val="0"/>
                <w:sz w:val="21"/>
                <w:szCs w:val="21"/>
              </w:rPr>
            </w:pPr>
            <w:r>
              <w:rPr>
                <w:rFonts w:hint="default" w:ascii="Times New Roman" w:hAnsi="Times New Roman" w:eastAsia="方正仿宋_GBK" w:cs="Times New Roman"/>
                <w:b/>
                <w:kern w:val="0"/>
                <w:sz w:val="21"/>
                <w:szCs w:val="21"/>
              </w:rPr>
              <w:t>评审因素</w:t>
            </w:r>
          </w:p>
        </w:tc>
        <w:tc>
          <w:tcPr>
            <w:tcW w:w="5409" w:type="dxa"/>
            <w:noWrap w:val="0"/>
            <w:vAlign w:val="center"/>
          </w:tcPr>
          <w:p>
            <w:pPr>
              <w:jc w:val="center"/>
              <w:rPr>
                <w:rFonts w:hint="default" w:ascii="Times New Roman" w:hAnsi="Times New Roman" w:eastAsia="方正仿宋_GBK" w:cs="Times New Roman"/>
                <w:b/>
                <w:kern w:val="0"/>
                <w:sz w:val="21"/>
                <w:szCs w:val="21"/>
              </w:rPr>
            </w:pPr>
            <w:r>
              <w:rPr>
                <w:rFonts w:hint="default" w:ascii="Times New Roman" w:hAnsi="Times New Roman" w:eastAsia="方正仿宋_GBK" w:cs="Times New Roman"/>
                <w:b/>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pPr>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1</w:t>
            </w:r>
          </w:p>
        </w:tc>
        <w:tc>
          <w:tcPr>
            <w:tcW w:w="1560" w:type="dxa"/>
            <w:vMerge w:val="restart"/>
            <w:noWrap w:val="0"/>
            <w:vAlign w:val="center"/>
          </w:tcPr>
          <w:p>
            <w:pP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有效性审查</w:t>
            </w:r>
          </w:p>
        </w:tc>
        <w:tc>
          <w:tcPr>
            <w:tcW w:w="1984" w:type="dxa"/>
            <w:noWrap w:val="0"/>
            <w:vAlign w:val="center"/>
          </w:tcPr>
          <w:p>
            <w:pP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sz w:val="21"/>
                <w:szCs w:val="21"/>
              </w:rPr>
              <w:t>响应文件签署或盖章</w:t>
            </w:r>
          </w:p>
        </w:tc>
        <w:tc>
          <w:tcPr>
            <w:tcW w:w="5409" w:type="dxa"/>
            <w:noWrap w:val="0"/>
            <w:vAlign w:val="center"/>
          </w:tcPr>
          <w:p>
            <w:pP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sz w:val="21"/>
                <w:szCs w:val="21"/>
              </w:rPr>
              <w:t>按限额以下磋商评分文件“第七篇响应文件编制要求”要求签署或盖章。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pPr>
              <w:jc w:val="center"/>
              <w:rPr>
                <w:rFonts w:hint="default" w:ascii="Times New Roman" w:hAnsi="Times New Roman" w:eastAsia="方正仿宋_GBK" w:cs="Times New Roman"/>
                <w:kern w:val="0"/>
                <w:sz w:val="21"/>
                <w:szCs w:val="21"/>
              </w:rPr>
            </w:pPr>
          </w:p>
        </w:tc>
        <w:tc>
          <w:tcPr>
            <w:tcW w:w="1560" w:type="dxa"/>
            <w:vMerge w:val="continue"/>
            <w:noWrap w:val="0"/>
            <w:vAlign w:val="center"/>
          </w:tcPr>
          <w:p>
            <w:pPr>
              <w:rPr>
                <w:rFonts w:hint="default" w:ascii="Times New Roman" w:hAnsi="Times New Roman" w:eastAsia="方正仿宋_GBK" w:cs="Times New Roman"/>
                <w:kern w:val="0"/>
                <w:sz w:val="21"/>
                <w:szCs w:val="21"/>
              </w:rPr>
            </w:pPr>
          </w:p>
        </w:tc>
        <w:tc>
          <w:tcPr>
            <w:tcW w:w="1984" w:type="dxa"/>
            <w:noWrap w:val="0"/>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法定代表人身份证明及授权委托书</w:t>
            </w:r>
          </w:p>
        </w:tc>
        <w:tc>
          <w:tcPr>
            <w:tcW w:w="5409" w:type="dxa"/>
            <w:noWrap w:val="0"/>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法定代表人身份证明及授权委托书有效，符合采购文件规定的格式，签署或盖章齐全。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pPr>
              <w:jc w:val="center"/>
              <w:rPr>
                <w:rFonts w:hint="default" w:ascii="Times New Roman" w:hAnsi="Times New Roman" w:eastAsia="方正仿宋_GBK" w:cs="Times New Roman"/>
                <w:kern w:val="0"/>
                <w:sz w:val="21"/>
                <w:szCs w:val="21"/>
              </w:rPr>
            </w:pPr>
          </w:p>
        </w:tc>
        <w:tc>
          <w:tcPr>
            <w:tcW w:w="1560" w:type="dxa"/>
            <w:vMerge w:val="continue"/>
            <w:noWrap w:val="0"/>
            <w:vAlign w:val="center"/>
          </w:tcPr>
          <w:p>
            <w:pPr>
              <w:rPr>
                <w:rFonts w:hint="default" w:ascii="Times New Roman" w:hAnsi="Times New Roman" w:eastAsia="方正仿宋_GBK" w:cs="Times New Roman"/>
                <w:kern w:val="0"/>
                <w:sz w:val="21"/>
                <w:szCs w:val="21"/>
              </w:rPr>
            </w:pPr>
          </w:p>
        </w:tc>
        <w:tc>
          <w:tcPr>
            <w:tcW w:w="1984" w:type="dxa"/>
            <w:noWrap w:val="0"/>
            <w:vAlign w:val="center"/>
          </w:tcPr>
          <w:p>
            <w:pPr>
              <w:rPr>
                <w:rFonts w:hint="default" w:ascii="Times New Roman" w:hAnsi="Times New Roman" w:eastAsia="方正仿宋_GBK" w:cs="Times New Roman"/>
                <w:sz w:val="21"/>
                <w:szCs w:val="21"/>
                <w:lang w:val="zh-CN"/>
              </w:rPr>
            </w:pPr>
            <w:r>
              <w:rPr>
                <w:rFonts w:hint="default" w:ascii="Times New Roman" w:hAnsi="Times New Roman" w:eastAsia="方正仿宋_GBK" w:cs="Times New Roman"/>
                <w:sz w:val="21"/>
                <w:szCs w:val="21"/>
              </w:rPr>
              <w:t>响应</w:t>
            </w:r>
            <w:r>
              <w:rPr>
                <w:rFonts w:hint="default" w:ascii="Times New Roman" w:hAnsi="Times New Roman" w:eastAsia="方正仿宋_GBK" w:cs="Times New Roman"/>
                <w:sz w:val="21"/>
                <w:szCs w:val="21"/>
                <w:lang w:val="zh-CN"/>
              </w:rPr>
              <w:t>方案</w:t>
            </w:r>
          </w:p>
        </w:tc>
        <w:tc>
          <w:tcPr>
            <w:tcW w:w="5409" w:type="dxa"/>
            <w:noWrap w:val="0"/>
            <w:vAlign w:val="center"/>
          </w:tcPr>
          <w:p>
            <w:pP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sz w:val="21"/>
                <w:szCs w:val="21"/>
                <w:lang w:val="zh-CN"/>
              </w:rPr>
              <w:t>每个包只能有一个</w:t>
            </w:r>
            <w:r>
              <w:rPr>
                <w:rFonts w:hint="default" w:ascii="Times New Roman" w:hAnsi="Times New Roman" w:eastAsia="方正仿宋_GBK" w:cs="Times New Roman"/>
                <w:sz w:val="21"/>
                <w:szCs w:val="21"/>
              </w:rPr>
              <w:t>响应</w:t>
            </w:r>
            <w:r>
              <w:rPr>
                <w:rFonts w:hint="default" w:ascii="Times New Roman" w:hAnsi="Times New Roman" w:eastAsia="方正仿宋_GBK" w:cs="Times New Roman"/>
                <w:sz w:val="21"/>
                <w:szCs w:val="21"/>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pPr>
              <w:jc w:val="center"/>
              <w:rPr>
                <w:rFonts w:hint="default" w:ascii="Times New Roman" w:hAnsi="Times New Roman" w:eastAsia="方正仿宋_GBK" w:cs="Times New Roman"/>
                <w:kern w:val="0"/>
                <w:sz w:val="21"/>
                <w:szCs w:val="21"/>
              </w:rPr>
            </w:pPr>
          </w:p>
        </w:tc>
        <w:tc>
          <w:tcPr>
            <w:tcW w:w="1560" w:type="dxa"/>
            <w:vMerge w:val="continue"/>
            <w:noWrap w:val="0"/>
            <w:vAlign w:val="center"/>
          </w:tcPr>
          <w:p>
            <w:pPr>
              <w:rPr>
                <w:rFonts w:hint="default" w:ascii="Times New Roman" w:hAnsi="Times New Roman" w:eastAsia="方正仿宋_GBK" w:cs="Times New Roman"/>
                <w:kern w:val="0"/>
                <w:sz w:val="21"/>
                <w:szCs w:val="21"/>
              </w:rPr>
            </w:pPr>
          </w:p>
        </w:tc>
        <w:tc>
          <w:tcPr>
            <w:tcW w:w="1984" w:type="dxa"/>
            <w:noWrap w:val="0"/>
            <w:vAlign w:val="center"/>
          </w:tcPr>
          <w:p>
            <w:pPr>
              <w:rPr>
                <w:rFonts w:hint="default" w:ascii="Times New Roman" w:hAnsi="Times New Roman" w:eastAsia="方正仿宋_GBK" w:cs="Times New Roman"/>
                <w:sz w:val="21"/>
                <w:szCs w:val="21"/>
                <w:lang w:val="zh-CN"/>
              </w:rPr>
            </w:pPr>
            <w:r>
              <w:rPr>
                <w:rFonts w:hint="default" w:ascii="Times New Roman" w:hAnsi="Times New Roman" w:eastAsia="方正仿宋_GBK" w:cs="Times New Roman"/>
                <w:sz w:val="21"/>
                <w:szCs w:val="21"/>
              </w:rPr>
              <w:t>报价唯一</w:t>
            </w:r>
          </w:p>
        </w:tc>
        <w:tc>
          <w:tcPr>
            <w:tcW w:w="5409" w:type="dxa"/>
            <w:noWrap w:val="0"/>
            <w:vAlign w:val="center"/>
          </w:tcPr>
          <w:p>
            <w:pP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noWrap w:val="0"/>
            <w:vAlign w:val="center"/>
          </w:tcPr>
          <w:p>
            <w:pPr>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2</w:t>
            </w:r>
          </w:p>
        </w:tc>
        <w:tc>
          <w:tcPr>
            <w:tcW w:w="1560" w:type="dxa"/>
            <w:noWrap w:val="0"/>
            <w:vAlign w:val="center"/>
          </w:tcPr>
          <w:p>
            <w:pP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完整性审查</w:t>
            </w:r>
          </w:p>
        </w:tc>
        <w:tc>
          <w:tcPr>
            <w:tcW w:w="1984" w:type="dxa"/>
            <w:noWrap w:val="0"/>
            <w:vAlign w:val="center"/>
          </w:tcPr>
          <w:p>
            <w:pP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sz w:val="21"/>
                <w:szCs w:val="21"/>
              </w:rPr>
              <w:t>响应</w:t>
            </w:r>
            <w:r>
              <w:rPr>
                <w:rFonts w:hint="default" w:ascii="Times New Roman" w:hAnsi="Times New Roman" w:eastAsia="方正仿宋_GBK" w:cs="Times New Roman"/>
                <w:sz w:val="21"/>
                <w:szCs w:val="21"/>
                <w:lang w:val="zh-CN"/>
              </w:rPr>
              <w:t>文件份数</w:t>
            </w:r>
          </w:p>
        </w:tc>
        <w:tc>
          <w:tcPr>
            <w:tcW w:w="5409" w:type="dxa"/>
            <w:noWrap w:val="0"/>
            <w:vAlign w:val="center"/>
          </w:tcPr>
          <w:p>
            <w:pP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sz w:val="21"/>
                <w:szCs w:val="21"/>
              </w:rPr>
              <w:t>响应</w:t>
            </w:r>
            <w:r>
              <w:rPr>
                <w:rFonts w:hint="default" w:ascii="Times New Roman" w:hAnsi="Times New Roman" w:eastAsia="方正仿宋_GBK" w:cs="Times New Roman"/>
                <w:sz w:val="21"/>
                <w:szCs w:val="21"/>
                <w:lang w:val="zh-CN"/>
              </w:rPr>
              <w:t>文件正、副本数量符合</w:t>
            </w:r>
            <w:r>
              <w:rPr>
                <w:rFonts w:hint="default" w:ascii="Times New Roman" w:hAnsi="Times New Roman" w:eastAsia="方正仿宋_GBK" w:cs="Times New Roman"/>
                <w:sz w:val="21"/>
                <w:szCs w:val="21"/>
              </w:rPr>
              <w:t>采购</w:t>
            </w:r>
            <w:r>
              <w:rPr>
                <w:rFonts w:hint="default" w:ascii="Times New Roman" w:hAnsi="Times New Roman" w:eastAsia="方正仿宋_GBK" w:cs="Times New Roman"/>
                <w:sz w:val="21"/>
                <w:szCs w:val="21"/>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pPr>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3</w:t>
            </w:r>
          </w:p>
        </w:tc>
        <w:tc>
          <w:tcPr>
            <w:tcW w:w="1560" w:type="dxa"/>
            <w:vMerge w:val="restart"/>
            <w:noWrap w:val="0"/>
            <w:vAlign w:val="center"/>
          </w:tcPr>
          <w:p>
            <w:pPr>
              <w:rPr>
                <w:rFonts w:hint="default" w:ascii="Times New Roman" w:hAnsi="Times New Roman" w:eastAsia="方正仿宋_GBK" w:cs="Times New Roman"/>
                <w:sz w:val="21"/>
                <w:szCs w:val="21"/>
                <w:lang w:val="zh-CN"/>
              </w:rPr>
            </w:pPr>
            <w:r>
              <w:rPr>
                <w:rFonts w:hint="default" w:ascii="Times New Roman" w:hAnsi="Times New Roman" w:eastAsia="方正仿宋_GBK" w:cs="Times New Roman"/>
                <w:kern w:val="0"/>
                <w:sz w:val="21"/>
                <w:szCs w:val="21"/>
              </w:rPr>
              <w:t>响应程度审查</w:t>
            </w:r>
          </w:p>
        </w:tc>
        <w:tc>
          <w:tcPr>
            <w:tcW w:w="1984" w:type="dxa"/>
            <w:noWrap w:val="0"/>
            <w:vAlign w:val="center"/>
          </w:tcPr>
          <w:p>
            <w:pP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实质性响应</w:t>
            </w:r>
          </w:p>
        </w:tc>
        <w:tc>
          <w:tcPr>
            <w:tcW w:w="5409" w:type="dxa"/>
            <w:noWrap w:val="0"/>
            <w:vAlign w:val="center"/>
          </w:tcPr>
          <w:p>
            <w:pPr>
              <w:pStyle w:val="32"/>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对采购文件第二篇、第三篇规定的内容进行实质性响应。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noWrap w:val="0"/>
            <w:vAlign w:val="center"/>
          </w:tcPr>
          <w:p>
            <w:pPr>
              <w:jc w:val="center"/>
              <w:rPr>
                <w:rFonts w:hint="default" w:ascii="Times New Roman" w:hAnsi="Times New Roman" w:eastAsia="方正仿宋_GBK" w:cs="Times New Roman"/>
                <w:kern w:val="0"/>
                <w:sz w:val="21"/>
                <w:szCs w:val="21"/>
              </w:rPr>
            </w:pPr>
          </w:p>
        </w:tc>
        <w:tc>
          <w:tcPr>
            <w:tcW w:w="1560" w:type="dxa"/>
            <w:vMerge w:val="continue"/>
            <w:noWrap w:val="0"/>
            <w:vAlign w:val="center"/>
          </w:tcPr>
          <w:p>
            <w:pPr>
              <w:rPr>
                <w:rFonts w:hint="default" w:ascii="Times New Roman" w:hAnsi="Times New Roman" w:eastAsia="方正仿宋_GBK" w:cs="Times New Roman"/>
                <w:sz w:val="21"/>
                <w:szCs w:val="21"/>
                <w:lang w:val="zh-CN"/>
              </w:rPr>
            </w:pPr>
          </w:p>
        </w:tc>
        <w:tc>
          <w:tcPr>
            <w:tcW w:w="1984" w:type="dxa"/>
            <w:noWrap w:val="0"/>
            <w:vAlign w:val="center"/>
          </w:tcPr>
          <w:p>
            <w:pP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响应文件有效期</w:t>
            </w:r>
          </w:p>
        </w:tc>
        <w:tc>
          <w:tcPr>
            <w:tcW w:w="5409" w:type="dxa"/>
            <w:noWrap w:val="0"/>
            <w:vAlign w:val="center"/>
          </w:tcPr>
          <w:p>
            <w:pP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响应文件及有关承诺文件有效期为提交响应文件截止时间起90天。</w:t>
            </w:r>
          </w:p>
        </w:tc>
      </w:tr>
    </w:tbl>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评审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（五）在评审过程中磋商的任何一方不得向他人透露与磋商有关的服务资料、价格或其他信息。</w:t>
      </w: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六）在评审过程中，评审小组可以根据采购文件和磋商情况实质性变动采购需求中的服务、商务要求以及合同草案条款，但不得变动采购文件中的其他内容。实质性变动的内容，须经采购人代表确认。对采购文件作出的实质性变动是采购文件的有效组成部分，评审小组应当及时以书面形式同时通知所有参加的供应商。</w:t>
      </w: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（七）供应商在磋商时作出的所有书面承诺须由法定代表人（或其授权代表）或自然人（供应商为自然人）签署。</w:t>
      </w: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八）经磋商确定最终采购需求且磋商结束后，供应商应当按照采购文件的变动情况和评审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（九）评审小组采用综合评分法对提交最后报价的供应商的响应文件和最后报价（含有效书面承诺）进行综合评分。</w:t>
      </w:r>
      <w:r>
        <w:rPr>
          <w:rFonts w:hint="default" w:ascii="Times New Roman" w:hAnsi="Times New Roman" w:eastAsia="方正仿宋_GBK" w:cs="Times New Roman"/>
          <w:kern w:val="0"/>
          <w:sz w:val="24"/>
          <w:szCs w:val="24"/>
        </w:rPr>
        <w:t>综合评分法，是指响应文件满足竞采购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default" w:ascii="Times New Roman" w:hAnsi="Times New Roman" w:eastAsia="方正仿宋_GBK" w:cs="Times New Roman"/>
          <w:sz w:val="24"/>
          <w:szCs w:val="24"/>
        </w:rPr>
        <w:t>。</w:t>
      </w:r>
    </w:p>
    <w:p>
      <w:pPr>
        <w:spacing w:line="400" w:lineRule="exact"/>
        <w:ind w:firstLine="480" w:firstLineChars="200"/>
        <w:rPr>
          <w:rFonts w:hint="default" w:ascii="Times New Roman" w:hAnsi="Times New Roman" w:eastAsia="方正仿宋_GBK" w:cs="Times New Roman"/>
          <w:b/>
          <w:sz w:val="24"/>
          <w:szCs w:val="24"/>
        </w:rPr>
      </w:pPr>
      <w:r>
        <w:rPr>
          <w:rFonts w:hint="default" w:ascii="Times New Roman" w:hAnsi="Times New Roman" w:eastAsia="方正仿宋_GBK" w:cs="Times New Roman"/>
          <w:sz w:val="24"/>
          <w:szCs w:val="24"/>
        </w:rPr>
        <w:t>（十）评审小组各成员独立对每个有效响应（通过资格性审查、</w:t>
      </w:r>
      <w:r>
        <w:rPr>
          <w:rFonts w:hint="default" w:ascii="Times New Roman" w:hAnsi="Times New Roman" w:eastAsia="方正仿宋_GBK" w:cs="Times New Roman"/>
          <w:kern w:val="0"/>
          <w:sz w:val="24"/>
          <w:szCs w:val="24"/>
        </w:rPr>
        <w:t>符合性审查的供应商</w:t>
      </w:r>
      <w:r>
        <w:rPr>
          <w:rFonts w:hint="default" w:ascii="Times New Roman" w:hAnsi="Times New Roman" w:eastAsia="方正仿宋_GBK" w:cs="Times New Roman"/>
          <w:sz w:val="24"/>
          <w:szCs w:val="24"/>
        </w:rPr>
        <w:t>）的文件进行评价、打分，然后汇总每个供应商每项评分因素的得分，并根据综合评分情况按照评审得分由高到低顺序推荐3名以上成交候选供应商，并编写结论意见。若供应商的评审得分相同的，按照最后报价由低到高的顺序排列推荐。评审得分且最后报价相同的，按现场随机抽取的方式确定顺序排列。</w:t>
      </w:r>
      <w:r>
        <w:rPr>
          <w:rFonts w:hint="default" w:ascii="Times New Roman" w:hAnsi="Times New Roman" w:eastAsia="方正仿宋_GBK" w:cs="Times New Roman"/>
          <w:b/>
          <w:sz w:val="24"/>
          <w:szCs w:val="24"/>
        </w:rPr>
        <w:t>服务部分得分为0分的供应商不得推荐成为成交候选供应商。</w:t>
      </w:r>
    </w:p>
    <w:p>
      <w:pPr>
        <w:pStyle w:val="3"/>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72" w:name="_Toc76462334"/>
      <w:bookmarkStart w:id="73" w:name="_Toc106030889"/>
      <w:r>
        <w:rPr>
          <w:rFonts w:hint="default" w:ascii="Times New Roman" w:hAnsi="Times New Roman" w:eastAsia="方正仿宋_GBK" w:cs="Times New Roman"/>
          <w:sz w:val="24"/>
        </w:rPr>
        <w:t>二、</w:t>
      </w:r>
      <w:bookmarkStart w:id="74" w:name="_Toc342913394"/>
      <w:bookmarkStart w:id="75" w:name="_Toc102227320"/>
      <w:r>
        <w:rPr>
          <w:rFonts w:hint="default" w:ascii="Times New Roman" w:hAnsi="Times New Roman" w:eastAsia="方正仿宋_GBK" w:cs="Times New Roman"/>
          <w:sz w:val="24"/>
        </w:rPr>
        <w:t>评审标准</w:t>
      </w:r>
      <w:bookmarkEnd w:id="72"/>
      <w:bookmarkEnd w:id="73"/>
    </w:p>
    <w:tbl>
      <w:tblPr>
        <w:tblStyle w:val="59"/>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992"/>
        <w:gridCol w:w="1344"/>
        <w:gridCol w:w="4540"/>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 w:type="pct"/>
            <w:noWrap w:val="0"/>
            <w:vAlign w:val="center"/>
          </w:tcPr>
          <w:p>
            <w:pPr>
              <w:ind w:firstLine="28"/>
              <w:jc w:val="center"/>
              <w:rPr>
                <w:rFonts w:hint="default" w:ascii="Times New Roman" w:hAnsi="Times New Roman" w:cs="Times New Roman"/>
                <w:b/>
                <w:sz w:val="21"/>
                <w:szCs w:val="21"/>
              </w:rPr>
            </w:pPr>
            <w:r>
              <w:rPr>
                <w:rFonts w:hint="default" w:ascii="Times New Roman" w:hAnsi="Times New Roman" w:cs="Times New Roman"/>
                <w:b/>
                <w:sz w:val="21"/>
                <w:szCs w:val="21"/>
              </w:rPr>
              <w:t>序号</w:t>
            </w:r>
          </w:p>
        </w:tc>
        <w:tc>
          <w:tcPr>
            <w:tcW w:w="515" w:type="pct"/>
            <w:noWrap w:val="0"/>
            <w:vAlign w:val="center"/>
          </w:tcPr>
          <w:p>
            <w:pPr>
              <w:ind w:firstLine="28"/>
              <w:jc w:val="center"/>
              <w:rPr>
                <w:rFonts w:hint="default" w:ascii="Times New Roman" w:hAnsi="Times New Roman" w:cs="Times New Roman"/>
                <w:b/>
                <w:sz w:val="21"/>
                <w:szCs w:val="21"/>
              </w:rPr>
            </w:pPr>
            <w:r>
              <w:rPr>
                <w:rFonts w:hint="default" w:ascii="Times New Roman" w:hAnsi="Times New Roman" w:cs="Times New Roman"/>
                <w:b/>
                <w:sz w:val="21"/>
                <w:szCs w:val="21"/>
              </w:rPr>
              <w:t>评分因素及权值</w:t>
            </w:r>
          </w:p>
        </w:tc>
        <w:tc>
          <w:tcPr>
            <w:tcW w:w="698" w:type="pct"/>
            <w:noWrap w:val="0"/>
            <w:vAlign w:val="center"/>
          </w:tcPr>
          <w:p>
            <w:pPr>
              <w:ind w:firstLine="28"/>
              <w:jc w:val="center"/>
              <w:rPr>
                <w:rFonts w:hint="default" w:ascii="Times New Roman" w:hAnsi="Times New Roman" w:cs="Times New Roman"/>
                <w:b/>
                <w:sz w:val="21"/>
                <w:szCs w:val="21"/>
              </w:rPr>
            </w:pPr>
            <w:r>
              <w:rPr>
                <w:rFonts w:hint="default" w:ascii="Times New Roman" w:hAnsi="Times New Roman" w:cs="Times New Roman"/>
                <w:b/>
                <w:sz w:val="21"/>
                <w:szCs w:val="21"/>
              </w:rPr>
              <w:t>分值</w:t>
            </w:r>
          </w:p>
        </w:tc>
        <w:tc>
          <w:tcPr>
            <w:tcW w:w="2360" w:type="pct"/>
            <w:noWrap w:val="0"/>
            <w:vAlign w:val="center"/>
          </w:tcPr>
          <w:p>
            <w:pPr>
              <w:ind w:firstLine="28"/>
              <w:jc w:val="center"/>
              <w:rPr>
                <w:rFonts w:hint="default" w:ascii="Times New Roman" w:hAnsi="Times New Roman" w:cs="Times New Roman"/>
                <w:b/>
                <w:sz w:val="21"/>
                <w:szCs w:val="21"/>
              </w:rPr>
            </w:pPr>
            <w:r>
              <w:rPr>
                <w:rFonts w:hint="default" w:ascii="Times New Roman" w:hAnsi="Times New Roman" w:cs="Times New Roman"/>
                <w:b/>
                <w:sz w:val="21"/>
                <w:szCs w:val="21"/>
              </w:rPr>
              <w:t>评分标准</w:t>
            </w:r>
          </w:p>
        </w:tc>
        <w:tc>
          <w:tcPr>
            <w:tcW w:w="1132" w:type="pct"/>
            <w:noWrap w:val="0"/>
            <w:vAlign w:val="center"/>
          </w:tcPr>
          <w:p>
            <w:pPr>
              <w:pStyle w:val="237"/>
              <w:spacing w:before="0" w:after="0" w:line="24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 w:type="pct"/>
            <w:noWrap w:val="0"/>
            <w:vAlign w:val="center"/>
          </w:tcPr>
          <w:p>
            <w:pPr>
              <w:ind w:firstLine="28"/>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515" w:type="pct"/>
            <w:noWrap w:val="0"/>
            <w:vAlign w:val="center"/>
          </w:tcPr>
          <w:p>
            <w:pPr>
              <w:ind w:firstLine="28"/>
              <w:jc w:val="center"/>
              <w:rPr>
                <w:rFonts w:hint="default" w:ascii="Times New Roman" w:hAnsi="Times New Roman" w:cs="Times New Roman"/>
                <w:sz w:val="21"/>
                <w:szCs w:val="21"/>
              </w:rPr>
            </w:pPr>
            <w:r>
              <w:rPr>
                <w:rFonts w:hint="default" w:ascii="Times New Roman" w:hAnsi="Times New Roman" w:cs="Times New Roman"/>
                <w:sz w:val="21"/>
                <w:szCs w:val="21"/>
              </w:rPr>
              <w:t>磋商</w:t>
            </w:r>
          </w:p>
          <w:p>
            <w:pPr>
              <w:ind w:firstLine="28"/>
              <w:jc w:val="center"/>
              <w:rPr>
                <w:rFonts w:hint="default" w:ascii="Times New Roman" w:hAnsi="Times New Roman" w:cs="Times New Roman"/>
                <w:sz w:val="21"/>
                <w:szCs w:val="21"/>
              </w:rPr>
            </w:pPr>
            <w:r>
              <w:rPr>
                <w:rFonts w:hint="default" w:ascii="Times New Roman" w:hAnsi="Times New Roman" w:cs="Times New Roman"/>
                <w:sz w:val="21"/>
                <w:szCs w:val="21"/>
              </w:rPr>
              <w:t>报价</w:t>
            </w:r>
          </w:p>
          <w:p>
            <w:pPr>
              <w:ind w:firstLine="28"/>
              <w:jc w:val="center"/>
              <w:rPr>
                <w:rFonts w:hint="default" w:ascii="Times New Roman" w:hAnsi="Times New Roman" w:cs="Times New Roman"/>
                <w:sz w:val="21"/>
                <w:szCs w:val="21"/>
              </w:rPr>
            </w:pPr>
            <w:r>
              <w:rPr>
                <w:rFonts w:hint="default" w:ascii="Times New Roman" w:hAnsi="Times New Roman" w:cs="Times New Roman"/>
                <w:sz w:val="21"/>
                <w:szCs w:val="21"/>
              </w:rPr>
              <w:t>（30%）</w:t>
            </w:r>
          </w:p>
        </w:tc>
        <w:tc>
          <w:tcPr>
            <w:tcW w:w="698" w:type="pct"/>
            <w:noWrap w:val="0"/>
            <w:vAlign w:val="center"/>
          </w:tcPr>
          <w:p>
            <w:pPr>
              <w:ind w:firstLine="28"/>
              <w:jc w:val="center"/>
              <w:rPr>
                <w:rFonts w:hint="default" w:ascii="Times New Roman" w:hAnsi="Times New Roman" w:cs="Times New Roman"/>
                <w:sz w:val="21"/>
                <w:szCs w:val="21"/>
              </w:rPr>
            </w:pPr>
            <w:r>
              <w:rPr>
                <w:rFonts w:hint="default" w:ascii="Times New Roman" w:hAnsi="Times New Roman" w:cs="Times New Roman"/>
                <w:sz w:val="21"/>
                <w:szCs w:val="21"/>
              </w:rPr>
              <w:t>30分</w:t>
            </w:r>
          </w:p>
        </w:tc>
        <w:tc>
          <w:tcPr>
            <w:tcW w:w="2360" w:type="pct"/>
            <w:noWrap w:val="0"/>
            <w:vAlign w:val="center"/>
          </w:tcPr>
          <w:p>
            <w:pPr>
              <w:spacing w:line="240" w:lineRule="atLeast"/>
              <w:rPr>
                <w:rFonts w:hint="eastAsia" w:ascii="宋体" w:hAnsi="宋体"/>
                <w:sz w:val="21"/>
                <w:szCs w:val="21"/>
              </w:rPr>
            </w:pPr>
            <w:r>
              <w:rPr>
                <w:rFonts w:hint="eastAsia" w:ascii="宋体" w:hAnsi="宋体"/>
                <w:sz w:val="21"/>
                <w:szCs w:val="21"/>
              </w:rPr>
              <w:t>满足资格要求且最后报价最低的供应商的价格为磋商基准价，按照下列公式计算每个供应商的磋商报价得分。</w:t>
            </w:r>
          </w:p>
          <w:p>
            <w:pPr>
              <w:rPr>
                <w:rFonts w:hint="default" w:ascii="Times New Roman" w:hAnsi="Times New Roman" w:cs="Times New Roman"/>
                <w:sz w:val="21"/>
                <w:szCs w:val="21"/>
              </w:rPr>
            </w:pPr>
            <w:r>
              <w:rPr>
                <w:rFonts w:hint="eastAsia" w:ascii="宋体" w:hAnsi="宋体"/>
                <w:sz w:val="21"/>
                <w:szCs w:val="21"/>
              </w:rPr>
              <w:t>磋商报价得分=（磋商基准价/最后磋商报价）×价格权值×100</w:t>
            </w:r>
            <w:r>
              <w:rPr>
                <w:sz w:val="21"/>
              </w:rPr>
              <w:t xml:space="preserve"> </w:t>
            </w:r>
          </w:p>
        </w:tc>
        <w:tc>
          <w:tcPr>
            <w:tcW w:w="1132" w:type="pct"/>
            <w:noWrap w:val="0"/>
            <w:vAlign w:val="center"/>
          </w:tcPr>
          <w:p>
            <w:pPr>
              <w:ind w:left="-38"/>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92" w:type="pct"/>
            <w:vMerge w:val="restart"/>
            <w:noWrap w:val="0"/>
            <w:vAlign w:val="center"/>
          </w:tcPr>
          <w:p>
            <w:pPr>
              <w:ind w:firstLine="28"/>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515" w:type="pct"/>
            <w:vMerge w:val="restart"/>
            <w:noWrap w:val="0"/>
            <w:vAlign w:val="center"/>
          </w:tcPr>
          <w:p>
            <w:pPr>
              <w:ind w:firstLine="28"/>
              <w:jc w:val="center"/>
              <w:rPr>
                <w:rFonts w:hint="default" w:ascii="Times New Roman" w:hAnsi="Times New Roman" w:cs="Times New Roman"/>
                <w:sz w:val="21"/>
                <w:szCs w:val="21"/>
              </w:rPr>
            </w:pPr>
            <w:r>
              <w:rPr>
                <w:rFonts w:hint="default" w:ascii="Times New Roman" w:hAnsi="Times New Roman" w:cs="Times New Roman"/>
                <w:sz w:val="21"/>
                <w:szCs w:val="21"/>
              </w:rPr>
              <w:t>服务</w:t>
            </w:r>
          </w:p>
          <w:p>
            <w:pPr>
              <w:ind w:firstLine="28"/>
              <w:jc w:val="center"/>
              <w:rPr>
                <w:rFonts w:hint="default" w:ascii="Times New Roman" w:hAnsi="Times New Roman" w:cs="Times New Roman"/>
                <w:sz w:val="21"/>
                <w:szCs w:val="21"/>
              </w:rPr>
            </w:pPr>
            <w:r>
              <w:rPr>
                <w:rFonts w:hint="default" w:ascii="Times New Roman" w:hAnsi="Times New Roman" w:cs="Times New Roman"/>
                <w:sz w:val="21"/>
                <w:szCs w:val="21"/>
              </w:rPr>
              <w:t>部分</w:t>
            </w:r>
          </w:p>
          <w:p>
            <w:pPr>
              <w:ind w:firstLine="28"/>
              <w:jc w:val="center"/>
              <w:rPr>
                <w:rFonts w:hint="default" w:ascii="Times New Roman" w:hAnsi="Times New Roman" w:cs="Times New Roman"/>
                <w:sz w:val="21"/>
                <w:szCs w:val="21"/>
              </w:rPr>
            </w:pPr>
            <w:r>
              <w:rPr>
                <w:rFonts w:hint="default" w:ascii="Times New Roman" w:hAnsi="Times New Roman" w:cs="Times New Roman"/>
                <w:sz w:val="21"/>
                <w:szCs w:val="21"/>
              </w:rPr>
              <w:t>（40%）</w:t>
            </w:r>
          </w:p>
        </w:tc>
        <w:tc>
          <w:tcPr>
            <w:tcW w:w="698" w:type="pct"/>
            <w:noWrap w:val="0"/>
            <w:vAlign w:val="center"/>
          </w:tcPr>
          <w:p>
            <w:pPr>
              <w:ind w:firstLine="28"/>
              <w:jc w:val="center"/>
              <w:rPr>
                <w:rFonts w:hint="default" w:ascii="Times New Roman" w:hAnsi="Times New Roman" w:eastAsia="宋体" w:cs="Times New Roman"/>
                <w:lang w:val="en-US" w:eastAsia="zh-CN"/>
              </w:rPr>
            </w:pPr>
            <w:r>
              <w:rPr>
                <w:rFonts w:hint="default" w:ascii="Times New Roman" w:hAnsi="Times New Roman" w:cs="Times New Roman"/>
                <w:sz w:val="21"/>
                <w:szCs w:val="21"/>
                <w:lang w:val="en-US" w:eastAsia="zh-CN"/>
              </w:rPr>
              <w:t>项目基本情况认知、电子航道图的规范性、完整性、安全保密性，数据采集与制作方案、进度计划</w:t>
            </w:r>
          </w:p>
          <w:p>
            <w:pPr>
              <w:ind w:firstLine="28"/>
              <w:jc w:val="center"/>
              <w:rPr>
                <w:rFonts w:hint="default" w:ascii="Times New Roman" w:hAnsi="Times New Roman" w:cs="Times New Roman"/>
                <w:sz w:val="21"/>
                <w:szCs w:val="21"/>
              </w:rPr>
            </w:pP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2</w:t>
            </w:r>
            <w:r>
              <w:rPr>
                <w:rFonts w:hint="default" w:ascii="Times New Roman" w:hAnsi="Times New Roman" w:cs="Times New Roman"/>
                <w:sz w:val="21"/>
                <w:szCs w:val="21"/>
              </w:rPr>
              <w:t>0分）</w:t>
            </w:r>
          </w:p>
          <w:p>
            <w:pPr>
              <w:ind w:firstLine="28" w:firstLineChars="0"/>
              <w:jc w:val="center"/>
              <w:rPr>
                <w:rFonts w:hint="default" w:ascii="Times New Roman" w:hAnsi="Times New Roman" w:cs="Times New Roman"/>
                <w:kern w:val="2"/>
                <w:sz w:val="21"/>
                <w:szCs w:val="21"/>
                <w:lang w:val="en-US" w:eastAsia="zh-CN" w:bidi="ar-SA"/>
              </w:rPr>
            </w:pPr>
          </w:p>
        </w:tc>
        <w:tc>
          <w:tcPr>
            <w:tcW w:w="2360" w:type="pct"/>
            <w:noWrap w:val="0"/>
            <w:vAlign w:val="center"/>
          </w:tcPr>
          <w:p>
            <w:pPr>
              <w:ind w:firstLine="28"/>
              <w:jc w:val="left"/>
              <w:rPr>
                <w:rFonts w:hint="default" w:ascii="Times New Roman" w:hAnsi="Times New Roman" w:cs="Times New Roman"/>
                <w:sz w:val="21"/>
                <w:szCs w:val="21"/>
              </w:rPr>
            </w:pPr>
            <w:r>
              <w:rPr>
                <w:rFonts w:hint="default" w:ascii="Times New Roman" w:hAnsi="Times New Roman" w:cs="Times New Roman"/>
                <w:sz w:val="21"/>
                <w:szCs w:val="21"/>
                <w:lang w:val="en-US" w:eastAsia="zh-CN"/>
              </w:rPr>
              <w:t>根据</w:t>
            </w:r>
            <w:r>
              <w:rPr>
                <w:rFonts w:hint="eastAsia" w:ascii="Times New Roman" w:hAnsi="Times New Roman" w:cs="Times New Roman"/>
                <w:sz w:val="21"/>
                <w:szCs w:val="21"/>
                <w:lang w:val="en-US" w:eastAsia="zh-CN"/>
              </w:rPr>
              <w:t>供应商</w:t>
            </w:r>
            <w:r>
              <w:rPr>
                <w:rFonts w:hint="default" w:ascii="Times New Roman" w:hAnsi="Times New Roman" w:cs="Times New Roman"/>
                <w:sz w:val="21"/>
                <w:szCs w:val="21"/>
                <w:lang w:val="en-US" w:eastAsia="zh-CN"/>
              </w:rPr>
              <w:t>针对本项目制定的服务方案</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对项目基本情况认知、电子航道图的规范性、完整性、安全保密性，数据采集与制作方案、进度计划等进行综合评分。</w:t>
            </w:r>
            <w:r>
              <w:rPr>
                <w:rFonts w:hint="default" w:ascii="Times New Roman" w:hAnsi="Times New Roman" w:cs="Times New Roman"/>
                <w:sz w:val="21"/>
                <w:szCs w:val="21"/>
              </w:rPr>
              <w:t>：</w:t>
            </w:r>
          </w:p>
          <w:p>
            <w:pPr>
              <w:ind w:firstLine="28"/>
              <w:jc w:val="left"/>
              <w:rPr>
                <w:rFonts w:hint="default" w:ascii="Times New Roman" w:hAnsi="Times New Roman" w:cs="Times New Roman"/>
                <w:sz w:val="21"/>
                <w:szCs w:val="21"/>
              </w:rPr>
            </w:pPr>
            <w:r>
              <w:rPr>
                <w:rFonts w:hint="default" w:ascii="Times New Roman" w:hAnsi="Times New Roman" w:cs="Times New Roman"/>
                <w:sz w:val="21"/>
                <w:szCs w:val="21"/>
              </w:rPr>
              <w:t>内容不存在瑕疵，得</w:t>
            </w:r>
            <w:r>
              <w:rPr>
                <w:rFonts w:hint="eastAsia" w:ascii="Times New Roman" w:hAnsi="Times New Roman" w:cs="Times New Roman"/>
                <w:sz w:val="21"/>
                <w:szCs w:val="21"/>
                <w:lang w:val="en-US" w:eastAsia="zh-CN"/>
              </w:rPr>
              <w:t>2</w:t>
            </w:r>
            <w:r>
              <w:rPr>
                <w:rFonts w:hint="default" w:ascii="Times New Roman" w:hAnsi="Times New Roman" w:cs="Times New Roman"/>
                <w:sz w:val="21"/>
                <w:szCs w:val="21"/>
              </w:rPr>
              <w:t>0分；</w:t>
            </w:r>
          </w:p>
          <w:p>
            <w:pPr>
              <w:ind w:firstLine="28"/>
              <w:jc w:val="left"/>
              <w:rPr>
                <w:rFonts w:hint="default" w:ascii="Times New Roman" w:hAnsi="Times New Roman" w:cs="Times New Roman"/>
                <w:sz w:val="21"/>
                <w:szCs w:val="21"/>
              </w:rPr>
            </w:pPr>
            <w:r>
              <w:rPr>
                <w:rFonts w:hint="default" w:ascii="Times New Roman" w:hAnsi="Times New Roman" w:cs="Times New Roman"/>
                <w:sz w:val="21"/>
                <w:szCs w:val="21"/>
              </w:rPr>
              <w:t>内容存在1处瑕疵，得</w:t>
            </w:r>
            <w:r>
              <w:rPr>
                <w:rFonts w:hint="eastAsia" w:ascii="Times New Roman" w:hAnsi="Times New Roman" w:cs="Times New Roman"/>
                <w:sz w:val="21"/>
                <w:szCs w:val="21"/>
                <w:lang w:val="en-US" w:eastAsia="zh-CN"/>
              </w:rPr>
              <w:t>16</w:t>
            </w:r>
            <w:r>
              <w:rPr>
                <w:rFonts w:hint="default" w:ascii="Times New Roman" w:hAnsi="Times New Roman" w:cs="Times New Roman"/>
                <w:sz w:val="21"/>
                <w:szCs w:val="21"/>
              </w:rPr>
              <w:t>分；</w:t>
            </w:r>
          </w:p>
          <w:p>
            <w:pPr>
              <w:ind w:firstLine="28"/>
              <w:jc w:val="left"/>
              <w:rPr>
                <w:rFonts w:hint="default" w:ascii="Times New Roman" w:hAnsi="Times New Roman" w:cs="Times New Roman"/>
                <w:sz w:val="21"/>
                <w:szCs w:val="21"/>
              </w:rPr>
            </w:pPr>
            <w:r>
              <w:rPr>
                <w:rFonts w:hint="default" w:ascii="Times New Roman" w:hAnsi="Times New Roman" w:cs="Times New Roman"/>
                <w:sz w:val="21"/>
                <w:szCs w:val="21"/>
              </w:rPr>
              <w:t>内容存在2处瑕疵得</w:t>
            </w:r>
            <w:r>
              <w:rPr>
                <w:rFonts w:hint="eastAsia" w:ascii="Times New Roman" w:hAnsi="Times New Roman" w:cs="Times New Roman"/>
                <w:sz w:val="21"/>
                <w:szCs w:val="21"/>
                <w:lang w:val="en-US" w:eastAsia="zh-CN"/>
              </w:rPr>
              <w:t>12</w:t>
            </w:r>
            <w:r>
              <w:rPr>
                <w:rFonts w:hint="default" w:ascii="Times New Roman" w:hAnsi="Times New Roman" w:cs="Times New Roman"/>
                <w:sz w:val="21"/>
                <w:szCs w:val="21"/>
              </w:rPr>
              <w:t>分；</w:t>
            </w:r>
          </w:p>
          <w:p>
            <w:pPr>
              <w:ind w:firstLine="28"/>
              <w:jc w:val="left"/>
              <w:rPr>
                <w:rFonts w:hint="default" w:ascii="Times New Roman" w:hAnsi="Times New Roman" w:cs="Times New Roman"/>
                <w:sz w:val="21"/>
                <w:szCs w:val="21"/>
              </w:rPr>
            </w:pPr>
            <w:r>
              <w:rPr>
                <w:rFonts w:hint="default" w:ascii="Times New Roman" w:hAnsi="Times New Roman" w:cs="Times New Roman"/>
                <w:sz w:val="21"/>
                <w:szCs w:val="21"/>
              </w:rPr>
              <w:t>内容存在3处瑕疵得</w:t>
            </w:r>
            <w:r>
              <w:rPr>
                <w:rFonts w:hint="eastAsia" w:ascii="Times New Roman" w:hAnsi="Times New Roman" w:cs="Times New Roman"/>
                <w:sz w:val="21"/>
                <w:szCs w:val="21"/>
                <w:lang w:val="en-US" w:eastAsia="zh-CN"/>
              </w:rPr>
              <w:t>8</w:t>
            </w:r>
            <w:r>
              <w:rPr>
                <w:rFonts w:hint="default" w:ascii="Times New Roman" w:hAnsi="Times New Roman" w:cs="Times New Roman"/>
                <w:sz w:val="21"/>
                <w:szCs w:val="21"/>
              </w:rPr>
              <w:t>分；</w:t>
            </w:r>
          </w:p>
          <w:p>
            <w:pPr>
              <w:ind w:firstLine="28"/>
              <w:jc w:val="left"/>
              <w:rPr>
                <w:rFonts w:hint="default" w:ascii="Times New Roman" w:hAnsi="Times New Roman" w:cs="Times New Roman"/>
                <w:sz w:val="21"/>
                <w:szCs w:val="21"/>
              </w:rPr>
            </w:pPr>
            <w:r>
              <w:rPr>
                <w:rFonts w:hint="default" w:ascii="Times New Roman" w:hAnsi="Times New Roman" w:cs="Times New Roman"/>
                <w:sz w:val="21"/>
                <w:szCs w:val="21"/>
              </w:rPr>
              <w:t>内容存在4处及以上瑕疵得</w:t>
            </w:r>
            <w:r>
              <w:rPr>
                <w:rFonts w:hint="eastAsia" w:ascii="Times New Roman" w:hAnsi="Times New Roman" w:cs="Times New Roman"/>
                <w:sz w:val="21"/>
                <w:szCs w:val="21"/>
                <w:lang w:val="en-US" w:eastAsia="zh-CN"/>
              </w:rPr>
              <w:t>4</w:t>
            </w:r>
            <w:r>
              <w:rPr>
                <w:rFonts w:hint="default" w:ascii="Times New Roman" w:hAnsi="Times New Roman" w:cs="Times New Roman"/>
                <w:sz w:val="21"/>
                <w:szCs w:val="21"/>
              </w:rPr>
              <w:t>分；</w:t>
            </w:r>
          </w:p>
          <w:p>
            <w:pPr>
              <w:ind w:firstLine="28" w:firstLineChars="0"/>
              <w:jc w:val="left"/>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未提供方案得0分。</w:t>
            </w:r>
          </w:p>
        </w:tc>
        <w:tc>
          <w:tcPr>
            <w:tcW w:w="1132" w:type="pct"/>
            <w:vMerge w:val="restart"/>
            <w:noWrap w:val="0"/>
            <w:vAlign w:val="center"/>
          </w:tcPr>
          <w:p>
            <w:pPr>
              <w:rPr>
                <w:rFonts w:hint="default" w:ascii="Times New Roman" w:hAnsi="Times New Roman" w:cs="Times New Roman"/>
                <w:sz w:val="21"/>
                <w:szCs w:val="21"/>
              </w:rPr>
            </w:pPr>
            <w:r>
              <w:rPr>
                <w:rFonts w:hint="default" w:ascii="Times New Roman" w:hAnsi="Times New Roman" w:cs="Times New Roman"/>
                <w:sz w:val="21"/>
                <w:szCs w:val="21"/>
              </w:rPr>
              <w:t>【本项内容中所称的“瑕疵”指</w:t>
            </w:r>
            <w:r>
              <w:rPr>
                <w:rFonts w:hint="default" w:ascii="Times New Roman" w:hAnsi="Times New Roman" w:cs="Times New Roman"/>
                <w:sz w:val="21"/>
                <w:szCs w:val="21"/>
                <w:lang w:val="en-US" w:eastAsia="zh-CN"/>
              </w:rPr>
              <w:t>供应商提供</w:t>
            </w:r>
            <w:r>
              <w:rPr>
                <w:rFonts w:hint="default" w:ascii="Times New Roman" w:hAnsi="Times New Roman" w:cs="Times New Roman"/>
                <w:sz w:val="21"/>
                <w:szCs w:val="21"/>
              </w:rPr>
              <w:t>内容表述不完整，表述前后矛盾、无连贯性，存在逻辑漏洞、常识错误、科学原理错误</w:t>
            </w:r>
            <w:r>
              <w:rPr>
                <w:rFonts w:hint="default" w:ascii="Times New Roman" w:hAnsi="Times New Roman" w:cs="Times New Roman"/>
                <w:sz w:val="21"/>
                <w:szCs w:val="21"/>
                <w:lang w:eastAsia="zh-CN"/>
              </w:rPr>
              <w:t>，</w:t>
            </w:r>
            <w:r>
              <w:rPr>
                <w:rFonts w:hint="default" w:ascii="Times New Roman" w:hAnsi="Times New Roman" w:cs="Times New Roman"/>
                <w:sz w:val="21"/>
                <w:szCs w:val="21"/>
              </w:rPr>
              <w:t>措施安排不适用本项目特性或非专门针对本项目制定、提出的措施举措不利于本项目目标的实现、现有技术条件下不可能出现的情形】。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 w:type="pct"/>
            <w:vMerge w:val="continue"/>
            <w:noWrap w:val="0"/>
            <w:vAlign w:val="center"/>
          </w:tcPr>
          <w:p>
            <w:pPr>
              <w:ind w:firstLine="28"/>
              <w:jc w:val="center"/>
              <w:rPr>
                <w:rFonts w:hint="default" w:ascii="Times New Roman" w:hAnsi="Times New Roman" w:cs="Times New Roman"/>
                <w:sz w:val="21"/>
                <w:szCs w:val="21"/>
              </w:rPr>
            </w:pPr>
          </w:p>
        </w:tc>
        <w:tc>
          <w:tcPr>
            <w:tcW w:w="515" w:type="pct"/>
            <w:vMerge w:val="continue"/>
            <w:noWrap w:val="0"/>
            <w:vAlign w:val="center"/>
          </w:tcPr>
          <w:p>
            <w:pPr>
              <w:ind w:firstLine="28"/>
              <w:jc w:val="center"/>
              <w:rPr>
                <w:rFonts w:hint="default" w:ascii="Times New Roman" w:hAnsi="Times New Roman" w:cs="Times New Roman"/>
                <w:sz w:val="21"/>
                <w:szCs w:val="21"/>
              </w:rPr>
            </w:pPr>
          </w:p>
        </w:tc>
        <w:tc>
          <w:tcPr>
            <w:tcW w:w="698" w:type="pct"/>
            <w:noWrap w:val="0"/>
            <w:vAlign w:val="center"/>
          </w:tcPr>
          <w:p>
            <w:pPr>
              <w:widowControl/>
              <w:jc w:val="center"/>
              <w:rPr>
                <w:rFonts w:hint="eastAsia" w:ascii="Times New Roman" w:hAnsi="Times New Roman" w:eastAsia="宋体" w:cs="Times New Roman"/>
                <w:sz w:val="21"/>
                <w:szCs w:val="21"/>
                <w:lang w:eastAsia="zh-CN"/>
              </w:rPr>
            </w:pPr>
            <w:r>
              <w:rPr>
                <w:rFonts w:hint="eastAsia" w:ascii="宋体" w:hAnsi="宋体" w:cs="宋体"/>
                <w:kern w:val="0"/>
                <w:sz w:val="21"/>
                <w:szCs w:val="21"/>
              </w:rPr>
              <w:t>项目工作重点、难点分析及解决对策情况</w:t>
            </w:r>
            <w:r>
              <w:rPr>
                <w:rFonts w:hint="default" w:ascii="Times New Roman" w:hAnsi="Times New Roman" w:cs="Times New Roman"/>
                <w:kern w:val="0"/>
                <w:sz w:val="21"/>
                <w:szCs w:val="21"/>
                <w:lang w:eastAsia="zh-CN"/>
              </w:rPr>
              <w:t>（</w:t>
            </w:r>
            <w:r>
              <w:rPr>
                <w:rFonts w:hint="default" w:ascii="Times New Roman" w:hAnsi="Times New Roman" w:cs="Times New Roman"/>
                <w:kern w:val="0"/>
                <w:sz w:val="21"/>
                <w:szCs w:val="21"/>
                <w:lang w:val="en-US" w:eastAsia="zh-CN"/>
              </w:rPr>
              <w:t>20分</w:t>
            </w:r>
            <w:r>
              <w:rPr>
                <w:rFonts w:hint="default" w:ascii="Times New Roman" w:hAnsi="Times New Roman" w:cs="Times New Roman"/>
                <w:kern w:val="0"/>
                <w:sz w:val="21"/>
                <w:szCs w:val="21"/>
                <w:lang w:eastAsia="zh-CN"/>
              </w:rPr>
              <w:t>）</w:t>
            </w:r>
          </w:p>
        </w:tc>
        <w:tc>
          <w:tcPr>
            <w:tcW w:w="2360" w:type="pct"/>
            <w:tcBorders>
              <w:bottom w:val="single" w:color="auto" w:sz="4" w:space="0"/>
            </w:tcBorders>
            <w:noWrap w:val="0"/>
            <w:vAlign w:val="center"/>
          </w:tcPr>
          <w:p>
            <w:pPr>
              <w:ind w:firstLine="28"/>
              <w:jc w:val="left"/>
              <w:rPr>
                <w:rFonts w:hint="default" w:ascii="Times New Roman" w:hAnsi="Times New Roman" w:cs="Times New Roman"/>
                <w:sz w:val="21"/>
                <w:szCs w:val="21"/>
              </w:rPr>
            </w:pPr>
            <w:r>
              <w:rPr>
                <w:rFonts w:hint="default" w:ascii="Times New Roman" w:hAnsi="Times New Roman" w:cs="Times New Roman"/>
                <w:sz w:val="21"/>
                <w:szCs w:val="21"/>
                <w:lang w:val="en-US" w:eastAsia="zh-CN"/>
              </w:rPr>
              <w:t>根据投标人针对本项目制定的服务方案</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对项目工作重点、难点分析及解决对策情况等进行综合评分。</w:t>
            </w:r>
            <w:r>
              <w:rPr>
                <w:rFonts w:hint="default" w:ascii="Times New Roman" w:hAnsi="Times New Roman" w:cs="Times New Roman"/>
                <w:sz w:val="21"/>
                <w:szCs w:val="21"/>
              </w:rPr>
              <w:t>：</w:t>
            </w:r>
          </w:p>
          <w:p>
            <w:pPr>
              <w:ind w:firstLine="28"/>
              <w:jc w:val="left"/>
              <w:rPr>
                <w:rFonts w:hint="default" w:ascii="Times New Roman" w:hAnsi="Times New Roman" w:cs="Times New Roman"/>
                <w:sz w:val="21"/>
                <w:szCs w:val="21"/>
              </w:rPr>
            </w:pPr>
            <w:r>
              <w:rPr>
                <w:rFonts w:hint="default" w:ascii="Times New Roman" w:hAnsi="Times New Roman" w:cs="Times New Roman"/>
                <w:sz w:val="21"/>
                <w:szCs w:val="21"/>
              </w:rPr>
              <w:t>内容不存在瑕疵，得</w:t>
            </w:r>
            <w:r>
              <w:rPr>
                <w:rFonts w:hint="eastAsia" w:ascii="Times New Roman" w:hAnsi="Times New Roman" w:cs="Times New Roman"/>
                <w:sz w:val="21"/>
                <w:szCs w:val="21"/>
                <w:lang w:val="en-US" w:eastAsia="zh-CN"/>
              </w:rPr>
              <w:t>2</w:t>
            </w:r>
            <w:r>
              <w:rPr>
                <w:rFonts w:hint="default" w:ascii="Times New Roman" w:hAnsi="Times New Roman" w:cs="Times New Roman"/>
                <w:sz w:val="21"/>
                <w:szCs w:val="21"/>
              </w:rPr>
              <w:t>0分；</w:t>
            </w:r>
          </w:p>
          <w:p>
            <w:pPr>
              <w:ind w:firstLine="28"/>
              <w:jc w:val="left"/>
              <w:rPr>
                <w:rFonts w:hint="default" w:ascii="Times New Roman" w:hAnsi="Times New Roman" w:cs="Times New Roman"/>
                <w:sz w:val="21"/>
                <w:szCs w:val="21"/>
              </w:rPr>
            </w:pPr>
            <w:r>
              <w:rPr>
                <w:rFonts w:hint="default" w:ascii="Times New Roman" w:hAnsi="Times New Roman" w:cs="Times New Roman"/>
                <w:sz w:val="21"/>
                <w:szCs w:val="21"/>
              </w:rPr>
              <w:t>内容存在1处瑕疵，得</w:t>
            </w:r>
            <w:r>
              <w:rPr>
                <w:rFonts w:hint="eastAsia" w:ascii="Times New Roman" w:hAnsi="Times New Roman" w:cs="Times New Roman"/>
                <w:sz w:val="21"/>
                <w:szCs w:val="21"/>
                <w:lang w:val="en-US" w:eastAsia="zh-CN"/>
              </w:rPr>
              <w:t>16</w:t>
            </w:r>
            <w:r>
              <w:rPr>
                <w:rFonts w:hint="default" w:ascii="Times New Roman" w:hAnsi="Times New Roman" w:cs="Times New Roman"/>
                <w:sz w:val="21"/>
                <w:szCs w:val="21"/>
              </w:rPr>
              <w:t>分；</w:t>
            </w:r>
          </w:p>
          <w:p>
            <w:pPr>
              <w:ind w:firstLine="28"/>
              <w:jc w:val="left"/>
              <w:rPr>
                <w:rFonts w:hint="default" w:ascii="Times New Roman" w:hAnsi="Times New Roman" w:cs="Times New Roman"/>
                <w:sz w:val="21"/>
                <w:szCs w:val="21"/>
              </w:rPr>
            </w:pPr>
            <w:r>
              <w:rPr>
                <w:rFonts w:hint="default" w:ascii="Times New Roman" w:hAnsi="Times New Roman" w:cs="Times New Roman"/>
                <w:sz w:val="21"/>
                <w:szCs w:val="21"/>
              </w:rPr>
              <w:t>内容存在2处瑕疵得</w:t>
            </w:r>
            <w:r>
              <w:rPr>
                <w:rFonts w:hint="eastAsia" w:ascii="Times New Roman" w:hAnsi="Times New Roman" w:cs="Times New Roman"/>
                <w:sz w:val="21"/>
                <w:szCs w:val="21"/>
                <w:lang w:val="en-US" w:eastAsia="zh-CN"/>
              </w:rPr>
              <w:t>12</w:t>
            </w:r>
            <w:r>
              <w:rPr>
                <w:rFonts w:hint="default" w:ascii="Times New Roman" w:hAnsi="Times New Roman" w:cs="Times New Roman"/>
                <w:sz w:val="21"/>
                <w:szCs w:val="21"/>
              </w:rPr>
              <w:t>分；</w:t>
            </w:r>
          </w:p>
          <w:p>
            <w:pPr>
              <w:ind w:firstLine="28"/>
              <w:jc w:val="left"/>
              <w:rPr>
                <w:rFonts w:hint="default" w:ascii="Times New Roman" w:hAnsi="Times New Roman" w:cs="Times New Roman"/>
                <w:sz w:val="21"/>
                <w:szCs w:val="21"/>
              </w:rPr>
            </w:pPr>
            <w:r>
              <w:rPr>
                <w:rFonts w:hint="default" w:ascii="Times New Roman" w:hAnsi="Times New Roman" w:cs="Times New Roman"/>
                <w:sz w:val="21"/>
                <w:szCs w:val="21"/>
              </w:rPr>
              <w:t>内容存在3处瑕疵得</w:t>
            </w:r>
            <w:r>
              <w:rPr>
                <w:rFonts w:hint="eastAsia" w:ascii="Times New Roman" w:hAnsi="Times New Roman" w:cs="Times New Roman"/>
                <w:sz w:val="21"/>
                <w:szCs w:val="21"/>
                <w:lang w:val="en-US" w:eastAsia="zh-CN"/>
              </w:rPr>
              <w:t>8</w:t>
            </w:r>
            <w:r>
              <w:rPr>
                <w:rFonts w:hint="default" w:ascii="Times New Roman" w:hAnsi="Times New Roman" w:cs="Times New Roman"/>
                <w:sz w:val="21"/>
                <w:szCs w:val="21"/>
              </w:rPr>
              <w:t>分；</w:t>
            </w:r>
          </w:p>
          <w:p>
            <w:pPr>
              <w:ind w:firstLine="28"/>
              <w:jc w:val="left"/>
              <w:rPr>
                <w:rFonts w:hint="default" w:ascii="Times New Roman" w:hAnsi="Times New Roman" w:cs="Times New Roman"/>
                <w:sz w:val="21"/>
                <w:szCs w:val="21"/>
              </w:rPr>
            </w:pPr>
            <w:r>
              <w:rPr>
                <w:rFonts w:hint="default" w:ascii="Times New Roman" w:hAnsi="Times New Roman" w:cs="Times New Roman"/>
                <w:sz w:val="21"/>
                <w:szCs w:val="21"/>
              </w:rPr>
              <w:t>内容存在4处及以上瑕疵得</w:t>
            </w:r>
            <w:r>
              <w:rPr>
                <w:rFonts w:hint="eastAsia" w:ascii="Times New Roman" w:hAnsi="Times New Roman" w:cs="Times New Roman"/>
                <w:sz w:val="21"/>
                <w:szCs w:val="21"/>
                <w:lang w:val="en-US" w:eastAsia="zh-CN"/>
              </w:rPr>
              <w:t>4</w:t>
            </w:r>
            <w:r>
              <w:rPr>
                <w:rFonts w:hint="default" w:ascii="Times New Roman" w:hAnsi="Times New Roman" w:cs="Times New Roman"/>
                <w:sz w:val="21"/>
                <w:szCs w:val="21"/>
              </w:rPr>
              <w:t>分；</w:t>
            </w:r>
          </w:p>
          <w:p>
            <w:pPr>
              <w:widowControl/>
              <w:rPr>
                <w:rFonts w:hint="default" w:ascii="Times New Roman" w:hAnsi="Times New Roman" w:cs="Times New Roman"/>
                <w:sz w:val="21"/>
                <w:szCs w:val="21"/>
              </w:rPr>
            </w:pPr>
            <w:r>
              <w:rPr>
                <w:rFonts w:hint="default" w:ascii="Times New Roman" w:hAnsi="Times New Roman" w:cs="Times New Roman"/>
                <w:sz w:val="21"/>
                <w:szCs w:val="21"/>
              </w:rPr>
              <w:t>未提供方案得0分。</w:t>
            </w:r>
          </w:p>
        </w:tc>
        <w:tc>
          <w:tcPr>
            <w:tcW w:w="1132" w:type="pct"/>
            <w:vMerge w:val="continue"/>
            <w:tcBorders>
              <w:bottom w:val="single" w:color="auto" w:sz="4" w:space="0"/>
            </w:tcBorders>
            <w:noWrap w:val="0"/>
            <w:vAlign w:val="center"/>
          </w:tcPr>
          <w:p>
            <w:pP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92" w:type="pct"/>
            <w:vMerge w:val="restart"/>
            <w:tcBorders>
              <w:top w:val="single" w:color="auto" w:sz="4" w:space="0"/>
              <w:left w:val="single" w:color="auto" w:sz="4" w:space="0"/>
              <w:right w:val="single" w:color="auto" w:sz="4" w:space="0"/>
            </w:tcBorders>
            <w:noWrap w:val="0"/>
            <w:vAlign w:val="center"/>
          </w:tcPr>
          <w:p>
            <w:pPr>
              <w:ind w:firstLine="28"/>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515" w:type="pct"/>
            <w:vMerge w:val="restart"/>
            <w:tcBorders>
              <w:top w:val="single" w:color="auto" w:sz="4" w:space="0"/>
              <w:left w:val="single" w:color="auto" w:sz="4" w:space="0"/>
              <w:right w:val="single" w:color="auto" w:sz="4" w:space="0"/>
            </w:tcBorders>
            <w:noWrap w:val="0"/>
            <w:vAlign w:val="center"/>
          </w:tcPr>
          <w:p>
            <w:pPr>
              <w:ind w:firstLine="28"/>
              <w:jc w:val="center"/>
              <w:rPr>
                <w:rFonts w:hint="default" w:ascii="Times New Roman" w:hAnsi="Times New Roman" w:cs="Times New Roman"/>
                <w:sz w:val="21"/>
                <w:szCs w:val="21"/>
              </w:rPr>
            </w:pPr>
            <w:r>
              <w:rPr>
                <w:rFonts w:hint="default" w:ascii="Times New Roman" w:hAnsi="Times New Roman" w:cs="Times New Roman"/>
                <w:sz w:val="21"/>
                <w:szCs w:val="21"/>
              </w:rPr>
              <w:t>商务</w:t>
            </w:r>
          </w:p>
          <w:p>
            <w:pPr>
              <w:ind w:firstLine="28"/>
              <w:jc w:val="center"/>
              <w:rPr>
                <w:rFonts w:hint="default" w:ascii="Times New Roman" w:hAnsi="Times New Roman" w:cs="Times New Roman"/>
                <w:sz w:val="21"/>
                <w:szCs w:val="21"/>
              </w:rPr>
            </w:pPr>
            <w:r>
              <w:rPr>
                <w:rFonts w:hint="default" w:ascii="Times New Roman" w:hAnsi="Times New Roman" w:cs="Times New Roman"/>
                <w:sz w:val="21"/>
                <w:szCs w:val="21"/>
              </w:rPr>
              <w:t>部分</w:t>
            </w:r>
          </w:p>
          <w:p>
            <w:pPr>
              <w:ind w:firstLine="28"/>
              <w:jc w:val="center"/>
              <w:rPr>
                <w:rFonts w:hint="default" w:ascii="Times New Roman" w:hAnsi="Times New Roman" w:cs="Times New Roman"/>
                <w:sz w:val="21"/>
                <w:szCs w:val="21"/>
              </w:rPr>
            </w:pPr>
            <w:r>
              <w:rPr>
                <w:rFonts w:hint="default" w:ascii="Times New Roman" w:hAnsi="Times New Roman" w:cs="Times New Roman"/>
                <w:sz w:val="21"/>
                <w:szCs w:val="21"/>
              </w:rPr>
              <w:t>（30%）</w:t>
            </w:r>
          </w:p>
        </w:tc>
        <w:tc>
          <w:tcPr>
            <w:tcW w:w="698" w:type="pct"/>
            <w:tcBorders>
              <w:top w:val="single" w:color="auto" w:sz="4" w:space="0"/>
              <w:left w:val="single" w:color="auto" w:sz="4" w:space="0"/>
              <w:bottom w:val="single" w:color="auto" w:sz="4" w:space="0"/>
              <w:right w:val="single" w:color="auto" w:sz="4" w:space="0"/>
            </w:tcBorders>
            <w:noWrap w:val="0"/>
            <w:vAlign w:val="center"/>
          </w:tcPr>
          <w:p>
            <w:pPr>
              <w:ind w:firstLine="28"/>
              <w:jc w:val="center"/>
              <w:rPr>
                <w:rFonts w:hint="default" w:ascii="Times New Roman" w:hAnsi="Times New Roman" w:cs="Times New Roman"/>
                <w:sz w:val="21"/>
                <w:szCs w:val="21"/>
              </w:rPr>
            </w:pPr>
          </w:p>
        </w:tc>
        <w:tc>
          <w:tcPr>
            <w:tcW w:w="2360" w:type="pct"/>
            <w:tcBorders>
              <w:top w:val="single" w:color="auto" w:sz="4" w:space="0"/>
              <w:left w:val="single" w:color="auto" w:sz="4" w:space="0"/>
              <w:bottom w:val="single" w:color="auto" w:sz="4" w:space="0"/>
              <w:right w:val="single" w:color="auto" w:sz="4" w:space="0"/>
            </w:tcBorders>
            <w:noWrap w:val="0"/>
            <w:vAlign w:val="center"/>
          </w:tcPr>
          <w:p>
            <w:pPr>
              <w:ind w:firstLine="28"/>
              <w:jc w:val="left"/>
              <w:rPr>
                <w:rFonts w:hint="default" w:ascii="Times New Roman" w:hAnsi="Times New Roman" w:cs="Times New Roman"/>
                <w:sz w:val="21"/>
                <w:szCs w:val="21"/>
              </w:rPr>
            </w:pPr>
          </w:p>
        </w:tc>
        <w:tc>
          <w:tcPr>
            <w:tcW w:w="1132" w:type="pct"/>
            <w:tcBorders>
              <w:top w:val="single" w:color="auto" w:sz="4" w:space="0"/>
              <w:left w:val="single" w:color="auto" w:sz="4" w:space="0"/>
              <w:bottom w:val="single" w:color="auto" w:sz="4" w:space="0"/>
              <w:right w:val="single" w:color="auto" w:sz="4" w:space="0"/>
            </w:tcBorders>
            <w:noWrap w:val="0"/>
            <w:vAlign w:val="center"/>
          </w:tcPr>
          <w:p>
            <w:pPr>
              <w:ind w:firstLine="28"/>
              <w:jc w:val="left"/>
              <w:rPr>
                <w:rFonts w:hint="eastAsia" w:ascii="Times New Roman" w:hAnsi="Times New Roman" w:eastAsia="宋体"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trPr>
        <w:tc>
          <w:tcPr>
            <w:tcW w:w="292" w:type="pct"/>
            <w:vMerge w:val="continue"/>
            <w:tcBorders>
              <w:left w:val="single" w:color="auto" w:sz="4" w:space="0"/>
              <w:right w:val="single" w:color="auto" w:sz="4" w:space="0"/>
            </w:tcBorders>
            <w:noWrap w:val="0"/>
            <w:vAlign w:val="center"/>
          </w:tcPr>
          <w:p>
            <w:pPr>
              <w:ind w:firstLine="28"/>
              <w:jc w:val="center"/>
              <w:rPr>
                <w:rFonts w:hint="default" w:ascii="Times New Roman" w:hAnsi="Times New Roman" w:cs="Times New Roman"/>
                <w:sz w:val="21"/>
                <w:szCs w:val="21"/>
              </w:rPr>
            </w:pPr>
          </w:p>
        </w:tc>
        <w:tc>
          <w:tcPr>
            <w:tcW w:w="515" w:type="pct"/>
            <w:vMerge w:val="continue"/>
            <w:tcBorders>
              <w:left w:val="single" w:color="auto" w:sz="4" w:space="0"/>
              <w:right w:val="single" w:color="auto" w:sz="4" w:space="0"/>
            </w:tcBorders>
            <w:noWrap w:val="0"/>
            <w:vAlign w:val="center"/>
          </w:tcPr>
          <w:p>
            <w:pPr>
              <w:ind w:firstLine="28"/>
              <w:jc w:val="center"/>
              <w:rPr>
                <w:rFonts w:hint="default" w:ascii="Times New Roman" w:hAnsi="Times New Roman" w:cs="Times New Roman"/>
                <w:sz w:val="21"/>
                <w:szCs w:val="21"/>
              </w:rPr>
            </w:pPr>
          </w:p>
        </w:tc>
        <w:tc>
          <w:tcPr>
            <w:tcW w:w="698" w:type="pct"/>
            <w:tcBorders>
              <w:top w:val="single" w:color="auto" w:sz="4" w:space="0"/>
              <w:left w:val="single" w:color="auto" w:sz="4" w:space="0"/>
              <w:bottom w:val="single" w:color="auto" w:sz="4" w:space="0"/>
              <w:right w:val="single" w:color="auto" w:sz="4" w:space="0"/>
            </w:tcBorders>
            <w:noWrap w:val="0"/>
            <w:vAlign w:val="center"/>
          </w:tcPr>
          <w:p>
            <w:pPr>
              <w:ind w:firstLine="28"/>
              <w:jc w:val="center"/>
              <w:rPr>
                <w:rFonts w:hint="default" w:ascii="Times New Roman" w:hAnsi="Times New Roman" w:cs="Times New Roman"/>
                <w:sz w:val="21"/>
                <w:szCs w:val="21"/>
              </w:rPr>
            </w:pPr>
            <w:r>
              <w:rPr>
                <w:rFonts w:hint="default" w:ascii="Times New Roman" w:hAnsi="Times New Roman" w:cs="Times New Roman"/>
                <w:sz w:val="21"/>
                <w:szCs w:val="21"/>
              </w:rPr>
              <w:t>技术</w:t>
            </w:r>
          </w:p>
          <w:p>
            <w:pPr>
              <w:ind w:firstLine="28"/>
              <w:jc w:val="center"/>
              <w:rPr>
                <w:rFonts w:hint="default" w:ascii="Times New Roman" w:hAnsi="Times New Roman" w:cs="Times New Roman"/>
                <w:sz w:val="21"/>
                <w:szCs w:val="21"/>
              </w:rPr>
            </w:pPr>
            <w:r>
              <w:rPr>
                <w:rFonts w:hint="default" w:ascii="Times New Roman" w:hAnsi="Times New Roman" w:cs="Times New Roman"/>
                <w:sz w:val="21"/>
                <w:szCs w:val="21"/>
              </w:rPr>
              <w:t>人员</w:t>
            </w:r>
          </w:p>
          <w:p>
            <w:pPr>
              <w:ind w:firstLine="28"/>
              <w:jc w:val="center"/>
              <w:rPr>
                <w:rFonts w:hint="default" w:ascii="Times New Roman" w:hAnsi="Times New Roman" w:cs="Times New Roman"/>
                <w:sz w:val="21"/>
                <w:szCs w:val="21"/>
              </w:rPr>
            </w:pPr>
            <w:r>
              <w:rPr>
                <w:rFonts w:hint="default" w:ascii="Times New Roman" w:hAnsi="Times New Roman" w:cs="Times New Roman"/>
                <w:sz w:val="21"/>
                <w:szCs w:val="21"/>
              </w:rPr>
              <w:t>（1</w:t>
            </w:r>
            <w:r>
              <w:rPr>
                <w:rFonts w:hint="eastAsia" w:ascii="Times New Roman" w:hAnsi="Times New Roman" w:cs="Times New Roman"/>
                <w:sz w:val="21"/>
                <w:szCs w:val="21"/>
                <w:lang w:val="en-US" w:eastAsia="zh-CN"/>
              </w:rPr>
              <w:t>0</w:t>
            </w:r>
            <w:r>
              <w:rPr>
                <w:rFonts w:hint="default" w:ascii="Times New Roman" w:hAnsi="Times New Roman" w:cs="Times New Roman"/>
                <w:sz w:val="21"/>
                <w:szCs w:val="21"/>
              </w:rPr>
              <w:t>分）</w:t>
            </w:r>
          </w:p>
        </w:tc>
        <w:tc>
          <w:tcPr>
            <w:tcW w:w="2360" w:type="pct"/>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kern w:val="0"/>
                <w:sz w:val="21"/>
                <w:szCs w:val="21"/>
              </w:rPr>
            </w:pPr>
            <w:r>
              <w:rPr>
                <w:rFonts w:hint="eastAsia" w:ascii="宋体" w:hAnsi="宋体" w:cs="宋体"/>
                <w:kern w:val="0"/>
                <w:sz w:val="21"/>
                <w:szCs w:val="21"/>
              </w:rPr>
              <w:t>供应商拟派本项目的项目负责人</w:t>
            </w:r>
            <w:r>
              <w:rPr>
                <w:rFonts w:hint="eastAsia" w:ascii="宋体" w:hAnsi="宋体"/>
                <w:sz w:val="21"/>
                <w:szCs w:val="21"/>
              </w:rPr>
              <w:t>具有（</w:t>
            </w:r>
            <w:r>
              <w:rPr>
                <w:sz w:val="21"/>
              </w:rPr>
              <w:t>港口与航道工程</w:t>
            </w:r>
            <w:r>
              <w:rPr>
                <w:rFonts w:hint="eastAsia" w:ascii="宋体" w:hAnsi="宋体"/>
                <w:sz w:val="21"/>
                <w:szCs w:val="21"/>
              </w:rPr>
              <w:t>）正高级工程师职称，得</w:t>
            </w:r>
            <w:r>
              <w:rPr>
                <w:rFonts w:hint="eastAsia" w:ascii="宋体" w:hAnsi="宋体"/>
                <w:sz w:val="21"/>
                <w:szCs w:val="21"/>
                <w:lang w:val="en-US" w:eastAsia="zh-CN"/>
              </w:rPr>
              <w:t>4</w:t>
            </w:r>
            <w:r>
              <w:rPr>
                <w:rFonts w:hint="eastAsia" w:ascii="宋体" w:hAnsi="宋体"/>
                <w:sz w:val="21"/>
                <w:szCs w:val="21"/>
              </w:rPr>
              <w:t>分</w:t>
            </w:r>
            <w:r>
              <w:rPr>
                <w:rFonts w:hint="eastAsia" w:ascii="宋体" w:hAnsi="宋体" w:cs="宋体"/>
                <w:kern w:val="0"/>
                <w:sz w:val="21"/>
                <w:szCs w:val="21"/>
              </w:rPr>
              <w:t>。</w:t>
            </w:r>
          </w:p>
          <w:p>
            <w:pPr>
              <w:jc w:val="left"/>
              <w:rPr>
                <w:rFonts w:hint="default" w:ascii="宋体" w:hAnsi="宋体" w:cs="宋体"/>
                <w:kern w:val="0"/>
                <w:sz w:val="21"/>
                <w:szCs w:val="21"/>
              </w:rPr>
            </w:pPr>
            <w:r>
              <w:rPr>
                <w:rFonts w:hint="eastAsia" w:ascii="宋体" w:hAnsi="宋体" w:cs="宋体"/>
                <w:kern w:val="0"/>
                <w:sz w:val="21"/>
                <w:szCs w:val="21"/>
              </w:rPr>
              <w:t>供应商项目组成员（不含项目负责人）中具备</w:t>
            </w:r>
            <w:r>
              <w:rPr>
                <w:rFonts w:hint="eastAsia" w:ascii="宋体" w:hAnsi="宋体"/>
                <w:sz w:val="21"/>
                <w:szCs w:val="21"/>
              </w:rPr>
              <w:t>（水运、港航、交通或信息化相关专业）</w:t>
            </w:r>
            <w:r>
              <w:rPr>
                <w:rFonts w:hint="eastAsia" w:ascii="宋体" w:hAnsi="宋体" w:cs="宋体"/>
                <w:kern w:val="0"/>
                <w:sz w:val="21"/>
                <w:szCs w:val="21"/>
              </w:rPr>
              <w:t>高级工程师资格证书的，每有一人得</w:t>
            </w:r>
            <w:r>
              <w:rPr>
                <w:rFonts w:hint="eastAsia" w:ascii="宋体" w:hAnsi="宋体" w:cs="宋体"/>
                <w:kern w:val="0"/>
                <w:sz w:val="21"/>
                <w:szCs w:val="21"/>
                <w:lang w:val="en-US" w:eastAsia="zh-CN"/>
              </w:rPr>
              <w:t>2</w:t>
            </w:r>
            <w:r>
              <w:rPr>
                <w:rFonts w:hint="eastAsia" w:ascii="宋体" w:hAnsi="宋体" w:cs="宋体"/>
                <w:kern w:val="0"/>
                <w:sz w:val="21"/>
                <w:szCs w:val="21"/>
              </w:rPr>
              <w:t>分，最多得</w:t>
            </w:r>
            <w:r>
              <w:rPr>
                <w:rFonts w:hint="eastAsia" w:ascii="宋体" w:hAnsi="宋体" w:cs="宋体"/>
                <w:kern w:val="0"/>
                <w:sz w:val="21"/>
                <w:szCs w:val="21"/>
                <w:lang w:val="en-US" w:eastAsia="zh-CN"/>
              </w:rPr>
              <w:t>6</w:t>
            </w:r>
            <w:r>
              <w:rPr>
                <w:rFonts w:hint="eastAsia" w:ascii="宋体" w:hAnsi="宋体" w:cs="宋体"/>
                <w:kern w:val="0"/>
                <w:sz w:val="21"/>
                <w:szCs w:val="21"/>
              </w:rPr>
              <w:t>分。</w:t>
            </w:r>
          </w:p>
        </w:tc>
        <w:tc>
          <w:tcPr>
            <w:tcW w:w="1132" w:type="pct"/>
            <w:tcBorders>
              <w:top w:val="single" w:color="auto" w:sz="4" w:space="0"/>
              <w:left w:val="single" w:color="auto" w:sz="4" w:space="0"/>
              <w:bottom w:val="single" w:color="auto" w:sz="4" w:space="0"/>
              <w:right w:val="single" w:color="auto" w:sz="4" w:space="0"/>
            </w:tcBorders>
            <w:noWrap w:val="0"/>
            <w:vAlign w:val="center"/>
          </w:tcPr>
          <w:p>
            <w:pPr>
              <w:ind w:firstLine="28"/>
              <w:jc w:val="left"/>
              <w:rPr>
                <w:rFonts w:hint="default" w:ascii="Times New Roman" w:hAnsi="Times New Roman" w:cs="Times New Roman"/>
                <w:sz w:val="21"/>
                <w:szCs w:val="21"/>
              </w:rPr>
            </w:pPr>
            <w:r>
              <w:rPr>
                <w:rFonts w:hint="default" w:ascii="Times New Roman" w:hAnsi="Times New Roman" w:cs="Times New Roman"/>
                <w:sz w:val="21"/>
                <w:szCs w:val="21"/>
              </w:rPr>
              <w:t>提供相关人员职称证书、资格证书复印件</w:t>
            </w:r>
            <w:r>
              <w:rPr>
                <w:rFonts w:hint="default" w:ascii="Times New Roman" w:hAnsi="Times New Roman" w:cs="Times New Roman"/>
                <w:sz w:val="21"/>
                <w:szCs w:val="21"/>
                <w:lang w:eastAsia="zh-CN"/>
              </w:rPr>
              <w:t>。</w:t>
            </w:r>
            <w:r>
              <w:rPr>
                <w:rFonts w:hint="default" w:ascii="Times New Roman" w:hAnsi="Times New Roman" w:cs="Times New Roman"/>
                <w:sz w:val="21"/>
                <w:szCs w:val="21"/>
              </w:rPr>
              <w:t>投标人202</w:t>
            </w:r>
            <w:r>
              <w:rPr>
                <w:rFonts w:hint="default" w:ascii="Times New Roman" w:hAnsi="Times New Roman" w:cs="Times New Roman"/>
                <w:sz w:val="21"/>
                <w:szCs w:val="21"/>
                <w:lang w:val="en-US" w:eastAsia="zh-CN"/>
              </w:rPr>
              <w:t>5</w:t>
            </w:r>
            <w:r>
              <w:rPr>
                <w:rFonts w:hint="default" w:ascii="Times New Roman" w:hAnsi="Times New Roman" w:cs="Times New Roman"/>
                <w:sz w:val="21"/>
                <w:szCs w:val="21"/>
              </w:rPr>
              <w:t>年任意一月为其缴纳社保证明材料</w:t>
            </w: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聘用人员提供劳务合同，</w:t>
            </w:r>
            <w:r>
              <w:rPr>
                <w:rFonts w:hint="default" w:ascii="Times New Roman" w:hAnsi="Times New Roman" w:cs="Times New Roman"/>
                <w:sz w:val="21"/>
                <w:szCs w:val="21"/>
              </w:rPr>
              <w:t>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 w:type="pct"/>
            <w:vMerge w:val="continue"/>
            <w:tcBorders>
              <w:left w:val="single" w:color="auto" w:sz="4" w:space="0"/>
              <w:right w:val="single" w:color="auto" w:sz="4" w:space="0"/>
            </w:tcBorders>
            <w:noWrap w:val="0"/>
            <w:vAlign w:val="center"/>
          </w:tcPr>
          <w:p>
            <w:pPr>
              <w:ind w:firstLine="28"/>
              <w:jc w:val="center"/>
              <w:rPr>
                <w:rFonts w:hint="default" w:ascii="Times New Roman" w:hAnsi="Times New Roman" w:cs="Times New Roman"/>
                <w:sz w:val="21"/>
                <w:szCs w:val="21"/>
              </w:rPr>
            </w:pPr>
          </w:p>
        </w:tc>
        <w:tc>
          <w:tcPr>
            <w:tcW w:w="515" w:type="pct"/>
            <w:vMerge w:val="continue"/>
            <w:tcBorders>
              <w:left w:val="single" w:color="auto" w:sz="4" w:space="0"/>
              <w:right w:val="single" w:color="auto" w:sz="4" w:space="0"/>
            </w:tcBorders>
            <w:noWrap w:val="0"/>
            <w:vAlign w:val="center"/>
          </w:tcPr>
          <w:p>
            <w:pPr>
              <w:ind w:firstLine="28"/>
              <w:jc w:val="center"/>
              <w:rPr>
                <w:rFonts w:hint="default" w:ascii="Times New Roman" w:hAnsi="Times New Roman" w:cs="Times New Roman"/>
                <w:sz w:val="21"/>
                <w:szCs w:val="21"/>
              </w:rPr>
            </w:pPr>
          </w:p>
        </w:tc>
        <w:tc>
          <w:tcPr>
            <w:tcW w:w="698" w:type="pct"/>
            <w:tcBorders>
              <w:top w:val="single" w:color="auto" w:sz="4" w:space="0"/>
              <w:left w:val="single" w:color="auto" w:sz="4" w:space="0"/>
              <w:bottom w:val="single" w:color="auto" w:sz="4" w:space="0"/>
              <w:right w:val="single" w:color="auto" w:sz="4" w:space="0"/>
            </w:tcBorders>
            <w:noWrap w:val="0"/>
            <w:vAlign w:val="center"/>
          </w:tcPr>
          <w:p>
            <w:pPr>
              <w:ind w:firstLine="28"/>
              <w:jc w:val="center"/>
              <w:rPr>
                <w:rFonts w:hint="default" w:ascii="Times New Roman" w:hAnsi="Times New Roman" w:cs="Times New Roman"/>
              </w:rPr>
            </w:pPr>
            <w:r>
              <w:rPr>
                <w:rFonts w:hint="eastAsia" w:ascii="Times New Roman" w:hAnsi="Times New Roman" w:cs="Times New Roman"/>
                <w:sz w:val="21"/>
                <w:szCs w:val="21"/>
                <w:lang w:val="en-US" w:eastAsia="zh-CN"/>
              </w:rPr>
              <w:t>供应商</w:t>
            </w:r>
            <w:r>
              <w:rPr>
                <w:rFonts w:hint="default" w:ascii="Times New Roman" w:hAnsi="Times New Roman" w:cs="Times New Roman"/>
                <w:sz w:val="21"/>
                <w:szCs w:val="21"/>
              </w:rPr>
              <w:t>业绩</w:t>
            </w:r>
          </w:p>
          <w:p>
            <w:pPr>
              <w:pStyle w:val="37"/>
              <w:rPr>
                <w:rFonts w:hint="default" w:ascii="Times New Roman" w:hAnsi="Times New Roman" w:cs="Times New Roman"/>
                <w:sz w:val="21"/>
                <w:szCs w:val="21"/>
              </w:rPr>
            </w:pPr>
            <w:r>
              <w:rPr>
                <w:rFonts w:hint="default" w:ascii="Times New Roman" w:hAnsi="Times New Roman" w:cs="Times New Roman"/>
                <w:sz w:val="21"/>
                <w:szCs w:val="21"/>
              </w:rPr>
              <w:t>（</w:t>
            </w:r>
            <w:r>
              <w:rPr>
                <w:rFonts w:hint="eastAsia" w:cs="Times New Roman"/>
                <w:sz w:val="21"/>
                <w:szCs w:val="21"/>
                <w:lang w:val="en-US" w:eastAsia="zh-CN"/>
              </w:rPr>
              <w:t>2</w:t>
            </w:r>
            <w:r>
              <w:rPr>
                <w:rFonts w:hint="eastAsia" w:ascii="Times New Roman" w:hAnsi="Times New Roman" w:cs="Times New Roman"/>
                <w:sz w:val="21"/>
                <w:szCs w:val="21"/>
                <w:lang w:val="en-US" w:eastAsia="zh-CN"/>
              </w:rPr>
              <w:t>0</w:t>
            </w:r>
            <w:r>
              <w:rPr>
                <w:rFonts w:hint="default" w:ascii="Times New Roman" w:hAnsi="Times New Roman" w:cs="Times New Roman"/>
                <w:sz w:val="21"/>
                <w:szCs w:val="21"/>
              </w:rPr>
              <w:t>分）</w:t>
            </w:r>
          </w:p>
        </w:tc>
        <w:tc>
          <w:tcPr>
            <w:tcW w:w="2360" w:type="pct"/>
            <w:tcBorders>
              <w:top w:val="single" w:color="auto" w:sz="4" w:space="0"/>
              <w:left w:val="single" w:color="auto" w:sz="4" w:space="0"/>
              <w:bottom w:val="single" w:color="auto" w:sz="4" w:space="0"/>
              <w:right w:val="single" w:color="auto" w:sz="4" w:space="0"/>
            </w:tcBorders>
            <w:noWrap w:val="0"/>
            <w:vAlign w:val="center"/>
          </w:tcPr>
          <w:p>
            <w:pPr>
              <w:ind w:firstLine="28"/>
              <w:jc w:val="left"/>
              <w:rPr>
                <w:rFonts w:hint="default" w:ascii="Times New Roman" w:hAnsi="Times New Roman" w:cs="Times New Roman"/>
                <w:sz w:val="21"/>
                <w:szCs w:val="21"/>
              </w:rPr>
            </w:pPr>
            <w:r>
              <w:rPr>
                <w:rFonts w:hint="default" w:ascii="Times New Roman" w:hAnsi="Times New Roman" w:cs="Times New Roman"/>
                <w:sz w:val="21"/>
                <w:szCs w:val="21"/>
                <w:lang w:val="en-US" w:eastAsia="zh-CN"/>
              </w:rPr>
              <w:t>投标人近</w:t>
            </w:r>
            <w:r>
              <w:rPr>
                <w:rFonts w:hint="eastAsia" w:cs="Times New Roman"/>
                <w:sz w:val="21"/>
                <w:szCs w:val="21"/>
                <w:lang w:val="en-US" w:eastAsia="zh-CN"/>
              </w:rPr>
              <w:t>五</w:t>
            </w:r>
            <w:r>
              <w:rPr>
                <w:rFonts w:hint="default" w:ascii="Times New Roman" w:hAnsi="Times New Roman" w:cs="Times New Roman"/>
                <w:sz w:val="21"/>
                <w:szCs w:val="21"/>
                <w:lang w:val="en-US" w:eastAsia="zh-CN"/>
              </w:rPr>
              <w:t>年具有一个类似项目业绩的得5分，每增加一个加5分，本项最多得</w:t>
            </w:r>
            <w:r>
              <w:rPr>
                <w:rFonts w:hint="eastAsia" w:cs="Times New Roman"/>
                <w:sz w:val="21"/>
                <w:szCs w:val="21"/>
                <w:lang w:val="en-US" w:eastAsia="zh-CN"/>
              </w:rPr>
              <w:t>2</w:t>
            </w:r>
            <w:r>
              <w:rPr>
                <w:rFonts w:hint="default" w:ascii="Times New Roman" w:hAnsi="Times New Roman" w:cs="Times New Roman"/>
                <w:sz w:val="21"/>
                <w:szCs w:val="21"/>
                <w:lang w:val="en-US" w:eastAsia="zh-CN"/>
              </w:rPr>
              <w:t>0分。类似业绩指:</w:t>
            </w:r>
            <w:r>
              <w:rPr>
                <w:rFonts w:hint="eastAsia" w:cs="Times New Roman"/>
                <w:sz w:val="21"/>
                <w:szCs w:val="21"/>
                <w:lang w:val="en-US" w:eastAsia="zh-CN"/>
              </w:rPr>
              <w:t>包含水运港口数智化、</w:t>
            </w:r>
            <w:r>
              <w:rPr>
                <w:rFonts w:hint="default" w:ascii="Times New Roman" w:hAnsi="Times New Roman" w:cs="Times New Roman"/>
                <w:sz w:val="21"/>
                <w:szCs w:val="21"/>
                <w:lang w:val="en-US" w:eastAsia="zh-CN"/>
              </w:rPr>
              <w:t>数字航道建设、电子航道图等</w:t>
            </w:r>
            <w:r>
              <w:rPr>
                <w:rFonts w:hint="eastAsia" w:cs="Times New Roman"/>
                <w:sz w:val="21"/>
                <w:szCs w:val="21"/>
                <w:lang w:val="en-US" w:eastAsia="zh-CN"/>
              </w:rPr>
              <w:t>港口或</w:t>
            </w:r>
            <w:r>
              <w:rPr>
                <w:rFonts w:hint="default" w:ascii="Times New Roman" w:hAnsi="Times New Roman" w:cs="Times New Roman"/>
                <w:sz w:val="21"/>
                <w:szCs w:val="21"/>
                <w:lang w:val="en-US" w:eastAsia="zh-CN"/>
              </w:rPr>
              <w:t>航道信息化建设项目。</w:t>
            </w:r>
          </w:p>
        </w:tc>
        <w:tc>
          <w:tcPr>
            <w:tcW w:w="1132" w:type="pct"/>
            <w:tcBorders>
              <w:top w:val="single" w:color="auto" w:sz="4" w:space="0"/>
              <w:left w:val="single" w:color="auto" w:sz="4" w:space="0"/>
              <w:bottom w:val="single" w:color="auto" w:sz="4" w:space="0"/>
              <w:right w:val="single" w:color="auto" w:sz="4" w:space="0"/>
            </w:tcBorders>
            <w:noWrap w:val="0"/>
            <w:vAlign w:val="center"/>
          </w:tcPr>
          <w:p>
            <w:pPr>
              <w:ind w:firstLine="28"/>
              <w:jc w:val="left"/>
              <w:rPr>
                <w:rFonts w:hint="default" w:ascii="Times New Roman" w:hAnsi="Times New Roman" w:cs="Times New Roman"/>
                <w:sz w:val="21"/>
                <w:szCs w:val="21"/>
              </w:rPr>
            </w:pPr>
            <w:r>
              <w:rPr>
                <w:rFonts w:hint="default" w:ascii="Times New Roman" w:hAnsi="Times New Roman" w:cs="Times New Roman"/>
                <w:sz w:val="21"/>
                <w:szCs w:val="21"/>
              </w:rPr>
              <w:t>提供合同关键页复印件，加盖投标人公章。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Borders>
              <w:left w:val="single" w:color="auto" w:sz="4" w:space="0"/>
              <w:right w:val="single" w:color="auto" w:sz="4" w:space="0"/>
            </w:tcBorders>
            <w:noWrap w:val="0"/>
            <w:vAlign w:val="center"/>
          </w:tcPr>
          <w:p>
            <w:pPr>
              <w:ind w:firstLine="28"/>
              <w:jc w:val="left"/>
              <w:rPr>
                <w:rFonts w:hint="default" w:ascii="Times New Roman" w:hAnsi="Times New Roman" w:cs="Times New Roman"/>
                <w:sz w:val="21"/>
                <w:szCs w:val="21"/>
              </w:rPr>
            </w:pPr>
            <w:r>
              <w:rPr>
                <w:rFonts w:hint="default" w:ascii="Times New Roman" w:hAnsi="Times New Roman" w:eastAsia="方正仿宋_GBK" w:cs="Times New Roman"/>
                <w:sz w:val="24"/>
                <w:szCs w:val="24"/>
                <w:lang w:eastAsia="zh-CN"/>
              </w:rPr>
              <w:t>注：当商务部分得分差异较大（有效供应商商务部分平均得分不足最高得分的</w:t>
            </w:r>
            <w:r>
              <w:rPr>
                <w:rFonts w:hint="default" w:ascii="Times New Roman" w:hAnsi="Times New Roman" w:eastAsia="方正仿宋_GBK" w:cs="Times New Roman"/>
                <w:sz w:val="24"/>
                <w:szCs w:val="24"/>
                <w:lang w:val="en-US" w:eastAsia="zh-CN"/>
              </w:rPr>
              <w:t>50%时</w:t>
            </w:r>
            <w:r>
              <w:rPr>
                <w:rFonts w:hint="default" w:ascii="Times New Roman" w:hAnsi="Times New Roman" w:eastAsia="方正仿宋_GBK" w:cs="Times New Roman"/>
                <w:sz w:val="24"/>
                <w:szCs w:val="24"/>
                <w:lang w:eastAsia="zh-CN"/>
              </w:rPr>
              <w:t>），评审小组经分析认为本次项目竞标明显缺乏竞争的，可以说明原因并按非标进行处置。由采购人或代理机构发布项目终止公告，重新开展采购活动。</w:t>
            </w:r>
          </w:p>
        </w:tc>
      </w:tr>
    </w:tbl>
    <w:p>
      <w:pPr>
        <w:rPr>
          <w:rFonts w:hint="default" w:ascii="Times New Roman" w:hAnsi="Times New Roman" w:cs="Times New Roman"/>
        </w:rPr>
      </w:pPr>
    </w:p>
    <w:p>
      <w:pPr>
        <w:pStyle w:val="3"/>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76" w:name="_Toc106030890"/>
      <w:bookmarkStart w:id="77" w:name="_Toc76462335"/>
      <w:r>
        <w:rPr>
          <w:rFonts w:hint="default" w:ascii="Times New Roman" w:hAnsi="Times New Roman" w:eastAsia="方正仿宋_GBK" w:cs="Times New Roman"/>
          <w:sz w:val="24"/>
        </w:rPr>
        <w:t>三、无效响应</w:t>
      </w:r>
      <w:bookmarkEnd w:id="76"/>
      <w:bookmarkEnd w:id="77"/>
    </w:p>
    <w:p>
      <w:pPr>
        <w:snapToGrid w:val="0"/>
        <w:spacing w:line="400" w:lineRule="exact"/>
        <w:ind w:firstLine="465"/>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供应商发生以下条款情况之一者，视为无效响应，其响应文件将被拒绝：</w:t>
      </w:r>
    </w:p>
    <w:p>
      <w:pPr>
        <w:snapToGrid w:val="0"/>
        <w:spacing w:line="400" w:lineRule="exact"/>
        <w:ind w:firstLine="465"/>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（一）供应商不符合规定的资格条件的；</w:t>
      </w:r>
    </w:p>
    <w:p>
      <w:pPr>
        <w:snapToGrid w:val="0"/>
        <w:spacing w:line="400" w:lineRule="exact"/>
        <w:ind w:firstLine="465"/>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（二）供应商的法定代表人（或其授权代表）或自然人未参加磋商；</w:t>
      </w:r>
    </w:p>
    <w:p>
      <w:pPr>
        <w:snapToGrid w:val="0"/>
        <w:spacing w:line="400" w:lineRule="exact"/>
        <w:ind w:firstLine="465"/>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（三）供应商所提交的响应文件不按“第七篇响应文件编制要求”要求签署或盖章；</w:t>
      </w:r>
    </w:p>
    <w:p>
      <w:pPr>
        <w:snapToGrid w:val="0"/>
        <w:spacing w:line="400" w:lineRule="exact"/>
        <w:ind w:firstLine="465"/>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（四）供应商的最后报价超过采购预算或最高限价的；</w:t>
      </w:r>
    </w:p>
    <w:p>
      <w:pPr>
        <w:snapToGrid w:val="0"/>
        <w:spacing w:line="400" w:lineRule="exact"/>
        <w:ind w:firstLine="465"/>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（五）法定代表人为同一个人的两个及两个以上法人，母公司、全资子公司及其控股公司，在同一包采购中同时参与竞争；</w:t>
      </w:r>
    </w:p>
    <w:p>
      <w:pPr>
        <w:snapToGrid w:val="0"/>
        <w:spacing w:line="400" w:lineRule="exact"/>
        <w:ind w:firstLine="465"/>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（六）单位负责人为同一人或者存在直接控股、管理关系的不同供应商，参加同一合同项下的政府采购活动的；</w:t>
      </w:r>
    </w:p>
    <w:p>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七</w:t>
      </w:r>
      <w:r>
        <w:rPr>
          <w:rFonts w:hint="default" w:ascii="Times New Roman" w:hAnsi="Times New Roman" w:eastAsia="方正仿宋_GBK" w:cs="Times New Roman"/>
          <w:sz w:val="24"/>
          <w:szCs w:val="24"/>
        </w:rPr>
        <w:t>）供应商限额以下磋商评分有效期不满足采购文件要求的；</w:t>
      </w:r>
    </w:p>
    <w:p>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八</w:t>
      </w:r>
      <w:r>
        <w:rPr>
          <w:rFonts w:hint="default" w:ascii="Times New Roman" w:hAnsi="Times New Roman" w:eastAsia="方正仿宋_GBK" w:cs="Times New Roman"/>
          <w:sz w:val="24"/>
          <w:szCs w:val="24"/>
        </w:rPr>
        <w:t>）供应商响应文件内容有与国家现行法律法规相违背的内容，或附有采购人无法接受的条件；</w:t>
      </w:r>
    </w:p>
    <w:p>
      <w:pPr>
        <w:snapToGrid w:val="0"/>
        <w:spacing w:line="400" w:lineRule="exact"/>
        <w:ind w:firstLine="465"/>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九</w:t>
      </w:r>
      <w:r>
        <w:rPr>
          <w:rFonts w:hint="default" w:ascii="Times New Roman" w:hAnsi="Times New Roman" w:eastAsia="方正仿宋_GBK" w:cs="Times New Roman"/>
          <w:sz w:val="24"/>
          <w:szCs w:val="24"/>
        </w:rPr>
        <w:t>）法律、法规和采购文件规定的其他无效情形。</w:t>
      </w:r>
    </w:p>
    <w:p>
      <w:pPr>
        <w:pStyle w:val="3"/>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78" w:name="_Toc106030891"/>
      <w:bookmarkStart w:id="79" w:name="_Toc76462336"/>
      <w:r>
        <w:rPr>
          <w:rFonts w:hint="default" w:ascii="Times New Roman" w:hAnsi="Times New Roman" w:eastAsia="方正仿宋_GBK" w:cs="Times New Roman"/>
          <w:sz w:val="24"/>
        </w:rPr>
        <w:t>四、</w:t>
      </w:r>
      <w:bookmarkEnd w:id="74"/>
      <w:bookmarkEnd w:id="75"/>
      <w:r>
        <w:rPr>
          <w:rFonts w:hint="default" w:ascii="Times New Roman" w:hAnsi="Times New Roman" w:eastAsia="方正仿宋_GBK" w:cs="Times New Roman"/>
          <w:sz w:val="24"/>
        </w:rPr>
        <w:t>采购终止</w:t>
      </w:r>
      <w:bookmarkEnd w:id="78"/>
      <w:bookmarkEnd w:id="79"/>
    </w:p>
    <w:p>
      <w:pPr>
        <w:snapToGrid w:val="0"/>
        <w:spacing w:line="400" w:lineRule="exact"/>
        <w:ind w:firstLine="465"/>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出现下列情形之一的，采购人或者采购代理机构应当终止采购活动，发布项目终止公告并说明原因，重新开展采购活动：</w:t>
      </w:r>
    </w:p>
    <w:p>
      <w:pPr>
        <w:snapToGrid w:val="0"/>
        <w:spacing w:line="400" w:lineRule="exact"/>
        <w:ind w:firstLine="465"/>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（一）因情况变化，不再符合规定的限额以下磋商评分采购方式适用情形的；</w:t>
      </w:r>
    </w:p>
    <w:p>
      <w:pPr>
        <w:snapToGrid w:val="0"/>
        <w:spacing w:line="400" w:lineRule="exact"/>
        <w:ind w:firstLine="465"/>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（二）出现影响采购公正的违法、违规行为的；</w:t>
      </w:r>
    </w:p>
    <w:p>
      <w:pPr>
        <w:snapToGrid w:val="0"/>
        <w:spacing w:line="400" w:lineRule="exact"/>
        <w:ind w:firstLine="465"/>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项目首次采购过程中，符合竞争要求的供应商或者报价未超过采购预算的供应商不足3家的。但重新采购的供应商仍然少于三个的，按照本采购文件规定的标准、程序开标和评标，经评审有有效供应商的，应当确定成交供应商。</w:t>
      </w:r>
    </w:p>
    <w:p>
      <w:pPr>
        <w:spacing w:line="400" w:lineRule="exact"/>
        <w:ind w:firstLine="480" w:firstLineChars="200"/>
        <w:rPr>
          <w:rFonts w:hint="default" w:ascii="Times New Roman" w:hAnsi="Times New Roman" w:cs="Times New Roman"/>
          <w:sz w:val="24"/>
          <w:szCs w:val="24"/>
        </w:rPr>
        <w:sectPr>
          <w:footerReference r:id="rId15" w:type="default"/>
          <w:pgSz w:w="11907" w:h="16840"/>
          <w:pgMar w:top="1134" w:right="1191" w:bottom="1134" w:left="1304" w:header="964" w:footer="992" w:gutter="0"/>
          <w:pgNumType w:fmt="numberInDash"/>
          <w:cols w:space="720" w:num="1"/>
          <w:docGrid w:linePitch="312" w:charSpace="0"/>
        </w:sectPr>
      </w:pPr>
    </w:p>
    <w:p>
      <w:pPr>
        <w:pStyle w:val="3"/>
        <w:pageBreakBefore/>
        <w:spacing w:before="0" w:after="0" w:line="360" w:lineRule="auto"/>
        <w:jc w:val="center"/>
        <w:rPr>
          <w:rFonts w:hint="default" w:ascii="Times New Roman" w:hAnsi="Times New Roman" w:eastAsia="方正小标宋_GBK" w:cs="Times New Roman"/>
          <w:b w:val="0"/>
          <w:bCs/>
          <w:sz w:val="36"/>
          <w:szCs w:val="30"/>
        </w:rPr>
      </w:pPr>
      <w:bookmarkStart w:id="80" w:name="_Toc106030892"/>
      <w:bookmarkStart w:id="81" w:name="_Toc102227313"/>
      <w:bookmarkStart w:id="82" w:name="_Toc76462337"/>
      <w:r>
        <w:rPr>
          <w:rFonts w:hint="default" w:ascii="Times New Roman" w:hAnsi="Times New Roman" w:eastAsia="方正小标宋_GBK" w:cs="Times New Roman"/>
          <w:b w:val="0"/>
          <w:bCs/>
          <w:sz w:val="36"/>
          <w:szCs w:val="30"/>
        </w:rPr>
        <w:t>第五篇  供应商须知</w:t>
      </w:r>
      <w:bookmarkEnd w:id="80"/>
      <w:bookmarkEnd w:id="81"/>
      <w:bookmarkEnd w:id="82"/>
    </w:p>
    <w:p>
      <w:pPr>
        <w:pStyle w:val="3"/>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83" w:name="_Toc106030893"/>
      <w:bookmarkStart w:id="84" w:name="_Toc76462338"/>
      <w:bookmarkStart w:id="85" w:name="_Toc342913389"/>
      <w:r>
        <w:rPr>
          <w:rFonts w:hint="default" w:ascii="Times New Roman" w:hAnsi="Times New Roman" w:eastAsia="方正仿宋_GBK" w:cs="Times New Roman"/>
          <w:sz w:val="24"/>
        </w:rPr>
        <w:t>一、限额以下磋商评分费用</w:t>
      </w:r>
      <w:bookmarkEnd w:id="83"/>
      <w:bookmarkEnd w:id="84"/>
      <w:bookmarkEnd w:id="85"/>
    </w:p>
    <w:p>
      <w:pPr>
        <w:pStyle w:val="142"/>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参与竞争的供应商应承担其编制响应文件与递交响应文件所涉及的一切费用，不论结果如何，采购人和采购代理机构在任何情况下无义务也无责任承担这些费用。</w:t>
      </w:r>
    </w:p>
    <w:p>
      <w:pPr>
        <w:pStyle w:val="3"/>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86" w:name="_Toc342913391"/>
      <w:bookmarkStart w:id="87" w:name="_Toc106030894"/>
      <w:bookmarkStart w:id="88" w:name="_Toc76462339"/>
      <w:r>
        <w:rPr>
          <w:rFonts w:hint="default" w:ascii="Times New Roman" w:hAnsi="Times New Roman" w:eastAsia="方正仿宋_GBK" w:cs="Times New Roman"/>
          <w:sz w:val="24"/>
        </w:rPr>
        <w:t>二、限额以下磋商评分文件</w:t>
      </w:r>
      <w:bookmarkEnd w:id="86"/>
      <w:bookmarkEnd w:id="87"/>
      <w:bookmarkEnd w:id="88"/>
    </w:p>
    <w:p>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（一）限额以下磋商评分文件由采购邀请书、项目服务需求、项目商务需求、评分程序及方法、评审标准、无效响应和采购终止、供应商须知、政府采购合同</w:t>
      </w:r>
      <w:r>
        <w:rPr>
          <w:rFonts w:hint="default" w:ascii="Times New Roman" w:hAnsi="Times New Roman" w:eastAsia="方正仿宋_GBK" w:cs="Times New Roman"/>
          <w:b/>
          <w:sz w:val="24"/>
          <w:szCs w:val="24"/>
        </w:rPr>
        <w:t>、</w:t>
      </w:r>
      <w:r>
        <w:rPr>
          <w:rFonts w:hint="default" w:ascii="Times New Roman" w:hAnsi="Times New Roman" w:eastAsia="方正仿宋_GBK" w:cs="Times New Roman"/>
          <w:sz w:val="24"/>
          <w:szCs w:val="24"/>
        </w:rPr>
        <w:t>响应文件编制要求七部分组成。</w:t>
      </w:r>
    </w:p>
    <w:p>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（二）采购人（或采购代理机构）所作的一切有效的书面通知、修改及补充，都是采购文件不可分割的部分。</w:t>
      </w:r>
    </w:p>
    <w:p>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（三）限额以下磋商评分文件的解释</w:t>
      </w: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如对限额以下磋商评分文件有疑问，必须以书面形式在提交响应文件截止时间前向采购人（或采购代理机构）要求澄清，采购人（或采购代理机构）可视具体情况做出处理或答复。如供应商未提出疑问，视为完全理解并同意本限额以下磋商评分文件。一经进入评审程序，即视为供应商已详细阅读全部文件资料，完全理解限额以下磋商评分文件所有条款内容并同意放弃对这方面有不明白及误解的权利。</w:t>
      </w:r>
      <w:bookmarkStart w:id="89" w:name="_Toc318159160"/>
      <w:bookmarkStart w:id="90" w:name="_Toc318166429"/>
      <w:bookmarkStart w:id="91" w:name="_Toc318159780"/>
      <w:bookmarkStart w:id="92" w:name="_Toc318159349"/>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（四）本限额以下磋商评分文件中，评审小组根据与供应商进行磋商可能实质性变动的内容为限额以下磋商评分文件第二、三、六篇全部内容。</w:t>
      </w: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（五）评审的依据为限额以下磋商评分文件和响应文件（含有效的书面承诺）。评审小组判断响应文件对限额以下磋商评分文件的响应，仅基于响应文件本身而不靠外部证据。</w:t>
      </w:r>
    </w:p>
    <w:bookmarkEnd w:id="89"/>
    <w:bookmarkEnd w:id="90"/>
    <w:bookmarkEnd w:id="91"/>
    <w:bookmarkEnd w:id="92"/>
    <w:p>
      <w:pPr>
        <w:pStyle w:val="3"/>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93" w:name="_Toc102227318"/>
      <w:bookmarkStart w:id="94" w:name="_Toc342913392"/>
      <w:bookmarkStart w:id="95" w:name="_Toc76462340"/>
      <w:bookmarkStart w:id="96" w:name="_Toc106030895"/>
      <w:bookmarkStart w:id="97" w:name="_Toc179714297"/>
      <w:r>
        <w:rPr>
          <w:rFonts w:hint="default" w:ascii="Times New Roman" w:hAnsi="Times New Roman" w:eastAsia="方正仿宋_GBK" w:cs="Times New Roman"/>
          <w:sz w:val="24"/>
        </w:rPr>
        <w:t>三、限额以下磋商评分要求</w:t>
      </w:r>
      <w:bookmarkEnd w:id="93"/>
      <w:bookmarkEnd w:id="94"/>
      <w:bookmarkEnd w:id="95"/>
      <w:bookmarkEnd w:id="96"/>
      <w:bookmarkEnd w:id="97"/>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（一）响应文件</w:t>
      </w: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1.供应商应当按照采购文件的要求编制响应文件，并对采购文件提出的要求和条件作出实质性响应，响应文件原则上应装订成册提交，同时应编制完整的页码、目录。</w:t>
      </w: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2.响应文件组成</w:t>
      </w: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（二）联合体</w:t>
      </w: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本项目不接受联合体参与磋商。</w:t>
      </w: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（三）限额以下磋商评分有效期：响应文件及有关承诺文件有效期为提交响应文件截止时间起90天。</w:t>
      </w: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（四）修正错误</w:t>
      </w: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1.若供应商所递交的响应文件或最后报价中的价格出现大写金额和小写金额不一致的错误，以大写金额修正为准。</w:t>
      </w: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2.评审小组按上述修正错误的原则及方法修正供应商的报价，供应商同意并签字确认后，修正后的报价对供应商具有约束作用。如果供应商不接受修正后的价格，将失去成为成交供应商的资格。</w:t>
      </w:r>
    </w:p>
    <w:p>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（五）提交响应文件的份数和签署</w:t>
      </w:r>
    </w:p>
    <w:p>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1.响应文件一式二份，其中正本一份，副本一份，副本可为正本的复印件，应与正本一致，如出现不一致情况以正本为准。</w:t>
      </w:r>
    </w:p>
    <w:p>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r>
        <w:rPr>
          <w:rFonts w:hint="default" w:ascii="Times New Roman" w:hAnsi="Times New Roman" w:eastAsia="方正仿宋_GBK" w:cs="Times New Roman"/>
          <w:sz w:val="24"/>
        </w:rPr>
        <w:t>响应文件按采购文件“第七篇响应文件编制要求”要求签署或盖章。</w:t>
      </w:r>
    </w:p>
    <w:p>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（六）响应文件的递交</w:t>
      </w:r>
    </w:p>
    <w:p>
      <w:pPr>
        <w:pStyle w:val="30"/>
        <w:spacing w:line="4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响应文件的正本、副本均应密封送达限额以下磋商评分地点，应在封套上注明限额以下磋商评分项目名称、供应商名称。若正本、副本分别进行密封的，还应在封套上注明“正本”、“副本”字样。</w:t>
      </w:r>
    </w:p>
    <w:p>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（七）供应商参与人员</w:t>
      </w:r>
    </w:p>
    <w:p>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各个供应商应当派1-2名代表参与磋商，至少1人应为法定代表人（或其授权代表）或自然人（供应商为自然人）。</w:t>
      </w:r>
    </w:p>
    <w:p>
      <w:pPr>
        <w:pStyle w:val="3"/>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98" w:name="_Toc76462341"/>
      <w:bookmarkStart w:id="99" w:name="_Toc106030896"/>
      <w:r>
        <w:rPr>
          <w:rFonts w:hint="default" w:ascii="Times New Roman" w:hAnsi="Times New Roman" w:eastAsia="方正仿宋_GBK" w:cs="Times New Roman"/>
          <w:sz w:val="24"/>
        </w:rPr>
        <w:t>四、成交供应商的确认和变更</w:t>
      </w:r>
      <w:bookmarkEnd w:id="98"/>
      <w:bookmarkEnd w:id="99"/>
    </w:p>
    <w:p>
      <w:pPr>
        <w:snapToGrid w:val="0"/>
        <w:spacing w:line="400" w:lineRule="exact"/>
        <w:ind w:firstLine="480" w:firstLineChars="200"/>
        <w:outlineLvl w:val="2"/>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（一）成交供应商的确认</w:t>
      </w:r>
    </w:p>
    <w:p>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采购结果应当在评审结束后5个工作日内发布。采购人应当从评审结论意见提出的成交候选供应商中，按照排序由高到低的原则确定成交供应商。采购人逾期未确定成交供应商且不提出异议的，视为确定评审结论意见提出的排序第一的供应商为成交供应商。</w:t>
      </w:r>
    </w:p>
    <w:p>
      <w:pPr>
        <w:snapToGrid w:val="0"/>
        <w:spacing w:line="400" w:lineRule="exact"/>
        <w:ind w:firstLine="480" w:firstLineChars="200"/>
        <w:outlineLvl w:val="2"/>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（二）成交供应商的变更</w:t>
      </w:r>
    </w:p>
    <w:p>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成交供应商拒绝与采购人签订合同的，采购人可以按照评审意见推荐的成交候选供应商顺序，确定排名下一位的候选人为成交供应商，也可以重新开展政府采购活动。</w:t>
      </w:r>
    </w:p>
    <w:p>
      <w:pPr>
        <w:pStyle w:val="3"/>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100" w:name="_Toc102227321"/>
      <w:bookmarkStart w:id="101" w:name="_Toc342913395"/>
      <w:bookmarkStart w:id="102" w:name="_Toc106030897"/>
      <w:bookmarkStart w:id="103" w:name="_Toc76462342"/>
      <w:r>
        <w:rPr>
          <w:rFonts w:hint="default" w:ascii="Times New Roman" w:hAnsi="Times New Roman" w:eastAsia="方正仿宋_GBK" w:cs="Times New Roman"/>
          <w:sz w:val="24"/>
        </w:rPr>
        <w:t>五、成交通知</w:t>
      </w:r>
      <w:bookmarkEnd w:id="100"/>
      <w:bookmarkEnd w:id="101"/>
      <w:bookmarkEnd w:id="102"/>
      <w:bookmarkEnd w:id="103"/>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（一）成交供应商确定后，采购代理机构将在重庆市</w:t>
      </w:r>
      <w:r>
        <w:rPr>
          <w:rFonts w:hint="default" w:ascii="Times New Roman" w:hAnsi="Times New Roman" w:eastAsia="方正仿宋_GBK" w:cs="Times New Roman"/>
          <w:sz w:val="24"/>
          <w:szCs w:val="24"/>
          <w:lang w:eastAsia="zh-CN"/>
        </w:rPr>
        <w:t>交通运输委</w:t>
      </w:r>
      <w:r>
        <w:rPr>
          <w:rFonts w:hint="default" w:ascii="Times New Roman" w:hAnsi="Times New Roman" w:eastAsia="方正仿宋_GBK" w:cs="Times New Roman"/>
          <w:sz w:val="24"/>
          <w:szCs w:val="24"/>
        </w:rPr>
        <w:t>官网上发布成交结果公告。</w:t>
      </w: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二</w:t>
      </w:r>
      <w:r>
        <w:rPr>
          <w:rFonts w:hint="default" w:ascii="Times New Roman" w:hAnsi="Times New Roman" w:eastAsia="方正仿宋_GBK" w:cs="Times New Roman"/>
          <w:sz w:val="24"/>
          <w:szCs w:val="24"/>
        </w:rPr>
        <w:t>）成交结果公告将作为签订合同的依据。</w:t>
      </w:r>
    </w:p>
    <w:p>
      <w:pPr>
        <w:pStyle w:val="3"/>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104" w:name="_Toc106030898"/>
      <w:bookmarkStart w:id="105" w:name="_Toc76462343"/>
      <w:r>
        <w:rPr>
          <w:rFonts w:hint="default" w:ascii="Times New Roman" w:hAnsi="Times New Roman" w:eastAsia="方正仿宋_GBK" w:cs="Times New Roman"/>
          <w:sz w:val="24"/>
        </w:rPr>
        <w:t>六、关于质疑和投诉</w:t>
      </w:r>
      <w:bookmarkEnd w:id="104"/>
      <w:bookmarkEnd w:id="105"/>
    </w:p>
    <w:p>
      <w:pPr>
        <w:spacing w:line="400" w:lineRule="exact"/>
        <w:ind w:firstLine="480" w:firstLineChars="200"/>
        <w:outlineLvl w:val="2"/>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（一）质疑</w:t>
      </w: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供应商认为采购文件、采购过程和成交结果使自己的权益</w:t>
      </w:r>
      <w:r>
        <w:rPr>
          <w:rFonts w:hint="eastAsia" w:eastAsia="方正仿宋_GBK" w:cs="Times New Roman"/>
          <w:sz w:val="24"/>
          <w:szCs w:val="24"/>
          <w:lang w:eastAsia="zh-CN"/>
        </w:rPr>
        <w:t>受到</w:t>
      </w:r>
      <w:r>
        <w:rPr>
          <w:rFonts w:hint="default" w:ascii="Times New Roman" w:hAnsi="Times New Roman" w:eastAsia="方正仿宋_GBK" w:cs="Times New Roman"/>
          <w:sz w:val="24"/>
          <w:szCs w:val="24"/>
        </w:rPr>
        <w:t>伤害的，可向采购人或采购代理机构以书面形式提出质疑。</w:t>
      </w: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提出质疑的应当是参与所质疑项目采购活动的供应商。 </w:t>
      </w:r>
    </w:p>
    <w:p>
      <w:pPr>
        <w:spacing w:line="400" w:lineRule="exact"/>
        <w:ind w:right="12" w:firstLine="480"/>
        <w:outlineLvl w:val="2"/>
        <w:rPr>
          <w:rFonts w:hint="default" w:ascii="Times New Roman" w:hAnsi="Times New Roman" w:eastAsia="方正仿宋_GBK" w:cs="Times New Roman"/>
          <w:sz w:val="24"/>
        </w:rPr>
      </w:pPr>
      <w:r>
        <w:rPr>
          <w:rFonts w:hint="default" w:ascii="Times New Roman" w:hAnsi="Times New Roman" w:eastAsia="方正仿宋_GBK" w:cs="Times New Roman"/>
          <w:sz w:val="24"/>
        </w:rPr>
        <w:t>1.质疑时限、内容</w:t>
      </w:r>
    </w:p>
    <w:p>
      <w:pPr>
        <w:spacing w:line="400" w:lineRule="exact"/>
        <w:ind w:right="12" w:firstLine="480"/>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供应商认为采购文件、采购过程、成交结果使自己的权益受到损害的，可以在知道或者应知其权益受到损害之日起7个工作日内，以书面形式向采购人、采购代理机构提出质疑。</w:t>
      </w:r>
    </w:p>
    <w:p>
      <w:pPr>
        <w:spacing w:line="400" w:lineRule="exact"/>
        <w:ind w:right="12" w:firstLine="480"/>
        <w:rPr>
          <w:rFonts w:hint="default" w:ascii="Times New Roman" w:hAnsi="Times New Roman" w:eastAsia="方正仿宋_GBK" w:cs="Times New Roman"/>
          <w:sz w:val="24"/>
        </w:rPr>
      </w:pPr>
      <w:r>
        <w:rPr>
          <w:rFonts w:hint="default" w:ascii="Times New Roman" w:hAnsi="Times New Roman" w:eastAsia="方正仿宋_GBK" w:cs="Times New Roman"/>
          <w:sz w:val="24"/>
        </w:rPr>
        <w:t>1.2供应商提出质疑应当提交质疑函和必要的证明材料，质疑函应当包括下列内容：</w:t>
      </w:r>
    </w:p>
    <w:p>
      <w:pPr>
        <w:spacing w:line="400" w:lineRule="exact"/>
        <w:ind w:right="12" w:firstLine="480"/>
        <w:rPr>
          <w:rFonts w:hint="default" w:ascii="Times New Roman" w:hAnsi="Times New Roman" w:eastAsia="方正仿宋_GBK" w:cs="Times New Roman"/>
          <w:sz w:val="24"/>
        </w:rPr>
      </w:pPr>
      <w:r>
        <w:rPr>
          <w:rFonts w:hint="default" w:ascii="Times New Roman" w:hAnsi="Times New Roman" w:eastAsia="方正仿宋_GBK" w:cs="Times New Roman"/>
          <w:sz w:val="24"/>
        </w:rPr>
        <w:t>1.2.1供应商的姓名或者名称、地址、邮编、联系人及联系电话；</w:t>
      </w:r>
    </w:p>
    <w:p>
      <w:pPr>
        <w:spacing w:line="400" w:lineRule="exact"/>
        <w:ind w:right="12" w:firstLine="480"/>
        <w:rPr>
          <w:rFonts w:hint="default" w:ascii="Times New Roman" w:hAnsi="Times New Roman" w:eastAsia="方正仿宋_GBK" w:cs="Times New Roman"/>
          <w:sz w:val="24"/>
        </w:rPr>
      </w:pPr>
      <w:r>
        <w:rPr>
          <w:rFonts w:hint="default" w:ascii="Times New Roman" w:hAnsi="Times New Roman" w:eastAsia="方正仿宋_GBK" w:cs="Times New Roman"/>
          <w:sz w:val="24"/>
        </w:rPr>
        <w:t>1.2.2质疑项目的名称、项目号以及采购执行编号；</w:t>
      </w:r>
    </w:p>
    <w:p>
      <w:pPr>
        <w:spacing w:line="400" w:lineRule="exact"/>
        <w:ind w:right="12" w:firstLine="480"/>
        <w:rPr>
          <w:rFonts w:hint="default" w:ascii="Times New Roman" w:hAnsi="Times New Roman" w:eastAsia="方正仿宋_GBK" w:cs="Times New Roman"/>
          <w:sz w:val="24"/>
        </w:rPr>
      </w:pPr>
      <w:r>
        <w:rPr>
          <w:rFonts w:hint="default" w:ascii="Times New Roman" w:hAnsi="Times New Roman" w:eastAsia="方正仿宋_GBK" w:cs="Times New Roman"/>
          <w:sz w:val="24"/>
        </w:rPr>
        <w:t>1.2.3具体、明确的质疑事项和与质疑事项相关的请求；</w:t>
      </w:r>
    </w:p>
    <w:p>
      <w:pPr>
        <w:spacing w:line="400" w:lineRule="exact"/>
        <w:ind w:right="12" w:firstLine="480"/>
        <w:rPr>
          <w:rFonts w:hint="default" w:ascii="Times New Roman" w:hAnsi="Times New Roman" w:eastAsia="方正仿宋_GBK" w:cs="Times New Roman"/>
          <w:sz w:val="24"/>
        </w:rPr>
      </w:pPr>
      <w:r>
        <w:rPr>
          <w:rFonts w:hint="default" w:ascii="Times New Roman" w:hAnsi="Times New Roman" w:eastAsia="方正仿宋_GBK" w:cs="Times New Roman"/>
          <w:sz w:val="24"/>
        </w:rPr>
        <w:t>1.2.4事实依据；</w:t>
      </w:r>
    </w:p>
    <w:p>
      <w:pPr>
        <w:spacing w:line="400" w:lineRule="exact"/>
        <w:ind w:right="12" w:firstLine="480"/>
        <w:rPr>
          <w:rFonts w:hint="default" w:ascii="Times New Roman" w:hAnsi="Times New Roman" w:eastAsia="方正仿宋_GBK" w:cs="Times New Roman"/>
          <w:sz w:val="24"/>
        </w:rPr>
      </w:pPr>
      <w:r>
        <w:rPr>
          <w:rFonts w:hint="default" w:ascii="Times New Roman" w:hAnsi="Times New Roman" w:eastAsia="方正仿宋_GBK" w:cs="Times New Roman"/>
          <w:sz w:val="24"/>
        </w:rPr>
        <w:t>1.2.5必要的法律依据；</w:t>
      </w:r>
    </w:p>
    <w:p>
      <w:pPr>
        <w:spacing w:line="400" w:lineRule="exact"/>
        <w:ind w:right="12" w:firstLine="480"/>
        <w:rPr>
          <w:rFonts w:hint="default" w:ascii="Times New Roman" w:hAnsi="Times New Roman" w:eastAsia="方正仿宋_GBK" w:cs="Times New Roman"/>
          <w:sz w:val="24"/>
        </w:rPr>
      </w:pPr>
      <w:r>
        <w:rPr>
          <w:rFonts w:hint="default" w:ascii="Times New Roman" w:hAnsi="Times New Roman" w:eastAsia="方正仿宋_GBK" w:cs="Times New Roman"/>
          <w:sz w:val="24"/>
        </w:rPr>
        <w:t>1.2.6提出质疑的日期；</w:t>
      </w:r>
    </w:p>
    <w:p>
      <w:pPr>
        <w:spacing w:line="400" w:lineRule="exact"/>
        <w:ind w:right="12" w:firstLine="480"/>
        <w:rPr>
          <w:rFonts w:hint="default" w:ascii="Times New Roman" w:hAnsi="Times New Roman" w:eastAsia="方正仿宋_GBK" w:cs="Times New Roman"/>
          <w:sz w:val="24"/>
        </w:rPr>
      </w:pPr>
      <w:r>
        <w:rPr>
          <w:rFonts w:hint="default" w:ascii="Times New Roman" w:hAnsi="Times New Roman" w:eastAsia="方正仿宋_GBK" w:cs="Times New Roman"/>
          <w:sz w:val="24"/>
        </w:rPr>
        <w:t>1.2.7营业执照（或事业单位法人证书，或个体工商户营业执照或有效的自然人身份证明）复印件；</w:t>
      </w:r>
    </w:p>
    <w:p>
      <w:pPr>
        <w:spacing w:line="400" w:lineRule="exact"/>
        <w:ind w:right="12" w:firstLine="480"/>
        <w:rPr>
          <w:rFonts w:hint="default" w:ascii="Times New Roman" w:hAnsi="Times New Roman" w:eastAsia="方正仿宋_GBK" w:cs="Times New Roman"/>
          <w:sz w:val="24"/>
        </w:rPr>
      </w:pPr>
      <w:r>
        <w:rPr>
          <w:rFonts w:hint="default" w:ascii="Times New Roman" w:hAnsi="Times New Roman" w:eastAsia="方正仿宋_GBK" w:cs="Times New Roman"/>
          <w:sz w:val="24"/>
        </w:rPr>
        <w:t>1.2.8法定代表人授权委托书原件、法定代表人身份证复印件和其授权代表的身份证复印件（供应商为自然人的提供自然人身份证复印件）；</w:t>
      </w:r>
    </w:p>
    <w:p>
      <w:pPr>
        <w:spacing w:line="400" w:lineRule="exact"/>
        <w:ind w:right="12" w:firstLine="480"/>
        <w:rPr>
          <w:rFonts w:hint="default" w:ascii="Times New Roman" w:hAnsi="Times New Roman" w:eastAsia="方正仿宋_GBK" w:cs="Times New Roman"/>
          <w:sz w:val="24"/>
        </w:rPr>
      </w:pPr>
      <w:r>
        <w:rPr>
          <w:rFonts w:hint="default" w:ascii="Times New Roman" w:hAnsi="Times New Roman" w:eastAsia="方正仿宋_GBK" w:cs="Times New Roman"/>
          <w:sz w:val="24"/>
        </w:rPr>
        <w:t>1.3供应商为自然人的，质疑函应当由本人签字；供应商为法人或者其他组织的，质疑函应当由法定代表人、主要负责人，或者其授权代表签字或者盖章，并加盖公章。</w:t>
      </w:r>
    </w:p>
    <w:p>
      <w:pPr>
        <w:spacing w:line="400" w:lineRule="exact"/>
        <w:ind w:right="12" w:firstLine="480"/>
        <w:outlineLvl w:val="2"/>
        <w:rPr>
          <w:rFonts w:hint="default" w:ascii="Times New Roman" w:hAnsi="Times New Roman" w:eastAsia="方正仿宋_GBK" w:cs="Times New Roman"/>
          <w:sz w:val="24"/>
        </w:rPr>
      </w:pPr>
      <w:r>
        <w:rPr>
          <w:rFonts w:hint="default" w:ascii="Times New Roman" w:hAnsi="Times New Roman" w:eastAsia="方正仿宋_GBK" w:cs="Times New Roman"/>
          <w:sz w:val="24"/>
        </w:rPr>
        <w:t>2.质疑答复</w:t>
      </w:r>
    </w:p>
    <w:p>
      <w:pPr>
        <w:spacing w:line="400" w:lineRule="exact"/>
        <w:ind w:right="12" w:firstLine="480"/>
        <w:rPr>
          <w:rFonts w:hint="default" w:ascii="Times New Roman" w:hAnsi="Times New Roman" w:eastAsia="方正仿宋_GBK" w:cs="Times New Roman"/>
          <w:sz w:val="24"/>
        </w:rPr>
      </w:pPr>
      <w:r>
        <w:rPr>
          <w:rFonts w:hint="default" w:ascii="Times New Roman" w:hAnsi="Times New Roman" w:eastAsia="方正仿宋_GBK" w:cs="Times New Roman"/>
          <w:sz w:val="24"/>
        </w:rPr>
        <w:t>采购人、采购代理机构应当在收到供应商的书面质疑后七个工作日内作出答复，并以书面形式通知质疑供应商和其他有关供应商。</w:t>
      </w:r>
    </w:p>
    <w:p>
      <w:pPr>
        <w:spacing w:line="400" w:lineRule="exact"/>
        <w:ind w:right="12" w:firstLine="480"/>
        <w:outlineLvl w:val="2"/>
        <w:rPr>
          <w:rFonts w:hint="default" w:ascii="Times New Roman" w:hAnsi="Times New Roman" w:eastAsia="方正仿宋_GBK" w:cs="Times New Roman"/>
          <w:sz w:val="24"/>
        </w:rPr>
      </w:pPr>
      <w:r>
        <w:rPr>
          <w:rFonts w:hint="default" w:ascii="Times New Roman" w:hAnsi="Times New Roman" w:eastAsia="方正仿宋_GBK" w:cs="Times New Roman"/>
          <w:sz w:val="24"/>
        </w:rPr>
        <w:t>3.其他</w:t>
      </w:r>
    </w:p>
    <w:p>
      <w:pPr>
        <w:spacing w:line="400" w:lineRule="exact"/>
        <w:ind w:right="12" w:firstLine="480"/>
        <w:rPr>
          <w:rFonts w:hint="default" w:ascii="Times New Roman" w:hAnsi="Times New Roman" w:eastAsia="方正仿宋_GBK" w:cs="Times New Roman"/>
          <w:sz w:val="24"/>
        </w:rPr>
      </w:pPr>
      <w:r>
        <w:rPr>
          <w:rFonts w:hint="default" w:ascii="Times New Roman" w:hAnsi="Times New Roman" w:eastAsia="方正仿宋_GBK" w:cs="Times New Roman"/>
          <w:sz w:val="24"/>
        </w:rPr>
        <w:t>3.1供应商应按照《政府采购质疑和投诉办法》（财政部令第94号）及相关法律法规要求，在法定质疑期内一次性提出针对同一采购程序环节的质疑。</w:t>
      </w:r>
    </w:p>
    <w:p>
      <w:pPr>
        <w:spacing w:line="400" w:lineRule="exact"/>
        <w:ind w:right="12" w:firstLine="480"/>
        <w:rPr>
          <w:rFonts w:hint="default" w:ascii="Times New Roman" w:hAnsi="Times New Roman" w:eastAsia="方正仿宋_GBK" w:cs="Times New Roman"/>
          <w:sz w:val="24"/>
        </w:rPr>
      </w:pPr>
      <w:r>
        <w:rPr>
          <w:rFonts w:hint="default" w:ascii="Times New Roman" w:hAnsi="Times New Roman" w:eastAsia="方正仿宋_GBK" w:cs="Times New Roman"/>
          <w:sz w:val="24"/>
        </w:rPr>
        <w:t>3.2质疑函范本可在财政部门户网站和中国政府采购网下载。</w:t>
      </w:r>
    </w:p>
    <w:p>
      <w:pPr>
        <w:pStyle w:val="3"/>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106" w:name="_Toc102227322"/>
      <w:bookmarkStart w:id="107" w:name="_Toc342913396"/>
      <w:bookmarkStart w:id="108" w:name="_Toc106030901"/>
      <w:bookmarkStart w:id="109" w:name="_Toc76462346"/>
      <w:bookmarkStart w:id="110" w:name="_Toc11641055"/>
      <w:bookmarkStart w:id="111" w:name="_Toc12789059"/>
      <w:r>
        <w:rPr>
          <w:rFonts w:hint="default" w:ascii="Times New Roman" w:hAnsi="Times New Roman" w:eastAsia="方正仿宋_GBK" w:cs="Times New Roman"/>
          <w:sz w:val="24"/>
        </w:rPr>
        <w:t>七、签订</w:t>
      </w:r>
      <w:bookmarkEnd w:id="106"/>
      <w:r>
        <w:rPr>
          <w:rFonts w:hint="default" w:ascii="Times New Roman" w:hAnsi="Times New Roman" w:eastAsia="方正仿宋_GBK" w:cs="Times New Roman"/>
          <w:sz w:val="24"/>
        </w:rPr>
        <w:t>合同</w:t>
      </w:r>
      <w:bookmarkEnd w:id="107"/>
      <w:bookmarkEnd w:id="108"/>
      <w:bookmarkEnd w:id="109"/>
    </w:p>
    <w:p>
      <w:pPr>
        <w:spacing w:line="400" w:lineRule="exact"/>
        <w:ind w:firstLine="360" w:firstLineChars="15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rPr>
        <w:t>采购人原则上应在成交结果公告发出之日起二十日内和成交供应商签订政府采购合同，无正当理由不得拒绝或拖延合同签订</w:t>
      </w:r>
      <w:r>
        <w:rPr>
          <w:rFonts w:hint="default" w:ascii="Times New Roman" w:hAnsi="Times New Roman" w:eastAsia="方正仿宋_GBK" w:cs="Times New Roman"/>
          <w:sz w:val="24"/>
          <w:szCs w:val="24"/>
        </w:rPr>
        <w:t>。所签订的合同不得对采购文件和供应商的响应文件作实质性修改。其他未尽事宜由采购人和成交供应商在采购合同中详细约定。</w:t>
      </w:r>
    </w:p>
    <w:p>
      <w:pPr>
        <w:spacing w:line="400" w:lineRule="exact"/>
        <w:ind w:firstLine="360" w:firstLineChars="15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（二）采购文件、供应商的响应文件及澄清文件等，均为签订政府采购合同的依据。</w:t>
      </w:r>
    </w:p>
    <w:p>
      <w:pPr>
        <w:spacing w:line="400" w:lineRule="exact"/>
        <w:ind w:firstLine="360" w:firstLineChars="15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（三）合同生效条款由供需双方约定，法律、行政法规规定应当办理批准、登记等手续后生效的合同，依照其规定。</w:t>
      </w:r>
    </w:p>
    <w:p>
      <w:pPr>
        <w:pStyle w:val="3"/>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112" w:name="_Toc106030902"/>
      <w:r>
        <w:rPr>
          <w:rFonts w:hint="default" w:ascii="Times New Roman" w:hAnsi="Times New Roman" w:eastAsia="方正仿宋_GBK" w:cs="Times New Roman"/>
          <w:sz w:val="24"/>
        </w:rPr>
        <w:t>八、项目验收</w:t>
      </w:r>
      <w:bookmarkEnd w:id="112"/>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合同执行完毕，采购人或采购代理机构原则上应在7个工作日内组织履约情况验收，不得无故拖延或附加额外条件。</w:t>
      </w:r>
    </w:p>
    <w:p>
      <w:pPr>
        <w:pStyle w:val="3"/>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113" w:name="_Toc106030899"/>
      <w:bookmarkStart w:id="114" w:name="_Toc76462344"/>
      <w:r>
        <w:rPr>
          <w:rFonts w:hint="default" w:ascii="Times New Roman" w:hAnsi="Times New Roman" w:eastAsia="方正仿宋_GBK" w:cs="Times New Roman"/>
          <w:sz w:val="24"/>
        </w:rPr>
        <w:t>九、采购代理服务费</w:t>
      </w:r>
      <w:bookmarkEnd w:id="113"/>
      <w:bookmarkEnd w:id="114"/>
    </w:p>
    <w:p>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本项目不收取代理服务费。</w:t>
      </w:r>
    </w:p>
    <w:p>
      <w:pPr>
        <w:pStyle w:val="3"/>
        <w:spacing w:before="0" w:after="0" w:line="360" w:lineRule="auto"/>
        <w:jc w:val="center"/>
        <w:rPr>
          <w:rFonts w:hint="default" w:ascii="Times New Roman" w:hAnsi="Times New Roman" w:eastAsia="方正小标宋_GBK" w:cs="Times New Roman"/>
          <w:b w:val="0"/>
          <w:sz w:val="36"/>
          <w:szCs w:val="30"/>
        </w:rPr>
      </w:pPr>
      <w:r>
        <w:rPr>
          <w:rFonts w:hint="default" w:ascii="Times New Roman" w:hAnsi="Times New Roman" w:eastAsia="宋体" w:cs="Times New Roman"/>
          <w:sz w:val="36"/>
          <w:szCs w:val="30"/>
        </w:rPr>
        <w:br w:type="page"/>
      </w:r>
      <w:bookmarkStart w:id="115" w:name="_Toc76462348"/>
      <w:bookmarkStart w:id="116" w:name="_Toc106030904"/>
      <w:r>
        <w:rPr>
          <w:rFonts w:hint="default" w:ascii="Times New Roman" w:hAnsi="Times New Roman" w:eastAsia="方正小标宋_GBK" w:cs="Times New Roman"/>
          <w:b w:val="0"/>
          <w:sz w:val="36"/>
          <w:szCs w:val="30"/>
        </w:rPr>
        <w:t xml:space="preserve">第六篇  </w:t>
      </w:r>
      <w:bookmarkEnd w:id="110"/>
      <w:bookmarkEnd w:id="111"/>
      <w:r>
        <w:rPr>
          <w:rFonts w:hint="default" w:ascii="Times New Roman" w:hAnsi="Times New Roman" w:eastAsia="方正小标宋_GBK" w:cs="Times New Roman"/>
          <w:b w:val="0"/>
          <w:sz w:val="36"/>
          <w:szCs w:val="30"/>
        </w:rPr>
        <w:t>政府采购合同</w:t>
      </w:r>
      <w:bookmarkEnd w:id="115"/>
      <w:bookmarkEnd w:id="116"/>
    </w:p>
    <w:p>
      <w:pPr>
        <w:spacing w:line="500" w:lineRule="exact"/>
        <w:jc w:val="center"/>
        <w:rPr>
          <w:rFonts w:hint="default" w:ascii="Times New Roman" w:hAnsi="Times New Roman" w:eastAsia="方正仿宋_GBK" w:cs="Times New Roman"/>
          <w:b/>
          <w:sz w:val="44"/>
        </w:rPr>
      </w:pPr>
      <w:r>
        <w:rPr>
          <w:rFonts w:hint="default" w:ascii="Times New Roman" w:hAnsi="Times New Roman" w:eastAsia="方正仿宋_GBK" w:cs="Times New Roman"/>
          <w:b/>
          <w:sz w:val="44"/>
        </w:rPr>
        <w:t>重庆市政府采购合同</w:t>
      </w:r>
    </w:p>
    <w:p>
      <w:pPr>
        <w:spacing w:line="500" w:lineRule="exact"/>
        <w:rPr>
          <w:rFonts w:hint="default" w:ascii="Times New Roman" w:hAnsi="Times New Roman" w:eastAsia="方正仿宋_GBK" w:cs="Times New Roman"/>
        </w:rPr>
      </w:pPr>
    </w:p>
    <w:p>
      <w:pPr>
        <w:spacing w:line="50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甲方（需方）：___________________________      计价单位：____________</w:t>
      </w:r>
    </w:p>
    <w:p>
      <w:pPr>
        <w:spacing w:line="50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乙方（供方）：___________________________      计量单位：_____________</w:t>
      </w:r>
    </w:p>
    <w:p>
      <w:pPr>
        <w:spacing w:line="50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经双方协商一致，达成以下购销合同：</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pPr>
              <w:spacing w:line="240" w:lineRule="atLeas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984" w:type="dxa"/>
            <w:noWrap w:val="0"/>
            <w:vAlign w:val="center"/>
          </w:tcPr>
          <w:p>
            <w:pPr>
              <w:spacing w:line="240" w:lineRule="atLeas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w:t>
            </w:r>
          </w:p>
        </w:tc>
        <w:tc>
          <w:tcPr>
            <w:tcW w:w="1298" w:type="dxa"/>
            <w:gridSpan w:val="2"/>
            <w:noWrap w:val="0"/>
            <w:vAlign w:val="center"/>
          </w:tcPr>
          <w:p>
            <w:pPr>
              <w:spacing w:line="240" w:lineRule="atLeas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综合单价</w:t>
            </w:r>
          </w:p>
        </w:tc>
        <w:tc>
          <w:tcPr>
            <w:tcW w:w="1134" w:type="dxa"/>
            <w:noWrap w:val="0"/>
            <w:vAlign w:val="center"/>
          </w:tcPr>
          <w:p>
            <w:pPr>
              <w:spacing w:line="240" w:lineRule="atLeas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总价</w:t>
            </w:r>
          </w:p>
        </w:tc>
        <w:tc>
          <w:tcPr>
            <w:tcW w:w="1559" w:type="dxa"/>
            <w:noWrap w:val="0"/>
            <w:vAlign w:val="center"/>
          </w:tcPr>
          <w:p>
            <w:pPr>
              <w:spacing w:line="240" w:lineRule="atLeas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服务时间</w:t>
            </w:r>
          </w:p>
        </w:tc>
        <w:tc>
          <w:tcPr>
            <w:tcW w:w="1567" w:type="dxa"/>
            <w:noWrap w:val="0"/>
            <w:vAlign w:val="center"/>
          </w:tcPr>
          <w:p>
            <w:pPr>
              <w:spacing w:line="240" w:lineRule="atLeas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pPr>
              <w:spacing w:line="240" w:lineRule="atLeast"/>
              <w:jc w:val="center"/>
              <w:rPr>
                <w:rFonts w:hint="default" w:ascii="Times New Roman" w:hAnsi="Times New Roman" w:eastAsia="方正仿宋_GBK" w:cs="Times New Roman"/>
                <w:sz w:val="21"/>
                <w:szCs w:val="21"/>
              </w:rPr>
            </w:pPr>
          </w:p>
        </w:tc>
        <w:tc>
          <w:tcPr>
            <w:tcW w:w="984" w:type="dxa"/>
            <w:noWrap w:val="0"/>
            <w:vAlign w:val="center"/>
          </w:tcPr>
          <w:p>
            <w:pPr>
              <w:spacing w:line="240" w:lineRule="atLeast"/>
              <w:jc w:val="center"/>
              <w:rPr>
                <w:rFonts w:hint="default" w:ascii="Times New Roman" w:hAnsi="Times New Roman" w:eastAsia="方正仿宋_GBK" w:cs="Times New Roman"/>
                <w:sz w:val="21"/>
                <w:szCs w:val="21"/>
              </w:rPr>
            </w:pPr>
          </w:p>
        </w:tc>
        <w:tc>
          <w:tcPr>
            <w:tcW w:w="1298" w:type="dxa"/>
            <w:gridSpan w:val="2"/>
            <w:noWrap w:val="0"/>
            <w:vAlign w:val="center"/>
          </w:tcPr>
          <w:p>
            <w:pPr>
              <w:spacing w:line="240" w:lineRule="atLeast"/>
              <w:jc w:val="center"/>
              <w:rPr>
                <w:rFonts w:hint="default" w:ascii="Times New Roman" w:hAnsi="Times New Roman" w:eastAsia="方正仿宋_GBK" w:cs="Times New Roman"/>
                <w:sz w:val="21"/>
                <w:szCs w:val="21"/>
              </w:rPr>
            </w:pPr>
          </w:p>
        </w:tc>
        <w:tc>
          <w:tcPr>
            <w:tcW w:w="1134" w:type="dxa"/>
            <w:noWrap w:val="0"/>
            <w:vAlign w:val="center"/>
          </w:tcPr>
          <w:p>
            <w:pPr>
              <w:spacing w:line="240" w:lineRule="atLeast"/>
              <w:jc w:val="center"/>
              <w:rPr>
                <w:rFonts w:hint="default" w:ascii="Times New Roman" w:hAnsi="Times New Roman" w:eastAsia="方正仿宋_GBK" w:cs="Times New Roman"/>
                <w:sz w:val="21"/>
                <w:szCs w:val="21"/>
              </w:rPr>
            </w:pPr>
          </w:p>
        </w:tc>
        <w:tc>
          <w:tcPr>
            <w:tcW w:w="1559" w:type="dxa"/>
            <w:noWrap w:val="0"/>
            <w:vAlign w:val="center"/>
          </w:tcPr>
          <w:p>
            <w:pPr>
              <w:spacing w:line="240" w:lineRule="atLeast"/>
              <w:jc w:val="center"/>
              <w:rPr>
                <w:rFonts w:hint="default" w:ascii="Times New Roman" w:hAnsi="Times New Roman" w:eastAsia="方正仿宋_GBK" w:cs="Times New Roman"/>
                <w:sz w:val="21"/>
                <w:szCs w:val="21"/>
              </w:rPr>
            </w:pPr>
          </w:p>
        </w:tc>
        <w:tc>
          <w:tcPr>
            <w:tcW w:w="1567" w:type="dxa"/>
            <w:noWrap w:val="0"/>
            <w:vAlign w:val="center"/>
          </w:tcPr>
          <w:p>
            <w:pPr>
              <w:spacing w:line="240" w:lineRule="atLeast"/>
              <w:jc w:val="center"/>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pPr>
              <w:spacing w:line="240" w:lineRule="atLeast"/>
              <w:jc w:val="center"/>
              <w:rPr>
                <w:rFonts w:hint="default" w:ascii="Times New Roman" w:hAnsi="Times New Roman" w:eastAsia="方正仿宋_GBK" w:cs="Times New Roman"/>
                <w:sz w:val="21"/>
                <w:szCs w:val="21"/>
              </w:rPr>
            </w:pPr>
          </w:p>
        </w:tc>
        <w:tc>
          <w:tcPr>
            <w:tcW w:w="984" w:type="dxa"/>
            <w:noWrap w:val="0"/>
            <w:vAlign w:val="center"/>
          </w:tcPr>
          <w:p>
            <w:pPr>
              <w:spacing w:line="240" w:lineRule="atLeast"/>
              <w:jc w:val="center"/>
              <w:rPr>
                <w:rFonts w:hint="default" w:ascii="Times New Roman" w:hAnsi="Times New Roman" w:eastAsia="方正仿宋_GBK" w:cs="Times New Roman"/>
                <w:sz w:val="21"/>
                <w:szCs w:val="21"/>
              </w:rPr>
            </w:pPr>
          </w:p>
        </w:tc>
        <w:tc>
          <w:tcPr>
            <w:tcW w:w="1298" w:type="dxa"/>
            <w:gridSpan w:val="2"/>
            <w:noWrap w:val="0"/>
            <w:vAlign w:val="center"/>
          </w:tcPr>
          <w:p>
            <w:pPr>
              <w:spacing w:line="240" w:lineRule="atLeast"/>
              <w:jc w:val="center"/>
              <w:rPr>
                <w:rFonts w:hint="default" w:ascii="Times New Roman" w:hAnsi="Times New Roman" w:eastAsia="方正仿宋_GBK" w:cs="Times New Roman"/>
                <w:sz w:val="21"/>
                <w:szCs w:val="21"/>
              </w:rPr>
            </w:pPr>
          </w:p>
        </w:tc>
        <w:tc>
          <w:tcPr>
            <w:tcW w:w="1134" w:type="dxa"/>
            <w:noWrap w:val="0"/>
            <w:vAlign w:val="center"/>
          </w:tcPr>
          <w:p>
            <w:pPr>
              <w:spacing w:line="240" w:lineRule="atLeast"/>
              <w:jc w:val="center"/>
              <w:rPr>
                <w:rFonts w:hint="default" w:ascii="Times New Roman" w:hAnsi="Times New Roman" w:eastAsia="方正仿宋_GBK" w:cs="Times New Roman"/>
                <w:sz w:val="21"/>
                <w:szCs w:val="21"/>
              </w:rPr>
            </w:pPr>
          </w:p>
        </w:tc>
        <w:tc>
          <w:tcPr>
            <w:tcW w:w="1559" w:type="dxa"/>
            <w:noWrap w:val="0"/>
            <w:vAlign w:val="center"/>
          </w:tcPr>
          <w:p>
            <w:pPr>
              <w:spacing w:line="240" w:lineRule="atLeast"/>
              <w:jc w:val="center"/>
              <w:rPr>
                <w:rFonts w:hint="default" w:ascii="Times New Roman" w:hAnsi="Times New Roman" w:eastAsia="方正仿宋_GBK" w:cs="Times New Roman"/>
                <w:sz w:val="21"/>
                <w:szCs w:val="21"/>
              </w:rPr>
            </w:pPr>
          </w:p>
        </w:tc>
        <w:tc>
          <w:tcPr>
            <w:tcW w:w="1567" w:type="dxa"/>
            <w:noWrap w:val="0"/>
            <w:vAlign w:val="center"/>
          </w:tcPr>
          <w:p>
            <w:pPr>
              <w:spacing w:line="240" w:lineRule="atLeast"/>
              <w:jc w:val="center"/>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pPr>
              <w:spacing w:line="240" w:lineRule="atLeas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pPr>
              <w:spacing w:line="240" w:lineRule="atLeas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noWrap w:val="0"/>
            <w:vAlign w:val="top"/>
          </w:tcPr>
          <w:p>
            <w:pPr>
              <w:spacing w:line="240" w:lineRule="atLeas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一、项目内容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noWrap w:val="0"/>
            <w:vAlign w:val="top"/>
          </w:tcPr>
          <w:p>
            <w:pPr>
              <w:spacing w:line="240" w:lineRule="atLeas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noWrap w:val="0"/>
            <w:vAlign w:val="top"/>
          </w:tcPr>
          <w:p>
            <w:pPr>
              <w:spacing w:line="240" w:lineRule="atLeas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三、验收方式：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noWrap w:val="0"/>
            <w:vAlign w:val="top"/>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四、付款方式：</w:t>
            </w:r>
          </w:p>
          <w:p>
            <w:pPr>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pPr>
              <w:spacing w:line="240" w:lineRule="atLeas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五、违约责任：</w:t>
            </w:r>
          </w:p>
          <w:p>
            <w:pPr>
              <w:spacing w:line="240" w:lineRule="atLeast"/>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pPr>
              <w:spacing w:line="240" w:lineRule="atLeas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六、其他约定事项：</w:t>
            </w:r>
          </w:p>
          <w:p>
            <w:pPr>
              <w:spacing w:line="240" w:lineRule="atLeas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1.采购文件及其澄清文件、响应文件和承诺是本合同不可分割的部分。</w:t>
            </w:r>
          </w:p>
          <w:p>
            <w:pPr>
              <w:spacing w:line="240" w:lineRule="atLeas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2.本合同如发生争议由双方协商解决，协商不成向需方所在人民法院提请诉讼。</w:t>
            </w:r>
          </w:p>
          <w:p>
            <w:pPr>
              <w:spacing w:line="240" w:lineRule="atLeas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3.本合同一式__份， 需方__份，供方__份，具同等法律效力。</w:t>
            </w:r>
          </w:p>
          <w:p>
            <w:pPr>
              <w:spacing w:line="240" w:lineRule="atLeas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pPr>
              <w:spacing w:line="240" w:lineRule="atLeas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需方：</w:t>
            </w:r>
          </w:p>
          <w:p>
            <w:pPr>
              <w:spacing w:line="240" w:lineRule="atLeas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地址：</w:t>
            </w:r>
          </w:p>
          <w:p>
            <w:pPr>
              <w:spacing w:line="240" w:lineRule="atLeas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联系电话：</w:t>
            </w:r>
          </w:p>
          <w:p>
            <w:pPr>
              <w:spacing w:line="240" w:lineRule="atLeas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授权代表：</w:t>
            </w:r>
          </w:p>
        </w:tc>
        <w:tc>
          <w:tcPr>
            <w:tcW w:w="4984" w:type="dxa"/>
            <w:gridSpan w:val="5"/>
            <w:noWrap w:val="0"/>
            <w:vAlign w:val="top"/>
          </w:tcPr>
          <w:p>
            <w:pPr>
              <w:spacing w:line="240" w:lineRule="atLeas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供方：</w:t>
            </w:r>
          </w:p>
          <w:p>
            <w:pPr>
              <w:spacing w:line="240" w:lineRule="atLeas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地址：</w:t>
            </w:r>
          </w:p>
          <w:p>
            <w:pPr>
              <w:spacing w:line="240" w:lineRule="atLeas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电话：</w:t>
            </w:r>
          </w:p>
          <w:p>
            <w:pPr>
              <w:spacing w:line="240" w:lineRule="atLeas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传真：</w:t>
            </w:r>
          </w:p>
          <w:p>
            <w:pPr>
              <w:spacing w:line="240" w:lineRule="atLeas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开户银行：</w:t>
            </w:r>
          </w:p>
          <w:p>
            <w:pPr>
              <w:spacing w:line="240" w:lineRule="atLeas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账号：</w:t>
            </w:r>
          </w:p>
          <w:p>
            <w:pPr>
              <w:spacing w:line="240" w:lineRule="atLeas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授权代表：</w:t>
            </w:r>
          </w:p>
          <w:p>
            <w:pPr>
              <w:widowControl/>
              <w:spacing w:line="240" w:lineRule="atLeast"/>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pPr>
              <w:spacing w:line="240" w:lineRule="atLeas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备注：</w:t>
            </w:r>
          </w:p>
          <w:p>
            <w:pPr>
              <w:spacing w:line="240" w:lineRule="atLeast"/>
              <w:rPr>
                <w:rFonts w:hint="default" w:ascii="Times New Roman" w:hAnsi="Times New Roman" w:eastAsia="方正仿宋_GBK" w:cs="Times New Roman"/>
                <w:sz w:val="21"/>
                <w:szCs w:val="21"/>
              </w:rPr>
            </w:pPr>
          </w:p>
          <w:p>
            <w:pPr>
              <w:spacing w:line="240" w:lineRule="atLeast"/>
              <w:rPr>
                <w:rFonts w:hint="default" w:ascii="Times New Roman" w:hAnsi="Times New Roman" w:eastAsia="方正仿宋_GBK" w:cs="Times New Roman"/>
                <w:sz w:val="21"/>
                <w:szCs w:val="21"/>
              </w:rPr>
            </w:pPr>
          </w:p>
        </w:tc>
      </w:tr>
    </w:tbl>
    <w:p>
      <w:pPr>
        <w:rPr>
          <w:rFonts w:hint="default" w:ascii="Times New Roman" w:hAnsi="Times New Roman" w:eastAsia="方正仿宋_GBK" w:cs="Times New Roman"/>
          <w:sz w:val="24"/>
        </w:rPr>
      </w:pPr>
      <w:r>
        <w:rPr>
          <w:rFonts w:hint="default" w:ascii="Times New Roman" w:hAnsi="Times New Roman" w:eastAsia="方正仿宋_GBK" w:cs="Times New Roman"/>
          <w:sz w:val="24"/>
        </w:rPr>
        <w:t>签约时间：           年   月   日      签约地点：</w:t>
      </w:r>
    </w:p>
    <w:p>
      <w:pPr>
        <w:tabs>
          <w:tab w:val="left" w:pos="9000"/>
        </w:tabs>
        <w:spacing w:line="276" w:lineRule="auto"/>
        <w:jc w:val="center"/>
        <w:rPr>
          <w:rFonts w:hint="default" w:ascii="Times New Roman" w:hAnsi="Times New Roman" w:eastAsia="方正仿宋_GBK" w:cs="Times New Roman"/>
          <w:sz w:val="21"/>
          <w:szCs w:val="21"/>
        </w:rPr>
        <w:sectPr>
          <w:footerReference r:id="rId16" w:type="default"/>
          <w:footerReference r:id="rId17" w:type="even"/>
          <w:pgSz w:w="11907" w:h="16840"/>
          <w:pgMar w:top="1134" w:right="1191" w:bottom="1134" w:left="1304" w:header="964" w:footer="992" w:gutter="0"/>
          <w:pgNumType w:fmt="numberInDash"/>
          <w:cols w:space="720" w:num="1"/>
          <w:docGrid w:linePitch="312" w:charSpace="0"/>
        </w:sectPr>
      </w:pPr>
    </w:p>
    <w:p>
      <w:pPr>
        <w:pStyle w:val="3"/>
        <w:spacing w:before="0" w:after="0" w:line="360" w:lineRule="auto"/>
        <w:jc w:val="center"/>
        <w:rPr>
          <w:rFonts w:hint="default" w:ascii="Times New Roman" w:hAnsi="Times New Roman" w:eastAsia="方正小标宋_GBK" w:cs="Times New Roman"/>
          <w:b w:val="0"/>
          <w:sz w:val="36"/>
          <w:szCs w:val="30"/>
        </w:rPr>
      </w:pPr>
      <w:bookmarkStart w:id="117" w:name="_Hlt41879464"/>
      <w:bookmarkEnd w:id="117"/>
      <w:bookmarkStart w:id="118" w:name="_Toc76462349"/>
      <w:bookmarkStart w:id="119" w:name="_Toc106030905"/>
      <w:r>
        <w:rPr>
          <w:rFonts w:hint="default" w:ascii="Times New Roman" w:hAnsi="Times New Roman" w:eastAsia="方正小标宋_GBK" w:cs="Times New Roman"/>
          <w:b w:val="0"/>
          <w:sz w:val="36"/>
          <w:szCs w:val="30"/>
        </w:rPr>
        <w:t>第七篇  响应文件编制要求</w:t>
      </w:r>
      <w:bookmarkEnd w:id="118"/>
      <w:bookmarkEnd w:id="119"/>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一、经济部分</w:t>
      </w: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（一）报价函</w:t>
      </w: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（二）明细报价表</w:t>
      </w: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二、服务部分</w:t>
      </w: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（一）服务响应偏离表</w:t>
      </w: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（二）其他资料（格式自定）</w:t>
      </w: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三、商务部分</w:t>
      </w: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（一）商务响应偏离表</w:t>
      </w: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（二）其它优惠服务承诺（格式自定）</w:t>
      </w: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四、资格条件及其他</w:t>
      </w:r>
    </w:p>
    <w:p>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（一）法人营业执照（副本）或事业单位法人证书（副本）或个体工商户营业执照或有效的自然人身份证明或社会团体法人登记证书复印件</w:t>
      </w:r>
    </w:p>
    <w:p>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（二）法定代表人身份证明书（格式）</w:t>
      </w:r>
    </w:p>
    <w:p>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（三）法定代表人授权委托书（格式）</w:t>
      </w:r>
    </w:p>
    <w:p>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（四）基本资格条件承诺函（格式）</w:t>
      </w:r>
    </w:p>
    <w:p>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（五）特定资格条件证书或证明文件</w:t>
      </w: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五、其他资料</w:t>
      </w: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（一）团队名单、项目负责人职称证书（中级及以上）复印件、供应商2024年以来任意一月为团队人员（不少于5人）缴纳社保证明材料</w:t>
      </w: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（二）其他与项目有关的资料</w:t>
      </w:r>
    </w:p>
    <w:p>
      <w:pPr>
        <w:snapToGrid w:val="0"/>
        <w:spacing w:line="360" w:lineRule="auto"/>
        <w:rPr>
          <w:rFonts w:hint="default" w:ascii="Times New Roman" w:hAnsi="Times New Roman"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3"/>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120" w:name="_Toc342913419"/>
      <w:bookmarkStart w:id="121" w:name="_Toc313008356"/>
      <w:bookmarkStart w:id="122" w:name="_Toc76462350"/>
      <w:bookmarkStart w:id="123" w:name="_Toc313888360"/>
      <w:bookmarkStart w:id="124" w:name="_Toc106030906"/>
      <w:bookmarkStart w:id="125" w:name="_Toc283382454"/>
      <w:bookmarkStart w:id="126" w:name="_Toc12789073"/>
      <w:r>
        <w:rPr>
          <w:rFonts w:hint="default" w:ascii="Times New Roman" w:hAnsi="Times New Roman" w:eastAsia="方正仿宋_GBK" w:cs="Times New Roman"/>
          <w:sz w:val="24"/>
        </w:rPr>
        <w:t>一、经济部分</w:t>
      </w:r>
      <w:bookmarkEnd w:id="120"/>
      <w:bookmarkEnd w:id="121"/>
      <w:bookmarkEnd w:id="122"/>
      <w:bookmarkEnd w:id="123"/>
      <w:bookmarkEnd w:id="124"/>
    </w:p>
    <w:bookmarkEnd w:id="125"/>
    <w:bookmarkEnd w:id="126"/>
    <w:p>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（一）报价函</w:t>
      </w:r>
    </w:p>
    <w:p>
      <w:pPr>
        <w:jc w:val="center"/>
        <w:rPr>
          <w:rFonts w:hint="default" w:ascii="Times New Roman" w:hAnsi="Times New Roman" w:eastAsia="方正仿宋_GBK" w:cs="Times New Roman"/>
          <w:b/>
          <w:szCs w:val="28"/>
        </w:rPr>
      </w:pPr>
      <w:r>
        <w:rPr>
          <w:rFonts w:hint="default" w:ascii="Times New Roman" w:hAnsi="Times New Roman" w:eastAsia="方正仿宋_GBK" w:cs="Times New Roman"/>
          <w:b/>
          <w:szCs w:val="28"/>
        </w:rPr>
        <w:t>报价函</w:t>
      </w:r>
    </w:p>
    <w:p>
      <w:pPr>
        <w:tabs>
          <w:tab w:val="left" w:pos="6300"/>
        </w:tabs>
        <w:snapToGrid w:val="0"/>
        <w:spacing w:line="312"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（采购人名称））</w:t>
      </w:r>
      <w:r>
        <w:rPr>
          <w:rFonts w:hint="default" w:ascii="Times New Roman" w:hAnsi="Times New Roman" w:eastAsia="方正仿宋_GBK" w:cs="Times New Roman"/>
          <w:sz w:val="24"/>
          <w:szCs w:val="24"/>
        </w:rPr>
        <w:t>：</w:t>
      </w:r>
    </w:p>
    <w:p>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我方收到____________________________（项目名称）的限额以下磋商评分文件，经详细研究，决定参加该项目的竞争。</w:t>
      </w:r>
    </w:p>
    <w:p>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1.愿意按照限额以下磋商评分文件中的一切要求，提供本项目的服务，初始报价为人民币大写：</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元整；人民币小写：</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元。以我公司最后报价为准。</w:t>
      </w:r>
    </w:p>
    <w:p>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2.我方现提交的响应文件为：响应文件正本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份，副本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w:t>
      </w:r>
    </w:p>
    <w:p>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3.我方承诺：本次限额以下磋商评分的有效期为提交响应文件截止时间起90天。</w:t>
      </w:r>
    </w:p>
    <w:p>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4.我方完全理解和接受贵方限额以下磋商评分文件的一切规定和要求及评审办法。</w:t>
      </w:r>
    </w:p>
    <w:p>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5.在整个限额以下磋商评分过程中，我方若有违规行为，接受按照《中华人民共和国政府采购法》和《限额以下磋商评分文件》之规定给予惩罚。</w:t>
      </w:r>
    </w:p>
    <w:p>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6.我方若成为成交供应商，将按照最终磋商结果签订合同，并且严格履行合同义务。本承诺函将成为合同不可分割的一部分，与合同具有同等的法律效力。</w:t>
      </w:r>
    </w:p>
    <w:p>
      <w:pPr>
        <w:tabs>
          <w:tab w:val="left" w:pos="6300"/>
        </w:tabs>
        <w:snapToGrid w:val="0"/>
        <w:spacing w:line="312" w:lineRule="auto"/>
        <w:ind w:firstLine="480" w:firstLineChars="200"/>
        <w:rPr>
          <w:rFonts w:hint="default" w:ascii="Times New Roman" w:hAnsi="Times New Roman" w:eastAsia="方正仿宋_GBK" w:cs="Times New Roman"/>
          <w:sz w:val="24"/>
          <w:szCs w:val="24"/>
        </w:rPr>
      </w:pPr>
    </w:p>
    <w:p>
      <w:pPr>
        <w:tabs>
          <w:tab w:val="left" w:pos="6300"/>
        </w:tabs>
        <w:snapToGrid w:val="0"/>
        <w:spacing w:line="312" w:lineRule="auto"/>
        <w:ind w:firstLine="480" w:firstLineChars="200"/>
        <w:rPr>
          <w:rFonts w:hint="default" w:ascii="Times New Roman" w:hAnsi="Times New Roman" w:eastAsia="方正仿宋_GBK" w:cs="Times New Roman"/>
          <w:sz w:val="24"/>
          <w:szCs w:val="24"/>
        </w:rPr>
      </w:pPr>
    </w:p>
    <w:p>
      <w:pPr>
        <w:tabs>
          <w:tab w:val="left" w:pos="6300"/>
        </w:tabs>
        <w:snapToGrid w:val="0"/>
        <w:spacing w:line="312" w:lineRule="auto"/>
        <w:ind w:firstLine="570"/>
        <w:rPr>
          <w:rFonts w:hint="default" w:ascii="Times New Roman" w:hAnsi="Times New Roman" w:eastAsia="方正仿宋_GBK" w:cs="Times New Roman"/>
          <w:sz w:val="24"/>
          <w:szCs w:val="24"/>
        </w:rPr>
      </w:pPr>
    </w:p>
    <w:p>
      <w:pPr>
        <w:tabs>
          <w:tab w:val="left" w:pos="6300"/>
        </w:tabs>
        <w:snapToGrid w:val="0"/>
        <w:spacing w:line="312" w:lineRule="auto"/>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供应商（公章）或自然人签署：</w:t>
      </w:r>
    </w:p>
    <w:p>
      <w:pPr>
        <w:tabs>
          <w:tab w:val="left" w:pos="6300"/>
        </w:tabs>
        <w:snapToGrid w:val="0"/>
        <w:spacing w:line="312" w:lineRule="auto"/>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地址：  </w:t>
      </w:r>
    </w:p>
    <w:p>
      <w:pPr>
        <w:tabs>
          <w:tab w:val="left" w:pos="6300"/>
        </w:tabs>
        <w:snapToGrid w:val="0"/>
        <w:spacing w:line="312" w:lineRule="auto"/>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电话：                                             传真：</w:t>
      </w:r>
    </w:p>
    <w:p>
      <w:pPr>
        <w:tabs>
          <w:tab w:val="left" w:pos="6300"/>
        </w:tabs>
        <w:snapToGrid w:val="0"/>
        <w:spacing w:line="312" w:lineRule="auto"/>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网址：                                             邮编：</w:t>
      </w:r>
    </w:p>
    <w:p>
      <w:pPr>
        <w:tabs>
          <w:tab w:val="left" w:pos="6300"/>
        </w:tabs>
        <w:snapToGrid w:val="0"/>
        <w:spacing w:line="312" w:lineRule="auto"/>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w:t>
      </w:r>
    </w:p>
    <w:p>
      <w:pPr>
        <w:snapToGrid w:val="0"/>
        <w:spacing w:line="312" w:lineRule="auto"/>
        <w:ind w:firstLine="480" w:firstLineChars="200"/>
        <w:rPr>
          <w:rFonts w:hint="default" w:ascii="Times New Roman" w:hAnsi="Times New Roman" w:eastAsia="方正仿宋_GBK" w:cs="Times New Roman"/>
          <w:sz w:val="24"/>
          <w:szCs w:val="24"/>
        </w:rPr>
        <w:sectPr>
          <w:pgSz w:w="11907" w:h="16840"/>
          <w:pgMar w:top="1134" w:right="1191" w:bottom="1134" w:left="1304" w:header="851" w:footer="992" w:gutter="0"/>
          <w:pgNumType w:fmt="numberInDash"/>
          <w:cols w:space="720" w:num="1"/>
          <w:docGrid w:linePitch="380" w:charSpace="-5735"/>
        </w:sectPr>
      </w:pPr>
      <w:r>
        <w:rPr>
          <w:rFonts w:hint="default" w:ascii="Times New Roman" w:hAnsi="Times New Roman" w:eastAsia="方正仿宋_GBK" w:cs="Times New Roman"/>
          <w:sz w:val="24"/>
          <w:szCs w:val="24"/>
        </w:rPr>
        <w:t xml:space="preserve">                                                  年   月   日</w:t>
      </w:r>
    </w:p>
    <w:p>
      <w:pPr>
        <w:tabs>
          <w:tab w:val="left" w:pos="2895"/>
        </w:tabs>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（二）明细报价表</w:t>
      </w: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pPr>
        <w:spacing w:line="400" w:lineRule="exact"/>
        <w:ind w:firstLine="480" w:firstLineChars="200"/>
        <w:rPr>
          <w:rFonts w:hint="default" w:ascii="Times New Roman" w:hAnsi="Times New Roman" w:eastAsia="方正仿宋_GBK" w:cs="Times New Roman"/>
          <w:sz w:val="24"/>
          <w:szCs w:val="24"/>
          <w:u w:val="single"/>
        </w:rPr>
      </w:pPr>
      <w:r>
        <w:rPr>
          <w:rFonts w:hint="default" w:ascii="Times New Roman" w:hAnsi="Times New Roman" w:eastAsia="方正仿宋_GBK" w:cs="Times New Roman"/>
          <w:sz w:val="24"/>
          <w:szCs w:val="24"/>
        </w:rPr>
        <w:t xml:space="preserve">项目名称： </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noWrap w:val="0"/>
            <w:vAlign w:val="center"/>
          </w:tcPr>
          <w:p>
            <w:pPr>
              <w:jc w:val="center"/>
              <w:rPr>
                <w:rFonts w:hint="default" w:ascii="Times New Roman" w:hAnsi="Times New Roman" w:eastAsia="方正仿宋_GBK" w:cs="Times New Roman"/>
                <w:b/>
                <w:sz w:val="21"/>
                <w:szCs w:val="21"/>
              </w:rPr>
            </w:pPr>
            <w:r>
              <w:rPr>
                <w:rFonts w:hint="default" w:ascii="Times New Roman" w:hAnsi="Times New Roman" w:eastAsia="方正仿宋_GBK" w:cs="Times New Roman"/>
                <w:b/>
                <w:sz w:val="21"/>
                <w:szCs w:val="21"/>
              </w:rPr>
              <w:t>序号</w:t>
            </w:r>
          </w:p>
        </w:tc>
        <w:tc>
          <w:tcPr>
            <w:tcW w:w="1557" w:type="dxa"/>
            <w:noWrap w:val="0"/>
            <w:vAlign w:val="center"/>
          </w:tcPr>
          <w:p>
            <w:pPr>
              <w:jc w:val="center"/>
              <w:rPr>
                <w:rFonts w:hint="default" w:ascii="Times New Roman" w:hAnsi="Times New Roman" w:eastAsia="方正仿宋_GBK" w:cs="Times New Roman"/>
                <w:b/>
                <w:sz w:val="21"/>
                <w:szCs w:val="21"/>
              </w:rPr>
            </w:pPr>
            <w:r>
              <w:rPr>
                <w:rFonts w:hint="default" w:ascii="Times New Roman" w:hAnsi="Times New Roman" w:eastAsia="方正仿宋_GBK" w:cs="Times New Roman"/>
                <w:b/>
                <w:sz w:val="21"/>
                <w:szCs w:val="21"/>
              </w:rPr>
              <w:t>名称</w:t>
            </w:r>
          </w:p>
        </w:tc>
        <w:tc>
          <w:tcPr>
            <w:tcW w:w="3127" w:type="dxa"/>
            <w:noWrap w:val="0"/>
            <w:vAlign w:val="center"/>
          </w:tcPr>
          <w:p>
            <w:pPr>
              <w:jc w:val="center"/>
              <w:rPr>
                <w:rFonts w:hint="default" w:ascii="Times New Roman" w:hAnsi="Times New Roman" w:eastAsia="方正仿宋_GBK" w:cs="Times New Roman"/>
                <w:b/>
                <w:sz w:val="21"/>
                <w:szCs w:val="21"/>
              </w:rPr>
            </w:pPr>
            <w:r>
              <w:rPr>
                <w:rFonts w:hint="default" w:ascii="Times New Roman" w:hAnsi="Times New Roman" w:eastAsia="方正仿宋_GBK" w:cs="Times New Roman"/>
                <w:b/>
                <w:sz w:val="21"/>
                <w:szCs w:val="21"/>
              </w:rPr>
              <w:t>相关信息</w:t>
            </w:r>
          </w:p>
        </w:tc>
        <w:tc>
          <w:tcPr>
            <w:tcW w:w="1235" w:type="dxa"/>
            <w:noWrap w:val="0"/>
            <w:vAlign w:val="center"/>
          </w:tcPr>
          <w:p>
            <w:pPr>
              <w:jc w:val="center"/>
              <w:rPr>
                <w:rFonts w:hint="default" w:ascii="Times New Roman" w:hAnsi="Times New Roman" w:eastAsia="方正仿宋_GBK" w:cs="Times New Roman"/>
                <w:b/>
                <w:sz w:val="21"/>
                <w:szCs w:val="21"/>
              </w:rPr>
            </w:pPr>
            <w:r>
              <w:rPr>
                <w:rFonts w:hint="default" w:ascii="Times New Roman" w:hAnsi="Times New Roman" w:eastAsia="方正仿宋_GBK" w:cs="Times New Roman"/>
                <w:b/>
                <w:sz w:val="21"/>
                <w:szCs w:val="21"/>
              </w:rPr>
              <w:t>数量</w:t>
            </w:r>
          </w:p>
        </w:tc>
        <w:tc>
          <w:tcPr>
            <w:tcW w:w="1235" w:type="dxa"/>
            <w:noWrap w:val="0"/>
            <w:vAlign w:val="center"/>
          </w:tcPr>
          <w:p>
            <w:pPr>
              <w:jc w:val="center"/>
              <w:rPr>
                <w:rFonts w:hint="default" w:ascii="Times New Roman" w:hAnsi="Times New Roman" w:eastAsia="方正仿宋_GBK" w:cs="Times New Roman"/>
                <w:b/>
                <w:sz w:val="21"/>
                <w:szCs w:val="21"/>
              </w:rPr>
            </w:pPr>
            <w:r>
              <w:rPr>
                <w:rFonts w:hint="default" w:ascii="Times New Roman" w:hAnsi="Times New Roman" w:eastAsia="方正仿宋_GBK" w:cs="Times New Roman"/>
                <w:b/>
                <w:sz w:val="21"/>
                <w:szCs w:val="21"/>
              </w:rPr>
              <w:t>单价</w:t>
            </w:r>
          </w:p>
        </w:tc>
        <w:tc>
          <w:tcPr>
            <w:tcW w:w="1235" w:type="dxa"/>
            <w:noWrap w:val="0"/>
            <w:vAlign w:val="center"/>
          </w:tcPr>
          <w:p>
            <w:pPr>
              <w:jc w:val="center"/>
              <w:rPr>
                <w:rFonts w:hint="default" w:ascii="Times New Roman" w:hAnsi="Times New Roman" w:eastAsia="方正仿宋_GBK" w:cs="Times New Roman"/>
                <w:b/>
                <w:sz w:val="21"/>
                <w:szCs w:val="21"/>
              </w:rPr>
            </w:pPr>
            <w:r>
              <w:rPr>
                <w:rFonts w:hint="default" w:ascii="Times New Roman" w:hAnsi="Times New Roman" w:eastAsia="方正仿宋_GBK" w:cs="Times New Roman"/>
                <w:b/>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pPr>
              <w:pStyle w:val="23"/>
              <w:spacing w:line="240" w:lineRule="atLeast"/>
              <w:ind w:left="3920"/>
              <w:jc w:val="center"/>
              <w:outlineLvl w:val="0"/>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w:t>
            </w:r>
          </w:p>
        </w:tc>
        <w:tc>
          <w:tcPr>
            <w:tcW w:w="1557" w:type="dxa"/>
            <w:noWrap w:val="0"/>
            <w:vAlign w:val="center"/>
          </w:tcPr>
          <w:p>
            <w:pPr>
              <w:jc w:val="center"/>
              <w:rPr>
                <w:rFonts w:hint="default" w:ascii="Times New Roman" w:hAnsi="Times New Roman" w:eastAsia="方正仿宋_GBK" w:cs="Times New Roman"/>
                <w:sz w:val="21"/>
                <w:szCs w:val="21"/>
              </w:rPr>
            </w:pPr>
          </w:p>
        </w:tc>
        <w:tc>
          <w:tcPr>
            <w:tcW w:w="3127" w:type="dxa"/>
            <w:noWrap w:val="0"/>
            <w:vAlign w:val="top"/>
          </w:tcPr>
          <w:p>
            <w:pPr>
              <w:jc w:val="center"/>
              <w:rPr>
                <w:rFonts w:hint="default" w:ascii="Times New Roman" w:hAnsi="Times New Roman" w:eastAsia="方正仿宋_GBK" w:cs="Times New Roman"/>
                <w:sz w:val="21"/>
                <w:szCs w:val="21"/>
              </w:rPr>
            </w:pPr>
          </w:p>
        </w:tc>
        <w:tc>
          <w:tcPr>
            <w:tcW w:w="1235" w:type="dxa"/>
            <w:noWrap w:val="0"/>
            <w:vAlign w:val="center"/>
          </w:tcPr>
          <w:p>
            <w:pPr>
              <w:jc w:val="center"/>
              <w:rPr>
                <w:rFonts w:hint="default" w:ascii="Times New Roman" w:hAnsi="Times New Roman" w:eastAsia="方正仿宋_GBK" w:cs="Times New Roman"/>
                <w:sz w:val="21"/>
                <w:szCs w:val="21"/>
              </w:rPr>
            </w:pPr>
          </w:p>
        </w:tc>
        <w:tc>
          <w:tcPr>
            <w:tcW w:w="1235" w:type="dxa"/>
            <w:noWrap w:val="0"/>
            <w:vAlign w:val="top"/>
          </w:tcPr>
          <w:p>
            <w:pPr>
              <w:jc w:val="center"/>
              <w:rPr>
                <w:rFonts w:hint="default" w:ascii="Times New Roman" w:hAnsi="Times New Roman" w:eastAsia="方正仿宋_GBK" w:cs="Times New Roman"/>
                <w:sz w:val="21"/>
                <w:szCs w:val="21"/>
              </w:rPr>
            </w:pPr>
          </w:p>
        </w:tc>
        <w:tc>
          <w:tcPr>
            <w:tcW w:w="1235" w:type="dxa"/>
            <w:noWrap w:val="0"/>
            <w:vAlign w:val="top"/>
          </w:tcPr>
          <w:p>
            <w:pPr>
              <w:jc w:val="center"/>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pPr>
              <w:pStyle w:val="23"/>
              <w:spacing w:line="240" w:lineRule="atLeast"/>
              <w:ind w:left="3920"/>
              <w:jc w:val="center"/>
              <w:outlineLvl w:val="0"/>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w:t>
            </w:r>
          </w:p>
        </w:tc>
        <w:tc>
          <w:tcPr>
            <w:tcW w:w="1557" w:type="dxa"/>
            <w:noWrap w:val="0"/>
            <w:vAlign w:val="center"/>
          </w:tcPr>
          <w:p>
            <w:pPr>
              <w:jc w:val="center"/>
              <w:rPr>
                <w:rFonts w:hint="default" w:ascii="Times New Roman" w:hAnsi="Times New Roman" w:eastAsia="方正仿宋_GBK" w:cs="Times New Roman"/>
                <w:sz w:val="21"/>
                <w:szCs w:val="21"/>
              </w:rPr>
            </w:pPr>
          </w:p>
        </w:tc>
        <w:tc>
          <w:tcPr>
            <w:tcW w:w="3127" w:type="dxa"/>
            <w:noWrap w:val="0"/>
            <w:vAlign w:val="top"/>
          </w:tcPr>
          <w:p>
            <w:pPr>
              <w:jc w:val="center"/>
              <w:rPr>
                <w:rFonts w:hint="default" w:ascii="Times New Roman" w:hAnsi="Times New Roman" w:eastAsia="方正仿宋_GBK" w:cs="Times New Roman"/>
                <w:sz w:val="21"/>
                <w:szCs w:val="21"/>
              </w:rPr>
            </w:pPr>
          </w:p>
        </w:tc>
        <w:tc>
          <w:tcPr>
            <w:tcW w:w="1235" w:type="dxa"/>
            <w:noWrap w:val="0"/>
            <w:vAlign w:val="center"/>
          </w:tcPr>
          <w:p>
            <w:pPr>
              <w:jc w:val="center"/>
              <w:rPr>
                <w:rFonts w:hint="default" w:ascii="Times New Roman" w:hAnsi="Times New Roman" w:eastAsia="方正仿宋_GBK" w:cs="Times New Roman"/>
                <w:sz w:val="21"/>
                <w:szCs w:val="21"/>
              </w:rPr>
            </w:pPr>
          </w:p>
        </w:tc>
        <w:tc>
          <w:tcPr>
            <w:tcW w:w="1235" w:type="dxa"/>
            <w:noWrap w:val="0"/>
            <w:vAlign w:val="top"/>
          </w:tcPr>
          <w:p>
            <w:pPr>
              <w:jc w:val="center"/>
              <w:rPr>
                <w:rFonts w:hint="default" w:ascii="Times New Roman" w:hAnsi="Times New Roman" w:eastAsia="方正仿宋_GBK" w:cs="Times New Roman"/>
                <w:sz w:val="21"/>
                <w:szCs w:val="21"/>
              </w:rPr>
            </w:pPr>
          </w:p>
        </w:tc>
        <w:tc>
          <w:tcPr>
            <w:tcW w:w="1235" w:type="dxa"/>
            <w:noWrap w:val="0"/>
            <w:vAlign w:val="top"/>
          </w:tcPr>
          <w:p>
            <w:pPr>
              <w:jc w:val="center"/>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pPr>
              <w:pStyle w:val="23"/>
              <w:spacing w:line="240" w:lineRule="atLeast"/>
              <w:ind w:left="3920"/>
              <w:jc w:val="center"/>
              <w:outlineLvl w:val="0"/>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w:t>
            </w:r>
          </w:p>
        </w:tc>
        <w:tc>
          <w:tcPr>
            <w:tcW w:w="1557" w:type="dxa"/>
            <w:noWrap w:val="0"/>
            <w:vAlign w:val="center"/>
          </w:tcPr>
          <w:p>
            <w:pPr>
              <w:jc w:val="center"/>
              <w:rPr>
                <w:rFonts w:hint="default" w:ascii="Times New Roman" w:hAnsi="Times New Roman" w:eastAsia="方正仿宋_GBK" w:cs="Times New Roman"/>
                <w:sz w:val="21"/>
                <w:szCs w:val="21"/>
              </w:rPr>
            </w:pPr>
          </w:p>
        </w:tc>
        <w:tc>
          <w:tcPr>
            <w:tcW w:w="3127" w:type="dxa"/>
            <w:noWrap w:val="0"/>
            <w:vAlign w:val="top"/>
          </w:tcPr>
          <w:p>
            <w:pPr>
              <w:jc w:val="center"/>
              <w:rPr>
                <w:rFonts w:hint="default" w:ascii="Times New Roman" w:hAnsi="Times New Roman" w:eastAsia="方正仿宋_GBK" w:cs="Times New Roman"/>
                <w:sz w:val="21"/>
                <w:szCs w:val="21"/>
              </w:rPr>
            </w:pPr>
          </w:p>
        </w:tc>
        <w:tc>
          <w:tcPr>
            <w:tcW w:w="1235" w:type="dxa"/>
            <w:noWrap w:val="0"/>
            <w:vAlign w:val="center"/>
          </w:tcPr>
          <w:p>
            <w:pPr>
              <w:jc w:val="center"/>
              <w:rPr>
                <w:rFonts w:hint="default" w:ascii="Times New Roman" w:hAnsi="Times New Roman" w:eastAsia="方正仿宋_GBK" w:cs="Times New Roman"/>
                <w:sz w:val="21"/>
                <w:szCs w:val="21"/>
              </w:rPr>
            </w:pPr>
          </w:p>
        </w:tc>
        <w:tc>
          <w:tcPr>
            <w:tcW w:w="1235" w:type="dxa"/>
            <w:noWrap w:val="0"/>
            <w:vAlign w:val="top"/>
          </w:tcPr>
          <w:p>
            <w:pPr>
              <w:jc w:val="center"/>
              <w:rPr>
                <w:rFonts w:hint="default" w:ascii="Times New Roman" w:hAnsi="Times New Roman" w:eastAsia="方正仿宋_GBK" w:cs="Times New Roman"/>
                <w:sz w:val="21"/>
                <w:szCs w:val="21"/>
              </w:rPr>
            </w:pPr>
          </w:p>
        </w:tc>
        <w:tc>
          <w:tcPr>
            <w:tcW w:w="1235" w:type="dxa"/>
            <w:noWrap w:val="0"/>
            <w:vAlign w:val="top"/>
          </w:tcPr>
          <w:p>
            <w:pPr>
              <w:jc w:val="center"/>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pPr>
              <w:pStyle w:val="23"/>
              <w:spacing w:line="240" w:lineRule="atLeast"/>
              <w:ind w:left="3920"/>
              <w:jc w:val="center"/>
              <w:outlineLvl w:val="0"/>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w:t>
            </w:r>
          </w:p>
        </w:tc>
        <w:tc>
          <w:tcPr>
            <w:tcW w:w="1557" w:type="dxa"/>
            <w:noWrap w:val="0"/>
            <w:vAlign w:val="center"/>
          </w:tcPr>
          <w:p>
            <w:pPr>
              <w:jc w:val="center"/>
              <w:rPr>
                <w:rFonts w:hint="default" w:ascii="Times New Roman" w:hAnsi="Times New Roman" w:eastAsia="方正仿宋_GBK" w:cs="Times New Roman"/>
                <w:sz w:val="21"/>
                <w:szCs w:val="21"/>
              </w:rPr>
            </w:pPr>
          </w:p>
        </w:tc>
        <w:tc>
          <w:tcPr>
            <w:tcW w:w="3127" w:type="dxa"/>
            <w:noWrap w:val="0"/>
            <w:vAlign w:val="top"/>
          </w:tcPr>
          <w:p>
            <w:pPr>
              <w:jc w:val="center"/>
              <w:rPr>
                <w:rFonts w:hint="default" w:ascii="Times New Roman" w:hAnsi="Times New Roman" w:eastAsia="方正仿宋_GBK" w:cs="Times New Roman"/>
                <w:sz w:val="21"/>
                <w:szCs w:val="21"/>
              </w:rPr>
            </w:pPr>
          </w:p>
        </w:tc>
        <w:tc>
          <w:tcPr>
            <w:tcW w:w="1235" w:type="dxa"/>
            <w:noWrap w:val="0"/>
            <w:vAlign w:val="center"/>
          </w:tcPr>
          <w:p>
            <w:pPr>
              <w:jc w:val="center"/>
              <w:rPr>
                <w:rFonts w:hint="default" w:ascii="Times New Roman" w:hAnsi="Times New Roman" w:eastAsia="方正仿宋_GBK" w:cs="Times New Roman"/>
                <w:sz w:val="21"/>
                <w:szCs w:val="21"/>
              </w:rPr>
            </w:pPr>
          </w:p>
        </w:tc>
        <w:tc>
          <w:tcPr>
            <w:tcW w:w="1235" w:type="dxa"/>
            <w:noWrap w:val="0"/>
            <w:vAlign w:val="top"/>
          </w:tcPr>
          <w:p>
            <w:pPr>
              <w:jc w:val="center"/>
              <w:rPr>
                <w:rFonts w:hint="default" w:ascii="Times New Roman" w:hAnsi="Times New Roman" w:eastAsia="方正仿宋_GBK" w:cs="Times New Roman"/>
                <w:sz w:val="21"/>
                <w:szCs w:val="21"/>
              </w:rPr>
            </w:pPr>
          </w:p>
        </w:tc>
        <w:tc>
          <w:tcPr>
            <w:tcW w:w="1235" w:type="dxa"/>
            <w:noWrap w:val="0"/>
            <w:vAlign w:val="top"/>
          </w:tcPr>
          <w:p>
            <w:pPr>
              <w:jc w:val="center"/>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pPr>
              <w:pStyle w:val="23"/>
              <w:spacing w:line="240" w:lineRule="atLeast"/>
              <w:ind w:left="3920"/>
              <w:jc w:val="center"/>
              <w:outlineLvl w:val="0"/>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5</w:t>
            </w:r>
          </w:p>
        </w:tc>
        <w:tc>
          <w:tcPr>
            <w:tcW w:w="1557" w:type="dxa"/>
            <w:noWrap w:val="0"/>
            <w:vAlign w:val="center"/>
          </w:tcPr>
          <w:p>
            <w:pPr>
              <w:jc w:val="center"/>
              <w:rPr>
                <w:rFonts w:hint="default" w:ascii="Times New Roman" w:hAnsi="Times New Roman" w:eastAsia="方正仿宋_GBK" w:cs="Times New Roman"/>
                <w:sz w:val="21"/>
                <w:szCs w:val="21"/>
              </w:rPr>
            </w:pPr>
          </w:p>
        </w:tc>
        <w:tc>
          <w:tcPr>
            <w:tcW w:w="3127" w:type="dxa"/>
            <w:noWrap w:val="0"/>
            <w:vAlign w:val="top"/>
          </w:tcPr>
          <w:p>
            <w:pPr>
              <w:jc w:val="center"/>
              <w:rPr>
                <w:rFonts w:hint="default" w:ascii="Times New Roman" w:hAnsi="Times New Roman" w:eastAsia="方正仿宋_GBK" w:cs="Times New Roman"/>
                <w:sz w:val="21"/>
                <w:szCs w:val="21"/>
              </w:rPr>
            </w:pPr>
          </w:p>
        </w:tc>
        <w:tc>
          <w:tcPr>
            <w:tcW w:w="1235" w:type="dxa"/>
            <w:noWrap w:val="0"/>
            <w:vAlign w:val="center"/>
          </w:tcPr>
          <w:p>
            <w:pPr>
              <w:jc w:val="center"/>
              <w:rPr>
                <w:rFonts w:hint="default" w:ascii="Times New Roman" w:hAnsi="Times New Roman" w:eastAsia="方正仿宋_GBK" w:cs="Times New Roman"/>
                <w:sz w:val="21"/>
                <w:szCs w:val="21"/>
              </w:rPr>
            </w:pPr>
          </w:p>
        </w:tc>
        <w:tc>
          <w:tcPr>
            <w:tcW w:w="1235" w:type="dxa"/>
            <w:noWrap w:val="0"/>
            <w:vAlign w:val="top"/>
          </w:tcPr>
          <w:p>
            <w:pPr>
              <w:jc w:val="center"/>
              <w:rPr>
                <w:rFonts w:hint="default" w:ascii="Times New Roman" w:hAnsi="Times New Roman" w:eastAsia="方正仿宋_GBK" w:cs="Times New Roman"/>
                <w:sz w:val="21"/>
                <w:szCs w:val="21"/>
              </w:rPr>
            </w:pPr>
          </w:p>
        </w:tc>
        <w:tc>
          <w:tcPr>
            <w:tcW w:w="1235" w:type="dxa"/>
            <w:noWrap w:val="0"/>
            <w:vAlign w:val="top"/>
          </w:tcPr>
          <w:p>
            <w:pPr>
              <w:jc w:val="center"/>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pPr>
              <w:pStyle w:val="23"/>
              <w:spacing w:line="240" w:lineRule="atLeast"/>
              <w:ind w:left="3920"/>
              <w:jc w:val="center"/>
              <w:outlineLvl w:val="0"/>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6</w:t>
            </w:r>
          </w:p>
        </w:tc>
        <w:tc>
          <w:tcPr>
            <w:tcW w:w="1557" w:type="dxa"/>
            <w:noWrap w:val="0"/>
            <w:vAlign w:val="center"/>
          </w:tcPr>
          <w:p>
            <w:pPr>
              <w:jc w:val="center"/>
              <w:rPr>
                <w:rFonts w:hint="default" w:ascii="Times New Roman" w:hAnsi="Times New Roman" w:eastAsia="方正仿宋_GBK" w:cs="Times New Roman"/>
                <w:sz w:val="21"/>
                <w:szCs w:val="21"/>
              </w:rPr>
            </w:pPr>
          </w:p>
        </w:tc>
        <w:tc>
          <w:tcPr>
            <w:tcW w:w="3127" w:type="dxa"/>
            <w:noWrap w:val="0"/>
            <w:vAlign w:val="top"/>
          </w:tcPr>
          <w:p>
            <w:pPr>
              <w:jc w:val="center"/>
              <w:rPr>
                <w:rFonts w:hint="default" w:ascii="Times New Roman" w:hAnsi="Times New Roman" w:eastAsia="方正仿宋_GBK" w:cs="Times New Roman"/>
                <w:sz w:val="21"/>
                <w:szCs w:val="21"/>
              </w:rPr>
            </w:pPr>
          </w:p>
        </w:tc>
        <w:tc>
          <w:tcPr>
            <w:tcW w:w="1235" w:type="dxa"/>
            <w:noWrap w:val="0"/>
            <w:vAlign w:val="center"/>
          </w:tcPr>
          <w:p>
            <w:pPr>
              <w:jc w:val="center"/>
              <w:rPr>
                <w:rFonts w:hint="default" w:ascii="Times New Roman" w:hAnsi="Times New Roman" w:eastAsia="方正仿宋_GBK" w:cs="Times New Roman"/>
                <w:sz w:val="21"/>
                <w:szCs w:val="21"/>
              </w:rPr>
            </w:pPr>
          </w:p>
        </w:tc>
        <w:tc>
          <w:tcPr>
            <w:tcW w:w="1235" w:type="dxa"/>
            <w:noWrap w:val="0"/>
            <w:vAlign w:val="top"/>
          </w:tcPr>
          <w:p>
            <w:pPr>
              <w:jc w:val="center"/>
              <w:rPr>
                <w:rFonts w:hint="default" w:ascii="Times New Roman" w:hAnsi="Times New Roman" w:eastAsia="方正仿宋_GBK" w:cs="Times New Roman"/>
                <w:sz w:val="21"/>
                <w:szCs w:val="21"/>
              </w:rPr>
            </w:pPr>
          </w:p>
        </w:tc>
        <w:tc>
          <w:tcPr>
            <w:tcW w:w="1235" w:type="dxa"/>
            <w:noWrap w:val="0"/>
            <w:vAlign w:val="top"/>
          </w:tcPr>
          <w:p>
            <w:pPr>
              <w:jc w:val="center"/>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pPr>
              <w:pStyle w:val="23"/>
              <w:spacing w:line="240" w:lineRule="atLeast"/>
              <w:ind w:left="3920"/>
              <w:jc w:val="center"/>
              <w:outlineLvl w:val="0"/>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7</w:t>
            </w:r>
          </w:p>
        </w:tc>
        <w:tc>
          <w:tcPr>
            <w:tcW w:w="1557" w:type="dxa"/>
            <w:noWrap w:val="0"/>
            <w:vAlign w:val="center"/>
          </w:tcPr>
          <w:p>
            <w:pPr>
              <w:jc w:val="center"/>
              <w:rPr>
                <w:rFonts w:hint="default" w:ascii="Times New Roman" w:hAnsi="Times New Roman" w:eastAsia="方正仿宋_GBK" w:cs="Times New Roman"/>
                <w:sz w:val="21"/>
                <w:szCs w:val="21"/>
              </w:rPr>
            </w:pPr>
          </w:p>
        </w:tc>
        <w:tc>
          <w:tcPr>
            <w:tcW w:w="3127" w:type="dxa"/>
            <w:noWrap w:val="0"/>
            <w:vAlign w:val="top"/>
          </w:tcPr>
          <w:p>
            <w:pPr>
              <w:jc w:val="center"/>
              <w:rPr>
                <w:rFonts w:hint="default" w:ascii="Times New Roman" w:hAnsi="Times New Roman" w:eastAsia="方正仿宋_GBK" w:cs="Times New Roman"/>
                <w:sz w:val="21"/>
                <w:szCs w:val="21"/>
              </w:rPr>
            </w:pPr>
          </w:p>
        </w:tc>
        <w:tc>
          <w:tcPr>
            <w:tcW w:w="1235" w:type="dxa"/>
            <w:noWrap w:val="0"/>
            <w:vAlign w:val="center"/>
          </w:tcPr>
          <w:p>
            <w:pPr>
              <w:jc w:val="center"/>
              <w:rPr>
                <w:rFonts w:hint="default" w:ascii="Times New Roman" w:hAnsi="Times New Roman" w:eastAsia="方正仿宋_GBK" w:cs="Times New Roman"/>
                <w:sz w:val="21"/>
                <w:szCs w:val="21"/>
              </w:rPr>
            </w:pPr>
          </w:p>
        </w:tc>
        <w:tc>
          <w:tcPr>
            <w:tcW w:w="1235" w:type="dxa"/>
            <w:noWrap w:val="0"/>
            <w:vAlign w:val="top"/>
          </w:tcPr>
          <w:p>
            <w:pPr>
              <w:jc w:val="center"/>
              <w:rPr>
                <w:rFonts w:hint="default" w:ascii="Times New Roman" w:hAnsi="Times New Roman" w:eastAsia="方正仿宋_GBK" w:cs="Times New Roman"/>
                <w:sz w:val="21"/>
                <w:szCs w:val="21"/>
              </w:rPr>
            </w:pPr>
          </w:p>
        </w:tc>
        <w:tc>
          <w:tcPr>
            <w:tcW w:w="1235" w:type="dxa"/>
            <w:noWrap w:val="0"/>
            <w:vAlign w:val="top"/>
          </w:tcPr>
          <w:p>
            <w:pPr>
              <w:jc w:val="center"/>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pPr>
              <w:pStyle w:val="23"/>
              <w:spacing w:line="240" w:lineRule="atLeast"/>
              <w:ind w:left="3920"/>
              <w:jc w:val="center"/>
              <w:outlineLvl w:val="0"/>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8</w:t>
            </w:r>
          </w:p>
        </w:tc>
        <w:tc>
          <w:tcPr>
            <w:tcW w:w="1557" w:type="dxa"/>
            <w:noWrap w:val="0"/>
            <w:vAlign w:val="center"/>
          </w:tcPr>
          <w:p>
            <w:pPr>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人工费</w:t>
            </w:r>
          </w:p>
        </w:tc>
        <w:tc>
          <w:tcPr>
            <w:tcW w:w="3127" w:type="dxa"/>
            <w:noWrap w:val="0"/>
            <w:vAlign w:val="top"/>
          </w:tcPr>
          <w:p>
            <w:pPr>
              <w:jc w:val="center"/>
              <w:rPr>
                <w:rFonts w:hint="default" w:ascii="Times New Roman" w:hAnsi="Times New Roman" w:eastAsia="方正仿宋_GBK" w:cs="Times New Roman"/>
                <w:sz w:val="21"/>
                <w:szCs w:val="21"/>
              </w:rPr>
            </w:pPr>
          </w:p>
        </w:tc>
        <w:tc>
          <w:tcPr>
            <w:tcW w:w="1235" w:type="dxa"/>
            <w:noWrap w:val="0"/>
            <w:vAlign w:val="center"/>
          </w:tcPr>
          <w:p>
            <w:pPr>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p>
        </w:tc>
        <w:tc>
          <w:tcPr>
            <w:tcW w:w="1235" w:type="dxa"/>
            <w:noWrap w:val="0"/>
            <w:vAlign w:val="top"/>
          </w:tcPr>
          <w:p>
            <w:pPr>
              <w:jc w:val="center"/>
              <w:rPr>
                <w:rFonts w:hint="default" w:ascii="Times New Roman" w:hAnsi="Times New Roman" w:eastAsia="方正仿宋_GBK" w:cs="Times New Roman"/>
                <w:sz w:val="21"/>
                <w:szCs w:val="21"/>
              </w:rPr>
            </w:pPr>
          </w:p>
        </w:tc>
        <w:tc>
          <w:tcPr>
            <w:tcW w:w="1235" w:type="dxa"/>
            <w:noWrap w:val="0"/>
            <w:vAlign w:val="top"/>
          </w:tcPr>
          <w:p>
            <w:pPr>
              <w:jc w:val="center"/>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pPr>
              <w:pStyle w:val="23"/>
              <w:spacing w:line="240" w:lineRule="atLeast"/>
              <w:ind w:left="3920"/>
              <w:jc w:val="center"/>
              <w:outlineLvl w:val="0"/>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9</w:t>
            </w:r>
          </w:p>
        </w:tc>
        <w:tc>
          <w:tcPr>
            <w:tcW w:w="1557" w:type="dxa"/>
            <w:noWrap w:val="0"/>
            <w:vAlign w:val="center"/>
          </w:tcPr>
          <w:p>
            <w:pPr>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运输费</w:t>
            </w:r>
          </w:p>
        </w:tc>
        <w:tc>
          <w:tcPr>
            <w:tcW w:w="3127" w:type="dxa"/>
            <w:noWrap w:val="0"/>
            <w:vAlign w:val="top"/>
          </w:tcPr>
          <w:p>
            <w:pPr>
              <w:jc w:val="center"/>
              <w:rPr>
                <w:rFonts w:hint="default" w:ascii="Times New Roman" w:hAnsi="Times New Roman" w:eastAsia="方正仿宋_GBK" w:cs="Times New Roman"/>
                <w:sz w:val="21"/>
                <w:szCs w:val="21"/>
              </w:rPr>
            </w:pPr>
          </w:p>
        </w:tc>
        <w:tc>
          <w:tcPr>
            <w:tcW w:w="1235" w:type="dxa"/>
            <w:noWrap w:val="0"/>
            <w:vAlign w:val="center"/>
          </w:tcPr>
          <w:p>
            <w:pPr>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p>
        </w:tc>
        <w:tc>
          <w:tcPr>
            <w:tcW w:w="1235" w:type="dxa"/>
            <w:noWrap w:val="0"/>
            <w:vAlign w:val="top"/>
          </w:tcPr>
          <w:p>
            <w:pPr>
              <w:jc w:val="center"/>
              <w:rPr>
                <w:rFonts w:hint="default" w:ascii="Times New Roman" w:hAnsi="Times New Roman" w:eastAsia="方正仿宋_GBK" w:cs="Times New Roman"/>
                <w:sz w:val="21"/>
                <w:szCs w:val="21"/>
              </w:rPr>
            </w:pPr>
          </w:p>
        </w:tc>
        <w:tc>
          <w:tcPr>
            <w:tcW w:w="1235" w:type="dxa"/>
            <w:noWrap w:val="0"/>
            <w:vAlign w:val="top"/>
          </w:tcPr>
          <w:p>
            <w:pPr>
              <w:jc w:val="center"/>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pPr>
              <w:pStyle w:val="23"/>
              <w:spacing w:line="240" w:lineRule="atLeast"/>
              <w:ind w:left="3920"/>
              <w:jc w:val="center"/>
              <w:outlineLvl w:val="0"/>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w:t>
            </w:r>
          </w:p>
        </w:tc>
        <w:tc>
          <w:tcPr>
            <w:tcW w:w="1557" w:type="dxa"/>
            <w:noWrap w:val="0"/>
            <w:vAlign w:val="center"/>
          </w:tcPr>
          <w:p>
            <w:pPr>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其他费用</w:t>
            </w:r>
          </w:p>
        </w:tc>
        <w:tc>
          <w:tcPr>
            <w:tcW w:w="3127" w:type="dxa"/>
            <w:noWrap w:val="0"/>
            <w:vAlign w:val="top"/>
          </w:tcPr>
          <w:p>
            <w:pPr>
              <w:jc w:val="center"/>
              <w:rPr>
                <w:rFonts w:hint="default" w:ascii="Times New Roman" w:hAnsi="Times New Roman" w:eastAsia="方正仿宋_GBK" w:cs="Times New Roman"/>
                <w:sz w:val="21"/>
                <w:szCs w:val="21"/>
              </w:rPr>
            </w:pPr>
          </w:p>
        </w:tc>
        <w:tc>
          <w:tcPr>
            <w:tcW w:w="1235" w:type="dxa"/>
            <w:noWrap w:val="0"/>
            <w:vAlign w:val="center"/>
          </w:tcPr>
          <w:p>
            <w:pPr>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p>
        </w:tc>
        <w:tc>
          <w:tcPr>
            <w:tcW w:w="1235" w:type="dxa"/>
            <w:noWrap w:val="0"/>
            <w:vAlign w:val="top"/>
          </w:tcPr>
          <w:p>
            <w:pPr>
              <w:jc w:val="center"/>
              <w:rPr>
                <w:rFonts w:hint="default" w:ascii="Times New Roman" w:hAnsi="Times New Roman" w:eastAsia="方正仿宋_GBK" w:cs="Times New Roman"/>
                <w:sz w:val="21"/>
                <w:szCs w:val="21"/>
              </w:rPr>
            </w:pPr>
          </w:p>
        </w:tc>
        <w:tc>
          <w:tcPr>
            <w:tcW w:w="1235" w:type="dxa"/>
            <w:noWrap w:val="0"/>
            <w:vAlign w:val="top"/>
          </w:tcPr>
          <w:p>
            <w:pPr>
              <w:jc w:val="center"/>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pPr>
              <w:pStyle w:val="23"/>
              <w:spacing w:line="240" w:lineRule="atLeast"/>
              <w:ind w:left="3920"/>
              <w:jc w:val="center"/>
              <w:outlineLvl w:val="0"/>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11</w:t>
            </w:r>
          </w:p>
        </w:tc>
        <w:tc>
          <w:tcPr>
            <w:tcW w:w="1557" w:type="dxa"/>
            <w:noWrap w:val="0"/>
            <w:vAlign w:val="center"/>
          </w:tcPr>
          <w:p>
            <w:pPr>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p>
        </w:tc>
        <w:tc>
          <w:tcPr>
            <w:tcW w:w="3127" w:type="dxa"/>
            <w:noWrap w:val="0"/>
            <w:vAlign w:val="top"/>
          </w:tcPr>
          <w:p>
            <w:pPr>
              <w:jc w:val="center"/>
              <w:rPr>
                <w:rFonts w:hint="default" w:ascii="Times New Roman" w:hAnsi="Times New Roman" w:eastAsia="方正仿宋_GBK" w:cs="Times New Roman"/>
                <w:sz w:val="21"/>
                <w:szCs w:val="21"/>
              </w:rPr>
            </w:pPr>
          </w:p>
        </w:tc>
        <w:tc>
          <w:tcPr>
            <w:tcW w:w="1235" w:type="dxa"/>
            <w:noWrap w:val="0"/>
            <w:vAlign w:val="center"/>
          </w:tcPr>
          <w:p>
            <w:pPr>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p>
        </w:tc>
        <w:tc>
          <w:tcPr>
            <w:tcW w:w="1235" w:type="dxa"/>
            <w:noWrap w:val="0"/>
            <w:vAlign w:val="top"/>
          </w:tcPr>
          <w:p>
            <w:pPr>
              <w:jc w:val="center"/>
              <w:rPr>
                <w:rFonts w:hint="default" w:ascii="Times New Roman" w:hAnsi="Times New Roman" w:eastAsia="方正仿宋_GBK" w:cs="Times New Roman"/>
                <w:sz w:val="21"/>
                <w:szCs w:val="21"/>
              </w:rPr>
            </w:pPr>
          </w:p>
        </w:tc>
        <w:tc>
          <w:tcPr>
            <w:tcW w:w="1235" w:type="dxa"/>
            <w:noWrap w:val="0"/>
            <w:vAlign w:val="top"/>
          </w:tcPr>
          <w:p>
            <w:pPr>
              <w:jc w:val="center"/>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pPr>
              <w:pStyle w:val="23"/>
              <w:spacing w:line="240" w:lineRule="atLeast"/>
              <w:ind w:left="3920"/>
              <w:jc w:val="center"/>
              <w:outlineLvl w:val="0"/>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12</w:t>
            </w:r>
          </w:p>
        </w:tc>
        <w:tc>
          <w:tcPr>
            <w:tcW w:w="1557" w:type="dxa"/>
            <w:noWrap w:val="0"/>
            <w:vAlign w:val="center"/>
          </w:tcPr>
          <w:p>
            <w:pPr>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总计</w:t>
            </w:r>
          </w:p>
        </w:tc>
        <w:tc>
          <w:tcPr>
            <w:tcW w:w="6832" w:type="dxa"/>
            <w:gridSpan w:val="4"/>
            <w:noWrap w:val="0"/>
            <w:vAlign w:val="top"/>
          </w:tcPr>
          <w:p>
            <w:pPr>
              <w:rPr>
                <w:rFonts w:hint="default" w:ascii="Times New Roman" w:hAnsi="Times New Roman" w:eastAsia="方正仿宋_GBK" w:cs="Times New Roman"/>
                <w:sz w:val="21"/>
                <w:szCs w:val="21"/>
              </w:rPr>
            </w:pPr>
          </w:p>
        </w:tc>
      </w:tr>
    </w:tbl>
    <w:p>
      <w:pPr>
        <w:snapToGrid w:val="0"/>
        <w:spacing w:line="500" w:lineRule="exact"/>
        <w:ind w:firstLine="480" w:firstLineChars="200"/>
        <w:rPr>
          <w:rFonts w:hint="default" w:ascii="Times New Roman" w:hAnsi="Times New Roman" w:eastAsia="方正仿宋_GBK" w:cs="Times New Roman"/>
          <w:sz w:val="24"/>
          <w:szCs w:val="28"/>
        </w:rPr>
      </w:pPr>
    </w:p>
    <w:p>
      <w:pPr>
        <w:snapToGrid w:val="0"/>
        <w:spacing w:line="500" w:lineRule="exact"/>
        <w:ind w:firstLine="480" w:firstLineChars="2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注：1.供应商应完整填写本表。</w:t>
      </w:r>
    </w:p>
    <w:p>
      <w:pPr>
        <w:snapToGrid w:val="0"/>
        <w:spacing w:line="50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2.该表可扩展</w:t>
      </w:r>
      <w:bookmarkStart w:id="127" w:name="OLE_LINK2"/>
      <w:bookmarkStart w:id="128" w:name="OLE_LINK1"/>
      <w:r>
        <w:rPr>
          <w:rFonts w:hint="default" w:ascii="Times New Roman" w:hAnsi="Times New Roman" w:eastAsia="方正仿宋_GBK" w:cs="Times New Roman"/>
          <w:sz w:val="24"/>
          <w:szCs w:val="28"/>
        </w:rPr>
        <w:t>。</w:t>
      </w:r>
      <w:bookmarkEnd w:id="127"/>
      <w:bookmarkEnd w:id="128"/>
    </w:p>
    <w:p>
      <w:pPr>
        <w:pStyle w:val="37"/>
        <w:spacing w:line="360" w:lineRule="auto"/>
        <w:rPr>
          <w:rFonts w:hint="default" w:ascii="Times New Roman" w:hAnsi="Times New Roman" w:eastAsia="方正仿宋_GBK" w:cs="Times New Roman"/>
          <w:sz w:val="24"/>
          <w:szCs w:val="24"/>
        </w:rPr>
      </w:pPr>
    </w:p>
    <w:p>
      <w:pPr>
        <w:pStyle w:val="37"/>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pPr>
        <w:rPr>
          <w:rFonts w:hint="default" w:ascii="Times New Roman" w:hAnsi="Times New Roman" w:cs="Times New Roman"/>
        </w:rPr>
      </w:pPr>
    </w:p>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eastAsia="方正仿宋_GBK" w:cs="Times New Roman"/>
          <w:sz w:val="24"/>
          <w:szCs w:val="24"/>
        </w:rPr>
        <w:t xml:space="preserve">                                             供应商名称（公章）或自然人签署：</w:t>
      </w:r>
    </w:p>
    <w:p>
      <w:pPr>
        <w:spacing w:line="360" w:lineRule="auto"/>
        <w:ind w:right="480" w:firstLine="6480" w:firstLineChars="27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年     月    日</w:t>
      </w:r>
    </w:p>
    <w:p>
      <w:pPr>
        <w:snapToGrid w:val="0"/>
        <w:spacing w:line="360" w:lineRule="auto"/>
        <w:ind w:firstLine="480" w:firstLineChars="200"/>
        <w:rPr>
          <w:rFonts w:hint="default" w:ascii="Times New Roman" w:hAnsi="Times New Roman" w:eastAsia="方正仿宋_GBK" w:cs="Times New Roman"/>
          <w:sz w:val="24"/>
          <w:szCs w:val="24"/>
          <w:bdr w:val="single" w:color="auto" w:sz="4" w:space="0"/>
        </w:rPr>
        <w:sectPr>
          <w:headerReference r:id="rId18" w:type="default"/>
          <w:pgSz w:w="11907" w:h="16840"/>
          <w:pgMar w:top="1134" w:right="1191" w:bottom="1134" w:left="1304" w:header="851" w:footer="992" w:gutter="0"/>
          <w:pgNumType w:fmt="numberInDash"/>
          <w:cols w:space="720" w:num="1"/>
          <w:docGrid w:linePitch="380" w:charSpace="-5735"/>
        </w:sectPr>
      </w:pPr>
    </w:p>
    <w:p>
      <w:pPr>
        <w:pStyle w:val="3"/>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129" w:name="_Toc106030907"/>
      <w:bookmarkStart w:id="130" w:name="_Toc313008357"/>
      <w:bookmarkStart w:id="131" w:name="_Toc313888361"/>
      <w:bookmarkStart w:id="132" w:name="_Toc76462351"/>
      <w:bookmarkStart w:id="133" w:name="_Toc342913420"/>
      <w:r>
        <w:rPr>
          <w:rFonts w:hint="default" w:ascii="Times New Roman" w:hAnsi="Times New Roman" w:eastAsia="方正仿宋_GBK" w:cs="Times New Roman"/>
          <w:sz w:val="24"/>
        </w:rPr>
        <w:t>二、服务部分</w:t>
      </w:r>
      <w:bookmarkEnd w:id="129"/>
      <w:bookmarkEnd w:id="130"/>
      <w:bookmarkEnd w:id="131"/>
      <w:bookmarkEnd w:id="132"/>
      <w:bookmarkEnd w:id="133"/>
    </w:p>
    <w:p>
      <w:pPr>
        <w:tabs>
          <w:tab w:val="left" w:pos="6300"/>
        </w:tabs>
        <w:snapToGrid w:val="0"/>
        <w:spacing w:line="400" w:lineRule="exact"/>
        <w:ind w:firstLine="480" w:firstLineChars="200"/>
        <w:rPr>
          <w:rFonts w:hint="default" w:ascii="Times New Roman" w:hAnsi="Times New Roman" w:eastAsia="方正仿宋_GBK" w:cs="Times New Roman"/>
          <w:szCs w:val="24"/>
        </w:rPr>
      </w:pPr>
      <w:r>
        <w:rPr>
          <w:rFonts w:hint="default" w:ascii="Times New Roman" w:hAnsi="Times New Roman" w:eastAsia="方正仿宋_GBK" w:cs="Times New Roman"/>
          <w:sz w:val="24"/>
          <w:szCs w:val="24"/>
        </w:rPr>
        <w:t xml:space="preserve">（一）服务响应偏离表                                </w:t>
      </w:r>
    </w:p>
    <w:p>
      <w:pPr>
        <w:spacing w:line="400" w:lineRule="exact"/>
        <w:ind w:firstLine="480" w:firstLineChars="200"/>
        <w:rPr>
          <w:rFonts w:hint="default" w:ascii="Times New Roman" w:hAnsi="Times New Roman" w:eastAsia="方正仿宋_GBK" w:cs="Times New Roman"/>
          <w:sz w:val="24"/>
          <w:szCs w:val="24"/>
        </w:rPr>
      </w:pP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项目名称：</w:t>
      </w:r>
    </w:p>
    <w:tbl>
      <w:tblPr>
        <w:tblStyle w:val="5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7"/>
        <w:gridCol w:w="3081"/>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noWrap w:val="0"/>
            <w:vAlign w:val="center"/>
          </w:tcPr>
          <w:p>
            <w:pPr>
              <w:tabs>
                <w:tab w:val="left" w:pos="6300"/>
              </w:tabs>
              <w:snapToGrid w:val="0"/>
              <w:spacing w:line="500" w:lineRule="exact"/>
              <w:jc w:val="center"/>
              <w:outlineLvl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序号</w:t>
            </w:r>
          </w:p>
        </w:tc>
        <w:tc>
          <w:tcPr>
            <w:tcW w:w="1541" w:type="pct"/>
            <w:noWrap w:val="0"/>
            <w:vAlign w:val="center"/>
          </w:tcPr>
          <w:p>
            <w:pPr>
              <w:tabs>
                <w:tab w:val="left" w:pos="6300"/>
              </w:tabs>
              <w:snapToGrid w:val="0"/>
              <w:spacing w:line="500" w:lineRule="exact"/>
              <w:jc w:val="center"/>
              <w:outlineLvl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采购需求</w:t>
            </w:r>
          </w:p>
        </w:tc>
        <w:tc>
          <w:tcPr>
            <w:tcW w:w="1600" w:type="pct"/>
            <w:noWrap w:val="0"/>
            <w:vAlign w:val="center"/>
          </w:tcPr>
          <w:p>
            <w:pPr>
              <w:tabs>
                <w:tab w:val="left" w:pos="6300"/>
              </w:tabs>
              <w:snapToGrid w:val="0"/>
              <w:spacing w:line="500" w:lineRule="exact"/>
              <w:jc w:val="center"/>
              <w:outlineLvl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响应情况</w:t>
            </w:r>
          </w:p>
        </w:tc>
        <w:tc>
          <w:tcPr>
            <w:tcW w:w="1199" w:type="pct"/>
            <w:noWrap w:val="0"/>
            <w:vAlign w:val="center"/>
          </w:tcPr>
          <w:p>
            <w:pPr>
              <w:tabs>
                <w:tab w:val="left" w:pos="6300"/>
              </w:tabs>
              <w:snapToGrid w:val="0"/>
              <w:spacing w:line="500" w:lineRule="exact"/>
              <w:jc w:val="center"/>
              <w:outlineLvl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c>
          <w:tcPr>
            <w:tcW w:w="1541" w:type="pct"/>
            <w:noWrap w:val="0"/>
            <w:vAlign w:val="center"/>
          </w:tcPr>
          <w:p>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c>
          <w:tcPr>
            <w:tcW w:w="1600" w:type="pct"/>
            <w:noWrap w:val="0"/>
            <w:vAlign w:val="center"/>
          </w:tcPr>
          <w:p>
            <w:pPr>
              <w:tabs>
                <w:tab w:val="left" w:pos="6300"/>
              </w:tabs>
              <w:snapToGrid w:val="0"/>
              <w:spacing w:line="500" w:lineRule="exact"/>
              <w:outlineLvl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提醒：请注明技术参数或具体内容以及响应文件中技术参数或具体内容的位置（页码）</w:t>
            </w:r>
          </w:p>
        </w:tc>
        <w:tc>
          <w:tcPr>
            <w:tcW w:w="1199" w:type="pct"/>
            <w:noWrap w:val="0"/>
            <w:vAlign w:val="center"/>
          </w:tcPr>
          <w:p>
            <w:pPr>
              <w:tabs>
                <w:tab w:val="left" w:pos="6300"/>
              </w:tabs>
              <w:snapToGrid w:val="0"/>
              <w:spacing w:line="500" w:lineRule="exact"/>
              <w:jc w:val="center"/>
              <w:outlineLvl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提醒：请注明响应情况与采购需求的差异情况：正偏离、负偏离或者无差异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c>
          <w:tcPr>
            <w:tcW w:w="1541" w:type="pct"/>
            <w:noWrap w:val="0"/>
            <w:vAlign w:val="center"/>
          </w:tcPr>
          <w:p>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c>
          <w:tcPr>
            <w:tcW w:w="1600" w:type="pct"/>
            <w:noWrap w:val="0"/>
            <w:vAlign w:val="center"/>
          </w:tcPr>
          <w:p>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c>
          <w:tcPr>
            <w:tcW w:w="1199" w:type="pct"/>
            <w:noWrap w:val="0"/>
            <w:vAlign w:val="center"/>
          </w:tcPr>
          <w:p>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c>
          <w:tcPr>
            <w:tcW w:w="1541" w:type="pct"/>
            <w:noWrap w:val="0"/>
            <w:vAlign w:val="center"/>
          </w:tcPr>
          <w:p>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c>
          <w:tcPr>
            <w:tcW w:w="1600" w:type="pct"/>
            <w:noWrap w:val="0"/>
            <w:vAlign w:val="center"/>
          </w:tcPr>
          <w:p>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c>
          <w:tcPr>
            <w:tcW w:w="1199" w:type="pct"/>
            <w:noWrap w:val="0"/>
            <w:vAlign w:val="center"/>
          </w:tcPr>
          <w:p>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c>
          <w:tcPr>
            <w:tcW w:w="1541" w:type="pct"/>
            <w:noWrap w:val="0"/>
            <w:vAlign w:val="center"/>
          </w:tcPr>
          <w:p>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c>
          <w:tcPr>
            <w:tcW w:w="1600" w:type="pct"/>
            <w:noWrap w:val="0"/>
            <w:vAlign w:val="center"/>
          </w:tcPr>
          <w:p>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c>
          <w:tcPr>
            <w:tcW w:w="1199" w:type="pct"/>
            <w:noWrap w:val="0"/>
            <w:vAlign w:val="center"/>
          </w:tcPr>
          <w:p>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c>
          <w:tcPr>
            <w:tcW w:w="1541" w:type="pct"/>
            <w:noWrap w:val="0"/>
            <w:vAlign w:val="center"/>
          </w:tcPr>
          <w:p>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c>
          <w:tcPr>
            <w:tcW w:w="1600" w:type="pct"/>
            <w:noWrap w:val="0"/>
            <w:vAlign w:val="center"/>
          </w:tcPr>
          <w:p>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c>
          <w:tcPr>
            <w:tcW w:w="1199" w:type="pct"/>
            <w:noWrap w:val="0"/>
            <w:vAlign w:val="center"/>
          </w:tcPr>
          <w:p>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c>
          <w:tcPr>
            <w:tcW w:w="1541" w:type="pct"/>
            <w:noWrap w:val="0"/>
            <w:vAlign w:val="center"/>
          </w:tcPr>
          <w:p>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c>
          <w:tcPr>
            <w:tcW w:w="1600" w:type="pct"/>
            <w:noWrap w:val="0"/>
            <w:vAlign w:val="center"/>
          </w:tcPr>
          <w:p>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c>
          <w:tcPr>
            <w:tcW w:w="1199" w:type="pct"/>
            <w:noWrap w:val="0"/>
            <w:vAlign w:val="center"/>
          </w:tcPr>
          <w:p>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c>
          <w:tcPr>
            <w:tcW w:w="1541" w:type="pct"/>
            <w:noWrap w:val="0"/>
            <w:vAlign w:val="center"/>
          </w:tcPr>
          <w:p>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c>
          <w:tcPr>
            <w:tcW w:w="1600" w:type="pct"/>
            <w:noWrap w:val="0"/>
            <w:vAlign w:val="center"/>
          </w:tcPr>
          <w:p>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c>
          <w:tcPr>
            <w:tcW w:w="1199" w:type="pct"/>
            <w:noWrap w:val="0"/>
            <w:vAlign w:val="center"/>
          </w:tcPr>
          <w:p>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c>
          <w:tcPr>
            <w:tcW w:w="1541" w:type="pct"/>
            <w:noWrap w:val="0"/>
            <w:vAlign w:val="center"/>
          </w:tcPr>
          <w:p>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c>
          <w:tcPr>
            <w:tcW w:w="1600" w:type="pct"/>
            <w:noWrap w:val="0"/>
            <w:vAlign w:val="center"/>
          </w:tcPr>
          <w:p>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c>
          <w:tcPr>
            <w:tcW w:w="1199" w:type="pct"/>
            <w:noWrap w:val="0"/>
            <w:vAlign w:val="center"/>
          </w:tcPr>
          <w:p>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c>
          <w:tcPr>
            <w:tcW w:w="1541" w:type="pct"/>
            <w:noWrap w:val="0"/>
            <w:vAlign w:val="center"/>
          </w:tcPr>
          <w:p>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c>
          <w:tcPr>
            <w:tcW w:w="1600" w:type="pct"/>
            <w:noWrap w:val="0"/>
            <w:vAlign w:val="center"/>
          </w:tcPr>
          <w:p>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c>
          <w:tcPr>
            <w:tcW w:w="1199" w:type="pct"/>
            <w:noWrap w:val="0"/>
            <w:vAlign w:val="center"/>
          </w:tcPr>
          <w:p>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c>
          <w:tcPr>
            <w:tcW w:w="1541" w:type="pct"/>
            <w:noWrap w:val="0"/>
            <w:vAlign w:val="center"/>
          </w:tcPr>
          <w:p>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c>
          <w:tcPr>
            <w:tcW w:w="1600" w:type="pct"/>
            <w:noWrap w:val="0"/>
            <w:vAlign w:val="center"/>
          </w:tcPr>
          <w:p>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c>
          <w:tcPr>
            <w:tcW w:w="1199" w:type="pct"/>
            <w:noWrap w:val="0"/>
            <w:vAlign w:val="center"/>
          </w:tcPr>
          <w:p>
            <w:pPr>
              <w:tabs>
                <w:tab w:val="left" w:pos="6300"/>
              </w:tabs>
              <w:snapToGrid w:val="0"/>
              <w:spacing w:line="500" w:lineRule="exact"/>
              <w:jc w:val="center"/>
              <w:outlineLvl w:val="0"/>
              <w:rPr>
                <w:rFonts w:hint="default" w:ascii="Times New Roman" w:hAnsi="Times New Roman" w:eastAsia="方正仿宋_GBK" w:cs="Times New Roman"/>
                <w:sz w:val="21"/>
                <w:szCs w:val="21"/>
              </w:rPr>
            </w:pPr>
          </w:p>
        </w:tc>
      </w:tr>
    </w:tbl>
    <w:p>
      <w:pPr>
        <w:spacing w:line="500" w:lineRule="exact"/>
        <w:ind w:firstLine="600" w:firstLineChars="25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供应商：                            </w:t>
      </w:r>
      <w:r>
        <w:rPr>
          <w:rFonts w:hint="default" w:ascii="Times New Roman" w:hAnsi="Times New Roman" w:eastAsia="方正仿宋_GBK" w:cs="Times New Roman"/>
          <w:sz w:val="24"/>
          <w:szCs w:val="24"/>
        </w:rPr>
        <w:t>法定代表人（或其授权代表）或自然人：</w:t>
      </w:r>
    </w:p>
    <w:p>
      <w:pPr>
        <w:spacing w:line="50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w:t>
      </w:r>
    </w:p>
    <w:p>
      <w:pPr>
        <w:spacing w:line="500" w:lineRule="exact"/>
        <w:ind w:firstLine="720" w:firstLineChars="30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（供应商公章）                               （签署或盖章）</w:t>
      </w:r>
    </w:p>
    <w:p>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 xml:space="preserve">                                              年     月     日</w:t>
      </w:r>
    </w:p>
    <w:p>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注：</w:t>
      </w:r>
    </w:p>
    <w:p>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t>1</w:t>
      </w:r>
      <w:r>
        <w:rPr>
          <w:rFonts w:hint="default" w:ascii="Times New Roman" w:hAnsi="Times New Roman" w:eastAsia="方正仿宋_GBK" w:cs="Times New Roman"/>
          <w:sz w:val="24"/>
        </w:rPr>
        <w:t>.</w:t>
      </w:r>
      <w:r>
        <w:rPr>
          <w:rFonts w:hint="default" w:ascii="Times New Roman" w:hAnsi="Times New Roman" w:eastAsia="方正仿宋_GBK" w:cs="Times New Roman"/>
          <w:sz w:val="24"/>
          <w:szCs w:val="24"/>
        </w:rPr>
        <w:t>本表即为对本项目“第二篇  项目服务需求”中所列条款进行比较和响应；</w:t>
      </w:r>
    </w:p>
    <w:p>
      <w:pPr>
        <w:snapToGrid w:val="0"/>
        <w:spacing w:line="40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2.本表可扩展。</w:t>
      </w:r>
    </w:p>
    <w:p>
      <w:pPr>
        <w:tabs>
          <w:tab w:val="left" w:pos="6300"/>
        </w:tabs>
        <w:snapToGrid w:val="0"/>
        <w:spacing w:line="400" w:lineRule="exact"/>
        <w:ind w:firstLine="560" w:firstLineChars="200"/>
        <w:rPr>
          <w:rFonts w:hint="default" w:ascii="Times New Roman" w:hAnsi="Times New Roman" w:eastAsia="方正仿宋_GBK" w:cs="Times New Roman"/>
          <w:szCs w:val="24"/>
        </w:rPr>
      </w:pPr>
      <w:r>
        <w:rPr>
          <w:rFonts w:hint="default" w:ascii="Times New Roman" w:hAnsi="Times New Roman" w:eastAsia="方正仿宋_GBK" w:cs="Times New Roman"/>
          <w:szCs w:val="24"/>
        </w:rPr>
        <w:br w:type="page"/>
      </w:r>
      <w:r>
        <w:rPr>
          <w:rFonts w:hint="default" w:ascii="Times New Roman" w:hAnsi="Times New Roman" w:eastAsia="方正仿宋_GBK" w:cs="Times New Roman"/>
          <w:sz w:val="24"/>
          <w:szCs w:val="24"/>
        </w:rPr>
        <w:t>（二）其他资料（格式自定）</w:t>
      </w:r>
    </w:p>
    <w:p>
      <w:pPr>
        <w:pStyle w:val="3"/>
        <w:adjustRightInd w:val="0"/>
        <w:snapToGrid w:val="0"/>
        <w:spacing w:before="0" w:after="0" w:line="400" w:lineRule="exact"/>
        <w:ind w:firstLine="640" w:firstLineChars="200"/>
        <w:rPr>
          <w:rFonts w:hint="default" w:ascii="Times New Roman" w:hAnsi="Times New Roman" w:eastAsia="方正仿宋_GBK" w:cs="Times New Roman"/>
          <w:sz w:val="24"/>
        </w:rPr>
      </w:pPr>
      <w:r>
        <w:rPr>
          <w:rFonts w:hint="default" w:ascii="Times New Roman" w:hAnsi="Times New Roman" w:eastAsia="方正仿宋_GBK" w:cs="Times New Roman"/>
          <w:b w:val="0"/>
        </w:rPr>
        <w:br w:type="page"/>
      </w:r>
      <w:bookmarkStart w:id="134" w:name="_Toc342913421"/>
      <w:bookmarkStart w:id="135" w:name="_Toc106030908"/>
      <w:bookmarkStart w:id="136" w:name="_Toc313888362"/>
      <w:bookmarkStart w:id="137" w:name="_Toc76462352"/>
      <w:bookmarkStart w:id="138" w:name="_Toc313008358"/>
      <w:r>
        <w:rPr>
          <w:rFonts w:hint="default" w:ascii="Times New Roman" w:hAnsi="Times New Roman" w:eastAsia="方正仿宋_GBK" w:cs="Times New Roman"/>
          <w:sz w:val="24"/>
        </w:rPr>
        <w:t>三、商务部分</w:t>
      </w:r>
      <w:bookmarkEnd w:id="134"/>
      <w:bookmarkEnd w:id="135"/>
      <w:bookmarkEnd w:id="136"/>
      <w:bookmarkEnd w:id="137"/>
      <w:bookmarkEnd w:id="138"/>
    </w:p>
    <w:p>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（一）商务响应偏离表                           </w:t>
      </w:r>
    </w:p>
    <w:p>
      <w:pPr>
        <w:snapToGrid w:val="0"/>
        <w:spacing w:line="400" w:lineRule="exact"/>
        <w:ind w:firstLine="480" w:firstLineChars="200"/>
        <w:rPr>
          <w:rFonts w:hint="default" w:ascii="Times New Roman" w:hAnsi="Times New Roman" w:eastAsia="方正仿宋_GBK" w:cs="Times New Roman"/>
          <w:sz w:val="24"/>
          <w:szCs w:val="24"/>
        </w:rPr>
      </w:pPr>
    </w:p>
    <w:p>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项目名称： </w:t>
      </w:r>
    </w:p>
    <w:tbl>
      <w:tblPr>
        <w:tblStyle w:val="5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pPr>
              <w:snapToGrid w:val="0"/>
              <w:spacing w:line="360" w:lineRule="auto"/>
              <w:ind w:firstLine="465"/>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序号</w:t>
            </w:r>
          </w:p>
        </w:tc>
        <w:tc>
          <w:tcPr>
            <w:tcW w:w="3179" w:type="dxa"/>
            <w:noWrap w:val="0"/>
            <w:vAlign w:val="center"/>
          </w:tcPr>
          <w:p>
            <w:pPr>
              <w:tabs>
                <w:tab w:val="left" w:pos="6300"/>
              </w:tabs>
              <w:snapToGrid w:val="0"/>
              <w:spacing w:line="360" w:lineRule="auto"/>
              <w:jc w:val="center"/>
              <w:outlineLvl w:val="0"/>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项目商务需求</w:t>
            </w:r>
          </w:p>
        </w:tc>
        <w:tc>
          <w:tcPr>
            <w:tcW w:w="2434" w:type="dxa"/>
            <w:noWrap w:val="0"/>
            <w:vAlign w:val="center"/>
          </w:tcPr>
          <w:p>
            <w:pPr>
              <w:tabs>
                <w:tab w:val="left" w:pos="6300"/>
              </w:tabs>
              <w:snapToGrid w:val="0"/>
              <w:spacing w:line="360" w:lineRule="auto"/>
              <w:jc w:val="center"/>
              <w:outlineLvl w:val="0"/>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响应情况</w:t>
            </w:r>
          </w:p>
        </w:tc>
        <w:tc>
          <w:tcPr>
            <w:tcW w:w="2355" w:type="dxa"/>
            <w:noWrap w:val="0"/>
            <w:vAlign w:val="center"/>
          </w:tcPr>
          <w:p>
            <w:pPr>
              <w:tabs>
                <w:tab w:val="left" w:pos="6300"/>
              </w:tabs>
              <w:snapToGrid w:val="0"/>
              <w:spacing w:line="360" w:lineRule="auto"/>
              <w:jc w:val="center"/>
              <w:outlineLvl w:val="0"/>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default" w:ascii="Times New Roman" w:hAnsi="Times New Roman" w:eastAsia="方正仿宋_GBK" w:cs="Times New Roman"/>
                <w:sz w:val="21"/>
                <w:szCs w:val="24"/>
              </w:rPr>
            </w:pPr>
          </w:p>
        </w:tc>
        <w:tc>
          <w:tcPr>
            <w:tcW w:w="3179" w:type="dxa"/>
            <w:noWrap w:val="0"/>
            <w:vAlign w:val="center"/>
          </w:tcPr>
          <w:p>
            <w:pPr>
              <w:tabs>
                <w:tab w:val="left" w:pos="6300"/>
              </w:tabs>
              <w:snapToGrid w:val="0"/>
              <w:spacing w:line="360" w:lineRule="auto"/>
              <w:jc w:val="center"/>
              <w:outlineLvl w:val="0"/>
              <w:rPr>
                <w:rFonts w:hint="default" w:ascii="Times New Roman" w:hAnsi="Times New Roman" w:eastAsia="方正仿宋_GBK" w:cs="Times New Roman"/>
                <w:sz w:val="21"/>
                <w:szCs w:val="24"/>
              </w:rPr>
            </w:pPr>
          </w:p>
        </w:tc>
        <w:tc>
          <w:tcPr>
            <w:tcW w:w="2434" w:type="dxa"/>
            <w:noWrap w:val="0"/>
            <w:vAlign w:val="center"/>
          </w:tcPr>
          <w:p>
            <w:pPr>
              <w:tabs>
                <w:tab w:val="left" w:pos="6300"/>
              </w:tabs>
              <w:snapToGrid w:val="0"/>
              <w:spacing w:line="360" w:lineRule="auto"/>
              <w:outlineLvl w:val="0"/>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1"/>
              </w:rPr>
              <w:t>提醒：请注明具体内容以及响应文件中具体内容的位置（页码）</w:t>
            </w:r>
          </w:p>
        </w:tc>
        <w:tc>
          <w:tcPr>
            <w:tcW w:w="2355" w:type="dxa"/>
            <w:noWrap w:val="0"/>
            <w:vAlign w:val="center"/>
          </w:tcPr>
          <w:p>
            <w:pPr>
              <w:tabs>
                <w:tab w:val="left" w:pos="6300"/>
              </w:tabs>
              <w:snapToGrid w:val="0"/>
              <w:spacing w:line="360" w:lineRule="auto"/>
              <w:jc w:val="center"/>
              <w:outlineLvl w:val="0"/>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1"/>
              </w:rPr>
              <w:t>提醒：请注明响应情况与商务需求的差异情况：正偏离、负偏离或者无差异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default" w:ascii="Times New Roman" w:hAnsi="Times New Roman" w:eastAsia="方正仿宋_GBK" w:cs="Times New Roman"/>
                <w:sz w:val="21"/>
                <w:szCs w:val="24"/>
              </w:rPr>
            </w:pPr>
          </w:p>
        </w:tc>
        <w:tc>
          <w:tcPr>
            <w:tcW w:w="3179" w:type="dxa"/>
            <w:noWrap w:val="0"/>
            <w:vAlign w:val="center"/>
          </w:tcPr>
          <w:p>
            <w:pPr>
              <w:tabs>
                <w:tab w:val="left" w:pos="6300"/>
              </w:tabs>
              <w:snapToGrid w:val="0"/>
              <w:spacing w:line="360" w:lineRule="auto"/>
              <w:jc w:val="center"/>
              <w:outlineLvl w:val="0"/>
              <w:rPr>
                <w:rFonts w:hint="default" w:ascii="Times New Roman" w:hAnsi="Times New Roman" w:eastAsia="方正仿宋_GBK" w:cs="Times New Roman"/>
                <w:sz w:val="21"/>
                <w:szCs w:val="24"/>
              </w:rPr>
            </w:pPr>
          </w:p>
        </w:tc>
        <w:tc>
          <w:tcPr>
            <w:tcW w:w="2434" w:type="dxa"/>
            <w:noWrap w:val="0"/>
            <w:vAlign w:val="center"/>
          </w:tcPr>
          <w:p>
            <w:pPr>
              <w:tabs>
                <w:tab w:val="left" w:pos="6300"/>
              </w:tabs>
              <w:snapToGrid w:val="0"/>
              <w:spacing w:line="360" w:lineRule="auto"/>
              <w:jc w:val="center"/>
              <w:outlineLvl w:val="0"/>
              <w:rPr>
                <w:rFonts w:hint="default" w:ascii="Times New Roman" w:hAnsi="Times New Roman" w:eastAsia="方正仿宋_GBK" w:cs="Times New Roman"/>
                <w:sz w:val="21"/>
                <w:szCs w:val="24"/>
              </w:rPr>
            </w:pPr>
          </w:p>
        </w:tc>
        <w:tc>
          <w:tcPr>
            <w:tcW w:w="2355" w:type="dxa"/>
            <w:noWrap w:val="0"/>
            <w:vAlign w:val="center"/>
          </w:tcPr>
          <w:p>
            <w:pPr>
              <w:tabs>
                <w:tab w:val="left" w:pos="6300"/>
              </w:tabs>
              <w:snapToGrid w:val="0"/>
              <w:spacing w:line="360" w:lineRule="auto"/>
              <w:jc w:val="center"/>
              <w:outlineLvl w:val="0"/>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default" w:ascii="Times New Roman" w:hAnsi="Times New Roman" w:eastAsia="方正仿宋_GBK" w:cs="Times New Roman"/>
                <w:sz w:val="21"/>
                <w:szCs w:val="24"/>
              </w:rPr>
            </w:pPr>
          </w:p>
        </w:tc>
        <w:tc>
          <w:tcPr>
            <w:tcW w:w="3179" w:type="dxa"/>
            <w:noWrap w:val="0"/>
            <w:vAlign w:val="center"/>
          </w:tcPr>
          <w:p>
            <w:pPr>
              <w:tabs>
                <w:tab w:val="left" w:pos="6300"/>
              </w:tabs>
              <w:snapToGrid w:val="0"/>
              <w:spacing w:line="360" w:lineRule="auto"/>
              <w:jc w:val="center"/>
              <w:outlineLvl w:val="0"/>
              <w:rPr>
                <w:rFonts w:hint="default" w:ascii="Times New Roman" w:hAnsi="Times New Roman" w:eastAsia="方正仿宋_GBK" w:cs="Times New Roman"/>
                <w:sz w:val="21"/>
                <w:szCs w:val="24"/>
              </w:rPr>
            </w:pPr>
          </w:p>
        </w:tc>
        <w:tc>
          <w:tcPr>
            <w:tcW w:w="2434" w:type="dxa"/>
            <w:noWrap w:val="0"/>
            <w:vAlign w:val="center"/>
          </w:tcPr>
          <w:p>
            <w:pPr>
              <w:tabs>
                <w:tab w:val="left" w:pos="6300"/>
              </w:tabs>
              <w:snapToGrid w:val="0"/>
              <w:spacing w:line="360" w:lineRule="auto"/>
              <w:jc w:val="center"/>
              <w:outlineLvl w:val="0"/>
              <w:rPr>
                <w:rFonts w:hint="default" w:ascii="Times New Roman" w:hAnsi="Times New Roman" w:eastAsia="方正仿宋_GBK" w:cs="Times New Roman"/>
                <w:sz w:val="21"/>
                <w:szCs w:val="24"/>
              </w:rPr>
            </w:pPr>
          </w:p>
        </w:tc>
        <w:tc>
          <w:tcPr>
            <w:tcW w:w="2355" w:type="dxa"/>
            <w:noWrap w:val="0"/>
            <w:vAlign w:val="center"/>
          </w:tcPr>
          <w:p>
            <w:pPr>
              <w:tabs>
                <w:tab w:val="left" w:pos="6300"/>
              </w:tabs>
              <w:snapToGrid w:val="0"/>
              <w:spacing w:line="360" w:lineRule="auto"/>
              <w:jc w:val="center"/>
              <w:outlineLvl w:val="0"/>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default" w:ascii="Times New Roman" w:hAnsi="Times New Roman" w:eastAsia="方正仿宋_GBK" w:cs="Times New Roman"/>
                <w:sz w:val="21"/>
                <w:szCs w:val="24"/>
              </w:rPr>
            </w:pPr>
          </w:p>
        </w:tc>
        <w:tc>
          <w:tcPr>
            <w:tcW w:w="3179" w:type="dxa"/>
            <w:noWrap w:val="0"/>
            <w:vAlign w:val="center"/>
          </w:tcPr>
          <w:p>
            <w:pPr>
              <w:tabs>
                <w:tab w:val="left" w:pos="6300"/>
              </w:tabs>
              <w:snapToGrid w:val="0"/>
              <w:spacing w:line="360" w:lineRule="auto"/>
              <w:jc w:val="center"/>
              <w:outlineLvl w:val="0"/>
              <w:rPr>
                <w:rFonts w:hint="default" w:ascii="Times New Roman" w:hAnsi="Times New Roman" w:eastAsia="方正仿宋_GBK" w:cs="Times New Roman"/>
                <w:sz w:val="21"/>
                <w:szCs w:val="24"/>
              </w:rPr>
            </w:pPr>
          </w:p>
        </w:tc>
        <w:tc>
          <w:tcPr>
            <w:tcW w:w="2434" w:type="dxa"/>
            <w:noWrap w:val="0"/>
            <w:vAlign w:val="center"/>
          </w:tcPr>
          <w:p>
            <w:pPr>
              <w:tabs>
                <w:tab w:val="left" w:pos="6300"/>
              </w:tabs>
              <w:snapToGrid w:val="0"/>
              <w:spacing w:line="360" w:lineRule="auto"/>
              <w:jc w:val="center"/>
              <w:outlineLvl w:val="0"/>
              <w:rPr>
                <w:rFonts w:hint="default" w:ascii="Times New Roman" w:hAnsi="Times New Roman" w:eastAsia="方正仿宋_GBK" w:cs="Times New Roman"/>
                <w:sz w:val="21"/>
                <w:szCs w:val="24"/>
              </w:rPr>
            </w:pPr>
          </w:p>
        </w:tc>
        <w:tc>
          <w:tcPr>
            <w:tcW w:w="2355" w:type="dxa"/>
            <w:noWrap w:val="0"/>
            <w:vAlign w:val="center"/>
          </w:tcPr>
          <w:p>
            <w:pPr>
              <w:tabs>
                <w:tab w:val="left" w:pos="6300"/>
              </w:tabs>
              <w:snapToGrid w:val="0"/>
              <w:spacing w:line="360" w:lineRule="auto"/>
              <w:jc w:val="center"/>
              <w:outlineLvl w:val="0"/>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default" w:ascii="Times New Roman" w:hAnsi="Times New Roman" w:eastAsia="方正仿宋_GBK" w:cs="Times New Roman"/>
                <w:sz w:val="21"/>
                <w:szCs w:val="24"/>
              </w:rPr>
            </w:pPr>
          </w:p>
        </w:tc>
        <w:tc>
          <w:tcPr>
            <w:tcW w:w="3179" w:type="dxa"/>
            <w:noWrap w:val="0"/>
            <w:vAlign w:val="center"/>
          </w:tcPr>
          <w:p>
            <w:pPr>
              <w:tabs>
                <w:tab w:val="left" w:pos="6300"/>
              </w:tabs>
              <w:snapToGrid w:val="0"/>
              <w:spacing w:line="360" w:lineRule="auto"/>
              <w:jc w:val="center"/>
              <w:outlineLvl w:val="0"/>
              <w:rPr>
                <w:rFonts w:hint="default" w:ascii="Times New Roman" w:hAnsi="Times New Roman" w:eastAsia="方正仿宋_GBK" w:cs="Times New Roman"/>
                <w:sz w:val="21"/>
                <w:szCs w:val="24"/>
              </w:rPr>
            </w:pPr>
          </w:p>
        </w:tc>
        <w:tc>
          <w:tcPr>
            <w:tcW w:w="2434" w:type="dxa"/>
            <w:noWrap w:val="0"/>
            <w:vAlign w:val="center"/>
          </w:tcPr>
          <w:p>
            <w:pPr>
              <w:tabs>
                <w:tab w:val="left" w:pos="6300"/>
              </w:tabs>
              <w:snapToGrid w:val="0"/>
              <w:spacing w:line="360" w:lineRule="auto"/>
              <w:jc w:val="center"/>
              <w:outlineLvl w:val="0"/>
              <w:rPr>
                <w:rFonts w:hint="default" w:ascii="Times New Roman" w:hAnsi="Times New Roman" w:eastAsia="方正仿宋_GBK" w:cs="Times New Roman"/>
                <w:sz w:val="21"/>
                <w:szCs w:val="24"/>
              </w:rPr>
            </w:pPr>
          </w:p>
        </w:tc>
        <w:tc>
          <w:tcPr>
            <w:tcW w:w="2355" w:type="dxa"/>
            <w:noWrap w:val="0"/>
            <w:vAlign w:val="center"/>
          </w:tcPr>
          <w:p>
            <w:pPr>
              <w:tabs>
                <w:tab w:val="left" w:pos="6300"/>
              </w:tabs>
              <w:snapToGrid w:val="0"/>
              <w:spacing w:line="360" w:lineRule="auto"/>
              <w:jc w:val="center"/>
              <w:outlineLvl w:val="0"/>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default" w:ascii="Times New Roman" w:hAnsi="Times New Roman" w:eastAsia="方正仿宋_GBK" w:cs="Times New Roman"/>
                <w:sz w:val="21"/>
                <w:szCs w:val="24"/>
              </w:rPr>
            </w:pPr>
          </w:p>
        </w:tc>
        <w:tc>
          <w:tcPr>
            <w:tcW w:w="3179" w:type="dxa"/>
            <w:noWrap w:val="0"/>
            <w:vAlign w:val="center"/>
          </w:tcPr>
          <w:p>
            <w:pPr>
              <w:tabs>
                <w:tab w:val="left" w:pos="6300"/>
              </w:tabs>
              <w:snapToGrid w:val="0"/>
              <w:spacing w:line="360" w:lineRule="auto"/>
              <w:jc w:val="center"/>
              <w:outlineLvl w:val="0"/>
              <w:rPr>
                <w:rFonts w:hint="default" w:ascii="Times New Roman" w:hAnsi="Times New Roman" w:eastAsia="方正仿宋_GBK" w:cs="Times New Roman"/>
                <w:sz w:val="21"/>
                <w:szCs w:val="24"/>
              </w:rPr>
            </w:pPr>
          </w:p>
        </w:tc>
        <w:tc>
          <w:tcPr>
            <w:tcW w:w="2434" w:type="dxa"/>
            <w:noWrap w:val="0"/>
            <w:vAlign w:val="center"/>
          </w:tcPr>
          <w:p>
            <w:pPr>
              <w:tabs>
                <w:tab w:val="left" w:pos="6300"/>
              </w:tabs>
              <w:snapToGrid w:val="0"/>
              <w:spacing w:line="360" w:lineRule="auto"/>
              <w:jc w:val="center"/>
              <w:outlineLvl w:val="0"/>
              <w:rPr>
                <w:rFonts w:hint="default" w:ascii="Times New Roman" w:hAnsi="Times New Roman" w:eastAsia="方正仿宋_GBK" w:cs="Times New Roman"/>
                <w:sz w:val="21"/>
                <w:szCs w:val="24"/>
              </w:rPr>
            </w:pPr>
          </w:p>
        </w:tc>
        <w:tc>
          <w:tcPr>
            <w:tcW w:w="2355" w:type="dxa"/>
            <w:noWrap w:val="0"/>
            <w:vAlign w:val="center"/>
          </w:tcPr>
          <w:p>
            <w:pPr>
              <w:tabs>
                <w:tab w:val="left" w:pos="6300"/>
              </w:tabs>
              <w:snapToGrid w:val="0"/>
              <w:spacing w:line="360" w:lineRule="auto"/>
              <w:jc w:val="center"/>
              <w:outlineLvl w:val="0"/>
              <w:rPr>
                <w:rFonts w:hint="default" w:ascii="Times New Roman" w:hAnsi="Times New Roman" w:eastAsia="方正仿宋_GBK" w:cs="Times New Roman"/>
                <w:sz w:val="21"/>
                <w:szCs w:val="24"/>
              </w:rPr>
            </w:pPr>
          </w:p>
        </w:tc>
      </w:tr>
    </w:tbl>
    <w:p>
      <w:pPr>
        <w:snapToGrid w:val="0"/>
        <w:spacing w:line="360" w:lineRule="auto"/>
        <w:ind w:firstLine="465"/>
        <w:rPr>
          <w:rFonts w:hint="default" w:ascii="Times New Roman" w:hAnsi="Times New Roman" w:eastAsia="方正仿宋_GBK" w:cs="Times New Roman"/>
          <w:sz w:val="24"/>
          <w:szCs w:val="24"/>
        </w:rPr>
      </w:pPr>
    </w:p>
    <w:p>
      <w:pPr>
        <w:spacing w:line="500" w:lineRule="exact"/>
        <w:ind w:firstLine="600" w:firstLineChars="25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供应商：                          </w:t>
      </w:r>
      <w:r>
        <w:rPr>
          <w:rFonts w:hint="default" w:ascii="Times New Roman" w:hAnsi="Times New Roman" w:eastAsia="方正仿宋_GBK" w:cs="Times New Roman"/>
          <w:sz w:val="24"/>
          <w:szCs w:val="24"/>
        </w:rPr>
        <w:t>法定代表人（或其授权代表）或自然人：</w:t>
      </w:r>
    </w:p>
    <w:p>
      <w:pPr>
        <w:spacing w:line="50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w:t>
      </w:r>
    </w:p>
    <w:p>
      <w:pPr>
        <w:spacing w:line="500" w:lineRule="exact"/>
        <w:ind w:firstLine="360" w:firstLineChars="15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（供应商公章）                                 （签署或盖章）</w:t>
      </w:r>
    </w:p>
    <w:p>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 xml:space="preserve">                                            年     月     日</w:t>
      </w:r>
    </w:p>
    <w:p>
      <w:pPr>
        <w:tabs>
          <w:tab w:val="left" w:pos="6300"/>
        </w:tabs>
        <w:snapToGrid w:val="0"/>
        <w:spacing w:line="4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注：</w:t>
      </w:r>
    </w:p>
    <w:p>
      <w:pPr>
        <w:tabs>
          <w:tab w:val="left" w:pos="6300"/>
        </w:tabs>
        <w:snapToGrid w:val="0"/>
        <w:spacing w:line="4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t>1</w:t>
      </w:r>
      <w:r>
        <w:rPr>
          <w:rFonts w:hint="default" w:ascii="Times New Roman" w:hAnsi="Times New Roman" w:eastAsia="方正仿宋_GBK" w:cs="Times New Roman"/>
          <w:sz w:val="24"/>
        </w:rPr>
        <w:t>.</w:t>
      </w:r>
      <w:r>
        <w:rPr>
          <w:rFonts w:hint="default" w:ascii="Times New Roman" w:hAnsi="Times New Roman" w:eastAsia="方正仿宋_GBK" w:cs="Times New Roman"/>
          <w:sz w:val="24"/>
          <w:szCs w:val="24"/>
        </w:rPr>
        <w:t>本表即为对本项目“第三篇  项目商务需求”中所列条款进行比较和响应；</w:t>
      </w:r>
    </w:p>
    <w:p>
      <w:pPr>
        <w:snapToGrid w:val="0"/>
        <w:spacing w:line="400" w:lineRule="exact"/>
        <w:ind w:firstLine="480" w:firstLineChars="200"/>
        <w:rPr>
          <w:rFonts w:hint="default" w:ascii="Times New Roman" w:hAnsi="Times New Roman" w:eastAsia="方正仿宋_GBK" w:cs="Times New Roman"/>
          <w:b/>
        </w:rPr>
        <w:sectPr>
          <w:pgSz w:w="11907" w:h="16840"/>
          <w:pgMar w:top="1134" w:right="1191" w:bottom="1134" w:left="1304" w:header="851" w:footer="992" w:gutter="0"/>
          <w:pgNumType w:fmt="numberInDash"/>
          <w:cols w:space="720" w:num="1"/>
          <w:docGrid w:linePitch="380" w:charSpace="-5735"/>
        </w:sectPr>
      </w:pPr>
      <w:r>
        <w:rPr>
          <w:rFonts w:hint="default" w:ascii="Times New Roman" w:hAnsi="Times New Roman" w:eastAsia="方正仿宋_GBK" w:cs="Times New Roman"/>
          <w:sz w:val="24"/>
        </w:rPr>
        <w:t>2.本表可扩展。</w:t>
      </w:r>
    </w:p>
    <w:p>
      <w:pPr>
        <w:snapToGrid w:val="0"/>
        <w:spacing w:line="400" w:lineRule="exact"/>
        <w:ind w:firstLine="480" w:firstLineChars="200"/>
        <w:rPr>
          <w:rFonts w:hint="default" w:ascii="Times New Roman" w:hAnsi="Times New Roman" w:eastAsia="方正仿宋_GBK" w:cs="Times New Roman"/>
          <w:sz w:val="24"/>
          <w:szCs w:val="24"/>
        </w:rPr>
      </w:pPr>
      <w:bookmarkStart w:id="139" w:name="_Toc283382459"/>
      <w:r>
        <w:rPr>
          <w:rFonts w:hint="default" w:ascii="Times New Roman" w:hAnsi="Times New Roman" w:eastAsia="方正仿宋_GBK" w:cs="Times New Roman"/>
          <w:sz w:val="24"/>
          <w:szCs w:val="24"/>
        </w:rPr>
        <w:t>（二）其它优惠承诺（格式自定）</w:t>
      </w:r>
    </w:p>
    <w:p>
      <w:pPr>
        <w:snapToGrid w:val="0"/>
        <w:spacing w:line="400" w:lineRule="exact"/>
        <w:ind w:firstLine="480" w:firstLineChars="200"/>
        <w:rPr>
          <w:rFonts w:hint="default" w:ascii="Times New Roman" w:hAnsi="Times New Roman" w:eastAsia="方正仿宋_GBK" w:cs="Times New Roman"/>
          <w:sz w:val="24"/>
          <w:szCs w:val="24"/>
        </w:rPr>
      </w:pPr>
    </w:p>
    <w:p>
      <w:pPr>
        <w:pStyle w:val="3"/>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br w:type="page"/>
      </w:r>
      <w:bookmarkEnd w:id="139"/>
      <w:bookmarkStart w:id="140" w:name="_Toc106030909"/>
      <w:bookmarkStart w:id="141" w:name="_Toc342913422"/>
      <w:bookmarkStart w:id="142" w:name="_Toc313888363"/>
      <w:bookmarkStart w:id="143" w:name="_Toc313008359"/>
      <w:bookmarkStart w:id="144" w:name="_Toc76462353"/>
      <w:r>
        <w:rPr>
          <w:rFonts w:hint="default" w:ascii="Times New Roman" w:hAnsi="Times New Roman" w:eastAsia="方正仿宋_GBK" w:cs="Times New Roman"/>
          <w:sz w:val="24"/>
        </w:rPr>
        <w:t>四、资格条件</w:t>
      </w:r>
      <w:bookmarkEnd w:id="140"/>
      <w:bookmarkEnd w:id="141"/>
      <w:bookmarkEnd w:id="142"/>
      <w:bookmarkEnd w:id="143"/>
      <w:bookmarkEnd w:id="144"/>
    </w:p>
    <w:p>
      <w:pPr>
        <w:tabs>
          <w:tab w:val="left" w:pos="6300"/>
        </w:tabs>
        <w:snapToGrid w:val="0"/>
        <w:spacing w:line="400" w:lineRule="exact"/>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（一）法人营业执照（副本）或事业单位法人证书（副本）或个体工商户营业执照或有效的自然人身份证明或社会团体法人登记证书复印件</w:t>
      </w:r>
    </w:p>
    <w:p>
      <w:pPr>
        <w:tabs>
          <w:tab w:val="left" w:pos="6300"/>
        </w:tabs>
        <w:snapToGrid w:val="0"/>
        <w:spacing w:line="400" w:lineRule="exact"/>
        <w:ind w:firstLine="570"/>
        <w:rPr>
          <w:rFonts w:hint="default" w:ascii="Times New Roman" w:hAnsi="Times New Roman" w:eastAsia="方正仿宋_GBK" w:cs="Times New Roman"/>
        </w:rPr>
      </w:pPr>
    </w:p>
    <w:p>
      <w:pPr>
        <w:tabs>
          <w:tab w:val="left" w:pos="6300"/>
        </w:tabs>
        <w:snapToGrid w:val="0"/>
        <w:spacing w:line="500" w:lineRule="exact"/>
        <w:ind w:firstLine="570"/>
        <w:rPr>
          <w:rFonts w:hint="default" w:ascii="Times New Roman" w:hAnsi="Times New Roman" w:eastAsia="方正仿宋_GBK" w:cs="Times New Roman"/>
        </w:rPr>
      </w:pPr>
    </w:p>
    <w:p>
      <w:pPr>
        <w:tabs>
          <w:tab w:val="left" w:pos="6300"/>
        </w:tabs>
        <w:snapToGrid w:val="0"/>
        <w:spacing w:line="500" w:lineRule="exact"/>
        <w:ind w:firstLine="570"/>
        <w:rPr>
          <w:rFonts w:hint="default" w:ascii="Times New Roman" w:hAnsi="Times New Roman" w:eastAsia="方正仿宋_GBK" w:cs="Times New Roman"/>
        </w:rPr>
      </w:pPr>
    </w:p>
    <w:p>
      <w:pPr>
        <w:tabs>
          <w:tab w:val="left" w:pos="6300"/>
        </w:tabs>
        <w:snapToGrid w:val="0"/>
        <w:spacing w:line="500" w:lineRule="exact"/>
        <w:ind w:firstLine="570"/>
        <w:rPr>
          <w:rFonts w:hint="default" w:ascii="Times New Roman" w:hAnsi="Times New Roman" w:eastAsia="方正仿宋_GBK" w:cs="Times New Roman"/>
        </w:rPr>
      </w:pPr>
    </w:p>
    <w:p>
      <w:pPr>
        <w:tabs>
          <w:tab w:val="left" w:pos="6300"/>
        </w:tabs>
        <w:snapToGrid w:val="0"/>
        <w:spacing w:line="500" w:lineRule="exact"/>
        <w:ind w:firstLine="570"/>
        <w:rPr>
          <w:rFonts w:hint="default" w:ascii="Times New Roman" w:hAnsi="Times New Roman" w:eastAsia="方正仿宋_GBK" w:cs="Times New Roman"/>
        </w:rPr>
      </w:pPr>
    </w:p>
    <w:p>
      <w:pPr>
        <w:snapToGrid w:val="0"/>
        <w:spacing w:line="400" w:lineRule="exact"/>
        <w:ind w:firstLine="56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rPr>
        <w:t>（二）法定代表人身份证明书（格式）</w:t>
      </w: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项目名称：</w:t>
      </w:r>
      <w:r>
        <w:rPr>
          <w:rFonts w:hint="default" w:ascii="Times New Roman" w:hAnsi="Times New Roman" w:eastAsia="方正仿宋_GBK" w:cs="Times New Roman"/>
          <w:sz w:val="24"/>
          <w:u w:val="single"/>
        </w:rPr>
        <w:t xml:space="preserve">                                                </w:t>
      </w: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（采购人名称）：</w:t>
      </w:r>
    </w:p>
    <w:p>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（法定代表人姓名）在</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（供应商名称）任</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（职务名称）职务，是（供应商名称）</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的法定代表人。</w:t>
      </w: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特此证明。</w:t>
      </w: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（供应商公章）</w:t>
      </w: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年   月   日</w:t>
      </w:r>
    </w:p>
    <w:p>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法定代表人电话：XXXXXXX      电子邮箱：XXXXXX@XXXXX（若授权他人办理并签署响应文件的可不填写）</w:t>
      </w:r>
    </w:p>
    <w:p>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（附：法定代表人身份证正反面复印件）</w:t>
      </w: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snapToGrid w:val="0"/>
        <w:spacing w:line="400" w:lineRule="exact"/>
        <w:ind w:firstLine="560" w:firstLineChars="200"/>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（三）法定代表人授权委托书（格式）</w:t>
      </w:r>
    </w:p>
    <w:p>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项目名称</w:t>
      </w:r>
      <w:r>
        <w:rPr>
          <w:rFonts w:hint="default" w:ascii="Times New Roman" w:hAnsi="Times New Roman" w:eastAsia="方正仿宋_GBK" w:cs="Times New Roman"/>
          <w:sz w:val="24"/>
        </w:rPr>
        <w:t>：</w:t>
      </w:r>
      <w:r>
        <w:rPr>
          <w:rFonts w:hint="default" w:ascii="Times New Roman" w:hAnsi="Times New Roman" w:eastAsia="方正仿宋_GBK" w:cs="Times New Roman"/>
          <w:sz w:val="24"/>
          <w:u w:val="single"/>
        </w:rPr>
        <w:t xml:space="preserve">                                                </w:t>
      </w: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w:t>
      </w:r>
      <w:r>
        <w:rPr>
          <w:rFonts w:hint="default" w:ascii="Times New Roman" w:hAnsi="Times New Roman" w:eastAsia="方正仿宋_GBK" w:cs="Times New Roman"/>
          <w:sz w:val="24"/>
          <w:szCs w:val="24"/>
          <w:u w:val="single"/>
        </w:rPr>
        <w:t>采购人名称</w:t>
      </w:r>
      <w:r>
        <w:rPr>
          <w:rFonts w:hint="default" w:ascii="Times New Roman" w:hAnsi="Times New Roman" w:eastAsia="方正仿宋_GBK" w:cs="Times New Roman"/>
          <w:sz w:val="24"/>
        </w:rPr>
        <w:t>）：</w:t>
      </w:r>
    </w:p>
    <w:p>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（供应商法定代表人名称）是</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（供应商名称）的法定代表人，特授权</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（被授权人姓名及身份证代码）代表我单位全权办理上述项目的竞争、签约等具体工作，并签署全部有关文件、协议及合同。</w:t>
      </w:r>
    </w:p>
    <w:p>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我单位对被授权人的</w:t>
      </w:r>
      <w:r>
        <w:rPr>
          <w:rFonts w:hint="default" w:ascii="Times New Roman" w:hAnsi="Times New Roman" w:eastAsia="方正仿宋_GBK" w:cs="Times New Roman"/>
          <w:sz w:val="24"/>
          <w:szCs w:val="28"/>
        </w:rPr>
        <w:t>签署</w:t>
      </w:r>
      <w:r>
        <w:rPr>
          <w:rFonts w:hint="default" w:ascii="Times New Roman" w:hAnsi="Times New Roman" w:eastAsia="方正仿宋_GBK" w:cs="Times New Roman"/>
          <w:sz w:val="24"/>
        </w:rPr>
        <w:t>负全部责任。</w:t>
      </w:r>
    </w:p>
    <w:p>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                                 供应商法定代表人：</w:t>
      </w:r>
    </w:p>
    <w:p>
      <w:pPr>
        <w:tabs>
          <w:tab w:val="left" w:pos="6300"/>
        </w:tabs>
        <w:snapToGrid w:val="0"/>
        <w:spacing w:line="500" w:lineRule="exact"/>
        <w:ind w:firstLine="570"/>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（签署或盖章）                                （签署或盖章）</w:t>
      </w:r>
    </w:p>
    <w:p>
      <w:pPr>
        <w:tabs>
          <w:tab w:val="left" w:pos="6300"/>
        </w:tabs>
        <w:snapToGrid w:val="0"/>
        <w:spacing w:line="500" w:lineRule="exact"/>
        <w:ind w:firstLine="570"/>
        <w:rPr>
          <w:rFonts w:hint="default" w:ascii="Times New Roman" w:hAnsi="Times New Roman" w:eastAsia="方正仿宋_GBK" w:cs="Times New Roman"/>
          <w:sz w:val="24"/>
          <w:szCs w:val="28"/>
        </w:rPr>
      </w:pP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（附：被授权人身份证正反面复印件）</w:t>
      </w:r>
    </w:p>
    <w:p>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right="480" w:firstLine="570"/>
        <w:jc w:val="right"/>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pPr>
        <w:tabs>
          <w:tab w:val="left" w:pos="6300"/>
        </w:tabs>
        <w:snapToGrid w:val="0"/>
        <w:spacing w:line="500" w:lineRule="exact"/>
        <w:ind w:right="480" w:firstLine="570"/>
        <w:jc w:val="right"/>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p>
      <w:pPr>
        <w:tabs>
          <w:tab w:val="left" w:pos="6300"/>
        </w:tabs>
        <w:snapToGrid w:val="0"/>
        <w:spacing w:line="500" w:lineRule="exact"/>
        <w:ind w:right="480" w:firstLine="57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被授权人电话：XXXXXXX     电子邮箱：XXXXXX@XXXXX（若法定代表人办理并签署响应文件的可不填写）</w:t>
      </w:r>
    </w:p>
    <w:p>
      <w:pPr>
        <w:tabs>
          <w:tab w:val="left" w:pos="6300"/>
        </w:tabs>
        <w:snapToGrid w:val="0"/>
        <w:spacing w:line="500" w:lineRule="exact"/>
        <w:ind w:right="480" w:firstLine="57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注：</w:t>
      </w:r>
    </w:p>
    <w:p>
      <w:pPr>
        <w:tabs>
          <w:tab w:val="left" w:pos="6300"/>
        </w:tabs>
        <w:snapToGrid w:val="0"/>
        <w:spacing w:line="500" w:lineRule="exact"/>
        <w:ind w:right="480" w:firstLine="57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1.若为法定代表人办理并签署响应文件的，不提供此文件。</w:t>
      </w:r>
    </w:p>
    <w:p>
      <w:pPr>
        <w:tabs>
          <w:tab w:val="left" w:pos="6300"/>
        </w:tabs>
        <w:snapToGrid w:val="0"/>
        <w:spacing w:line="500" w:lineRule="exact"/>
        <w:ind w:firstLine="570"/>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（四）</w:t>
      </w:r>
      <w:r>
        <w:rPr>
          <w:rFonts w:hint="default" w:ascii="Times New Roman" w:hAnsi="Times New Roman" w:eastAsia="方正仿宋_GBK" w:cs="Times New Roman"/>
          <w:sz w:val="24"/>
          <w:szCs w:val="28"/>
        </w:rPr>
        <w:t>基本资格条件承诺函</w:t>
      </w:r>
    </w:p>
    <w:p>
      <w:pPr>
        <w:tabs>
          <w:tab w:val="left" w:pos="6300"/>
        </w:tabs>
        <w:snapToGrid w:val="0"/>
        <w:spacing w:line="500" w:lineRule="exact"/>
        <w:ind w:firstLine="643" w:firstLineChars="200"/>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基本资格条件承诺函</w:t>
      </w:r>
    </w:p>
    <w:p>
      <w:pPr>
        <w:tabs>
          <w:tab w:val="left" w:pos="6300"/>
        </w:tabs>
        <w:snapToGrid w:val="0"/>
        <w:spacing w:line="530" w:lineRule="exact"/>
        <w:rPr>
          <w:rFonts w:hint="default" w:ascii="Times New Roman" w:hAnsi="Times New Roman" w:cs="Times New Roman"/>
          <w:sz w:val="24"/>
        </w:rPr>
      </w:pPr>
    </w:p>
    <w:p>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（采购人名称）：</w:t>
      </w:r>
    </w:p>
    <w:p>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（供应商名称）郑重承诺：</w:t>
      </w:r>
    </w:p>
    <w:p>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1.我方具有良好的商业信誉和健全的财务会计制度，具有履行合同所必需的设备和专业技术能力，具</w:t>
      </w:r>
      <w:r>
        <w:rPr>
          <w:rFonts w:hint="default" w:ascii="Times New Roman" w:hAnsi="Times New Roman" w:eastAsia="方正仿宋_GBK" w:cs="Times New Roman"/>
          <w:sz w:val="24"/>
          <w:lang w:val="zh-CN"/>
        </w:rPr>
        <w:t>有依法缴纳税收和社会保障金的良好记录</w:t>
      </w:r>
      <w:r>
        <w:rPr>
          <w:rFonts w:hint="default" w:ascii="Times New Roman" w:hAnsi="Times New Roman" w:eastAsia="方正仿宋_GBK" w:cs="Times New Roman"/>
          <w:sz w:val="24"/>
        </w:rPr>
        <w:t>，参加本项目采购活动前三年内无重大违法活动记录。</w:t>
      </w:r>
    </w:p>
    <w:p>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3.我方在采购项目评审（评标）环节结束后，随时接受采购人、采购代理机构的检查验证，配合提供相关证明材料，证明符合《中华人民共和国政府采购法》规定的供应商基本资格条件。</w:t>
      </w:r>
    </w:p>
    <w:p>
      <w:pPr>
        <w:tabs>
          <w:tab w:val="left" w:pos="6300"/>
        </w:tabs>
        <w:snapToGrid w:val="0"/>
        <w:spacing w:line="500" w:lineRule="exact"/>
        <w:ind w:firstLine="482" w:firstLineChars="200"/>
        <w:rPr>
          <w:rFonts w:hint="default" w:ascii="Times New Roman" w:hAnsi="Times New Roman" w:eastAsia="黑体" w:cs="Times New Roman"/>
          <w:b/>
          <w:sz w:val="24"/>
        </w:rPr>
      </w:pPr>
      <w:r>
        <w:rPr>
          <w:rFonts w:hint="default" w:ascii="Times New Roman" w:hAnsi="Times New Roman" w:eastAsia="黑体" w:cs="Times New Roman"/>
          <w:b/>
          <w:sz w:val="24"/>
        </w:rPr>
        <w:t>4.我方承诺与你单位保持正常的业务交往，按照有关法律法规和程序开展业务工作，不存在向你方人员行贿、馈赠或变相进行任何利益输送等违反廉政规定的行为，否则一经查实，自愿在三年内不再参与你单位组织的项目采购和招标活动，期间你方有权利对我方投标（响应）文件进行否决。</w:t>
      </w:r>
    </w:p>
    <w:p>
      <w:pPr>
        <w:pStyle w:val="22"/>
        <w:rPr>
          <w:rFonts w:hint="default" w:ascii="Times New Roman" w:hAnsi="Times New Roman" w:cs="Times New Roman"/>
        </w:rPr>
      </w:pPr>
    </w:p>
    <w:p>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我方对以上承诺负全部法律责任。</w:t>
      </w:r>
    </w:p>
    <w:p>
      <w:pPr>
        <w:tabs>
          <w:tab w:val="left" w:pos="6300"/>
        </w:tabs>
        <w:snapToGrid w:val="0"/>
        <w:spacing w:line="5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特此承诺。</w:t>
      </w:r>
    </w:p>
    <w:p>
      <w:pPr>
        <w:tabs>
          <w:tab w:val="left" w:pos="6300"/>
        </w:tabs>
        <w:snapToGrid w:val="0"/>
        <w:spacing w:line="500" w:lineRule="exact"/>
        <w:ind w:firstLine="480" w:firstLineChars="200"/>
        <w:rPr>
          <w:rFonts w:hint="default" w:ascii="Times New Roman" w:hAnsi="Times New Roman" w:eastAsia="方正仿宋_GBK" w:cs="Times New Roman"/>
          <w:sz w:val="24"/>
        </w:rPr>
      </w:pPr>
    </w:p>
    <w:p>
      <w:pPr>
        <w:tabs>
          <w:tab w:val="left" w:pos="6300"/>
        </w:tabs>
        <w:snapToGrid w:val="0"/>
        <w:spacing w:line="500" w:lineRule="exact"/>
        <w:ind w:firstLine="480" w:firstLineChars="200"/>
        <w:jc w:val="right"/>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pPr>
        <w:tabs>
          <w:tab w:val="left" w:pos="6300"/>
        </w:tabs>
        <w:snapToGrid w:val="0"/>
        <w:spacing w:line="500" w:lineRule="exact"/>
        <w:ind w:firstLine="7920" w:firstLineChars="33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年   月   日</w:t>
      </w:r>
    </w:p>
    <w:p>
      <w:pPr>
        <w:snapToGrid w:val="0"/>
        <w:spacing w:line="400" w:lineRule="exact"/>
        <w:ind w:firstLine="56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rPr>
        <w:t>（五）特定资格条件证明文件</w:t>
      </w:r>
    </w:p>
    <w:p>
      <w:pPr>
        <w:tabs>
          <w:tab w:val="left" w:pos="6300"/>
        </w:tabs>
        <w:snapToGrid w:val="0"/>
        <w:spacing w:line="400" w:lineRule="exact"/>
        <w:ind w:firstLine="480" w:firstLineChars="200"/>
        <w:rPr>
          <w:rFonts w:hint="default" w:ascii="Times New Roman" w:hAnsi="Times New Roman" w:eastAsia="方正仿宋_GBK" w:cs="Times New Roman"/>
          <w:sz w:val="24"/>
          <w:szCs w:val="24"/>
        </w:rPr>
      </w:pPr>
    </w:p>
    <w:p>
      <w:pPr>
        <w:pStyle w:val="3"/>
        <w:adjustRightInd w:val="0"/>
        <w:snapToGrid w:val="0"/>
        <w:spacing w:before="0" w:after="0" w:line="400" w:lineRule="exact"/>
        <w:ind w:firstLine="560" w:firstLineChars="200"/>
        <w:rPr>
          <w:rFonts w:hint="default" w:ascii="Times New Roman" w:hAnsi="Times New Roman" w:eastAsia="方正仿宋_GBK" w:cs="Times New Roman"/>
          <w:sz w:val="24"/>
        </w:rPr>
      </w:pPr>
      <w:bookmarkStart w:id="145" w:name="_Toc14422"/>
      <w:r>
        <w:rPr>
          <w:rFonts w:hint="default" w:ascii="Times New Roman" w:hAnsi="Times New Roman" w:eastAsia="方正仿宋_GBK" w:cs="Times New Roman"/>
          <w:b w:val="0"/>
          <w:sz w:val="28"/>
        </w:rPr>
        <w:br w:type="page"/>
      </w:r>
      <w:bookmarkStart w:id="146" w:name="_Toc106030910"/>
      <w:bookmarkStart w:id="147" w:name="_Toc76462354"/>
      <w:r>
        <w:rPr>
          <w:rFonts w:hint="default" w:ascii="Times New Roman" w:hAnsi="Times New Roman" w:eastAsia="方正仿宋_GBK" w:cs="Times New Roman"/>
          <w:sz w:val="24"/>
        </w:rPr>
        <w:t>五、其他资料</w:t>
      </w:r>
      <w:bookmarkEnd w:id="145"/>
      <w:bookmarkEnd w:id="146"/>
      <w:bookmarkEnd w:id="147"/>
    </w:p>
    <w:p>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（一）团队名单、项目负责人职称证书（中级及以上）复印件、供应商2024年以来任意一月为团队人员（不少于5人）缴纳社保证明材料复印件，以上材料均需加盖供应商公章。</w:t>
      </w:r>
    </w:p>
    <w:p>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（二）其他与项目有关的资料（自附） </w:t>
      </w:r>
    </w:p>
    <w:p>
      <w:pPr>
        <w:spacing w:line="360" w:lineRule="auto"/>
        <w:ind w:firstLine="480" w:firstLineChars="200"/>
        <w:rPr>
          <w:rFonts w:hint="default" w:ascii="Times New Roman" w:hAnsi="Times New Roman" w:eastAsia="方正仿宋_GBK" w:cs="Times New Roman"/>
          <w:sz w:val="24"/>
          <w:szCs w:val="24"/>
        </w:rPr>
      </w:pPr>
    </w:p>
    <w:p>
      <w:pPr>
        <w:spacing w:line="360" w:lineRule="auto"/>
        <w:ind w:firstLine="480" w:firstLineChars="200"/>
        <w:jc w:val="center"/>
        <w:rPr>
          <w:rFonts w:hint="default" w:ascii="Times New Roman" w:hAnsi="Times New Roman" w:eastAsia="方正仿宋_GBK" w:cs="Times New Roman"/>
          <w:sz w:val="24"/>
          <w:szCs w:val="24"/>
        </w:rPr>
      </w:pPr>
    </w:p>
    <w:p>
      <w:pPr>
        <w:spacing w:line="360" w:lineRule="auto"/>
        <w:ind w:firstLine="480" w:firstLineChars="200"/>
        <w:jc w:val="center"/>
        <w:rPr>
          <w:rFonts w:hint="default" w:ascii="Times New Roman" w:hAnsi="Times New Roman" w:eastAsia="方正仿宋_GBK" w:cs="Times New Roman"/>
          <w:sz w:val="24"/>
          <w:szCs w:val="24"/>
        </w:rPr>
      </w:pPr>
    </w:p>
    <w:p>
      <w:pPr>
        <w:spacing w:line="360" w:lineRule="auto"/>
        <w:ind w:firstLine="480" w:firstLineChars="200"/>
        <w:jc w:val="center"/>
        <w:rPr>
          <w:rFonts w:hint="default" w:ascii="Times New Roman" w:hAnsi="Times New Roman" w:eastAsia="方正仿宋_GBK" w:cs="Times New Roman"/>
          <w:sz w:val="24"/>
          <w:szCs w:val="24"/>
        </w:rPr>
      </w:pPr>
    </w:p>
    <w:p>
      <w:pPr>
        <w:spacing w:line="360" w:lineRule="auto"/>
        <w:ind w:firstLine="480" w:firstLineChars="200"/>
        <w:jc w:val="center"/>
        <w:rPr>
          <w:rFonts w:hint="default" w:ascii="Times New Roman" w:hAnsi="Times New Roman" w:eastAsia="方正仿宋_GBK" w:cs="Times New Roman"/>
          <w:sz w:val="24"/>
          <w:szCs w:val="24"/>
        </w:rPr>
      </w:pPr>
    </w:p>
    <w:p>
      <w:pPr>
        <w:spacing w:line="360" w:lineRule="auto"/>
        <w:ind w:firstLine="480" w:firstLineChars="200"/>
        <w:jc w:val="center"/>
        <w:rPr>
          <w:rFonts w:hint="default" w:ascii="Times New Roman" w:hAnsi="Times New Roman" w:eastAsia="方正仿宋_GBK" w:cs="Times New Roman"/>
          <w:sz w:val="24"/>
          <w:szCs w:val="24"/>
        </w:rPr>
      </w:pPr>
    </w:p>
    <w:p>
      <w:pPr>
        <w:spacing w:line="360" w:lineRule="auto"/>
        <w:ind w:firstLine="480" w:firstLineChars="200"/>
        <w:jc w:val="center"/>
        <w:rPr>
          <w:rFonts w:hint="default" w:ascii="Times New Roman" w:hAnsi="Times New Roman" w:eastAsia="方正仿宋_GBK" w:cs="Times New Roman"/>
          <w:sz w:val="24"/>
          <w:szCs w:val="24"/>
        </w:rPr>
      </w:pPr>
    </w:p>
    <w:p>
      <w:pPr>
        <w:spacing w:line="360" w:lineRule="auto"/>
        <w:ind w:firstLine="480" w:firstLineChars="200"/>
        <w:jc w:val="center"/>
        <w:rPr>
          <w:rFonts w:hint="default" w:ascii="Times New Roman" w:hAnsi="Times New Roman" w:eastAsia="方正仿宋_GBK" w:cs="Times New Roman"/>
          <w:sz w:val="24"/>
          <w:szCs w:val="24"/>
        </w:rPr>
      </w:pPr>
    </w:p>
    <w:p>
      <w:pPr>
        <w:spacing w:line="360" w:lineRule="auto"/>
        <w:ind w:firstLine="480" w:firstLineChars="200"/>
        <w:jc w:val="center"/>
        <w:rPr>
          <w:rFonts w:hint="default" w:ascii="Times New Roman" w:hAnsi="Times New Roman" w:eastAsia="方正仿宋_GBK" w:cs="Times New Roman"/>
          <w:sz w:val="24"/>
          <w:szCs w:val="24"/>
        </w:rPr>
      </w:pPr>
    </w:p>
    <w:p>
      <w:pPr>
        <w:spacing w:line="360" w:lineRule="auto"/>
        <w:ind w:firstLine="480" w:firstLineChars="200"/>
        <w:jc w:val="center"/>
        <w:rPr>
          <w:rFonts w:hint="default" w:ascii="Times New Roman" w:hAnsi="Times New Roman" w:eastAsia="方正仿宋_GBK" w:cs="Times New Roman"/>
          <w:sz w:val="24"/>
          <w:szCs w:val="24"/>
        </w:rPr>
      </w:pPr>
    </w:p>
    <w:p>
      <w:pPr>
        <w:spacing w:line="360" w:lineRule="auto"/>
        <w:ind w:firstLine="480" w:firstLineChars="200"/>
        <w:jc w:val="center"/>
        <w:rPr>
          <w:rFonts w:hint="default" w:ascii="Times New Roman" w:hAnsi="Times New Roman" w:eastAsia="方正仿宋_GBK" w:cs="Times New Roman"/>
          <w:sz w:val="24"/>
          <w:szCs w:val="24"/>
        </w:rPr>
      </w:pPr>
    </w:p>
    <w:p>
      <w:pPr>
        <w:spacing w:line="360" w:lineRule="auto"/>
        <w:ind w:firstLine="480" w:firstLineChars="200"/>
        <w:jc w:val="center"/>
        <w:rPr>
          <w:rFonts w:hint="default" w:ascii="Times New Roman" w:hAnsi="Times New Roman" w:eastAsia="方正仿宋_GBK" w:cs="Times New Roman"/>
          <w:sz w:val="24"/>
          <w:szCs w:val="24"/>
        </w:rPr>
      </w:pPr>
    </w:p>
    <w:p>
      <w:pPr>
        <w:spacing w:line="360" w:lineRule="auto"/>
        <w:ind w:firstLine="480" w:firstLineChars="200"/>
        <w:jc w:val="center"/>
        <w:rPr>
          <w:rFonts w:hint="default" w:ascii="Times New Roman" w:hAnsi="Times New Roman" w:eastAsia="方正仿宋_GBK" w:cs="Times New Roman"/>
          <w:sz w:val="24"/>
          <w:szCs w:val="24"/>
        </w:rPr>
      </w:pPr>
    </w:p>
    <w:p>
      <w:pPr>
        <w:spacing w:line="360" w:lineRule="auto"/>
        <w:ind w:firstLine="480" w:firstLineChars="200"/>
        <w:jc w:val="center"/>
        <w:rPr>
          <w:rFonts w:hint="default" w:ascii="Times New Roman" w:hAnsi="Times New Roman" w:eastAsia="方正仿宋_GBK" w:cs="Times New Roman"/>
          <w:sz w:val="24"/>
          <w:szCs w:val="24"/>
        </w:rPr>
      </w:pPr>
    </w:p>
    <w:p>
      <w:pPr>
        <w:spacing w:line="360" w:lineRule="auto"/>
        <w:ind w:firstLine="480" w:firstLineChars="200"/>
        <w:jc w:val="center"/>
        <w:rPr>
          <w:rFonts w:hint="default" w:ascii="Times New Roman" w:hAnsi="Times New Roman" w:eastAsia="方正仿宋_GBK" w:cs="Times New Roman"/>
          <w:sz w:val="24"/>
          <w:szCs w:val="24"/>
        </w:rPr>
      </w:pPr>
    </w:p>
    <w:p>
      <w:pPr>
        <w:spacing w:line="360" w:lineRule="auto"/>
        <w:ind w:firstLine="480" w:firstLineChars="200"/>
        <w:jc w:val="center"/>
        <w:rPr>
          <w:rFonts w:hint="default" w:ascii="Times New Roman" w:hAnsi="Times New Roman" w:eastAsia="方正仿宋_GBK" w:cs="Times New Roman"/>
          <w:sz w:val="24"/>
          <w:szCs w:val="24"/>
        </w:rPr>
      </w:pPr>
    </w:p>
    <w:p>
      <w:pPr>
        <w:spacing w:line="360" w:lineRule="auto"/>
        <w:ind w:firstLine="480" w:firstLineChars="200"/>
        <w:jc w:val="center"/>
        <w:outlineLvl w:val="0"/>
        <w:rPr>
          <w:rFonts w:hint="default" w:ascii="Times New Roman" w:hAnsi="Times New Roman" w:eastAsia="方正仿宋_GBK" w:cs="Times New Roman"/>
        </w:rPr>
      </w:pPr>
      <w:r>
        <w:rPr>
          <w:rFonts w:hint="default" w:ascii="Times New Roman" w:hAnsi="Times New Roman" w:eastAsia="方正仿宋_GBK" w:cs="Times New Roman"/>
          <w:sz w:val="24"/>
          <w:szCs w:val="24"/>
        </w:rPr>
        <w:t>（结束）</w:t>
      </w: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roma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_x000B__x000C_">
    <w:altName w:val="Times New Roman"/>
    <w:panose1 w:val="00000000000000000000"/>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文鼎粗黑">
    <w:altName w:val="宋体"/>
    <w:panose1 w:val="020B0609010101010101"/>
    <w:charset w:val="86"/>
    <w:family w:val="modern"/>
    <w:pitch w:val="default"/>
    <w:sig w:usb0="00000000" w:usb1="00000000" w:usb2="00000010" w:usb3="00000000" w:csb0="00040000" w:csb1="00000000"/>
  </w:font>
  <w:font w:name="昆仑楷体">
    <w:altName w:val="宋体"/>
    <w:panose1 w:val="0201060900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jc w:val="center"/>
      <w:rPr>
        <w:rStyle w:val="63"/>
        <w:rFonts w:hint="eastAsia" w:ascii="宋体"/>
        <w:sz w:val="21"/>
        <w:szCs w:val="21"/>
      </w:rPr>
    </w:pPr>
    <w:r>
      <w:rPr>
        <w:rFonts w:ascii="宋体"/>
        <w:sz w:val="21"/>
        <w:szCs w:val="21"/>
      </w:rPr>
      <w:fldChar w:fldCharType="begin"/>
    </w:r>
    <w:r>
      <w:rPr>
        <w:rStyle w:val="63"/>
        <w:rFonts w:ascii="宋体"/>
        <w:sz w:val="21"/>
        <w:szCs w:val="21"/>
      </w:rPr>
      <w:instrText xml:space="preserve">PAGE  </w:instrText>
    </w:r>
    <w:r>
      <w:rPr>
        <w:rFonts w:ascii="宋体"/>
        <w:sz w:val="21"/>
        <w:szCs w:val="21"/>
      </w:rPr>
      <w:fldChar w:fldCharType="separate"/>
    </w:r>
    <w:r>
      <w:rPr>
        <w:rStyle w:val="63"/>
        <w:rFonts w:ascii="宋体"/>
        <w:sz w:val="21"/>
        <w:szCs w:val="21"/>
      </w:rPr>
      <w:t>- 2 -</w:t>
    </w:r>
    <w:r>
      <w:rPr>
        <w:rFonts w:ascii="宋体"/>
        <w:sz w:val="21"/>
        <w:szCs w:val="21"/>
      </w:rPr>
      <w:fldChar w:fldCharType="end"/>
    </w:r>
  </w:p>
  <w:p>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3"/>
      </w:rPr>
    </w:pPr>
    <w:r>
      <w:fldChar w:fldCharType="begin"/>
    </w:r>
    <w:r>
      <w:rPr>
        <w:rStyle w:val="63"/>
      </w:rPr>
      <w:instrText xml:space="preserve">PAGE  </w:instrText>
    </w:r>
    <w:r>
      <w:fldChar w:fldCharType="separate"/>
    </w:r>
    <w:r>
      <w:fldChar w:fldCharType="end"/>
    </w:r>
  </w:p>
  <w:p>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3"/>
      </w:rPr>
    </w:pPr>
  </w:p>
  <w:p>
    <w:pPr>
      <w:pStyle w:val="35"/>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jc w:val="center"/>
      <w:rPr>
        <w:rStyle w:val="63"/>
        <w:rFonts w:hint="eastAsia" w:ascii="宋体"/>
        <w:sz w:val="21"/>
        <w:szCs w:val="21"/>
      </w:rPr>
    </w:pPr>
    <w:r>
      <w:rPr>
        <w:rFonts w:ascii="宋体"/>
        <w:sz w:val="21"/>
        <w:szCs w:val="21"/>
      </w:rPr>
      <w:fldChar w:fldCharType="begin"/>
    </w:r>
    <w:r>
      <w:rPr>
        <w:rStyle w:val="63"/>
        <w:rFonts w:ascii="宋体"/>
        <w:sz w:val="21"/>
        <w:szCs w:val="21"/>
      </w:rPr>
      <w:instrText xml:space="preserve">PAGE  </w:instrText>
    </w:r>
    <w:r>
      <w:rPr>
        <w:rFonts w:ascii="宋体"/>
        <w:sz w:val="21"/>
        <w:szCs w:val="21"/>
      </w:rPr>
      <w:fldChar w:fldCharType="separate"/>
    </w:r>
    <w:r>
      <w:rPr>
        <w:rStyle w:val="63"/>
        <w:rFonts w:ascii="宋体"/>
        <w:sz w:val="21"/>
        <w:szCs w:val="21"/>
      </w:rPr>
      <w:t>- 2 -</w:t>
    </w:r>
    <w:r>
      <w:rPr>
        <w:rFonts w:ascii="宋体"/>
        <w:sz w:val="21"/>
        <w:szCs w:val="21"/>
      </w:rPr>
      <w:fldChar w:fldCharType="end"/>
    </w:r>
  </w:p>
  <w:p>
    <w:pPr>
      <w:pStyle w:val="3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3"/>
      </w:rPr>
    </w:pPr>
    <w:r>
      <w:fldChar w:fldCharType="begin"/>
    </w:r>
    <w:r>
      <w:rPr>
        <w:rStyle w:val="63"/>
      </w:rPr>
      <w:instrText xml:space="preserve">PAGE  </w:instrText>
    </w:r>
    <w:r>
      <w:fldChar w:fldCharType="separate"/>
    </w:r>
    <w:r>
      <w:fldChar w:fldCharType="end"/>
    </w:r>
  </w:p>
  <w:p>
    <w:pPr>
      <w:pStyle w:val="3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3"/>
      </w:rPr>
    </w:pPr>
  </w:p>
  <w:p>
    <w:pPr>
      <w:pStyle w:val="35"/>
      <w:jc w:val="center"/>
      <w:rPr>
        <w:rFonts w:hint="eastAsia" w:ascii="宋体" w:hAnsi="宋体"/>
        <w:sz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rFonts w:hint="eastAsia"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- 4 -</w:t>
    </w:r>
    <w:r>
      <w:rPr>
        <w:rFonts w:ascii="宋体" w:hAnsi="宋体"/>
        <w:sz w:val="21"/>
        <w:szCs w:val="2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rFonts w:hint="eastAsia"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- 30 -</w:t>
    </w:r>
    <w:r>
      <w:rPr>
        <w:rFonts w:ascii="宋体" w:hAnsi="宋体"/>
        <w:sz w:val="21"/>
        <w:szCs w:val="21"/>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3"/>
      </w:rPr>
    </w:pPr>
    <w:r>
      <w:fldChar w:fldCharType="begin"/>
    </w:r>
    <w:r>
      <w:rPr>
        <w:rStyle w:val="63"/>
      </w:rPr>
      <w:instrText xml:space="preserve">PAGE  </w:instrText>
    </w:r>
    <w:r>
      <w:fldChar w:fldCharType="separate"/>
    </w:r>
    <w:r>
      <w:fldChar w:fldCharType="end"/>
    </w:r>
  </w:p>
  <w:p>
    <w:pPr>
      <w:pStyle w:val="3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rPr>
        <w:rFonts w:hint="eastAsia"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rPr>
        <w:rFonts w:hint="eastAsia" w:ascii="方正仿宋_GBK" w:eastAsia="方正仿宋_GBK"/>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rPr>
        <w:rFonts w:hint="eastAsia"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154B7"/>
    <w:multiLevelType w:val="singleLevel"/>
    <w:tmpl w:val="85D154B7"/>
    <w:lvl w:ilvl="0" w:tentative="0">
      <w:start w:val="3"/>
      <w:numFmt w:val="chineseCounting"/>
      <w:suff w:val="nothing"/>
      <w:lvlText w:val="（%1）"/>
      <w:lvlJc w:val="left"/>
      <w:rPr>
        <w:rFonts w:hint="eastAsia"/>
      </w:rPr>
    </w:lvl>
  </w:abstractNum>
  <w:abstractNum w:abstractNumId="1">
    <w:nsid w:val="00000009"/>
    <w:multiLevelType w:val="multilevel"/>
    <w:tmpl w:val="00000009"/>
    <w:lvl w:ilvl="0" w:tentative="0">
      <w:start w:val="1"/>
      <w:numFmt w:val="upperLetter"/>
      <w:pStyle w:val="124"/>
      <w:suff w:val="nothing"/>
      <w:lvlText w:val="附　录　%1"/>
      <w:lvlJc w:val="left"/>
      <w:pPr>
        <w:ind w:left="0" w:firstLine="0"/>
      </w:pPr>
      <w:rPr>
        <w:rFonts w:hint="eastAsia" w:ascii="黑体" w:hAnsi="Times New Roman" w:eastAsia="黑体"/>
        <w:b w:val="0"/>
        <w:i w:val="0"/>
        <w:sz w:val="21"/>
      </w:rPr>
    </w:lvl>
    <w:lvl w:ilvl="1" w:tentative="0">
      <w:start w:val="1"/>
      <w:numFmt w:val="decimal"/>
      <w:pStyle w:val="117"/>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148"/>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72"/>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205"/>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135"/>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191"/>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234"/>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78"/>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5A7FBC3C"/>
    <w:multiLevelType w:val="singleLevel"/>
    <w:tmpl w:val="5A7FBC3C"/>
    <w:lvl w:ilvl="0" w:tentative="0">
      <w:start w:val="1"/>
      <w:numFmt w:val="chineseCounting"/>
      <w:suff w:val="nothing"/>
      <w:lvlText w:val="%1、"/>
      <w:lvlJc w:val="left"/>
    </w:lvl>
  </w:abstractNum>
  <w:num w:numId="1">
    <w:abstractNumId w:val="9"/>
  </w:num>
  <w:num w:numId="2">
    <w:abstractNumId w:val="4"/>
  </w:num>
  <w:num w:numId="3">
    <w:abstractNumId w:val="10"/>
  </w:num>
  <w:num w:numId="4">
    <w:abstractNumId w:val="12"/>
  </w:num>
  <w:num w:numId="5">
    <w:abstractNumId w:val="1"/>
  </w:num>
  <w:num w:numId="6">
    <w:abstractNumId w:val="7"/>
  </w:num>
  <w:num w:numId="7">
    <w:abstractNumId w:val="2"/>
  </w:num>
  <w:num w:numId="8">
    <w:abstractNumId w:val="3"/>
  </w:num>
  <w:num w:numId="9">
    <w:abstractNumId w:val="6"/>
  </w:num>
  <w:num w:numId="10">
    <w:abstractNumId w:val="8"/>
  </w:num>
  <w:num w:numId="11">
    <w:abstractNumId w:val="5"/>
  </w:num>
  <w:num w:numId="12">
    <w:abstractNumId w:val="11"/>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lNDFlNWI5OGY4MjQ4MTdlNjFlOWI0ZDY1NzAyMDMifQ=="/>
    <w:docVar w:name="KSO_WPS_MARK_KEY" w:val="a2d778c6-d3b1-4134-b56c-df95c93c9b6a"/>
  </w:docVars>
  <w:rsids>
    <w:rsidRoot w:val="00172A27"/>
    <w:rsid w:val="000014C5"/>
    <w:rsid w:val="00002AE4"/>
    <w:rsid w:val="00003626"/>
    <w:rsid w:val="000040DE"/>
    <w:rsid w:val="000070F0"/>
    <w:rsid w:val="000075E8"/>
    <w:rsid w:val="00011B4B"/>
    <w:rsid w:val="00016B79"/>
    <w:rsid w:val="00017816"/>
    <w:rsid w:val="00032ACA"/>
    <w:rsid w:val="0003632F"/>
    <w:rsid w:val="000379D3"/>
    <w:rsid w:val="00043835"/>
    <w:rsid w:val="0004739C"/>
    <w:rsid w:val="00051E02"/>
    <w:rsid w:val="000523C9"/>
    <w:rsid w:val="0005298B"/>
    <w:rsid w:val="0005417C"/>
    <w:rsid w:val="000576E1"/>
    <w:rsid w:val="00061A7C"/>
    <w:rsid w:val="00063981"/>
    <w:rsid w:val="00074C38"/>
    <w:rsid w:val="000816AD"/>
    <w:rsid w:val="00082CC1"/>
    <w:rsid w:val="00090C5A"/>
    <w:rsid w:val="00091B1C"/>
    <w:rsid w:val="00091D22"/>
    <w:rsid w:val="00092844"/>
    <w:rsid w:val="000A164E"/>
    <w:rsid w:val="000A201E"/>
    <w:rsid w:val="000A3057"/>
    <w:rsid w:val="000B1068"/>
    <w:rsid w:val="000B3002"/>
    <w:rsid w:val="000B42F4"/>
    <w:rsid w:val="000B7377"/>
    <w:rsid w:val="000B7F54"/>
    <w:rsid w:val="000C08C1"/>
    <w:rsid w:val="000C1E0E"/>
    <w:rsid w:val="000C20E6"/>
    <w:rsid w:val="000C2C03"/>
    <w:rsid w:val="000C6D89"/>
    <w:rsid w:val="000D776F"/>
    <w:rsid w:val="000E01C9"/>
    <w:rsid w:val="000E0DD7"/>
    <w:rsid w:val="000E3259"/>
    <w:rsid w:val="000E4835"/>
    <w:rsid w:val="000E5AB0"/>
    <w:rsid w:val="000F302A"/>
    <w:rsid w:val="000F3D5B"/>
    <w:rsid w:val="000F64D7"/>
    <w:rsid w:val="000F7DBF"/>
    <w:rsid w:val="0010014A"/>
    <w:rsid w:val="00100639"/>
    <w:rsid w:val="0010088E"/>
    <w:rsid w:val="001028FD"/>
    <w:rsid w:val="00105638"/>
    <w:rsid w:val="0010716D"/>
    <w:rsid w:val="001140DC"/>
    <w:rsid w:val="00114CFE"/>
    <w:rsid w:val="00115337"/>
    <w:rsid w:val="001166B8"/>
    <w:rsid w:val="0011683E"/>
    <w:rsid w:val="00116856"/>
    <w:rsid w:val="00116C42"/>
    <w:rsid w:val="0011780F"/>
    <w:rsid w:val="00117B26"/>
    <w:rsid w:val="00120259"/>
    <w:rsid w:val="00122F9D"/>
    <w:rsid w:val="001264A8"/>
    <w:rsid w:val="001266BF"/>
    <w:rsid w:val="00133D16"/>
    <w:rsid w:val="00134037"/>
    <w:rsid w:val="001342AC"/>
    <w:rsid w:val="00135BAE"/>
    <w:rsid w:val="00145224"/>
    <w:rsid w:val="00146EC3"/>
    <w:rsid w:val="00147FB4"/>
    <w:rsid w:val="0015011C"/>
    <w:rsid w:val="00150204"/>
    <w:rsid w:val="0015033B"/>
    <w:rsid w:val="00150429"/>
    <w:rsid w:val="001523C5"/>
    <w:rsid w:val="00152B00"/>
    <w:rsid w:val="00152CAD"/>
    <w:rsid w:val="00153556"/>
    <w:rsid w:val="0016265A"/>
    <w:rsid w:val="00171E05"/>
    <w:rsid w:val="00171E3D"/>
    <w:rsid w:val="00180ACB"/>
    <w:rsid w:val="00181A6C"/>
    <w:rsid w:val="00183B60"/>
    <w:rsid w:val="00186623"/>
    <w:rsid w:val="001879FD"/>
    <w:rsid w:val="0019571D"/>
    <w:rsid w:val="001963A2"/>
    <w:rsid w:val="00196465"/>
    <w:rsid w:val="001A1B93"/>
    <w:rsid w:val="001A64A1"/>
    <w:rsid w:val="001A6DCC"/>
    <w:rsid w:val="001A773E"/>
    <w:rsid w:val="001B0396"/>
    <w:rsid w:val="001B1400"/>
    <w:rsid w:val="001B3DBD"/>
    <w:rsid w:val="001B4377"/>
    <w:rsid w:val="001D0DF7"/>
    <w:rsid w:val="001D1038"/>
    <w:rsid w:val="001D2321"/>
    <w:rsid w:val="001D2DCD"/>
    <w:rsid w:val="001D5055"/>
    <w:rsid w:val="001D630C"/>
    <w:rsid w:val="001E1467"/>
    <w:rsid w:val="001E1A2F"/>
    <w:rsid w:val="001E201B"/>
    <w:rsid w:val="001E5CAC"/>
    <w:rsid w:val="001E64A9"/>
    <w:rsid w:val="001E6841"/>
    <w:rsid w:val="001E725F"/>
    <w:rsid w:val="001F1AF5"/>
    <w:rsid w:val="001F1AF7"/>
    <w:rsid w:val="001F4964"/>
    <w:rsid w:val="001F4A96"/>
    <w:rsid w:val="001F6562"/>
    <w:rsid w:val="001F7063"/>
    <w:rsid w:val="00202B04"/>
    <w:rsid w:val="00203052"/>
    <w:rsid w:val="00204469"/>
    <w:rsid w:val="00204936"/>
    <w:rsid w:val="002049D5"/>
    <w:rsid w:val="00206AE4"/>
    <w:rsid w:val="002100EE"/>
    <w:rsid w:val="00210168"/>
    <w:rsid w:val="00210ED7"/>
    <w:rsid w:val="00212A06"/>
    <w:rsid w:val="00214E7A"/>
    <w:rsid w:val="00215DEE"/>
    <w:rsid w:val="0021618E"/>
    <w:rsid w:val="0021704D"/>
    <w:rsid w:val="002216C7"/>
    <w:rsid w:val="00222097"/>
    <w:rsid w:val="002227DB"/>
    <w:rsid w:val="00223C9A"/>
    <w:rsid w:val="002270A5"/>
    <w:rsid w:val="00227202"/>
    <w:rsid w:val="00227377"/>
    <w:rsid w:val="00227851"/>
    <w:rsid w:val="00227C22"/>
    <w:rsid w:val="002339D3"/>
    <w:rsid w:val="00234257"/>
    <w:rsid w:val="002348E0"/>
    <w:rsid w:val="00254CD4"/>
    <w:rsid w:val="00254E1A"/>
    <w:rsid w:val="00262555"/>
    <w:rsid w:val="002643C1"/>
    <w:rsid w:val="00265203"/>
    <w:rsid w:val="0026790A"/>
    <w:rsid w:val="00270223"/>
    <w:rsid w:val="0027199E"/>
    <w:rsid w:val="00271D47"/>
    <w:rsid w:val="002721EA"/>
    <w:rsid w:val="002752BA"/>
    <w:rsid w:val="00280E8A"/>
    <w:rsid w:val="00285164"/>
    <w:rsid w:val="002855B0"/>
    <w:rsid w:val="00286959"/>
    <w:rsid w:val="00295FA5"/>
    <w:rsid w:val="00297A6F"/>
    <w:rsid w:val="002A1D09"/>
    <w:rsid w:val="002A4956"/>
    <w:rsid w:val="002A6710"/>
    <w:rsid w:val="002A7778"/>
    <w:rsid w:val="002B1FDA"/>
    <w:rsid w:val="002B2ACF"/>
    <w:rsid w:val="002B578B"/>
    <w:rsid w:val="002B5ECC"/>
    <w:rsid w:val="002B7904"/>
    <w:rsid w:val="002C1859"/>
    <w:rsid w:val="002C2507"/>
    <w:rsid w:val="002C2E6E"/>
    <w:rsid w:val="002C3A3D"/>
    <w:rsid w:val="002C7927"/>
    <w:rsid w:val="002D0D19"/>
    <w:rsid w:val="002D41FF"/>
    <w:rsid w:val="002D608F"/>
    <w:rsid w:val="002D7053"/>
    <w:rsid w:val="002D7208"/>
    <w:rsid w:val="002D7725"/>
    <w:rsid w:val="002E0CC2"/>
    <w:rsid w:val="002E3527"/>
    <w:rsid w:val="002E3824"/>
    <w:rsid w:val="002E78F7"/>
    <w:rsid w:val="002F031F"/>
    <w:rsid w:val="002F0ED3"/>
    <w:rsid w:val="002F3278"/>
    <w:rsid w:val="002F3DE3"/>
    <w:rsid w:val="002F632E"/>
    <w:rsid w:val="003021BC"/>
    <w:rsid w:val="0030440F"/>
    <w:rsid w:val="00310AF9"/>
    <w:rsid w:val="00310DAA"/>
    <w:rsid w:val="0031465E"/>
    <w:rsid w:val="00315742"/>
    <w:rsid w:val="003163B3"/>
    <w:rsid w:val="003200C6"/>
    <w:rsid w:val="00322A7A"/>
    <w:rsid w:val="00326C5B"/>
    <w:rsid w:val="003336F0"/>
    <w:rsid w:val="0033663D"/>
    <w:rsid w:val="003366D9"/>
    <w:rsid w:val="00340777"/>
    <w:rsid w:val="00341D8A"/>
    <w:rsid w:val="00341DEB"/>
    <w:rsid w:val="00346A3D"/>
    <w:rsid w:val="00350510"/>
    <w:rsid w:val="00350C20"/>
    <w:rsid w:val="003548FA"/>
    <w:rsid w:val="00355643"/>
    <w:rsid w:val="00355A74"/>
    <w:rsid w:val="0035764D"/>
    <w:rsid w:val="00361427"/>
    <w:rsid w:val="0036231F"/>
    <w:rsid w:val="00363702"/>
    <w:rsid w:val="0036458B"/>
    <w:rsid w:val="003703E8"/>
    <w:rsid w:val="00371D2F"/>
    <w:rsid w:val="00373122"/>
    <w:rsid w:val="0037612E"/>
    <w:rsid w:val="0038033A"/>
    <w:rsid w:val="003816ED"/>
    <w:rsid w:val="003840E9"/>
    <w:rsid w:val="00384161"/>
    <w:rsid w:val="00387610"/>
    <w:rsid w:val="0039432A"/>
    <w:rsid w:val="003953EA"/>
    <w:rsid w:val="00395C2F"/>
    <w:rsid w:val="003973D3"/>
    <w:rsid w:val="00397F89"/>
    <w:rsid w:val="003A0495"/>
    <w:rsid w:val="003A0892"/>
    <w:rsid w:val="003A3162"/>
    <w:rsid w:val="003A422B"/>
    <w:rsid w:val="003A449E"/>
    <w:rsid w:val="003A71F3"/>
    <w:rsid w:val="003B19F5"/>
    <w:rsid w:val="003D0E0A"/>
    <w:rsid w:val="003D3B22"/>
    <w:rsid w:val="003D4D39"/>
    <w:rsid w:val="003D7B3D"/>
    <w:rsid w:val="003E0348"/>
    <w:rsid w:val="003F3DB1"/>
    <w:rsid w:val="003F451E"/>
    <w:rsid w:val="003F4939"/>
    <w:rsid w:val="003F626F"/>
    <w:rsid w:val="003F6794"/>
    <w:rsid w:val="00402B32"/>
    <w:rsid w:val="0040519F"/>
    <w:rsid w:val="0040781E"/>
    <w:rsid w:val="00410C93"/>
    <w:rsid w:val="004115FB"/>
    <w:rsid w:val="00411B4A"/>
    <w:rsid w:val="004134DD"/>
    <w:rsid w:val="00417E99"/>
    <w:rsid w:val="00421507"/>
    <w:rsid w:val="00424D02"/>
    <w:rsid w:val="00424D74"/>
    <w:rsid w:val="0042525A"/>
    <w:rsid w:val="0042733C"/>
    <w:rsid w:val="0044185A"/>
    <w:rsid w:val="0044193A"/>
    <w:rsid w:val="00453B8F"/>
    <w:rsid w:val="004556B7"/>
    <w:rsid w:val="00460489"/>
    <w:rsid w:val="004608C7"/>
    <w:rsid w:val="004608E6"/>
    <w:rsid w:val="00462878"/>
    <w:rsid w:val="00465B7A"/>
    <w:rsid w:val="00471121"/>
    <w:rsid w:val="00472AA2"/>
    <w:rsid w:val="00473B39"/>
    <w:rsid w:val="00474175"/>
    <w:rsid w:val="00481309"/>
    <w:rsid w:val="004928A2"/>
    <w:rsid w:val="00494610"/>
    <w:rsid w:val="004953EC"/>
    <w:rsid w:val="00497ADD"/>
    <w:rsid w:val="004A0D29"/>
    <w:rsid w:val="004A0DE1"/>
    <w:rsid w:val="004A2410"/>
    <w:rsid w:val="004A27AC"/>
    <w:rsid w:val="004A3995"/>
    <w:rsid w:val="004B3AB3"/>
    <w:rsid w:val="004C1DD0"/>
    <w:rsid w:val="004C222F"/>
    <w:rsid w:val="004C2685"/>
    <w:rsid w:val="004C64E4"/>
    <w:rsid w:val="004C6673"/>
    <w:rsid w:val="004C7A90"/>
    <w:rsid w:val="004D2334"/>
    <w:rsid w:val="004D433D"/>
    <w:rsid w:val="004D4410"/>
    <w:rsid w:val="004E156F"/>
    <w:rsid w:val="004E2F88"/>
    <w:rsid w:val="004E550E"/>
    <w:rsid w:val="004E55DB"/>
    <w:rsid w:val="004E67C6"/>
    <w:rsid w:val="004F5959"/>
    <w:rsid w:val="004F670C"/>
    <w:rsid w:val="00502B2F"/>
    <w:rsid w:val="00512D00"/>
    <w:rsid w:val="00512D44"/>
    <w:rsid w:val="00514179"/>
    <w:rsid w:val="00516243"/>
    <w:rsid w:val="005164D4"/>
    <w:rsid w:val="00537681"/>
    <w:rsid w:val="005406A0"/>
    <w:rsid w:val="00540D4D"/>
    <w:rsid w:val="00540E03"/>
    <w:rsid w:val="00541D5F"/>
    <w:rsid w:val="00544BEA"/>
    <w:rsid w:val="005460D5"/>
    <w:rsid w:val="00553CF0"/>
    <w:rsid w:val="00557C75"/>
    <w:rsid w:val="00566A85"/>
    <w:rsid w:val="00570C78"/>
    <w:rsid w:val="005731DF"/>
    <w:rsid w:val="00573AE3"/>
    <w:rsid w:val="00581EF9"/>
    <w:rsid w:val="00583690"/>
    <w:rsid w:val="005902D9"/>
    <w:rsid w:val="0059075F"/>
    <w:rsid w:val="00596AB7"/>
    <w:rsid w:val="005A1B5C"/>
    <w:rsid w:val="005A1EA7"/>
    <w:rsid w:val="005A479F"/>
    <w:rsid w:val="005A4B20"/>
    <w:rsid w:val="005A6A12"/>
    <w:rsid w:val="005B0724"/>
    <w:rsid w:val="005B1E46"/>
    <w:rsid w:val="005B5AA4"/>
    <w:rsid w:val="005C3F4B"/>
    <w:rsid w:val="005C42AC"/>
    <w:rsid w:val="005C4F84"/>
    <w:rsid w:val="005C5501"/>
    <w:rsid w:val="005C588F"/>
    <w:rsid w:val="005D2EC6"/>
    <w:rsid w:val="005D37D0"/>
    <w:rsid w:val="005D41E8"/>
    <w:rsid w:val="005D703E"/>
    <w:rsid w:val="005E35E9"/>
    <w:rsid w:val="005E5525"/>
    <w:rsid w:val="005F38BB"/>
    <w:rsid w:val="005F7895"/>
    <w:rsid w:val="0060003E"/>
    <w:rsid w:val="00602BBE"/>
    <w:rsid w:val="0060315D"/>
    <w:rsid w:val="00613410"/>
    <w:rsid w:val="00617986"/>
    <w:rsid w:val="006256CA"/>
    <w:rsid w:val="00627729"/>
    <w:rsid w:val="00627F21"/>
    <w:rsid w:val="0063025A"/>
    <w:rsid w:val="0064583B"/>
    <w:rsid w:val="006468B8"/>
    <w:rsid w:val="00651127"/>
    <w:rsid w:val="0065190C"/>
    <w:rsid w:val="006542F1"/>
    <w:rsid w:val="00654A48"/>
    <w:rsid w:val="0065651B"/>
    <w:rsid w:val="00664607"/>
    <w:rsid w:val="00665941"/>
    <w:rsid w:val="0066755F"/>
    <w:rsid w:val="00670089"/>
    <w:rsid w:val="00670C89"/>
    <w:rsid w:val="00671233"/>
    <w:rsid w:val="00673763"/>
    <w:rsid w:val="006763DC"/>
    <w:rsid w:val="00680AE4"/>
    <w:rsid w:val="00682205"/>
    <w:rsid w:val="006822B0"/>
    <w:rsid w:val="00684E51"/>
    <w:rsid w:val="0068793C"/>
    <w:rsid w:val="00694288"/>
    <w:rsid w:val="00694F91"/>
    <w:rsid w:val="006A100B"/>
    <w:rsid w:val="006A143A"/>
    <w:rsid w:val="006A3285"/>
    <w:rsid w:val="006A4C56"/>
    <w:rsid w:val="006B0567"/>
    <w:rsid w:val="006B4535"/>
    <w:rsid w:val="006B72DE"/>
    <w:rsid w:val="006B75CB"/>
    <w:rsid w:val="006C2079"/>
    <w:rsid w:val="006C5FC1"/>
    <w:rsid w:val="006D44E1"/>
    <w:rsid w:val="006D51DC"/>
    <w:rsid w:val="006D5BB8"/>
    <w:rsid w:val="006D6350"/>
    <w:rsid w:val="006D6662"/>
    <w:rsid w:val="006E21FA"/>
    <w:rsid w:val="006E477D"/>
    <w:rsid w:val="006E6D5F"/>
    <w:rsid w:val="006F0FB7"/>
    <w:rsid w:val="006F5925"/>
    <w:rsid w:val="006F5E40"/>
    <w:rsid w:val="006F6E4A"/>
    <w:rsid w:val="00704E5D"/>
    <w:rsid w:val="00705739"/>
    <w:rsid w:val="007073D6"/>
    <w:rsid w:val="00710AE5"/>
    <w:rsid w:val="00712E83"/>
    <w:rsid w:val="00712FF5"/>
    <w:rsid w:val="0071464D"/>
    <w:rsid w:val="00714BF1"/>
    <w:rsid w:val="00715327"/>
    <w:rsid w:val="00715FB5"/>
    <w:rsid w:val="00716C50"/>
    <w:rsid w:val="007171A6"/>
    <w:rsid w:val="0071799D"/>
    <w:rsid w:val="00726088"/>
    <w:rsid w:val="00730B6A"/>
    <w:rsid w:val="00731B91"/>
    <w:rsid w:val="00736D88"/>
    <w:rsid w:val="00736DD2"/>
    <w:rsid w:val="00736EE0"/>
    <w:rsid w:val="0074681C"/>
    <w:rsid w:val="00746EC2"/>
    <w:rsid w:val="007504DE"/>
    <w:rsid w:val="00762B70"/>
    <w:rsid w:val="007636FE"/>
    <w:rsid w:val="0077408E"/>
    <w:rsid w:val="007751FF"/>
    <w:rsid w:val="00776989"/>
    <w:rsid w:val="00780577"/>
    <w:rsid w:val="00781AD3"/>
    <w:rsid w:val="00781BFB"/>
    <w:rsid w:val="00786FA7"/>
    <w:rsid w:val="0079177C"/>
    <w:rsid w:val="00794382"/>
    <w:rsid w:val="007959AC"/>
    <w:rsid w:val="00796323"/>
    <w:rsid w:val="007A20E0"/>
    <w:rsid w:val="007A2D5C"/>
    <w:rsid w:val="007A60FA"/>
    <w:rsid w:val="007B2204"/>
    <w:rsid w:val="007B4B60"/>
    <w:rsid w:val="007B7278"/>
    <w:rsid w:val="007C1691"/>
    <w:rsid w:val="007C5991"/>
    <w:rsid w:val="007C6B0F"/>
    <w:rsid w:val="007D0625"/>
    <w:rsid w:val="007D7A44"/>
    <w:rsid w:val="007D7E65"/>
    <w:rsid w:val="007E19E0"/>
    <w:rsid w:val="007E517D"/>
    <w:rsid w:val="007F6769"/>
    <w:rsid w:val="008041D4"/>
    <w:rsid w:val="00806938"/>
    <w:rsid w:val="00807818"/>
    <w:rsid w:val="0081156A"/>
    <w:rsid w:val="00827398"/>
    <w:rsid w:val="008275B6"/>
    <w:rsid w:val="0083653E"/>
    <w:rsid w:val="008369DC"/>
    <w:rsid w:val="00837546"/>
    <w:rsid w:val="00842974"/>
    <w:rsid w:val="00842F87"/>
    <w:rsid w:val="00843A88"/>
    <w:rsid w:val="00843D2E"/>
    <w:rsid w:val="0085550A"/>
    <w:rsid w:val="008616EF"/>
    <w:rsid w:val="00863C25"/>
    <w:rsid w:val="008641B7"/>
    <w:rsid w:val="00864D80"/>
    <w:rsid w:val="00864DC1"/>
    <w:rsid w:val="00870530"/>
    <w:rsid w:val="008705BC"/>
    <w:rsid w:val="00871999"/>
    <w:rsid w:val="00872E27"/>
    <w:rsid w:val="00875A42"/>
    <w:rsid w:val="0088192C"/>
    <w:rsid w:val="00885113"/>
    <w:rsid w:val="008904A8"/>
    <w:rsid w:val="00891D94"/>
    <w:rsid w:val="00896589"/>
    <w:rsid w:val="00896EF5"/>
    <w:rsid w:val="008A0CEE"/>
    <w:rsid w:val="008A19AF"/>
    <w:rsid w:val="008A20FB"/>
    <w:rsid w:val="008A435E"/>
    <w:rsid w:val="008A4D88"/>
    <w:rsid w:val="008C1B22"/>
    <w:rsid w:val="008C4C84"/>
    <w:rsid w:val="008C510F"/>
    <w:rsid w:val="008D067F"/>
    <w:rsid w:val="008D155A"/>
    <w:rsid w:val="008D3283"/>
    <w:rsid w:val="008D48D4"/>
    <w:rsid w:val="008D56F3"/>
    <w:rsid w:val="008D5BBB"/>
    <w:rsid w:val="008E036A"/>
    <w:rsid w:val="008E437B"/>
    <w:rsid w:val="008E4D3F"/>
    <w:rsid w:val="008E66B8"/>
    <w:rsid w:val="008F0A2E"/>
    <w:rsid w:val="008F1988"/>
    <w:rsid w:val="008F2B05"/>
    <w:rsid w:val="008F5E76"/>
    <w:rsid w:val="008F6252"/>
    <w:rsid w:val="008F76DB"/>
    <w:rsid w:val="009023F3"/>
    <w:rsid w:val="0090383C"/>
    <w:rsid w:val="00905D85"/>
    <w:rsid w:val="00912132"/>
    <w:rsid w:val="0091346B"/>
    <w:rsid w:val="00913CAA"/>
    <w:rsid w:val="009226D2"/>
    <w:rsid w:val="00922FAD"/>
    <w:rsid w:val="00924F0A"/>
    <w:rsid w:val="00925082"/>
    <w:rsid w:val="00925726"/>
    <w:rsid w:val="00926904"/>
    <w:rsid w:val="0092708B"/>
    <w:rsid w:val="0093049D"/>
    <w:rsid w:val="00936A01"/>
    <w:rsid w:val="00937713"/>
    <w:rsid w:val="009404E7"/>
    <w:rsid w:val="009409CD"/>
    <w:rsid w:val="0094759E"/>
    <w:rsid w:val="00952C13"/>
    <w:rsid w:val="0095455D"/>
    <w:rsid w:val="00954CF7"/>
    <w:rsid w:val="00962BF1"/>
    <w:rsid w:val="00963237"/>
    <w:rsid w:val="00966820"/>
    <w:rsid w:val="00971E57"/>
    <w:rsid w:val="009723CF"/>
    <w:rsid w:val="00972F46"/>
    <w:rsid w:val="00973D3A"/>
    <w:rsid w:val="009741DC"/>
    <w:rsid w:val="0097652A"/>
    <w:rsid w:val="00980037"/>
    <w:rsid w:val="00983B43"/>
    <w:rsid w:val="00984742"/>
    <w:rsid w:val="0099161D"/>
    <w:rsid w:val="00991B37"/>
    <w:rsid w:val="00997855"/>
    <w:rsid w:val="009B6208"/>
    <w:rsid w:val="009B71FF"/>
    <w:rsid w:val="009C3034"/>
    <w:rsid w:val="009C4BFF"/>
    <w:rsid w:val="009C7522"/>
    <w:rsid w:val="009D0FDD"/>
    <w:rsid w:val="009D3162"/>
    <w:rsid w:val="009D3181"/>
    <w:rsid w:val="009D5B18"/>
    <w:rsid w:val="009D7B9B"/>
    <w:rsid w:val="009E067B"/>
    <w:rsid w:val="009E717E"/>
    <w:rsid w:val="009E737D"/>
    <w:rsid w:val="009F18FA"/>
    <w:rsid w:val="00A0197B"/>
    <w:rsid w:val="00A02768"/>
    <w:rsid w:val="00A03977"/>
    <w:rsid w:val="00A06013"/>
    <w:rsid w:val="00A07896"/>
    <w:rsid w:val="00A104A7"/>
    <w:rsid w:val="00A12904"/>
    <w:rsid w:val="00A15391"/>
    <w:rsid w:val="00A15FBF"/>
    <w:rsid w:val="00A1616D"/>
    <w:rsid w:val="00A1783B"/>
    <w:rsid w:val="00A2061C"/>
    <w:rsid w:val="00A224AC"/>
    <w:rsid w:val="00A26FF7"/>
    <w:rsid w:val="00A27159"/>
    <w:rsid w:val="00A33FF0"/>
    <w:rsid w:val="00A37A20"/>
    <w:rsid w:val="00A4300A"/>
    <w:rsid w:val="00A445DC"/>
    <w:rsid w:val="00A44BEA"/>
    <w:rsid w:val="00A47C22"/>
    <w:rsid w:val="00A50E79"/>
    <w:rsid w:val="00A55B14"/>
    <w:rsid w:val="00A5689C"/>
    <w:rsid w:val="00A569E8"/>
    <w:rsid w:val="00A57FAF"/>
    <w:rsid w:val="00A601C4"/>
    <w:rsid w:val="00A61D6E"/>
    <w:rsid w:val="00A70193"/>
    <w:rsid w:val="00A711C6"/>
    <w:rsid w:val="00A730F3"/>
    <w:rsid w:val="00A74B68"/>
    <w:rsid w:val="00A77EE1"/>
    <w:rsid w:val="00A84863"/>
    <w:rsid w:val="00A9026B"/>
    <w:rsid w:val="00A91750"/>
    <w:rsid w:val="00A95D95"/>
    <w:rsid w:val="00A97199"/>
    <w:rsid w:val="00A977EC"/>
    <w:rsid w:val="00AA3FD1"/>
    <w:rsid w:val="00AA4543"/>
    <w:rsid w:val="00AA52DE"/>
    <w:rsid w:val="00AB11B3"/>
    <w:rsid w:val="00AB1DAF"/>
    <w:rsid w:val="00AB40EF"/>
    <w:rsid w:val="00AB43D9"/>
    <w:rsid w:val="00AB5ED3"/>
    <w:rsid w:val="00AB6B0C"/>
    <w:rsid w:val="00AB70CD"/>
    <w:rsid w:val="00AB7800"/>
    <w:rsid w:val="00AC1860"/>
    <w:rsid w:val="00AC4898"/>
    <w:rsid w:val="00AC48B3"/>
    <w:rsid w:val="00AC7893"/>
    <w:rsid w:val="00AC7AC9"/>
    <w:rsid w:val="00AD0B4D"/>
    <w:rsid w:val="00AD1C54"/>
    <w:rsid w:val="00AE1920"/>
    <w:rsid w:val="00AE76F8"/>
    <w:rsid w:val="00AF01B3"/>
    <w:rsid w:val="00AF0F13"/>
    <w:rsid w:val="00AF6887"/>
    <w:rsid w:val="00AF7992"/>
    <w:rsid w:val="00AF7CDD"/>
    <w:rsid w:val="00B00AB3"/>
    <w:rsid w:val="00B14C52"/>
    <w:rsid w:val="00B200AA"/>
    <w:rsid w:val="00B203A9"/>
    <w:rsid w:val="00B229A5"/>
    <w:rsid w:val="00B23F48"/>
    <w:rsid w:val="00B2488E"/>
    <w:rsid w:val="00B25EB3"/>
    <w:rsid w:val="00B42056"/>
    <w:rsid w:val="00B478C3"/>
    <w:rsid w:val="00B52715"/>
    <w:rsid w:val="00B52D2A"/>
    <w:rsid w:val="00B551BB"/>
    <w:rsid w:val="00B61348"/>
    <w:rsid w:val="00B6263F"/>
    <w:rsid w:val="00B67114"/>
    <w:rsid w:val="00B678C7"/>
    <w:rsid w:val="00B70368"/>
    <w:rsid w:val="00B7097C"/>
    <w:rsid w:val="00B72BCC"/>
    <w:rsid w:val="00B75449"/>
    <w:rsid w:val="00B81284"/>
    <w:rsid w:val="00B835F1"/>
    <w:rsid w:val="00B838F9"/>
    <w:rsid w:val="00B86DA1"/>
    <w:rsid w:val="00B87401"/>
    <w:rsid w:val="00B93A00"/>
    <w:rsid w:val="00B96164"/>
    <w:rsid w:val="00B96B1E"/>
    <w:rsid w:val="00BA1937"/>
    <w:rsid w:val="00BA527C"/>
    <w:rsid w:val="00BA5B9C"/>
    <w:rsid w:val="00BA7D51"/>
    <w:rsid w:val="00BA7F31"/>
    <w:rsid w:val="00BB4AD5"/>
    <w:rsid w:val="00BB7494"/>
    <w:rsid w:val="00BB76A5"/>
    <w:rsid w:val="00BC089B"/>
    <w:rsid w:val="00BC183F"/>
    <w:rsid w:val="00BC1C37"/>
    <w:rsid w:val="00BC2390"/>
    <w:rsid w:val="00BC775D"/>
    <w:rsid w:val="00BD0051"/>
    <w:rsid w:val="00BD12C6"/>
    <w:rsid w:val="00BD2939"/>
    <w:rsid w:val="00BD5A75"/>
    <w:rsid w:val="00BD6BF7"/>
    <w:rsid w:val="00BE07A9"/>
    <w:rsid w:val="00BE1700"/>
    <w:rsid w:val="00BE1FB6"/>
    <w:rsid w:val="00BE2E36"/>
    <w:rsid w:val="00BE4D8F"/>
    <w:rsid w:val="00BF0A3E"/>
    <w:rsid w:val="00BF26AC"/>
    <w:rsid w:val="00BF46A7"/>
    <w:rsid w:val="00BF5230"/>
    <w:rsid w:val="00BF551A"/>
    <w:rsid w:val="00BF6DA8"/>
    <w:rsid w:val="00C00289"/>
    <w:rsid w:val="00C1090C"/>
    <w:rsid w:val="00C201FC"/>
    <w:rsid w:val="00C240C8"/>
    <w:rsid w:val="00C249AF"/>
    <w:rsid w:val="00C26513"/>
    <w:rsid w:val="00C328C9"/>
    <w:rsid w:val="00C339ED"/>
    <w:rsid w:val="00C3416C"/>
    <w:rsid w:val="00C35BA8"/>
    <w:rsid w:val="00C37F72"/>
    <w:rsid w:val="00C40246"/>
    <w:rsid w:val="00C420C1"/>
    <w:rsid w:val="00C43FEE"/>
    <w:rsid w:val="00C45963"/>
    <w:rsid w:val="00C472B8"/>
    <w:rsid w:val="00C50723"/>
    <w:rsid w:val="00C529FD"/>
    <w:rsid w:val="00C53124"/>
    <w:rsid w:val="00C538A9"/>
    <w:rsid w:val="00C53B2E"/>
    <w:rsid w:val="00C60FDB"/>
    <w:rsid w:val="00C6160A"/>
    <w:rsid w:val="00C62B51"/>
    <w:rsid w:val="00C65711"/>
    <w:rsid w:val="00C66460"/>
    <w:rsid w:val="00C76ECD"/>
    <w:rsid w:val="00C8221C"/>
    <w:rsid w:val="00C84B63"/>
    <w:rsid w:val="00C84E04"/>
    <w:rsid w:val="00C86DC6"/>
    <w:rsid w:val="00C910BE"/>
    <w:rsid w:val="00C922BE"/>
    <w:rsid w:val="00CA10F9"/>
    <w:rsid w:val="00CA14F4"/>
    <w:rsid w:val="00CA583F"/>
    <w:rsid w:val="00CA5844"/>
    <w:rsid w:val="00CA7415"/>
    <w:rsid w:val="00CB265C"/>
    <w:rsid w:val="00CB2BDD"/>
    <w:rsid w:val="00CB32BC"/>
    <w:rsid w:val="00CB4540"/>
    <w:rsid w:val="00CB4951"/>
    <w:rsid w:val="00CB7A07"/>
    <w:rsid w:val="00CC59BB"/>
    <w:rsid w:val="00CD1B93"/>
    <w:rsid w:val="00CD3BD4"/>
    <w:rsid w:val="00CD3CC8"/>
    <w:rsid w:val="00CD4915"/>
    <w:rsid w:val="00CD60BD"/>
    <w:rsid w:val="00CD635D"/>
    <w:rsid w:val="00CD6DEE"/>
    <w:rsid w:val="00CD7C5B"/>
    <w:rsid w:val="00CD7CED"/>
    <w:rsid w:val="00CE04C7"/>
    <w:rsid w:val="00CE2AC9"/>
    <w:rsid w:val="00CE2AFE"/>
    <w:rsid w:val="00CE7B14"/>
    <w:rsid w:val="00CF156B"/>
    <w:rsid w:val="00CF1E02"/>
    <w:rsid w:val="00CF4BD6"/>
    <w:rsid w:val="00CF597A"/>
    <w:rsid w:val="00D00228"/>
    <w:rsid w:val="00D00DA0"/>
    <w:rsid w:val="00D0103F"/>
    <w:rsid w:val="00D03E34"/>
    <w:rsid w:val="00D05BAA"/>
    <w:rsid w:val="00D07F26"/>
    <w:rsid w:val="00D11A09"/>
    <w:rsid w:val="00D11BCD"/>
    <w:rsid w:val="00D13B7A"/>
    <w:rsid w:val="00D17FD1"/>
    <w:rsid w:val="00D22C4B"/>
    <w:rsid w:val="00D230C7"/>
    <w:rsid w:val="00D23583"/>
    <w:rsid w:val="00D2362D"/>
    <w:rsid w:val="00D23B14"/>
    <w:rsid w:val="00D23E7D"/>
    <w:rsid w:val="00D2405F"/>
    <w:rsid w:val="00D26C71"/>
    <w:rsid w:val="00D30C7F"/>
    <w:rsid w:val="00D32DFB"/>
    <w:rsid w:val="00D41421"/>
    <w:rsid w:val="00D41998"/>
    <w:rsid w:val="00D41BA9"/>
    <w:rsid w:val="00D44059"/>
    <w:rsid w:val="00D4511A"/>
    <w:rsid w:val="00D51813"/>
    <w:rsid w:val="00D52376"/>
    <w:rsid w:val="00D53EE6"/>
    <w:rsid w:val="00D612C2"/>
    <w:rsid w:val="00D64D38"/>
    <w:rsid w:val="00D745E0"/>
    <w:rsid w:val="00D76AA3"/>
    <w:rsid w:val="00D80604"/>
    <w:rsid w:val="00D86529"/>
    <w:rsid w:val="00D86A86"/>
    <w:rsid w:val="00D8791E"/>
    <w:rsid w:val="00D92438"/>
    <w:rsid w:val="00D93B7D"/>
    <w:rsid w:val="00DA0040"/>
    <w:rsid w:val="00DA03F8"/>
    <w:rsid w:val="00DA086B"/>
    <w:rsid w:val="00DA1D7A"/>
    <w:rsid w:val="00DA3E2D"/>
    <w:rsid w:val="00DA5DD7"/>
    <w:rsid w:val="00DA5E0A"/>
    <w:rsid w:val="00DA6834"/>
    <w:rsid w:val="00DA7145"/>
    <w:rsid w:val="00DA78D8"/>
    <w:rsid w:val="00DA7E05"/>
    <w:rsid w:val="00DB012E"/>
    <w:rsid w:val="00DB4794"/>
    <w:rsid w:val="00DB5C3E"/>
    <w:rsid w:val="00DB628E"/>
    <w:rsid w:val="00DC4070"/>
    <w:rsid w:val="00DE1DE6"/>
    <w:rsid w:val="00DE1E39"/>
    <w:rsid w:val="00DE513D"/>
    <w:rsid w:val="00DF235C"/>
    <w:rsid w:val="00DF426D"/>
    <w:rsid w:val="00DF47D6"/>
    <w:rsid w:val="00DF4D5A"/>
    <w:rsid w:val="00DF5425"/>
    <w:rsid w:val="00DF782C"/>
    <w:rsid w:val="00E030A0"/>
    <w:rsid w:val="00E04F16"/>
    <w:rsid w:val="00E075A1"/>
    <w:rsid w:val="00E0797A"/>
    <w:rsid w:val="00E11D5D"/>
    <w:rsid w:val="00E124E3"/>
    <w:rsid w:val="00E12F81"/>
    <w:rsid w:val="00E14812"/>
    <w:rsid w:val="00E15231"/>
    <w:rsid w:val="00E15DDE"/>
    <w:rsid w:val="00E17B19"/>
    <w:rsid w:val="00E2339E"/>
    <w:rsid w:val="00E26F65"/>
    <w:rsid w:val="00E27C72"/>
    <w:rsid w:val="00E300BB"/>
    <w:rsid w:val="00E31D0A"/>
    <w:rsid w:val="00E3245B"/>
    <w:rsid w:val="00E32DCD"/>
    <w:rsid w:val="00E32DF0"/>
    <w:rsid w:val="00E3707B"/>
    <w:rsid w:val="00E50685"/>
    <w:rsid w:val="00E57F6B"/>
    <w:rsid w:val="00E609CE"/>
    <w:rsid w:val="00E6234F"/>
    <w:rsid w:val="00E67AC7"/>
    <w:rsid w:val="00E7134F"/>
    <w:rsid w:val="00E7342C"/>
    <w:rsid w:val="00E736E9"/>
    <w:rsid w:val="00E76363"/>
    <w:rsid w:val="00E80AFB"/>
    <w:rsid w:val="00E90BE3"/>
    <w:rsid w:val="00E91374"/>
    <w:rsid w:val="00E91D81"/>
    <w:rsid w:val="00E92BC2"/>
    <w:rsid w:val="00EA010E"/>
    <w:rsid w:val="00EA28AB"/>
    <w:rsid w:val="00EA6FBF"/>
    <w:rsid w:val="00EB1E33"/>
    <w:rsid w:val="00EB4DA6"/>
    <w:rsid w:val="00EB759E"/>
    <w:rsid w:val="00EB7B0A"/>
    <w:rsid w:val="00EC0881"/>
    <w:rsid w:val="00EC74F9"/>
    <w:rsid w:val="00ED13DE"/>
    <w:rsid w:val="00ED1996"/>
    <w:rsid w:val="00ED2843"/>
    <w:rsid w:val="00ED2F55"/>
    <w:rsid w:val="00ED5ED8"/>
    <w:rsid w:val="00EE0C95"/>
    <w:rsid w:val="00EE3F0F"/>
    <w:rsid w:val="00EF0199"/>
    <w:rsid w:val="00F0263C"/>
    <w:rsid w:val="00F02E51"/>
    <w:rsid w:val="00F0402A"/>
    <w:rsid w:val="00F07266"/>
    <w:rsid w:val="00F16313"/>
    <w:rsid w:val="00F1700E"/>
    <w:rsid w:val="00F20820"/>
    <w:rsid w:val="00F20FF1"/>
    <w:rsid w:val="00F24317"/>
    <w:rsid w:val="00F27AC7"/>
    <w:rsid w:val="00F32641"/>
    <w:rsid w:val="00F34974"/>
    <w:rsid w:val="00F35457"/>
    <w:rsid w:val="00F3595B"/>
    <w:rsid w:val="00F367F3"/>
    <w:rsid w:val="00F36A26"/>
    <w:rsid w:val="00F41F54"/>
    <w:rsid w:val="00F426A6"/>
    <w:rsid w:val="00F429FD"/>
    <w:rsid w:val="00F4623C"/>
    <w:rsid w:val="00F46AD7"/>
    <w:rsid w:val="00F56399"/>
    <w:rsid w:val="00F606BB"/>
    <w:rsid w:val="00F70113"/>
    <w:rsid w:val="00F746E3"/>
    <w:rsid w:val="00F76C17"/>
    <w:rsid w:val="00F7709C"/>
    <w:rsid w:val="00F7750A"/>
    <w:rsid w:val="00F80006"/>
    <w:rsid w:val="00F80084"/>
    <w:rsid w:val="00F95676"/>
    <w:rsid w:val="00F96401"/>
    <w:rsid w:val="00F9690B"/>
    <w:rsid w:val="00FA3F8B"/>
    <w:rsid w:val="00FA56FF"/>
    <w:rsid w:val="00FA767D"/>
    <w:rsid w:val="00FB65DA"/>
    <w:rsid w:val="00FB693B"/>
    <w:rsid w:val="00FC0BA8"/>
    <w:rsid w:val="00FC3C96"/>
    <w:rsid w:val="00FD2470"/>
    <w:rsid w:val="00FD5823"/>
    <w:rsid w:val="00FD7BE0"/>
    <w:rsid w:val="00FE1C27"/>
    <w:rsid w:val="00FE326F"/>
    <w:rsid w:val="00FE4523"/>
    <w:rsid w:val="00FE5C31"/>
    <w:rsid w:val="00FF0F20"/>
    <w:rsid w:val="00FF1B0E"/>
    <w:rsid w:val="00FF268A"/>
    <w:rsid w:val="00FF6D70"/>
    <w:rsid w:val="00FF748B"/>
    <w:rsid w:val="010B76F2"/>
    <w:rsid w:val="01610122"/>
    <w:rsid w:val="01782B78"/>
    <w:rsid w:val="01852063"/>
    <w:rsid w:val="019F1377"/>
    <w:rsid w:val="023F0464"/>
    <w:rsid w:val="02B40E52"/>
    <w:rsid w:val="02C170CB"/>
    <w:rsid w:val="03101E00"/>
    <w:rsid w:val="0314369E"/>
    <w:rsid w:val="03511BDB"/>
    <w:rsid w:val="039B4076"/>
    <w:rsid w:val="03FF434E"/>
    <w:rsid w:val="045D1075"/>
    <w:rsid w:val="047F723D"/>
    <w:rsid w:val="055B464A"/>
    <w:rsid w:val="05685F23"/>
    <w:rsid w:val="058C55E1"/>
    <w:rsid w:val="05B72A07"/>
    <w:rsid w:val="05CA44E8"/>
    <w:rsid w:val="06D373CC"/>
    <w:rsid w:val="06DF0467"/>
    <w:rsid w:val="070457D8"/>
    <w:rsid w:val="07190F9C"/>
    <w:rsid w:val="076369A2"/>
    <w:rsid w:val="079E06FB"/>
    <w:rsid w:val="07F515E7"/>
    <w:rsid w:val="07FC2953"/>
    <w:rsid w:val="087E3119"/>
    <w:rsid w:val="0887011A"/>
    <w:rsid w:val="08DF474E"/>
    <w:rsid w:val="08EC365F"/>
    <w:rsid w:val="09266823"/>
    <w:rsid w:val="094E71DE"/>
    <w:rsid w:val="0A7A3506"/>
    <w:rsid w:val="0AF52007"/>
    <w:rsid w:val="0B5C2086"/>
    <w:rsid w:val="0BC00C3E"/>
    <w:rsid w:val="0C1C35C4"/>
    <w:rsid w:val="0C632FA1"/>
    <w:rsid w:val="0CA1581F"/>
    <w:rsid w:val="0CB35D23"/>
    <w:rsid w:val="0CBB4B8B"/>
    <w:rsid w:val="0CDE5078"/>
    <w:rsid w:val="0D215336"/>
    <w:rsid w:val="0D447276"/>
    <w:rsid w:val="0D7A4A46"/>
    <w:rsid w:val="0DB55A7E"/>
    <w:rsid w:val="0DD72A46"/>
    <w:rsid w:val="0DE3083D"/>
    <w:rsid w:val="0DE61630"/>
    <w:rsid w:val="0DF93BBD"/>
    <w:rsid w:val="0E3015A8"/>
    <w:rsid w:val="0E7616B1"/>
    <w:rsid w:val="0ECD6DF7"/>
    <w:rsid w:val="0EE26D46"/>
    <w:rsid w:val="0EF425D6"/>
    <w:rsid w:val="0F2A424A"/>
    <w:rsid w:val="0F3F7CF5"/>
    <w:rsid w:val="0F5E2F7B"/>
    <w:rsid w:val="0FC93A62"/>
    <w:rsid w:val="11544561"/>
    <w:rsid w:val="116C6D93"/>
    <w:rsid w:val="11717F0E"/>
    <w:rsid w:val="117B0D8C"/>
    <w:rsid w:val="11943BFC"/>
    <w:rsid w:val="11D15ECA"/>
    <w:rsid w:val="11E64458"/>
    <w:rsid w:val="12251A7F"/>
    <w:rsid w:val="128A572B"/>
    <w:rsid w:val="12B2774C"/>
    <w:rsid w:val="12BC78AF"/>
    <w:rsid w:val="12F157AA"/>
    <w:rsid w:val="13394A5B"/>
    <w:rsid w:val="134358DA"/>
    <w:rsid w:val="13651CF4"/>
    <w:rsid w:val="136E2957"/>
    <w:rsid w:val="13914897"/>
    <w:rsid w:val="13D30B73"/>
    <w:rsid w:val="13D558BA"/>
    <w:rsid w:val="13DF1AA7"/>
    <w:rsid w:val="13E470BD"/>
    <w:rsid w:val="13FF3EF7"/>
    <w:rsid w:val="14694189"/>
    <w:rsid w:val="146E4BD8"/>
    <w:rsid w:val="147A5E14"/>
    <w:rsid w:val="14FC21E4"/>
    <w:rsid w:val="154431AB"/>
    <w:rsid w:val="157A1214"/>
    <w:rsid w:val="15A707FB"/>
    <w:rsid w:val="15DD3DC4"/>
    <w:rsid w:val="162C099A"/>
    <w:rsid w:val="165F0C7D"/>
    <w:rsid w:val="16BF34C9"/>
    <w:rsid w:val="16E55626"/>
    <w:rsid w:val="17A1211B"/>
    <w:rsid w:val="17C76AD9"/>
    <w:rsid w:val="18455478"/>
    <w:rsid w:val="18710ECB"/>
    <w:rsid w:val="18AD3F21"/>
    <w:rsid w:val="18DA68F2"/>
    <w:rsid w:val="18ED7A84"/>
    <w:rsid w:val="19267830"/>
    <w:rsid w:val="195C76F5"/>
    <w:rsid w:val="19836A30"/>
    <w:rsid w:val="1A381F10"/>
    <w:rsid w:val="1B0E4A1F"/>
    <w:rsid w:val="1B6F54BE"/>
    <w:rsid w:val="1B7156DA"/>
    <w:rsid w:val="1B79352A"/>
    <w:rsid w:val="1BA968A4"/>
    <w:rsid w:val="1BB67591"/>
    <w:rsid w:val="1D3A7D4E"/>
    <w:rsid w:val="1E454BFC"/>
    <w:rsid w:val="1E5E7A6C"/>
    <w:rsid w:val="1EE2069D"/>
    <w:rsid w:val="1F2C4F8B"/>
    <w:rsid w:val="1F6B0433"/>
    <w:rsid w:val="1F9E45C4"/>
    <w:rsid w:val="1FD969AC"/>
    <w:rsid w:val="1FF42436"/>
    <w:rsid w:val="1FF57F5C"/>
    <w:rsid w:val="1FF70178"/>
    <w:rsid w:val="20004329"/>
    <w:rsid w:val="203942EC"/>
    <w:rsid w:val="20670E5A"/>
    <w:rsid w:val="207C40EA"/>
    <w:rsid w:val="20A0611A"/>
    <w:rsid w:val="213F1DD6"/>
    <w:rsid w:val="21691096"/>
    <w:rsid w:val="21864056"/>
    <w:rsid w:val="21DE514B"/>
    <w:rsid w:val="21F66AB9"/>
    <w:rsid w:val="21F7445F"/>
    <w:rsid w:val="222A65E3"/>
    <w:rsid w:val="22545620"/>
    <w:rsid w:val="226C6BFB"/>
    <w:rsid w:val="22803E07"/>
    <w:rsid w:val="22883309"/>
    <w:rsid w:val="230516D3"/>
    <w:rsid w:val="23476D20"/>
    <w:rsid w:val="234B6811"/>
    <w:rsid w:val="23733FB9"/>
    <w:rsid w:val="238C5E0E"/>
    <w:rsid w:val="23EE3640"/>
    <w:rsid w:val="246758CC"/>
    <w:rsid w:val="24C34ACD"/>
    <w:rsid w:val="253C34BF"/>
    <w:rsid w:val="255816B9"/>
    <w:rsid w:val="2580476C"/>
    <w:rsid w:val="259D3570"/>
    <w:rsid w:val="259D70CC"/>
    <w:rsid w:val="25E35B8E"/>
    <w:rsid w:val="26183889"/>
    <w:rsid w:val="261A696E"/>
    <w:rsid w:val="26551754"/>
    <w:rsid w:val="265C5E90"/>
    <w:rsid w:val="26B80661"/>
    <w:rsid w:val="26D22DA5"/>
    <w:rsid w:val="27BB7CDD"/>
    <w:rsid w:val="27C272BD"/>
    <w:rsid w:val="27DD2729"/>
    <w:rsid w:val="27F31225"/>
    <w:rsid w:val="28194FE3"/>
    <w:rsid w:val="28463A4A"/>
    <w:rsid w:val="28694435"/>
    <w:rsid w:val="287E31E4"/>
    <w:rsid w:val="28E868B0"/>
    <w:rsid w:val="290F02E0"/>
    <w:rsid w:val="29FF78F4"/>
    <w:rsid w:val="2A331DAD"/>
    <w:rsid w:val="2A5A37DD"/>
    <w:rsid w:val="2A8F64A0"/>
    <w:rsid w:val="2AA01F44"/>
    <w:rsid w:val="2AC145C0"/>
    <w:rsid w:val="2B1020EE"/>
    <w:rsid w:val="2B146082"/>
    <w:rsid w:val="2B6F2C13"/>
    <w:rsid w:val="2B892FE7"/>
    <w:rsid w:val="2B967E93"/>
    <w:rsid w:val="2BEA0B91"/>
    <w:rsid w:val="2BF0264B"/>
    <w:rsid w:val="2C6201EE"/>
    <w:rsid w:val="2CA13945"/>
    <w:rsid w:val="2CC94C4A"/>
    <w:rsid w:val="2D6E64D0"/>
    <w:rsid w:val="2D76092E"/>
    <w:rsid w:val="2D917516"/>
    <w:rsid w:val="2DAE6A51"/>
    <w:rsid w:val="2DD613CD"/>
    <w:rsid w:val="2DE74912"/>
    <w:rsid w:val="2E385686"/>
    <w:rsid w:val="2E756E38"/>
    <w:rsid w:val="2E8A79D2"/>
    <w:rsid w:val="2E905A1F"/>
    <w:rsid w:val="2EB72FAC"/>
    <w:rsid w:val="2EF12C10"/>
    <w:rsid w:val="2EF37D5C"/>
    <w:rsid w:val="2F120B2A"/>
    <w:rsid w:val="2F4F7689"/>
    <w:rsid w:val="2F6B1FE9"/>
    <w:rsid w:val="2FE20326"/>
    <w:rsid w:val="30136908"/>
    <w:rsid w:val="30336FAA"/>
    <w:rsid w:val="3043156F"/>
    <w:rsid w:val="30F56E88"/>
    <w:rsid w:val="3195334D"/>
    <w:rsid w:val="31994BEB"/>
    <w:rsid w:val="31DA6061"/>
    <w:rsid w:val="327B2543"/>
    <w:rsid w:val="328A6C2A"/>
    <w:rsid w:val="32C911D8"/>
    <w:rsid w:val="32DF0D23"/>
    <w:rsid w:val="32E620B2"/>
    <w:rsid w:val="3328091C"/>
    <w:rsid w:val="33305A23"/>
    <w:rsid w:val="333F681A"/>
    <w:rsid w:val="33633703"/>
    <w:rsid w:val="338B0EAB"/>
    <w:rsid w:val="33953AD8"/>
    <w:rsid w:val="33CB38E9"/>
    <w:rsid w:val="342A2472"/>
    <w:rsid w:val="345474EF"/>
    <w:rsid w:val="34766D6F"/>
    <w:rsid w:val="3498102F"/>
    <w:rsid w:val="34C06933"/>
    <w:rsid w:val="34DB551B"/>
    <w:rsid w:val="36A55DE0"/>
    <w:rsid w:val="36C822F0"/>
    <w:rsid w:val="36F17277"/>
    <w:rsid w:val="378620B5"/>
    <w:rsid w:val="37B24C58"/>
    <w:rsid w:val="38591578"/>
    <w:rsid w:val="38B365AD"/>
    <w:rsid w:val="38E84E1E"/>
    <w:rsid w:val="39B964BF"/>
    <w:rsid w:val="39FA4695"/>
    <w:rsid w:val="3A00614F"/>
    <w:rsid w:val="3A483652"/>
    <w:rsid w:val="3B164EDD"/>
    <w:rsid w:val="3B4F27BE"/>
    <w:rsid w:val="3B6C3370"/>
    <w:rsid w:val="3BDD601C"/>
    <w:rsid w:val="3CA115AD"/>
    <w:rsid w:val="3CC52D38"/>
    <w:rsid w:val="3CCF1E09"/>
    <w:rsid w:val="3CED49C8"/>
    <w:rsid w:val="3D4F4CF8"/>
    <w:rsid w:val="3D65451B"/>
    <w:rsid w:val="3D6C2FBC"/>
    <w:rsid w:val="3DD31485"/>
    <w:rsid w:val="3DE25B6C"/>
    <w:rsid w:val="3E114035"/>
    <w:rsid w:val="3E4405D4"/>
    <w:rsid w:val="3EB7273D"/>
    <w:rsid w:val="3EBB7211"/>
    <w:rsid w:val="3F204B9E"/>
    <w:rsid w:val="3F255D10"/>
    <w:rsid w:val="3F4F7231"/>
    <w:rsid w:val="3FDF51CD"/>
    <w:rsid w:val="3FE756BB"/>
    <w:rsid w:val="3FFB2F15"/>
    <w:rsid w:val="406334F2"/>
    <w:rsid w:val="40905D53"/>
    <w:rsid w:val="409F1AF2"/>
    <w:rsid w:val="40F40090"/>
    <w:rsid w:val="4105229D"/>
    <w:rsid w:val="41970A1B"/>
    <w:rsid w:val="41EA6663"/>
    <w:rsid w:val="42360234"/>
    <w:rsid w:val="42831BF8"/>
    <w:rsid w:val="42B71375"/>
    <w:rsid w:val="42ED13DD"/>
    <w:rsid w:val="43170066"/>
    <w:rsid w:val="437944A0"/>
    <w:rsid w:val="4379487C"/>
    <w:rsid w:val="440028DC"/>
    <w:rsid w:val="44165B0A"/>
    <w:rsid w:val="44DF2E05"/>
    <w:rsid w:val="45097E82"/>
    <w:rsid w:val="452C7897"/>
    <w:rsid w:val="4545710C"/>
    <w:rsid w:val="45790B64"/>
    <w:rsid w:val="458614D2"/>
    <w:rsid w:val="46405B25"/>
    <w:rsid w:val="46955E71"/>
    <w:rsid w:val="46A00372"/>
    <w:rsid w:val="46A61E2C"/>
    <w:rsid w:val="46B962CD"/>
    <w:rsid w:val="46E34F31"/>
    <w:rsid w:val="46F54B62"/>
    <w:rsid w:val="47040901"/>
    <w:rsid w:val="471548BC"/>
    <w:rsid w:val="4723522B"/>
    <w:rsid w:val="478C73B4"/>
    <w:rsid w:val="47B10A89"/>
    <w:rsid w:val="47B73BC5"/>
    <w:rsid w:val="47D70110"/>
    <w:rsid w:val="4812529F"/>
    <w:rsid w:val="48466007"/>
    <w:rsid w:val="48DD10FF"/>
    <w:rsid w:val="48F86D0E"/>
    <w:rsid w:val="490E1F0B"/>
    <w:rsid w:val="492139EC"/>
    <w:rsid w:val="497B7CB3"/>
    <w:rsid w:val="49CC7CC9"/>
    <w:rsid w:val="4A003601"/>
    <w:rsid w:val="4A392FB7"/>
    <w:rsid w:val="4A3E2C8B"/>
    <w:rsid w:val="4A4756D4"/>
    <w:rsid w:val="4A513E5D"/>
    <w:rsid w:val="4B071B1E"/>
    <w:rsid w:val="4B2D12E0"/>
    <w:rsid w:val="4B47439E"/>
    <w:rsid w:val="4B5C51AF"/>
    <w:rsid w:val="4B6E4EE3"/>
    <w:rsid w:val="4BA24A06"/>
    <w:rsid w:val="4BEB6B31"/>
    <w:rsid w:val="4C7958ED"/>
    <w:rsid w:val="4C9646F1"/>
    <w:rsid w:val="4CD90E06"/>
    <w:rsid w:val="4D57646E"/>
    <w:rsid w:val="4DD36371"/>
    <w:rsid w:val="4E151645"/>
    <w:rsid w:val="4E231FB4"/>
    <w:rsid w:val="4E6A7BE3"/>
    <w:rsid w:val="4E6B4968"/>
    <w:rsid w:val="4E740A62"/>
    <w:rsid w:val="4EB3158A"/>
    <w:rsid w:val="4F451824"/>
    <w:rsid w:val="4F5C74D7"/>
    <w:rsid w:val="4FAC2A11"/>
    <w:rsid w:val="4FC9594E"/>
    <w:rsid w:val="4FD712A8"/>
    <w:rsid w:val="505521CD"/>
    <w:rsid w:val="507C0470"/>
    <w:rsid w:val="50B27620"/>
    <w:rsid w:val="50DB6B76"/>
    <w:rsid w:val="5153495F"/>
    <w:rsid w:val="519F7BA4"/>
    <w:rsid w:val="523F3135"/>
    <w:rsid w:val="525C3CE7"/>
    <w:rsid w:val="52D92ACB"/>
    <w:rsid w:val="52EC506B"/>
    <w:rsid w:val="53774970"/>
    <w:rsid w:val="53B4776F"/>
    <w:rsid w:val="53D036A9"/>
    <w:rsid w:val="5422585F"/>
    <w:rsid w:val="54600F9D"/>
    <w:rsid w:val="54880DC3"/>
    <w:rsid w:val="549E05E7"/>
    <w:rsid w:val="550D751A"/>
    <w:rsid w:val="55284354"/>
    <w:rsid w:val="552F7491"/>
    <w:rsid w:val="55A75279"/>
    <w:rsid w:val="567A6461"/>
    <w:rsid w:val="56905D0D"/>
    <w:rsid w:val="569D4CD7"/>
    <w:rsid w:val="56D45CC7"/>
    <w:rsid w:val="57092431"/>
    <w:rsid w:val="57A20B0E"/>
    <w:rsid w:val="57F970E8"/>
    <w:rsid w:val="582F64DC"/>
    <w:rsid w:val="58B02697"/>
    <w:rsid w:val="58BC54DF"/>
    <w:rsid w:val="59484FC5"/>
    <w:rsid w:val="59D81EA5"/>
    <w:rsid w:val="5A517EA9"/>
    <w:rsid w:val="5A56101C"/>
    <w:rsid w:val="5A9B21D8"/>
    <w:rsid w:val="5AD703AE"/>
    <w:rsid w:val="5ADC3C17"/>
    <w:rsid w:val="5AF90400"/>
    <w:rsid w:val="5B1A473F"/>
    <w:rsid w:val="5C7B120D"/>
    <w:rsid w:val="5CA16EC6"/>
    <w:rsid w:val="5CA67F0E"/>
    <w:rsid w:val="5CCB4CE9"/>
    <w:rsid w:val="5CE01403"/>
    <w:rsid w:val="5D2518DA"/>
    <w:rsid w:val="5D910C04"/>
    <w:rsid w:val="5DB06C95"/>
    <w:rsid w:val="5E053485"/>
    <w:rsid w:val="5E4919E4"/>
    <w:rsid w:val="5EF86B45"/>
    <w:rsid w:val="5F0C6DBE"/>
    <w:rsid w:val="5FE412B4"/>
    <w:rsid w:val="5FE84E0C"/>
    <w:rsid w:val="602953C2"/>
    <w:rsid w:val="608A5EC3"/>
    <w:rsid w:val="60F320D7"/>
    <w:rsid w:val="60FB0B6F"/>
    <w:rsid w:val="61B37A51"/>
    <w:rsid w:val="61D842DB"/>
    <w:rsid w:val="622163B3"/>
    <w:rsid w:val="62402CDD"/>
    <w:rsid w:val="62EF64B1"/>
    <w:rsid w:val="62F448FD"/>
    <w:rsid w:val="634C56B2"/>
    <w:rsid w:val="63A66B70"/>
    <w:rsid w:val="63B53257"/>
    <w:rsid w:val="63E64CFC"/>
    <w:rsid w:val="640B731B"/>
    <w:rsid w:val="645111D2"/>
    <w:rsid w:val="64A357A5"/>
    <w:rsid w:val="64D678D3"/>
    <w:rsid w:val="64E01116"/>
    <w:rsid w:val="653B778C"/>
    <w:rsid w:val="65C15EE3"/>
    <w:rsid w:val="65C77271"/>
    <w:rsid w:val="65D046D1"/>
    <w:rsid w:val="65F05759"/>
    <w:rsid w:val="65F91B21"/>
    <w:rsid w:val="667747F4"/>
    <w:rsid w:val="667E3DD4"/>
    <w:rsid w:val="66884C53"/>
    <w:rsid w:val="66915CEE"/>
    <w:rsid w:val="670F0ED0"/>
    <w:rsid w:val="672F5260"/>
    <w:rsid w:val="67852F40"/>
    <w:rsid w:val="679715F1"/>
    <w:rsid w:val="6813679E"/>
    <w:rsid w:val="683055A2"/>
    <w:rsid w:val="686D4100"/>
    <w:rsid w:val="688A2F04"/>
    <w:rsid w:val="68C91CB5"/>
    <w:rsid w:val="68D73C6F"/>
    <w:rsid w:val="68E819D9"/>
    <w:rsid w:val="69475092"/>
    <w:rsid w:val="69B61AD7"/>
    <w:rsid w:val="6A5A06B4"/>
    <w:rsid w:val="6A720A66"/>
    <w:rsid w:val="6B0D1BCA"/>
    <w:rsid w:val="6BC8789F"/>
    <w:rsid w:val="6C5C6966"/>
    <w:rsid w:val="6D9739CD"/>
    <w:rsid w:val="6E2E4332"/>
    <w:rsid w:val="6E525817"/>
    <w:rsid w:val="6EAE00C7"/>
    <w:rsid w:val="6EB93B02"/>
    <w:rsid w:val="6ECC76A7"/>
    <w:rsid w:val="6ED23A05"/>
    <w:rsid w:val="6F54601A"/>
    <w:rsid w:val="6F667AFB"/>
    <w:rsid w:val="6F742218"/>
    <w:rsid w:val="6F8F7052"/>
    <w:rsid w:val="6F9B1553"/>
    <w:rsid w:val="6FE078AE"/>
    <w:rsid w:val="6FE969BF"/>
    <w:rsid w:val="700A0487"/>
    <w:rsid w:val="70150489"/>
    <w:rsid w:val="70F353BF"/>
    <w:rsid w:val="71775FF0"/>
    <w:rsid w:val="71804EA4"/>
    <w:rsid w:val="7185070D"/>
    <w:rsid w:val="71B3706C"/>
    <w:rsid w:val="728269FA"/>
    <w:rsid w:val="72C8016F"/>
    <w:rsid w:val="733610D9"/>
    <w:rsid w:val="73696F77"/>
    <w:rsid w:val="73A34E7A"/>
    <w:rsid w:val="73AF3858"/>
    <w:rsid w:val="73C82B32"/>
    <w:rsid w:val="74A215D5"/>
    <w:rsid w:val="74D70DF7"/>
    <w:rsid w:val="74FF4332"/>
    <w:rsid w:val="750E7112"/>
    <w:rsid w:val="755146D9"/>
    <w:rsid w:val="7553467E"/>
    <w:rsid w:val="75842A89"/>
    <w:rsid w:val="759157D0"/>
    <w:rsid w:val="75D36012"/>
    <w:rsid w:val="75E44BFA"/>
    <w:rsid w:val="75EA4FE2"/>
    <w:rsid w:val="76320737"/>
    <w:rsid w:val="76C84BF7"/>
    <w:rsid w:val="76F93003"/>
    <w:rsid w:val="770E6AAE"/>
    <w:rsid w:val="772B3B04"/>
    <w:rsid w:val="77387FCF"/>
    <w:rsid w:val="777A4144"/>
    <w:rsid w:val="77C33D3D"/>
    <w:rsid w:val="77DE2925"/>
    <w:rsid w:val="78490158"/>
    <w:rsid w:val="786646C8"/>
    <w:rsid w:val="78743289"/>
    <w:rsid w:val="789F3DA6"/>
    <w:rsid w:val="78A52377"/>
    <w:rsid w:val="79334EF2"/>
    <w:rsid w:val="79617272"/>
    <w:rsid w:val="799A287B"/>
    <w:rsid w:val="79BD2A0E"/>
    <w:rsid w:val="7A254E7A"/>
    <w:rsid w:val="7A3A5E0C"/>
    <w:rsid w:val="7ADB75EF"/>
    <w:rsid w:val="7AEC5358"/>
    <w:rsid w:val="7B551150"/>
    <w:rsid w:val="7B5B7497"/>
    <w:rsid w:val="7B9B19E6"/>
    <w:rsid w:val="7BC938EC"/>
    <w:rsid w:val="7C2F7BF3"/>
    <w:rsid w:val="7C635AEE"/>
    <w:rsid w:val="7CD52994"/>
    <w:rsid w:val="7D036989"/>
    <w:rsid w:val="7D852E5E"/>
    <w:rsid w:val="7D9D6DDE"/>
    <w:rsid w:val="7DAA32A9"/>
    <w:rsid w:val="7DAA5057"/>
    <w:rsid w:val="7DBD2FDC"/>
    <w:rsid w:val="7DE93DD1"/>
    <w:rsid w:val="7EEA7E01"/>
    <w:rsid w:val="7FAC3308"/>
    <w:rsid w:val="7FB16B71"/>
    <w:rsid w:val="7FD840FD"/>
    <w:rsid w:val="7FF54C5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69"/>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70"/>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pPr>
    <w:rPr>
      <w:rFonts w:ascii="Arial" w:hAnsi="Arial"/>
      <w:sz w:val="24"/>
    </w:rPr>
  </w:style>
  <w:style w:type="paragraph" w:styleId="19">
    <w:name w:val="annotation text"/>
    <w:basedOn w:val="1"/>
    <w:link w:val="71"/>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next w:val="1"/>
    <w:qFormat/>
    <w:uiPriority w:val="0"/>
    <w:rPr>
      <w:rFonts w:ascii="仿宋_GB2312" w:eastAsia="仿宋_GB2312"/>
      <w:sz w:val="32"/>
    </w:rPr>
  </w:style>
  <w:style w:type="paragraph" w:styleId="23">
    <w:name w:val="Body Text Indent"/>
    <w:basedOn w:val="1"/>
    <w:link w:val="72"/>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afterLines="0" w:afterAutospacing="0"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3"/>
    <w:qFormat/>
    <w:uiPriority w:val="0"/>
  </w:style>
  <w:style w:type="paragraph" w:styleId="33">
    <w:name w:val="Body Text Indent 2"/>
    <w:basedOn w:val="1"/>
    <w:link w:val="74"/>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5"/>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index 7"/>
    <w:basedOn w:val="1"/>
    <w:next w:val="1"/>
    <w:qFormat/>
    <w:uiPriority w:val="0"/>
    <w:pPr>
      <w:ind w:left="2520"/>
    </w:p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420" w:leftChars="200"/>
    </w:p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Message Header"/>
    <w:basedOn w:val="1"/>
    <w:next w:val="22"/>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rPr>
  </w:style>
  <w:style w:type="paragraph" w:styleId="5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6">
    <w:name w:val="annotation subject"/>
    <w:basedOn w:val="19"/>
    <w:next w:val="19"/>
    <w:link w:val="76"/>
    <w:qFormat/>
    <w:uiPriority w:val="0"/>
    <w:pPr>
      <w:adjustRightInd/>
      <w:spacing w:line="240" w:lineRule="auto"/>
      <w:textAlignment w:val="auto"/>
    </w:pPr>
  </w:style>
  <w:style w:type="paragraph" w:styleId="57">
    <w:name w:val="Body Text First Indent"/>
    <w:basedOn w:val="1"/>
    <w:qFormat/>
    <w:uiPriority w:val="0"/>
    <w:pPr>
      <w:spacing w:line="360" w:lineRule="auto"/>
      <w:ind w:firstLine="420"/>
    </w:pPr>
    <w:rPr>
      <w:rFonts w:ascii="宋体" w:hAnsi="宋体"/>
      <w:sz w:val="24"/>
    </w:rPr>
  </w:style>
  <w:style w:type="paragraph" w:styleId="58">
    <w:name w:val="Body Text First Indent 2"/>
    <w:basedOn w:val="23"/>
    <w:link w:val="77"/>
    <w:qFormat/>
    <w:uiPriority w:val="0"/>
    <w:pPr>
      <w:spacing w:after="120" w:afterLines="0" w:line="240" w:lineRule="auto"/>
      <w:ind w:left="420" w:leftChars="200" w:firstLine="420" w:firstLineChars="200"/>
    </w:pPr>
  </w:style>
  <w:style w:type="table" w:styleId="60">
    <w:name w:val="Table Grid"/>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800080"/>
      <w:u w:val="single"/>
    </w:rPr>
  </w:style>
  <w:style w:type="character" w:styleId="65">
    <w:name w:val="Emphasis"/>
    <w:qFormat/>
    <w:uiPriority w:val="0"/>
    <w:rPr>
      <w:i/>
    </w:rPr>
  </w:style>
  <w:style w:type="character" w:styleId="66">
    <w:name w:val="Hyperlink"/>
    <w:qFormat/>
    <w:uiPriority w:val="99"/>
    <w:rPr>
      <w:color w:val="0000FF"/>
      <w:u w:val="single"/>
    </w:rPr>
  </w:style>
  <w:style w:type="character" w:styleId="67">
    <w:name w:val="annotation reference"/>
    <w:qFormat/>
    <w:uiPriority w:val="0"/>
    <w:rPr>
      <w:sz w:val="21"/>
      <w:szCs w:val="21"/>
    </w:rPr>
  </w:style>
  <w:style w:type="character" w:styleId="68">
    <w:name w:val="footnote reference"/>
    <w:qFormat/>
    <w:uiPriority w:val="0"/>
    <w:rPr>
      <w:position w:val="6"/>
      <w:sz w:val="14"/>
      <w:vertAlign w:val="superscript"/>
    </w:rPr>
  </w:style>
  <w:style w:type="character" w:customStyle="1" w:styleId="69">
    <w:name w:val="标题 2 Char"/>
    <w:link w:val="3"/>
    <w:qFormat/>
    <w:uiPriority w:val="0"/>
    <w:rPr>
      <w:rFonts w:ascii="Arial" w:hAnsi="Arial" w:eastAsia="黑体"/>
      <w:b/>
      <w:kern w:val="2"/>
      <w:sz w:val="32"/>
    </w:rPr>
  </w:style>
  <w:style w:type="character" w:customStyle="1" w:styleId="70">
    <w:name w:val="标题 3 Char"/>
    <w:link w:val="4"/>
    <w:qFormat/>
    <w:uiPriority w:val="0"/>
    <w:rPr>
      <w:rFonts w:eastAsia="宋体"/>
      <w:b/>
      <w:kern w:val="2"/>
      <w:sz w:val="32"/>
      <w:lang w:val="en-US" w:eastAsia="zh-CN"/>
    </w:rPr>
  </w:style>
  <w:style w:type="character" w:customStyle="1" w:styleId="71">
    <w:name w:val="批注文字 Char"/>
    <w:link w:val="19"/>
    <w:qFormat/>
    <w:uiPriority w:val="0"/>
    <w:rPr>
      <w:sz w:val="24"/>
    </w:rPr>
  </w:style>
  <w:style w:type="character" w:customStyle="1" w:styleId="72">
    <w:name w:val="正文文本缩进 Char"/>
    <w:link w:val="23"/>
    <w:qFormat/>
    <w:uiPriority w:val="0"/>
    <w:rPr>
      <w:kern w:val="2"/>
      <w:sz w:val="44"/>
    </w:rPr>
  </w:style>
  <w:style w:type="character" w:customStyle="1" w:styleId="73">
    <w:name w:val="日期 Char"/>
    <w:link w:val="32"/>
    <w:qFormat/>
    <w:uiPriority w:val="0"/>
    <w:rPr>
      <w:kern w:val="2"/>
      <w:sz w:val="28"/>
    </w:rPr>
  </w:style>
  <w:style w:type="character" w:customStyle="1" w:styleId="74">
    <w:name w:val="正文文本缩进 2 Char"/>
    <w:link w:val="33"/>
    <w:qFormat/>
    <w:uiPriority w:val="0"/>
    <w:rPr>
      <w:kern w:val="2"/>
      <w:sz w:val="28"/>
    </w:rPr>
  </w:style>
  <w:style w:type="character" w:customStyle="1" w:styleId="75">
    <w:name w:val="脚注文本 Char"/>
    <w:link w:val="40"/>
    <w:qFormat/>
    <w:uiPriority w:val="0"/>
    <w:rPr>
      <w:kern w:val="2"/>
      <w:sz w:val="18"/>
    </w:rPr>
  </w:style>
  <w:style w:type="character" w:customStyle="1" w:styleId="76">
    <w:name w:val="批注主题 Char"/>
    <w:link w:val="56"/>
    <w:qFormat/>
    <w:uiPriority w:val="0"/>
  </w:style>
  <w:style w:type="character" w:customStyle="1" w:styleId="77">
    <w:name w:val="正文首行缩进 2 Char"/>
    <w:link w:val="58"/>
    <w:qFormat/>
    <w:uiPriority w:val="0"/>
  </w:style>
  <w:style w:type="paragraph" w:customStyle="1" w:styleId="78">
    <w:name w:val="样式2"/>
    <w:basedOn w:val="5"/>
    <w:qFormat/>
    <w:uiPriority w:val="0"/>
    <w:pPr>
      <w:numPr>
        <w:ilvl w:val="0"/>
        <w:numId w:val="4"/>
      </w:numPr>
      <w:spacing w:before="560" w:beforeLines="0" w:line="400" w:lineRule="exact"/>
      <w:jc w:val="center"/>
      <w:outlineLvl w:val="0"/>
    </w:pPr>
    <w:rPr>
      <w:b w:val="0"/>
      <w:sz w:val="44"/>
    </w:rPr>
  </w:style>
  <w:style w:type="paragraph" w:customStyle="1" w:styleId="79">
    <w:name w:val="标题2"/>
    <w:basedOn w:val="3"/>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character" w:customStyle="1" w:styleId="80">
    <w:name w:val="v151"/>
    <w:qFormat/>
    <w:uiPriority w:val="0"/>
    <w:rPr>
      <w:sz w:val="18"/>
    </w:rPr>
  </w:style>
  <w:style w:type="character" w:customStyle="1" w:styleId="81">
    <w:name w:val=" Char Char7"/>
    <w:qFormat/>
    <w:uiPriority w:val="0"/>
    <w:rPr>
      <w:rFonts w:ascii="宋体" w:hAnsi="宋体" w:eastAsia="宋体"/>
      <w:kern w:val="2"/>
      <w:sz w:val="2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文字 Char"/>
    <w:link w:val="84"/>
    <w:qFormat/>
    <w:uiPriority w:val="0"/>
    <w:rPr>
      <w:rFonts w:ascii="宋体"/>
      <w:kern w:val="2"/>
      <w:sz w:val="28"/>
    </w:rPr>
  </w:style>
  <w:style w:type="paragraph" w:customStyle="1" w:styleId="84">
    <w:name w:val="文字"/>
    <w:basedOn w:val="1"/>
    <w:link w:val="83"/>
    <w:qFormat/>
    <w:uiPriority w:val="0"/>
    <w:pPr>
      <w:tabs>
        <w:tab w:val="left" w:pos="8520"/>
      </w:tabs>
      <w:spacing w:line="312" w:lineRule="auto"/>
      <w:ind w:right="-210" w:firstLine="556"/>
    </w:pPr>
    <w:rPr>
      <w:rFonts w:ascii="宋体"/>
    </w:rPr>
  </w:style>
  <w:style w:type="character" w:customStyle="1" w:styleId="85">
    <w:name w:val="content-white1"/>
    <w:qFormat/>
    <w:uiPriority w:val="0"/>
    <w:rPr>
      <w:rFonts w:ascii="_x000B__x000C_" w:hAnsi="_x000B__x000C_"/>
      <w:color w:val="auto"/>
      <w:sz w:val="18"/>
      <w:u w:val="none"/>
    </w:rPr>
  </w:style>
  <w:style w:type="character" w:customStyle="1" w:styleId="86">
    <w:name w:val="正文 + 三号 Char"/>
    <w:qFormat/>
    <w:uiPriority w:val="0"/>
    <w:rPr>
      <w:rFonts w:eastAsia="宋体"/>
      <w:kern w:val="2"/>
      <w:sz w:val="21"/>
      <w:lang w:val="en-US" w:eastAsia="zh-CN"/>
    </w:rPr>
  </w:style>
  <w:style w:type="character" w:customStyle="1" w:styleId="87">
    <w:name w:val="H2 Char"/>
    <w:qFormat/>
    <w:uiPriority w:val="0"/>
    <w:rPr>
      <w:rFonts w:ascii="Arial" w:hAnsi="Arial" w:eastAsia="宋体"/>
      <w:kern w:val="2"/>
      <w:sz w:val="28"/>
      <w:lang w:val="en-US" w:eastAsia="zh-CN"/>
    </w:rPr>
  </w:style>
  <w:style w:type="character" w:customStyle="1" w:styleId="88">
    <w:name w:val=" Char Char3"/>
    <w:qFormat/>
    <w:uiPriority w:val="0"/>
    <w:rPr>
      <w:rFonts w:eastAsia="宋体"/>
      <w:kern w:val="2"/>
      <w:sz w:val="18"/>
      <w:lang w:val="en-US" w:eastAsia="zh-CN"/>
    </w:rPr>
  </w:style>
  <w:style w:type="character" w:customStyle="1" w:styleId="89">
    <w:name w:val=" Char Char4"/>
    <w:qFormat/>
    <w:uiPriority w:val="0"/>
    <w:rPr>
      <w:rFonts w:eastAsia="宋体"/>
      <w:b/>
      <w:kern w:val="2"/>
      <w:sz w:val="21"/>
      <w:lang w:val="en-US" w:eastAsia="zh-CN"/>
    </w:rPr>
  </w:style>
  <w:style w:type="character" w:customStyle="1" w:styleId="90">
    <w:name w:val="Table Text Char1 Char"/>
    <w:qFormat/>
    <w:uiPriority w:val="0"/>
    <w:rPr>
      <w:rFonts w:ascii="Arial" w:hAnsi="Arial"/>
      <w:kern w:val="2"/>
      <w:sz w:val="18"/>
      <w:lang w:val="en-US" w:eastAsia="zh-CN" w:bidi="ar-SA"/>
    </w:rPr>
  </w:style>
  <w:style w:type="character" w:customStyle="1" w:styleId="91">
    <w:name w:val=" Char Char5"/>
    <w:qFormat/>
    <w:uiPriority w:val="0"/>
    <w:rPr>
      <w:rFonts w:ascii="Arial" w:hAnsi="Arial" w:eastAsia="宋体"/>
      <w:b/>
      <w:smallCaps/>
      <w:kern w:val="28"/>
      <w:sz w:val="36"/>
      <w:lang w:val="en-US" w:eastAsia="en-US"/>
    </w:rPr>
  </w:style>
  <w:style w:type="character" w:customStyle="1" w:styleId="92">
    <w:name w:val=" Char Char"/>
    <w:qFormat/>
    <w:uiPriority w:val="0"/>
    <w:rPr>
      <w:rFonts w:ascii="宋体" w:hAnsi="宋体" w:eastAsia="宋体"/>
      <w:kern w:val="2"/>
      <w:sz w:val="24"/>
      <w:lang w:val="en-US" w:eastAsia="zh-CN" w:bidi="ar-SA"/>
    </w:rPr>
  </w:style>
  <w:style w:type="character" w:customStyle="1" w:styleId="93">
    <w:name w:val="Table Heading Char Char"/>
    <w:qFormat/>
    <w:uiPriority w:val="0"/>
    <w:rPr>
      <w:rFonts w:ascii="Arial" w:hAnsi="Arial" w:eastAsia="黑体"/>
      <w:kern w:val="2"/>
      <w:sz w:val="18"/>
      <w:lang w:val="en-US" w:eastAsia="zh-CN"/>
    </w:rPr>
  </w:style>
  <w:style w:type="character" w:customStyle="1" w:styleId="94">
    <w:name w:val="Table Text Char Char Char Char"/>
    <w:link w:val="95"/>
    <w:qFormat/>
    <w:uiPriority w:val="0"/>
    <w:rPr>
      <w:rFonts w:ascii="Arial" w:hAnsi="Arial"/>
      <w:kern w:val="2"/>
      <w:sz w:val="18"/>
      <w:lang w:val="en-US" w:eastAsia="zh-CN" w:bidi="ar-SA"/>
    </w:rPr>
  </w:style>
  <w:style w:type="paragraph" w:customStyle="1" w:styleId="95">
    <w:name w:val="Table Text Char Char Char"/>
    <w:link w:val="94"/>
    <w:qFormat/>
    <w:uiPriority w:val="0"/>
    <w:pPr>
      <w:snapToGrid w:val="0"/>
      <w:spacing w:before="80" w:after="80"/>
    </w:pPr>
    <w:rPr>
      <w:rFonts w:ascii="Arial" w:hAnsi="Arial" w:eastAsia="宋体" w:cs="Times New Roman"/>
      <w:kern w:val="2"/>
      <w:sz w:val="18"/>
      <w:lang w:val="en-US" w:eastAsia="zh-CN" w:bidi="ar-SA"/>
    </w:rPr>
  </w:style>
  <w:style w:type="character" w:customStyle="1" w:styleId="96">
    <w:name w:val="Table Text Char"/>
    <w:link w:val="97"/>
    <w:qFormat/>
    <w:uiPriority w:val="0"/>
    <w:rPr>
      <w:rFonts w:ascii="Arial" w:hAnsi="Arial"/>
      <w:kern w:val="2"/>
      <w:sz w:val="18"/>
      <w:lang w:val="en-US" w:eastAsia="zh-CN" w:bidi="ar-SA"/>
    </w:rPr>
  </w:style>
  <w:style w:type="paragraph" w:customStyle="1" w:styleId="97">
    <w:name w:val="Table Text"/>
    <w:link w:val="96"/>
    <w:qFormat/>
    <w:uiPriority w:val="0"/>
    <w:pPr>
      <w:snapToGrid w:val="0"/>
      <w:spacing w:before="80" w:after="80"/>
    </w:pPr>
    <w:rPr>
      <w:rFonts w:ascii="Arial" w:hAnsi="Arial" w:eastAsia="宋体" w:cs="Times New Roman"/>
      <w:kern w:val="2"/>
      <w:sz w:val="18"/>
      <w:lang w:val="en-US" w:eastAsia="zh-CN" w:bidi="ar-SA"/>
    </w:rPr>
  </w:style>
  <w:style w:type="character" w:customStyle="1" w:styleId="98">
    <w:name w:val=" Char Char2"/>
    <w:qFormat/>
    <w:uiPriority w:val="0"/>
    <w:rPr>
      <w:rFonts w:eastAsia="宋体"/>
      <w:kern w:val="2"/>
      <w:sz w:val="18"/>
      <w:lang w:val="en-US" w:eastAsia="zh-CN"/>
    </w:rPr>
  </w:style>
  <w:style w:type="character" w:customStyle="1" w:styleId="99">
    <w:name w:val="标书正文:  0.74 厘米 Char1"/>
    <w:qFormat/>
    <w:uiPriority w:val="0"/>
    <w:rPr>
      <w:rFonts w:eastAsia="宋体"/>
      <w:kern w:val="2"/>
      <w:sz w:val="24"/>
      <w:lang w:val="en-US" w:eastAsia="zh-CN"/>
    </w:rPr>
  </w:style>
  <w:style w:type="character" w:customStyle="1" w:styleId="100">
    <w:name w:val="样式 宋体"/>
    <w:qFormat/>
    <w:uiPriority w:val="0"/>
    <w:rPr>
      <w:rFonts w:ascii="宋体" w:hAnsi="宋体" w:eastAsia="宋体"/>
      <w:sz w:val="28"/>
    </w:rPr>
  </w:style>
  <w:style w:type="character" w:customStyle="1" w:styleId="101">
    <w:name w:val="未命名11"/>
    <w:qFormat/>
    <w:uiPriority w:val="0"/>
    <w:rPr>
      <w:color w:val="77FFFF"/>
      <w:sz w:val="24"/>
    </w:rPr>
  </w:style>
  <w:style w:type="character" w:customStyle="1" w:styleId="102">
    <w:name w:val="crowed11"/>
    <w:qFormat/>
    <w:uiPriority w:val="0"/>
    <w:rPr>
      <w:rFonts w:hint="default" w:ascii="_x000B__x000C_" w:hAnsi="_x000B__x000C_"/>
      <w:sz w:val="24"/>
    </w:rPr>
  </w:style>
  <w:style w:type="character" w:customStyle="1" w:styleId="103">
    <w:name w:val=" Char Char6"/>
    <w:qFormat/>
    <w:uiPriority w:val="0"/>
    <w:rPr>
      <w:rFonts w:ascii="仿宋_GB2312" w:eastAsia="仿宋_GB2312"/>
      <w:kern w:val="2"/>
      <w:sz w:val="32"/>
    </w:rPr>
  </w:style>
  <w:style w:type="character" w:customStyle="1" w:styleId="104">
    <w:name w:val="title_emph1"/>
    <w:qFormat/>
    <w:uiPriority w:val="0"/>
    <w:rPr>
      <w:rFonts w:hint="default" w:ascii="Arial" w:hAnsi="Arial"/>
      <w:b/>
      <w:sz w:val="20"/>
    </w:rPr>
  </w:style>
  <w:style w:type="character" w:customStyle="1" w:styleId="105">
    <w:name w:val="font1"/>
    <w:qFormat/>
    <w:uiPriority w:val="0"/>
    <w:rPr>
      <w:color w:val="000000"/>
      <w:sz w:val="18"/>
    </w:rPr>
  </w:style>
  <w:style w:type="character" w:customStyle="1" w:styleId="106">
    <w:name w:val=" Char Char11"/>
    <w:qFormat/>
    <w:uiPriority w:val="0"/>
    <w:rPr>
      <w:rFonts w:ascii="宋体"/>
      <w:kern w:val="2"/>
      <w:sz w:val="28"/>
    </w:rPr>
  </w:style>
  <w:style w:type="character" w:customStyle="1" w:styleId="107">
    <w:name w:val="top-det1"/>
    <w:qFormat/>
    <w:uiPriority w:val="0"/>
    <w:rPr>
      <w:b/>
      <w:color w:val="000000"/>
    </w:rPr>
  </w:style>
  <w:style w:type="paragraph" w:customStyle="1" w:styleId="108">
    <w:name w:val="二级列表"/>
    <w:basedOn w:val="109"/>
    <w:next w:val="109"/>
    <w:qFormat/>
    <w:uiPriority w:val="0"/>
    <w:pPr>
      <w:tabs>
        <w:tab w:val="left" w:pos="2120"/>
      </w:tabs>
      <w:ind w:firstLine="0" w:firstLineChars="0"/>
    </w:pPr>
    <w:rPr>
      <w:b/>
    </w:rPr>
  </w:style>
  <w:style w:type="paragraph" w:customStyle="1" w:styleId="109">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10">
    <w:name w:val="标题3——2"/>
    <w:basedOn w:val="4"/>
    <w:next w:val="57"/>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111">
    <w:name w:val="文本1"/>
    <w:basedOn w:val="1"/>
    <w:qFormat/>
    <w:uiPriority w:val="0"/>
    <w:pPr>
      <w:adjustRightInd w:val="0"/>
      <w:spacing w:line="312" w:lineRule="atLeast"/>
      <w:jc w:val="center"/>
      <w:textAlignment w:val="baseline"/>
    </w:pPr>
    <w:rPr>
      <w:kern w:val="0"/>
      <w:sz w:val="18"/>
    </w:rPr>
  </w:style>
  <w:style w:type="paragraph" w:customStyle="1" w:styleId="112">
    <w:name w:val="Title - Revision"/>
    <w:basedOn w:val="55"/>
    <w:qFormat/>
    <w:uiPriority w:val="0"/>
    <w:pPr>
      <w:spacing w:before="720" w:beforeLines="0" w:beforeAutospacing="0"/>
    </w:pPr>
  </w:style>
  <w:style w:type="paragraph" w:customStyle="1" w:styleId="113">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4">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15">
    <w:name w:val="二级条标题"/>
    <w:basedOn w:val="116"/>
    <w:next w:val="118"/>
    <w:qFormat/>
    <w:uiPriority w:val="0"/>
    <w:pPr>
      <w:ind w:left="840"/>
      <w:outlineLvl w:val="3"/>
    </w:pPr>
  </w:style>
  <w:style w:type="paragraph" w:customStyle="1" w:styleId="116">
    <w:name w:val="一级条标题"/>
    <w:basedOn w:val="117"/>
    <w:next w:val="118"/>
    <w:qFormat/>
    <w:uiPriority w:val="0"/>
    <w:pPr>
      <w:numPr>
        <w:ilvl w:val="1"/>
        <w:numId w:val="0"/>
      </w:numPr>
      <w:spacing w:before="0" w:beforeLines="0" w:beforeAutospacing="0" w:after="0" w:afterLines="0" w:afterAutospacing="0"/>
      <w:ind w:left="525"/>
      <w:outlineLvl w:val="2"/>
    </w:pPr>
    <w:rPr>
      <w:sz w:val="21"/>
    </w:rPr>
  </w:style>
  <w:style w:type="paragraph" w:customStyle="1" w:styleId="117">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1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9">
    <w:name w:val="1.正文"/>
    <w:basedOn w:val="1"/>
    <w:qFormat/>
    <w:uiPriority w:val="0"/>
    <w:pPr>
      <w:spacing w:line="360" w:lineRule="auto"/>
      <w:ind w:left="540" w:leftChars="225" w:firstLine="540" w:firstLineChars="225"/>
    </w:pPr>
    <w:rPr>
      <w:sz w:val="24"/>
    </w:rPr>
  </w:style>
  <w:style w:type="paragraph" w:customStyle="1" w:styleId="120">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21">
    <w:name w:val="编号正文"/>
    <w:basedOn w:val="122"/>
    <w:qFormat/>
    <w:uiPriority w:val="0"/>
    <w:pPr>
      <w:snapToGrid/>
      <w:spacing w:line="360" w:lineRule="auto"/>
      <w:ind w:left="1407" w:hanging="1047"/>
      <w:jc w:val="left"/>
    </w:pPr>
    <w:rPr>
      <w:rFonts w:eastAsia="仿宋_GB2312"/>
    </w:rPr>
  </w:style>
  <w:style w:type="paragraph" w:customStyle="1" w:styleId="122">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23">
    <w:name w:val="样式3"/>
    <w:basedOn w:val="2"/>
    <w:next w:val="2"/>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124">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25">
    <w:name w:val="默认段落字体 Para Char Char Char Char Char Char Char Char Char1 Char Char Char Char"/>
    <w:basedOn w:val="1"/>
    <w:qFormat/>
    <w:uiPriority w:val="0"/>
    <w:rPr>
      <w:rFonts w:ascii="Tahoma" w:hAnsi="Tahoma"/>
      <w:sz w:val="24"/>
    </w:rPr>
  </w:style>
  <w:style w:type="paragraph" w:customStyle="1" w:styleId="126">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7">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128">
    <w:name w:val=" Char Char14 Char Char"/>
    <w:basedOn w:val="1"/>
    <w:qFormat/>
    <w:uiPriority w:val="0"/>
    <w:rPr>
      <w:sz w:val="21"/>
      <w:szCs w:val="24"/>
    </w:rPr>
  </w:style>
  <w:style w:type="paragraph" w:customStyle="1" w:styleId="129">
    <w:name w:val=" Char Char Char Char Char"/>
    <w:basedOn w:val="1"/>
    <w:qFormat/>
    <w:uiPriority w:val="0"/>
    <w:pPr>
      <w:tabs>
        <w:tab w:val="left" w:pos="425"/>
      </w:tabs>
      <w:ind w:left="1620" w:hanging="360"/>
    </w:pPr>
    <w:rPr>
      <w:rFonts w:ascii="Tahoma" w:hAnsi="Tahoma"/>
      <w:sz w:val="24"/>
    </w:rPr>
  </w:style>
  <w:style w:type="paragraph" w:customStyle="1" w:styleId="130">
    <w:name w:val=" Char2 Char Char Char Char Char Char"/>
    <w:basedOn w:val="1"/>
    <w:qFormat/>
    <w:uiPriority w:val="0"/>
    <w:rPr>
      <w:rFonts w:ascii="仿宋_GB2312"/>
      <w:b/>
      <w:sz w:val="30"/>
    </w:rPr>
  </w:style>
  <w:style w:type="paragraph" w:customStyle="1" w:styleId="131">
    <w:name w:val="_Style 130"/>
    <w:qFormat/>
    <w:uiPriority w:val="0"/>
    <w:rPr>
      <w:rFonts w:ascii="Times New Roman" w:hAnsi="Times New Roman" w:eastAsia="宋体" w:cs="Times New Roman"/>
      <w:kern w:val="2"/>
      <w:sz w:val="21"/>
      <w:lang w:val="en-US" w:eastAsia="zh-CN" w:bidi="ar-SA"/>
    </w:rPr>
  </w:style>
  <w:style w:type="paragraph" w:customStyle="1" w:styleId="132">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3">
    <w:name w:val="正文 + 三号"/>
    <w:basedOn w:val="1"/>
    <w:qFormat/>
    <w:uiPriority w:val="0"/>
    <w:rPr>
      <w:sz w:val="21"/>
    </w:rPr>
  </w:style>
  <w:style w:type="paragraph" w:customStyle="1" w:styleId="134">
    <w:name w:val="样式 首行缩进:  0.74 厘米"/>
    <w:basedOn w:val="1"/>
    <w:qFormat/>
    <w:uiPriority w:val="0"/>
    <w:pPr>
      <w:spacing w:line="360" w:lineRule="auto"/>
      <w:ind w:firstLine="420"/>
    </w:pPr>
    <w:rPr>
      <w:sz w:val="24"/>
    </w:rPr>
  </w:style>
  <w:style w:type="paragraph" w:customStyle="1" w:styleId="135">
    <w:name w:val="样式 样式 首行缩进:  2 字符 + 首行缩进:  2 字符"/>
    <w:basedOn w:val="1"/>
    <w:qFormat/>
    <w:uiPriority w:val="0"/>
    <w:pPr>
      <w:numPr>
        <w:ilvl w:val="0"/>
        <w:numId w:val="6"/>
      </w:numPr>
      <w:tabs>
        <w:tab w:val="clear" w:pos="1230"/>
      </w:tabs>
      <w:spacing w:line="360" w:lineRule="auto"/>
      <w:ind w:firstLine="480" w:firstLineChars="200"/>
    </w:pPr>
    <w:rPr>
      <w:sz w:val="24"/>
    </w:rPr>
  </w:style>
  <w:style w:type="paragraph" w:customStyle="1" w:styleId="136">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7">
    <w:name w:val="Table Contents"/>
    <w:basedOn w:val="22"/>
    <w:qFormat/>
    <w:uiPriority w:val="0"/>
    <w:pPr>
      <w:suppressAutoHyphens/>
      <w:jc w:val="left"/>
    </w:pPr>
    <w:rPr>
      <w:rFonts w:ascii="Times New Roman" w:eastAsia="Times New Roman"/>
      <w:kern w:val="0"/>
      <w:sz w:val="24"/>
    </w:rPr>
  </w:style>
  <w:style w:type="paragraph" w:customStyle="1" w:styleId="138">
    <w:name w:val="表格文本"/>
    <w:qFormat/>
    <w:uiPriority w:val="0"/>
    <w:pPr>
      <w:tabs>
        <w:tab w:val="decimal" w:pos="0"/>
      </w:tabs>
    </w:pPr>
    <w:rPr>
      <w:rFonts w:ascii="Arial" w:hAnsi="Arial" w:eastAsia="宋体" w:cs="Times New Roman"/>
      <w:sz w:val="21"/>
      <w:lang w:val="en-US" w:eastAsia="zh-CN" w:bidi="ar-SA"/>
    </w:rPr>
  </w:style>
  <w:style w:type="paragraph" w:customStyle="1" w:styleId="139">
    <w:name w:val=" Char Char Char Char Char Char Char"/>
    <w:basedOn w:val="1"/>
    <w:qFormat/>
    <w:uiPriority w:val="0"/>
    <w:rPr>
      <w:rFonts w:ascii="Tahoma" w:hAnsi="Tahoma"/>
      <w:sz w:val="24"/>
    </w:rPr>
  </w:style>
  <w:style w:type="paragraph" w:customStyle="1" w:styleId="140">
    <w:name w:val="内容标题"/>
    <w:basedOn w:val="17"/>
    <w:qFormat/>
    <w:uiPriority w:val="0"/>
    <w:rPr>
      <w:rFonts w:ascii="Tahoma" w:hAnsi="Tahoma"/>
      <w:sz w:val="24"/>
    </w:rPr>
  </w:style>
  <w:style w:type="paragraph" w:customStyle="1" w:styleId="141">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42">
    <w:name w:val="1"/>
    <w:basedOn w:val="1"/>
    <w:next w:val="30"/>
    <w:qFormat/>
    <w:uiPriority w:val="0"/>
    <w:rPr>
      <w:rFonts w:ascii="宋体" w:hAnsi="Courier New"/>
      <w:sz w:val="21"/>
    </w:rPr>
  </w:style>
  <w:style w:type="paragraph" w:customStyle="1" w:styleId="143">
    <w:name w:val="列表项目"/>
    <w:basedOn w:val="1"/>
    <w:qFormat/>
    <w:uiPriority w:val="0"/>
    <w:pPr>
      <w:tabs>
        <w:tab w:val="left" w:pos="420"/>
      </w:tabs>
      <w:spacing w:line="288" w:lineRule="auto"/>
      <w:ind w:left="840" w:leftChars="200" w:hanging="420" w:hangingChars="200"/>
    </w:pPr>
    <w:rPr>
      <w:sz w:val="21"/>
    </w:rPr>
  </w:style>
  <w:style w:type="paragraph" w:customStyle="1" w:styleId="144">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45">
    <w:name w:val="Char Char Char Char Char Char Char"/>
    <w:basedOn w:val="17"/>
    <w:qFormat/>
    <w:uiPriority w:val="0"/>
    <w:rPr>
      <w:rFonts w:ascii="宋体" w:hAnsi="Tahoma"/>
    </w:rPr>
  </w:style>
  <w:style w:type="paragraph" w:customStyle="1" w:styleId="146">
    <w:name w:val="样式 标题 6第五层条 + 三号 段前: 0.5 行"/>
    <w:basedOn w:val="7"/>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47">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8">
    <w:name w:val="样式 正文首行缩进 2 + 首行缩进:  2 字符"/>
    <w:basedOn w:val="1"/>
    <w:qFormat/>
    <w:uiPriority w:val="0"/>
    <w:pPr>
      <w:numPr>
        <w:ilvl w:val="0"/>
        <w:numId w:val="7"/>
      </w:numPr>
      <w:adjustRightInd w:val="0"/>
      <w:snapToGrid w:val="0"/>
      <w:spacing w:line="360" w:lineRule="auto"/>
    </w:pPr>
    <w:rPr>
      <w:rFonts w:ascii="Arial" w:hAnsi="Arial"/>
      <w:b/>
      <w:sz w:val="24"/>
    </w:rPr>
  </w:style>
  <w:style w:type="paragraph" w:customStyle="1" w:styleId="149">
    <w:name w:val="样式 行距: 1.5 倍行距1"/>
    <w:basedOn w:val="1"/>
    <w:qFormat/>
    <w:uiPriority w:val="0"/>
    <w:pPr>
      <w:snapToGrid w:val="0"/>
    </w:pPr>
    <w:rPr>
      <w:sz w:val="21"/>
    </w:rPr>
  </w:style>
  <w:style w:type="paragraph" w:customStyle="1" w:styleId="15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51">
    <w:name w:val="00"/>
    <w:basedOn w:val="1"/>
    <w:qFormat/>
    <w:uiPriority w:val="0"/>
    <w:pPr>
      <w:autoSpaceDE w:val="0"/>
      <w:autoSpaceDN w:val="0"/>
      <w:adjustRightInd w:val="0"/>
      <w:jc w:val="left"/>
    </w:pPr>
    <w:rPr>
      <w:rFonts w:ascii="黑体" w:eastAsia="黑体"/>
      <w:b/>
      <w:kern w:val="0"/>
      <w:sz w:val="20"/>
    </w:rPr>
  </w:style>
  <w:style w:type="paragraph" w:customStyle="1" w:styleId="152">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53">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4">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55">
    <w:name w:val="标准正文"/>
    <w:basedOn w:val="23"/>
    <w:qFormat/>
    <w:uiPriority w:val="0"/>
    <w:pPr>
      <w:spacing w:before="60" w:beforeLines="0" w:after="60" w:afterLines="0" w:line="360" w:lineRule="auto"/>
      <w:ind w:left="0" w:firstLine="482"/>
    </w:pPr>
    <w:rPr>
      <w:rFonts w:ascii="Arial" w:hAnsi="Arial"/>
      <w:sz w:val="24"/>
    </w:rPr>
  </w:style>
  <w:style w:type="paragraph" w:customStyle="1" w:styleId="156">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57">
    <w:name w:val="样式1"/>
    <w:basedOn w:val="5"/>
    <w:qFormat/>
    <w:uiPriority w:val="0"/>
    <w:pPr>
      <w:tabs>
        <w:tab w:val="left" w:pos="720"/>
      </w:tabs>
      <w:spacing w:before="500" w:beforeLines="0" w:beforeAutospacing="0" w:after="260" w:afterLines="0" w:afterAutospacing="0" w:line="560" w:lineRule="atLeast"/>
      <w:ind w:left="420" w:hanging="420"/>
    </w:pPr>
  </w:style>
  <w:style w:type="paragraph" w:customStyle="1" w:styleId="158">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59">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60">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16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62">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6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64">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5">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6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67">
    <w:name w:val="关键词"/>
    <w:basedOn w:val="1"/>
    <w:next w:val="1"/>
    <w:qFormat/>
    <w:uiPriority w:val="0"/>
    <w:pPr>
      <w:spacing w:line="360" w:lineRule="auto"/>
    </w:pPr>
    <w:rPr>
      <w:rFonts w:eastAsia="黑体"/>
      <w:sz w:val="20"/>
    </w:rPr>
  </w:style>
  <w:style w:type="paragraph" w:customStyle="1" w:styleId="168">
    <w:name w:val="Title - Date"/>
    <w:basedOn w:val="55"/>
    <w:next w:val="1"/>
    <w:qFormat/>
    <w:uiPriority w:val="0"/>
    <w:pPr>
      <w:spacing w:before="240" w:beforeLines="0" w:beforeAutospacing="0" w:after="720" w:afterLines="0" w:afterAutospacing="0"/>
    </w:pPr>
    <w:rPr>
      <w:sz w:val="28"/>
    </w:rPr>
  </w:style>
  <w:style w:type="paragraph" w:customStyle="1" w:styleId="16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70">
    <w:name w:val="图标"/>
    <w:basedOn w:val="1"/>
    <w:next w:val="1"/>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1">
    <w:name w:val="文档正文 Char Char Char Char"/>
    <w:basedOn w:val="1"/>
    <w:uiPriority w:val="0"/>
    <w:pPr>
      <w:adjustRightInd w:val="0"/>
      <w:spacing w:line="440" w:lineRule="exact"/>
      <w:ind w:firstLine="420"/>
      <w:textAlignment w:val="baseline"/>
    </w:pPr>
    <w:rPr>
      <w:rFonts w:ascii="Arial Narrow" w:hAnsi="Arial Narrow"/>
      <w:kern w:val="0"/>
      <w:sz w:val="24"/>
    </w:rPr>
  </w:style>
  <w:style w:type="paragraph" w:customStyle="1" w:styleId="172">
    <w:name w:val="表号"/>
    <w:basedOn w:val="1"/>
    <w:qFormat/>
    <w:uiPriority w:val="0"/>
    <w:pPr>
      <w:numPr>
        <w:ilvl w:val="0"/>
        <w:numId w:val="8"/>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7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4">
    <w:name w:val="Style Heading 3h3Heading 3 - oldLevel 3 HeadH3level_3PIM 3se..."/>
    <w:basedOn w:val="4"/>
    <w:uiPriority w:val="0"/>
    <w:pPr>
      <w:numPr>
        <w:ilvl w:val="2"/>
        <w:numId w:val="9"/>
      </w:numPr>
      <w:tabs>
        <w:tab w:val="left" w:pos="709"/>
        <w:tab w:val="left" w:pos="1620"/>
      </w:tabs>
      <w:spacing w:line="413" w:lineRule="auto"/>
    </w:pPr>
  </w:style>
  <w:style w:type="paragraph" w:customStyle="1" w:styleId="175">
    <w:name w:val="样式4"/>
    <w:basedOn w:val="5"/>
    <w:qFormat/>
    <w:uiPriority w:val="0"/>
    <w:pPr>
      <w:adjustRightInd w:val="0"/>
      <w:snapToGrid w:val="0"/>
    </w:pPr>
  </w:style>
  <w:style w:type="paragraph" w:customStyle="1" w:styleId="176">
    <w:name w:val="摘要"/>
    <w:basedOn w:val="1"/>
    <w:next w:val="3"/>
    <w:qFormat/>
    <w:uiPriority w:val="0"/>
    <w:pPr>
      <w:spacing w:line="360" w:lineRule="auto"/>
    </w:pPr>
    <w:rPr>
      <w:rFonts w:eastAsia="黑体"/>
      <w:sz w:val="20"/>
    </w:rPr>
  </w:style>
  <w:style w:type="paragraph" w:customStyle="1" w:styleId="177">
    <w:name w:val=" Char Char 字元 字元 字元 Char Char Char Char"/>
    <w:basedOn w:val="1"/>
    <w:qFormat/>
    <w:uiPriority w:val="0"/>
    <w:pPr>
      <w:adjustRightInd w:val="0"/>
      <w:spacing w:line="360" w:lineRule="auto"/>
    </w:pPr>
    <w:rPr>
      <w:kern w:val="0"/>
      <w:sz w:val="24"/>
    </w:rPr>
  </w:style>
  <w:style w:type="paragraph" w:customStyle="1" w:styleId="178">
    <w:name w:val="可研正文"/>
    <w:basedOn w:val="22"/>
    <w:uiPriority w:val="0"/>
    <w:pPr>
      <w:adjustRightInd w:val="0"/>
      <w:snapToGrid w:val="0"/>
      <w:spacing w:line="440" w:lineRule="exact"/>
      <w:ind w:firstLine="567"/>
    </w:pPr>
    <w:rPr>
      <w:sz w:val="28"/>
    </w:rPr>
  </w:style>
  <w:style w:type="paragraph" w:customStyle="1" w:styleId="179">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80">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1">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2">
    <w:name w:val="标书正文:  0.74 厘米"/>
    <w:basedOn w:val="1"/>
    <w:qFormat/>
    <w:uiPriority w:val="0"/>
    <w:pPr>
      <w:snapToGrid w:val="0"/>
      <w:spacing w:line="360" w:lineRule="auto"/>
      <w:ind w:firstLine="420"/>
    </w:pPr>
    <w:rPr>
      <w:sz w:val="24"/>
    </w:rPr>
  </w:style>
  <w:style w:type="paragraph" w:customStyle="1" w:styleId="183">
    <w:name w:val="样式 正文缩进正文（首行缩进两字）表正文正文非缩进特点标题4段1 + 首行缩进:  2 字符"/>
    <w:basedOn w:val="15"/>
    <w:qFormat/>
    <w:uiPriority w:val="0"/>
    <w:pPr>
      <w:ind w:firstLine="480" w:firstLineChars="200"/>
    </w:pPr>
  </w:style>
  <w:style w:type="paragraph" w:customStyle="1" w:styleId="18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85">
    <w:name w:val=" Char1 Char Char Char"/>
    <w:basedOn w:val="1"/>
    <w:uiPriority w:val="0"/>
    <w:rPr>
      <w:rFonts w:ascii="Tahoma" w:hAnsi="Tahoma"/>
      <w:sz w:val="24"/>
    </w:rPr>
  </w:style>
  <w:style w:type="paragraph" w:customStyle="1" w:styleId="186">
    <w:name w:val="样式 标题 1章标题Heading 0Section HeadPIM 1H1h11st levell11H1..."/>
    <w:basedOn w:val="2"/>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187">
    <w:name w:val="文章正文"/>
    <w:basedOn w:val="1"/>
    <w:qFormat/>
    <w:uiPriority w:val="0"/>
    <w:pPr>
      <w:ind w:firstLine="560" w:firstLineChars="200"/>
    </w:pPr>
    <w:rPr>
      <w:rFonts w:ascii="仿宋_GB2312" w:hAnsi="宋体" w:eastAsia="仿宋_GB2312"/>
      <w:color w:val="000000"/>
    </w:rPr>
  </w:style>
  <w:style w:type="paragraph" w:customStyle="1" w:styleId="188">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89">
    <w:name w:val="xl53"/>
    <w:basedOn w:val="1"/>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90">
    <w:name w:val=" Char Char1 Char"/>
    <w:basedOn w:val="1"/>
    <w:uiPriority w:val="0"/>
    <w:rPr>
      <w:rFonts w:ascii="Tahoma" w:hAnsi="Tahoma"/>
      <w:sz w:val="24"/>
      <w:szCs w:val="24"/>
    </w:rPr>
  </w:style>
  <w:style w:type="paragraph" w:customStyle="1" w:styleId="191">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192">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93">
    <w:name w:val="Char"/>
    <w:basedOn w:val="1"/>
    <w:qFormat/>
    <w:uiPriority w:val="0"/>
    <w:pPr>
      <w:spacing w:line="240" w:lineRule="atLeast"/>
      <w:ind w:left="420" w:firstLine="420"/>
    </w:pPr>
    <w:rPr>
      <w:kern w:val="0"/>
      <w:sz w:val="21"/>
    </w:rPr>
  </w:style>
  <w:style w:type="paragraph" w:customStyle="1" w:styleId="194">
    <w:name w:val="_"/>
    <w:basedOn w:val="1"/>
    <w:qFormat/>
    <w:uiPriority w:val="0"/>
    <w:pPr>
      <w:adjustRightInd w:val="0"/>
      <w:spacing w:line="360" w:lineRule="auto"/>
      <w:ind w:left="480" w:firstLine="200" w:firstLineChars="200"/>
      <w:textAlignment w:val="baseline"/>
    </w:pPr>
    <w:rPr>
      <w:kern w:val="0"/>
      <w:sz w:val="24"/>
    </w:rPr>
  </w:style>
  <w:style w:type="paragraph" w:customStyle="1" w:styleId="195">
    <w:name w:val="Char1 Char Char Char"/>
    <w:basedOn w:val="1"/>
    <w:qFormat/>
    <w:uiPriority w:val="0"/>
    <w:rPr>
      <w:rFonts w:ascii="Tahoma" w:hAnsi="Tahoma"/>
      <w:sz w:val="30"/>
    </w:rPr>
  </w:style>
  <w:style w:type="paragraph" w:customStyle="1" w:styleId="196">
    <w:name w:val="表头文本"/>
    <w:uiPriority w:val="0"/>
    <w:pPr>
      <w:jc w:val="center"/>
    </w:pPr>
    <w:rPr>
      <w:rFonts w:ascii="Arial" w:hAnsi="Arial" w:eastAsia="宋体" w:cs="Times New Roman"/>
      <w:b/>
      <w:sz w:val="21"/>
      <w:lang w:val="en-US" w:eastAsia="zh-CN" w:bidi="ar-SA"/>
    </w:rPr>
  </w:style>
  <w:style w:type="paragraph" w:customStyle="1" w:styleId="197">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8">
    <w:name w:val=" Char Char Char"/>
    <w:basedOn w:val="1"/>
    <w:qFormat/>
    <w:uiPriority w:val="0"/>
    <w:rPr>
      <w:rFonts w:ascii="Tahoma" w:hAnsi="Tahoma"/>
      <w:sz w:val="24"/>
    </w:rPr>
  </w:style>
  <w:style w:type="paragraph" w:customStyle="1" w:styleId="199">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200">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01">
    <w:name w:val="样式 标题 1 + 居中 段前: 6 磅 段后: 6 磅 行距: 1.5 倍行距"/>
    <w:basedOn w:val="2"/>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202">
    <w:name w:val="默认段落字体 Para Char Char Char Char Char Char Char"/>
    <w:basedOn w:val="1"/>
    <w:qFormat/>
    <w:uiPriority w:val="0"/>
    <w:rPr>
      <w:rFonts w:ascii="Tahoma" w:hAnsi="Tahoma"/>
      <w:sz w:val="24"/>
    </w:rPr>
  </w:style>
  <w:style w:type="paragraph" w:customStyle="1" w:styleId="203">
    <w:name w:val="IN Feature"/>
    <w:next w:val="204"/>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4">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205">
    <w:name w:val="首行缩进"/>
    <w:basedOn w:val="1"/>
    <w:qFormat/>
    <w:uiPriority w:val="0"/>
    <w:pPr>
      <w:numPr>
        <w:ilvl w:val="0"/>
        <w:numId w:val="11"/>
      </w:numPr>
      <w:spacing w:line="360" w:lineRule="auto"/>
    </w:pPr>
    <w:rPr>
      <w:rFonts w:eastAsia="仿宋_GB2312"/>
    </w:rPr>
  </w:style>
  <w:style w:type="paragraph" w:customStyle="1" w:styleId="206">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207">
    <w:name w:val="正文表格"/>
    <w:basedOn w:val="1"/>
    <w:qFormat/>
    <w:uiPriority w:val="0"/>
    <w:pPr>
      <w:adjustRightInd w:val="0"/>
      <w:spacing w:before="40" w:beforeLines="0" w:beforeAutospacing="0" w:after="40" w:afterLines="0" w:afterAutospacing="0"/>
    </w:pPr>
    <w:rPr>
      <w:sz w:val="24"/>
    </w:rPr>
  </w:style>
  <w:style w:type="paragraph" w:customStyle="1" w:styleId="208">
    <w:name w:val="表文字"/>
    <w:qFormat/>
    <w:uiPriority w:val="0"/>
    <w:rPr>
      <w:rFonts w:ascii="宋体" w:hAnsi="Times New Roman" w:eastAsia="宋体" w:cs="Times New Roman"/>
      <w:kern w:val="2"/>
      <w:lang w:val="en-US" w:eastAsia="zh-CN" w:bidi="ar-SA"/>
    </w:rPr>
  </w:style>
  <w:style w:type="paragraph" w:customStyle="1" w:styleId="209">
    <w:name w:val="表格内文字"/>
    <w:basedOn w:val="30"/>
    <w:qFormat/>
    <w:uiPriority w:val="0"/>
    <w:pPr>
      <w:adjustRightInd w:val="0"/>
    </w:pPr>
    <w:rPr>
      <w:color w:val="000000"/>
      <w:lang w:val="en-GB"/>
    </w:rPr>
  </w:style>
  <w:style w:type="paragraph" w:customStyle="1" w:styleId="210">
    <w:name w:val="Body Text Indent 2"/>
    <w:basedOn w:val="1"/>
    <w:qFormat/>
    <w:uiPriority w:val="0"/>
    <w:pPr>
      <w:adjustRightInd w:val="0"/>
      <w:spacing w:before="120" w:beforeLines="0" w:beforeAutospacing="0"/>
      <w:ind w:firstLine="420"/>
      <w:textAlignment w:val="baseline"/>
    </w:pPr>
    <w:rPr>
      <w:sz w:val="24"/>
    </w:rPr>
  </w:style>
  <w:style w:type="paragraph" w:customStyle="1" w:styleId="211">
    <w:name w:val="标题无"/>
    <w:basedOn w:val="1"/>
    <w:qFormat/>
    <w:uiPriority w:val="0"/>
    <w:pPr>
      <w:spacing w:line="360" w:lineRule="auto"/>
    </w:pPr>
    <w:rPr>
      <w:sz w:val="24"/>
    </w:rPr>
  </w:style>
  <w:style w:type="paragraph" w:customStyle="1" w:styleId="212">
    <w:name w:val="af"/>
    <w:basedOn w:val="1"/>
    <w:qFormat/>
    <w:uiPriority w:val="0"/>
    <w:pPr>
      <w:widowControl/>
      <w:spacing w:line="300" w:lineRule="atLeast"/>
      <w:jc w:val="left"/>
    </w:pPr>
    <w:rPr>
      <w:rFonts w:ascii="宋体" w:hAnsi="宋体"/>
      <w:kern w:val="0"/>
      <w:sz w:val="18"/>
    </w:rPr>
  </w:style>
  <w:style w:type="paragraph" w:customStyle="1" w:styleId="213">
    <w:name w:val="简单回函地址"/>
    <w:basedOn w:val="1"/>
    <w:qFormat/>
    <w:uiPriority w:val="0"/>
    <w:pPr>
      <w:adjustRightInd w:val="0"/>
      <w:snapToGrid w:val="0"/>
      <w:spacing w:line="360" w:lineRule="auto"/>
    </w:pPr>
    <w:rPr>
      <w:sz w:val="24"/>
    </w:rPr>
  </w:style>
  <w:style w:type="paragraph" w:customStyle="1" w:styleId="214">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5">
    <w:name w:val="正文（首行不缩进）"/>
    <w:basedOn w:val="1"/>
    <w:qFormat/>
    <w:uiPriority w:val="0"/>
    <w:pPr>
      <w:autoSpaceDE w:val="0"/>
      <w:autoSpaceDN w:val="0"/>
      <w:adjustRightInd w:val="0"/>
      <w:spacing w:line="360" w:lineRule="auto"/>
      <w:jc w:val="left"/>
    </w:pPr>
    <w:rPr>
      <w:kern w:val="0"/>
      <w:sz w:val="21"/>
    </w:rPr>
  </w:style>
  <w:style w:type="paragraph" w:customStyle="1" w:styleId="216">
    <w:name w:val="正文1"/>
    <w:basedOn w:val="1"/>
    <w:qFormat/>
    <w:uiPriority w:val="0"/>
    <w:pPr>
      <w:spacing w:line="300" w:lineRule="auto"/>
      <w:ind w:firstLine="200" w:firstLineChars="200"/>
    </w:pPr>
    <w:rPr>
      <w:sz w:val="24"/>
    </w:rPr>
  </w:style>
  <w:style w:type="paragraph" w:customStyle="1" w:styleId="217">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219">
    <w:name w:val="表头样式"/>
    <w:basedOn w:val="1"/>
    <w:qFormat/>
    <w:uiPriority w:val="0"/>
    <w:pPr>
      <w:autoSpaceDE w:val="0"/>
      <w:autoSpaceDN w:val="0"/>
      <w:adjustRightInd w:val="0"/>
      <w:spacing w:line="360" w:lineRule="auto"/>
      <w:jc w:val="left"/>
    </w:pPr>
    <w:rPr>
      <w:b/>
      <w:kern w:val="0"/>
      <w:sz w:val="21"/>
    </w:rPr>
  </w:style>
  <w:style w:type="paragraph" w:customStyle="1" w:styleId="220">
    <w:name w:val="图片文字"/>
    <w:basedOn w:val="1"/>
    <w:qFormat/>
    <w:uiPriority w:val="0"/>
    <w:pPr>
      <w:spacing w:line="240" w:lineRule="atLeast"/>
      <w:jc w:val="center"/>
    </w:pPr>
    <w:rPr>
      <w:sz w:val="21"/>
    </w:rPr>
  </w:style>
  <w:style w:type="paragraph" w:customStyle="1" w:styleId="221">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222">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22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4">
    <w:name w:val="首行缩进 1"/>
    <w:basedOn w:val="1"/>
    <w:qFormat/>
    <w:uiPriority w:val="0"/>
    <w:pPr>
      <w:spacing w:after="120" w:afterLines="0" w:afterAutospacing="0" w:line="360" w:lineRule="auto"/>
      <w:ind w:firstLine="200" w:firstLineChars="200"/>
    </w:pPr>
    <w:rPr>
      <w:sz w:val="24"/>
    </w:rPr>
  </w:style>
  <w:style w:type="paragraph" w:customStyle="1" w:styleId="225">
    <w:name w:val=" Char"/>
    <w:basedOn w:val="1"/>
    <w:qFormat/>
    <w:uiPriority w:val="0"/>
    <w:pPr>
      <w:spacing w:line="240" w:lineRule="atLeast"/>
      <w:ind w:left="420" w:firstLine="420"/>
    </w:pPr>
    <w:rPr>
      <w:kern w:val="0"/>
      <w:sz w:val="21"/>
    </w:rPr>
  </w:style>
  <w:style w:type="paragraph" w:customStyle="1" w:styleId="226">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2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28">
    <w:name w:val="样式1xz"/>
    <w:basedOn w:val="1"/>
    <w:qFormat/>
    <w:uiPriority w:val="0"/>
    <w:pPr>
      <w:tabs>
        <w:tab w:val="left" w:pos="1050"/>
        <w:tab w:val="right" w:leader="dot" w:pos="8296"/>
      </w:tabs>
    </w:pPr>
    <w:rPr>
      <w:caps/>
      <w:spacing w:val="20"/>
      <w:sz w:val="24"/>
    </w:rPr>
  </w:style>
  <w:style w:type="paragraph" w:customStyle="1" w:styleId="229">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30">
    <w:name w:val=" Char1"/>
    <w:basedOn w:val="1"/>
    <w:qFormat/>
    <w:uiPriority w:val="0"/>
    <w:rPr>
      <w:sz w:val="21"/>
    </w:rPr>
  </w:style>
  <w:style w:type="paragraph" w:customStyle="1" w:styleId="231">
    <w:name w:val="Note"/>
    <w:basedOn w:val="1"/>
    <w:qFormat/>
    <w:uiPriority w:val="0"/>
    <w:pPr>
      <w:pBdr>
        <w:top w:val="single" w:color="auto" w:sz="12" w:space="3"/>
        <w:bottom w:val="single" w:color="auto" w:sz="12" w:space="3"/>
      </w:pBdr>
      <w:spacing w:line="360" w:lineRule="auto"/>
    </w:pPr>
    <w:rPr>
      <w:sz w:val="24"/>
    </w:rPr>
  </w:style>
  <w:style w:type="paragraph" w:customStyle="1" w:styleId="232">
    <w:name w:val=" Char Char Char Char Char Char Char Char Char Char Char Char Char Char Char Char"/>
    <w:basedOn w:val="1"/>
    <w:qFormat/>
    <w:uiPriority w:val="0"/>
    <w:pPr>
      <w:tabs>
        <w:tab w:val="left" w:pos="360"/>
      </w:tabs>
    </w:pPr>
    <w:rPr>
      <w:sz w:val="24"/>
    </w:rPr>
  </w:style>
  <w:style w:type="paragraph" w:customStyle="1" w:styleId="233">
    <w:name w:val="样式 宋体 五号 行距: 单倍行距"/>
    <w:basedOn w:val="1"/>
    <w:qFormat/>
    <w:uiPriority w:val="0"/>
    <w:pPr>
      <w:adjustRightInd w:val="0"/>
      <w:jc w:val="left"/>
    </w:pPr>
    <w:rPr>
      <w:rFonts w:ascii="宋体" w:hAnsi="宋体"/>
      <w:kern w:val="0"/>
      <w:sz w:val="21"/>
    </w:rPr>
  </w:style>
  <w:style w:type="paragraph" w:customStyle="1" w:styleId="234">
    <w:name w:val="操作步骤"/>
    <w:basedOn w:val="1"/>
    <w:qFormat/>
    <w:uiPriority w:val="0"/>
    <w:pPr>
      <w:numPr>
        <w:ilvl w:val="0"/>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35">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36">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237">
    <w:name w:val="图例"/>
    <w:basedOn w:val="1"/>
    <w:qFormat/>
    <w:uiPriority w:val="0"/>
    <w:pPr>
      <w:spacing w:before="120" w:beforeLines="0" w:beforeAutospacing="0" w:after="120" w:afterLines="0" w:afterAutospacing="0" w:line="360" w:lineRule="auto"/>
      <w:jc w:val="center"/>
    </w:pPr>
    <w:rPr>
      <w:rFonts w:eastAsia="仿宋_GB2312"/>
      <w:b/>
      <w:sz w:val="24"/>
    </w:rPr>
  </w:style>
  <w:style w:type="character" w:customStyle="1" w:styleId="238">
    <w:name w:val="无"/>
    <w:qFormat/>
    <w:uiPriority w:val="0"/>
  </w:style>
  <w:style w:type="paragraph" w:customStyle="1" w:styleId="239">
    <w:name w:val="正文 A"/>
    <w:qFormat/>
    <w:uiPriority w:val="0"/>
    <w:pPr>
      <w:widowControl w:val="0"/>
      <w:jc w:val="both"/>
    </w:pPr>
    <w:rPr>
      <w:rFonts w:ascii="Times New Roman" w:hAnsi="Times New Roman" w:eastAsia="Times New Roman" w:cs="Times New Roman"/>
      <w:color w:val="000000"/>
      <w:kern w:val="2"/>
      <w:sz w:val="28"/>
      <w:szCs w:val="28"/>
      <w:lang w:val="en-US" w:eastAsia="zh-CN" w:bidi="ar-SA"/>
    </w:rPr>
  </w:style>
  <w:style w:type="paragraph" w:customStyle="1" w:styleId="240">
    <w:name w:val="正文文本1"/>
    <w:next w:val="239"/>
    <w:qFormat/>
    <w:uiPriority w:val="0"/>
    <w:pPr>
      <w:widowControl w:val="0"/>
      <w:jc w:val="both"/>
    </w:pPr>
    <w:rPr>
      <w:rFonts w:ascii="仿宋_GB2312" w:hAnsi="仿宋_GB2312" w:eastAsia="仿宋_GB2312" w:cs="仿宋_GB2312"/>
      <w:color w:val="000000"/>
      <w:kern w:val="2"/>
      <w:sz w:val="32"/>
      <w:szCs w:val="32"/>
      <w:lang w:val="en-US" w:eastAsia="zh-CN" w:bidi="ar-SA"/>
    </w:rPr>
  </w:style>
  <w:style w:type="character" w:customStyle="1" w:styleId="241">
    <w:name w:val="NormalCharacter"/>
    <w:qFormat/>
    <w:uiPriority w:val="0"/>
    <w:rPr>
      <w:rFonts w:ascii="Times New Roman" w:hAnsi="Times New Roman" w:eastAsia="宋体" w:cs="Times New Roman"/>
      <w:kern w:val="2"/>
      <w:sz w:val="28"/>
      <w:lang w:val="en-US" w:eastAsia="zh-CN" w:bidi="ar-SA"/>
    </w:rPr>
  </w:style>
  <w:style w:type="paragraph" w:customStyle="1" w:styleId="242">
    <w:name w:val="Table Paragraph"/>
    <w:basedOn w:val="1"/>
    <w:qFormat/>
    <w:uiPriority w:val="1"/>
  </w:style>
  <w:style w:type="table" w:customStyle="1" w:styleId="243">
    <w:name w:val="Table Normal"/>
    <w:semiHidden/>
    <w:unhideWhenUsed/>
    <w:qFormat/>
    <w:uiPriority w:val="2"/>
    <w:tblPr>
      <w:tblCellMar>
        <w:top w:w="0" w:type="dxa"/>
        <w:left w:w="0" w:type="dxa"/>
        <w:bottom w:w="0" w:type="dxa"/>
        <w:right w:w="0" w:type="dxa"/>
      </w:tblCellMar>
    </w:tblPr>
  </w:style>
  <w:style w:type="paragraph" w:styleId="244">
    <w:name w:val="List Paragraph"/>
    <w:basedOn w:val="1"/>
    <w:qFormat/>
    <w:uiPriority w:val="1"/>
    <w:pPr>
      <w:ind w:left="551" w:hanging="527"/>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28</Pages>
  <Words>11142</Words>
  <Characters>11585</Characters>
  <Lines>111</Lines>
  <Paragraphs>31</Paragraphs>
  <TotalTime>22</TotalTime>
  <ScaleCrop>false</ScaleCrop>
  <LinksUpToDate>false</LinksUpToDate>
  <CharactersWithSpaces>12251</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2022-06-13T08:41:00Z</dcterms:created>
  <dc:creator>周媛媛</dc:creator>
  <cp:lastModifiedBy>jtj</cp:lastModifiedBy>
  <cp:lastPrinted>2015-03-25T02:14:00Z</cp:lastPrinted>
  <dcterms:modified xsi:type="dcterms:W3CDTF">2025-10-30T09:43:07Z</dcterms:modified>
  <dc:title>竞争性谈判文件</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304666146FEA4C86AFFCB5BF6A6725FD_13</vt:lpwstr>
  </property>
  <property fmtid="{D5CDD505-2E9C-101B-9397-08002B2CF9AE}" pid="4" name="KSOTemplateDocerSaveRecord">
    <vt:lpwstr>eyJoZGlkIjoiZTM2YjM0MGQyYmFjZGQ0MjhmMDRjZTNhMjdhMDY5MGYiLCJ1c2VySWQiOiIyNTgzNjQ1NzAifQ==</vt:lpwstr>
  </property>
</Properties>
</file>