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2025年度团体补充医疗保险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color w:val="000000" w:themeColor="text1"/>
          <w:spacing w:val="0"/>
          <w:w w:val="100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w w:val="1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chemeClr w14:val="tx1"/>
            </w14:solidFill>
          </w14:textFill>
        </w:rPr>
        <w:t>竞争性磋商文件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73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2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753"/>
          <w:tab w:val="left" w:pos="1507"/>
        </w:tabs>
        <w:kinsoku/>
        <w:wordWrap/>
        <w:overflowPunct/>
        <w:topLinePunct w:val="0"/>
        <w:bidi w:val="0"/>
        <w:spacing w:before="0" w:after="0"/>
        <w:ind w:left="0" w:leftChars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购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重庆市船舶检验中心有限公司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364" w:lineRule="auto"/>
        <w:ind w:left="0" w:leftChars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二○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二五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pacing w:val="0"/>
          <w:w w:val="100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364" w:lineRule="auto"/>
        <w:ind w:left="0" w:leftChars="0" w:right="0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pacing w:val="0"/>
          <w:w w:val="100"/>
          <w:sz w:val="30"/>
          <w14:textFill>
            <w14:solidFill>
              <w14:schemeClr w14:val="tx1"/>
            </w14:solidFill>
          </w14:textFill>
        </w:rPr>
        <w:sectPr>
          <w:pgSz w:w="11910" w:h="16840"/>
          <w:pgMar w:top="1200" w:right="917" w:bottom="280" w:left="1320" w:header="720" w:footer="720" w:gutter="0"/>
          <w:pgNumType w:fmt="decimal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tabs>
          <w:tab w:val="left" w:pos="1106"/>
        </w:tabs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106"/>
        </w:tabs>
        <w:kinsoku/>
        <w:wordWrap/>
        <w:overflowPunct/>
        <w:topLinePunct w:val="0"/>
        <w:bidi w:val="0"/>
        <w:spacing w:before="0" w:after="0"/>
        <w:ind w:left="0" w:leftChars="0" w:right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  <w:t>录</w:t>
      </w:r>
    </w:p>
    <w:sdt>
      <w:sdtPr>
        <w:rPr>
          <w:rFonts w:hint="eastAsia" w:ascii="方正仿宋_GBK" w:hAnsi="方正仿宋_GBK" w:eastAsia="方正仿宋_GBK" w:cs="方正仿宋_GBK"/>
          <w:bCs w:val="0"/>
          <w:color w:val="000000" w:themeColor="text1"/>
          <w:spacing w:val="0"/>
          <w:w w:val="10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id w:val="147456147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sdtEndPr>
      <w:sdtContent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673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after="0" w:line="480" w:lineRule="auto"/>
            <w:ind w:left="0" w:leftChars="0" w:right="0"/>
            <w:textAlignment w:val="auto"/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673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after="0" w:line="480" w:lineRule="auto"/>
            <w:ind w:left="0" w:leftChars="0" w:right="0"/>
            <w:textAlignment w:val="auto"/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instrText xml:space="preserve">TOC \o "1-1" \h \u </w:instrTex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_Toc4801 </w:instrTex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t>第一章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磋商邀请函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_Toc4801 \h </w:instrTex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673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after="0" w:line="480" w:lineRule="auto"/>
            <w:ind w:left="0" w:leftChars="0" w:right="0"/>
            <w:textAlignment w:val="auto"/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_Toc29178 </w:instrTex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t>第二章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 xml:space="preserve"> 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报价人须知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673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after="0" w:line="480" w:lineRule="auto"/>
            <w:ind w:left="0" w:leftChars="0" w:right="0"/>
            <w:textAlignment w:val="auto"/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_Toc15512 </w:instrTex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第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三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章 评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分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标准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673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after="0" w:line="480" w:lineRule="auto"/>
            <w:ind w:left="0" w:leftChars="0" w:right="0"/>
            <w:textAlignment w:val="auto"/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instrText xml:space="preserve"> HYPERLINK \l _Toc1359 </w:instrTex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t>第四章 磋商文件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格式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instrText xml:space="preserve"> PAGEREF _Toc1359 \h </w:instrTex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t>10</w:t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9673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after="0" w:line="480" w:lineRule="auto"/>
            <w:ind w:left="0" w:leftChars="0" w:right="0"/>
            <w:textAlignment w:val="auto"/>
            <w:rPr>
              <w:rFonts w:hint="eastAsia" w:ascii="宋体" w:hAnsi="宋体" w:eastAsia="宋体" w:cs="宋体"/>
              <w:b/>
              <w:bCs/>
              <w:color w:val="000000" w:themeColor="text1"/>
              <w:spacing w:val="0"/>
              <w:w w:val="100"/>
              <w:sz w:val="32"/>
              <w:szCs w:val="32"/>
              <w:lang w:val="zh-CN" w:eastAsia="zh-CN" w:bidi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方正仿宋_GBK" w:hAnsi="方正仿宋_GBK" w:eastAsia="方正仿宋_GBK" w:cs="方正仿宋_GBK"/>
              <w:bCs w:val="0"/>
              <w:color w:val="000000" w:themeColor="text1"/>
              <w:spacing w:val="0"/>
              <w:w w:val="100"/>
              <w:sz w:val="32"/>
              <w:szCs w:val="32"/>
              <w:lang w:val="zh-CN" w:eastAsia="zh-CN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sectPr>
          <w:headerReference r:id="rId3" w:type="default"/>
          <w:pgSz w:w="11910" w:h="16840"/>
          <w:pgMar w:top="1220" w:right="917" w:bottom="280" w:left="1320" w:header="990" w:footer="0" w:gutter="0"/>
          <w:pgNumType w:fmt="decimal"/>
          <w:cols w:space="720" w:num="1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  <w:bookmarkStart w:id="0" w:name="_Toc4801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w w:val="100"/>
          <w:sz w:val="44"/>
          <w:szCs w:val="44"/>
          <w:lang w:val="zh-CN" w:eastAsia="zh-CN" w:bidi="zh-CN"/>
          <w14:textFill>
            <w14:solidFill>
              <w14:schemeClr w14:val="tx1"/>
            </w14:solidFill>
          </w14:textFill>
        </w:rPr>
        <w:t>第一章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w w:val="100"/>
          <w:sz w:val="44"/>
          <w:szCs w:val="44"/>
          <w:lang w:val="en-US" w:eastAsia="zh-CN" w:bidi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  <w:t>磋商邀请函</w:t>
      </w:r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bidi w:val="0"/>
        <w:adjustRightInd/>
        <w:spacing w:before="0" w:after="0" w:line="579" w:lineRule="exact"/>
        <w:ind w:left="0" w:leftChars="0" w:right="0" w:rightChars="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1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重庆市船舶检验中心有限公司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（以下简称公司）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拟对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员工团体补充医疗保险服务项目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组织竞争性磋商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迎有资质、符合条件的单位参与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。有关事项如下：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一、项目情况及要求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重庆市船舶检验中心有限公司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员工团体补充医疗保险服务项目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2.服务对象：公司在职及退休员工，共计128人。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年龄结构：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-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-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-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-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60以上退休人员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3.服务期：从2025年10月16日至2026年10月15日【本期保障时长为12个月】。从合同签订之日起1年止，在不改变服务内容的情况下可根据服务质量满意度进行评价“签一续一”。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）项目要求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1.最高限价：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230400.00元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贰拾叁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肆佰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，含税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）。报价高于最高限价，则报价无效，不参与评选。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2.采购需求：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重庆市船舶检验中心有限公司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在职员工及退休员工采购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补充医疗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保险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包括承保、理赔及其他售后服务等全部内容，具体保障需求如下：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0"/>
        <w:tblW w:w="96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1"/>
        <w:gridCol w:w="5967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员工福利保障方案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保险责任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意外身故保障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因意外身故，给付意外身故保险金金额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意外残疾保障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因意外残疾，按残疾程度比例或烧烫伤比例给付残疾保险金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意外伤害医疗保障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因意外伤害就医，符合基本医疗范围内的合理医疗费用，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年免赔额 0元，剩余部分按100%赔付实际费用。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理赔金额超过5万元以上部分，报销范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涵盖社保范围内费用及社保范围外所有自费费用（含甲乙丙类）按照0免赔100%赔付，限额10万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意外伤害津贴保障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无免赔，上限 180 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航空意外伤害保障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因航空意外事故导致的身故一次性赔付 100万元，导致的残疾按残疾比例表进行赔付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门、急诊医疗保障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符合基本医疗保险范围的合理医疗费用，年免赔100元，按90%赔付(含既往症)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门诊基金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含药房购药报销、私立医院、牙科医院（洗牙、美牙等）、体检均可报销(此项保险责任必须全额开具保险费发票，不接受收据等形式)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补充住院医疗保障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住院医疗费用，经医保报销后的剩余部分，其中符合医保报销范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的医疗费用按 100%比例报销，医保范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外的医疗费用按 50%比例报销(含特病门诊、含既往症)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重大疾病保障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初次确诊罹患保险协议合同约定的125种重大疾病-重症，一次性赔付。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  <w:t>初次确诊罹患保险协议合同约定的50种重大疾病-轻症，一次性赔付。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重大疾病住院津贴保障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无免赔天数，最高 180 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200元/天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疾病身故/全残保障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疾病身故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疾病全残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百万医疗（住院）</w:t>
            </w:r>
          </w:p>
        </w:tc>
        <w:tc>
          <w:tcPr>
            <w:tcW w:w="5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员工在保障年度内罹患重大疾病，社保个人账户支付的金额和在其他商业保险（补充医疗住院）已报销部分合计超过5万元，即可启用百万医疗。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百万医疗报销范围涵盖社保范围内费用及社保范围外所有自费费用（含甲乙丙类）按0免赔，100%比例全额报销（不含既往症）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100万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备注：以上投标方案参选人需全部响应，不得更改、删除。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应选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人资格要求</w:t>
      </w:r>
    </w:p>
    <w:p>
      <w:pPr>
        <w:keepNext w:val="0"/>
        <w:keepLines w:val="0"/>
        <w:pageBreakBefore w:val="0"/>
        <w:widowControl w:val="0"/>
        <w:tabs>
          <w:tab w:val="left" w:pos="3315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79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本次采购确保三家及以上满足供应商资格要求的供应商参与竞争性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磋商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。供应商应满足下列两种条件,否则将失去成为成交供应商资格：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楷体_GBK" w:hAnsi="方正楷体_GBK" w:eastAsia="方正楷体_GBK" w:cs="方正楷体_GBK"/>
          <w:bCs w:val="0"/>
          <w:color w:val="auto"/>
          <w:sz w:val="32"/>
          <w:szCs w:val="32"/>
          <w:lang w:val="en-US" w:eastAsia="zh-CN"/>
        </w:rPr>
      </w:pPr>
      <w:bookmarkStart w:id="1" w:name="_Toc477187757"/>
      <w:bookmarkStart w:id="2" w:name="_Toc477450745"/>
      <w:bookmarkStart w:id="3" w:name="_Toc478234251"/>
      <w:r>
        <w:rPr>
          <w:rFonts w:hint="eastAsia" w:ascii="方正楷体_GBK" w:hAnsi="方正楷体_GBK" w:eastAsia="方正楷体_GBK" w:cs="方正楷体_GBK"/>
          <w:bCs w:val="0"/>
          <w:color w:val="auto"/>
          <w:sz w:val="32"/>
          <w:szCs w:val="32"/>
          <w:lang w:val="en-US" w:eastAsia="zh-CN"/>
        </w:rPr>
        <w:t>（一）基本资格条件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1.具有独立承担民事责任的能力；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2.具有良好的商业信誉和健全的财务会计制度；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3.具有履行合同所必需的材料资源、售后保障等能力；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4.参加本次磋商活动近三年内，在经营活动中没有重大违法记录。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楷体_GBK" w:hAnsi="方正楷体_GBK" w:eastAsia="方正楷体_GBK" w:cs="方正楷体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 w:val="0"/>
          <w:color w:val="auto"/>
          <w:sz w:val="32"/>
          <w:szCs w:val="32"/>
          <w:lang w:val="en-US" w:eastAsia="zh-CN"/>
        </w:rPr>
        <w:t>（二）特定资格条件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1.具有</w:t>
      </w:r>
      <w:bookmarkStart w:id="23" w:name="_GoBack"/>
      <w:bookmarkEnd w:id="23"/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国家金融监督管理总局颁布的《保险经营业务许可证》；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2.具有从事保险服务资格，并具有专业的知识、团队资源，以及丰富的开展补充医疗保险服务的相关经验；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/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 w:val="0"/>
          <w:color w:val="auto"/>
          <w:sz w:val="32"/>
          <w:szCs w:val="32"/>
          <w:lang w:val="en-US" w:eastAsia="zh-CN"/>
        </w:rPr>
        <w:t>3.需配备充足、稳定、高素质的项目经理和专业团队，并在合同期内保持相对稳定，确保能够提供专业、高效的保险理赔服务。</w:t>
      </w:r>
    </w:p>
    <w:bookmarkEnd w:id="1"/>
    <w:bookmarkEnd w:id="2"/>
    <w:bookmarkEnd w:id="3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、报价截止时间、磋商时间及地点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递交报价文件时间：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09:30~10:00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报价截止时间：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10: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00；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3.磋商时间：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日上午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10: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00；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4.磋商地点：重庆市江北区绿地保税中心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1期7栋26楼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5.中标结果请查询：https://jtj.cq.gov.cn/。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四、采购人联系方式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1.联系人：张女士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.联系电话：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88162128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640" w:firstLineChars="200"/>
        <w:textAlignment w:val="auto"/>
        <w:rPr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.地址：重庆市江北区绿地保税中心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1期7栋26楼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4480" w:firstLineChars="14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重庆市船舶检验中心有限公司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79" w:lineRule="exact"/>
        <w:ind w:left="0" w:leftChars="0" w:right="0" w:firstLine="5760" w:firstLineChars="18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2025年9月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1910" w:h="16840"/>
          <w:pgMar w:top="1200" w:right="917" w:bottom="1680" w:left="1320" w:header="990" w:footer="1482" w:gutter="0"/>
          <w:pgNumType w:fmt="decimal" w:start="1"/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0"/>
          <w:w w:val="100"/>
          <w:sz w:val="44"/>
          <w14:textFill>
            <w14:solidFill>
              <w14:schemeClr w14:val="tx1"/>
            </w14:solidFill>
          </w14:textFill>
        </w:rPr>
      </w:pPr>
      <w:bookmarkStart w:id="4" w:name="_Toc29178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0"/>
          <w:w w:val="100"/>
          <w:sz w:val="44"/>
          <w:szCs w:val="22"/>
          <w:lang w:val="zh-CN" w:eastAsia="zh-CN" w:bidi="zh-CN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0"/>
          <w:w w:val="100"/>
          <w:sz w:val="44"/>
          <w:szCs w:val="22"/>
          <w:lang w:val="en-US" w:eastAsia="zh-CN" w:bidi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pacing w:val="0"/>
          <w:w w:val="100"/>
          <w:sz w:val="44"/>
          <w14:textFill>
            <w14:solidFill>
              <w14:schemeClr w14:val="tx1"/>
            </w14:solidFill>
          </w14:textFill>
        </w:rPr>
        <w:t>报价人须知</w:t>
      </w:r>
      <w:bookmarkEnd w:id="4"/>
    </w:p>
    <w:tbl>
      <w:tblPr>
        <w:tblStyle w:val="10"/>
        <w:tblpPr w:leftFromText="180" w:rightFromText="180" w:vertAnchor="text" w:horzAnchor="page" w:tblpX="948" w:tblpY="663"/>
        <w:tblOverlap w:val="never"/>
        <w:tblW w:w="9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5"/>
        <w:gridCol w:w="1892"/>
        <w:gridCol w:w="6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pacing w:val="0"/>
                <w:w w:val="10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条款号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条款名称</w:t>
            </w:r>
          </w:p>
        </w:tc>
        <w:tc>
          <w:tcPr>
            <w:tcW w:w="69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</w:rPr>
              <w:t>内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5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采购人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highlight w:val="none"/>
                <w:lang w:val="en-US" w:eastAsia="zh-CN"/>
              </w:rPr>
            </w:pPr>
            <w:bookmarkStart w:id="5" w:name="_Toc477450749"/>
            <w:bookmarkStart w:id="6" w:name="_Toc477187761"/>
            <w:bookmarkStart w:id="7" w:name="_Toc478234255"/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highlight w:val="none"/>
                <w:lang w:val="en-US" w:eastAsia="zh-CN"/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highlight w:val="none"/>
              </w:rPr>
              <w:t>人：</w:t>
            </w:r>
            <w:bookmarkEnd w:id="5"/>
            <w:bookmarkEnd w:id="6"/>
            <w:bookmarkEnd w:id="7"/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highlight w:val="none"/>
                <w:lang w:val="en-US" w:eastAsia="zh-CN"/>
              </w:rPr>
              <w:t>重庆市船舶检验中心有限公司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highlight w:val="none"/>
                <w:lang w:val="en-US" w:eastAsia="zh-CN"/>
              </w:rPr>
            </w:pPr>
            <w:bookmarkStart w:id="8" w:name="_Toc478234256"/>
            <w:bookmarkStart w:id="9" w:name="_Toc477450750"/>
            <w:bookmarkStart w:id="10" w:name="_Toc477187762"/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highlight w:val="none"/>
              </w:rPr>
              <w:t>地址：</w:t>
            </w:r>
            <w:bookmarkEnd w:id="8"/>
            <w:bookmarkEnd w:id="9"/>
            <w:bookmarkEnd w:id="1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0"/>
                <w:w w:val="100"/>
                <w:sz w:val="30"/>
                <w:szCs w:val="3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重庆市江北区绿地保税中心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0"/>
                <w:w w:val="100"/>
                <w:sz w:val="30"/>
                <w:szCs w:val="3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1期7栋26楼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项目名称</w:t>
            </w:r>
          </w:p>
        </w:tc>
        <w:tc>
          <w:tcPr>
            <w:tcW w:w="69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重庆市船舶检验中心有限公司员工团体补充医疗保险服务项目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标的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在职及退休员工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6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最高限价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最高限价为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¥230400.00元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（大写：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贰拾叁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零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肆佰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元整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，含税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超过最高限价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无效竞价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5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参选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人资质条件、能力和信誉要求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1.具有独立承担民事责任的能力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（因保险公司特殊性，可由保险公司分支机构参与磋商，需提供分支机构营业执照）；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2.具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健全的财务会计制度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良好的商业信誉；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3.具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履行合同所必需的专业技术能力；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具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有依法纳税和社会保障资金的良好记录；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年内在经营活动中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未出现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重大违法记录；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6.法律、行政法规规定的其他条件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.供应商具有中华人民共和国经营保险业务许可证（复印件）。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1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8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磋商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文件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 w:val="0"/>
                <w:sz w:val="30"/>
                <w:szCs w:val="30"/>
              </w:rPr>
            </w:pPr>
            <w:bookmarkStart w:id="11" w:name="_Toc478234264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递交时间</w:t>
            </w:r>
            <w:bookmarkEnd w:id="11"/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  <w:t>0前（北京时间）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1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磋商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文件递交地点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及方式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递交地点：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0"/>
                <w:w w:val="100"/>
                <w:sz w:val="30"/>
                <w:szCs w:val="30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重庆市江北区绿地保税中心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0"/>
                <w:w w:val="100"/>
                <w:sz w:val="30"/>
                <w:szCs w:val="30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1期7栋26楼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递交方式：现场递交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eastAsia="zh-CN"/>
              </w:rPr>
              <w:t>参选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文件数量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300" w:firstLineChars="10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bookmarkStart w:id="12" w:name="_Toc477450765"/>
            <w:bookmarkStart w:id="13" w:name="_Toc477187777"/>
            <w:bookmarkStart w:id="14" w:name="_Toc478234266"/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正本1份</w:t>
            </w:r>
            <w:bookmarkEnd w:id="12"/>
            <w:bookmarkEnd w:id="13"/>
            <w:bookmarkEnd w:id="14"/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副本2份（副本为正本完整扫描件）。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07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磋商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内容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100" w:firstLine="0" w:firstLineChars="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color w:val="auto"/>
                <w:kern w:val="0"/>
                <w:position w:val="-6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6"/>
                <w:sz w:val="30"/>
                <w:szCs w:val="30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position w:val="-6"/>
                <w:sz w:val="30"/>
                <w:szCs w:val="30"/>
                <w:lang w:val="en-US" w:eastAsia="zh-CN" w:bidi="ar-SA"/>
              </w:rPr>
              <w:t>.报价函（格式详见附件）；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100" w:firstLine="0" w:firstLineChars="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color w:val="auto"/>
                <w:kern w:val="0"/>
                <w:position w:val="-6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position w:val="-6"/>
                <w:sz w:val="30"/>
                <w:szCs w:val="30"/>
                <w:lang w:val="en-US" w:eastAsia="zh-CN" w:bidi="ar-SA"/>
              </w:rPr>
              <w:t>2.单位资质、营业执照复印件；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10" w:leftChars="10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position w:val="-6"/>
                <w:sz w:val="30"/>
                <w:szCs w:val="30"/>
                <w:lang w:val="en-US" w:eastAsia="zh-CN" w:bidi="ar-SA"/>
              </w:rPr>
              <w:t>3.评分标准要求的各类证明材料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  <w:t>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10" w:leftChars="10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每份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文件须盖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章，整本申请文件还需加盖骑缝章。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2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8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磋商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密封</w:t>
            </w:r>
          </w:p>
        </w:tc>
        <w:tc>
          <w:tcPr>
            <w:tcW w:w="6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leftChars="100" w:firstLine="0" w:firstLineChars="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bookmarkStart w:id="15" w:name="_Toc478234277"/>
            <w:bookmarkStart w:id="16" w:name="_Toc477187783"/>
            <w:bookmarkStart w:id="17" w:name="_Toc477450771"/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  <w:lang w:val="en-US" w:eastAsia="zh-CN"/>
              </w:rPr>
              <w:t>参选</w:t>
            </w:r>
            <w:r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  <w:t>文件装订成册装入大袋中密封，密封套上写明如下内容：</w:t>
            </w:r>
            <w:bookmarkEnd w:id="15"/>
            <w:bookmarkStart w:id="18" w:name="_Toc478234279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leftChars="100" w:firstLine="0" w:firstLineChars="0"/>
              <w:jc w:val="both"/>
              <w:textAlignment w:val="auto"/>
              <w:outlineLvl w:val="1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参选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人：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参选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人名称（加盖公章）</w:t>
            </w:r>
            <w:bookmarkEnd w:id="18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460" w:lineRule="exact"/>
              <w:ind w:leftChars="10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Cs/>
                <w:sz w:val="30"/>
                <w:szCs w:val="30"/>
              </w:rPr>
            </w:pPr>
            <w:bookmarkStart w:id="19" w:name="_Toc478234280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项目名称：</w:t>
            </w:r>
            <w:bookmarkEnd w:id="16"/>
            <w:bookmarkEnd w:id="17"/>
            <w:bookmarkEnd w:id="19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重庆市船舶检验中心有限公司员工团体补充医疗保险服务项目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20" w:name="_Toc478234292"/>
    </w:p>
    <w:p>
      <w:pPr>
        <w:pStyle w:val="13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br w:type="page"/>
      </w:r>
    </w:p>
    <w:bookmarkEnd w:id="2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594" w:lineRule="exact"/>
        <w:ind w:right="6" w:firstLine="0" w:firstLineChars="0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sz w:val="40"/>
          <w:szCs w:val="40"/>
        </w:rPr>
      </w:pPr>
      <w:bookmarkStart w:id="21" w:name="_Toc1551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章  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标准</w:t>
      </w:r>
      <w:bookmarkEnd w:id="21"/>
    </w:p>
    <w:tbl>
      <w:tblPr>
        <w:tblStyle w:val="10"/>
        <w:tblW w:w="5379" w:type="pct"/>
        <w:tblInd w:w="-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70"/>
        <w:gridCol w:w="719"/>
        <w:gridCol w:w="785"/>
        <w:gridCol w:w="4511"/>
        <w:gridCol w:w="2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position w:val="-6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position w:val="-6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position w:val="-6"/>
                <w:sz w:val="30"/>
                <w:szCs w:val="30"/>
                <w:u w:val="none"/>
                <w:lang w:val="en-US" w:eastAsia="zh-CN" w:bidi="ar"/>
              </w:rPr>
              <w:t>评分因素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position w:val="-6"/>
                <w:sz w:val="30"/>
                <w:szCs w:val="30"/>
                <w:u w:val="none"/>
                <w:lang w:val="en-US" w:eastAsia="zh-CN" w:bidi="ar"/>
              </w:rPr>
              <w:t>及权重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position w:val="-6"/>
                <w:sz w:val="30"/>
                <w:szCs w:val="30"/>
                <w:u w:val="none"/>
                <w:lang w:val="en-US" w:eastAsia="zh-CN" w:bidi="ar"/>
              </w:rPr>
              <w:t>分值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position w:val="-6"/>
                <w:sz w:val="30"/>
                <w:szCs w:val="30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position w:val="-6"/>
                <w:sz w:val="30"/>
                <w:szCs w:val="30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以有效报价中的最低价为评标基准价，供应商报价与评标基准价相比，每增加1%扣1分，扣完为止。计算取小数点后两位，第三位四舍五入。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50%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组织保障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供应商需成立确保本方案实施的领导小组及相关团队，且成员分工明确。方案优秀得10分，良好得7分，一般得4分，差或者没有提供不得分。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根据磋商文件的方案评分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承保服务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供应商提供承保服务承诺、服务时效承诺、建立便捷的服务机制等。方案优秀得10分，良好得7分，一般得4分，差或者没有提供不得分。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position w:val="-6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根据磋商文件的方案评分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理赔服务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供应商提供探视服务承诺、简化理赔流程承诺、主动理赔承诺、赔偿时效承诺和预付赔款承诺等。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 xml:space="preserve"> 方案详实，贴切实际、实用性强为优，得20分；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 xml:space="preserve"> 方案较详实，较贴切实际、实用性较强为良，得15分；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 xml:space="preserve"> 方案一般详实，一般贴切实际、实用性一般为一般，得10分；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 xml:space="preserve"> 方案与本项目无关，不贴切实际，无实用性或未提供为差，得0分。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根据磋商文件的方案评分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增值服务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position w:val="-6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根据供应商提供的增值服务方案，增值服务有效详实，贴切实际、实用性强得10分；增值服务有效详实，贴切实际、实用性较强得8分；增值服务有效详实，贴切实际、实用性一般的得5分；特色服务与本项目无关，不贴切实际，无实用性、创新性或未提供不得分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根据磋商文件的方案评分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商务部分20%</w:t>
            </w: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偿付能力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2024年末综合偿付能力充足率250%(含)以上得10分，200%(含)至250%的得7分，150%(含)至200%的得4分，150%(含)以下不得分。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提供中国保险行业协会上公布的供应商总公司2024年第四季度偿付能力摘要截图（含有偿付能力充足率数据页）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7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监管处罚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2023年1月1日至本项目采购公告发布之日期间，磋商人在重庆市范围内,包括市级分公司及其下辖各级机构（分公司、中心支公司、支公司、营销服务部、营业部等）受重庆市金融监管局处罚进行评分。有监管处罚的，按处罚次数扣分，有一个处罚扣1分，最高扣6分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以国家金融监管总局重庆监管局网站上公布的2023年1月1日至本项目采购公告发布之日期间行政处罚为依据。投标人须提供国家金融监管总局重庆监管局网站截图、注明受到监管处罚的次数，并加盖投标人公章。（投标人若未受重庆金融监管局处罚，提供承诺函，格式自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服务经验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自2023年1月1日起，供应商服务团体补充医疗保险的经验，供应商具有参保人员1000人以上的团体补充医疗保险项目，每提供一个得2分，本项最多得4分。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position w:val="-6"/>
                <w:sz w:val="24"/>
                <w:szCs w:val="24"/>
                <w:u w:val="none"/>
                <w:lang w:val="en-US" w:eastAsia="zh-CN" w:bidi="ar"/>
              </w:rPr>
              <w:t>提供供应商承办合同/协议或保单复印件等证明材料，加盖供应商公章。同一家单位的多个补充医疗保险合同算一个业绩。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</w:pPr>
      <w:bookmarkStart w:id="22" w:name="_Toc1359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第四章 磋商文件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格式</w:t>
      </w:r>
      <w:bookmarkEnd w:id="22"/>
    </w:p>
    <w:p>
      <w:pPr>
        <w:pStyle w:val="13"/>
        <w:spacing w:line="594" w:lineRule="exact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一、报价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、服务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、商务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、资格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（一）营业执照（副本）复印件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（二）法定代表人或分支机构负责人身份证明书（格式）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（三）法定代表人或分支机构负责人授权委托书（格式）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lang w:val="en-US" w:eastAsia="zh-CN"/>
        </w:rPr>
        <w:t>行业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资格条件证书或证明文件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280" w:firstLine="0" w:firstLineChars="0"/>
        <w:contextualSpacing w:val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13"/>
        <w:spacing w:line="594" w:lineRule="exact"/>
        <w:rPr>
          <w:rFonts w:hint="eastAsia" w:asciiTheme="minorEastAsia" w:hAnsiTheme="minorEastAsia" w:eastAsiaTheme="minorEastAsia" w:cstheme="minorEastAsia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一、报价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  <w:t>竞争性磋商报价函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重庆市船舶检验中心有限公司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79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 xml:space="preserve"> 我方已仔细研究了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重庆市船舶检验中心有限公司员工团体补充医疗保险服务项目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磋商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文件的全部内容，我方总报价为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/年（大写:                ），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服务期为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</w:rPr>
        <w:t>年期限，起止时间具体以合同签订时间为准。保险合同为一年一签，保费为一年一缴，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在服务期限内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人有权对项目明细进行适当调整或依规终止合同关系。我方愿承担并完成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磋商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文件及合同中要求的工作，并以优质的服务在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人规定的时期内完成全部工作，在工作过程中，接受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采购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人的监督、指导，对项目资料严格保密。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2100" w:leftChars="10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lang w:eastAsia="zh-CN"/>
        </w:rPr>
        <w:t>参选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</w:rPr>
        <w:t xml:space="preserve"> （填写单位名称并盖单位鲜章）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2100" w:leftChars="1000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 xml:space="preserve">法定代表人或者委托代理人：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（签字）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598" w:leftChars="285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rFonts w:ascii="宋体" w:hAnsi="宋体"/>
          <w:b/>
          <w:bCs/>
          <w:color w:val="auto"/>
          <w:kern w:val="0"/>
          <w:szCs w:val="21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left="1124" w:hanging="1124" w:hangingChars="400"/>
        <w:textAlignment w:val="auto"/>
        <w:rPr>
          <w:rFonts w:hint="eastAsia" w:ascii="宋体" w:hAnsi="宋体"/>
          <w:b w:val="0"/>
          <w:bCs w:val="0"/>
          <w:color w:val="auto"/>
          <w:kern w:val="0"/>
          <w:sz w:val="28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2"/>
          <w:highlight w:val="none"/>
        </w:rPr>
        <w:t>附件一：</w:t>
      </w:r>
      <w:r>
        <w:rPr>
          <w:rFonts w:hint="eastAsia" w:ascii="宋体" w:hAnsi="宋体"/>
          <w:b w:val="0"/>
          <w:bCs w:val="0"/>
          <w:color w:val="auto"/>
          <w:kern w:val="0"/>
          <w:sz w:val="28"/>
          <w:szCs w:val="22"/>
          <w:highlight w:val="none"/>
          <w:lang w:val="en-US" w:eastAsia="zh-CN"/>
        </w:rPr>
        <w:t>重庆市船舶检验中心有限公司员工团体补充医疗保险服务项目</w:t>
      </w:r>
      <w:r>
        <w:rPr>
          <w:rFonts w:hint="eastAsia" w:ascii="宋体" w:hAnsi="宋体"/>
          <w:b w:val="0"/>
          <w:bCs w:val="0"/>
          <w:color w:val="auto"/>
          <w:kern w:val="0"/>
          <w:sz w:val="28"/>
          <w:szCs w:val="22"/>
          <w:highlight w:val="none"/>
        </w:rPr>
        <w:t>明细及报价表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1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u w:val="singl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二、服务部分资料（自拟）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（示例略）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三、商务部分资料（自拟）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（示例略）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四、资格条件资料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（一）营业执照（副本）复印件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（示例略）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0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（二）法定代表人或分支机构负责人身份证明书（格式）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  <w:t>法定代表人或分支机构负责人身份证明书</w:t>
      </w:r>
    </w:p>
    <w:p>
      <w:pPr>
        <w:keepNext w:val="0"/>
        <w:keepLines w:val="0"/>
        <w:pageBreakBefore w:val="0"/>
        <w:widowControl/>
        <w:tabs>
          <w:tab w:val="left" w:pos="556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2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2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重庆市船舶检验中心有限公司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right="0" w:rightChars="0" w:firstLine="7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姓名：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lang w:val="en-US" w:eastAsia="zh-CN"/>
        </w:rPr>
        <w:t>身份证件号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lang w:eastAsia="zh-CN"/>
        </w:rPr>
        <w:t>参选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人名称）的法定代表人或负责人。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669" w:firstLineChars="186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1389" w:firstLineChars="386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21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lang w:eastAsia="zh-CN"/>
        </w:rPr>
        <w:t>参选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全称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/>
        <w:tabs>
          <w:tab w:val="left" w:pos="4935"/>
          <w:tab w:val="left" w:pos="5460"/>
          <w:tab w:val="left" w:pos="64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378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position w:val="-6"/>
          <w:sz w:val="32"/>
          <w:szCs w:val="32"/>
          <w:lang w:val="en-US" w:eastAsia="zh-CN" w:bidi="ar-SA"/>
        </w:rPr>
        <w:t>（三）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法定代表人或分支机构负责人授权委托书（格式）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sz w:val="32"/>
          <w:szCs w:val="32"/>
        </w:rPr>
        <w:t>法定代表人或分支机构负责人授权委托书（格式）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0"/>
          <w:szCs w:val="30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重庆市船舶检验中心有限公司：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>（法定代表人/分支机构负责人姓名）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eastAsia="zh-CN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</w:rPr>
        <w:t>人）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的法定代表人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分支机构负责人，特授权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（被授权人姓名及身份证代码）代表我单位全权办理上述项目的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参选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、谈判、签约等具体工作，并签署全部有关文件、协议及合同。</w:t>
      </w: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我单位对被授权人的签署负全部责任。</w:t>
      </w: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在撤销授权的书面通知以前，本授权书一直有效。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adjustRightInd/>
        <w:snapToGrid w:val="0"/>
        <w:spacing w:line="579" w:lineRule="exact"/>
        <w:ind w:firstLine="57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adjustRightInd/>
        <w:snapToGrid w:val="0"/>
        <w:spacing w:line="579" w:lineRule="exact"/>
        <w:ind w:firstLine="57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 xml:space="preserve">被授权人：  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lang w:eastAsia="zh-CN"/>
        </w:rPr>
        <w:t>应选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人法定代表人或分支机构负责人：</w:t>
      </w: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（签署或盖章）             （签署或盖章）</w:t>
      </w: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（附：被授权人身份证正反面复印件）</w:t>
      </w: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adjustRightInd/>
        <w:snapToGrid w:val="0"/>
        <w:spacing w:line="579" w:lineRule="exact"/>
        <w:ind w:right="48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adjustRightInd/>
        <w:snapToGrid w:val="0"/>
        <w:spacing w:line="579" w:lineRule="exact"/>
        <w:ind w:right="480" w:firstLine="57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72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  <w:lang w:eastAsia="zh-CN"/>
        </w:rPr>
        <w:t>应选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人公章）</w:t>
      </w:r>
    </w:p>
    <w:p>
      <w:pPr>
        <w:keepNext w:val="0"/>
        <w:keepLines w:val="0"/>
        <w:pageBreakBefore w:val="0"/>
        <w:widowControl/>
        <w:tabs>
          <w:tab w:val="left" w:pos="1580"/>
          <w:tab w:val="left" w:pos="3260"/>
          <w:tab w:val="left" w:pos="4840"/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left="0" w:leftChars="0" w:right="0" w:rightChars="0" w:firstLine="720" w:firstLineChars="20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pacing w:val="2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（四）特定资格条件证书或证明文件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（示例略）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644" w:right="1446" w:bottom="1644" w:left="1446" w:header="454" w:footer="567" w:gutter="0"/>
          <w:pgNumType w:fmt="decimal"/>
          <w:cols w:space="720" w:num="1"/>
          <w:docGrid w:linePitch="435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position w:val="-6"/>
          <w:sz w:val="32"/>
          <w:szCs w:val="32"/>
          <w:lang w:val="en-US" w:eastAsia="zh-CN" w:bidi="ar-SA"/>
        </w:rPr>
        <w:t>（五）基本资格承诺函（格式）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firstLine="643" w:firstLineChars="20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79" w:lineRule="exact"/>
        <w:ind w:firstLine="643" w:firstLineChars="20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</w:rPr>
        <w:t>基本资格条件承诺函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u w:val="none"/>
          <w:lang w:eastAsia="zh-CN"/>
        </w:rPr>
        <w:t>重庆市船舶检验中心有限公司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应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选人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名称）郑重承诺：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1.我方具有良好的商业信誉和健全的财务会计制度，具有履行合同所必需的设备和专业技术能力，具有依法缴纳税收和社会保障资金的良好记录，参加本项目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竞选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三年内在经营活动中没有重大违法记录。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我方符合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法律、行政法规规定的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参与竞选的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其他条件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我方对以上承诺负全部法律责任。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特此承诺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firstLine="57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（公章）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right="0" w:firstLine="57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headerReference r:id="rId12" w:type="default"/>
      <w:footerReference r:id="rId1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6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9594215</wp:posOffset>
              </wp:positionV>
              <wp:extent cx="244475" cy="17653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7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755.45pt;height:13.9pt;width:19.2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xh8EtgAAAAJAQAADwAAAAAAAAABACAAAAAiAAAAZHJzL2Rvd25yZXYueG1sUEsB&#10;AhQAFAAAAAgAh07iQBNpF9G8AQAAcg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firstLine="360"/>
                            <w:jc w:val="center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  <w:jc w:val="center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1660" cy="168910"/>
              <wp:effectExtent l="0" t="0" r="0" b="0"/>
              <wp:wrapNone/>
              <wp:docPr id="17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6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3.3pt;width:45.8pt;mso-position-horizontal:center;mso-position-horizontal-relative:margin;z-index:251660288;mso-width-relative:page;mso-height-relative:page;" filled="f" stroked="f" coordsize="21600,21600" o:gfxdata="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1BB670wAAAAMBAAAPAAAAAAAAAAEAIAAAACIAAABkcnMvZG93bnJldi54bWxQSwECFAAUAAAA&#10;CACHTuJA2Y07X7oBAABz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>20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NDFlNWI5OGY4MjQ4MTdlNjFlOWI0ZDY1NzAyMDMifQ=="/>
  </w:docVars>
  <w:rsids>
    <w:rsidRoot w:val="292A3AFB"/>
    <w:rsid w:val="292A3AFB"/>
    <w:rsid w:val="68D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8"/>
      <w:ind w:right="4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1"/>
    </w:pPr>
    <w:rPr>
      <w:rFonts w:ascii="Arial" w:hAnsi="Arial" w:eastAsia="方正黑体_GBK"/>
      <w:bCs/>
      <w:szCs w:val="32"/>
    </w:rPr>
  </w:style>
  <w:style w:type="paragraph" w:styleId="4">
    <w:name w:val="heading 3"/>
    <w:basedOn w:val="1"/>
    <w:qFormat/>
    <w:uiPriority w:val="1"/>
    <w:pPr>
      <w:ind w:left="624"/>
      <w:outlineLvl w:val="3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正文 A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2025-09-30T02:52:00Z</dcterms:created>
  <dc:creator>哒哒神</dc:creator>
  <cp:lastModifiedBy>jtj</cp:lastModifiedBy>
  <dcterms:modified xsi:type="dcterms:W3CDTF">2025-09-30T06:46:01Z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471510A84021480F8AD6D8B3F6F0CD64_11</vt:lpwstr>
  </property>
  <property fmtid="{D5CDD505-2E9C-101B-9397-08002B2CF9AE}" pid="4" name="KSOTemplateDocerSaveRecord">
    <vt:lpwstr>eyJoZGlkIjoiNDRhMjRkODJiNTU4Yjk5ZjI4MTBiNzcyNDUyNDgxZTQiLCJ1c2VySWQiOiI0NDIzMzUzNDEifQ==</vt:lpwstr>
  </property>
</Properties>
</file>