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rPr>
      </w:pPr>
    </w:p>
    <w:p>
      <w:pPr>
        <w:jc w:val="center"/>
        <w:rPr>
          <w:rFonts w:hint="eastAsia" w:ascii="宋体" w:hAnsi="宋体"/>
          <w:spacing w:val="80"/>
          <w:sz w:val="56"/>
          <w:szCs w:val="56"/>
        </w:rPr>
      </w:pPr>
    </w:p>
    <w:p>
      <w:pPr>
        <w:jc w:val="center"/>
        <w:rPr>
          <w:rFonts w:ascii="宋体"/>
          <w:spacing w:val="80"/>
          <w:sz w:val="112"/>
          <w:szCs w:val="112"/>
        </w:rPr>
      </w:pPr>
      <w:r>
        <w:rPr>
          <w:rFonts w:hint="eastAsia" w:ascii="宋体" w:hAnsi="宋体"/>
          <w:spacing w:val="80"/>
          <w:sz w:val="112"/>
          <w:szCs w:val="112"/>
        </w:rPr>
        <w:t>竞争性磋商文件</w:t>
      </w:r>
    </w:p>
    <w:p>
      <w:pPr>
        <w:spacing w:line="700" w:lineRule="exact"/>
        <w:jc w:val="center"/>
        <w:rPr>
          <w:rFonts w:ascii="宋体"/>
          <w:sz w:val="32"/>
        </w:rPr>
      </w:pPr>
    </w:p>
    <w:p>
      <w:pPr>
        <w:spacing w:line="700" w:lineRule="exact"/>
        <w:jc w:val="center"/>
        <w:rPr>
          <w:rFonts w:ascii="宋体"/>
          <w:sz w:val="32"/>
        </w:rPr>
      </w:pPr>
    </w:p>
    <w:p>
      <w:pPr>
        <w:spacing w:line="700" w:lineRule="exact"/>
        <w:ind w:firstLine="2520" w:firstLineChars="700"/>
        <w:rPr>
          <w:rFonts w:ascii="宋体"/>
          <w:sz w:val="36"/>
          <w:szCs w:val="30"/>
        </w:rPr>
      </w:pPr>
    </w:p>
    <w:p>
      <w:pPr>
        <w:spacing w:line="700" w:lineRule="exact"/>
        <w:ind w:firstLine="1080" w:firstLineChars="300"/>
        <w:rPr>
          <w:rFonts w:ascii="宋体"/>
          <w:sz w:val="36"/>
          <w:szCs w:val="30"/>
        </w:rPr>
      </w:pPr>
    </w:p>
    <w:p>
      <w:pPr>
        <w:spacing w:line="700" w:lineRule="exact"/>
        <w:ind w:left="2988" w:leftChars="400" w:hanging="1868" w:hangingChars="519"/>
        <w:jc w:val="left"/>
        <w:rPr>
          <w:rFonts w:ascii="宋体"/>
          <w:sz w:val="36"/>
          <w:szCs w:val="30"/>
        </w:rPr>
      </w:pPr>
      <w:r>
        <w:rPr>
          <w:rFonts w:hint="eastAsia" w:ascii="宋体"/>
          <w:sz w:val="36"/>
          <w:szCs w:val="30"/>
        </w:rPr>
        <w:t>项目名称：重庆市交通运输委员会审计业务管理综合技术咨询服务项目</w:t>
      </w:r>
    </w:p>
    <w:p>
      <w:pPr>
        <w:spacing w:line="700" w:lineRule="exact"/>
        <w:rPr>
          <w:rFonts w:ascii="宋体"/>
          <w:b/>
          <w:sz w:val="30"/>
          <w:szCs w:val="30"/>
        </w:rPr>
      </w:pPr>
    </w:p>
    <w:p>
      <w:pPr>
        <w:spacing w:line="700" w:lineRule="exact"/>
        <w:ind w:firstLine="1440" w:firstLineChars="400"/>
        <w:rPr>
          <w:rFonts w:hint="eastAsia" w:ascii="宋体" w:hAnsi="宋体"/>
          <w:sz w:val="36"/>
          <w:szCs w:val="30"/>
        </w:rPr>
      </w:pPr>
    </w:p>
    <w:p>
      <w:pPr>
        <w:spacing w:line="700" w:lineRule="exact"/>
        <w:ind w:firstLine="1440" w:firstLineChars="400"/>
        <w:rPr>
          <w:rFonts w:hint="eastAsia" w:ascii="宋体" w:hAnsi="宋体"/>
          <w:sz w:val="36"/>
          <w:szCs w:val="30"/>
        </w:rPr>
      </w:pPr>
    </w:p>
    <w:p>
      <w:pPr>
        <w:spacing w:line="700" w:lineRule="exact"/>
        <w:ind w:firstLine="1440" w:firstLineChars="400"/>
        <w:rPr>
          <w:rFonts w:ascii="宋体"/>
          <w:sz w:val="36"/>
          <w:szCs w:val="30"/>
        </w:rPr>
      </w:pPr>
      <w:r>
        <w:rPr>
          <w:rFonts w:hint="eastAsia" w:ascii="宋体" w:hAnsi="宋体"/>
          <w:sz w:val="36"/>
          <w:szCs w:val="30"/>
        </w:rPr>
        <w:t>采购人：重庆市交通运输委员会</w:t>
      </w:r>
    </w:p>
    <w:p>
      <w:pPr>
        <w:spacing w:line="700" w:lineRule="exact"/>
        <w:ind w:firstLine="1440" w:firstLineChars="400"/>
        <w:rPr>
          <w:rFonts w:ascii="宋体"/>
          <w:sz w:val="36"/>
          <w:szCs w:val="30"/>
        </w:rPr>
      </w:pPr>
      <w:r>
        <w:rPr>
          <w:rFonts w:hint="eastAsia" w:ascii="宋体" w:hAnsi="宋体"/>
          <w:sz w:val="36"/>
          <w:szCs w:val="30"/>
        </w:rPr>
        <w:t>采购代理机构：重庆信科设计有限公司</w:t>
      </w:r>
    </w:p>
    <w:p>
      <w:pPr>
        <w:spacing w:line="700" w:lineRule="exact"/>
        <w:rPr>
          <w:rFonts w:ascii="宋体"/>
          <w:sz w:val="36"/>
          <w:szCs w:val="30"/>
        </w:rPr>
      </w:pPr>
    </w:p>
    <w:p>
      <w:pPr>
        <w:spacing w:line="700" w:lineRule="exact"/>
        <w:rPr>
          <w:rFonts w:ascii="宋体"/>
          <w:sz w:val="36"/>
          <w:szCs w:val="30"/>
        </w:rPr>
      </w:pPr>
    </w:p>
    <w:p>
      <w:pPr>
        <w:spacing w:line="700" w:lineRule="exact"/>
        <w:jc w:val="center"/>
        <w:rPr>
          <w:rFonts w:ascii="宋体"/>
          <w:sz w:val="36"/>
          <w:szCs w:val="30"/>
        </w:rPr>
      </w:pPr>
      <w:r>
        <w:rPr>
          <w:rFonts w:hint="eastAsia" w:ascii="宋体" w:hAnsi="宋体"/>
          <w:sz w:val="36"/>
          <w:szCs w:val="30"/>
        </w:rPr>
        <w:t>二〇二五年九月</w:t>
      </w:r>
    </w:p>
    <w:p>
      <w:pPr>
        <w:spacing w:line="480" w:lineRule="exact"/>
        <w:jc w:val="center"/>
        <w:outlineLvl w:val="0"/>
        <w:rPr>
          <w:rFonts w:ascii="宋体"/>
          <w:sz w:val="44"/>
          <w:szCs w:val="28"/>
        </w:rPr>
        <w:sectPr>
          <w:headerReference r:id="rId4" w:type="first"/>
          <w:headerReference r:id="rId3" w:type="default"/>
          <w:pgSz w:w="11907" w:h="16840"/>
          <w:pgMar w:top="1089" w:right="1021" w:bottom="1134" w:left="964" w:header="851" w:footer="992" w:gutter="0"/>
          <w:pgNumType w:start="1"/>
          <w:cols w:space="720" w:num="1"/>
          <w:titlePg/>
          <w:docGrid w:linePitch="380" w:charSpace="0"/>
        </w:sectPr>
      </w:pPr>
    </w:p>
    <w:p>
      <w:pPr>
        <w:spacing w:before="120" w:beforeLines="50" w:after="120" w:afterLines="50" w:line="440" w:lineRule="exact"/>
        <w:jc w:val="center"/>
        <w:outlineLvl w:val="1"/>
        <w:rPr>
          <w:rFonts w:ascii="宋体"/>
          <w:b/>
          <w:sz w:val="30"/>
          <w:szCs w:val="30"/>
        </w:rPr>
      </w:pPr>
      <w:bookmarkStart w:id="0" w:name="_Toc15340"/>
      <w:bookmarkStart w:id="1" w:name="_Toc8121"/>
      <w:bookmarkStart w:id="2" w:name="_Toc14311"/>
      <w:bookmarkStart w:id="3" w:name="_Toc9386"/>
      <w:bookmarkStart w:id="4" w:name="_Toc32569"/>
      <w:bookmarkStart w:id="5" w:name="_Toc26624"/>
      <w:bookmarkStart w:id="6" w:name="_Toc12789052"/>
      <w:bookmarkStart w:id="7" w:name="_Toc11641050"/>
      <w:bookmarkStart w:id="8" w:name="_Toc486932338"/>
      <w:r>
        <w:rPr>
          <w:rFonts w:hint="eastAsia" w:ascii="宋体" w:hAnsi="宋体"/>
          <w:b/>
          <w:sz w:val="30"/>
          <w:szCs w:val="30"/>
        </w:rPr>
        <w:t>目  录</w:t>
      </w:r>
      <w:bookmarkEnd w:id="0"/>
      <w:bookmarkEnd w:id="1"/>
      <w:bookmarkEnd w:id="2"/>
      <w:bookmarkEnd w:id="3"/>
      <w:bookmarkEnd w:id="4"/>
      <w:bookmarkEnd w:id="5"/>
    </w:p>
    <w:p>
      <w:pPr>
        <w:pStyle w:val="42"/>
        <w:tabs>
          <w:tab w:val="right" w:leader="dot" w:pos="9412"/>
        </w:tabs>
        <w:spacing w:line="360" w:lineRule="auto"/>
        <w:ind w:left="560"/>
        <w:rPr>
          <w:rFonts w:hint="eastAsia" w:ascii="宋体" w:hAnsi="宋体" w:cs="宋体"/>
          <w:sz w:val="21"/>
          <w:szCs w:val="21"/>
        </w:rPr>
      </w:pPr>
    </w:p>
    <w:p>
      <w:pPr>
        <w:pStyle w:val="42"/>
        <w:tabs>
          <w:tab w:val="right" w:leader="dot" w:pos="9412"/>
        </w:tabs>
        <w:spacing w:line="480" w:lineRule="auto"/>
        <w:ind w:left="560"/>
        <w:rPr>
          <w:rFonts w:hint="eastAsia" w:ascii="宋体" w:hAnsi="宋体" w:cs="宋体"/>
          <w:sz w:val="32"/>
          <w:szCs w:val="32"/>
        </w:rPr>
      </w:pPr>
      <w:r>
        <w:rPr>
          <w:rFonts w:hint="eastAsia" w:ascii="宋体" w:hAnsi="宋体" w:cs="宋体"/>
          <w:sz w:val="21"/>
          <w:szCs w:val="21"/>
        </w:rPr>
        <w:fldChar w:fldCharType="begin"/>
      </w:r>
      <w:r>
        <w:rPr>
          <w:rFonts w:hint="eastAsia" w:ascii="宋体" w:hAnsi="宋体" w:cs="宋体"/>
          <w:sz w:val="21"/>
          <w:szCs w:val="21"/>
        </w:rPr>
        <w:instrText xml:space="preserve">TOC \o "1-2" \h \u </w:instrText>
      </w:r>
      <w:r>
        <w:rPr>
          <w:rFonts w:hint="eastAsia" w:ascii="宋体" w:hAnsi="宋体" w:cs="宋体"/>
          <w:sz w:val="21"/>
          <w:szCs w:val="21"/>
        </w:rPr>
        <w:fldChar w:fldCharType="separate"/>
      </w:r>
      <w:r>
        <w:fldChar w:fldCharType="begin"/>
      </w:r>
      <w:r>
        <w:instrText xml:space="preserve"> HYPERLINK \l "_Toc17154" </w:instrText>
      </w:r>
      <w:r>
        <w:fldChar w:fldCharType="separate"/>
      </w:r>
      <w:r>
        <w:rPr>
          <w:rFonts w:hint="eastAsia" w:ascii="宋体" w:hAnsi="宋体" w:cs="宋体"/>
          <w:sz w:val="32"/>
          <w:szCs w:val="32"/>
        </w:rPr>
        <w:t>第一篇 采购邀请书</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_Toc17154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42"/>
        <w:tabs>
          <w:tab w:val="right" w:leader="dot" w:pos="9412"/>
        </w:tabs>
        <w:spacing w:line="480" w:lineRule="auto"/>
        <w:ind w:left="560"/>
        <w:rPr>
          <w:rFonts w:hint="eastAsia" w:ascii="宋体" w:hAnsi="宋体" w:cs="宋体"/>
          <w:sz w:val="32"/>
          <w:szCs w:val="32"/>
        </w:rPr>
      </w:pPr>
      <w:r>
        <w:fldChar w:fldCharType="begin"/>
      </w:r>
      <w:r>
        <w:instrText xml:space="preserve"> HYPERLINK \l "_Toc27818" </w:instrText>
      </w:r>
      <w:r>
        <w:fldChar w:fldCharType="separate"/>
      </w:r>
      <w:r>
        <w:rPr>
          <w:rFonts w:hint="eastAsia" w:ascii="宋体" w:hAnsi="宋体" w:cs="宋体"/>
          <w:sz w:val="32"/>
          <w:szCs w:val="32"/>
        </w:rPr>
        <w:t>第二篇 项目服务需求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_Toc27818 \h </w:instrText>
      </w:r>
      <w:r>
        <w:rPr>
          <w:rFonts w:hint="eastAsia" w:ascii="宋体" w:hAnsi="宋体" w:cs="宋体"/>
          <w:sz w:val="32"/>
          <w:szCs w:val="32"/>
        </w:rPr>
        <w:fldChar w:fldCharType="separate"/>
      </w:r>
      <w:r>
        <w:rPr>
          <w:rFonts w:hint="eastAsia" w:ascii="宋体" w:hAnsi="宋体" w:cs="宋体"/>
          <w:sz w:val="32"/>
          <w:szCs w:val="32"/>
        </w:rPr>
        <w:t>5</w:t>
      </w:r>
      <w:r>
        <w:rPr>
          <w:rFonts w:hint="eastAsia" w:ascii="宋体" w:hAnsi="宋体" w:cs="宋体"/>
          <w:sz w:val="32"/>
          <w:szCs w:val="32"/>
        </w:rPr>
        <w:fldChar w:fldCharType="end"/>
      </w:r>
      <w:r>
        <w:rPr>
          <w:rFonts w:hint="eastAsia" w:ascii="宋体" w:hAnsi="宋体" w:cs="宋体"/>
          <w:sz w:val="32"/>
          <w:szCs w:val="32"/>
        </w:rPr>
        <w:fldChar w:fldCharType="end"/>
      </w:r>
    </w:p>
    <w:p>
      <w:pPr>
        <w:pStyle w:val="42"/>
        <w:tabs>
          <w:tab w:val="right" w:leader="dot" w:pos="9412"/>
        </w:tabs>
        <w:spacing w:line="480" w:lineRule="auto"/>
        <w:ind w:left="560"/>
        <w:rPr>
          <w:rFonts w:hint="eastAsia" w:ascii="宋体" w:hAnsi="宋体" w:cs="宋体"/>
          <w:sz w:val="32"/>
          <w:szCs w:val="32"/>
        </w:rPr>
      </w:pPr>
      <w:r>
        <w:fldChar w:fldCharType="begin"/>
      </w:r>
      <w:r>
        <w:instrText xml:space="preserve"> HYPERLINK \l "_Toc19228" </w:instrText>
      </w:r>
      <w:r>
        <w:fldChar w:fldCharType="separate"/>
      </w:r>
      <w:r>
        <w:rPr>
          <w:rFonts w:hint="eastAsia" w:ascii="宋体" w:hAnsi="宋体" w:cs="宋体"/>
          <w:sz w:val="32"/>
          <w:szCs w:val="32"/>
        </w:rPr>
        <w:t>第三篇 项目商务需求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_Toc19228 \h </w:instrText>
      </w:r>
      <w:r>
        <w:rPr>
          <w:rFonts w:hint="eastAsia" w:ascii="宋体" w:hAnsi="宋体" w:cs="宋体"/>
          <w:sz w:val="32"/>
          <w:szCs w:val="32"/>
        </w:rPr>
        <w:fldChar w:fldCharType="separate"/>
      </w:r>
      <w:r>
        <w:rPr>
          <w:rFonts w:hint="eastAsia" w:ascii="宋体" w:hAnsi="宋体" w:cs="宋体"/>
          <w:sz w:val="32"/>
          <w:szCs w:val="32"/>
        </w:rPr>
        <w:t>6</w:t>
      </w:r>
      <w:r>
        <w:rPr>
          <w:rFonts w:hint="eastAsia" w:ascii="宋体" w:hAnsi="宋体" w:cs="宋体"/>
          <w:sz w:val="32"/>
          <w:szCs w:val="32"/>
        </w:rPr>
        <w:fldChar w:fldCharType="end"/>
      </w:r>
      <w:r>
        <w:rPr>
          <w:rFonts w:hint="eastAsia" w:ascii="宋体" w:hAnsi="宋体" w:cs="宋体"/>
          <w:sz w:val="32"/>
          <w:szCs w:val="32"/>
        </w:rPr>
        <w:fldChar w:fldCharType="end"/>
      </w:r>
    </w:p>
    <w:p>
      <w:pPr>
        <w:pStyle w:val="42"/>
        <w:tabs>
          <w:tab w:val="right" w:leader="dot" w:pos="9412"/>
        </w:tabs>
        <w:spacing w:line="480" w:lineRule="auto"/>
        <w:ind w:left="560"/>
        <w:rPr>
          <w:rFonts w:hint="eastAsia" w:ascii="宋体" w:hAnsi="宋体" w:cs="宋体"/>
          <w:sz w:val="32"/>
          <w:szCs w:val="32"/>
        </w:rPr>
      </w:pPr>
      <w:r>
        <w:fldChar w:fldCharType="begin"/>
      </w:r>
      <w:r>
        <w:instrText xml:space="preserve"> HYPERLINK \l "_Toc15156" </w:instrText>
      </w:r>
      <w:r>
        <w:fldChar w:fldCharType="separate"/>
      </w:r>
      <w:r>
        <w:rPr>
          <w:rFonts w:hint="eastAsia" w:ascii="宋体" w:hAnsi="宋体" w:cs="宋体"/>
          <w:sz w:val="32"/>
          <w:szCs w:val="32"/>
        </w:rPr>
        <w:t>第四篇 磋商程序及方法、评审标准、无效响应和采购终止</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_Toc15156 \h </w:instrText>
      </w:r>
      <w:r>
        <w:rPr>
          <w:rFonts w:hint="eastAsia" w:ascii="宋体" w:hAnsi="宋体" w:cs="宋体"/>
          <w:sz w:val="32"/>
          <w:szCs w:val="32"/>
        </w:rPr>
        <w:fldChar w:fldCharType="separate"/>
      </w:r>
      <w:r>
        <w:rPr>
          <w:rFonts w:hint="eastAsia" w:ascii="宋体" w:hAnsi="宋体" w:cs="宋体"/>
          <w:sz w:val="32"/>
          <w:szCs w:val="32"/>
        </w:rPr>
        <w:t>7</w:t>
      </w:r>
      <w:r>
        <w:rPr>
          <w:rFonts w:hint="eastAsia" w:ascii="宋体" w:hAnsi="宋体" w:cs="宋体"/>
          <w:sz w:val="32"/>
          <w:szCs w:val="32"/>
        </w:rPr>
        <w:fldChar w:fldCharType="end"/>
      </w:r>
      <w:r>
        <w:rPr>
          <w:rFonts w:hint="eastAsia" w:ascii="宋体" w:hAnsi="宋体" w:cs="宋体"/>
          <w:sz w:val="32"/>
          <w:szCs w:val="32"/>
        </w:rPr>
        <w:fldChar w:fldCharType="end"/>
      </w:r>
    </w:p>
    <w:p>
      <w:pPr>
        <w:pStyle w:val="42"/>
        <w:tabs>
          <w:tab w:val="right" w:leader="dot" w:pos="9412"/>
        </w:tabs>
        <w:spacing w:line="480" w:lineRule="auto"/>
        <w:ind w:left="560"/>
        <w:rPr>
          <w:rFonts w:hint="eastAsia" w:ascii="宋体" w:hAnsi="宋体" w:cs="宋体"/>
          <w:sz w:val="32"/>
          <w:szCs w:val="32"/>
        </w:rPr>
      </w:pPr>
      <w:r>
        <w:fldChar w:fldCharType="begin"/>
      </w:r>
      <w:r>
        <w:instrText xml:space="preserve"> HYPERLINK \l "_Toc12181" </w:instrText>
      </w:r>
      <w:r>
        <w:fldChar w:fldCharType="separate"/>
      </w:r>
      <w:r>
        <w:rPr>
          <w:rFonts w:hint="eastAsia" w:ascii="宋体" w:hAnsi="宋体" w:cs="宋体"/>
          <w:sz w:val="32"/>
          <w:szCs w:val="32"/>
        </w:rPr>
        <w:t>第五篇 供应商须知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_Toc12181 \h </w:instrText>
      </w:r>
      <w:r>
        <w:rPr>
          <w:rFonts w:hint="eastAsia" w:ascii="宋体" w:hAnsi="宋体" w:cs="宋体"/>
          <w:sz w:val="32"/>
          <w:szCs w:val="32"/>
        </w:rPr>
        <w:fldChar w:fldCharType="separate"/>
      </w:r>
      <w:r>
        <w:rPr>
          <w:rFonts w:hint="eastAsia" w:ascii="宋体" w:hAnsi="宋体" w:cs="宋体"/>
          <w:sz w:val="32"/>
          <w:szCs w:val="32"/>
        </w:rPr>
        <w:t>12</w:t>
      </w:r>
      <w:r>
        <w:rPr>
          <w:rFonts w:hint="eastAsia" w:ascii="宋体" w:hAnsi="宋体" w:cs="宋体"/>
          <w:sz w:val="32"/>
          <w:szCs w:val="32"/>
        </w:rPr>
        <w:fldChar w:fldCharType="end"/>
      </w:r>
      <w:r>
        <w:rPr>
          <w:rFonts w:hint="eastAsia" w:ascii="宋体" w:hAnsi="宋体" w:cs="宋体"/>
          <w:sz w:val="32"/>
          <w:szCs w:val="32"/>
        </w:rPr>
        <w:fldChar w:fldCharType="end"/>
      </w:r>
    </w:p>
    <w:p>
      <w:pPr>
        <w:pStyle w:val="42"/>
        <w:tabs>
          <w:tab w:val="right" w:leader="dot" w:pos="9412"/>
        </w:tabs>
        <w:spacing w:line="480" w:lineRule="auto"/>
        <w:ind w:left="560"/>
        <w:rPr>
          <w:rFonts w:hint="eastAsia" w:ascii="宋体" w:hAnsi="宋体" w:cs="宋体"/>
          <w:sz w:val="32"/>
          <w:szCs w:val="32"/>
        </w:rPr>
      </w:pPr>
      <w:r>
        <w:fldChar w:fldCharType="begin"/>
      </w:r>
      <w:r>
        <w:instrText xml:space="preserve"> HYPERLINK \l "_Toc4007" </w:instrText>
      </w:r>
      <w:r>
        <w:fldChar w:fldCharType="separate"/>
      </w:r>
      <w:r>
        <w:rPr>
          <w:rFonts w:hint="eastAsia" w:ascii="宋体" w:hAnsi="宋体" w:cs="宋体"/>
          <w:sz w:val="32"/>
          <w:szCs w:val="32"/>
        </w:rPr>
        <w:t>第六篇 采购合同</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_Toc4007 \h </w:instrText>
      </w:r>
      <w:r>
        <w:rPr>
          <w:rFonts w:hint="eastAsia" w:ascii="宋体" w:hAnsi="宋体" w:cs="宋体"/>
          <w:sz w:val="32"/>
          <w:szCs w:val="32"/>
        </w:rPr>
        <w:fldChar w:fldCharType="separate"/>
      </w:r>
      <w:r>
        <w:rPr>
          <w:rFonts w:hint="eastAsia" w:ascii="宋体" w:hAnsi="宋体" w:cs="宋体"/>
          <w:sz w:val="32"/>
          <w:szCs w:val="32"/>
        </w:rPr>
        <w:t>16</w:t>
      </w:r>
      <w:r>
        <w:rPr>
          <w:rFonts w:hint="eastAsia" w:ascii="宋体" w:hAnsi="宋体" w:cs="宋体"/>
          <w:sz w:val="32"/>
          <w:szCs w:val="32"/>
        </w:rPr>
        <w:fldChar w:fldCharType="end"/>
      </w:r>
      <w:r>
        <w:rPr>
          <w:rFonts w:hint="eastAsia" w:ascii="宋体" w:hAnsi="宋体" w:cs="宋体"/>
          <w:sz w:val="32"/>
          <w:szCs w:val="32"/>
        </w:rPr>
        <w:fldChar w:fldCharType="end"/>
      </w:r>
    </w:p>
    <w:p>
      <w:pPr>
        <w:pStyle w:val="42"/>
        <w:tabs>
          <w:tab w:val="right" w:leader="dot" w:pos="9412"/>
        </w:tabs>
        <w:spacing w:line="480" w:lineRule="auto"/>
        <w:ind w:left="560"/>
        <w:rPr>
          <w:rFonts w:hint="eastAsia" w:ascii="宋体" w:hAnsi="宋体" w:cs="宋体"/>
          <w:sz w:val="36"/>
          <w:szCs w:val="36"/>
        </w:rPr>
      </w:pPr>
      <w:r>
        <w:fldChar w:fldCharType="begin"/>
      </w:r>
      <w:r>
        <w:instrText xml:space="preserve"> HYPERLINK \l "_Toc22080" </w:instrText>
      </w:r>
      <w:r>
        <w:fldChar w:fldCharType="separate"/>
      </w:r>
      <w:r>
        <w:rPr>
          <w:rFonts w:hint="eastAsia" w:ascii="宋体" w:hAnsi="宋体" w:cs="宋体"/>
          <w:sz w:val="32"/>
          <w:szCs w:val="32"/>
        </w:rPr>
        <w:t>第七篇 响应文件编制要求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_Toc22080 \h </w:instrText>
      </w:r>
      <w:r>
        <w:rPr>
          <w:rFonts w:hint="eastAsia" w:ascii="宋体" w:hAnsi="宋体" w:cs="宋体"/>
          <w:sz w:val="32"/>
          <w:szCs w:val="32"/>
        </w:rPr>
        <w:fldChar w:fldCharType="separate"/>
      </w:r>
      <w:r>
        <w:rPr>
          <w:rFonts w:hint="eastAsia" w:ascii="宋体" w:hAnsi="宋体" w:cs="宋体"/>
          <w:sz w:val="32"/>
          <w:szCs w:val="32"/>
        </w:rPr>
        <w:t>19</w:t>
      </w:r>
      <w:r>
        <w:rPr>
          <w:rFonts w:hint="eastAsia" w:ascii="宋体" w:hAnsi="宋体" w:cs="宋体"/>
          <w:sz w:val="32"/>
          <w:szCs w:val="32"/>
        </w:rPr>
        <w:fldChar w:fldCharType="end"/>
      </w:r>
      <w:r>
        <w:rPr>
          <w:rFonts w:hint="eastAsia" w:ascii="宋体" w:hAnsi="宋体" w:cs="宋体"/>
          <w:sz w:val="32"/>
          <w:szCs w:val="32"/>
        </w:rPr>
        <w:fldChar w:fldCharType="end"/>
      </w:r>
    </w:p>
    <w:p>
      <w:pPr>
        <w:pStyle w:val="134"/>
        <w:tabs>
          <w:tab w:val="right" w:leader="dot" w:pos="9061"/>
        </w:tabs>
        <w:spacing w:line="360" w:lineRule="auto"/>
        <w:ind w:left="1120"/>
        <w:rPr>
          <w:rFonts w:hint="eastAsia" w:ascii="宋体" w:hAnsi="宋体" w:cs="宋体"/>
          <w:sz w:val="21"/>
          <w:szCs w:val="21"/>
        </w:rPr>
      </w:pPr>
      <w:r>
        <w:rPr>
          <w:rFonts w:hint="eastAsia" w:ascii="宋体" w:hAnsi="宋体" w:cs="宋体"/>
          <w:sz w:val="21"/>
          <w:szCs w:val="21"/>
        </w:rPr>
        <w:fldChar w:fldCharType="end"/>
      </w:r>
    </w:p>
    <w:bookmarkEnd w:id="6"/>
    <w:bookmarkEnd w:id="7"/>
    <w:bookmarkEnd w:id="8"/>
    <w:p>
      <w:pPr>
        <w:pStyle w:val="3"/>
        <w:spacing w:line="360" w:lineRule="auto"/>
        <w:ind w:left="420" w:leftChars="150"/>
        <w:jc w:val="center"/>
        <w:rPr>
          <w:rFonts w:hint="eastAsia" w:ascii="宋体" w:hAnsi="宋体" w:eastAsia="宋体"/>
          <w:sz w:val="36"/>
          <w:szCs w:val="36"/>
        </w:rPr>
        <w:sectPr>
          <w:footerReference r:id="rId5" w:type="default"/>
          <w:pgSz w:w="11907" w:h="16840"/>
          <w:pgMar w:top="1134" w:right="1191" w:bottom="1134" w:left="1304" w:header="964" w:footer="992" w:gutter="0"/>
          <w:pgNumType w:start="1"/>
          <w:cols w:space="720" w:num="1"/>
          <w:docGrid w:linePitch="312" w:charSpace="0"/>
        </w:sectPr>
      </w:pPr>
      <w:bookmarkStart w:id="9" w:name="_Toc27217"/>
      <w:bookmarkStart w:id="10" w:name="_Toc1534"/>
      <w:bookmarkStart w:id="11" w:name="_Toc26694"/>
      <w:bookmarkStart w:id="12" w:name="_Toc11447"/>
      <w:bookmarkStart w:id="13" w:name="_Toc15224"/>
      <w:bookmarkStart w:id="14" w:name="_Toc67642652"/>
      <w:bookmarkStart w:id="15" w:name="_Hlk531859087"/>
    </w:p>
    <w:p>
      <w:pPr>
        <w:pStyle w:val="3"/>
        <w:spacing w:line="360" w:lineRule="auto"/>
        <w:ind w:left="420" w:leftChars="150" w:firstLine="2530" w:firstLineChars="700"/>
        <w:rPr>
          <w:rFonts w:hint="eastAsia" w:ascii="宋体" w:hAnsi="宋体" w:eastAsia="宋体"/>
          <w:sz w:val="36"/>
          <w:szCs w:val="36"/>
        </w:rPr>
      </w:pPr>
      <w:bookmarkStart w:id="16" w:name="_Toc17154"/>
      <w:r>
        <w:rPr>
          <w:rFonts w:hint="eastAsia" w:ascii="宋体" w:hAnsi="宋体" w:eastAsia="宋体"/>
          <w:sz w:val="36"/>
          <w:szCs w:val="36"/>
        </w:rPr>
        <w:t>第一篇</w:t>
      </w:r>
      <w:bookmarkStart w:id="17" w:name="OLE_LINK4"/>
      <w:r>
        <w:rPr>
          <w:rFonts w:hint="eastAsia" w:ascii="宋体" w:hAnsi="宋体" w:eastAsia="宋体"/>
          <w:sz w:val="36"/>
          <w:szCs w:val="36"/>
        </w:rPr>
        <w:t xml:space="preserve"> </w:t>
      </w:r>
      <w:bookmarkEnd w:id="9"/>
      <w:bookmarkEnd w:id="10"/>
      <w:bookmarkEnd w:id="11"/>
      <w:bookmarkEnd w:id="12"/>
      <w:bookmarkEnd w:id="13"/>
      <w:bookmarkEnd w:id="14"/>
      <w:r>
        <w:rPr>
          <w:rFonts w:hint="eastAsia" w:ascii="宋体" w:hAnsi="宋体" w:eastAsia="宋体"/>
          <w:sz w:val="36"/>
          <w:szCs w:val="36"/>
        </w:rPr>
        <w:t>采购邀请书</w:t>
      </w:r>
      <w:bookmarkEnd w:id="16"/>
    </w:p>
    <w:p>
      <w:pPr>
        <w:spacing w:line="400" w:lineRule="exact"/>
        <w:ind w:firstLine="420" w:firstLineChars="200"/>
        <w:rPr>
          <w:rFonts w:ascii="宋体"/>
          <w:sz w:val="21"/>
          <w:szCs w:val="21"/>
        </w:rPr>
      </w:pPr>
      <w:bookmarkStart w:id="18" w:name="_Toc317775175"/>
      <w:bookmarkStart w:id="19" w:name="_Toc313893526"/>
      <w:bookmarkStart w:id="20" w:name="_Hlk209174206"/>
      <w:r>
        <w:rPr>
          <w:rFonts w:hint="eastAsia" w:ascii="宋体" w:hAnsi="宋体"/>
          <w:sz w:val="21"/>
          <w:szCs w:val="21"/>
        </w:rPr>
        <w:t>重庆信科设计有限公司（以下简称：采购代理机构）受重庆市交通运输委员会（以下简称：采购人）的委托，对</w:t>
      </w:r>
      <w:r>
        <w:rPr>
          <w:rFonts w:hint="eastAsia" w:ascii="宋体" w:hAnsi="宋体"/>
          <w:sz w:val="21"/>
          <w:szCs w:val="21"/>
          <w:u w:val="single"/>
        </w:rPr>
        <w:t>重庆市交通运输委员会审计业务管理综合技术咨询服务项目</w:t>
      </w:r>
      <w:r>
        <w:rPr>
          <w:rFonts w:hint="eastAsia" w:ascii="宋体" w:hAnsi="宋体"/>
          <w:sz w:val="21"/>
          <w:szCs w:val="21"/>
        </w:rPr>
        <w:t>进行竞争性磋商采购。欢迎有资格的供应商前来参加磋商。</w:t>
      </w:r>
    </w:p>
    <w:p>
      <w:pPr>
        <w:pStyle w:val="4"/>
        <w:spacing w:before="0" w:after="0" w:line="440" w:lineRule="exact"/>
        <w:ind w:left="420" w:leftChars="150"/>
        <w:rPr>
          <w:rFonts w:ascii="宋体"/>
          <w:sz w:val="21"/>
          <w:szCs w:val="21"/>
        </w:rPr>
      </w:pPr>
      <w:bookmarkStart w:id="21" w:name="_Toc3524"/>
      <w:bookmarkStart w:id="22" w:name="_Toc67642653"/>
      <w:bookmarkStart w:id="23" w:name="_Toc12141"/>
      <w:bookmarkStart w:id="24" w:name="_Toc14653"/>
      <w:bookmarkStart w:id="25" w:name="_Toc7326"/>
      <w:bookmarkStart w:id="26" w:name="_Toc17029"/>
      <w:r>
        <w:rPr>
          <w:rFonts w:hint="eastAsia" w:ascii="宋体" w:hAnsi="宋体"/>
          <w:sz w:val="21"/>
          <w:szCs w:val="21"/>
        </w:rPr>
        <w:t>一、竞争性磋商内容</w:t>
      </w:r>
      <w:bookmarkEnd w:id="18"/>
      <w:bookmarkEnd w:id="19"/>
      <w:bookmarkEnd w:id="21"/>
      <w:bookmarkEnd w:id="22"/>
      <w:bookmarkEnd w:id="23"/>
      <w:bookmarkEnd w:id="24"/>
      <w:bookmarkEnd w:id="25"/>
      <w:bookmarkEnd w:id="26"/>
    </w:p>
    <w:tbl>
      <w:tblPr>
        <w:tblStyle w:val="53"/>
        <w:tblW w:w="5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1531"/>
        <w:gridCol w:w="718"/>
        <w:gridCol w:w="1412"/>
        <w:gridCol w:w="1440"/>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36" w:type="pct"/>
            <w:vAlign w:val="center"/>
          </w:tcPr>
          <w:p>
            <w:pPr>
              <w:widowControl/>
              <w:spacing w:line="240" w:lineRule="exact"/>
              <w:jc w:val="center"/>
              <w:rPr>
                <w:rFonts w:ascii="宋体"/>
                <w:b/>
                <w:sz w:val="21"/>
                <w:szCs w:val="21"/>
              </w:rPr>
            </w:pPr>
            <w:r>
              <w:rPr>
                <w:rFonts w:hint="eastAsia" w:ascii="宋体" w:hAnsi="宋体"/>
                <w:b/>
                <w:sz w:val="21"/>
                <w:szCs w:val="21"/>
              </w:rPr>
              <w:t>项目名称</w:t>
            </w:r>
          </w:p>
        </w:tc>
        <w:tc>
          <w:tcPr>
            <w:tcW w:w="770" w:type="pct"/>
            <w:vAlign w:val="center"/>
          </w:tcPr>
          <w:p>
            <w:pPr>
              <w:widowControl/>
              <w:spacing w:line="240" w:lineRule="exact"/>
              <w:jc w:val="center"/>
              <w:rPr>
                <w:rFonts w:hint="eastAsia" w:ascii="宋体" w:hAnsi="宋体"/>
                <w:b/>
                <w:sz w:val="21"/>
                <w:szCs w:val="21"/>
              </w:rPr>
            </w:pPr>
            <w:r>
              <w:rPr>
                <w:rFonts w:hint="eastAsia" w:ascii="宋体" w:hAnsi="宋体"/>
                <w:b/>
                <w:sz w:val="21"/>
                <w:szCs w:val="21"/>
              </w:rPr>
              <w:t>年度限价</w:t>
            </w:r>
          </w:p>
          <w:p>
            <w:pPr>
              <w:widowControl/>
              <w:spacing w:line="240" w:lineRule="exact"/>
              <w:jc w:val="center"/>
              <w:rPr>
                <w:rFonts w:hint="eastAsia" w:ascii="宋体" w:hAnsi="宋体"/>
                <w:b/>
                <w:sz w:val="21"/>
                <w:szCs w:val="21"/>
              </w:rPr>
            </w:pPr>
            <w:r>
              <w:rPr>
                <w:rFonts w:hint="eastAsia" w:ascii="宋体" w:hAnsi="宋体"/>
                <w:b/>
                <w:sz w:val="21"/>
                <w:szCs w:val="21"/>
              </w:rPr>
              <w:t>（万元/每年）</w:t>
            </w:r>
          </w:p>
        </w:tc>
        <w:tc>
          <w:tcPr>
            <w:tcW w:w="361" w:type="pct"/>
            <w:vAlign w:val="center"/>
          </w:tcPr>
          <w:p>
            <w:pPr>
              <w:widowControl/>
              <w:spacing w:line="240" w:lineRule="exact"/>
              <w:jc w:val="center"/>
              <w:rPr>
                <w:rFonts w:hint="eastAsia" w:ascii="宋体" w:hAnsi="宋体"/>
                <w:b/>
                <w:sz w:val="21"/>
                <w:szCs w:val="21"/>
              </w:rPr>
            </w:pPr>
            <w:r>
              <w:rPr>
                <w:rFonts w:hint="eastAsia" w:ascii="宋体" w:hAnsi="宋体"/>
                <w:b/>
                <w:sz w:val="21"/>
                <w:szCs w:val="21"/>
              </w:rPr>
              <w:t>服务年限</w:t>
            </w:r>
          </w:p>
        </w:tc>
        <w:tc>
          <w:tcPr>
            <w:tcW w:w="710" w:type="pct"/>
            <w:vAlign w:val="center"/>
          </w:tcPr>
          <w:p>
            <w:pPr>
              <w:widowControl/>
              <w:spacing w:line="240" w:lineRule="exact"/>
              <w:jc w:val="center"/>
              <w:rPr>
                <w:rFonts w:hint="eastAsia" w:ascii="宋体" w:hAnsi="宋体"/>
                <w:b/>
                <w:sz w:val="21"/>
                <w:szCs w:val="21"/>
              </w:rPr>
            </w:pPr>
            <w:r>
              <w:rPr>
                <w:rFonts w:hint="eastAsia" w:ascii="宋体" w:hAnsi="宋体"/>
                <w:b/>
                <w:sz w:val="21"/>
                <w:szCs w:val="21"/>
              </w:rPr>
              <w:t>项目最高限价（万元）</w:t>
            </w:r>
          </w:p>
        </w:tc>
        <w:tc>
          <w:tcPr>
            <w:tcW w:w="724" w:type="pct"/>
            <w:vAlign w:val="center"/>
          </w:tcPr>
          <w:p>
            <w:pPr>
              <w:spacing w:line="240" w:lineRule="exact"/>
              <w:jc w:val="center"/>
              <w:rPr>
                <w:rFonts w:hint="eastAsia" w:ascii="宋体" w:hAnsi="宋体"/>
                <w:b/>
                <w:sz w:val="21"/>
                <w:szCs w:val="21"/>
              </w:rPr>
            </w:pPr>
            <w:r>
              <w:rPr>
                <w:rFonts w:hint="eastAsia" w:ascii="宋体" w:hAnsi="宋体"/>
                <w:b/>
                <w:sz w:val="21"/>
                <w:szCs w:val="21"/>
              </w:rPr>
              <w:t>成交供应商数量（名）</w:t>
            </w:r>
          </w:p>
        </w:tc>
        <w:tc>
          <w:tcPr>
            <w:tcW w:w="1197" w:type="pct"/>
            <w:vAlign w:val="center"/>
          </w:tcPr>
          <w:p>
            <w:pPr>
              <w:spacing w:line="240" w:lineRule="exact"/>
              <w:jc w:val="center"/>
              <w:rPr>
                <w:rFonts w:hint="eastAsia" w:ascii="宋体" w:hAnsi="宋体"/>
                <w:b/>
                <w:sz w:val="21"/>
                <w:szCs w:val="21"/>
              </w:rPr>
            </w:pPr>
            <w:r>
              <w:rPr>
                <w:rFonts w:hint="eastAsia" w:ascii="宋体" w:hAnsi="宋体"/>
                <w:b/>
                <w:sz w:val="21"/>
                <w:szCs w:val="21"/>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236" w:type="pct"/>
            <w:vAlign w:val="center"/>
          </w:tcPr>
          <w:p>
            <w:pPr>
              <w:spacing w:line="400" w:lineRule="exact"/>
              <w:jc w:val="center"/>
              <w:rPr>
                <w:rFonts w:ascii="宋体"/>
                <w:sz w:val="21"/>
                <w:szCs w:val="21"/>
              </w:rPr>
            </w:pPr>
            <w:bookmarkStart w:id="27" w:name="_Hlk344477914"/>
            <w:r>
              <w:rPr>
                <w:rFonts w:hint="eastAsia" w:ascii="宋体"/>
                <w:sz w:val="21"/>
                <w:szCs w:val="21"/>
              </w:rPr>
              <w:t>重庆市交通运输委员会审计业务管理综合技术咨询服务项目</w:t>
            </w:r>
          </w:p>
        </w:tc>
        <w:tc>
          <w:tcPr>
            <w:tcW w:w="770" w:type="pct"/>
            <w:vAlign w:val="center"/>
          </w:tcPr>
          <w:p>
            <w:pPr>
              <w:spacing w:line="400" w:lineRule="exact"/>
              <w:jc w:val="center"/>
              <w:rPr>
                <w:rFonts w:ascii="宋体"/>
                <w:sz w:val="21"/>
                <w:szCs w:val="21"/>
              </w:rPr>
            </w:pPr>
            <w:r>
              <w:rPr>
                <w:rFonts w:hint="eastAsia" w:ascii="宋体"/>
                <w:sz w:val="21"/>
                <w:szCs w:val="21"/>
              </w:rPr>
              <w:t>16</w:t>
            </w:r>
          </w:p>
        </w:tc>
        <w:tc>
          <w:tcPr>
            <w:tcW w:w="361" w:type="pct"/>
            <w:vAlign w:val="center"/>
          </w:tcPr>
          <w:p>
            <w:pPr>
              <w:spacing w:line="400" w:lineRule="exact"/>
              <w:jc w:val="center"/>
              <w:rPr>
                <w:rFonts w:ascii="宋体"/>
                <w:sz w:val="21"/>
                <w:szCs w:val="21"/>
              </w:rPr>
            </w:pPr>
            <w:r>
              <w:rPr>
                <w:rFonts w:hint="eastAsia" w:ascii="宋体"/>
                <w:sz w:val="21"/>
                <w:szCs w:val="21"/>
              </w:rPr>
              <w:t>3</w:t>
            </w:r>
          </w:p>
        </w:tc>
        <w:tc>
          <w:tcPr>
            <w:tcW w:w="710" w:type="pct"/>
            <w:vAlign w:val="center"/>
          </w:tcPr>
          <w:p>
            <w:pPr>
              <w:spacing w:line="400" w:lineRule="exact"/>
              <w:jc w:val="center"/>
              <w:rPr>
                <w:rFonts w:ascii="宋体"/>
                <w:sz w:val="21"/>
                <w:szCs w:val="21"/>
              </w:rPr>
            </w:pPr>
            <w:r>
              <w:rPr>
                <w:rFonts w:hint="eastAsia" w:ascii="宋体"/>
                <w:sz w:val="21"/>
                <w:szCs w:val="21"/>
              </w:rPr>
              <w:t>48</w:t>
            </w:r>
          </w:p>
        </w:tc>
        <w:tc>
          <w:tcPr>
            <w:tcW w:w="724" w:type="pct"/>
            <w:vAlign w:val="center"/>
          </w:tcPr>
          <w:p>
            <w:pPr>
              <w:spacing w:line="400" w:lineRule="exact"/>
              <w:jc w:val="center"/>
              <w:rPr>
                <w:rFonts w:ascii="宋体"/>
                <w:sz w:val="21"/>
                <w:szCs w:val="21"/>
              </w:rPr>
            </w:pPr>
            <w:r>
              <w:rPr>
                <w:rFonts w:hint="eastAsia" w:ascii="宋体"/>
                <w:sz w:val="21"/>
                <w:szCs w:val="21"/>
              </w:rPr>
              <w:t>1</w:t>
            </w:r>
          </w:p>
        </w:tc>
        <w:tc>
          <w:tcPr>
            <w:tcW w:w="1197" w:type="pct"/>
            <w:vAlign w:val="center"/>
          </w:tcPr>
          <w:p>
            <w:pPr>
              <w:spacing w:line="400" w:lineRule="exact"/>
              <w:jc w:val="center"/>
              <w:rPr>
                <w:rFonts w:hint="eastAsia" w:ascii="宋体" w:hAnsi="宋体"/>
                <w:sz w:val="21"/>
                <w:szCs w:val="21"/>
              </w:rPr>
            </w:pPr>
            <w:r>
              <w:rPr>
                <w:rFonts w:hint="eastAsia" w:ascii="宋体" w:hAnsi="宋体"/>
                <w:sz w:val="21"/>
                <w:szCs w:val="21"/>
              </w:rPr>
              <w:t>其他未列明行业</w:t>
            </w:r>
          </w:p>
        </w:tc>
      </w:tr>
      <w:bookmarkEnd w:id="27"/>
    </w:tbl>
    <w:p>
      <w:pPr>
        <w:pStyle w:val="4"/>
        <w:spacing w:before="0" w:after="0" w:line="440" w:lineRule="exact"/>
        <w:ind w:firstLine="422" w:firstLineChars="200"/>
        <w:rPr>
          <w:rFonts w:ascii="宋体"/>
          <w:sz w:val="21"/>
          <w:szCs w:val="21"/>
        </w:rPr>
      </w:pPr>
      <w:bookmarkStart w:id="28" w:name="_Toc10979"/>
      <w:bookmarkStart w:id="29" w:name="_Toc27748"/>
      <w:bookmarkStart w:id="30" w:name="_Toc13057"/>
      <w:bookmarkStart w:id="31" w:name="_Toc6113"/>
      <w:bookmarkStart w:id="32" w:name="_Toc11613"/>
      <w:bookmarkStart w:id="33" w:name="_Toc67642654"/>
      <w:bookmarkStart w:id="34" w:name="_Toc373860293"/>
      <w:bookmarkStart w:id="35" w:name="_Toc317775178"/>
      <w:r>
        <w:rPr>
          <w:rFonts w:hint="eastAsia" w:ascii="宋体" w:hAnsi="宋体"/>
          <w:sz w:val="21"/>
          <w:szCs w:val="21"/>
        </w:rPr>
        <w:t>二、资金来源</w:t>
      </w:r>
      <w:bookmarkEnd w:id="28"/>
      <w:bookmarkEnd w:id="29"/>
      <w:bookmarkEnd w:id="30"/>
      <w:bookmarkEnd w:id="31"/>
      <w:bookmarkEnd w:id="32"/>
      <w:bookmarkEnd w:id="33"/>
    </w:p>
    <w:p>
      <w:pPr>
        <w:spacing w:line="440" w:lineRule="exact"/>
        <w:ind w:left="420" w:leftChars="150" w:firstLine="420" w:firstLineChars="200"/>
        <w:rPr>
          <w:rFonts w:ascii="宋体"/>
          <w:sz w:val="21"/>
          <w:szCs w:val="21"/>
        </w:rPr>
      </w:pPr>
      <w:r>
        <w:rPr>
          <w:rFonts w:hint="eastAsia" w:ascii="宋体" w:hAnsi="宋体"/>
          <w:sz w:val="21"/>
          <w:szCs w:val="21"/>
        </w:rPr>
        <w:t>财政预算资金，预算总金额为48万元。</w:t>
      </w:r>
    </w:p>
    <w:p>
      <w:pPr>
        <w:pStyle w:val="4"/>
        <w:spacing w:before="0" w:after="0" w:line="440" w:lineRule="exact"/>
        <w:ind w:left="420" w:leftChars="150"/>
        <w:rPr>
          <w:rFonts w:ascii="宋体"/>
          <w:sz w:val="21"/>
          <w:szCs w:val="21"/>
        </w:rPr>
      </w:pPr>
      <w:bookmarkStart w:id="36" w:name="_Toc19497"/>
      <w:bookmarkStart w:id="37" w:name="_Toc8965"/>
      <w:bookmarkStart w:id="38" w:name="_Toc26850"/>
      <w:bookmarkStart w:id="39" w:name="_Toc8427"/>
      <w:bookmarkStart w:id="40" w:name="_Toc67642655"/>
      <w:bookmarkStart w:id="41" w:name="_Toc24528"/>
      <w:r>
        <w:rPr>
          <w:rFonts w:hint="eastAsia" w:ascii="宋体" w:hAnsi="宋体"/>
          <w:sz w:val="21"/>
          <w:szCs w:val="21"/>
        </w:rPr>
        <w:t>三、供应商资格条件</w:t>
      </w:r>
      <w:bookmarkEnd w:id="36"/>
      <w:bookmarkEnd w:id="37"/>
      <w:bookmarkEnd w:id="38"/>
      <w:bookmarkEnd w:id="39"/>
      <w:bookmarkEnd w:id="40"/>
      <w:bookmarkEnd w:id="41"/>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（一）满足《中华人民共和国政府采购法》第二十二条规定；</w:t>
      </w:r>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（二）落实政府采购政策需满足的资格要求：无。</w:t>
      </w:r>
    </w:p>
    <w:p>
      <w:pPr>
        <w:spacing w:line="440" w:lineRule="exact"/>
        <w:ind w:left="420" w:leftChars="150" w:firstLine="420" w:firstLineChars="200"/>
      </w:pPr>
      <w:r>
        <w:rPr>
          <w:rFonts w:hint="eastAsia" w:ascii="宋体" w:hAnsi="宋体"/>
          <w:sz w:val="21"/>
          <w:szCs w:val="21"/>
        </w:rPr>
        <w:t>（三）本项目的特定资格要求：无。</w:t>
      </w:r>
    </w:p>
    <w:p>
      <w:pPr>
        <w:pStyle w:val="4"/>
        <w:spacing w:before="0" w:after="0" w:line="440" w:lineRule="exact"/>
        <w:ind w:left="420" w:leftChars="150"/>
        <w:rPr>
          <w:rFonts w:ascii="宋体"/>
          <w:sz w:val="21"/>
          <w:szCs w:val="21"/>
        </w:rPr>
      </w:pPr>
      <w:bookmarkStart w:id="42" w:name="_Toc22790"/>
      <w:bookmarkStart w:id="43" w:name="_Toc13344"/>
      <w:bookmarkStart w:id="44" w:name="_Toc67642656"/>
      <w:bookmarkStart w:id="45" w:name="_Toc27890"/>
      <w:bookmarkStart w:id="46" w:name="_Toc11944"/>
      <w:bookmarkStart w:id="47" w:name="_Toc3654"/>
      <w:r>
        <w:rPr>
          <w:rFonts w:hint="eastAsia" w:ascii="宋体" w:hAnsi="宋体"/>
          <w:sz w:val="21"/>
          <w:szCs w:val="21"/>
        </w:rPr>
        <w:t>四、磋商的有关说明</w:t>
      </w:r>
      <w:bookmarkEnd w:id="34"/>
      <w:bookmarkEnd w:id="42"/>
      <w:bookmarkEnd w:id="43"/>
      <w:bookmarkEnd w:id="44"/>
      <w:bookmarkEnd w:id="45"/>
      <w:bookmarkEnd w:id="46"/>
      <w:bookmarkEnd w:id="47"/>
      <w:bookmarkStart w:id="48" w:name="OLE_LINK3"/>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一）凡有意参加磋商的供应商，请在重庆市交通运输委员会网站－政务公开－公告公示－招标投标信息－招标公告处下载本项目采购文件及澄清修改文件（如果有）；无论供应商下载与否，均视同供应商已知晓本项目采购文件、澄清修改文件（如果有）的内容。</w:t>
      </w:r>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（二）竞争性磋商公告期限：自采购公告发布之日起三个工作日。</w:t>
      </w:r>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（三）竞争性磋商文件发售期限</w:t>
      </w:r>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1.竞争性磋商文件发售期：</w:t>
      </w:r>
      <w:r>
        <w:rPr>
          <w:rFonts w:hint="eastAsia" w:ascii="宋体"/>
          <w:sz w:val="21"/>
          <w:szCs w:val="21"/>
        </w:rPr>
        <w:t>2025</w:t>
      </w:r>
      <w:r>
        <w:rPr>
          <w:rFonts w:hint="eastAsia" w:ascii="宋体" w:hAnsi="宋体"/>
          <w:sz w:val="21"/>
          <w:szCs w:val="21"/>
        </w:rPr>
        <w:t>年9月 19 日—</w:t>
      </w:r>
      <w:r>
        <w:rPr>
          <w:rFonts w:hint="eastAsia" w:ascii="宋体"/>
          <w:sz w:val="21"/>
          <w:szCs w:val="21"/>
        </w:rPr>
        <w:t>2025</w:t>
      </w:r>
      <w:r>
        <w:rPr>
          <w:rFonts w:hint="eastAsia" w:ascii="宋体" w:hAnsi="宋体"/>
          <w:sz w:val="21"/>
          <w:szCs w:val="21"/>
        </w:rPr>
        <w:t>年9月 26 日17时00分。</w:t>
      </w:r>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2.报名方式：在竞争性磋商文件发售期内，供应商将附件一《文件获取登记表》（加盖供应商公章）扫描后发送至522850935@qq.com，邮件主题请注明“项目名称+单位名称”。</w:t>
      </w:r>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3.竞争性磋商文件售价</w:t>
      </w:r>
      <w:r>
        <w:rPr>
          <w:rFonts w:ascii="宋体" w:hAnsi="宋体"/>
          <w:sz w:val="21"/>
          <w:szCs w:val="21"/>
        </w:rPr>
        <w:t>：</w:t>
      </w:r>
      <w:r>
        <w:rPr>
          <w:rFonts w:hint="eastAsia" w:ascii="宋体" w:hAnsi="宋体"/>
          <w:sz w:val="21"/>
          <w:szCs w:val="21"/>
        </w:rPr>
        <w:t>0元/分包。</w:t>
      </w:r>
    </w:p>
    <w:bookmarkEnd w:id="48"/>
    <w:p>
      <w:pPr>
        <w:spacing w:line="440" w:lineRule="exact"/>
        <w:ind w:left="420" w:leftChars="150" w:firstLine="420" w:firstLineChars="200"/>
        <w:rPr>
          <w:rFonts w:ascii="宋体"/>
          <w:sz w:val="21"/>
          <w:szCs w:val="21"/>
        </w:rPr>
      </w:pPr>
      <w:r>
        <w:rPr>
          <w:rFonts w:hint="eastAsia" w:ascii="宋体"/>
          <w:sz w:val="21"/>
          <w:szCs w:val="21"/>
        </w:rPr>
        <w:t>（四）递交响应文件地点：重庆信科设计有限公司（重庆市渝北区金开大道西段106号（两江新区互联网产业园一期）15栋1楼）</w:t>
      </w:r>
    </w:p>
    <w:p>
      <w:pPr>
        <w:spacing w:line="440" w:lineRule="exact"/>
        <w:ind w:left="420" w:leftChars="150" w:firstLine="420" w:firstLineChars="200"/>
        <w:rPr>
          <w:rFonts w:ascii="宋体"/>
          <w:sz w:val="21"/>
          <w:szCs w:val="21"/>
        </w:rPr>
      </w:pPr>
      <w:r>
        <w:rPr>
          <w:rFonts w:hint="eastAsia" w:ascii="宋体"/>
          <w:sz w:val="21"/>
          <w:szCs w:val="21"/>
        </w:rPr>
        <w:t>（五）响应文件递交截止时间：2025</w:t>
      </w:r>
      <w:r>
        <w:rPr>
          <w:rFonts w:hint="eastAsia" w:ascii="宋体" w:hAnsi="宋体"/>
          <w:sz w:val="21"/>
          <w:szCs w:val="21"/>
        </w:rPr>
        <w:t>年9月 30 日</w:t>
      </w:r>
      <w:r>
        <w:rPr>
          <w:rFonts w:hint="eastAsia" w:ascii="宋体"/>
          <w:sz w:val="21"/>
          <w:szCs w:val="21"/>
        </w:rPr>
        <w:t>14时3</w:t>
      </w:r>
      <w:r>
        <w:rPr>
          <w:rFonts w:ascii="宋体"/>
          <w:sz w:val="21"/>
          <w:szCs w:val="21"/>
        </w:rPr>
        <w:t>0</w:t>
      </w:r>
      <w:r>
        <w:rPr>
          <w:rFonts w:hint="eastAsia" w:ascii="宋体"/>
          <w:sz w:val="21"/>
          <w:szCs w:val="21"/>
        </w:rPr>
        <w:t>分（北京时间）</w:t>
      </w:r>
    </w:p>
    <w:p>
      <w:pPr>
        <w:spacing w:line="440" w:lineRule="exact"/>
        <w:ind w:left="420" w:leftChars="150" w:firstLine="420" w:firstLineChars="200"/>
        <w:rPr>
          <w:rFonts w:ascii="宋体"/>
          <w:sz w:val="21"/>
          <w:szCs w:val="21"/>
        </w:rPr>
      </w:pPr>
      <w:r>
        <w:rPr>
          <w:rFonts w:hint="eastAsia" w:ascii="宋体"/>
          <w:sz w:val="21"/>
          <w:szCs w:val="21"/>
        </w:rPr>
        <w:t>（六）磋商开始时间：2025</w:t>
      </w:r>
      <w:r>
        <w:rPr>
          <w:rFonts w:hint="eastAsia" w:ascii="宋体" w:hAnsi="宋体"/>
          <w:sz w:val="21"/>
          <w:szCs w:val="21"/>
        </w:rPr>
        <w:t>年9月 30 日</w:t>
      </w:r>
      <w:r>
        <w:rPr>
          <w:rFonts w:hint="eastAsia" w:ascii="宋体"/>
          <w:sz w:val="21"/>
          <w:szCs w:val="21"/>
        </w:rPr>
        <w:t>14时3</w:t>
      </w:r>
      <w:r>
        <w:rPr>
          <w:rFonts w:ascii="宋体"/>
          <w:sz w:val="21"/>
          <w:szCs w:val="21"/>
        </w:rPr>
        <w:t>0</w:t>
      </w:r>
      <w:r>
        <w:rPr>
          <w:rFonts w:hint="eastAsia" w:ascii="宋体"/>
          <w:sz w:val="21"/>
          <w:szCs w:val="21"/>
        </w:rPr>
        <w:t>分（北京时间）</w:t>
      </w:r>
    </w:p>
    <w:p>
      <w:pPr>
        <w:spacing w:line="440" w:lineRule="exact"/>
        <w:ind w:left="420" w:leftChars="150" w:firstLine="420" w:firstLineChars="200"/>
        <w:rPr>
          <w:rFonts w:ascii="宋体"/>
          <w:sz w:val="21"/>
          <w:szCs w:val="21"/>
        </w:rPr>
      </w:pPr>
      <w:r>
        <w:rPr>
          <w:rFonts w:hint="eastAsia" w:ascii="宋体"/>
          <w:sz w:val="21"/>
          <w:szCs w:val="21"/>
        </w:rPr>
        <w:t>（七）磋商地点：重庆信科设计有限公司（重庆市渝北区金开大道西段106号（两江新区互联网产业园一期）15栋2楼）。</w:t>
      </w:r>
    </w:p>
    <w:p>
      <w:pPr>
        <w:spacing w:line="440" w:lineRule="exact"/>
        <w:ind w:left="420" w:leftChars="150" w:firstLine="420" w:firstLineChars="200"/>
        <w:rPr>
          <w:rFonts w:ascii="宋体"/>
          <w:sz w:val="21"/>
          <w:szCs w:val="21"/>
        </w:rPr>
      </w:pPr>
      <w:r>
        <w:rPr>
          <w:rFonts w:hint="eastAsia" w:ascii="宋体"/>
          <w:sz w:val="21"/>
          <w:szCs w:val="21"/>
        </w:rPr>
        <w:t>（八）供应商须满足以下两种要件，其磋商才被接受：</w:t>
      </w:r>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ab/>
      </w:r>
      <w:r>
        <w:rPr>
          <w:rFonts w:hint="eastAsia" w:ascii="宋体" w:hAnsi="宋体"/>
          <w:sz w:val="21"/>
          <w:szCs w:val="21"/>
        </w:rPr>
        <w:t>1.按时递交了磋商响应文件；</w:t>
      </w:r>
    </w:p>
    <w:p>
      <w:pPr>
        <w:spacing w:line="440" w:lineRule="exact"/>
        <w:ind w:left="420" w:leftChars="150" w:firstLine="420" w:firstLineChars="200"/>
        <w:rPr>
          <w:rFonts w:ascii="宋体"/>
          <w:sz w:val="21"/>
          <w:szCs w:val="21"/>
        </w:rPr>
      </w:pPr>
      <w:r>
        <w:rPr>
          <w:rFonts w:hint="eastAsia" w:ascii="宋体" w:hAnsi="宋体"/>
          <w:sz w:val="21"/>
          <w:szCs w:val="21"/>
        </w:rPr>
        <w:t>2.按时报名签到。</w:t>
      </w:r>
    </w:p>
    <w:p>
      <w:pPr>
        <w:pStyle w:val="4"/>
        <w:spacing w:before="0" w:after="0" w:line="440" w:lineRule="exact"/>
        <w:ind w:left="420" w:leftChars="150"/>
        <w:rPr>
          <w:rFonts w:hint="eastAsia" w:ascii="宋体" w:hAnsi="宋体"/>
          <w:sz w:val="21"/>
          <w:szCs w:val="21"/>
        </w:rPr>
      </w:pPr>
      <w:bookmarkStart w:id="49" w:name="_Toc373860294"/>
      <w:bookmarkStart w:id="50" w:name="_Toc498595490"/>
      <w:r>
        <w:rPr>
          <w:rFonts w:hint="eastAsia" w:ascii="宋体" w:hAnsi="宋体"/>
          <w:sz w:val="21"/>
          <w:szCs w:val="21"/>
        </w:rPr>
        <w:t>五、</w:t>
      </w:r>
      <w:bookmarkEnd w:id="49"/>
      <w:bookmarkStart w:id="51" w:name="_Toc14784"/>
      <w:bookmarkStart w:id="52" w:name="_Toc3835"/>
      <w:bookmarkStart w:id="53" w:name="_Toc479668114"/>
      <w:bookmarkStart w:id="54" w:name="_Toc67642658"/>
      <w:bookmarkStart w:id="55" w:name="_Toc15666"/>
      <w:bookmarkStart w:id="56" w:name="_Toc12"/>
      <w:bookmarkStart w:id="57" w:name="_Toc12809"/>
      <w:bookmarkStart w:id="58" w:name="_Toc480466698"/>
      <w:bookmarkStart w:id="59" w:name="_Toc1892"/>
      <w:r>
        <w:rPr>
          <w:rFonts w:hint="eastAsia" w:ascii="宋体" w:hAnsi="宋体"/>
          <w:sz w:val="21"/>
          <w:szCs w:val="21"/>
        </w:rPr>
        <w:t>磋商保证金</w:t>
      </w:r>
      <w:bookmarkEnd w:id="51"/>
    </w:p>
    <w:p>
      <w:pPr>
        <w:spacing w:line="440" w:lineRule="exact"/>
        <w:ind w:left="420" w:leftChars="150" w:firstLine="420" w:firstLineChars="200"/>
        <w:rPr>
          <w:rFonts w:hint="eastAsia" w:ascii="宋体" w:hAnsi="宋体"/>
          <w:sz w:val="21"/>
          <w:szCs w:val="21"/>
        </w:rPr>
      </w:pPr>
      <w:r>
        <w:rPr>
          <w:rFonts w:hint="eastAsia" w:ascii="宋体" w:hAnsi="宋体"/>
          <w:sz w:val="21"/>
          <w:szCs w:val="21"/>
        </w:rPr>
        <w:t>本项目不收取保证金。</w:t>
      </w:r>
    </w:p>
    <w:p>
      <w:pPr>
        <w:pStyle w:val="4"/>
        <w:spacing w:before="0" w:after="0" w:line="440" w:lineRule="exact"/>
        <w:ind w:left="420" w:leftChars="150"/>
        <w:rPr>
          <w:rFonts w:ascii="宋体"/>
          <w:sz w:val="21"/>
          <w:szCs w:val="21"/>
        </w:rPr>
      </w:pPr>
      <w:r>
        <w:rPr>
          <w:rFonts w:hint="eastAsia" w:ascii="宋体" w:hAnsi="宋体"/>
          <w:sz w:val="21"/>
          <w:szCs w:val="21"/>
        </w:rPr>
        <w:t>六、采购项目需落实的政府采购政策</w:t>
      </w:r>
      <w:bookmarkEnd w:id="50"/>
      <w:bookmarkEnd w:id="52"/>
      <w:bookmarkEnd w:id="53"/>
      <w:bookmarkEnd w:id="54"/>
      <w:bookmarkEnd w:id="55"/>
      <w:bookmarkEnd w:id="56"/>
      <w:bookmarkEnd w:id="57"/>
      <w:bookmarkEnd w:id="58"/>
      <w:bookmarkEnd w:id="59"/>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（二）按照财政部、工业和信息化部关于印发《政府采购促进中小企业发展管理办法》的通知（财库〔2020〕46号）的规定，落实促进中小企业发展政策。</w:t>
      </w:r>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（三）按照《财政部、司法部关于政府采购支持监狱企业发展有关问题的通知》（财库〔2014〕68号）的规定，落实支持监狱企业发展政策。监狱企业视同小型、微型企业。</w:t>
      </w:r>
    </w:p>
    <w:p>
      <w:pPr>
        <w:snapToGrid w:val="0"/>
        <w:spacing w:line="440" w:lineRule="exact"/>
        <w:ind w:left="420" w:leftChars="150" w:firstLine="420" w:firstLineChars="200"/>
        <w:rPr>
          <w:rFonts w:ascii="宋体"/>
          <w:sz w:val="21"/>
          <w:szCs w:val="21"/>
        </w:rPr>
      </w:pPr>
      <w:r>
        <w:rPr>
          <w:rFonts w:hint="eastAsia" w:ascii="宋体" w:hAnsi="宋体"/>
          <w:sz w:val="21"/>
          <w:szCs w:val="21"/>
        </w:rPr>
        <w:t>（四）按照《三部门联合发布关于促进残疾人就业政府采购政策的通知》（财库〔2017〕141号）的规定，落实支持残疾人福利性单位发展政策。残疾人福利性单位视同小型、微型企业。</w:t>
      </w:r>
    </w:p>
    <w:p>
      <w:pPr>
        <w:pStyle w:val="4"/>
        <w:spacing w:before="0" w:after="0" w:line="440" w:lineRule="exact"/>
        <w:ind w:left="420" w:leftChars="150"/>
        <w:rPr>
          <w:rFonts w:ascii="宋体"/>
          <w:sz w:val="21"/>
          <w:szCs w:val="21"/>
        </w:rPr>
      </w:pPr>
      <w:bookmarkStart w:id="60" w:name="_Toc29164"/>
      <w:bookmarkStart w:id="61" w:name="_Toc8199"/>
      <w:bookmarkStart w:id="62" w:name="_Toc67642659"/>
      <w:bookmarkStart w:id="63" w:name="_Toc24321"/>
      <w:bookmarkStart w:id="64" w:name="_Toc12697"/>
      <w:bookmarkStart w:id="65" w:name="_Toc12287"/>
      <w:r>
        <w:rPr>
          <w:rFonts w:hint="eastAsia" w:ascii="宋体" w:hAnsi="宋体"/>
          <w:sz w:val="21"/>
          <w:szCs w:val="21"/>
        </w:rPr>
        <w:t>七、</w:t>
      </w:r>
      <w:bookmarkEnd w:id="35"/>
      <w:r>
        <w:rPr>
          <w:rFonts w:hint="eastAsia" w:ascii="宋体" w:hAnsi="宋体"/>
          <w:sz w:val="21"/>
          <w:szCs w:val="21"/>
        </w:rPr>
        <w:t>其它有关规定</w:t>
      </w:r>
      <w:bookmarkEnd w:id="60"/>
      <w:bookmarkEnd w:id="61"/>
      <w:bookmarkEnd w:id="62"/>
      <w:bookmarkEnd w:id="63"/>
      <w:bookmarkEnd w:id="64"/>
      <w:bookmarkEnd w:id="65"/>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（一）单位负责人为同一人或者存在直接控股、管理关系的不同供应商，不得参加同一合同项（包）下的采购活动，否则均为无效响应。</w:t>
      </w:r>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（二）为采购项目提供整体设计、规范编制或者项目管理、监理、检测等服务的供应商，不得再参加该采购项目的其他采购活动。</w:t>
      </w:r>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（三）本项目的补遗文件（如果有）一律在重庆市交通运输委员会官网（https://jtj.cq.gov.cn/）上发布，请各供应商注意下载；无论供应商下载或领取与否，均视同供应商已知晓本项目补遗文件（如果有）的内容。</w:t>
      </w:r>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（四）超过响应文件截止时间递交的响应文件，恕不接收。</w:t>
      </w:r>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（五）磋商费用：无论磋商结果如何，供应商参与本项目磋商的所有费用均应由供应商自行承担。</w:t>
      </w:r>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（六）本项目不接受联合体参与磋商，否则按无效处理。</w:t>
      </w:r>
    </w:p>
    <w:p>
      <w:pPr>
        <w:snapToGrid w:val="0"/>
        <w:spacing w:line="440" w:lineRule="exact"/>
        <w:ind w:left="420" w:leftChars="150" w:firstLine="420" w:firstLineChars="200"/>
        <w:rPr>
          <w:rFonts w:hint="eastAsia" w:ascii="宋体" w:hAnsi="宋体"/>
          <w:sz w:val="21"/>
          <w:szCs w:val="21"/>
        </w:rPr>
      </w:pPr>
      <w:r>
        <w:rPr>
          <w:rFonts w:hint="eastAsia" w:ascii="宋体" w:hAnsi="宋体"/>
          <w:sz w:val="21"/>
          <w:szCs w:val="21"/>
        </w:rPr>
        <w:t>（七）本项目不接受合同分包，否则按无效处理。</w:t>
      </w:r>
    </w:p>
    <w:p>
      <w:pPr>
        <w:snapToGrid w:val="0"/>
        <w:spacing w:line="440" w:lineRule="exact"/>
        <w:ind w:left="420" w:leftChars="150" w:firstLine="420" w:firstLineChars="200"/>
        <w:rPr>
          <w:rFonts w:ascii="宋体"/>
          <w:sz w:val="21"/>
          <w:szCs w:val="21"/>
        </w:rPr>
      </w:pPr>
      <w:r>
        <w:rPr>
          <w:rFonts w:hint="eastAsia" w:ascii="宋体" w:hAnsi="宋体"/>
          <w:sz w:val="21"/>
          <w:szCs w:val="21"/>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spacing w:before="0" w:after="0" w:line="440" w:lineRule="exact"/>
        <w:ind w:left="420" w:leftChars="150"/>
        <w:rPr>
          <w:rFonts w:ascii="宋体"/>
          <w:sz w:val="21"/>
          <w:szCs w:val="21"/>
        </w:rPr>
      </w:pPr>
      <w:bookmarkStart w:id="66" w:name="_Toc67642660"/>
      <w:bookmarkStart w:id="67" w:name="_Toc10638"/>
      <w:bookmarkStart w:id="68" w:name="_Toc13020"/>
      <w:bookmarkStart w:id="69" w:name="_Toc14942"/>
      <w:bookmarkStart w:id="70" w:name="_Toc2365"/>
      <w:bookmarkStart w:id="71" w:name="_Toc29595"/>
      <w:r>
        <w:rPr>
          <w:rFonts w:hint="eastAsia" w:ascii="宋体" w:hAnsi="宋体"/>
          <w:sz w:val="21"/>
          <w:szCs w:val="21"/>
        </w:rPr>
        <w:t>八、联系方式</w:t>
      </w:r>
      <w:bookmarkEnd w:id="66"/>
      <w:bookmarkEnd w:id="67"/>
      <w:bookmarkEnd w:id="68"/>
      <w:bookmarkEnd w:id="69"/>
      <w:bookmarkEnd w:id="70"/>
      <w:bookmarkEnd w:id="71"/>
    </w:p>
    <w:p>
      <w:pPr>
        <w:snapToGrid w:val="0"/>
        <w:spacing w:line="440" w:lineRule="exact"/>
        <w:ind w:left="420" w:leftChars="150"/>
        <w:rPr>
          <w:rFonts w:hint="eastAsia" w:ascii="宋体" w:hAnsi="宋体"/>
          <w:sz w:val="21"/>
          <w:szCs w:val="21"/>
        </w:rPr>
      </w:pPr>
      <w:r>
        <w:rPr>
          <w:rFonts w:hint="eastAsia" w:ascii="宋体" w:hAnsi="宋体"/>
          <w:sz w:val="21"/>
          <w:szCs w:val="21"/>
        </w:rPr>
        <w:t>（一）采购人：重庆市交通运输委员会</w:t>
      </w:r>
    </w:p>
    <w:p>
      <w:pPr>
        <w:snapToGrid w:val="0"/>
        <w:spacing w:line="440" w:lineRule="exact"/>
        <w:ind w:left="420" w:leftChars="150"/>
        <w:rPr>
          <w:rFonts w:hint="eastAsia" w:ascii="宋体" w:hAnsi="宋体"/>
          <w:sz w:val="21"/>
          <w:szCs w:val="21"/>
        </w:rPr>
      </w:pPr>
      <w:r>
        <w:rPr>
          <w:rFonts w:hint="eastAsia" w:ascii="宋体" w:hAnsi="宋体"/>
          <w:sz w:val="21"/>
          <w:szCs w:val="21"/>
        </w:rPr>
        <w:t>联系人：韩老师</w:t>
      </w:r>
    </w:p>
    <w:p>
      <w:pPr>
        <w:snapToGrid w:val="0"/>
        <w:spacing w:line="440" w:lineRule="exact"/>
        <w:ind w:left="420" w:leftChars="150"/>
        <w:rPr>
          <w:rFonts w:hint="eastAsia" w:ascii="宋体" w:hAnsi="宋体"/>
          <w:sz w:val="21"/>
          <w:szCs w:val="21"/>
        </w:rPr>
      </w:pPr>
      <w:r>
        <w:rPr>
          <w:rFonts w:hint="eastAsia" w:ascii="宋体" w:hAnsi="宋体"/>
          <w:sz w:val="21"/>
          <w:szCs w:val="21"/>
        </w:rPr>
        <w:t>电  话：023-89183102</w:t>
      </w:r>
    </w:p>
    <w:p>
      <w:pPr>
        <w:snapToGrid w:val="0"/>
        <w:spacing w:line="440" w:lineRule="exact"/>
        <w:ind w:left="420" w:leftChars="150"/>
        <w:rPr>
          <w:rFonts w:hint="eastAsia" w:ascii="宋体" w:hAnsi="宋体"/>
          <w:sz w:val="21"/>
          <w:szCs w:val="21"/>
        </w:rPr>
      </w:pPr>
      <w:r>
        <w:rPr>
          <w:rFonts w:hint="eastAsia" w:ascii="宋体" w:hAnsi="宋体"/>
          <w:sz w:val="21"/>
          <w:szCs w:val="21"/>
        </w:rPr>
        <w:t>地  址：重庆市渝北区龙溪红锦大道20号</w:t>
      </w:r>
    </w:p>
    <w:p>
      <w:pPr>
        <w:snapToGrid w:val="0"/>
        <w:spacing w:line="440" w:lineRule="exact"/>
        <w:ind w:left="420" w:leftChars="150"/>
        <w:rPr>
          <w:rFonts w:hint="eastAsia" w:ascii="宋体" w:hAnsi="宋体"/>
          <w:sz w:val="21"/>
          <w:szCs w:val="21"/>
        </w:rPr>
      </w:pPr>
      <w:r>
        <w:rPr>
          <w:rFonts w:hint="eastAsia" w:ascii="宋体" w:hAnsi="宋体"/>
          <w:sz w:val="21"/>
          <w:szCs w:val="21"/>
        </w:rPr>
        <w:t>（二）采购代理机构：重庆信科设计有限公司</w:t>
      </w:r>
    </w:p>
    <w:p>
      <w:pPr>
        <w:snapToGrid w:val="0"/>
        <w:spacing w:line="440" w:lineRule="exact"/>
        <w:ind w:left="420" w:leftChars="150"/>
        <w:rPr>
          <w:rFonts w:hint="eastAsia" w:ascii="宋体" w:hAnsi="宋体"/>
          <w:sz w:val="21"/>
          <w:szCs w:val="21"/>
        </w:rPr>
      </w:pPr>
      <w:r>
        <w:rPr>
          <w:rFonts w:hint="eastAsia" w:ascii="宋体" w:hAnsi="宋体"/>
          <w:sz w:val="21"/>
          <w:szCs w:val="21"/>
        </w:rPr>
        <w:t>联系人：曹薇、郭珊珊、彭鹏</w:t>
      </w:r>
    </w:p>
    <w:p>
      <w:pPr>
        <w:snapToGrid w:val="0"/>
        <w:spacing w:line="440" w:lineRule="exact"/>
        <w:ind w:left="420" w:leftChars="150"/>
        <w:rPr>
          <w:rFonts w:hint="eastAsia" w:ascii="宋体" w:hAnsi="宋体"/>
          <w:sz w:val="21"/>
          <w:szCs w:val="21"/>
        </w:rPr>
      </w:pPr>
      <w:r>
        <w:rPr>
          <w:rFonts w:hint="eastAsia" w:ascii="宋体" w:hAnsi="宋体"/>
          <w:sz w:val="21"/>
          <w:szCs w:val="21"/>
        </w:rPr>
        <w:t>电  话：</w:t>
      </w:r>
      <w:r>
        <w:rPr>
          <w:rFonts w:ascii="宋体" w:hAnsi="宋体"/>
          <w:sz w:val="21"/>
          <w:szCs w:val="21"/>
        </w:rPr>
        <w:t>13</w:t>
      </w:r>
      <w:r>
        <w:rPr>
          <w:rFonts w:hint="eastAsia" w:ascii="宋体" w:hAnsi="宋体"/>
          <w:sz w:val="21"/>
          <w:szCs w:val="21"/>
        </w:rPr>
        <w:t>594051737</w:t>
      </w:r>
    </w:p>
    <w:p>
      <w:pPr>
        <w:snapToGrid w:val="0"/>
        <w:spacing w:line="440" w:lineRule="exact"/>
        <w:ind w:left="420" w:leftChars="150"/>
        <w:rPr>
          <w:rFonts w:hint="eastAsia" w:ascii="宋体" w:hAnsi="宋体"/>
          <w:sz w:val="21"/>
          <w:szCs w:val="21"/>
        </w:rPr>
      </w:pPr>
      <w:r>
        <w:rPr>
          <w:rFonts w:hint="eastAsia" w:ascii="宋体" w:hAnsi="宋体"/>
          <w:sz w:val="21"/>
          <w:szCs w:val="21"/>
        </w:rPr>
        <w:t>地  址：重庆市渝北区金开大道西段106号（两江新区互联网产业园一期）15栋</w:t>
      </w:r>
    </w:p>
    <w:bookmarkEnd w:id="17"/>
    <w:p>
      <w:pPr>
        <w:pStyle w:val="3"/>
        <w:tabs>
          <w:tab w:val="left" w:pos="4962"/>
        </w:tabs>
        <w:spacing w:before="0" w:after="0" w:line="360" w:lineRule="auto"/>
        <w:jc w:val="center"/>
        <w:rPr>
          <w:rFonts w:hint="eastAsia" w:ascii="宋体" w:hAnsi="宋体" w:eastAsia="宋体"/>
          <w:b w:val="0"/>
          <w:sz w:val="36"/>
          <w:szCs w:val="30"/>
        </w:rPr>
      </w:pPr>
      <w:r>
        <w:rPr>
          <w:rFonts w:ascii="宋体" w:eastAsia="宋体"/>
          <w:bCs/>
          <w:sz w:val="24"/>
          <w:szCs w:val="24"/>
        </w:rPr>
        <w:br w:type="page"/>
      </w:r>
      <w:bookmarkEnd w:id="20"/>
      <w:bookmarkStart w:id="72" w:name="_Toc27818"/>
      <w:bookmarkStart w:id="73" w:name="_Toc102227313"/>
      <w:bookmarkStart w:id="74" w:name="_Toc486932347"/>
      <w:r>
        <w:rPr>
          <w:rFonts w:hint="eastAsia" w:ascii="宋体" w:hAnsi="宋体" w:eastAsia="宋体"/>
          <w:b w:val="0"/>
          <w:sz w:val="36"/>
          <w:szCs w:val="30"/>
        </w:rPr>
        <w:t>第二篇 项目服务需求</w:t>
      </w:r>
      <w:bookmarkEnd w:id="72"/>
    </w:p>
    <w:bookmarkEnd w:id="15"/>
    <w:p>
      <w:pPr>
        <w:pStyle w:val="3"/>
        <w:adjustRightInd w:val="0"/>
        <w:snapToGrid w:val="0"/>
        <w:spacing w:before="0" w:after="0" w:line="400" w:lineRule="exact"/>
        <w:ind w:firstLine="442" w:firstLineChars="200"/>
        <w:rPr>
          <w:rFonts w:hint="eastAsia" w:asciiTheme="minorEastAsia" w:hAnsiTheme="minorEastAsia" w:eastAsiaTheme="minorEastAsia" w:cstheme="minorEastAsia"/>
          <w:sz w:val="22"/>
          <w:szCs w:val="18"/>
        </w:rPr>
      </w:pPr>
      <w:bookmarkStart w:id="75" w:name="_Toc106030879"/>
      <w:bookmarkStart w:id="76" w:name="_Toc486932361"/>
      <w:bookmarkStart w:id="77" w:name="_Toc12789058"/>
      <w:r>
        <w:rPr>
          <w:rFonts w:hint="eastAsia" w:asciiTheme="minorEastAsia" w:hAnsiTheme="minorEastAsia" w:eastAsiaTheme="minorEastAsia" w:cstheme="minorEastAsia"/>
          <w:sz w:val="22"/>
          <w:szCs w:val="18"/>
        </w:rPr>
        <w:t>一、项目</w:t>
      </w:r>
      <w:bookmarkEnd w:id="75"/>
      <w:r>
        <w:rPr>
          <w:rFonts w:hint="eastAsia" w:asciiTheme="minorEastAsia" w:hAnsiTheme="minorEastAsia" w:eastAsiaTheme="minorEastAsia" w:cstheme="minorEastAsia"/>
          <w:sz w:val="22"/>
          <w:szCs w:val="18"/>
        </w:rPr>
        <w:t>建设概况</w:t>
      </w:r>
    </w:p>
    <w:p>
      <w:pPr>
        <w:spacing w:line="400" w:lineRule="exact"/>
        <w:ind w:firstLine="440" w:firstLineChars="200"/>
        <w:rPr>
          <w:rFonts w:hint="eastAsia" w:ascii="宋体" w:hAnsi="宋体"/>
          <w:sz w:val="22"/>
          <w:szCs w:val="22"/>
        </w:rPr>
      </w:pPr>
      <w:r>
        <w:rPr>
          <w:rFonts w:hint="eastAsia" w:ascii="宋体" w:hAnsi="宋体"/>
          <w:sz w:val="22"/>
          <w:szCs w:val="22"/>
        </w:rPr>
        <w:t>为进一步提升审计工作开展，项目核心围绕审计数据资产化、业务流程标准化、内控体系长效化三大目标展开。具体包括：系统性地对历年审计资料进行规范化整理与电子化归档，构建易于检索、可持续运营的电子档案库；深入诊断审计管理流程，设计并持续优化标准化工作模板与操作规范，建立效能监测与迭代机制；协助完善内控体系，并开展内控审计以检验其有效性，确保风险可控与管理闭环。</w:t>
      </w:r>
    </w:p>
    <w:p>
      <w:pPr>
        <w:pStyle w:val="3"/>
        <w:adjustRightInd w:val="0"/>
        <w:snapToGrid w:val="0"/>
        <w:spacing w:before="0" w:after="0" w:line="400" w:lineRule="exact"/>
        <w:ind w:firstLine="442" w:firstLineChars="200"/>
        <w:rPr>
          <w:rFonts w:hint="eastAsia" w:asciiTheme="minorEastAsia" w:hAnsiTheme="minorEastAsia" w:eastAsiaTheme="minorEastAsia" w:cstheme="minorEastAsia"/>
          <w:sz w:val="22"/>
          <w:szCs w:val="18"/>
        </w:rPr>
      </w:pPr>
      <w:r>
        <w:rPr>
          <w:rFonts w:hint="eastAsia" w:asciiTheme="minorEastAsia" w:hAnsiTheme="minorEastAsia" w:eastAsiaTheme="minorEastAsia" w:cstheme="minorEastAsia"/>
          <w:sz w:val="22"/>
          <w:szCs w:val="18"/>
        </w:rPr>
        <w:t>二、项目服务内容</w:t>
      </w:r>
    </w:p>
    <w:p>
      <w:pPr>
        <w:spacing w:line="400" w:lineRule="exact"/>
        <w:ind w:firstLine="440" w:firstLineChars="200"/>
        <w:rPr>
          <w:rFonts w:hint="eastAsia" w:ascii="宋体" w:hAnsi="宋体"/>
          <w:sz w:val="22"/>
          <w:szCs w:val="22"/>
        </w:rPr>
      </w:pPr>
      <w:r>
        <w:rPr>
          <w:rFonts w:hint="eastAsia" w:ascii="宋体" w:hAnsi="宋体"/>
          <w:sz w:val="22"/>
          <w:szCs w:val="22"/>
        </w:rPr>
        <w:t>1.完成每年的资料整理与审计基础工作协助，搭建电子档案库框架，实现数字化管理，建立档案更新与运维机制。</w:t>
      </w:r>
    </w:p>
    <w:p>
      <w:pPr>
        <w:spacing w:line="400" w:lineRule="exact"/>
        <w:ind w:firstLine="440" w:firstLineChars="200"/>
        <w:rPr>
          <w:rFonts w:hint="eastAsia" w:ascii="宋体" w:hAnsi="宋体"/>
          <w:sz w:val="22"/>
          <w:szCs w:val="22"/>
        </w:rPr>
      </w:pPr>
      <w:r>
        <w:rPr>
          <w:rFonts w:hint="eastAsia" w:ascii="宋体" w:hAnsi="宋体"/>
          <w:sz w:val="22"/>
          <w:szCs w:val="22"/>
        </w:rPr>
        <w:t>2.对审计业务工作流程系统性优化，开展审计业务流程优化后的执行效果评估和效能监测机制。收集实际应用中的数据和问题，运用数据分析和处理，建立标准的工作流程和体系。</w:t>
      </w:r>
    </w:p>
    <w:p>
      <w:pPr>
        <w:spacing w:line="400" w:lineRule="exact"/>
        <w:ind w:firstLine="440" w:firstLineChars="200"/>
        <w:rPr>
          <w:rFonts w:hint="eastAsia" w:ascii="宋体" w:hAnsi="宋体"/>
          <w:sz w:val="22"/>
          <w:szCs w:val="22"/>
        </w:rPr>
      </w:pPr>
      <w:r>
        <w:rPr>
          <w:rFonts w:hint="eastAsia" w:ascii="宋体" w:hAnsi="宋体"/>
          <w:sz w:val="22"/>
          <w:szCs w:val="22"/>
        </w:rPr>
        <w:t>3.协助采购人组织实施本单位内部控制自我评价工作。通过对内控体系的分析和评估，发现潜在的风险，提出具体的优化建议，引入内控评价数字化工具提升管理效率，将评价结果电子化归档，形成常态化更新。</w:t>
      </w:r>
    </w:p>
    <w:p>
      <w:pPr>
        <w:spacing w:line="400" w:lineRule="exact"/>
        <w:ind w:firstLine="440" w:firstLineChars="200"/>
        <w:rPr>
          <w:rFonts w:hint="eastAsia" w:asciiTheme="minorEastAsia" w:hAnsiTheme="minorEastAsia" w:eastAsiaTheme="minorEastAsia" w:cstheme="minorEastAsia"/>
          <w:sz w:val="22"/>
          <w:szCs w:val="22"/>
        </w:rPr>
      </w:pPr>
      <w:r>
        <w:rPr>
          <w:rFonts w:hint="eastAsia" w:ascii="宋体" w:hAnsi="宋体"/>
          <w:sz w:val="22"/>
          <w:szCs w:val="22"/>
        </w:rPr>
        <w:t>4.提供政策法规解读与咨询，为审计工作提供专业支持。为采购人提供1名专业人员阶段性驻场，负责日常沟通、资料整理及现场辅助工作</w:t>
      </w:r>
      <w:r>
        <w:rPr>
          <w:rFonts w:hint="eastAsia" w:asciiTheme="minorEastAsia" w:hAnsiTheme="minorEastAsia" w:eastAsiaTheme="minorEastAsia" w:cstheme="minorEastAsia"/>
          <w:sz w:val="22"/>
          <w:szCs w:val="22"/>
        </w:rPr>
        <w:t>。</w:t>
      </w:r>
    </w:p>
    <w:p>
      <w:pPr>
        <w:pStyle w:val="3"/>
        <w:adjustRightInd w:val="0"/>
        <w:snapToGrid w:val="0"/>
        <w:spacing w:before="0" w:after="0" w:line="400" w:lineRule="exact"/>
        <w:ind w:firstLine="442" w:firstLineChars="200"/>
        <w:rPr>
          <w:rFonts w:hint="eastAsia" w:asciiTheme="minorEastAsia" w:hAnsiTheme="minorEastAsia" w:eastAsiaTheme="minorEastAsia" w:cstheme="minorEastAsia"/>
          <w:sz w:val="22"/>
          <w:szCs w:val="18"/>
        </w:rPr>
      </w:pPr>
      <w:r>
        <w:rPr>
          <w:rFonts w:hint="eastAsia" w:asciiTheme="minorEastAsia" w:hAnsiTheme="minorEastAsia" w:eastAsiaTheme="minorEastAsia" w:cstheme="minorEastAsia"/>
          <w:sz w:val="22"/>
          <w:szCs w:val="18"/>
        </w:rPr>
        <w:t>三、项目服务要求</w:t>
      </w:r>
    </w:p>
    <w:p>
      <w:pPr>
        <w:spacing w:line="400" w:lineRule="exact"/>
        <w:ind w:firstLine="440" w:firstLineChars="200"/>
        <w:rPr>
          <w:rFonts w:hint="eastAsia" w:ascii="宋体" w:hAnsi="宋体"/>
          <w:sz w:val="22"/>
          <w:szCs w:val="22"/>
        </w:rPr>
      </w:pPr>
      <w:r>
        <w:rPr>
          <w:rFonts w:hint="eastAsia" w:ascii="宋体" w:hAnsi="宋体"/>
          <w:sz w:val="22"/>
          <w:szCs w:val="22"/>
        </w:rPr>
        <w:t>1.供应商需具备审计咨询或相关服务经验，能提供专业化、系统化服务，组建稳定团队，确保高质量交付并及时响应需求；</w:t>
      </w:r>
    </w:p>
    <w:p>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2.团队成员需具备审计、内控等专业背景；驻场人员应具有2年以上相关经验；</w:t>
      </w:r>
    </w:p>
    <w:p>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3.制定详细实施计划，明确任务节点与人员分工任务；服务期内应优化服务，按采购人需求组织各类专家提供专业化咨询服务。</w:t>
      </w:r>
    </w:p>
    <w:p>
      <w:pPr>
        <w:spacing w:line="40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4.供应商应严格保密采购人数据，不得擅自使用、泄露或向他人提供审计服务过程中的数据资料和结果。</w:t>
      </w:r>
    </w:p>
    <w:p>
      <w:pPr>
        <w:jc w:val="left"/>
        <w:rPr>
          <w:rFonts w:hint="eastAsia" w:asciiTheme="minorEastAsia" w:hAnsiTheme="minorEastAsia" w:eastAsiaTheme="minorEastAsia" w:cstheme="minorEastAsia"/>
          <w:b/>
          <w:sz w:val="21"/>
          <w:szCs w:val="21"/>
        </w:rPr>
      </w:pPr>
    </w:p>
    <w:p>
      <w:pPr>
        <w:jc w:val="left"/>
        <w:rPr>
          <w:rFonts w:hint="eastAsia" w:asciiTheme="minorEastAsia" w:hAnsiTheme="minorEastAsia" w:eastAsiaTheme="minorEastAsia" w:cstheme="minorEastAsia"/>
          <w:b/>
          <w:sz w:val="21"/>
          <w:szCs w:val="21"/>
        </w:rPr>
      </w:pPr>
    </w:p>
    <w:p>
      <w:r>
        <w:rPr>
          <w:rFonts w:hint="eastAsia"/>
        </w:rPr>
        <w:br w:type="page"/>
      </w:r>
    </w:p>
    <w:p>
      <w:pPr>
        <w:pStyle w:val="3"/>
        <w:tabs>
          <w:tab w:val="left" w:pos="4962"/>
        </w:tabs>
        <w:spacing w:before="0" w:after="0" w:line="360" w:lineRule="auto"/>
        <w:jc w:val="center"/>
        <w:rPr>
          <w:rFonts w:ascii="宋体" w:eastAsia="宋体"/>
          <w:sz w:val="21"/>
          <w:szCs w:val="21"/>
        </w:rPr>
      </w:pPr>
      <w:bookmarkStart w:id="78" w:name="_Toc67642664"/>
      <w:bookmarkStart w:id="79" w:name="_Toc10695"/>
      <w:bookmarkStart w:id="80" w:name="_Toc11354"/>
      <w:bookmarkStart w:id="81" w:name="_Toc4782"/>
      <w:bookmarkStart w:id="82" w:name="_Toc3845"/>
      <w:bookmarkStart w:id="83" w:name="_Toc19228"/>
      <w:bookmarkStart w:id="84" w:name="_Toc5314"/>
      <w:r>
        <w:rPr>
          <w:rFonts w:hint="eastAsia" w:ascii="宋体" w:hAnsi="宋体" w:eastAsia="宋体"/>
          <w:b w:val="0"/>
          <w:sz w:val="36"/>
          <w:szCs w:val="30"/>
        </w:rPr>
        <w:t>第三篇 项目商务需求</w:t>
      </w:r>
      <w:bookmarkEnd w:id="76"/>
      <w:bookmarkEnd w:id="77"/>
      <w:bookmarkEnd w:id="78"/>
      <w:bookmarkEnd w:id="79"/>
      <w:bookmarkEnd w:id="80"/>
      <w:bookmarkEnd w:id="81"/>
      <w:bookmarkEnd w:id="82"/>
      <w:bookmarkEnd w:id="83"/>
      <w:bookmarkEnd w:id="84"/>
    </w:p>
    <w:p>
      <w:pPr>
        <w:pStyle w:val="4"/>
        <w:spacing w:before="0" w:after="0" w:line="440" w:lineRule="exact"/>
        <w:ind w:left="420" w:leftChars="150"/>
        <w:rPr>
          <w:rFonts w:hint="eastAsia" w:ascii="宋体" w:hAnsi="宋体"/>
          <w:sz w:val="21"/>
          <w:szCs w:val="21"/>
        </w:rPr>
      </w:pPr>
      <w:r>
        <w:rPr>
          <w:rFonts w:hint="eastAsia" w:ascii="宋体" w:hAnsi="宋体"/>
          <w:sz w:val="21"/>
          <w:szCs w:val="21"/>
        </w:rPr>
        <w:t>一、服务期、服务地点及验收方式</w:t>
      </w:r>
    </w:p>
    <w:p>
      <w:pPr>
        <w:snapToGrid w:val="0"/>
        <w:spacing w:before="120" w:beforeLines="50" w:line="360" w:lineRule="auto"/>
        <w:ind w:firstLine="420" w:firstLineChars="200"/>
        <w:rPr>
          <w:rFonts w:hint="eastAsia" w:ascii="宋体" w:hAnsi="宋体"/>
          <w:sz w:val="21"/>
          <w:szCs w:val="21"/>
        </w:rPr>
      </w:pPr>
      <w:r>
        <w:rPr>
          <w:rFonts w:hint="eastAsia" w:ascii="宋体" w:hAnsi="宋体"/>
          <w:sz w:val="21"/>
          <w:szCs w:val="21"/>
        </w:rPr>
        <w:t>（一）服务时间：签订合同之日起至2028年持续三年为止。</w:t>
      </w:r>
    </w:p>
    <w:p>
      <w:pPr>
        <w:snapToGrid w:val="0"/>
        <w:spacing w:before="120" w:beforeLines="50" w:line="360" w:lineRule="auto"/>
        <w:ind w:firstLine="420" w:firstLineChars="200"/>
        <w:rPr>
          <w:rFonts w:hint="eastAsia" w:ascii="宋体" w:hAnsi="宋体"/>
          <w:sz w:val="21"/>
          <w:szCs w:val="21"/>
        </w:rPr>
      </w:pPr>
      <w:r>
        <w:rPr>
          <w:rFonts w:hint="eastAsia" w:ascii="宋体" w:hAnsi="宋体"/>
          <w:sz w:val="21"/>
          <w:szCs w:val="21"/>
        </w:rPr>
        <w:t>（二）服务地点：</w:t>
      </w:r>
      <w:bookmarkStart w:id="85" w:name="_Toc1998"/>
      <w:bookmarkStart w:id="86" w:name="_Toc67642666"/>
      <w:bookmarkStart w:id="87" w:name="_Toc9305"/>
      <w:bookmarkStart w:id="88" w:name="_Toc23013"/>
      <w:bookmarkStart w:id="89" w:name="_Toc3772"/>
      <w:bookmarkStart w:id="90" w:name="_Toc30106"/>
      <w:r>
        <w:rPr>
          <w:rFonts w:hint="eastAsia" w:ascii="宋体" w:hAnsi="宋体"/>
          <w:sz w:val="21"/>
          <w:szCs w:val="21"/>
        </w:rPr>
        <w:t>重庆市。</w:t>
      </w:r>
    </w:p>
    <w:p>
      <w:pPr>
        <w:snapToGrid w:val="0"/>
        <w:spacing w:before="120" w:beforeLines="50" w:line="360" w:lineRule="auto"/>
        <w:ind w:firstLine="420" w:firstLineChars="200"/>
        <w:rPr>
          <w:rFonts w:hint="eastAsia" w:ascii="宋体" w:hAnsi="宋体"/>
          <w:sz w:val="21"/>
          <w:szCs w:val="21"/>
        </w:rPr>
      </w:pPr>
      <w:r>
        <w:rPr>
          <w:rFonts w:hint="eastAsia" w:ascii="宋体" w:hAnsi="宋体"/>
          <w:sz w:val="21"/>
          <w:szCs w:val="21"/>
        </w:rPr>
        <w:t>（三）验收方式：通过采购人组织的验收评审。</w:t>
      </w:r>
    </w:p>
    <w:p>
      <w:pPr>
        <w:pStyle w:val="4"/>
        <w:spacing w:before="0" w:after="0" w:line="440" w:lineRule="exact"/>
        <w:ind w:left="420" w:leftChars="150"/>
        <w:rPr>
          <w:rFonts w:hint="eastAsia" w:ascii="宋体" w:hAnsi="宋体"/>
          <w:sz w:val="21"/>
          <w:szCs w:val="21"/>
        </w:rPr>
      </w:pPr>
      <w:r>
        <w:rPr>
          <w:rFonts w:hint="eastAsia" w:ascii="宋体" w:hAnsi="宋体"/>
          <w:sz w:val="21"/>
          <w:szCs w:val="21"/>
        </w:rPr>
        <w:t>二、报价要求</w:t>
      </w:r>
      <w:bookmarkEnd w:id="85"/>
      <w:bookmarkEnd w:id="86"/>
      <w:bookmarkEnd w:id="87"/>
      <w:bookmarkEnd w:id="88"/>
      <w:bookmarkEnd w:id="89"/>
      <w:bookmarkEnd w:id="90"/>
    </w:p>
    <w:p>
      <w:pPr>
        <w:spacing w:line="440" w:lineRule="exact"/>
        <w:ind w:firstLine="420" w:firstLineChars="200"/>
        <w:rPr>
          <w:rFonts w:hint="eastAsia" w:ascii="宋体" w:hAnsi="宋体"/>
          <w:sz w:val="21"/>
          <w:szCs w:val="21"/>
        </w:rPr>
      </w:pPr>
      <w:bookmarkStart w:id="91" w:name="_Toc503971948"/>
      <w:bookmarkStart w:id="92" w:name="_Toc466546915"/>
      <w:bookmarkStart w:id="93" w:name="_Toc509586474"/>
      <w:r>
        <w:rPr>
          <w:rFonts w:hint="eastAsia" w:ascii="宋体" w:hAnsi="宋体"/>
          <w:sz w:val="21"/>
          <w:szCs w:val="21"/>
        </w:rPr>
        <w:t>报价方式：本项目采用分项报价+总价的报价方式。供应商的报价应为项目服务期三年每年的报价以及三年服务的总报价。报价应包括供应商为完成服务所需承担的所有风险、责任和义务等一切费用。</w:t>
      </w:r>
    </w:p>
    <w:p>
      <w:pPr>
        <w:spacing w:line="440" w:lineRule="exact"/>
        <w:ind w:firstLine="420" w:firstLineChars="200"/>
        <w:rPr>
          <w:rFonts w:hint="eastAsia" w:ascii="宋体" w:hAnsi="宋体"/>
          <w:sz w:val="21"/>
          <w:szCs w:val="21"/>
        </w:rPr>
      </w:pPr>
      <w:r>
        <w:rPr>
          <w:rFonts w:hint="eastAsia" w:ascii="宋体" w:hAnsi="宋体"/>
          <w:sz w:val="21"/>
          <w:szCs w:val="21"/>
        </w:rPr>
        <w:t>报价构成：供应商须基于磋商文件、用户需求书、技术规范及行业标准，充分考虑项目三年服务期内可能发生的所有成本和风险，进行详细测算后报出每年的报价以及最终总价。因供应商自身原因造成的任何漏报、少报或计算错误，其风险均由供应商自行承担，采购人不予补偿。</w:t>
      </w:r>
    </w:p>
    <w:p>
      <w:pPr>
        <w:pStyle w:val="4"/>
        <w:spacing w:before="0" w:after="0" w:line="440" w:lineRule="exact"/>
        <w:ind w:left="420" w:leftChars="150"/>
        <w:rPr>
          <w:rFonts w:hint="eastAsia" w:ascii="宋体" w:hAnsi="宋体"/>
          <w:sz w:val="21"/>
          <w:szCs w:val="21"/>
        </w:rPr>
      </w:pPr>
      <w:bookmarkStart w:id="94" w:name="_Toc67642667"/>
      <w:bookmarkStart w:id="95" w:name="_Toc18082"/>
      <w:bookmarkStart w:id="96" w:name="_Toc720"/>
      <w:bookmarkStart w:id="97" w:name="_Toc16666"/>
      <w:bookmarkStart w:id="98" w:name="_Toc7999"/>
      <w:bookmarkStart w:id="99" w:name="_Toc27209"/>
      <w:r>
        <w:rPr>
          <w:rFonts w:hint="eastAsia" w:ascii="宋体" w:hAnsi="宋体"/>
          <w:sz w:val="21"/>
          <w:szCs w:val="21"/>
        </w:rPr>
        <w:t>三、</w:t>
      </w:r>
      <w:bookmarkEnd w:id="91"/>
      <w:bookmarkEnd w:id="92"/>
      <w:bookmarkEnd w:id="94"/>
      <w:bookmarkEnd w:id="95"/>
      <w:bookmarkEnd w:id="96"/>
      <w:bookmarkEnd w:id="97"/>
      <w:bookmarkEnd w:id="98"/>
      <w:bookmarkEnd w:id="99"/>
      <w:bookmarkStart w:id="100" w:name="_Toc267320051"/>
      <w:bookmarkStart w:id="101" w:name="_Toc13790"/>
      <w:bookmarkStart w:id="102" w:name="_Toc26910"/>
      <w:bookmarkStart w:id="103" w:name="_Toc67642668"/>
      <w:bookmarkStart w:id="104" w:name="_Toc503971949"/>
      <w:bookmarkStart w:id="105" w:name="_Toc3318"/>
      <w:bookmarkStart w:id="106" w:name="_Toc26957"/>
      <w:bookmarkStart w:id="107" w:name="_Toc8976"/>
      <w:r>
        <w:rPr>
          <w:rFonts w:hint="eastAsia" w:ascii="宋体" w:hAnsi="宋体"/>
          <w:sz w:val="21"/>
          <w:szCs w:val="21"/>
        </w:rPr>
        <w:t>付款方式</w:t>
      </w:r>
      <w:bookmarkEnd w:id="93"/>
      <w:bookmarkEnd w:id="100"/>
      <w:bookmarkEnd w:id="101"/>
      <w:bookmarkEnd w:id="102"/>
      <w:bookmarkEnd w:id="103"/>
      <w:bookmarkEnd w:id="104"/>
      <w:bookmarkEnd w:id="105"/>
      <w:bookmarkEnd w:id="106"/>
      <w:bookmarkEnd w:id="107"/>
    </w:p>
    <w:p>
      <w:pPr>
        <w:spacing w:line="440" w:lineRule="exact"/>
        <w:ind w:firstLine="420" w:firstLineChars="200"/>
        <w:rPr>
          <w:rFonts w:hint="eastAsia" w:ascii="宋体" w:hAnsi="宋体"/>
          <w:sz w:val="21"/>
          <w:szCs w:val="21"/>
        </w:rPr>
      </w:pPr>
      <w:r>
        <w:rPr>
          <w:rFonts w:hint="eastAsia" w:ascii="宋体" w:hAnsi="宋体"/>
          <w:sz w:val="21"/>
          <w:szCs w:val="21"/>
        </w:rPr>
        <w:t>按照投标报价方式，合同签订后，每年支付合同约定金额：1、2025年采购人收到发票后，支付第一年费用（即合同金额的1/3）；2、2026年采购人收到发票后，支付第二年费用（即合同金额的1/3）；3、2027年采购人收到发票后，支付第三年费用（即合同金额的1/3）。</w:t>
      </w:r>
    </w:p>
    <w:p>
      <w:pPr>
        <w:spacing w:line="440" w:lineRule="exact"/>
        <w:ind w:firstLine="420" w:firstLineChars="200"/>
        <w:rPr>
          <w:rFonts w:hint="eastAsia" w:ascii="宋体" w:hAnsi="宋体"/>
          <w:sz w:val="21"/>
          <w:szCs w:val="21"/>
        </w:rPr>
      </w:pPr>
      <w:r>
        <w:rPr>
          <w:rFonts w:hint="eastAsia" w:ascii="宋体" w:hAnsi="宋体"/>
          <w:sz w:val="21"/>
          <w:szCs w:val="21"/>
        </w:rPr>
        <w:t>采购人付款前，成交供应商应提供等额法定的增值税发票，否则采购人有权拒付款项且不承担任何责任。对满足合同约定支付条件的，采购人原则上应在收到发票后5个工作日内按程序办理支付手续。</w:t>
      </w:r>
    </w:p>
    <w:p>
      <w:pPr>
        <w:pStyle w:val="4"/>
        <w:spacing w:before="0" w:after="0" w:line="440" w:lineRule="exact"/>
        <w:ind w:left="420" w:leftChars="150"/>
        <w:rPr>
          <w:rFonts w:hint="eastAsia" w:ascii="宋体" w:hAnsi="宋体"/>
          <w:sz w:val="21"/>
          <w:szCs w:val="21"/>
        </w:rPr>
      </w:pPr>
      <w:bookmarkStart w:id="108" w:name="_Toc267320054"/>
      <w:bookmarkStart w:id="109" w:name="_Toc503971952"/>
      <w:bookmarkStart w:id="110" w:name="_Toc509586476"/>
      <w:r>
        <w:rPr>
          <w:rFonts w:hint="eastAsia" w:ascii="宋体" w:hAnsi="宋体"/>
          <w:sz w:val="21"/>
          <w:szCs w:val="21"/>
        </w:rPr>
        <w:t>四、知识产权</w:t>
      </w:r>
    </w:p>
    <w:p>
      <w:pPr>
        <w:spacing w:line="440" w:lineRule="exact"/>
        <w:ind w:firstLine="420" w:firstLineChars="200"/>
        <w:rPr>
          <w:rFonts w:hint="eastAsia" w:ascii="宋体" w:hAnsi="宋体"/>
          <w:sz w:val="21"/>
          <w:szCs w:val="21"/>
        </w:rPr>
      </w:pPr>
      <w:r>
        <w:rPr>
          <w:rFonts w:hint="eastAsia" w:ascii="宋体" w:hAnsi="宋体"/>
          <w:sz w:val="21"/>
          <w:szCs w:val="21"/>
        </w:rPr>
        <w:t>采购人在中华人民共和国境内使用成交供应商提供的货物及服务时免受第三方提出的侵犯其专利权或其它知识产权的起诉。如果第三方提出侵权指控，成交供应商应承担由此而引起的一切法律责任和费用。完成本项目的知识产权成果所有权归采购人所有。</w:t>
      </w:r>
    </w:p>
    <w:p>
      <w:pPr>
        <w:pStyle w:val="4"/>
        <w:spacing w:before="0" w:after="0" w:line="440" w:lineRule="exact"/>
        <w:ind w:left="420" w:leftChars="150"/>
        <w:rPr>
          <w:rFonts w:hint="eastAsia" w:ascii="宋体" w:hAnsi="宋体"/>
          <w:sz w:val="21"/>
          <w:szCs w:val="21"/>
        </w:rPr>
      </w:pPr>
      <w:r>
        <w:rPr>
          <w:rFonts w:hint="eastAsia" w:ascii="宋体" w:hAnsi="宋体"/>
          <w:sz w:val="21"/>
          <w:szCs w:val="21"/>
        </w:rPr>
        <w:t>五、其他</w:t>
      </w:r>
    </w:p>
    <w:p>
      <w:pPr>
        <w:spacing w:line="440" w:lineRule="exact"/>
        <w:ind w:firstLine="420" w:firstLineChars="200"/>
        <w:rPr>
          <w:rFonts w:hint="eastAsia" w:ascii="宋体" w:hAnsi="宋体"/>
          <w:sz w:val="21"/>
          <w:szCs w:val="21"/>
        </w:rPr>
      </w:pPr>
      <w:r>
        <w:rPr>
          <w:rFonts w:hint="eastAsia" w:ascii="宋体" w:hAnsi="宋体"/>
          <w:sz w:val="21"/>
          <w:szCs w:val="21"/>
        </w:rPr>
        <w:t>（一）供应商必须在响应文件中对以上条款和服务承诺明确列出，承诺内容必须达到本篇及竞争性磋商文件其他条款的要求。</w:t>
      </w:r>
    </w:p>
    <w:p>
      <w:pPr>
        <w:spacing w:line="440" w:lineRule="exact"/>
        <w:ind w:firstLine="420" w:firstLineChars="200"/>
        <w:rPr>
          <w:rFonts w:hint="eastAsia" w:ascii="宋体" w:hAnsi="宋体"/>
          <w:sz w:val="21"/>
          <w:szCs w:val="21"/>
        </w:rPr>
      </w:pPr>
      <w:r>
        <w:rPr>
          <w:rFonts w:hint="eastAsia" w:ascii="宋体" w:hAnsi="宋体"/>
          <w:sz w:val="21"/>
          <w:szCs w:val="21"/>
        </w:rPr>
        <w:t>（二）其他未尽事宜由供需双方在采购合同中详细约定。</w:t>
      </w:r>
    </w:p>
    <w:bookmarkEnd w:id="73"/>
    <w:bookmarkEnd w:id="74"/>
    <w:bookmarkEnd w:id="108"/>
    <w:bookmarkEnd w:id="109"/>
    <w:bookmarkEnd w:id="110"/>
    <w:p>
      <w:pPr>
        <w:spacing w:line="360" w:lineRule="auto"/>
        <w:rPr>
          <w:rFonts w:hint="eastAsia" w:ascii="宋体" w:hAnsi="宋体"/>
          <w:sz w:val="21"/>
          <w:szCs w:val="21"/>
        </w:rPr>
      </w:pPr>
      <w:bookmarkStart w:id="111" w:name="_Toc342913389"/>
      <w:bookmarkStart w:id="112" w:name="_Toc486932348"/>
      <w:r>
        <w:rPr>
          <w:rFonts w:hint="eastAsia" w:ascii="宋体" w:hAnsi="宋体"/>
          <w:sz w:val="21"/>
          <w:szCs w:val="21"/>
        </w:rPr>
        <w:br w:type="page"/>
      </w:r>
    </w:p>
    <w:p>
      <w:pPr>
        <w:pStyle w:val="3"/>
        <w:keepNext w:val="0"/>
        <w:keepLines w:val="0"/>
        <w:spacing w:before="0" w:after="0" w:line="360" w:lineRule="auto"/>
        <w:jc w:val="center"/>
        <w:rPr>
          <w:rFonts w:hint="eastAsia" w:ascii="宋体" w:hAnsi="宋体" w:eastAsia="宋体"/>
          <w:b w:val="0"/>
          <w:sz w:val="28"/>
          <w:szCs w:val="30"/>
        </w:rPr>
      </w:pPr>
      <w:bookmarkStart w:id="113" w:name="_Toc67642671"/>
      <w:bookmarkStart w:id="114" w:name="_Toc11701"/>
      <w:bookmarkStart w:id="115" w:name="_Toc1748"/>
      <w:bookmarkStart w:id="116" w:name="_Toc803"/>
      <w:bookmarkStart w:id="117" w:name="_Toc29786"/>
      <w:bookmarkStart w:id="118" w:name="_Toc1215"/>
      <w:bookmarkStart w:id="119" w:name="_Toc15156"/>
      <w:r>
        <w:rPr>
          <w:rFonts w:hint="eastAsia" w:ascii="宋体" w:hAnsi="宋体" w:eastAsia="宋体"/>
          <w:b w:val="0"/>
          <w:sz w:val="36"/>
          <w:szCs w:val="30"/>
        </w:rPr>
        <w:t>第四篇</w:t>
      </w:r>
      <w:bookmarkEnd w:id="113"/>
      <w:bookmarkEnd w:id="114"/>
      <w:bookmarkEnd w:id="115"/>
      <w:bookmarkEnd w:id="116"/>
      <w:bookmarkEnd w:id="117"/>
      <w:bookmarkEnd w:id="118"/>
      <w:r>
        <w:rPr>
          <w:rFonts w:hint="eastAsia" w:ascii="宋体" w:hAnsi="宋体" w:eastAsia="宋体"/>
          <w:b w:val="0"/>
          <w:sz w:val="36"/>
          <w:szCs w:val="30"/>
        </w:rPr>
        <w:t xml:space="preserve"> 磋商程序及方法、评审标准、无效响应和采购终止</w:t>
      </w:r>
      <w:bookmarkEnd w:id="119"/>
    </w:p>
    <w:p>
      <w:pPr>
        <w:pStyle w:val="4"/>
        <w:spacing w:before="0" w:after="0" w:line="440" w:lineRule="exact"/>
        <w:rPr>
          <w:rFonts w:ascii="宋体"/>
          <w:sz w:val="21"/>
          <w:szCs w:val="21"/>
        </w:rPr>
      </w:pPr>
      <w:bookmarkStart w:id="120" w:name="_Toc22486"/>
      <w:bookmarkStart w:id="121" w:name="_Toc31339"/>
      <w:bookmarkStart w:id="122" w:name="_Toc21127"/>
      <w:bookmarkStart w:id="123" w:name="_Toc67642672"/>
      <w:bookmarkStart w:id="124" w:name="_Toc2750"/>
      <w:bookmarkStart w:id="125" w:name="_Toc27037"/>
      <w:r>
        <w:rPr>
          <w:rFonts w:hint="eastAsia" w:ascii="宋体" w:hAnsi="宋体"/>
          <w:sz w:val="21"/>
          <w:szCs w:val="21"/>
        </w:rPr>
        <w:t>一、磋商程序及方法</w:t>
      </w:r>
      <w:bookmarkEnd w:id="120"/>
      <w:bookmarkEnd w:id="121"/>
      <w:bookmarkEnd w:id="122"/>
      <w:bookmarkEnd w:id="123"/>
      <w:bookmarkEnd w:id="124"/>
      <w:bookmarkEnd w:id="125"/>
    </w:p>
    <w:p>
      <w:pPr>
        <w:spacing w:line="480" w:lineRule="exact"/>
        <w:ind w:firstLine="420" w:firstLineChars="200"/>
        <w:rPr>
          <w:rFonts w:hint="eastAsia" w:ascii="宋体" w:hAnsi="宋体"/>
          <w:sz w:val="21"/>
          <w:szCs w:val="21"/>
        </w:rPr>
      </w:pPr>
      <w:r>
        <w:rPr>
          <w:rFonts w:hint="eastAsia" w:ascii="宋体" w:hAnsi="宋体"/>
          <w:sz w:val="21"/>
          <w:szCs w:val="21"/>
        </w:rPr>
        <w:t>（一）磋商按竞争性磋商文件规定的时间和地点进行，供应商须有法定代表人（或其授权代表）或自然人参加并签到。竞争性磋商按供应商响应文件递交签到先后顺序确定磋商顺序，由本项目依法组建的磋商小组（以下简称磋商小组）分别与各供应商进行磋商。</w:t>
      </w:r>
    </w:p>
    <w:p>
      <w:pPr>
        <w:spacing w:line="480" w:lineRule="exact"/>
        <w:ind w:firstLine="420" w:firstLineChars="200"/>
        <w:rPr>
          <w:rFonts w:hint="eastAsia" w:ascii="宋体" w:hAnsi="宋体"/>
          <w:sz w:val="21"/>
          <w:szCs w:val="21"/>
        </w:rPr>
      </w:pPr>
      <w:r>
        <w:rPr>
          <w:rFonts w:hint="eastAsia" w:ascii="宋体" w:hAnsi="宋体"/>
          <w:sz w:val="21"/>
          <w:szCs w:val="21"/>
        </w:rPr>
        <w:t>（二）磋商小组对各供应商的资格条件、响应文件的有效性、完整性和响应程度进行审查。各供应商只有在完全符合要求的前提下，才能参与正式磋商。</w:t>
      </w:r>
    </w:p>
    <w:p>
      <w:pPr>
        <w:snapToGrid w:val="0"/>
        <w:spacing w:line="480" w:lineRule="exact"/>
        <w:ind w:firstLine="420" w:firstLineChars="200"/>
        <w:rPr>
          <w:rFonts w:ascii="宋体"/>
          <w:sz w:val="21"/>
          <w:szCs w:val="21"/>
        </w:rPr>
      </w:pPr>
      <w:r>
        <w:rPr>
          <w:rFonts w:hint="eastAsia" w:ascii="宋体" w:hAnsi="宋体"/>
          <w:sz w:val="21"/>
          <w:szCs w:val="21"/>
        </w:rPr>
        <w:t>1.资格性检查。依据法律法规和竞争性磋商文件的规定，对响应文件中的资格证明等进行审查，以确定供应商是否具备磋商资格。资格性检查资料表如下：</w:t>
      </w:r>
    </w:p>
    <w:tbl>
      <w:tblPr>
        <w:tblStyle w:val="53"/>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6"/>
        <w:gridCol w:w="3855"/>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1" w:type="dxa"/>
            <w:vAlign w:val="center"/>
          </w:tcPr>
          <w:p>
            <w:pPr>
              <w:jc w:val="center"/>
              <w:rPr>
                <w:rFonts w:ascii="宋体"/>
                <w:b/>
                <w:sz w:val="21"/>
                <w:szCs w:val="21"/>
              </w:rPr>
            </w:pPr>
            <w:r>
              <w:rPr>
                <w:rFonts w:hint="eastAsia" w:ascii="宋体" w:hAnsi="宋体"/>
                <w:b/>
                <w:sz w:val="21"/>
                <w:szCs w:val="21"/>
              </w:rPr>
              <w:t>序号</w:t>
            </w:r>
          </w:p>
        </w:tc>
        <w:tc>
          <w:tcPr>
            <w:tcW w:w="4961" w:type="dxa"/>
            <w:gridSpan w:val="2"/>
            <w:vAlign w:val="center"/>
          </w:tcPr>
          <w:p>
            <w:pPr>
              <w:jc w:val="center"/>
              <w:rPr>
                <w:rFonts w:ascii="宋体"/>
                <w:b/>
                <w:sz w:val="21"/>
                <w:szCs w:val="21"/>
              </w:rPr>
            </w:pPr>
            <w:r>
              <w:rPr>
                <w:rFonts w:hint="eastAsia" w:ascii="宋体" w:hAnsi="宋体"/>
                <w:b/>
                <w:sz w:val="21"/>
                <w:szCs w:val="21"/>
              </w:rPr>
              <w:t>检查因素</w:t>
            </w:r>
          </w:p>
        </w:tc>
        <w:tc>
          <w:tcPr>
            <w:tcW w:w="4678" w:type="dxa"/>
            <w:vAlign w:val="center"/>
          </w:tcPr>
          <w:p>
            <w:pPr>
              <w:jc w:val="center"/>
              <w:rPr>
                <w:rFonts w:ascii="宋体"/>
                <w:b/>
                <w:sz w:val="21"/>
                <w:szCs w:val="21"/>
              </w:rPr>
            </w:pPr>
            <w:r>
              <w:rPr>
                <w:rFonts w:hint="eastAsia" w:ascii="宋体" w:hAnsi="宋体"/>
                <w:b/>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851" w:type="dxa"/>
            <w:vMerge w:val="restart"/>
            <w:vAlign w:val="center"/>
          </w:tcPr>
          <w:p>
            <w:pPr>
              <w:snapToGrid w:val="0"/>
              <w:rPr>
                <w:rFonts w:hint="eastAsia" w:ascii="宋体" w:hAnsi="宋体"/>
                <w:sz w:val="21"/>
                <w:szCs w:val="21"/>
              </w:rPr>
            </w:pPr>
            <w:r>
              <w:rPr>
                <w:rFonts w:hint="eastAsia" w:ascii="宋体" w:hAnsi="宋体"/>
                <w:sz w:val="21"/>
                <w:szCs w:val="21"/>
              </w:rPr>
              <w:t>（一）</w:t>
            </w:r>
          </w:p>
        </w:tc>
        <w:tc>
          <w:tcPr>
            <w:tcW w:w="1106" w:type="dxa"/>
            <w:vMerge w:val="restart"/>
            <w:vAlign w:val="center"/>
          </w:tcPr>
          <w:p>
            <w:pPr>
              <w:snapToGrid w:val="0"/>
              <w:rPr>
                <w:rFonts w:hint="eastAsia" w:ascii="宋体" w:hAnsi="宋体"/>
                <w:sz w:val="21"/>
                <w:szCs w:val="21"/>
              </w:rPr>
            </w:pPr>
            <w:r>
              <w:rPr>
                <w:rFonts w:hint="eastAsia" w:ascii="宋体" w:hAnsi="宋体"/>
                <w:sz w:val="21"/>
                <w:szCs w:val="21"/>
              </w:rPr>
              <w:t>《中华人民共和国政府采购法》第二十二条规定</w:t>
            </w:r>
          </w:p>
        </w:tc>
        <w:tc>
          <w:tcPr>
            <w:tcW w:w="3855" w:type="dxa"/>
            <w:vAlign w:val="center"/>
          </w:tcPr>
          <w:p>
            <w:pPr>
              <w:snapToGrid w:val="0"/>
              <w:rPr>
                <w:rFonts w:hint="eastAsia" w:ascii="宋体" w:hAnsi="宋体"/>
                <w:sz w:val="21"/>
                <w:szCs w:val="21"/>
              </w:rPr>
            </w:pPr>
            <w:r>
              <w:rPr>
                <w:rFonts w:hint="eastAsia" w:ascii="宋体" w:hAnsi="宋体"/>
                <w:sz w:val="21"/>
                <w:szCs w:val="21"/>
              </w:rPr>
              <w:t>1.具有独立承担民事责任的能力</w:t>
            </w:r>
          </w:p>
        </w:tc>
        <w:tc>
          <w:tcPr>
            <w:tcW w:w="4678" w:type="dxa"/>
            <w:vAlign w:val="center"/>
          </w:tcPr>
          <w:p>
            <w:pPr>
              <w:snapToGrid w:val="0"/>
              <w:rPr>
                <w:rFonts w:hint="eastAsia" w:ascii="宋体" w:hAnsi="宋体"/>
                <w:sz w:val="21"/>
                <w:szCs w:val="21"/>
              </w:rPr>
            </w:pPr>
            <w:r>
              <w:rPr>
                <w:rFonts w:hint="eastAsia" w:ascii="宋体" w:hAnsi="宋体"/>
                <w:sz w:val="21"/>
                <w:szCs w:val="21"/>
              </w:rPr>
              <w:t>1.供应商法人营业执照（副本）或事业单位法人证书（副本）或个体工商户营业执照或有效的自然人身份证明或社会团体法人登记证书（提供复印件）。</w:t>
            </w:r>
          </w:p>
          <w:p>
            <w:pPr>
              <w:snapToGrid w:val="0"/>
              <w:rPr>
                <w:rFonts w:hint="eastAsia" w:ascii="宋体" w:hAnsi="宋体"/>
                <w:sz w:val="21"/>
                <w:szCs w:val="21"/>
              </w:rPr>
            </w:pPr>
            <w:r>
              <w:rPr>
                <w:rFonts w:hint="eastAsia" w:ascii="宋体" w:hAnsi="宋体"/>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851" w:type="dxa"/>
            <w:vMerge w:val="continue"/>
            <w:vAlign w:val="center"/>
          </w:tcPr>
          <w:p>
            <w:pPr>
              <w:snapToGrid w:val="0"/>
              <w:ind w:firstLine="420" w:firstLineChars="200"/>
              <w:rPr>
                <w:rFonts w:hint="eastAsia" w:ascii="宋体" w:hAnsi="宋体"/>
                <w:sz w:val="21"/>
                <w:szCs w:val="21"/>
              </w:rPr>
            </w:pPr>
          </w:p>
        </w:tc>
        <w:tc>
          <w:tcPr>
            <w:tcW w:w="1106" w:type="dxa"/>
            <w:vMerge w:val="continue"/>
            <w:vAlign w:val="center"/>
          </w:tcPr>
          <w:p>
            <w:pPr>
              <w:snapToGrid w:val="0"/>
              <w:ind w:firstLine="420" w:firstLineChars="200"/>
              <w:rPr>
                <w:rFonts w:hint="eastAsia" w:ascii="宋体" w:hAnsi="宋体"/>
                <w:sz w:val="21"/>
                <w:szCs w:val="21"/>
              </w:rPr>
            </w:pPr>
          </w:p>
        </w:tc>
        <w:tc>
          <w:tcPr>
            <w:tcW w:w="3855" w:type="dxa"/>
            <w:vAlign w:val="center"/>
          </w:tcPr>
          <w:p>
            <w:pPr>
              <w:snapToGrid w:val="0"/>
              <w:rPr>
                <w:rFonts w:hint="eastAsia" w:ascii="宋体" w:hAnsi="宋体"/>
                <w:sz w:val="21"/>
                <w:szCs w:val="21"/>
              </w:rPr>
            </w:pPr>
            <w:r>
              <w:rPr>
                <w:rFonts w:hint="eastAsia" w:ascii="宋体" w:hAnsi="宋体"/>
                <w:sz w:val="21"/>
                <w:szCs w:val="21"/>
              </w:rPr>
              <w:t>2.具有良好的商业信誉和健全的财务会计制度</w:t>
            </w:r>
          </w:p>
        </w:tc>
        <w:tc>
          <w:tcPr>
            <w:tcW w:w="4678" w:type="dxa"/>
            <w:vMerge w:val="restart"/>
            <w:vAlign w:val="center"/>
          </w:tcPr>
          <w:p>
            <w:pPr>
              <w:snapToGrid w:val="0"/>
              <w:rPr>
                <w:rFonts w:hint="eastAsia" w:ascii="宋体" w:hAnsi="宋体"/>
                <w:sz w:val="21"/>
                <w:szCs w:val="21"/>
              </w:rPr>
            </w:pPr>
            <w:r>
              <w:rPr>
                <w:rFonts w:hint="eastAsia" w:ascii="宋体" w:hAnsi="宋体"/>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851" w:type="dxa"/>
            <w:vMerge w:val="continue"/>
            <w:vAlign w:val="center"/>
          </w:tcPr>
          <w:p>
            <w:pPr>
              <w:snapToGrid w:val="0"/>
              <w:ind w:firstLine="420" w:firstLineChars="200"/>
              <w:rPr>
                <w:rFonts w:hint="eastAsia" w:ascii="宋体" w:hAnsi="宋体"/>
                <w:sz w:val="21"/>
                <w:szCs w:val="21"/>
              </w:rPr>
            </w:pPr>
          </w:p>
        </w:tc>
        <w:tc>
          <w:tcPr>
            <w:tcW w:w="1106" w:type="dxa"/>
            <w:vMerge w:val="continue"/>
            <w:vAlign w:val="center"/>
          </w:tcPr>
          <w:p>
            <w:pPr>
              <w:snapToGrid w:val="0"/>
              <w:ind w:firstLine="420" w:firstLineChars="200"/>
              <w:rPr>
                <w:rFonts w:hint="eastAsia" w:ascii="宋体" w:hAnsi="宋体"/>
                <w:sz w:val="21"/>
                <w:szCs w:val="21"/>
              </w:rPr>
            </w:pPr>
          </w:p>
        </w:tc>
        <w:tc>
          <w:tcPr>
            <w:tcW w:w="3855" w:type="dxa"/>
            <w:vAlign w:val="center"/>
          </w:tcPr>
          <w:p>
            <w:pPr>
              <w:snapToGrid w:val="0"/>
              <w:rPr>
                <w:rFonts w:hint="eastAsia" w:ascii="宋体" w:hAnsi="宋体"/>
                <w:sz w:val="21"/>
                <w:szCs w:val="21"/>
              </w:rPr>
            </w:pPr>
            <w:r>
              <w:rPr>
                <w:rFonts w:hint="eastAsia" w:ascii="宋体" w:hAnsi="宋体"/>
                <w:sz w:val="21"/>
                <w:szCs w:val="21"/>
              </w:rPr>
              <w:t>3.具有履行合同所必需的设备和专业技术能力</w:t>
            </w:r>
          </w:p>
        </w:tc>
        <w:tc>
          <w:tcPr>
            <w:tcW w:w="4678" w:type="dxa"/>
            <w:vMerge w:val="continue"/>
            <w:vAlign w:val="center"/>
          </w:tcPr>
          <w:p>
            <w:pPr>
              <w:snapToGrid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51" w:type="dxa"/>
            <w:vMerge w:val="continue"/>
            <w:vAlign w:val="center"/>
          </w:tcPr>
          <w:p>
            <w:pPr>
              <w:snapToGrid w:val="0"/>
              <w:ind w:firstLine="420" w:firstLineChars="200"/>
              <w:rPr>
                <w:rFonts w:hint="eastAsia" w:ascii="宋体" w:hAnsi="宋体"/>
                <w:sz w:val="21"/>
                <w:szCs w:val="21"/>
              </w:rPr>
            </w:pPr>
          </w:p>
        </w:tc>
        <w:tc>
          <w:tcPr>
            <w:tcW w:w="1106" w:type="dxa"/>
            <w:vMerge w:val="continue"/>
            <w:vAlign w:val="center"/>
          </w:tcPr>
          <w:p>
            <w:pPr>
              <w:snapToGrid w:val="0"/>
              <w:ind w:firstLine="420" w:firstLineChars="200"/>
              <w:rPr>
                <w:rFonts w:hint="eastAsia" w:ascii="宋体" w:hAnsi="宋体"/>
                <w:sz w:val="21"/>
                <w:szCs w:val="21"/>
              </w:rPr>
            </w:pPr>
          </w:p>
        </w:tc>
        <w:tc>
          <w:tcPr>
            <w:tcW w:w="3855" w:type="dxa"/>
            <w:vAlign w:val="center"/>
          </w:tcPr>
          <w:p>
            <w:pPr>
              <w:snapToGrid w:val="0"/>
              <w:rPr>
                <w:rFonts w:hint="eastAsia" w:ascii="宋体" w:hAnsi="宋体"/>
                <w:sz w:val="21"/>
                <w:szCs w:val="21"/>
              </w:rPr>
            </w:pPr>
            <w:r>
              <w:rPr>
                <w:rFonts w:hint="eastAsia" w:ascii="宋体" w:hAnsi="宋体"/>
                <w:sz w:val="21"/>
                <w:szCs w:val="21"/>
              </w:rPr>
              <w:t>4.有依法缴纳税收和社会保障金的良好记录</w:t>
            </w:r>
          </w:p>
        </w:tc>
        <w:tc>
          <w:tcPr>
            <w:tcW w:w="4678" w:type="dxa"/>
            <w:vMerge w:val="continue"/>
          </w:tcPr>
          <w:p>
            <w:pPr>
              <w:snapToGrid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51" w:type="dxa"/>
            <w:vMerge w:val="continue"/>
            <w:vAlign w:val="center"/>
          </w:tcPr>
          <w:p>
            <w:pPr>
              <w:snapToGrid w:val="0"/>
              <w:ind w:firstLine="420" w:firstLineChars="200"/>
              <w:rPr>
                <w:rFonts w:hint="eastAsia" w:ascii="宋体" w:hAnsi="宋体"/>
                <w:sz w:val="21"/>
                <w:szCs w:val="21"/>
              </w:rPr>
            </w:pPr>
          </w:p>
        </w:tc>
        <w:tc>
          <w:tcPr>
            <w:tcW w:w="1106" w:type="dxa"/>
            <w:vMerge w:val="continue"/>
            <w:vAlign w:val="center"/>
          </w:tcPr>
          <w:p>
            <w:pPr>
              <w:snapToGrid w:val="0"/>
              <w:ind w:firstLine="420" w:firstLineChars="200"/>
              <w:rPr>
                <w:rFonts w:hint="eastAsia" w:ascii="宋体" w:hAnsi="宋体"/>
                <w:sz w:val="21"/>
                <w:szCs w:val="21"/>
              </w:rPr>
            </w:pPr>
          </w:p>
        </w:tc>
        <w:tc>
          <w:tcPr>
            <w:tcW w:w="3855" w:type="dxa"/>
            <w:vAlign w:val="center"/>
          </w:tcPr>
          <w:p>
            <w:pPr>
              <w:snapToGrid w:val="0"/>
              <w:rPr>
                <w:rFonts w:hint="eastAsia" w:ascii="宋体" w:hAnsi="宋体"/>
                <w:sz w:val="21"/>
                <w:szCs w:val="21"/>
              </w:rPr>
            </w:pPr>
            <w:r>
              <w:rPr>
                <w:rFonts w:hint="eastAsia" w:ascii="宋体" w:hAnsi="宋体"/>
                <w:sz w:val="21"/>
                <w:szCs w:val="21"/>
              </w:rPr>
              <w:t>5.参加政府采购活动前三年内，在经营活动中没有重大违法记录</w:t>
            </w:r>
          </w:p>
        </w:tc>
        <w:tc>
          <w:tcPr>
            <w:tcW w:w="4678" w:type="dxa"/>
            <w:vMerge w:val="continue"/>
            <w:vAlign w:val="center"/>
          </w:tcPr>
          <w:p>
            <w:pPr>
              <w:snapToGrid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851" w:type="dxa"/>
            <w:vMerge w:val="continue"/>
            <w:vAlign w:val="center"/>
          </w:tcPr>
          <w:p>
            <w:pPr>
              <w:snapToGrid w:val="0"/>
              <w:ind w:firstLine="420" w:firstLineChars="200"/>
              <w:rPr>
                <w:rFonts w:hint="eastAsia" w:ascii="宋体" w:hAnsi="宋体"/>
                <w:sz w:val="21"/>
                <w:szCs w:val="21"/>
              </w:rPr>
            </w:pPr>
          </w:p>
        </w:tc>
        <w:tc>
          <w:tcPr>
            <w:tcW w:w="1106" w:type="dxa"/>
            <w:vMerge w:val="continue"/>
            <w:vAlign w:val="center"/>
          </w:tcPr>
          <w:p>
            <w:pPr>
              <w:snapToGrid w:val="0"/>
              <w:ind w:firstLine="420" w:firstLineChars="200"/>
              <w:rPr>
                <w:rFonts w:hint="eastAsia" w:ascii="宋体" w:hAnsi="宋体"/>
                <w:sz w:val="21"/>
                <w:szCs w:val="21"/>
              </w:rPr>
            </w:pPr>
          </w:p>
        </w:tc>
        <w:tc>
          <w:tcPr>
            <w:tcW w:w="3855" w:type="dxa"/>
            <w:vAlign w:val="center"/>
          </w:tcPr>
          <w:p>
            <w:pPr>
              <w:snapToGrid w:val="0"/>
              <w:rPr>
                <w:rFonts w:hint="eastAsia" w:ascii="宋体" w:hAnsi="宋体"/>
                <w:sz w:val="21"/>
                <w:szCs w:val="21"/>
              </w:rPr>
            </w:pPr>
            <w:r>
              <w:rPr>
                <w:rFonts w:hint="eastAsia" w:ascii="宋体" w:hAnsi="宋体"/>
                <w:sz w:val="21"/>
                <w:szCs w:val="21"/>
              </w:rPr>
              <w:t>6.法律、行政法规规定的其他条件</w:t>
            </w:r>
          </w:p>
        </w:tc>
        <w:tc>
          <w:tcPr>
            <w:tcW w:w="4678" w:type="dxa"/>
            <w:vAlign w:val="center"/>
          </w:tcPr>
          <w:p>
            <w:pPr>
              <w:snapToGrid w:val="0"/>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851" w:type="dxa"/>
            <w:vMerge w:val="continue"/>
            <w:vAlign w:val="center"/>
          </w:tcPr>
          <w:p>
            <w:pPr>
              <w:snapToGrid w:val="0"/>
              <w:ind w:firstLine="420" w:firstLineChars="200"/>
              <w:rPr>
                <w:rFonts w:hint="eastAsia" w:ascii="宋体" w:hAnsi="宋体"/>
                <w:sz w:val="21"/>
                <w:szCs w:val="21"/>
              </w:rPr>
            </w:pPr>
          </w:p>
        </w:tc>
        <w:tc>
          <w:tcPr>
            <w:tcW w:w="1106" w:type="dxa"/>
            <w:vMerge w:val="continue"/>
            <w:vAlign w:val="center"/>
          </w:tcPr>
          <w:p>
            <w:pPr>
              <w:snapToGrid w:val="0"/>
              <w:ind w:firstLine="420" w:firstLineChars="200"/>
              <w:rPr>
                <w:rFonts w:hint="eastAsia" w:ascii="宋体" w:hAnsi="宋体"/>
                <w:sz w:val="21"/>
                <w:szCs w:val="21"/>
              </w:rPr>
            </w:pPr>
          </w:p>
        </w:tc>
        <w:tc>
          <w:tcPr>
            <w:tcW w:w="3855" w:type="dxa"/>
            <w:vAlign w:val="center"/>
          </w:tcPr>
          <w:p>
            <w:pPr>
              <w:snapToGrid w:val="0"/>
              <w:rPr>
                <w:rFonts w:hint="eastAsia" w:ascii="宋体" w:hAnsi="宋体"/>
                <w:sz w:val="21"/>
                <w:szCs w:val="21"/>
              </w:rPr>
            </w:pPr>
            <w:r>
              <w:rPr>
                <w:rFonts w:hint="eastAsia" w:ascii="宋体" w:hAnsi="宋体"/>
                <w:sz w:val="21"/>
                <w:szCs w:val="21"/>
              </w:rPr>
              <w:t>7.本项目的特定资格要求</w:t>
            </w:r>
          </w:p>
        </w:tc>
        <w:tc>
          <w:tcPr>
            <w:tcW w:w="4678" w:type="dxa"/>
            <w:vAlign w:val="center"/>
          </w:tcPr>
          <w:p>
            <w:pPr>
              <w:snapToGrid w:val="0"/>
              <w:rPr>
                <w:rFonts w:hint="eastAsia" w:ascii="宋体" w:hAnsi="宋体"/>
                <w:sz w:val="21"/>
                <w:szCs w:val="21"/>
              </w:rPr>
            </w:pPr>
            <w:r>
              <w:rPr>
                <w:rFonts w:hint="eastAsia" w:ascii="宋体" w:hAnsi="宋体"/>
                <w:sz w:val="21"/>
                <w:szCs w:val="21"/>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51" w:type="dxa"/>
            <w:vAlign w:val="center"/>
          </w:tcPr>
          <w:p>
            <w:pPr>
              <w:snapToGrid w:val="0"/>
              <w:rPr>
                <w:rFonts w:hint="eastAsia" w:ascii="宋体" w:hAnsi="宋体"/>
                <w:sz w:val="21"/>
                <w:szCs w:val="21"/>
              </w:rPr>
            </w:pPr>
            <w:r>
              <w:rPr>
                <w:rFonts w:hint="eastAsia" w:ascii="宋体" w:hAnsi="宋体"/>
                <w:sz w:val="21"/>
                <w:szCs w:val="21"/>
              </w:rPr>
              <w:t>（二）</w:t>
            </w:r>
          </w:p>
        </w:tc>
        <w:tc>
          <w:tcPr>
            <w:tcW w:w="4961" w:type="dxa"/>
            <w:gridSpan w:val="2"/>
            <w:vAlign w:val="center"/>
          </w:tcPr>
          <w:p>
            <w:pPr>
              <w:snapToGrid w:val="0"/>
              <w:rPr>
                <w:rFonts w:hint="eastAsia" w:ascii="宋体" w:hAnsi="宋体"/>
                <w:sz w:val="21"/>
                <w:szCs w:val="21"/>
              </w:rPr>
            </w:pPr>
            <w:r>
              <w:rPr>
                <w:rFonts w:hint="eastAsia" w:ascii="宋体" w:hAnsi="宋体"/>
                <w:sz w:val="21"/>
                <w:szCs w:val="21"/>
              </w:rPr>
              <w:t>落实政府采购政策需满足的资格要求</w:t>
            </w:r>
          </w:p>
        </w:tc>
        <w:tc>
          <w:tcPr>
            <w:tcW w:w="4678" w:type="dxa"/>
            <w:vAlign w:val="center"/>
          </w:tcPr>
          <w:p>
            <w:pPr>
              <w:snapToGrid w:val="0"/>
              <w:rPr>
                <w:rFonts w:hint="eastAsia" w:ascii="宋体" w:hAnsi="宋体"/>
                <w:sz w:val="21"/>
                <w:szCs w:val="21"/>
              </w:rPr>
            </w:pPr>
            <w:r>
              <w:rPr>
                <w:rFonts w:hint="eastAsia" w:ascii="宋体" w:hAnsi="宋体"/>
                <w:sz w:val="21"/>
                <w:szCs w:val="21"/>
              </w:rPr>
              <w:t>按“第一篇三、供应商资格要求（二）落实政府采购政策需满足的资格要求”的要求提交（如果有）。</w:t>
            </w:r>
          </w:p>
        </w:tc>
      </w:tr>
    </w:tbl>
    <w:p>
      <w:pPr>
        <w:spacing w:line="480" w:lineRule="exact"/>
        <w:ind w:firstLine="420" w:firstLineChars="200"/>
        <w:rPr>
          <w:rFonts w:hint="eastAsia" w:ascii="宋体" w:hAnsi="宋体"/>
          <w:sz w:val="21"/>
          <w:szCs w:val="21"/>
        </w:rPr>
      </w:pPr>
      <w:r>
        <w:rPr>
          <w:rFonts w:hint="eastAsia" w:ascii="宋体" w:hAnsi="宋体"/>
          <w:sz w:val="21"/>
          <w:szCs w:val="21"/>
        </w:rPr>
        <w:t>注：</w:t>
      </w:r>
    </w:p>
    <w:p>
      <w:pPr>
        <w:spacing w:line="480" w:lineRule="exact"/>
        <w:ind w:firstLine="420" w:firstLineChars="200"/>
        <w:rPr>
          <w:rFonts w:hint="eastAsia" w:ascii="宋体" w:hAnsi="宋体"/>
          <w:sz w:val="21"/>
          <w:szCs w:val="21"/>
        </w:rPr>
      </w:pPr>
      <w:r>
        <w:rPr>
          <w:rFonts w:hint="eastAsia" w:ascii="宋体" w:hAnsi="宋体"/>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pacing w:line="480" w:lineRule="exact"/>
        <w:ind w:firstLine="420" w:firstLineChars="200"/>
        <w:rPr>
          <w:rFonts w:ascii="宋体"/>
          <w:sz w:val="21"/>
          <w:szCs w:val="21"/>
        </w:rPr>
      </w:pPr>
      <w:r>
        <w:rPr>
          <w:rFonts w:hint="eastAsia" w:ascii="宋体" w:hAnsi="宋体"/>
          <w:sz w:val="21"/>
          <w:szCs w:val="21"/>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5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22"/>
        <w:gridCol w:w="1984"/>
        <w:gridCol w:w="5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04" w:type="dxa"/>
            <w:vAlign w:val="center"/>
          </w:tcPr>
          <w:p>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3806" w:type="dxa"/>
            <w:gridSpan w:val="2"/>
            <w:vAlign w:val="center"/>
          </w:tcPr>
          <w:p>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w:t>
            </w:r>
          </w:p>
        </w:tc>
        <w:tc>
          <w:tcPr>
            <w:tcW w:w="5833" w:type="dxa"/>
            <w:vAlign w:val="center"/>
          </w:tcPr>
          <w:p>
            <w:pPr>
              <w:spacing w:line="24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4" w:type="dxa"/>
            <w:vMerge w:val="restart"/>
            <w:vAlign w:val="center"/>
          </w:tcPr>
          <w:p>
            <w:pPr>
              <w:jc w:val="center"/>
              <w:rPr>
                <w:rFonts w:hint="eastAsia" w:ascii="宋体" w:hAnsi="宋体" w:cs="宋体"/>
                <w:kern w:val="0"/>
                <w:sz w:val="21"/>
                <w:szCs w:val="21"/>
              </w:rPr>
            </w:pPr>
            <w:r>
              <w:rPr>
                <w:rFonts w:hint="eastAsia" w:ascii="宋体" w:hAnsi="宋体" w:cs="宋体"/>
                <w:kern w:val="0"/>
                <w:sz w:val="21"/>
                <w:szCs w:val="21"/>
              </w:rPr>
              <w:t>1</w:t>
            </w:r>
          </w:p>
        </w:tc>
        <w:tc>
          <w:tcPr>
            <w:tcW w:w="1822" w:type="dxa"/>
            <w:vMerge w:val="restart"/>
            <w:vAlign w:val="center"/>
          </w:tcPr>
          <w:p>
            <w:pPr>
              <w:rPr>
                <w:rFonts w:hint="eastAsia" w:ascii="宋体" w:hAnsi="宋体" w:cs="宋体"/>
                <w:kern w:val="0"/>
                <w:sz w:val="21"/>
                <w:szCs w:val="21"/>
              </w:rPr>
            </w:pPr>
            <w:r>
              <w:rPr>
                <w:rFonts w:hint="eastAsia" w:ascii="宋体" w:hAnsi="宋体" w:cs="宋体"/>
                <w:kern w:val="0"/>
                <w:sz w:val="21"/>
                <w:szCs w:val="21"/>
              </w:rPr>
              <w:t>有效性审查</w:t>
            </w:r>
          </w:p>
        </w:tc>
        <w:tc>
          <w:tcPr>
            <w:tcW w:w="1984" w:type="dxa"/>
            <w:vAlign w:val="center"/>
          </w:tcPr>
          <w:p>
            <w:pPr>
              <w:rPr>
                <w:rFonts w:hint="eastAsia" w:ascii="宋体" w:hAnsi="宋体" w:cs="宋体"/>
                <w:kern w:val="0"/>
                <w:sz w:val="21"/>
                <w:szCs w:val="21"/>
              </w:rPr>
            </w:pPr>
            <w:r>
              <w:rPr>
                <w:rFonts w:hint="eastAsia" w:ascii="宋体" w:hAnsi="宋体" w:cs="宋体"/>
                <w:sz w:val="21"/>
                <w:szCs w:val="21"/>
              </w:rPr>
              <w:t>响应文件签署或盖章</w:t>
            </w:r>
          </w:p>
        </w:tc>
        <w:tc>
          <w:tcPr>
            <w:tcW w:w="5833" w:type="dxa"/>
            <w:vAlign w:val="center"/>
          </w:tcPr>
          <w:p>
            <w:pPr>
              <w:rPr>
                <w:rFonts w:hint="eastAsia" w:ascii="宋体" w:hAnsi="宋体" w:cs="宋体"/>
                <w:kern w:val="0"/>
                <w:sz w:val="21"/>
                <w:szCs w:val="21"/>
              </w:rPr>
            </w:pPr>
            <w:r>
              <w:rPr>
                <w:rFonts w:hint="eastAsia" w:ascii="宋体" w:hAnsi="宋体" w:cs="宋体"/>
                <w:sz w:val="21"/>
                <w:szCs w:val="21"/>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4" w:type="dxa"/>
            <w:vMerge w:val="continue"/>
            <w:vAlign w:val="center"/>
          </w:tcPr>
          <w:p>
            <w:pPr>
              <w:jc w:val="center"/>
              <w:rPr>
                <w:rFonts w:hint="eastAsia" w:ascii="宋体" w:hAnsi="宋体" w:cs="宋体"/>
                <w:kern w:val="0"/>
                <w:sz w:val="21"/>
                <w:szCs w:val="21"/>
              </w:rPr>
            </w:pPr>
          </w:p>
        </w:tc>
        <w:tc>
          <w:tcPr>
            <w:tcW w:w="1822" w:type="dxa"/>
            <w:vMerge w:val="continue"/>
            <w:vAlign w:val="center"/>
          </w:tcPr>
          <w:p>
            <w:pPr>
              <w:rPr>
                <w:rFonts w:hint="eastAsia" w:ascii="宋体" w:hAnsi="宋体" w:cs="宋体"/>
                <w:kern w:val="0"/>
                <w:sz w:val="21"/>
                <w:szCs w:val="21"/>
              </w:rPr>
            </w:pPr>
          </w:p>
        </w:tc>
        <w:tc>
          <w:tcPr>
            <w:tcW w:w="1984" w:type="dxa"/>
            <w:vAlign w:val="center"/>
          </w:tcPr>
          <w:p>
            <w:pPr>
              <w:rPr>
                <w:rFonts w:hint="eastAsia" w:ascii="宋体" w:hAnsi="宋体" w:cs="宋体"/>
                <w:sz w:val="21"/>
                <w:szCs w:val="21"/>
                <w:lang w:val="zh-CN"/>
              </w:rPr>
            </w:pPr>
            <w:r>
              <w:rPr>
                <w:rFonts w:hint="eastAsia" w:ascii="宋体" w:hAnsi="宋体" w:cs="宋体"/>
                <w:sz w:val="21"/>
                <w:szCs w:val="21"/>
              </w:rPr>
              <w:t>法定代表人身份证明及授权委托书</w:t>
            </w:r>
          </w:p>
        </w:tc>
        <w:tc>
          <w:tcPr>
            <w:tcW w:w="5833" w:type="dxa"/>
            <w:vAlign w:val="center"/>
          </w:tcPr>
          <w:p>
            <w:pPr>
              <w:rPr>
                <w:rFonts w:hint="eastAsia" w:ascii="宋体" w:hAnsi="宋体" w:cs="宋体"/>
                <w:kern w:val="0"/>
                <w:sz w:val="21"/>
                <w:szCs w:val="21"/>
              </w:rPr>
            </w:pPr>
            <w:r>
              <w:rPr>
                <w:rFonts w:hint="eastAsia" w:ascii="宋体" w:hAnsi="宋体" w:cs="宋体"/>
                <w:sz w:val="21"/>
                <w:szCs w:val="21"/>
              </w:rPr>
              <w:t>法定代表人身份证明及授权委托书有效，符合竞争性磋商文件规定的格式，签署或盖章齐全。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Merge w:val="continue"/>
            <w:vAlign w:val="center"/>
          </w:tcPr>
          <w:p>
            <w:pPr>
              <w:jc w:val="center"/>
              <w:rPr>
                <w:rFonts w:hint="eastAsia" w:ascii="宋体" w:hAnsi="宋体" w:cs="宋体"/>
                <w:kern w:val="0"/>
                <w:sz w:val="21"/>
                <w:szCs w:val="21"/>
              </w:rPr>
            </w:pPr>
          </w:p>
        </w:tc>
        <w:tc>
          <w:tcPr>
            <w:tcW w:w="1822" w:type="dxa"/>
            <w:vMerge w:val="continue"/>
            <w:vAlign w:val="center"/>
          </w:tcPr>
          <w:p>
            <w:pPr>
              <w:rPr>
                <w:rFonts w:hint="eastAsia" w:ascii="宋体" w:hAnsi="宋体" w:cs="宋体"/>
                <w:kern w:val="0"/>
                <w:sz w:val="21"/>
                <w:szCs w:val="21"/>
              </w:rPr>
            </w:pPr>
          </w:p>
        </w:tc>
        <w:tc>
          <w:tcPr>
            <w:tcW w:w="1984" w:type="dxa"/>
            <w:vAlign w:val="center"/>
          </w:tcPr>
          <w:p>
            <w:pPr>
              <w:rPr>
                <w:rFonts w:hint="eastAsia" w:ascii="宋体" w:hAnsi="宋体" w:cs="宋体"/>
                <w:sz w:val="21"/>
                <w:szCs w:val="21"/>
              </w:rPr>
            </w:pPr>
            <w:r>
              <w:rPr>
                <w:rFonts w:hint="eastAsia" w:ascii="宋体" w:hAnsi="宋体" w:cs="宋体"/>
                <w:sz w:val="21"/>
                <w:szCs w:val="21"/>
              </w:rPr>
              <w:t>响应</w:t>
            </w:r>
            <w:r>
              <w:rPr>
                <w:rFonts w:hint="eastAsia" w:ascii="宋体" w:hAnsi="宋体" w:cs="宋体"/>
                <w:sz w:val="21"/>
                <w:szCs w:val="21"/>
                <w:lang w:val="zh-CN"/>
              </w:rPr>
              <w:t>方案</w:t>
            </w:r>
          </w:p>
        </w:tc>
        <w:tc>
          <w:tcPr>
            <w:tcW w:w="5833" w:type="dxa"/>
            <w:vAlign w:val="center"/>
          </w:tcPr>
          <w:p>
            <w:pPr>
              <w:rPr>
                <w:rFonts w:hint="eastAsia" w:ascii="宋体" w:hAnsi="宋体" w:cs="宋体"/>
                <w:sz w:val="21"/>
                <w:szCs w:val="21"/>
                <w:lang w:val="zh-CN"/>
              </w:rPr>
            </w:pPr>
            <w:r>
              <w:rPr>
                <w:rFonts w:hint="eastAsia" w:ascii="宋体" w:hAnsi="宋体" w:cs="宋体"/>
                <w:sz w:val="21"/>
                <w:szCs w:val="21"/>
                <w:lang w:val="zh-CN"/>
              </w:rPr>
              <w:t>每个包只能有一个</w:t>
            </w:r>
            <w:r>
              <w:rPr>
                <w:rFonts w:hint="eastAsia" w:ascii="宋体" w:hAnsi="宋体" w:cs="宋体"/>
                <w:sz w:val="21"/>
                <w:szCs w:val="21"/>
              </w:rPr>
              <w:t>响应</w:t>
            </w:r>
            <w:r>
              <w:rPr>
                <w:rFonts w:hint="eastAsia" w:ascii="宋体" w:hAnsi="宋体" w:cs="宋体"/>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Merge w:val="continue"/>
            <w:vAlign w:val="center"/>
          </w:tcPr>
          <w:p>
            <w:pPr>
              <w:jc w:val="center"/>
              <w:rPr>
                <w:rFonts w:hint="eastAsia" w:ascii="宋体" w:hAnsi="宋体" w:cs="宋体"/>
                <w:kern w:val="0"/>
                <w:sz w:val="21"/>
                <w:szCs w:val="21"/>
              </w:rPr>
            </w:pPr>
          </w:p>
        </w:tc>
        <w:tc>
          <w:tcPr>
            <w:tcW w:w="1822" w:type="dxa"/>
            <w:vMerge w:val="continue"/>
            <w:vAlign w:val="center"/>
          </w:tcPr>
          <w:p>
            <w:pPr>
              <w:rPr>
                <w:rFonts w:hint="eastAsia" w:ascii="宋体" w:hAnsi="宋体" w:cs="宋体"/>
                <w:kern w:val="0"/>
                <w:sz w:val="21"/>
                <w:szCs w:val="21"/>
              </w:rPr>
            </w:pPr>
          </w:p>
        </w:tc>
        <w:tc>
          <w:tcPr>
            <w:tcW w:w="1984" w:type="dxa"/>
            <w:vAlign w:val="center"/>
          </w:tcPr>
          <w:p>
            <w:pPr>
              <w:rPr>
                <w:rFonts w:hint="eastAsia" w:ascii="宋体" w:hAnsi="宋体" w:cs="宋体"/>
                <w:sz w:val="21"/>
                <w:szCs w:val="21"/>
                <w:lang w:val="zh-CN"/>
              </w:rPr>
            </w:pPr>
            <w:r>
              <w:rPr>
                <w:rFonts w:hint="eastAsia" w:ascii="宋体" w:hAnsi="宋体" w:cs="宋体"/>
                <w:sz w:val="21"/>
                <w:szCs w:val="21"/>
              </w:rPr>
              <w:t>报价唯一</w:t>
            </w:r>
          </w:p>
        </w:tc>
        <w:tc>
          <w:tcPr>
            <w:tcW w:w="5833" w:type="dxa"/>
            <w:vAlign w:val="center"/>
          </w:tcPr>
          <w:p>
            <w:pPr>
              <w:rPr>
                <w:rFonts w:hint="eastAsia" w:ascii="宋体" w:hAnsi="宋体" w:cs="宋体"/>
                <w:kern w:val="0"/>
                <w:sz w:val="21"/>
                <w:szCs w:val="21"/>
              </w:rPr>
            </w:pPr>
            <w:r>
              <w:rPr>
                <w:rFonts w:hint="eastAsia" w:ascii="宋体" w:hAnsi="宋体" w:cs="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4" w:type="dxa"/>
            <w:vAlign w:val="center"/>
          </w:tcPr>
          <w:p>
            <w:pPr>
              <w:jc w:val="center"/>
              <w:rPr>
                <w:rFonts w:hint="eastAsia" w:ascii="宋体" w:hAnsi="宋体" w:cs="宋体"/>
                <w:kern w:val="0"/>
                <w:sz w:val="21"/>
                <w:szCs w:val="21"/>
              </w:rPr>
            </w:pPr>
            <w:r>
              <w:rPr>
                <w:rFonts w:hint="eastAsia" w:ascii="宋体" w:hAnsi="宋体" w:cs="宋体"/>
                <w:kern w:val="0"/>
                <w:sz w:val="21"/>
                <w:szCs w:val="21"/>
              </w:rPr>
              <w:t>2</w:t>
            </w:r>
          </w:p>
        </w:tc>
        <w:tc>
          <w:tcPr>
            <w:tcW w:w="1822" w:type="dxa"/>
            <w:vAlign w:val="center"/>
          </w:tcPr>
          <w:p>
            <w:pPr>
              <w:rPr>
                <w:rFonts w:hint="eastAsia" w:ascii="宋体" w:hAnsi="宋体" w:cs="宋体"/>
                <w:kern w:val="0"/>
                <w:sz w:val="21"/>
                <w:szCs w:val="21"/>
              </w:rPr>
            </w:pPr>
            <w:r>
              <w:rPr>
                <w:rFonts w:hint="eastAsia" w:ascii="宋体" w:hAnsi="宋体" w:cs="宋体"/>
                <w:kern w:val="0"/>
                <w:sz w:val="21"/>
                <w:szCs w:val="21"/>
              </w:rPr>
              <w:t>完整性审查</w:t>
            </w:r>
          </w:p>
        </w:tc>
        <w:tc>
          <w:tcPr>
            <w:tcW w:w="1984" w:type="dxa"/>
            <w:vAlign w:val="center"/>
          </w:tcPr>
          <w:p>
            <w:pPr>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833" w:type="dxa"/>
            <w:vAlign w:val="center"/>
          </w:tcPr>
          <w:p>
            <w:pPr>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rPr>
              <w:t>竞争性磋商</w:t>
            </w:r>
            <w:r>
              <w:rPr>
                <w:rFonts w:hint="eastAsia" w:ascii="宋体" w:hAnsi="宋体" w:cs="宋体"/>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4" w:type="dxa"/>
            <w:vMerge w:val="restart"/>
            <w:vAlign w:val="center"/>
          </w:tcPr>
          <w:p>
            <w:pPr>
              <w:jc w:val="center"/>
              <w:rPr>
                <w:rFonts w:hint="eastAsia" w:ascii="宋体" w:hAnsi="宋体" w:cs="宋体"/>
                <w:kern w:val="0"/>
                <w:sz w:val="21"/>
                <w:szCs w:val="21"/>
              </w:rPr>
            </w:pPr>
            <w:r>
              <w:rPr>
                <w:rFonts w:hint="eastAsia" w:ascii="宋体" w:hAnsi="宋体" w:cs="宋体"/>
                <w:kern w:val="0"/>
                <w:sz w:val="21"/>
                <w:szCs w:val="21"/>
              </w:rPr>
              <w:t>3</w:t>
            </w:r>
          </w:p>
        </w:tc>
        <w:tc>
          <w:tcPr>
            <w:tcW w:w="1822" w:type="dxa"/>
            <w:vMerge w:val="restart"/>
            <w:vAlign w:val="center"/>
          </w:tcPr>
          <w:p>
            <w:pPr>
              <w:rPr>
                <w:rFonts w:hint="eastAsia" w:ascii="宋体" w:hAnsi="宋体" w:cs="宋体"/>
                <w:kern w:val="0"/>
                <w:sz w:val="21"/>
                <w:szCs w:val="21"/>
              </w:rPr>
            </w:pPr>
            <w:r>
              <w:rPr>
                <w:rFonts w:hint="eastAsia" w:ascii="宋体" w:hAnsi="宋体" w:cs="宋体"/>
                <w:kern w:val="0"/>
                <w:sz w:val="21"/>
                <w:szCs w:val="21"/>
              </w:rPr>
              <w:t>响应程度审查</w:t>
            </w:r>
          </w:p>
        </w:tc>
        <w:tc>
          <w:tcPr>
            <w:tcW w:w="1984" w:type="dxa"/>
            <w:vAlign w:val="center"/>
          </w:tcPr>
          <w:p>
            <w:pPr>
              <w:rPr>
                <w:rFonts w:hint="eastAsia" w:ascii="宋体" w:hAnsi="宋体" w:cs="宋体"/>
                <w:sz w:val="21"/>
                <w:szCs w:val="21"/>
                <w:lang w:val="zh-CN"/>
              </w:rPr>
            </w:pPr>
            <w:r>
              <w:rPr>
                <w:rFonts w:hint="eastAsia" w:ascii="宋体" w:hAnsi="宋体" w:cs="宋体"/>
                <w:sz w:val="21"/>
                <w:szCs w:val="21"/>
                <w:lang w:val="zh-CN"/>
              </w:rPr>
              <w:t>实质性响应</w:t>
            </w:r>
          </w:p>
        </w:tc>
        <w:tc>
          <w:tcPr>
            <w:tcW w:w="5833" w:type="dxa"/>
            <w:vAlign w:val="center"/>
          </w:tcPr>
          <w:p>
            <w:pPr>
              <w:pStyle w:val="31"/>
              <w:rPr>
                <w:rFonts w:hint="eastAsia" w:ascii="宋体" w:hAnsi="宋体" w:cs="宋体"/>
                <w:sz w:val="21"/>
                <w:szCs w:val="21"/>
                <w:lang w:val="zh-CN"/>
              </w:rPr>
            </w:pPr>
            <w:r>
              <w:rPr>
                <w:rFonts w:hint="eastAsia" w:ascii="宋体" w:hAnsi="宋体" w:cs="宋体"/>
                <w:kern w:val="0"/>
                <w:sz w:val="21"/>
                <w:szCs w:val="21"/>
              </w:rPr>
              <w:t>竞争性磋商文件第二篇、第三篇</w:t>
            </w:r>
            <w:r>
              <w:rPr>
                <w:rFonts w:hint="eastAsia" w:ascii="宋体" w:hAnsi="宋体" w:cs="宋体"/>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4" w:type="dxa"/>
            <w:vMerge w:val="continue"/>
            <w:vAlign w:val="center"/>
          </w:tcPr>
          <w:p>
            <w:pPr>
              <w:jc w:val="center"/>
              <w:rPr>
                <w:rFonts w:hint="eastAsia" w:ascii="宋体" w:hAnsi="宋体" w:cs="宋体"/>
                <w:kern w:val="0"/>
                <w:sz w:val="21"/>
                <w:szCs w:val="21"/>
              </w:rPr>
            </w:pPr>
          </w:p>
        </w:tc>
        <w:tc>
          <w:tcPr>
            <w:tcW w:w="1822" w:type="dxa"/>
            <w:vMerge w:val="continue"/>
            <w:vAlign w:val="center"/>
          </w:tcPr>
          <w:p>
            <w:pPr>
              <w:rPr>
                <w:rFonts w:hint="eastAsia" w:ascii="宋体" w:hAnsi="宋体" w:cs="宋体"/>
                <w:kern w:val="0"/>
                <w:sz w:val="21"/>
                <w:szCs w:val="21"/>
              </w:rPr>
            </w:pPr>
          </w:p>
        </w:tc>
        <w:tc>
          <w:tcPr>
            <w:tcW w:w="1984" w:type="dxa"/>
            <w:vAlign w:val="center"/>
          </w:tcPr>
          <w:p>
            <w:pPr>
              <w:rPr>
                <w:rFonts w:hint="eastAsia" w:ascii="宋体" w:hAnsi="宋体" w:cs="宋体"/>
                <w:kern w:val="0"/>
                <w:sz w:val="21"/>
                <w:szCs w:val="21"/>
              </w:rPr>
            </w:pPr>
            <w:r>
              <w:rPr>
                <w:rFonts w:hint="eastAsia" w:ascii="宋体" w:hAnsi="宋体" w:cs="宋体"/>
                <w:kern w:val="0"/>
                <w:sz w:val="21"/>
                <w:szCs w:val="21"/>
              </w:rPr>
              <w:t>磋商有效期</w:t>
            </w:r>
          </w:p>
        </w:tc>
        <w:tc>
          <w:tcPr>
            <w:tcW w:w="5833" w:type="dxa"/>
            <w:vAlign w:val="center"/>
          </w:tcPr>
          <w:p>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pPr>
        <w:spacing w:line="480" w:lineRule="exact"/>
        <w:ind w:firstLine="420" w:firstLineChars="200"/>
        <w:rPr>
          <w:rFonts w:hint="eastAsia" w:ascii="宋体" w:hAnsi="宋体"/>
          <w:sz w:val="21"/>
          <w:szCs w:val="21"/>
        </w:rPr>
      </w:pPr>
      <w:r>
        <w:rPr>
          <w:rFonts w:hint="eastAsia" w:ascii="宋体" w:hAnsi="宋体"/>
          <w:sz w:val="21"/>
          <w:szCs w:val="21"/>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spacing w:line="480" w:lineRule="exact"/>
        <w:ind w:firstLine="420" w:firstLineChars="200"/>
        <w:rPr>
          <w:rFonts w:hint="eastAsia" w:ascii="宋体" w:hAnsi="宋体"/>
          <w:sz w:val="21"/>
          <w:szCs w:val="21"/>
        </w:rPr>
      </w:pPr>
      <w:r>
        <w:rPr>
          <w:rFonts w:hint="eastAsia" w:ascii="宋体" w:hAnsi="宋体"/>
          <w:sz w:val="21"/>
          <w:szCs w:val="21"/>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20" w:firstLineChars="200"/>
        <w:rPr>
          <w:rFonts w:hint="eastAsia" w:ascii="宋体" w:hAnsi="宋体"/>
          <w:sz w:val="21"/>
          <w:szCs w:val="21"/>
        </w:rPr>
      </w:pPr>
      <w:r>
        <w:rPr>
          <w:rFonts w:hint="eastAsia" w:ascii="宋体" w:hAnsi="宋体"/>
          <w:sz w:val="21"/>
          <w:szCs w:val="21"/>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80" w:lineRule="exact"/>
        <w:ind w:firstLine="420" w:firstLineChars="200"/>
        <w:rPr>
          <w:rFonts w:hint="eastAsia" w:ascii="宋体" w:hAnsi="宋体"/>
          <w:sz w:val="21"/>
          <w:szCs w:val="21"/>
        </w:rPr>
      </w:pPr>
      <w:r>
        <w:rPr>
          <w:rFonts w:hint="eastAsia" w:ascii="宋体" w:hAnsi="宋体"/>
          <w:sz w:val="21"/>
          <w:szCs w:val="21"/>
        </w:rPr>
        <w:t>（五）在磋商过程中磋商的任何一方不得向他人透露与磋商有关的服务资料、价格或其他信息。</w:t>
      </w:r>
    </w:p>
    <w:p>
      <w:pPr>
        <w:spacing w:line="480" w:lineRule="exact"/>
        <w:ind w:firstLine="420" w:firstLineChars="200"/>
        <w:rPr>
          <w:rFonts w:hint="eastAsia" w:ascii="宋体" w:hAnsi="宋体"/>
          <w:sz w:val="21"/>
          <w:szCs w:val="21"/>
        </w:rPr>
      </w:pPr>
      <w:r>
        <w:rPr>
          <w:rFonts w:hint="eastAsia" w:ascii="宋体" w:hAnsi="宋体"/>
          <w:sz w:val="21"/>
          <w:szCs w:val="21"/>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80" w:lineRule="exact"/>
        <w:ind w:firstLine="420" w:firstLineChars="200"/>
        <w:rPr>
          <w:rFonts w:hint="eastAsia" w:ascii="宋体" w:hAnsi="宋体"/>
          <w:sz w:val="21"/>
          <w:szCs w:val="21"/>
        </w:rPr>
      </w:pPr>
      <w:r>
        <w:rPr>
          <w:rFonts w:hint="eastAsia" w:ascii="宋体" w:hAnsi="宋体"/>
          <w:sz w:val="21"/>
          <w:szCs w:val="21"/>
        </w:rPr>
        <w:t>（七）供应商在磋商时作出的所有书面承诺须由法定代表人（或其授权代表）或自然人（供应商为自然人）签署。</w:t>
      </w:r>
    </w:p>
    <w:p>
      <w:pPr>
        <w:spacing w:line="480" w:lineRule="exact"/>
        <w:ind w:firstLine="420" w:firstLineChars="200"/>
        <w:rPr>
          <w:rFonts w:hint="eastAsia" w:ascii="宋体" w:hAnsi="宋体"/>
          <w:sz w:val="21"/>
          <w:szCs w:val="21"/>
        </w:rPr>
      </w:pPr>
      <w:r>
        <w:rPr>
          <w:rFonts w:hint="eastAsia" w:ascii="宋体" w:hAnsi="宋体"/>
          <w:sz w:val="21"/>
          <w:szCs w:val="21"/>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pacing w:line="480" w:lineRule="exact"/>
        <w:ind w:firstLine="420" w:firstLineChars="200"/>
        <w:rPr>
          <w:rFonts w:hint="eastAsia" w:ascii="宋体" w:hAnsi="宋体"/>
          <w:sz w:val="21"/>
          <w:szCs w:val="21"/>
        </w:rPr>
      </w:pPr>
      <w:r>
        <w:rPr>
          <w:rFonts w:hint="eastAsia" w:ascii="宋体" w:hAnsi="宋体"/>
          <w:sz w:val="21"/>
          <w:szCs w:val="21"/>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pPr>
        <w:spacing w:line="480" w:lineRule="exact"/>
        <w:ind w:firstLine="420" w:firstLineChars="200"/>
        <w:rPr>
          <w:rFonts w:hint="eastAsia" w:ascii="宋体" w:hAnsi="宋体"/>
          <w:sz w:val="21"/>
          <w:szCs w:val="21"/>
        </w:rPr>
      </w:pPr>
      <w:r>
        <w:rPr>
          <w:rFonts w:hint="eastAsia" w:ascii="宋体" w:hAnsi="宋体"/>
          <w:sz w:val="21"/>
          <w:szCs w:val="21"/>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pPr>
        <w:pStyle w:val="4"/>
        <w:spacing w:before="0" w:after="0" w:line="440" w:lineRule="exact"/>
        <w:rPr>
          <w:rFonts w:hint="eastAsia" w:ascii="宋体" w:hAnsi="宋体"/>
          <w:sz w:val="21"/>
          <w:szCs w:val="21"/>
        </w:rPr>
      </w:pPr>
      <w:bookmarkStart w:id="126" w:name="_Toc1316"/>
      <w:bookmarkStart w:id="127" w:name="_Toc5623"/>
      <w:bookmarkStart w:id="128" w:name="_Toc2195"/>
      <w:r>
        <w:rPr>
          <w:rFonts w:hint="eastAsia" w:ascii="宋体" w:hAnsi="宋体"/>
          <w:sz w:val="21"/>
          <w:szCs w:val="21"/>
        </w:rPr>
        <w:t>二、评审标准</w:t>
      </w:r>
      <w:bookmarkEnd w:id="126"/>
      <w:bookmarkEnd w:id="127"/>
      <w:bookmarkEnd w:id="128"/>
    </w:p>
    <w:tbl>
      <w:tblPr>
        <w:tblStyle w:val="53"/>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134"/>
        <w:gridCol w:w="567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ind w:firstLine="28"/>
              <w:jc w:val="center"/>
              <w:rPr>
                <w:rFonts w:hint="eastAsia" w:asciiTheme="minorEastAsia" w:hAnsiTheme="minorEastAsia" w:eastAsiaTheme="minorEastAsia" w:cstheme="minorEastAsia"/>
                <w:b/>
                <w:sz w:val="21"/>
                <w:szCs w:val="21"/>
              </w:rPr>
            </w:pPr>
            <w:bookmarkStart w:id="129" w:name="_Toc16972"/>
            <w:bookmarkStart w:id="130" w:name="_Toc24429"/>
            <w:bookmarkStart w:id="131" w:name="_Toc67642673"/>
            <w:bookmarkStart w:id="132" w:name="_Toc428437946"/>
            <w:r>
              <w:rPr>
                <w:rFonts w:hint="eastAsia" w:asciiTheme="minorEastAsia" w:hAnsiTheme="minorEastAsia" w:eastAsiaTheme="minorEastAsia" w:cstheme="minorEastAsia"/>
                <w:b/>
                <w:sz w:val="21"/>
                <w:szCs w:val="21"/>
              </w:rPr>
              <w:t>序号</w:t>
            </w:r>
          </w:p>
        </w:tc>
        <w:tc>
          <w:tcPr>
            <w:tcW w:w="1134" w:type="dxa"/>
            <w:vAlign w:val="center"/>
          </w:tcPr>
          <w:p>
            <w:pPr>
              <w:ind w:firstLine="28"/>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评分因素及权值</w:t>
            </w:r>
          </w:p>
        </w:tc>
        <w:tc>
          <w:tcPr>
            <w:tcW w:w="1134" w:type="dxa"/>
            <w:vAlign w:val="center"/>
          </w:tcPr>
          <w:p>
            <w:pPr>
              <w:ind w:firstLine="28"/>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分值</w:t>
            </w:r>
          </w:p>
        </w:tc>
        <w:tc>
          <w:tcPr>
            <w:tcW w:w="5670" w:type="dxa"/>
            <w:vAlign w:val="center"/>
          </w:tcPr>
          <w:p>
            <w:pPr>
              <w:ind w:firstLine="28"/>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评分标准</w:t>
            </w:r>
          </w:p>
        </w:tc>
        <w:tc>
          <w:tcPr>
            <w:tcW w:w="1418" w:type="dxa"/>
            <w:vAlign w:val="center"/>
          </w:tcPr>
          <w:p>
            <w:pPr>
              <w:pStyle w:val="247"/>
              <w:spacing w:before="0"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4" w:type="dxa"/>
            <w:vAlign w:val="center"/>
          </w:tcPr>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磋商报价</w:t>
            </w:r>
          </w:p>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134" w:type="dxa"/>
            <w:vAlign w:val="center"/>
          </w:tcPr>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10分</w:t>
            </w:r>
          </w:p>
        </w:tc>
        <w:tc>
          <w:tcPr>
            <w:tcW w:w="5670" w:type="dxa"/>
            <w:vAlign w:val="center"/>
          </w:tcPr>
          <w:p>
            <w:pPr>
              <w:spacing w:line="360" w:lineRule="auto"/>
              <w:rPr>
                <w:rFonts w:hint="eastAsia" w:ascii="宋体" w:hAnsi="宋体"/>
                <w:sz w:val="21"/>
                <w:szCs w:val="21"/>
              </w:rPr>
            </w:pPr>
            <w:r>
              <w:rPr>
                <w:rFonts w:hint="eastAsia" w:ascii="宋体" w:hAnsi="宋体"/>
                <w:sz w:val="21"/>
                <w:szCs w:val="21"/>
              </w:rPr>
              <w:t>满足资格性、符合性要求且最后报价（报价总额）最低的供应商的价格为磋商基准价，其价格分为满分。其他供应商的价格分统一按照下列公式计算：</w:t>
            </w:r>
          </w:p>
          <w:p>
            <w:pPr>
              <w:spacing w:line="360" w:lineRule="auto"/>
              <w:rPr>
                <w:rFonts w:hint="eastAsia" w:asciiTheme="minorEastAsia" w:hAnsiTheme="minorEastAsia" w:eastAsiaTheme="minorEastAsia" w:cstheme="minorEastAsia"/>
                <w:sz w:val="21"/>
                <w:szCs w:val="21"/>
              </w:rPr>
            </w:pPr>
            <w:r>
              <w:rPr>
                <w:rFonts w:hint="eastAsia" w:ascii="宋体" w:hAnsi="宋体"/>
                <w:sz w:val="21"/>
                <w:szCs w:val="21"/>
              </w:rPr>
              <w:t>磋商报价得分=（磋商基准价/最后磋商报价）×价格权值×100</w:t>
            </w:r>
          </w:p>
        </w:tc>
        <w:tc>
          <w:tcPr>
            <w:tcW w:w="1418" w:type="dxa"/>
            <w:vAlign w:val="center"/>
          </w:tcPr>
          <w:p>
            <w:pPr>
              <w:ind w:left="-38"/>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34" w:type="dxa"/>
            <w:vMerge w:val="restart"/>
            <w:vAlign w:val="center"/>
          </w:tcPr>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服务部分</w:t>
            </w:r>
          </w:p>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w:t>
            </w:r>
          </w:p>
        </w:tc>
        <w:tc>
          <w:tcPr>
            <w:tcW w:w="1134" w:type="dxa"/>
            <w:vAlign w:val="center"/>
          </w:tcPr>
          <w:p>
            <w:pPr>
              <w:spacing w:line="360" w:lineRule="auto"/>
              <w:ind w:firstLine="28"/>
              <w:jc w:val="center"/>
              <w:rPr>
                <w:rFonts w:hint="eastAsia" w:ascii="宋体" w:hAnsi="宋体" w:cs="宋体"/>
                <w:sz w:val="21"/>
                <w:szCs w:val="21"/>
              </w:rPr>
            </w:pPr>
            <w:r>
              <w:rPr>
                <w:rFonts w:hint="eastAsia" w:ascii="宋体" w:hAnsi="宋体" w:cs="宋体"/>
                <w:sz w:val="21"/>
                <w:szCs w:val="21"/>
              </w:rPr>
              <w:t>服务方案（28分）</w:t>
            </w:r>
          </w:p>
        </w:tc>
        <w:tc>
          <w:tcPr>
            <w:tcW w:w="5670" w:type="dxa"/>
            <w:vAlign w:val="center"/>
          </w:tcPr>
          <w:p>
            <w:pPr>
              <w:spacing w:line="360" w:lineRule="auto"/>
              <w:rPr>
                <w:rFonts w:hint="eastAsia" w:ascii="宋体" w:hAnsi="宋体"/>
                <w:sz w:val="21"/>
                <w:szCs w:val="21"/>
              </w:rPr>
            </w:pPr>
            <w:r>
              <w:rPr>
                <w:rFonts w:hint="eastAsia" w:ascii="宋体" w:hAnsi="宋体"/>
                <w:sz w:val="21"/>
                <w:szCs w:val="21"/>
              </w:rPr>
              <w:t>根据“第二篇 项目服务需求”及“第三篇项目商务需求”中相关要求，拟定项目整体服务方案。方案应至少包括以下要素：总体概述、需求分析、指导思想、服务目的、管理目标、工作原则、质量管理制度、培训制度、服务实施计划及人员配置规划等。</w:t>
            </w:r>
          </w:p>
          <w:p>
            <w:pPr>
              <w:spacing w:line="360" w:lineRule="auto"/>
              <w:rPr>
                <w:rFonts w:hint="eastAsia" w:ascii="宋体" w:hAnsi="宋体"/>
                <w:sz w:val="21"/>
                <w:szCs w:val="21"/>
              </w:rPr>
            </w:pPr>
            <w:r>
              <w:rPr>
                <w:rFonts w:hint="eastAsia" w:ascii="宋体" w:hAnsi="宋体"/>
                <w:sz w:val="21"/>
                <w:szCs w:val="21"/>
              </w:rPr>
              <w:t>方案内容满足以上要求无瑕疵得28分，内容存在1处瑕疵得21分，内容存在2处瑕疵得14分，内容存在3处瑕疵得7分，内容存在4处及以上瑕疵或未提供方案得0分。</w:t>
            </w:r>
          </w:p>
        </w:tc>
        <w:tc>
          <w:tcPr>
            <w:tcW w:w="1418" w:type="dxa"/>
            <w:vMerge w:val="restart"/>
            <w:vAlign w:val="center"/>
          </w:tcPr>
          <w:p>
            <w:pPr>
              <w:rPr>
                <w:rFonts w:hint="eastAsia" w:ascii="宋体" w:hAnsi="宋体"/>
                <w:sz w:val="21"/>
                <w:szCs w:val="21"/>
              </w:rPr>
            </w:pPr>
            <w:r>
              <w:rPr>
                <w:rFonts w:hint="eastAsia" w:ascii="宋体" w:hAnsi="宋体"/>
                <w:sz w:val="21"/>
                <w:szCs w:val="21"/>
              </w:rPr>
              <w:t>提供相关方案，格式自定。本项内容中所称的“瑕疵”：</w:t>
            </w:r>
          </w:p>
          <w:p>
            <w:pPr>
              <w:rPr>
                <w:rFonts w:hint="eastAsia" w:ascii="宋体" w:hAnsi="宋体"/>
                <w:sz w:val="21"/>
                <w:szCs w:val="21"/>
              </w:rPr>
            </w:pPr>
            <w:r>
              <w:rPr>
                <w:rFonts w:hint="eastAsia" w:ascii="宋体" w:hAnsi="宋体"/>
                <w:sz w:val="21"/>
                <w:szCs w:val="21"/>
              </w:rPr>
              <w:t>①内容表述不完整或缺少关键分析点；</w:t>
            </w:r>
          </w:p>
          <w:p>
            <w:pPr>
              <w:rPr>
                <w:rFonts w:hint="eastAsia" w:ascii="宋体" w:hAnsi="宋体"/>
                <w:sz w:val="21"/>
                <w:szCs w:val="21"/>
              </w:rPr>
            </w:pPr>
            <w:r>
              <w:rPr>
                <w:rFonts w:hint="eastAsia" w:ascii="宋体" w:hAnsi="宋体"/>
                <w:sz w:val="21"/>
                <w:szCs w:val="21"/>
              </w:rPr>
              <w:t>②计划及措施不科学合理方案；</w:t>
            </w:r>
          </w:p>
          <w:p>
            <w:pPr>
              <w:rPr>
                <w:rFonts w:hint="eastAsia" w:ascii="宋体" w:hAnsi="宋体"/>
                <w:sz w:val="21"/>
                <w:szCs w:val="21"/>
              </w:rPr>
            </w:pPr>
            <w:r>
              <w:rPr>
                <w:rFonts w:hint="eastAsia" w:ascii="宋体" w:hAnsi="宋体"/>
                <w:sz w:val="21"/>
                <w:szCs w:val="21"/>
              </w:rPr>
              <w:t>③内容表述前后矛盾、无连贯性、内容存在逻辑漏洞；</w:t>
            </w:r>
          </w:p>
          <w:p>
            <w:pPr>
              <w:rPr>
                <w:rFonts w:hint="eastAsia" w:ascii="宋体" w:hAnsi="宋体"/>
                <w:sz w:val="21"/>
                <w:szCs w:val="21"/>
              </w:rPr>
            </w:pPr>
            <w:r>
              <w:rPr>
                <w:rFonts w:hint="eastAsia" w:ascii="宋体" w:hAnsi="宋体"/>
                <w:sz w:val="21"/>
                <w:szCs w:val="21"/>
              </w:rPr>
              <w:t>④常识性错误；</w:t>
            </w:r>
          </w:p>
          <w:p>
            <w:pPr>
              <w:rPr>
                <w:rFonts w:hint="eastAsia" w:ascii="宋体" w:hAnsi="宋体"/>
                <w:sz w:val="21"/>
                <w:szCs w:val="21"/>
              </w:rPr>
            </w:pPr>
            <w:r>
              <w:rPr>
                <w:rFonts w:hint="eastAsia" w:ascii="宋体" w:hAnsi="宋体"/>
                <w:sz w:val="21"/>
                <w:szCs w:val="21"/>
              </w:rPr>
              <w:t>⑤技术措施保障安排并不适用本项目特性或非专门针对本项目制定；</w:t>
            </w:r>
          </w:p>
          <w:p>
            <w:pPr>
              <w:rPr>
                <w:rFonts w:hint="eastAsia" w:ascii="宋体" w:hAnsi="宋体"/>
                <w:sz w:val="21"/>
                <w:szCs w:val="21"/>
              </w:rPr>
            </w:pPr>
            <w:r>
              <w:rPr>
                <w:rFonts w:hint="eastAsia" w:ascii="宋体" w:hAnsi="宋体"/>
                <w:sz w:val="21"/>
                <w:szCs w:val="21"/>
              </w:rPr>
              <w:t>⑥方案中提出的措施举措不利于本项目目标的实现；</w:t>
            </w:r>
          </w:p>
          <w:p>
            <w:pPr>
              <w:rPr>
                <w:rFonts w:hint="eastAsia" w:ascii="宋体" w:hAnsi="宋体"/>
                <w:sz w:val="21"/>
                <w:szCs w:val="21"/>
              </w:rPr>
            </w:pPr>
            <w:r>
              <w:rPr>
                <w:rFonts w:hint="eastAsia" w:ascii="宋体" w:hAnsi="宋体"/>
                <w:sz w:val="21"/>
                <w:szCs w:val="21"/>
              </w:rPr>
              <w:t>⑦出现与本项目不相关的其他内容；</w:t>
            </w:r>
          </w:p>
          <w:p>
            <w:pPr>
              <w:rPr>
                <w:rFonts w:hint="eastAsia" w:ascii="宋体" w:hAnsi="宋体"/>
                <w:sz w:val="21"/>
                <w:szCs w:val="21"/>
              </w:rPr>
            </w:pPr>
            <w:r>
              <w:rPr>
                <w:rFonts w:hint="eastAsia" w:ascii="宋体" w:hAnsi="宋体"/>
                <w:sz w:val="21"/>
                <w:szCs w:val="21"/>
              </w:rPr>
              <w:t>⑧现有技术条件下不可能实现采购目标。</w:t>
            </w:r>
          </w:p>
          <w:p>
            <w:pPr>
              <w:rPr>
                <w:rFonts w:hint="eastAsia" w:ascii="宋体" w:hAnsi="宋体"/>
                <w:sz w:val="21"/>
                <w:szCs w:val="21"/>
              </w:rPr>
            </w:pPr>
            <w:r>
              <w:rPr>
                <w:rFonts w:hint="eastAsia" w:ascii="宋体" w:hAnsi="宋体"/>
                <w:sz w:val="21"/>
                <w:szCs w:val="21"/>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ind w:firstLine="28"/>
              <w:jc w:val="center"/>
              <w:rPr>
                <w:rFonts w:hint="eastAsia" w:asciiTheme="minorEastAsia" w:hAnsiTheme="minorEastAsia" w:eastAsiaTheme="minorEastAsia" w:cstheme="minorEastAsia"/>
                <w:sz w:val="21"/>
                <w:szCs w:val="21"/>
              </w:rPr>
            </w:pPr>
          </w:p>
        </w:tc>
        <w:tc>
          <w:tcPr>
            <w:tcW w:w="1134" w:type="dxa"/>
            <w:vMerge w:val="continue"/>
            <w:vAlign w:val="center"/>
          </w:tcPr>
          <w:p>
            <w:pPr>
              <w:ind w:firstLine="28"/>
              <w:jc w:val="center"/>
              <w:rPr>
                <w:rFonts w:hint="eastAsia" w:asciiTheme="minorEastAsia" w:hAnsiTheme="minorEastAsia" w:eastAsiaTheme="minorEastAsia" w:cstheme="minorEastAsia"/>
                <w:sz w:val="21"/>
                <w:szCs w:val="21"/>
              </w:rPr>
            </w:pPr>
          </w:p>
        </w:tc>
        <w:tc>
          <w:tcPr>
            <w:tcW w:w="1134" w:type="dxa"/>
            <w:vAlign w:val="center"/>
          </w:tcPr>
          <w:p>
            <w:pPr>
              <w:spacing w:line="360" w:lineRule="auto"/>
              <w:ind w:firstLine="28"/>
              <w:jc w:val="center"/>
              <w:rPr>
                <w:rFonts w:hint="eastAsia" w:ascii="宋体" w:hAnsi="宋体" w:cs="宋体"/>
                <w:sz w:val="21"/>
                <w:szCs w:val="21"/>
              </w:rPr>
            </w:pPr>
            <w:r>
              <w:rPr>
                <w:rFonts w:hint="eastAsia" w:ascii="宋体" w:hAnsi="宋体" w:cs="宋体"/>
                <w:sz w:val="21"/>
                <w:szCs w:val="21"/>
              </w:rPr>
              <w:t>服务保障（20分）</w:t>
            </w:r>
          </w:p>
        </w:tc>
        <w:tc>
          <w:tcPr>
            <w:tcW w:w="5670" w:type="dxa"/>
            <w:vAlign w:val="center"/>
          </w:tcPr>
          <w:p>
            <w:pPr>
              <w:spacing w:line="360" w:lineRule="auto"/>
              <w:rPr>
                <w:rFonts w:hint="eastAsia" w:ascii="宋体" w:hAnsi="宋体"/>
                <w:sz w:val="21"/>
                <w:szCs w:val="21"/>
              </w:rPr>
            </w:pPr>
            <w:r>
              <w:rPr>
                <w:rFonts w:hint="eastAsia" w:ascii="宋体" w:hAnsi="宋体"/>
                <w:sz w:val="21"/>
                <w:szCs w:val="21"/>
              </w:rPr>
              <w:t>根据“第二篇 项目服务需求”及“第三篇项目商务需求”中相关要求，拟定服务保障措施方案，方案应至少包括以下要素：组织保障、进度保障、人员保障等方面措施内容。根据供应商提供的方案进行综合评审。</w:t>
            </w:r>
          </w:p>
          <w:p>
            <w:pPr>
              <w:spacing w:line="360" w:lineRule="auto"/>
            </w:pPr>
            <w:r>
              <w:rPr>
                <w:rFonts w:hint="eastAsia" w:ascii="宋体" w:hAnsi="宋体"/>
                <w:sz w:val="21"/>
                <w:szCs w:val="21"/>
              </w:rPr>
              <w:t>方案内容满足以上要求无瑕疵得20分，内容存在1处瑕疵得15分，内容存在2处瑕疵得10分，内容存在3处及以上瑕疵或未提供方案得0分。</w:t>
            </w:r>
          </w:p>
        </w:tc>
        <w:tc>
          <w:tcPr>
            <w:tcW w:w="1418" w:type="dxa"/>
            <w:vMerge w:val="continue"/>
            <w:vAlign w:val="center"/>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4" w:type="dxa"/>
            <w:vMerge w:val="restart"/>
            <w:vAlign w:val="center"/>
          </w:tcPr>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34" w:type="dxa"/>
            <w:vMerge w:val="restart"/>
            <w:vAlign w:val="center"/>
          </w:tcPr>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商务部分</w:t>
            </w:r>
          </w:p>
          <w:p>
            <w:pPr>
              <w:ind w:firstLine="2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w:t>
            </w:r>
          </w:p>
        </w:tc>
        <w:tc>
          <w:tcPr>
            <w:tcW w:w="1134" w:type="dxa"/>
            <w:vMerge w:val="restart"/>
            <w:vAlign w:val="center"/>
          </w:tcPr>
          <w:p>
            <w:pPr>
              <w:spacing w:line="360" w:lineRule="auto"/>
              <w:ind w:firstLine="28"/>
              <w:jc w:val="center"/>
              <w:rPr>
                <w:rFonts w:hint="eastAsia" w:ascii="宋体" w:hAnsi="宋体" w:cs="宋体"/>
                <w:sz w:val="21"/>
                <w:szCs w:val="21"/>
              </w:rPr>
            </w:pPr>
            <w:r>
              <w:rPr>
                <w:rFonts w:hint="eastAsia" w:ascii="宋体" w:hAnsi="宋体" w:cs="宋体"/>
                <w:sz w:val="21"/>
                <w:szCs w:val="21"/>
              </w:rPr>
              <w:t>团队（24分）</w:t>
            </w:r>
          </w:p>
        </w:tc>
        <w:tc>
          <w:tcPr>
            <w:tcW w:w="5670" w:type="dxa"/>
            <w:vAlign w:val="center"/>
          </w:tcPr>
          <w:p>
            <w:pPr>
              <w:spacing w:line="360" w:lineRule="auto"/>
              <w:rPr>
                <w:rFonts w:hint="eastAsia" w:ascii="宋体" w:hAnsi="宋体"/>
                <w:sz w:val="21"/>
                <w:szCs w:val="21"/>
              </w:rPr>
            </w:pPr>
            <w:r>
              <w:rPr>
                <w:rFonts w:hint="eastAsia" w:ascii="宋体" w:hAnsi="宋体"/>
                <w:sz w:val="21"/>
                <w:szCs w:val="21"/>
              </w:rPr>
              <w:t>项目负责人：</w:t>
            </w:r>
          </w:p>
          <w:p>
            <w:pPr>
              <w:spacing w:line="360" w:lineRule="auto"/>
              <w:rPr>
                <w:rFonts w:hint="eastAsia" w:ascii="宋体" w:hAnsi="宋体"/>
                <w:sz w:val="21"/>
                <w:szCs w:val="21"/>
              </w:rPr>
            </w:pPr>
            <w:r>
              <w:rPr>
                <w:rFonts w:hint="eastAsia" w:ascii="宋体" w:hAnsi="宋体"/>
                <w:sz w:val="21"/>
                <w:szCs w:val="21"/>
              </w:rPr>
              <w:t>具有财务类或审计类或经济类高级技术职称的得2分；</w:t>
            </w:r>
          </w:p>
          <w:p>
            <w:pPr>
              <w:spacing w:line="360" w:lineRule="auto"/>
              <w:rPr>
                <w:rFonts w:hint="eastAsia" w:ascii="宋体" w:hAnsi="宋体"/>
                <w:sz w:val="21"/>
                <w:szCs w:val="21"/>
              </w:rPr>
            </w:pPr>
            <w:r>
              <w:rPr>
                <w:rFonts w:hint="eastAsia" w:ascii="宋体" w:hAnsi="宋体"/>
                <w:sz w:val="21"/>
                <w:szCs w:val="21"/>
              </w:rPr>
              <w:t>具有注册会计师资格证书的得2分，工作经验20年及以上得2分（以注册会计师证书发证时间为准）；</w:t>
            </w:r>
          </w:p>
          <w:p>
            <w:pPr>
              <w:spacing w:line="360" w:lineRule="auto"/>
              <w:rPr>
                <w:rFonts w:hint="eastAsia" w:ascii="宋体" w:hAnsi="宋体"/>
                <w:sz w:val="21"/>
                <w:szCs w:val="21"/>
              </w:rPr>
            </w:pPr>
            <w:r>
              <w:rPr>
                <w:rFonts w:hint="eastAsia" w:ascii="宋体" w:hAnsi="宋体"/>
                <w:sz w:val="21"/>
                <w:szCs w:val="21"/>
              </w:rPr>
              <w:t>此项最高得6分。</w:t>
            </w:r>
          </w:p>
        </w:tc>
        <w:tc>
          <w:tcPr>
            <w:tcW w:w="1418" w:type="dxa"/>
            <w:vMerge w:val="restart"/>
            <w:vAlign w:val="center"/>
          </w:tcPr>
          <w:p>
            <w:pPr>
              <w:rPr>
                <w:rFonts w:hint="eastAsia" w:ascii="宋体" w:hAnsi="宋体"/>
                <w:sz w:val="21"/>
                <w:szCs w:val="21"/>
              </w:rPr>
            </w:pPr>
            <w:r>
              <w:rPr>
                <w:rFonts w:hint="eastAsia" w:ascii="宋体" w:hAnsi="宋体"/>
                <w:sz w:val="21"/>
                <w:szCs w:val="21"/>
              </w:rPr>
              <w:t>1.提供项目团队投入人员清单，格式自理，加盖供应商公章。</w:t>
            </w:r>
          </w:p>
          <w:p>
            <w:pPr>
              <w:rPr>
                <w:rFonts w:hint="eastAsia" w:ascii="宋体" w:hAnsi="宋体"/>
                <w:sz w:val="21"/>
                <w:szCs w:val="21"/>
              </w:rPr>
            </w:pPr>
            <w:r>
              <w:rPr>
                <w:rFonts w:hint="eastAsia" w:ascii="宋体" w:hAnsi="宋体"/>
                <w:sz w:val="21"/>
                <w:szCs w:val="21"/>
              </w:rPr>
              <w:t>2.提供相关证书复印件并加盖供应商公章。</w:t>
            </w:r>
          </w:p>
          <w:p>
            <w:pPr>
              <w:rPr>
                <w:rFonts w:hint="eastAsia" w:ascii="宋体" w:hAnsi="宋体"/>
                <w:sz w:val="21"/>
                <w:szCs w:val="21"/>
              </w:rPr>
            </w:pPr>
            <w:r>
              <w:rPr>
                <w:rFonts w:hint="eastAsia" w:ascii="宋体" w:hAnsi="宋体"/>
                <w:sz w:val="21"/>
                <w:szCs w:val="21"/>
              </w:rPr>
              <w:t>3.提供供应商为其缴纳的2025年任一个月的社保证明，如新成立的公司或新入职的员工，提交劳动合同复印件并加盖公章即可。</w:t>
            </w:r>
          </w:p>
          <w:p>
            <w:pPr>
              <w:rPr>
                <w:rFonts w:hint="eastAsia" w:ascii="宋体" w:hAnsi="宋体"/>
                <w:sz w:val="21"/>
                <w:szCs w:val="21"/>
              </w:rPr>
            </w:pPr>
            <w:r>
              <w:rPr>
                <w:rFonts w:hint="eastAsia" w:ascii="宋体" w:hAnsi="宋体"/>
                <w:sz w:val="21"/>
                <w:szCs w:val="21"/>
              </w:rPr>
              <w:t>4.人员不可相互兼任、重复计分。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4" w:type="dxa"/>
            <w:vMerge w:val="continue"/>
            <w:vAlign w:val="center"/>
          </w:tcPr>
          <w:p>
            <w:pPr>
              <w:ind w:firstLine="28"/>
              <w:jc w:val="center"/>
              <w:rPr>
                <w:rFonts w:hint="eastAsia" w:asciiTheme="minorEastAsia" w:hAnsiTheme="minorEastAsia" w:eastAsiaTheme="minorEastAsia" w:cstheme="minorEastAsia"/>
                <w:sz w:val="21"/>
                <w:szCs w:val="21"/>
              </w:rPr>
            </w:pPr>
          </w:p>
        </w:tc>
        <w:tc>
          <w:tcPr>
            <w:tcW w:w="1134" w:type="dxa"/>
            <w:vMerge w:val="continue"/>
            <w:vAlign w:val="center"/>
          </w:tcPr>
          <w:p>
            <w:pPr>
              <w:ind w:firstLine="28"/>
              <w:jc w:val="center"/>
              <w:rPr>
                <w:rFonts w:hint="eastAsia" w:asciiTheme="minorEastAsia" w:hAnsiTheme="minorEastAsia" w:eastAsiaTheme="minorEastAsia" w:cstheme="minorEastAsia"/>
                <w:sz w:val="21"/>
                <w:szCs w:val="21"/>
              </w:rPr>
            </w:pPr>
          </w:p>
        </w:tc>
        <w:tc>
          <w:tcPr>
            <w:tcW w:w="1134" w:type="dxa"/>
            <w:vMerge w:val="continue"/>
            <w:vAlign w:val="center"/>
          </w:tcPr>
          <w:p>
            <w:pPr>
              <w:spacing w:line="360" w:lineRule="auto"/>
              <w:ind w:firstLine="28"/>
              <w:jc w:val="center"/>
              <w:rPr>
                <w:rFonts w:hint="eastAsia" w:ascii="宋体" w:hAnsi="宋体" w:cs="宋体"/>
                <w:sz w:val="21"/>
                <w:szCs w:val="21"/>
              </w:rPr>
            </w:pPr>
          </w:p>
        </w:tc>
        <w:tc>
          <w:tcPr>
            <w:tcW w:w="5670" w:type="dxa"/>
            <w:vAlign w:val="center"/>
          </w:tcPr>
          <w:p>
            <w:pPr>
              <w:spacing w:line="360" w:lineRule="auto"/>
              <w:rPr>
                <w:rFonts w:hint="eastAsia" w:ascii="宋体" w:hAnsi="宋体"/>
                <w:sz w:val="21"/>
                <w:szCs w:val="21"/>
              </w:rPr>
            </w:pPr>
            <w:r>
              <w:rPr>
                <w:rFonts w:hint="eastAsia" w:ascii="宋体" w:hAnsi="宋体"/>
                <w:sz w:val="21"/>
                <w:szCs w:val="21"/>
              </w:rPr>
              <w:t>项目组成员（项目负责人除外）：</w:t>
            </w:r>
            <w:r>
              <w:rPr>
                <w:rFonts w:hint="eastAsia" w:ascii="宋体" w:hAnsi="宋体"/>
                <w:sz w:val="21"/>
                <w:szCs w:val="21"/>
              </w:rPr>
              <w:br w:type="textWrapping"/>
            </w:r>
            <w:r>
              <w:rPr>
                <w:rFonts w:hint="eastAsia" w:ascii="宋体" w:hAnsi="宋体"/>
                <w:sz w:val="21"/>
                <w:szCs w:val="21"/>
              </w:rPr>
              <w:t>1.信息技术类专业人员：</w:t>
            </w:r>
            <w:r>
              <w:rPr>
                <w:rFonts w:hint="eastAsia" w:ascii="宋体" w:hAnsi="宋体"/>
                <w:sz w:val="21"/>
                <w:szCs w:val="21"/>
              </w:rPr>
              <w:br w:type="textWrapping"/>
            </w:r>
            <w:r>
              <w:rPr>
                <w:rFonts w:hint="eastAsia" w:ascii="宋体" w:hAnsi="宋体"/>
                <w:sz w:val="21"/>
                <w:szCs w:val="21"/>
              </w:rPr>
              <w:t xml:space="preserve">  每配备1名具有计算机类或数据分析或数据评价类中级及以上证书专业人员得1.5分；此项最高得7.5分。</w:t>
            </w:r>
            <w:r>
              <w:rPr>
                <w:rFonts w:hint="eastAsia" w:ascii="宋体" w:hAnsi="宋体"/>
                <w:sz w:val="21"/>
                <w:szCs w:val="21"/>
              </w:rPr>
              <w:br w:type="textWrapping"/>
            </w:r>
            <w:r>
              <w:rPr>
                <w:rFonts w:hint="eastAsia" w:ascii="宋体" w:hAnsi="宋体"/>
                <w:sz w:val="21"/>
                <w:szCs w:val="21"/>
              </w:rPr>
              <w:t>2.会计类专业人员：</w:t>
            </w:r>
            <w:r>
              <w:rPr>
                <w:rFonts w:hint="eastAsia" w:ascii="宋体" w:hAnsi="宋体"/>
                <w:sz w:val="21"/>
                <w:szCs w:val="21"/>
              </w:rPr>
              <w:br w:type="textWrapping"/>
            </w:r>
            <w:r>
              <w:rPr>
                <w:rFonts w:hint="eastAsia" w:ascii="宋体" w:hAnsi="宋体"/>
                <w:sz w:val="21"/>
                <w:szCs w:val="21"/>
              </w:rPr>
              <w:t xml:space="preserve">  每配备1名具有注册会计师执业资格证书或者高级会计师职称专业人员得1.5分，此项最高得7.5分。</w:t>
            </w:r>
            <w:r>
              <w:rPr>
                <w:rFonts w:hint="eastAsia" w:ascii="宋体" w:hAnsi="宋体"/>
                <w:sz w:val="21"/>
                <w:szCs w:val="21"/>
              </w:rPr>
              <w:br w:type="textWrapping"/>
            </w:r>
            <w:r>
              <w:rPr>
                <w:rFonts w:hint="eastAsia" w:ascii="宋体" w:hAnsi="宋体"/>
                <w:sz w:val="21"/>
                <w:szCs w:val="21"/>
              </w:rPr>
              <w:t>3.工程类专业人员：</w:t>
            </w:r>
          </w:p>
          <w:p>
            <w:pPr>
              <w:spacing w:line="360" w:lineRule="auto"/>
              <w:ind w:firstLine="210" w:firstLineChars="100"/>
              <w:rPr>
                <w:rFonts w:hint="eastAsia" w:ascii="宋体" w:hAnsi="宋体"/>
                <w:sz w:val="21"/>
                <w:szCs w:val="21"/>
              </w:rPr>
            </w:pPr>
            <w:r>
              <w:rPr>
                <w:rFonts w:hint="eastAsia" w:ascii="宋体" w:hAnsi="宋体"/>
                <w:sz w:val="21"/>
                <w:szCs w:val="21"/>
              </w:rPr>
              <w:t>每配备1名具有一级注册造价工程师（或原全国注册造价工程师）执业资格证书专业人员得3分，此项最高得3分。</w:t>
            </w:r>
          </w:p>
        </w:tc>
        <w:tc>
          <w:tcPr>
            <w:tcW w:w="1418" w:type="dxa"/>
            <w:vMerge w:val="continue"/>
            <w:vAlign w:val="center"/>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4" w:type="dxa"/>
            <w:vMerge w:val="continue"/>
            <w:vAlign w:val="center"/>
          </w:tcPr>
          <w:p>
            <w:pPr>
              <w:ind w:firstLine="28"/>
              <w:jc w:val="center"/>
              <w:rPr>
                <w:rFonts w:hint="eastAsia" w:asciiTheme="minorEastAsia" w:hAnsiTheme="minorEastAsia" w:eastAsiaTheme="minorEastAsia" w:cstheme="minorEastAsia"/>
                <w:sz w:val="21"/>
                <w:szCs w:val="21"/>
              </w:rPr>
            </w:pPr>
            <w:bookmarkStart w:id="133" w:name="_Toc428437947"/>
            <w:bookmarkStart w:id="134" w:name="_Toc21966"/>
            <w:bookmarkStart w:id="135" w:name="_Toc4090"/>
            <w:bookmarkStart w:id="136" w:name="_Toc67642674"/>
            <w:bookmarkStart w:id="137" w:name="_Toc30515"/>
            <w:bookmarkStart w:id="138" w:name="_Toc8860"/>
            <w:bookmarkStart w:id="139" w:name="_Toc927"/>
          </w:p>
        </w:tc>
        <w:tc>
          <w:tcPr>
            <w:tcW w:w="1134" w:type="dxa"/>
            <w:vMerge w:val="continue"/>
            <w:vAlign w:val="center"/>
          </w:tcPr>
          <w:p>
            <w:pPr>
              <w:ind w:firstLine="28"/>
              <w:jc w:val="center"/>
              <w:rPr>
                <w:rFonts w:hint="eastAsia" w:asciiTheme="minorEastAsia" w:hAnsiTheme="minorEastAsia" w:eastAsiaTheme="minorEastAsia" w:cstheme="minorEastAsia"/>
                <w:sz w:val="21"/>
                <w:szCs w:val="21"/>
              </w:rPr>
            </w:pPr>
          </w:p>
        </w:tc>
        <w:tc>
          <w:tcPr>
            <w:tcW w:w="1134" w:type="dxa"/>
            <w:vAlign w:val="center"/>
          </w:tcPr>
          <w:p>
            <w:pPr>
              <w:spacing w:line="360" w:lineRule="auto"/>
              <w:ind w:firstLine="28"/>
              <w:jc w:val="center"/>
              <w:rPr>
                <w:rFonts w:hint="eastAsia" w:ascii="宋体" w:hAnsi="宋体" w:cs="宋体"/>
                <w:sz w:val="21"/>
                <w:szCs w:val="21"/>
              </w:rPr>
            </w:pPr>
            <w:r>
              <w:rPr>
                <w:rFonts w:hint="eastAsia" w:ascii="宋体" w:hAnsi="宋体" w:cs="宋体"/>
                <w:sz w:val="21"/>
                <w:szCs w:val="21"/>
              </w:rPr>
              <w:t>业绩 （18分）</w:t>
            </w:r>
          </w:p>
        </w:tc>
        <w:tc>
          <w:tcPr>
            <w:tcW w:w="5670" w:type="dxa"/>
            <w:vAlign w:val="center"/>
          </w:tcPr>
          <w:p>
            <w:pPr>
              <w:spacing w:line="360" w:lineRule="auto"/>
              <w:rPr>
                <w:rFonts w:hint="eastAsia" w:ascii="宋体" w:hAnsi="宋体"/>
                <w:sz w:val="21"/>
                <w:szCs w:val="21"/>
              </w:rPr>
            </w:pPr>
            <w:r>
              <w:rPr>
                <w:rFonts w:hint="eastAsia" w:ascii="宋体" w:hAnsi="宋体"/>
                <w:sz w:val="21"/>
                <w:szCs w:val="21"/>
              </w:rPr>
              <w:t>近3年（2022年1月1日至今，以合同签订时间为准）：</w:t>
            </w:r>
            <w:r>
              <w:rPr>
                <w:rFonts w:hint="eastAsia" w:ascii="宋体" w:hAnsi="宋体"/>
                <w:sz w:val="21"/>
                <w:szCs w:val="21"/>
              </w:rPr>
              <w:br w:type="textWrapping"/>
            </w:r>
            <w:r>
              <w:rPr>
                <w:rFonts w:hint="eastAsia" w:ascii="宋体" w:hAnsi="宋体"/>
                <w:sz w:val="21"/>
                <w:szCs w:val="21"/>
              </w:rPr>
              <w:t>1.供应商承担过档案管理服务业绩，每提供1个案例得3分，此项最高得6分；</w:t>
            </w:r>
          </w:p>
          <w:p>
            <w:pPr>
              <w:spacing w:line="360" w:lineRule="auto"/>
              <w:rPr>
                <w:rFonts w:hint="eastAsia" w:ascii="宋体" w:hAnsi="宋体"/>
                <w:sz w:val="21"/>
                <w:szCs w:val="21"/>
              </w:rPr>
            </w:pPr>
            <w:r>
              <w:rPr>
                <w:rFonts w:hint="eastAsia" w:ascii="宋体" w:hAnsi="宋体"/>
                <w:sz w:val="21"/>
                <w:szCs w:val="21"/>
              </w:rPr>
              <w:t>2.供应商承担过内控咨询服务业绩，每提供1个案例得3分，此项最高得6分；</w:t>
            </w:r>
          </w:p>
          <w:p>
            <w:pPr>
              <w:spacing w:line="360" w:lineRule="auto"/>
              <w:rPr>
                <w:rFonts w:hint="eastAsia" w:ascii="宋体" w:hAnsi="宋体"/>
                <w:sz w:val="21"/>
                <w:szCs w:val="21"/>
              </w:rPr>
            </w:pPr>
            <w:r>
              <w:rPr>
                <w:rFonts w:hint="eastAsia" w:ascii="宋体" w:hAnsi="宋体"/>
                <w:sz w:val="21"/>
                <w:szCs w:val="21"/>
              </w:rPr>
              <w:t>3.供应商承担过管理咨询服务业绩，每提供1个案例得3分，此项最高得6分。</w:t>
            </w:r>
          </w:p>
        </w:tc>
        <w:tc>
          <w:tcPr>
            <w:tcW w:w="1418" w:type="dxa"/>
            <w:vAlign w:val="center"/>
          </w:tcPr>
          <w:p>
            <w:pPr>
              <w:rPr>
                <w:rFonts w:hint="eastAsia" w:ascii="宋体" w:hAnsi="宋体"/>
                <w:sz w:val="21"/>
                <w:szCs w:val="21"/>
              </w:rPr>
            </w:pPr>
            <w:r>
              <w:rPr>
                <w:rFonts w:hint="eastAsia" w:ascii="宋体" w:hAnsi="宋体"/>
                <w:sz w:val="21"/>
                <w:szCs w:val="21"/>
              </w:rPr>
              <w:t>提供合同复印件加盖供应商公章。</w:t>
            </w:r>
          </w:p>
        </w:tc>
      </w:tr>
      <w:bookmarkEnd w:id="129"/>
      <w:bookmarkEnd w:id="130"/>
      <w:bookmarkEnd w:id="131"/>
      <w:bookmarkEnd w:id="132"/>
    </w:tbl>
    <w:p>
      <w:pPr>
        <w:snapToGrid w:val="0"/>
        <w:spacing w:line="480" w:lineRule="exact"/>
        <w:ind w:firstLine="465"/>
        <w:rPr>
          <w:rFonts w:hint="eastAsia" w:ascii="宋体" w:hAnsi="宋体"/>
          <w:sz w:val="21"/>
          <w:szCs w:val="21"/>
        </w:rPr>
      </w:pPr>
      <w:r>
        <w:rPr>
          <w:rFonts w:hint="eastAsia" w:ascii="宋体" w:hAnsi="宋体"/>
          <w:sz w:val="21"/>
          <w:szCs w:val="21"/>
        </w:rPr>
        <w:t>说明：磋商小组认为，排名在前面的成交候选人的投标报价或者某些分项报价明显不合理或者低于成本，有可能影响服务质量和不能诚信履约的，将要求其在规定的期限内提供书面文件予以解释说明，并提交相关证明材料；否则，磋商小组可以取消该成交候选人资格，按顺序由排在后一位的成交候选人递补，以此类推。</w:t>
      </w:r>
    </w:p>
    <w:p>
      <w:pPr>
        <w:pStyle w:val="4"/>
        <w:spacing w:before="0" w:after="0" w:line="440" w:lineRule="exact"/>
        <w:rPr>
          <w:rFonts w:ascii="宋体"/>
          <w:sz w:val="21"/>
          <w:szCs w:val="21"/>
        </w:rPr>
      </w:pPr>
      <w:r>
        <w:rPr>
          <w:rFonts w:hint="eastAsia" w:ascii="宋体" w:hAnsi="宋体"/>
          <w:sz w:val="21"/>
          <w:szCs w:val="21"/>
        </w:rPr>
        <w:t>三、无效响应</w:t>
      </w:r>
      <w:bookmarkEnd w:id="133"/>
      <w:bookmarkEnd w:id="134"/>
      <w:bookmarkEnd w:id="135"/>
      <w:bookmarkEnd w:id="136"/>
      <w:bookmarkEnd w:id="137"/>
      <w:bookmarkEnd w:id="138"/>
      <w:bookmarkEnd w:id="139"/>
    </w:p>
    <w:p>
      <w:pPr>
        <w:snapToGrid w:val="0"/>
        <w:spacing w:line="480" w:lineRule="exact"/>
        <w:ind w:firstLine="465"/>
        <w:rPr>
          <w:rFonts w:hint="eastAsia" w:ascii="宋体" w:hAnsi="宋体"/>
          <w:sz w:val="21"/>
          <w:szCs w:val="21"/>
        </w:rPr>
      </w:pPr>
      <w:bookmarkStart w:id="140" w:name="_Toc428437948"/>
      <w:r>
        <w:rPr>
          <w:rFonts w:hint="eastAsia" w:ascii="宋体" w:hAnsi="宋体"/>
          <w:sz w:val="21"/>
          <w:szCs w:val="21"/>
        </w:rPr>
        <w:t>供应商发生以下条款情况之一者，视为无效响应，其响应文件将被拒绝：</w:t>
      </w:r>
    </w:p>
    <w:p>
      <w:pPr>
        <w:snapToGrid w:val="0"/>
        <w:spacing w:line="480" w:lineRule="exact"/>
        <w:ind w:firstLine="465"/>
        <w:rPr>
          <w:rFonts w:ascii="宋体"/>
          <w:sz w:val="21"/>
          <w:szCs w:val="21"/>
        </w:rPr>
      </w:pPr>
      <w:r>
        <w:rPr>
          <w:rFonts w:hint="eastAsia" w:ascii="宋体"/>
          <w:sz w:val="21"/>
          <w:szCs w:val="21"/>
        </w:rPr>
        <w:t>（一）供应商不符合规定的资格条件的；</w:t>
      </w:r>
    </w:p>
    <w:p>
      <w:pPr>
        <w:snapToGrid w:val="0"/>
        <w:spacing w:line="480" w:lineRule="exact"/>
        <w:ind w:firstLine="465"/>
        <w:rPr>
          <w:rFonts w:ascii="宋体"/>
          <w:sz w:val="21"/>
          <w:szCs w:val="21"/>
        </w:rPr>
      </w:pPr>
      <w:r>
        <w:rPr>
          <w:rFonts w:hint="eastAsia" w:ascii="宋体"/>
          <w:sz w:val="21"/>
          <w:szCs w:val="21"/>
        </w:rPr>
        <w:t>（二）供应商的法定代表人（或其授权代表）或自然人未参加磋商；</w:t>
      </w:r>
    </w:p>
    <w:p>
      <w:pPr>
        <w:snapToGrid w:val="0"/>
        <w:spacing w:line="480" w:lineRule="exact"/>
        <w:ind w:firstLine="465"/>
        <w:rPr>
          <w:rFonts w:ascii="宋体"/>
          <w:sz w:val="21"/>
          <w:szCs w:val="21"/>
        </w:rPr>
      </w:pPr>
      <w:r>
        <w:rPr>
          <w:rFonts w:hint="eastAsia" w:ascii="宋体"/>
          <w:sz w:val="21"/>
          <w:szCs w:val="21"/>
        </w:rPr>
        <w:t>（三）供应商所提交的响应文件不按“第七篇响应文件编制要求”要求签署或盖章；</w:t>
      </w:r>
    </w:p>
    <w:p>
      <w:pPr>
        <w:snapToGrid w:val="0"/>
        <w:spacing w:line="480" w:lineRule="exact"/>
        <w:ind w:firstLine="465"/>
        <w:rPr>
          <w:rFonts w:ascii="宋体"/>
          <w:sz w:val="21"/>
          <w:szCs w:val="21"/>
        </w:rPr>
      </w:pPr>
      <w:r>
        <w:rPr>
          <w:rFonts w:hint="eastAsia" w:ascii="宋体"/>
          <w:sz w:val="21"/>
          <w:szCs w:val="21"/>
        </w:rPr>
        <w:t>（四）供应商的最后报价超过采购预算或最高限价的，最终报价超过第一次报价的；</w:t>
      </w:r>
    </w:p>
    <w:p>
      <w:pPr>
        <w:snapToGrid w:val="0"/>
        <w:spacing w:line="480" w:lineRule="exact"/>
        <w:ind w:firstLine="465"/>
        <w:rPr>
          <w:rFonts w:ascii="宋体"/>
          <w:sz w:val="21"/>
          <w:szCs w:val="21"/>
        </w:rPr>
      </w:pPr>
      <w:r>
        <w:rPr>
          <w:rFonts w:hint="eastAsia" w:ascii="宋体"/>
          <w:sz w:val="21"/>
          <w:szCs w:val="21"/>
        </w:rPr>
        <w:t>（五）法定代表人为同一个人的两个及两个以上法人，母公司、全资子公司及其控股公司，在同一包采购中同时参与磋商；</w:t>
      </w:r>
    </w:p>
    <w:p>
      <w:pPr>
        <w:snapToGrid w:val="0"/>
        <w:spacing w:line="480" w:lineRule="exact"/>
        <w:ind w:firstLine="465"/>
        <w:rPr>
          <w:rFonts w:ascii="宋体"/>
          <w:sz w:val="21"/>
          <w:szCs w:val="21"/>
        </w:rPr>
      </w:pPr>
      <w:r>
        <w:rPr>
          <w:rFonts w:hint="eastAsia" w:ascii="宋体"/>
          <w:sz w:val="21"/>
          <w:szCs w:val="21"/>
        </w:rPr>
        <w:t>（六）单位负责人为同一人或者存在直接控股、管理关系的不同供应商，参加同一合同项下的政府采购活动的；</w:t>
      </w:r>
    </w:p>
    <w:p>
      <w:pPr>
        <w:snapToGrid w:val="0"/>
        <w:spacing w:line="480" w:lineRule="exact"/>
        <w:ind w:firstLine="465"/>
        <w:rPr>
          <w:rFonts w:ascii="宋体"/>
          <w:sz w:val="21"/>
          <w:szCs w:val="21"/>
        </w:rPr>
      </w:pPr>
      <w:r>
        <w:rPr>
          <w:rFonts w:hint="eastAsia" w:ascii="宋体"/>
          <w:sz w:val="21"/>
          <w:szCs w:val="21"/>
        </w:rPr>
        <w:t>（七）为采购项目提供整体设计、规范编制或者项目管理、监理、检测等服务的供应商，再参加该采购项目的其他采购活动；</w:t>
      </w:r>
    </w:p>
    <w:p>
      <w:pPr>
        <w:snapToGrid w:val="0"/>
        <w:spacing w:line="480" w:lineRule="exact"/>
        <w:ind w:firstLine="465"/>
        <w:rPr>
          <w:rFonts w:ascii="宋体"/>
          <w:sz w:val="21"/>
          <w:szCs w:val="21"/>
        </w:rPr>
      </w:pPr>
      <w:r>
        <w:rPr>
          <w:rFonts w:hint="eastAsia" w:ascii="宋体"/>
          <w:sz w:val="21"/>
          <w:szCs w:val="21"/>
        </w:rPr>
        <w:t>（八）供应商磋商有效期不满足竞争性磋商文件要求的；</w:t>
      </w:r>
    </w:p>
    <w:p>
      <w:pPr>
        <w:snapToGrid w:val="0"/>
        <w:spacing w:line="480" w:lineRule="exact"/>
        <w:ind w:firstLine="465"/>
        <w:rPr>
          <w:rFonts w:ascii="宋体"/>
          <w:sz w:val="21"/>
          <w:szCs w:val="21"/>
        </w:rPr>
      </w:pPr>
      <w:r>
        <w:rPr>
          <w:rFonts w:hint="eastAsia" w:ascii="宋体"/>
          <w:sz w:val="21"/>
          <w:szCs w:val="21"/>
        </w:rPr>
        <w:t>（九）供应商响应文件内容有与国家现行法律法规相违背的内容，或附有采购人无法接受的条件；</w:t>
      </w:r>
    </w:p>
    <w:p>
      <w:pPr>
        <w:snapToGrid w:val="0"/>
        <w:spacing w:line="480" w:lineRule="exact"/>
        <w:ind w:firstLine="465"/>
        <w:rPr>
          <w:rFonts w:ascii="宋体"/>
          <w:sz w:val="21"/>
          <w:szCs w:val="21"/>
        </w:rPr>
      </w:pPr>
      <w:r>
        <w:rPr>
          <w:rFonts w:hint="eastAsia" w:ascii="宋体"/>
          <w:sz w:val="21"/>
          <w:szCs w:val="21"/>
        </w:rPr>
        <w:t>（十）法律、法规和竞争性磋商文件规定的其他无效情形。</w:t>
      </w:r>
    </w:p>
    <w:p>
      <w:pPr>
        <w:pStyle w:val="4"/>
        <w:spacing w:before="0" w:after="0" w:line="440" w:lineRule="exact"/>
        <w:rPr>
          <w:rFonts w:ascii="宋体"/>
          <w:sz w:val="21"/>
          <w:szCs w:val="21"/>
        </w:rPr>
      </w:pPr>
      <w:bookmarkStart w:id="141" w:name="_Toc11753"/>
      <w:bookmarkStart w:id="142" w:name="_Toc5499"/>
      <w:bookmarkStart w:id="143" w:name="_Toc27487"/>
      <w:bookmarkStart w:id="144" w:name="_Toc29823"/>
      <w:bookmarkStart w:id="145" w:name="_Toc67642675"/>
      <w:bookmarkStart w:id="146" w:name="_Toc18089"/>
      <w:r>
        <w:rPr>
          <w:rFonts w:hint="eastAsia" w:ascii="宋体" w:hAnsi="宋体"/>
          <w:sz w:val="21"/>
          <w:szCs w:val="21"/>
        </w:rPr>
        <w:t>四、采购终止</w:t>
      </w:r>
      <w:bookmarkEnd w:id="140"/>
      <w:bookmarkEnd w:id="141"/>
      <w:bookmarkEnd w:id="142"/>
      <w:bookmarkEnd w:id="143"/>
      <w:bookmarkEnd w:id="144"/>
      <w:bookmarkEnd w:id="145"/>
      <w:bookmarkEnd w:id="146"/>
    </w:p>
    <w:p>
      <w:pPr>
        <w:spacing w:line="480" w:lineRule="exact"/>
        <w:ind w:firstLine="420" w:firstLineChars="200"/>
        <w:rPr>
          <w:rFonts w:ascii="宋体"/>
          <w:sz w:val="21"/>
          <w:szCs w:val="21"/>
        </w:rPr>
      </w:pPr>
      <w:r>
        <w:rPr>
          <w:rFonts w:hint="eastAsia" w:ascii="宋体"/>
          <w:sz w:val="21"/>
          <w:szCs w:val="21"/>
        </w:rPr>
        <w:t>出现下列情形之一的，采购人或者采购代理机构应当终止竞争性磋商采购活动，发布项目终止公告并说明原因，重新开展采购活动：</w:t>
      </w:r>
    </w:p>
    <w:p>
      <w:pPr>
        <w:spacing w:line="480" w:lineRule="exact"/>
        <w:ind w:firstLine="420" w:firstLineChars="200"/>
        <w:rPr>
          <w:rFonts w:ascii="宋体"/>
          <w:sz w:val="21"/>
          <w:szCs w:val="21"/>
        </w:rPr>
      </w:pPr>
      <w:r>
        <w:rPr>
          <w:rFonts w:hint="eastAsia" w:ascii="宋体"/>
          <w:sz w:val="21"/>
          <w:szCs w:val="21"/>
        </w:rPr>
        <w:t>（一）因情况变化，不再符合规定的竞争性磋商采购方式适用情形的；</w:t>
      </w:r>
    </w:p>
    <w:p>
      <w:pPr>
        <w:spacing w:line="480" w:lineRule="exact"/>
        <w:ind w:firstLine="420" w:firstLineChars="200"/>
        <w:rPr>
          <w:rFonts w:ascii="宋体"/>
          <w:sz w:val="21"/>
          <w:szCs w:val="21"/>
        </w:rPr>
      </w:pPr>
      <w:r>
        <w:rPr>
          <w:rFonts w:hint="eastAsia" w:ascii="宋体"/>
          <w:sz w:val="21"/>
          <w:szCs w:val="21"/>
        </w:rPr>
        <w:t>（二）出现影响采购公正的违法、违规行为的；</w:t>
      </w:r>
    </w:p>
    <w:p>
      <w:pPr>
        <w:spacing w:line="480" w:lineRule="exact"/>
        <w:ind w:firstLine="420" w:firstLineChars="200"/>
        <w:rPr>
          <w:rFonts w:ascii="宋体"/>
          <w:sz w:val="21"/>
          <w:szCs w:val="21"/>
        </w:rPr>
      </w:pPr>
      <w:r>
        <w:rPr>
          <w:rFonts w:hint="eastAsia" w:ascii="宋体"/>
          <w:sz w:val="21"/>
          <w:szCs w:val="21"/>
        </w:rPr>
        <w:t>（三）在采购过程中符合要求的供应商或者报价未超过采购预算的供应商不足3家的，但《政府采购竞争性磋商采购方式管理暂行办法》第二十一条第三款规定的情形除外。</w:t>
      </w:r>
    </w:p>
    <w:p>
      <w:pPr>
        <w:pStyle w:val="3"/>
        <w:spacing w:before="0" w:after="0" w:line="360" w:lineRule="auto"/>
        <w:jc w:val="center"/>
        <w:rPr>
          <w:rFonts w:hint="eastAsia" w:ascii="宋体" w:hAnsi="宋体" w:eastAsia="宋体"/>
          <w:b w:val="0"/>
          <w:sz w:val="28"/>
          <w:szCs w:val="30"/>
        </w:rPr>
      </w:pPr>
      <w:r>
        <w:rPr>
          <w:rFonts w:ascii="宋体" w:hAnsi="宋体" w:eastAsia="宋体"/>
          <w:sz w:val="21"/>
          <w:szCs w:val="21"/>
        </w:rPr>
        <w:br w:type="page"/>
      </w:r>
      <w:bookmarkStart w:id="147" w:name="_Toc32202"/>
      <w:bookmarkStart w:id="148" w:name="_Toc67642676"/>
      <w:bookmarkStart w:id="149" w:name="_Toc21653"/>
      <w:bookmarkStart w:id="150" w:name="_Toc27601"/>
      <w:bookmarkStart w:id="151" w:name="_Toc2324"/>
      <w:bookmarkStart w:id="152" w:name="_Toc12181"/>
      <w:bookmarkStart w:id="153" w:name="_Toc5710"/>
      <w:r>
        <w:rPr>
          <w:rFonts w:hint="eastAsia" w:ascii="宋体" w:hAnsi="宋体" w:eastAsia="宋体"/>
          <w:b w:val="0"/>
          <w:sz w:val="36"/>
          <w:szCs w:val="30"/>
        </w:rPr>
        <w:t>第五篇 供应商须知</w:t>
      </w:r>
      <w:bookmarkEnd w:id="147"/>
      <w:bookmarkEnd w:id="148"/>
      <w:bookmarkEnd w:id="149"/>
      <w:bookmarkEnd w:id="150"/>
      <w:bookmarkEnd w:id="151"/>
      <w:bookmarkEnd w:id="152"/>
      <w:bookmarkEnd w:id="153"/>
    </w:p>
    <w:bookmarkEnd w:id="111"/>
    <w:bookmarkEnd w:id="112"/>
    <w:p>
      <w:pPr>
        <w:pStyle w:val="4"/>
        <w:spacing w:before="0" w:after="0" w:line="480" w:lineRule="exact"/>
        <w:rPr>
          <w:rFonts w:hint="eastAsia" w:ascii="宋体" w:hAnsi="宋体"/>
          <w:sz w:val="21"/>
          <w:szCs w:val="21"/>
        </w:rPr>
      </w:pPr>
      <w:bookmarkStart w:id="154" w:name="_Toc14240"/>
      <w:bookmarkStart w:id="155" w:name="_Toc21049"/>
      <w:bookmarkStart w:id="156" w:name="_Toc11691"/>
      <w:bookmarkStart w:id="157" w:name="_Toc67642677"/>
      <w:bookmarkStart w:id="158" w:name="_Toc25754"/>
      <w:bookmarkStart w:id="159" w:name="_Toc5795"/>
      <w:bookmarkStart w:id="160" w:name="_Toc428437956"/>
      <w:r>
        <w:rPr>
          <w:rFonts w:hint="eastAsia" w:ascii="宋体" w:hAnsi="宋体"/>
          <w:sz w:val="21"/>
          <w:szCs w:val="21"/>
        </w:rPr>
        <w:t>一、磋商费用</w:t>
      </w:r>
      <w:bookmarkEnd w:id="154"/>
      <w:bookmarkEnd w:id="155"/>
      <w:bookmarkEnd w:id="156"/>
      <w:bookmarkEnd w:id="157"/>
      <w:bookmarkEnd w:id="158"/>
      <w:bookmarkEnd w:id="159"/>
    </w:p>
    <w:p>
      <w:pPr>
        <w:spacing w:line="400" w:lineRule="exact"/>
        <w:ind w:firstLine="420" w:firstLineChars="200"/>
        <w:rPr>
          <w:rFonts w:hint="eastAsia" w:ascii="宋体" w:hAnsi="宋体"/>
          <w:sz w:val="21"/>
          <w:szCs w:val="21"/>
        </w:rPr>
      </w:pPr>
      <w:r>
        <w:rPr>
          <w:rFonts w:hint="eastAsia" w:ascii="宋体" w:hAnsi="宋体"/>
          <w:sz w:val="21"/>
          <w:szCs w:val="21"/>
        </w:rPr>
        <w:t>参与磋商的供应商应承担其编制响应文件与递交响应文件所涉及的一切费用，不论磋商结果如何，采购人和采购代理机构在任何情况下无义务也无责任承担这些费用。</w:t>
      </w:r>
    </w:p>
    <w:p>
      <w:pPr>
        <w:pStyle w:val="4"/>
        <w:spacing w:before="0" w:after="0" w:line="480" w:lineRule="exact"/>
        <w:rPr>
          <w:rFonts w:hint="eastAsia" w:ascii="宋体" w:hAnsi="宋体"/>
          <w:sz w:val="21"/>
          <w:szCs w:val="21"/>
        </w:rPr>
      </w:pPr>
      <w:bookmarkStart w:id="161" w:name="_Toc26534"/>
      <w:bookmarkStart w:id="162" w:name="_Toc31502"/>
      <w:bookmarkStart w:id="163" w:name="_Toc9405"/>
      <w:bookmarkStart w:id="164" w:name="_Toc10969"/>
      <w:bookmarkStart w:id="165" w:name="_Toc14892"/>
      <w:bookmarkStart w:id="166" w:name="_Toc67642678"/>
      <w:r>
        <w:rPr>
          <w:rFonts w:hint="eastAsia" w:ascii="宋体" w:hAnsi="宋体"/>
          <w:sz w:val="21"/>
          <w:szCs w:val="21"/>
        </w:rPr>
        <w:t>二、竞争性磋商文件</w:t>
      </w:r>
      <w:bookmarkEnd w:id="161"/>
      <w:bookmarkEnd w:id="162"/>
      <w:bookmarkEnd w:id="163"/>
      <w:bookmarkEnd w:id="164"/>
      <w:bookmarkEnd w:id="165"/>
      <w:bookmarkEnd w:id="166"/>
    </w:p>
    <w:p>
      <w:pPr>
        <w:spacing w:line="400" w:lineRule="exact"/>
        <w:ind w:firstLine="420" w:firstLineChars="200"/>
        <w:rPr>
          <w:rFonts w:hint="eastAsia" w:ascii="宋体" w:hAnsi="宋体"/>
          <w:sz w:val="21"/>
          <w:szCs w:val="21"/>
        </w:rPr>
      </w:pPr>
      <w:r>
        <w:rPr>
          <w:rFonts w:hint="eastAsia" w:ascii="宋体" w:hAnsi="宋体"/>
          <w:sz w:val="21"/>
          <w:szCs w:val="21"/>
        </w:rPr>
        <w:t>（一）竞争性磋商文件由采购邀请书、项目服务需求、项目商务需求、磋商程序及方法、评审标准、无效响应和采购终止、供应商须知、采购合同、响应文件编制要求七部分组成。</w:t>
      </w:r>
    </w:p>
    <w:p>
      <w:pPr>
        <w:spacing w:line="400" w:lineRule="exact"/>
        <w:ind w:firstLine="420" w:firstLineChars="200"/>
        <w:rPr>
          <w:rFonts w:hint="eastAsia" w:ascii="宋体" w:hAnsi="宋体"/>
          <w:sz w:val="21"/>
          <w:szCs w:val="21"/>
        </w:rPr>
      </w:pPr>
      <w:r>
        <w:rPr>
          <w:rFonts w:hint="eastAsia" w:ascii="宋体" w:hAnsi="宋体"/>
          <w:sz w:val="21"/>
          <w:szCs w:val="21"/>
        </w:rPr>
        <w:t>（二）采购人（或采购代理机构）所作的一切有效的书面通知、修改及补充，都是竞争性磋商文件不可分割的部分。</w:t>
      </w:r>
    </w:p>
    <w:p>
      <w:pPr>
        <w:spacing w:line="400" w:lineRule="exact"/>
        <w:ind w:firstLine="420" w:firstLineChars="200"/>
        <w:rPr>
          <w:rFonts w:hint="eastAsia" w:ascii="宋体" w:hAnsi="宋体"/>
          <w:sz w:val="21"/>
          <w:szCs w:val="21"/>
        </w:rPr>
      </w:pPr>
      <w:r>
        <w:rPr>
          <w:rFonts w:hint="eastAsia" w:ascii="宋体" w:hAnsi="宋体"/>
          <w:sz w:val="21"/>
          <w:szCs w:val="21"/>
        </w:rPr>
        <w:t>（三）竞争性磋商文件的解释</w:t>
      </w:r>
    </w:p>
    <w:p>
      <w:pPr>
        <w:spacing w:line="400" w:lineRule="exact"/>
        <w:ind w:firstLine="420" w:firstLineChars="200"/>
        <w:rPr>
          <w:rFonts w:hint="eastAsia" w:ascii="宋体" w:hAnsi="宋体"/>
          <w:sz w:val="21"/>
          <w:szCs w:val="21"/>
        </w:rPr>
      </w:pPr>
      <w:r>
        <w:rPr>
          <w:rFonts w:hint="eastAsia" w:ascii="宋体" w:hAnsi="宋体"/>
          <w:sz w:val="21"/>
          <w:szCs w:val="21"/>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pPr>
        <w:spacing w:line="400" w:lineRule="exact"/>
        <w:ind w:firstLine="420" w:firstLineChars="200"/>
        <w:rPr>
          <w:rFonts w:hint="eastAsia" w:ascii="宋体" w:hAnsi="宋体"/>
          <w:sz w:val="21"/>
          <w:szCs w:val="21"/>
        </w:rPr>
      </w:pPr>
      <w:r>
        <w:rPr>
          <w:rFonts w:hint="eastAsia" w:ascii="宋体" w:hAnsi="宋体"/>
          <w:sz w:val="21"/>
          <w:szCs w:val="21"/>
        </w:rPr>
        <w:t>（四）本竞争性磋商文件中，磋商小组根据与供应商进行磋商可能实质性变动的内容为竞争性磋商文件第二、三、六篇全部内容。</w:t>
      </w:r>
    </w:p>
    <w:p>
      <w:pPr>
        <w:spacing w:line="400" w:lineRule="exact"/>
        <w:ind w:firstLine="420" w:firstLineChars="200"/>
        <w:rPr>
          <w:rFonts w:hint="eastAsia" w:ascii="宋体" w:hAnsi="宋体"/>
          <w:sz w:val="21"/>
          <w:szCs w:val="21"/>
        </w:rPr>
      </w:pPr>
      <w:r>
        <w:rPr>
          <w:rFonts w:hint="eastAsia" w:ascii="宋体" w:hAnsi="宋体"/>
          <w:sz w:val="21"/>
          <w:szCs w:val="21"/>
        </w:rPr>
        <w:t>（五）评审的依据为竞争性磋商文件和响应文件（含有效的书面承诺）。磋商小组判断响应文件对竞争性磋商文件的响应，仅基于响应文件本身而不靠外部证据。</w:t>
      </w:r>
    </w:p>
    <w:p>
      <w:pPr>
        <w:pStyle w:val="4"/>
        <w:spacing w:before="0" w:after="0" w:line="480" w:lineRule="exact"/>
        <w:rPr>
          <w:rFonts w:hint="eastAsia" w:ascii="宋体" w:hAnsi="宋体"/>
          <w:sz w:val="21"/>
          <w:szCs w:val="21"/>
        </w:rPr>
      </w:pPr>
      <w:bookmarkStart w:id="167" w:name="_Toc21987"/>
      <w:bookmarkStart w:id="168" w:name="_Toc67642679"/>
      <w:bookmarkStart w:id="169" w:name="_Toc5581"/>
      <w:bookmarkStart w:id="170" w:name="_Toc31134"/>
      <w:bookmarkStart w:id="171" w:name="_Toc5792"/>
      <w:bookmarkStart w:id="172" w:name="_Toc5686"/>
      <w:r>
        <w:rPr>
          <w:rFonts w:hint="eastAsia" w:ascii="宋体" w:hAnsi="宋体"/>
          <w:sz w:val="21"/>
          <w:szCs w:val="21"/>
        </w:rPr>
        <w:t>三、磋商要求</w:t>
      </w:r>
      <w:bookmarkEnd w:id="167"/>
      <w:bookmarkEnd w:id="168"/>
      <w:bookmarkEnd w:id="169"/>
      <w:bookmarkEnd w:id="170"/>
      <w:bookmarkEnd w:id="171"/>
      <w:bookmarkEnd w:id="172"/>
    </w:p>
    <w:p>
      <w:pPr>
        <w:spacing w:line="400" w:lineRule="exact"/>
        <w:ind w:firstLine="420" w:firstLineChars="200"/>
        <w:rPr>
          <w:rFonts w:hint="eastAsia" w:ascii="宋体" w:hAnsi="宋体"/>
          <w:sz w:val="21"/>
          <w:szCs w:val="21"/>
        </w:rPr>
      </w:pPr>
      <w:r>
        <w:rPr>
          <w:rFonts w:hint="eastAsia" w:ascii="宋体" w:hAnsi="宋体"/>
          <w:sz w:val="21"/>
          <w:szCs w:val="21"/>
        </w:rPr>
        <w:t>（一）响应文件</w:t>
      </w:r>
    </w:p>
    <w:p>
      <w:pPr>
        <w:spacing w:line="400" w:lineRule="exact"/>
        <w:ind w:firstLine="420" w:firstLineChars="200"/>
        <w:rPr>
          <w:rFonts w:hint="eastAsia" w:ascii="宋体" w:hAnsi="宋体"/>
          <w:sz w:val="21"/>
          <w:szCs w:val="21"/>
        </w:rPr>
      </w:pPr>
      <w:r>
        <w:rPr>
          <w:rFonts w:hint="eastAsia" w:ascii="宋体" w:hAnsi="宋体"/>
          <w:sz w:val="21"/>
          <w:szCs w:val="21"/>
        </w:rPr>
        <w:t>1.供应商应当按照竞争性磋商文件的要求编制响应文件，并对竞争性磋商文件提出的要求和条件作出实质性响应，响应文件原则上采用软面订本，同时应编制完整的页码、目录。</w:t>
      </w:r>
    </w:p>
    <w:p>
      <w:pPr>
        <w:spacing w:line="400" w:lineRule="exact"/>
        <w:ind w:firstLine="420" w:firstLineChars="200"/>
        <w:rPr>
          <w:rFonts w:hint="eastAsia" w:ascii="宋体" w:hAnsi="宋体"/>
          <w:sz w:val="21"/>
          <w:szCs w:val="21"/>
        </w:rPr>
      </w:pPr>
      <w:r>
        <w:rPr>
          <w:rFonts w:hint="eastAsia" w:ascii="宋体" w:hAnsi="宋体"/>
          <w:sz w:val="21"/>
          <w:szCs w:val="21"/>
        </w:rPr>
        <w:t>2.响应文件组成</w:t>
      </w:r>
    </w:p>
    <w:p>
      <w:pPr>
        <w:spacing w:line="400" w:lineRule="exact"/>
        <w:ind w:firstLine="420" w:firstLineChars="200"/>
        <w:rPr>
          <w:rFonts w:hint="eastAsia" w:ascii="宋体" w:hAnsi="宋体"/>
          <w:sz w:val="21"/>
          <w:szCs w:val="21"/>
        </w:rPr>
      </w:pPr>
      <w:r>
        <w:rPr>
          <w:rFonts w:hint="eastAsia" w:ascii="宋体" w:hAnsi="宋体"/>
          <w:sz w:val="21"/>
          <w:szCs w:val="21"/>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20" w:firstLineChars="200"/>
        <w:rPr>
          <w:rFonts w:hint="eastAsia" w:ascii="宋体" w:hAnsi="宋体"/>
          <w:sz w:val="21"/>
          <w:szCs w:val="21"/>
        </w:rPr>
      </w:pPr>
      <w:r>
        <w:rPr>
          <w:rFonts w:hint="eastAsia" w:ascii="宋体" w:hAnsi="宋体"/>
          <w:sz w:val="21"/>
          <w:szCs w:val="21"/>
        </w:rPr>
        <w:t>（二）联合体</w:t>
      </w:r>
    </w:p>
    <w:p>
      <w:pPr>
        <w:spacing w:line="400" w:lineRule="exact"/>
        <w:ind w:firstLine="422" w:firstLineChars="200"/>
        <w:rPr>
          <w:rFonts w:hint="eastAsia" w:ascii="宋体" w:hAnsi="宋体"/>
          <w:b/>
          <w:bCs/>
          <w:sz w:val="21"/>
          <w:szCs w:val="21"/>
        </w:rPr>
      </w:pPr>
      <w:r>
        <w:rPr>
          <w:rFonts w:hint="eastAsia" w:ascii="宋体" w:hAnsi="宋体"/>
          <w:b/>
          <w:bCs/>
          <w:sz w:val="21"/>
          <w:szCs w:val="21"/>
        </w:rPr>
        <w:t>本项目不接受联合体参与。</w:t>
      </w:r>
    </w:p>
    <w:p>
      <w:pPr>
        <w:spacing w:line="400" w:lineRule="exact"/>
        <w:ind w:firstLine="420" w:firstLineChars="200"/>
        <w:rPr>
          <w:rFonts w:hint="eastAsia" w:ascii="宋体" w:hAnsi="宋体"/>
          <w:sz w:val="21"/>
          <w:szCs w:val="21"/>
        </w:rPr>
      </w:pPr>
      <w:r>
        <w:rPr>
          <w:rFonts w:hint="eastAsia" w:ascii="宋体" w:hAnsi="宋体"/>
          <w:sz w:val="21"/>
          <w:szCs w:val="21"/>
        </w:rPr>
        <w:t>（三）磋商有效期：响应文件及有关承诺文件有效期为提交响应文件截止时间起90天。</w:t>
      </w:r>
    </w:p>
    <w:p>
      <w:pPr>
        <w:spacing w:line="400" w:lineRule="exact"/>
        <w:ind w:firstLine="420" w:firstLineChars="200"/>
        <w:rPr>
          <w:rFonts w:hint="eastAsia" w:ascii="宋体" w:hAnsi="宋体"/>
          <w:sz w:val="21"/>
          <w:szCs w:val="21"/>
        </w:rPr>
      </w:pPr>
      <w:r>
        <w:rPr>
          <w:rFonts w:hint="eastAsia" w:ascii="宋体" w:hAnsi="宋体"/>
          <w:sz w:val="21"/>
          <w:szCs w:val="21"/>
        </w:rPr>
        <w:t>（四）磋商保证金（如有）：</w:t>
      </w:r>
    </w:p>
    <w:p>
      <w:pPr>
        <w:spacing w:line="400" w:lineRule="exact"/>
        <w:ind w:firstLine="420" w:firstLineChars="200"/>
        <w:rPr>
          <w:rFonts w:hint="eastAsia" w:ascii="宋体" w:hAnsi="宋体"/>
          <w:sz w:val="21"/>
          <w:szCs w:val="21"/>
        </w:rPr>
      </w:pPr>
      <w:r>
        <w:rPr>
          <w:rFonts w:hint="eastAsia" w:ascii="宋体" w:hAnsi="宋体"/>
          <w:sz w:val="21"/>
          <w:szCs w:val="21"/>
        </w:rPr>
        <w:t>1.供应商提交保证金金额和方式详见“第一篇  五、磋商保证金”；</w:t>
      </w:r>
    </w:p>
    <w:p>
      <w:pPr>
        <w:spacing w:line="400" w:lineRule="exact"/>
        <w:ind w:firstLine="420" w:firstLineChars="200"/>
        <w:rPr>
          <w:rFonts w:hint="eastAsia" w:ascii="宋体" w:hAnsi="宋体"/>
          <w:sz w:val="21"/>
          <w:szCs w:val="21"/>
        </w:rPr>
      </w:pPr>
      <w:r>
        <w:rPr>
          <w:rFonts w:hint="eastAsia" w:ascii="宋体" w:hAnsi="宋体"/>
          <w:sz w:val="21"/>
          <w:szCs w:val="21"/>
        </w:rPr>
        <w:t>2.发生以下情况之一者，磋商保证金不予退还：</w:t>
      </w:r>
    </w:p>
    <w:p>
      <w:pPr>
        <w:spacing w:line="400" w:lineRule="exact"/>
        <w:ind w:firstLine="420" w:firstLineChars="200"/>
        <w:rPr>
          <w:rFonts w:hint="eastAsia" w:ascii="宋体" w:hAnsi="宋体"/>
          <w:sz w:val="21"/>
          <w:szCs w:val="21"/>
        </w:rPr>
      </w:pPr>
      <w:r>
        <w:rPr>
          <w:rFonts w:hint="eastAsia" w:ascii="宋体" w:hAnsi="宋体"/>
          <w:sz w:val="21"/>
          <w:szCs w:val="21"/>
        </w:rPr>
        <w:t>2.1供应商在提交响应文件截止时间后撤回响应文件的；</w:t>
      </w:r>
    </w:p>
    <w:p>
      <w:pPr>
        <w:spacing w:line="400" w:lineRule="exact"/>
        <w:ind w:firstLine="420" w:firstLineChars="200"/>
        <w:rPr>
          <w:rFonts w:hint="eastAsia" w:ascii="宋体" w:hAnsi="宋体"/>
          <w:sz w:val="21"/>
          <w:szCs w:val="21"/>
        </w:rPr>
      </w:pPr>
      <w:r>
        <w:rPr>
          <w:rFonts w:hint="eastAsia" w:ascii="宋体" w:hAnsi="宋体"/>
          <w:sz w:val="21"/>
          <w:szCs w:val="21"/>
        </w:rPr>
        <w:t>2.2供应商在响应文件中提供虚假材料的；</w:t>
      </w:r>
    </w:p>
    <w:p>
      <w:pPr>
        <w:spacing w:line="400" w:lineRule="exact"/>
        <w:ind w:firstLine="420" w:firstLineChars="200"/>
        <w:rPr>
          <w:rFonts w:hint="eastAsia" w:ascii="宋体" w:hAnsi="宋体"/>
          <w:sz w:val="21"/>
          <w:szCs w:val="21"/>
        </w:rPr>
      </w:pPr>
      <w:r>
        <w:rPr>
          <w:rFonts w:hint="eastAsia" w:ascii="宋体" w:hAnsi="宋体"/>
          <w:sz w:val="21"/>
          <w:szCs w:val="21"/>
        </w:rPr>
        <w:t>2.3除因不可抗力或竞争性磋商文件认可的情形以外，成交供应商不与采购人签订合同的；</w:t>
      </w:r>
    </w:p>
    <w:p>
      <w:pPr>
        <w:spacing w:line="400" w:lineRule="exact"/>
        <w:ind w:firstLine="420" w:firstLineChars="200"/>
        <w:rPr>
          <w:rFonts w:hint="eastAsia" w:ascii="宋体" w:hAnsi="宋体"/>
          <w:sz w:val="21"/>
          <w:szCs w:val="21"/>
        </w:rPr>
      </w:pPr>
      <w:r>
        <w:rPr>
          <w:rFonts w:hint="eastAsia" w:ascii="宋体" w:hAnsi="宋体"/>
          <w:sz w:val="21"/>
          <w:szCs w:val="21"/>
        </w:rPr>
        <w:t>2.4供应商与采购人、其他供应商或者采购代理机构恶意串通的；</w:t>
      </w:r>
    </w:p>
    <w:p>
      <w:pPr>
        <w:spacing w:line="400" w:lineRule="exact"/>
        <w:ind w:firstLine="420" w:firstLineChars="200"/>
        <w:rPr>
          <w:rFonts w:hint="eastAsia" w:ascii="宋体" w:hAnsi="宋体"/>
          <w:sz w:val="21"/>
          <w:szCs w:val="21"/>
        </w:rPr>
      </w:pPr>
      <w:r>
        <w:rPr>
          <w:rFonts w:hint="eastAsia" w:ascii="宋体" w:hAnsi="宋体"/>
          <w:sz w:val="21"/>
          <w:szCs w:val="21"/>
        </w:rPr>
        <w:t>2.5成交供应商不按规定的时间或拒绝按成交状态签订合同（即不按照采购文件确定的合同文本以及采购标的、规格型号、采购金额、采购数量、技术和服务要求等事项签订政府采购合同的。）</w:t>
      </w:r>
    </w:p>
    <w:p>
      <w:pPr>
        <w:spacing w:line="400" w:lineRule="exact"/>
        <w:ind w:firstLine="420" w:firstLineChars="200"/>
        <w:rPr>
          <w:rFonts w:hint="eastAsia" w:ascii="宋体" w:hAnsi="宋体"/>
          <w:sz w:val="21"/>
          <w:szCs w:val="21"/>
        </w:rPr>
      </w:pPr>
      <w:r>
        <w:rPr>
          <w:rFonts w:hint="eastAsia" w:ascii="宋体" w:hAnsi="宋体"/>
          <w:sz w:val="21"/>
          <w:szCs w:val="21"/>
        </w:rPr>
        <w:t>（五）修正错误</w:t>
      </w:r>
    </w:p>
    <w:p>
      <w:pPr>
        <w:spacing w:line="400" w:lineRule="exact"/>
        <w:ind w:firstLine="420" w:firstLineChars="200"/>
        <w:rPr>
          <w:rFonts w:hint="eastAsia" w:ascii="宋体" w:hAnsi="宋体"/>
          <w:sz w:val="21"/>
          <w:szCs w:val="21"/>
        </w:rPr>
      </w:pPr>
      <w:r>
        <w:rPr>
          <w:rFonts w:hint="eastAsia" w:ascii="宋体" w:hAnsi="宋体"/>
          <w:sz w:val="21"/>
          <w:szCs w:val="21"/>
        </w:rPr>
        <w:t>1.若供应商所递交的响应文件或最后报价中的价格出现大写金额和小写金额不一致的错误，以大写金额修正为准。</w:t>
      </w:r>
    </w:p>
    <w:p>
      <w:pPr>
        <w:spacing w:line="400" w:lineRule="exact"/>
        <w:ind w:firstLine="420" w:firstLineChars="200"/>
        <w:rPr>
          <w:rFonts w:hint="eastAsia" w:ascii="宋体" w:hAnsi="宋体"/>
          <w:sz w:val="21"/>
          <w:szCs w:val="21"/>
        </w:rPr>
      </w:pPr>
      <w:r>
        <w:rPr>
          <w:rFonts w:hint="eastAsia" w:ascii="宋体" w:hAnsi="宋体"/>
          <w:sz w:val="21"/>
          <w:szCs w:val="21"/>
        </w:rPr>
        <w:t>2.磋商小组按上述修正错误的原则及方法修正供应商的报价，供应商同意并签字确认后，修正后的报价对供应商具有约束作用。如果供应商不接受修正后的价格，将失去成为成交供应商的资格。</w:t>
      </w:r>
    </w:p>
    <w:p>
      <w:pPr>
        <w:spacing w:line="400" w:lineRule="exact"/>
        <w:ind w:firstLine="420" w:firstLineChars="200"/>
        <w:rPr>
          <w:rFonts w:hint="eastAsia" w:ascii="宋体" w:hAnsi="宋体"/>
          <w:sz w:val="21"/>
          <w:szCs w:val="21"/>
        </w:rPr>
      </w:pPr>
      <w:r>
        <w:rPr>
          <w:rFonts w:hint="eastAsia" w:ascii="宋体" w:hAnsi="宋体"/>
          <w:sz w:val="21"/>
          <w:szCs w:val="21"/>
        </w:rPr>
        <w:t>（六）提交响应文件的份数和签署</w:t>
      </w:r>
    </w:p>
    <w:p>
      <w:pPr>
        <w:spacing w:line="400" w:lineRule="exact"/>
        <w:ind w:firstLine="420" w:firstLineChars="200"/>
        <w:rPr>
          <w:rFonts w:hint="eastAsia" w:ascii="宋体" w:hAnsi="宋体"/>
          <w:sz w:val="21"/>
          <w:szCs w:val="21"/>
        </w:rPr>
      </w:pPr>
      <w:r>
        <w:rPr>
          <w:rFonts w:hint="eastAsia" w:ascii="宋体" w:hAnsi="宋体"/>
          <w:sz w:val="21"/>
          <w:szCs w:val="21"/>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pacing w:line="400" w:lineRule="exact"/>
        <w:ind w:firstLine="420" w:firstLineChars="200"/>
        <w:rPr>
          <w:rFonts w:hint="eastAsia" w:ascii="宋体" w:hAnsi="宋体"/>
          <w:sz w:val="21"/>
          <w:szCs w:val="21"/>
        </w:rPr>
      </w:pPr>
      <w:r>
        <w:rPr>
          <w:rFonts w:hint="eastAsia" w:ascii="宋体" w:hAnsi="宋体"/>
          <w:sz w:val="21"/>
          <w:szCs w:val="21"/>
        </w:rPr>
        <w:t>2.响应文件按竞争性磋商文件“第七篇响应文件编制要求”要求签署或盖章。</w:t>
      </w:r>
    </w:p>
    <w:p>
      <w:pPr>
        <w:spacing w:line="400" w:lineRule="exact"/>
        <w:ind w:firstLine="420" w:firstLineChars="200"/>
        <w:rPr>
          <w:rFonts w:hint="eastAsia" w:ascii="宋体" w:hAnsi="宋体"/>
          <w:sz w:val="21"/>
          <w:szCs w:val="21"/>
        </w:rPr>
      </w:pPr>
      <w:r>
        <w:rPr>
          <w:rFonts w:hint="eastAsia" w:ascii="宋体" w:hAnsi="宋体"/>
          <w:sz w:val="21"/>
          <w:szCs w:val="21"/>
        </w:rPr>
        <w:t>（七）响应文件的递交</w:t>
      </w:r>
    </w:p>
    <w:p>
      <w:pPr>
        <w:spacing w:line="400" w:lineRule="exact"/>
        <w:ind w:firstLine="420" w:firstLineChars="200"/>
        <w:rPr>
          <w:rFonts w:hint="eastAsia" w:ascii="宋体" w:hAnsi="宋体"/>
          <w:sz w:val="21"/>
          <w:szCs w:val="21"/>
        </w:rPr>
      </w:pPr>
      <w:r>
        <w:rPr>
          <w:rFonts w:hint="eastAsia" w:ascii="宋体" w:hAnsi="宋体"/>
          <w:sz w:val="21"/>
          <w:szCs w:val="21"/>
        </w:rPr>
        <w:t>1.响应文件的密封与标记</w:t>
      </w:r>
    </w:p>
    <w:p>
      <w:pPr>
        <w:spacing w:line="400" w:lineRule="exact"/>
        <w:ind w:firstLine="420" w:firstLineChars="200"/>
        <w:rPr>
          <w:rFonts w:hint="eastAsia" w:ascii="宋体" w:hAnsi="宋体"/>
          <w:sz w:val="21"/>
          <w:szCs w:val="21"/>
        </w:rPr>
      </w:pPr>
      <w:r>
        <w:rPr>
          <w:rFonts w:hint="eastAsia" w:ascii="宋体" w:hAnsi="宋体"/>
          <w:sz w:val="21"/>
          <w:szCs w:val="21"/>
        </w:rPr>
        <w:t>1.1响应文件的正本、副本以及电子文档均应密封送达磋商地点，应在封套上注明磋商项目名称、供应商名称。若正本、副本以及电子文档分别进行密封的，还应在封套上注明“正本”、“副本”、“电子文档”字样。</w:t>
      </w:r>
    </w:p>
    <w:p>
      <w:pPr>
        <w:spacing w:line="400" w:lineRule="exact"/>
        <w:ind w:firstLine="420" w:firstLineChars="200"/>
        <w:rPr>
          <w:rFonts w:hint="eastAsia" w:ascii="宋体" w:hAnsi="宋体"/>
          <w:sz w:val="21"/>
          <w:szCs w:val="21"/>
        </w:rPr>
      </w:pPr>
      <w:r>
        <w:rPr>
          <w:rFonts w:hint="eastAsia" w:ascii="宋体" w:hAnsi="宋体"/>
          <w:sz w:val="21"/>
          <w:szCs w:val="21"/>
        </w:rPr>
        <w:t>（八）供应商参与人员</w:t>
      </w:r>
    </w:p>
    <w:p>
      <w:pPr>
        <w:spacing w:line="400" w:lineRule="exact"/>
        <w:ind w:firstLine="420" w:firstLineChars="200"/>
        <w:rPr>
          <w:rFonts w:hint="eastAsia" w:ascii="宋体" w:hAnsi="宋体"/>
          <w:sz w:val="21"/>
          <w:szCs w:val="21"/>
        </w:rPr>
      </w:pPr>
      <w:r>
        <w:rPr>
          <w:rFonts w:hint="eastAsia" w:ascii="宋体" w:hAnsi="宋体"/>
          <w:sz w:val="21"/>
          <w:szCs w:val="21"/>
        </w:rPr>
        <w:t>各个供应商应当派1-2名代表参与磋商，至少1人应为法定代表人（或其授权代表）或自然人（供应商为自然人）。</w:t>
      </w:r>
    </w:p>
    <w:p>
      <w:pPr>
        <w:pStyle w:val="4"/>
        <w:spacing w:before="0" w:after="0" w:line="480" w:lineRule="exact"/>
        <w:rPr>
          <w:rFonts w:hint="eastAsia" w:ascii="宋体" w:hAnsi="宋体"/>
          <w:sz w:val="21"/>
          <w:szCs w:val="21"/>
        </w:rPr>
      </w:pPr>
      <w:bookmarkStart w:id="173" w:name="_Toc74"/>
      <w:bookmarkStart w:id="174" w:name="_Toc7921"/>
      <w:bookmarkStart w:id="175" w:name="_Toc18677"/>
      <w:bookmarkStart w:id="176" w:name="_Toc20759"/>
      <w:bookmarkStart w:id="177" w:name="_Toc67642680"/>
      <w:bookmarkStart w:id="178" w:name="_Toc31262"/>
      <w:r>
        <w:rPr>
          <w:rFonts w:hint="eastAsia" w:ascii="宋体" w:hAnsi="宋体"/>
          <w:sz w:val="21"/>
          <w:szCs w:val="21"/>
        </w:rPr>
        <w:t>四、成交供应商的确认和变更</w:t>
      </w:r>
      <w:bookmarkEnd w:id="173"/>
      <w:bookmarkEnd w:id="174"/>
      <w:bookmarkEnd w:id="175"/>
      <w:bookmarkEnd w:id="176"/>
      <w:bookmarkEnd w:id="177"/>
      <w:bookmarkEnd w:id="178"/>
    </w:p>
    <w:p>
      <w:pPr>
        <w:spacing w:line="400" w:lineRule="exact"/>
        <w:ind w:firstLine="420" w:firstLineChars="200"/>
        <w:rPr>
          <w:rFonts w:hint="eastAsia" w:ascii="宋体" w:hAnsi="宋体"/>
          <w:sz w:val="21"/>
          <w:szCs w:val="21"/>
        </w:rPr>
      </w:pPr>
      <w:r>
        <w:rPr>
          <w:rFonts w:hint="eastAsia" w:ascii="宋体" w:hAnsi="宋体"/>
          <w:sz w:val="21"/>
          <w:szCs w:val="21"/>
        </w:rPr>
        <w:t>（一）成交供应商的确认</w:t>
      </w:r>
    </w:p>
    <w:p>
      <w:pPr>
        <w:spacing w:line="400" w:lineRule="exact"/>
        <w:ind w:firstLine="420" w:firstLineChars="200"/>
        <w:rPr>
          <w:rFonts w:hint="eastAsia" w:ascii="宋体" w:hAnsi="宋体"/>
          <w:sz w:val="21"/>
          <w:szCs w:val="21"/>
        </w:rPr>
      </w:pPr>
      <w:r>
        <w:rPr>
          <w:rFonts w:hint="eastAsia" w:ascii="宋体" w:hAnsi="宋体"/>
          <w:sz w:val="21"/>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20" w:firstLineChars="200"/>
        <w:rPr>
          <w:rFonts w:hint="eastAsia" w:ascii="宋体" w:hAnsi="宋体"/>
          <w:sz w:val="21"/>
          <w:szCs w:val="21"/>
        </w:rPr>
      </w:pPr>
      <w:r>
        <w:rPr>
          <w:rFonts w:hint="eastAsia" w:ascii="宋体" w:hAnsi="宋体"/>
          <w:sz w:val="21"/>
          <w:szCs w:val="21"/>
        </w:rPr>
        <w:t>（二）成交供应商的变更</w:t>
      </w:r>
    </w:p>
    <w:p>
      <w:pPr>
        <w:spacing w:line="400" w:lineRule="exact"/>
        <w:ind w:firstLine="420" w:firstLineChars="200"/>
        <w:rPr>
          <w:rFonts w:hint="eastAsia" w:ascii="宋体" w:hAnsi="宋体"/>
          <w:sz w:val="21"/>
          <w:szCs w:val="21"/>
        </w:rPr>
      </w:pPr>
      <w:r>
        <w:rPr>
          <w:rFonts w:hint="eastAsia" w:ascii="宋体" w:hAnsi="宋体"/>
          <w:sz w:val="21"/>
          <w:szCs w:val="21"/>
        </w:rPr>
        <w:t>成交供应商拒绝与采购人签订合同的，采购人可以按照评标报告推荐的成交候选供应商顺序，确定排名下一位的候选人为成交供应商，也可以重新开展政府采购活动。</w:t>
      </w:r>
    </w:p>
    <w:p>
      <w:pPr>
        <w:pStyle w:val="4"/>
        <w:spacing w:before="0" w:after="0" w:line="480" w:lineRule="exact"/>
        <w:rPr>
          <w:rFonts w:hint="eastAsia" w:ascii="宋体" w:hAnsi="宋体"/>
          <w:sz w:val="21"/>
          <w:szCs w:val="21"/>
        </w:rPr>
      </w:pPr>
      <w:bookmarkStart w:id="179" w:name="_Toc1627"/>
      <w:bookmarkStart w:id="180" w:name="_Toc2477"/>
      <w:bookmarkStart w:id="181" w:name="_Toc18898"/>
      <w:bookmarkStart w:id="182" w:name="_Toc67642681"/>
      <w:bookmarkStart w:id="183" w:name="_Toc22064"/>
      <w:bookmarkStart w:id="184" w:name="_Toc19519"/>
      <w:r>
        <w:rPr>
          <w:rFonts w:hint="eastAsia" w:ascii="宋体" w:hAnsi="宋体"/>
          <w:sz w:val="21"/>
          <w:szCs w:val="21"/>
        </w:rPr>
        <w:t>五、成交通知</w:t>
      </w:r>
      <w:bookmarkEnd w:id="179"/>
      <w:bookmarkEnd w:id="180"/>
      <w:bookmarkEnd w:id="181"/>
      <w:bookmarkEnd w:id="182"/>
      <w:bookmarkEnd w:id="183"/>
      <w:bookmarkEnd w:id="184"/>
    </w:p>
    <w:p>
      <w:pPr>
        <w:spacing w:line="400" w:lineRule="exact"/>
        <w:ind w:firstLine="420" w:firstLineChars="200"/>
        <w:rPr>
          <w:rFonts w:hint="eastAsia" w:ascii="宋体" w:hAnsi="宋体"/>
          <w:sz w:val="21"/>
          <w:szCs w:val="21"/>
        </w:rPr>
      </w:pPr>
      <w:r>
        <w:rPr>
          <w:rFonts w:hint="eastAsia" w:ascii="宋体" w:hAnsi="宋体"/>
          <w:sz w:val="21"/>
          <w:szCs w:val="21"/>
        </w:rPr>
        <w:t>（一）成交供应商确定后，采购代理机构将在重庆市交通运输委员会官方网站上发布成交结果公告。</w:t>
      </w:r>
    </w:p>
    <w:p>
      <w:pPr>
        <w:spacing w:line="400" w:lineRule="exact"/>
        <w:ind w:firstLine="420" w:firstLineChars="200"/>
        <w:rPr>
          <w:rFonts w:hint="eastAsia" w:ascii="宋体" w:hAnsi="宋体"/>
          <w:sz w:val="21"/>
          <w:szCs w:val="21"/>
        </w:rPr>
      </w:pPr>
      <w:r>
        <w:rPr>
          <w:rFonts w:hint="eastAsia" w:ascii="宋体" w:hAnsi="宋体"/>
          <w:sz w:val="21"/>
          <w:szCs w:val="21"/>
        </w:rPr>
        <w:t>（二）结果公告发出同时，采购代理机构将以书面形式发出《成交通知书》。《成交通知书》一经发出即发生法律效力。</w:t>
      </w:r>
    </w:p>
    <w:p>
      <w:pPr>
        <w:spacing w:line="400" w:lineRule="exact"/>
        <w:ind w:firstLine="420" w:firstLineChars="200"/>
        <w:rPr>
          <w:rFonts w:hint="eastAsia" w:ascii="宋体" w:hAnsi="宋体"/>
          <w:sz w:val="21"/>
          <w:szCs w:val="21"/>
        </w:rPr>
      </w:pPr>
      <w:r>
        <w:rPr>
          <w:rFonts w:hint="eastAsia" w:ascii="宋体" w:hAnsi="宋体"/>
          <w:sz w:val="21"/>
          <w:szCs w:val="21"/>
        </w:rPr>
        <w:t>（三）《成交通知书》将作为签订合同的依据。</w:t>
      </w:r>
    </w:p>
    <w:p>
      <w:pPr>
        <w:pStyle w:val="4"/>
        <w:spacing w:before="0" w:after="0" w:line="480" w:lineRule="exact"/>
        <w:rPr>
          <w:rFonts w:hint="eastAsia" w:ascii="宋体" w:hAnsi="宋体"/>
          <w:sz w:val="21"/>
          <w:szCs w:val="21"/>
        </w:rPr>
      </w:pPr>
      <w:bookmarkStart w:id="185" w:name="_Toc67642682"/>
      <w:bookmarkStart w:id="186" w:name="_Toc24622"/>
      <w:bookmarkStart w:id="187" w:name="_Toc13339"/>
      <w:bookmarkStart w:id="188" w:name="_Toc14162"/>
      <w:bookmarkStart w:id="189" w:name="_Toc618"/>
      <w:bookmarkStart w:id="190" w:name="_Toc32135"/>
      <w:r>
        <w:rPr>
          <w:rFonts w:hint="eastAsia" w:ascii="宋体" w:hAnsi="宋体"/>
          <w:sz w:val="21"/>
          <w:szCs w:val="21"/>
        </w:rPr>
        <w:t>六、关于质疑和投诉</w:t>
      </w:r>
      <w:bookmarkEnd w:id="185"/>
      <w:bookmarkEnd w:id="186"/>
      <w:bookmarkEnd w:id="187"/>
      <w:bookmarkEnd w:id="188"/>
      <w:bookmarkEnd w:id="189"/>
      <w:bookmarkEnd w:id="190"/>
    </w:p>
    <w:p>
      <w:pPr>
        <w:spacing w:line="400" w:lineRule="exact"/>
        <w:ind w:firstLine="420" w:firstLineChars="200"/>
        <w:rPr>
          <w:rFonts w:hint="eastAsia" w:ascii="宋体" w:hAnsi="宋体"/>
          <w:sz w:val="21"/>
          <w:szCs w:val="21"/>
        </w:rPr>
      </w:pPr>
      <w:r>
        <w:rPr>
          <w:rFonts w:hint="eastAsia" w:ascii="宋体" w:hAnsi="宋体"/>
          <w:sz w:val="21"/>
          <w:szCs w:val="21"/>
        </w:rPr>
        <w:t>（一）质疑</w:t>
      </w:r>
    </w:p>
    <w:p>
      <w:pPr>
        <w:spacing w:line="400" w:lineRule="exact"/>
        <w:ind w:firstLine="420" w:firstLineChars="200"/>
        <w:rPr>
          <w:rFonts w:hint="eastAsia" w:ascii="宋体" w:hAnsi="宋体"/>
          <w:sz w:val="21"/>
          <w:szCs w:val="21"/>
        </w:rPr>
      </w:pPr>
      <w:r>
        <w:rPr>
          <w:rFonts w:hint="eastAsia" w:ascii="宋体" w:hAnsi="宋体"/>
          <w:sz w:val="21"/>
          <w:szCs w:val="21"/>
        </w:rPr>
        <w:t>供应商认为采购文件、采购过程和成交结果使自己的权益受到伤害的，可向采购人或采购代理机构以书面形式提出质疑。</w:t>
      </w:r>
    </w:p>
    <w:p>
      <w:pPr>
        <w:spacing w:line="400" w:lineRule="exact"/>
        <w:ind w:firstLine="420" w:firstLineChars="200"/>
        <w:rPr>
          <w:rFonts w:hint="eastAsia" w:ascii="宋体" w:hAnsi="宋体"/>
          <w:sz w:val="21"/>
          <w:szCs w:val="21"/>
        </w:rPr>
      </w:pPr>
      <w:r>
        <w:rPr>
          <w:rFonts w:hint="eastAsia" w:ascii="宋体" w:hAnsi="宋体"/>
          <w:sz w:val="21"/>
          <w:szCs w:val="21"/>
        </w:rPr>
        <w:t>提出质疑的应当是参与所质疑项目采购活动的供应商。</w:t>
      </w:r>
    </w:p>
    <w:p>
      <w:pPr>
        <w:spacing w:line="400" w:lineRule="exact"/>
        <w:ind w:firstLine="420" w:firstLineChars="200"/>
        <w:rPr>
          <w:rFonts w:hint="eastAsia" w:ascii="宋体" w:hAnsi="宋体"/>
          <w:sz w:val="21"/>
          <w:szCs w:val="21"/>
        </w:rPr>
      </w:pPr>
      <w:r>
        <w:rPr>
          <w:rFonts w:hint="eastAsia" w:ascii="宋体" w:hAnsi="宋体"/>
          <w:sz w:val="21"/>
          <w:szCs w:val="21"/>
        </w:rPr>
        <w:t>1.质疑时限、内容</w:t>
      </w:r>
    </w:p>
    <w:p>
      <w:pPr>
        <w:spacing w:line="400" w:lineRule="exact"/>
        <w:ind w:firstLine="420" w:firstLineChars="200"/>
        <w:rPr>
          <w:rFonts w:hint="eastAsia" w:ascii="宋体" w:hAnsi="宋体"/>
          <w:sz w:val="21"/>
          <w:szCs w:val="21"/>
        </w:rPr>
      </w:pPr>
      <w:r>
        <w:rPr>
          <w:rFonts w:hint="eastAsia" w:ascii="宋体" w:hAnsi="宋体"/>
          <w:sz w:val="21"/>
          <w:szCs w:val="21"/>
        </w:rPr>
        <w:t>供应商认为采购文件、采购过程、成交结果使自己的权益受到损害的，可以在知道或者应知其权益受到损害之日起7个工作日内，以书面形式向采购人、采购代理机构提出质疑。</w:t>
      </w:r>
    </w:p>
    <w:p>
      <w:pPr>
        <w:spacing w:line="400" w:lineRule="exact"/>
        <w:ind w:firstLine="420" w:firstLineChars="200"/>
        <w:rPr>
          <w:rFonts w:hint="eastAsia" w:ascii="宋体" w:hAnsi="宋体"/>
          <w:sz w:val="21"/>
          <w:szCs w:val="21"/>
        </w:rPr>
      </w:pPr>
      <w:r>
        <w:rPr>
          <w:rFonts w:hint="eastAsia" w:ascii="宋体" w:hAnsi="宋体"/>
          <w:sz w:val="21"/>
          <w:szCs w:val="21"/>
        </w:rPr>
        <w:t>1.2供应商提出质疑应当提交质疑函和必要的证明材料，质疑函应当包括下列内容：</w:t>
      </w:r>
    </w:p>
    <w:p>
      <w:pPr>
        <w:spacing w:line="400" w:lineRule="exact"/>
        <w:ind w:firstLine="420" w:firstLineChars="200"/>
        <w:rPr>
          <w:rFonts w:hint="eastAsia" w:ascii="宋体" w:hAnsi="宋体"/>
          <w:sz w:val="21"/>
          <w:szCs w:val="21"/>
        </w:rPr>
      </w:pPr>
      <w:r>
        <w:rPr>
          <w:rFonts w:hint="eastAsia" w:ascii="宋体" w:hAnsi="宋体"/>
          <w:sz w:val="21"/>
          <w:szCs w:val="21"/>
        </w:rPr>
        <w:t>1.2.1供应商的姓名或者名称、地址、邮编、联系人及联系电话；</w:t>
      </w:r>
    </w:p>
    <w:p>
      <w:pPr>
        <w:spacing w:line="400" w:lineRule="exact"/>
        <w:ind w:firstLine="420" w:firstLineChars="200"/>
        <w:rPr>
          <w:rFonts w:hint="eastAsia" w:ascii="宋体" w:hAnsi="宋体"/>
          <w:sz w:val="21"/>
          <w:szCs w:val="21"/>
        </w:rPr>
      </w:pPr>
      <w:r>
        <w:rPr>
          <w:rFonts w:hint="eastAsia" w:ascii="宋体" w:hAnsi="宋体"/>
          <w:sz w:val="21"/>
          <w:szCs w:val="21"/>
        </w:rPr>
        <w:t>1.2.2质疑项目的名称、项目号以及采购执行编号；</w:t>
      </w:r>
    </w:p>
    <w:p>
      <w:pPr>
        <w:spacing w:line="400" w:lineRule="exact"/>
        <w:ind w:firstLine="420" w:firstLineChars="200"/>
        <w:rPr>
          <w:rFonts w:hint="eastAsia" w:ascii="宋体" w:hAnsi="宋体"/>
          <w:sz w:val="21"/>
          <w:szCs w:val="21"/>
        </w:rPr>
      </w:pPr>
      <w:r>
        <w:rPr>
          <w:rFonts w:hint="eastAsia" w:ascii="宋体" w:hAnsi="宋体"/>
          <w:sz w:val="21"/>
          <w:szCs w:val="21"/>
        </w:rPr>
        <w:t>1.2.3具体、明确的质疑事项和与质疑事项相关的请求；</w:t>
      </w:r>
    </w:p>
    <w:p>
      <w:pPr>
        <w:spacing w:line="400" w:lineRule="exact"/>
        <w:ind w:firstLine="420" w:firstLineChars="200"/>
        <w:rPr>
          <w:rFonts w:hint="eastAsia" w:ascii="宋体" w:hAnsi="宋体"/>
          <w:sz w:val="21"/>
          <w:szCs w:val="21"/>
        </w:rPr>
      </w:pPr>
      <w:r>
        <w:rPr>
          <w:rFonts w:hint="eastAsia" w:ascii="宋体" w:hAnsi="宋体"/>
          <w:sz w:val="21"/>
          <w:szCs w:val="21"/>
        </w:rPr>
        <w:t>1.2.4事实依据；</w:t>
      </w:r>
    </w:p>
    <w:p>
      <w:pPr>
        <w:spacing w:line="400" w:lineRule="exact"/>
        <w:ind w:firstLine="420" w:firstLineChars="200"/>
        <w:rPr>
          <w:rFonts w:hint="eastAsia" w:ascii="宋体" w:hAnsi="宋体"/>
          <w:sz w:val="21"/>
          <w:szCs w:val="21"/>
        </w:rPr>
      </w:pPr>
      <w:r>
        <w:rPr>
          <w:rFonts w:hint="eastAsia" w:ascii="宋体" w:hAnsi="宋体"/>
          <w:sz w:val="21"/>
          <w:szCs w:val="21"/>
        </w:rPr>
        <w:t>1.2.5必要的法律依据；</w:t>
      </w:r>
    </w:p>
    <w:p>
      <w:pPr>
        <w:spacing w:line="400" w:lineRule="exact"/>
        <w:ind w:firstLine="420" w:firstLineChars="200"/>
        <w:rPr>
          <w:rFonts w:hint="eastAsia" w:ascii="宋体" w:hAnsi="宋体"/>
          <w:sz w:val="21"/>
          <w:szCs w:val="21"/>
        </w:rPr>
      </w:pPr>
      <w:r>
        <w:rPr>
          <w:rFonts w:hint="eastAsia" w:ascii="宋体" w:hAnsi="宋体"/>
          <w:sz w:val="21"/>
          <w:szCs w:val="21"/>
        </w:rPr>
        <w:t>1.2.6提出质疑的日期；</w:t>
      </w:r>
    </w:p>
    <w:p>
      <w:pPr>
        <w:spacing w:line="400" w:lineRule="exact"/>
        <w:ind w:firstLine="420" w:firstLineChars="200"/>
        <w:rPr>
          <w:rFonts w:hint="eastAsia" w:ascii="宋体" w:hAnsi="宋体"/>
          <w:sz w:val="21"/>
          <w:szCs w:val="21"/>
        </w:rPr>
      </w:pPr>
      <w:r>
        <w:rPr>
          <w:rFonts w:hint="eastAsia" w:ascii="宋体" w:hAnsi="宋体"/>
          <w:sz w:val="21"/>
          <w:szCs w:val="21"/>
        </w:rPr>
        <w:t>1.2.7营业执照（或事业单位法人证书，或个体工商户营业执照或有效的自然人身份证明）复印件；</w:t>
      </w:r>
    </w:p>
    <w:p>
      <w:pPr>
        <w:spacing w:line="400" w:lineRule="exact"/>
        <w:ind w:firstLine="420" w:firstLineChars="200"/>
        <w:rPr>
          <w:rFonts w:hint="eastAsia" w:ascii="宋体" w:hAnsi="宋体"/>
          <w:sz w:val="21"/>
          <w:szCs w:val="21"/>
        </w:rPr>
      </w:pPr>
      <w:r>
        <w:rPr>
          <w:rFonts w:hint="eastAsia" w:ascii="宋体" w:hAnsi="宋体"/>
          <w:sz w:val="21"/>
          <w:szCs w:val="21"/>
        </w:rPr>
        <w:t>1.2.8法定代表人授权委托书原件、法定代表人身份证复印件和其授权代表的身份证复印件（供应商为自然人的提供自然人身份证复印件）；</w:t>
      </w:r>
    </w:p>
    <w:p>
      <w:pPr>
        <w:spacing w:line="400" w:lineRule="exact"/>
        <w:ind w:firstLine="420" w:firstLineChars="200"/>
        <w:rPr>
          <w:rFonts w:hint="eastAsia" w:ascii="宋体" w:hAnsi="宋体"/>
          <w:sz w:val="21"/>
          <w:szCs w:val="21"/>
        </w:rPr>
      </w:pPr>
      <w:r>
        <w:rPr>
          <w:rFonts w:hint="eastAsia" w:ascii="宋体" w:hAnsi="宋体"/>
          <w:sz w:val="21"/>
          <w:szCs w:val="21"/>
        </w:rPr>
        <w:t>1.3供应商为自然人的，质疑函应当由本人签字；供应商为法人或者其他组织的，质疑函应当由法定代表人、主要负责人，或者其授权代表签字或者盖章，并加盖公章。</w:t>
      </w:r>
    </w:p>
    <w:p>
      <w:pPr>
        <w:spacing w:line="400" w:lineRule="exact"/>
        <w:ind w:firstLine="420" w:firstLineChars="200"/>
        <w:rPr>
          <w:rFonts w:hint="eastAsia" w:ascii="宋体" w:hAnsi="宋体"/>
          <w:sz w:val="21"/>
          <w:szCs w:val="21"/>
        </w:rPr>
      </w:pPr>
      <w:r>
        <w:rPr>
          <w:rFonts w:hint="eastAsia" w:ascii="宋体" w:hAnsi="宋体"/>
          <w:sz w:val="21"/>
          <w:szCs w:val="21"/>
        </w:rPr>
        <w:t>2.质疑答复</w:t>
      </w:r>
    </w:p>
    <w:p>
      <w:pPr>
        <w:spacing w:line="400" w:lineRule="exact"/>
        <w:ind w:firstLine="420" w:firstLineChars="200"/>
        <w:rPr>
          <w:rFonts w:hint="eastAsia" w:ascii="宋体" w:hAnsi="宋体"/>
          <w:sz w:val="21"/>
          <w:szCs w:val="21"/>
        </w:rPr>
      </w:pPr>
      <w:r>
        <w:rPr>
          <w:rFonts w:hint="eastAsia" w:ascii="宋体" w:hAnsi="宋体"/>
          <w:sz w:val="21"/>
          <w:szCs w:val="21"/>
        </w:rPr>
        <w:t>采购人、采购代理机构应当在收到供应商的书面质疑后七个工作日内作出答复，并以书面形式通知质疑供应商和其他有关供应商。</w:t>
      </w:r>
    </w:p>
    <w:p>
      <w:pPr>
        <w:spacing w:line="400" w:lineRule="exact"/>
        <w:ind w:firstLine="420" w:firstLineChars="200"/>
        <w:rPr>
          <w:rFonts w:hint="eastAsia" w:ascii="宋体" w:hAnsi="宋体"/>
          <w:sz w:val="21"/>
          <w:szCs w:val="21"/>
        </w:rPr>
      </w:pPr>
      <w:r>
        <w:rPr>
          <w:rFonts w:hint="eastAsia" w:ascii="宋体" w:hAnsi="宋体"/>
          <w:sz w:val="21"/>
          <w:szCs w:val="21"/>
        </w:rPr>
        <w:t>3.其他</w:t>
      </w:r>
    </w:p>
    <w:p>
      <w:pPr>
        <w:spacing w:line="400" w:lineRule="exact"/>
        <w:ind w:firstLine="420" w:firstLineChars="200"/>
        <w:rPr>
          <w:rFonts w:hint="eastAsia" w:ascii="宋体" w:hAnsi="宋体"/>
          <w:sz w:val="21"/>
          <w:szCs w:val="21"/>
        </w:rPr>
      </w:pPr>
      <w:r>
        <w:rPr>
          <w:rFonts w:hint="eastAsia" w:ascii="宋体" w:hAnsi="宋体"/>
          <w:sz w:val="21"/>
          <w:szCs w:val="21"/>
        </w:rPr>
        <w:t>3.1供应商应按照《政府采购质疑和投诉办法》（财政部令第94号）及相关法律法规要求，在法定质疑期内一次性提出针对同一采购程序环节的质疑。</w:t>
      </w:r>
    </w:p>
    <w:p>
      <w:pPr>
        <w:spacing w:line="400" w:lineRule="exact"/>
        <w:ind w:firstLine="420" w:firstLineChars="200"/>
        <w:rPr>
          <w:rFonts w:hint="eastAsia" w:ascii="宋体" w:hAnsi="宋体"/>
          <w:sz w:val="21"/>
          <w:szCs w:val="21"/>
        </w:rPr>
      </w:pPr>
      <w:r>
        <w:rPr>
          <w:rFonts w:hint="eastAsia" w:ascii="宋体" w:hAnsi="宋体"/>
          <w:sz w:val="21"/>
          <w:szCs w:val="21"/>
        </w:rPr>
        <w:t>3.2质疑函范本可在财政部门户网站和中国政府采购网下载。</w:t>
      </w:r>
    </w:p>
    <w:p>
      <w:pPr>
        <w:spacing w:line="400" w:lineRule="exact"/>
        <w:ind w:firstLine="420" w:firstLineChars="200"/>
        <w:rPr>
          <w:rFonts w:hint="eastAsia" w:ascii="宋体" w:hAnsi="宋体"/>
          <w:sz w:val="21"/>
          <w:szCs w:val="21"/>
        </w:rPr>
      </w:pPr>
      <w:r>
        <w:rPr>
          <w:rFonts w:hint="eastAsia" w:ascii="宋体" w:hAnsi="宋体"/>
          <w:sz w:val="21"/>
          <w:szCs w:val="21"/>
        </w:rPr>
        <w:t>（二）投诉</w:t>
      </w:r>
    </w:p>
    <w:p>
      <w:pPr>
        <w:spacing w:line="400" w:lineRule="exact"/>
        <w:ind w:firstLine="420" w:firstLineChars="200"/>
        <w:rPr>
          <w:rFonts w:hint="eastAsia" w:ascii="宋体" w:hAnsi="宋体"/>
          <w:sz w:val="21"/>
          <w:szCs w:val="21"/>
        </w:rPr>
      </w:pPr>
      <w:r>
        <w:rPr>
          <w:rFonts w:hint="eastAsia" w:ascii="宋体" w:hAnsi="宋体"/>
          <w:sz w:val="21"/>
          <w:szCs w:val="21"/>
        </w:rPr>
        <w:t>1.供应商对采购人、采购代理机构的答复不满意，或者采购人、采购代理机构未在规定时间内作出答复的，可以在答复期满后15个工作日内按照相关法律法规向监督部门提起投诉。</w:t>
      </w:r>
    </w:p>
    <w:p>
      <w:pPr>
        <w:spacing w:line="400" w:lineRule="exact"/>
        <w:ind w:firstLine="420" w:firstLineChars="200"/>
        <w:rPr>
          <w:rFonts w:hint="eastAsia" w:ascii="宋体" w:hAnsi="宋体"/>
          <w:sz w:val="21"/>
          <w:szCs w:val="21"/>
        </w:rPr>
      </w:pPr>
      <w:r>
        <w:rPr>
          <w:rFonts w:hint="eastAsia" w:ascii="宋体" w:hAnsi="宋体"/>
          <w:sz w:val="21"/>
          <w:szCs w:val="21"/>
        </w:rPr>
        <w:t>2.供应商应按照《政府采购质疑和投诉办法》（财政部令第94号）及相关法律法规要求递交投诉书和必要的证明材料。投诉书范本可在财政部门户网站和中国政府采购网下载。</w:t>
      </w:r>
    </w:p>
    <w:p>
      <w:pPr>
        <w:spacing w:line="400" w:lineRule="exact"/>
        <w:ind w:firstLine="420" w:firstLineChars="200"/>
        <w:rPr>
          <w:rFonts w:hint="eastAsia" w:ascii="宋体" w:hAnsi="宋体"/>
          <w:sz w:val="21"/>
          <w:szCs w:val="21"/>
        </w:rPr>
      </w:pPr>
      <w:r>
        <w:rPr>
          <w:rFonts w:hint="eastAsia" w:ascii="宋体" w:hAnsi="宋体"/>
          <w:sz w:val="21"/>
          <w:szCs w:val="21"/>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20" w:firstLineChars="200"/>
        <w:rPr>
          <w:rFonts w:hint="eastAsia" w:ascii="宋体" w:hAnsi="宋体"/>
          <w:sz w:val="21"/>
          <w:szCs w:val="21"/>
        </w:rPr>
      </w:pPr>
      <w:r>
        <w:rPr>
          <w:rFonts w:hint="eastAsia" w:ascii="宋体" w:hAnsi="宋体"/>
          <w:sz w:val="21"/>
          <w:szCs w:val="21"/>
        </w:rPr>
        <w:t>4.在确定受理投诉后，监督部门自受理投诉之日起30个工作日内（需要检验、检测、鉴定、专家评审以及需要投诉人补正材料的，所需时间不计算在投诉处理期限内）对投诉事项做出处理决定。</w:t>
      </w:r>
    </w:p>
    <w:p>
      <w:pPr>
        <w:pStyle w:val="4"/>
        <w:spacing w:before="0" w:after="0" w:line="480" w:lineRule="exact"/>
        <w:rPr>
          <w:rFonts w:hint="eastAsia" w:ascii="宋体" w:hAnsi="宋体"/>
          <w:sz w:val="21"/>
          <w:szCs w:val="21"/>
        </w:rPr>
      </w:pPr>
      <w:bookmarkStart w:id="191" w:name="_Toc14327"/>
      <w:bookmarkStart w:id="192" w:name="_Toc18591"/>
      <w:bookmarkStart w:id="193" w:name="_Toc7463"/>
      <w:bookmarkStart w:id="194" w:name="_Toc23138"/>
      <w:bookmarkStart w:id="195" w:name="_Toc6155"/>
      <w:bookmarkStart w:id="196" w:name="_Toc67642683"/>
      <w:r>
        <w:rPr>
          <w:rFonts w:hint="eastAsia" w:ascii="宋体" w:hAnsi="宋体"/>
          <w:sz w:val="21"/>
          <w:szCs w:val="21"/>
        </w:rPr>
        <w:t>七、采购代理服务费</w:t>
      </w:r>
      <w:bookmarkEnd w:id="160"/>
      <w:bookmarkEnd w:id="191"/>
      <w:bookmarkEnd w:id="192"/>
      <w:bookmarkEnd w:id="193"/>
      <w:bookmarkEnd w:id="194"/>
      <w:bookmarkEnd w:id="195"/>
      <w:bookmarkEnd w:id="196"/>
    </w:p>
    <w:p>
      <w:pPr>
        <w:spacing w:line="400" w:lineRule="exact"/>
        <w:ind w:firstLine="420" w:firstLineChars="200"/>
        <w:rPr>
          <w:rFonts w:hint="eastAsia" w:ascii="宋体" w:hAnsi="宋体"/>
          <w:sz w:val="21"/>
          <w:szCs w:val="21"/>
        </w:rPr>
      </w:pPr>
      <w:bookmarkStart w:id="197" w:name="_Toc102227322"/>
      <w:bookmarkStart w:id="198" w:name="_Toc342913396"/>
      <w:bookmarkStart w:id="199" w:name="_Toc428437958"/>
      <w:r>
        <w:rPr>
          <w:rFonts w:hint="eastAsia" w:ascii="宋体" w:hAnsi="宋体"/>
          <w:sz w:val="21"/>
          <w:szCs w:val="21"/>
        </w:rPr>
        <w:t>1.本项目采购代理服务费由成交供应商承担，需在成交后一次性向采购代理机构缴纳。代理服务费参照国家发展改革委计价格〔2002〕1980号文件规定的服务类招标收费标准执行。若按上述标准计算的代理服务费低于5000元，则按5000元人民币收取。</w:t>
      </w:r>
    </w:p>
    <w:p>
      <w:pPr>
        <w:spacing w:line="400" w:lineRule="exact"/>
        <w:ind w:firstLine="420" w:firstLineChars="200"/>
        <w:rPr>
          <w:rFonts w:hint="eastAsia" w:ascii="宋体" w:hAnsi="宋体"/>
          <w:sz w:val="21"/>
          <w:szCs w:val="21"/>
        </w:rPr>
      </w:pPr>
      <w:r>
        <w:rPr>
          <w:rFonts w:hint="eastAsia" w:ascii="宋体" w:hAnsi="宋体"/>
          <w:sz w:val="21"/>
          <w:szCs w:val="21"/>
        </w:rPr>
        <w:t>2.采购代理服务费缴纳账户信息：</w:t>
      </w:r>
    </w:p>
    <w:p>
      <w:pPr>
        <w:spacing w:line="400" w:lineRule="exact"/>
        <w:ind w:firstLine="420" w:firstLineChars="200"/>
        <w:rPr>
          <w:rFonts w:hint="eastAsia" w:ascii="宋体" w:hAnsi="宋体"/>
          <w:sz w:val="21"/>
          <w:szCs w:val="21"/>
        </w:rPr>
      </w:pPr>
      <w:r>
        <w:rPr>
          <w:rFonts w:hint="eastAsia" w:ascii="宋体" w:hAnsi="宋体"/>
          <w:sz w:val="21"/>
          <w:szCs w:val="21"/>
        </w:rPr>
        <w:t>开户名称：重庆信科设计有限公司</w:t>
      </w:r>
    </w:p>
    <w:p>
      <w:pPr>
        <w:spacing w:line="400" w:lineRule="exact"/>
        <w:ind w:firstLine="420" w:firstLineChars="200"/>
        <w:rPr>
          <w:rFonts w:hint="eastAsia" w:ascii="宋体" w:hAnsi="宋体"/>
          <w:sz w:val="21"/>
          <w:szCs w:val="21"/>
        </w:rPr>
      </w:pPr>
      <w:r>
        <w:rPr>
          <w:rFonts w:hint="eastAsia" w:ascii="宋体" w:hAnsi="宋体"/>
          <w:sz w:val="21"/>
          <w:szCs w:val="21"/>
        </w:rPr>
        <w:t>开户银行：中国工商银行股份有限公司重庆南岸学府支行</w:t>
      </w:r>
    </w:p>
    <w:p>
      <w:pPr>
        <w:spacing w:line="400" w:lineRule="exact"/>
        <w:ind w:firstLine="420" w:firstLineChars="200"/>
        <w:rPr>
          <w:rFonts w:hint="eastAsia" w:ascii="宋体" w:hAnsi="宋体"/>
          <w:sz w:val="21"/>
          <w:szCs w:val="21"/>
        </w:rPr>
      </w:pPr>
      <w:r>
        <w:rPr>
          <w:rFonts w:hint="eastAsia" w:ascii="宋体" w:hAnsi="宋体"/>
          <w:sz w:val="21"/>
          <w:szCs w:val="21"/>
        </w:rPr>
        <w:t>银行账号：3100027619200023442</w:t>
      </w:r>
    </w:p>
    <w:p>
      <w:pPr>
        <w:pStyle w:val="4"/>
        <w:spacing w:before="0" w:after="0" w:line="480" w:lineRule="exact"/>
        <w:rPr>
          <w:rFonts w:ascii="宋体"/>
          <w:sz w:val="21"/>
          <w:szCs w:val="21"/>
        </w:rPr>
      </w:pPr>
      <w:bookmarkStart w:id="200" w:name="_Toc26726"/>
      <w:bookmarkStart w:id="201" w:name="_Toc67642685"/>
      <w:bookmarkStart w:id="202" w:name="_Toc14739"/>
      <w:bookmarkStart w:id="203" w:name="_Toc5275"/>
      <w:bookmarkStart w:id="204" w:name="_Toc13095"/>
      <w:bookmarkStart w:id="205" w:name="_Toc22367"/>
      <w:r>
        <w:rPr>
          <w:rFonts w:hint="eastAsia" w:ascii="宋体" w:hAnsi="宋体"/>
          <w:sz w:val="21"/>
          <w:szCs w:val="21"/>
        </w:rPr>
        <w:t>八、签订</w:t>
      </w:r>
      <w:bookmarkEnd w:id="197"/>
      <w:r>
        <w:rPr>
          <w:rFonts w:hint="eastAsia" w:ascii="宋体" w:hAnsi="宋体"/>
          <w:sz w:val="21"/>
          <w:szCs w:val="21"/>
        </w:rPr>
        <w:t>合同</w:t>
      </w:r>
      <w:bookmarkEnd w:id="198"/>
      <w:bookmarkEnd w:id="199"/>
      <w:bookmarkEnd w:id="200"/>
      <w:bookmarkEnd w:id="201"/>
      <w:bookmarkEnd w:id="202"/>
      <w:bookmarkEnd w:id="203"/>
      <w:bookmarkEnd w:id="204"/>
      <w:bookmarkEnd w:id="205"/>
    </w:p>
    <w:p>
      <w:pPr>
        <w:snapToGrid w:val="0"/>
        <w:spacing w:line="400" w:lineRule="exact"/>
        <w:ind w:firstLine="315" w:firstLineChars="150"/>
        <w:rPr>
          <w:rFonts w:hint="eastAsia" w:ascii="宋体" w:hAnsi="宋体"/>
          <w:sz w:val="21"/>
          <w:szCs w:val="21"/>
        </w:rPr>
      </w:pPr>
      <w:r>
        <w:rPr>
          <w:rFonts w:hint="eastAsia" w:ascii="宋体" w:hAnsi="宋体"/>
          <w:sz w:val="21"/>
          <w:szCs w:val="21"/>
        </w:rPr>
        <w:t>（一）采购人原则上应在成交通知书发出之日起二十日内和成交供应商签订采购合同，无正当理由不得拒绝或拖延合同签订。所签订的合同不得对竞争性磋商文件和供应商的响应文件作实质性修改。其他未尽事宜由采购人和成交供应商在采购合同中详细约定。</w:t>
      </w:r>
    </w:p>
    <w:p>
      <w:pPr>
        <w:snapToGrid w:val="0"/>
        <w:spacing w:line="400" w:lineRule="exact"/>
        <w:ind w:firstLine="315" w:firstLineChars="150"/>
        <w:rPr>
          <w:rFonts w:hint="eastAsia" w:ascii="宋体" w:hAnsi="宋体"/>
          <w:sz w:val="21"/>
          <w:szCs w:val="21"/>
        </w:rPr>
      </w:pPr>
      <w:r>
        <w:rPr>
          <w:rFonts w:hint="eastAsia" w:ascii="宋体" w:hAnsi="宋体"/>
          <w:sz w:val="21"/>
          <w:szCs w:val="21"/>
        </w:rPr>
        <w:t>（二）竞争性磋商文件、供应商的响应文件及澄清文件等，均为签订采购合同的依据。</w:t>
      </w:r>
    </w:p>
    <w:p>
      <w:pPr>
        <w:snapToGrid w:val="0"/>
        <w:spacing w:line="400" w:lineRule="exact"/>
        <w:ind w:firstLine="315" w:firstLineChars="150"/>
        <w:rPr>
          <w:rFonts w:hint="eastAsia" w:ascii="宋体" w:hAnsi="宋体"/>
          <w:sz w:val="21"/>
          <w:szCs w:val="21"/>
        </w:rPr>
      </w:pPr>
      <w:r>
        <w:rPr>
          <w:rFonts w:hint="eastAsia" w:ascii="宋体" w:hAnsi="宋体"/>
          <w:sz w:val="21"/>
          <w:szCs w:val="21"/>
        </w:rPr>
        <w:t>（三）合同生效条款由供需双方约定，法律、行政法规规定应当办理批准、登记等手续后生效的合同，依照其规定。</w:t>
      </w:r>
    </w:p>
    <w:p>
      <w:pPr>
        <w:snapToGrid w:val="0"/>
        <w:spacing w:line="400" w:lineRule="exact"/>
        <w:ind w:firstLine="315" w:firstLineChars="150"/>
        <w:rPr>
          <w:rFonts w:ascii="宋体"/>
          <w:sz w:val="21"/>
          <w:szCs w:val="21"/>
        </w:rPr>
      </w:pPr>
      <w:r>
        <w:rPr>
          <w:rFonts w:hint="eastAsia" w:ascii="宋体"/>
          <w:sz w:val="21"/>
          <w:szCs w:val="21"/>
        </w:rPr>
        <w:t>（四）采购人要求成交供应商提供履约保证金的，应当在竞争性磋商文件中予以约定。成交供应商履约完毕后，采购人根据采购文件规定无息退还其履约保证金。</w:t>
      </w:r>
    </w:p>
    <w:p>
      <w:pPr>
        <w:spacing w:line="360" w:lineRule="auto"/>
        <w:ind w:firstLine="482" w:firstLineChars="200"/>
        <w:rPr>
          <w:rFonts w:ascii="宋体"/>
          <w:b/>
          <w:sz w:val="24"/>
          <w:szCs w:val="24"/>
        </w:rPr>
        <w:sectPr>
          <w:footerReference r:id="rId6" w:type="default"/>
          <w:pgSz w:w="11907" w:h="16840"/>
          <w:pgMar w:top="1134" w:right="1191" w:bottom="1134" w:left="1304" w:header="964" w:footer="992" w:gutter="0"/>
          <w:cols w:space="720" w:num="1"/>
          <w:docGrid w:linePitch="312" w:charSpace="0"/>
        </w:sectPr>
      </w:pPr>
    </w:p>
    <w:p>
      <w:pPr>
        <w:pStyle w:val="3"/>
        <w:spacing w:before="0" w:after="0" w:line="360" w:lineRule="auto"/>
        <w:jc w:val="center"/>
        <w:rPr>
          <w:rFonts w:ascii="宋体" w:hAnsi="宋体" w:eastAsia="宋体"/>
          <w:b w:val="0"/>
          <w:sz w:val="36"/>
          <w:szCs w:val="30"/>
        </w:rPr>
      </w:pPr>
      <w:bookmarkStart w:id="206" w:name="_Toc12789059"/>
      <w:bookmarkStart w:id="207" w:name="_Toc486932368"/>
      <w:bookmarkStart w:id="208" w:name="_Toc11641055"/>
      <w:bookmarkStart w:id="209" w:name="_Toc15090"/>
      <w:bookmarkStart w:id="210" w:name="_Toc28691"/>
      <w:bookmarkStart w:id="211" w:name="_Toc4007"/>
      <w:bookmarkStart w:id="212" w:name="_Toc67642687"/>
      <w:bookmarkStart w:id="213" w:name="_Toc8736"/>
      <w:bookmarkStart w:id="214" w:name="_Toc9090"/>
      <w:bookmarkStart w:id="215" w:name="_Toc20285"/>
      <w:r>
        <w:rPr>
          <w:rFonts w:hint="eastAsia" w:ascii="宋体" w:hAnsi="宋体" w:eastAsia="宋体"/>
          <w:b w:val="0"/>
          <w:sz w:val="36"/>
          <w:szCs w:val="30"/>
        </w:rPr>
        <w:t>第六篇</w:t>
      </w:r>
      <w:bookmarkEnd w:id="206"/>
      <w:bookmarkEnd w:id="207"/>
      <w:bookmarkEnd w:id="208"/>
      <w:r>
        <w:rPr>
          <w:rFonts w:hint="eastAsia" w:ascii="宋体" w:hAnsi="宋体" w:eastAsia="宋体"/>
          <w:b w:val="0"/>
          <w:sz w:val="36"/>
          <w:szCs w:val="30"/>
        </w:rPr>
        <w:t xml:space="preserve"> 采购合同</w:t>
      </w:r>
      <w:bookmarkEnd w:id="209"/>
      <w:bookmarkEnd w:id="210"/>
      <w:bookmarkEnd w:id="211"/>
      <w:bookmarkEnd w:id="212"/>
      <w:bookmarkEnd w:id="213"/>
      <w:bookmarkEnd w:id="214"/>
      <w:bookmarkEnd w:id="215"/>
    </w:p>
    <w:p>
      <w:pPr>
        <w:spacing w:line="500" w:lineRule="exact"/>
        <w:jc w:val="center"/>
        <w:rPr>
          <w:rFonts w:hint="eastAsia" w:ascii="宋体" w:hAnsi="宋体" w:cs="宋体"/>
          <w:b/>
          <w:sz w:val="36"/>
          <w:szCs w:val="36"/>
        </w:rPr>
      </w:pPr>
    </w:p>
    <w:p>
      <w:pPr>
        <w:spacing w:line="500" w:lineRule="exact"/>
        <w:jc w:val="center"/>
        <w:rPr>
          <w:rFonts w:hint="eastAsia" w:ascii="宋体" w:hAnsi="宋体" w:cs="宋体"/>
          <w:b/>
          <w:sz w:val="36"/>
          <w:szCs w:val="36"/>
        </w:rPr>
      </w:pPr>
      <w:r>
        <w:rPr>
          <w:rFonts w:hint="eastAsia" w:ascii="宋体" w:hAnsi="宋体" w:cs="宋体"/>
          <w:b/>
          <w:sz w:val="36"/>
          <w:szCs w:val="36"/>
        </w:rPr>
        <w:t>业务约定书</w:t>
      </w:r>
    </w:p>
    <w:p>
      <w:pPr>
        <w:spacing w:line="500" w:lineRule="exact"/>
        <w:jc w:val="center"/>
        <w:rPr>
          <w:rFonts w:ascii="宋体" w:hAnsi="宋体" w:cs="宋体"/>
          <w:b/>
          <w:sz w:val="36"/>
          <w:szCs w:val="36"/>
        </w:rPr>
      </w:pPr>
      <w:r>
        <w:rPr>
          <w:rFonts w:hint="eastAsia" w:ascii="宋体" w:hAnsi="宋体" w:cs="宋体"/>
          <w:b/>
          <w:sz w:val="36"/>
          <w:szCs w:val="36"/>
        </w:rPr>
        <w:t>（以实际具体签订合同为准）</w:t>
      </w:r>
    </w:p>
    <w:p>
      <w:pPr>
        <w:pStyle w:val="231"/>
        <w:spacing w:line="480" w:lineRule="exact"/>
        <w:rPr>
          <w:rFonts w:hint="eastAsia" w:hAnsi="宋体" w:cs="宋体"/>
          <w:sz w:val="21"/>
          <w:szCs w:val="16"/>
        </w:rPr>
      </w:pPr>
    </w:p>
    <w:p>
      <w:pPr>
        <w:spacing w:line="480" w:lineRule="exact"/>
        <w:rPr>
          <w:rFonts w:hint="eastAsia" w:ascii="宋体" w:hAnsi="宋体" w:cs="宋体"/>
          <w:sz w:val="22"/>
          <w:szCs w:val="22"/>
        </w:rPr>
      </w:pPr>
      <w:r>
        <w:rPr>
          <w:rFonts w:hint="eastAsia" w:ascii="宋体" w:hAnsi="宋体" w:cs="宋体"/>
          <w:b/>
          <w:sz w:val="22"/>
          <w:szCs w:val="22"/>
        </w:rPr>
        <w:t xml:space="preserve">甲方（委托方）：     </w:t>
      </w:r>
    </w:p>
    <w:p>
      <w:pPr>
        <w:spacing w:line="480" w:lineRule="exact"/>
        <w:rPr>
          <w:rFonts w:hint="eastAsia" w:ascii="宋体" w:hAnsi="宋体" w:cs="宋体"/>
          <w:sz w:val="22"/>
          <w:szCs w:val="22"/>
        </w:rPr>
      </w:pPr>
      <w:r>
        <w:rPr>
          <w:rFonts w:hint="eastAsia" w:ascii="宋体" w:hAnsi="宋体" w:cs="宋体"/>
          <w:b/>
          <w:sz w:val="22"/>
          <w:szCs w:val="22"/>
        </w:rPr>
        <w:t xml:space="preserve">乙方（受托方）：  </w:t>
      </w:r>
    </w:p>
    <w:p>
      <w:pPr>
        <w:autoSpaceDE w:val="0"/>
        <w:autoSpaceDN w:val="0"/>
        <w:adjustRightInd w:val="0"/>
        <w:spacing w:line="480" w:lineRule="exact"/>
        <w:rPr>
          <w:rFonts w:hint="eastAsia" w:ascii="宋体" w:hAnsi="宋体" w:cs="宋体"/>
          <w:kern w:val="0"/>
          <w:sz w:val="21"/>
          <w:szCs w:val="16"/>
        </w:rPr>
      </w:pPr>
    </w:p>
    <w:p>
      <w:pPr>
        <w:autoSpaceDE w:val="0"/>
        <w:autoSpaceDN w:val="0"/>
        <w:adjustRightInd w:val="0"/>
        <w:spacing w:line="480" w:lineRule="exact"/>
        <w:ind w:firstLine="440" w:firstLineChars="200"/>
        <w:rPr>
          <w:rFonts w:hint="eastAsia" w:ascii="宋体" w:hAnsi="宋体" w:cs="宋体"/>
          <w:kern w:val="0"/>
          <w:sz w:val="22"/>
          <w:szCs w:val="22"/>
        </w:rPr>
      </w:pPr>
      <w:r>
        <w:rPr>
          <w:rFonts w:hint="eastAsia" w:ascii="宋体" w:hAnsi="宋体" w:cs="宋体"/>
          <w:kern w:val="0"/>
          <w:sz w:val="22"/>
          <w:szCs w:val="22"/>
        </w:rPr>
        <w:t>兹由甲方委托乙方为其提供</w:t>
      </w:r>
      <w:r>
        <w:rPr>
          <w:rFonts w:hint="eastAsia" w:ascii="宋体" w:hAnsi="宋体" w:cs="宋体"/>
          <w:kern w:val="0"/>
          <w:sz w:val="22"/>
          <w:szCs w:val="22"/>
          <w:u w:val="single"/>
        </w:rPr>
        <w:t>审计业务管理综合技术咨询</w:t>
      </w:r>
      <w:r>
        <w:rPr>
          <w:rFonts w:hint="eastAsia" w:ascii="宋体" w:hAnsi="宋体" w:cs="宋体"/>
          <w:kern w:val="0"/>
          <w:sz w:val="22"/>
          <w:szCs w:val="22"/>
        </w:rPr>
        <w:t>服务。经双方协商，达成以下合同：</w:t>
      </w:r>
    </w:p>
    <w:p>
      <w:pPr>
        <w:autoSpaceDE w:val="0"/>
        <w:autoSpaceDN w:val="0"/>
        <w:adjustRightInd w:val="0"/>
        <w:spacing w:line="480" w:lineRule="exact"/>
        <w:ind w:firstLine="433" w:firstLineChars="196"/>
        <w:rPr>
          <w:rFonts w:hint="eastAsia" w:ascii="宋体" w:hAnsi="宋体" w:cs="宋体"/>
          <w:b/>
          <w:kern w:val="0"/>
          <w:sz w:val="22"/>
          <w:szCs w:val="22"/>
        </w:rPr>
      </w:pPr>
      <w:r>
        <w:rPr>
          <w:rFonts w:hint="eastAsia" w:ascii="宋体" w:hAnsi="宋体" w:cs="宋体"/>
          <w:b/>
          <w:kern w:val="0"/>
          <w:sz w:val="22"/>
          <w:szCs w:val="22"/>
        </w:rPr>
        <w:t>一、服务目的与内容</w:t>
      </w:r>
    </w:p>
    <w:p>
      <w:pPr>
        <w:pStyle w:val="231"/>
        <w:spacing w:line="480" w:lineRule="exact"/>
        <w:ind w:firstLine="442" w:firstLineChars="200"/>
        <w:rPr>
          <w:rFonts w:hint="eastAsia" w:hAnsi="宋体" w:cs="宋体"/>
          <w:b/>
          <w:bCs/>
          <w:sz w:val="22"/>
          <w:szCs w:val="22"/>
        </w:rPr>
      </w:pPr>
      <w:r>
        <w:rPr>
          <w:rFonts w:hint="eastAsia" w:hAnsi="宋体" w:cs="宋体"/>
          <w:b/>
          <w:bCs/>
          <w:sz w:val="22"/>
          <w:szCs w:val="22"/>
        </w:rPr>
        <w:t>（一）服务目的</w:t>
      </w:r>
    </w:p>
    <w:p>
      <w:pPr>
        <w:pStyle w:val="231"/>
        <w:spacing w:line="480" w:lineRule="exact"/>
        <w:ind w:firstLine="440" w:firstLineChars="200"/>
        <w:rPr>
          <w:rFonts w:hint="eastAsia" w:hAnsi="宋体" w:cs="宋体"/>
          <w:sz w:val="22"/>
          <w:szCs w:val="22"/>
        </w:rPr>
      </w:pPr>
      <w:r>
        <w:rPr>
          <w:rFonts w:hint="eastAsia" w:hAnsi="宋体" w:cs="宋体"/>
          <w:sz w:val="22"/>
          <w:szCs w:val="22"/>
        </w:rPr>
        <w:t>甲方委托乙方对审计业务管理提供专业的综合咨询服务项目。项目周期为期三年，预计时间段为</w:t>
      </w:r>
      <w:r>
        <w:rPr>
          <w:rFonts w:hint="eastAsia" w:hAnsi="宋体" w:cs="宋体"/>
          <w:sz w:val="22"/>
          <w:szCs w:val="22"/>
          <w:u w:val="single"/>
        </w:rPr>
        <w:t xml:space="preserve">      年</w:t>
      </w:r>
      <w:r>
        <w:rPr>
          <w:rFonts w:hint="eastAsia" w:hAnsi="宋体" w:cs="宋体"/>
          <w:sz w:val="22"/>
          <w:szCs w:val="22"/>
        </w:rPr>
        <w:t>至</w:t>
      </w:r>
      <w:r>
        <w:rPr>
          <w:rFonts w:hint="eastAsia" w:hAnsi="宋体" w:cs="宋体"/>
          <w:sz w:val="22"/>
          <w:szCs w:val="22"/>
          <w:u w:val="single"/>
        </w:rPr>
        <w:t xml:space="preserve">      年</w:t>
      </w:r>
      <w:r>
        <w:rPr>
          <w:rFonts w:hint="eastAsia" w:hAnsi="宋体" w:cs="宋体"/>
          <w:sz w:val="22"/>
          <w:szCs w:val="22"/>
        </w:rPr>
        <w:t>。</w:t>
      </w:r>
    </w:p>
    <w:p>
      <w:pPr>
        <w:pStyle w:val="231"/>
        <w:spacing w:line="480" w:lineRule="exact"/>
        <w:ind w:firstLine="440" w:firstLineChars="200"/>
        <w:rPr>
          <w:rFonts w:hint="eastAsia" w:hAnsi="宋体" w:cs="宋体"/>
          <w:sz w:val="22"/>
          <w:szCs w:val="22"/>
        </w:rPr>
      </w:pPr>
      <w:r>
        <w:rPr>
          <w:rFonts w:hint="eastAsia" w:hAnsi="宋体" w:cs="宋体"/>
          <w:sz w:val="22"/>
          <w:szCs w:val="22"/>
        </w:rPr>
        <w:t>通过项目的实施，对历史及当期审计资料进行系统性数字化治理，对业务流程进行标准化重构，提升审计工作的质量、效率与覆盖面；对现有内控体系进行全面评估、优化并建立常态化审计与更新机制，系统性识别、预警和防范管理漏洞与廉政风险；提供定制化咨询培训服务，搭建标准化电子档案库，实现审计数据集中管理与高效复用。</w:t>
      </w:r>
    </w:p>
    <w:p>
      <w:pPr>
        <w:pStyle w:val="231"/>
        <w:spacing w:line="480" w:lineRule="exact"/>
        <w:ind w:firstLine="442" w:firstLineChars="200"/>
        <w:rPr>
          <w:rFonts w:hint="eastAsia" w:hAnsi="宋体" w:cs="宋体"/>
          <w:b/>
          <w:bCs/>
          <w:sz w:val="22"/>
          <w:szCs w:val="22"/>
        </w:rPr>
      </w:pPr>
      <w:r>
        <w:rPr>
          <w:rFonts w:hint="eastAsia" w:hAnsi="宋体" w:cs="宋体"/>
          <w:b/>
          <w:bCs/>
          <w:sz w:val="22"/>
          <w:szCs w:val="22"/>
        </w:rPr>
        <w:t>（二）服务内容</w:t>
      </w:r>
    </w:p>
    <w:p>
      <w:pPr>
        <w:pStyle w:val="231"/>
        <w:spacing w:line="480" w:lineRule="exact"/>
        <w:ind w:firstLine="440" w:firstLineChars="200"/>
        <w:rPr>
          <w:rFonts w:hint="eastAsia" w:hAnsi="宋体" w:cs="宋体"/>
          <w:sz w:val="22"/>
          <w:szCs w:val="22"/>
        </w:rPr>
      </w:pPr>
      <w:r>
        <w:rPr>
          <w:rFonts w:hint="eastAsia" w:hAnsi="宋体" w:cs="宋体"/>
          <w:sz w:val="22"/>
          <w:szCs w:val="22"/>
        </w:rPr>
        <w:t>1.完成每年的资料整理与审计基础工作协助，搭建电子档案库框架，实现数字化管理，建立档案更新与运维机制。</w:t>
      </w:r>
    </w:p>
    <w:p>
      <w:pPr>
        <w:pStyle w:val="231"/>
        <w:spacing w:line="480" w:lineRule="exact"/>
        <w:ind w:firstLine="440" w:firstLineChars="200"/>
        <w:rPr>
          <w:rFonts w:hint="eastAsia" w:hAnsi="宋体" w:cs="宋体"/>
          <w:sz w:val="22"/>
          <w:szCs w:val="22"/>
        </w:rPr>
      </w:pPr>
      <w:r>
        <w:rPr>
          <w:rFonts w:hint="eastAsia" w:hAnsi="宋体" w:cs="宋体"/>
          <w:sz w:val="22"/>
          <w:szCs w:val="22"/>
        </w:rPr>
        <w:t>2.对科室内部进行管理问题诊断与流程优化，开展流程优化后执行效果评估和效能监测机制。收集实际应用中的数据和问题，运用数据分析和处理，优化工作流程和体系。</w:t>
      </w:r>
    </w:p>
    <w:p>
      <w:pPr>
        <w:pStyle w:val="231"/>
        <w:spacing w:line="480" w:lineRule="exact"/>
        <w:ind w:firstLine="440" w:firstLineChars="200"/>
        <w:rPr>
          <w:rFonts w:hint="eastAsia" w:hAnsi="宋体" w:cs="宋体"/>
          <w:sz w:val="22"/>
          <w:szCs w:val="22"/>
        </w:rPr>
      </w:pPr>
      <w:r>
        <w:rPr>
          <w:rFonts w:hint="eastAsia" w:hAnsi="宋体" w:cs="宋体"/>
          <w:sz w:val="22"/>
          <w:szCs w:val="22"/>
        </w:rPr>
        <w:t>3.协助采购人组织实施本单位内部控制自我评价工作。通过对内控体系的分析和评估，发现潜在的风险，提出具体的优化建议，引入内控评价数字化工具提升管理效率，将评价结果电子化归档，形成常态化更新。</w:t>
      </w:r>
    </w:p>
    <w:p>
      <w:pPr>
        <w:autoSpaceDE w:val="0"/>
        <w:autoSpaceDN w:val="0"/>
        <w:adjustRightInd w:val="0"/>
        <w:spacing w:line="480" w:lineRule="exact"/>
        <w:ind w:firstLine="431" w:firstLineChars="196"/>
        <w:rPr>
          <w:rFonts w:hint="eastAsia" w:ascii="宋体" w:hAnsi="宋体" w:cs="宋体"/>
          <w:b/>
          <w:kern w:val="0"/>
          <w:sz w:val="22"/>
          <w:szCs w:val="22"/>
        </w:rPr>
      </w:pPr>
      <w:r>
        <w:rPr>
          <w:rFonts w:hint="eastAsia" w:ascii="宋体" w:hAnsi="宋体" w:cs="宋体"/>
          <w:kern w:val="0"/>
          <w:sz w:val="22"/>
          <w:szCs w:val="22"/>
        </w:rPr>
        <w:t>4.提供政策法规解读与咨询，为审计决策提供专业支持。为采购人提供1名专业人员阶段性驻场，负责日常沟通、资料整理及现场辅助工作。</w:t>
      </w:r>
    </w:p>
    <w:p>
      <w:pPr>
        <w:autoSpaceDE w:val="0"/>
        <w:autoSpaceDN w:val="0"/>
        <w:adjustRightInd w:val="0"/>
        <w:spacing w:line="480" w:lineRule="exact"/>
        <w:ind w:firstLine="433" w:firstLineChars="196"/>
        <w:rPr>
          <w:rFonts w:hint="eastAsia" w:ascii="宋体" w:hAnsi="宋体" w:cs="宋体"/>
          <w:b/>
          <w:kern w:val="0"/>
          <w:sz w:val="22"/>
          <w:szCs w:val="22"/>
        </w:rPr>
      </w:pPr>
      <w:r>
        <w:rPr>
          <w:rFonts w:hint="eastAsia" w:ascii="宋体" w:hAnsi="宋体" w:cs="宋体"/>
          <w:b/>
          <w:kern w:val="0"/>
          <w:sz w:val="22"/>
          <w:szCs w:val="22"/>
        </w:rPr>
        <w:t>二、甲方的责任与义务</w:t>
      </w:r>
    </w:p>
    <w:p>
      <w:pPr>
        <w:pStyle w:val="231"/>
        <w:spacing w:line="480" w:lineRule="exact"/>
        <w:ind w:firstLine="440" w:firstLineChars="200"/>
        <w:rPr>
          <w:rFonts w:hint="eastAsia" w:hAnsi="宋体" w:cs="宋体"/>
          <w:sz w:val="22"/>
          <w:szCs w:val="22"/>
        </w:rPr>
      </w:pPr>
      <w:r>
        <w:rPr>
          <w:rFonts w:hint="eastAsia" w:hAnsi="宋体" w:cs="宋体"/>
          <w:sz w:val="22"/>
          <w:szCs w:val="22"/>
        </w:rPr>
        <w:t>1.及时提供所需整理的档案资料。协调参与审计项目的审计单位提供审计档案资料。</w:t>
      </w:r>
    </w:p>
    <w:p>
      <w:pPr>
        <w:pStyle w:val="231"/>
        <w:spacing w:line="480" w:lineRule="exact"/>
        <w:ind w:firstLine="440" w:firstLineChars="200"/>
        <w:rPr>
          <w:rFonts w:hint="eastAsia" w:hAnsi="宋体" w:cs="宋体"/>
          <w:sz w:val="22"/>
          <w:szCs w:val="22"/>
        </w:rPr>
      </w:pPr>
      <w:r>
        <w:rPr>
          <w:rFonts w:hint="eastAsia" w:hAnsi="宋体" w:cs="宋体"/>
          <w:sz w:val="22"/>
          <w:szCs w:val="22"/>
        </w:rPr>
        <w:t>2.为乙方提供必要的工作条件和场所。</w:t>
      </w:r>
    </w:p>
    <w:p>
      <w:pPr>
        <w:pStyle w:val="231"/>
        <w:spacing w:line="480" w:lineRule="exact"/>
        <w:ind w:firstLine="440" w:firstLineChars="200"/>
        <w:rPr>
          <w:rFonts w:hint="eastAsia" w:hAnsi="宋体" w:cs="宋体"/>
          <w:sz w:val="22"/>
          <w:szCs w:val="22"/>
        </w:rPr>
      </w:pPr>
      <w:r>
        <w:rPr>
          <w:rFonts w:hint="eastAsia" w:hAnsi="宋体" w:cs="宋体"/>
          <w:sz w:val="22"/>
          <w:szCs w:val="22"/>
        </w:rPr>
        <w:t>3.应按照本约定书的约定，及时足额支付费用。</w:t>
      </w:r>
    </w:p>
    <w:p>
      <w:pPr>
        <w:autoSpaceDE w:val="0"/>
        <w:autoSpaceDN w:val="0"/>
        <w:adjustRightInd w:val="0"/>
        <w:spacing w:line="480" w:lineRule="exact"/>
        <w:ind w:firstLine="440" w:firstLineChars="200"/>
        <w:rPr>
          <w:rFonts w:hint="eastAsia" w:ascii="宋体" w:hAnsi="宋体" w:cs="宋体"/>
          <w:kern w:val="0"/>
          <w:sz w:val="22"/>
          <w:szCs w:val="22"/>
        </w:rPr>
      </w:pPr>
      <w:r>
        <w:rPr>
          <w:rFonts w:hint="eastAsia" w:ascii="宋体" w:hAnsi="宋体" w:cs="宋体"/>
          <w:kern w:val="0"/>
          <w:sz w:val="22"/>
          <w:szCs w:val="22"/>
        </w:rPr>
        <w:t>4.及时为乙方的服务工作提供其所要求的资料和其他有关资料，并保证所提供资料的真实性和完整性。</w:t>
      </w:r>
    </w:p>
    <w:p>
      <w:pPr>
        <w:autoSpaceDE w:val="0"/>
        <w:autoSpaceDN w:val="0"/>
        <w:adjustRightInd w:val="0"/>
        <w:spacing w:line="480" w:lineRule="exact"/>
        <w:ind w:firstLine="440" w:firstLineChars="200"/>
        <w:rPr>
          <w:rFonts w:hint="eastAsia" w:ascii="宋体" w:hAnsi="宋体" w:cs="宋体"/>
          <w:kern w:val="0"/>
          <w:sz w:val="22"/>
          <w:szCs w:val="22"/>
        </w:rPr>
      </w:pPr>
      <w:r>
        <w:rPr>
          <w:rFonts w:hint="eastAsia" w:ascii="宋体" w:hAnsi="宋体" w:cs="宋体"/>
          <w:kern w:val="0"/>
          <w:sz w:val="22"/>
          <w:szCs w:val="22"/>
        </w:rPr>
        <w:t>5.为乙方派出的有关工作人员提供必要的工作条件和协助。</w:t>
      </w:r>
    </w:p>
    <w:p>
      <w:pPr>
        <w:autoSpaceDE w:val="0"/>
        <w:autoSpaceDN w:val="0"/>
        <w:adjustRightInd w:val="0"/>
        <w:spacing w:line="480" w:lineRule="exact"/>
        <w:ind w:firstLine="442" w:firstLineChars="200"/>
        <w:rPr>
          <w:rFonts w:hint="eastAsia" w:ascii="宋体" w:hAnsi="宋体" w:cs="宋体"/>
          <w:b/>
          <w:kern w:val="0"/>
          <w:sz w:val="22"/>
          <w:szCs w:val="22"/>
        </w:rPr>
      </w:pPr>
      <w:r>
        <w:rPr>
          <w:rFonts w:hint="eastAsia" w:ascii="宋体" w:hAnsi="宋体" w:cs="宋体"/>
          <w:b/>
          <w:kern w:val="0"/>
          <w:sz w:val="22"/>
          <w:szCs w:val="22"/>
        </w:rPr>
        <w:t>三、乙方的责任和义务</w:t>
      </w:r>
    </w:p>
    <w:p>
      <w:pPr>
        <w:autoSpaceDE w:val="0"/>
        <w:autoSpaceDN w:val="0"/>
        <w:adjustRightInd w:val="0"/>
        <w:spacing w:line="480" w:lineRule="exact"/>
        <w:ind w:firstLine="440" w:firstLineChars="200"/>
        <w:rPr>
          <w:rFonts w:hint="eastAsia" w:ascii="宋体" w:hAnsi="宋体" w:cs="宋体"/>
          <w:kern w:val="0"/>
          <w:sz w:val="22"/>
          <w:szCs w:val="22"/>
        </w:rPr>
      </w:pPr>
      <w:r>
        <w:rPr>
          <w:rFonts w:hint="eastAsia" w:ascii="宋体" w:hAnsi="宋体" w:cs="宋体"/>
          <w:kern w:val="0"/>
          <w:sz w:val="22"/>
          <w:szCs w:val="22"/>
        </w:rPr>
        <w:t>1.根据甲方的要求，在甲方指定办公地点提供档案整理及数字化管理服务。</w:t>
      </w:r>
    </w:p>
    <w:p>
      <w:pPr>
        <w:autoSpaceDE w:val="0"/>
        <w:autoSpaceDN w:val="0"/>
        <w:adjustRightInd w:val="0"/>
        <w:spacing w:line="480" w:lineRule="exact"/>
        <w:ind w:firstLine="440" w:firstLineChars="200"/>
        <w:rPr>
          <w:rFonts w:hint="eastAsia" w:ascii="宋体" w:hAnsi="宋体" w:cs="宋体"/>
          <w:sz w:val="22"/>
          <w:szCs w:val="22"/>
        </w:rPr>
      </w:pPr>
      <w:r>
        <w:rPr>
          <w:rFonts w:hint="eastAsia" w:ascii="宋体" w:hAnsi="宋体" w:cs="宋体"/>
          <w:sz w:val="22"/>
          <w:szCs w:val="22"/>
        </w:rPr>
        <w:t>2.乙方应按需提供专业工作人员，应熟练掌握相关政策和计算机应用；对于阶段性驻场人员应按照甲方需求，在规定时间内完成双方约定工作，对于现场的沟通情况及时地反馈执行团队，按期保质完成服务内容。</w:t>
      </w:r>
    </w:p>
    <w:p>
      <w:pPr>
        <w:autoSpaceDE w:val="0"/>
        <w:autoSpaceDN w:val="0"/>
        <w:adjustRightInd w:val="0"/>
        <w:spacing w:line="480" w:lineRule="exact"/>
        <w:ind w:firstLine="440" w:firstLineChars="200"/>
        <w:rPr>
          <w:rFonts w:hint="eastAsia" w:ascii="宋体" w:hAnsi="宋体" w:cs="宋体"/>
          <w:sz w:val="22"/>
          <w:szCs w:val="22"/>
        </w:rPr>
      </w:pPr>
      <w:r>
        <w:rPr>
          <w:rFonts w:hint="eastAsia" w:ascii="宋体" w:hAnsi="宋体" w:cs="宋体"/>
          <w:sz w:val="22"/>
          <w:szCs w:val="22"/>
        </w:rPr>
        <w:t>3.</w:t>
      </w:r>
      <w:r>
        <w:rPr>
          <w:rFonts w:hint="eastAsia" w:ascii="宋体" w:hAnsi="宋体" w:cs="宋体"/>
          <w:kern w:val="0"/>
          <w:sz w:val="22"/>
          <w:szCs w:val="22"/>
        </w:rPr>
        <w:t>乙方应对在执行服务现场过程中获知的文字资料、电子数据被审计单位商业秘密及财务信息、甲方提供的有关资料文书等承担保密责任。</w:t>
      </w:r>
      <w:r>
        <w:rPr>
          <w:rFonts w:hint="eastAsia" w:ascii="宋体" w:hAnsi="宋体" w:cs="宋体"/>
          <w:sz w:val="22"/>
          <w:szCs w:val="22"/>
        </w:rPr>
        <w:t>凡以直接、间接、口头或书面等方式提供给第三方涉及保密内容的行为均属泄密（项目组成员间的交流除外）。</w:t>
      </w:r>
      <w:r>
        <w:rPr>
          <w:rFonts w:hint="eastAsia" w:ascii="宋体" w:hAnsi="宋体" w:cs="宋体"/>
          <w:kern w:val="0"/>
          <w:sz w:val="22"/>
          <w:szCs w:val="22"/>
        </w:rPr>
        <w:t>除法律另有规定外，未经甲方书面同意，乙方不得将服务过程中获取的任何信息、资料泄露给甲方以外的第三者，</w:t>
      </w:r>
      <w:r>
        <w:rPr>
          <w:rFonts w:hint="eastAsia" w:ascii="宋体" w:hAnsi="宋体" w:cs="宋体"/>
          <w:sz w:val="22"/>
          <w:szCs w:val="22"/>
        </w:rPr>
        <w:t>否则甲方有权通过法律途径向乙方追究法律责任。</w:t>
      </w:r>
    </w:p>
    <w:p>
      <w:pPr>
        <w:autoSpaceDE w:val="0"/>
        <w:autoSpaceDN w:val="0"/>
        <w:adjustRightInd w:val="0"/>
        <w:spacing w:line="480" w:lineRule="exact"/>
        <w:ind w:firstLine="442" w:firstLineChars="200"/>
        <w:rPr>
          <w:rFonts w:hint="eastAsia" w:ascii="宋体" w:hAnsi="宋体" w:cs="宋体"/>
          <w:b/>
          <w:kern w:val="0"/>
          <w:sz w:val="22"/>
          <w:szCs w:val="22"/>
        </w:rPr>
      </w:pPr>
      <w:r>
        <w:rPr>
          <w:rFonts w:hint="eastAsia" w:ascii="宋体" w:hAnsi="宋体" w:cs="宋体"/>
          <w:b/>
          <w:kern w:val="0"/>
          <w:sz w:val="22"/>
          <w:szCs w:val="22"/>
        </w:rPr>
        <w:t>四、服务期限</w:t>
      </w:r>
    </w:p>
    <w:p>
      <w:pPr>
        <w:autoSpaceDE w:val="0"/>
        <w:autoSpaceDN w:val="0"/>
        <w:adjustRightInd w:val="0"/>
        <w:spacing w:line="480" w:lineRule="exact"/>
        <w:ind w:left="372" w:leftChars="133" w:firstLine="220" w:firstLineChars="100"/>
        <w:rPr>
          <w:rFonts w:hint="eastAsia" w:ascii="宋体" w:hAnsi="宋体" w:cs="宋体"/>
          <w:sz w:val="22"/>
          <w:szCs w:val="22"/>
        </w:rPr>
      </w:pPr>
      <w:r>
        <w:rPr>
          <w:rFonts w:hint="eastAsia" w:ascii="宋体" w:hAnsi="宋体" w:cs="宋体"/>
          <w:sz w:val="22"/>
          <w:szCs w:val="22"/>
        </w:rPr>
        <w:t>1.项目总服务时长三年，乙方于</w:t>
      </w:r>
      <w:r>
        <w:rPr>
          <w:rFonts w:hint="eastAsia" w:ascii="宋体" w:hAnsi="宋体" w:cs="宋体"/>
          <w:sz w:val="22"/>
          <w:szCs w:val="22"/>
          <w:u w:val="single"/>
        </w:rPr>
        <w:t xml:space="preserve">    年   月  日</w:t>
      </w:r>
      <w:r>
        <w:rPr>
          <w:rFonts w:hint="eastAsia" w:ascii="宋体" w:hAnsi="宋体" w:cs="宋体"/>
          <w:sz w:val="22"/>
          <w:szCs w:val="22"/>
        </w:rPr>
        <w:t>进场开展服务工作，于</w:t>
      </w:r>
      <w:r>
        <w:rPr>
          <w:rFonts w:hint="eastAsia" w:ascii="宋体" w:hAnsi="宋体" w:cs="宋体"/>
          <w:sz w:val="22"/>
          <w:szCs w:val="22"/>
          <w:u w:val="single"/>
        </w:rPr>
        <w:t xml:space="preserve">   年   月  日</w:t>
      </w:r>
      <w:r>
        <w:rPr>
          <w:rFonts w:hint="eastAsia" w:ascii="宋体" w:hAnsi="宋体" w:cs="宋体"/>
          <w:sz w:val="22"/>
          <w:szCs w:val="22"/>
        </w:rPr>
        <w:t>完成服务内容。第一年服务周期为</w:t>
      </w:r>
      <w:r>
        <w:rPr>
          <w:rFonts w:hint="eastAsia" w:ascii="宋体" w:hAnsi="宋体" w:cs="宋体"/>
          <w:sz w:val="22"/>
          <w:szCs w:val="22"/>
          <w:u w:val="single"/>
        </w:rPr>
        <w:t xml:space="preserve">    年   月  日至    年   月  日，</w:t>
      </w:r>
      <w:r>
        <w:rPr>
          <w:rFonts w:hint="eastAsia" w:ascii="宋体" w:hAnsi="宋体" w:cs="宋体"/>
          <w:sz w:val="22"/>
          <w:szCs w:val="22"/>
        </w:rPr>
        <w:t>第二年服务周期为</w:t>
      </w:r>
      <w:r>
        <w:rPr>
          <w:rFonts w:hint="eastAsia" w:ascii="宋体" w:hAnsi="宋体" w:cs="宋体"/>
          <w:sz w:val="22"/>
          <w:szCs w:val="22"/>
          <w:u w:val="single"/>
        </w:rPr>
        <w:t xml:space="preserve">    年   月  日至    年   月  日，</w:t>
      </w:r>
      <w:r>
        <w:rPr>
          <w:rFonts w:hint="eastAsia" w:ascii="宋体" w:hAnsi="宋体" w:cs="宋体"/>
          <w:sz w:val="22"/>
          <w:szCs w:val="22"/>
        </w:rPr>
        <w:t>第三年服务周期为</w:t>
      </w:r>
      <w:r>
        <w:rPr>
          <w:rFonts w:hint="eastAsia" w:ascii="宋体" w:hAnsi="宋体" w:cs="宋体"/>
          <w:sz w:val="22"/>
          <w:szCs w:val="22"/>
          <w:u w:val="single"/>
        </w:rPr>
        <w:t xml:space="preserve">    年   月  日至    年   月  日。</w:t>
      </w:r>
    </w:p>
    <w:p>
      <w:pPr>
        <w:autoSpaceDE w:val="0"/>
        <w:autoSpaceDN w:val="0"/>
        <w:adjustRightInd w:val="0"/>
        <w:spacing w:line="480" w:lineRule="exact"/>
        <w:ind w:firstLine="440" w:firstLineChars="200"/>
        <w:rPr>
          <w:rFonts w:hint="eastAsia" w:ascii="宋体" w:hAnsi="宋体" w:cs="宋体"/>
          <w:sz w:val="22"/>
          <w:szCs w:val="22"/>
        </w:rPr>
      </w:pPr>
      <w:r>
        <w:rPr>
          <w:rFonts w:hint="eastAsia" w:ascii="宋体" w:hAnsi="宋体" w:cs="宋体"/>
          <w:sz w:val="22"/>
          <w:szCs w:val="22"/>
        </w:rPr>
        <w:t>如果在服务过程中出现不可预见的情况，影响服务工作如期完成的，或者甲方要求加快完成工作进度的，均需通过双方协商变更约定事项。</w:t>
      </w:r>
    </w:p>
    <w:p>
      <w:pPr>
        <w:autoSpaceDE w:val="0"/>
        <w:autoSpaceDN w:val="0"/>
        <w:adjustRightInd w:val="0"/>
        <w:spacing w:line="480" w:lineRule="exact"/>
        <w:ind w:firstLine="442" w:firstLineChars="200"/>
        <w:rPr>
          <w:rFonts w:hint="eastAsia" w:ascii="宋体" w:hAnsi="宋体" w:cs="宋体"/>
          <w:b/>
          <w:kern w:val="0"/>
          <w:sz w:val="22"/>
          <w:szCs w:val="22"/>
        </w:rPr>
      </w:pPr>
      <w:r>
        <w:rPr>
          <w:rFonts w:hint="eastAsia" w:ascii="宋体" w:hAnsi="宋体" w:cs="宋体"/>
          <w:b/>
          <w:kern w:val="0"/>
          <w:sz w:val="22"/>
          <w:szCs w:val="22"/>
        </w:rPr>
        <w:t>五、服务收费</w:t>
      </w:r>
    </w:p>
    <w:p>
      <w:pPr>
        <w:spacing w:line="480" w:lineRule="exact"/>
        <w:ind w:right="-52" w:firstLine="440" w:firstLineChars="200"/>
        <w:jc w:val="left"/>
        <w:rPr>
          <w:rFonts w:hint="eastAsia" w:ascii="宋体" w:hAnsi="宋体" w:cs="宋体"/>
          <w:kern w:val="0"/>
          <w:sz w:val="22"/>
          <w:szCs w:val="22"/>
        </w:rPr>
      </w:pPr>
      <w:r>
        <w:rPr>
          <w:rFonts w:hint="eastAsia" w:ascii="宋体" w:hAnsi="宋体" w:cs="宋体"/>
          <w:kern w:val="0"/>
          <w:sz w:val="22"/>
          <w:szCs w:val="22"/>
        </w:rPr>
        <w:t>合同签订后，每年支付合同约定金额：1、2025年甲方收到发票后，支付第一年费用（即合同金额的1/3）；2、2026年甲方收到发票后，支付第二年费用（即合同金额的1/3）；3、2027年甲方收到发票后，支付第三年费用（即合同金额的1/3）。</w:t>
      </w:r>
    </w:p>
    <w:p>
      <w:pPr>
        <w:spacing w:line="440" w:lineRule="exact"/>
        <w:ind w:firstLine="440" w:firstLineChars="200"/>
        <w:rPr>
          <w:rFonts w:hint="eastAsia" w:ascii="宋体" w:hAnsi="宋体"/>
          <w:sz w:val="21"/>
          <w:szCs w:val="21"/>
        </w:rPr>
      </w:pPr>
      <w:r>
        <w:rPr>
          <w:rFonts w:hint="eastAsia" w:ascii="宋体" w:hAnsi="宋体" w:cs="宋体"/>
          <w:kern w:val="0"/>
          <w:sz w:val="22"/>
          <w:szCs w:val="22"/>
        </w:rPr>
        <w:t>甲方</w:t>
      </w:r>
      <w:r>
        <w:rPr>
          <w:rFonts w:hint="eastAsia" w:ascii="宋体" w:hAnsi="宋体"/>
          <w:sz w:val="21"/>
          <w:szCs w:val="21"/>
        </w:rPr>
        <w:t>付款前，</w:t>
      </w:r>
      <w:r>
        <w:rPr>
          <w:rFonts w:hint="eastAsia" w:ascii="宋体" w:hAnsi="宋体" w:cs="宋体"/>
          <w:sz w:val="22"/>
          <w:szCs w:val="22"/>
        </w:rPr>
        <w:t>乙方</w:t>
      </w:r>
      <w:r>
        <w:rPr>
          <w:rFonts w:hint="eastAsia" w:ascii="宋体" w:hAnsi="宋体"/>
          <w:sz w:val="21"/>
          <w:szCs w:val="21"/>
        </w:rPr>
        <w:t>应提供等额法定的增值税发票，否则</w:t>
      </w:r>
      <w:r>
        <w:rPr>
          <w:rFonts w:hint="eastAsia" w:ascii="宋体" w:hAnsi="宋体" w:cs="宋体"/>
          <w:kern w:val="0"/>
          <w:sz w:val="22"/>
          <w:szCs w:val="22"/>
        </w:rPr>
        <w:t>甲方</w:t>
      </w:r>
      <w:r>
        <w:rPr>
          <w:rFonts w:hint="eastAsia" w:ascii="宋体" w:hAnsi="宋体"/>
          <w:sz w:val="21"/>
          <w:szCs w:val="21"/>
        </w:rPr>
        <w:t>有权拒付款项且不承担任何责任。对满足合同约定支付条件的，</w:t>
      </w:r>
      <w:r>
        <w:rPr>
          <w:rFonts w:hint="eastAsia" w:ascii="宋体" w:hAnsi="宋体" w:cs="宋体"/>
          <w:kern w:val="0"/>
          <w:sz w:val="22"/>
          <w:szCs w:val="22"/>
        </w:rPr>
        <w:t>甲方</w:t>
      </w:r>
      <w:r>
        <w:rPr>
          <w:rFonts w:hint="eastAsia" w:ascii="宋体" w:hAnsi="宋体"/>
          <w:sz w:val="21"/>
          <w:szCs w:val="21"/>
        </w:rPr>
        <w:t>原则上应在收到发票后5个工作日内按程序办理支付手续。</w:t>
      </w:r>
    </w:p>
    <w:p>
      <w:pPr>
        <w:autoSpaceDE w:val="0"/>
        <w:autoSpaceDN w:val="0"/>
        <w:adjustRightInd w:val="0"/>
        <w:spacing w:line="480" w:lineRule="exact"/>
        <w:ind w:firstLine="442" w:firstLineChars="200"/>
        <w:rPr>
          <w:rFonts w:hint="eastAsia" w:ascii="宋体" w:hAnsi="宋体" w:cs="宋体"/>
          <w:b/>
          <w:kern w:val="0"/>
          <w:sz w:val="22"/>
          <w:szCs w:val="22"/>
        </w:rPr>
      </w:pPr>
      <w:r>
        <w:rPr>
          <w:rFonts w:hint="eastAsia" w:ascii="宋体" w:hAnsi="宋体" w:cs="宋体"/>
          <w:b/>
          <w:kern w:val="0"/>
          <w:sz w:val="22"/>
          <w:szCs w:val="22"/>
        </w:rPr>
        <w:t>六、约定书的有效期间</w:t>
      </w:r>
    </w:p>
    <w:p>
      <w:pPr>
        <w:spacing w:line="48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本约定书一式肆份，甲方贰份，乙方贰份，并具有同等法律效力。本约定书经双方签署后，在约定事项全部完成前有效。</w:t>
      </w:r>
    </w:p>
    <w:p>
      <w:pPr>
        <w:autoSpaceDE w:val="0"/>
        <w:autoSpaceDN w:val="0"/>
        <w:adjustRightInd w:val="0"/>
        <w:spacing w:line="480" w:lineRule="exact"/>
        <w:ind w:firstLine="442" w:firstLineChars="200"/>
        <w:rPr>
          <w:rFonts w:hint="eastAsia" w:ascii="宋体" w:hAnsi="宋体" w:cs="宋体"/>
          <w:b/>
          <w:kern w:val="0"/>
          <w:sz w:val="22"/>
          <w:szCs w:val="22"/>
        </w:rPr>
      </w:pPr>
      <w:r>
        <w:rPr>
          <w:rFonts w:hint="eastAsia" w:ascii="宋体" w:hAnsi="宋体" w:cs="宋体"/>
          <w:b/>
          <w:kern w:val="0"/>
          <w:sz w:val="22"/>
          <w:szCs w:val="22"/>
        </w:rPr>
        <w:t>七、违约责任</w:t>
      </w:r>
    </w:p>
    <w:p>
      <w:pPr>
        <w:spacing w:line="48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1、乙方应当按照合同约定期限完成全部服务内容，逾期未完成的，每逾期一日，乙方应当向甲方支付本合同约定上限金额1%的违约金；在乙方按照支付节点开具发票后，甲方应按照付款要求在规定时间内向乙方完成支付，每逾期一日，乙方应当向甲方支付本合同约定上限金额1%的违约金。</w:t>
      </w:r>
    </w:p>
    <w:p>
      <w:pPr>
        <w:spacing w:line="48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2、乙方在履行本合同时应注意对档案资料的保护，不得有任何污染、损坏，否则甲方有权要求乙方进行修复并承担相应费用。</w:t>
      </w:r>
    </w:p>
    <w:p>
      <w:pPr>
        <w:spacing w:line="48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3、因乙方原因导致本合同解除的，乙方应与甲方协商解除方式，并向甲方支付违约金，上限不超过合同约定金额的10%。</w:t>
      </w:r>
    </w:p>
    <w:p>
      <w:pPr>
        <w:autoSpaceDE w:val="0"/>
        <w:autoSpaceDN w:val="0"/>
        <w:adjustRightInd w:val="0"/>
        <w:spacing w:line="480" w:lineRule="exact"/>
        <w:ind w:firstLine="442" w:firstLineChars="200"/>
        <w:rPr>
          <w:rFonts w:hint="eastAsia" w:ascii="宋体" w:hAnsi="宋体" w:cs="宋体"/>
          <w:b/>
          <w:kern w:val="0"/>
          <w:sz w:val="22"/>
          <w:szCs w:val="22"/>
        </w:rPr>
      </w:pPr>
      <w:r>
        <w:rPr>
          <w:rFonts w:hint="eastAsia" w:ascii="宋体" w:hAnsi="宋体" w:cs="宋体"/>
          <w:b/>
          <w:kern w:val="0"/>
          <w:sz w:val="22"/>
          <w:szCs w:val="22"/>
        </w:rPr>
        <w:t>八、其他</w:t>
      </w:r>
    </w:p>
    <w:p>
      <w:pPr>
        <w:spacing w:line="48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1、双方确认各自在本合同签署页预留地址（如未填写，送达地址以注册地址为准，收件人以登记的法定代表人为准）均能有效送达，一方向另一方按预留地址邮寄送达书面文书、通知的，自邮件寄出之日起四日后视为送达。一方变更地址的，应提前书面通知对方，否则按预留地址送达有效。司法机关就司法文书的送达适用本条约定。</w:t>
      </w:r>
    </w:p>
    <w:p>
      <w:pPr>
        <w:spacing w:line="480" w:lineRule="exact"/>
        <w:ind w:firstLine="440" w:firstLineChars="200"/>
        <w:jc w:val="left"/>
        <w:rPr>
          <w:rFonts w:hint="eastAsia" w:ascii="宋体" w:hAnsi="宋体" w:cs="宋体"/>
          <w:kern w:val="0"/>
          <w:sz w:val="22"/>
          <w:szCs w:val="22"/>
        </w:rPr>
      </w:pPr>
      <w:r>
        <w:rPr>
          <w:rFonts w:hint="eastAsia" w:ascii="宋体" w:hAnsi="宋体" w:cs="宋体"/>
          <w:kern w:val="0"/>
          <w:sz w:val="22"/>
          <w:szCs w:val="22"/>
        </w:rPr>
        <w:t>2、因履行本合同有关的争议，双方均应首先协商解决，协商不成的，任何一方均有权向甲方所在地有管辖权的人民法院提起诉讼。</w:t>
      </w:r>
    </w:p>
    <w:p>
      <w:pPr>
        <w:spacing w:line="360" w:lineRule="auto"/>
        <w:rPr>
          <w:rFonts w:hint="eastAsia" w:ascii="宋体" w:hAnsi="宋体" w:cs="宋体"/>
          <w:sz w:val="21"/>
          <w:szCs w:val="21"/>
        </w:rPr>
      </w:pPr>
      <w:r>
        <w:rPr>
          <w:rFonts w:hint="eastAsia" w:ascii="宋体" w:hAnsi="宋体" w:cs="宋体"/>
          <w:sz w:val="22"/>
          <w:szCs w:val="16"/>
        </w:rPr>
        <w:t xml:space="preserve">     </w:t>
      </w:r>
    </w:p>
    <w:tbl>
      <w:tblPr>
        <w:tblStyle w:val="53"/>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456"/>
        <w:gridCol w:w="51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2314" w:type="pct"/>
          </w:tcPr>
          <w:p>
            <w:pPr>
              <w:spacing w:line="500" w:lineRule="exact"/>
              <w:rPr>
                <w:rFonts w:hint="eastAsia" w:ascii="宋体" w:hAnsi="宋体" w:cs="宋体"/>
                <w:sz w:val="22"/>
                <w:szCs w:val="22"/>
              </w:rPr>
            </w:pPr>
            <w:r>
              <w:rPr>
                <w:rFonts w:hint="eastAsia" w:ascii="宋体" w:hAnsi="宋体" w:cs="宋体"/>
                <w:sz w:val="22"/>
                <w:szCs w:val="22"/>
              </w:rPr>
              <w:t>甲方：重庆市交通运输委员会</w:t>
            </w:r>
          </w:p>
          <w:p>
            <w:pPr>
              <w:spacing w:line="500" w:lineRule="exact"/>
              <w:rPr>
                <w:rFonts w:hint="eastAsia" w:ascii="宋体" w:hAnsi="宋体" w:cs="宋体"/>
                <w:sz w:val="22"/>
                <w:szCs w:val="22"/>
              </w:rPr>
            </w:pPr>
            <w:r>
              <w:rPr>
                <w:rFonts w:hint="eastAsia" w:ascii="宋体" w:hAnsi="宋体" w:cs="宋体"/>
                <w:sz w:val="22"/>
                <w:szCs w:val="22"/>
              </w:rPr>
              <w:t>单位代表或授权代表：</w:t>
            </w:r>
          </w:p>
          <w:p>
            <w:pPr>
              <w:spacing w:line="500" w:lineRule="exact"/>
              <w:rPr>
                <w:rFonts w:hint="eastAsia" w:ascii="宋体" w:hAnsi="宋体" w:cs="宋体"/>
                <w:sz w:val="22"/>
                <w:szCs w:val="22"/>
              </w:rPr>
            </w:pPr>
            <w:r>
              <w:rPr>
                <w:rFonts w:hint="eastAsia" w:ascii="宋体" w:hAnsi="宋体" w:cs="宋体"/>
                <w:sz w:val="22"/>
                <w:szCs w:val="22"/>
              </w:rPr>
              <w:t>联系人：</w:t>
            </w:r>
          </w:p>
          <w:p>
            <w:pPr>
              <w:spacing w:line="500" w:lineRule="exact"/>
              <w:rPr>
                <w:rFonts w:hint="eastAsia" w:ascii="宋体" w:hAnsi="宋体" w:cs="宋体"/>
                <w:sz w:val="22"/>
                <w:szCs w:val="22"/>
              </w:rPr>
            </w:pPr>
            <w:r>
              <w:rPr>
                <w:rFonts w:hint="eastAsia" w:ascii="宋体" w:hAnsi="宋体" w:cs="宋体"/>
                <w:sz w:val="22"/>
                <w:szCs w:val="22"/>
              </w:rPr>
              <w:t>通信地址：重庆市渝北区龙溪红锦大道20号邮政编码：401147</w:t>
            </w:r>
          </w:p>
          <w:p>
            <w:pPr>
              <w:spacing w:line="500" w:lineRule="exact"/>
              <w:rPr>
                <w:rFonts w:hint="eastAsia" w:ascii="宋体" w:hAnsi="宋体" w:cs="宋体"/>
                <w:sz w:val="22"/>
                <w:szCs w:val="22"/>
              </w:rPr>
            </w:pPr>
            <w:r>
              <w:rPr>
                <w:rFonts w:hint="eastAsia" w:ascii="宋体" w:hAnsi="宋体" w:cs="宋体"/>
                <w:sz w:val="22"/>
                <w:szCs w:val="22"/>
              </w:rPr>
              <w:t>联系电话：</w:t>
            </w:r>
          </w:p>
          <w:p>
            <w:pPr>
              <w:spacing w:line="500" w:lineRule="exact"/>
              <w:rPr>
                <w:rFonts w:hint="eastAsia" w:ascii="宋体" w:hAnsi="宋体" w:cs="宋体"/>
                <w:sz w:val="22"/>
                <w:szCs w:val="22"/>
              </w:rPr>
            </w:pPr>
            <w:r>
              <w:rPr>
                <w:rFonts w:hint="eastAsia" w:ascii="宋体" w:hAnsi="宋体" w:cs="宋体"/>
                <w:sz w:val="22"/>
                <w:szCs w:val="22"/>
              </w:rPr>
              <w:t>签订时间：         年       月       日</w:t>
            </w:r>
          </w:p>
        </w:tc>
        <w:tc>
          <w:tcPr>
            <w:tcW w:w="2685" w:type="pct"/>
          </w:tcPr>
          <w:p>
            <w:pPr>
              <w:spacing w:line="500" w:lineRule="exact"/>
              <w:rPr>
                <w:rFonts w:hint="eastAsia" w:ascii="宋体" w:hAnsi="宋体" w:cs="宋体"/>
                <w:sz w:val="22"/>
                <w:szCs w:val="22"/>
              </w:rPr>
            </w:pPr>
            <w:r>
              <w:rPr>
                <w:rFonts w:hint="eastAsia" w:ascii="宋体" w:hAnsi="宋体" w:cs="宋体"/>
                <w:sz w:val="22"/>
                <w:szCs w:val="22"/>
              </w:rPr>
              <w:t>乙方：</w:t>
            </w:r>
          </w:p>
          <w:p>
            <w:pPr>
              <w:spacing w:line="500" w:lineRule="exact"/>
              <w:rPr>
                <w:rFonts w:hint="eastAsia" w:ascii="宋体" w:hAnsi="宋体" w:cs="宋体"/>
                <w:sz w:val="22"/>
                <w:szCs w:val="22"/>
              </w:rPr>
            </w:pPr>
            <w:r>
              <w:rPr>
                <w:rFonts w:hint="eastAsia" w:ascii="宋体" w:hAnsi="宋体" w:cs="宋体"/>
                <w:sz w:val="22"/>
                <w:szCs w:val="22"/>
              </w:rPr>
              <w:t>单位代表或授权代表：</w:t>
            </w:r>
          </w:p>
          <w:p>
            <w:pPr>
              <w:spacing w:line="500" w:lineRule="exact"/>
              <w:rPr>
                <w:rFonts w:hint="eastAsia" w:ascii="宋体" w:hAnsi="宋体" w:cs="宋体"/>
                <w:sz w:val="22"/>
                <w:szCs w:val="22"/>
              </w:rPr>
            </w:pPr>
            <w:r>
              <w:rPr>
                <w:rFonts w:hint="eastAsia" w:ascii="宋体" w:hAnsi="宋体" w:cs="宋体"/>
                <w:sz w:val="22"/>
                <w:szCs w:val="22"/>
              </w:rPr>
              <w:t>联系人：</w:t>
            </w:r>
          </w:p>
          <w:p>
            <w:pPr>
              <w:spacing w:line="500" w:lineRule="exact"/>
              <w:rPr>
                <w:rFonts w:hint="eastAsia" w:ascii="宋体" w:hAnsi="宋体" w:cs="宋体"/>
                <w:sz w:val="22"/>
                <w:szCs w:val="22"/>
              </w:rPr>
            </w:pPr>
            <w:r>
              <w:rPr>
                <w:rFonts w:hint="eastAsia" w:ascii="宋体" w:hAnsi="宋体" w:cs="宋体"/>
                <w:sz w:val="22"/>
                <w:szCs w:val="22"/>
              </w:rPr>
              <w:t>通信地址：</w:t>
            </w:r>
          </w:p>
          <w:p>
            <w:pPr>
              <w:spacing w:line="500" w:lineRule="exact"/>
              <w:rPr>
                <w:rFonts w:hint="eastAsia" w:ascii="宋体" w:hAnsi="宋体" w:cs="宋体"/>
                <w:sz w:val="22"/>
                <w:szCs w:val="22"/>
              </w:rPr>
            </w:pPr>
            <w:r>
              <w:rPr>
                <w:rFonts w:hint="eastAsia" w:ascii="宋体" w:hAnsi="宋体" w:cs="宋体"/>
                <w:sz w:val="22"/>
                <w:szCs w:val="22"/>
              </w:rPr>
              <w:t>邮政编码：</w:t>
            </w:r>
          </w:p>
          <w:p>
            <w:pPr>
              <w:spacing w:line="500" w:lineRule="exact"/>
              <w:rPr>
                <w:rFonts w:hint="eastAsia" w:ascii="宋体" w:hAnsi="宋体" w:cs="宋体"/>
                <w:sz w:val="22"/>
                <w:szCs w:val="22"/>
              </w:rPr>
            </w:pPr>
            <w:r>
              <w:rPr>
                <w:rFonts w:hint="eastAsia" w:ascii="宋体" w:hAnsi="宋体" w:cs="宋体"/>
                <w:sz w:val="22"/>
                <w:szCs w:val="22"/>
              </w:rPr>
              <w:t>联系电话：</w:t>
            </w:r>
          </w:p>
          <w:p>
            <w:pPr>
              <w:spacing w:line="500" w:lineRule="exact"/>
              <w:rPr>
                <w:rFonts w:hint="eastAsia" w:ascii="宋体" w:hAnsi="宋体" w:cs="宋体"/>
                <w:sz w:val="22"/>
                <w:szCs w:val="22"/>
              </w:rPr>
            </w:pPr>
            <w:r>
              <w:rPr>
                <w:rFonts w:hint="eastAsia" w:ascii="宋体" w:hAnsi="宋体" w:cs="宋体"/>
                <w:sz w:val="22"/>
                <w:szCs w:val="22"/>
              </w:rPr>
              <w:t>开户银行：</w:t>
            </w:r>
          </w:p>
          <w:p>
            <w:pPr>
              <w:spacing w:line="500" w:lineRule="exact"/>
              <w:rPr>
                <w:rFonts w:hint="eastAsia" w:ascii="宋体" w:hAnsi="宋体" w:cs="宋体"/>
                <w:sz w:val="22"/>
                <w:szCs w:val="22"/>
              </w:rPr>
            </w:pPr>
            <w:r>
              <w:rPr>
                <w:rFonts w:hint="eastAsia" w:ascii="宋体" w:hAnsi="宋体" w:cs="宋体"/>
                <w:sz w:val="22"/>
                <w:szCs w:val="22"/>
              </w:rPr>
              <w:t>账号：</w:t>
            </w:r>
          </w:p>
          <w:p>
            <w:pPr>
              <w:spacing w:line="500" w:lineRule="exact"/>
              <w:rPr>
                <w:rFonts w:hint="eastAsia" w:ascii="宋体" w:hAnsi="宋体" w:cs="宋体"/>
                <w:b/>
                <w:sz w:val="22"/>
                <w:szCs w:val="22"/>
              </w:rPr>
            </w:pPr>
            <w:r>
              <w:rPr>
                <w:rFonts w:hint="eastAsia" w:ascii="宋体" w:hAnsi="宋体" w:cs="宋体"/>
                <w:sz w:val="22"/>
                <w:szCs w:val="22"/>
              </w:rPr>
              <w:t>签订时间：         年       月       日</w:t>
            </w:r>
          </w:p>
        </w:tc>
      </w:tr>
    </w:tbl>
    <w:p>
      <w:pPr>
        <w:rPr>
          <w:rFonts w:hint="eastAsia"/>
        </w:rPr>
      </w:pPr>
    </w:p>
    <w:p>
      <w:pPr>
        <w:rPr>
          <w:rFonts w:hint="eastAsia"/>
        </w:rPr>
        <w:sectPr>
          <w:pgSz w:w="11907" w:h="16840"/>
          <w:pgMar w:top="1134" w:right="1191" w:bottom="1134" w:left="1304" w:header="851" w:footer="992" w:gutter="0"/>
          <w:cols w:space="720" w:num="1"/>
          <w:docGrid w:linePitch="380" w:charSpace="-5735"/>
        </w:sectPr>
      </w:pPr>
    </w:p>
    <w:p>
      <w:pPr>
        <w:pStyle w:val="3"/>
        <w:spacing w:before="0" w:after="0" w:line="360" w:lineRule="auto"/>
        <w:jc w:val="center"/>
        <w:rPr>
          <w:rFonts w:hint="eastAsia" w:ascii="宋体" w:hAnsi="宋体" w:eastAsia="宋体"/>
          <w:b w:val="0"/>
          <w:sz w:val="36"/>
          <w:szCs w:val="30"/>
        </w:rPr>
      </w:pPr>
      <w:bookmarkStart w:id="216" w:name="_Hlt41879464"/>
      <w:bookmarkEnd w:id="216"/>
      <w:bookmarkStart w:id="217" w:name="_Toc12439"/>
      <w:bookmarkStart w:id="218" w:name="_Toc24339"/>
      <w:bookmarkStart w:id="219" w:name="_Toc22080"/>
      <w:bookmarkStart w:id="220" w:name="_Toc5452"/>
      <w:bookmarkStart w:id="221" w:name="_Toc26637"/>
      <w:bookmarkStart w:id="222" w:name="_Toc31195"/>
      <w:bookmarkStart w:id="223" w:name="_Toc67642688"/>
      <w:bookmarkStart w:id="224" w:name="_Toc486932369"/>
      <w:bookmarkStart w:id="225" w:name="_Toc12789072"/>
      <w:r>
        <w:rPr>
          <w:rFonts w:hint="eastAsia" w:ascii="宋体" w:hAnsi="宋体" w:eastAsia="宋体"/>
          <w:b w:val="0"/>
          <w:sz w:val="36"/>
          <w:szCs w:val="30"/>
        </w:rPr>
        <w:t>第七篇 响应文件编制要求</w:t>
      </w:r>
      <w:bookmarkEnd w:id="217"/>
      <w:bookmarkEnd w:id="218"/>
      <w:bookmarkEnd w:id="219"/>
      <w:bookmarkEnd w:id="220"/>
      <w:bookmarkEnd w:id="221"/>
      <w:bookmarkEnd w:id="222"/>
      <w:bookmarkEnd w:id="223"/>
      <w:bookmarkEnd w:id="224"/>
      <w:bookmarkEnd w:id="225"/>
    </w:p>
    <w:p>
      <w:pPr>
        <w:spacing w:line="400" w:lineRule="exact"/>
        <w:ind w:firstLine="480" w:firstLineChars="200"/>
        <w:rPr>
          <w:rFonts w:hint="eastAsia" w:ascii="宋体" w:hAnsi="宋体" w:cs="宋体"/>
          <w:sz w:val="24"/>
          <w:szCs w:val="24"/>
        </w:rPr>
      </w:pPr>
      <w:r>
        <w:rPr>
          <w:rFonts w:hint="eastAsia" w:ascii="宋体" w:hAnsi="宋体" w:cs="宋体"/>
          <w:sz w:val="24"/>
          <w:szCs w:val="24"/>
        </w:rPr>
        <w:t>一、经济部分</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（一）竞争性磋商报价函</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二、服务部分</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（一）服务响应偏离表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（二）其他资料（格式自定）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三、商务部分</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（一）商务响应偏离表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（二）其他优惠服务承诺（格式自定）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四、资格条件及其他</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（五）特定资格条件证书或证明文件（如有）</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五、其他资料</w:t>
      </w:r>
    </w:p>
    <w:p>
      <w:pPr>
        <w:snapToGrid w:val="0"/>
        <w:spacing w:line="360" w:lineRule="auto"/>
        <w:rPr>
          <w:rFonts w:hint="eastAsia" w:ascii="宋体" w:hAnsi="宋体" w:cs="宋体"/>
          <w:sz w:val="24"/>
          <w:szCs w:val="24"/>
          <w:bdr w:val="single" w:color="auto" w:sz="4" w:space="0"/>
        </w:rPr>
        <w:sectPr>
          <w:pgSz w:w="11907" w:h="16840"/>
          <w:pgMar w:top="1134" w:right="1191" w:bottom="1134" w:left="1304" w:header="851" w:footer="992" w:gutter="0"/>
          <w:cols w:space="720" w:num="1"/>
          <w:docGrid w:linePitch="380" w:charSpace="-5735"/>
        </w:sectPr>
      </w:pPr>
    </w:p>
    <w:p>
      <w:pPr>
        <w:pStyle w:val="3"/>
        <w:adjustRightInd w:val="0"/>
        <w:snapToGrid w:val="0"/>
        <w:spacing w:before="0" w:after="0" w:line="400" w:lineRule="exact"/>
        <w:ind w:firstLine="482" w:firstLineChars="200"/>
        <w:rPr>
          <w:rFonts w:hint="eastAsia" w:ascii="宋体" w:hAnsi="宋体" w:eastAsia="宋体" w:cs="宋体"/>
          <w:sz w:val="24"/>
        </w:rPr>
      </w:pPr>
      <w:bookmarkStart w:id="226" w:name="_Toc313888360"/>
      <w:bookmarkStart w:id="227" w:name="_Toc106030906"/>
      <w:bookmarkStart w:id="228" w:name="_Toc12977"/>
      <w:bookmarkStart w:id="229" w:name="_Toc27255"/>
      <w:bookmarkStart w:id="230" w:name="_Toc342913419"/>
      <w:bookmarkStart w:id="231" w:name="_Toc76462350"/>
      <w:bookmarkStart w:id="232" w:name="_Toc313008356"/>
      <w:bookmarkStart w:id="233" w:name="_Toc12789073"/>
      <w:bookmarkStart w:id="234" w:name="_Toc283382454"/>
      <w:r>
        <w:rPr>
          <w:rFonts w:hint="eastAsia" w:ascii="宋体" w:hAnsi="宋体" w:eastAsia="宋体" w:cs="宋体"/>
          <w:sz w:val="24"/>
        </w:rPr>
        <w:t>一、经济部分</w:t>
      </w:r>
      <w:bookmarkEnd w:id="226"/>
      <w:bookmarkEnd w:id="227"/>
      <w:bookmarkEnd w:id="228"/>
      <w:bookmarkEnd w:id="229"/>
      <w:bookmarkEnd w:id="230"/>
      <w:bookmarkEnd w:id="231"/>
      <w:bookmarkEnd w:id="232"/>
    </w:p>
    <w:bookmarkEnd w:id="233"/>
    <w:bookmarkEnd w:id="234"/>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（一）竞争性磋商报价函</w:t>
      </w:r>
    </w:p>
    <w:p>
      <w:pPr>
        <w:jc w:val="center"/>
        <w:rPr>
          <w:rFonts w:hint="eastAsia" w:ascii="宋体" w:hAnsi="宋体" w:cs="宋体"/>
          <w:b/>
          <w:szCs w:val="28"/>
        </w:rPr>
      </w:pPr>
      <w:r>
        <w:rPr>
          <w:rFonts w:hint="eastAsia" w:ascii="宋体" w:hAnsi="宋体" w:cs="宋体"/>
          <w:b/>
          <w:szCs w:val="28"/>
        </w:rPr>
        <w:t>竞争性磋商报价函</w:t>
      </w:r>
    </w:p>
    <w:p>
      <w:pPr>
        <w:tabs>
          <w:tab w:val="left" w:pos="6300"/>
        </w:tabs>
        <w:snapToGrid w:val="0"/>
        <w:spacing w:line="312" w:lineRule="auto"/>
        <w:rPr>
          <w:rFonts w:hint="eastAsia"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我方收到____________________________（磋商项目名称）的竞争性磋商文件，经详细研究，决定参加该项目的磋商。</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1.愿意按照竞争性磋商文件中的一切要求，提供本项目的服务，初始报价为人民币大写：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rPr>
        <w:t>元。以我公司最后报价为准。</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初始报价具体如下:</w:t>
      </w:r>
    </w:p>
    <w:tbl>
      <w:tblPr>
        <w:tblStyle w:val="5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1898"/>
        <w:gridCol w:w="2801"/>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12" w:type="pct"/>
            <w:vAlign w:val="center"/>
          </w:tcPr>
          <w:p>
            <w:pPr>
              <w:jc w:val="center"/>
              <w:rPr>
                <w:rFonts w:hint="eastAsia" w:ascii="宋体" w:hAnsi="宋体" w:cs="宋体"/>
                <w:b/>
                <w:sz w:val="24"/>
                <w:szCs w:val="24"/>
              </w:rPr>
            </w:pPr>
            <w:r>
              <w:rPr>
                <w:rFonts w:hint="eastAsia" w:ascii="宋体" w:hAnsi="宋体" w:cs="宋体"/>
                <w:b/>
                <w:sz w:val="24"/>
                <w:szCs w:val="24"/>
              </w:rPr>
              <w:t>年度服务报价(万元/年)</w:t>
            </w:r>
          </w:p>
        </w:tc>
        <w:tc>
          <w:tcPr>
            <w:tcW w:w="986" w:type="pct"/>
            <w:vAlign w:val="center"/>
          </w:tcPr>
          <w:p>
            <w:pPr>
              <w:jc w:val="center"/>
              <w:rPr>
                <w:rFonts w:hint="eastAsia" w:ascii="宋体" w:hAnsi="宋体" w:cs="宋体"/>
                <w:b/>
                <w:sz w:val="24"/>
                <w:szCs w:val="24"/>
              </w:rPr>
            </w:pPr>
            <w:r>
              <w:rPr>
                <w:rFonts w:hint="eastAsia" w:ascii="宋体" w:hAnsi="宋体" w:cs="宋体"/>
                <w:b/>
                <w:sz w:val="24"/>
                <w:szCs w:val="24"/>
              </w:rPr>
              <w:t>服务年限</w:t>
            </w:r>
          </w:p>
        </w:tc>
        <w:tc>
          <w:tcPr>
            <w:tcW w:w="1455" w:type="pct"/>
            <w:vAlign w:val="center"/>
          </w:tcPr>
          <w:p>
            <w:pPr>
              <w:jc w:val="center"/>
              <w:rPr>
                <w:rFonts w:ascii="宋体" w:hAnsi="宋体" w:cs="宋体"/>
                <w:b/>
                <w:sz w:val="24"/>
                <w:szCs w:val="24"/>
              </w:rPr>
            </w:pPr>
            <w:r>
              <w:rPr>
                <w:rFonts w:hint="eastAsia" w:ascii="宋体" w:hAnsi="宋体" w:cs="宋体"/>
                <w:b/>
                <w:sz w:val="24"/>
                <w:szCs w:val="24"/>
              </w:rPr>
              <w:t>报价总额（万元）</w:t>
            </w:r>
          </w:p>
          <w:p>
            <w:pPr>
              <w:jc w:val="center"/>
              <w:rPr>
                <w:rFonts w:hint="eastAsia" w:ascii="宋体" w:hAnsi="宋体" w:cs="宋体"/>
                <w:b/>
                <w:sz w:val="24"/>
                <w:szCs w:val="24"/>
              </w:rPr>
            </w:pPr>
            <w:r>
              <w:rPr>
                <w:rFonts w:hint="eastAsia" w:ascii="宋体" w:hAnsi="宋体" w:cs="宋体"/>
                <w:b/>
                <w:sz w:val="24"/>
                <w:szCs w:val="24"/>
              </w:rPr>
              <w:t>（年度服务报价*3的合计）</w:t>
            </w:r>
          </w:p>
        </w:tc>
        <w:tc>
          <w:tcPr>
            <w:tcW w:w="1045" w:type="pct"/>
            <w:vAlign w:val="center"/>
          </w:tcPr>
          <w:p>
            <w:pPr>
              <w:jc w:val="center"/>
              <w:rPr>
                <w:rFonts w:hint="eastAsia"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pct"/>
            <w:vAlign w:val="center"/>
          </w:tcPr>
          <w:p>
            <w:pPr>
              <w:snapToGrid w:val="0"/>
              <w:spacing w:line="500" w:lineRule="exact"/>
              <w:rPr>
                <w:rFonts w:hint="eastAsia" w:ascii="宋体" w:hAnsi="宋体" w:cs="宋体"/>
                <w:b/>
                <w:sz w:val="24"/>
                <w:szCs w:val="24"/>
              </w:rPr>
            </w:pPr>
          </w:p>
        </w:tc>
        <w:tc>
          <w:tcPr>
            <w:tcW w:w="986" w:type="pct"/>
            <w:vAlign w:val="center"/>
          </w:tcPr>
          <w:p>
            <w:pPr>
              <w:snapToGrid w:val="0"/>
              <w:spacing w:line="500" w:lineRule="exact"/>
              <w:jc w:val="center"/>
              <w:rPr>
                <w:rFonts w:hint="eastAsia" w:ascii="宋体" w:hAnsi="宋体" w:cs="宋体"/>
                <w:b/>
                <w:sz w:val="24"/>
                <w:szCs w:val="24"/>
              </w:rPr>
            </w:pPr>
            <w:r>
              <w:rPr>
                <w:rFonts w:hint="eastAsia" w:ascii="宋体" w:hAnsi="宋体" w:cs="宋体"/>
                <w:b/>
                <w:sz w:val="24"/>
                <w:szCs w:val="24"/>
              </w:rPr>
              <w:t>3</w:t>
            </w:r>
          </w:p>
        </w:tc>
        <w:tc>
          <w:tcPr>
            <w:tcW w:w="1455" w:type="pct"/>
            <w:vAlign w:val="center"/>
          </w:tcPr>
          <w:p>
            <w:pPr>
              <w:snapToGrid w:val="0"/>
              <w:spacing w:line="500" w:lineRule="exact"/>
              <w:rPr>
                <w:rFonts w:hint="eastAsia" w:ascii="宋体" w:hAnsi="宋体" w:cs="宋体"/>
                <w:b/>
                <w:sz w:val="24"/>
                <w:szCs w:val="24"/>
              </w:rPr>
            </w:pPr>
          </w:p>
        </w:tc>
        <w:tc>
          <w:tcPr>
            <w:tcW w:w="1045" w:type="pct"/>
            <w:vAlign w:val="center"/>
          </w:tcPr>
          <w:p>
            <w:pPr>
              <w:snapToGrid w:val="0"/>
              <w:spacing w:line="500" w:lineRule="exact"/>
              <w:rPr>
                <w:rFonts w:hint="eastAsia" w:ascii="宋体" w:hAnsi="宋体" w:cs="宋体"/>
                <w:b/>
                <w:sz w:val="24"/>
                <w:szCs w:val="24"/>
              </w:rPr>
            </w:pPr>
          </w:p>
        </w:tc>
      </w:tr>
    </w:tbl>
    <w:p>
      <w:pPr>
        <w:tabs>
          <w:tab w:val="left" w:pos="6300"/>
        </w:tabs>
        <w:snapToGrid w:val="0"/>
        <w:spacing w:line="312" w:lineRule="auto"/>
        <w:ind w:firstLine="480" w:firstLineChars="200"/>
        <w:rPr>
          <w:rFonts w:hint="eastAsia" w:ascii="宋体" w:hAnsi="宋体" w:cs="宋体"/>
          <w:sz w:val="24"/>
          <w:szCs w:val="24"/>
        </w:rPr>
      </w:pP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3.我方承诺：本次磋商的有效期为提交响应文件截止时间起90天。</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4.我方完全理解和接受贵方竞争性磋商文件的一切规定和要求及评审办法。</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5.在整个竞争性磋商过程中，我方若有违规行为，接受按照《中华人民共和国政府采购法》和《竞争性磋商文件》之规定给予惩罚。</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7.如果我方成为成交供应商，保证在接到成交通知书后，向采购代理机构</w:t>
      </w:r>
      <w:r>
        <w:rPr>
          <w:rFonts w:hint="eastAsia" w:ascii="宋体" w:hAnsi="宋体" w:cs="宋体"/>
          <w:sz w:val="24"/>
        </w:rPr>
        <w:t>缴纳</w:t>
      </w:r>
      <w:r>
        <w:rPr>
          <w:rFonts w:hint="eastAsia" w:ascii="宋体" w:hAnsi="宋体" w:cs="宋体"/>
          <w:sz w:val="24"/>
          <w:szCs w:val="24"/>
        </w:rPr>
        <w:t>竞争性磋商文件规定的采购代理服务费。</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供应商（公章）或自然人签署：</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联系人：</w:t>
      </w:r>
    </w:p>
    <w:p>
      <w:pPr>
        <w:snapToGrid w:val="0"/>
        <w:spacing w:line="312" w:lineRule="auto"/>
        <w:ind w:firstLine="480" w:firstLineChars="200"/>
        <w:rPr>
          <w:rFonts w:hint="eastAsia" w:ascii="宋体" w:hAnsi="宋体" w:cs="宋体"/>
          <w:sz w:val="24"/>
          <w:szCs w:val="24"/>
        </w:rPr>
        <w:sectPr>
          <w:pgSz w:w="11907" w:h="16840"/>
          <w:pgMar w:top="1134" w:right="1191" w:bottom="1134" w:left="1304" w:header="851" w:footer="992" w:gutter="0"/>
          <w:cols w:space="720" w:num="1"/>
          <w:docGrid w:linePitch="380" w:charSpace="-5735"/>
        </w:sectPr>
      </w:pPr>
      <w:r>
        <w:rPr>
          <w:rFonts w:hint="eastAsia" w:ascii="宋体" w:hAnsi="宋体" w:cs="宋体"/>
          <w:sz w:val="24"/>
          <w:szCs w:val="24"/>
        </w:rPr>
        <w:t xml:space="preserve">                                                  年   月   日</w:t>
      </w:r>
    </w:p>
    <w:p>
      <w:pPr>
        <w:pStyle w:val="3"/>
        <w:adjustRightInd w:val="0"/>
        <w:snapToGrid w:val="0"/>
        <w:spacing w:before="0" w:after="0" w:line="400" w:lineRule="exact"/>
        <w:ind w:firstLine="482" w:firstLineChars="200"/>
        <w:rPr>
          <w:rFonts w:hint="eastAsia" w:ascii="宋体" w:hAnsi="宋体" w:eastAsia="宋体" w:cs="宋体"/>
          <w:sz w:val="24"/>
        </w:rPr>
      </w:pPr>
      <w:bookmarkStart w:id="235" w:name="_Toc313888361"/>
      <w:bookmarkStart w:id="236" w:name="_Toc313008357"/>
      <w:bookmarkStart w:id="237" w:name="_Toc342913420"/>
      <w:bookmarkStart w:id="238" w:name="_Toc32346"/>
      <w:bookmarkStart w:id="239" w:name="_Toc106030907"/>
      <w:bookmarkStart w:id="240" w:name="_Toc76462351"/>
      <w:bookmarkStart w:id="241" w:name="_Toc29104"/>
      <w:r>
        <w:rPr>
          <w:rFonts w:hint="eastAsia" w:ascii="宋体" w:hAnsi="宋体" w:eastAsia="宋体" w:cs="宋体"/>
          <w:sz w:val="24"/>
        </w:rPr>
        <w:t>二、服务部分</w:t>
      </w:r>
      <w:bookmarkEnd w:id="235"/>
      <w:bookmarkEnd w:id="236"/>
      <w:bookmarkEnd w:id="237"/>
      <w:bookmarkEnd w:id="238"/>
      <w:bookmarkEnd w:id="239"/>
      <w:bookmarkEnd w:id="240"/>
      <w:bookmarkEnd w:id="241"/>
    </w:p>
    <w:p>
      <w:pPr>
        <w:tabs>
          <w:tab w:val="left" w:pos="6300"/>
        </w:tabs>
        <w:snapToGrid w:val="0"/>
        <w:spacing w:line="400" w:lineRule="exact"/>
        <w:ind w:firstLine="480" w:firstLineChars="200"/>
        <w:rPr>
          <w:rFonts w:hint="eastAsia" w:ascii="宋体" w:hAnsi="宋体" w:cs="宋体"/>
          <w:szCs w:val="24"/>
        </w:rPr>
      </w:pPr>
      <w:r>
        <w:rPr>
          <w:rFonts w:hint="eastAsia" w:ascii="宋体" w:hAnsi="宋体" w:cs="宋体"/>
          <w:sz w:val="24"/>
          <w:szCs w:val="24"/>
        </w:rPr>
        <w:t>（一）服务响应偏离表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项目编号：                                </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磋商项目名称：</w:t>
      </w:r>
    </w:p>
    <w:tbl>
      <w:tblPr>
        <w:tblStyle w:val="5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bookmarkStart w:id="242" w:name="_Toc21587"/>
            <w:bookmarkStart w:id="243" w:name="_Toc15592"/>
            <w:bookmarkStart w:id="244" w:name="_Toc9307"/>
            <w:r>
              <w:rPr>
                <w:rFonts w:hint="eastAsia" w:ascii="宋体" w:hAnsi="宋体" w:cs="宋体"/>
                <w:sz w:val="21"/>
                <w:szCs w:val="21"/>
              </w:rPr>
              <w:t>序号</w:t>
            </w:r>
            <w:bookmarkEnd w:id="242"/>
            <w:bookmarkEnd w:id="243"/>
            <w:bookmarkEnd w:id="244"/>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bookmarkStart w:id="245" w:name="_Toc20287"/>
            <w:bookmarkStart w:id="246" w:name="_Toc18659"/>
            <w:bookmarkStart w:id="247" w:name="_Toc13897"/>
            <w:r>
              <w:rPr>
                <w:rFonts w:hint="eastAsia" w:ascii="宋体" w:hAnsi="宋体" w:cs="宋体"/>
                <w:sz w:val="21"/>
                <w:szCs w:val="21"/>
              </w:rPr>
              <w:t>采购需求</w:t>
            </w:r>
            <w:bookmarkEnd w:id="245"/>
            <w:bookmarkEnd w:id="246"/>
            <w:bookmarkEnd w:id="247"/>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bookmarkStart w:id="248" w:name="_Toc17782"/>
            <w:bookmarkStart w:id="249" w:name="_Toc17186"/>
            <w:bookmarkStart w:id="250" w:name="_Toc25814"/>
            <w:r>
              <w:rPr>
                <w:rFonts w:hint="eastAsia" w:ascii="宋体" w:hAnsi="宋体" w:cs="宋体"/>
                <w:sz w:val="21"/>
                <w:szCs w:val="21"/>
              </w:rPr>
              <w:t>响应情况</w:t>
            </w:r>
            <w:bookmarkEnd w:id="248"/>
            <w:bookmarkEnd w:id="249"/>
            <w:bookmarkEnd w:id="250"/>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bookmarkStart w:id="251" w:name="_Toc1171"/>
            <w:bookmarkStart w:id="252" w:name="_Toc21168"/>
            <w:bookmarkStart w:id="253" w:name="_Toc5812"/>
            <w:r>
              <w:rPr>
                <w:rFonts w:hint="eastAsia" w:ascii="宋体" w:hAnsi="宋体" w:cs="宋体"/>
                <w:sz w:val="21"/>
                <w:szCs w:val="21"/>
              </w:rPr>
              <w:t>差异说明</w:t>
            </w:r>
            <w:bookmarkEnd w:id="251"/>
            <w:bookmarkEnd w:id="252"/>
            <w:bookmarkEnd w:id="2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outlineLvl w:val="0"/>
              <w:rPr>
                <w:rFonts w:hint="eastAsia" w:ascii="宋体" w:hAnsi="宋体" w:cs="宋体"/>
                <w:sz w:val="21"/>
                <w:szCs w:val="21"/>
              </w:rPr>
            </w:pPr>
            <w:bookmarkStart w:id="254" w:name="_Toc32750"/>
            <w:bookmarkStart w:id="255" w:name="_Toc3293"/>
            <w:bookmarkStart w:id="256" w:name="_Toc14503"/>
            <w:r>
              <w:rPr>
                <w:rFonts w:hint="eastAsia" w:ascii="宋体" w:hAnsi="宋体" w:cs="宋体"/>
                <w:sz w:val="21"/>
                <w:szCs w:val="21"/>
              </w:rPr>
              <w:t>【提醒：请注明技术参数或具体内容</w:t>
            </w:r>
            <w:bookmarkEnd w:id="254"/>
            <w:r>
              <w:rPr>
                <w:rFonts w:hint="eastAsia" w:ascii="宋体" w:hAnsi="宋体" w:cs="宋体"/>
                <w:sz w:val="21"/>
                <w:szCs w:val="21"/>
              </w:rPr>
              <w:t>】</w:t>
            </w:r>
            <w:bookmarkEnd w:id="255"/>
            <w:bookmarkEnd w:id="256"/>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967"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3081" w:type="dxa"/>
            <w:vAlign w:val="center"/>
          </w:tcPr>
          <w:p>
            <w:pPr>
              <w:tabs>
                <w:tab w:val="left" w:pos="6300"/>
              </w:tabs>
              <w:snapToGrid w:val="0"/>
              <w:spacing w:line="500" w:lineRule="exact"/>
              <w:jc w:val="center"/>
              <w:outlineLvl w:val="0"/>
              <w:rPr>
                <w:rFonts w:hint="eastAsia" w:ascii="宋体" w:hAnsi="宋体" w:cs="宋体"/>
                <w:sz w:val="21"/>
                <w:szCs w:val="21"/>
              </w:rPr>
            </w:pPr>
          </w:p>
        </w:tc>
        <w:tc>
          <w:tcPr>
            <w:tcW w:w="2309" w:type="dxa"/>
            <w:vAlign w:val="center"/>
          </w:tcPr>
          <w:p>
            <w:pPr>
              <w:tabs>
                <w:tab w:val="left" w:pos="6300"/>
              </w:tabs>
              <w:snapToGrid w:val="0"/>
              <w:spacing w:line="500" w:lineRule="exact"/>
              <w:jc w:val="center"/>
              <w:outlineLvl w:val="0"/>
              <w:rPr>
                <w:rFonts w:hint="eastAsia" w:ascii="宋体" w:hAnsi="宋体" w:cs="宋体"/>
                <w:sz w:val="21"/>
                <w:szCs w:val="21"/>
              </w:rPr>
            </w:pPr>
          </w:p>
        </w:tc>
      </w:tr>
    </w:tbl>
    <w:p>
      <w:pPr>
        <w:spacing w:line="50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p>
    <w:p>
      <w:pPr>
        <w:spacing w:line="500" w:lineRule="exact"/>
        <w:rPr>
          <w:rFonts w:hint="eastAsia" w:ascii="宋体" w:hAnsi="宋体" w:cs="宋体"/>
          <w:sz w:val="24"/>
          <w:szCs w:val="28"/>
        </w:rPr>
      </w:pPr>
      <w:r>
        <w:rPr>
          <w:rFonts w:hint="eastAsia" w:ascii="宋体" w:hAnsi="宋体" w:cs="宋体"/>
          <w:sz w:val="24"/>
          <w:szCs w:val="28"/>
        </w:rPr>
        <w:t xml:space="preserve">    </w:t>
      </w:r>
    </w:p>
    <w:p>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（签署或盖章）</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注：</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本表即为对本项目“第二篇  项目服务需求”中所列条款进行比较和响应；</w:t>
      </w:r>
    </w:p>
    <w:p>
      <w:pPr>
        <w:snapToGrid w:val="0"/>
        <w:spacing w:line="400" w:lineRule="exact"/>
        <w:ind w:firstLine="480" w:firstLineChars="200"/>
        <w:jc w:val="left"/>
        <w:rPr>
          <w:rFonts w:hint="eastAsia" w:ascii="宋体" w:hAnsi="宋体" w:cs="宋体"/>
          <w:sz w:val="24"/>
        </w:rPr>
      </w:pPr>
      <w:r>
        <w:rPr>
          <w:rFonts w:hint="eastAsia" w:ascii="宋体" w:hAnsi="宋体" w:cs="宋体"/>
          <w:sz w:val="24"/>
        </w:rPr>
        <w:t>2.本表可扩展。</w:t>
      </w:r>
    </w:p>
    <w:p>
      <w:pPr>
        <w:snapToGrid w:val="0"/>
        <w:spacing w:line="400" w:lineRule="exact"/>
        <w:ind w:firstLine="480" w:firstLineChars="200"/>
        <w:jc w:val="left"/>
        <w:rPr>
          <w:rFonts w:hint="eastAsia" w:ascii="宋体" w:hAnsi="宋体" w:cs="宋体"/>
          <w:sz w:val="24"/>
        </w:rPr>
      </w:pPr>
      <w:r>
        <w:rPr>
          <w:rFonts w:hint="eastAsia" w:ascii="宋体" w:hAnsi="宋体" w:cs="宋体"/>
          <w:sz w:val="24"/>
        </w:rPr>
        <w:t>3.可附相关技术（质量）支撑材料。（格式自定）</w:t>
      </w:r>
    </w:p>
    <w:p>
      <w:pPr>
        <w:snapToGrid w:val="0"/>
        <w:spacing w:line="400" w:lineRule="exact"/>
        <w:ind w:firstLine="480" w:firstLineChars="200"/>
        <w:jc w:val="left"/>
        <w:rPr>
          <w:rFonts w:hint="eastAsia" w:ascii="宋体" w:hAnsi="宋体" w:cs="宋体"/>
          <w:sz w:val="24"/>
          <w:szCs w:val="24"/>
        </w:rPr>
      </w:pPr>
      <w:r>
        <w:rPr>
          <w:rFonts w:hint="eastAsia" w:ascii="宋体" w:hAnsi="宋体" w:cs="宋体"/>
          <w:sz w:val="24"/>
        </w:rPr>
        <w:t>4.响应情况栏中应当注明技术参数或具体内容，如有附相关技术（质量）支撑材料的，可标注相关技术（质量）支撑材料在响应文件中的位置（页码）。</w:t>
      </w:r>
    </w:p>
    <w:p>
      <w:pPr>
        <w:snapToGrid w:val="0"/>
        <w:spacing w:line="400" w:lineRule="exact"/>
        <w:ind w:firstLine="480" w:firstLineChars="200"/>
        <w:jc w:val="left"/>
        <w:rPr>
          <w:rFonts w:hint="eastAsia" w:ascii="宋体" w:hAnsi="宋体" w:cs="宋体"/>
          <w:sz w:val="24"/>
          <w:szCs w:val="24"/>
        </w:rPr>
      </w:pPr>
    </w:p>
    <w:p>
      <w:pPr>
        <w:tabs>
          <w:tab w:val="left" w:pos="6300"/>
        </w:tabs>
        <w:snapToGrid w:val="0"/>
        <w:spacing w:line="400" w:lineRule="exact"/>
        <w:ind w:firstLine="560" w:firstLineChars="200"/>
        <w:rPr>
          <w:rFonts w:hint="eastAsia" w:ascii="宋体" w:hAnsi="宋体" w:cs="宋体"/>
          <w:szCs w:val="24"/>
        </w:rPr>
      </w:pPr>
      <w:r>
        <w:rPr>
          <w:rFonts w:hint="eastAsia" w:ascii="宋体" w:hAnsi="宋体" w:cs="宋体"/>
          <w:szCs w:val="24"/>
        </w:rPr>
        <w:br w:type="page"/>
      </w:r>
      <w:r>
        <w:rPr>
          <w:rFonts w:hint="eastAsia" w:ascii="宋体" w:hAnsi="宋体" w:cs="宋体"/>
          <w:sz w:val="24"/>
          <w:szCs w:val="24"/>
        </w:rPr>
        <w:t>（二）其他资料（格式自定）</w:t>
      </w:r>
    </w:p>
    <w:p>
      <w:pPr>
        <w:pStyle w:val="3"/>
        <w:adjustRightInd w:val="0"/>
        <w:snapToGrid w:val="0"/>
        <w:spacing w:before="0" w:after="0" w:line="400" w:lineRule="exact"/>
        <w:ind w:firstLine="640" w:firstLineChars="200"/>
        <w:rPr>
          <w:rFonts w:hint="eastAsia" w:ascii="宋体" w:hAnsi="宋体" w:eastAsia="宋体" w:cs="宋体"/>
          <w:sz w:val="24"/>
        </w:rPr>
      </w:pPr>
      <w:r>
        <w:rPr>
          <w:rFonts w:hint="eastAsia" w:ascii="宋体" w:hAnsi="宋体" w:eastAsia="宋体" w:cs="宋体"/>
          <w:b w:val="0"/>
        </w:rPr>
        <w:br w:type="page"/>
      </w:r>
      <w:bookmarkStart w:id="257" w:name="_Toc31269"/>
      <w:bookmarkStart w:id="258" w:name="_Toc313008358"/>
      <w:bookmarkStart w:id="259" w:name="_Toc106030908"/>
      <w:bookmarkStart w:id="260" w:name="_Toc342913421"/>
      <w:bookmarkStart w:id="261" w:name="_Toc76462352"/>
      <w:bookmarkStart w:id="262" w:name="_Toc313888362"/>
      <w:bookmarkStart w:id="263" w:name="_Toc22627"/>
      <w:r>
        <w:rPr>
          <w:rFonts w:hint="eastAsia" w:ascii="宋体" w:hAnsi="宋体" w:eastAsia="宋体" w:cs="宋体"/>
          <w:sz w:val="24"/>
        </w:rPr>
        <w:t>三、商务部分</w:t>
      </w:r>
      <w:bookmarkEnd w:id="257"/>
      <w:bookmarkEnd w:id="258"/>
      <w:bookmarkEnd w:id="259"/>
      <w:bookmarkEnd w:id="260"/>
      <w:bookmarkEnd w:id="261"/>
      <w:bookmarkEnd w:id="262"/>
      <w:bookmarkEnd w:id="263"/>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（一）商务响应偏离表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项目编号：                                </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磋商项目名称： </w:t>
      </w:r>
    </w:p>
    <w:tbl>
      <w:tblPr>
        <w:tblStyle w:val="5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pPr>
              <w:snapToGrid w:val="0"/>
              <w:spacing w:line="360" w:lineRule="auto"/>
              <w:ind w:firstLine="465"/>
              <w:rPr>
                <w:rFonts w:hint="eastAsia" w:ascii="宋体" w:hAnsi="宋体" w:cs="宋体"/>
                <w:sz w:val="21"/>
                <w:szCs w:val="24"/>
              </w:rPr>
            </w:pPr>
            <w:r>
              <w:rPr>
                <w:rFonts w:hint="eastAsia" w:ascii="宋体" w:hAnsi="宋体" w:cs="宋体"/>
                <w:sz w:val="21"/>
                <w:szCs w:val="24"/>
              </w:rPr>
              <w:t>序号</w:t>
            </w:r>
          </w:p>
        </w:tc>
        <w:tc>
          <w:tcPr>
            <w:tcW w:w="3179" w:type="dxa"/>
            <w:vAlign w:val="center"/>
          </w:tcPr>
          <w:p>
            <w:pPr>
              <w:tabs>
                <w:tab w:val="left" w:pos="6300"/>
              </w:tabs>
              <w:snapToGrid w:val="0"/>
              <w:spacing w:line="360" w:lineRule="auto"/>
              <w:jc w:val="center"/>
              <w:outlineLvl w:val="0"/>
              <w:rPr>
                <w:rFonts w:hint="eastAsia" w:ascii="宋体" w:hAnsi="宋体" w:cs="宋体"/>
                <w:sz w:val="21"/>
                <w:szCs w:val="24"/>
              </w:rPr>
            </w:pPr>
            <w:bookmarkStart w:id="264" w:name="_Toc5556"/>
            <w:bookmarkStart w:id="265" w:name="_Toc1512"/>
            <w:bookmarkStart w:id="266" w:name="_Toc23223"/>
            <w:r>
              <w:rPr>
                <w:rFonts w:hint="eastAsia" w:ascii="宋体" w:hAnsi="宋体" w:cs="宋体"/>
                <w:sz w:val="21"/>
                <w:szCs w:val="24"/>
              </w:rPr>
              <w:t>项目商务需求</w:t>
            </w:r>
            <w:bookmarkEnd w:id="264"/>
            <w:bookmarkEnd w:id="265"/>
            <w:bookmarkEnd w:id="266"/>
          </w:p>
        </w:tc>
        <w:tc>
          <w:tcPr>
            <w:tcW w:w="2434" w:type="dxa"/>
            <w:vAlign w:val="center"/>
          </w:tcPr>
          <w:p>
            <w:pPr>
              <w:tabs>
                <w:tab w:val="left" w:pos="6300"/>
              </w:tabs>
              <w:snapToGrid w:val="0"/>
              <w:spacing w:line="360" w:lineRule="auto"/>
              <w:jc w:val="center"/>
              <w:outlineLvl w:val="0"/>
              <w:rPr>
                <w:rFonts w:hint="eastAsia" w:ascii="宋体" w:hAnsi="宋体" w:cs="宋体"/>
                <w:sz w:val="21"/>
                <w:szCs w:val="24"/>
              </w:rPr>
            </w:pPr>
            <w:bookmarkStart w:id="267" w:name="_Toc30227"/>
            <w:bookmarkStart w:id="268" w:name="_Toc14515"/>
            <w:bookmarkStart w:id="269" w:name="_Toc22245"/>
            <w:r>
              <w:rPr>
                <w:rFonts w:hint="eastAsia" w:ascii="宋体" w:hAnsi="宋体" w:cs="宋体"/>
                <w:sz w:val="21"/>
                <w:szCs w:val="24"/>
              </w:rPr>
              <w:t>响应情况</w:t>
            </w:r>
            <w:bookmarkEnd w:id="267"/>
            <w:bookmarkEnd w:id="268"/>
            <w:bookmarkEnd w:id="269"/>
          </w:p>
        </w:tc>
        <w:tc>
          <w:tcPr>
            <w:tcW w:w="2355" w:type="dxa"/>
            <w:vAlign w:val="center"/>
          </w:tcPr>
          <w:p>
            <w:pPr>
              <w:tabs>
                <w:tab w:val="left" w:pos="6300"/>
              </w:tabs>
              <w:snapToGrid w:val="0"/>
              <w:spacing w:line="360" w:lineRule="auto"/>
              <w:jc w:val="center"/>
              <w:outlineLvl w:val="0"/>
              <w:rPr>
                <w:rFonts w:hint="eastAsia" w:ascii="宋体" w:hAnsi="宋体" w:cs="宋体"/>
                <w:sz w:val="21"/>
                <w:szCs w:val="24"/>
              </w:rPr>
            </w:pPr>
            <w:bookmarkStart w:id="270" w:name="_Toc31702"/>
            <w:bookmarkStart w:id="271" w:name="_Toc29908"/>
            <w:bookmarkStart w:id="272" w:name="_Toc9025"/>
            <w:r>
              <w:rPr>
                <w:rFonts w:hint="eastAsia" w:ascii="宋体" w:hAnsi="宋体" w:cs="宋体"/>
                <w:sz w:val="21"/>
                <w:szCs w:val="24"/>
              </w:rPr>
              <w:t>偏离说明</w:t>
            </w:r>
            <w:bookmarkEnd w:id="270"/>
            <w:bookmarkEnd w:id="271"/>
            <w:bookmarkEnd w:id="2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pPr>
              <w:tabs>
                <w:tab w:val="left" w:pos="6300"/>
              </w:tabs>
              <w:snapToGrid w:val="0"/>
              <w:spacing w:line="360" w:lineRule="auto"/>
              <w:outlineLvl w:val="0"/>
              <w:rPr>
                <w:rFonts w:hint="eastAsia" w:ascii="宋体" w:hAnsi="宋体" w:cs="宋体"/>
                <w:sz w:val="21"/>
                <w:szCs w:val="24"/>
              </w:rPr>
            </w:pPr>
            <w:bookmarkStart w:id="273" w:name="_Toc6057"/>
            <w:bookmarkStart w:id="274" w:name="_Toc32419"/>
            <w:r>
              <w:rPr>
                <w:rFonts w:hint="eastAsia" w:ascii="宋体" w:hAnsi="宋体" w:cs="宋体"/>
                <w:sz w:val="21"/>
                <w:szCs w:val="21"/>
              </w:rPr>
              <w:t>【提醒：请注明具体内容】</w:t>
            </w:r>
            <w:bookmarkEnd w:id="273"/>
            <w:bookmarkEnd w:id="274"/>
          </w:p>
        </w:tc>
        <w:tc>
          <w:tcPr>
            <w:tcW w:w="2355" w:type="dxa"/>
            <w:vAlign w:val="center"/>
          </w:tcPr>
          <w:p>
            <w:pPr>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pPr>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pPr>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pPr>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pPr>
              <w:tabs>
                <w:tab w:val="left" w:pos="6300"/>
              </w:tabs>
              <w:snapToGrid w:val="0"/>
              <w:spacing w:line="360" w:lineRule="auto"/>
              <w:jc w:val="center"/>
              <w:outlineLvl w:val="0"/>
              <w:rPr>
                <w:rFonts w:hint="eastAsia" w:ascii="宋体" w:hAns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pPr>
              <w:tabs>
                <w:tab w:val="left" w:pos="6300"/>
              </w:tabs>
              <w:snapToGrid w:val="0"/>
              <w:spacing w:line="360" w:lineRule="auto"/>
              <w:jc w:val="center"/>
              <w:outlineLvl w:val="0"/>
              <w:rPr>
                <w:rFonts w:hint="eastAsia" w:ascii="宋体" w:hAnsi="宋体" w:cs="宋体"/>
                <w:sz w:val="21"/>
                <w:szCs w:val="24"/>
              </w:rPr>
            </w:pPr>
          </w:p>
        </w:tc>
      </w:tr>
    </w:tbl>
    <w:p>
      <w:pPr>
        <w:snapToGrid w:val="0"/>
        <w:spacing w:line="360" w:lineRule="auto"/>
        <w:ind w:firstLine="465"/>
        <w:rPr>
          <w:rFonts w:hint="eastAsia" w:ascii="宋体" w:hAnsi="宋体" w:cs="宋体"/>
          <w:sz w:val="24"/>
          <w:szCs w:val="24"/>
        </w:rPr>
      </w:pPr>
    </w:p>
    <w:p>
      <w:pPr>
        <w:spacing w:line="50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p>
    <w:p>
      <w:pPr>
        <w:spacing w:line="500" w:lineRule="exact"/>
        <w:rPr>
          <w:rFonts w:hint="eastAsia" w:ascii="宋体" w:hAnsi="宋体" w:cs="宋体"/>
          <w:sz w:val="24"/>
          <w:szCs w:val="28"/>
        </w:rPr>
      </w:pPr>
      <w:r>
        <w:rPr>
          <w:rFonts w:hint="eastAsia" w:ascii="宋体" w:hAnsi="宋体" w:cs="宋体"/>
          <w:sz w:val="24"/>
          <w:szCs w:val="28"/>
        </w:rPr>
        <w:t xml:space="preserve">    </w:t>
      </w:r>
    </w:p>
    <w:p>
      <w:pPr>
        <w:spacing w:line="500" w:lineRule="exact"/>
        <w:ind w:firstLine="360" w:firstLineChars="150"/>
        <w:rPr>
          <w:rFonts w:hint="eastAsia" w:ascii="宋体" w:hAnsi="宋体" w:cs="宋体"/>
          <w:sz w:val="24"/>
          <w:szCs w:val="28"/>
        </w:rPr>
      </w:pPr>
      <w:r>
        <w:rPr>
          <w:rFonts w:hint="eastAsia" w:ascii="宋体" w:hAnsi="宋体" w:cs="宋体"/>
          <w:sz w:val="24"/>
          <w:szCs w:val="28"/>
        </w:rPr>
        <w:t>（供应商公章）                                 （签署或盖章）</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注：</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1.本表即为对本项目“第三篇  项目商务需求”中所列条款进行比较和响应；</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2.本表可扩展。</w:t>
      </w:r>
    </w:p>
    <w:p>
      <w:pPr>
        <w:snapToGrid w:val="0"/>
        <w:spacing w:line="400" w:lineRule="exact"/>
        <w:ind w:firstLine="480" w:firstLineChars="200"/>
        <w:rPr>
          <w:rFonts w:hint="eastAsia" w:ascii="宋体" w:hAnsi="宋体" w:cs="宋体"/>
          <w:b/>
        </w:rPr>
        <w:sectPr>
          <w:headerReference r:id="rId7" w:type="default"/>
          <w:pgSz w:w="11907" w:h="16840"/>
          <w:pgMar w:top="1134" w:right="1191" w:bottom="1134" w:left="1304" w:header="851" w:footer="992" w:gutter="0"/>
          <w:cols w:space="720" w:num="1"/>
          <w:docGrid w:linePitch="380" w:charSpace="-5735"/>
        </w:sectPr>
      </w:pPr>
      <w:r>
        <w:rPr>
          <w:rFonts w:hint="eastAsia" w:ascii="宋体" w:hAnsi="宋体" w:cs="宋体"/>
          <w:sz w:val="24"/>
          <w:szCs w:val="24"/>
        </w:rPr>
        <w:t>3.响应情况栏中应当注明具体内容，如有附相关证明材料的，可标注相关证明材料在响应文件中的位置（页码）</w:t>
      </w:r>
    </w:p>
    <w:p>
      <w:pPr>
        <w:snapToGrid w:val="0"/>
        <w:spacing w:line="400" w:lineRule="exact"/>
        <w:rPr>
          <w:rFonts w:hint="eastAsia" w:ascii="宋体" w:hAnsi="宋体" w:cs="宋体"/>
          <w:sz w:val="24"/>
          <w:szCs w:val="24"/>
        </w:rPr>
      </w:pPr>
      <w:bookmarkStart w:id="275" w:name="_Toc283382459"/>
      <w:r>
        <w:rPr>
          <w:rFonts w:hint="eastAsia" w:ascii="宋体" w:hAnsi="宋体" w:cs="宋体"/>
          <w:sz w:val="24"/>
          <w:szCs w:val="24"/>
        </w:rPr>
        <w:t>（二）其他优惠承诺（格式自定）</w:t>
      </w:r>
    </w:p>
    <w:p>
      <w:pPr>
        <w:snapToGrid w:val="0"/>
        <w:spacing w:line="400" w:lineRule="exact"/>
        <w:ind w:firstLine="480" w:firstLineChars="200"/>
        <w:rPr>
          <w:rFonts w:hint="eastAsia" w:ascii="宋体" w:hAnsi="宋体" w:cs="宋体"/>
          <w:sz w:val="24"/>
          <w:szCs w:val="24"/>
        </w:rPr>
      </w:pPr>
    </w:p>
    <w:p>
      <w:pPr>
        <w:pStyle w:val="3"/>
        <w:adjustRightInd w:val="0"/>
        <w:snapToGrid w:val="0"/>
        <w:spacing w:before="0" w:after="0" w:line="400" w:lineRule="exact"/>
        <w:ind w:firstLine="482" w:firstLineChars="200"/>
        <w:rPr>
          <w:rFonts w:hint="eastAsia" w:ascii="宋体" w:hAnsi="宋体" w:eastAsia="宋体" w:cs="宋体"/>
          <w:sz w:val="24"/>
        </w:rPr>
      </w:pPr>
      <w:r>
        <w:rPr>
          <w:rFonts w:hint="eastAsia" w:ascii="宋体" w:hAnsi="宋体" w:eastAsia="宋体" w:cs="宋体"/>
          <w:sz w:val="24"/>
          <w:szCs w:val="24"/>
        </w:rPr>
        <w:br w:type="page"/>
      </w:r>
      <w:bookmarkEnd w:id="275"/>
      <w:bookmarkStart w:id="276" w:name="_Toc313888363"/>
      <w:bookmarkStart w:id="277" w:name="_Toc76462353"/>
      <w:bookmarkStart w:id="278" w:name="_Toc313008359"/>
      <w:bookmarkStart w:id="279" w:name="_Toc6060"/>
      <w:bookmarkStart w:id="280" w:name="_Toc342913422"/>
      <w:bookmarkStart w:id="281" w:name="_Toc9556"/>
      <w:bookmarkStart w:id="282" w:name="_Toc106030909"/>
      <w:r>
        <w:rPr>
          <w:rFonts w:hint="eastAsia" w:ascii="宋体" w:hAnsi="宋体" w:eastAsia="宋体" w:cs="宋体"/>
          <w:sz w:val="24"/>
        </w:rPr>
        <w:t>四、资格条件</w:t>
      </w:r>
      <w:bookmarkEnd w:id="276"/>
      <w:bookmarkEnd w:id="277"/>
      <w:bookmarkEnd w:id="278"/>
      <w:bookmarkEnd w:id="279"/>
      <w:bookmarkEnd w:id="280"/>
      <w:bookmarkEnd w:id="281"/>
      <w:bookmarkEnd w:id="282"/>
    </w:p>
    <w:p>
      <w:pPr>
        <w:tabs>
          <w:tab w:val="left" w:pos="6300"/>
        </w:tabs>
        <w:snapToGrid w:val="0"/>
        <w:spacing w:line="400" w:lineRule="exact"/>
        <w:ind w:firstLine="57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snapToGrid w:val="0"/>
        <w:spacing w:line="400" w:lineRule="exact"/>
        <w:ind w:firstLine="560" w:firstLineChars="200"/>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磋商项目名称：</w:t>
      </w:r>
      <w:r>
        <w:rPr>
          <w:rFonts w:hint="eastAsia" w:ascii="宋体" w:hAnsi="宋体" w:cs="宋体"/>
          <w:sz w:val="24"/>
          <w:u w:val="single"/>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snapToGrid w:val="0"/>
        <w:spacing w:line="400" w:lineRule="exact"/>
        <w:ind w:firstLine="560" w:firstLineChars="200"/>
        <w:rPr>
          <w:rFonts w:hint="eastAsia"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8"/>
        </w:rPr>
        <w:t>磋商项目名称</w:t>
      </w:r>
      <w:r>
        <w:rPr>
          <w:rFonts w:hint="eastAsia" w:ascii="宋体" w:hAnsi="宋体" w:cs="宋体"/>
          <w:sz w:val="24"/>
        </w:rPr>
        <w:t>：</w:t>
      </w:r>
      <w:r>
        <w:rPr>
          <w:rFonts w:hint="eastAsia" w:ascii="宋体" w:hAnsi="宋体" w:cs="宋体"/>
          <w:sz w:val="24"/>
          <w:u w:val="single"/>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pPr>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（签署或盖章）                                （签署或盖章）</w:t>
      </w:r>
    </w:p>
    <w:p>
      <w:pPr>
        <w:tabs>
          <w:tab w:val="left" w:pos="6300"/>
        </w:tabs>
        <w:snapToGrid w:val="0"/>
        <w:spacing w:line="500" w:lineRule="exact"/>
        <w:ind w:firstLine="570"/>
        <w:rPr>
          <w:rFonts w:hint="eastAsia" w:ascii="宋体" w:hAnsi="宋体" w:cs="宋体"/>
          <w:sz w:val="24"/>
          <w:szCs w:val="28"/>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注：</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1.若为法定代表人办理并签署响应文件的，不提供此文件。</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cs="宋体"/>
          <w:sz w:val="24"/>
        </w:rPr>
        <w:t>出具。</w:t>
      </w:r>
    </w:p>
    <w:p>
      <w:pPr>
        <w:tabs>
          <w:tab w:val="left" w:pos="6300"/>
        </w:tabs>
        <w:snapToGrid w:val="0"/>
        <w:spacing w:line="500" w:lineRule="exact"/>
        <w:ind w:firstLine="570"/>
        <w:rPr>
          <w:rFonts w:hint="eastAsia" w:ascii="宋体" w:hAnsi="宋体" w:cs="宋体"/>
          <w:sz w:val="24"/>
          <w:szCs w:val="24"/>
        </w:rPr>
      </w:pPr>
      <w:r>
        <w:rPr>
          <w:rFonts w:hint="eastAsia" w:ascii="宋体" w:hAnsi="宋体" w:cs="宋体"/>
        </w:rPr>
        <w:br w:type="column"/>
      </w:r>
      <w:r>
        <w:rPr>
          <w:rFonts w:hint="eastAsia" w:ascii="宋体" w:hAnsi="宋体" w:cs="宋体"/>
          <w:sz w:val="24"/>
          <w:szCs w:val="24"/>
        </w:rPr>
        <w:t>（四）</w:t>
      </w:r>
      <w:r>
        <w:rPr>
          <w:rFonts w:hint="eastAsia" w:ascii="宋体" w:hAnsi="宋体" w:cs="宋体"/>
          <w:sz w:val="24"/>
          <w:szCs w:val="28"/>
        </w:rPr>
        <w:t>基本资格条件承诺函</w:t>
      </w:r>
    </w:p>
    <w:p>
      <w:pPr>
        <w:tabs>
          <w:tab w:val="left" w:pos="6300"/>
        </w:tabs>
        <w:snapToGrid w:val="0"/>
        <w:spacing w:line="500" w:lineRule="exact"/>
        <w:ind w:firstLine="643" w:firstLineChars="200"/>
        <w:jc w:val="center"/>
        <w:rPr>
          <w:rFonts w:hint="eastAsia" w:ascii="宋体" w:hAnsi="宋体" w:cs="宋体"/>
          <w:b/>
          <w:bCs/>
          <w:sz w:val="32"/>
          <w:szCs w:val="32"/>
        </w:rPr>
      </w:pPr>
      <w:r>
        <w:rPr>
          <w:rFonts w:hint="eastAsia" w:ascii="宋体" w:hAnsi="宋体" w:cs="宋体"/>
          <w:b/>
          <w:bCs/>
          <w:sz w:val="32"/>
          <w:szCs w:val="32"/>
        </w:rPr>
        <w:t>基本资格条件承诺函</w:t>
      </w:r>
    </w:p>
    <w:p>
      <w:pPr>
        <w:tabs>
          <w:tab w:val="left" w:pos="6300"/>
        </w:tabs>
        <w:snapToGrid w:val="0"/>
        <w:spacing w:line="530" w:lineRule="exact"/>
        <w:rPr>
          <w:rFonts w:hint="eastAsia" w:ascii="宋体" w:hAnsi="宋体" w:cs="宋体"/>
          <w:sz w:val="24"/>
        </w:rPr>
      </w:pP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我方对以上承诺负全部法律责任。</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特此承诺。</w:t>
      </w:r>
    </w:p>
    <w:p>
      <w:pPr>
        <w:tabs>
          <w:tab w:val="left" w:pos="6300"/>
        </w:tabs>
        <w:snapToGrid w:val="0"/>
        <w:spacing w:line="500" w:lineRule="exact"/>
        <w:ind w:firstLine="480" w:firstLineChars="200"/>
        <w:rPr>
          <w:rFonts w:hint="eastAsia" w:ascii="宋体" w:hAnsi="宋体" w:cs="宋体"/>
          <w:sz w:val="24"/>
        </w:rPr>
      </w:pPr>
    </w:p>
    <w:p>
      <w:pPr>
        <w:tabs>
          <w:tab w:val="left" w:pos="6300"/>
        </w:tabs>
        <w:snapToGrid w:val="0"/>
        <w:spacing w:line="500" w:lineRule="exact"/>
        <w:ind w:firstLine="480" w:firstLineChars="200"/>
        <w:jc w:val="right"/>
        <w:rPr>
          <w:rFonts w:hint="eastAsia" w:ascii="宋体" w:hAnsi="宋体" w:cs="宋体"/>
          <w:sz w:val="24"/>
        </w:rPr>
      </w:pPr>
      <w:r>
        <w:rPr>
          <w:rFonts w:hint="eastAsia" w:ascii="宋体" w:hAnsi="宋体" w:cs="宋体"/>
          <w:sz w:val="24"/>
        </w:rPr>
        <w:t>（供应商公章）</w:t>
      </w:r>
    </w:p>
    <w:p>
      <w:pPr>
        <w:tabs>
          <w:tab w:val="left" w:pos="6300"/>
        </w:tabs>
        <w:snapToGrid w:val="0"/>
        <w:spacing w:line="500" w:lineRule="exact"/>
        <w:ind w:firstLine="7920" w:firstLineChars="3300"/>
        <w:rPr>
          <w:rFonts w:hint="eastAsia" w:ascii="宋体" w:hAnsi="宋体" w:cs="宋体"/>
          <w:sz w:val="24"/>
          <w:szCs w:val="24"/>
        </w:rPr>
      </w:pPr>
      <w:r>
        <w:rPr>
          <w:rFonts w:hint="eastAsia" w:ascii="宋体" w:hAnsi="宋体" w:cs="宋体"/>
          <w:sz w:val="24"/>
        </w:rPr>
        <w:t>年   月   日</w:t>
      </w:r>
    </w:p>
    <w:p>
      <w:pPr>
        <w:snapToGrid w:val="0"/>
        <w:spacing w:line="400" w:lineRule="exact"/>
        <w:ind w:firstLine="560" w:firstLineChars="200"/>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（五）特定资格条件证明文件（如有）</w:t>
      </w:r>
    </w:p>
    <w:p>
      <w:pPr>
        <w:pStyle w:val="3"/>
        <w:adjustRightInd w:val="0"/>
        <w:snapToGrid w:val="0"/>
        <w:spacing w:before="0" w:after="0" w:line="400" w:lineRule="exact"/>
        <w:ind w:firstLine="643" w:firstLineChars="200"/>
        <w:rPr>
          <w:rFonts w:hint="eastAsia" w:ascii="宋体" w:hAnsi="宋体" w:eastAsia="宋体" w:cs="宋体"/>
          <w:sz w:val="24"/>
        </w:rPr>
      </w:pPr>
      <w:bookmarkStart w:id="283" w:name="_Toc14422"/>
      <w:r>
        <w:rPr>
          <w:rFonts w:hint="eastAsia" w:ascii="宋体" w:hAnsi="宋体" w:cs="宋体"/>
        </w:rPr>
        <w:br w:type="page"/>
      </w:r>
      <w:bookmarkStart w:id="284" w:name="_Toc106030910"/>
      <w:bookmarkStart w:id="285" w:name="_Toc730"/>
      <w:bookmarkStart w:id="286" w:name="_Toc10448"/>
      <w:bookmarkStart w:id="287" w:name="_Toc76462354"/>
      <w:r>
        <w:rPr>
          <w:rFonts w:hint="eastAsia" w:ascii="宋体" w:hAnsi="宋体" w:eastAsia="宋体" w:cs="宋体"/>
          <w:sz w:val="24"/>
        </w:rPr>
        <w:t>五、其他资料</w:t>
      </w:r>
      <w:bookmarkEnd w:id="283"/>
      <w:bookmarkEnd w:id="284"/>
      <w:bookmarkEnd w:id="285"/>
      <w:bookmarkEnd w:id="286"/>
      <w:bookmarkEnd w:id="287"/>
    </w:p>
    <w:p>
      <w:pPr>
        <w:widowControl/>
        <w:spacing w:line="400" w:lineRule="exact"/>
        <w:ind w:firstLine="480"/>
        <w:jc w:val="left"/>
        <w:rPr>
          <w:rFonts w:hint="eastAsia" w:ascii="宋体" w:hAnsi="宋体" w:cs="宋体"/>
          <w:sz w:val="24"/>
          <w:szCs w:val="22"/>
        </w:rPr>
      </w:pPr>
      <w:r>
        <w:rPr>
          <w:rFonts w:hint="eastAsia" w:ascii="宋体" w:hAnsi="宋体" w:cs="宋体"/>
          <w:sz w:val="24"/>
          <w:szCs w:val="24"/>
        </w:rPr>
        <w:t>其他与项目有关的资料（自附）：供应商总体情况介绍、其他与本项目有关的资料等。</w:t>
      </w:r>
    </w:p>
    <w:p>
      <w:pPr>
        <w:spacing w:line="360" w:lineRule="auto"/>
        <w:ind w:firstLine="480" w:firstLineChars="200"/>
        <w:rPr>
          <w:rFonts w:hint="eastAsia" w:ascii="宋体" w:hAnsi="宋体" w:cs="宋体"/>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Theme="minorEastAsia" w:hAnsiTheme="minorEastAsia" w:eastAsiaTheme="minorEastAsia"/>
          <w:sz w:val="24"/>
          <w:szCs w:val="24"/>
        </w:rPr>
      </w:pPr>
    </w:p>
    <w:p>
      <w:pPr>
        <w:spacing w:line="360" w:lineRule="auto"/>
        <w:ind w:firstLine="480" w:firstLineChars="200"/>
        <w:jc w:val="center"/>
        <w:rPr>
          <w:rFonts w:hint="eastAsia" w:asciiTheme="minorEastAsia" w:hAnsiTheme="minorEastAsia" w:eastAsiaTheme="minorEastAsia"/>
          <w:sz w:val="24"/>
          <w:szCs w:val="24"/>
        </w:rPr>
      </w:pPr>
    </w:p>
    <w:p>
      <w:pPr>
        <w:spacing w:line="360" w:lineRule="auto"/>
        <w:ind w:firstLine="480" w:firstLineChars="200"/>
        <w:jc w:val="center"/>
        <w:rPr>
          <w:rFonts w:hint="eastAsia" w:asciiTheme="minorEastAsia" w:hAnsiTheme="minorEastAsia" w:eastAsiaTheme="minorEastAsia"/>
          <w:sz w:val="24"/>
          <w:szCs w:val="24"/>
        </w:rPr>
      </w:pPr>
    </w:p>
    <w:p>
      <w:pPr>
        <w:spacing w:line="360" w:lineRule="auto"/>
        <w:ind w:firstLine="480" w:firstLineChars="200"/>
        <w:jc w:val="center"/>
        <w:rPr>
          <w:rFonts w:hint="eastAsia" w:asciiTheme="minorEastAsia" w:hAnsiTheme="minorEastAsia" w:eastAsiaTheme="minorEastAsia"/>
          <w:sz w:val="24"/>
          <w:szCs w:val="24"/>
        </w:rPr>
      </w:pPr>
    </w:p>
    <w:p>
      <w:pPr>
        <w:spacing w:line="360" w:lineRule="auto"/>
        <w:ind w:firstLine="480" w:firstLineChars="200"/>
        <w:jc w:val="center"/>
        <w:rPr>
          <w:rFonts w:hint="eastAsia" w:asciiTheme="minorEastAsia" w:hAnsiTheme="minorEastAsia" w:eastAsiaTheme="minorEastAsia"/>
          <w:sz w:val="24"/>
          <w:szCs w:val="24"/>
        </w:rPr>
      </w:pPr>
    </w:p>
    <w:p>
      <w:pPr>
        <w:spacing w:line="360" w:lineRule="auto"/>
        <w:ind w:firstLine="480" w:firstLineChars="200"/>
        <w:jc w:val="center"/>
        <w:rPr>
          <w:rFonts w:hint="eastAsia" w:asciiTheme="minorEastAsia" w:hAnsiTheme="minorEastAsia" w:eastAsiaTheme="minorEastAsia"/>
          <w:sz w:val="24"/>
          <w:szCs w:val="24"/>
        </w:rPr>
      </w:pPr>
    </w:p>
    <w:p>
      <w:pPr>
        <w:widowControl/>
        <w:jc w:val="left"/>
      </w:pPr>
      <w:bookmarkStart w:id="288" w:name="_Toc13672"/>
      <w:r>
        <w:br w:type="page"/>
      </w:r>
    </w:p>
    <w:p>
      <w:pPr>
        <w:ind w:firstLine="480"/>
      </w:pPr>
      <w:r>
        <w:rPr>
          <w:rFonts w:hint="eastAsia"/>
        </w:rPr>
        <w:t>附件一：</w:t>
      </w:r>
      <w:bookmarkEnd w:id="288"/>
    </w:p>
    <w:p>
      <w:pPr>
        <w:jc w:val="center"/>
        <w:rPr>
          <w:rFonts w:hint="eastAsia" w:ascii="宋体" w:hAnsi="宋体" w:cs="宋体"/>
          <w:b/>
          <w:bCs/>
          <w:sz w:val="40"/>
          <w:szCs w:val="40"/>
        </w:rPr>
      </w:pPr>
      <w:bookmarkStart w:id="289" w:name="_Toc481758210"/>
      <w:bookmarkStart w:id="290" w:name="_Toc7964"/>
      <w:bookmarkStart w:id="291" w:name="_Toc481759218"/>
      <w:bookmarkStart w:id="292" w:name="_Toc481757519"/>
      <w:r>
        <w:rPr>
          <w:rFonts w:hint="eastAsia" w:ascii="宋体" w:hAnsi="宋体" w:cs="宋体"/>
          <w:b/>
          <w:bCs/>
          <w:sz w:val="40"/>
          <w:szCs w:val="40"/>
        </w:rPr>
        <w:t>文件获取登记表</w:t>
      </w:r>
    </w:p>
    <w:tbl>
      <w:tblPr>
        <w:tblStyle w:val="53"/>
        <w:tblW w:w="9745" w:type="dxa"/>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745" w:type="dxa"/>
            <w:gridSpan w:val="2"/>
            <w:vAlign w:val="center"/>
          </w:tcPr>
          <w:p>
            <w:pPr>
              <w:ind w:firstLine="480"/>
              <w:rPr>
                <w:rFonts w:hint="eastAsia" w:ascii="宋体" w:hAnsi="宋体" w:cs="宋体"/>
                <w:sz w:val="24"/>
                <w:szCs w:val="24"/>
              </w:rPr>
            </w:pPr>
            <w:r>
              <w:rPr>
                <w:rFonts w:hint="eastAsia" w:ascii="宋体" w:hAnsi="宋体" w:cs="宋体"/>
                <w:sz w:val="24"/>
                <w:szCs w:val="24"/>
              </w:rPr>
              <w:t>采购项目名称：</w:t>
            </w:r>
          </w:p>
          <w:p>
            <w:pPr>
              <w:ind w:firstLine="480"/>
              <w:rPr>
                <w:rFonts w:hint="eastAsia" w:ascii="宋体" w:hAnsi="宋体" w:cs="宋体"/>
                <w:sz w:val="24"/>
                <w:szCs w:val="24"/>
              </w:rPr>
            </w:pPr>
            <w:bookmarkStart w:id="293" w:name="_GoBack"/>
            <w:bookmarkEnd w:id="29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55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供应商名称</w:t>
            </w:r>
          </w:p>
        </w:tc>
        <w:tc>
          <w:tcPr>
            <w:tcW w:w="7193" w:type="dxa"/>
            <w:vAlign w:val="bottom"/>
          </w:tcPr>
          <w:p>
            <w:pPr>
              <w:spacing w:line="360" w:lineRule="exact"/>
              <w:ind w:firstLine="480"/>
              <w:jc w:val="right"/>
              <w:rPr>
                <w:rFonts w:hint="eastAsia" w:ascii="宋体" w:hAnsi="宋体" w:cs="宋体"/>
                <w:sz w:val="24"/>
                <w:szCs w:val="24"/>
              </w:rPr>
            </w:pPr>
            <w:r>
              <w:rPr>
                <w:rFonts w:hint="eastAsia" w:ascii="宋体" w:hAnsi="宋体" w:cs="宋体"/>
                <w:sz w:val="24"/>
                <w:szCs w:val="24"/>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55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联系人</w:t>
            </w:r>
          </w:p>
        </w:tc>
        <w:tc>
          <w:tcPr>
            <w:tcW w:w="7193" w:type="dxa"/>
            <w:vAlign w:val="center"/>
          </w:tcPr>
          <w:p>
            <w:pPr>
              <w:spacing w:line="360" w:lineRule="exact"/>
              <w:ind w:firstLine="480"/>
              <w:rPr>
                <w:rFonts w:hint="eastAsia" w:ascii="宋体" w:hAnsi="宋体" w:cs="宋体"/>
                <w:sz w:val="24"/>
                <w:szCs w:val="24"/>
              </w:rPr>
            </w:pPr>
          </w:p>
          <w:p>
            <w:pPr>
              <w:spacing w:line="360" w:lineRule="exact"/>
              <w:ind w:firstLine="480"/>
              <w:rPr>
                <w:rFonts w:hint="eastAsia"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55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联系电话（手机）</w:t>
            </w:r>
          </w:p>
        </w:tc>
        <w:tc>
          <w:tcPr>
            <w:tcW w:w="7193" w:type="dxa"/>
            <w:vAlign w:val="center"/>
          </w:tcPr>
          <w:p>
            <w:pPr>
              <w:spacing w:line="360" w:lineRule="exact"/>
              <w:ind w:firstLine="480"/>
              <w:rPr>
                <w:rFonts w:hint="eastAsia"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5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电子邮箱</w:t>
            </w:r>
          </w:p>
        </w:tc>
        <w:tc>
          <w:tcPr>
            <w:tcW w:w="7193" w:type="dxa"/>
            <w:vAlign w:val="center"/>
          </w:tcPr>
          <w:p>
            <w:pPr>
              <w:spacing w:line="360" w:lineRule="exact"/>
              <w:ind w:firstLine="480"/>
              <w:rPr>
                <w:rFonts w:hint="eastAsia"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5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单位座机</w:t>
            </w:r>
          </w:p>
        </w:tc>
        <w:tc>
          <w:tcPr>
            <w:tcW w:w="7193" w:type="dxa"/>
            <w:vAlign w:val="center"/>
          </w:tcPr>
          <w:p>
            <w:pPr>
              <w:spacing w:line="360" w:lineRule="exact"/>
              <w:ind w:firstLine="480"/>
              <w:rPr>
                <w:rFonts w:hint="eastAsia"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5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单位地址</w:t>
            </w:r>
          </w:p>
        </w:tc>
        <w:tc>
          <w:tcPr>
            <w:tcW w:w="7193" w:type="dxa"/>
            <w:vAlign w:val="center"/>
          </w:tcPr>
          <w:p>
            <w:pPr>
              <w:spacing w:line="360" w:lineRule="exact"/>
              <w:ind w:firstLine="480"/>
              <w:rPr>
                <w:rFonts w:hint="eastAsia"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55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标书购买费（元）</w:t>
            </w:r>
          </w:p>
        </w:tc>
        <w:tc>
          <w:tcPr>
            <w:tcW w:w="7193" w:type="dxa"/>
            <w:vAlign w:val="center"/>
          </w:tcPr>
          <w:p>
            <w:pPr>
              <w:spacing w:line="360" w:lineRule="exact"/>
              <w:ind w:firstLine="480"/>
              <w:jc w:val="center"/>
              <w:rPr>
                <w:rFonts w:hint="eastAsia" w:ascii="宋体" w:hAnsi="宋体" w:cs="宋体"/>
                <w:sz w:val="24"/>
                <w:szCs w:val="24"/>
              </w:rPr>
            </w:pPr>
            <w:r>
              <w:rPr>
                <w:rFonts w:hint="eastAsia" w:ascii="宋体" w:hAnsi="宋体" w:cs="宋体"/>
                <w:sz w:val="24"/>
                <w:szCs w:val="24"/>
              </w:rPr>
              <w:t>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52" w:type="dxa"/>
            <w:vAlign w:val="center"/>
          </w:tcPr>
          <w:p>
            <w:pPr>
              <w:spacing w:line="360" w:lineRule="exact"/>
              <w:jc w:val="center"/>
              <w:rPr>
                <w:rFonts w:hint="eastAsia" w:ascii="宋体" w:hAnsi="宋体" w:cs="宋体"/>
                <w:sz w:val="24"/>
                <w:szCs w:val="24"/>
              </w:rPr>
            </w:pPr>
            <w:r>
              <w:rPr>
                <w:rFonts w:hint="eastAsia" w:ascii="宋体" w:hAnsi="宋体" w:cs="宋体"/>
                <w:sz w:val="24"/>
                <w:szCs w:val="24"/>
              </w:rPr>
              <w:t>磋商保证金（元）</w:t>
            </w:r>
          </w:p>
        </w:tc>
        <w:tc>
          <w:tcPr>
            <w:tcW w:w="7193" w:type="dxa"/>
            <w:vAlign w:val="center"/>
          </w:tcPr>
          <w:p>
            <w:pPr>
              <w:spacing w:line="360" w:lineRule="exact"/>
              <w:ind w:firstLine="480"/>
              <w:jc w:val="center"/>
              <w:rPr>
                <w:rFonts w:hint="eastAsia"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745" w:type="dxa"/>
            <w:gridSpan w:val="2"/>
            <w:vAlign w:val="center"/>
          </w:tcPr>
          <w:p>
            <w:pPr>
              <w:spacing w:line="360" w:lineRule="exact"/>
              <w:ind w:firstLine="480"/>
              <w:jc w:val="center"/>
              <w:rPr>
                <w:rFonts w:hint="eastAsia" w:ascii="宋体" w:hAnsi="宋体" w:cs="宋体"/>
                <w:b/>
                <w:sz w:val="24"/>
                <w:szCs w:val="24"/>
              </w:rPr>
            </w:pPr>
            <w:r>
              <w:rPr>
                <w:rFonts w:hint="eastAsia" w:ascii="宋体" w:hAnsi="宋体" w:cs="宋体"/>
                <w:b/>
                <w:sz w:val="24"/>
                <w:szCs w:val="24"/>
              </w:rPr>
              <w:t>分包号及分包名称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52" w:type="dxa"/>
            <w:vAlign w:val="center"/>
          </w:tcPr>
          <w:p>
            <w:pPr>
              <w:spacing w:line="360" w:lineRule="exact"/>
              <w:ind w:firstLine="480"/>
              <w:jc w:val="center"/>
              <w:rPr>
                <w:rFonts w:hint="eastAsia" w:ascii="宋体" w:hAnsi="宋体" w:cs="宋体"/>
                <w:sz w:val="24"/>
                <w:szCs w:val="24"/>
              </w:rPr>
            </w:pPr>
            <w:r>
              <w:rPr>
                <w:rFonts w:hint="eastAsia" w:ascii="宋体" w:hAnsi="宋体" w:cs="宋体"/>
                <w:sz w:val="24"/>
                <w:szCs w:val="24"/>
              </w:rPr>
              <w:t>□</w:t>
            </w:r>
          </w:p>
        </w:tc>
        <w:tc>
          <w:tcPr>
            <w:tcW w:w="7193" w:type="dxa"/>
            <w:vAlign w:val="center"/>
          </w:tcPr>
          <w:p>
            <w:pPr>
              <w:spacing w:line="360" w:lineRule="exact"/>
              <w:ind w:firstLine="480"/>
              <w:rPr>
                <w:rFonts w:hint="eastAsia" w:ascii="宋体" w:hAnsi="宋体" w:cs="宋体"/>
                <w:sz w:val="24"/>
                <w:szCs w:val="24"/>
              </w:rPr>
            </w:pPr>
            <w:r>
              <w:rPr>
                <w:rFonts w:hint="eastAsia" w:ascii="宋体" w:hAnsi="宋体" w:cs="宋体"/>
                <w:sz w:val="24"/>
                <w:szCs w:val="24"/>
              </w:rPr>
              <w:t>分包1：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52" w:type="dxa"/>
            <w:vAlign w:val="center"/>
          </w:tcPr>
          <w:p>
            <w:pPr>
              <w:spacing w:line="360" w:lineRule="exact"/>
              <w:ind w:firstLine="480"/>
              <w:jc w:val="center"/>
              <w:rPr>
                <w:rFonts w:hint="eastAsia" w:ascii="宋体" w:hAnsi="宋体" w:cs="宋体"/>
                <w:sz w:val="24"/>
                <w:szCs w:val="24"/>
              </w:rPr>
            </w:pPr>
            <w:r>
              <w:rPr>
                <w:rFonts w:hint="eastAsia" w:ascii="宋体" w:hAnsi="宋体" w:cs="宋体"/>
                <w:sz w:val="24"/>
                <w:szCs w:val="24"/>
              </w:rPr>
              <w:t>□</w:t>
            </w:r>
          </w:p>
        </w:tc>
        <w:tc>
          <w:tcPr>
            <w:tcW w:w="7193" w:type="dxa"/>
            <w:vAlign w:val="center"/>
          </w:tcPr>
          <w:p>
            <w:pPr>
              <w:spacing w:line="360" w:lineRule="exact"/>
              <w:ind w:firstLine="480"/>
              <w:rPr>
                <w:rFonts w:hint="eastAsia"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552" w:type="dxa"/>
            <w:vAlign w:val="center"/>
          </w:tcPr>
          <w:p>
            <w:pPr>
              <w:spacing w:line="360" w:lineRule="exact"/>
              <w:ind w:firstLine="480"/>
              <w:jc w:val="center"/>
              <w:rPr>
                <w:rFonts w:hint="eastAsia" w:ascii="宋体" w:hAnsi="宋体" w:cs="宋体"/>
                <w:sz w:val="24"/>
                <w:szCs w:val="24"/>
              </w:rPr>
            </w:pPr>
            <w:r>
              <w:rPr>
                <w:rFonts w:hint="eastAsia" w:ascii="宋体" w:hAnsi="宋体" w:cs="宋体"/>
                <w:sz w:val="24"/>
                <w:szCs w:val="24"/>
              </w:rPr>
              <w:t>□</w:t>
            </w:r>
          </w:p>
        </w:tc>
        <w:tc>
          <w:tcPr>
            <w:tcW w:w="7193" w:type="dxa"/>
            <w:vAlign w:val="center"/>
          </w:tcPr>
          <w:p>
            <w:pPr>
              <w:spacing w:line="360" w:lineRule="exact"/>
              <w:ind w:firstLine="480"/>
              <w:rPr>
                <w:rFonts w:hint="eastAsia"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745" w:type="dxa"/>
            <w:gridSpan w:val="2"/>
            <w:vAlign w:val="center"/>
          </w:tcPr>
          <w:p>
            <w:pPr>
              <w:spacing w:line="276" w:lineRule="auto"/>
              <w:ind w:firstLine="480"/>
              <w:rPr>
                <w:rFonts w:hint="eastAsia" w:ascii="宋体" w:hAnsi="宋体" w:cs="宋体"/>
                <w:sz w:val="24"/>
                <w:szCs w:val="24"/>
              </w:rPr>
            </w:pPr>
          </w:p>
        </w:tc>
      </w:tr>
    </w:tbl>
    <w:p>
      <w:pPr>
        <w:widowControl/>
        <w:jc w:val="left"/>
        <w:rPr>
          <w:rFonts w:hint="eastAsia" w:ascii="宋体" w:hAnsi="宋体" w:cs="宋体"/>
          <w:sz w:val="24"/>
          <w:szCs w:val="24"/>
        </w:rPr>
      </w:pPr>
      <w:r>
        <w:rPr>
          <w:rFonts w:hint="eastAsia" w:ascii="宋体" w:hAnsi="宋体" w:cs="宋体"/>
          <w:sz w:val="24"/>
          <w:szCs w:val="24"/>
        </w:rPr>
        <w:t xml:space="preserve">   </w:t>
      </w:r>
      <w:bookmarkEnd w:id="289"/>
      <w:bookmarkEnd w:id="290"/>
      <w:bookmarkEnd w:id="291"/>
      <w:bookmarkEnd w:id="292"/>
    </w:p>
    <w:p>
      <w:pPr>
        <w:widowControl/>
        <w:jc w:val="left"/>
        <w:rPr>
          <w:rFonts w:hint="eastAsia" w:ascii="宋体" w:hAnsi="宋体" w:cs="宋体"/>
          <w:sz w:val="24"/>
          <w:szCs w:val="24"/>
        </w:rPr>
      </w:pPr>
    </w:p>
    <w:p>
      <w:pPr>
        <w:widowControl/>
        <w:jc w:val="center"/>
        <w:rPr>
          <w:rFonts w:ascii="宋体"/>
        </w:rPr>
      </w:pPr>
      <w:r>
        <w:rPr>
          <w:rFonts w:hint="eastAsia" w:ascii="宋体" w:hAnsi="宋体" w:cs="宋体"/>
          <w:sz w:val="36"/>
          <w:szCs w:val="36"/>
        </w:rPr>
        <w:t>（结束）</w:t>
      </w:r>
    </w:p>
    <w:p/>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0000000000000000000"/>
    <w:charset w:val="00"/>
    <w:family w:val="modern"/>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1" w:fontKey="{BEF2C2D6-8194-42A8-B9F8-EAE8490235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052581"/>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40663"/>
    </w:sdtPr>
    <w:sdtContent>
      <w:p>
        <w:pPr>
          <w:pStyle w:val="34"/>
          <w:jc w:val="center"/>
        </w:pPr>
        <w:r>
          <w:fldChar w:fldCharType="begin"/>
        </w:r>
        <w:r>
          <w:instrText xml:space="preserve">PAGE   \* MERGEFORMAT</w:instrText>
        </w:r>
        <w:r>
          <w:fldChar w:fldCharType="separate"/>
        </w:r>
        <w:r>
          <w:rPr>
            <w:lang w:val="zh-CN"/>
          </w:rPr>
          <w:t>20</w:t>
        </w:r>
        <w:r>
          <w:fldChar w:fldCharType="end"/>
        </w:r>
      </w:p>
    </w:sdtContent>
  </w:sdt>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rPr>
        <w:sz w:val="21"/>
        <w:szCs w:val="21"/>
      </w:rPr>
    </w:pPr>
    <w:r>
      <w:rPr>
        <w:rFonts w:hint="eastAsia" w:ascii="宋体" w:hAnsi="宋体"/>
        <w:sz w:val="21"/>
        <w:szCs w:val="21"/>
      </w:rPr>
      <w:t>重庆信科设计有限公司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47"/>
      <w:suff w:val="nothing"/>
      <w:lvlText w:val="附　录　%1"/>
      <w:lvlJc w:val="left"/>
      <w:rPr>
        <w:rFonts w:hint="eastAsia" w:ascii="黑体" w:hAnsi="Times New Roman" w:eastAsia="黑体" w:cs="Times New Roman"/>
        <w:b w:val="0"/>
        <w:i w:val="0"/>
        <w:sz w:val="21"/>
      </w:rPr>
    </w:lvl>
    <w:lvl w:ilvl="1" w:tentative="0">
      <w:start w:val="1"/>
      <w:numFmt w:val="decimal"/>
      <w:pStyle w:val="195"/>
      <w:suff w:val="nothing"/>
      <w:lvlText w:val="%1.%2　"/>
      <w:lvlJc w:val="left"/>
      <w:pPr>
        <w:ind w:left="210"/>
      </w:pPr>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A"/>
    <w:multiLevelType w:val="multilevel"/>
    <w:tmpl w:val="0000000A"/>
    <w:lvl w:ilvl="0" w:tentative="0">
      <w:start w:val="1"/>
      <w:numFmt w:val="bullet"/>
      <w:pStyle w:val="15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B"/>
    <w:multiLevelType w:val="singleLevel"/>
    <w:tmpl w:val="0000000B"/>
    <w:lvl w:ilvl="0" w:tentative="0">
      <w:start w:val="1"/>
      <w:numFmt w:val="bullet"/>
      <w:pStyle w:val="21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78"/>
      <w:lvlText w:val=""/>
      <w:lvlJc w:val="left"/>
      <w:pPr>
        <w:tabs>
          <w:tab w:val="left" w:pos="540"/>
        </w:tabs>
        <w:ind w:left="54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229"/>
      <w:lvlText w:val="（%1）"/>
      <w:lvlJc w:val="left"/>
      <w:pPr>
        <w:tabs>
          <w:tab w:val="left" w:pos="1230"/>
        </w:tabs>
        <w:ind w:firstLine="510"/>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2"/>
    <w:multiLevelType w:val="multilevel"/>
    <w:tmpl w:val="00000012"/>
    <w:lvl w:ilvl="0" w:tentative="0">
      <w:start w:val="1"/>
      <w:numFmt w:val="bullet"/>
      <w:pStyle w:val="24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2"/>
      <w:lvlText w:val="%1."/>
      <w:lvlJc w:val="left"/>
      <w:pPr>
        <w:tabs>
          <w:tab w:val="left" w:pos="425"/>
        </w:tabs>
        <w:ind w:left="425" w:hanging="425"/>
      </w:pPr>
      <w:rPr>
        <w:rFonts w:hint="default" w:cs="Times New Roman"/>
      </w:rPr>
    </w:lvl>
  </w:abstractNum>
  <w:abstractNum w:abstractNumId="8">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93"/>
      <w:lvlText w:val="%1)"/>
      <w:lvlJc w:val="left"/>
      <w:pPr>
        <w:tabs>
          <w:tab w:val="left" w:pos="425"/>
        </w:tabs>
        <w:ind w:left="425" w:hanging="425"/>
      </w:pPr>
      <w:rPr>
        <w:rFonts w:hint="eastAsia" w:cs="Times New Roman"/>
      </w:rPr>
    </w:lvl>
  </w:abstractNum>
  <w:abstractNum w:abstractNumId="10">
    <w:nsid w:val="00000017"/>
    <w:multiLevelType w:val="multilevel"/>
    <w:tmpl w:val="00000017"/>
    <w:lvl w:ilvl="0" w:tentative="0">
      <w:start w:val="1"/>
      <w:numFmt w:val="chineseCountingThousand"/>
      <w:pStyle w:val="172"/>
      <w:lvlText w:val="%1、"/>
      <w:lvlJc w:val="left"/>
      <w:pPr>
        <w:tabs>
          <w:tab w:val="left" w:pos="7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7"/>
  </w:num>
  <w:num w:numId="2">
    <w:abstractNumId w:val="3"/>
  </w:num>
  <w:num w:numId="3">
    <w:abstractNumId w:val="8"/>
  </w:num>
  <w:num w:numId="4">
    <w:abstractNumId w:val="0"/>
  </w:num>
  <w:num w:numId="5">
    <w:abstractNumId w:val="1"/>
  </w:num>
  <w:num w:numId="6">
    <w:abstractNumId w:val="10"/>
  </w:num>
  <w:num w:numId="7">
    <w:abstractNumId w:val="4"/>
  </w:num>
  <w:num w:numId="8">
    <w:abstractNumId w:val="9"/>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jMWMxNWI2MTljYTE5ZjkwNjFkNDc5NDVmN2VhNmEifQ=="/>
  </w:docVars>
  <w:rsids>
    <w:rsidRoot w:val="00172A27"/>
    <w:rsid w:val="000004FB"/>
    <w:rsid w:val="00000E88"/>
    <w:rsid w:val="00001A5D"/>
    <w:rsid w:val="0000205D"/>
    <w:rsid w:val="00002C38"/>
    <w:rsid w:val="00003108"/>
    <w:rsid w:val="000033DA"/>
    <w:rsid w:val="00003FAB"/>
    <w:rsid w:val="00006166"/>
    <w:rsid w:val="00007E7F"/>
    <w:rsid w:val="00010541"/>
    <w:rsid w:val="00011173"/>
    <w:rsid w:val="00013CC9"/>
    <w:rsid w:val="00015585"/>
    <w:rsid w:val="00016B79"/>
    <w:rsid w:val="00016DBD"/>
    <w:rsid w:val="00022A6F"/>
    <w:rsid w:val="0002480A"/>
    <w:rsid w:val="00025F0D"/>
    <w:rsid w:val="00027B49"/>
    <w:rsid w:val="00027F88"/>
    <w:rsid w:val="00031246"/>
    <w:rsid w:val="000316EA"/>
    <w:rsid w:val="00031BA6"/>
    <w:rsid w:val="00032092"/>
    <w:rsid w:val="00032E40"/>
    <w:rsid w:val="000332A8"/>
    <w:rsid w:val="0003531A"/>
    <w:rsid w:val="000361B3"/>
    <w:rsid w:val="00036213"/>
    <w:rsid w:val="0003632F"/>
    <w:rsid w:val="00036FC3"/>
    <w:rsid w:val="000375A7"/>
    <w:rsid w:val="000403CA"/>
    <w:rsid w:val="000405BE"/>
    <w:rsid w:val="000408C4"/>
    <w:rsid w:val="000413A0"/>
    <w:rsid w:val="00041A2E"/>
    <w:rsid w:val="000427D8"/>
    <w:rsid w:val="00042F34"/>
    <w:rsid w:val="00043FCB"/>
    <w:rsid w:val="000444B9"/>
    <w:rsid w:val="00044968"/>
    <w:rsid w:val="00044B27"/>
    <w:rsid w:val="00046C55"/>
    <w:rsid w:val="00046F32"/>
    <w:rsid w:val="00047C37"/>
    <w:rsid w:val="00047F74"/>
    <w:rsid w:val="000500EF"/>
    <w:rsid w:val="00050E12"/>
    <w:rsid w:val="00050E41"/>
    <w:rsid w:val="0005298B"/>
    <w:rsid w:val="000535E9"/>
    <w:rsid w:val="00053686"/>
    <w:rsid w:val="00053E7B"/>
    <w:rsid w:val="0005424C"/>
    <w:rsid w:val="00054C6C"/>
    <w:rsid w:val="00055432"/>
    <w:rsid w:val="000564A3"/>
    <w:rsid w:val="00056991"/>
    <w:rsid w:val="000576E1"/>
    <w:rsid w:val="0005770C"/>
    <w:rsid w:val="00061320"/>
    <w:rsid w:val="00062202"/>
    <w:rsid w:val="00062588"/>
    <w:rsid w:val="00063638"/>
    <w:rsid w:val="000637A5"/>
    <w:rsid w:val="00063981"/>
    <w:rsid w:val="000649E7"/>
    <w:rsid w:val="000651D1"/>
    <w:rsid w:val="0006797A"/>
    <w:rsid w:val="000700E8"/>
    <w:rsid w:val="0007081B"/>
    <w:rsid w:val="00070EFA"/>
    <w:rsid w:val="00074976"/>
    <w:rsid w:val="00076278"/>
    <w:rsid w:val="00076EF3"/>
    <w:rsid w:val="00077216"/>
    <w:rsid w:val="00083BBD"/>
    <w:rsid w:val="00084CE6"/>
    <w:rsid w:val="00085B3C"/>
    <w:rsid w:val="00085BBC"/>
    <w:rsid w:val="00085EF6"/>
    <w:rsid w:val="0008690B"/>
    <w:rsid w:val="00086C22"/>
    <w:rsid w:val="00090B74"/>
    <w:rsid w:val="00090BC3"/>
    <w:rsid w:val="0009105C"/>
    <w:rsid w:val="0009145F"/>
    <w:rsid w:val="00092A34"/>
    <w:rsid w:val="000931B7"/>
    <w:rsid w:val="000938BC"/>
    <w:rsid w:val="00094E2F"/>
    <w:rsid w:val="00095AC2"/>
    <w:rsid w:val="00095BED"/>
    <w:rsid w:val="00096D1A"/>
    <w:rsid w:val="00097FC3"/>
    <w:rsid w:val="00097FDF"/>
    <w:rsid w:val="000A0983"/>
    <w:rsid w:val="000A0B06"/>
    <w:rsid w:val="000A0E2E"/>
    <w:rsid w:val="000A164E"/>
    <w:rsid w:val="000A3354"/>
    <w:rsid w:val="000A3F9E"/>
    <w:rsid w:val="000A48A8"/>
    <w:rsid w:val="000A4C04"/>
    <w:rsid w:val="000A5183"/>
    <w:rsid w:val="000A6A07"/>
    <w:rsid w:val="000A6D0A"/>
    <w:rsid w:val="000B02CA"/>
    <w:rsid w:val="000B0A26"/>
    <w:rsid w:val="000B104D"/>
    <w:rsid w:val="000B1416"/>
    <w:rsid w:val="000B17C2"/>
    <w:rsid w:val="000B2072"/>
    <w:rsid w:val="000B2A47"/>
    <w:rsid w:val="000B2DA2"/>
    <w:rsid w:val="000B3BF2"/>
    <w:rsid w:val="000B521F"/>
    <w:rsid w:val="000B70CF"/>
    <w:rsid w:val="000B7377"/>
    <w:rsid w:val="000B7F54"/>
    <w:rsid w:val="000C1A5B"/>
    <w:rsid w:val="000C2147"/>
    <w:rsid w:val="000C3FA3"/>
    <w:rsid w:val="000C3FE8"/>
    <w:rsid w:val="000C4350"/>
    <w:rsid w:val="000C57C7"/>
    <w:rsid w:val="000C62CA"/>
    <w:rsid w:val="000C62DF"/>
    <w:rsid w:val="000C64C2"/>
    <w:rsid w:val="000D049E"/>
    <w:rsid w:val="000D0622"/>
    <w:rsid w:val="000D09CC"/>
    <w:rsid w:val="000D0A04"/>
    <w:rsid w:val="000D0AC3"/>
    <w:rsid w:val="000D11BB"/>
    <w:rsid w:val="000D1EBB"/>
    <w:rsid w:val="000D2348"/>
    <w:rsid w:val="000D2BC5"/>
    <w:rsid w:val="000D2C3E"/>
    <w:rsid w:val="000D321F"/>
    <w:rsid w:val="000D4C24"/>
    <w:rsid w:val="000D5880"/>
    <w:rsid w:val="000D5CCA"/>
    <w:rsid w:val="000E0C6A"/>
    <w:rsid w:val="000E0E82"/>
    <w:rsid w:val="000E2DFA"/>
    <w:rsid w:val="000E3259"/>
    <w:rsid w:val="000E3660"/>
    <w:rsid w:val="000E413B"/>
    <w:rsid w:val="000E485F"/>
    <w:rsid w:val="000E6585"/>
    <w:rsid w:val="000E681D"/>
    <w:rsid w:val="000E796F"/>
    <w:rsid w:val="000F0E7A"/>
    <w:rsid w:val="000F1F5A"/>
    <w:rsid w:val="000F346A"/>
    <w:rsid w:val="000F4637"/>
    <w:rsid w:val="000F692B"/>
    <w:rsid w:val="000F6B1F"/>
    <w:rsid w:val="000F6C18"/>
    <w:rsid w:val="000F7DBF"/>
    <w:rsid w:val="00100639"/>
    <w:rsid w:val="00101B5E"/>
    <w:rsid w:val="0010402B"/>
    <w:rsid w:val="0010713F"/>
    <w:rsid w:val="0010718B"/>
    <w:rsid w:val="00107AF1"/>
    <w:rsid w:val="001116E9"/>
    <w:rsid w:val="0011284C"/>
    <w:rsid w:val="00113D35"/>
    <w:rsid w:val="00114400"/>
    <w:rsid w:val="001145CC"/>
    <w:rsid w:val="00115537"/>
    <w:rsid w:val="0011585E"/>
    <w:rsid w:val="00115DB4"/>
    <w:rsid w:val="001162E5"/>
    <w:rsid w:val="00116431"/>
    <w:rsid w:val="00116856"/>
    <w:rsid w:val="001179C3"/>
    <w:rsid w:val="00117AFF"/>
    <w:rsid w:val="00120259"/>
    <w:rsid w:val="0012071B"/>
    <w:rsid w:val="00121ED2"/>
    <w:rsid w:val="00121F63"/>
    <w:rsid w:val="001220A7"/>
    <w:rsid w:val="00123073"/>
    <w:rsid w:val="0012373A"/>
    <w:rsid w:val="00123755"/>
    <w:rsid w:val="00124A02"/>
    <w:rsid w:val="00124D34"/>
    <w:rsid w:val="00126D9D"/>
    <w:rsid w:val="00130398"/>
    <w:rsid w:val="001309D9"/>
    <w:rsid w:val="00130D1F"/>
    <w:rsid w:val="00131413"/>
    <w:rsid w:val="001320D7"/>
    <w:rsid w:val="001325A8"/>
    <w:rsid w:val="0013299E"/>
    <w:rsid w:val="00132D6C"/>
    <w:rsid w:val="001336CB"/>
    <w:rsid w:val="00133D16"/>
    <w:rsid w:val="0013439E"/>
    <w:rsid w:val="00134543"/>
    <w:rsid w:val="0013458D"/>
    <w:rsid w:val="00134915"/>
    <w:rsid w:val="00135A1C"/>
    <w:rsid w:val="00137079"/>
    <w:rsid w:val="00137502"/>
    <w:rsid w:val="00140084"/>
    <w:rsid w:val="00140609"/>
    <w:rsid w:val="001429D0"/>
    <w:rsid w:val="001429DD"/>
    <w:rsid w:val="00142CED"/>
    <w:rsid w:val="00143372"/>
    <w:rsid w:val="00143FB6"/>
    <w:rsid w:val="001442D1"/>
    <w:rsid w:val="001446D1"/>
    <w:rsid w:val="0014489D"/>
    <w:rsid w:val="0014527F"/>
    <w:rsid w:val="00145BD9"/>
    <w:rsid w:val="001472BD"/>
    <w:rsid w:val="0014778B"/>
    <w:rsid w:val="001477B2"/>
    <w:rsid w:val="00147FB4"/>
    <w:rsid w:val="0015011C"/>
    <w:rsid w:val="00150429"/>
    <w:rsid w:val="00150F1D"/>
    <w:rsid w:val="001519E7"/>
    <w:rsid w:val="00152553"/>
    <w:rsid w:val="001548F1"/>
    <w:rsid w:val="00155908"/>
    <w:rsid w:val="00156C2D"/>
    <w:rsid w:val="001601C4"/>
    <w:rsid w:val="00160A78"/>
    <w:rsid w:val="00161239"/>
    <w:rsid w:val="00161B06"/>
    <w:rsid w:val="00161B9D"/>
    <w:rsid w:val="00161E1F"/>
    <w:rsid w:val="00162506"/>
    <w:rsid w:val="00163EA2"/>
    <w:rsid w:val="00164788"/>
    <w:rsid w:val="00165722"/>
    <w:rsid w:val="00166461"/>
    <w:rsid w:val="00167056"/>
    <w:rsid w:val="001701E4"/>
    <w:rsid w:val="001709A4"/>
    <w:rsid w:val="00170BB8"/>
    <w:rsid w:val="00170D99"/>
    <w:rsid w:val="0017129B"/>
    <w:rsid w:val="00172A27"/>
    <w:rsid w:val="00172E68"/>
    <w:rsid w:val="001746E0"/>
    <w:rsid w:val="00174DED"/>
    <w:rsid w:val="00175049"/>
    <w:rsid w:val="00175436"/>
    <w:rsid w:val="00175E11"/>
    <w:rsid w:val="00176AFD"/>
    <w:rsid w:val="00177593"/>
    <w:rsid w:val="001777FA"/>
    <w:rsid w:val="00177AE2"/>
    <w:rsid w:val="001803C2"/>
    <w:rsid w:val="00180ACB"/>
    <w:rsid w:val="00180CA1"/>
    <w:rsid w:val="00180EE7"/>
    <w:rsid w:val="00181C33"/>
    <w:rsid w:val="001824E1"/>
    <w:rsid w:val="00184FDD"/>
    <w:rsid w:val="001862B7"/>
    <w:rsid w:val="00186820"/>
    <w:rsid w:val="00186C98"/>
    <w:rsid w:val="0018755D"/>
    <w:rsid w:val="00190479"/>
    <w:rsid w:val="00191881"/>
    <w:rsid w:val="00191EC2"/>
    <w:rsid w:val="00192E1E"/>
    <w:rsid w:val="0019366E"/>
    <w:rsid w:val="0019374C"/>
    <w:rsid w:val="00193A94"/>
    <w:rsid w:val="001940B1"/>
    <w:rsid w:val="0019764E"/>
    <w:rsid w:val="00197AC6"/>
    <w:rsid w:val="001A2F57"/>
    <w:rsid w:val="001A3671"/>
    <w:rsid w:val="001A3C0A"/>
    <w:rsid w:val="001A4532"/>
    <w:rsid w:val="001A6DCC"/>
    <w:rsid w:val="001A724A"/>
    <w:rsid w:val="001A73EC"/>
    <w:rsid w:val="001A7446"/>
    <w:rsid w:val="001A75A5"/>
    <w:rsid w:val="001A76AE"/>
    <w:rsid w:val="001B0240"/>
    <w:rsid w:val="001B0400"/>
    <w:rsid w:val="001B09BE"/>
    <w:rsid w:val="001B16B2"/>
    <w:rsid w:val="001B3DBD"/>
    <w:rsid w:val="001B4377"/>
    <w:rsid w:val="001B4534"/>
    <w:rsid w:val="001B4AF4"/>
    <w:rsid w:val="001B6E20"/>
    <w:rsid w:val="001B7D08"/>
    <w:rsid w:val="001C08A5"/>
    <w:rsid w:val="001C280B"/>
    <w:rsid w:val="001C2935"/>
    <w:rsid w:val="001C3456"/>
    <w:rsid w:val="001C3DEC"/>
    <w:rsid w:val="001C46C0"/>
    <w:rsid w:val="001C5C1B"/>
    <w:rsid w:val="001C6EBB"/>
    <w:rsid w:val="001C71DA"/>
    <w:rsid w:val="001C728D"/>
    <w:rsid w:val="001C7A43"/>
    <w:rsid w:val="001C7BAB"/>
    <w:rsid w:val="001C7F8C"/>
    <w:rsid w:val="001D0610"/>
    <w:rsid w:val="001D0F79"/>
    <w:rsid w:val="001D2DCD"/>
    <w:rsid w:val="001D334D"/>
    <w:rsid w:val="001D361A"/>
    <w:rsid w:val="001D3FA4"/>
    <w:rsid w:val="001D4400"/>
    <w:rsid w:val="001D4487"/>
    <w:rsid w:val="001D461C"/>
    <w:rsid w:val="001D5055"/>
    <w:rsid w:val="001D7744"/>
    <w:rsid w:val="001E2187"/>
    <w:rsid w:val="001E2E30"/>
    <w:rsid w:val="001E4E9C"/>
    <w:rsid w:val="001E5CAC"/>
    <w:rsid w:val="001E6845"/>
    <w:rsid w:val="001E6B18"/>
    <w:rsid w:val="001E725F"/>
    <w:rsid w:val="001F1AF7"/>
    <w:rsid w:val="001F23C9"/>
    <w:rsid w:val="001F281D"/>
    <w:rsid w:val="001F3E4D"/>
    <w:rsid w:val="001F435A"/>
    <w:rsid w:val="001F4964"/>
    <w:rsid w:val="001F4B41"/>
    <w:rsid w:val="001F5BD9"/>
    <w:rsid w:val="001F643B"/>
    <w:rsid w:val="001F6522"/>
    <w:rsid w:val="001F6536"/>
    <w:rsid w:val="001F68B4"/>
    <w:rsid w:val="001F6C05"/>
    <w:rsid w:val="001F7063"/>
    <w:rsid w:val="001F75CD"/>
    <w:rsid w:val="001F767D"/>
    <w:rsid w:val="0020070D"/>
    <w:rsid w:val="002008B1"/>
    <w:rsid w:val="002014D6"/>
    <w:rsid w:val="00201555"/>
    <w:rsid w:val="00202B04"/>
    <w:rsid w:val="00203E78"/>
    <w:rsid w:val="00204936"/>
    <w:rsid w:val="002056F8"/>
    <w:rsid w:val="00206177"/>
    <w:rsid w:val="002068DD"/>
    <w:rsid w:val="002100EE"/>
    <w:rsid w:val="0021045C"/>
    <w:rsid w:val="0021111D"/>
    <w:rsid w:val="00213532"/>
    <w:rsid w:val="00213B3D"/>
    <w:rsid w:val="00217DFF"/>
    <w:rsid w:val="0022077D"/>
    <w:rsid w:val="0022081F"/>
    <w:rsid w:val="00220CF0"/>
    <w:rsid w:val="00221D48"/>
    <w:rsid w:val="00222097"/>
    <w:rsid w:val="00222EB0"/>
    <w:rsid w:val="00224026"/>
    <w:rsid w:val="00224A29"/>
    <w:rsid w:val="002253A0"/>
    <w:rsid w:val="00226D45"/>
    <w:rsid w:val="00226D83"/>
    <w:rsid w:val="00227549"/>
    <w:rsid w:val="00227916"/>
    <w:rsid w:val="00230E04"/>
    <w:rsid w:val="00231104"/>
    <w:rsid w:val="002316C9"/>
    <w:rsid w:val="00231824"/>
    <w:rsid w:val="00233E9C"/>
    <w:rsid w:val="0023410F"/>
    <w:rsid w:val="00234704"/>
    <w:rsid w:val="00236352"/>
    <w:rsid w:val="00236611"/>
    <w:rsid w:val="00240D80"/>
    <w:rsid w:val="0024118A"/>
    <w:rsid w:val="002412FD"/>
    <w:rsid w:val="00241EFC"/>
    <w:rsid w:val="00242CA2"/>
    <w:rsid w:val="00247231"/>
    <w:rsid w:val="0024779C"/>
    <w:rsid w:val="0025258E"/>
    <w:rsid w:val="00253770"/>
    <w:rsid w:val="00254569"/>
    <w:rsid w:val="00254B85"/>
    <w:rsid w:val="0025526A"/>
    <w:rsid w:val="00255A03"/>
    <w:rsid w:val="00255F3F"/>
    <w:rsid w:val="00256228"/>
    <w:rsid w:val="002601A4"/>
    <w:rsid w:val="002634E4"/>
    <w:rsid w:val="002643C1"/>
    <w:rsid w:val="00265BFF"/>
    <w:rsid w:val="00265C69"/>
    <w:rsid w:val="00266C9A"/>
    <w:rsid w:val="00267C38"/>
    <w:rsid w:val="002707E5"/>
    <w:rsid w:val="00271D47"/>
    <w:rsid w:val="002721EA"/>
    <w:rsid w:val="00272B30"/>
    <w:rsid w:val="0027340D"/>
    <w:rsid w:val="00273C62"/>
    <w:rsid w:val="00273E93"/>
    <w:rsid w:val="00274D2E"/>
    <w:rsid w:val="002754FF"/>
    <w:rsid w:val="0027592F"/>
    <w:rsid w:val="002777E3"/>
    <w:rsid w:val="00280E8A"/>
    <w:rsid w:val="00281036"/>
    <w:rsid w:val="00281765"/>
    <w:rsid w:val="00281BEC"/>
    <w:rsid w:val="00281E5E"/>
    <w:rsid w:val="00282CC6"/>
    <w:rsid w:val="00282F0D"/>
    <w:rsid w:val="0028328E"/>
    <w:rsid w:val="00283983"/>
    <w:rsid w:val="00283BED"/>
    <w:rsid w:val="00284342"/>
    <w:rsid w:val="00285164"/>
    <w:rsid w:val="002851CE"/>
    <w:rsid w:val="002853A7"/>
    <w:rsid w:val="00285C8E"/>
    <w:rsid w:val="00287745"/>
    <w:rsid w:val="00292D19"/>
    <w:rsid w:val="00293C2F"/>
    <w:rsid w:val="00294667"/>
    <w:rsid w:val="0029594B"/>
    <w:rsid w:val="00296603"/>
    <w:rsid w:val="00297D0F"/>
    <w:rsid w:val="00297DCF"/>
    <w:rsid w:val="00297F9D"/>
    <w:rsid w:val="002A0370"/>
    <w:rsid w:val="002A0C80"/>
    <w:rsid w:val="002A0E65"/>
    <w:rsid w:val="002A131B"/>
    <w:rsid w:val="002A1668"/>
    <w:rsid w:val="002A22F5"/>
    <w:rsid w:val="002A3CEB"/>
    <w:rsid w:val="002A3F6A"/>
    <w:rsid w:val="002A4280"/>
    <w:rsid w:val="002A4956"/>
    <w:rsid w:val="002A55C5"/>
    <w:rsid w:val="002A6710"/>
    <w:rsid w:val="002A682A"/>
    <w:rsid w:val="002A6FC9"/>
    <w:rsid w:val="002A7EDC"/>
    <w:rsid w:val="002B09E5"/>
    <w:rsid w:val="002B0FBC"/>
    <w:rsid w:val="002B6462"/>
    <w:rsid w:val="002B7904"/>
    <w:rsid w:val="002C00BA"/>
    <w:rsid w:val="002C168A"/>
    <w:rsid w:val="002C2E6E"/>
    <w:rsid w:val="002C40EB"/>
    <w:rsid w:val="002C4C52"/>
    <w:rsid w:val="002C65FD"/>
    <w:rsid w:val="002D255B"/>
    <w:rsid w:val="002D2973"/>
    <w:rsid w:val="002D30E5"/>
    <w:rsid w:val="002D330C"/>
    <w:rsid w:val="002D3360"/>
    <w:rsid w:val="002D420E"/>
    <w:rsid w:val="002D67A7"/>
    <w:rsid w:val="002D7ECD"/>
    <w:rsid w:val="002E1C5B"/>
    <w:rsid w:val="002E25E4"/>
    <w:rsid w:val="002E2854"/>
    <w:rsid w:val="002E2DEC"/>
    <w:rsid w:val="002E4013"/>
    <w:rsid w:val="002E51D3"/>
    <w:rsid w:val="002E5AC9"/>
    <w:rsid w:val="002E5CEA"/>
    <w:rsid w:val="002E5F62"/>
    <w:rsid w:val="002E788E"/>
    <w:rsid w:val="002F0757"/>
    <w:rsid w:val="002F18F8"/>
    <w:rsid w:val="002F1E59"/>
    <w:rsid w:val="002F2913"/>
    <w:rsid w:val="002F391A"/>
    <w:rsid w:val="002F3C1A"/>
    <w:rsid w:val="002F3C38"/>
    <w:rsid w:val="002F3DE3"/>
    <w:rsid w:val="002F4C95"/>
    <w:rsid w:val="002F53BF"/>
    <w:rsid w:val="002F5D61"/>
    <w:rsid w:val="002F632E"/>
    <w:rsid w:val="002F6E00"/>
    <w:rsid w:val="002F769F"/>
    <w:rsid w:val="00301E74"/>
    <w:rsid w:val="00302623"/>
    <w:rsid w:val="00305C74"/>
    <w:rsid w:val="00305F03"/>
    <w:rsid w:val="00305FCA"/>
    <w:rsid w:val="00306013"/>
    <w:rsid w:val="00306A74"/>
    <w:rsid w:val="00306F6D"/>
    <w:rsid w:val="00307493"/>
    <w:rsid w:val="00307C89"/>
    <w:rsid w:val="00307E31"/>
    <w:rsid w:val="00310AF9"/>
    <w:rsid w:val="003117BD"/>
    <w:rsid w:val="00311B59"/>
    <w:rsid w:val="00311D4A"/>
    <w:rsid w:val="00313E5C"/>
    <w:rsid w:val="00315742"/>
    <w:rsid w:val="00315E51"/>
    <w:rsid w:val="0031633E"/>
    <w:rsid w:val="003163B3"/>
    <w:rsid w:val="003166EC"/>
    <w:rsid w:val="00317D84"/>
    <w:rsid w:val="00321DCE"/>
    <w:rsid w:val="00321FA2"/>
    <w:rsid w:val="00322FCF"/>
    <w:rsid w:val="00323082"/>
    <w:rsid w:val="003242D3"/>
    <w:rsid w:val="00324B2E"/>
    <w:rsid w:val="003269D2"/>
    <w:rsid w:val="00327399"/>
    <w:rsid w:val="00330329"/>
    <w:rsid w:val="00330B37"/>
    <w:rsid w:val="00330F5D"/>
    <w:rsid w:val="00332547"/>
    <w:rsid w:val="003349BC"/>
    <w:rsid w:val="00334BC4"/>
    <w:rsid w:val="00335553"/>
    <w:rsid w:val="00335D30"/>
    <w:rsid w:val="00335EC2"/>
    <w:rsid w:val="00336121"/>
    <w:rsid w:val="00337741"/>
    <w:rsid w:val="003402BC"/>
    <w:rsid w:val="00341722"/>
    <w:rsid w:val="00341DEB"/>
    <w:rsid w:val="0034214B"/>
    <w:rsid w:val="00342577"/>
    <w:rsid w:val="00342C34"/>
    <w:rsid w:val="00342FB2"/>
    <w:rsid w:val="0034326C"/>
    <w:rsid w:val="003433DB"/>
    <w:rsid w:val="003445CA"/>
    <w:rsid w:val="00345F90"/>
    <w:rsid w:val="0034679C"/>
    <w:rsid w:val="00346A3D"/>
    <w:rsid w:val="003470FF"/>
    <w:rsid w:val="00350042"/>
    <w:rsid w:val="00350225"/>
    <w:rsid w:val="00350A0A"/>
    <w:rsid w:val="00350C20"/>
    <w:rsid w:val="003518B0"/>
    <w:rsid w:val="0035400E"/>
    <w:rsid w:val="003546E6"/>
    <w:rsid w:val="003548FA"/>
    <w:rsid w:val="00354963"/>
    <w:rsid w:val="003552D8"/>
    <w:rsid w:val="00355775"/>
    <w:rsid w:val="00356FFF"/>
    <w:rsid w:val="00360E10"/>
    <w:rsid w:val="00361427"/>
    <w:rsid w:val="003623E4"/>
    <w:rsid w:val="0036458B"/>
    <w:rsid w:val="00365E11"/>
    <w:rsid w:val="00365FC0"/>
    <w:rsid w:val="00366596"/>
    <w:rsid w:val="00367A7E"/>
    <w:rsid w:val="00367E53"/>
    <w:rsid w:val="003704C0"/>
    <w:rsid w:val="003716AF"/>
    <w:rsid w:val="0037176E"/>
    <w:rsid w:val="00371D2F"/>
    <w:rsid w:val="0037308F"/>
    <w:rsid w:val="00373720"/>
    <w:rsid w:val="00373BAB"/>
    <w:rsid w:val="00373C1D"/>
    <w:rsid w:val="00373F9A"/>
    <w:rsid w:val="003760F7"/>
    <w:rsid w:val="003768F1"/>
    <w:rsid w:val="00376A24"/>
    <w:rsid w:val="003806AE"/>
    <w:rsid w:val="003811F9"/>
    <w:rsid w:val="003820A0"/>
    <w:rsid w:val="003831A9"/>
    <w:rsid w:val="00384161"/>
    <w:rsid w:val="00387610"/>
    <w:rsid w:val="003905A7"/>
    <w:rsid w:val="00391639"/>
    <w:rsid w:val="00391C05"/>
    <w:rsid w:val="003925B4"/>
    <w:rsid w:val="00393A27"/>
    <w:rsid w:val="00394187"/>
    <w:rsid w:val="00394E9C"/>
    <w:rsid w:val="003952DD"/>
    <w:rsid w:val="00395CAD"/>
    <w:rsid w:val="003961CB"/>
    <w:rsid w:val="00396FFC"/>
    <w:rsid w:val="003973D3"/>
    <w:rsid w:val="00397D09"/>
    <w:rsid w:val="003A0892"/>
    <w:rsid w:val="003A090A"/>
    <w:rsid w:val="003A313C"/>
    <w:rsid w:val="003A3C41"/>
    <w:rsid w:val="003A3DB1"/>
    <w:rsid w:val="003A3E28"/>
    <w:rsid w:val="003A4096"/>
    <w:rsid w:val="003A449E"/>
    <w:rsid w:val="003A54CD"/>
    <w:rsid w:val="003A71F3"/>
    <w:rsid w:val="003A7915"/>
    <w:rsid w:val="003B0826"/>
    <w:rsid w:val="003B0899"/>
    <w:rsid w:val="003B18ED"/>
    <w:rsid w:val="003B19F5"/>
    <w:rsid w:val="003B2FE1"/>
    <w:rsid w:val="003B33D3"/>
    <w:rsid w:val="003B33ED"/>
    <w:rsid w:val="003B3BA9"/>
    <w:rsid w:val="003B6263"/>
    <w:rsid w:val="003B727B"/>
    <w:rsid w:val="003C006F"/>
    <w:rsid w:val="003C0B57"/>
    <w:rsid w:val="003C19F2"/>
    <w:rsid w:val="003C30B5"/>
    <w:rsid w:val="003C7092"/>
    <w:rsid w:val="003C7E3A"/>
    <w:rsid w:val="003D0A8C"/>
    <w:rsid w:val="003D0E0A"/>
    <w:rsid w:val="003D12FB"/>
    <w:rsid w:val="003D1842"/>
    <w:rsid w:val="003D20A1"/>
    <w:rsid w:val="003D4102"/>
    <w:rsid w:val="003D6531"/>
    <w:rsid w:val="003E241A"/>
    <w:rsid w:val="003E2D09"/>
    <w:rsid w:val="003E2E06"/>
    <w:rsid w:val="003E55AA"/>
    <w:rsid w:val="003E5994"/>
    <w:rsid w:val="003E5DCB"/>
    <w:rsid w:val="003E60FB"/>
    <w:rsid w:val="003E6855"/>
    <w:rsid w:val="003E6CD0"/>
    <w:rsid w:val="003E6FCF"/>
    <w:rsid w:val="003E7997"/>
    <w:rsid w:val="003E7F48"/>
    <w:rsid w:val="003F072E"/>
    <w:rsid w:val="003F13B9"/>
    <w:rsid w:val="003F203D"/>
    <w:rsid w:val="003F2645"/>
    <w:rsid w:val="003F37ED"/>
    <w:rsid w:val="003F5627"/>
    <w:rsid w:val="003F58D5"/>
    <w:rsid w:val="003F6C83"/>
    <w:rsid w:val="003F6E0A"/>
    <w:rsid w:val="003F7AFB"/>
    <w:rsid w:val="004008D8"/>
    <w:rsid w:val="00402743"/>
    <w:rsid w:val="00402B32"/>
    <w:rsid w:val="00404129"/>
    <w:rsid w:val="00404184"/>
    <w:rsid w:val="00404502"/>
    <w:rsid w:val="00405297"/>
    <w:rsid w:val="00405C60"/>
    <w:rsid w:val="00410C93"/>
    <w:rsid w:val="00411200"/>
    <w:rsid w:val="004119B6"/>
    <w:rsid w:val="00411B4A"/>
    <w:rsid w:val="0041258A"/>
    <w:rsid w:val="0041614A"/>
    <w:rsid w:val="00417567"/>
    <w:rsid w:val="0042082B"/>
    <w:rsid w:val="0042120F"/>
    <w:rsid w:val="0042286B"/>
    <w:rsid w:val="004228A6"/>
    <w:rsid w:val="0042414B"/>
    <w:rsid w:val="00424292"/>
    <w:rsid w:val="00425B55"/>
    <w:rsid w:val="00426309"/>
    <w:rsid w:val="0042631B"/>
    <w:rsid w:val="00426CD4"/>
    <w:rsid w:val="00430E76"/>
    <w:rsid w:val="00431E6D"/>
    <w:rsid w:val="0043205F"/>
    <w:rsid w:val="00433F43"/>
    <w:rsid w:val="00434D5A"/>
    <w:rsid w:val="00435047"/>
    <w:rsid w:val="00435ABB"/>
    <w:rsid w:val="00436543"/>
    <w:rsid w:val="004374F3"/>
    <w:rsid w:val="004376F8"/>
    <w:rsid w:val="00437BA4"/>
    <w:rsid w:val="00441057"/>
    <w:rsid w:val="004414F9"/>
    <w:rsid w:val="004419E5"/>
    <w:rsid w:val="00443EF9"/>
    <w:rsid w:val="00444AC4"/>
    <w:rsid w:val="00444CA4"/>
    <w:rsid w:val="00445E57"/>
    <w:rsid w:val="00447173"/>
    <w:rsid w:val="004472BF"/>
    <w:rsid w:val="0044784F"/>
    <w:rsid w:val="004500CA"/>
    <w:rsid w:val="004533A6"/>
    <w:rsid w:val="00453D66"/>
    <w:rsid w:val="00455DA2"/>
    <w:rsid w:val="00456B0D"/>
    <w:rsid w:val="00457C65"/>
    <w:rsid w:val="00462878"/>
    <w:rsid w:val="00463F15"/>
    <w:rsid w:val="0046565D"/>
    <w:rsid w:val="0046571A"/>
    <w:rsid w:val="00470670"/>
    <w:rsid w:val="004715EB"/>
    <w:rsid w:val="00471EFB"/>
    <w:rsid w:val="0047222C"/>
    <w:rsid w:val="00472CA4"/>
    <w:rsid w:val="004736CA"/>
    <w:rsid w:val="00474074"/>
    <w:rsid w:val="004740C4"/>
    <w:rsid w:val="00474221"/>
    <w:rsid w:val="004744E8"/>
    <w:rsid w:val="00475994"/>
    <w:rsid w:val="00477D52"/>
    <w:rsid w:val="004807B2"/>
    <w:rsid w:val="004826C9"/>
    <w:rsid w:val="00483934"/>
    <w:rsid w:val="00483B5F"/>
    <w:rsid w:val="00486F63"/>
    <w:rsid w:val="004915DD"/>
    <w:rsid w:val="00491846"/>
    <w:rsid w:val="004924B9"/>
    <w:rsid w:val="00492C55"/>
    <w:rsid w:val="004953EC"/>
    <w:rsid w:val="00496F36"/>
    <w:rsid w:val="0049793E"/>
    <w:rsid w:val="004A0DE1"/>
    <w:rsid w:val="004A16F0"/>
    <w:rsid w:val="004A2377"/>
    <w:rsid w:val="004A2410"/>
    <w:rsid w:val="004A27AC"/>
    <w:rsid w:val="004A32DD"/>
    <w:rsid w:val="004A3E39"/>
    <w:rsid w:val="004A4E7D"/>
    <w:rsid w:val="004A4F1D"/>
    <w:rsid w:val="004A556F"/>
    <w:rsid w:val="004A5E7E"/>
    <w:rsid w:val="004A7861"/>
    <w:rsid w:val="004B0451"/>
    <w:rsid w:val="004B34FB"/>
    <w:rsid w:val="004B3BD6"/>
    <w:rsid w:val="004B53C9"/>
    <w:rsid w:val="004B62A2"/>
    <w:rsid w:val="004B686E"/>
    <w:rsid w:val="004B68E8"/>
    <w:rsid w:val="004B6922"/>
    <w:rsid w:val="004B7608"/>
    <w:rsid w:val="004B7A52"/>
    <w:rsid w:val="004C1606"/>
    <w:rsid w:val="004C1DD0"/>
    <w:rsid w:val="004C3472"/>
    <w:rsid w:val="004C44B8"/>
    <w:rsid w:val="004C4DD4"/>
    <w:rsid w:val="004C5B75"/>
    <w:rsid w:val="004C5CD9"/>
    <w:rsid w:val="004C64E4"/>
    <w:rsid w:val="004C6659"/>
    <w:rsid w:val="004D121E"/>
    <w:rsid w:val="004D13CB"/>
    <w:rsid w:val="004D1E03"/>
    <w:rsid w:val="004D69CB"/>
    <w:rsid w:val="004D76C5"/>
    <w:rsid w:val="004D788D"/>
    <w:rsid w:val="004E11B6"/>
    <w:rsid w:val="004E1CA7"/>
    <w:rsid w:val="004E32E8"/>
    <w:rsid w:val="004E44C2"/>
    <w:rsid w:val="004E55DB"/>
    <w:rsid w:val="004E5B49"/>
    <w:rsid w:val="004E6C49"/>
    <w:rsid w:val="004E73AB"/>
    <w:rsid w:val="004E7EE3"/>
    <w:rsid w:val="004E7F27"/>
    <w:rsid w:val="004F125D"/>
    <w:rsid w:val="004F1472"/>
    <w:rsid w:val="004F517C"/>
    <w:rsid w:val="004F57D7"/>
    <w:rsid w:val="004F64BF"/>
    <w:rsid w:val="004F688A"/>
    <w:rsid w:val="004F7727"/>
    <w:rsid w:val="00501210"/>
    <w:rsid w:val="0050190A"/>
    <w:rsid w:val="00502B2F"/>
    <w:rsid w:val="00503617"/>
    <w:rsid w:val="00503F3F"/>
    <w:rsid w:val="00510912"/>
    <w:rsid w:val="00510962"/>
    <w:rsid w:val="00510CD7"/>
    <w:rsid w:val="005118CD"/>
    <w:rsid w:val="00511AC7"/>
    <w:rsid w:val="00511D86"/>
    <w:rsid w:val="0051268B"/>
    <w:rsid w:val="00512D00"/>
    <w:rsid w:val="005130EA"/>
    <w:rsid w:val="005137E7"/>
    <w:rsid w:val="00514179"/>
    <w:rsid w:val="00514E64"/>
    <w:rsid w:val="00514EDE"/>
    <w:rsid w:val="00516667"/>
    <w:rsid w:val="00520A91"/>
    <w:rsid w:val="00520D25"/>
    <w:rsid w:val="0052114F"/>
    <w:rsid w:val="005223FF"/>
    <w:rsid w:val="005249A5"/>
    <w:rsid w:val="005249FA"/>
    <w:rsid w:val="00524A7E"/>
    <w:rsid w:val="00525F32"/>
    <w:rsid w:val="00526674"/>
    <w:rsid w:val="00527959"/>
    <w:rsid w:val="00530477"/>
    <w:rsid w:val="00530B28"/>
    <w:rsid w:val="00530C11"/>
    <w:rsid w:val="00530C13"/>
    <w:rsid w:val="005312D0"/>
    <w:rsid w:val="005343CA"/>
    <w:rsid w:val="00535AE9"/>
    <w:rsid w:val="00535FEB"/>
    <w:rsid w:val="00536C14"/>
    <w:rsid w:val="005370DC"/>
    <w:rsid w:val="00540450"/>
    <w:rsid w:val="00540E1D"/>
    <w:rsid w:val="00541FEE"/>
    <w:rsid w:val="00542E3F"/>
    <w:rsid w:val="005445BF"/>
    <w:rsid w:val="005446FE"/>
    <w:rsid w:val="00545DA7"/>
    <w:rsid w:val="005460D5"/>
    <w:rsid w:val="00546ED1"/>
    <w:rsid w:val="005473AA"/>
    <w:rsid w:val="00547D67"/>
    <w:rsid w:val="005539F7"/>
    <w:rsid w:val="00553E75"/>
    <w:rsid w:val="00553FF0"/>
    <w:rsid w:val="00554236"/>
    <w:rsid w:val="00554CB6"/>
    <w:rsid w:val="00554FF9"/>
    <w:rsid w:val="00555647"/>
    <w:rsid w:val="00556E50"/>
    <w:rsid w:val="00560914"/>
    <w:rsid w:val="00561BC0"/>
    <w:rsid w:val="00562E88"/>
    <w:rsid w:val="005631DB"/>
    <w:rsid w:val="00563DCD"/>
    <w:rsid w:val="00566A85"/>
    <w:rsid w:val="005670A9"/>
    <w:rsid w:val="005674E5"/>
    <w:rsid w:val="0056755E"/>
    <w:rsid w:val="00567831"/>
    <w:rsid w:val="00570365"/>
    <w:rsid w:val="00570EBB"/>
    <w:rsid w:val="005731B0"/>
    <w:rsid w:val="00573AE3"/>
    <w:rsid w:val="00574060"/>
    <w:rsid w:val="0057434C"/>
    <w:rsid w:val="005754C0"/>
    <w:rsid w:val="005756A7"/>
    <w:rsid w:val="0057573A"/>
    <w:rsid w:val="00576818"/>
    <w:rsid w:val="005802DE"/>
    <w:rsid w:val="00581F14"/>
    <w:rsid w:val="00583517"/>
    <w:rsid w:val="00584C46"/>
    <w:rsid w:val="00585B2E"/>
    <w:rsid w:val="005902D9"/>
    <w:rsid w:val="005922CD"/>
    <w:rsid w:val="0059319E"/>
    <w:rsid w:val="005936E6"/>
    <w:rsid w:val="00595E63"/>
    <w:rsid w:val="005969CE"/>
    <w:rsid w:val="00596AB7"/>
    <w:rsid w:val="005A1EA7"/>
    <w:rsid w:val="005A2D50"/>
    <w:rsid w:val="005A3250"/>
    <w:rsid w:val="005A3C09"/>
    <w:rsid w:val="005A41C8"/>
    <w:rsid w:val="005A47DB"/>
    <w:rsid w:val="005A4C6D"/>
    <w:rsid w:val="005A55EE"/>
    <w:rsid w:val="005A77C5"/>
    <w:rsid w:val="005A7C39"/>
    <w:rsid w:val="005B093C"/>
    <w:rsid w:val="005B0AAB"/>
    <w:rsid w:val="005B0B48"/>
    <w:rsid w:val="005B1B01"/>
    <w:rsid w:val="005B1E46"/>
    <w:rsid w:val="005B4859"/>
    <w:rsid w:val="005B52C8"/>
    <w:rsid w:val="005B5C5B"/>
    <w:rsid w:val="005B62F2"/>
    <w:rsid w:val="005B75CE"/>
    <w:rsid w:val="005C1079"/>
    <w:rsid w:val="005C2CA6"/>
    <w:rsid w:val="005C2DF6"/>
    <w:rsid w:val="005C3FC3"/>
    <w:rsid w:val="005C42AC"/>
    <w:rsid w:val="005C4AAB"/>
    <w:rsid w:val="005C4E11"/>
    <w:rsid w:val="005C4F84"/>
    <w:rsid w:val="005C517C"/>
    <w:rsid w:val="005C532B"/>
    <w:rsid w:val="005C60BA"/>
    <w:rsid w:val="005C6E06"/>
    <w:rsid w:val="005D0BDC"/>
    <w:rsid w:val="005D0FD1"/>
    <w:rsid w:val="005D1A4B"/>
    <w:rsid w:val="005D21A5"/>
    <w:rsid w:val="005D254D"/>
    <w:rsid w:val="005D318C"/>
    <w:rsid w:val="005D4137"/>
    <w:rsid w:val="005D577E"/>
    <w:rsid w:val="005D703E"/>
    <w:rsid w:val="005D75E9"/>
    <w:rsid w:val="005D7AB4"/>
    <w:rsid w:val="005D7B62"/>
    <w:rsid w:val="005D7DC1"/>
    <w:rsid w:val="005D7E72"/>
    <w:rsid w:val="005E00C6"/>
    <w:rsid w:val="005E1428"/>
    <w:rsid w:val="005E17C0"/>
    <w:rsid w:val="005E448D"/>
    <w:rsid w:val="005E5295"/>
    <w:rsid w:val="005E5B58"/>
    <w:rsid w:val="005F16A0"/>
    <w:rsid w:val="005F18BE"/>
    <w:rsid w:val="005F2020"/>
    <w:rsid w:val="005F2530"/>
    <w:rsid w:val="005F2EF9"/>
    <w:rsid w:val="005F2F62"/>
    <w:rsid w:val="005F4033"/>
    <w:rsid w:val="005F4180"/>
    <w:rsid w:val="005F51EC"/>
    <w:rsid w:val="005F524C"/>
    <w:rsid w:val="005F6465"/>
    <w:rsid w:val="005F7BF9"/>
    <w:rsid w:val="005F7CE2"/>
    <w:rsid w:val="006001AB"/>
    <w:rsid w:val="006001DA"/>
    <w:rsid w:val="00600A9A"/>
    <w:rsid w:val="00600EC7"/>
    <w:rsid w:val="00601E2F"/>
    <w:rsid w:val="006024F5"/>
    <w:rsid w:val="0060293A"/>
    <w:rsid w:val="006032EA"/>
    <w:rsid w:val="00603C29"/>
    <w:rsid w:val="0060619C"/>
    <w:rsid w:val="006074B6"/>
    <w:rsid w:val="00607CB0"/>
    <w:rsid w:val="00607DA0"/>
    <w:rsid w:val="00607E36"/>
    <w:rsid w:val="006110F8"/>
    <w:rsid w:val="006111BF"/>
    <w:rsid w:val="0061149C"/>
    <w:rsid w:val="00613410"/>
    <w:rsid w:val="0061730F"/>
    <w:rsid w:val="00617986"/>
    <w:rsid w:val="00617DD6"/>
    <w:rsid w:val="00620192"/>
    <w:rsid w:val="00621203"/>
    <w:rsid w:val="00621368"/>
    <w:rsid w:val="00621636"/>
    <w:rsid w:val="006216C5"/>
    <w:rsid w:val="00621709"/>
    <w:rsid w:val="00624206"/>
    <w:rsid w:val="00625854"/>
    <w:rsid w:val="0062781C"/>
    <w:rsid w:val="00627F25"/>
    <w:rsid w:val="006301BC"/>
    <w:rsid w:val="00630B2A"/>
    <w:rsid w:val="00630C2F"/>
    <w:rsid w:val="0063207C"/>
    <w:rsid w:val="0063494B"/>
    <w:rsid w:val="006349D6"/>
    <w:rsid w:val="00634A9D"/>
    <w:rsid w:val="00635E35"/>
    <w:rsid w:val="0063711F"/>
    <w:rsid w:val="0063714F"/>
    <w:rsid w:val="00637773"/>
    <w:rsid w:val="00637A94"/>
    <w:rsid w:val="00637BEE"/>
    <w:rsid w:val="00637E27"/>
    <w:rsid w:val="00641A50"/>
    <w:rsid w:val="006459A5"/>
    <w:rsid w:val="0064639E"/>
    <w:rsid w:val="00646EC4"/>
    <w:rsid w:val="00647D61"/>
    <w:rsid w:val="006502A7"/>
    <w:rsid w:val="00651237"/>
    <w:rsid w:val="00651E25"/>
    <w:rsid w:val="0065272A"/>
    <w:rsid w:val="00652E56"/>
    <w:rsid w:val="006549E8"/>
    <w:rsid w:val="00654A48"/>
    <w:rsid w:val="00655BA6"/>
    <w:rsid w:val="00655EDF"/>
    <w:rsid w:val="0065651B"/>
    <w:rsid w:val="00656AB3"/>
    <w:rsid w:val="00656E67"/>
    <w:rsid w:val="00656F08"/>
    <w:rsid w:val="00660A2D"/>
    <w:rsid w:val="006619A0"/>
    <w:rsid w:val="00662CF5"/>
    <w:rsid w:val="00664607"/>
    <w:rsid w:val="00664DDA"/>
    <w:rsid w:val="006650CF"/>
    <w:rsid w:val="006659C0"/>
    <w:rsid w:val="00665B43"/>
    <w:rsid w:val="00670089"/>
    <w:rsid w:val="00673E09"/>
    <w:rsid w:val="006744FF"/>
    <w:rsid w:val="0067525F"/>
    <w:rsid w:val="006756B7"/>
    <w:rsid w:val="00680421"/>
    <w:rsid w:val="006815C9"/>
    <w:rsid w:val="00682B0A"/>
    <w:rsid w:val="0068365B"/>
    <w:rsid w:val="006848FA"/>
    <w:rsid w:val="00684E51"/>
    <w:rsid w:val="0068538C"/>
    <w:rsid w:val="006854F5"/>
    <w:rsid w:val="00685C8E"/>
    <w:rsid w:val="006902DC"/>
    <w:rsid w:val="00690CAB"/>
    <w:rsid w:val="00690F9B"/>
    <w:rsid w:val="00691406"/>
    <w:rsid w:val="00691D50"/>
    <w:rsid w:val="006940DC"/>
    <w:rsid w:val="00695597"/>
    <w:rsid w:val="0069601D"/>
    <w:rsid w:val="0069776F"/>
    <w:rsid w:val="00697DB3"/>
    <w:rsid w:val="006A100B"/>
    <w:rsid w:val="006A283B"/>
    <w:rsid w:val="006A3285"/>
    <w:rsid w:val="006A3EC9"/>
    <w:rsid w:val="006A45EE"/>
    <w:rsid w:val="006A543A"/>
    <w:rsid w:val="006A5FF9"/>
    <w:rsid w:val="006A6924"/>
    <w:rsid w:val="006B0368"/>
    <w:rsid w:val="006B129E"/>
    <w:rsid w:val="006B14F2"/>
    <w:rsid w:val="006B1650"/>
    <w:rsid w:val="006B2D61"/>
    <w:rsid w:val="006B49A1"/>
    <w:rsid w:val="006B4FF3"/>
    <w:rsid w:val="006B5040"/>
    <w:rsid w:val="006B728E"/>
    <w:rsid w:val="006B72DE"/>
    <w:rsid w:val="006B79A5"/>
    <w:rsid w:val="006C0C7E"/>
    <w:rsid w:val="006C1E87"/>
    <w:rsid w:val="006C2410"/>
    <w:rsid w:val="006C277F"/>
    <w:rsid w:val="006C3B84"/>
    <w:rsid w:val="006C5FC1"/>
    <w:rsid w:val="006C67BA"/>
    <w:rsid w:val="006C6DC5"/>
    <w:rsid w:val="006D00F9"/>
    <w:rsid w:val="006D29B6"/>
    <w:rsid w:val="006D3624"/>
    <w:rsid w:val="006D425B"/>
    <w:rsid w:val="006D44E1"/>
    <w:rsid w:val="006D4DA1"/>
    <w:rsid w:val="006D5FA1"/>
    <w:rsid w:val="006D67A4"/>
    <w:rsid w:val="006D78BD"/>
    <w:rsid w:val="006E1223"/>
    <w:rsid w:val="006E21FA"/>
    <w:rsid w:val="006E2358"/>
    <w:rsid w:val="006E27CD"/>
    <w:rsid w:val="006E6472"/>
    <w:rsid w:val="006F0BD8"/>
    <w:rsid w:val="006F0FB7"/>
    <w:rsid w:val="006F114A"/>
    <w:rsid w:val="006F2841"/>
    <w:rsid w:val="006F2EEA"/>
    <w:rsid w:val="006F30D4"/>
    <w:rsid w:val="006F47A4"/>
    <w:rsid w:val="006F5FA1"/>
    <w:rsid w:val="006F6A54"/>
    <w:rsid w:val="006F7D46"/>
    <w:rsid w:val="007001A2"/>
    <w:rsid w:val="007021C9"/>
    <w:rsid w:val="007034E9"/>
    <w:rsid w:val="00704168"/>
    <w:rsid w:val="007041B3"/>
    <w:rsid w:val="00704E5D"/>
    <w:rsid w:val="00705739"/>
    <w:rsid w:val="00706D5D"/>
    <w:rsid w:val="007103BA"/>
    <w:rsid w:val="00710D56"/>
    <w:rsid w:val="00712426"/>
    <w:rsid w:val="00712E69"/>
    <w:rsid w:val="00716FC5"/>
    <w:rsid w:val="007170F1"/>
    <w:rsid w:val="007202C6"/>
    <w:rsid w:val="00721C32"/>
    <w:rsid w:val="00722DB7"/>
    <w:rsid w:val="00722E82"/>
    <w:rsid w:val="007239D6"/>
    <w:rsid w:val="0072478F"/>
    <w:rsid w:val="00725480"/>
    <w:rsid w:val="00726088"/>
    <w:rsid w:val="0072622F"/>
    <w:rsid w:val="00726971"/>
    <w:rsid w:val="00727613"/>
    <w:rsid w:val="00730B6A"/>
    <w:rsid w:val="00731734"/>
    <w:rsid w:val="00736916"/>
    <w:rsid w:val="00736D88"/>
    <w:rsid w:val="00736DD2"/>
    <w:rsid w:val="00736ED3"/>
    <w:rsid w:val="00737998"/>
    <w:rsid w:val="007379F4"/>
    <w:rsid w:val="00740905"/>
    <w:rsid w:val="0074326F"/>
    <w:rsid w:val="00743A53"/>
    <w:rsid w:val="007451AE"/>
    <w:rsid w:val="007467C1"/>
    <w:rsid w:val="0074681C"/>
    <w:rsid w:val="00746B2A"/>
    <w:rsid w:val="00746EC2"/>
    <w:rsid w:val="0075158C"/>
    <w:rsid w:val="00751A9C"/>
    <w:rsid w:val="00751F1F"/>
    <w:rsid w:val="0075204D"/>
    <w:rsid w:val="00752591"/>
    <w:rsid w:val="00752BF4"/>
    <w:rsid w:val="007543B9"/>
    <w:rsid w:val="00755826"/>
    <w:rsid w:val="00755B6A"/>
    <w:rsid w:val="00755D60"/>
    <w:rsid w:val="00756D72"/>
    <w:rsid w:val="0075727A"/>
    <w:rsid w:val="00757800"/>
    <w:rsid w:val="00760B96"/>
    <w:rsid w:val="007624D0"/>
    <w:rsid w:val="0076391B"/>
    <w:rsid w:val="00763A34"/>
    <w:rsid w:val="007649D4"/>
    <w:rsid w:val="00765472"/>
    <w:rsid w:val="00765B8A"/>
    <w:rsid w:val="00766ADB"/>
    <w:rsid w:val="00767098"/>
    <w:rsid w:val="00767288"/>
    <w:rsid w:val="00774DDA"/>
    <w:rsid w:val="00775207"/>
    <w:rsid w:val="0077524D"/>
    <w:rsid w:val="0077629C"/>
    <w:rsid w:val="00777353"/>
    <w:rsid w:val="0078207D"/>
    <w:rsid w:val="00782F37"/>
    <w:rsid w:val="0078333D"/>
    <w:rsid w:val="00785748"/>
    <w:rsid w:val="007873F7"/>
    <w:rsid w:val="00787584"/>
    <w:rsid w:val="00793398"/>
    <w:rsid w:val="007959AC"/>
    <w:rsid w:val="00795AAC"/>
    <w:rsid w:val="0079647C"/>
    <w:rsid w:val="007968FC"/>
    <w:rsid w:val="00797448"/>
    <w:rsid w:val="007A01A9"/>
    <w:rsid w:val="007A0FD7"/>
    <w:rsid w:val="007A146D"/>
    <w:rsid w:val="007A20E0"/>
    <w:rsid w:val="007A4021"/>
    <w:rsid w:val="007A52F0"/>
    <w:rsid w:val="007A5DE2"/>
    <w:rsid w:val="007A5E83"/>
    <w:rsid w:val="007A7DB8"/>
    <w:rsid w:val="007A7E2B"/>
    <w:rsid w:val="007B0C2B"/>
    <w:rsid w:val="007B1436"/>
    <w:rsid w:val="007B191B"/>
    <w:rsid w:val="007B1FC6"/>
    <w:rsid w:val="007B2204"/>
    <w:rsid w:val="007B2A29"/>
    <w:rsid w:val="007B37F4"/>
    <w:rsid w:val="007B41D6"/>
    <w:rsid w:val="007B57A0"/>
    <w:rsid w:val="007B60B1"/>
    <w:rsid w:val="007B64C8"/>
    <w:rsid w:val="007B77AD"/>
    <w:rsid w:val="007C1BCE"/>
    <w:rsid w:val="007C1BE5"/>
    <w:rsid w:val="007C1E73"/>
    <w:rsid w:val="007C1F48"/>
    <w:rsid w:val="007C27CC"/>
    <w:rsid w:val="007C307D"/>
    <w:rsid w:val="007C44DC"/>
    <w:rsid w:val="007C6612"/>
    <w:rsid w:val="007C67B5"/>
    <w:rsid w:val="007C6F92"/>
    <w:rsid w:val="007D1E03"/>
    <w:rsid w:val="007D1FF6"/>
    <w:rsid w:val="007D46C5"/>
    <w:rsid w:val="007D46FE"/>
    <w:rsid w:val="007D477E"/>
    <w:rsid w:val="007D4BAF"/>
    <w:rsid w:val="007D5341"/>
    <w:rsid w:val="007D5F04"/>
    <w:rsid w:val="007D62A3"/>
    <w:rsid w:val="007D6CFE"/>
    <w:rsid w:val="007D7BFF"/>
    <w:rsid w:val="007E1715"/>
    <w:rsid w:val="007E1F8E"/>
    <w:rsid w:val="007E2B1B"/>
    <w:rsid w:val="007E5C5D"/>
    <w:rsid w:val="007E6B97"/>
    <w:rsid w:val="007E6DBB"/>
    <w:rsid w:val="007F019D"/>
    <w:rsid w:val="007F1664"/>
    <w:rsid w:val="007F2F0F"/>
    <w:rsid w:val="007F4467"/>
    <w:rsid w:val="007F4C51"/>
    <w:rsid w:val="007F7DEF"/>
    <w:rsid w:val="00800344"/>
    <w:rsid w:val="00800364"/>
    <w:rsid w:val="00801968"/>
    <w:rsid w:val="00802068"/>
    <w:rsid w:val="008033BB"/>
    <w:rsid w:val="008035DE"/>
    <w:rsid w:val="00803D50"/>
    <w:rsid w:val="00804098"/>
    <w:rsid w:val="00804B05"/>
    <w:rsid w:val="0080502F"/>
    <w:rsid w:val="008052A7"/>
    <w:rsid w:val="008056DD"/>
    <w:rsid w:val="0080692B"/>
    <w:rsid w:val="00806B7A"/>
    <w:rsid w:val="008076FE"/>
    <w:rsid w:val="008079E1"/>
    <w:rsid w:val="0081156A"/>
    <w:rsid w:val="00811C68"/>
    <w:rsid w:val="008126B2"/>
    <w:rsid w:val="00812A4E"/>
    <w:rsid w:val="00812E0E"/>
    <w:rsid w:val="00814D2F"/>
    <w:rsid w:val="008166A5"/>
    <w:rsid w:val="00816EE1"/>
    <w:rsid w:val="00817284"/>
    <w:rsid w:val="008201B2"/>
    <w:rsid w:val="008203B5"/>
    <w:rsid w:val="0082084E"/>
    <w:rsid w:val="00821BF9"/>
    <w:rsid w:val="00822955"/>
    <w:rsid w:val="00823F00"/>
    <w:rsid w:val="00824593"/>
    <w:rsid w:val="008257A7"/>
    <w:rsid w:val="00826510"/>
    <w:rsid w:val="00827398"/>
    <w:rsid w:val="00830605"/>
    <w:rsid w:val="00830D25"/>
    <w:rsid w:val="00830FC0"/>
    <w:rsid w:val="008318FF"/>
    <w:rsid w:val="00832B1F"/>
    <w:rsid w:val="00835296"/>
    <w:rsid w:val="00835903"/>
    <w:rsid w:val="00837150"/>
    <w:rsid w:val="008378FA"/>
    <w:rsid w:val="008379EC"/>
    <w:rsid w:val="008419AA"/>
    <w:rsid w:val="008428BC"/>
    <w:rsid w:val="00842974"/>
    <w:rsid w:val="00842A97"/>
    <w:rsid w:val="008432C8"/>
    <w:rsid w:val="008434E3"/>
    <w:rsid w:val="00844F81"/>
    <w:rsid w:val="00845CD8"/>
    <w:rsid w:val="0085337C"/>
    <w:rsid w:val="0085550A"/>
    <w:rsid w:val="0085675B"/>
    <w:rsid w:val="008606E5"/>
    <w:rsid w:val="008616EF"/>
    <w:rsid w:val="0086292A"/>
    <w:rsid w:val="00862B0A"/>
    <w:rsid w:val="00863C25"/>
    <w:rsid w:val="008641E6"/>
    <w:rsid w:val="0086444A"/>
    <w:rsid w:val="00864B1C"/>
    <w:rsid w:val="008662F8"/>
    <w:rsid w:val="0086678B"/>
    <w:rsid w:val="00866BC8"/>
    <w:rsid w:val="00870BF9"/>
    <w:rsid w:val="00871A68"/>
    <w:rsid w:val="008726AE"/>
    <w:rsid w:val="008744C9"/>
    <w:rsid w:val="008748ED"/>
    <w:rsid w:val="00875A42"/>
    <w:rsid w:val="00875DF4"/>
    <w:rsid w:val="008766F7"/>
    <w:rsid w:val="00876DB5"/>
    <w:rsid w:val="00877138"/>
    <w:rsid w:val="008774A2"/>
    <w:rsid w:val="008810AA"/>
    <w:rsid w:val="0088438D"/>
    <w:rsid w:val="008848B0"/>
    <w:rsid w:val="00884EE2"/>
    <w:rsid w:val="00885979"/>
    <w:rsid w:val="00885DDD"/>
    <w:rsid w:val="0088618A"/>
    <w:rsid w:val="008861E6"/>
    <w:rsid w:val="008863F7"/>
    <w:rsid w:val="008870A7"/>
    <w:rsid w:val="008871F9"/>
    <w:rsid w:val="00890447"/>
    <w:rsid w:val="008904A8"/>
    <w:rsid w:val="00890FD3"/>
    <w:rsid w:val="00892213"/>
    <w:rsid w:val="00892CE0"/>
    <w:rsid w:val="00895267"/>
    <w:rsid w:val="00896BE0"/>
    <w:rsid w:val="008A12C4"/>
    <w:rsid w:val="008A2134"/>
    <w:rsid w:val="008A3014"/>
    <w:rsid w:val="008A31A7"/>
    <w:rsid w:val="008A3AD4"/>
    <w:rsid w:val="008A5AA8"/>
    <w:rsid w:val="008A6DD6"/>
    <w:rsid w:val="008A70DB"/>
    <w:rsid w:val="008A7235"/>
    <w:rsid w:val="008B1D14"/>
    <w:rsid w:val="008B2030"/>
    <w:rsid w:val="008B5CAA"/>
    <w:rsid w:val="008B63BC"/>
    <w:rsid w:val="008C055C"/>
    <w:rsid w:val="008C1727"/>
    <w:rsid w:val="008C19A5"/>
    <w:rsid w:val="008C2AB7"/>
    <w:rsid w:val="008C2B6A"/>
    <w:rsid w:val="008C3732"/>
    <w:rsid w:val="008C40F4"/>
    <w:rsid w:val="008C4832"/>
    <w:rsid w:val="008C510F"/>
    <w:rsid w:val="008C56F5"/>
    <w:rsid w:val="008C5730"/>
    <w:rsid w:val="008C6031"/>
    <w:rsid w:val="008C78AE"/>
    <w:rsid w:val="008C79F2"/>
    <w:rsid w:val="008C7DEE"/>
    <w:rsid w:val="008D026C"/>
    <w:rsid w:val="008D03D3"/>
    <w:rsid w:val="008D0628"/>
    <w:rsid w:val="008D0D56"/>
    <w:rsid w:val="008D17F1"/>
    <w:rsid w:val="008D2058"/>
    <w:rsid w:val="008D23DF"/>
    <w:rsid w:val="008D3C7F"/>
    <w:rsid w:val="008D5023"/>
    <w:rsid w:val="008D5321"/>
    <w:rsid w:val="008D65A3"/>
    <w:rsid w:val="008D6BB6"/>
    <w:rsid w:val="008D6FF8"/>
    <w:rsid w:val="008D7CE9"/>
    <w:rsid w:val="008E14F6"/>
    <w:rsid w:val="008E1D86"/>
    <w:rsid w:val="008E1E92"/>
    <w:rsid w:val="008E31FC"/>
    <w:rsid w:val="008E66B8"/>
    <w:rsid w:val="008E6C4A"/>
    <w:rsid w:val="008E7884"/>
    <w:rsid w:val="008F02B5"/>
    <w:rsid w:val="008F1988"/>
    <w:rsid w:val="008F2613"/>
    <w:rsid w:val="008F3BD1"/>
    <w:rsid w:val="008F45F3"/>
    <w:rsid w:val="008F4CDD"/>
    <w:rsid w:val="008F5165"/>
    <w:rsid w:val="008F5744"/>
    <w:rsid w:val="0090171C"/>
    <w:rsid w:val="009023F3"/>
    <w:rsid w:val="009025CE"/>
    <w:rsid w:val="009029E3"/>
    <w:rsid w:val="00902A1B"/>
    <w:rsid w:val="0090383C"/>
    <w:rsid w:val="00903D27"/>
    <w:rsid w:val="00904446"/>
    <w:rsid w:val="00904B5C"/>
    <w:rsid w:val="009075B3"/>
    <w:rsid w:val="00907CF1"/>
    <w:rsid w:val="00910EB4"/>
    <w:rsid w:val="00912132"/>
    <w:rsid w:val="0091336B"/>
    <w:rsid w:val="00915E9D"/>
    <w:rsid w:val="00917106"/>
    <w:rsid w:val="00920227"/>
    <w:rsid w:val="0092051C"/>
    <w:rsid w:val="00920CAC"/>
    <w:rsid w:val="009214AF"/>
    <w:rsid w:val="0092184A"/>
    <w:rsid w:val="009229EE"/>
    <w:rsid w:val="00922FAD"/>
    <w:rsid w:val="0092319B"/>
    <w:rsid w:val="00923C2E"/>
    <w:rsid w:val="009241CB"/>
    <w:rsid w:val="00924F0A"/>
    <w:rsid w:val="00925648"/>
    <w:rsid w:val="00925888"/>
    <w:rsid w:val="009267A4"/>
    <w:rsid w:val="0092700A"/>
    <w:rsid w:val="0092708B"/>
    <w:rsid w:val="009305A2"/>
    <w:rsid w:val="00935084"/>
    <w:rsid w:val="009356CD"/>
    <w:rsid w:val="00935A8E"/>
    <w:rsid w:val="00936983"/>
    <w:rsid w:val="00937713"/>
    <w:rsid w:val="00940287"/>
    <w:rsid w:val="00940331"/>
    <w:rsid w:val="0094142A"/>
    <w:rsid w:val="00941B0D"/>
    <w:rsid w:val="0094297C"/>
    <w:rsid w:val="00942D2F"/>
    <w:rsid w:val="009442BF"/>
    <w:rsid w:val="00944838"/>
    <w:rsid w:val="00945F57"/>
    <w:rsid w:val="009465CD"/>
    <w:rsid w:val="00946C77"/>
    <w:rsid w:val="00946FB7"/>
    <w:rsid w:val="00947093"/>
    <w:rsid w:val="00950BDB"/>
    <w:rsid w:val="00951203"/>
    <w:rsid w:val="00952CC6"/>
    <w:rsid w:val="00953997"/>
    <w:rsid w:val="00953BF8"/>
    <w:rsid w:val="00955515"/>
    <w:rsid w:val="009557E6"/>
    <w:rsid w:val="00955FAB"/>
    <w:rsid w:val="00956574"/>
    <w:rsid w:val="009568E6"/>
    <w:rsid w:val="00956D28"/>
    <w:rsid w:val="00957665"/>
    <w:rsid w:val="00957C87"/>
    <w:rsid w:val="009607E7"/>
    <w:rsid w:val="009619E4"/>
    <w:rsid w:val="00961FBB"/>
    <w:rsid w:val="0096294C"/>
    <w:rsid w:val="00962F5B"/>
    <w:rsid w:val="00963316"/>
    <w:rsid w:val="009639FE"/>
    <w:rsid w:val="00966820"/>
    <w:rsid w:val="00967457"/>
    <w:rsid w:val="00967A48"/>
    <w:rsid w:val="00970FB2"/>
    <w:rsid w:val="00971E84"/>
    <w:rsid w:val="00972A66"/>
    <w:rsid w:val="0097344B"/>
    <w:rsid w:val="00974233"/>
    <w:rsid w:val="00974306"/>
    <w:rsid w:val="0097687B"/>
    <w:rsid w:val="00976A69"/>
    <w:rsid w:val="00980037"/>
    <w:rsid w:val="00983B43"/>
    <w:rsid w:val="00983FC7"/>
    <w:rsid w:val="009907EB"/>
    <w:rsid w:val="0099097F"/>
    <w:rsid w:val="009911CB"/>
    <w:rsid w:val="00991AF7"/>
    <w:rsid w:val="009936A1"/>
    <w:rsid w:val="00993907"/>
    <w:rsid w:val="009940EB"/>
    <w:rsid w:val="0099413B"/>
    <w:rsid w:val="009948C8"/>
    <w:rsid w:val="009950D3"/>
    <w:rsid w:val="009959A0"/>
    <w:rsid w:val="009966E9"/>
    <w:rsid w:val="009A040C"/>
    <w:rsid w:val="009A313E"/>
    <w:rsid w:val="009A32AD"/>
    <w:rsid w:val="009A4F0C"/>
    <w:rsid w:val="009A5C2D"/>
    <w:rsid w:val="009A5D64"/>
    <w:rsid w:val="009A6DF1"/>
    <w:rsid w:val="009A72DD"/>
    <w:rsid w:val="009B01B5"/>
    <w:rsid w:val="009B0A52"/>
    <w:rsid w:val="009B144A"/>
    <w:rsid w:val="009B16B2"/>
    <w:rsid w:val="009B1985"/>
    <w:rsid w:val="009B29A2"/>
    <w:rsid w:val="009B40A0"/>
    <w:rsid w:val="009B46FC"/>
    <w:rsid w:val="009B4732"/>
    <w:rsid w:val="009B4FA7"/>
    <w:rsid w:val="009B56EC"/>
    <w:rsid w:val="009B66F0"/>
    <w:rsid w:val="009B6822"/>
    <w:rsid w:val="009C229C"/>
    <w:rsid w:val="009C22B6"/>
    <w:rsid w:val="009C2C1C"/>
    <w:rsid w:val="009C3034"/>
    <w:rsid w:val="009C36D7"/>
    <w:rsid w:val="009C3A5D"/>
    <w:rsid w:val="009C487A"/>
    <w:rsid w:val="009C6391"/>
    <w:rsid w:val="009C679B"/>
    <w:rsid w:val="009C75A2"/>
    <w:rsid w:val="009D01D5"/>
    <w:rsid w:val="009D08DF"/>
    <w:rsid w:val="009D0CDC"/>
    <w:rsid w:val="009D3433"/>
    <w:rsid w:val="009D44C8"/>
    <w:rsid w:val="009D64B0"/>
    <w:rsid w:val="009D70BA"/>
    <w:rsid w:val="009D7AD3"/>
    <w:rsid w:val="009D7EEE"/>
    <w:rsid w:val="009E1B94"/>
    <w:rsid w:val="009E364F"/>
    <w:rsid w:val="009E4867"/>
    <w:rsid w:val="009E494A"/>
    <w:rsid w:val="009E5093"/>
    <w:rsid w:val="009E509E"/>
    <w:rsid w:val="009E5691"/>
    <w:rsid w:val="009E5BAF"/>
    <w:rsid w:val="009E6A2C"/>
    <w:rsid w:val="009E737D"/>
    <w:rsid w:val="009E7F6F"/>
    <w:rsid w:val="009F0222"/>
    <w:rsid w:val="009F2194"/>
    <w:rsid w:val="009F544E"/>
    <w:rsid w:val="009F5FD4"/>
    <w:rsid w:val="009F72AF"/>
    <w:rsid w:val="00A00617"/>
    <w:rsid w:val="00A00F66"/>
    <w:rsid w:val="00A00F7E"/>
    <w:rsid w:val="00A01077"/>
    <w:rsid w:val="00A0130C"/>
    <w:rsid w:val="00A01845"/>
    <w:rsid w:val="00A03917"/>
    <w:rsid w:val="00A03977"/>
    <w:rsid w:val="00A03CCB"/>
    <w:rsid w:val="00A050EF"/>
    <w:rsid w:val="00A063C6"/>
    <w:rsid w:val="00A06DFB"/>
    <w:rsid w:val="00A0764D"/>
    <w:rsid w:val="00A079E0"/>
    <w:rsid w:val="00A101E3"/>
    <w:rsid w:val="00A10F55"/>
    <w:rsid w:val="00A129AC"/>
    <w:rsid w:val="00A13809"/>
    <w:rsid w:val="00A142EC"/>
    <w:rsid w:val="00A147CA"/>
    <w:rsid w:val="00A15123"/>
    <w:rsid w:val="00A17168"/>
    <w:rsid w:val="00A17E47"/>
    <w:rsid w:val="00A20E39"/>
    <w:rsid w:val="00A21161"/>
    <w:rsid w:val="00A219C1"/>
    <w:rsid w:val="00A21AFB"/>
    <w:rsid w:val="00A24DB8"/>
    <w:rsid w:val="00A24F35"/>
    <w:rsid w:val="00A26FF7"/>
    <w:rsid w:val="00A2781B"/>
    <w:rsid w:val="00A30E5F"/>
    <w:rsid w:val="00A31189"/>
    <w:rsid w:val="00A3204A"/>
    <w:rsid w:val="00A3226C"/>
    <w:rsid w:val="00A333FA"/>
    <w:rsid w:val="00A33B50"/>
    <w:rsid w:val="00A33CA2"/>
    <w:rsid w:val="00A35515"/>
    <w:rsid w:val="00A3562B"/>
    <w:rsid w:val="00A364A3"/>
    <w:rsid w:val="00A372E0"/>
    <w:rsid w:val="00A37706"/>
    <w:rsid w:val="00A404F8"/>
    <w:rsid w:val="00A4151A"/>
    <w:rsid w:val="00A41C61"/>
    <w:rsid w:val="00A41F0A"/>
    <w:rsid w:val="00A432BB"/>
    <w:rsid w:val="00A43C0E"/>
    <w:rsid w:val="00A445DC"/>
    <w:rsid w:val="00A44BEA"/>
    <w:rsid w:val="00A4585F"/>
    <w:rsid w:val="00A4659C"/>
    <w:rsid w:val="00A4677C"/>
    <w:rsid w:val="00A4747D"/>
    <w:rsid w:val="00A50236"/>
    <w:rsid w:val="00A50A36"/>
    <w:rsid w:val="00A54EBD"/>
    <w:rsid w:val="00A607A1"/>
    <w:rsid w:val="00A608C5"/>
    <w:rsid w:val="00A61329"/>
    <w:rsid w:val="00A6147D"/>
    <w:rsid w:val="00A614A9"/>
    <w:rsid w:val="00A6208F"/>
    <w:rsid w:val="00A637DC"/>
    <w:rsid w:val="00A638C4"/>
    <w:rsid w:val="00A64F80"/>
    <w:rsid w:val="00A65513"/>
    <w:rsid w:val="00A662E1"/>
    <w:rsid w:val="00A66937"/>
    <w:rsid w:val="00A669DF"/>
    <w:rsid w:val="00A66F5D"/>
    <w:rsid w:val="00A67620"/>
    <w:rsid w:val="00A67CF2"/>
    <w:rsid w:val="00A7019A"/>
    <w:rsid w:val="00A70C2C"/>
    <w:rsid w:val="00A70D59"/>
    <w:rsid w:val="00A711C6"/>
    <w:rsid w:val="00A71325"/>
    <w:rsid w:val="00A740CD"/>
    <w:rsid w:val="00A756F2"/>
    <w:rsid w:val="00A76BA6"/>
    <w:rsid w:val="00A76ECD"/>
    <w:rsid w:val="00A77197"/>
    <w:rsid w:val="00A80010"/>
    <w:rsid w:val="00A81F61"/>
    <w:rsid w:val="00A82CF5"/>
    <w:rsid w:val="00A82F5F"/>
    <w:rsid w:val="00A84863"/>
    <w:rsid w:val="00A86FF4"/>
    <w:rsid w:val="00A902E0"/>
    <w:rsid w:val="00A932D1"/>
    <w:rsid w:val="00A948F3"/>
    <w:rsid w:val="00A95D95"/>
    <w:rsid w:val="00A97333"/>
    <w:rsid w:val="00A977EC"/>
    <w:rsid w:val="00AA0468"/>
    <w:rsid w:val="00AA09DD"/>
    <w:rsid w:val="00AA1394"/>
    <w:rsid w:val="00AA18D9"/>
    <w:rsid w:val="00AA3BE0"/>
    <w:rsid w:val="00AA3FD1"/>
    <w:rsid w:val="00AA4855"/>
    <w:rsid w:val="00AA4E52"/>
    <w:rsid w:val="00AA5648"/>
    <w:rsid w:val="00AA58DE"/>
    <w:rsid w:val="00AA6DD6"/>
    <w:rsid w:val="00AA6E51"/>
    <w:rsid w:val="00AA78DE"/>
    <w:rsid w:val="00AB08B3"/>
    <w:rsid w:val="00AB10B8"/>
    <w:rsid w:val="00AB1450"/>
    <w:rsid w:val="00AB14EB"/>
    <w:rsid w:val="00AB214E"/>
    <w:rsid w:val="00AB3230"/>
    <w:rsid w:val="00AB3CA4"/>
    <w:rsid w:val="00AB5876"/>
    <w:rsid w:val="00AB59DA"/>
    <w:rsid w:val="00AB5ED3"/>
    <w:rsid w:val="00AB6B0C"/>
    <w:rsid w:val="00AB6CA8"/>
    <w:rsid w:val="00AB70CD"/>
    <w:rsid w:val="00AC07FB"/>
    <w:rsid w:val="00AC1532"/>
    <w:rsid w:val="00AC1ED6"/>
    <w:rsid w:val="00AC3190"/>
    <w:rsid w:val="00AC4387"/>
    <w:rsid w:val="00AC48B3"/>
    <w:rsid w:val="00AC4CED"/>
    <w:rsid w:val="00AC4D8D"/>
    <w:rsid w:val="00AC6CDC"/>
    <w:rsid w:val="00AC6F0C"/>
    <w:rsid w:val="00AC7AC9"/>
    <w:rsid w:val="00AC7B72"/>
    <w:rsid w:val="00AD0E6A"/>
    <w:rsid w:val="00AD2CF6"/>
    <w:rsid w:val="00AD4461"/>
    <w:rsid w:val="00AD4588"/>
    <w:rsid w:val="00AD5010"/>
    <w:rsid w:val="00AD503E"/>
    <w:rsid w:val="00AD592B"/>
    <w:rsid w:val="00AD5F45"/>
    <w:rsid w:val="00AE08F0"/>
    <w:rsid w:val="00AE1920"/>
    <w:rsid w:val="00AE1E9B"/>
    <w:rsid w:val="00AE22B5"/>
    <w:rsid w:val="00AE2F84"/>
    <w:rsid w:val="00AE4E8F"/>
    <w:rsid w:val="00AE5555"/>
    <w:rsid w:val="00AE5934"/>
    <w:rsid w:val="00AE5E49"/>
    <w:rsid w:val="00AE685A"/>
    <w:rsid w:val="00AF01B3"/>
    <w:rsid w:val="00AF0F13"/>
    <w:rsid w:val="00AF1321"/>
    <w:rsid w:val="00AF2A52"/>
    <w:rsid w:val="00AF39E1"/>
    <w:rsid w:val="00AF4340"/>
    <w:rsid w:val="00AF52BA"/>
    <w:rsid w:val="00AF6303"/>
    <w:rsid w:val="00AF708C"/>
    <w:rsid w:val="00AF7992"/>
    <w:rsid w:val="00B00AB3"/>
    <w:rsid w:val="00B012E4"/>
    <w:rsid w:val="00B02B2A"/>
    <w:rsid w:val="00B0328B"/>
    <w:rsid w:val="00B05072"/>
    <w:rsid w:val="00B050AE"/>
    <w:rsid w:val="00B05225"/>
    <w:rsid w:val="00B05CEA"/>
    <w:rsid w:val="00B0602B"/>
    <w:rsid w:val="00B06995"/>
    <w:rsid w:val="00B06C14"/>
    <w:rsid w:val="00B076A9"/>
    <w:rsid w:val="00B10AA8"/>
    <w:rsid w:val="00B1307F"/>
    <w:rsid w:val="00B14027"/>
    <w:rsid w:val="00B146C4"/>
    <w:rsid w:val="00B14814"/>
    <w:rsid w:val="00B14C52"/>
    <w:rsid w:val="00B14DCE"/>
    <w:rsid w:val="00B15E89"/>
    <w:rsid w:val="00B16872"/>
    <w:rsid w:val="00B17452"/>
    <w:rsid w:val="00B17522"/>
    <w:rsid w:val="00B200AA"/>
    <w:rsid w:val="00B200B2"/>
    <w:rsid w:val="00B20A2D"/>
    <w:rsid w:val="00B20D06"/>
    <w:rsid w:val="00B20E33"/>
    <w:rsid w:val="00B21F05"/>
    <w:rsid w:val="00B224C1"/>
    <w:rsid w:val="00B22DE3"/>
    <w:rsid w:val="00B24FC1"/>
    <w:rsid w:val="00B255F2"/>
    <w:rsid w:val="00B261C3"/>
    <w:rsid w:val="00B26A29"/>
    <w:rsid w:val="00B30B4C"/>
    <w:rsid w:val="00B32280"/>
    <w:rsid w:val="00B32356"/>
    <w:rsid w:val="00B33DBA"/>
    <w:rsid w:val="00B34085"/>
    <w:rsid w:val="00B35EC1"/>
    <w:rsid w:val="00B36C36"/>
    <w:rsid w:val="00B37106"/>
    <w:rsid w:val="00B416EB"/>
    <w:rsid w:val="00B418DC"/>
    <w:rsid w:val="00B42580"/>
    <w:rsid w:val="00B426A5"/>
    <w:rsid w:val="00B43D1E"/>
    <w:rsid w:val="00B455AE"/>
    <w:rsid w:val="00B45DFC"/>
    <w:rsid w:val="00B45E7A"/>
    <w:rsid w:val="00B467A7"/>
    <w:rsid w:val="00B4772B"/>
    <w:rsid w:val="00B477D7"/>
    <w:rsid w:val="00B478C3"/>
    <w:rsid w:val="00B5076F"/>
    <w:rsid w:val="00B52DCF"/>
    <w:rsid w:val="00B52E9A"/>
    <w:rsid w:val="00B52ED9"/>
    <w:rsid w:val="00B5476F"/>
    <w:rsid w:val="00B55036"/>
    <w:rsid w:val="00B55BF0"/>
    <w:rsid w:val="00B563F7"/>
    <w:rsid w:val="00B56F18"/>
    <w:rsid w:val="00B6059A"/>
    <w:rsid w:val="00B61348"/>
    <w:rsid w:val="00B6263F"/>
    <w:rsid w:val="00B631BB"/>
    <w:rsid w:val="00B638A2"/>
    <w:rsid w:val="00B63F6A"/>
    <w:rsid w:val="00B65A9B"/>
    <w:rsid w:val="00B66961"/>
    <w:rsid w:val="00B67114"/>
    <w:rsid w:val="00B671AC"/>
    <w:rsid w:val="00B71B20"/>
    <w:rsid w:val="00B71BDA"/>
    <w:rsid w:val="00B71C22"/>
    <w:rsid w:val="00B729FA"/>
    <w:rsid w:val="00B72DB6"/>
    <w:rsid w:val="00B73A9A"/>
    <w:rsid w:val="00B74E57"/>
    <w:rsid w:val="00B75449"/>
    <w:rsid w:val="00B76275"/>
    <w:rsid w:val="00B763A0"/>
    <w:rsid w:val="00B76EB6"/>
    <w:rsid w:val="00B77A81"/>
    <w:rsid w:val="00B80042"/>
    <w:rsid w:val="00B80922"/>
    <w:rsid w:val="00B82AD8"/>
    <w:rsid w:val="00B82AF9"/>
    <w:rsid w:val="00B830ED"/>
    <w:rsid w:val="00B83156"/>
    <w:rsid w:val="00B8323F"/>
    <w:rsid w:val="00B83379"/>
    <w:rsid w:val="00B83863"/>
    <w:rsid w:val="00B844A6"/>
    <w:rsid w:val="00B84833"/>
    <w:rsid w:val="00B86048"/>
    <w:rsid w:val="00B8614D"/>
    <w:rsid w:val="00B865E5"/>
    <w:rsid w:val="00B86950"/>
    <w:rsid w:val="00B86A4B"/>
    <w:rsid w:val="00B86C00"/>
    <w:rsid w:val="00B87A59"/>
    <w:rsid w:val="00B9016A"/>
    <w:rsid w:val="00B90942"/>
    <w:rsid w:val="00B90A23"/>
    <w:rsid w:val="00B90B0E"/>
    <w:rsid w:val="00B91B41"/>
    <w:rsid w:val="00B93942"/>
    <w:rsid w:val="00B93BE6"/>
    <w:rsid w:val="00B93BE8"/>
    <w:rsid w:val="00B93EF2"/>
    <w:rsid w:val="00B9432F"/>
    <w:rsid w:val="00B95B1F"/>
    <w:rsid w:val="00B971B6"/>
    <w:rsid w:val="00B97A3F"/>
    <w:rsid w:val="00BA162D"/>
    <w:rsid w:val="00BA19C6"/>
    <w:rsid w:val="00BA1B8F"/>
    <w:rsid w:val="00BA1EA0"/>
    <w:rsid w:val="00BA23CA"/>
    <w:rsid w:val="00BA2A69"/>
    <w:rsid w:val="00BA4EE0"/>
    <w:rsid w:val="00BA527C"/>
    <w:rsid w:val="00BA666D"/>
    <w:rsid w:val="00BA7005"/>
    <w:rsid w:val="00BA7BD8"/>
    <w:rsid w:val="00BB015A"/>
    <w:rsid w:val="00BB0687"/>
    <w:rsid w:val="00BB11E5"/>
    <w:rsid w:val="00BB21E9"/>
    <w:rsid w:val="00BB4A9D"/>
    <w:rsid w:val="00BB5C08"/>
    <w:rsid w:val="00BB7494"/>
    <w:rsid w:val="00BC5A25"/>
    <w:rsid w:val="00BC5FE0"/>
    <w:rsid w:val="00BC61AA"/>
    <w:rsid w:val="00BC673A"/>
    <w:rsid w:val="00BC69D9"/>
    <w:rsid w:val="00BC6CDF"/>
    <w:rsid w:val="00BC7A8C"/>
    <w:rsid w:val="00BD0B22"/>
    <w:rsid w:val="00BD1CD1"/>
    <w:rsid w:val="00BD287F"/>
    <w:rsid w:val="00BD2E8F"/>
    <w:rsid w:val="00BD3EA9"/>
    <w:rsid w:val="00BD4446"/>
    <w:rsid w:val="00BD4C82"/>
    <w:rsid w:val="00BD6272"/>
    <w:rsid w:val="00BD7152"/>
    <w:rsid w:val="00BE07A9"/>
    <w:rsid w:val="00BE17F4"/>
    <w:rsid w:val="00BE1928"/>
    <w:rsid w:val="00BE19BF"/>
    <w:rsid w:val="00BE245E"/>
    <w:rsid w:val="00BE27F7"/>
    <w:rsid w:val="00BE3145"/>
    <w:rsid w:val="00BE3B38"/>
    <w:rsid w:val="00BE3DB3"/>
    <w:rsid w:val="00BE4F06"/>
    <w:rsid w:val="00BE5756"/>
    <w:rsid w:val="00BE632A"/>
    <w:rsid w:val="00BE6B81"/>
    <w:rsid w:val="00BE6D80"/>
    <w:rsid w:val="00BE7416"/>
    <w:rsid w:val="00BE78D0"/>
    <w:rsid w:val="00BE7EE6"/>
    <w:rsid w:val="00BF0872"/>
    <w:rsid w:val="00BF1A9C"/>
    <w:rsid w:val="00BF1E48"/>
    <w:rsid w:val="00BF3342"/>
    <w:rsid w:val="00BF5230"/>
    <w:rsid w:val="00BF584F"/>
    <w:rsid w:val="00BF60F0"/>
    <w:rsid w:val="00BF6E20"/>
    <w:rsid w:val="00BF6F98"/>
    <w:rsid w:val="00BF72A9"/>
    <w:rsid w:val="00C013AE"/>
    <w:rsid w:val="00C019AA"/>
    <w:rsid w:val="00C0353F"/>
    <w:rsid w:val="00C035EC"/>
    <w:rsid w:val="00C03F06"/>
    <w:rsid w:val="00C04D3C"/>
    <w:rsid w:val="00C059DE"/>
    <w:rsid w:val="00C07982"/>
    <w:rsid w:val="00C07B37"/>
    <w:rsid w:val="00C1090C"/>
    <w:rsid w:val="00C10B4C"/>
    <w:rsid w:val="00C114A0"/>
    <w:rsid w:val="00C11F97"/>
    <w:rsid w:val="00C12513"/>
    <w:rsid w:val="00C128B3"/>
    <w:rsid w:val="00C12D49"/>
    <w:rsid w:val="00C143F9"/>
    <w:rsid w:val="00C1448D"/>
    <w:rsid w:val="00C14C36"/>
    <w:rsid w:val="00C1515E"/>
    <w:rsid w:val="00C15FDF"/>
    <w:rsid w:val="00C16415"/>
    <w:rsid w:val="00C1686C"/>
    <w:rsid w:val="00C16FAE"/>
    <w:rsid w:val="00C171F7"/>
    <w:rsid w:val="00C17E0D"/>
    <w:rsid w:val="00C20EB5"/>
    <w:rsid w:val="00C21BBF"/>
    <w:rsid w:val="00C23744"/>
    <w:rsid w:val="00C23E55"/>
    <w:rsid w:val="00C240C8"/>
    <w:rsid w:val="00C26513"/>
    <w:rsid w:val="00C26534"/>
    <w:rsid w:val="00C276C9"/>
    <w:rsid w:val="00C277A7"/>
    <w:rsid w:val="00C3097B"/>
    <w:rsid w:val="00C329B3"/>
    <w:rsid w:val="00C335A2"/>
    <w:rsid w:val="00C33A6A"/>
    <w:rsid w:val="00C377BE"/>
    <w:rsid w:val="00C37BEF"/>
    <w:rsid w:val="00C37F72"/>
    <w:rsid w:val="00C409AB"/>
    <w:rsid w:val="00C420C1"/>
    <w:rsid w:val="00C422DB"/>
    <w:rsid w:val="00C43F8A"/>
    <w:rsid w:val="00C44C97"/>
    <w:rsid w:val="00C45963"/>
    <w:rsid w:val="00C46668"/>
    <w:rsid w:val="00C47218"/>
    <w:rsid w:val="00C472B8"/>
    <w:rsid w:val="00C47575"/>
    <w:rsid w:val="00C5025D"/>
    <w:rsid w:val="00C51662"/>
    <w:rsid w:val="00C51C6B"/>
    <w:rsid w:val="00C53124"/>
    <w:rsid w:val="00C531CB"/>
    <w:rsid w:val="00C53976"/>
    <w:rsid w:val="00C53B2E"/>
    <w:rsid w:val="00C540F7"/>
    <w:rsid w:val="00C544F1"/>
    <w:rsid w:val="00C555A1"/>
    <w:rsid w:val="00C555C6"/>
    <w:rsid w:val="00C56325"/>
    <w:rsid w:val="00C56D4A"/>
    <w:rsid w:val="00C57955"/>
    <w:rsid w:val="00C57B3D"/>
    <w:rsid w:val="00C60D73"/>
    <w:rsid w:val="00C61080"/>
    <w:rsid w:val="00C6160A"/>
    <w:rsid w:val="00C616B8"/>
    <w:rsid w:val="00C61D55"/>
    <w:rsid w:val="00C6370C"/>
    <w:rsid w:val="00C647AA"/>
    <w:rsid w:val="00C64B18"/>
    <w:rsid w:val="00C64D09"/>
    <w:rsid w:val="00C66A16"/>
    <w:rsid w:val="00C673C1"/>
    <w:rsid w:val="00C70333"/>
    <w:rsid w:val="00C707FD"/>
    <w:rsid w:val="00C7219C"/>
    <w:rsid w:val="00C73473"/>
    <w:rsid w:val="00C742B0"/>
    <w:rsid w:val="00C749E7"/>
    <w:rsid w:val="00C74A41"/>
    <w:rsid w:val="00C74E55"/>
    <w:rsid w:val="00C754C5"/>
    <w:rsid w:val="00C755EC"/>
    <w:rsid w:val="00C76199"/>
    <w:rsid w:val="00C775BE"/>
    <w:rsid w:val="00C80A80"/>
    <w:rsid w:val="00C80AFC"/>
    <w:rsid w:val="00C82EE5"/>
    <w:rsid w:val="00C84E04"/>
    <w:rsid w:val="00C866BF"/>
    <w:rsid w:val="00C87476"/>
    <w:rsid w:val="00C8770C"/>
    <w:rsid w:val="00C910BE"/>
    <w:rsid w:val="00C912D9"/>
    <w:rsid w:val="00C922BE"/>
    <w:rsid w:val="00C922C4"/>
    <w:rsid w:val="00C9321C"/>
    <w:rsid w:val="00C94F20"/>
    <w:rsid w:val="00C95B45"/>
    <w:rsid w:val="00C96B4B"/>
    <w:rsid w:val="00CA0221"/>
    <w:rsid w:val="00CA02E5"/>
    <w:rsid w:val="00CA0AEA"/>
    <w:rsid w:val="00CA0CFF"/>
    <w:rsid w:val="00CA32C9"/>
    <w:rsid w:val="00CA3ACD"/>
    <w:rsid w:val="00CA3F45"/>
    <w:rsid w:val="00CA4146"/>
    <w:rsid w:val="00CA4390"/>
    <w:rsid w:val="00CA47E8"/>
    <w:rsid w:val="00CA4FAB"/>
    <w:rsid w:val="00CA5549"/>
    <w:rsid w:val="00CA7326"/>
    <w:rsid w:val="00CA7415"/>
    <w:rsid w:val="00CA755F"/>
    <w:rsid w:val="00CA7B08"/>
    <w:rsid w:val="00CB041A"/>
    <w:rsid w:val="00CB062F"/>
    <w:rsid w:val="00CB22E8"/>
    <w:rsid w:val="00CB265C"/>
    <w:rsid w:val="00CB364B"/>
    <w:rsid w:val="00CB366F"/>
    <w:rsid w:val="00CB404D"/>
    <w:rsid w:val="00CB5BD3"/>
    <w:rsid w:val="00CB6031"/>
    <w:rsid w:val="00CB6921"/>
    <w:rsid w:val="00CB7151"/>
    <w:rsid w:val="00CB76BE"/>
    <w:rsid w:val="00CB79BA"/>
    <w:rsid w:val="00CB7A07"/>
    <w:rsid w:val="00CC0AF7"/>
    <w:rsid w:val="00CC0C3A"/>
    <w:rsid w:val="00CC1288"/>
    <w:rsid w:val="00CC3093"/>
    <w:rsid w:val="00CC32E7"/>
    <w:rsid w:val="00CC3A34"/>
    <w:rsid w:val="00CC3A3C"/>
    <w:rsid w:val="00CC4916"/>
    <w:rsid w:val="00CC4D4D"/>
    <w:rsid w:val="00CC5289"/>
    <w:rsid w:val="00CC5412"/>
    <w:rsid w:val="00CC59BB"/>
    <w:rsid w:val="00CC5A94"/>
    <w:rsid w:val="00CC6116"/>
    <w:rsid w:val="00CC71D5"/>
    <w:rsid w:val="00CD0435"/>
    <w:rsid w:val="00CD05A4"/>
    <w:rsid w:val="00CD42F9"/>
    <w:rsid w:val="00CD4890"/>
    <w:rsid w:val="00CD5622"/>
    <w:rsid w:val="00CD5881"/>
    <w:rsid w:val="00CD635D"/>
    <w:rsid w:val="00CD641E"/>
    <w:rsid w:val="00CD6E9A"/>
    <w:rsid w:val="00CD7CED"/>
    <w:rsid w:val="00CE01BF"/>
    <w:rsid w:val="00CE04C7"/>
    <w:rsid w:val="00CE3540"/>
    <w:rsid w:val="00CE4E9F"/>
    <w:rsid w:val="00CE531B"/>
    <w:rsid w:val="00CE54FA"/>
    <w:rsid w:val="00CE5726"/>
    <w:rsid w:val="00CE5B2F"/>
    <w:rsid w:val="00CE5F4F"/>
    <w:rsid w:val="00CE636A"/>
    <w:rsid w:val="00CE7E00"/>
    <w:rsid w:val="00CF0218"/>
    <w:rsid w:val="00CF0C6B"/>
    <w:rsid w:val="00CF156B"/>
    <w:rsid w:val="00CF1E02"/>
    <w:rsid w:val="00CF2B79"/>
    <w:rsid w:val="00CF2C1B"/>
    <w:rsid w:val="00CF41FC"/>
    <w:rsid w:val="00CF4354"/>
    <w:rsid w:val="00CF5192"/>
    <w:rsid w:val="00CF561A"/>
    <w:rsid w:val="00CF597A"/>
    <w:rsid w:val="00CF654E"/>
    <w:rsid w:val="00CF78EB"/>
    <w:rsid w:val="00CF7B7E"/>
    <w:rsid w:val="00D02770"/>
    <w:rsid w:val="00D05BAA"/>
    <w:rsid w:val="00D06890"/>
    <w:rsid w:val="00D10AD6"/>
    <w:rsid w:val="00D10D24"/>
    <w:rsid w:val="00D10EEF"/>
    <w:rsid w:val="00D1183B"/>
    <w:rsid w:val="00D13544"/>
    <w:rsid w:val="00D13B7A"/>
    <w:rsid w:val="00D14344"/>
    <w:rsid w:val="00D16A9B"/>
    <w:rsid w:val="00D16EBC"/>
    <w:rsid w:val="00D20CE8"/>
    <w:rsid w:val="00D22C4B"/>
    <w:rsid w:val="00D230C7"/>
    <w:rsid w:val="00D2395B"/>
    <w:rsid w:val="00D23D1A"/>
    <w:rsid w:val="00D23E7D"/>
    <w:rsid w:val="00D2405F"/>
    <w:rsid w:val="00D26266"/>
    <w:rsid w:val="00D26540"/>
    <w:rsid w:val="00D269BE"/>
    <w:rsid w:val="00D27BCB"/>
    <w:rsid w:val="00D27BE1"/>
    <w:rsid w:val="00D30136"/>
    <w:rsid w:val="00D302AD"/>
    <w:rsid w:val="00D3058B"/>
    <w:rsid w:val="00D30C7F"/>
    <w:rsid w:val="00D317A3"/>
    <w:rsid w:val="00D31D53"/>
    <w:rsid w:val="00D3242F"/>
    <w:rsid w:val="00D324EC"/>
    <w:rsid w:val="00D32BC7"/>
    <w:rsid w:val="00D32C72"/>
    <w:rsid w:val="00D33645"/>
    <w:rsid w:val="00D337ED"/>
    <w:rsid w:val="00D343AE"/>
    <w:rsid w:val="00D36CDF"/>
    <w:rsid w:val="00D3713F"/>
    <w:rsid w:val="00D401A8"/>
    <w:rsid w:val="00D4146D"/>
    <w:rsid w:val="00D41BA9"/>
    <w:rsid w:val="00D41E17"/>
    <w:rsid w:val="00D43F21"/>
    <w:rsid w:val="00D449EE"/>
    <w:rsid w:val="00D46B90"/>
    <w:rsid w:val="00D46CBE"/>
    <w:rsid w:val="00D46F7B"/>
    <w:rsid w:val="00D47ED4"/>
    <w:rsid w:val="00D51BFE"/>
    <w:rsid w:val="00D5405C"/>
    <w:rsid w:val="00D54CF8"/>
    <w:rsid w:val="00D56C2E"/>
    <w:rsid w:val="00D57AF0"/>
    <w:rsid w:val="00D601A9"/>
    <w:rsid w:val="00D60FCF"/>
    <w:rsid w:val="00D612C2"/>
    <w:rsid w:val="00D62A1C"/>
    <w:rsid w:val="00D63CD8"/>
    <w:rsid w:val="00D64317"/>
    <w:rsid w:val="00D71704"/>
    <w:rsid w:val="00D7181B"/>
    <w:rsid w:val="00D71F0F"/>
    <w:rsid w:val="00D71F83"/>
    <w:rsid w:val="00D724A3"/>
    <w:rsid w:val="00D728EA"/>
    <w:rsid w:val="00D73FB5"/>
    <w:rsid w:val="00D7427B"/>
    <w:rsid w:val="00D745E0"/>
    <w:rsid w:val="00D74864"/>
    <w:rsid w:val="00D7493F"/>
    <w:rsid w:val="00D75256"/>
    <w:rsid w:val="00D75812"/>
    <w:rsid w:val="00D7652D"/>
    <w:rsid w:val="00D76AA3"/>
    <w:rsid w:val="00D76BAE"/>
    <w:rsid w:val="00D77787"/>
    <w:rsid w:val="00D80604"/>
    <w:rsid w:val="00D815CF"/>
    <w:rsid w:val="00D82AF1"/>
    <w:rsid w:val="00D82C16"/>
    <w:rsid w:val="00D833C4"/>
    <w:rsid w:val="00D83485"/>
    <w:rsid w:val="00D83B29"/>
    <w:rsid w:val="00D83D7E"/>
    <w:rsid w:val="00D84807"/>
    <w:rsid w:val="00D85397"/>
    <w:rsid w:val="00D86007"/>
    <w:rsid w:val="00D9093D"/>
    <w:rsid w:val="00D92635"/>
    <w:rsid w:val="00D92C14"/>
    <w:rsid w:val="00D93D8B"/>
    <w:rsid w:val="00D93E86"/>
    <w:rsid w:val="00D94073"/>
    <w:rsid w:val="00D94094"/>
    <w:rsid w:val="00D94EC8"/>
    <w:rsid w:val="00D95211"/>
    <w:rsid w:val="00D96856"/>
    <w:rsid w:val="00D97C29"/>
    <w:rsid w:val="00DA086B"/>
    <w:rsid w:val="00DA1711"/>
    <w:rsid w:val="00DA1B1D"/>
    <w:rsid w:val="00DA3787"/>
    <w:rsid w:val="00DA3A5A"/>
    <w:rsid w:val="00DA3C6B"/>
    <w:rsid w:val="00DA3F71"/>
    <w:rsid w:val="00DA734C"/>
    <w:rsid w:val="00DA7D04"/>
    <w:rsid w:val="00DA7E05"/>
    <w:rsid w:val="00DB2178"/>
    <w:rsid w:val="00DB351A"/>
    <w:rsid w:val="00DB3A63"/>
    <w:rsid w:val="00DB4794"/>
    <w:rsid w:val="00DB548C"/>
    <w:rsid w:val="00DB5A28"/>
    <w:rsid w:val="00DB5C3E"/>
    <w:rsid w:val="00DB5D38"/>
    <w:rsid w:val="00DB628E"/>
    <w:rsid w:val="00DB6AF8"/>
    <w:rsid w:val="00DC0C7A"/>
    <w:rsid w:val="00DC3F3C"/>
    <w:rsid w:val="00DC59B3"/>
    <w:rsid w:val="00DC5C31"/>
    <w:rsid w:val="00DC6511"/>
    <w:rsid w:val="00DC7487"/>
    <w:rsid w:val="00DD0DDF"/>
    <w:rsid w:val="00DD0E57"/>
    <w:rsid w:val="00DD0EA1"/>
    <w:rsid w:val="00DD0EFC"/>
    <w:rsid w:val="00DD1C0D"/>
    <w:rsid w:val="00DD24D3"/>
    <w:rsid w:val="00DD3BE9"/>
    <w:rsid w:val="00DD5C69"/>
    <w:rsid w:val="00DD5DAC"/>
    <w:rsid w:val="00DD626F"/>
    <w:rsid w:val="00DD627F"/>
    <w:rsid w:val="00DD6A53"/>
    <w:rsid w:val="00DE1120"/>
    <w:rsid w:val="00DE1260"/>
    <w:rsid w:val="00DE1786"/>
    <w:rsid w:val="00DE1DEE"/>
    <w:rsid w:val="00DE3C52"/>
    <w:rsid w:val="00DE3D23"/>
    <w:rsid w:val="00DE5420"/>
    <w:rsid w:val="00DF18C2"/>
    <w:rsid w:val="00DF33BB"/>
    <w:rsid w:val="00DF369E"/>
    <w:rsid w:val="00DF3CF4"/>
    <w:rsid w:val="00DF4D11"/>
    <w:rsid w:val="00DF6B5E"/>
    <w:rsid w:val="00DF6D62"/>
    <w:rsid w:val="00DF720A"/>
    <w:rsid w:val="00DF7325"/>
    <w:rsid w:val="00DF782C"/>
    <w:rsid w:val="00E00965"/>
    <w:rsid w:val="00E02A3E"/>
    <w:rsid w:val="00E030A0"/>
    <w:rsid w:val="00E03521"/>
    <w:rsid w:val="00E03EF9"/>
    <w:rsid w:val="00E04318"/>
    <w:rsid w:val="00E04FCD"/>
    <w:rsid w:val="00E067E8"/>
    <w:rsid w:val="00E06C6A"/>
    <w:rsid w:val="00E07CCF"/>
    <w:rsid w:val="00E10948"/>
    <w:rsid w:val="00E1245E"/>
    <w:rsid w:val="00E124E3"/>
    <w:rsid w:val="00E12CE1"/>
    <w:rsid w:val="00E13577"/>
    <w:rsid w:val="00E13F78"/>
    <w:rsid w:val="00E14812"/>
    <w:rsid w:val="00E15DDE"/>
    <w:rsid w:val="00E16936"/>
    <w:rsid w:val="00E17A8A"/>
    <w:rsid w:val="00E210B7"/>
    <w:rsid w:val="00E21203"/>
    <w:rsid w:val="00E2120B"/>
    <w:rsid w:val="00E21F19"/>
    <w:rsid w:val="00E2339E"/>
    <w:rsid w:val="00E23453"/>
    <w:rsid w:val="00E23B0C"/>
    <w:rsid w:val="00E24A60"/>
    <w:rsid w:val="00E25C91"/>
    <w:rsid w:val="00E25D64"/>
    <w:rsid w:val="00E2676C"/>
    <w:rsid w:val="00E27720"/>
    <w:rsid w:val="00E313C1"/>
    <w:rsid w:val="00E31A5C"/>
    <w:rsid w:val="00E3245B"/>
    <w:rsid w:val="00E3259E"/>
    <w:rsid w:val="00E32D95"/>
    <w:rsid w:val="00E3324D"/>
    <w:rsid w:val="00E33746"/>
    <w:rsid w:val="00E34A59"/>
    <w:rsid w:val="00E3580C"/>
    <w:rsid w:val="00E36D10"/>
    <w:rsid w:val="00E36D7C"/>
    <w:rsid w:val="00E3707B"/>
    <w:rsid w:val="00E37392"/>
    <w:rsid w:val="00E37BD0"/>
    <w:rsid w:val="00E41A56"/>
    <w:rsid w:val="00E41BDA"/>
    <w:rsid w:val="00E42905"/>
    <w:rsid w:val="00E44223"/>
    <w:rsid w:val="00E44C5D"/>
    <w:rsid w:val="00E45833"/>
    <w:rsid w:val="00E460F9"/>
    <w:rsid w:val="00E50685"/>
    <w:rsid w:val="00E52A11"/>
    <w:rsid w:val="00E5356C"/>
    <w:rsid w:val="00E54AA6"/>
    <w:rsid w:val="00E55A11"/>
    <w:rsid w:val="00E5714A"/>
    <w:rsid w:val="00E57F6B"/>
    <w:rsid w:val="00E60430"/>
    <w:rsid w:val="00E61411"/>
    <w:rsid w:val="00E61B93"/>
    <w:rsid w:val="00E649EC"/>
    <w:rsid w:val="00E64DEC"/>
    <w:rsid w:val="00E67D1C"/>
    <w:rsid w:val="00E72339"/>
    <w:rsid w:val="00E7264C"/>
    <w:rsid w:val="00E72760"/>
    <w:rsid w:val="00E7300D"/>
    <w:rsid w:val="00E7342C"/>
    <w:rsid w:val="00E73AFE"/>
    <w:rsid w:val="00E7457C"/>
    <w:rsid w:val="00E74789"/>
    <w:rsid w:val="00E75959"/>
    <w:rsid w:val="00E76C71"/>
    <w:rsid w:val="00E80E8D"/>
    <w:rsid w:val="00E80FDA"/>
    <w:rsid w:val="00E81282"/>
    <w:rsid w:val="00E81565"/>
    <w:rsid w:val="00E82F32"/>
    <w:rsid w:val="00E831B3"/>
    <w:rsid w:val="00E83D6C"/>
    <w:rsid w:val="00E84458"/>
    <w:rsid w:val="00E86453"/>
    <w:rsid w:val="00E86E01"/>
    <w:rsid w:val="00E87400"/>
    <w:rsid w:val="00E90F8F"/>
    <w:rsid w:val="00E92356"/>
    <w:rsid w:val="00E9524E"/>
    <w:rsid w:val="00E96EF3"/>
    <w:rsid w:val="00EA010E"/>
    <w:rsid w:val="00EA19FE"/>
    <w:rsid w:val="00EA23E3"/>
    <w:rsid w:val="00EA3228"/>
    <w:rsid w:val="00EB0605"/>
    <w:rsid w:val="00EB1D80"/>
    <w:rsid w:val="00EB1E33"/>
    <w:rsid w:val="00EB360C"/>
    <w:rsid w:val="00EB3F1C"/>
    <w:rsid w:val="00EB40D5"/>
    <w:rsid w:val="00EB4712"/>
    <w:rsid w:val="00EB6D73"/>
    <w:rsid w:val="00EC0881"/>
    <w:rsid w:val="00EC18BF"/>
    <w:rsid w:val="00EC45A8"/>
    <w:rsid w:val="00EC4EBD"/>
    <w:rsid w:val="00EC526B"/>
    <w:rsid w:val="00EC5B6B"/>
    <w:rsid w:val="00EC70DD"/>
    <w:rsid w:val="00ED1897"/>
    <w:rsid w:val="00ED2918"/>
    <w:rsid w:val="00ED3A2B"/>
    <w:rsid w:val="00ED4AF5"/>
    <w:rsid w:val="00ED4C41"/>
    <w:rsid w:val="00ED4F16"/>
    <w:rsid w:val="00ED6449"/>
    <w:rsid w:val="00EE0D46"/>
    <w:rsid w:val="00EE2A7B"/>
    <w:rsid w:val="00EE3546"/>
    <w:rsid w:val="00EE52B7"/>
    <w:rsid w:val="00EE55F9"/>
    <w:rsid w:val="00EE766A"/>
    <w:rsid w:val="00EE7E74"/>
    <w:rsid w:val="00EF02FD"/>
    <w:rsid w:val="00EF06E7"/>
    <w:rsid w:val="00EF1132"/>
    <w:rsid w:val="00EF1675"/>
    <w:rsid w:val="00EF3740"/>
    <w:rsid w:val="00EF3907"/>
    <w:rsid w:val="00EF3D6A"/>
    <w:rsid w:val="00EF3D8A"/>
    <w:rsid w:val="00EF490E"/>
    <w:rsid w:val="00EF55BD"/>
    <w:rsid w:val="00EF5A54"/>
    <w:rsid w:val="00EF683F"/>
    <w:rsid w:val="00EF77D7"/>
    <w:rsid w:val="00EF79FC"/>
    <w:rsid w:val="00F0022C"/>
    <w:rsid w:val="00F00250"/>
    <w:rsid w:val="00F0092D"/>
    <w:rsid w:val="00F01AF3"/>
    <w:rsid w:val="00F03102"/>
    <w:rsid w:val="00F03151"/>
    <w:rsid w:val="00F03487"/>
    <w:rsid w:val="00F03BFF"/>
    <w:rsid w:val="00F04BC6"/>
    <w:rsid w:val="00F04DC6"/>
    <w:rsid w:val="00F0532D"/>
    <w:rsid w:val="00F06C40"/>
    <w:rsid w:val="00F07109"/>
    <w:rsid w:val="00F11895"/>
    <w:rsid w:val="00F1353C"/>
    <w:rsid w:val="00F13CB2"/>
    <w:rsid w:val="00F14192"/>
    <w:rsid w:val="00F16000"/>
    <w:rsid w:val="00F20011"/>
    <w:rsid w:val="00F21247"/>
    <w:rsid w:val="00F21442"/>
    <w:rsid w:val="00F218C0"/>
    <w:rsid w:val="00F232A4"/>
    <w:rsid w:val="00F23BFD"/>
    <w:rsid w:val="00F24E06"/>
    <w:rsid w:val="00F24EBE"/>
    <w:rsid w:val="00F24F7A"/>
    <w:rsid w:val="00F24FA2"/>
    <w:rsid w:val="00F24FC5"/>
    <w:rsid w:val="00F25564"/>
    <w:rsid w:val="00F2702D"/>
    <w:rsid w:val="00F2709B"/>
    <w:rsid w:val="00F27B31"/>
    <w:rsid w:val="00F310DC"/>
    <w:rsid w:val="00F3222C"/>
    <w:rsid w:val="00F32362"/>
    <w:rsid w:val="00F323FF"/>
    <w:rsid w:val="00F33207"/>
    <w:rsid w:val="00F335CD"/>
    <w:rsid w:val="00F3437B"/>
    <w:rsid w:val="00F34942"/>
    <w:rsid w:val="00F35457"/>
    <w:rsid w:val="00F3595B"/>
    <w:rsid w:val="00F3671E"/>
    <w:rsid w:val="00F375BF"/>
    <w:rsid w:val="00F41866"/>
    <w:rsid w:val="00F419CB"/>
    <w:rsid w:val="00F426A6"/>
    <w:rsid w:val="00F429FD"/>
    <w:rsid w:val="00F467CE"/>
    <w:rsid w:val="00F46B12"/>
    <w:rsid w:val="00F47EC8"/>
    <w:rsid w:val="00F523A1"/>
    <w:rsid w:val="00F53509"/>
    <w:rsid w:val="00F54132"/>
    <w:rsid w:val="00F543F1"/>
    <w:rsid w:val="00F54A10"/>
    <w:rsid w:val="00F55006"/>
    <w:rsid w:val="00F5544B"/>
    <w:rsid w:val="00F55B16"/>
    <w:rsid w:val="00F56399"/>
    <w:rsid w:val="00F56461"/>
    <w:rsid w:val="00F56C27"/>
    <w:rsid w:val="00F5711B"/>
    <w:rsid w:val="00F609DC"/>
    <w:rsid w:val="00F61D57"/>
    <w:rsid w:val="00F623AD"/>
    <w:rsid w:val="00F62B16"/>
    <w:rsid w:val="00F631B3"/>
    <w:rsid w:val="00F642F4"/>
    <w:rsid w:val="00F65905"/>
    <w:rsid w:val="00F66D19"/>
    <w:rsid w:val="00F6703B"/>
    <w:rsid w:val="00F670B9"/>
    <w:rsid w:val="00F70C38"/>
    <w:rsid w:val="00F716D6"/>
    <w:rsid w:val="00F73270"/>
    <w:rsid w:val="00F73CB5"/>
    <w:rsid w:val="00F75E43"/>
    <w:rsid w:val="00F76538"/>
    <w:rsid w:val="00F7750A"/>
    <w:rsid w:val="00F77CA4"/>
    <w:rsid w:val="00F80006"/>
    <w:rsid w:val="00F80084"/>
    <w:rsid w:val="00F81A67"/>
    <w:rsid w:val="00F821AD"/>
    <w:rsid w:val="00F82270"/>
    <w:rsid w:val="00F84FA2"/>
    <w:rsid w:val="00F851DB"/>
    <w:rsid w:val="00F857C9"/>
    <w:rsid w:val="00F85A67"/>
    <w:rsid w:val="00F86D68"/>
    <w:rsid w:val="00F907F3"/>
    <w:rsid w:val="00F91A17"/>
    <w:rsid w:val="00F91B44"/>
    <w:rsid w:val="00F937AA"/>
    <w:rsid w:val="00F93D7A"/>
    <w:rsid w:val="00F94FBF"/>
    <w:rsid w:val="00F95676"/>
    <w:rsid w:val="00F95D1A"/>
    <w:rsid w:val="00F96608"/>
    <w:rsid w:val="00F96E2F"/>
    <w:rsid w:val="00F97B0C"/>
    <w:rsid w:val="00FA0A8B"/>
    <w:rsid w:val="00FA0C34"/>
    <w:rsid w:val="00FA212E"/>
    <w:rsid w:val="00FA33AF"/>
    <w:rsid w:val="00FA3CC1"/>
    <w:rsid w:val="00FA4BD7"/>
    <w:rsid w:val="00FA5B0E"/>
    <w:rsid w:val="00FA6292"/>
    <w:rsid w:val="00FA7806"/>
    <w:rsid w:val="00FB054A"/>
    <w:rsid w:val="00FB13DD"/>
    <w:rsid w:val="00FB3476"/>
    <w:rsid w:val="00FB4BE5"/>
    <w:rsid w:val="00FB4E2D"/>
    <w:rsid w:val="00FB545D"/>
    <w:rsid w:val="00FB5665"/>
    <w:rsid w:val="00FB6A00"/>
    <w:rsid w:val="00FB6C23"/>
    <w:rsid w:val="00FB7671"/>
    <w:rsid w:val="00FB7726"/>
    <w:rsid w:val="00FB7C69"/>
    <w:rsid w:val="00FC0304"/>
    <w:rsid w:val="00FC050D"/>
    <w:rsid w:val="00FC096E"/>
    <w:rsid w:val="00FC329A"/>
    <w:rsid w:val="00FC5996"/>
    <w:rsid w:val="00FC5E87"/>
    <w:rsid w:val="00FC5FDB"/>
    <w:rsid w:val="00FC61D7"/>
    <w:rsid w:val="00FD0AE9"/>
    <w:rsid w:val="00FD144C"/>
    <w:rsid w:val="00FD1624"/>
    <w:rsid w:val="00FD2470"/>
    <w:rsid w:val="00FD28CD"/>
    <w:rsid w:val="00FD37F6"/>
    <w:rsid w:val="00FD5668"/>
    <w:rsid w:val="00FD5823"/>
    <w:rsid w:val="00FD6208"/>
    <w:rsid w:val="00FD679F"/>
    <w:rsid w:val="00FD78B4"/>
    <w:rsid w:val="00FD7EC6"/>
    <w:rsid w:val="00FE06F3"/>
    <w:rsid w:val="00FE1466"/>
    <w:rsid w:val="00FE1C27"/>
    <w:rsid w:val="00FE4C75"/>
    <w:rsid w:val="00FE5C31"/>
    <w:rsid w:val="00FE6133"/>
    <w:rsid w:val="00FE73FB"/>
    <w:rsid w:val="00FF0431"/>
    <w:rsid w:val="00FF1575"/>
    <w:rsid w:val="00FF2307"/>
    <w:rsid w:val="00FF235F"/>
    <w:rsid w:val="00FF24B9"/>
    <w:rsid w:val="00FF5305"/>
    <w:rsid w:val="00FF647F"/>
    <w:rsid w:val="00FF6B9E"/>
    <w:rsid w:val="00FF6F53"/>
    <w:rsid w:val="00FF7095"/>
    <w:rsid w:val="00FF748B"/>
    <w:rsid w:val="00FF7536"/>
    <w:rsid w:val="010E6EFD"/>
    <w:rsid w:val="01121551"/>
    <w:rsid w:val="01363CF2"/>
    <w:rsid w:val="0149724F"/>
    <w:rsid w:val="014F2BCE"/>
    <w:rsid w:val="015B42CF"/>
    <w:rsid w:val="01655296"/>
    <w:rsid w:val="01762A4E"/>
    <w:rsid w:val="017B3835"/>
    <w:rsid w:val="017C4825"/>
    <w:rsid w:val="01A301A6"/>
    <w:rsid w:val="01B12DBA"/>
    <w:rsid w:val="01B5081C"/>
    <w:rsid w:val="01E15817"/>
    <w:rsid w:val="01EE42CE"/>
    <w:rsid w:val="025D4DE3"/>
    <w:rsid w:val="02674ADB"/>
    <w:rsid w:val="029617FE"/>
    <w:rsid w:val="02A23DA5"/>
    <w:rsid w:val="02CA3F36"/>
    <w:rsid w:val="030706AF"/>
    <w:rsid w:val="030E41C1"/>
    <w:rsid w:val="03477E6F"/>
    <w:rsid w:val="0398763D"/>
    <w:rsid w:val="03AA43F2"/>
    <w:rsid w:val="03D92BE0"/>
    <w:rsid w:val="040A56EA"/>
    <w:rsid w:val="04477A55"/>
    <w:rsid w:val="049D534C"/>
    <w:rsid w:val="049F6A1C"/>
    <w:rsid w:val="04B62595"/>
    <w:rsid w:val="04C22050"/>
    <w:rsid w:val="04C567BC"/>
    <w:rsid w:val="04E77756"/>
    <w:rsid w:val="04F953A8"/>
    <w:rsid w:val="052E4507"/>
    <w:rsid w:val="054A527A"/>
    <w:rsid w:val="05502044"/>
    <w:rsid w:val="05685F23"/>
    <w:rsid w:val="05687D89"/>
    <w:rsid w:val="057F5510"/>
    <w:rsid w:val="0594798A"/>
    <w:rsid w:val="05A012C8"/>
    <w:rsid w:val="05A42CA5"/>
    <w:rsid w:val="05AD6227"/>
    <w:rsid w:val="05B47F6C"/>
    <w:rsid w:val="05DC41AA"/>
    <w:rsid w:val="060112E5"/>
    <w:rsid w:val="0624040D"/>
    <w:rsid w:val="06261511"/>
    <w:rsid w:val="06325489"/>
    <w:rsid w:val="063D57B6"/>
    <w:rsid w:val="06470BC3"/>
    <w:rsid w:val="06474045"/>
    <w:rsid w:val="06500E91"/>
    <w:rsid w:val="06826890"/>
    <w:rsid w:val="068B0D99"/>
    <w:rsid w:val="068C3A66"/>
    <w:rsid w:val="068D1E4C"/>
    <w:rsid w:val="06A26493"/>
    <w:rsid w:val="06A47154"/>
    <w:rsid w:val="06BB79C7"/>
    <w:rsid w:val="07283C03"/>
    <w:rsid w:val="074F4F03"/>
    <w:rsid w:val="078637C0"/>
    <w:rsid w:val="07924122"/>
    <w:rsid w:val="07AC659B"/>
    <w:rsid w:val="07CF79CE"/>
    <w:rsid w:val="07E51AAD"/>
    <w:rsid w:val="07E87C3D"/>
    <w:rsid w:val="07EC4470"/>
    <w:rsid w:val="07ED5496"/>
    <w:rsid w:val="07FC5DDE"/>
    <w:rsid w:val="080D2E4A"/>
    <w:rsid w:val="081658FD"/>
    <w:rsid w:val="08512CDC"/>
    <w:rsid w:val="086C1887"/>
    <w:rsid w:val="08A94010"/>
    <w:rsid w:val="08AB4F31"/>
    <w:rsid w:val="08B90C79"/>
    <w:rsid w:val="08BC3CB1"/>
    <w:rsid w:val="08BF1AB5"/>
    <w:rsid w:val="08D13DE0"/>
    <w:rsid w:val="0909207E"/>
    <w:rsid w:val="091B1E89"/>
    <w:rsid w:val="091D6E36"/>
    <w:rsid w:val="09605804"/>
    <w:rsid w:val="09787272"/>
    <w:rsid w:val="097F1A8E"/>
    <w:rsid w:val="09821000"/>
    <w:rsid w:val="098736C3"/>
    <w:rsid w:val="09C260FE"/>
    <w:rsid w:val="09CA3ADC"/>
    <w:rsid w:val="09DC2447"/>
    <w:rsid w:val="09E251C3"/>
    <w:rsid w:val="09F56806"/>
    <w:rsid w:val="0A191FBA"/>
    <w:rsid w:val="0A282219"/>
    <w:rsid w:val="0A2B71BE"/>
    <w:rsid w:val="0A594409"/>
    <w:rsid w:val="0A644456"/>
    <w:rsid w:val="0A6A4724"/>
    <w:rsid w:val="0A8271A7"/>
    <w:rsid w:val="0AAE6186"/>
    <w:rsid w:val="0AB616D6"/>
    <w:rsid w:val="0AB95AE2"/>
    <w:rsid w:val="0AC0107D"/>
    <w:rsid w:val="0AE224B1"/>
    <w:rsid w:val="0AFB1076"/>
    <w:rsid w:val="0B3650D5"/>
    <w:rsid w:val="0B3A5596"/>
    <w:rsid w:val="0B472137"/>
    <w:rsid w:val="0B47567A"/>
    <w:rsid w:val="0B540203"/>
    <w:rsid w:val="0B5C49F1"/>
    <w:rsid w:val="0B680893"/>
    <w:rsid w:val="0B8C3D30"/>
    <w:rsid w:val="0BC82541"/>
    <w:rsid w:val="0BEC1C56"/>
    <w:rsid w:val="0BF44E0B"/>
    <w:rsid w:val="0BFB2199"/>
    <w:rsid w:val="0C194777"/>
    <w:rsid w:val="0C1D2007"/>
    <w:rsid w:val="0C1F4CDB"/>
    <w:rsid w:val="0C2D391F"/>
    <w:rsid w:val="0C3D20A1"/>
    <w:rsid w:val="0C950DCC"/>
    <w:rsid w:val="0C9D1594"/>
    <w:rsid w:val="0CC53152"/>
    <w:rsid w:val="0D257C2E"/>
    <w:rsid w:val="0D3E3C8A"/>
    <w:rsid w:val="0D5B5138"/>
    <w:rsid w:val="0D602C2B"/>
    <w:rsid w:val="0D6E73FD"/>
    <w:rsid w:val="0D817BD0"/>
    <w:rsid w:val="0DA04FC5"/>
    <w:rsid w:val="0DA62A15"/>
    <w:rsid w:val="0DC22B2F"/>
    <w:rsid w:val="0DD652E5"/>
    <w:rsid w:val="0DF36EBD"/>
    <w:rsid w:val="0E047F40"/>
    <w:rsid w:val="0E05197F"/>
    <w:rsid w:val="0E4A3011"/>
    <w:rsid w:val="0E782D40"/>
    <w:rsid w:val="0EB126E9"/>
    <w:rsid w:val="0EC817E1"/>
    <w:rsid w:val="0EC92361"/>
    <w:rsid w:val="0EED088B"/>
    <w:rsid w:val="0F023DE9"/>
    <w:rsid w:val="0F072309"/>
    <w:rsid w:val="0F4C5DA6"/>
    <w:rsid w:val="0F644B5A"/>
    <w:rsid w:val="0F6F769F"/>
    <w:rsid w:val="0F791153"/>
    <w:rsid w:val="0F8C42C9"/>
    <w:rsid w:val="0F9D0204"/>
    <w:rsid w:val="0F9E0756"/>
    <w:rsid w:val="0FD731C7"/>
    <w:rsid w:val="1013581D"/>
    <w:rsid w:val="10CD7582"/>
    <w:rsid w:val="10F1363F"/>
    <w:rsid w:val="110041D9"/>
    <w:rsid w:val="110F292A"/>
    <w:rsid w:val="1113147C"/>
    <w:rsid w:val="111A1E1B"/>
    <w:rsid w:val="11320662"/>
    <w:rsid w:val="11450CEE"/>
    <w:rsid w:val="11A22A90"/>
    <w:rsid w:val="11B02164"/>
    <w:rsid w:val="120D16AD"/>
    <w:rsid w:val="12134134"/>
    <w:rsid w:val="12184520"/>
    <w:rsid w:val="121F67C8"/>
    <w:rsid w:val="122F3780"/>
    <w:rsid w:val="123A47E7"/>
    <w:rsid w:val="125B2500"/>
    <w:rsid w:val="128107F9"/>
    <w:rsid w:val="129B2209"/>
    <w:rsid w:val="12D37953"/>
    <w:rsid w:val="12D96405"/>
    <w:rsid w:val="12E82A94"/>
    <w:rsid w:val="130D7340"/>
    <w:rsid w:val="13234AA9"/>
    <w:rsid w:val="132A607D"/>
    <w:rsid w:val="134A55E5"/>
    <w:rsid w:val="135150A9"/>
    <w:rsid w:val="138F3C22"/>
    <w:rsid w:val="139F6A35"/>
    <w:rsid w:val="13D879FC"/>
    <w:rsid w:val="13F52B47"/>
    <w:rsid w:val="13FE555A"/>
    <w:rsid w:val="14135FBE"/>
    <w:rsid w:val="142124FE"/>
    <w:rsid w:val="142430ED"/>
    <w:rsid w:val="1437055C"/>
    <w:rsid w:val="143807D0"/>
    <w:rsid w:val="143E1757"/>
    <w:rsid w:val="14404091"/>
    <w:rsid w:val="14663AC7"/>
    <w:rsid w:val="147609AC"/>
    <w:rsid w:val="14A42447"/>
    <w:rsid w:val="14EF2FC0"/>
    <w:rsid w:val="151B074C"/>
    <w:rsid w:val="15201F7F"/>
    <w:rsid w:val="15241B14"/>
    <w:rsid w:val="15367048"/>
    <w:rsid w:val="15417409"/>
    <w:rsid w:val="1543242F"/>
    <w:rsid w:val="156C4603"/>
    <w:rsid w:val="15781C2A"/>
    <w:rsid w:val="157A515B"/>
    <w:rsid w:val="158746E0"/>
    <w:rsid w:val="15937666"/>
    <w:rsid w:val="15993C41"/>
    <w:rsid w:val="15DD6C38"/>
    <w:rsid w:val="16003523"/>
    <w:rsid w:val="161372BB"/>
    <w:rsid w:val="165C407C"/>
    <w:rsid w:val="16A63A49"/>
    <w:rsid w:val="16A94A2D"/>
    <w:rsid w:val="16C64F3C"/>
    <w:rsid w:val="16CD7ADA"/>
    <w:rsid w:val="16D8721F"/>
    <w:rsid w:val="16E34650"/>
    <w:rsid w:val="16E7364E"/>
    <w:rsid w:val="172A3770"/>
    <w:rsid w:val="17426A90"/>
    <w:rsid w:val="17430E29"/>
    <w:rsid w:val="17612A71"/>
    <w:rsid w:val="176F0444"/>
    <w:rsid w:val="177A2135"/>
    <w:rsid w:val="177D585E"/>
    <w:rsid w:val="178241D1"/>
    <w:rsid w:val="179458DA"/>
    <w:rsid w:val="17A248BF"/>
    <w:rsid w:val="17AD28C8"/>
    <w:rsid w:val="17B063C6"/>
    <w:rsid w:val="17BD4645"/>
    <w:rsid w:val="17C455DE"/>
    <w:rsid w:val="17CC44BA"/>
    <w:rsid w:val="17EB4AD5"/>
    <w:rsid w:val="18035C04"/>
    <w:rsid w:val="183B3351"/>
    <w:rsid w:val="185245EC"/>
    <w:rsid w:val="18534A16"/>
    <w:rsid w:val="18617092"/>
    <w:rsid w:val="186E5B01"/>
    <w:rsid w:val="18920351"/>
    <w:rsid w:val="18D90E2C"/>
    <w:rsid w:val="18DA31AF"/>
    <w:rsid w:val="18DE3B8D"/>
    <w:rsid w:val="190530BC"/>
    <w:rsid w:val="191032D1"/>
    <w:rsid w:val="1920458C"/>
    <w:rsid w:val="196D1E8A"/>
    <w:rsid w:val="19B66B83"/>
    <w:rsid w:val="19EB6F4D"/>
    <w:rsid w:val="1A1C10D3"/>
    <w:rsid w:val="1A4E49EC"/>
    <w:rsid w:val="1A6F5807"/>
    <w:rsid w:val="1A8929F8"/>
    <w:rsid w:val="1A920D08"/>
    <w:rsid w:val="1AB867BD"/>
    <w:rsid w:val="1AD82DAC"/>
    <w:rsid w:val="1B06323B"/>
    <w:rsid w:val="1B164D09"/>
    <w:rsid w:val="1B29572E"/>
    <w:rsid w:val="1B2D7FFE"/>
    <w:rsid w:val="1B65640B"/>
    <w:rsid w:val="1B795A6D"/>
    <w:rsid w:val="1B9368CB"/>
    <w:rsid w:val="1B9E3243"/>
    <w:rsid w:val="1BB8282F"/>
    <w:rsid w:val="1BF03B7A"/>
    <w:rsid w:val="1C085293"/>
    <w:rsid w:val="1C112D6E"/>
    <w:rsid w:val="1C4E1577"/>
    <w:rsid w:val="1C6731D5"/>
    <w:rsid w:val="1C9F2E8C"/>
    <w:rsid w:val="1CAE4EE7"/>
    <w:rsid w:val="1D1A4FC5"/>
    <w:rsid w:val="1D203231"/>
    <w:rsid w:val="1D295223"/>
    <w:rsid w:val="1D2F5A68"/>
    <w:rsid w:val="1D376C94"/>
    <w:rsid w:val="1D472980"/>
    <w:rsid w:val="1D5855F3"/>
    <w:rsid w:val="1D591B1A"/>
    <w:rsid w:val="1D5A2AE4"/>
    <w:rsid w:val="1D6E03B6"/>
    <w:rsid w:val="1D946511"/>
    <w:rsid w:val="1D9A6D3D"/>
    <w:rsid w:val="1DCE1603"/>
    <w:rsid w:val="1DE25B4E"/>
    <w:rsid w:val="1DE50857"/>
    <w:rsid w:val="1DEE5425"/>
    <w:rsid w:val="1E082AB0"/>
    <w:rsid w:val="1E0F11DA"/>
    <w:rsid w:val="1E2E7514"/>
    <w:rsid w:val="1E467CA9"/>
    <w:rsid w:val="1E4B2F6D"/>
    <w:rsid w:val="1E572B65"/>
    <w:rsid w:val="1E5906A7"/>
    <w:rsid w:val="1E6721C0"/>
    <w:rsid w:val="1E77466E"/>
    <w:rsid w:val="1E8E03EB"/>
    <w:rsid w:val="1E8F5395"/>
    <w:rsid w:val="1EA6541C"/>
    <w:rsid w:val="1EC675B3"/>
    <w:rsid w:val="1EE37467"/>
    <w:rsid w:val="1EEA4594"/>
    <w:rsid w:val="1EF57FDD"/>
    <w:rsid w:val="1F116E6D"/>
    <w:rsid w:val="1F2623AD"/>
    <w:rsid w:val="1F6F45DF"/>
    <w:rsid w:val="1F8F5D13"/>
    <w:rsid w:val="1FA6387D"/>
    <w:rsid w:val="1FCB0B2B"/>
    <w:rsid w:val="201828B7"/>
    <w:rsid w:val="202E7E0C"/>
    <w:rsid w:val="2068279F"/>
    <w:rsid w:val="209628A2"/>
    <w:rsid w:val="20990887"/>
    <w:rsid w:val="20AF4777"/>
    <w:rsid w:val="20C56A4A"/>
    <w:rsid w:val="20D54766"/>
    <w:rsid w:val="20DE15B2"/>
    <w:rsid w:val="20F85F56"/>
    <w:rsid w:val="21364445"/>
    <w:rsid w:val="213A7B98"/>
    <w:rsid w:val="2141581D"/>
    <w:rsid w:val="21487D1A"/>
    <w:rsid w:val="21651E61"/>
    <w:rsid w:val="2176210B"/>
    <w:rsid w:val="217B69C3"/>
    <w:rsid w:val="21A0524C"/>
    <w:rsid w:val="21AC1F0E"/>
    <w:rsid w:val="21BD7EF7"/>
    <w:rsid w:val="21BE50CB"/>
    <w:rsid w:val="21DA615E"/>
    <w:rsid w:val="21EA368F"/>
    <w:rsid w:val="22267E5D"/>
    <w:rsid w:val="223B3ED2"/>
    <w:rsid w:val="224A2FFF"/>
    <w:rsid w:val="22506339"/>
    <w:rsid w:val="225927F2"/>
    <w:rsid w:val="22610C8A"/>
    <w:rsid w:val="226F3263"/>
    <w:rsid w:val="228E7FD0"/>
    <w:rsid w:val="22D12547"/>
    <w:rsid w:val="22FC3237"/>
    <w:rsid w:val="230327C0"/>
    <w:rsid w:val="23086355"/>
    <w:rsid w:val="234D3200"/>
    <w:rsid w:val="234E529A"/>
    <w:rsid w:val="23527A19"/>
    <w:rsid w:val="23552376"/>
    <w:rsid w:val="235E7A66"/>
    <w:rsid w:val="237A0EA4"/>
    <w:rsid w:val="23943DC7"/>
    <w:rsid w:val="2395542B"/>
    <w:rsid w:val="23AE66CF"/>
    <w:rsid w:val="23BA5744"/>
    <w:rsid w:val="23D305B4"/>
    <w:rsid w:val="23DC799D"/>
    <w:rsid w:val="23FD6A41"/>
    <w:rsid w:val="24335A33"/>
    <w:rsid w:val="24443260"/>
    <w:rsid w:val="244B5F73"/>
    <w:rsid w:val="24690FEE"/>
    <w:rsid w:val="24707216"/>
    <w:rsid w:val="248B3114"/>
    <w:rsid w:val="248E2A06"/>
    <w:rsid w:val="248E33C7"/>
    <w:rsid w:val="24A25F5F"/>
    <w:rsid w:val="24A677AF"/>
    <w:rsid w:val="24BD5E02"/>
    <w:rsid w:val="24CA0CCD"/>
    <w:rsid w:val="24CD6A99"/>
    <w:rsid w:val="250D7B53"/>
    <w:rsid w:val="252123E3"/>
    <w:rsid w:val="252A501B"/>
    <w:rsid w:val="25383A99"/>
    <w:rsid w:val="25765565"/>
    <w:rsid w:val="258D39D2"/>
    <w:rsid w:val="25970CBA"/>
    <w:rsid w:val="25972733"/>
    <w:rsid w:val="259D5023"/>
    <w:rsid w:val="25B14C26"/>
    <w:rsid w:val="25BF18DF"/>
    <w:rsid w:val="25D03BA3"/>
    <w:rsid w:val="25E3108A"/>
    <w:rsid w:val="25F0544D"/>
    <w:rsid w:val="263F5F38"/>
    <w:rsid w:val="26442F80"/>
    <w:rsid w:val="264A55BB"/>
    <w:rsid w:val="265A228F"/>
    <w:rsid w:val="26764BBE"/>
    <w:rsid w:val="267C548B"/>
    <w:rsid w:val="26CD127B"/>
    <w:rsid w:val="26DE4B5C"/>
    <w:rsid w:val="26E03E7D"/>
    <w:rsid w:val="26FF5CC8"/>
    <w:rsid w:val="27264391"/>
    <w:rsid w:val="274E4B21"/>
    <w:rsid w:val="27685FEF"/>
    <w:rsid w:val="2775702F"/>
    <w:rsid w:val="27776822"/>
    <w:rsid w:val="278E3170"/>
    <w:rsid w:val="27945F5F"/>
    <w:rsid w:val="279A0F97"/>
    <w:rsid w:val="27AD23F0"/>
    <w:rsid w:val="27C62F02"/>
    <w:rsid w:val="27C90041"/>
    <w:rsid w:val="27E82075"/>
    <w:rsid w:val="27ED7EA0"/>
    <w:rsid w:val="280504ED"/>
    <w:rsid w:val="28165CED"/>
    <w:rsid w:val="281F11DF"/>
    <w:rsid w:val="28401D01"/>
    <w:rsid w:val="28614B6E"/>
    <w:rsid w:val="288235FD"/>
    <w:rsid w:val="28863F9D"/>
    <w:rsid w:val="289218D8"/>
    <w:rsid w:val="28A658AB"/>
    <w:rsid w:val="28A926A4"/>
    <w:rsid w:val="28BB6671"/>
    <w:rsid w:val="28CF5426"/>
    <w:rsid w:val="28DD16B6"/>
    <w:rsid w:val="29013302"/>
    <w:rsid w:val="29130A1B"/>
    <w:rsid w:val="291E2881"/>
    <w:rsid w:val="293E2E2E"/>
    <w:rsid w:val="29502FD4"/>
    <w:rsid w:val="295A5878"/>
    <w:rsid w:val="295D72D0"/>
    <w:rsid w:val="295F2049"/>
    <w:rsid w:val="29794836"/>
    <w:rsid w:val="29A337CD"/>
    <w:rsid w:val="29CF61C6"/>
    <w:rsid w:val="29F4120E"/>
    <w:rsid w:val="2A1365EB"/>
    <w:rsid w:val="2A263795"/>
    <w:rsid w:val="2A876E27"/>
    <w:rsid w:val="2AA04433"/>
    <w:rsid w:val="2AA47AC8"/>
    <w:rsid w:val="2AB27E1C"/>
    <w:rsid w:val="2AC4560A"/>
    <w:rsid w:val="2AD864EF"/>
    <w:rsid w:val="2ADC12E5"/>
    <w:rsid w:val="2ADE34E2"/>
    <w:rsid w:val="2B3E6C5B"/>
    <w:rsid w:val="2B456A7F"/>
    <w:rsid w:val="2B545F44"/>
    <w:rsid w:val="2B95077D"/>
    <w:rsid w:val="2BE153A0"/>
    <w:rsid w:val="2BE27DE6"/>
    <w:rsid w:val="2BFD25C6"/>
    <w:rsid w:val="2C0B4A8B"/>
    <w:rsid w:val="2C136802"/>
    <w:rsid w:val="2C210FF9"/>
    <w:rsid w:val="2C4819BE"/>
    <w:rsid w:val="2C4B436B"/>
    <w:rsid w:val="2C4F0511"/>
    <w:rsid w:val="2C513320"/>
    <w:rsid w:val="2C6144FB"/>
    <w:rsid w:val="2C794D20"/>
    <w:rsid w:val="2C7D28F6"/>
    <w:rsid w:val="2C933131"/>
    <w:rsid w:val="2CAC58E4"/>
    <w:rsid w:val="2CD46119"/>
    <w:rsid w:val="2CD50DD7"/>
    <w:rsid w:val="2CD81BAA"/>
    <w:rsid w:val="2CDF2830"/>
    <w:rsid w:val="2CF021D7"/>
    <w:rsid w:val="2CFE66A2"/>
    <w:rsid w:val="2D083E4A"/>
    <w:rsid w:val="2D0C085A"/>
    <w:rsid w:val="2D2713ED"/>
    <w:rsid w:val="2D4D2BDC"/>
    <w:rsid w:val="2D526E44"/>
    <w:rsid w:val="2D847DE6"/>
    <w:rsid w:val="2D8E1D05"/>
    <w:rsid w:val="2D9175EC"/>
    <w:rsid w:val="2D9A0D64"/>
    <w:rsid w:val="2DAB52B3"/>
    <w:rsid w:val="2DB2660C"/>
    <w:rsid w:val="2DDC7A7E"/>
    <w:rsid w:val="2DED5F85"/>
    <w:rsid w:val="2DF31F7F"/>
    <w:rsid w:val="2E0B0A28"/>
    <w:rsid w:val="2E143920"/>
    <w:rsid w:val="2E356D52"/>
    <w:rsid w:val="2E38143C"/>
    <w:rsid w:val="2E3E15B9"/>
    <w:rsid w:val="2E861865"/>
    <w:rsid w:val="2F056292"/>
    <w:rsid w:val="2F250449"/>
    <w:rsid w:val="2F38342E"/>
    <w:rsid w:val="2F543629"/>
    <w:rsid w:val="2F552C19"/>
    <w:rsid w:val="2F6448DA"/>
    <w:rsid w:val="2FA56865"/>
    <w:rsid w:val="2FB36EF0"/>
    <w:rsid w:val="2FC656CB"/>
    <w:rsid w:val="2FDA5187"/>
    <w:rsid w:val="2FF47657"/>
    <w:rsid w:val="2FF9271A"/>
    <w:rsid w:val="30001176"/>
    <w:rsid w:val="30024B4D"/>
    <w:rsid w:val="30110B72"/>
    <w:rsid w:val="30291897"/>
    <w:rsid w:val="303D781B"/>
    <w:rsid w:val="30401322"/>
    <w:rsid w:val="30664A3A"/>
    <w:rsid w:val="306B376D"/>
    <w:rsid w:val="307D1FD3"/>
    <w:rsid w:val="307E3FFE"/>
    <w:rsid w:val="30C41C11"/>
    <w:rsid w:val="30CF7A15"/>
    <w:rsid w:val="30D938A5"/>
    <w:rsid w:val="30EB61AE"/>
    <w:rsid w:val="30FB771B"/>
    <w:rsid w:val="31391221"/>
    <w:rsid w:val="316C174D"/>
    <w:rsid w:val="3180555C"/>
    <w:rsid w:val="31A640A1"/>
    <w:rsid w:val="31B01FC3"/>
    <w:rsid w:val="31D151D4"/>
    <w:rsid w:val="31DC4B7C"/>
    <w:rsid w:val="31E763BC"/>
    <w:rsid w:val="320622D2"/>
    <w:rsid w:val="320D5FB8"/>
    <w:rsid w:val="32176402"/>
    <w:rsid w:val="326A734E"/>
    <w:rsid w:val="32770A54"/>
    <w:rsid w:val="329C2418"/>
    <w:rsid w:val="32BE5557"/>
    <w:rsid w:val="32BE734B"/>
    <w:rsid w:val="32FA7155"/>
    <w:rsid w:val="332B7CDC"/>
    <w:rsid w:val="335B1B38"/>
    <w:rsid w:val="3363697C"/>
    <w:rsid w:val="3376075B"/>
    <w:rsid w:val="337E5271"/>
    <w:rsid w:val="33D17971"/>
    <w:rsid w:val="33DC66A3"/>
    <w:rsid w:val="34011639"/>
    <w:rsid w:val="34754D05"/>
    <w:rsid w:val="34B66DD3"/>
    <w:rsid w:val="34EE2E63"/>
    <w:rsid w:val="34F256BA"/>
    <w:rsid w:val="34F5620D"/>
    <w:rsid w:val="35256EB4"/>
    <w:rsid w:val="354249EB"/>
    <w:rsid w:val="3550236D"/>
    <w:rsid w:val="355E6343"/>
    <w:rsid w:val="356B6F1F"/>
    <w:rsid w:val="359406BA"/>
    <w:rsid w:val="35B73B16"/>
    <w:rsid w:val="35CD695A"/>
    <w:rsid w:val="35D216C8"/>
    <w:rsid w:val="361650EE"/>
    <w:rsid w:val="36547FCE"/>
    <w:rsid w:val="366763B9"/>
    <w:rsid w:val="3688304B"/>
    <w:rsid w:val="36E653E0"/>
    <w:rsid w:val="36F23AC8"/>
    <w:rsid w:val="37011F48"/>
    <w:rsid w:val="37030009"/>
    <w:rsid w:val="370329CC"/>
    <w:rsid w:val="37663502"/>
    <w:rsid w:val="376F7459"/>
    <w:rsid w:val="377D7E00"/>
    <w:rsid w:val="37944455"/>
    <w:rsid w:val="37AD2EB1"/>
    <w:rsid w:val="37C342DE"/>
    <w:rsid w:val="37C758DE"/>
    <w:rsid w:val="37C76F73"/>
    <w:rsid w:val="37D24530"/>
    <w:rsid w:val="37D5090E"/>
    <w:rsid w:val="37E3452B"/>
    <w:rsid w:val="37EB4D47"/>
    <w:rsid w:val="37EC423D"/>
    <w:rsid w:val="37F34141"/>
    <w:rsid w:val="37F77977"/>
    <w:rsid w:val="380623CF"/>
    <w:rsid w:val="38116C68"/>
    <w:rsid w:val="38416D49"/>
    <w:rsid w:val="385F63E7"/>
    <w:rsid w:val="3878194C"/>
    <w:rsid w:val="38BF2910"/>
    <w:rsid w:val="38C426F6"/>
    <w:rsid w:val="38E43D2E"/>
    <w:rsid w:val="391B34FA"/>
    <w:rsid w:val="393233D9"/>
    <w:rsid w:val="3939721C"/>
    <w:rsid w:val="3957689D"/>
    <w:rsid w:val="3961393D"/>
    <w:rsid w:val="396D5875"/>
    <w:rsid w:val="39742781"/>
    <w:rsid w:val="397748E4"/>
    <w:rsid w:val="39781443"/>
    <w:rsid w:val="39AB073D"/>
    <w:rsid w:val="39B251FC"/>
    <w:rsid w:val="39B31B24"/>
    <w:rsid w:val="39EA0231"/>
    <w:rsid w:val="3A0E4090"/>
    <w:rsid w:val="3A1562C1"/>
    <w:rsid w:val="3A23407E"/>
    <w:rsid w:val="3A2A76B5"/>
    <w:rsid w:val="3A357212"/>
    <w:rsid w:val="3A504A69"/>
    <w:rsid w:val="3A5F466A"/>
    <w:rsid w:val="3A9307F2"/>
    <w:rsid w:val="3A9C3FBF"/>
    <w:rsid w:val="3ABC64C3"/>
    <w:rsid w:val="3AC07726"/>
    <w:rsid w:val="3ADB04D3"/>
    <w:rsid w:val="3B030349"/>
    <w:rsid w:val="3B05021B"/>
    <w:rsid w:val="3B2A5064"/>
    <w:rsid w:val="3B513ECD"/>
    <w:rsid w:val="3B730B39"/>
    <w:rsid w:val="3B7F69C7"/>
    <w:rsid w:val="3B9F7DD6"/>
    <w:rsid w:val="3BAC683B"/>
    <w:rsid w:val="3BD9559B"/>
    <w:rsid w:val="3BDA477E"/>
    <w:rsid w:val="3BDF3B42"/>
    <w:rsid w:val="3C063531"/>
    <w:rsid w:val="3C545037"/>
    <w:rsid w:val="3C5538CB"/>
    <w:rsid w:val="3C765199"/>
    <w:rsid w:val="3CA73211"/>
    <w:rsid w:val="3CB13731"/>
    <w:rsid w:val="3CB22FAC"/>
    <w:rsid w:val="3CDC413D"/>
    <w:rsid w:val="3CDC594F"/>
    <w:rsid w:val="3CF96404"/>
    <w:rsid w:val="3CFB6D2C"/>
    <w:rsid w:val="3D1172CD"/>
    <w:rsid w:val="3D1B1477"/>
    <w:rsid w:val="3D31109D"/>
    <w:rsid w:val="3D4E42FE"/>
    <w:rsid w:val="3D65205F"/>
    <w:rsid w:val="3D7379F4"/>
    <w:rsid w:val="3D86171D"/>
    <w:rsid w:val="3D9F367C"/>
    <w:rsid w:val="3DC02BD1"/>
    <w:rsid w:val="3DE25AD0"/>
    <w:rsid w:val="3DEA0766"/>
    <w:rsid w:val="3DF63267"/>
    <w:rsid w:val="3E0157A2"/>
    <w:rsid w:val="3E0667EA"/>
    <w:rsid w:val="3E212096"/>
    <w:rsid w:val="3E2A34A4"/>
    <w:rsid w:val="3E334F77"/>
    <w:rsid w:val="3E7A5DA4"/>
    <w:rsid w:val="3EB8110E"/>
    <w:rsid w:val="3EC21BC5"/>
    <w:rsid w:val="3ED03B0E"/>
    <w:rsid w:val="3EF34322"/>
    <w:rsid w:val="3EF60473"/>
    <w:rsid w:val="3F0058FB"/>
    <w:rsid w:val="3F0264C5"/>
    <w:rsid w:val="3F1C3C40"/>
    <w:rsid w:val="3F427870"/>
    <w:rsid w:val="3F4F2217"/>
    <w:rsid w:val="3F562FD7"/>
    <w:rsid w:val="3F6F7BB6"/>
    <w:rsid w:val="3F835335"/>
    <w:rsid w:val="3F921DDE"/>
    <w:rsid w:val="3F9F3D14"/>
    <w:rsid w:val="3FAD417E"/>
    <w:rsid w:val="3FB86781"/>
    <w:rsid w:val="40071739"/>
    <w:rsid w:val="401C4E2E"/>
    <w:rsid w:val="40341363"/>
    <w:rsid w:val="404B360D"/>
    <w:rsid w:val="404C475D"/>
    <w:rsid w:val="40A340B3"/>
    <w:rsid w:val="40C015B2"/>
    <w:rsid w:val="40C96559"/>
    <w:rsid w:val="40CC5262"/>
    <w:rsid w:val="40D14817"/>
    <w:rsid w:val="40D46E2E"/>
    <w:rsid w:val="41171FD0"/>
    <w:rsid w:val="41504D6D"/>
    <w:rsid w:val="41566650"/>
    <w:rsid w:val="41674A59"/>
    <w:rsid w:val="41807506"/>
    <w:rsid w:val="41EC6FB9"/>
    <w:rsid w:val="41EF0B62"/>
    <w:rsid w:val="42120D4B"/>
    <w:rsid w:val="42151FC8"/>
    <w:rsid w:val="42372251"/>
    <w:rsid w:val="42745907"/>
    <w:rsid w:val="429E1387"/>
    <w:rsid w:val="42C1524B"/>
    <w:rsid w:val="42C8437D"/>
    <w:rsid w:val="42CD461F"/>
    <w:rsid w:val="42F05132"/>
    <w:rsid w:val="42F26851"/>
    <w:rsid w:val="42FF7AFD"/>
    <w:rsid w:val="431E123F"/>
    <w:rsid w:val="43445A0E"/>
    <w:rsid w:val="43746443"/>
    <w:rsid w:val="438934CD"/>
    <w:rsid w:val="438979D9"/>
    <w:rsid w:val="439C6B4D"/>
    <w:rsid w:val="43CE0ECE"/>
    <w:rsid w:val="43D415CB"/>
    <w:rsid w:val="43E03139"/>
    <w:rsid w:val="43E34807"/>
    <w:rsid w:val="43E715F4"/>
    <w:rsid w:val="442048AE"/>
    <w:rsid w:val="44277E60"/>
    <w:rsid w:val="44287F8A"/>
    <w:rsid w:val="442A5295"/>
    <w:rsid w:val="44336C38"/>
    <w:rsid w:val="44374DD5"/>
    <w:rsid w:val="444B6423"/>
    <w:rsid w:val="445C0603"/>
    <w:rsid w:val="446F0CAB"/>
    <w:rsid w:val="44700FFA"/>
    <w:rsid w:val="448D5FA7"/>
    <w:rsid w:val="44BF392B"/>
    <w:rsid w:val="44DF12B8"/>
    <w:rsid w:val="45264590"/>
    <w:rsid w:val="454935BA"/>
    <w:rsid w:val="455202EC"/>
    <w:rsid w:val="45523646"/>
    <w:rsid w:val="455B692F"/>
    <w:rsid w:val="457A114D"/>
    <w:rsid w:val="45856E81"/>
    <w:rsid w:val="458760E3"/>
    <w:rsid w:val="459362BB"/>
    <w:rsid w:val="45A93C80"/>
    <w:rsid w:val="45B8739E"/>
    <w:rsid w:val="45C0671F"/>
    <w:rsid w:val="45FE3B2D"/>
    <w:rsid w:val="461D4B10"/>
    <w:rsid w:val="462446EB"/>
    <w:rsid w:val="464531B1"/>
    <w:rsid w:val="464A2500"/>
    <w:rsid w:val="469E041B"/>
    <w:rsid w:val="46A310C8"/>
    <w:rsid w:val="46AF15B6"/>
    <w:rsid w:val="46BA0431"/>
    <w:rsid w:val="46BA1E77"/>
    <w:rsid w:val="46CC6001"/>
    <w:rsid w:val="46EB6C41"/>
    <w:rsid w:val="47077D68"/>
    <w:rsid w:val="470921EC"/>
    <w:rsid w:val="47140346"/>
    <w:rsid w:val="4728594D"/>
    <w:rsid w:val="47584438"/>
    <w:rsid w:val="47896E44"/>
    <w:rsid w:val="479F3372"/>
    <w:rsid w:val="47E7177E"/>
    <w:rsid w:val="47F02461"/>
    <w:rsid w:val="4815362D"/>
    <w:rsid w:val="48205226"/>
    <w:rsid w:val="48282921"/>
    <w:rsid w:val="483D7076"/>
    <w:rsid w:val="48683E69"/>
    <w:rsid w:val="487C2E60"/>
    <w:rsid w:val="487D5BD4"/>
    <w:rsid w:val="487E1F5F"/>
    <w:rsid w:val="488B5A4B"/>
    <w:rsid w:val="48951FE9"/>
    <w:rsid w:val="48C90B57"/>
    <w:rsid w:val="48FF6F31"/>
    <w:rsid w:val="4904108C"/>
    <w:rsid w:val="490946E9"/>
    <w:rsid w:val="490F5680"/>
    <w:rsid w:val="49380786"/>
    <w:rsid w:val="4939180F"/>
    <w:rsid w:val="496A6397"/>
    <w:rsid w:val="49B422F4"/>
    <w:rsid w:val="49BA0C26"/>
    <w:rsid w:val="49FD0C2B"/>
    <w:rsid w:val="4A151272"/>
    <w:rsid w:val="4A233BD6"/>
    <w:rsid w:val="4A29771D"/>
    <w:rsid w:val="4A451374"/>
    <w:rsid w:val="4A49346C"/>
    <w:rsid w:val="4A762916"/>
    <w:rsid w:val="4AAB4244"/>
    <w:rsid w:val="4B271368"/>
    <w:rsid w:val="4B414D2D"/>
    <w:rsid w:val="4B542318"/>
    <w:rsid w:val="4B70707F"/>
    <w:rsid w:val="4B74402F"/>
    <w:rsid w:val="4B952979"/>
    <w:rsid w:val="4BD802C1"/>
    <w:rsid w:val="4C0F2EBA"/>
    <w:rsid w:val="4C2B360F"/>
    <w:rsid w:val="4C3474F5"/>
    <w:rsid w:val="4C3512C2"/>
    <w:rsid w:val="4C9C6DBD"/>
    <w:rsid w:val="4CA56237"/>
    <w:rsid w:val="4CAA2422"/>
    <w:rsid w:val="4CD54E1A"/>
    <w:rsid w:val="4CDB75B5"/>
    <w:rsid w:val="4CE43D9F"/>
    <w:rsid w:val="4CE526C6"/>
    <w:rsid w:val="4CF11A87"/>
    <w:rsid w:val="4CFA4C80"/>
    <w:rsid w:val="4D031579"/>
    <w:rsid w:val="4D222B7A"/>
    <w:rsid w:val="4D2B736C"/>
    <w:rsid w:val="4D4306C4"/>
    <w:rsid w:val="4D47400D"/>
    <w:rsid w:val="4D4C1423"/>
    <w:rsid w:val="4DAA0804"/>
    <w:rsid w:val="4DD43DE3"/>
    <w:rsid w:val="4DEA6739"/>
    <w:rsid w:val="4DF135BD"/>
    <w:rsid w:val="4E1C5B29"/>
    <w:rsid w:val="4E485EFF"/>
    <w:rsid w:val="4E8B7C6A"/>
    <w:rsid w:val="4E992EDB"/>
    <w:rsid w:val="4EB758C1"/>
    <w:rsid w:val="4EC77790"/>
    <w:rsid w:val="4EF53A3C"/>
    <w:rsid w:val="4EF83D42"/>
    <w:rsid w:val="4F2546BA"/>
    <w:rsid w:val="4F2F5F67"/>
    <w:rsid w:val="4F465002"/>
    <w:rsid w:val="4F53140A"/>
    <w:rsid w:val="4F5D3B1F"/>
    <w:rsid w:val="4F644ACC"/>
    <w:rsid w:val="4F680FF9"/>
    <w:rsid w:val="4F7C510C"/>
    <w:rsid w:val="4F7E7BC3"/>
    <w:rsid w:val="4FB51AB6"/>
    <w:rsid w:val="4FD1638D"/>
    <w:rsid w:val="4FF871DC"/>
    <w:rsid w:val="50141FDC"/>
    <w:rsid w:val="50146059"/>
    <w:rsid w:val="503F6BA2"/>
    <w:rsid w:val="50544B4B"/>
    <w:rsid w:val="50570704"/>
    <w:rsid w:val="508D1234"/>
    <w:rsid w:val="50A9339E"/>
    <w:rsid w:val="50BC2170"/>
    <w:rsid w:val="50DC3EF8"/>
    <w:rsid w:val="50DE6ACD"/>
    <w:rsid w:val="510E6267"/>
    <w:rsid w:val="5124009D"/>
    <w:rsid w:val="51250DA4"/>
    <w:rsid w:val="512619D8"/>
    <w:rsid w:val="513A40FA"/>
    <w:rsid w:val="51445466"/>
    <w:rsid w:val="51480842"/>
    <w:rsid w:val="5155425C"/>
    <w:rsid w:val="519368CD"/>
    <w:rsid w:val="51A60890"/>
    <w:rsid w:val="51AE5321"/>
    <w:rsid w:val="51B82AB2"/>
    <w:rsid w:val="51D624ED"/>
    <w:rsid w:val="520B0255"/>
    <w:rsid w:val="524C081F"/>
    <w:rsid w:val="52634235"/>
    <w:rsid w:val="52AA2858"/>
    <w:rsid w:val="52D9287B"/>
    <w:rsid w:val="52E91940"/>
    <w:rsid w:val="53402D60"/>
    <w:rsid w:val="534E1181"/>
    <w:rsid w:val="53513120"/>
    <w:rsid w:val="535873D9"/>
    <w:rsid w:val="539C6122"/>
    <w:rsid w:val="53A27AD2"/>
    <w:rsid w:val="53A45523"/>
    <w:rsid w:val="53E75832"/>
    <w:rsid w:val="53F72595"/>
    <w:rsid w:val="540479DD"/>
    <w:rsid w:val="541F3D8C"/>
    <w:rsid w:val="54347332"/>
    <w:rsid w:val="543850C5"/>
    <w:rsid w:val="544F1AB9"/>
    <w:rsid w:val="54520C7A"/>
    <w:rsid w:val="545A690E"/>
    <w:rsid w:val="54700C5F"/>
    <w:rsid w:val="5492094F"/>
    <w:rsid w:val="549C2263"/>
    <w:rsid w:val="54C140B0"/>
    <w:rsid w:val="54DA7155"/>
    <w:rsid w:val="54E438F4"/>
    <w:rsid w:val="54ED5E73"/>
    <w:rsid w:val="55092DB5"/>
    <w:rsid w:val="551C224B"/>
    <w:rsid w:val="553E76D4"/>
    <w:rsid w:val="55520455"/>
    <w:rsid w:val="55943798"/>
    <w:rsid w:val="559B28C4"/>
    <w:rsid w:val="55BD6A7B"/>
    <w:rsid w:val="55CF035C"/>
    <w:rsid w:val="55D77512"/>
    <w:rsid w:val="55DF1A35"/>
    <w:rsid w:val="55EB5766"/>
    <w:rsid w:val="560501F2"/>
    <w:rsid w:val="561519CE"/>
    <w:rsid w:val="563D406D"/>
    <w:rsid w:val="564F0177"/>
    <w:rsid w:val="565D2573"/>
    <w:rsid w:val="566D4241"/>
    <w:rsid w:val="56B55774"/>
    <w:rsid w:val="56E256A8"/>
    <w:rsid w:val="56F135BB"/>
    <w:rsid w:val="56FC5D9A"/>
    <w:rsid w:val="5730698E"/>
    <w:rsid w:val="57362DE7"/>
    <w:rsid w:val="57545B0E"/>
    <w:rsid w:val="575D313C"/>
    <w:rsid w:val="576347FD"/>
    <w:rsid w:val="57746489"/>
    <w:rsid w:val="578A08D5"/>
    <w:rsid w:val="57A77E89"/>
    <w:rsid w:val="57B97AA2"/>
    <w:rsid w:val="57CA0943"/>
    <w:rsid w:val="57D5343C"/>
    <w:rsid w:val="57D93067"/>
    <w:rsid w:val="57F56F5E"/>
    <w:rsid w:val="580A59C7"/>
    <w:rsid w:val="58210BEF"/>
    <w:rsid w:val="582F59D3"/>
    <w:rsid w:val="5840475D"/>
    <w:rsid w:val="586A6892"/>
    <w:rsid w:val="58ED46E3"/>
    <w:rsid w:val="58F97017"/>
    <w:rsid w:val="58F97DE7"/>
    <w:rsid w:val="58FD1F8C"/>
    <w:rsid w:val="590B7E4A"/>
    <w:rsid w:val="590E65CC"/>
    <w:rsid w:val="59186E18"/>
    <w:rsid w:val="592309F7"/>
    <w:rsid w:val="59317F43"/>
    <w:rsid w:val="59514715"/>
    <w:rsid w:val="59973856"/>
    <w:rsid w:val="599E69E5"/>
    <w:rsid w:val="59B07D3D"/>
    <w:rsid w:val="59DD395F"/>
    <w:rsid w:val="59E63921"/>
    <w:rsid w:val="59FF1057"/>
    <w:rsid w:val="5A0F50C2"/>
    <w:rsid w:val="5A1D0B9F"/>
    <w:rsid w:val="5A2C520A"/>
    <w:rsid w:val="5A2D2929"/>
    <w:rsid w:val="5A535BE5"/>
    <w:rsid w:val="5AC91AA0"/>
    <w:rsid w:val="5ACD23A3"/>
    <w:rsid w:val="5AD6159C"/>
    <w:rsid w:val="5AFF1C6A"/>
    <w:rsid w:val="5B0D5038"/>
    <w:rsid w:val="5B322240"/>
    <w:rsid w:val="5B397E38"/>
    <w:rsid w:val="5B3E042E"/>
    <w:rsid w:val="5B453EAE"/>
    <w:rsid w:val="5BB435D0"/>
    <w:rsid w:val="5BE5209E"/>
    <w:rsid w:val="5C272C70"/>
    <w:rsid w:val="5C307883"/>
    <w:rsid w:val="5C353FD0"/>
    <w:rsid w:val="5C515F3F"/>
    <w:rsid w:val="5C5D6E1A"/>
    <w:rsid w:val="5C664C29"/>
    <w:rsid w:val="5C692253"/>
    <w:rsid w:val="5CA13296"/>
    <w:rsid w:val="5CA91533"/>
    <w:rsid w:val="5CCE6D4F"/>
    <w:rsid w:val="5CE220FB"/>
    <w:rsid w:val="5D011E01"/>
    <w:rsid w:val="5D0E0808"/>
    <w:rsid w:val="5D4D099A"/>
    <w:rsid w:val="5D4F6102"/>
    <w:rsid w:val="5D710067"/>
    <w:rsid w:val="5D8B1951"/>
    <w:rsid w:val="5DCE56C7"/>
    <w:rsid w:val="5DFE0918"/>
    <w:rsid w:val="5E013D82"/>
    <w:rsid w:val="5E331DDA"/>
    <w:rsid w:val="5E36363E"/>
    <w:rsid w:val="5EBD0C2D"/>
    <w:rsid w:val="5EE30AF4"/>
    <w:rsid w:val="5EE538DA"/>
    <w:rsid w:val="5F035376"/>
    <w:rsid w:val="5F187E14"/>
    <w:rsid w:val="5F2E0A7F"/>
    <w:rsid w:val="5F301611"/>
    <w:rsid w:val="5F5C2250"/>
    <w:rsid w:val="5F903222"/>
    <w:rsid w:val="5FAC0C4C"/>
    <w:rsid w:val="5FEC47F7"/>
    <w:rsid w:val="5FF90B92"/>
    <w:rsid w:val="5FFD5D05"/>
    <w:rsid w:val="6002331F"/>
    <w:rsid w:val="607073BB"/>
    <w:rsid w:val="6071361C"/>
    <w:rsid w:val="60C11840"/>
    <w:rsid w:val="60C95DE5"/>
    <w:rsid w:val="60CA1D9A"/>
    <w:rsid w:val="60DA6C0B"/>
    <w:rsid w:val="60DD5783"/>
    <w:rsid w:val="60F9365F"/>
    <w:rsid w:val="610D2933"/>
    <w:rsid w:val="613F6CAD"/>
    <w:rsid w:val="614107CB"/>
    <w:rsid w:val="61572D7D"/>
    <w:rsid w:val="615F6864"/>
    <w:rsid w:val="618B59EF"/>
    <w:rsid w:val="61AF4B97"/>
    <w:rsid w:val="61B4751B"/>
    <w:rsid w:val="61C5797D"/>
    <w:rsid w:val="61CF44E5"/>
    <w:rsid w:val="61DB394B"/>
    <w:rsid w:val="61E544C1"/>
    <w:rsid w:val="61E80D34"/>
    <w:rsid w:val="62145A44"/>
    <w:rsid w:val="6218745C"/>
    <w:rsid w:val="62444D2F"/>
    <w:rsid w:val="62467FCB"/>
    <w:rsid w:val="62477501"/>
    <w:rsid w:val="625D2AE4"/>
    <w:rsid w:val="626A04A0"/>
    <w:rsid w:val="627254D0"/>
    <w:rsid w:val="62894F4B"/>
    <w:rsid w:val="62981485"/>
    <w:rsid w:val="62A379A4"/>
    <w:rsid w:val="62B62F9F"/>
    <w:rsid w:val="62C0797A"/>
    <w:rsid w:val="630F003F"/>
    <w:rsid w:val="63240E0C"/>
    <w:rsid w:val="63474AC5"/>
    <w:rsid w:val="63653A6E"/>
    <w:rsid w:val="63BF1CDF"/>
    <w:rsid w:val="63CB0E19"/>
    <w:rsid w:val="63E160F2"/>
    <w:rsid w:val="63E434E1"/>
    <w:rsid w:val="63E43B3C"/>
    <w:rsid w:val="6421476E"/>
    <w:rsid w:val="64353560"/>
    <w:rsid w:val="6459228D"/>
    <w:rsid w:val="64597EF3"/>
    <w:rsid w:val="64B23828"/>
    <w:rsid w:val="64BC1DEE"/>
    <w:rsid w:val="64C94EEF"/>
    <w:rsid w:val="64E16E1C"/>
    <w:rsid w:val="64F71F47"/>
    <w:rsid w:val="64FF1A13"/>
    <w:rsid w:val="6507326F"/>
    <w:rsid w:val="65087979"/>
    <w:rsid w:val="653447D7"/>
    <w:rsid w:val="65370C69"/>
    <w:rsid w:val="65385E4D"/>
    <w:rsid w:val="654E74BF"/>
    <w:rsid w:val="6558033E"/>
    <w:rsid w:val="658347AA"/>
    <w:rsid w:val="65870DAC"/>
    <w:rsid w:val="659B022A"/>
    <w:rsid w:val="6628346E"/>
    <w:rsid w:val="66325FB7"/>
    <w:rsid w:val="664407AB"/>
    <w:rsid w:val="6681655A"/>
    <w:rsid w:val="66823D1E"/>
    <w:rsid w:val="66B608AD"/>
    <w:rsid w:val="66C01FDD"/>
    <w:rsid w:val="66C30FB5"/>
    <w:rsid w:val="66DF0CF1"/>
    <w:rsid w:val="66E12CF2"/>
    <w:rsid w:val="66E2037D"/>
    <w:rsid w:val="66E42D65"/>
    <w:rsid w:val="66E94CEF"/>
    <w:rsid w:val="66EA66AF"/>
    <w:rsid w:val="66FB3677"/>
    <w:rsid w:val="66FE0A65"/>
    <w:rsid w:val="672969FB"/>
    <w:rsid w:val="673D251D"/>
    <w:rsid w:val="674212A6"/>
    <w:rsid w:val="6745581B"/>
    <w:rsid w:val="675303E3"/>
    <w:rsid w:val="67621F23"/>
    <w:rsid w:val="67677906"/>
    <w:rsid w:val="67696FF7"/>
    <w:rsid w:val="677042AB"/>
    <w:rsid w:val="677415B8"/>
    <w:rsid w:val="677920E2"/>
    <w:rsid w:val="678044AD"/>
    <w:rsid w:val="67C12FB0"/>
    <w:rsid w:val="67C17696"/>
    <w:rsid w:val="68230B48"/>
    <w:rsid w:val="68264723"/>
    <w:rsid w:val="684C11E1"/>
    <w:rsid w:val="68512B90"/>
    <w:rsid w:val="68595CBC"/>
    <w:rsid w:val="68717480"/>
    <w:rsid w:val="68802D0D"/>
    <w:rsid w:val="68BF7FF5"/>
    <w:rsid w:val="68E177AE"/>
    <w:rsid w:val="68FE4AAD"/>
    <w:rsid w:val="69002DA5"/>
    <w:rsid w:val="691722BE"/>
    <w:rsid w:val="69180EED"/>
    <w:rsid w:val="69332A83"/>
    <w:rsid w:val="694E75F3"/>
    <w:rsid w:val="696B178C"/>
    <w:rsid w:val="69813F85"/>
    <w:rsid w:val="699B2E34"/>
    <w:rsid w:val="69BE7EA9"/>
    <w:rsid w:val="69CB3FF7"/>
    <w:rsid w:val="69DA3A17"/>
    <w:rsid w:val="69E83418"/>
    <w:rsid w:val="6A120EFD"/>
    <w:rsid w:val="6A126073"/>
    <w:rsid w:val="6A1815CF"/>
    <w:rsid w:val="6A2613AA"/>
    <w:rsid w:val="6A6B5294"/>
    <w:rsid w:val="6A912561"/>
    <w:rsid w:val="6ABB0E89"/>
    <w:rsid w:val="6AE5758F"/>
    <w:rsid w:val="6B043713"/>
    <w:rsid w:val="6B0B450B"/>
    <w:rsid w:val="6B273718"/>
    <w:rsid w:val="6B4232A3"/>
    <w:rsid w:val="6B4515DB"/>
    <w:rsid w:val="6B730AE5"/>
    <w:rsid w:val="6B80006E"/>
    <w:rsid w:val="6B8C6F93"/>
    <w:rsid w:val="6B904D9C"/>
    <w:rsid w:val="6B92416D"/>
    <w:rsid w:val="6BC92742"/>
    <w:rsid w:val="6BCC42D0"/>
    <w:rsid w:val="6BF853C6"/>
    <w:rsid w:val="6C02507F"/>
    <w:rsid w:val="6C0801B9"/>
    <w:rsid w:val="6C0D4C59"/>
    <w:rsid w:val="6C6667D8"/>
    <w:rsid w:val="6C67491C"/>
    <w:rsid w:val="6C676DE4"/>
    <w:rsid w:val="6C723F2C"/>
    <w:rsid w:val="6C7430DC"/>
    <w:rsid w:val="6C891FB9"/>
    <w:rsid w:val="6C9644AB"/>
    <w:rsid w:val="6CBA7EE1"/>
    <w:rsid w:val="6CE13BDC"/>
    <w:rsid w:val="6CE537F6"/>
    <w:rsid w:val="6D0743CF"/>
    <w:rsid w:val="6D0C051A"/>
    <w:rsid w:val="6D174470"/>
    <w:rsid w:val="6D2E2805"/>
    <w:rsid w:val="6D7013B5"/>
    <w:rsid w:val="6D801D95"/>
    <w:rsid w:val="6DA428FF"/>
    <w:rsid w:val="6DA663EE"/>
    <w:rsid w:val="6DC6714F"/>
    <w:rsid w:val="6DC9203A"/>
    <w:rsid w:val="6DE3498E"/>
    <w:rsid w:val="6DEF1D03"/>
    <w:rsid w:val="6DF676B5"/>
    <w:rsid w:val="6E0B0643"/>
    <w:rsid w:val="6E44348C"/>
    <w:rsid w:val="6E8C02D4"/>
    <w:rsid w:val="6E8C71A4"/>
    <w:rsid w:val="6E9360DC"/>
    <w:rsid w:val="6ED2046A"/>
    <w:rsid w:val="6ED939A5"/>
    <w:rsid w:val="6EDF6F83"/>
    <w:rsid w:val="6EED01CC"/>
    <w:rsid w:val="6F3278E8"/>
    <w:rsid w:val="6F71752E"/>
    <w:rsid w:val="6FAC5D4C"/>
    <w:rsid w:val="6FC762EF"/>
    <w:rsid w:val="6FFC1456"/>
    <w:rsid w:val="70195DDC"/>
    <w:rsid w:val="701A3C8C"/>
    <w:rsid w:val="704662A8"/>
    <w:rsid w:val="70535758"/>
    <w:rsid w:val="7072730F"/>
    <w:rsid w:val="70785D38"/>
    <w:rsid w:val="707D7EE0"/>
    <w:rsid w:val="70DD00F5"/>
    <w:rsid w:val="70E80D1E"/>
    <w:rsid w:val="70EC51BE"/>
    <w:rsid w:val="7166290E"/>
    <w:rsid w:val="71A210A1"/>
    <w:rsid w:val="71B335D7"/>
    <w:rsid w:val="71B82CC0"/>
    <w:rsid w:val="71E116BB"/>
    <w:rsid w:val="71EF01F6"/>
    <w:rsid w:val="71FF03E7"/>
    <w:rsid w:val="7211648B"/>
    <w:rsid w:val="721553B9"/>
    <w:rsid w:val="72183ACD"/>
    <w:rsid w:val="725400DF"/>
    <w:rsid w:val="72552EE1"/>
    <w:rsid w:val="727736D3"/>
    <w:rsid w:val="72AD5560"/>
    <w:rsid w:val="72B17768"/>
    <w:rsid w:val="72D02742"/>
    <w:rsid w:val="73074D19"/>
    <w:rsid w:val="731943F4"/>
    <w:rsid w:val="73332919"/>
    <w:rsid w:val="735978E2"/>
    <w:rsid w:val="7377257C"/>
    <w:rsid w:val="737E36F9"/>
    <w:rsid w:val="7381515E"/>
    <w:rsid w:val="73A64A1C"/>
    <w:rsid w:val="73AF6246"/>
    <w:rsid w:val="73C10BAF"/>
    <w:rsid w:val="73FD3B12"/>
    <w:rsid w:val="740373B3"/>
    <w:rsid w:val="74094587"/>
    <w:rsid w:val="74262F98"/>
    <w:rsid w:val="74364139"/>
    <w:rsid w:val="747C09AB"/>
    <w:rsid w:val="74881487"/>
    <w:rsid w:val="74B83724"/>
    <w:rsid w:val="74DA0D6F"/>
    <w:rsid w:val="74E84C67"/>
    <w:rsid w:val="74EA0C32"/>
    <w:rsid w:val="75081C9B"/>
    <w:rsid w:val="753A521E"/>
    <w:rsid w:val="754C0767"/>
    <w:rsid w:val="755248C4"/>
    <w:rsid w:val="75565F98"/>
    <w:rsid w:val="758D15DE"/>
    <w:rsid w:val="75C338B5"/>
    <w:rsid w:val="75E47EAC"/>
    <w:rsid w:val="76070C3E"/>
    <w:rsid w:val="760C71B7"/>
    <w:rsid w:val="761048B4"/>
    <w:rsid w:val="762D1373"/>
    <w:rsid w:val="764126BF"/>
    <w:rsid w:val="76636D82"/>
    <w:rsid w:val="76842FB6"/>
    <w:rsid w:val="769E1925"/>
    <w:rsid w:val="76B9791C"/>
    <w:rsid w:val="76C21AD7"/>
    <w:rsid w:val="76C55535"/>
    <w:rsid w:val="76CC6DB9"/>
    <w:rsid w:val="770822C1"/>
    <w:rsid w:val="770B04A8"/>
    <w:rsid w:val="77703C58"/>
    <w:rsid w:val="777C72AB"/>
    <w:rsid w:val="77890DD1"/>
    <w:rsid w:val="779B026F"/>
    <w:rsid w:val="77FB4D7B"/>
    <w:rsid w:val="780E1D06"/>
    <w:rsid w:val="781E6E91"/>
    <w:rsid w:val="782C48EB"/>
    <w:rsid w:val="7833783B"/>
    <w:rsid w:val="784641B2"/>
    <w:rsid w:val="78510B07"/>
    <w:rsid w:val="7854713C"/>
    <w:rsid w:val="786C5CF3"/>
    <w:rsid w:val="78752FAF"/>
    <w:rsid w:val="78994A9D"/>
    <w:rsid w:val="78A06CB9"/>
    <w:rsid w:val="78A25EF7"/>
    <w:rsid w:val="78A36B1B"/>
    <w:rsid w:val="78CA2EA9"/>
    <w:rsid w:val="78F627AF"/>
    <w:rsid w:val="79010889"/>
    <w:rsid w:val="7901558E"/>
    <w:rsid w:val="79017710"/>
    <w:rsid w:val="7912390B"/>
    <w:rsid w:val="79301844"/>
    <w:rsid w:val="793C10C0"/>
    <w:rsid w:val="7972213F"/>
    <w:rsid w:val="79992D82"/>
    <w:rsid w:val="79CF5213"/>
    <w:rsid w:val="79ED4F51"/>
    <w:rsid w:val="7A02437B"/>
    <w:rsid w:val="7A051937"/>
    <w:rsid w:val="7A0E2E32"/>
    <w:rsid w:val="7A0E3D29"/>
    <w:rsid w:val="7A1629DB"/>
    <w:rsid w:val="7A2F0526"/>
    <w:rsid w:val="7A403218"/>
    <w:rsid w:val="7A894FCD"/>
    <w:rsid w:val="7A925C48"/>
    <w:rsid w:val="7A9B5748"/>
    <w:rsid w:val="7AA76C2B"/>
    <w:rsid w:val="7B006EBA"/>
    <w:rsid w:val="7B1D19B6"/>
    <w:rsid w:val="7B3346F9"/>
    <w:rsid w:val="7B336367"/>
    <w:rsid w:val="7B3703A9"/>
    <w:rsid w:val="7B526149"/>
    <w:rsid w:val="7B6A0768"/>
    <w:rsid w:val="7B6D2E18"/>
    <w:rsid w:val="7BF91471"/>
    <w:rsid w:val="7C1F14A6"/>
    <w:rsid w:val="7C3B1693"/>
    <w:rsid w:val="7C3E3150"/>
    <w:rsid w:val="7C4C7C0F"/>
    <w:rsid w:val="7C8F385E"/>
    <w:rsid w:val="7C9838F9"/>
    <w:rsid w:val="7CC13EC1"/>
    <w:rsid w:val="7CE24DD5"/>
    <w:rsid w:val="7D00390F"/>
    <w:rsid w:val="7D00626D"/>
    <w:rsid w:val="7D1D5E9C"/>
    <w:rsid w:val="7D220FB5"/>
    <w:rsid w:val="7D2B5B71"/>
    <w:rsid w:val="7D2D2974"/>
    <w:rsid w:val="7D540579"/>
    <w:rsid w:val="7D706AE6"/>
    <w:rsid w:val="7D7A2344"/>
    <w:rsid w:val="7D9E14A3"/>
    <w:rsid w:val="7DA924FF"/>
    <w:rsid w:val="7DAC2027"/>
    <w:rsid w:val="7DB31AC7"/>
    <w:rsid w:val="7DD00A4B"/>
    <w:rsid w:val="7DDA5511"/>
    <w:rsid w:val="7DDB0674"/>
    <w:rsid w:val="7DE8346A"/>
    <w:rsid w:val="7DE945DE"/>
    <w:rsid w:val="7DF00F39"/>
    <w:rsid w:val="7E014A6C"/>
    <w:rsid w:val="7E3C05EB"/>
    <w:rsid w:val="7E5957C5"/>
    <w:rsid w:val="7E5D6184"/>
    <w:rsid w:val="7E992321"/>
    <w:rsid w:val="7F00616F"/>
    <w:rsid w:val="7F1208F0"/>
    <w:rsid w:val="7F1A370A"/>
    <w:rsid w:val="7F5C05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qFormat="1" w:unhideWhenUsed="0" w:uiPriority="0" w:semiHidden="0" w:name="index 7"/>
    <w:lsdException w:uiPriority="99" w:name="index 8"/>
    <w:lsdException w:uiPriority="99" w:name="index 9"/>
    <w:lsdException w:qFormat="1" w:uiPriority="0" w:semiHidden="0" w:name="toc 1" w:locked="1"/>
    <w:lsdException w:qFormat="1" w:unhideWhenUsed="0" w:uiPriority="39" w:semiHidden="0" w:name="toc 2"/>
    <w:lsdException w:qFormat="1" w:unhideWhenUsed="0" w:uiPriority="3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3"/>
    <w:qFormat/>
    <w:uiPriority w:val="99"/>
    <w:pPr>
      <w:keepNext/>
      <w:snapToGrid w:val="0"/>
      <w:spacing w:line="360" w:lineRule="atLeast"/>
      <w:outlineLvl w:val="0"/>
    </w:pPr>
    <w:rPr>
      <w:rFonts w:ascii="宋体"/>
    </w:rPr>
  </w:style>
  <w:style w:type="paragraph" w:styleId="3">
    <w:name w:val="heading 2"/>
    <w:basedOn w:val="1"/>
    <w:next w:val="1"/>
    <w:link w:val="64"/>
    <w:qFormat/>
    <w:uiPriority w:val="99"/>
    <w:pPr>
      <w:keepNext/>
      <w:keepLines/>
      <w:spacing w:before="260" w:after="260" w:line="413" w:lineRule="auto"/>
      <w:outlineLvl w:val="1"/>
    </w:pPr>
    <w:rPr>
      <w:rFonts w:ascii="Arial" w:hAnsi="Arial" w:eastAsia="黑体"/>
      <w:b/>
      <w:sz w:val="32"/>
    </w:rPr>
  </w:style>
  <w:style w:type="paragraph" w:styleId="4">
    <w:name w:val="heading 3"/>
    <w:basedOn w:val="1"/>
    <w:next w:val="1"/>
    <w:link w:val="65"/>
    <w:qFormat/>
    <w:uiPriority w:val="0"/>
    <w:pPr>
      <w:keepNext/>
      <w:keepLines/>
      <w:spacing w:before="260" w:after="260" w:line="413" w:lineRule="auto"/>
      <w:outlineLvl w:val="2"/>
    </w:pPr>
    <w:rPr>
      <w:b/>
      <w:sz w:val="32"/>
    </w:rPr>
  </w:style>
  <w:style w:type="paragraph" w:styleId="5">
    <w:name w:val="heading 4"/>
    <w:basedOn w:val="1"/>
    <w:next w:val="1"/>
    <w:link w:val="66"/>
    <w:qFormat/>
    <w:uiPriority w:val="99"/>
    <w:pPr>
      <w:keepNext/>
      <w:keepLines/>
      <w:spacing w:before="280" w:after="290" w:line="372" w:lineRule="auto"/>
      <w:outlineLvl w:val="3"/>
    </w:pPr>
    <w:rPr>
      <w:rFonts w:ascii="Arial" w:hAnsi="Arial" w:eastAsia="黑体"/>
      <w:b/>
    </w:rPr>
  </w:style>
  <w:style w:type="paragraph" w:styleId="6">
    <w:name w:val="heading 5"/>
    <w:basedOn w:val="1"/>
    <w:next w:val="1"/>
    <w:link w:val="67"/>
    <w:qFormat/>
    <w:uiPriority w:val="99"/>
    <w:pPr>
      <w:keepNext/>
      <w:keepLines/>
      <w:tabs>
        <w:tab w:val="left" w:pos="2551"/>
      </w:tabs>
      <w:spacing w:before="280" w:after="290" w:line="372" w:lineRule="auto"/>
      <w:ind w:left="2551" w:hanging="850"/>
      <w:outlineLvl w:val="4"/>
    </w:pPr>
    <w:rPr>
      <w:b/>
    </w:rPr>
  </w:style>
  <w:style w:type="paragraph" w:styleId="7">
    <w:name w:val="heading 6"/>
    <w:basedOn w:val="1"/>
    <w:next w:val="1"/>
    <w:link w:val="68"/>
    <w:qFormat/>
    <w:uiPriority w:val="9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69"/>
    <w:qFormat/>
    <w:uiPriority w:val="99"/>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70"/>
    <w:qFormat/>
    <w:uiPriority w:val="99"/>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71"/>
    <w:qFormat/>
    <w:uiPriority w:val="99"/>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5">
    <w:name w:val="Default Paragraph Font"/>
    <w:semiHidden/>
    <w:unhideWhenUsed/>
    <w:qFormat/>
    <w:uiPriority w:val="1"/>
  </w:style>
  <w:style w:type="table" w:default="1" w:styleId="53">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99"/>
    <w:pPr>
      <w:adjustRightInd w:val="0"/>
      <w:snapToGrid w:val="0"/>
      <w:spacing w:line="360" w:lineRule="auto"/>
      <w:ind w:left="100" w:leftChars="400" w:hanging="200" w:hangingChars="200"/>
    </w:pPr>
    <w:rPr>
      <w:sz w:val="24"/>
    </w:rPr>
  </w:style>
  <w:style w:type="paragraph" w:styleId="12">
    <w:name w:val="List Number 2"/>
    <w:basedOn w:val="1"/>
    <w:qFormat/>
    <w:uiPriority w:val="99"/>
    <w:pPr>
      <w:numPr>
        <w:ilvl w:val="0"/>
        <w:numId w:val="1"/>
      </w:numPr>
      <w:tabs>
        <w:tab w:val="left" w:pos="780"/>
        <w:tab w:val="clear" w:pos="425"/>
      </w:tabs>
      <w:spacing w:line="360" w:lineRule="auto"/>
    </w:pPr>
    <w:rPr>
      <w:sz w:val="24"/>
    </w:rPr>
  </w:style>
  <w:style w:type="paragraph" w:styleId="13">
    <w:name w:val="List Bullet 4"/>
    <w:basedOn w:val="1"/>
    <w:qFormat/>
    <w:uiPriority w:val="99"/>
    <w:pPr>
      <w:widowControl/>
      <w:tabs>
        <w:tab w:val="left" w:pos="1134"/>
      </w:tabs>
      <w:adjustRightInd w:val="0"/>
      <w:snapToGrid w:val="0"/>
      <w:spacing w:before="120" w:line="280" w:lineRule="atLeast"/>
      <w:ind w:left="1418" w:hanging="284"/>
      <w:jc w:val="left"/>
    </w:pPr>
    <w:rPr>
      <w:rFonts w:ascii="宋体"/>
      <w:kern w:val="0"/>
      <w:sz w:val="22"/>
    </w:rPr>
  </w:style>
  <w:style w:type="paragraph" w:styleId="14">
    <w:name w:val="Normal Indent"/>
    <w:basedOn w:val="1"/>
    <w:next w:val="15"/>
    <w:link w:val="125"/>
    <w:qFormat/>
    <w:uiPriority w:val="99"/>
    <w:pPr>
      <w:adjustRightInd w:val="0"/>
      <w:snapToGrid w:val="0"/>
      <w:spacing w:line="360" w:lineRule="auto"/>
      <w:ind w:firstLine="420"/>
    </w:pPr>
    <w:rPr>
      <w:sz w:val="24"/>
    </w:rPr>
  </w:style>
  <w:style w:type="paragraph" w:styleId="15">
    <w:name w:val="Body Text"/>
    <w:basedOn w:val="1"/>
    <w:next w:val="16"/>
    <w:link w:val="75"/>
    <w:qFormat/>
    <w:uiPriority w:val="99"/>
    <w:rPr>
      <w:rFonts w:ascii="仿宋_GB2312" w:eastAsia="仿宋_GB2312"/>
      <w:sz w:val="32"/>
    </w:rPr>
  </w:style>
  <w:style w:type="paragraph" w:styleId="16">
    <w:name w:val="index 7"/>
    <w:basedOn w:val="1"/>
    <w:next w:val="1"/>
    <w:qFormat/>
    <w:uiPriority w:val="0"/>
    <w:pPr>
      <w:ind w:left="2520"/>
    </w:pPr>
  </w:style>
  <w:style w:type="paragraph" w:styleId="17">
    <w:name w:val="caption"/>
    <w:basedOn w:val="1"/>
    <w:next w:val="1"/>
    <w:qFormat/>
    <w:uiPriority w:val="99"/>
    <w:pPr>
      <w:widowControl/>
      <w:tabs>
        <w:tab w:val="left" w:pos="1134"/>
      </w:tabs>
      <w:adjustRightInd w:val="0"/>
      <w:snapToGrid w:val="0"/>
      <w:spacing w:line="280" w:lineRule="atLeast"/>
      <w:jc w:val="left"/>
    </w:pPr>
    <w:rPr>
      <w:rFonts w:eastAsia="PMingLiUfalt"/>
      <w:b/>
      <w:kern w:val="0"/>
      <w:sz w:val="24"/>
      <w:lang w:eastAsia="zh-TW"/>
    </w:rPr>
  </w:style>
  <w:style w:type="paragraph" w:styleId="18">
    <w:name w:val="Document Map"/>
    <w:basedOn w:val="1"/>
    <w:link w:val="72"/>
    <w:qFormat/>
    <w:uiPriority w:val="99"/>
    <w:pPr>
      <w:shd w:val="clear" w:color="auto" w:fill="000080"/>
    </w:pPr>
  </w:style>
  <w:style w:type="paragraph" w:styleId="19">
    <w:name w:val="toa heading"/>
    <w:basedOn w:val="1"/>
    <w:next w:val="1"/>
    <w:qFormat/>
    <w:uiPriority w:val="99"/>
    <w:pPr>
      <w:spacing w:before="120"/>
    </w:pPr>
    <w:rPr>
      <w:rFonts w:ascii="Arial" w:hAnsi="Arial"/>
      <w:sz w:val="24"/>
    </w:rPr>
  </w:style>
  <w:style w:type="paragraph" w:styleId="20">
    <w:name w:val="annotation text"/>
    <w:basedOn w:val="1"/>
    <w:link w:val="73"/>
    <w:qFormat/>
    <w:uiPriority w:val="99"/>
    <w:pPr>
      <w:adjustRightInd w:val="0"/>
      <w:spacing w:line="360" w:lineRule="atLeast"/>
      <w:jc w:val="left"/>
      <w:textAlignment w:val="baseline"/>
    </w:pPr>
    <w:rPr>
      <w:kern w:val="0"/>
      <w:sz w:val="24"/>
    </w:rPr>
  </w:style>
  <w:style w:type="paragraph" w:styleId="21">
    <w:name w:val="index 6"/>
    <w:basedOn w:val="1"/>
    <w:next w:val="1"/>
    <w:qFormat/>
    <w:uiPriority w:val="99"/>
    <w:pPr>
      <w:widowControl/>
    </w:pPr>
    <w:rPr>
      <w:kern w:val="0"/>
      <w:sz w:val="21"/>
      <w:szCs w:val="24"/>
    </w:rPr>
  </w:style>
  <w:style w:type="paragraph" w:styleId="22">
    <w:name w:val="Body Text 3"/>
    <w:basedOn w:val="1"/>
    <w:link w:val="74"/>
    <w:qFormat/>
    <w:uiPriority w:val="99"/>
    <w:pPr>
      <w:adjustRightInd w:val="0"/>
      <w:snapToGrid w:val="0"/>
      <w:spacing w:after="120" w:line="360" w:lineRule="auto"/>
    </w:pPr>
    <w:rPr>
      <w:sz w:val="16"/>
    </w:rPr>
  </w:style>
  <w:style w:type="paragraph" w:styleId="23">
    <w:name w:val="List Bullet 3"/>
    <w:basedOn w:val="1"/>
    <w:qFormat/>
    <w:uiPriority w:val="99"/>
    <w:pPr>
      <w:numPr>
        <w:ilvl w:val="0"/>
        <w:numId w:val="2"/>
      </w:numPr>
      <w:adjustRightInd w:val="0"/>
      <w:snapToGrid w:val="0"/>
      <w:spacing w:line="360" w:lineRule="auto"/>
    </w:pPr>
    <w:rPr>
      <w:sz w:val="24"/>
    </w:rPr>
  </w:style>
  <w:style w:type="paragraph" w:styleId="24">
    <w:name w:val="Body Text Indent"/>
    <w:basedOn w:val="1"/>
    <w:link w:val="76"/>
    <w:qFormat/>
    <w:uiPriority w:val="0"/>
    <w:pPr>
      <w:spacing w:line="700" w:lineRule="exact"/>
      <w:ind w:left="960"/>
    </w:pPr>
    <w:rPr>
      <w:sz w:val="44"/>
    </w:rPr>
  </w:style>
  <w:style w:type="paragraph" w:styleId="25">
    <w:name w:val="List Number 3"/>
    <w:basedOn w:val="1"/>
    <w:qFormat/>
    <w:uiPriority w:val="99"/>
    <w:pPr>
      <w:tabs>
        <w:tab w:val="left" w:pos="2120"/>
      </w:tabs>
      <w:adjustRightInd w:val="0"/>
      <w:snapToGrid w:val="0"/>
      <w:spacing w:line="360" w:lineRule="auto"/>
      <w:ind w:left="2120" w:hanging="720"/>
    </w:pPr>
    <w:rPr>
      <w:sz w:val="24"/>
    </w:rPr>
  </w:style>
  <w:style w:type="paragraph" w:styleId="26">
    <w:name w:val="List 2"/>
    <w:basedOn w:val="1"/>
    <w:qFormat/>
    <w:uiPriority w:val="99"/>
    <w:pPr>
      <w:adjustRightInd w:val="0"/>
      <w:snapToGrid w:val="0"/>
      <w:spacing w:line="360" w:lineRule="auto"/>
      <w:ind w:left="100" w:leftChars="200" w:hanging="200" w:hangingChars="200"/>
    </w:pPr>
    <w:rPr>
      <w:sz w:val="24"/>
    </w:rPr>
  </w:style>
  <w:style w:type="paragraph" w:styleId="27">
    <w:name w:val="List Continue"/>
    <w:basedOn w:val="1"/>
    <w:qFormat/>
    <w:uiPriority w:val="99"/>
    <w:pPr>
      <w:adjustRightInd w:val="0"/>
      <w:snapToGrid w:val="0"/>
      <w:spacing w:after="120" w:line="360" w:lineRule="auto"/>
      <w:ind w:left="420" w:leftChars="200"/>
    </w:pPr>
    <w:rPr>
      <w:sz w:val="24"/>
    </w:rPr>
  </w:style>
  <w:style w:type="paragraph" w:styleId="28">
    <w:name w:val="List Bullet 2"/>
    <w:basedOn w:val="1"/>
    <w:qFormat/>
    <w:uiPriority w:val="99"/>
    <w:pPr>
      <w:numPr>
        <w:ilvl w:val="0"/>
        <w:numId w:val="3"/>
      </w:numPr>
      <w:adjustRightInd w:val="0"/>
      <w:snapToGrid w:val="0"/>
      <w:spacing w:line="360" w:lineRule="auto"/>
    </w:pPr>
    <w:rPr>
      <w:sz w:val="24"/>
    </w:rPr>
  </w:style>
  <w:style w:type="paragraph" w:styleId="29">
    <w:name w:val="toc 3"/>
    <w:basedOn w:val="1"/>
    <w:next w:val="1"/>
    <w:qFormat/>
    <w:uiPriority w:val="39"/>
    <w:pPr>
      <w:ind w:left="840" w:leftChars="400"/>
    </w:pPr>
  </w:style>
  <w:style w:type="paragraph" w:styleId="30">
    <w:name w:val="Plain Text"/>
    <w:basedOn w:val="1"/>
    <w:next w:val="1"/>
    <w:link w:val="77"/>
    <w:qFormat/>
    <w:uiPriority w:val="99"/>
    <w:rPr>
      <w:rFonts w:ascii="宋体" w:hAnsi="Courier New"/>
      <w:sz w:val="21"/>
    </w:rPr>
  </w:style>
  <w:style w:type="paragraph" w:styleId="31">
    <w:name w:val="Date"/>
    <w:basedOn w:val="1"/>
    <w:next w:val="1"/>
    <w:link w:val="78"/>
    <w:qFormat/>
    <w:uiPriority w:val="0"/>
  </w:style>
  <w:style w:type="paragraph" w:styleId="32">
    <w:name w:val="Body Text Indent 2"/>
    <w:basedOn w:val="1"/>
    <w:link w:val="79"/>
    <w:qFormat/>
    <w:uiPriority w:val="99"/>
    <w:pPr>
      <w:snapToGrid w:val="0"/>
      <w:spacing w:line="560" w:lineRule="atLeast"/>
      <w:ind w:firstLine="540"/>
    </w:pPr>
  </w:style>
  <w:style w:type="paragraph" w:styleId="33">
    <w:name w:val="Balloon Text"/>
    <w:basedOn w:val="1"/>
    <w:link w:val="80"/>
    <w:qFormat/>
    <w:uiPriority w:val="99"/>
    <w:rPr>
      <w:sz w:val="18"/>
    </w:rPr>
  </w:style>
  <w:style w:type="paragraph" w:styleId="34">
    <w:name w:val="footer"/>
    <w:basedOn w:val="1"/>
    <w:link w:val="81"/>
    <w:qFormat/>
    <w:uiPriority w:val="99"/>
    <w:pPr>
      <w:tabs>
        <w:tab w:val="center" w:pos="4153"/>
        <w:tab w:val="right" w:pos="8306"/>
      </w:tabs>
      <w:snapToGrid w:val="0"/>
      <w:jc w:val="left"/>
    </w:pPr>
    <w:rPr>
      <w:sz w:val="18"/>
    </w:r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unhideWhenUsed/>
    <w:qFormat/>
    <w:locked/>
    <w:uiPriority w:val="0"/>
  </w:style>
  <w:style w:type="paragraph" w:styleId="37">
    <w:name w:val="List Continue 4"/>
    <w:basedOn w:val="1"/>
    <w:qFormat/>
    <w:uiPriority w:val="99"/>
    <w:pPr>
      <w:adjustRightInd w:val="0"/>
      <w:snapToGrid w:val="0"/>
      <w:spacing w:after="120" w:line="360" w:lineRule="auto"/>
      <w:ind w:left="1680" w:leftChars="800"/>
    </w:pPr>
    <w:rPr>
      <w:sz w:val="24"/>
    </w:rPr>
  </w:style>
  <w:style w:type="paragraph" w:styleId="38">
    <w:name w:val="footnote text"/>
    <w:basedOn w:val="1"/>
    <w:link w:val="83"/>
    <w:qFormat/>
    <w:uiPriority w:val="99"/>
    <w:pPr>
      <w:spacing w:line="360" w:lineRule="auto"/>
    </w:pPr>
    <w:rPr>
      <w:sz w:val="18"/>
    </w:rPr>
  </w:style>
  <w:style w:type="paragraph" w:styleId="39">
    <w:name w:val="List 5"/>
    <w:basedOn w:val="1"/>
    <w:qFormat/>
    <w:uiPriority w:val="99"/>
    <w:pPr>
      <w:adjustRightInd w:val="0"/>
      <w:snapToGrid w:val="0"/>
      <w:spacing w:line="360" w:lineRule="auto"/>
      <w:ind w:left="100" w:leftChars="800" w:hanging="200" w:hangingChars="200"/>
    </w:pPr>
    <w:rPr>
      <w:sz w:val="24"/>
    </w:rPr>
  </w:style>
  <w:style w:type="paragraph" w:styleId="40">
    <w:name w:val="Body Text Indent 3"/>
    <w:basedOn w:val="1"/>
    <w:link w:val="84"/>
    <w:qFormat/>
    <w:uiPriority w:val="99"/>
    <w:pPr>
      <w:spacing w:line="360" w:lineRule="auto"/>
      <w:ind w:firstLine="632"/>
    </w:pPr>
    <w:rPr>
      <w:rFonts w:ascii="黑体" w:eastAsia="黑体"/>
    </w:rPr>
  </w:style>
  <w:style w:type="paragraph" w:styleId="41">
    <w:name w:val="table of figures"/>
    <w:basedOn w:val="1"/>
    <w:next w:val="1"/>
    <w:qFormat/>
    <w:uiPriority w:val="99"/>
    <w:pPr>
      <w:tabs>
        <w:tab w:val="right" w:leader="dot" w:pos="8640"/>
      </w:tabs>
      <w:spacing w:line="360" w:lineRule="auto"/>
      <w:ind w:left="400" w:hanging="400"/>
    </w:pPr>
    <w:rPr>
      <w:sz w:val="24"/>
    </w:rPr>
  </w:style>
  <w:style w:type="paragraph" w:styleId="42">
    <w:name w:val="toc 2"/>
    <w:basedOn w:val="1"/>
    <w:next w:val="1"/>
    <w:qFormat/>
    <w:uiPriority w:val="39"/>
    <w:pPr>
      <w:ind w:left="420" w:leftChars="200"/>
    </w:pPr>
  </w:style>
  <w:style w:type="paragraph" w:styleId="43">
    <w:name w:val="Body Text 2"/>
    <w:basedOn w:val="1"/>
    <w:link w:val="85"/>
    <w:qFormat/>
    <w:uiPriority w:val="99"/>
    <w:pPr>
      <w:adjustRightInd w:val="0"/>
      <w:snapToGrid w:val="0"/>
      <w:spacing w:after="120" w:line="480" w:lineRule="auto"/>
    </w:pPr>
    <w:rPr>
      <w:sz w:val="24"/>
    </w:rPr>
  </w:style>
  <w:style w:type="paragraph" w:styleId="44">
    <w:name w:val="List 4"/>
    <w:basedOn w:val="1"/>
    <w:qFormat/>
    <w:uiPriority w:val="99"/>
    <w:pPr>
      <w:adjustRightInd w:val="0"/>
      <w:snapToGrid w:val="0"/>
      <w:spacing w:line="360" w:lineRule="auto"/>
      <w:ind w:left="100" w:leftChars="600" w:hanging="200" w:hangingChars="200"/>
    </w:pPr>
    <w:rPr>
      <w:sz w:val="24"/>
    </w:rPr>
  </w:style>
  <w:style w:type="paragraph" w:styleId="45">
    <w:name w:val="List Continue 2"/>
    <w:basedOn w:val="1"/>
    <w:qFormat/>
    <w:uiPriority w:val="99"/>
    <w:pPr>
      <w:adjustRightInd w:val="0"/>
      <w:snapToGrid w:val="0"/>
      <w:spacing w:after="120" w:line="360" w:lineRule="auto"/>
      <w:ind w:left="840" w:leftChars="400"/>
    </w:pPr>
    <w:rPr>
      <w:sz w:val="24"/>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List Continue 3"/>
    <w:basedOn w:val="1"/>
    <w:qFormat/>
    <w:uiPriority w:val="99"/>
    <w:pPr>
      <w:adjustRightInd w:val="0"/>
      <w:snapToGrid w:val="0"/>
      <w:spacing w:after="120" w:line="360" w:lineRule="auto"/>
      <w:ind w:left="1260" w:leftChars="600"/>
    </w:pPr>
    <w:rPr>
      <w:sz w:val="24"/>
    </w:rPr>
  </w:style>
  <w:style w:type="paragraph" w:styleId="48">
    <w:name w:val="index 1"/>
    <w:basedOn w:val="1"/>
    <w:next w:val="1"/>
    <w:qFormat/>
    <w:uiPriority w:val="99"/>
    <w:pPr>
      <w:adjustRightInd w:val="0"/>
      <w:spacing w:line="240" w:lineRule="atLeast"/>
      <w:textAlignment w:val="baseline"/>
    </w:pPr>
    <w:rPr>
      <w:rFonts w:ascii="宋体"/>
      <w:kern w:val="0"/>
      <w:sz w:val="21"/>
    </w:rPr>
  </w:style>
  <w:style w:type="paragraph" w:styleId="49">
    <w:name w:val="Title"/>
    <w:basedOn w:val="1"/>
    <w:next w:val="1"/>
    <w:link w:val="86"/>
    <w:qFormat/>
    <w:uiPriority w:val="99"/>
    <w:pPr>
      <w:widowControl/>
      <w:spacing w:after="240" w:line="360" w:lineRule="auto"/>
      <w:jc w:val="center"/>
    </w:pPr>
    <w:rPr>
      <w:rFonts w:ascii="Arial" w:hAnsi="Arial"/>
      <w:b/>
      <w:smallCaps/>
      <w:kern w:val="28"/>
      <w:sz w:val="36"/>
      <w:lang w:eastAsia="en-US"/>
    </w:rPr>
  </w:style>
  <w:style w:type="paragraph" w:styleId="50">
    <w:name w:val="annotation subject"/>
    <w:basedOn w:val="20"/>
    <w:next w:val="20"/>
    <w:link w:val="87"/>
    <w:qFormat/>
    <w:uiPriority w:val="99"/>
    <w:pPr>
      <w:adjustRightInd/>
      <w:spacing w:line="240" w:lineRule="auto"/>
      <w:textAlignment w:val="auto"/>
    </w:pPr>
  </w:style>
  <w:style w:type="paragraph" w:styleId="51">
    <w:name w:val="Body Text First Indent"/>
    <w:basedOn w:val="15"/>
    <w:link w:val="88"/>
    <w:qFormat/>
    <w:uiPriority w:val="99"/>
    <w:pPr>
      <w:spacing w:line="360" w:lineRule="auto"/>
      <w:ind w:firstLine="420"/>
    </w:pPr>
    <w:rPr>
      <w:rFonts w:ascii="宋体" w:hAnsi="宋体"/>
      <w:sz w:val="20"/>
    </w:rPr>
  </w:style>
  <w:style w:type="paragraph" w:styleId="52">
    <w:name w:val="Body Text First Indent 2"/>
    <w:basedOn w:val="24"/>
    <w:link w:val="89"/>
    <w:qFormat/>
    <w:uiPriority w:val="99"/>
    <w:pPr>
      <w:spacing w:after="120" w:line="240" w:lineRule="auto"/>
      <w:ind w:left="420" w:leftChars="200" w:firstLine="420" w:firstLineChars="200"/>
    </w:pPr>
    <w:rPr>
      <w:sz w:val="20"/>
    </w:rPr>
  </w:style>
  <w:style w:type="table" w:styleId="54">
    <w:name w:val="Table Grid"/>
    <w:basedOn w:val="5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rPr>
  </w:style>
  <w:style w:type="character" w:styleId="57">
    <w:name w:val="page number"/>
    <w:basedOn w:val="55"/>
    <w:qFormat/>
    <w:uiPriority w:val="99"/>
    <w:rPr>
      <w:rFonts w:cs="Times New Roman"/>
    </w:rPr>
  </w:style>
  <w:style w:type="character" w:styleId="58">
    <w:name w:val="FollowedHyperlink"/>
    <w:basedOn w:val="55"/>
    <w:qFormat/>
    <w:uiPriority w:val="99"/>
    <w:rPr>
      <w:rFonts w:cs="Times New Roman"/>
      <w:color w:val="800080"/>
      <w:u w:val="single"/>
    </w:rPr>
  </w:style>
  <w:style w:type="character" w:styleId="59">
    <w:name w:val="Emphasis"/>
    <w:basedOn w:val="55"/>
    <w:qFormat/>
    <w:uiPriority w:val="99"/>
    <w:rPr>
      <w:rFonts w:cs="Times New Roman"/>
      <w:i/>
    </w:rPr>
  </w:style>
  <w:style w:type="character" w:styleId="60">
    <w:name w:val="Hyperlink"/>
    <w:basedOn w:val="55"/>
    <w:qFormat/>
    <w:uiPriority w:val="99"/>
    <w:rPr>
      <w:rFonts w:cs="Times New Roman"/>
      <w:color w:val="0000FF"/>
      <w:u w:val="single"/>
    </w:rPr>
  </w:style>
  <w:style w:type="character" w:styleId="61">
    <w:name w:val="annotation reference"/>
    <w:basedOn w:val="55"/>
    <w:qFormat/>
    <w:uiPriority w:val="99"/>
    <w:rPr>
      <w:rFonts w:cs="Times New Roman"/>
      <w:sz w:val="21"/>
    </w:rPr>
  </w:style>
  <w:style w:type="character" w:styleId="62">
    <w:name w:val="footnote reference"/>
    <w:basedOn w:val="55"/>
    <w:qFormat/>
    <w:uiPriority w:val="99"/>
    <w:rPr>
      <w:rFonts w:cs="Times New Roman"/>
      <w:position w:val="6"/>
      <w:sz w:val="14"/>
      <w:vertAlign w:val="superscript"/>
    </w:rPr>
  </w:style>
  <w:style w:type="character" w:customStyle="1" w:styleId="63">
    <w:name w:val="标题 1 字符"/>
    <w:basedOn w:val="55"/>
    <w:link w:val="2"/>
    <w:qFormat/>
    <w:locked/>
    <w:uiPriority w:val="99"/>
    <w:rPr>
      <w:rFonts w:ascii="宋体"/>
      <w:kern w:val="2"/>
      <w:sz w:val="28"/>
    </w:rPr>
  </w:style>
  <w:style w:type="character" w:customStyle="1" w:styleId="64">
    <w:name w:val="标题 2 字符"/>
    <w:basedOn w:val="55"/>
    <w:link w:val="3"/>
    <w:qFormat/>
    <w:locked/>
    <w:uiPriority w:val="99"/>
    <w:rPr>
      <w:rFonts w:ascii="Arial" w:hAnsi="Arial" w:eastAsia="黑体"/>
      <w:b/>
      <w:kern w:val="2"/>
      <w:sz w:val="32"/>
    </w:rPr>
  </w:style>
  <w:style w:type="character" w:customStyle="1" w:styleId="65">
    <w:name w:val="标题 3 字符"/>
    <w:basedOn w:val="55"/>
    <w:link w:val="4"/>
    <w:qFormat/>
    <w:locked/>
    <w:uiPriority w:val="0"/>
    <w:rPr>
      <w:rFonts w:eastAsia="宋体"/>
      <w:b/>
      <w:kern w:val="2"/>
      <w:sz w:val="32"/>
      <w:lang w:val="en-US" w:eastAsia="zh-CN"/>
    </w:rPr>
  </w:style>
  <w:style w:type="character" w:customStyle="1" w:styleId="66">
    <w:name w:val="标题 4 字符"/>
    <w:basedOn w:val="55"/>
    <w:link w:val="5"/>
    <w:qFormat/>
    <w:locked/>
    <w:uiPriority w:val="99"/>
    <w:rPr>
      <w:rFonts w:ascii="Arial" w:hAnsi="Arial" w:eastAsia="黑体"/>
      <w:b/>
      <w:kern w:val="2"/>
      <w:sz w:val="28"/>
    </w:rPr>
  </w:style>
  <w:style w:type="character" w:customStyle="1" w:styleId="67">
    <w:name w:val="标题 5 字符"/>
    <w:basedOn w:val="55"/>
    <w:link w:val="6"/>
    <w:qFormat/>
    <w:locked/>
    <w:uiPriority w:val="99"/>
    <w:rPr>
      <w:b/>
      <w:kern w:val="2"/>
      <w:sz w:val="28"/>
    </w:rPr>
  </w:style>
  <w:style w:type="character" w:customStyle="1" w:styleId="68">
    <w:name w:val="标题 6 字符"/>
    <w:basedOn w:val="55"/>
    <w:link w:val="7"/>
    <w:qFormat/>
    <w:locked/>
    <w:uiPriority w:val="99"/>
    <w:rPr>
      <w:rFonts w:ascii="Arial" w:hAnsi="Arial" w:eastAsia="黑体"/>
      <w:b/>
      <w:kern w:val="2"/>
      <w:sz w:val="24"/>
    </w:rPr>
  </w:style>
  <w:style w:type="character" w:customStyle="1" w:styleId="69">
    <w:name w:val="标题 7 字符"/>
    <w:basedOn w:val="55"/>
    <w:link w:val="8"/>
    <w:qFormat/>
    <w:locked/>
    <w:uiPriority w:val="99"/>
    <w:rPr>
      <w:rFonts w:ascii="Arial" w:hAnsi="Arial" w:eastAsia="黑体"/>
      <w:b/>
      <w:kern w:val="2"/>
      <w:sz w:val="24"/>
    </w:rPr>
  </w:style>
  <w:style w:type="character" w:customStyle="1" w:styleId="70">
    <w:name w:val="标题 8 字符"/>
    <w:basedOn w:val="55"/>
    <w:link w:val="9"/>
    <w:qFormat/>
    <w:locked/>
    <w:uiPriority w:val="99"/>
    <w:rPr>
      <w:rFonts w:ascii="Arial" w:hAnsi="Arial" w:eastAsia="黑体"/>
      <w:b/>
      <w:kern w:val="2"/>
      <w:sz w:val="24"/>
    </w:rPr>
  </w:style>
  <w:style w:type="character" w:customStyle="1" w:styleId="71">
    <w:name w:val="标题 9 字符"/>
    <w:basedOn w:val="55"/>
    <w:link w:val="10"/>
    <w:qFormat/>
    <w:locked/>
    <w:uiPriority w:val="99"/>
    <w:rPr>
      <w:rFonts w:ascii="Arial" w:hAnsi="Arial" w:eastAsia="黑体"/>
      <w:b/>
      <w:kern w:val="2"/>
      <w:sz w:val="24"/>
    </w:rPr>
  </w:style>
  <w:style w:type="character" w:customStyle="1" w:styleId="72">
    <w:name w:val="文档结构图 字符"/>
    <w:basedOn w:val="55"/>
    <w:link w:val="18"/>
    <w:qFormat/>
    <w:locked/>
    <w:uiPriority w:val="99"/>
    <w:rPr>
      <w:kern w:val="2"/>
      <w:sz w:val="28"/>
      <w:shd w:val="clear" w:color="auto" w:fill="000080"/>
    </w:rPr>
  </w:style>
  <w:style w:type="character" w:customStyle="1" w:styleId="73">
    <w:name w:val="批注文字 字符"/>
    <w:basedOn w:val="55"/>
    <w:link w:val="20"/>
    <w:qFormat/>
    <w:locked/>
    <w:uiPriority w:val="99"/>
    <w:rPr>
      <w:sz w:val="24"/>
    </w:rPr>
  </w:style>
  <w:style w:type="character" w:customStyle="1" w:styleId="74">
    <w:name w:val="正文文本 3 字符"/>
    <w:basedOn w:val="55"/>
    <w:link w:val="22"/>
    <w:qFormat/>
    <w:locked/>
    <w:uiPriority w:val="99"/>
    <w:rPr>
      <w:kern w:val="2"/>
      <w:sz w:val="16"/>
    </w:rPr>
  </w:style>
  <w:style w:type="character" w:customStyle="1" w:styleId="75">
    <w:name w:val="正文文本 字符"/>
    <w:basedOn w:val="55"/>
    <w:link w:val="15"/>
    <w:qFormat/>
    <w:locked/>
    <w:uiPriority w:val="99"/>
    <w:rPr>
      <w:rFonts w:ascii="仿宋_GB2312" w:eastAsia="仿宋_GB2312"/>
      <w:kern w:val="2"/>
      <w:sz w:val="32"/>
    </w:rPr>
  </w:style>
  <w:style w:type="character" w:customStyle="1" w:styleId="76">
    <w:name w:val="正文文本缩进 字符"/>
    <w:basedOn w:val="55"/>
    <w:link w:val="24"/>
    <w:qFormat/>
    <w:locked/>
    <w:uiPriority w:val="0"/>
    <w:rPr>
      <w:kern w:val="2"/>
      <w:sz w:val="44"/>
    </w:rPr>
  </w:style>
  <w:style w:type="character" w:customStyle="1" w:styleId="77">
    <w:name w:val="纯文本 字符"/>
    <w:basedOn w:val="55"/>
    <w:link w:val="30"/>
    <w:qFormat/>
    <w:locked/>
    <w:uiPriority w:val="99"/>
    <w:rPr>
      <w:rFonts w:ascii="宋体" w:hAnsi="Courier New"/>
      <w:kern w:val="2"/>
      <w:sz w:val="21"/>
    </w:rPr>
  </w:style>
  <w:style w:type="character" w:customStyle="1" w:styleId="78">
    <w:name w:val="日期 字符"/>
    <w:basedOn w:val="55"/>
    <w:link w:val="31"/>
    <w:qFormat/>
    <w:locked/>
    <w:uiPriority w:val="0"/>
    <w:rPr>
      <w:kern w:val="2"/>
      <w:sz w:val="28"/>
    </w:rPr>
  </w:style>
  <w:style w:type="character" w:customStyle="1" w:styleId="79">
    <w:name w:val="正文文本缩进 2 字符"/>
    <w:basedOn w:val="55"/>
    <w:link w:val="32"/>
    <w:qFormat/>
    <w:locked/>
    <w:uiPriority w:val="99"/>
    <w:rPr>
      <w:kern w:val="2"/>
      <w:sz w:val="28"/>
    </w:rPr>
  </w:style>
  <w:style w:type="character" w:customStyle="1" w:styleId="80">
    <w:name w:val="批注框文本 字符"/>
    <w:basedOn w:val="55"/>
    <w:link w:val="33"/>
    <w:qFormat/>
    <w:locked/>
    <w:uiPriority w:val="99"/>
    <w:rPr>
      <w:kern w:val="2"/>
      <w:sz w:val="18"/>
    </w:rPr>
  </w:style>
  <w:style w:type="character" w:customStyle="1" w:styleId="81">
    <w:name w:val="页脚 字符"/>
    <w:basedOn w:val="55"/>
    <w:link w:val="34"/>
    <w:qFormat/>
    <w:locked/>
    <w:uiPriority w:val="99"/>
    <w:rPr>
      <w:kern w:val="2"/>
      <w:sz w:val="18"/>
    </w:rPr>
  </w:style>
  <w:style w:type="character" w:customStyle="1" w:styleId="82">
    <w:name w:val="页眉 字符"/>
    <w:basedOn w:val="55"/>
    <w:link w:val="35"/>
    <w:qFormat/>
    <w:locked/>
    <w:uiPriority w:val="0"/>
    <w:rPr>
      <w:kern w:val="2"/>
      <w:sz w:val="18"/>
    </w:rPr>
  </w:style>
  <w:style w:type="character" w:customStyle="1" w:styleId="83">
    <w:name w:val="脚注文本 字符"/>
    <w:basedOn w:val="55"/>
    <w:link w:val="38"/>
    <w:qFormat/>
    <w:locked/>
    <w:uiPriority w:val="99"/>
    <w:rPr>
      <w:kern w:val="2"/>
      <w:sz w:val="18"/>
    </w:rPr>
  </w:style>
  <w:style w:type="character" w:customStyle="1" w:styleId="84">
    <w:name w:val="正文文本缩进 3 字符"/>
    <w:basedOn w:val="55"/>
    <w:link w:val="40"/>
    <w:qFormat/>
    <w:locked/>
    <w:uiPriority w:val="99"/>
    <w:rPr>
      <w:rFonts w:ascii="黑体" w:eastAsia="黑体"/>
      <w:kern w:val="2"/>
      <w:sz w:val="28"/>
    </w:rPr>
  </w:style>
  <w:style w:type="character" w:customStyle="1" w:styleId="85">
    <w:name w:val="正文文本 2 字符"/>
    <w:basedOn w:val="55"/>
    <w:link w:val="43"/>
    <w:qFormat/>
    <w:locked/>
    <w:uiPriority w:val="99"/>
    <w:rPr>
      <w:kern w:val="2"/>
      <w:sz w:val="24"/>
    </w:rPr>
  </w:style>
  <w:style w:type="character" w:customStyle="1" w:styleId="86">
    <w:name w:val="标题 字符"/>
    <w:basedOn w:val="55"/>
    <w:link w:val="49"/>
    <w:qFormat/>
    <w:locked/>
    <w:uiPriority w:val="99"/>
    <w:rPr>
      <w:rFonts w:ascii="Arial" w:hAnsi="Arial"/>
      <w:b/>
      <w:smallCaps/>
      <w:kern w:val="28"/>
      <w:sz w:val="36"/>
      <w:lang w:eastAsia="en-US"/>
    </w:rPr>
  </w:style>
  <w:style w:type="character" w:customStyle="1" w:styleId="87">
    <w:name w:val="批注主题 字符"/>
    <w:basedOn w:val="73"/>
    <w:link w:val="50"/>
    <w:qFormat/>
    <w:locked/>
    <w:uiPriority w:val="99"/>
    <w:rPr>
      <w:rFonts w:cs="Times New Roman"/>
      <w:sz w:val="24"/>
    </w:rPr>
  </w:style>
  <w:style w:type="character" w:customStyle="1" w:styleId="88">
    <w:name w:val="正文文本首行缩进 字符"/>
    <w:basedOn w:val="75"/>
    <w:link w:val="51"/>
    <w:qFormat/>
    <w:locked/>
    <w:uiPriority w:val="99"/>
    <w:rPr>
      <w:rFonts w:ascii="宋体" w:hAnsi="宋体" w:eastAsia="宋体"/>
      <w:kern w:val="2"/>
      <w:sz w:val="20"/>
    </w:rPr>
  </w:style>
  <w:style w:type="character" w:customStyle="1" w:styleId="89">
    <w:name w:val="正文文本首行缩进 2 字符"/>
    <w:basedOn w:val="76"/>
    <w:link w:val="52"/>
    <w:semiHidden/>
    <w:qFormat/>
    <w:locked/>
    <w:uiPriority w:val="99"/>
    <w:rPr>
      <w:kern w:val="2"/>
      <w:sz w:val="20"/>
    </w:rPr>
  </w:style>
  <w:style w:type="character" w:customStyle="1" w:styleId="90">
    <w:name w:val="content-white1"/>
    <w:qFormat/>
    <w:uiPriority w:val="99"/>
    <w:rPr>
      <w:color w:val="auto"/>
      <w:sz w:val="18"/>
      <w:u w:val="none"/>
    </w:rPr>
  </w:style>
  <w:style w:type="character" w:customStyle="1" w:styleId="91">
    <w:name w:val="Char Char5"/>
    <w:qFormat/>
    <w:uiPriority w:val="99"/>
    <w:rPr>
      <w:rFonts w:ascii="Arial" w:hAnsi="Arial" w:eastAsia="宋体"/>
      <w:b/>
      <w:smallCaps/>
      <w:kern w:val="28"/>
      <w:sz w:val="36"/>
      <w:lang w:val="en-US" w:eastAsia="en-US"/>
    </w:rPr>
  </w:style>
  <w:style w:type="character" w:customStyle="1" w:styleId="92">
    <w:name w:val="font1"/>
    <w:qFormat/>
    <w:uiPriority w:val="99"/>
    <w:rPr>
      <w:color w:val="000000"/>
      <w:sz w:val="18"/>
    </w:rPr>
  </w:style>
  <w:style w:type="character" w:customStyle="1" w:styleId="93">
    <w:name w:val="1[858D7CFB-ED40-4347-BF05-701D383B685F]"/>
    <w:link w:val="94"/>
    <w:qFormat/>
    <w:locked/>
    <w:uiPriority w:val="99"/>
    <w:rPr>
      <w:rFonts w:ascii="宋体" w:hAnsi="Courier New"/>
      <w:kern w:val="2"/>
      <w:sz w:val="21"/>
    </w:rPr>
  </w:style>
  <w:style w:type="paragraph" w:customStyle="1" w:styleId="94">
    <w:name w:val="1"/>
    <w:basedOn w:val="1"/>
    <w:next w:val="30"/>
    <w:link w:val="93"/>
    <w:qFormat/>
    <w:uiPriority w:val="99"/>
    <w:rPr>
      <w:rFonts w:ascii="宋体" w:hAnsi="Courier New"/>
      <w:sz w:val="21"/>
    </w:rPr>
  </w:style>
  <w:style w:type="character" w:customStyle="1" w:styleId="95">
    <w:name w:val="文字 Char"/>
    <w:link w:val="96"/>
    <w:qFormat/>
    <w:locked/>
    <w:uiPriority w:val="99"/>
    <w:rPr>
      <w:rFonts w:ascii="宋体"/>
      <w:kern w:val="2"/>
      <w:sz w:val="28"/>
    </w:rPr>
  </w:style>
  <w:style w:type="paragraph" w:customStyle="1" w:styleId="96">
    <w:name w:val="文字"/>
    <w:basedOn w:val="1"/>
    <w:link w:val="95"/>
    <w:qFormat/>
    <w:uiPriority w:val="99"/>
    <w:pPr>
      <w:tabs>
        <w:tab w:val="left" w:pos="8520"/>
      </w:tabs>
      <w:spacing w:line="312" w:lineRule="auto"/>
      <w:ind w:right="-210" w:firstLine="556"/>
    </w:pPr>
    <w:rPr>
      <w:rFonts w:ascii="宋体"/>
    </w:rPr>
  </w:style>
  <w:style w:type="character" w:customStyle="1" w:styleId="97">
    <w:name w:val="font31"/>
    <w:qFormat/>
    <w:uiPriority w:val="99"/>
    <w:rPr>
      <w:rFonts w:ascii="宋体" w:hAnsi="宋体" w:eastAsia="宋体"/>
      <w:color w:val="000000"/>
      <w:sz w:val="18"/>
      <w:u w:val="none"/>
    </w:rPr>
  </w:style>
  <w:style w:type="character" w:customStyle="1" w:styleId="98">
    <w:name w:val="Char Char7"/>
    <w:qFormat/>
    <w:uiPriority w:val="99"/>
    <w:rPr>
      <w:rFonts w:ascii="宋体" w:hAnsi="宋体" w:eastAsia="宋体"/>
      <w:kern w:val="2"/>
      <w:sz w:val="28"/>
    </w:rPr>
  </w:style>
  <w:style w:type="character" w:customStyle="1" w:styleId="99">
    <w:name w:val="样式 宋体"/>
    <w:qFormat/>
    <w:uiPriority w:val="99"/>
    <w:rPr>
      <w:rFonts w:ascii="宋体" w:hAnsi="宋体" w:eastAsia="宋体"/>
      <w:sz w:val="28"/>
    </w:rPr>
  </w:style>
  <w:style w:type="character" w:customStyle="1" w:styleId="100">
    <w:name w:val="v151"/>
    <w:qFormat/>
    <w:uiPriority w:val="99"/>
    <w:rPr>
      <w:sz w:val="18"/>
    </w:rPr>
  </w:style>
  <w:style w:type="character" w:customStyle="1" w:styleId="101">
    <w:name w:val="Char Char3"/>
    <w:qFormat/>
    <w:uiPriority w:val="99"/>
    <w:rPr>
      <w:rFonts w:eastAsia="宋体"/>
      <w:kern w:val="2"/>
      <w:sz w:val="18"/>
      <w:lang w:val="en-US" w:eastAsia="zh-CN"/>
    </w:rPr>
  </w:style>
  <w:style w:type="character" w:customStyle="1" w:styleId="102">
    <w:name w:val="Table Heading Char Char"/>
    <w:qFormat/>
    <w:uiPriority w:val="99"/>
    <w:rPr>
      <w:rFonts w:ascii="Arial" w:hAnsi="Arial" w:eastAsia="黑体"/>
      <w:kern w:val="2"/>
      <w:sz w:val="18"/>
      <w:lang w:val="en-US" w:eastAsia="zh-CN"/>
    </w:rPr>
  </w:style>
  <w:style w:type="character" w:customStyle="1" w:styleId="103">
    <w:name w:val="Char Char"/>
    <w:qFormat/>
    <w:uiPriority w:val="99"/>
    <w:rPr>
      <w:rFonts w:ascii="宋体" w:hAnsi="宋体" w:eastAsia="宋体"/>
      <w:kern w:val="2"/>
      <w:sz w:val="24"/>
      <w:lang w:val="en-US" w:eastAsia="zh-CN"/>
    </w:rPr>
  </w:style>
  <w:style w:type="character" w:customStyle="1" w:styleId="104">
    <w:name w:val="Table Text Char Char Char Char"/>
    <w:link w:val="105"/>
    <w:qFormat/>
    <w:locked/>
    <w:uiPriority w:val="99"/>
    <w:rPr>
      <w:rFonts w:ascii="Arial" w:hAnsi="Arial"/>
      <w:kern w:val="2"/>
      <w:sz w:val="18"/>
      <w:lang w:val="en-US" w:eastAsia="zh-CN" w:bidi="ar-SA"/>
    </w:rPr>
  </w:style>
  <w:style w:type="paragraph" w:customStyle="1" w:styleId="105">
    <w:name w:val="Table Text Char Char Char"/>
    <w:link w:val="104"/>
    <w:qFormat/>
    <w:uiPriority w:val="99"/>
    <w:pPr>
      <w:snapToGrid w:val="0"/>
      <w:spacing w:before="80" w:after="80"/>
    </w:pPr>
    <w:rPr>
      <w:rFonts w:ascii="Arial" w:hAnsi="Arial" w:eastAsia="宋体" w:cs="Times New Roman"/>
      <w:kern w:val="2"/>
      <w:sz w:val="18"/>
      <w:lang w:val="en-US" w:eastAsia="zh-CN" w:bidi="ar-SA"/>
    </w:rPr>
  </w:style>
  <w:style w:type="character" w:customStyle="1" w:styleId="106">
    <w:name w:val="Table Text Char"/>
    <w:link w:val="107"/>
    <w:qFormat/>
    <w:locked/>
    <w:uiPriority w:val="99"/>
    <w:rPr>
      <w:rFonts w:ascii="Arial" w:hAnsi="Arial"/>
      <w:kern w:val="2"/>
      <w:sz w:val="18"/>
      <w:lang w:val="en-US" w:eastAsia="zh-CN" w:bidi="ar-SA"/>
    </w:rPr>
  </w:style>
  <w:style w:type="paragraph" w:customStyle="1" w:styleId="107">
    <w:name w:val="Table Text"/>
    <w:link w:val="106"/>
    <w:qFormat/>
    <w:uiPriority w:val="99"/>
    <w:pPr>
      <w:snapToGrid w:val="0"/>
      <w:spacing w:before="80" w:after="80"/>
    </w:pPr>
    <w:rPr>
      <w:rFonts w:ascii="Arial" w:hAnsi="Arial" w:eastAsia="宋体" w:cs="Times New Roman"/>
      <w:kern w:val="2"/>
      <w:sz w:val="18"/>
      <w:lang w:val="en-US" w:eastAsia="zh-CN" w:bidi="ar-SA"/>
    </w:rPr>
  </w:style>
  <w:style w:type="character" w:customStyle="1" w:styleId="108">
    <w:name w:val="小 Char"/>
    <w:qFormat/>
    <w:uiPriority w:val="99"/>
    <w:rPr>
      <w:rFonts w:ascii="宋体" w:hAnsi="Courier New" w:eastAsia="宋体"/>
      <w:kern w:val="2"/>
      <w:sz w:val="21"/>
      <w:lang w:val="en-US" w:eastAsia="zh-CN"/>
    </w:rPr>
  </w:style>
  <w:style w:type="character" w:customStyle="1" w:styleId="109">
    <w:name w:val="crowed11"/>
    <w:qFormat/>
    <w:uiPriority w:val="99"/>
    <w:rPr>
      <w:sz w:val="24"/>
    </w:rPr>
  </w:style>
  <w:style w:type="character" w:customStyle="1" w:styleId="110">
    <w:name w:val="Char Char2"/>
    <w:qFormat/>
    <w:uiPriority w:val="99"/>
    <w:rPr>
      <w:rFonts w:eastAsia="宋体"/>
      <w:kern w:val="2"/>
      <w:sz w:val="18"/>
      <w:lang w:val="en-US" w:eastAsia="zh-CN"/>
    </w:rPr>
  </w:style>
  <w:style w:type="character" w:customStyle="1" w:styleId="111">
    <w:name w:val="标书正文:  0.74 厘米 Char1"/>
    <w:qFormat/>
    <w:uiPriority w:val="99"/>
    <w:rPr>
      <w:rFonts w:eastAsia="宋体"/>
      <w:kern w:val="2"/>
      <w:sz w:val="24"/>
      <w:lang w:val="en-US" w:eastAsia="zh-CN"/>
    </w:rPr>
  </w:style>
  <w:style w:type="character" w:customStyle="1" w:styleId="112">
    <w:name w:val="Char Char6"/>
    <w:qFormat/>
    <w:uiPriority w:val="99"/>
    <w:rPr>
      <w:rFonts w:ascii="仿宋_GB2312" w:eastAsia="仿宋_GB2312"/>
      <w:kern w:val="2"/>
      <w:sz w:val="32"/>
    </w:rPr>
  </w:style>
  <w:style w:type="character" w:customStyle="1" w:styleId="113">
    <w:name w:val="H2 Char"/>
    <w:qFormat/>
    <w:uiPriority w:val="99"/>
    <w:rPr>
      <w:rFonts w:ascii="Arial" w:hAnsi="Arial" w:eastAsia="宋体"/>
      <w:kern w:val="2"/>
      <w:sz w:val="28"/>
      <w:lang w:val="en-US" w:eastAsia="zh-CN"/>
    </w:rPr>
  </w:style>
  <w:style w:type="character" w:customStyle="1" w:styleId="114">
    <w:name w:val="top-det1"/>
    <w:qFormat/>
    <w:uiPriority w:val="99"/>
    <w:rPr>
      <w:b/>
      <w:color w:val="000000"/>
    </w:rPr>
  </w:style>
  <w:style w:type="character" w:customStyle="1" w:styleId="115">
    <w:name w:val="style51"/>
    <w:qFormat/>
    <w:uiPriority w:val="99"/>
    <w:rPr>
      <w:sz w:val="18"/>
    </w:rPr>
  </w:style>
  <w:style w:type="character" w:customStyle="1" w:styleId="116">
    <w:name w:val="Char Char4"/>
    <w:qFormat/>
    <w:uiPriority w:val="99"/>
    <w:rPr>
      <w:rFonts w:eastAsia="宋体"/>
      <w:b/>
      <w:kern w:val="2"/>
      <w:sz w:val="21"/>
      <w:lang w:val="en-US" w:eastAsia="zh-CN"/>
    </w:rPr>
  </w:style>
  <w:style w:type="character" w:customStyle="1" w:styleId="117">
    <w:name w:val="未命名11"/>
    <w:qFormat/>
    <w:uiPriority w:val="99"/>
    <w:rPr>
      <w:color w:val="77FFFF"/>
      <w:sz w:val="24"/>
    </w:rPr>
  </w:style>
  <w:style w:type="character" w:customStyle="1" w:styleId="118">
    <w:name w:val="正文首行缩进 2 Char"/>
    <w:basedOn w:val="76"/>
    <w:link w:val="119"/>
    <w:qFormat/>
    <w:locked/>
    <w:uiPriority w:val="99"/>
    <w:rPr>
      <w:rFonts w:cs="Times New Roman"/>
      <w:kern w:val="2"/>
      <w:sz w:val="44"/>
    </w:rPr>
  </w:style>
  <w:style w:type="paragraph" w:customStyle="1" w:styleId="119">
    <w:name w:val="正文首行缩进 21"/>
    <w:basedOn w:val="120"/>
    <w:link w:val="118"/>
    <w:qFormat/>
    <w:uiPriority w:val="99"/>
    <w:pPr>
      <w:spacing w:after="120" w:line="240" w:lineRule="auto"/>
      <w:ind w:left="420" w:leftChars="200" w:firstLine="420"/>
    </w:pPr>
  </w:style>
  <w:style w:type="paragraph" w:customStyle="1" w:styleId="120">
    <w:name w:val="正文文本缩进1"/>
    <w:basedOn w:val="1"/>
    <w:qFormat/>
    <w:uiPriority w:val="0"/>
    <w:pPr>
      <w:spacing w:line="500" w:lineRule="exact"/>
      <w:ind w:firstLine="880" w:firstLineChars="200"/>
    </w:pPr>
  </w:style>
  <w:style w:type="character" w:customStyle="1" w:styleId="121">
    <w:name w:val="Table Text Char1 Char"/>
    <w:qFormat/>
    <w:uiPriority w:val="99"/>
    <w:rPr>
      <w:rFonts w:ascii="Arial" w:hAnsi="Arial"/>
      <w:kern w:val="2"/>
      <w:sz w:val="18"/>
      <w:lang w:val="en-US" w:eastAsia="zh-CN"/>
    </w:rPr>
  </w:style>
  <w:style w:type="character" w:customStyle="1" w:styleId="122">
    <w:name w:val="title_emph1"/>
    <w:qFormat/>
    <w:uiPriority w:val="99"/>
    <w:rPr>
      <w:rFonts w:ascii="Arial" w:hAnsi="Arial"/>
      <w:b/>
      <w:sz w:val="20"/>
    </w:rPr>
  </w:style>
  <w:style w:type="character" w:customStyle="1" w:styleId="123">
    <w:name w:val="正文 + 三号 Char"/>
    <w:qFormat/>
    <w:uiPriority w:val="99"/>
    <w:rPr>
      <w:rFonts w:eastAsia="宋体"/>
      <w:kern w:val="2"/>
      <w:sz w:val="21"/>
      <w:lang w:val="en-US" w:eastAsia="zh-CN"/>
    </w:rPr>
  </w:style>
  <w:style w:type="character" w:customStyle="1" w:styleId="124">
    <w:name w:val="Char Char11"/>
    <w:qFormat/>
    <w:uiPriority w:val="99"/>
    <w:rPr>
      <w:rFonts w:ascii="宋体"/>
      <w:kern w:val="2"/>
      <w:sz w:val="28"/>
    </w:rPr>
  </w:style>
  <w:style w:type="character" w:customStyle="1" w:styleId="125">
    <w:name w:val="正文缩进 字符"/>
    <w:link w:val="14"/>
    <w:qFormat/>
    <w:locked/>
    <w:uiPriority w:val="99"/>
    <w:rPr>
      <w:kern w:val="2"/>
      <w:sz w:val="24"/>
    </w:rPr>
  </w:style>
  <w:style w:type="paragraph" w:customStyle="1" w:styleId="126">
    <w:name w:val="目录 41"/>
    <w:basedOn w:val="1"/>
    <w:next w:val="1"/>
    <w:qFormat/>
    <w:uiPriority w:val="99"/>
    <w:pPr>
      <w:ind w:left="1260" w:leftChars="600"/>
    </w:pPr>
  </w:style>
  <w:style w:type="paragraph" w:customStyle="1" w:styleId="127">
    <w:name w:val="正文首行缩进1"/>
    <w:basedOn w:val="1"/>
    <w:qFormat/>
    <w:uiPriority w:val="99"/>
    <w:pPr>
      <w:spacing w:line="360" w:lineRule="auto"/>
      <w:ind w:firstLine="420"/>
    </w:pPr>
    <w:rPr>
      <w:rFonts w:ascii="宋体" w:hAnsi="宋体"/>
      <w:sz w:val="24"/>
    </w:rPr>
  </w:style>
  <w:style w:type="paragraph" w:customStyle="1" w:styleId="128">
    <w:name w:val="目录 21"/>
    <w:basedOn w:val="1"/>
    <w:next w:val="1"/>
    <w:qFormat/>
    <w:uiPriority w:val="99"/>
    <w:pPr>
      <w:ind w:left="420" w:leftChars="200"/>
    </w:pPr>
  </w:style>
  <w:style w:type="paragraph" w:customStyle="1" w:styleId="129">
    <w:name w:val="目录 91"/>
    <w:basedOn w:val="1"/>
    <w:next w:val="1"/>
    <w:qFormat/>
    <w:uiPriority w:val="99"/>
    <w:pPr>
      <w:ind w:left="3360" w:leftChars="1600"/>
    </w:pPr>
  </w:style>
  <w:style w:type="paragraph" w:customStyle="1" w:styleId="130">
    <w:name w:val="目录 71"/>
    <w:basedOn w:val="1"/>
    <w:next w:val="1"/>
    <w:qFormat/>
    <w:uiPriority w:val="99"/>
    <w:pPr>
      <w:ind w:left="2520" w:leftChars="1200"/>
    </w:pPr>
  </w:style>
  <w:style w:type="paragraph" w:customStyle="1" w:styleId="131">
    <w:name w:val="目录 51"/>
    <w:basedOn w:val="1"/>
    <w:next w:val="1"/>
    <w:qFormat/>
    <w:uiPriority w:val="99"/>
    <w:pPr>
      <w:ind w:left="1680" w:leftChars="800"/>
    </w:pPr>
  </w:style>
  <w:style w:type="paragraph" w:customStyle="1" w:styleId="132">
    <w:name w:val="目录 11"/>
    <w:basedOn w:val="1"/>
    <w:next w:val="1"/>
    <w:qFormat/>
    <w:uiPriority w:val="99"/>
    <w:pPr>
      <w:spacing w:line="180" w:lineRule="auto"/>
      <w:jc w:val="center"/>
    </w:pPr>
    <w:rPr>
      <w:sz w:val="30"/>
    </w:rPr>
  </w:style>
  <w:style w:type="paragraph" w:customStyle="1" w:styleId="133">
    <w:name w:val="目录 61"/>
    <w:basedOn w:val="1"/>
    <w:next w:val="1"/>
    <w:qFormat/>
    <w:uiPriority w:val="99"/>
    <w:pPr>
      <w:ind w:left="2100" w:leftChars="1000"/>
    </w:pPr>
  </w:style>
  <w:style w:type="paragraph" w:customStyle="1" w:styleId="134">
    <w:name w:val="目录 31"/>
    <w:basedOn w:val="1"/>
    <w:next w:val="1"/>
    <w:qFormat/>
    <w:uiPriority w:val="99"/>
    <w:pPr>
      <w:ind w:left="840" w:leftChars="400"/>
    </w:pPr>
  </w:style>
  <w:style w:type="paragraph" w:customStyle="1" w:styleId="135">
    <w:name w:val="目录 81"/>
    <w:basedOn w:val="1"/>
    <w:next w:val="1"/>
    <w:qFormat/>
    <w:uiPriority w:val="99"/>
    <w:pPr>
      <w:ind w:left="2940" w:leftChars="1400"/>
    </w:pPr>
  </w:style>
  <w:style w:type="paragraph" w:customStyle="1" w:styleId="136">
    <w:name w:val="附录1"/>
    <w:basedOn w:val="1"/>
    <w:next w:val="1"/>
    <w:qFormat/>
    <w:uiPriority w:val="99"/>
    <w:pPr>
      <w:tabs>
        <w:tab w:val="left" w:pos="1304"/>
      </w:tabs>
      <w:ind w:left="425" w:hanging="425"/>
      <w:outlineLvl w:val="0"/>
    </w:pPr>
    <w:rPr>
      <w:rFonts w:ascii="黑体" w:hAnsi="黑体" w:eastAsia="黑体"/>
      <w:b/>
      <w:sz w:val="44"/>
    </w:rPr>
  </w:style>
  <w:style w:type="paragraph" w:customStyle="1" w:styleId="137">
    <w:name w:val="关键词"/>
    <w:basedOn w:val="1"/>
    <w:next w:val="1"/>
    <w:qFormat/>
    <w:uiPriority w:val="99"/>
    <w:pPr>
      <w:spacing w:line="360" w:lineRule="auto"/>
    </w:pPr>
    <w:rPr>
      <w:rFonts w:eastAsia="黑体"/>
      <w:sz w:val="20"/>
    </w:rPr>
  </w:style>
  <w:style w:type="paragraph" w:customStyle="1" w:styleId="138">
    <w:name w:val="样式 仿宋_GB2312 首行缩进:  2 字符"/>
    <w:basedOn w:val="1"/>
    <w:qFormat/>
    <w:uiPriority w:val="99"/>
    <w:pPr>
      <w:spacing w:line="600" w:lineRule="exact"/>
      <w:ind w:firstLine="420" w:firstLineChars="150"/>
      <w:jc w:val="left"/>
    </w:pPr>
    <w:rPr>
      <w:rFonts w:ascii="仿宋_GB2312" w:hAnsi="Arial" w:eastAsia="仿宋_GB2312"/>
      <w:color w:val="000000"/>
      <w:kern w:val="0"/>
      <w:lang w:val="zh-CN"/>
    </w:rPr>
  </w:style>
  <w:style w:type="paragraph" w:customStyle="1" w:styleId="139">
    <w:name w:val="表文字"/>
    <w:qFormat/>
    <w:uiPriority w:val="99"/>
    <w:rPr>
      <w:rFonts w:ascii="宋体" w:hAnsi="Times New Roman" w:eastAsia="宋体" w:cs="Times New Roman"/>
      <w:kern w:val="2"/>
      <w:lang w:val="en-US" w:eastAsia="zh-CN" w:bidi="ar-SA"/>
    </w:rPr>
  </w:style>
  <w:style w:type="paragraph" w:customStyle="1" w:styleId="140">
    <w:name w:val="Char Char Char Char"/>
    <w:basedOn w:val="1"/>
    <w:qFormat/>
    <w:uiPriority w:val="99"/>
    <w:pPr>
      <w:pageBreakBefore/>
      <w:widowControl/>
      <w:spacing w:after="160" w:line="240" w:lineRule="exact"/>
      <w:jc w:val="left"/>
    </w:pPr>
    <w:rPr>
      <w:rFonts w:ascii="Verdana" w:hAnsi="Verdana"/>
      <w:kern w:val="0"/>
      <w:sz w:val="20"/>
      <w:lang w:eastAsia="en-US"/>
    </w:rPr>
  </w:style>
  <w:style w:type="paragraph" w:customStyle="1" w:styleId="141">
    <w:name w:val="图片文字"/>
    <w:basedOn w:val="1"/>
    <w:qFormat/>
    <w:uiPriority w:val="99"/>
    <w:pPr>
      <w:spacing w:line="240" w:lineRule="atLeast"/>
      <w:jc w:val="center"/>
    </w:pPr>
    <w:rPr>
      <w:sz w:val="21"/>
    </w:rPr>
  </w:style>
  <w:style w:type="paragraph" w:customStyle="1" w:styleId="142">
    <w:name w:val="缺省文本"/>
    <w:basedOn w:val="1"/>
    <w:qFormat/>
    <w:uiPriority w:val="99"/>
    <w:pPr>
      <w:tabs>
        <w:tab w:val="left" w:pos="1260"/>
      </w:tabs>
      <w:autoSpaceDE w:val="0"/>
      <w:autoSpaceDN w:val="0"/>
      <w:adjustRightInd w:val="0"/>
      <w:spacing w:line="360" w:lineRule="auto"/>
      <w:jc w:val="left"/>
    </w:pPr>
    <w:rPr>
      <w:kern w:val="0"/>
      <w:sz w:val="24"/>
    </w:rPr>
  </w:style>
  <w:style w:type="paragraph" w:customStyle="1" w:styleId="143">
    <w:name w:val="样式1xz"/>
    <w:basedOn w:val="1"/>
    <w:qFormat/>
    <w:uiPriority w:val="99"/>
    <w:pPr>
      <w:tabs>
        <w:tab w:val="left" w:pos="1050"/>
        <w:tab w:val="right" w:leader="dot" w:pos="8296"/>
      </w:tabs>
    </w:pPr>
    <w:rPr>
      <w:caps/>
      <w:spacing w:val="20"/>
      <w:sz w:val="24"/>
    </w:rPr>
  </w:style>
  <w:style w:type="paragraph" w:customStyle="1" w:styleId="144">
    <w:name w:val="Style Heading 3h3Heading 3 - oldLevel 3 HeadH3level_3PIM 3se..."/>
    <w:basedOn w:val="4"/>
    <w:qFormat/>
    <w:uiPriority w:val="99"/>
    <w:pPr>
      <w:tabs>
        <w:tab w:val="left" w:pos="709"/>
        <w:tab w:val="left" w:pos="1620"/>
      </w:tabs>
      <w:ind w:left="1620" w:hanging="360"/>
    </w:pPr>
  </w:style>
  <w:style w:type="paragraph" w:customStyle="1" w:styleId="145">
    <w:name w:val="文档正文"/>
    <w:basedOn w:val="1"/>
    <w:qFormat/>
    <w:uiPriority w:val="99"/>
    <w:pPr>
      <w:adjustRightInd w:val="0"/>
      <w:snapToGrid w:val="0"/>
      <w:spacing w:line="440" w:lineRule="exact"/>
      <w:ind w:firstLine="567"/>
      <w:textAlignment w:val="baseline"/>
    </w:pPr>
    <w:rPr>
      <w:rFonts w:ascii="Arial Narrow" w:hAnsi="Arial Narrow"/>
      <w:kern w:val="0"/>
      <w:sz w:val="24"/>
    </w:rPr>
  </w:style>
  <w:style w:type="paragraph" w:customStyle="1" w:styleId="146">
    <w:name w:val="列出段落1"/>
    <w:qFormat/>
    <w:uiPriority w:val="99"/>
    <w:pPr>
      <w:ind w:firstLine="420" w:firstLineChars="200"/>
    </w:pPr>
    <w:rPr>
      <w:rFonts w:ascii="Times New Roman" w:hAnsi="Times New Roman" w:eastAsia="宋体" w:cs="Times New Roman"/>
      <w:lang w:val="en-US" w:eastAsia="zh-CN" w:bidi="ar-SA"/>
    </w:rPr>
  </w:style>
  <w:style w:type="paragraph" w:customStyle="1" w:styleId="147">
    <w:name w:val="Item Step in Table"/>
    <w:qFormat/>
    <w:uiPriority w:val="99"/>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48">
    <w:name w:val="Char Char Char Char Char Char1 Char"/>
    <w:basedOn w:val="1"/>
    <w:qFormat/>
    <w:uiPriority w:val="99"/>
    <w:pPr>
      <w:widowControl/>
      <w:spacing w:after="160" w:line="240" w:lineRule="exact"/>
      <w:jc w:val="left"/>
    </w:pPr>
    <w:rPr>
      <w:rFonts w:ascii="Verdana" w:hAnsi="Verdana"/>
      <w:kern w:val="0"/>
      <w:sz w:val="21"/>
      <w:lang w:eastAsia="en-US"/>
    </w:rPr>
  </w:style>
  <w:style w:type="paragraph" w:customStyle="1" w:styleId="149">
    <w:name w:val="p0"/>
    <w:basedOn w:val="1"/>
    <w:qFormat/>
    <w:uiPriority w:val="99"/>
    <w:pPr>
      <w:widowControl/>
    </w:pPr>
    <w:rPr>
      <w:kern w:val="0"/>
      <w:szCs w:val="21"/>
    </w:rPr>
  </w:style>
  <w:style w:type="paragraph" w:customStyle="1" w:styleId="150">
    <w:name w:val="1.正文"/>
    <w:basedOn w:val="1"/>
    <w:qFormat/>
    <w:uiPriority w:val="99"/>
    <w:pPr>
      <w:spacing w:line="360" w:lineRule="auto"/>
      <w:ind w:left="540" w:leftChars="225" w:firstLine="540" w:firstLineChars="225"/>
    </w:pPr>
    <w:rPr>
      <w:sz w:val="24"/>
    </w:rPr>
  </w:style>
  <w:style w:type="paragraph" w:customStyle="1" w:styleId="151">
    <w:name w:val="正文文本 21"/>
    <w:basedOn w:val="1"/>
    <w:qFormat/>
    <w:uiPriority w:val="99"/>
    <w:pPr>
      <w:adjustRightInd w:val="0"/>
      <w:spacing w:before="120" w:line="360" w:lineRule="auto"/>
      <w:ind w:firstLine="480"/>
      <w:textAlignment w:val="baseline"/>
    </w:pPr>
    <w:rPr>
      <w:sz w:val="24"/>
    </w:rPr>
  </w:style>
  <w:style w:type="paragraph" w:customStyle="1" w:styleId="152">
    <w:name w:val="样式 宋体 五号 两端对齐 行距: 单倍行距"/>
    <w:basedOn w:val="1"/>
    <w:qFormat/>
    <w:uiPriority w:val="99"/>
    <w:pPr>
      <w:adjustRightInd w:val="0"/>
      <w:textAlignment w:val="baseline"/>
    </w:pPr>
    <w:rPr>
      <w:rFonts w:ascii="宋体" w:hAnsi="宋体"/>
      <w:kern w:val="0"/>
      <w:sz w:val="21"/>
    </w:rPr>
  </w:style>
  <w:style w:type="paragraph" w:customStyle="1" w:styleId="153">
    <w:name w:val="样式 正文首行缩进 2 + 首行缩进:  2 字符"/>
    <w:basedOn w:val="1"/>
    <w:qFormat/>
    <w:uiPriority w:val="99"/>
    <w:pPr>
      <w:numPr>
        <w:ilvl w:val="0"/>
        <w:numId w:val="5"/>
      </w:numPr>
      <w:adjustRightInd w:val="0"/>
      <w:snapToGrid w:val="0"/>
      <w:spacing w:line="360" w:lineRule="auto"/>
    </w:pPr>
    <w:rPr>
      <w:rFonts w:ascii="Arial" w:hAnsi="Arial"/>
      <w:b/>
      <w:sz w:val="24"/>
    </w:rPr>
  </w:style>
  <w:style w:type="paragraph" w:customStyle="1" w:styleId="154">
    <w:name w:val="_"/>
    <w:basedOn w:val="1"/>
    <w:qFormat/>
    <w:uiPriority w:val="99"/>
    <w:pPr>
      <w:adjustRightInd w:val="0"/>
      <w:spacing w:line="360" w:lineRule="auto"/>
      <w:ind w:left="480" w:firstLine="200" w:firstLineChars="200"/>
      <w:textAlignment w:val="baseline"/>
    </w:pPr>
    <w:rPr>
      <w:kern w:val="0"/>
      <w:sz w:val="24"/>
    </w:rPr>
  </w:style>
  <w:style w:type="paragraph" w:customStyle="1" w:styleId="155">
    <w:name w:val="文本框样式1"/>
    <w:basedOn w:val="1"/>
    <w:qFormat/>
    <w:uiPriority w:val="99"/>
    <w:pPr>
      <w:adjustRightInd w:val="0"/>
      <w:snapToGrid w:val="0"/>
      <w:spacing w:before="60" w:line="180" w:lineRule="exact"/>
      <w:jc w:val="center"/>
    </w:pPr>
    <w:rPr>
      <w:sz w:val="21"/>
    </w:rPr>
  </w:style>
  <w:style w:type="paragraph" w:customStyle="1" w:styleId="156">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00"/>
    <w:basedOn w:val="1"/>
    <w:qFormat/>
    <w:uiPriority w:val="99"/>
    <w:pPr>
      <w:autoSpaceDE w:val="0"/>
      <w:autoSpaceDN w:val="0"/>
      <w:adjustRightInd w:val="0"/>
      <w:jc w:val="left"/>
    </w:pPr>
    <w:rPr>
      <w:rFonts w:ascii="黑体" w:eastAsia="黑体"/>
      <w:b/>
      <w:kern w:val="0"/>
      <w:sz w:val="20"/>
    </w:rPr>
  </w:style>
  <w:style w:type="paragraph" w:customStyle="1" w:styleId="158">
    <w:name w:val="正文 + 三号"/>
    <w:basedOn w:val="1"/>
    <w:qFormat/>
    <w:uiPriority w:val="99"/>
    <w:rPr>
      <w:sz w:val="21"/>
    </w:rPr>
  </w:style>
  <w:style w:type="paragraph" w:customStyle="1" w:styleId="159">
    <w:name w:val="style1"/>
    <w:basedOn w:val="1"/>
    <w:qFormat/>
    <w:uiPriority w:val="99"/>
    <w:pPr>
      <w:widowControl/>
      <w:spacing w:before="100" w:beforeAutospacing="1" w:after="100" w:afterAutospacing="1"/>
      <w:jc w:val="left"/>
    </w:pPr>
    <w:rPr>
      <w:rFonts w:ascii="宋体" w:hAnsi="宋体"/>
      <w:kern w:val="0"/>
      <w:sz w:val="21"/>
    </w:rPr>
  </w:style>
  <w:style w:type="paragraph" w:customStyle="1" w:styleId="160">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161">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表头样式"/>
    <w:basedOn w:val="1"/>
    <w:qFormat/>
    <w:uiPriority w:val="99"/>
    <w:pPr>
      <w:autoSpaceDE w:val="0"/>
      <w:autoSpaceDN w:val="0"/>
      <w:adjustRightInd w:val="0"/>
      <w:spacing w:line="360" w:lineRule="auto"/>
      <w:jc w:val="left"/>
    </w:pPr>
    <w:rPr>
      <w:b/>
      <w:kern w:val="0"/>
      <w:sz w:val="21"/>
    </w:rPr>
  </w:style>
  <w:style w:type="paragraph" w:customStyle="1" w:styleId="163">
    <w:name w:val="Title - Revision"/>
    <w:basedOn w:val="49"/>
    <w:qFormat/>
    <w:uiPriority w:val="99"/>
    <w:pPr>
      <w:spacing w:before="720"/>
    </w:pPr>
  </w:style>
  <w:style w:type="paragraph" w:customStyle="1" w:styleId="164">
    <w:name w:val="标准正文"/>
    <w:basedOn w:val="24"/>
    <w:link w:val="283"/>
    <w:qFormat/>
    <w:uiPriority w:val="99"/>
    <w:pPr>
      <w:spacing w:before="60" w:after="60" w:line="360" w:lineRule="auto"/>
      <w:ind w:left="0" w:firstLine="482"/>
    </w:pPr>
    <w:rPr>
      <w:rFonts w:ascii="Arial" w:hAnsi="Arial"/>
      <w:sz w:val="24"/>
    </w:rPr>
  </w:style>
  <w:style w:type="paragraph" w:customStyle="1" w:styleId="165">
    <w:name w:val="正文4"/>
    <w:basedOn w:val="1"/>
    <w:qFormat/>
    <w:uiPriority w:val="99"/>
    <w:pPr>
      <w:tabs>
        <w:tab w:val="left" w:pos="1275"/>
      </w:tabs>
      <w:spacing w:before="60" w:after="60" w:line="360" w:lineRule="auto"/>
      <w:ind w:left="820" w:leftChars="400" w:hanging="705"/>
    </w:pPr>
    <w:rPr>
      <w:sz w:val="24"/>
    </w:rPr>
  </w:style>
  <w:style w:type="paragraph" w:customStyle="1" w:styleId="166">
    <w:name w:val="正文格式 Char"/>
    <w:basedOn w:val="1"/>
    <w:qFormat/>
    <w:uiPriority w:val="99"/>
    <w:pPr>
      <w:widowControl/>
      <w:adjustRightInd w:val="0"/>
      <w:spacing w:line="440" w:lineRule="atLeast"/>
      <w:ind w:firstLine="510"/>
      <w:textAlignment w:val="baseline"/>
    </w:pPr>
    <w:rPr>
      <w:kern w:val="0"/>
      <w:sz w:val="24"/>
    </w:rPr>
  </w:style>
  <w:style w:type="paragraph" w:customStyle="1" w:styleId="167">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8">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9">
    <w:name w:val="正文表格"/>
    <w:basedOn w:val="1"/>
    <w:qFormat/>
    <w:uiPriority w:val="99"/>
    <w:pPr>
      <w:adjustRightInd w:val="0"/>
      <w:spacing w:before="40" w:after="40"/>
    </w:pPr>
    <w:rPr>
      <w:sz w:val="24"/>
    </w:rPr>
  </w:style>
  <w:style w:type="paragraph" w:customStyle="1" w:styleId="170">
    <w:name w:val="Char1"/>
    <w:basedOn w:val="1"/>
    <w:qFormat/>
    <w:uiPriority w:val="99"/>
    <w:rPr>
      <w:sz w:val="21"/>
    </w:rPr>
  </w:style>
  <w:style w:type="paragraph" w:customStyle="1" w:styleId="171">
    <w:name w:val="样式 样式 正文首行缩进 2 + 左  0 字符 + 首行缩进:  2.57 字符"/>
    <w:basedOn w:val="1"/>
    <w:next w:val="1"/>
    <w:qFormat/>
    <w:uiPriority w:val="99"/>
    <w:pPr>
      <w:adjustRightInd w:val="0"/>
      <w:snapToGrid w:val="0"/>
      <w:spacing w:after="120"/>
      <w:ind w:firstLine="540" w:firstLineChars="257"/>
    </w:pPr>
    <w:rPr>
      <w:sz w:val="21"/>
    </w:rPr>
  </w:style>
  <w:style w:type="paragraph" w:customStyle="1" w:styleId="172">
    <w:name w:val="样式2"/>
    <w:basedOn w:val="5"/>
    <w:qFormat/>
    <w:uiPriority w:val="99"/>
    <w:pPr>
      <w:numPr>
        <w:ilvl w:val="0"/>
        <w:numId w:val="6"/>
      </w:numPr>
      <w:spacing w:before="560" w:line="400" w:lineRule="exact"/>
      <w:jc w:val="center"/>
      <w:outlineLvl w:val="0"/>
    </w:pPr>
    <w:rPr>
      <w:b w:val="0"/>
      <w:sz w:val="44"/>
    </w:rPr>
  </w:style>
  <w:style w:type="paragraph" w:customStyle="1" w:styleId="173">
    <w:name w:val="af"/>
    <w:basedOn w:val="1"/>
    <w:qFormat/>
    <w:uiPriority w:val="99"/>
    <w:pPr>
      <w:widowControl/>
      <w:spacing w:line="300" w:lineRule="atLeast"/>
      <w:jc w:val="left"/>
    </w:pPr>
    <w:rPr>
      <w:rFonts w:ascii="宋体" w:hAnsi="宋体"/>
      <w:kern w:val="0"/>
      <w:sz w:val="18"/>
    </w:rPr>
  </w:style>
  <w:style w:type="paragraph" w:customStyle="1" w:styleId="174">
    <w:name w:val="简单回函地址"/>
    <w:basedOn w:val="1"/>
    <w:qFormat/>
    <w:uiPriority w:val="99"/>
    <w:pPr>
      <w:adjustRightInd w:val="0"/>
      <w:snapToGrid w:val="0"/>
      <w:spacing w:line="360" w:lineRule="auto"/>
    </w:pPr>
    <w:rPr>
      <w:sz w:val="24"/>
    </w:rPr>
  </w:style>
  <w:style w:type="paragraph" w:customStyle="1" w:styleId="175">
    <w:name w:val="IN Step"/>
    <w:basedOn w:val="1"/>
    <w:qFormat/>
    <w:uiPriority w:val="99"/>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76">
    <w:name w:val="标题5"/>
    <w:basedOn w:val="1"/>
    <w:qFormat/>
    <w:uiPriority w:val="99"/>
    <w:pPr>
      <w:tabs>
        <w:tab w:val="left" w:pos="0"/>
      </w:tabs>
      <w:autoSpaceDE w:val="0"/>
      <w:autoSpaceDN w:val="0"/>
      <w:adjustRightInd w:val="0"/>
      <w:snapToGrid w:val="0"/>
      <w:spacing w:line="320" w:lineRule="atLeast"/>
    </w:pPr>
    <w:rPr>
      <w:rFonts w:ascii="宋体"/>
      <w:kern w:val="0"/>
      <w:sz w:val="21"/>
    </w:rPr>
  </w:style>
  <w:style w:type="paragraph" w:customStyle="1" w:styleId="177">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8">
    <w:name w:val="首行缩进"/>
    <w:basedOn w:val="1"/>
    <w:qFormat/>
    <w:uiPriority w:val="99"/>
    <w:pPr>
      <w:numPr>
        <w:ilvl w:val="0"/>
        <w:numId w:val="7"/>
      </w:numPr>
      <w:spacing w:line="360" w:lineRule="auto"/>
    </w:pPr>
    <w:rPr>
      <w:rFonts w:eastAsia="仿宋_GB2312"/>
    </w:rPr>
  </w:style>
  <w:style w:type="paragraph" w:customStyle="1" w:styleId="179">
    <w:name w:val="内容标题"/>
    <w:basedOn w:val="18"/>
    <w:qFormat/>
    <w:uiPriority w:val="99"/>
    <w:rPr>
      <w:rFonts w:ascii="Tahoma" w:hAnsi="Tahoma"/>
      <w:sz w:val="24"/>
    </w:rPr>
  </w:style>
  <w:style w:type="paragraph" w:customStyle="1" w:styleId="180">
    <w:name w:val="表格文本"/>
    <w:qFormat/>
    <w:uiPriority w:val="99"/>
    <w:pPr>
      <w:tabs>
        <w:tab w:val="decimal" w:pos="0"/>
      </w:tabs>
    </w:pPr>
    <w:rPr>
      <w:rFonts w:ascii="Arial" w:hAnsi="Arial" w:eastAsia="宋体" w:cs="Times New Roman"/>
      <w:sz w:val="21"/>
      <w:lang w:val="en-US" w:eastAsia="zh-CN" w:bidi="ar-SA"/>
    </w:rPr>
  </w:style>
  <w:style w:type="paragraph" w:customStyle="1" w:styleId="181">
    <w:name w:val="Char Char Char Char Char Char Char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82">
    <w:name w:val="AA Numbering"/>
    <w:basedOn w:val="1"/>
    <w:qFormat/>
    <w:uiPriority w:val="99"/>
    <w:pPr>
      <w:widowControl/>
      <w:tabs>
        <w:tab w:val="left" w:pos="1134"/>
        <w:tab w:val="left" w:pos="1280"/>
      </w:tabs>
      <w:adjustRightInd w:val="0"/>
      <w:snapToGrid w:val="0"/>
      <w:spacing w:line="280" w:lineRule="atLeast"/>
      <w:jc w:val="left"/>
    </w:pPr>
    <w:rPr>
      <w:rFonts w:eastAsia="PMingLiUfalt"/>
      <w:kern w:val="0"/>
      <w:sz w:val="24"/>
      <w:lang w:eastAsia="zh-TW"/>
    </w:rPr>
  </w:style>
  <w:style w:type="paragraph" w:customStyle="1" w:styleId="183">
    <w:name w:val="Table Text Char Char"/>
    <w:qFormat/>
    <w:uiPriority w:val="99"/>
    <w:pPr>
      <w:snapToGrid w:val="0"/>
      <w:spacing w:before="80" w:after="80"/>
    </w:pPr>
    <w:rPr>
      <w:rFonts w:ascii="Arial" w:hAnsi="Arial" w:eastAsia="宋体" w:cs="Times New Roman"/>
      <w:kern w:val="2"/>
      <w:sz w:val="18"/>
      <w:lang w:val="en-US" w:eastAsia="zh-CN" w:bidi="ar-SA"/>
    </w:rPr>
  </w:style>
  <w:style w:type="paragraph" w:customStyle="1" w:styleId="184">
    <w:name w:val="没有缩进（为图形使用）"/>
    <w:basedOn w:val="1"/>
    <w:qFormat/>
    <w:uiPriority w:val="99"/>
    <w:pPr>
      <w:spacing w:before="120" w:after="120" w:line="360" w:lineRule="auto"/>
    </w:pPr>
    <w:rPr>
      <w:sz w:val="24"/>
    </w:rPr>
  </w:style>
  <w:style w:type="paragraph" w:customStyle="1" w:styleId="185">
    <w:name w:val="标题3——2"/>
    <w:basedOn w:val="4"/>
    <w:next w:val="127"/>
    <w:qFormat/>
    <w:uiPriority w:val="99"/>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6">
    <w:name w:val="列表项目"/>
    <w:basedOn w:val="1"/>
    <w:qFormat/>
    <w:uiPriority w:val="99"/>
    <w:pPr>
      <w:tabs>
        <w:tab w:val="left" w:pos="420"/>
      </w:tabs>
      <w:spacing w:line="288" w:lineRule="auto"/>
      <w:ind w:left="840" w:leftChars="200" w:hanging="420" w:hangingChars="200"/>
    </w:pPr>
    <w:rPr>
      <w:sz w:val="21"/>
    </w:rPr>
  </w:style>
  <w:style w:type="paragraph" w:customStyle="1" w:styleId="187">
    <w:name w:val="Char"/>
    <w:basedOn w:val="1"/>
    <w:qFormat/>
    <w:uiPriority w:val="99"/>
    <w:pPr>
      <w:spacing w:line="240" w:lineRule="atLeast"/>
      <w:ind w:left="420" w:firstLine="420"/>
    </w:pPr>
    <w:rPr>
      <w:kern w:val="0"/>
      <w:sz w:val="21"/>
    </w:rPr>
  </w:style>
  <w:style w:type="paragraph" w:customStyle="1" w:styleId="188">
    <w:name w:val="Char Char1 Char"/>
    <w:basedOn w:val="1"/>
    <w:qFormat/>
    <w:uiPriority w:val="99"/>
    <w:rPr>
      <w:rFonts w:ascii="Tahoma" w:hAnsi="Tahoma"/>
      <w:sz w:val="24"/>
      <w:szCs w:val="24"/>
    </w:rPr>
  </w:style>
  <w:style w:type="paragraph" w:customStyle="1" w:styleId="189">
    <w:name w:val="Char Char Char Char Char"/>
    <w:basedOn w:val="1"/>
    <w:qFormat/>
    <w:uiPriority w:val="99"/>
    <w:pPr>
      <w:tabs>
        <w:tab w:val="left" w:pos="425"/>
      </w:tabs>
      <w:ind w:left="1620" w:hanging="360"/>
    </w:pPr>
    <w:rPr>
      <w:rFonts w:ascii="Tahoma" w:hAnsi="Tahoma"/>
      <w:sz w:val="24"/>
    </w:rPr>
  </w:style>
  <w:style w:type="paragraph" w:customStyle="1" w:styleId="190">
    <w:name w:val="样式 宋体 五号 行距: 单倍行距"/>
    <w:basedOn w:val="1"/>
    <w:qFormat/>
    <w:uiPriority w:val="99"/>
    <w:pPr>
      <w:adjustRightInd w:val="0"/>
      <w:jc w:val="left"/>
    </w:pPr>
    <w:rPr>
      <w:rFonts w:ascii="宋体" w:hAnsi="宋体"/>
      <w:kern w:val="0"/>
      <w:sz w:val="21"/>
    </w:rPr>
  </w:style>
  <w:style w:type="paragraph" w:customStyle="1" w:styleId="191">
    <w:name w:val="样式4"/>
    <w:basedOn w:val="5"/>
    <w:qFormat/>
    <w:uiPriority w:val="99"/>
    <w:pPr>
      <w:adjustRightInd w:val="0"/>
      <w:snapToGrid w:val="0"/>
    </w:pPr>
  </w:style>
  <w:style w:type="paragraph" w:customStyle="1" w:styleId="192">
    <w:name w:val="Char Char Char Char Char Char Char"/>
    <w:basedOn w:val="1"/>
    <w:qFormat/>
    <w:uiPriority w:val="99"/>
    <w:rPr>
      <w:rFonts w:ascii="Tahoma" w:hAnsi="Tahoma"/>
      <w:sz w:val="24"/>
    </w:rPr>
  </w:style>
  <w:style w:type="paragraph" w:customStyle="1" w:styleId="193">
    <w:name w:val="操作步骤"/>
    <w:basedOn w:val="1"/>
    <w:qFormat/>
    <w:uiPriority w:val="99"/>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94">
    <w:name w:val="È¡ÀÊ¡ÎÄ¡À¾"/>
    <w:basedOn w:val="1"/>
    <w:qFormat/>
    <w:uiPriority w:val="99"/>
    <w:pPr>
      <w:widowControl/>
      <w:overflowPunct w:val="0"/>
      <w:autoSpaceDE w:val="0"/>
      <w:autoSpaceDN w:val="0"/>
      <w:adjustRightInd w:val="0"/>
      <w:jc w:val="left"/>
      <w:textAlignment w:val="baseline"/>
    </w:pPr>
    <w:rPr>
      <w:kern w:val="0"/>
      <w:sz w:val="24"/>
    </w:rPr>
  </w:style>
  <w:style w:type="paragraph" w:customStyle="1" w:styleId="195">
    <w:name w:val="章标题"/>
    <w:next w:val="1"/>
    <w:qFormat/>
    <w:uiPriority w:val="99"/>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96">
    <w:name w:val="附录2"/>
    <w:basedOn w:val="1"/>
    <w:next w:val="1"/>
    <w:qFormat/>
    <w:uiPriority w:val="99"/>
    <w:pPr>
      <w:tabs>
        <w:tab w:val="left" w:pos="420"/>
        <w:tab w:val="left" w:pos="624"/>
      </w:tabs>
      <w:ind w:left="420" w:hanging="420"/>
      <w:outlineLvl w:val="1"/>
    </w:pPr>
    <w:rPr>
      <w:rFonts w:ascii="黑体" w:hAnsi="黑体" w:eastAsia="黑体"/>
      <w:b/>
      <w:sz w:val="32"/>
    </w:rPr>
  </w:style>
  <w:style w:type="paragraph" w:customStyle="1" w:styleId="197">
    <w:name w:val="文本1"/>
    <w:basedOn w:val="1"/>
    <w:qFormat/>
    <w:uiPriority w:val="99"/>
    <w:pPr>
      <w:adjustRightInd w:val="0"/>
      <w:spacing w:line="312" w:lineRule="atLeast"/>
      <w:jc w:val="center"/>
      <w:textAlignment w:val="baseline"/>
    </w:pPr>
    <w:rPr>
      <w:kern w:val="0"/>
      <w:sz w:val="18"/>
    </w:rPr>
  </w:style>
  <w:style w:type="paragraph" w:customStyle="1" w:styleId="198">
    <w:name w:val="样式 标题 1 + 居中 段前: 6 磅 段后: 6 磅 行距: 1.5 倍行距"/>
    <w:basedOn w:val="2"/>
    <w:qFormat/>
    <w:uiPriority w:val="99"/>
    <w:pPr>
      <w:keepLines/>
      <w:adjustRightInd w:val="0"/>
      <w:spacing w:before="120" w:after="120" w:line="360" w:lineRule="auto"/>
      <w:jc w:val="center"/>
    </w:pPr>
    <w:rPr>
      <w:rFonts w:ascii="Times New Roman"/>
      <w:b/>
      <w:kern w:val="44"/>
      <w:sz w:val="32"/>
    </w:rPr>
  </w:style>
  <w:style w:type="paragraph" w:customStyle="1" w:styleId="199">
    <w:name w:val="Figure Description"/>
    <w:next w:val="1"/>
    <w:qFormat/>
    <w:uiPriority w:val="99"/>
    <w:pPr>
      <w:snapToGrid w:val="0"/>
      <w:spacing w:before="80" w:after="320"/>
      <w:ind w:left="1134"/>
      <w:jc w:val="center"/>
    </w:pPr>
    <w:rPr>
      <w:rFonts w:ascii="Arial" w:hAnsi="Arial" w:eastAsia="黑体" w:cs="Times New Roman"/>
      <w:sz w:val="18"/>
      <w:lang w:val="en-US" w:eastAsia="zh-CN" w:bidi="ar-SA"/>
    </w:rPr>
  </w:style>
  <w:style w:type="paragraph" w:customStyle="1" w:styleId="200">
    <w:name w:val="列出段落2"/>
    <w:basedOn w:val="1"/>
    <w:qFormat/>
    <w:uiPriority w:val="99"/>
    <w:pPr>
      <w:ind w:firstLine="420" w:firstLineChars="200"/>
    </w:pPr>
    <w:rPr>
      <w:rFonts w:ascii="Calibri" w:hAnsi="Calibri"/>
      <w:sz w:val="21"/>
      <w:szCs w:val="22"/>
    </w:rPr>
  </w:style>
  <w:style w:type="paragraph" w:customStyle="1" w:styleId="201">
    <w:name w:val="正文字缩2字"/>
    <w:basedOn w:val="1"/>
    <w:qFormat/>
    <w:uiPriority w:val="99"/>
    <w:pPr>
      <w:spacing w:before="60" w:after="60" w:line="360" w:lineRule="auto"/>
      <w:ind w:left="200" w:leftChars="200" w:firstLine="200" w:firstLineChars="200"/>
    </w:pPr>
    <w:rPr>
      <w:sz w:val="24"/>
    </w:rPr>
  </w:style>
  <w:style w:type="paragraph" w:customStyle="1" w:styleId="202">
    <w:name w:val="项目"/>
    <w:basedOn w:val="1"/>
    <w:qFormat/>
    <w:uiPriority w:val="99"/>
    <w:pPr>
      <w:tabs>
        <w:tab w:val="left" w:pos="1280"/>
      </w:tabs>
      <w:spacing w:before="120" w:after="120" w:line="360" w:lineRule="auto"/>
      <w:ind w:left="-7" w:firstLine="567"/>
      <w:jc w:val="left"/>
      <w:textAlignment w:val="baseline"/>
    </w:pPr>
    <w:rPr>
      <w:rFonts w:ascii="宋体"/>
      <w:kern w:val="0"/>
      <w:sz w:val="24"/>
    </w:rPr>
  </w:style>
  <w:style w:type="paragraph" w:customStyle="1" w:styleId="203">
    <w:name w:val="标题2"/>
    <w:basedOn w:val="3"/>
    <w:qFormat/>
    <w:uiPriority w:val="99"/>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4">
    <w:name w:val="二级列表"/>
    <w:basedOn w:val="205"/>
    <w:next w:val="205"/>
    <w:qFormat/>
    <w:uiPriority w:val="99"/>
    <w:pPr>
      <w:tabs>
        <w:tab w:val="left" w:pos="2120"/>
      </w:tabs>
      <w:ind w:firstLine="0" w:firstLineChars="0"/>
    </w:pPr>
    <w:rPr>
      <w:b/>
    </w:rPr>
  </w:style>
  <w:style w:type="paragraph" w:customStyle="1" w:styleId="205">
    <w:name w:val="段落正文"/>
    <w:basedOn w:val="1"/>
    <w:qFormat/>
    <w:uiPriority w:val="99"/>
    <w:pPr>
      <w:spacing w:beforeLines="50" w:line="360" w:lineRule="auto"/>
      <w:ind w:firstLine="200" w:firstLineChars="200"/>
    </w:pPr>
    <w:rPr>
      <w:spacing w:val="2"/>
      <w:sz w:val="24"/>
    </w:rPr>
  </w:style>
  <w:style w:type="paragraph" w:customStyle="1" w:styleId="206">
    <w:name w:val="正文1"/>
    <w:basedOn w:val="1"/>
    <w:qFormat/>
    <w:uiPriority w:val="99"/>
    <w:pPr>
      <w:spacing w:line="300" w:lineRule="auto"/>
      <w:ind w:firstLine="200" w:firstLineChars="200"/>
    </w:pPr>
    <w:rPr>
      <w:sz w:val="24"/>
    </w:rPr>
  </w:style>
  <w:style w:type="paragraph" w:customStyle="1" w:styleId="207">
    <w:name w:val="Char2"/>
    <w:basedOn w:val="1"/>
    <w:qFormat/>
    <w:uiPriority w:val="99"/>
    <w:pPr>
      <w:spacing w:line="240" w:lineRule="atLeast"/>
      <w:ind w:left="420" w:firstLine="420"/>
    </w:pPr>
    <w:rPr>
      <w:kern w:val="0"/>
      <w:sz w:val="21"/>
    </w:rPr>
  </w:style>
  <w:style w:type="paragraph" w:customStyle="1" w:styleId="208">
    <w:name w:val="Item Step"/>
    <w:qFormat/>
    <w:uiPriority w:val="99"/>
    <w:pPr>
      <w:tabs>
        <w:tab w:val="left" w:pos="1644"/>
      </w:tabs>
      <w:ind w:left="1644" w:hanging="510"/>
      <w:outlineLvl w:val="4"/>
    </w:pPr>
    <w:rPr>
      <w:rFonts w:ascii="Arial" w:hAnsi="Arial" w:eastAsia="宋体" w:cs="Times New Roman"/>
      <w:sz w:val="21"/>
      <w:lang w:val="en-US" w:eastAsia="zh-CN" w:bidi="ar-SA"/>
    </w:rPr>
  </w:style>
  <w:style w:type="paragraph" w:customStyle="1" w:styleId="209">
    <w:name w:val="默认段落字体 Para Char Char Char Char Char Char Char Char Char1 Char Char Char Char"/>
    <w:basedOn w:val="1"/>
    <w:qFormat/>
    <w:uiPriority w:val="99"/>
    <w:rPr>
      <w:rFonts w:ascii="Tahoma" w:hAnsi="Tahoma"/>
      <w:sz w:val="24"/>
    </w:rPr>
  </w:style>
  <w:style w:type="paragraph" w:customStyle="1" w:styleId="210">
    <w:name w:val="司法正文"/>
    <w:qFormat/>
    <w:uiPriority w:val="99"/>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1">
    <w:name w:val="Char2 Char Char Char Char Char Char"/>
    <w:basedOn w:val="1"/>
    <w:qFormat/>
    <w:uiPriority w:val="99"/>
    <w:rPr>
      <w:rFonts w:ascii="仿宋_GB2312"/>
      <w:b/>
      <w:sz w:val="30"/>
    </w:rPr>
  </w:style>
  <w:style w:type="paragraph" w:customStyle="1" w:styleId="212">
    <w:name w:val="表头文本"/>
    <w:qFormat/>
    <w:uiPriority w:val="99"/>
    <w:pPr>
      <w:jc w:val="center"/>
    </w:pPr>
    <w:rPr>
      <w:rFonts w:ascii="Arial" w:hAnsi="Arial" w:eastAsia="宋体" w:cs="Times New Roman"/>
      <w:b/>
      <w:sz w:val="21"/>
      <w:lang w:val="en-US" w:eastAsia="zh-CN" w:bidi="ar-SA"/>
    </w:rPr>
  </w:style>
  <w:style w:type="paragraph" w:customStyle="1" w:styleId="213">
    <w:name w:val="文章正文"/>
    <w:basedOn w:val="1"/>
    <w:qFormat/>
    <w:uiPriority w:val="99"/>
    <w:pPr>
      <w:ind w:firstLine="560" w:firstLineChars="200"/>
    </w:pPr>
    <w:rPr>
      <w:rFonts w:ascii="仿宋_GB2312" w:hAnsi="宋体" w:eastAsia="仿宋_GB2312"/>
      <w:color w:val="000000"/>
    </w:rPr>
  </w:style>
  <w:style w:type="paragraph" w:customStyle="1" w:styleId="214">
    <w:name w:val="附录3"/>
    <w:basedOn w:val="1"/>
    <w:next w:val="1"/>
    <w:qFormat/>
    <w:uiPriority w:val="99"/>
    <w:pPr>
      <w:tabs>
        <w:tab w:val="left" w:pos="851"/>
      </w:tabs>
      <w:ind w:left="425" w:hanging="425"/>
      <w:outlineLvl w:val="2"/>
    </w:pPr>
    <w:rPr>
      <w:rFonts w:eastAsia="黑体"/>
      <w:b/>
      <w:sz w:val="32"/>
    </w:rPr>
  </w:style>
  <w:style w:type="paragraph" w:customStyle="1" w:styleId="215">
    <w:name w:val="表号"/>
    <w:basedOn w:val="1"/>
    <w:qFormat/>
    <w:uiPriority w:val="99"/>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16">
    <w:name w:val="二级条标题"/>
    <w:basedOn w:val="217"/>
    <w:next w:val="218"/>
    <w:qFormat/>
    <w:uiPriority w:val="99"/>
    <w:pPr>
      <w:ind w:left="840"/>
      <w:outlineLvl w:val="3"/>
    </w:pPr>
  </w:style>
  <w:style w:type="paragraph" w:customStyle="1" w:styleId="217">
    <w:name w:val="一级条标题"/>
    <w:basedOn w:val="195"/>
    <w:next w:val="218"/>
    <w:qFormat/>
    <w:uiPriority w:val="99"/>
    <w:pPr>
      <w:numPr>
        <w:numId w:val="0"/>
      </w:numPr>
      <w:spacing w:beforeLines="0" w:afterLines="0"/>
      <w:ind w:left="525"/>
      <w:outlineLvl w:val="2"/>
    </w:pPr>
    <w:rPr>
      <w:sz w:val="21"/>
    </w:rPr>
  </w:style>
  <w:style w:type="paragraph" w:customStyle="1" w:styleId="21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9">
    <w:name w:val="Char Char14 Char Char"/>
    <w:basedOn w:val="1"/>
    <w:qFormat/>
    <w:uiPriority w:val="99"/>
    <w:rPr>
      <w:sz w:val="21"/>
      <w:szCs w:val="24"/>
    </w:rPr>
  </w:style>
  <w:style w:type="paragraph" w:customStyle="1" w:styleId="220">
    <w:name w:val="Char Char1"/>
    <w:basedOn w:val="1"/>
    <w:qFormat/>
    <w:uiPriority w:val="99"/>
    <w:pPr>
      <w:widowControl/>
      <w:spacing w:after="160" w:line="240" w:lineRule="exact"/>
      <w:jc w:val="left"/>
    </w:pPr>
    <w:rPr>
      <w:rFonts w:ascii="Verdana" w:hAnsi="Verdana"/>
      <w:kern w:val="0"/>
      <w:sz w:val="20"/>
      <w:lang w:eastAsia="en-US"/>
    </w:rPr>
  </w:style>
  <w:style w:type="paragraph" w:customStyle="1" w:styleId="221">
    <w:name w:val="Title - Date"/>
    <w:basedOn w:val="49"/>
    <w:next w:val="1"/>
    <w:qFormat/>
    <w:uiPriority w:val="99"/>
    <w:pPr>
      <w:spacing w:before="240" w:after="720"/>
    </w:pPr>
    <w:rPr>
      <w:sz w:val="28"/>
    </w:rPr>
  </w:style>
  <w:style w:type="paragraph" w:customStyle="1" w:styleId="222">
    <w:name w:val="Char Char Char1 Char Char Char Char Char Char Char Char Char Char Char Char Char"/>
    <w:basedOn w:val="1"/>
    <w:qFormat/>
    <w:uiPriority w:val="99"/>
    <w:pPr>
      <w:widowControl/>
      <w:spacing w:after="160" w:line="240" w:lineRule="exact"/>
      <w:jc w:val="left"/>
    </w:pPr>
    <w:rPr>
      <w:rFonts w:ascii="Verdana" w:hAnsi="Verdana"/>
      <w:kern w:val="0"/>
      <w:sz w:val="18"/>
      <w:lang w:eastAsia="en-US"/>
    </w:rPr>
  </w:style>
  <w:style w:type="paragraph" w:customStyle="1" w:styleId="223">
    <w:name w:val="Char Char Char Char Char Char Char Char Char Char Char Char Char Char Char Char"/>
    <w:basedOn w:val="1"/>
    <w:qFormat/>
    <w:uiPriority w:val="99"/>
    <w:pPr>
      <w:tabs>
        <w:tab w:val="left" w:pos="360"/>
      </w:tabs>
    </w:pPr>
    <w:rPr>
      <w:sz w:val="24"/>
    </w:rPr>
  </w:style>
  <w:style w:type="paragraph" w:customStyle="1" w:styleId="224">
    <w:name w:val="彩色列表 - 强调文字颜色 11"/>
    <w:basedOn w:val="1"/>
    <w:qFormat/>
    <w:uiPriority w:val="99"/>
    <w:pPr>
      <w:ind w:firstLine="420" w:firstLineChars="200"/>
    </w:pPr>
    <w:rPr>
      <w:rFonts w:ascii="Calibri" w:hAnsi="Calibri"/>
      <w:sz w:val="21"/>
      <w:szCs w:val="22"/>
    </w:rPr>
  </w:style>
  <w:style w:type="paragraph" w:customStyle="1" w:styleId="225">
    <w:name w:val="首行缩进 1"/>
    <w:basedOn w:val="1"/>
    <w:qFormat/>
    <w:uiPriority w:val="99"/>
    <w:pPr>
      <w:spacing w:after="120" w:line="360" w:lineRule="auto"/>
      <w:ind w:firstLine="200" w:firstLineChars="200"/>
    </w:pPr>
    <w:rPr>
      <w:sz w:val="24"/>
    </w:rPr>
  </w:style>
  <w:style w:type="paragraph" w:customStyle="1" w:styleId="226">
    <w:name w:val="标书正文:  0.74 厘米"/>
    <w:basedOn w:val="1"/>
    <w:qFormat/>
    <w:uiPriority w:val="99"/>
    <w:pPr>
      <w:snapToGrid w:val="0"/>
      <w:spacing w:line="360" w:lineRule="auto"/>
      <w:ind w:firstLine="420"/>
    </w:pPr>
    <w:rPr>
      <w:sz w:val="24"/>
    </w:rPr>
  </w:style>
  <w:style w:type="paragraph" w:customStyle="1" w:styleId="227">
    <w:name w:val="列表段落1"/>
    <w:basedOn w:val="1"/>
    <w:qFormat/>
    <w:uiPriority w:val="99"/>
    <w:pPr>
      <w:ind w:firstLine="420" w:firstLineChars="200"/>
    </w:pPr>
    <w:rPr>
      <w:rFonts w:ascii="Calibri" w:hAnsi="Calibri"/>
      <w:kern w:val="0"/>
      <w:sz w:val="34"/>
      <w:szCs w:val="22"/>
    </w:rPr>
  </w:style>
  <w:style w:type="paragraph" w:customStyle="1" w:styleId="228">
    <w:name w:val="样式 标题 6第五层条 + 三号 段前: 0.5 行"/>
    <w:basedOn w:val="7"/>
    <w:qFormat/>
    <w:uiPriority w:val="99"/>
    <w:pPr>
      <w:widowControl/>
      <w:adjustRightInd/>
      <w:snapToGrid/>
      <w:spacing w:beforeLines="50"/>
      <w:jc w:val="left"/>
    </w:pPr>
    <w:rPr>
      <w:kern w:val="24"/>
      <w:sz w:val="28"/>
    </w:rPr>
  </w:style>
  <w:style w:type="paragraph" w:customStyle="1" w:styleId="229">
    <w:name w:val="样式 样式 首行缩进:  2 字符 + 首行缩进:  2 字符"/>
    <w:basedOn w:val="1"/>
    <w:qFormat/>
    <w:uiPriority w:val="99"/>
    <w:pPr>
      <w:numPr>
        <w:ilvl w:val="0"/>
        <w:numId w:val="10"/>
      </w:numPr>
      <w:tabs>
        <w:tab w:val="clear" w:pos="1230"/>
      </w:tabs>
      <w:spacing w:line="360" w:lineRule="auto"/>
      <w:ind w:firstLine="480" w:firstLineChars="200"/>
    </w:pPr>
    <w:rPr>
      <w:sz w:val="24"/>
    </w:rPr>
  </w:style>
  <w:style w:type="paragraph" w:customStyle="1" w:styleId="230">
    <w:name w:val="样式3"/>
    <w:basedOn w:val="2"/>
    <w:next w:val="2"/>
    <w:qFormat/>
    <w:uiPriority w:val="99"/>
    <w:pPr>
      <w:keepLines/>
      <w:adjustRightInd w:val="0"/>
      <w:spacing w:before="340" w:after="330" w:line="576" w:lineRule="auto"/>
    </w:pPr>
    <w:rPr>
      <w:rFonts w:ascii="Times New Roman" w:eastAsia="黑体"/>
      <w:b/>
      <w:kern w:val="44"/>
      <w:sz w:val="44"/>
    </w:rPr>
  </w:style>
  <w:style w:type="paragraph" w:customStyle="1" w:styleId="231">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2">
    <w:name w:val="IN Feature"/>
    <w:next w:val="175"/>
    <w:qFormat/>
    <w:uiPriority w:val="99"/>
    <w:pPr>
      <w:keepNext/>
      <w:keepLines/>
      <w:spacing w:before="240" w:after="240"/>
      <w:outlineLvl w:val="7"/>
    </w:pPr>
    <w:rPr>
      <w:rFonts w:ascii="Arial" w:hAnsi="Arial" w:eastAsia="黑体" w:cs="Times New Roman"/>
      <w:sz w:val="21"/>
      <w:lang w:val="en-US" w:eastAsia="zh-CN" w:bidi="ar-SA"/>
    </w:rPr>
  </w:style>
  <w:style w:type="paragraph" w:customStyle="1" w:styleId="233">
    <w:name w:val="Char Char1 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34">
    <w:name w:val="xl23"/>
    <w:basedOn w:val="1"/>
    <w:qFormat/>
    <w:uiPriority w:val="99"/>
    <w:pPr>
      <w:widowControl/>
      <w:spacing w:before="100" w:beforeAutospacing="1" w:after="100" w:afterAutospacing="1" w:line="360" w:lineRule="auto"/>
      <w:textAlignment w:val="top"/>
    </w:pPr>
    <w:rPr>
      <w:kern w:val="0"/>
      <w:sz w:val="24"/>
    </w:rPr>
  </w:style>
  <w:style w:type="paragraph" w:customStyle="1" w:styleId="235">
    <w:name w:val="可研正文"/>
    <w:basedOn w:val="15"/>
    <w:qFormat/>
    <w:uiPriority w:val="99"/>
    <w:pPr>
      <w:adjustRightInd w:val="0"/>
      <w:snapToGrid w:val="0"/>
      <w:spacing w:line="440" w:lineRule="exact"/>
      <w:ind w:firstLine="567"/>
    </w:pPr>
    <w:rPr>
      <w:sz w:val="28"/>
    </w:rPr>
  </w:style>
  <w:style w:type="paragraph" w:customStyle="1" w:styleId="236">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7">
    <w:name w:val="彩色底纹 - 强调文字颜色 11"/>
    <w:qFormat/>
    <w:uiPriority w:val="99"/>
    <w:rPr>
      <w:rFonts w:ascii="Times New Roman" w:hAnsi="Times New Roman" w:eastAsia="宋体" w:cs="Times New Roman"/>
      <w:kern w:val="2"/>
      <w:sz w:val="21"/>
      <w:lang w:val="en-US" w:eastAsia="zh-CN" w:bidi="ar-SA"/>
    </w:rPr>
  </w:style>
  <w:style w:type="paragraph" w:customStyle="1" w:styleId="238">
    <w:name w:val="Char Char Char Char Char Char Char1"/>
    <w:basedOn w:val="18"/>
    <w:qFormat/>
    <w:uiPriority w:val="99"/>
    <w:rPr>
      <w:rFonts w:ascii="宋体" w:hAnsi="Tahoma"/>
    </w:rPr>
  </w:style>
  <w:style w:type="paragraph" w:customStyle="1" w:styleId="239">
    <w:name w:val="样式 行距: 1.5 倍行距1"/>
    <w:basedOn w:val="1"/>
    <w:qFormat/>
    <w:uiPriority w:val="99"/>
    <w:pPr>
      <w:snapToGrid w:val="0"/>
    </w:pPr>
    <w:rPr>
      <w:sz w:val="21"/>
    </w:rPr>
  </w:style>
  <w:style w:type="paragraph" w:customStyle="1" w:styleId="240">
    <w:name w:val="Table Contents"/>
    <w:basedOn w:val="15"/>
    <w:qFormat/>
    <w:uiPriority w:val="99"/>
    <w:pPr>
      <w:suppressAutoHyphens/>
      <w:jc w:val="left"/>
    </w:pPr>
    <w:rPr>
      <w:rFonts w:ascii="Times New Roman" w:eastAsia="宋体"/>
      <w:kern w:val="0"/>
      <w:sz w:val="24"/>
    </w:rPr>
  </w:style>
  <w:style w:type="paragraph" w:customStyle="1" w:styleId="241">
    <w:name w:val="标题无"/>
    <w:basedOn w:val="1"/>
    <w:qFormat/>
    <w:uiPriority w:val="99"/>
    <w:pPr>
      <w:spacing w:line="360" w:lineRule="auto"/>
    </w:pPr>
    <w:rPr>
      <w:sz w:val="24"/>
    </w:rPr>
  </w:style>
  <w:style w:type="paragraph" w:customStyle="1" w:styleId="242">
    <w:name w:val="样式 正文缩进正文（首行缩进两字）表正文正文非缩进特点标题4段1 + 首行缩进:  2 字符"/>
    <w:basedOn w:val="14"/>
    <w:qFormat/>
    <w:uiPriority w:val="99"/>
    <w:pPr>
      <w:ind w:firstLine="480" w:firstLineChars="200"/>
    </w:pPr>
  </w:style>
  <w:style w:type="paragraph" w:customStyle="1" w:styleId="243">
    <w:name w:val="文档正文 Char Char Char Char Char"/>
    <w:basedOn w:val="1"/>
    <w:qFormat/>
    <w:uiPriority w:val="99"/>
    <w:pPr>
      <w:adjustRightInd w:val="0"/>
      <w:spacing w:line="440" w:lineRule="exact"/>
      <w:ind w:firstLine="420"/>
      <w:textAlignment w:val="baseline"/>
    </w:pPr>
    <w:rPr>
      <w:rFonts w:ascii="Arial Narrow" w:hAnsi="Arial Narrow"/>
      <w:kern w:val="0"/>
      <w:sz w:val="24"/>
    </w:rPr>
  </w:style>
  <w:style w:type="paragraph" w:customStyle="1" w:styleId="244">
    <w:name w:val="Item List"/>
    <w:qFormat/>
    <w:uiPriority w:val="99"/>
    <w:pPr>
      <w:numPr>
        <w:ilvl w:val="0"/>
        <w:numId w:val="11"/>
      </w:numPr>
      <w:spacing w:line="300" w:lineRule="auto"/>
      <w:jc w:val="both"/>
    </w:pPr>
    <w:rPr>
      <w:rFonts w:ascii="Arial" w:hAnsi="Arial" w:eastAsia="宋体" w:cs="Times New Roman"/>
      <w:sz w:val="21"/>
      <w:lang w:val="en-US" w:eastAsia="zh-CN" w:bidi="ar-SA"/>
    </w:rPr>
  </w:style>
  <w:style w:type="paragraph" w:customStyle="1" w:styleId="245">
    <w:name w:val="Table Description"/>
    <w:next w:val="1"/>
    <w:qFormat/>
    <w:uiPriority w:val="99"/>
    <w:pPr>
      <w:keepNext/>
      <w:snapToGrid w:val="0"/>
      <w:spacing w:before="160" w:after="80"/>
      <w:ind w:left="1134"/>
      <w:jc w:val="center"/>
    </w:pPr>
    <w:rPr>
      <w:rFonts w:ascii="Arial" w:hAnsi="Arial" w:eastAsia="黑体" w:cs="Times New Roman"/>
      <w:sz w:val="18"/>
      <w:lang w:val="en-US" w:eastAsia="zh-CN" w:bidi="ar-SA"/>
    </w:rPr>
  </w:style>
  <w:style w:type="paragraph" w:customStyle="1" w:styleId="246">
    <w:name w:val="CSS1级正文 Char"/>
    <w:basedOn w:val="15"/>
    <w:qFormat/>
    <w:uiPriority w:val="99"/>
    <w:pPr>
      <w:adjustRightInd w:val="0"/>
      <w:snapToGrid w:val="0"/>
      <w:spacing w:line="360" w:lineRule="auto"/>
      <w:ind w:firstLine="480"/>
    </w:pPr>
    <w:rPr>
      <w:rFonts w:ascii="Times New Roman" w:eastAsia="宋体"/>
      <w:sz w:val="24"/>
    </w:rPr>
  </w:style>
  <w:style w:type="paragraph" w:customStyle="1" w:styleId="247">
    <w:name w:val="图例"/>
    <w:basedOn w:val="1"/>
    <w:qFormat/>
    <w:uiPriority w:val="99"/>
    <w:pPr>
      <w:spacing w:before="120" w:after="120" w:line="360" w:lineRule="auto"/>
      <w:jc w:val="center"/>
    </w:pPr>
    <w:rPr>
      <w:rFonts w:eastAsia="仿宋_GB2312"/>
      <w:b/>
      <w:sz w:val="24"/>
    </w:rPr>
  </w:style>
  <w:style w:type="paragraph" w:customStyle="1" w:styleId="248">
    <w:name w:val="图标"/>
    <w:basedOn w:val="1"/>
    <w:next w:val="1"/>
    <w:qFormat/>
    <w:uiPriority w:val="9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9">
    <w:name w:val="Char Char Char Char Char Char Char Char Char Char Char"/>
    <w:basedOn w:val="1"/>
    <w:qFormat/>
    <w:uiPriority w:val="99"/>
    <w:pPr>
      <w:widowControl/>
      <w:spacing w:after="160" w:line="240" w:lineRule="exact"/>
      <w:jc w:val="left"/>
    </w:pPr>
    <w:rPr>
      <w:rFonts w:ascii="Arial" w:hAnsi="Arial" w:cs="Verdana"/>
      <w:b/>
      <w:kern w:val="0"/>
      <w:sz w:val="24"/>
      <w:szCs w:val="24"/>
      <w:lang w:eastAsia="en-US"/>
    </w:rPr>
  </w:style>
  <w:style w:type="paragraph" w:customStyle="1" w:styleId="250">
    <w:name w:val="表格内文字"/>
    <w:basedOn w:val="30"/>
    <w:qFormat/>
    <w:uiPriority w:val="99"/>
    <w:pPr>
      <w:adjustRightInd w:val="0"/>
    </w:pPr>
    <w:rPr>
      <w:color w:val="000000"/>
      <w:lang w:val="en-GB"/>
    </w:rPr>
  </w:style>
  <w:style w:type="paragraph" w:customStyle="1" w:styleId="251">
    <w:name w:val="附录4"/>
    <w:basedOn w:val="1"/>
    <w:next w:val="1"/>
    <w:qFormat/>
    <w:uiPriority w:val="99"/>
    <w:pPr>
      <w:widowControl/>
      <w:tabs>
        <w:tab w:val="left" w:pos="1134"/>
      </w:tabs>
      <w:spacing w:line="300" w:lineRule="auto"/>
      <w:ind w:left="1361" w:hanging="1361"/>
      <w:outlineLvl w:val="3"/>
    </w:pPr>
    <w:rPr>
      <w:rFonts w:ascii="Arial" w:hAnsi="Arial" w:eastAsia="黑体"/>
      <w:kern w:val="0"/>
    </w:rPr>
  </w:style>
  <w:style w:type="paragraph" w:customStyle="1" w:styleId="252">
    <w:name w:val="小标题 1"/>
    <w:basedOn w:val="1"/>
    <w:qFormat/>
    <w:uiPriority w:val="99"/>
    <w:pPr>
      <w:autoSpaceDE w:val="0"/>
      <w:autoSpaceDN w:val="0"/>
      <w:adjustRightInd w:val="0"/>
      <w:spacing w:line="360" w:lineRule="atLeast"/>
    </w:pPr>
    <w:rPr>
      <w:rFonts w:ascii="文鼎粗黑" w:eastAsia="文鼎粗黑"/>
      <w:kern w:val="0"/>
      <w:sz w:val="22"/>
    </w:rPr>
  </w:style>
  <w:style w:type="paragraph" w:customStyle="1" w:styleId="253">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54">
    <w:name w:val="Table Heading"/>
    <w:qFormat/>
    <w:uiPriority w:val="99"/>
    <w:pPr>
      <w:keepNext/>
      <w:snapToGrid w:val="0"/>
      <w:spacing w:before="80" w:after="80"/>
      <w:jc w:val="center"/>
    </w:pPr>
    <w:rPr>
      <w:rFonts w:ascii="Arial" w:hAnsi="Arial" w:eastAsia="黑体" w:cs="Times New Roman"/>
      <w:sz w:val="18"/>
      <w:lang w:val="en-US" w:eastAsia="zh-CN" w:bidi="ar-SA"/>
    </w:rPr>
  </w:style>
  <w:style w:type="paragraph" w:customStyle="1" w:styleId="255">
    <w:name w:val="Char1 Char Char Char"/>
    <w:basedOn w:val="1"/>
    <w:qFormat/>
    <w:uiPriority w:val="99"/>
    <w:rPr>
      <w:rFonts w:ascii="Tahoma" w:hAnsi="Tahoma"/>
      <w:sz w:val="24"/>
    </w:rPr>
  </w:style>
  <w:style w:type="paragraph" w:customStyle="1" w:styleId="256">
    <w:name w:val="编号正文"/>
    <w:basedOn w:val="145"/>
    <w:qFormat/>
    <w:uiPriority w:val="99"/>
    <w:pPr>
      <w:snapToGrid/>
      <w:spacing w:line="360" w:lineRule="auto"/>
      <w:ind w:left="1407" w:hanging="1047"/>
      <w:jc w:val="left"/>
    </w:pPr>
    <w:rPr>
      <w:rFonts w:eastAsia="仿宋_GB2312"/>
    </w:rPr>
  </w:style>
  <w:style w:type="paragraph" w:customStyle="1" w:styleId="257">
    <w:name w:val="Char Char Char"/>
    <w:basedOn w:val="1"/>
    <w:qFormat/>
    <w:uiPriority w:val="99"/>
    <w:rPr>
      <w:rFonts w:ascii="Tahoma" w:hAnsi="Tahoma"/>
      <w:sz w:val="24"/>
    </w:rPr>
  </w:style>
  <w:style w:type="paragraph" w:customStyle="1" w:styleId="258">
    <w:name w:val="Char Char 字元 字元 字元 Char Char Char Char"/>
    <w:basedOn w:val="1"/>
    <w:qFormat/>
    <w:uiPriority w:val="99"/>
    <w:pPr>
      <w:adjustRightInd w:val="0"/>
      <w:spacing w:line="360" w:lineRule="auto"/>
    </w:pPr>
    <w:rPr>
      <w:kern w:val="0"/>
      <w:sz w:val="24"/>
    </w:rPr>
  </w:style>
  <w:style w:type="paragraph" w:customStyle="1" w:styleId="259">
    <w:name w:val="Char1 Char Char Char1"/>
    <w:basedOn w:val="1"/>
    <w:qFormat/>
    <w:uiPriority w:val="99"/>
    <w:rPr>
      <w:rFonts w:ascii="Tahoma" w:hAnsi="Tahoma"/>
      <w:sz w:val="30"/>
    </w:rPr>
  </w:style>
  <w:style w:type="paragraph" w:customStyle="1" w:styleId="260">
    <w:name w:val="样式 标题 1章标题Heading 0Section HeadPIM 1H1h11st levell11H1..."/>
    <w:basedOn w:val="2"/>
    <w:qFormat/>
    <w:uiPriority w:val="99"/>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61">
    <w:name w:val="bt"/>
    <w:basedOn w:val="1"/>
    <w:next w:val="15"/>
    <w:qFormat/>
    <w:uiPriority w:val="99"/>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62">
    <w:name w:val="正文文本缩进 21"/>
    <w:basedOn w:val="1"/>
    <w:qFormat/>
    <w:uiPriority w:val="99"/>
    <w:pPr>
      <w:adjustRightInd w:val="0"/>
      <w:spacing w:before="120"/>
      <w:ind w:firstLine="420"/>
      <w:textAlignment w:val="baseline"/>
    </w:pPr>
    <w:rPr>
      <w:sz w:val="24"/>
    </w:rPr>
  </w:style>
  <w:style w:type="paragraph" w:customStyle="1" w:styleId="263">
    <w:name w:val="Table Text Char1"/>
    <w:qFormat/>
    <w:uiPriority w:val="99"/>
    <w:pPr>
      <w:snapToGrid w:val="0"/>
      <w:spacing w:before="80" w:after="80"/>
    </w:pPr>
    <w:rPr>
      <w:rFonts w:ascii="Arial" w:hAnsi="Arial" w:eastAsia="宋体" w:cs="Times New Roman"/>
      <w:kern w:val="2"/>
      <w:sz w:val="18"/>
      <w:lang w:val="en-US" w:eastAsia="zh-CN" w:bidi="ar-SA"/>
    </w:rPr>
  </w:style>
  <w:style w:type="paragraph" w:customStyle="1" w:styleId="264">
    <w:name w:val="修订1"/>
    <w:qFormat/>
    <w:uiPriority w:val="99"/>
    <w:rPr>
      <w:rFonts w:ascii="Times New Roman" w:hAnsi="Times New Roman" w:eastAsia="宋体" w:cs="Times New Roman"/>
      <w:kern w:val="2"/>
      <w:sz w:val="21"/>
      <w:lang w:val="en-US" w:eastAsia="zh-CN" w:bidi="ar-SA"/>
    </w:rPr>
  </w:style>
  <w:style w:type="paragraph" w:customStyle="1" w:styleId="265">
    <w:name w:val="正文（首行不缩进）"/>
    <w:basedOn w:val="1"/>
    <w:qFormat/>
    <w:uiPriority w:val="99"/>
    <w:pPr>
      <w:autoSpaceDE w:val="0"/>
      <w:autoSpaceDN w:val="0"/>
      <w:adjustRightInd w:val="0"/>
      <w:spacing w:line="360" w:lineRule="auto"/>
      <w:jc w:val="left"/>
    </w:pPr>
    <w:rPr>
      <w:kern w:val="0"/>
      <w:sz w:val="21"/>
    </w:rPr>
  </w:style>
  <w:style w:type="paragraph" w:customStyle="1" w:styleId="266">
    <w:name w:val="摘要"/>
    <w:basedOn w:val="1"/>
    <w:next w:val="3"/>
    <w:qFormat/>
    <w:uiPriority w:val="99"/>
    <w:pPr>
      <w:spacing w:line="360" w:lineRule="auto"/>
    </w:pPr>
    <w:rPr>
      <w:rFonts w:eastAsia="黑体"/>
      <w:sz w:val="20"/>
    </w:rPr>
  </w:style>
  <w:style w:type="paragraph" w:customStyle="1" w:styleId="267">
    <w:name w:val="样式1"/>
    <w:basedOn w:val="5"/>
    <w:qFormat/>
    <w:uiPriority w:val="99"/>
    <w:pPr>
      <w:tabs>
        <w:tab w:val="left" w:pos="720"/>
      </w:tabs>
      <w:spacing w:before="500" w:after="260" w:line="560" w:lineRule="atLeast"/>
      <w:ind w:left="420" w:hanging="420"/>
    </w:pPr>
  </w:style>
  <w:style w:type="paragraph" w:customStyle="1" w:styleId="268">
    <w:name w:val="默认段落字体 Para Char Char Char Char Char Char Char"/>
    <w:basedOn w:val="1"/>
    <w:qFormat/>
    <w:uiPriority w:val="99"/>
    <w:rPr>
      <w:rFonts w:ascii="Tahoma" w:hAnsi="Tahoma"/>
      <w:sz w:val="24"/>
    </w:rPr>
  </w:style>
  <w:style w:type="paragraph" w:customStyle="1" w:styleId="269">
    <w:name w:val="正文格式"/>
    <w:basedOn w:val="1"/>
    <w:qFormat/>
    <w:uiPriority w:val="99"/>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70">
    <w:name w:val="content"/>
    <w:basedOn w:val="1"/>
    <w:qFormat/>
    <w:uiPriority w:val="99"/>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71">
    <w:name w:val="样式 首行缩进:  0.74 厘米"/>
    <w:basedOn w:val="1"/>
    <w:qFormat/>
    <w:uiPriority w:val="99"/>
    <w:pPr>
      <w:spacing w:line="360" w:lineRule="auto"/>
      <w:ind w:firstLine="420"/>
    </w:pPr>
    <w:rPr>
      <w:sz w:val="24"/>
    </w:rPr>
  </w:style>
  <w:style w:type="paragraph" w:customStyle="1" w:styleId="272">
    <w:name w:val="文档正文 Char Char Char Char"/>
    <w:basedOn w:val="1"/>
    <w:qFormat/>
    <w:uiPriority w:val="99"/>
    <w:pPr>
      <w:adjustRightInd w:val="0"/>
      <w:spacing w:line="440" w:lineRule="exact"/>
      <w:ind w:firstLine="420"/>
      <w:textAlignment w:val="baseline"/>
    </w:pPr>
    <w:rPr>
      <w:rFonts w:ascii="Arial Narrow" w:hAnsi="Arial Narrow"/>
      <w:kern w:val="0"/>
      <w:sz w:val="24"/>
    </w:rPr>
  </w:style>
  <w:style w:type="paragraph" w:customStyle="1" w:styleId="273">
    <w:name w:val="表格1"/>
    <w:basedOn w:val="1"/>
    <w:next w:val="1"/>
    <w:qFormat/>
    <w:uiPriority w:val="99"/>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74">
    <w:name w:val="Note"/>
    <w:basedOn w:val="1"/>
    <w:qFormat/>
    <w:uiPriority w:val="99"/>
    <w:pPr>
      <w:pBdr>
        <w:top w:val="single" w:color="auto" w:sz="12" w:space="3"/>
        <w:bottom w:val="single" w:color="auto" w:sz="12" w:space="3"/>
      </w:pBdr>
      <w:spacing w:line="360" w:lineRule="auto"/>
    </w:pPr>
    <w:rPr>
      <w:sz w:val="24"/>
    </w:rPr>
  </w:style>
  <w:style w:type="paragraph" w:styleId="275">
    <w:name w:val="List Paragraph"/>
    <w:basedOn w:val="1"/>
    <w:qFormat/>
    <w:uiPriority w:val="99"/>
    <w:pPr>
      <w:ind w:firstLine="420" w:firstLineChars="200"/>
    </w:pPr>
  </w:style>
  <w:style w:type="character" w:customStyle="1" w:styleId="276">
    <w:name w:val="正文文本 Char1"/>
    <w:semiHidden/>
    <w:qFormat/>
    <w:uiPriority w:val="99"/>
    <w:rPr>
      <w:rFonts w:ascii="Times New Roman" w:hAnsi="Times New Roman" w:eastAsia="宋体"/>
      <w:sz w:val="20"/>
    </w:rPr>
  </w:style>
  <w:style w:type="character" w:customStyle="1" w:styleId="277">
    <w:name w:val="producttitle1"/>
    <w:qFormat/>
    <w:uiPriority w:val="99"/>
    <w:rPr>
      <w:rFonts w:ascii="宋体" w:hAnsi="宋体" w:eastAsia="宋体"/>
      <w:b/>
      <w:color w:val="006600"/>
      <w:sz w:val="24"/>
    </w:rPr>
  </w:style>
  <w:style w:type="character" w:customStyle="1" w:styleId="278">
    <w:name w:val="List Paragraph Char"/>
    <w:link w:val="279"/>
    <w:qFormat/>
    <w:locked/>
    <w:uiPriority w:val="99"/>
    <w:rPr>
      <w:rFonts w:ascii="Calibri" w:hAnsi="Calibri"/>
      <w:kern w:val="2"/>
      <w:sz w:val="22"/>
    </w:rPr>
  </w:style>
  <w:style w:type="paragraph" w:customStyle="1" w:styleId="279">
    <w:name w:val="List Paragraph1"/>
    <w:basedOn w:val="1"/>
    <w:link w:val="278"/>
    <w:qFormat/>
    <w:uiPriority w:val="99"/>
    <w:pPr>
      <w:ind w:firstLine="420" w:firstLineChars="200"/>
    </w:pPr>
    <w:rPr>
      <w:rFonts w:ascii="Calibri" w:hAnsi="Calibri"/>
      <w:sz w:val="22"/>
    </w:rPr>
  </w:style>
  <w:style w:type="character" w:customStyle="1" w:styleId="280">
    <w:name w:val="正文文本 Char"/>
    <w:qFormat/>
    <w:uiPriority w:val="99"/>
    <w:rPr>
      <w:rFonts w:ascii="宋体" w:hAnsi="宋体" w:eastAsia="宋体"/>
      <w:kern w:val="2"/>
      <w:sz w:val="24"/>
      <w:lang w:val="en-US" w:eastAsia="zh-CN"/>
    </w:rPr>
  </w:style>
  <w:style w:type="character" w:customStyle="1" w:styleId="281">
    <w:name w:val="正文文本缩进 Char1"/>
    <w:semiHidden/>
    <w:qFormat/>
    <w:uiPriority w:val="99"/>
    <w:rPr>
      <w:rFonts w:ascii="Times New Roman" w:hAnsi="Times New Roman" w:eastAsia="宋体"/>
      <w:sz w:val="20"/>
    </w:rPr>
  </w:style>
  <w:style w:type="character" w:customStyle="1" w:styleId="282">
    <w:name w:val="Char Char17"/>
    <w:qFormat/>
    <w:locked/>
    <w:uiPriority w:val="99"/>
    <w:rPr>
      <w:rFonts w:eastAsia="宋体"/>
      <w:kern w:val="2"/>
      <w:sz w:val="18"/>
      <w:lang w:val="en-US" w:eastAsia="zh-CN"/>
    </w:rPr>
  </w:style>
  <w:style w:type="character" w:customStyle="1" w:styleId="283">
    <w:name w:val="标准正文 Char Char"/>
    <w:link w:val="164"/>
    <w:qFormat/>
    <w:locked/>
    <w:uiPriority w:val="99"/>
    <w:rPr>
      <w:rFonts w:ascii="Arial" w:hAnsi="Arial"/>
      <w:kern w:val="2"/>
      <w:sz w:val="24"/>
    </w:rPr>
  </w:style>
  <w:style w:type="character" w:customStyle="1" w:styleId="284">
    <w:name w:val="正文首行缩进 Char1"/>
    <w:semiHidden/>
    <w:qFormat/>
    <w:uiPriority w:val="99"/>
    <w:rPr>
      <w:rFonts w:ascii="仿宋_GB2312" w:eastAsia="仿宋_GB2312"/>
      <w:kern w:val="2"/>
      <w:sz w:val="28"/>
    </w:rPr>
  </w:style>
  <w:style w:type="character" w:customStyle="1" w:styleId="285">
    <w:name w:val="正文首行缩进 2 Char1"/>
    <w:semiHidden/>
    <w:qFormat/>
    <w:uiPriority w:val="99"/>
    <w:rPr>
      <w:kern w:val="2"/>
      <w:sz w:val="28"/>
    </w:rPr>
  </w:style>
  <w:style w:type="paragraph" w:customStyle="1" w:styleId="286">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7">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8">
    <w:name w:val="pa-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9">
    <w:name w:val="Revision1"/>
    <w:hidden/>
    <w:semiHidden/>
    <w:qFormat/>
    <w:uiPriority w:val="99"/>
    <w:rPr>
      <w:rFonts w:ascii="Times New Roman" w:hAnsi="Times New Roman" w:eastAsia="宋体" w:cs="Times New Roman"/>
      <w:kern w:val="2"/>
      <w:sz w:val="28"/>
      <w:lang w:val="en-US" w:eastAsia="zh-CN" w:bidi="ar-SA"/>
    </w:rPr>
  </w:style>
  <w:style w:type="character" w:customStyle="1" w:styleId="290">
    <w:name w:val="NormalCharacter"/>
    <w:qFormat/>
    <w:uiPriority w:val="0"/>
  </w:style>
  <w:style w:type="character" w:customStyle="1" w:styleId="291">
    <w:name w:val="不明显参考1"/>
    <w:basedOn w:val="5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92">
    <w:name w:val="layui-laypage-curr"/>
    <w:basedOn w:val="55"/>
    <w:qFormat/>
    <w:uiPriority w:val="0"/>
  </w:style>
  <w:style w:type="character" w:customStyle="1" w:styleId="293">
    <w:name w:val="label"/>
    <w:basedOn w:val="55"/>
    <w:qFormat/>
    <w:uiPriority w:val="0"/>
    <w:rPr>
      <w:color w:val="999999"/>
    </w:rPr>
  </w:style>
  <w:style w:type="paragraph" w:customStyle="1" w:styleId="294">
    <w:name w:val="UserStyle_6"/>
    <w:basedOn w:val="1"/>
    <w:qFormat/>
    <w:uiPriority w:val="0"/>
    <w:pPr>
      <w:spacing w:before="120" w:after="120" w:line="360" w:lineRule="auto"/>
      <w:jc w:val="center"/>
    </w:pPr>
    <w:rPr>
      <w:rFonts w:eastAsia="仿宋_GB2312"/>
      <w:b/>
      <w:sz w:val="24"/>
    </w:rPr>
  </w:style>
  <w:style w:type="paragraph" w:customStyle="1" w:styleId="295">
    <w:name w:val="正文内容"/>
    <w:basedOn w:val="1"/>
    <w:qFormat/>
    <w:uiPriority w:val="0"/>
    <w:pPr>
      <w:spacing w:line="400" w:lineRule="exact"/>
      <w:ind w:firstLine="472" w:firstLineChars="200"/>
    </w:pPr>
    <w:rPr>
      <w:rFonts w:ascii="宋体" w:hAnsi="宋体"/>
      <w:spacing w:val="-2"/>
      <w:sz w:val="24"/>
    </w:rPr>
  </w:style>
  <w:style w:type="paragraph" w:customStyle="1" w:styleId="296">
    <w:name w:val="正文缩进(ALT+Z)"/>
    <w:basedOn w:val="1"/>
    <w:qFormat/>
    <w:uiPriority w:val="0"/>
    <w:pPr>
      <w:tabs>
        <w:tab w:val="left" w:pos="840"/>
      </w:tabs>
      <w:spacing w:line="360" w:lineRule="auto"/>
      <w:ind w:firstLine="200" w:firstLineChars="200"/>
    </w:pPr>
    <w:rPr>
      <w:sz w:val="24"/>
      <w:szCs w:val="24"/>
    </w:rPr>
  </w:style>
  <w:style w:type="paragraph" w:customStyle="1" w:styleId="297">
    <w:name w:val="my正文"/>
    <w:basedOn w:val="1"/>
    <w:qFormat/>
    <w:uiPriority w:val="0"/>
    <w:pPr>
      <w:spacing w:line="360" w:lineRule="auto"/>
      <w:ind w:firstLine="480" w:firstLineChars="200"/>
    </w:pPr>
    <w:rPr>
      <w:kern w:val="0"/>
      <w:szCs w:val="24"/>
      <w:lang w:val="zh-CN"/>
    </w:rPr>
  </w:style>
  <w:style w:type="character" w:customStyle="1" w:styleId="298">
    <w:name w:val="trnone1"/>
    <w:basedOn w:val="55"/>
    <w:qFormat/>
    <w:uiPriority w:val="0"/>
  </w:style>
  <w:style w:type="character" w:customStyle="1" w:styleId="299">
    <w:name w:val="hover13"/>
    <w:basedOn w:val="55"/>
    <w:qFormat/>
    <w:uiPriority w:val="0"/>
  </w:style>
  <w:style w:type="paragraph" w:customStyle="1" w:styleId="300">
    <w:name w:val="Table Paragraph"/>
    <w:basedOn w:val="1"/>
    <w:qFormat/>
    <w:uiPriority w:val="1"/>
  </w:style>
  <w:style w:type="character" w:customStyle="1" w:styleId="301">
    <w:name w:val="font11"/>
    <w:qFormat/>
    <w:uiPriority w:val="0"/>
    <w:rPr>
      <w:rFonts w:hint="eastAsia" w:ascii="宋体" w:hAnsi="宋体" w:eastAsia="宋体" w:cs="宋体"/>
      <w:color w:val="000000"/>
      <w:sz w:val="20"/>
      <w:szCs w:val="20"/>
      <w:u w:val="none"/>
    </w:rPr>
  </w:style>
  <w:style w:type="character" w:customStyle="1" w:styleId="302">
    <w:name w:val="font41"/>
    <w:qFormat/>
    <w:uiPriority w:val="0"/>
    <w:rPr>
      <w:rFonts w:hint="default" w:ascii="Times New Roman" w:hAnsi="Times New Roman" w:cs="Times New Roman"/>
      <w:color w:val="000000"/>
      <w:sz w:val="20"/>
      <w:szCs w:val="20"/>
      <w:u w:val="none"/>
    </w:rPr>
  </w:style>
  <w:style w:type="character" w:customStyle="1" w:styleId="303">
    <w:name w:val="font71"/>
    <w:qFormat/>
    <w:uiPriority w:val="0"/>
    <w:rPr>
      <w:rFonts w:hint="default" w:ascii="Times New Roman" w:hAnsi="Times New Roman" w:cs="Times New Roman"/>
      <w:color w:val="000000"/>
      <w:sz w:val="20"/>
      <w:szCs w:val="20"/>
      <w:u w:val="none"/>
    </w:rPr>
  </w:style>
  <w:style w:type="character" w:customStyle="1" w:styleId="304">
    <w:name w:val="font51"/>
    <w:qFormat/>
    <w:uiPriority w:val="0"/>
    <w:rPr>
      <w:rFonts w:hint="default" w:ascii="Times New Roman" w:hAnsi="Times New Roman" w:cs="Times New Roman"/>
      <w:color w:val="000000"/>
      <w:sz w:val="20"/>
      <w:szCs w:val="20"/>
      <w:u w:val="none"/>
    </w:rPr>
  </w:style>
  <w:style w:type="paragraph" w:customStyle="1" w:styleId="305">
    <w:name w:val="修订2"/>
    <w:hidden/>
    <w:unhideWhenUsed/>
    <w:qFormat/>
    <w:uiPriority w:val="99"/>
    <w:rPr>
      <w:rFonts w:ascii="Times New Roman" w:hAnsi="Times New Roman" w:eastAsia="宋体" w:cs="Times New Roman"/>
      <w:kern w:val="2"/>
      <w:sz w:val="28"/>
      <w:lang w:val="en-US" w:eastAsia="zh-CN" w:bidi="ar-SA"/>
    </w:rPr>
  </w:style>
  <w:style w:type="character" w:customStyle="1" w:styleId="306">
    <w:name w:val="cf01"/>
    <w:basedOn w:val="55"/>
    <w:qFormat/>
    <w:uiPriority w:val="0"/>
    <w:rPr>
      <w:rFonts w:hint="eastAsia" w:ascii="Microsoft YaHei UI" w:hAnsi="Microsoft YaHei UI" w:eastAsia="Microsoft YaHei UI"/>
      <w:sz w:val="18"/>
      <w:szCs w:val="18"/>
    </w:rPr>
  </w:style>
  <w:style w:type="paragraph" w:customStyle="1" w:styleId="307">
    <w:name w:val="修订3"/>
    <w:hidden/>
    <w:unhideWhenUsed/>
    <w:qFormat/>
    <w:uiPriority w:val="99"/>
    <w:rPr>
      <w:rFonts w:ascii="Times New Roman" w:hAnsi="Times New Roman" w:eastAsia="宋体" w:cs="Times New Roman"/>
      <w:kern w:val="2"/>
      <w:sz w:val="28"/>
      <w:lang w:val="en-US" w:eastAsia="zh-CN" w:bidi="ar-SA"/>
    </w:rPr>
  </w:style>
  <w:style w:type="paragraph" w:customStyle="1" w:styleId="308">
    <w:name w:val="修订4"/>
    <w:hidden/>
    <w:unhideWhenUsed/>
    <w:qFormat/>
    <w:uiPriority w:val="99"/>
    <w:rPr>
      <w:rFonts w:ascii="Times New Roman" w:hAnsi="Times New Roman" w:eastAsia="宋体" w:cs="Times New Roman"/>
      <w:kern w:val="2"/>
      <w:sz w:val="28"/>
      <w:lang w:val="en-US" w:eastAsia="zh-CN" w:bidi="ar-SA"/>
    </w:rPr>
  </w:style>
  <w:style w:type="paragraph" w:customStyle="1" w:styleId="309">
    <w:name w:val="修订5"/>
    <w:hidden/>
    <w:unhideWhenUsed/>
    <w:qFormat/>
    <w:uiPriority w:val="99"/>
    <w:rPr>
      <w:rFonts w:ascii="Times New Roman" w:hAnsi="Times New Roman" w:eastAsia="宋体" w:cs="Times New Roman"/>
      <w:kern w:val="2"/>
      <w:sz w:val="28"/>
      <w:lang w:val="en-US" w:eastAsia="zh-CN" w:bidi="ar-SA"/>
    </w:rPr>
  </w:style>
  <w:style w:type="paragraph" w:customStyle="1" w:styleId="310">
    <w:name w:val="Revision"/>
    <w:hidden/>
    <w:unhideWhenUsed/>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38AC4-77D4-4EE7-BA4B-B7DF831BEC2C}">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32</Pages>
  <Words>15435</Words>
  <Characters>15958</Characters>
  <Lines>584</Lines>
  <Paragraphs>573</Paragraphs>
  <TotalTime>44</TotalTime>
  <ScaleCrop>false</ScaleCrop>
  <LinksUpToDate>false</LinksUpToDate>
  <CharactersWithSpaces>17129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2025-09-18T10:23:00Z</dcterms:created>
  <dc:creator>罗成</dc:creator>
  <cp:lastModifiedBy>韩敏</cp:lastModifiedBy>
  <cp:lastPrinted>2019-12-07T03:45:00Z</cp:lastPrinted>
  <dcterms:modified xsi:type="dcterms:W3CDTF">2025-09-19T06:50:26Z</dcterms:modified>
  <dc:title>竞争性谈判文件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98A85561BD044A27A43D6000DEB4E5BA_13</vt:lpwstr>
  </property>
  <property fmtid="{D5CDD505-2E9C-101B-9397-08002B2CF9AE}" pid="4" name="KSOTemplateDocerSaveRecord">
    <vt:lpwstr>eyJoZGlkIjoiYTc1NDE4NDgxOGNhMWNjMzQ0N2FiYmRhYjZjZjVkNDkiLCJ1c2VySWQiOiI4Njg4MjkyMzgifQ==</vt:lpwstr>
  </property>
</Properties>
</file>