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outlineLvl w:val="0"/>
        <w:rPr>
          <w:rFonts w:ascii="仿宋" w:hAnsi="仿宋" w:eastAsia="仿宋" w:cs="仿宋"/>
          <w:sz w:val="84"/>
          <w:szCs w:val="84"/>
        </w:rPr>
      </w:pPr>
      <w:r>
        <w:rPr>
          <w:rFonts w:hint="eastAsia" w:ascii="仿宋" w:hAnsi="仿宋" w:eastAsia="仿宋" w:cs="仿宋"/>
          <w:sz w:val="84"/>
          <w:szCs w:val="84"/>
        </w:rPr>
        <w:t>重庆市港航海事事务中心政府采购</w:t>
      </w:r>
    </w:p>
    <w:p>
      <w:pPr>
        <w:jc w:val="center"/>
        <w:rPr>
          <w:rFonts w:ascii="仿宋" w:hAnsi="仿宋" w:eastAsia="仿宋" w:cs="仿宋"/>
          <w:sz w:val="84"/>
          <w:szCs w:val="84"/>
        </w:rPr>
      </w:pPr>
    </w:p>
    <w:p>
      <w:pPr>
        <w:spacing w:line="1600" w:lineRule="exact"/>
        <w:jc w:val="center"/>
        <w:outlineLvl w:val="0"/>
        <w:rPr>
          <w:rFonts w:ascii="仿宋" w:hAnsi="仿宋" w:eastAsia="仿宋" w:cs="仿宋"/>
          <w:sz w:val="72"/>
          <w:szCs w:val="72"/>
        </w:rPr>
      </w:pPr>
      <w:r>
        <w:rPr>
          <w:rFonts w:hint="eastAsia" w:ascii="仿宋" w:hAnsi="仿宋" w:eastAsia="仿宋" w:cs="仿宋"/>
          <w:sz w:val="72"/>
          <w:szCs w:val="72"/>
        </w:rPr>
        <w:t>限额以下磋商评分采购文件</w:t>
      </w:r>
    </w:p>
    <w:p>
      <w:pPr>
        <w:spacing w:line="1600" w:lineRule="exact"/>
        <w:jc w:val="center"/>
        <w:outlineLvl w:val="0"/>
        <w:rPr>
          <w:rFonts w:ascii="仿宋" w:hAnsi="仿宋" w:eastAsia="仿宋" w:cs="仿宋"/>
          <w:sz w:val="72"/>
          <w:szCs w:val="72"/>
        </w:rPr>
      </w:pPr>
    </w:p>
    <w:p>
      <w:pPr>
        <w:spacing w:line="700" w:lineRule="exact"/>
        <w:jc w:val="center"/>
        <w:rPr>
          <w:rFonts w:ascii="仿宋" w:hAnsi="仿宋" w:eastAsia="仿宋" w:cs="仿宋"/>
          <w:sz w:val="32"/>
        </w:rPr>
      </w:pPr>
    </w:p>
    <w:p>
      <w:pPr>
        <w:spacing w:line="700" w:lineRule="exact"/>
        <w:jc w:val="center"/>
        <w:rPr>
          <w:rFonts w:ascii="仿宋" w:hAnsi="仿宋" w:eastAsia="仿宋" w:cs="仿宋"/>
          <w:sz w:val="32"/>
        </w:rPr>
      </w:pPr>
    </w:p>
    <w:p>
      <w:pPr>
        <w:spacing w:line="540" w:lineRule="exact"/>
        <w:jc w:val="center"/>
        <w:rPr>
          <w:rFonts w:ascii="仿宋" w:hAnsi="仿宋" w:eastAsia="仿宋" w:cs="仿宋"/>
          <w:sz w:val="36"/>
          <w:szCs w:val="36"/>
        </w:rPr>
      </w:pPr>
      <w:r>
        <w:rPr>
          <w:rFonts w:hint="eastAsia" w:ascii="仿宋" w:hAnsi="仿宋" w:eastAsia="仿宋" w:cs="仿宋"/>
          <w:sz w:val="36"/>
          <w:szCs w:val="36"/>
        </w:rPr>
        <w:t>项目名称：重庆市内河航道养护工程预算定额修订</w:t>
      </w:r>
    </w:p>
    <w:p>
      <w:pPr>
        <w:spacing w:line="500" w:lineRule="exact"/>
        <w:ind w:firstLine="1440" w:firstLineChars="400"/>
        <w:jc w:val="left"/>
        <w:outlineLvl w:val="0"/>
        <w:rPr>
          <w:rFonts w:ascii="仿宋" w:hAnsi="仿宋" w:eastAsia="仿宋" w:cs="仿宋"/>
          <w:sz w:val="36"/>
          <w:szCs w:val="36"/>
        </w:rPr>
      </w:pPr>
    </w:p>
    <w:p>
      <w:pPr>
        <w:spacing w:line="500" w:lineRule="exact"/>
        <w:ind w:firstLine="1440" w:firstLineChars="400"/>
        <w:jc w:val="left"/>
        <w:outlineLvl w:val="0"/>
        <w:rPr>
          <w:rFonts w:ascii="仿宋" w:hAnsi="仿宋" w:eastAsia="仿宋" w:cs="仿宋"/>
          <w:sz w:val="36"/>
          <w:szCs w:val="36"/>
        </w:rPr>
      </w:pPr>
    </w:p>
    <w:p>
      <w:pPr>
        <w:spacing w:line="500" w:lineRule="exact"/>
        <w:ind w:firstLine="1440" w:firstLineChars="400"/>
        <w:jc w:val="left"/>
        <w:outlineLvl w:val="0"/>
        <w:rPr>
          <w:rFonts w:ascii="仿宋" w:hAnsi="仿宋" w:eastAsia="仿宋" w:cs="仿宋"/>
          <w:sz w:val="36"/>
          <w:szCs w:val="36"/>
        </w:rPr>
      </w:pPr>
      <w:r>
        <w:rPr>
          <w:rFonts w:hint="eastAsia" w:ascii="仿宋" w:hAnsi="仿宋" w:eastAsia="仿宋" w:cs="仿宋"/>
          <w:sz w:val="36"/>
          <w:szCs w:val="36"/>
        </w:rPr>
        <w:t>采购人：重庆市港航海事事务中心</w:t>
      </w:r>
    </w:p>
    <w:p>
      <w:pPr>
        <w:spacing w:line="500" w:lineRule="exact"/>
        <w:outlineLvl w:val="0"/>
        <w:rPr>
          <w:rFonts w:ascii="仿宋" w:hAnsi="仿宋" w:eastAsia="仿宋" w:cs="仿宋"/>
          <w:sz w:val="36"/>
          <w:szCs w:val="36"/>
        </w:rPr>
      </w:pPr>
    </w:p>
    <w:p>
      <w:pPr>
        <w:spacing w:line="500" w:lineRule="exact"/>
        <w:outlineLvl w:val="0"/>
        <w:rPr>
          <w:rFonts w:ascii="仿宋" w:hAnsi="仿宋" w:eastAsia="仿宋" w:cs="仿宋"/>
          <w:sz w:val="36"/>
          <w:szCs w:val="36"/>
        </w:rPr>
      </w:pPr>
    </w:p>
    <w:p>
      <w:pPr>
        <w:spacing w:line="720" w:lineRule="exact"/>
        <w:jc w:val="center"/>
        <w:outlineLvl w:val="0"/>
        <w:rPr>
          <w:rFonts w:ascii="仿宋" w:hAnsi="仿宋" w:eastAsia="仿宋" w:cs="仿宋"/>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仿宋" w:hAnsi="仿宋" w:eastAsia="仿宋" w:cs="仿宋"/>
          <w:sz w:val="36"/>
          <w:szCs w:val="36"/>
        </w:rPr>
        <w:t>二〇二五年五月</w:t>
      </w:r>
    </w:p>
    <w:p>
      <w:pPr>
        <w:pStyle w:val="3"/>
        <w:spacing w:line="360" w:lineRule="auto"/>
        <w:jc w:val="center"/>
        <w:rPr>
          <w:rFonts w:ascii="仿宋" w:hAnsi="仿宋" w:eastAsia="仿宋" w:cs="仿宋"/>
          <w:b w:val="0"/>
          <w:szCs w:val="30"/>
        </w:rPr>
      </w:pPr>
      <w:bookmarkStart w:id="0" w:name="_Toc11641050"/>
      <w:bookmarkStart w:id="1" w:name="_Toc76462316"/>
      <w:bookmarkStart w:id="2" w:name="_Toc106030870"/>
      <w:bookmarkStart w:id="3" w:name="_Toc12789052"/>
      <w:r>
        <w:rPr>
          <w:rFonts w:hint="eastAsia" w:ascii="仿宋" w:hAnsi="仿宋" w:eastAsia="仿宋" w:cs="仿宋"/>
          <w:b w:val="0"/>
          <w:sz w:val="36"/>
          <w:szCs w:val="30"/>
        </w:rPr>
        <w:t>第一篇  采购邀请书</w:t>
      </w:r>
      <w:bookmarkEnd w:id="0"/>
      <w:bookmarkEnd w:id="1"/>
      <w:bookmarkEnd w:id="2"/>
      <w:bookmarkEnd w:id="3"/>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重庆市港航海事事务中心对重庆市内河航道养护工程预算定额修订项目进行限额以下磋商评分采购（第二次）。欢迎有资格的供应商前来参与竞争。</w:t>
      </w:r>
    </w:p>
    <w:p>
      <w:pPr>
        <w:pStyle w:val="3"/>
        <w:adjustRightInd w:val="0"/>
        <w:snapToGrid w:val="0"/>
        <w:spacing w:line="400" w:lineRule="exact"/>
        <w:ind w:firstLine="482" w:firstLineChars="200"/>
        <w:rPr>
          <w:rFonts w:ascii="仿宋" w:hAnsi="仿宋" w:eastAsia="仿宋" w:cs="仿宋"/>
          <w:sz w:val="24"/>
        </w:rPr>
      </w:pPr>
      <w:bookmarkStart w:id="4" w:name="_Toc313893526"/>
      <w:bookmarkStart w:id="5" w:name="_Toc317775175"/>
      <w:bookmarkStart w:id="6" w:name="_Toc106030871"/>
      <w:bookmarkStart w:id="7" w:name="_Toc76462317"/>
      <w:r>
        <w:rPr>
          <w:rFonts w:hint="eastAsia" w:ascii="仿宋" w:hAnsi="仿宋" w:eastAsia="仿宋" w:cs="仿宋"/>
          <w:sz w:val="24"/>
        </w:rPr>
        <w:t>一、限额以下磋商评分内容</w:t>
      </w:r>
      <w:bookmarkEnd w:id="4"/>
      <w:bookmarkEnd w:id="5"/>
      <w:bookmarkEnd w:id="6"/>
      <w:bookmarkEnd w:id="7"/>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包号及名称</w:t>
            </w:r>
          </w:p>
        </w:tc>
        <w:tc>
          <w:tcPr>
            <w:tcW w:w="1701" w:type="dxa"/>
            <w:tcBorders>
              <w:top w:val="single" w:color="auto" w:sz="4" w:space="0"/>
              <w:left w:val="single" w:color="auto" w:sz="4" w:space="0"/>
              <w:right w:val="single" w:color="auto" w:sz="4" w:space="0"/>
            </w:tcBorders>
            <w:vAlign w:val="center"/>
          </w:tcPr>
          <w:p>
            <w:pPr>
              <w:jc w:val="center"/>
              <w:rPr>
                <w:rFonts w:ascii="仿宋" w:hAnsi="仿宋" w:eastAsia="仿宋" w:cs="仿宋"/>
                <w:b/>
                <w:bCs/>
                <w:kern w:val="0"/>
                <w:sz w:val="21"/>
                <w:szCs w:val="24"/>
              </w:rPr>
            </w:pPr>
            <w:r>
              <w:rPr>
                <w:rFonts w:hint="eastAsia" w:ascii="仿宋" w:hAnsi="仿宋" w:eastAsia="仿宋" w:cs="仿宋"/>
                <w:b/>
                <w:bCs/>
                <w:kern w:val="0"/>
                <w:sz w:val="21"/>
                <w:szCs w:val="24"/>
              </w:rPr>
              <w:t>最高限价（万元）</w:t>
            </w:r>
          </w:p>
        </w:tc>
        <w:tc>
          <w:tcPr>
            <w:tcW w:w="2410" w:type="dxa"/>
            <w:tcBorders>
              <w:top w:val="single" w:color="auto" w:sz="4" w:space="0"/>
              <w:left w:val="single" w:color="auto" w:sz="4" w:space="0"/>
              <w:right w:val="single" w:color="auto" w:sz="4" w:space="0"/>
            </w:tcBorders>
            <w:vAlign w:val="center"/>
          </w:tcPr>
          <w:p>
            <w:pPr>
              <w:jc w:val="center"/>
              <w:rPr>
                <w:rFonts w:ascii="仿宋" w:hAnsi="仿宋" w:eastAsia="仿宋" w:cs="仿宋"/>
                <w:b/>
                <w:bCs/>
                <w:kern w:val="0"/>
                <w:sz w:val="21"/>
                <w:szCs w:val="24"/>
              </w:rPr>
            </w:pPr>
            <w:r>
              <w:rPr>
                <w:rFonts w:hint="eastAsia" w:ascii="仿宋" w:hAnsi="仿宋" w:eastAsia="仿宋" w:cs="仿宋"/>
                <w:b/>
                <w:bCs/>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pPr>
              <w:jc w:val="center"/>
              <w:rPr>
                <w:rFonts w:ascii="仿宋" w:hAnsi="仿宋" w:eastAsia="仿宋" w:cs="仿宋"/>
                <w:b/>
                <w:bCs/>
                <w:kern w:val="0"/>
                <w:sz w:val="21"/>
                <w:szCs w:val="24"/>
              </w:rPr>
            </w:pPr>
            <w:r>
              <w:rPr>
                <w:rFonts w:hint="eastAsia" w:ascii="仿宋" w:hAnsi="仿宋" w:eastAsia="仿宋" w:cs="仿宋"/>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 w:val="21"/>
                <w:szCs w:val="24"/>
              </w:rPr>
            </w:pPr>
            <w:bookmarkStart w:id="8" w:name="OLE_LINK4"/>
            <w:bookmarkStart w:id="9" w:name="OLE_LINK3"/>
            <w:bookmarkStart w:id="10" w:name="_Hlk344477914"/>
            <w:r>
              <w:rPr>
                <w:rFonts w:hint="eastAsia" w:ascii="仿宋" w:hAnsi="仿宋" w:eastAsia="仿宋" w:cs="仿宋"/>
                <w:kern w:val="0"/>
                <w:sz w:val="21"/>
                <w:szCs w:val="24"/>
              </w:rPr>
              <w:t>重庆市内河航道养护工程预算定额</w:t>
            </w:r>
            <w:bookmarkEnd w:id="8"/>
            <w:bookmarkEnd w:id="9"/>
            <w:r>
              <w:rPr>
                <w:rFonts w:hint="eastAsia" w:ascii="仿宋" w:hAnsi="仿宋" w:eastAsia="仿宋" w:cs="仿宋"/>
                <w:kern w:val="0"/>
                <w:sz w:val="21"/>
                <w:szCs w:val="24"/>
              </w:rPr>
              <w:t>修订</w:t>
            </w:r>
          </w:p>
        </w:tc>
        <w:tc>
          <w:tcPr>
            <w:tcW w:w="1701"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 w:val="21"/>
                <w:szCs w:val="24"/>
              </w:rPr>
            </w:pPr>
            <w:r>
              <w:rPr>
                <w:rFonts w:hint="eastAsia" w:ascii="仿宋" w:hAnsi="仿宋" w:eastAsia="仿宋" w:cs="仿宋"/>
                <w:kern w:val="0"/>
                <w:sz w:val="21"/>
                <w:szCs w:val="24"/>
              </w:rPr>
              <w:t>20</w:t>
            </w:r>
          </w:p>
        </w:tc>
        <w:tc>
          <w:tcPr>
            <w:tcW w:w="2410"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 w:val="21"/>
                <w:szCs w:val="24"/>
              </w:rPr>
            </w:pPr>
            <w:r>
              <w:rPr>
                <w:rFonts w:hint="eastAsia" w:ascii="仿宋" w:hAnsi="仿宋" w:eastAsia="仿宋" w:cs="仿宋"/>
                <w:kern w:val="0"/>
                <w:sz w:val="21"/>
                <w:szCs w:val="24"/>
              </w:rPr>
              <w:t>1</w:t>
            </w:r>
          </w:p>
        </w:tc>
        <w:tc>
          <w:tcPr>
            <w:tcW w:w="2516" w:type="dxa"/>
            <w:tcBorders>
              <w:top w:val="single" w:color="auto" w:sz="4" w:space="0"/>
              <w:left w:val="single" w:color="auto" w:sz="4" w:space="0"/>
              <w:right w:val="single" w:color="auto" w:sz="4" w:space="0"/>
            </w:tcBorders>
            <w:vAlign w:val="center"/>
          </w:tcPr>
          <w:p>
            <w:pPr>
              <w:jc w:val="center"/>
              <w:rPr>
                <w:rFonts w:ascii="仿宋" w:hAnsi="仿宋" w:eastAsia="仿宋" w:cs="仿宋"/>
                <w:b/>
                <w:sz w:val="21"/>
                <w:szCs w:val="21"/>
              </w:rPr>
            </w:pPr>
          </w:p>
        </w:tc>
      </w:tr>
      <w:bookmarkEnd w:id="10"/>
    </w:tbl>
    <w:p>
      <w:pPr>
        <w:pStyle w:val="3"/>
        <w:adjustRightInd w:val="0"/>
        <w:snapToGrid w:val="0"/>
        <w:spacing w:line="400" w:lineRule="exact"/>
        <w:ind w:firstLine="482" w:firstLineChars="200"/>
        <w:rPr>
          <w:rFonts w:ascii="仿宋" w:hAnsi="仿宋" w:eastAsia="仿宋" w:cs="仿宋"/>
          <w:sz w:val="24"/>
        </w:rPr>
      </w:pPr>
      <w:bookmarkStart w:id="11" w:name="_Toc106030872"/>
      <w:bookmarkStart w:id="12" w:name="_Toc76462318"/>
      <w:bookmarkStart w:id="13" w:name="_Toc373860293"/>
      <w:bookmarkStart w:id="14" w:name="_Toc317775178"/>
      <w:r>
        <w:rPr>
          <w:rFonts w:hint="eastAsia" w:ascii="仿宋" w:hAnsi="仿宋" w:eastAsia="仿宋" w:cs="仿宋"/>
          <w:sz w:val="24"/>
        </w:rPr>
        <w:t>二、资金来源</w:t>
      </w:r>
      <w:bookmarkEnd w:id="11"/>
      <w:bookmarkEnd w:id="12"/>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财政预算资金，预算金额为20万元。</w:t>
      </w:r>
    </w:p>
    <w:p>
      <w:pPr>
        <w:pStyle w:val="3"/>
        <w:adjustRightInd w:val="0"/>
        <w:snapToGrid w:val="0"/>
        <w:spacing w:line="400" w:lineRule="exact"/>
        <w:ind w:firstLine="482" w:firstLineChars="200"/>
        <w:rPr>
          <w:rFonts w:ascii="仿宋" w:hAnsi="仿宋" w:eastAsia="仿宋" w:cs="仿宋"/>
          <w:sz w:val="24"/>
        </w:rPr>
      </w:pPr>
      <w:bookmarkStart w:id="15" w:name="_Toc76462319"/>
      <w:bookmarkStart w:id="16" w:name="_Toc106030873"/>
      <w:r>
        <w:rPr>
          <w:rFonts w:hint="eastAsia" w:ascii="仿宋" w:hAnsi="仿宋" w:eastAsia="仿宋" w:cs="仿宋"/>
          <w:sz w:val="24"/>
        </w:rPr>
        <w:t>三、供应商资格条件</w:t>
      </w:r>
      <w:bookmarkEnd w:id="15"/>
      <w:bookmarkEnd w:id="16"/>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（一）满足《中华人民共和国政府采购法》第二十二条规定；</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（二）本项目的特定资格要求： 无</w:t>
      </w:r>
    </w:p>
    <w:p>
      <w:pPr>
        <w:pStyle w:val="3"/>
        <w:adjustRightInd w:val="0"/>
        <w:snapToGrid w:val="0"/>
        <w:spacing w:line="400" w:lineRule="exact"/>
        <w:ind w:firstLine="482" w:firstLineChars="200"/>
        <w:rPr>
          <w:rFonts w:ascii="仿宋" w:hAnsi="仿宋" w:eastAsia="仿宋" w:cs="仿宋"/>
          <w:sz w:val="24"/>
        </w:rPr>
      </w:pPr>
      <w:bookmarkStart w:id="17" w:name="_Toc76462320"/>
      <w:bookmarkStart w:id="18" w:name="_Toc106030874"/>
      <w:r>
        <w:rPr>
          <w:rFonts w:hint="eastAsia" w:ascii="仿宋" w:hAnsi="仿宋" w:eastAsia="仿宋" w:cs="仿宋"/>
          <w:sz w:val="24"/>
        </w:rPr>
        <w:t>四、限额以下磋商评分有关说明</w:t>
      </w:r>
      <w:bookmarkEnd w:id="13"/>
      <w:bookmarkEnd w:id="17"/>
      <w:bookmarkEnd w:id="18"/>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凡有意参加竞争的供应商，请在重庆市交通运输委员会官网上下载本项目采购文件以及图纸、澄清等限额以下磋商评分前公布的所有项目资料，无论供应商下载或领取与否，均视为已知晓所有限额以下磋商评分实质性要求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（二）限额以下磋商评分公告期限：自采购公告发布之日起三个工作日。</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（三）报名方式：</w:t>
      </w:r>
      <w:r>
        <w:rPr>
          <w:rFonts w:hint="eastAsia" w:ascii="仿宋" w:hAnsi="仿宋" w:eastAsia="仿宋" w:cs="仿宋"/>
          <w:sz w:val="24"/>
        </w:rPr>
        <w:t>在2025年5月30日9:00时前，将《报名表》（加盖供应商公章）</w:t>
      </w:r>
      <w:r>
        <w:fldChar w:fldCharType="begin"/>
      </w:r>
      <w:r>
        <w:instrText xml:space="preserve"> HYPERLINK "mailto:扫描后发送至ghjzbc@163.com" </w:instrText>
      </w:r>
      <w:r>
        <w:fldChar w:fldCharType="separate"/>
      </w:r>
      <w:r>
        <w:rPr>
          <w:rFonts w:hint="eastAsia" w:ascii="仿宋" w:hAnsi="仿宋" w:eastAsia="仿宋" w:cs="仿宋"/>
          <w:sz w:val="24"/>
        </w:rPr>
        <w:t>扫描后发送至</w:t>
      </w:r>
      <w:r>
        <w:rPr>
          <w:rFonts w:hint="eastAsia" w:ascii="仿宋" w:hAnsi="仿宋" w:eastAsia="仿宋" w:cs="仿宋"/>
          <w:b/>
          <w:sz w:val="24"/>
        </w:rPr>
        <w:t>ghjzbc@163.com</w:t>
      </w:r>
      <w:r>
        <w:rPr>
          <w:rFonts w:hint="eastAsia" w:ascii="仿宋" w:hAnsi="仿宋" w:eastAsia="仿宋" w:cs="仿宋"/>
          <w:b/>
          <w:sz w:val="24"/>
        </w:rPr>
        <w:fldChar w:fldCharType="end"/>
      </w:r>
      <w:r>
        <w:rPr>
          <w:rFonts w:hint="eastAsia" w:ascii="仿宋" w:hAnsi="仿宋" w:eastAsia="仿宋" w:cs="仿宋"/>
          <w:sz w:val="24"/>
        </w:rPr>
        <w:t>邮箱</w:t>
      </w:r>
      <w:r>
        <w:rPr>
          <w:rFonts w:hint="eastAsia" w:ascii="仿宋" w:hAnsi="仿宋" w:eastAsia="仿宋" w:cs="仿宋"/>
          <w:sz w:val="24"/>
          <w:szCs w:val="24"/>
        </w:rPr>
        <w:t>。</w:t>
      </w:r>
      <w:r>
        <w:rPr>
          <w:rFonts w:hint="eastAsia" w:ascii="仿宋" w:hAnsi="仿宋" w:eastAsia="仿宋" w:cs="仿宋"/>
          <w:sz w:val="24"/>
        </w:rPr>
        <w:t>邮箱、截止时间按邮箱显示邮件到达时间为准，未按规定提前报名的供应商的响应文件将被拒收。</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（四）递交响应文件地点：重庆市港航海事事务中心12楼会议室（地址：重庆市江北区红石路2号东和银都B座）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（五）响应文件递交截止时间：2025年5月30日北京时间14:00时至14</w:t>
      </w:r>
      <w:r>
        <w:rPr>
          <w:rFonts w:ascii="仿宋" w:hAnsi="仿宋" w:eastAsia="仿宋" w:cs="仿宋"/>
          <w:sz w:val="24"/>
          <w:szCs w:val="24"/>
        </w:rPr>
        <w:t>:3</w:t>
      </w:r>
      <w:r>
        <w:rPr>
          <w:rFonts w:hint="eastAsia" w:ascii="仿宋" w:hAnsi="仿宋" w:eastAsia="仿宋" w:cs="仿宋"/>
          <w:sz w:val="24"/>
          <w:szCs w:val="24"/>
        </w:rPr>
        <w:t>0时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（六）评审开始时间：2025年5月30日北京时间14:30时</w:t>
      </w:r>
    </w:p>
    <w:p>
      <w:pPr>
        <w:pStyle w:val="3"/>
        <w:adjustRightInd w:val="0"/>
        <w:snapToGrid w:val="0"/>
        <w:spacing w:line="400" w:lineRule="exact"/>
        <w:ind w:firstLine="482" w:firstLineChars="200"/>
        <w:rPr>
          <w:rFonts w:ascii="仿宋" w:hAnsi="仿宋" w:eastAsia="仿宋" w:cs="仿宋"/>
          <w:sz w:val="24"/>
        </w:rPr>
      </w:pPr>
      <w:bookmarkStart w:id="19" w:name="_Toc76462321"/>
      <w:bookmarkStart w:id="20" w:name="_Toc106030875"/>
      <w:bookmarkStart w:id="21" w:name="_Toc373860294"/>
      <w:r>
        <w:rPr>
          <w:rFonts w:hint="eastAsia" w:ascii="仿宋" w:hAnsi="仿宋" w:eastAsia="仿宋" w:cs="仿宋"/>
          <w:sz w:val="24"/>
        </w:rPr>
        <w:t>五、</w:t>
      </w:r>
      <w:bookmarkEnd w:id="14"/>
      <w:bookmarkEnd w:id="19"/>
      <w:bookmarkEnd w:id="20"/>
      <w:bookmarkEnd w:id="21"/>
      <w:bookmarkStart w:id="22" w:name="_Toc76462322"/>
      <w:bookmarkStart w:id="23" w:name="_Toc106030876"/>
      <w:bookmarkStart w:id="24" w:name="_Toc480466699"/>
      <w:r>
        <w:rPr>
          <w:rFonts w:hint="eastAsia" w:ascii="仿宋" w:hAnsi="仿宋" w:eastAsia="仿宋" w:cs="仿宋"/>
          <w:sz w:val="24"/>
        </w:rPr>
        <w:t>其它有关规定</w:t>
      </w:r>
      <w:bookmarkEnd w:id="22"/>
      <w:bookmarkEnd w:id="23"/>
      <w:bookmarkEnd w:id="24"/>
    </w:p>
    <w:p>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（一）单位负责人为同一人或者存在直接控股、管理关系的不同供应商，不得参加同一合同项（包）下的政府采购活动，否则均为无效响应。</w:t>
      </w:r>
    </w:p>
    <w:p>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三）本项目的澄清文件（如果有）一律在重庆市交通运输委员会官网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（四）超过响应文件截止时间递交的响应文件，恕不接收。</w:t>
      </w:r>
    </w:p>
    <w:p>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（五）限额以下磋商评分费用：无论评审结果如何，供应商参与本项目竞争的所有费用均应由供应商自行承担。</w:t>
      </w:r>
    </w:p>
    <w:p>
      <w:pPr>
        <w:snapToGrid w:val="0"/>
        <w:spacing w:line="400" w:lineRule="exact"/>
        <w:ind w:firstLine="360" w:firstLineChars="150"/>
        <w:rPr>
          <w:rFonts w:ascii="仿宋" w:hAnsi="仿宋" w:eastAsia="仿宋" w:cs="仿宋"/>
          <w:b/>
          <w:sz w:val="24"/>
          <w:szCs w:val="24"/>
        </w:rPr>
      </w:pPr>
      <w:r>
        <w:rPr>
          <w:rFonts w:hint="eastAsia" w:ascii="仿宋" w:hAnsi="仿宋" w:eastAsia="仿宋" w:cs="仿宋"/>
          <w:sz w:val="24"/>
          <w:szCs w:val="24"/>
        </w:rPr>
        <w:t>（六）</w:t>
      </w:r>
      <w:r>
        <w:rPr>
          <w:rFonts w:hint="eastAsia" w:ascii="仿宋" w:hAnsi="仿宋" w:eastAsia="仿宋" w:cs="仿宋"/>
          <w:b/>
          <w:i/>
          <w:iCs/>
          <w:sz w:val="24"/>
          <w:szCs w:val="24"/>
        </w:rPr>
        <w:t>本项目不接受联合体参与竞争，否则按无效处理</w:t>
      </w:r>
      <w:r>
        <w:rPr>
          <w:rFonts w:hint="eastAsia" w:ascii="仿宋" w:hAnsi="仿宋" w:eastAsia="仿宋" w:cs="仿宋"/>
          <w:b/>
          <w:sz w:val="24"/>
          <w:szCs w:val="24"/>
        </w:rPr>
        <w:t>。</w:t>
      </w:r>
    </w:p>
    <w:p>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b/>
          <w:i/>
          <w:iCs/>
          <w:sz w:val="24"/>
          <w:szCs w:val="24"/>
        </w:rPr>
        <w:t>本项目不接受合同分包，否则按无效处理</w:t>
      </w:r>
      <w:r>
        <w:rPr>
          <w:rFonts w:hint="eastAsia" w:ascii="仿宋" w:hAnsi="仿宋" w:eastAsia="仿宋" w:cs="仿宋"/>
          <w:b/>
          <w:sz w:val="24"/>
          <w:szCs w:val="24"/>
        </w:rPr>
        <w:t>。</w:t>
      </w:r>
    </w:p>
    <w:p>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（八）</w:t>
      </w:r>
      <w:bookmarkStart w:id="25" w:name="_Toc480466700"/>
      <w:r>
        <w:rPr>
          <w:rFonts w:hint="eastAsia" w:ascii="仿宋" w:hAnsi="仿宋" w:eastAsia="仿宋" w:cs="仿宋"/>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3"/>
        <w:adjustRightInd w:val="0"/>
        <w:snapToGrid w:val="0"/>
        <w:spacing w:line="400" w:lineRule="exact"/>
        <w:ind w:firstLine="482" w:firstLineChars="200"/>
        <w:rPr>
          <w:rFonts w:ascii="仿宋" w:hAnsi="仿宋" w:eastAsia="仿宋" w:cs="仿宋"/>
          <w:sz w:val="24"/>
        </w:rPr>
      </w:pPr>
      <w:bookmarkStart w:id="26" w:name="_Toc76462323"/>
      <w:bookmarkStart w:id="27" w:name="_Toc106030877"/>
      <w:r>
        <w:rPr>
          <w:rFonts w:hint="eastAsia" w:ascii="仿宋" w:hAnsi="仿宋" w:eastAsia="仿宋" w:cs="仿宋"/>
          <w:sz w:val="24"/>
          <w:lang w:eastAsia="zh-CN"/>
        </w:rPr>
        <w:t>六</w:t>
      </w:r>
      <w:bookmarkStart w:id="168" w:name="_GoBack"/>
      <w:bookmarkEnd w:id="168"/>
      <w:r>
        <w:rPr>
          <w:rFonts w:hint="eastAsia" w:ascii="仿宋" w:hAnsi="仿宋" w:eastAsia="仿宋" w:cs="仿宋"/>
          <w:sz w:val="24"/>
        </w:rPr>
        <w:t>、联系方式</w:t>
      </w:r>
      <w:bookmarkEnd w:id="25"/>
      <w:bookmarkEnd w:id="26"/>
      <w:bookmarkEnd w:id="27"/>
    </w:p>
    <w:p>
      <w:pPr>
        <w:snapToGrid w:val="0"/>
        <w:spacing w:line="4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（一）采购人：重庆市港航海事事务中心</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联系人： 江臻伟</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电  话：023-89183563</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传  真：023-89183563</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  址：重庆市江北区红石路2号</w:t>
      </w:r>
    </w:p>
    <w:p>
      <w:pPr>
        <w:snapToGrid w:val="0"/>
        <w:spacing w:line="400" w:lineRule="exact"/>
        <w:ind w:firstLine="482" w:firstLineChars="200"/>
        <w:rPr>
          <w:rFonts w:ascii="仿宋" w:hAnsi="仿宋" w:eastAsia="仿宋" w:cs="仿宋"/>
          <w:b/>
          <w:sz w:val="24"/>
          <w:szCs w:val="24"/>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964" w:footer="992" w:gutter="0"/>
          <w:pgNumType w:fmt="numberInDash"/>
          <w:cols w:space="720" w:num="1"/>
          <w:docGrid w:linePitch="312" w:charSpace="0"/>
        </w:sectPr>
      </w:pPr>
    </w:p>
    <w:p>
      <w:pPr>
        <w:pStyle w:val="3"/>
        <w:spacing w:line="360" w:lineRule="auto"/>
        <w:jc w:val="center"/>
        <w:rPr>
          <w:rFonts w:ascii="仿宋" w:hAnsi="仿宋" w:eastAsia="仿宋" w:cs="仿宋"/>
          <w:b w:val="0"/>
          <w:sz w:val="30"/>
          <w:szCs w:val="30"/>
        </w:rPr>
      </w:pPr>
      <w:bookmarkStart w:id="28" w:name="_Toc106030878"/>
      <w:bookmarkStart w:id="29" w:name="_Toc76462324"/>
      <w:r>
        <w:rPr>
          <w:rFonts w:hint="eastAsia" w:ascii="仿宋" w:hAnsi="仿宋" w:eastAsia="仿宋" w:cs="仿宋"/>
          <w:b w:val="0"/>
          <w:sz w:val="36"/>
          <w:szCs w:val="30"/>
        </w:rPr>
        <w:t>第二篇  项目服务需求</w:t>
      </w:r>
      <w:bookmarkEnd w:id="28"/>
      <w:bookmarkEnd w:id="29"/>
    </w:p>
    <w:p>
      <w:pPr>
        <w:pStyle w:val="3"/>
        <w:adjustRightInd w:val="0"/>
        <w:snapToGrid w:val="0"/>
        <w:spacing w:line="560" w:lineRule="exact"/>
        <w:ind w:firstLine="482" w:firstLineChars="200"/>
        <w:rPr>
          <w:rFonts w:ascii="仿宋" w:hAnsi="仿宋" w:eastAsia="仿宋" w:cs="仿宋"/>
          <w:sz w:val="24"/>
        </w:rPr>
      </w:pPr>
      <w:bookmarkStart w:id="30" w:name="_Toc76462325"/>
      <w:bookmarkStart w:id="31" w:name="_Toc106030879"/>
      <w:bookmarkStart w:id="32" w:name="_Toc12789058"/>
      <w:r>
        <w:rPr>
          <w:rFonts w:hint="eastAsia" w:ascii="仿宋" w:hAnsi="仿宋" w:eastAsia="仿宋" w:cs="仿宋"/>
          <w:sz w:val="24"/>
        </w:rPr>
        <w:t>一、项目基本概况介绍</w:t>
      </w:r>
      <w:bookmarkEnd w:id="30"/>
      <w:bookmarkEnd w:id="31"/>
    </w:p>
    <w:p>
      <w:pPr>
        <w:spacing w:line="560" w:lineRule="exact"/>
        <w:ind w:firstLine="480" w:firstLineChars="200"/>
        <w:rPr>
          <w:rFonts w:ascii="仿宋" w:hAnsi="仿宋" w:eastAsia="仿宋" w:cs="仿宋"/>
          <w:kern w:val="0"/>
          <w:sz w:val="24"/>
          <w:szCs w:val="24"/>
        </w:rPr>
      </w:pPr>
      <w:bookmarkStart w:id="33" w:name="_Toc106030880"/>
      <w:r>
        <w:rPr>
          <w:rFonts w:hint="eastAsia" w:ascii="仿宋" w:hAnsi="仿宋" w:eastAsia="仿宋" w:cs="仿宋"/>
          <w:kern w:val="0"/>
          <w:sz w:val="24"/>
          <w:szCs w:val="24"/>
        </w:rPr>
        <w:t>随着航道养护工程的发展，新技术、新工艺、新材料、新设备不断涌现，现行的重庆市内河航道养护工程预算定额已经不能完全满足实际使用的需要，现行定额在使用过程中也收到了不少的反馈意见，发现了其中存在的不足和问题；因此需对重庆市内河航道养护工程预算定额进行修订</w:t>
      </w:r>
      <w:r>
        <w:rPr>
          <w:rFonts w:hint="eastAsia" w:ascii="仿宋" w:hAnsi="仿宋" w:eastAsia="仿宋" w:cs="仿宋"/>
          <w:kern w:val="0"/>
          <w:sz w:val="24"/>
          <w:szCs w:val="24"/>
          <w:lang w:val="zh-TW" w:eastAsia="zh-TW"/>
        </w:rPr>
        <w:t>。</w:t>
      </w:r>
    </w:p>
    <w:p>
      <w:pPr>
        <w:pStyle w:val="3"/>
        <w:adjustRightInd w:val="0"/>
        <w:snapToGrid w:val="0"/>
        <w:spacing w:line="560" w:lineRule="exact"/>
        <w:ind w:firstLine="482" w:firstLineChars="200"/>
        <w:rPr>
          <w:rFonts w:ascii="仿宋" w:hAnsi="仿宋" w:eastAsia="仿宋" w:cs="仿宋"/>
          <w:sz w:val="24"/>
        </w:rPr>
      </w:pPr>
      <w:r>
        <w:rPr>
          <w:rFonts w:hint="eastAsia" w:ascii="仿宋" w:hAnsi="仿宋" w:eastAsia="仿宋" w:cs="仿宋"/>
          <w:sz w:val="24"/>
        </w:rPr>
        <w:t>二、服务范围、要求及标准</w:t>
      </w:r>
      <w:bookmarkEnd w:id="33"/>
    </w:p>
    <w:p>
      <w:pPr>
        <w:spacing w:line="5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开展调研：广泛调查和收集重庆市内内河各主要水系的航道养护情况和资料，紧密结合现行航道养护材料市场价格，积极吸取和采用当前航道维护管理和工程建设中的新技术、新工艺、新材料、新设备等，使修订出的定额适应当前航道养护特点和实际，满足实用性和可操作性。</w:t>
      </w:r>
    </w:p>
    <w:p>
      <w:pPr>
        <w:spacing w:line="5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定额修订主要内容：补充新技术、新工艺、新材料、新设备相关定额；调整人工、材料、机械台班单价；完善费用组成和计算方法；修订不合理的定额子目和工程量计算规则；增加绿色航道和数字航道相关内容。</w:t>
      </w:r>
    </w:p>
    <w:p>
      <w:pPr>
        <w:spacing w:line="5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3.定额的修订要求：应在充分考虑航道养护工程的实际特点和技术发展趋势的基础上，编制工作大纲，根据采购人审定的工作大纲开展调研和编办及定额修订工作。确保修订后的编办及定额科学合理，能够准确反映工程成本；紧密结合我市内河航道养护工作实际，注重可操作性，便于造价人员使用和理解，提高工作效率；关注市场价格波动和行业发展动态，使编办和定额具有一定的前瞻性和适应性，能够在一定时期内保持稳定。</w:t>
      </w:r>
    </w:p>
    <w:p>
      <w:pPr>
        <w:spacing w:line="5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4.提交成果资料：《重庆市内河航道养护工程预算编制办法》、《重庆市内河航道养护工程预算定额》及修订研究相关基础资料和中间过程资料、修订工作报告等。修订工作报告应包括但不限于以下内容：概述、方法和过程、成果和分析、评审结果、讨论及建议、有待继续研究的问题等。</w:t>
      </w:r>
    </w:p>
    <w:p>
      <w:pPr>
        <w:pStyle w:val="3"/>
        <w:adjustRightInd w:val="0"/>
        <w:snapToGrid w:val="0"/>
        <w:spacing w:line="560" w:lineRule="exact"/>
        <w:ind w:firstLine="482" w:firstLineChars="200"/>
        <w:rPr>
          <w:rFonts w:ascii="仿宋" w:hAnsi="仿宋" w:eastAsia="仿宋" w:cs="仿宋"/>
          <w:sz w:val="24"/>
        </w:rPr>
      </w:pPr>
      <w:bookmarkStart w:id="34" w:name="_Toc344475116"/>
      <w:bookmarkStart w:id="35" w:name="_Toc313536013"/>
      <w:bookmarkStart w:id="36" w:name="_Toc76462326"/>
      <w:bookmarkStart w:id="37" w:name="_Toc106030881"/>
      <w:r>
        <w:rPr>
          <w:rFonts w:hint="eastAsia" w:ascii="仿宋" w:hAnsi="仿宋" w:eastAsia="仿宋" w:cs="仿宋"/>
          <w:sz w:val="24"/>
        </w:rPr>
        <w:t>三、服务及质量</w:t>
      </w:r>
      <w:bookmarkEnd w:id="34"/>
      <w:bookmarkEnd w:id="35"/>
      <w:r>
        <w:rPr>
          <w:rFonts w:hint="eastAsia" w:ascii="仿宋" w:hAnsi="仿宋" w:eastAsia="仿宋" w:cs="仿宋"/>
          <w:sz w:val="24"/>
        </w:rPr>
        <w:t>需求</w:t>
      </w:r>
      <w:bookmarkEnd w:id="36"/>
      <w:bookmarkEnd w:id="37"/>
    </w:p>
    <w:p>
      <w:pPr>
        <w:spacing w:line="56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1.完成定额修编的编制工作，成果资料通过专家审查（专家由采购人指定），成果资料需提交纸质版10份，电子版1份，后期协助采购人完成定额修编的报批工作。</w:t>
      </w:r>
    </w:p>
    <w:p>
      <w:pPr>
        <w:spacing w:line="560" w:lineRule="exact"/>
        <w:ind w:firstLine="480" w:firstLineChars="200"/>
        <w:rPr>
          <w:rFonts w:ascii="仿宋" w:hAnsi="仿宋" w:eastAsia="仿宋" w:cs="仿宋"/>
          <w:kern w:val="0"/>
          <w:sz w:val="24"/>
          <w:szCs w:val="24"/>
        </w:rPr>
      </w:pPr>
      <w:r>
        <w:rPr>
          <w:rFonts w:ascii="仿宋" w:hAnsi="仿宋" w:eastAsia="仿宋" w:cs="仿宋"/>
          <w:kern w:val="0"/>
          <w:sz w:val="24"/>
          <w:szCs w:val="24"/>
        </w:rPr>
        <w:t>2.供应商投入本项服务团队人员</w:t>
      </w:r>
      <w:r>
        <w:rPr>
          <w:rFonts w:hint="eastAsia" w:ascii="仿宋" w:hAnsi="仿宋" w:eastAsia="仿宋" w:cs="仿宋"/>
          <w:kern w:val="0"/>
          <w:sz w:val="24"/>
          <w:szCs w:val="24"/>
        </w:rPr>
        <w:t>应与响应文件保持一致，不得随意进行更换，因特殊原因确需调整的，须取得采购人书面同意。</w:t>
      </w:r>
    </w:p>
    <w:p>
      <w:pPr>
        <w:spacing w:line="560" w:lineRule="exact"/>
        <w:ind w:firstLine="480" w:firstLineChars="200"/>
        <w:rPr>
          <w:rFonts w:ascii="仿宋" w:hAnsi="仿宋" w:eastAsia="仿宋" w:cs="仿宋"/>
          <w:sz w:val="24"/>
          <w:szCs w:val="24"/>
        </w:rPr>
      </w:pPr>
      <w:r>
        <w:rPr>
          <w:rFonts w:ascii="仿宋" w:hAnsi="仿宋" w:eastAsia="仿宋" w:cs="仿宋"/>
          <w:kern w:val="0"/>
          <w:sz w:val="24"/>
          <w:szCs w:val="24"/>
        </w:rPr>
        <w:t>3.供应</w:t>
      </w:r>
      <w:r>
        <w:rPr>
          <w:rFonts w:hint="eastAsia" w:ascii="仿宋" w:hAnsi="仿宋" w:eastAsia="仿宋" w:cs="仿宋"/>
          <w:kern w:val="0"/>
          <w:sz w:val="24"/>
          <w:szCs w:val="24"/>
        </w:rPr>
        <w:t>商服务过程中，须及时对采购人提出的工作要求（包括但不限于参加会议、现场调研、电话咨询、提供资料等）进行响应，如未及时响应的，按本项目违约责任进行处置。</w:t>
      </w:r>
    </w:p>
    <w:p>
      <w:pPr>
        <w:spacing w:line="360" w:lineRule="auto"/>
        <w:ind w:firstLine="480" w:firstLineChars="200"/>
        <w:rPr>
          <w:rFonts w:ascii="仿宋" w:hAnsi="仿宋" w:eastAsia="仿宋" w:cs="仿宋"/>
          <w:sz w:val="24"/>
          <w:szCs w:val="24"/>
        </w:rPr>
        <w:sectPr>
          <w:footerReference r:id="rId15" w:type="default"/>
          <w:footerReference r:id="rId16" w:type="even"/>
          <w:pgSz w:w="11907" w:h="16840"/>
          <w:pgMar w:top="1134" w:right="1191" w:bottom="1134" w:left="1304" w:header="964" w:footer="992" w:gutter="0"/>
          <w:pgNumType w:fmt="numberInDash"/>
          <w:cols w:space="720" w:num="1"/>
          <w:docGrid w:linePitch="312" w:charSpace="0"/>
        </w:sectPr>
      </w:pPr>
    </w:p>
    <w:p>
      <w:pPr>
        <w:pStyle w:val="3"/>
        <w:spacing w:line="360" w:lineRule="auto"/>
        <w:jc w:val="center"/>
        <w:rPr>
          <w:rFonts w:ascii="仿宋" w:hAnsi="仿宋" w:eastAsia="仿宋" w:cs="仿宋"/>
          <w:b w:val="0"/>
          <w:sz w:val="36"/>
          <w:szCs w:val="30"/>
        </w:rPr>
      </w:pPr>
      <w:bookmarkStart w:id="38" w:name="_Toc76462327"/>
      <w:bookmarkStart w:id="39" w:name="_Toc106030882"/>
      <w:r>
        <w:rPr>
          <w:rFonts w:hint="eastAsia" w:ascii="仿宋" w:hAnsi="仿宋" w:eastAsia="仿宋" w:cs="仿宋"/>
          <w:b w:val="0"/>
          <w:sz w:val="36"/>
          <w:szCs w:val="30"/>
        </w:rPr>
        <w:t xml:space="preserve">第三篇  </w:t>
      </w:r>
      <w:bookmarkEnd w:id="32"/>
      <w:r>
        <w:rPr>
          <w:rFonts w:hint="eastAsia" w:ascii="仿宋" w:hAnsi="仿宋" w:eastAsia="仿宋" w:cs="仿宋"/>
          <w:b w:val="0"/>
          <w:sz w:val="36"/>
          <w:szCs w:val="30"/>
        </w:rPr>
        <w:t>项目商务需求</w:t>
      </w:r>
      <w:bookmarkEnd w:id="38"/>
      <w:bookmarkEnd w:id="39"/>
    </w:p>
    <w:p>
      <w:pPr>
        <w:pStyle w:val="3"/>
        <w:adjustRightInd w:val="0"/>
        <w:snapToGrid w:val="0"/>
        <w:spacing w:line="400" w:lineRule="exact"/>
        <w:ind w:firstLine="482" w:firstLineChars="200"/>
        <w:rPr>
          <w:rFonts w:ascii="仿宋" w:hAnsi="仿宋" w:eastAsia="仿宋" w:cs="仿宋"/>
          <w:sz w:val="24"/>
        </w:rPr>
      </w:pPr>
      <w:bookmarkStart w:id="40" w:name="_Toc76462328"/>
      <w:bookmarkStart w:id="41" w:name="_Toc344475120"/>
      <w:bookmarkStart w:id="42" w:name="_Toc106030883"/>
      <w:r>
        <w:rPr>
          <w:rFonts w:hint="eastAsia" w:ascii="仿宋" w:hAnsi="仿宋" w:eastAsia="仿宋" w:cs="仿宋"/>
          <w:sz w:val="24"/>
        </w:rPr>
        <w:t>一、服务期、地点及验收方式</w:t>
      </w:r>
      <w:bookmarkEnd w:id="40"/>
      <w:bookmarkEnd w:id="41"/>
      <w:bookmarkEnd w:id="42"/>
    </w:p>
    <w:p>
      <w:pPr>
        <w:pStyle w:val="33"/>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（一）服务期：2025年10月之前完成定额的修编以及专家评审工作</w:t>
      </w:r>
      <w:r>
        <w:rPr>
          <w:rFonts w:hint="eastAsia" w:ascii="仿宋" w:hAnsi="仿宋" w:eastAsia="仿宋" w:cs="仿宋"/>
          <w:kern w:val="0"/>
          <w:sz w:val="24"/>
          <w:szCs w:val="24"/>
          <w:lang w:val="zh-TW" w:eastAsia="zh-TW"/>
        </w:rPr>
        <w:t>。</w:t>
      </w:r>
    </w:p>
    <w:p>
      <w:pPr>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（二）服务地点：采购人指定地点。</w:t>
      </w:r>
    </w:p>
    <w:p>
      <w:pPr>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（三）验收方式：成果资料符合本项目相关要求，定额修编通过专家评审。</w:t>
      </w:r>
    </w:p>
    <w:p>
      <w:pPr>
        <w:pStyle w:val="3"/>
        <w:adjustRightInd w:val="0"/>
        <w:snapToGrid w:val="0"/>
        <w:spacing w:line="400" w:lineRule="exact"/>
        <w:ind w:firstLine="482" w:firstLineChars="200"/>
        <w:rPr>
          <w:rFonts w:ascii="仿宋" w:hAnsi="仿宋" w:eastAsia="仿宋" w:cs="仿宋"/>
          <w:sz w:val="24"/>
        </w:rPr>
      </w:pPr>
      <w:bookmarkStart w:id="43" w:name="_Toc344475121"/>
      <w:bookmarkStart w:id="44" w:name="_Toc106030884"/>
      <w:bookmarkStart w:id="45" w:name="_Toc76462329"/>
      <w:r>
        <w:rPr>
          <w:rFonts w:hint="eastAsia" w:ascii="仿宋" w:hAnsi="仿宋" w:eastAsia="仿宋" w:cs="仿宋"/>
          <w:sz w:val="24"/>
        </w:rPr>
        <w:t>二、</w:t>
      </w:r>
      <w:bookmarkEnd w:id="43"/>
      <w:r>
        <w:rPr>
          <w:rFonts w:hint="eastAsia" w:ascii="仿宋" w:hAnsi="仿宋" w:eastAsia="仿宋" w:cs="仿宋"/>
          <w:sz w:val="24"/>
        </w:rPr>
        <w:t>报价要求</w:t>
      </w:r>
      <w:bookmarkEnd w:id="44"/>
      <w:bookmarkEnd w:id="45"/>
    </w:p>
    <w:p>
      <w:pPr>
        <w:pStyle w:val="33"/>
        <w:spacing w:line="400" w:lineRule="exact"/>
        <w:ind w:firstLine="480" w:firstLineChars="200"/>
        <w:rPr>
          <w:rFonts w:ascii="仿宋" w:hAnsi="仿宋" w:eastAsia="仿宋" w:cs="仿宋"/>
          <w:kern w:val="0"/>
          <w:sz w:val="24"/>
          <w:szCs w:val="24"/>
          <w:lang w:val="zh-TW" w:eastAsia="zh-TW"/>
        </w:rPr>
      </w:pPr>
      <w:bookmarkStart w:id="46" w:name="_Toc106030885"/>
      <w:bookmarkStart w:id="47" w:name="_Toc344475122"/>
      <w:bookmarkStart w:id="48" w:name="_Toc76462330"/>
      <w:r>
        <w:rPr>
          <w:rFonts w:hint="eastAsia" w:ascii="仿宋" w:hAnsi="仿宋" w:eastAsia="仿宋" w:cs="仿宋"/>
          <w:kern w:val="0"/>
          <w:sz w:val="24"/>
          <w:szCs w:val="24"/>
          <w:lang w:val="zh-TW" w:eastAsia="zh-TW"/>
        </w:rPr>
        <w:t>本项目采取固定总价的定价方式</w:t>
      </w:r>
      <w:r>
        <w:rPr>
          <w:rFonts w:hint="eastAsia" w:ascii="仿宋" w:hAnsi="仿宋" w:eastAsia="仿宋" w:cs="仿宋"/>
          <w:kern w:val="0"/>
          <w:sz w:val="24"/>
          <w:szCs w:val="24"/>
          <w:lang w:val="zh-TW"/>
        </w:rPr>
        <w:t>。</w:t>
      </w:r>
      <w:r>
        <w:rPr>
          <w:rFonts w:hint="eastAsia" w:ascii="仿宋" w:hAnsi="仿宋" w:eastAsia="仿宋" w:cs="仿宋"/>
          <w:kern w:val="0"/>
          <w:sz w:val="24"/>
          <w:szCs w:val="24"/>
          <w:lang w:val="zh-TW" w:eastAsia="zh-TW"/>
        </w:rPr>
        <w:t>磋商报价包括但不限于完成本项目所需的人工费、服务费、租赁费、差旅费、设备费、资料费、</w:t>
      </w:r>
      <w:r>
        <w:rPr>
          <w:rFonts w:hint="eastAsia" w:ascii="仿宋" w:hAnsi="仿宋" w:eastAsia="仿宋" w:cs="仿宋"/>
          <w:kern w:val="0"/>
          <w:sz w:val="24"/>
          <w:szCs w:val="24"/>
          <w:lang w:val="zh-TW"/>
        </w:rPr>
        <w:t>餐饮费、</w:t>
      </w:r>
      <w:r>
        <w:rPr>
          <w:rFonts w:hint="eastAsia" w:ascii="仿宋" w:hAnsi="仿宋" w:eastAsia="仿宋" w:cs="仿宋"/>
          <w:kern w:val="0"/>
          <w:sz w:val="24"/>
          <w:szCs w:val="24"/>
          <w:lang w:val="zh-TW" w:eastAsia="zh-TW"/>
        </w:rPr>
        <w:t>保险费、税费、利润等</w:t>
      </w:r>
      <w:r>
        <w:rPr>
          <w:rFonts w:hint="eastAsia" w:ascii="仿宋" w:hAnsi="仿宋" w:eastAsia="仿宋" w:cs="仿宋"/>
          <w:kern w:val="0"/>
          <w:sz w:val="24"/>
          <w:szCs w:val="24"/>
          <w:lang w:val="zh-TW"/>
        </w:rPr>
        <w:t>完成项目所有服务所需的</w:t>
      </w:r>
      <w:r>
        <w:rPr>
          <w:rFonts w:hint="eastAsia" w:ascii="仿宋" w:hAnsi="仿宋" w:eastAsia="仿宋" w:cs="仿宋"/>
          <w:kern w:val="0"/>
          <w:sz w:val="24"/>
          <w:szCs w:val="24"/>
          <w:lang w:val="zh-TW" w:eastAsia="zh-TW"/>
        </w:rPr>
        <w:t>全部费用。磋商报价是履行本项目全部义务所发生的费用和利润等一切费用的综合报价，供应商在递交报价时应充分考虑其风险因素，因成交供应商自身原因造成漏报、少报皆由其自行承担责任，采购人不再补偿。</w:t>
      </w:r>
    </w:p>
    <w:bookmarkEnd w:id="46"/>
    <w:bookmarkEnd w:id="47"/>
    <w:bookmarkEnd w:id="48"/>
    <w:p>
      <w:pPr>
        <w:pStyle w:val="3"/>
        <w:adjustRightInd w:val="0"/>
        <w:snapToGrid w:val="0"/>
        <w:spacing w:line="400" w:lineRule="exact"/>
        <w:ind w:firstLine="482" w:firstLineChars="200"/>
        <w:rPr>
          <w:rFonts w:ascii="仿宋" w:hAnsi="仿宋" w:eastAsia="仿宋" w:cs="仿宋"/>
          <w:sz w:val="24"/>
        </w:rPr>
      </w:pPr>
      <w:bookmarkStart w:id="49" w:name="_Toc106030886"/>
      <w:bookmarkStart w:id="50" w:name="_Toc344475124"/>
      <w:bookmarkStart w:id="51" w:name="_Toc76462331"/>
      <w:r>
        <w:rPr>
          <w:rFonts w:hint="eastAsia" w:ascii="仿宋" w:hAnsi="仿宋" w:eastAsia="仿宋" w:cs="仿宋"/>
          <w:sz w:val="24"/>
        </w:rPr>
        <w:t>三、付款方式</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（一）第一次付款：合同签订后，成交供应商完成工作大纲编制并经采购人审定，采购人向成交供应商支付合同总金额50%。</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（二）第二次付款：定额修编通过专家组审查，成交供应商完成所有工作内容、提交项目所有成果资料并通过验收后，采购人向成交供应商支付剩余合同金额。</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（三）</w:t>
      </w:r>
      <w:r>
        <w:rPr>
          <w:rFonts w:hint="eastAsia" w:ascii="方正仿宋_GBK" w:hAnsi="宋体" w:eastAsia="方正仿宋_GBK" w:cs="宋体"/>
          <w:kern w:val="0"/>
          <w:sz w:val="24"/>
          <w:szCs w:val="24"/>
        </w:rPr>
        <w:t>采购人每次付款前，成交供应商须向采购人提交付款申请，</w:t>
      </w:r>
      <w:r>
        <w:rPr>
          <w:rFonts w:ascii="方正仿宋_GBK" w:hAnsi="宋体" w:eastAsia="方正仿宋_GBK" w:cs="宋体"/>
          <w:kern w:val="0"/>
          <w:sz w:val="24"/>
          <w:szCs w:val="24"/>
        </w:rPr>
        <w:t>采购人在收到</w:t>
      </w:r>
      <w:r>
        <w:rPr>
          <w:rFonts w:hint="eastAsia" w:ascii="方正仿宋_GBK" w:hAnsi="宋体" w:eastAsia="方正仿宋_GBK" w:cs="宋体"/>
          <w:kern w:val="0"/>
          <w:sz w:val="24"/>
          <w:szCs w:val="24"/>
        </w:rPr>
        <w:t>申请</w:t>
      </w:r>
      <w:r>
        <w:rPr>
          <w:rFonts w:ascii="方正仿宋_GBK" w:hAnsi="宋体" w:eastAsia="方正仿宋_GBK" w:cs="宋体"/>
          <w:kern w:val="0"/>
          <w:sz w:val="24"/>
          <w:szCs w:val="24"/>
        </w:rPr>
        <w:t>后</w:t>
      </w:r>
      <w:r>
        <w:rPr>
          <w:rFonts w:hint="eastAsia" w:ascii="方正仿宋_GBK" w:hAnsi="宋体" w:eastAsia="方正仿宋_GBK" w:cs="宋体"/>
          <w:kern w:val="0"/>
          <w:sz w:val="24"/>
          <w:szCs w:val="24"/>
        </w:rPr>
        <w:t>及时启动付款流程审批，审批完成后通知供应商出具发票并在收到发票之日起</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5</w:t>
      </w:r>
      <w:r>
        <w:rPr>
          <w:rFonts w:ascii="方正仿宋_GBK" w:hAnsi="宋体" w:eastAsia="方正仿宋_GBK" w:cs="宋体"/>
          <w:kern w:val="0"/>
          <w:sz w:val="24"/>
          <w:szCs w:val="24"/>
        </w:rPr>
        <w:t>个工作日</w:t>
      </w:r>
      <w:r>
        <w:rPr>
          <w:rFonts w:hint="eastAsia" w:ascii="方正仿宋_GBK" w:hAnsi="宋体" w:eastAsia="方正仿宋_GBK" w:cs="宋体"/>
          <w:kern w:val="0"/>
          <w:sz w:val="24"/>
          <w:szCs w:val="24"/>
        </w:rPr>
        <w:t>内完成</w:t>
      </w:r>
      <w:r>
        <w:rPr>
          <w:rFonts w:ascii="方正仿宋_GBK" w:hAnsi="宋体" w:eastAsia="方正仿宋_GBK" w:cs="宋体"/>
          <w:kern w:val="0"/>
          <w:sz w:val="24"/>
          <w:szCs w:val="24"/>
        </w:rPr>
        <w:t>支付</w:t>
      </w:r>
      <w:r>
        <w:rPr>
          <w:rFonts w:hint="eastAsia" w:ascii="方正仿宋_GBK" w:hAnsi="宋体" w:eastAsia="方正仿宋_GBK" w:cs="宋体"/>
          <w:kern w:val="0"/>
          <w:sz w:val="24"/>
          <w:szCs w:val="24"/>
        </w:rPr>
        <w:t>。</w:t>
      </w:r>
    </w:p>
    <w:bookmarkEnd w:id="49"/>
    <w:bookmarkEnd w:id="50"/>
    <w:bookmarkEnd w:id="51"/>
    <w:p>
      <w:pPr>
        <w:pStyle w:val="3"/>
        <w:adjustRightInd w:val="0"/>
        <w:snapToGrid w:val="0"/>
        <w:spacing w:line="400" w:lineRule="exact"/>
        <w:ind w:firstLine="482" w:firstLineChars="200"/>
        <w:rPr>
          <w:rFonts w:ascii="仿宋" w:hAnsi="仿宋" w:eastAsia="仿宋" w:cs="仿宋"/>
          <w:sz w:val="24"/>
        </w:rPr>
      </w:pPr>
      <w:bookmarkStart w:id="52" w:name="_Toc65660346"/>
      <w:bookmarkStart w:id="53" w:name="_Toc24751"/>
      <w:bookmarkStart w:id="54" w:name="_Toc106034637"/>
      <w:bookmarkStart w:id="55" w:name="_Toc7228"/>
      <w:r>
        <w:rPr>
          <w:rFonts w:hint="eastAsia" w:ascii="仿宋" w:hAnsi="仿宋" w:eastAsia="仿宋" w:cs="仿宋"/>
          <w:sz w:val="24"/>
        </w:rPr>
        <w:t>四、知识产权</w:t>
      </w:r>
      <w:bookmarkEnd w:id="52"/>
      <w:bookmarkEnd w:id="53"/>
      <w:bookmarkEnd w:id="54"/>
      <w:bookmarkEnd w:id="55"/>
    </w:p>
    <w:p>
      <w:pPr>
        <w:snapToGrid w:val="0"/>
        <w:spacing w:line="400" w:lineRule="exact"/>
        <w:ind w:firstLine="540"/>
        <w:rPr>
          <w:rFonts w:ascii="仿宋" w:hAnsi="仿宋" w:eastAsia="仿宋" w:cs="仿宋"/>
          <w:sz w:val="24"/>
        </w:rPr>
      </w:pPr>
      <w:r>
        <w:rPr>
          <w:rFonts w:hint="eastAsia" w:ascii="仿宋" w:hAnsi="仿宋" w:eastAsia="仿宋" w:cs="仿宋"/>
          <w:sz w:val="24"/>
          <w:szCs w:val="24"/>
        </w:rPr>
        <w:t>本项目知识产权归采购人所有。</w:t>
      </w:r>
    </w:p>
    <w:p>
      <w:pPr>
        <w:snapToGrid w:val="0"/>
        <w:spacing w:line="400" w:lineRule="exact"/>
        <w:ind w:firstLine="540"/>
        <w:rPr>
          <w:rFonts w:ascii="仿宋" w:hAnsi="仿宋" w:eastAsia="仿宋" w:cs="仿宋"/>
          <w:sz w:val="24"/>
          <w:szCs w:val="24"/>
        </w:rPr>
      </w:pPr>
      <w:r>
        <w:rPr>
          <w:rFonts w:hint="eastAsia" w:ascii="仿宋" w:hAnsi="仿宋" w:eastAsia="仿宋" w:cs="仿宋"/>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line="400" w:lineRule="exact"/>
        <w:ind w:firstLine="482" w:firstLineChars="200"/>
        <w:jc w:val="left"/>
        <w:rPr>
          <w:rFonts w:ascii="仿宋" w:hAnsi="仿宋" w:eastAsia="仿宋" w:cs="仿宋"/>
          <w:sz w:val="24"/>
        </w:rPr>
      </w:pPr>
      <w:bookmarkStart w:id="56" w:name="_Toc19427"/>
      <w:bookmarkStart w:id="57" w:name="_Toc25707"/>
      <w:bookmarkStart w:id="58" w:name="_Toc18104"/>
      <w:bookmarkStart w:id="59" w:name="_Toc947"/>
      <w:bookmarkStart w:id="60" w:name="_Toc31910"/>
      <w:bookmarkStart w:id="61" w:name="_Toc108013105"/>
      <w:bookmarkStart w:id="62" w:name="_Toc2954"/>
      <w:bookmarkStart w:id="63" w:name="_Toc466546918"/>
      <w:bookmarkStart w:id="64" w:name="_Toc65660348"/>
      <w:bookmarkStart w:id="65" w:name="_Toc106034788"/>
      <w:bookmarkStart w:id="66" w:name="_Toc31659"/>
      <w:bookmarkStart w:id="67" w:name="_Toc23902"/>
      <w:bookmarkStart w:id="68" w:name="_Toc21248"/>
      <w:r>
        <w:rPr>
          <w:rFonts w:hint="eastAsia" w:ascii="仿宋" w:hAnsi="仿宋" w:eastAsia="仿宋" w:cs="仿宋"/>
          <w:sz w:val="24"/>
        </w:rPr>
        <w:t>五、项目风险管控</w:t>
      </w:r>
      <w:bookmarkEnd w:id="56"/>
      <w:bookmarkEnd w:id="57"/>
      <w:bookmarkEnd w:id="58"/>
      <w:bookmarkEnd w:id="59"/>
      <w:bookmarkEnd w:id="60"/>
      <w:bookmarkEnd w:id="61"/>
    </w:p>
    <w:p>
      <w:pPr>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仿宋" w:hAnsi="仿宋" w:eastAsia="仿宋" w:cs="仿宋"/>
          <w:sz w:val="24"/>
          <w:szCs w:val="24"/>
        </w:rPr>
      </w:pPr>
      <w:bookmarkStart w:id="69" w:name="_Toc6830"/>
      <w:r>
        <w:rPr>
          <w:rFonts w:hint="eastAsia" w:ascii="仿宋" w:hAnsi="仿宋" w:eastAsia="仿宋" w:cs="仿宋"/>
          <w:sz w:val="24"/>
          <w:szCs w:val="24"/>
        </w:rPr>
        <w:t>3.合同已签订的，如果相关变化导致不能实现合同目的或合同价款等实质性条款变化，针对变化部分按不可抗力事件处理，采购人与供应商协商后解除合同或签订补充协议。</w:t>
      </w:r>
      <w:bookmarkEnd w:id="62"/>
      <w:bookmarkEnd w:id="63"/>
      <w:bookmarkEnd w:id="69"/>
    </w:p>
    <w:p>
      <w:pPr>
        <w:pStyle w:val="3"/>
        <w:adjustRightInd w:val="0"/>
        <w:snapToGrid w:val="0"/>
        <w:spacing w:line="400" w:lineRule="exact"/>
        <w:ind w:firstLine="482" w:firstLineChars="200"/>
        <w:rPr>
          <w:rFonts w:ascii="仿宋" w:hAnsi="仿宋" w:eastAsia="仿宋" w:cs="仿宋"/>
          <w:sz w:val="24"/>
        </w:rPr>
      </w:pPr>
      <w:r>
        <w:rPr>
          <w:rFonts w:hint="eastAsia" w:ascii="仿宋" w:hAnsi="仿宋" w:eastAsia="仿宋" w:cs="仿宋"/>
          <w:sz w:val="24"/>
        </w:rPr>
        <w:t>六、违约责任</w:t>
      </w:r>
    </w:p>
    <w:p>
      <w:pPr>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一）若成交供应商未按采购人规定时间及要求完成服务的，每延后1日历日，成交供应商应向采购人支付合同金额【千分之一】的违约金；延后时间超过30日历日的，采购人有权终止合同，供应商除退还采购人全部已付本金和同期利率的利息外，还应赔偿由此给采购人造成的经济损失（包括但不限于因采购人主张权利而产生的律师费、差旅费、诉讼费、公告费、保险费、保全费等）。</w:t>
      </w:r>
    </w:p>
    <w:p>
      <w:pPr>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（二）供应商服务内容不满足标准要求的，由供应商负责整改，由此产生的费用由供应商承担，且非经采购人书面同意，供应商仍需按本双方约定的期限完成服务。</w:t>
      </w:r>
    </w:p>
    <w:p>
      <w:pPr>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三）供应商服务过程中，未对采购人提出的工作要求及时响应，第一次由采购人提出提醒，从第二次起，未响应一次扣除合同金额【千分之五】的违约金，超过五次及以上未及时响应采购人工作要求的，采购人有权终止合同。</w:t>
      </w:r>
    </w:p>
    <w:p>
      <w:pPr>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（四）在成交供应商按约履行本合同的情况下，若采购人未能按约定时间支付合同款项，每延迟1个日历日，应当按照欠付款项的</w:t>
      </w:r>
      <w:bookmarkStart w:id="70" w:name="OLE_LINK11"/>
      <w:bookmarkStart w:id="71" w:name="OLE_LINK12"/>
      <w:r>
        <w:rPr>
          <w:rFonts w:hint="eastAsia" w:ascii="仿宋" w:hAnsi="仿宋" w:eastAsia="仿宋" w:cs="仿宋"/>
          <w:sz w:val="24"/>
          <w:szCs w:val="24"/>
        </w:rPr>
        <w:t>【千分之一】</w:t>
      </w:r>
      <w:bookmarkEnd w:id="70"/>
      <w:bookmarkEnd w:id="71"/>
      <w:r>
        <w:rPr>
          <w:rFonts w:hint="eastAsia" w:ascii="仿宋" w:hAnsi="仿宋" w:eastAsia="仿宋" w:cs="仿宋"/>
          <w:sz w:val="24"/>
          <w:szCs w:val="24"/>
        </w:rPr>
        <w:t>向成交供应商支付违约金。如遇采购人上级部门预算临时调整，非采购人原因造成费用支付不及时的，不视为采购人违约。</w:t>
      </w:r>
    </w:p>
    <w:p>
      <w:pPr>
        <w:pStyle w:val="3"/>
        <w:adjustRightInd w:val="0"/>
        <w:snapToGrid w:val="0"/>
        <w:spacing w:line="400" w:lineRule="exact"/>
        <w:ind w:firstLine="482" w:firstLineChars="200"/>
        <w:rPr>
          <w:rFonts w:ascii="仿宋" w:hAnsi="仿宋" w:eastAsia="仿宋" w:cs="仿宋"/>
          <w:sz w:val="24"/>
        </w:rPr>
      </w:pPr>
      <w:r>
        <w:rPr>
          <w:rFonts w:hint="eastAsia" w:ascii="仿宋" w:hAnsi="仿宋" w:eastAsia="仿宋" w:cs="仿宋"/>
          <w:sz w:val="24"/>
        </w:rPr>
        <w:t>七、合同争议</w:t>
      </w:r>
    </w:p>
    <w:p>
      <w:pPr>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项目执行中，如发生争议由双方协商解决，协商不成向采购人所在地具有管辖权人民法院提请诉讼。</w:t>
      </w:r>
    </w:p>
    <w:p>
      <w:pPr>
        <w:pStyle w:val="3"/>
        <w:adjustRightInd w:val="0"/>
        <w:snapToGrid w:val="0"/>
        <w:spacing w:line="400" w:lineRule="exact"/>
        <w:ind w:firstLine="482" w:firstLineChars="200"/>
        <w:rPr>
          <w:rFonts w:ascii="仿宋" w:hAnsi="仿宋" w:eastAsia="仿宋" w:cs="仿宋"/>
          <w:sz w:val="24"/>
        </w:rPr>
      </w:pPr>
      <w:r>
        <w:rPr>
          <w:rFonts w:hint="eastAsia" w:ascii="仿宋" w:hAnsi="仿宋" w:eastAsia="仿宋" w:cs="仿宋"/>
          <w:sz w:val="24"/>
        </w:rPr>
        <w:t>八、其他</w:t>
      </w:r>
      <w:bookmarkEnd w:id="64"/>
      <w:bookmarkEnd w:id="65"/>
      <w:bookmarkEnd w:id="66"/>
      <w:bookmarkEnd w:id="67"/>
      <w:bookmarkEnd w:id="68"/>
    </w:p>
    <w:p>
      <w:pPr>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其他未尽事宜由供需双方在采购合同中详细约定。</w:t>
      </w:r>
    </w:p>
    <w:p>
      <w:pPr>
        <w:snapToGrid w:val="0"/>
        <w:spacing w:line="400" w:lineRule="exact"/>
        <w:ind w:firstLine="540"/>
        <w:rPr>
          <w:rFonts w:ascii="仿宋" w:hAnsi="仿宋" w:eastAsia="仿宋" w:cs="仿宋"/>
          <w:sz w:val="24"/>
          <w:szCs w:val="24"/>
        </w:rPr>
      </w:pPr>
    </w:p>
    <w:p>
      <w:pPr>
        <w:snapToGrid w:val="0"/>
        <w:spacing w:line="400" w:lineRule="exact"/>
        <w:ind w:firstLine="540"/>
        <w:rPr>
          <w:rFonts w:ascii="仿宋" w:hAnsi="仿宋" w:eastAsia="仿宋" w:cs="仿宋"/>
          <w:sz w:val="24"/>
          <w:szCs w:val="24"/>
        </w:rPr>
      </w:pPr>
    </w:p>
    <w:p>
      <w:pPr>
        <w:pStyle w:val="3"/>
        <w:pageBreakBefore/>
        <w:spacing w:line="360" w:lineRule="auto"/>
        <w:jc w:val="center"/>
        <w:rPr>
          <w:rFonts w:ascii="仿宋" w:hAnsi="仿宋" w:eastAsia="仿宋" w:cs="仿宋"/>
          <w:b w:val="0"/>
          <w:sz w:val="36"/>
          <w:szCs w:val="30"/>
        </w:rPr>
      </w:pPr>
      <w:bookmarkStart w:id="72" w:name="_Toc106030887"/>
      <w:bookmarkStart w:id="73" w:name="_Toc76462332"/>
      <w:r>
        <w:rPr>
          <w:rFonts w:hint="eastAsia" w:ascii="仿宋" w:hAnsi="仿宋" w:eastAsia="仿宋" w:cs="仿宋"/>
          <w:b w:val="0"/>
          <w:sz w:val="36"/>
          <w:szCs w:val="30"/>
        </w:rPr>
        <w:t>第四篇  评分程序及方法、评审标准、无效响应和</w:t>
      </w:r>
      <w:r>
        <w:rPr>
          <w:rFonts w:hint="eastAsia" w:ascii="仿宋" w:hAnsi="仿宋" w:eastAsia="仿宋" w:cs="仿宋"/>
          <w:b w:val="0"/>
          <w:sz w:val="36"/>
          <w:szCs w:val="36"/>
        </w:rPr>
        <w:t>采购终止</w:t>
      </w:r>
      <w:bookmarkEnd w:id="72"/>
      <w:bookmarkEnd w:id="73"/>
    </w:p>
    <w:p>
      <w:pPr>
        <w:pStyle w:val="3"/>
        <w:adjustRightInd w:val="0"/>
        <w:snapToGrid w:val="0"/>
        <w:spacing w:line="400" w:lineRule="exact"/>
        <w:ind w:firstLine="482" w:firstLineChars="200"/>
        <w:rPr>
          <w:rFonts w:ascii="仿宋" w:hAnsi="仿宋" w:eastAsia="仿宋" w:cs="仿宋"/>
          <w:sz w:val="24"/>
        </w:rPr>
      </w:pPr>
      <w:bookmarkStart w:id="74" w:name="_Toc76462333"/>
      <w:bookmarkStart w:id="75" w:name="_Toc106030888"/>
      <w:r>
        <w:rPr>
          <w:rFonts w:hint="eastAsia" w:ascii="仿宋" w:hAnsi="仿宋" w:eastAsia="仿宋" w:cs="仿宋"/>
          <w:sz w:val="24"/>
        </w:rPr>
        <w:t>一、评分程序及方法</w:t>
      </w:r>
      <w:bookmarkEnd w:id="74"/>
      <w:bookmarkEnd w:id="75"/>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（二）评审小组对各供应商的资格条件、响应文件的有效性、完整性和响应程度进行审查。各供应商只有在完全符合要求的前提下，才能参与正式磋商。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资格性审查。依据法律法规和采购文件的规定，对响应文件中的资格证明、等进行审查，以确定供应商是否具备磋商资格。资格性审查资料表如下：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21"/>
                <w:szCs w:val="21"/>
              </w:rPr>
            </w:pPr>
            <w:r>
              <w:rPr>
                <w:rFonts w:hint="eastAsia" w:ascii="仿宋" w:hAnsi="仿宋" w:eastAsia="仿宋" w:cs="仿宋"/>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21"/>
                <w:szCs w:val="21"/>
              </w:rPr>
            </w:pPr>
            <w:r>
              <w:rPr>
                <w:rFonts w:hint="eastAsia" w:ascii="仿宋" w:hAnsi="仿宋" w:eastAsia="仿宋" w:cs="仿宋"/>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仿宋" w:hAnsi="仿宋" w:eastAsia="仿宋" w:cs="仿宋"/>
                <w:sz w:val="21"/>
                <w:szCs w:val="21"/>
              </w:rPr>
            </w:pPr>
            <w:r>
              <w:rPr>
                <w:rFonts w:hint="eastAsia" w:ascii="仿宋" w:hAnsi="仿宋" w:eastAsia="仿宋" w:cs="仿宋"/>
                <w:sz w:val="21"/>
                <w:szCs w:val="21"/>
              </w:rPr>
              <w:t>（一）</w:t>
            </w:r>
          </w:p>
        </w:tc>
        <w:tc>
          <w:tcPr>
            <w:tcW w:w="709" w:type="dxa"/>
            <w:vMerge w:val="restart"/>
            <w:vAlign w:val="center"/>
          </w:tcPr>
          <w:p>
            <w:pPr>
              <w:rPr>
                <w:rFonts w:ascii="仿宋" w:hAnsi="仿宋" w:eastAsia="仿宋" w:cs="仿宋"/>
                <w:sz w:val="21"/>
                <w:szCs w:val="21"/>
                <w:lang w:val="zh-CN"/>
              </w:rPr>
            </w:pPr>
            <w:r>
              <w:rPr>
                <w:rFonts w:hint="eastAsia" w:ascii="仿宋" w:hAnsi="仿宋" w:eastAsia="仿宋" w:cs="仿宋"/>
                <w:sz w:val="21"/>
                <w:szCs w:val="21"/>
                <w:lang w:val="zh-CN"/>
              </w:rPr>
              <w:t>《中华人民共和国政府采购法》第二十二条规定</w:t>
            </w:r>
          </w:p>
        </w:tc>
        <w:tc>
          <w:tcPr>
            <w:tcW w:w="3118" w:type="dxa"/>
            <w:vAlign w:val="center"/>
          </w:tcPr>
          <w:p>
            <w:pPr>
              <w:rPr>
                <w:rFonts w:ascii="仿宋" w:hAnsi="仿宋" w:eastAsia="仿宋" w:cs="仿宋"/>
                <w:sz w:val="21"/>
                <w:szCs w:val="21"/>
              </w:rPr>
            </w:pPr>
            <w:r>
              <w:rPr>
                <w:rFonts w:hint="eastAsia" w:ascii="仿宋" w:hAnsi="仿宋" w:eastAsia="仿宋" w:cs="仿宋"/>
                <w:sz w:val="21"/>
                <w:szCs w:val="21"/>
              </w:rPr>
              <w:t>1.具有独立承担民事责任的能力</w:t>
            </w:r>
          </w:p>
        </w:tc>
        <w:tc>
          <w:tcPr>
            <w:tcW w:w="4984" w:type="dxa"/>
            <w:vAlign w:val="center"/>
          </w:tcPr>
          <w:p>
            <w:pPr>
              <w:rPr>
                <w:rFonts w:ascii="仿宋" w:hAnsi="仿宋" w:eastAsia="仿宋" w:cs="仿宋"/>
                <w:sz w:val="21"/>
                <w:szCs w:val="21"/>
              </w:rPr>
            </w:pPr>
            <w:r>
              <w:rPr>
                <w:rFonts w:hint="eastAsia" w:ascii="仿宋" w:hAnsi="仿宋" w:eastAsia="仿宋" w:cs="仿宋"/>
                <w:sz w:val="21"/>
                <w:szCs w:val="21"/>
              </w:rPr>
              <w:t xml:space="preserve">1.供应商法人营业执照（副本）或事业单位法人证书（副本）或个体工商户营业执照或有效的自然人身份证明或社会团体法人登记证书（提供复印件）。 </w:t>
            </w:r>
          </w:p>
          <w:p>
            <w:pPr>
              <w:rPr>
                <w:rFonts w:ascii="仿宋" w:hAnsi="仿宋" w:eastAsia="仿宋" w:cs="仿宋"/>
                <w:sz w:val="21"/>
                <w:szCs w:val="21"/>
              </w:rPr>
            </w:pPr>
            <w:r>
              <w:rPr>
                <w:rFonts w:hint="eastAsia" w:ascii="仿宋" w:hAnsi="仿宋" w:eastAsia="仿宋" w:cs="仿宋"/>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s="仿宋"/>
                <w:sz w:val="21"/>
                <w:szCs w:val="21"/>
              </w:rPr>
            </w:pPr>
          </w:p>
        </w:tc>
        <w:tc>
          <w:tcPr>
            <w:tcW w:w="709" w:type="dxa"/>
            <w:vMerge w:val="continue"/>
            <w:vAlign w:val="center"/>
          </w:tcPr>
          <w:p>
            <w:pPr>
              <w:rPr>
                <w:rFonts w:ascii="仿宋" w:hAnsi="仿宋" w:eastAsia="仿宋" w:cs="仿宋"/>
                <w:sz w:val="21"/>
                <w:szCs w:val="21"/>
                <w:lang w:val="zh-CN"/>
              </w:rPr>
            </w:pPr>
          </w:p>
        </w:tc>
        <w:tc>
          <w:tcPr>
            <w:tcW w:w="3118" w:type="dxa"/>
            <w:vAlign w:val="center"/>
          </w:tcPr>
          <w:p>
            <w:pPr>
              <w:rPr>
                <w:rFonts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4984" w:type="dxa"/>
            <w:vMerge w:val="restart"/>
            <w:vAlign w:val="center"/>
          </w:tcPr>
          <w:p>
            <w:pPr>
              <w:rPr>
                <w:rFonts w:ascii="仿宋" w:hAnsi="仿宋" w:eastAsia="仿宋" w:cs="仿宋"/>
                <w:b/>
                <w:sz w:val="21"/>
                <w:szCs w:val="21"/>
              </w:rPr>
            </w:pPr>
            <w:r>
              <w:rPr>
                <w:rFonts w:hint="eastAsia" w:ascii="仿宋" w:hAnsi="仿宋" w:eastAsia="仿宋" w:cs="仿宋"/>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s="仿宋"/>
                <w:sz w:val="21"/>
                <w:szCs w:val="21"/>
              </w:rPr>
            </w:pPr>
          </w:p>
        </w:tc>
        <w:tc>
          <w:tcPr>
            <w:tcW w:w="709" w:type="dxa"/>
            <w:vMerge w:val="continue"/>
            <w:vAlign w:val="center"/>
          </w:tcPr>
          <w:p>
            <w:pPr>
              <w:rPr>
                <w:rFonts w:ascii="仿宋" w:hAnsi="仿宋" w:eastAsia="仿宋" w:cs="仿宋"/>
                <w:sz w:val="21"/>
                <w:szCs w:val="21"/>
                <w:lang w:val="zh-CN"/>
              </w:rPr>
            </w:pPr>
          </w:p>
        </w:tc>
        <w:tc>
          <w:tcPr>
            <w:tcW w:w="3118" w:type="dxa"/>
            <w:vAlign w:val="center"/>
          </w:tcPr>
          <w:p>
            <w:pPr>
              <w:rPr>
                <w:rFonts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4984" w:type="dxa"/>
            <w:vMerge w:val="continue"/>
            <w:vAlign w:val="center"/>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s="仿宋"/>
                <w:sz w:val="21"/>
                <w:szCs w:val="21"/>
              </w:rPr>
            </w:pPr>
          </w:p>
        </w:tc>
        <w:tc>
          <w:tcPr>
            <w:tcW w:w="709" w:type="dxa"/>
            <w:vMerge w:val="continue"/>
            <w:vAlign w:val="center"/>
          </w:tcPr>
          <w:p>
            <w:pPr>
              <w:rPr>
                <w:rFonts w:ascii="仿宋" w:hAnsi="仿宋" w:eastAsia="仿宋" w:cs="仿宋"/>
                <w:sz w:val="21"/>
                <w:szCs w:val="21"/>
                <w:lang w:val="zh-CN"/>
              </w:rPr>
            </w:pPr>
          </w:p>
        </w:tc>
        <w:tc>
          <w:tcPr>
            <w:tcW w:w="3118" w:type="dxa"/>
            <w:vAlign w:val="center"/>
          </w:tcPr>
          <w:p>
            <w:pPr>
              <w:rPr>
                <w:rFonts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4984" w:type="dxa"/>
            <w:vMerge w:val="continue"/>
            <w:vAlign w:val="center"/>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s="仿宋"/>
                <w:sz w:val="21"/>
                <w:szCs w:val="21"/>
              </w:rPr>
            </w:pPr>
          </w:p>
        </w:tc>
        <w:tc>
          <w:tcPr>
            <w:tcW w:w="709" w:type="dxa"/>
            <w:vMerge w:val="continue"/>
            <w:vAlign w:val="center"/>
          </w:tcPr>
          <w:p>
            <w:pPr>
              <w:rPr>
                <w:rFonts w:ascii="仿宋" w:hAnsi="仿宋" w:eastAsia="仿宋" w:cs="仿宋"/>
                <w:sz w:val="21"/>
                <w:szCs w:val="21"/>
                <w:lang w:val="zh-CN"/>
              </w:rPr>
            </w:pPr>
          </w:p>
        </w:tc>
        <w:tc>
          <w:tcPr>
            <w:tcW w:w="3118" w:type="dxa"/>
            <w:vAlign w:val="center"/>
          </w:tcPr>
          <w:p>
            <w:pPr>
              <w:rPr>
                <w:rFonts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w:t>
            </w:r>
          </w:p>
        </w:tc>
        <w:tc>
          <w:tcPr>
            <w:tcW w:w="4984" w:type="dxa"/>
            <w:vMerge w:val="continue"/>
            <w:vAlign w:val="center"/>
          </w:tcPr>
          <w:p>
            <w:pPr>
              <w:rPr>
                <w:rFonts w:ascii="仿宋" w:hAnsi="仿宋" w:eastAsia="仿宋" w:cs="仿宋"/>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仿宋" w:hAnsi="仿宋" w:eastAsia="仿宋" w:cs="仿宋"/>
                <w:sz w:val="21"/>
                <w:szCs w:val="21"/>
              </w:rPr>
            </w:pPr>
          </w:p>
        </w:tc>
        <w:tc>
          <w:tcPr>
            <w:tcW w:w="709" w:type="dxa"/>
            <w:vMerge w:val="continue"/>
            <w:vAlign w:val="center"/>
          </w:tcPr>
          <w:p>
            <w:pPr>
              <w:rPr>
                <w:rFonts w:ascii="仿宋" w:hAnsi="仿宋" w:eastAsia="仿宋" w:cs="仿宋"/>
                <w:sz w:val="21"/>
                <w:szCs w:val="21"/>
              </w:rPr>
            </w:pPr>
          </w:p>
        </w:tc>
        <w:tc>
          <w:tcPr>
            <w:tcW w:w="3118" w:type="dxa"/>
            <w:vAlign w:val="center"/>
          </w:tcPr>
          <w:p>
            <w:pPr>
              <w:rPr>
                <w:rFonts w:ascii="仿宋" w:hAnsi="仿宋" w:eastAsia="仿宋" w:cs="仿宋"/>
                <w:sz w:val="21"/>
                <w:szCs w:val="21"/>
              </w:rPr>
            </w:pPr>
            <w:r>
              <w:rPr>
                <w:rFonts w:hint="eastAsia" w:ascii="仿宋" w:hAnsi="仿宋" w:eastAsia="仿宋" w:cs="仿宋"/>
                <w:sz w:val="21"/>
                <w:szCs w:val="21"/>
              </w:rPr>
              <w:t>6.法律、行政法规规定的其他条件</w:t>
            </w:r>
          </w:p>
        </w:tc>
        <w:tc>
          <w:tcPr>
            <w:tcW w:w="4984" w:type="dxa"/>
            <w:vAlign w:val="center"/>
          </w:tcPr>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仿宋" w:hAnsi="仿宋" w:eastAsia="仿宋" w:cs="仿宋"/>
                <w:sz w:val="21"/>
                <w:szCs w:val="21"/>
              </w:rPr>
            </w:pPr>
          </w:p>
        </w:tc>
        <w:tc>
          <w:tcPr>
            <w:tcW w:w="709" w:type="dxa"/>
            <w:vMerge w:val="continue"/>
            <w:vAlign w:val="center"/>
          </w:tcPr>
          <w:p>
            <w:pPr>
              <w:rPr>
                <w:rFonts w:ascii="仿宋" w:hAnsi="仿宋" w:eastAsia="仿宋" w:cs="仿宋"/>
                <w:sz w:val="21"/>
                <w:szCs w:val="21"/>
              </w:rPr>
            </w:pPr>
          </w:p>
        </w:tc>
        <w:tc>
          <w:tcPr>
            <w:tcW w:w="3118" w:type="dxa"/>
            <w:vAlign w:val="center"/>
          </w:tcPr>
          <w:p>
            <w:pPr>
              <w:rPr>
                <w:rFonts w:ascii="仿宋" w:hAnsi="仿宋" w:eastAsia="仿宋" w:cs="仿宋"/>
                <w:sz w:val="21"/>
                <w:szCs w:val="21"/>
              </w:rPr>
            </w:pPr>
            <w:r>
              <w:rPr>
                <w:rFonts w:hint="eastAsia" w:ascii="仿宋" w:hAnsi="仿宋" w:eastAsia="仿宋" w:cs="仿宋"/>
                <w:sz w:val="21"/>
                <w:szCs w:val="21"/>
              </w:rPr>
              <w:t>7.本项目的特定资格要求</w:t>
            </w:r>
          </w:p>
        </w:tc>
        <w:tc>
          <w:tcPr>
            <w:tcW w:w="4984" w:type="dxa"/>
            <w:vAlign w:val="center"/>
          </w:tcPr>
          <w:p>
            <w:pPr>
              <w:rPr>
                <w:rFonts w:ascii="仿宋" w:hAnsi="仿宋" w:eastAsia="仿宋" w:cs="仿宋"/>
                <w:sz w:val="21"/>
                <w:szCs w:val="21"/>
              </w:rPr>
            </w:pPr>
            <w:r>
              <w:rPr>
                <w:rFonts w:hint="eastAsia" w:ascii="仿宋" w:hAnsi="仿宋" w:eastAsia="仿宋" w:cs="仿宋"/>
                <w:sz w:val="21"/>
                <w:szCs w:val="21"/>
              </w:rPr>
              <w:t>按“第一篇三、供应商资格要求（二）本项目的特定资格要求”的要求提交（如果有）。</w:t>
            </w:r>
          </w:p>
        </w:tc>
      </w:tr>
    </w:tbl>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注：</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3"/>
          <w:sz w:val="16"/>
          <w:szCs w:val="24"/>
        </w:rPr>
        <w:instrText xml:space="preserve">1</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2.符合性审查。依据采购文件的规定，从响应文件的有效性、完整性和对采购文件的响应程度进行审查，以确定是否对采购文件的实质性要求作出响应。符合性审查资料表如下：</w:t>
      </w:r>
    </w:p>
    <w:p>
      <w:pPr>
        <w:snapToGrid w:val="0"/>
        <w:spacing w:line="400" w:lineRule="exact"/>
        <w:rPr>
          <w:rFonts w:ascii="仿宋" w:hAnsi="仿宋" w:eastAsia="仿宋" w:cs="仿宋"/>
          <w:kern w:val="0"/>
          <w:sz w:val="24"/>
          <w:szCs w:val="24"/>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3544" w:type="dxa"/>
            <w:gridSpan w:val="2"/>
            <w:vAlign w:val="center"/>
          </w:tcPr>
          <w:p>
            <w:pPr>
              <w:jc w:val="center"/>
              <w:rPr>
                <w:rFonts w:ascii="仿宋" w:hAnsi="仿宋" w:eastAsia="仿宋" w:cs="仿宋"/>
                <w:b/>
                <w:kern w:val="0"/>
                <w:sz w:val="21"/>
                <w:szCs w:val="21"/>
              </w:rPr>
            </w:pPr>
            <w:r>
              <w:rPr>
                <w:rFonts w:hint="eastAsia" w:ascii="仿宋" w:hAnsi="仿宋" w:eastAsia="仿宋" w:cs="仿宋"/>
                <w:b/>
                <w:kern w:val="0"/>
                <w:sz w:val="21"/>
                <w:szCs w:val="21"/>
              </w:rPr>
              <w:t>评审因素</w:t>
            </w:r>
          </w:p>
        </w:tc>
        <w:tc>
          <w:tcPr>
            <w:tcW w:w="5409" w:type="dxa"/>
            <w:vAlign w:val="center"/>
          </w:tcPr>
          <w:p>
            <w:pPr>
              <w:jc w:val="center"/>
              <w:rPr>
                <w:rFonts w:ascii="仿宋" w:hAnsi="仿宋" w:eastAsia="仿宋" w:cs="仿宋"/>
                <w:b/>
                <w:kern w:val="0"/>
                <w:sz w:val="21"/>
                <w:szCs w:val="21"/>
              </w:rPr>
            </w:pPr>
            <w:r>
              <w:rPr>
                <w:rFonts w:hint="eastAsia" w:ascii="仿宋" w:hAnsi="仿宋" w:eastAsia="仿宋" w:cs="仿宋"/>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1560" w:type="dxa"/>
            <w:vMerge w:val="restart"/>
            <w:vAlign w:val="center"/>
          </w:tcPr>
          <w:p>
            <w:pPr>
              <w:rPr>
                <w:rFonts w:ascii="仿宋" w:hAnsi="仿宋" w:eastAsia="仿宋" w:cs="仿宋"/>
                <w:kern w:val="0"/>
                <w:sz w:val="21"/>
                <w:szCs w:val="21"/>
              </w:rPr>
            </w:pPr>
            <w:r>
              <w:rPr>
                <w:rFonts w:hint="eastAsia" w:ascii="仿宋" w:hAnsi="仿宋" w:eastAsia="仿宋" w:cs="仿宋"/>
                <w:kern w:val="0"/>
                <w:sz w:val="21"/>
                <w:szCs w:val="21"/>
              </w:rPr>
              <w:t>有效性审查</w:t>
            </w:r>
          </w:p>
        </w:tc>
        <w:tc>
          <w:tcPr>
            <w:tcW w:w="1984" w:type="dxa"/>
            <w:vAlign w:val="center"/>
          </w:tcPr>
          <w:p>
            <w:pPr>
              <w:rPr>
                <w:rFonts w:ascii="仿宋" w:hAnsi="仿宋" w:eastAsia="仿宋" w:cs="仿宋"/>
                <w:kern w:val="0"/>
                <w:sz w:val="21"/>
                <w:szCs w:val="21"/>
              </w:rPr>
            </w:pPr>
            <w:r>
              <w:rPr>
                <w:rFonts w:hint="eastAsia" w:ascii="仿宋" w:hAnsi="仿宋" w:eastAsia="仿宋" w:cs="仿宋"/>
                <w:sz w:val="21"/>
                <w:szCs w:val="21"/>
              </w:rPr>
              <w:t>响应文件签署或盖章</w:t>
            </w:r>
          </w:p>
        </w:tc>
        <w:tc>
          <w:tcPr>
            <w:tcW w:w="5409" w:type="dxa"/>
            <w:vAlign w:val="center"/>
          </w:tcPr>
          <w:p>
            <w:pPr>
              <w:rPr>
                <w:rFonts w:ascii="仿宋" w:hAnsi="仿宋" w:eastAsia="仿宋" w:cs="仿宋"/>
                <w:kern w:val="0"/>
                <w:sz w:val="21"/>
                <w:szCs w:val="21"/>
              </w:rPr>
            </w:pPr>
            <w:r>
              <w:rPr>
                <w:rFonts w:hint="eastAsia" w:ascii="仿宋" w:hAnsi="仿宋" w:eastAsia="仿宋" w:cs="仿宋"/>
                <w:sz w:val="21"/>
                <w:szCs w:val="21"/>
              </w:rPr>
              <w:t>按限额以下磋商评分文件“第七篇响应文件编制要求”要求签署或盖章。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仿宋" w:hAnsi="仿宋" w:eastAsia="仿宋" w:cs="仿宋"/>
                <w:kern w:val="0"/>
                <w:sz w:val="21"/>
                <w:szCs w:val="21"/>
              </w:rPr>
            </w:pPr>
          </w:p>
        </w:tc>
        <w:tc>
          <w:tcPr>
            <w:tcW w:w="1560" w:type="dxa"/>
            <w:vMerge w:val="continue"/>
            <w:vAlign w:val="center"/>
          </w:tcPr>
          <w:p>
            <w:pPr>
              <w:rPr>
                <w:rFonts w:ascii="仿宋" w:hAnsi="仿宋" w:eastAsia="仿宋" w:cs="仿宋"/>
                <w:kern w:val="0"/>
                <w:sz w:val="21"/>
                <w:szCs w:val="21"/>
              </w:rPr>
            </w:pPr>
          </w:p>
        </w:tc>
        <w:tc>
          <w:tcPr>
            <w:tcW w:w="1984" w:type="dxa"/>
            <w:vAlign w:val="center"/>
          </w:tcPr>
          <w:p>
            <w:pPr>
              <w:rPr>
                <w:rFonts w:ascii="仿宋" w:hAnsi="仿宋" w:eastAsia="仿宋" w:cs="仿宋"/>
                <w:sz w:val="21"/>
                <w:szCs w:val="21"/>
              </w:rPr>
            </w:pPr>
            <w:r>
              <w:rPr>
                <w:rFonts w:hint="eastAsia" w:ascii="仿宋" w:hAnsi="仿宋" w:eastAsia="仿宋" w:cs="仿宋"/>
                <w:sz w:val="21"/>
                <w:szCs w:val="21"/>
              </w:rPr>
              <w:t>法定代表人身份证明及授权委托书</w:t>
            </w:r>
          </w:p>
        </w:tc>
        <w:tc>
          <w:tcPr>
            <w:tcW w:w="5409" w:type="dxa"/>
            <w:vAlign w:val="center"/>
          </w:tcPr>
          <w:p>
            <w:pPr>
              <w:rPr>
                <w:rFonts w:ascii="仿宋" w:hAnsi="仿宋" w:eastAsia="仿宋" w:cs="仿宋"/>
                <w:sz w:val="21"/>
                <w:szCs w:val="21"/>
              </w:rPr>
            </w:pPr>
            <w:r>
              <w:rPr>
                <w:rFonts w:hint="eastAsia" w:ascii="仿宋" w:hAnsi="仿宋" w:eastAsia="仿宋" w:cs="仿宋"/>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仿宋" w:hAnsi="仿宋" w:eastAsia="仿宋" w:cs="仿宋"/>
                <w:kern w:val="0"/>
                <w:sz w:val="21"/>
                <w:szCs w:val="21"/>
              </w:rPr>
            </w:pPr>
          </w:p>
        </w:tc>
        <w:tc>
          <w:tcPr>
            <w:tcW w:w="1560" w:type="dxa"/>
            <w:vMerge w:val="continue"/>
            <w:vAlign w:val="center"/>
          </w:tcPr>
          <w:p>
            <w:pPr>
              <w:rPr>
                <w:rFonts w:ascii="仿宋" w:hAnsi="仿宋" w:eastAsia="仿宋" w:cs="仿宋"/>
                <w:kern w:val="0"/>
                <w:sz w:val="21"/>
                <w:szCs w:val="21"/>
              </w:rPr>
            </w:pPr>
          </w:p>
        </w:tc>
        <w:tc>
          <w:tcPr>
            <w:tcW w:w="1984" w:type="dxa"/>
            <w:vAlign w:val="center"/>
          </w:tcPr>
          <w:p>
            <w:pPr>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9" w:type="dxa"/>
            <w:vAlign w:val="center"/>
          </w:tcPr>
          <w:p>
            <w:pPr>
              <w:rPr>
                <w:rFonts w:ascii="仿宋" w:hAnsi="仿宋" w:eastAsia="仿宋" w:cs="仿宋"/>
                <w:kern w:val="0"/>
                <w:sz w:val="21"/>
                <w:szCs w:val="21"/>
              </w:rPr>
            </w:pPr>
            <w:r>
              <w:rPr>
                <w:rFonts w:hint="eastAsia" w:ascii="仿宋" w:hAnsi="仿宋" w:eastAsia="仿宋" w:cs="仿宋"/>
                <w:sz w:val="21"/>
                <w:szCs w:val="21"/>
                <w:lang w:val="zh-CN"/>
              </w:rPr>
              <w:t>每个包只能有一个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ascii="仿宋" w:hAnsi="仿宋" w:eastAsia="仿宋" w:cs="仿宋"/>
                <w:kern w:val="0"/>
                <w:sz w:val="21"/>
                <w:szCs w:val="21"/>
              </w:rPr>
            </w:pPr>
          </w:p>
        </w:tc>
        <w:tc>
          <w:tcPr>
            <w:tcW w:w="1560" w:type="dxa"/>
            <w:vMerge w:val="continue"/>
            <w:vAlign w:val="center"/>
          </w:tcPr>
          <w:p>
            <w:pPr>
              <w:rPr>
                <w:rFonts w:ascii="仿宋" w:hAnsi="仿宋" w:eastAsia="仿宋" w:cs="仿宋"/>
                <w:kern w:val="0"/>
                <w:sz w:val="21"/>
                <w:szCs w:val="21"/>
              </w:rPr>
            </w:pPr>
          </w:p>
        </w:tc>
        <w:tc>
          <w:tcPr>
            <w:tcW w:w="1984" w:type="dxa"/>
            <w:vAlign w:val="center"/>
          </w:tcPr>
          <w:p>
            <w:pPr>
              <w:rPr>
                <w:rFonts w:ascii="仿宋" w:hAnsi="仿宋" w:eastAsia="仿宋" w:cs="仿宋"/>
                <w:sz w:val="21"/>
                <w:szCs w:val="21"/>
                <w:lang w:val="zh-CN"/>
              </w:rPr>
            </w:pPr>
            <w:r>
              <w:rPr>
                <w:rFonts w:hint="eastAsia" w:ascii="仿宋" w:hAnsi="仿宋" w:eastAsia="仿宋" w:cs="仿宋"/>
                <w:sz w:val="21"/>
                <w:szCs w:val="21"/>
              </w:rPr>
              <w:t>报价唯一</w:t>
            </w:r>
          </w:p>
        </w:tc>
        <w:tc>
          <w:tcPr>
            <w:tcW w:w="5409" w:type="dxa"/>
            <w:vAlign w:val="center"/>
          </w:tcPr>
          <w:p>
            <w:pPr>
              <w:rPr>
                <w:rFonts w:ascii="仿宋" w:hAnsi="仿宋" w:eastAsia="仿宋" w:cs="仿宋"/>
                <w:kern w:val="0"/>
                <w:sz w:val="21"/>
                <w:szCs w:val="21"/>
              </w:rPr>
            </w:pPr>
            <w:r>
              <w:rPr>
                <w:rFonts w:hint="eastAsia" w:ascii="仿宋" w:hAnsi="仿宋" w:eastAsia="仿宋" w:cs="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560" w:type="dxa"/>
            <w:vAlign w:val="center"/>
          </w:tcPr>
          <w:p>
            <w:pPr>
              <w:rPr>
                <w:rFonts w:ascii="仿宋" w:hAnsi="仿宋" w:eastAsia="仿宋" w:cs="仿宋"/>
                <w:kern w:val="0"/>
                <w:sz w:val="21"/>
                <w:szCs w:val="21"/>
              </w:rPr>
            </w:pPr>
            <w:r>
              <w:rPr>
                <w:rFonts w:hint="eastAsia" w:ascii="仿宋" w:hAnsi="仿宋" w:eastAsia="仿宋" w:cs="仿宋"/>
                <w:kern w:val="0"/>
                <w:sz w:val="21"/>
                <w:szCs w:val="21"/>
              </w:rPr>
              <w:t>完整性审查</w:t>
            </w:r>
          </w:p>
        </w:tc>
        <w:tc>
          <w:tcPr>
            <w:tcW w:w="1984" w:type="dxa"/>
            <w:vAlign w:val="center"/>
          </w:tcPr>
          <w:p>
            <w:pPr>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9" w:type="dxa"/>
            <w:vAlign w:val="center"/>
          </w:tcPr>
          <w:p>
            <w:pPr>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文件正、副本数量符合</w:t>
            </w:r>
            <w:r>
              <w:rPr>
                <w:rFonts w:hint="eastAsia" w:ascii="仿宋" w:hAnsi="仿宋" w:eastAsia="仿宋" w:cs="仿宋"/>
                <w:sz w:val="21"/>
                <w:szCs w:val="21"/>
              </w:rPr>
              <w:t>采购</w:t>
            </w:r>
            <w:r>
              <w:rPr>
                <w:rFonts w:hint="eastAsia" w:ascii="仿宋" w:hAnsi="仿宋" w:eastAsia="仿宋" w:cs="仿宋"/>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仿宋" w:hAnsi="仿宋" w:eastAsia="仿宋" w:cs="仿宋"/>
                <w:kern w:val="0"/>
                <w:sz w:val="21"/>
                <w:szCs w:val="21"/>
              </w:rPr>
            </w:pPr>
            <w:r>
              <w:rPr>
                <w:rFonts w:hint="eastAsia" w:ascii="仿宋" w:hAnsi="仿宋" w:eastAsia="仿宋" w:cs="仿宋"/>
                <w:kern w:val="0"/>
                <w:sz w:val="21"/>
                <w:szCs w:val="21"/>
              </w:rPr>
              <w:t>3</w:t>
            </w:r>
          </w:p>
        </w:tc>
        <w:tc>
          <w:tcPr>
            <w:tcW w:w="1560" w:type="dxa"/>
            <w:vMerge w:val="restart"/>
            <w:vAlign w:val="center"/>
          </w:tcPr>
          <w:p>
            <w:pPr>
              <w:rPr>
                <w:rFonts w:ascii="仿宋" w:hAnsi="仿宋" w:eastAsia="仿宋" w:cs="仿宋"/>
                <w:sz w:val="21"/>
                <w:szCs w:val="21"/>
                <w:lang w:val="zh-CN"/>
              </w:rPr>
            </w:pPr>
            <w:r>
              <w:rPr>
                <w:rFonts w:hint="eastAsia" w:ascii="仿宋" w:hAnsi="仿宋" w:eastAsia="仿宋" w:cs="仿宋"/>
                <w:kern w:val="0"/>
                <w:sz w:val="21"/>
                <w:szCs w:val="21"/>
              </w:rPr>
              <w:t>响应程度审查</w:t>
            </w:r>
          </w:p>
        </w:tc>
        <w:tc>
          <w:tcPr>
            <w:tcW w:w="1984" w:type="dxa"/>
            <w:vAlign w:val="center"/>
          </w:tcPr>
          <w:p>
            <w:pPr>
              <w:rPr>
                <w:rFonts w:ascii="仿宋" w:hAnsi="仿宋" w:eastAsia="仿宋" w:cs="仿宋"/>
                <w:kern w:val="0"/>
                <w:sz w:val="21"/>
                <w:szCs w:val="21"/>
              </w:rPr>
            </w:pPr>
            <w:r>
              <w:rPr>
                <w:rFonts w:hint="eastAsia" w:ascii="仿宋" w:hAnsi="仿宋" w:eastAsia="仿宋" w:cs="仿宋"/>
                <w:kern w:val="0"/>
                <w:sz w:val="21"/>
                <w:szCs w:val="21"/>
              </w:rPr>
              <w:t>实质性响应</w:t>
            </w:r>
          </w:p>
        </w:tc>
        <w:tc>
          <w:tcPr>
            <w:tcW w:w="5409" w:type="dxa"/>
            <w:vAlign w:val="center"/>
          </w:tcPr>
          <w:p>
            <w:pPr>
              <w:pStyle w:val="32"/>
              <w:rPr>
                <w:rFonts w:ascii="仿宋" w:hAnsi="仿宋" w:eastAsia="仿宋" w:cs="仿宋"/>
                <w:kern w:val="0"/>
                <w:sz w:val="21"/>
                <w:szCs w:val="21"/>
              </w:rPr>
            </w:pPr>
            <w:r>
              <w:rPr>
                <w:rFonts w:hint="eastAsia" w:ascii="仿宋" w:hAnsi="仿宋" w:eastAsia="仿宋" w:cs="仿宋"/>
                <w:kern w:val="0"/>
                <w:sz w:val="21"/>
                <w:szCs w:val="21"/>
              </w:rPr>
              <w:t>对采购文件第二篇、第三篇规定的内容进行实质性响应。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ascii="仿宋" w:hAnsi="仿宋" w:eastAsia="仿宋" w:cs="仿宋"/>
                <w:kern w:val="0"/>
                <w:sz w:val="21"/>
                <w:szCs w:val="21"/>
              </w:rPr>
            </w:pPr>
          </w:p>
        </w:tc>
        <w:tc>
          <w:tcPr>
            <w:tcW w:w="1560" w:type="dxa"/>
            <w:vMerge w:val="continue"/>
            <w:vAlign w:val="center"/>
          </w:tcPr>
          <w:p>
            <w:pPr>
              <w:rPr>
                <w:rFonts w:ascii="仿宋" w:hAnsi="仿宋" w:eastAsia="仿宋" w:cs="仿宋"/>
                <w:sz w:val="21"/>
                <w:szCs w:val="21"/>
                <w:lang w:val="zh-CN"/>
              </w:rPr>
            </w:pPr>
          </w:p>
        </w:tc>
        <w:tc>
          <w:tcPr>
            <w:tcW w:w="1984" w:type="dxa"/>
            <w:vAlign w:val="center"/>
          </w:tcPr>
          <w:p>
            <w:pPr>
              <w:rPr>
                <w:rFonts w:ascii="仿宋" w:hAnsi="仿宋" w:eastAsia="仿宋" w:cs="仿宋"/>
                <w:kern w:val="0"/>
                <w:sz w:val="21"/>
                <w:szCs w:val="21"/>
              </w:rPr>
            </w:pPr>
            <w:r>
              <w:rPr>
                <w:rFonts w:hint="eastAsia" w:ascii="仿宋" w:hAnsi="仿宋" w:eastAsia="仿宋" w:cs="仿宋"/>
                <w:kern w:val="0"/>
                <w:sz w:val="21"/>
                <w:szCs w:val="21"/>
              </w:rPr>
              <w:t>响应文件有效期</w:t>
            </w:r>
          </w:p>
        </w:tc>
        <w:tc>
          <w:tcPr>
            <w:tcW w:w="5409" w:type="dxa"/>
            <w:vAlign w:val="center"/>
          </w:tcPr>
          <w:p>
            <w:pPr>
              <w:rPr>
                <w:rFonts w:ascii="仿宋" w:hAnsi="仿宋" w:eastAsia="仿宋" w:cs="仿宋"/>
                <w:kern w:val="0"/>
                <w:sz w:val="21"/>
                <w:szCs w:val="21"/>
              </w:rPr>
            </w:pPr>
            <w:r>
              <w:rPr>
                <w:rFonts w:hint="eastAsia" w:ascii="仿宋" w:hAnsi="仿宋" w:eastAsia="仿宋" w:cs="仿宋"/>
                <w:kern w:val="0"/>
                <w:sz w:val="21"/>
                <w:szCs w:val="21"/>
              </w:rPr>
              <w:t>响应文件及有关承诺文件有效期为提交响应文件截止时间起90天。</w:t>
            </w:r>
          </w:p>
        </w:tc>
      </w:tr>
    </w:tbl>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（五）在评审过程中磋商的任何一方不得向他人透露与磋商有关的服务资料、价格或其他信息。</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（七）供应商在磋商时作出的所有书面承诺须由法定代表人（或其授权代表）或自然人（供应商为自然人）签署。</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（九）评审小组采用综合评分法对提交最后报价的供应商的响应文件和最后报价（含有效书面承诺）进行综合评分。</w:t>
      </w:r>
      <w:r>
        <w:rPr>
          <w:rFonts w:hint="eastAsia" w:ascii="仿宋" w:hAnsi="仿宋" w:eastAsia="仿宋" w:cs="仿宋"/>
          <w:kern w:val="0"/>
          <w:sz w:val="24"/>
          <w:szCs w:val="24"/>
        </w:rPr>
        <w:t>综合评分法，是指响应文件满足竞采购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sz w:val="24"/>
          <w:szCs w:val="24"/>
        </w:rPr>
        <w:t>。</w:t>
      </w:r>
    </w:p>
    <w:p>
      <w:pPr>
        <w:spacing w:line="400" w:lineRule="exact"/>
        <w:ind w:firstLine="480" w:firstLineChars="200"/>
        <w:rPr>
          <w:rFonts w:ascii="仿宋" w:hAnsi="仿宋" w:eastAsia="仿宋" w:cs="仿宋"/>
          <w:b/>
          <w:sz w:val="24"/>
          <w:szCs w:val="24"/>
        </w:rPr>
      </w:pPr>
      <w:r>
        <w:rPr>
          <w:rFonts w:hint="eastAsia" w:ascii="仿宋" w:hAnsi="仿宋" w:eastAsia="仿宋" w:cs="仿宋"/>
          <w:sz w:val="24"/>
          <w:szCs w:val="24"/>
        </w:rPr>
        <w:t>（十）评审小组各成员独立对每个有效响应（通过资格性审查、</w:t>
      </w:r>
      <w:r>
        <w:rPr>
          <w:rFonts w:hint="eastAsia" w:ascii="仿宋" w:hAnsi="仿宋" w:eastAsia="仿宋" w:cs="仿宋"/>
          <w:kern w:val="0"/>
          <w:sz w:val="24"/>
          <w:szCs w:val="24"/>
        </w:rPr>
        <w:t>符合性审查的供应商</w:t>
      </w:r>
      <w:r>
        <w:rPr>
          <w:rFonts w:hint="eastAsia" w:ascii="仿宋" w:hAnsi="仿宋" w:eastAsia="仿宋" w:cs="仿宋"/>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p>
    <w:p>
      <w:pPr>
        <w:pStyle w:val="3"/>
        <w:adjustRightInd w:val="0"/>
        <w:snapToGrid w:val="0"/>
        <w:spacing w:line="400" w:lineRule="exact"/>
        <w:ind w:firstLine="482" w:firstLineChars="200"/>
        <w:rPr>
          <w:rFonts w:ascii="仿宋" w:hAnsi="仿宋" w:eastAsia="仿宋" w:cs="仿宋"/>
          <w:sz w:val="24"/>
        </w:rPr>
      </w:pPr>
      <w:bookmarkStart w:id="76" w:name="_Toc76462334"/>
      <w:bookmarkStart w:id="77" w:name="_Toc106030889"/>
      <w:r>
        <w:rPr>
          <w:rFonts w:hint="eastAsia" w:ascii="仿宋" w:hAnsi="仿宋" w:eastAsia="仿宋" w:cs="仿宋"/>
          <w:sz w:val="24"/>
        </w:rPr>
        <w:t>二、</w:t>
      </w:r>
      <w:bookmarkStart w:id="78" w:name="_Toc102227320"/>
      <w:bookmarkStart w:id="79" w:name="_Toc342913394"/>
      <w:r>
        <w:rPr>
          <w:rFonts w:hint="eastAsia" w:ascii="仿宋" w:hAnsi="仿宋" w:eastAsia="仿宋" w:cs="仿宋"/>
          <w:sz w:val="24"/>
        </w:rPr>
        <w:t>评审标准</w:t>
      </w:r>
      <w:bookmarkEnd w:id="76"/>
      <w:bookmarkEnd w:id="77"/>
    </w:p>
    <w:tbl>
      <w:tblPr>
        <w:tblStyle w:val="5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61"/>
        <w:gridCol w:w="850"/>
        <w:gridCol w:w="4602"/>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32"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序号</w:t>
            </w:r>
          </w:p>
        </w:tc>
        <w:tc>
          <w:tcPr>
            <w:tcW w:w="1561"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评分因素及权值</w:t>
            </w:r>
          </w:p>
        </w:tc>
        <w:tc>
          <w:tcPr>
            <w:tcW w:w="850"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分值</w:t>
            </w:r>
          </w:p>
        </w:tc>
        <w:tc>
          <w:tcPr>
            <w:tcW w:w="4602"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评分标准</w:t>
            </w:r>
          </w:p>
        </w:tc>
        <w:tc>
          <w:tcPr>
            <w:tcW w:w="2191"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32"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1</w:t>
            </w:r>
          </w:p>
        </w:tc>
        <w:tc>
          <w:tcPr>
            <w:tcW w:w="1561"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磋商报价</w:t>
            </w:r>
          </w:p>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w:t>
            </w:r>
            <w:r>
              <w:rPr>
                <w:rStyle w:val="83"/>
                <w:rFonts w:hint="eastAsia" w:ascii="仿宋" w:hAnsi="仿宋" w:eastAsia="仿宋" w:cs="仿宋"/>
                <w:color w:val="auto"/>
                <w:sz w:val="21"/>
                <w:szCs w:val="21"/>
              </w:rPr>
              <w:t>20</w:t>
            </w:r>
            <w:r>
              <w:rPr>
                <w:rStyle w:val="83"/>
                <w:rFonts w:hint="eastAsia" w:ascii="仿宋" w:hAnsi="仿宋" w:eastAsia="仿宋" w:cs="仿宋"/>
                <w:color w:val="auto"/>
                <w:sz w:val="21"/>
                <w:szCs w:val="21"/>
                <w:lang w:val="zh-TW" w:eastAsia="zh-TW"/>
              </w:rPr>
              <w:t>%）</w:t>
            </w:r>
          </w:p>
        </w:tc>
        <w:tc>
          <w:tcPr>
            <w:tcW w:w="850" w:type="dxa"/>
            <w:noWrap/>
            <w:vAlign w:val="center"/>
          </w:tcPr>
          <w:p>
            <w:pPr>
              <w:pStyle w:val="158"/>
              <w:spacing w:line="320" w:lineRule="exact"/>
              <w:rPr>
                <w:rStyle w:val="83"/>
                <w:rFonts w:ascii="仿宋" w:hAnsi="仿宋" w:eastAsia="仿宋" w:cs="仿宋"/>
                <w:color w:val="auto"/>
                <w:sz w:val="21"/>
                <w:szCs w:val="21"/>
              </w:rPr>
            </w:pPr>
            <w:r>
              <w:rPr>
                <w:rStyle w:val="83"/>
                <w:rFonts w:hint="eastAsia" w:ascii="仿宋" w:hAnsi="仿宋" w:eastAsia="仿宋" w:cs="仿宋"/>
                <w:color w:val="auto"/>
                <w:sz w:val="21"/>
                <w:szCs w:val="21"/>
              </w:rPr>
              <w:t>20</w:t>
            </w:r>
          </w:p>
        </w:tc>
        <w:tc>
          <w:tcPr>
            <w:tcW w:w="4602"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 xml:space="preserve">满足资格审查要求且报价最低的供应商的报价为基准价，其价格分为满分。其他供应商的价格分统一按照下列公式计算： </w:t>
            </w:r>
          </w:p>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报价得分＝（评标基准价/最后报价）×价格权值×100。</w:t>
            </w:r>
          </w:p>
        </w:tc>
        <w:tc>
          <w:tcPr>
            <w:tcW w:w="2191" w:type="dxa"/>
            <w:noWrap/>
            <w:vAlign w:val="center"/>
          </w:tcPr>
          <w:p>
            <w:pPr>
              <w:pStyle w:val="158"/>
              <w:spacing w:line="320" w:lineRule="exact"/>
              <w:rPr>
                <w:rStyle w:val="83"/>
                <w:rFonts w:ascii="仿宋" w:hAnsi="仿宋" w:eastAsia="仿宋" w:cs="仿宋"/>
                <w:color w:val="auto"/>
                <w:sz w:val="21"/>
                <w:szCs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32" w:type="dxa"/>
            <w:vMerge w:val="restart"/>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2</w:t>
            </w:r>
          </w:p>
        </w:tc>
        <w:tc>
          <w:tcPr>
            <w:tcW w:w="1561" w:type="dxa"/>
            <w:vMerge w:val="restart"/>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技术部分</w:t>
            </w:r>
          </w:p>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w:t>
            </w:r>
            <w:r>
              <w:rPr>
                <w:rStyle w:val="83"/>
                <w:rFonts w:hint="eastAsia" w:ascii="仿宋" w:hAnsi="仿宋" w:eastAsia="仿宋" w:cs="仿宋"/>
                <w:color w:val="auto"/>
                <w:sz w:val="21"/>
                <w:szCs w:val="21"/>
              </w:rPr>
              <w:t>50</w:t>
            </w:r>
            <w:r>
              <w:rPr>
                <w:rStyle w:val="83"/>
                <w:rFonts w:hint="eastAsia" w:ascii="仿宋" w:hAnsi="仿宋" w:eastAsia="仿宋" w:cs="仿宋"/>
                <w:color w:val="auto"/>
                <w:sz w:val="21"/>
                <w:szCs w:val="21"/>
                <w:lang w:val="zh-TW" w:eastAsia="zh-TW"/>
              </w:rPr>
              <w:t>%）</w:t>
            </w:r>
          </w:p>
        </w:tc>
        <w:tc>
          <w:tcPr>
            <w:tcW w:w="850"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项目理解（10）</w:t>
            </w:r>
          </w:p>
        </w:tc>
        <w:tc>
          <w:tcPr>
            <w:tcW w:w="4602" w:type="dxa"/>
            <w:noWrap/>
            <w:vAlign w:val="center"/>
          </w:tcPr>
          <w:p>
            <w:pPr>
              <w:pStyle w:val="158"/>
              <w:spacing w:line="320" w:lineRule="exact"/>
              <w:rPr>
                <w:rFonts w:eastAsia="宋体"/>
                <w:color w:val="auto"/>
                <w:sz w:val="21"/>
                <w:szCs w:val="21"/>
              </w:rPr>
            </w:pPr>
            <w:r>
              <w:rPr>
                <w:rFonts w:hint="eastAsia" w:eastAsia="宋体"/>
                <w:color w:val="auto"/>
                <w:sz w:val="21"/>
                <w:szCs w:val="21"/>
              </w:rPr>
              <w:t>供应商提供项目理解分析，评审小组对项目工作内容理解全面性、重难点和关键点分析透彻性和应对措施可行性进行评分：</w:t>
            </w:r>
          </w:p>
          <w:p>
            <w:pPr>
              <w:pStyle w:val="158"/>
              <w:spacing w:line="320" w:lineRule="exact"/>
              <w:rPr>
                <w:rFonts w:eastAsia="宋体"/>
                <w:color w:val="auto"/>
                <w:sz w:val="21"/>
                <w:szCs w:val="21"/>
              </w:rPr>
            </w:pPr>
            <w:r>
              <w:rPr>
                <w:rFonts w:hint="eastAsia" w:eastAsia="宋体"/>
                <w:color w:val="auto"/>
                <w:sz w:val="21"/>
                <w:szCs w:val="21"/>
              </w:rPr>
              <w:t>方案内容不存在瑕疵，得</w:t>
            </w:r>
            <w:r>
              <w:rPr>
                <w:rFonts w:eastAsia="宋体"/>
                <w:color w:val="auto"/>
                <w:sz w:val="21"/>
                <w:szCs w:val="21"/>
              </w:rPr>
              <w:t>10</w:t>
            </w:r>
            <w:r>
              <w:rPr>
                <w:rFonts w:hint="eastAsia" w:eastAsia="宋体"/>
                <w:color w:val="auto"/>
                <w:sz w:val="21"/>
                <w:szCs w:val="21"/>
              </w:rPr>
              <w:t>分；</w:t>
            </w:r>
          </w:p>
          <w:p>
            <w:pPr>
              <w:pStyle w:val="158"/>
              <w:spacing w:line="320" w:lineRule="exact"/>
              <w:rPr>
                <w:rFonts w:eastAsia="宋体"/>
                <w:color w:val="auto"/>
                <w:sz w:val="21"/>
                <w:szCs w:val="21"/>
              </w:rPr>
            </w:pPr>
            <w:r>
              <w:rPr>
                <w:rFonts w:hint="eastAsia" w:eastAsia="宋体"/>
                <w:color w:val="auto"/>
                <w:sz w:val="21"/>
                <w:szCs w:val="21"/>
              </w:rPr>
              <w:t>方案内容存在</w:t>
            </w:r>
            <w:r>
              <w:rPr>
                <w:rFonts w:eastAsia="宋体"/>
                <w:color w:val="auto"/>
                <w:sz w:val="21"/>
                <w:szCs w:val="21"/>
              </w:rPr>
              <w:t>1</w:t>
            </w:r>
            <w:r>
              <w:rPr>
                <w:rFonts w:hint="eastAsia" w:eastAsia="宋体"/>
                <w:color w:val="auto"/>
                <w:sz w:val="21"/>
                <w:szCs w:val="21"/>
              </w:rPr>
              <w:t>处瑕疵，得</w:t>
            </w:r>
            <w:r>
              <w:rPr>
                <w:rFonts w:eastAsia="宋体"/>
                <w:color w:val="auto"/>
                <w:sz w:val="21"/>
                <w:szCs w:val="21"/>
              </w:rPr>
              <w:t>8</w:t>
            </w:r>
            <w:r>
              <w:rPr>
                <w:rFonts w:hint="eastAsia" w:eastAsia="宋体"/>
                <w:color w:val="auto"/>
                <w:sz w:val="21"/>
                <w:szCs w:val="21"/>
              </w:rPr>
              <w:t>分；</w:t>
            </w:r>
          </w:p>
          <w:p>
            <w:pPr>
              <w:pStyle w:val="158"/>
              <w:spacing w:line="320" w:lineRule="exact"/>
              <w:rPr>
                <w:rFonts w:eastAsia="宋体"/>
                <w:color w:val="auto"/>
                <w:sz w:val="21"/>
                <w:szCs w:val="21"/>
              </w:rPr>
            </w:pPr>
            <w:r>
              <w:rPr>
                <w:rFonts w:hint="eastAsia" w:eastAsia="宋体"/>
                <w:color w:val="auto"/>
                <w:sz w:val="21"/>
                <w:szCs w:val="21"/>
              </w:rPr>
              <w:t>方案内容存在</w:t>
            </w:r>
            <w:r>
              <w:rPr>
                <w:rFonts w:eastAsia="宋体"/>
                <w:color w:val="auto"/>
                <w:sz w:val="21"/>
                <w:szCs w:val="21"/>
              </w:rPr>
              <w:t>2</w:t>
            </w:r>
            <w:r>
              <w:rPr>
                <w:rFonts w:hint="eastAsia" w:eastAsia="宋体"/>
                <w:color w:val="auto"/>
                <w:sz w:val="21"/>
                <w:szCs w:val="21"/>
              </w:rPr>
              <w:t>处瑕疵得</w:t>
            </w:r>
            <w:r>
              <w:rPr>
                <w:rFonts w:eastAsia="宋体"/>
                <w:color w:val="auto"/>
                <w:sz w:val="21"/>
                <w:szCs w:val="21"/>
              </w:rPr>
              <w:t>6</w:t>
            </w:r>
            <w:r>
              <w:rPr>
                <w:rFonts w:hint="eastAsia" w:eastAsia="宋体"/>
                <w:color w:val="auto"/>
                <w:sz w:val="21"/>
                <w:szCs w:val="21"/>
              </w:rPr>
              <w:t>分；</w:t>
            </w:r>
          </w:p>
          <w:p>
            <w:pPr>
              <w:pStyle w:val="158"/>
              <w:spacing w:line="320" w:lineRule="exact"/>
              <w:rPr>
                <w:rFonts w:eastAsia="宋体"/>
                <w:color w:val="auto"/>
                <w:sz w:val="21"/>
                <w:szCs w:val="21"/>
              </w:rPr>
            </w:pPr>
            <w:r>
              <w:rPr>
                <w:rFonts w:hint="eastAsia" w:eastAsia="宋体"/>
                <w:color w:val="auto"/>
                <w:sz w:val="21"/>
                <w:szCs w:val="21"/>
              </w:rPr>
              <w:t>方案内容存在</w:t>
            </w:r>
            <w:r>
              <w:rPr>
                <w:rFonts w:eastAsia="宋体"/>
                <w:color w:val="auto"/>
                <w:sz w:val="21"/>
                <w:szCs w:val="21"/>
              </w:rPr>
              <w:t>3</w:t>
            </w:r>
            <w:r>
              <w:rPr>
                <w:rFonts w:hint="eastAsia" w:eastAsia="宋体"/>
                <w:color w:val="auto"/>
                <w:sz w:val="21"/>
                <w:szCs w:val="21"/>
              </w:rPr>
              <w:t>处瑕疵得</w:t>
            </w:r>
            <w:r>
              <w:rPr>
                <w:rFonts w:eastAsia="宋体"/>
                <w:color w:val="auto"/>
                <w:sz w:val="21"/>
                <w:szCs w:val="21"/>
              </w:rPr>
              <w:t>4</w:t>
            </w:r>
            <w:r>
              <w:rPr>
                <w:rFonts w:hint="eastAsia" w:eastAsia="宋体"/>
                <w:color w:val="auto"/>
                <w:sz w:val="21"/>
                <w:szCs w:val="21"/>
              </w:rPr>
              <w:t>分；</w:t>
            </w:r>
          </w:p>
          <w:p>
            <w:pPr>
              <w:pStyle w:val="158"/>
              <w:spacing w:line="320" w:lineRule="exact"/>
              <w:rPr>
                <w:rFonts w:eastAsia="宋体"/>
                <w:color w:val="auto"/>
                <w:sz w:val="21"/>
                <w:szCs w:val="21"/>
              </w:rPr>
            </w:pPr>
            <w:r>
              <w:rPr>
                <w:rFonts w:hint="eastAsia" w:eastAsia="宋体"/>
                <w:color w:val="auto"/>
                <w:sz w:val="21"/>
                <w:szCs w:val="21"/>
              </w:rPr>
              <w:t>方案内容存在</w:t>
            </w:r>
            <w:r>
              <w:rPr>
                <w:rFonts w:eastAsia="宋体"/>
                <w:color w:val="auto"/>
                <w:sz w:val="21"/>
                <w:szCs w:val="21"/>
              </w:rPr>
              <w:t>4</w:t>
            </w:r>
            <w:r>
              <w:rPr>
                <w:rFonts w:hint="eastAsia" w:eastAsia="宋体"/>
                <w:color w:val="auto"/>
                <w:sz w:val="21"/>
                <w:szCs w:val="21"/>
              </w:rPr>
              <w:t>处瑕疵得</w:t>
            </w:r>
            <w:r>
              <w:rPr>
                <w:rFonts w:eastAsia="宋体"/>
                <w:color w:val="auto"/>
                <w:sz w:val="21"/>
                <w:szCs w:val="21"/>
              </w:rPr>
              <w:t>2</w:t>
            </w:r>
            <w:r>
              <w:rPr>
                <w:rFonts w:hint="eastAsia" w:eastAsia="宋体"/>
                <w:color w:val="auto"/>
                <w:sz w:val="21"/>
                <w:szCs w:val="21"/>
              </w:rPr>
              <w:t>分；</w:t>
            </w:r>
          </w:p>
          <w:p>
            <w:pPr>
              <w:pStyle w:val="158"/>
              <w:spacing w:line="320" w:lineRule="exact"/>
              <w:rPr>
                <w:rStyle w:val="83"/>
                <w:rFonts w:ascii="仿宋" w:hAnsi="仿宋" w:eastAsia="仿宋" w:cs="仿宋"/>
                <w:color w:val="auto"/>
                <w:sz w:val="21"/>
                <w:szCs w:val="21"/>
                <w:lang w:val="zh-TW" w:eastAsia="zh-TW"/>
              </w:rPr>
            </w:pPr>
            <w:r>
              <w:rPr>
                <w:rFonts w:hint="eastAsia"/>
                <w:sz w:val="21"/>
                <w:szCs w:val="21"/>
              </w:rPr>
              <w:t>方案内容存在</w:t>
            </w:r>
            <w:r>
              <w:rPr>
                <w:sz w:val="21"/>
                <w:szCs w:val="21"/>
              </w:rPr>
              <w:t>5</w:t>
            </w:r>
            <w:r>
              <w:rPr>
                <w:rFonts w:hint="eastAsia"/>
                <w:sz w:val="21"/>
                <w:szCs w:val="21"/>
              </w:rPr>
              <w:t>处及以上瑕疵或未提供得</w:t>
            </w:r>
            <w:r>
              <w:rPr>
                <w:sz w:val="21"/>
                <w:szCs w:val="21"/>
              </w:rPr>
              <w:t>0</w:t>
            </w:r>
            <w:r>
              <w:rPr>
                <w:rFonts w:hint="eastAsia"/>
                <w:sz w:val="21"/>
                <w:szCs w:val="21"/>
              </w:rPr>
              <w:t>分。</w:t>
            </w:r>
          </w:p>
        </w:tc>
        <w:tc>
          <w:tcPr>
            <w:tcW w:w="2191" w:type="dxa"/>
            <w:noWrap/>
            <w:vAlign w:val="center"/>
          </w:tcPr>
          <w:p>
            <w:pPr>
              <w:pStyle w:val="158"/>
              <w:spacing w:line="320" w:lineRule="exact"/>
              <w:rPr>
                <w:rStyle w:val="83"/>
                <w:rFonts w:ascii="仿宋" w:hAnsi="仿宋" w:eastAsia="仿宋" w:cs="仿宋"/>
                <w:color w:val="auto"/>
                <w:sz w:val="21"/>
                <w:szCs w:val="21"/>
                <w:lang w:val="zh-TW" w:eastAsia="zh-TW"/>
              </w:rPr>
            </w:pPr>
            <w:bookmarkStart w:id="80" w:name="OLE_LINK16"/>
            <w:bookmarkStart w:id="81" w:name="OLE_LINK27"/>
            <w:bookmarkStart w:id="82" w:name="OLE_LINK6"/>
            <w:bookmarkStart w:id="83" w:name="OLE_LINK5"/>
            <w:r>
              <w:rPr>
                <w:rFonts w:hint="eastAsia" w:ascii="微软雅黑" w:hAnsi="微软雅黑" w:eastAsia="微软雅黑" w:cs="微软雅黑"/>
                <w:sz w:val="18"/>
                <w:szCs w:val="18"/>
              </w:rPr>
              <w:t>【</w:t>
            </w:r>
            <w:bookmarkEnd w:id="80"/>
            <w:bookmarkEnd w:id="81"/>
            <w:r>
              <w:rPr>
                <w:rFonts w:hint="eastAsia" w:ascii="微软雅黑" w:hAnsi="微软雅黑" w:eastAsia="微软雅黑" w:cs="微软雅黑"/>
                <w:sz w:val="18"/>
                <w:szCs w:val="18"/>
              </w:rPr>
              <w:t>本项内容中所称的“瑕疵”指提供内容未结合项目特点，不能体现对同类项目履行经验；缺少对项目理解、重点和难点针对性描述分析或分析表达</w:t>
            </w:r>
            <w:bookmarkStart w:id="84" w:name="OLE_LINK7"/>
            <w:bookmarkStart w:id="85" w:name="OLE_LINK8"/>
            <w:r>
              <w:rPr>
                <w:rFonts w:hint="eastAsia" w:ascii="微软雅黑" w:hAnsi="微软雅黑" w:eastAsia="微软雅黑" w:cs="微软雅黑"/>
                <w:sz w:val="18"/>
                <w:szCs w:val="18"/>
              </w:rPr>
              <w:t>内容存在逻辑漏洞、常识错误；</w:t>
            </w:r>
            <w:bookmarkEnd w:id="84"/>
            <w:bookmarkEnd w:id="85"/>
            <w:r>
              <w:rPr>
                <w:rFonts w:hint="eastAsia" w:ascii="微软雅黑" w:hAnsi="微软雅黑" w:eastAsia="微软雅黑" w:cs="微软雅黑"/>
                <w:sz w:val="18"/>
                <w:szCs w:val="18"/>
              </w:rPr>
              <w:t>对关键问题缺少应对措施或应对措施不适合项目特性等任意一种情形】。</w:t>
            </w:r>
            <w:bookmarkEnd w:id="82"/>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32" w:type="dxa"/>
            <w:vMerge w:val="continue"/>
            <w:noWrap/>
            <w:vAlign w:val="center"/>
          </w:tcPr>
          <w:p>
            <w:pPr>
              <w:pStyle w:val="158"/>
              <w:spacing w:line="320" w:lineRule="exact"/>
              <w:rPr>
                <w:rStyle w:val="83"/>
                <w:rFonts w:ascii="仿宋" w:hAnsi="仿宋" w:eastAsia="仿宋" w:cs="仿宋"/>
                <w:color w:val="auto"/>
                <w:sz w:val="21"/>
                <w:szCs w:val="21"/>
                <w:lang w:val="zh-TW" w:eastAsia="zh-TW"/>
              </w:rPr>
            </w:pPr>
          </w:p>
        </w:tc>
        <w:tc>
          <w:tcPr>
            <w:tcW w:w="1561" w:type="dxa"/>
            <w:vMerge w:val="continue"/>
            <w:noWrap/>
            <w:vAlign w:val="center"/>
          </w:tcPr>
          <w:p>
            <w:pPr>
              <w:pStyle w:val="158"/>
              <w:spacing w:line="320" w:lineRule="exact"/>
              <w:rPr>
                <w:rStyle w:val="83"/>
                <w:rFonts w:ascii="仿宋" w:hAnsi="仿宋" w:eastAsia="仿宋" w:cs="仿宋"/>
                <w:color w:val="auto"/>
                <w:sz w:val="21"/>
                <w:szCs w:val="21"/>
                <w:lang w:val="zh-TW" w:eastAsia="zh-TW"/>
              </w:rPr>
            </w:pPr>
          </w:p>
        </w:tc>
        <w:tc>
          <w:tcPr>
            <w:tcW w:w="850" w:type="dxa"/>
            <w:noWrap/>
            <w:vAlign w:val="center"/>
          </w:tcPr>
          <w:p>
            <w:pPr>
              <w:pStyle w:val="158"/>
              <w:spacing w:line="320" w:lineRule="exact"/>
              <w:rPr>
                <w:rStyle w:val="83"/>
                <w:rFonts w:ascii="仿宋" w:hAnsi="仿宋" w:eastAsia="仿宋" w:cs="仿宋"/>
                <w:color w:val="auto"/>
                <w:sz w:val="21"/>
                <w:szCs w:val="21"/>
                <w:lang w:val="zh-TW"/>
              </w:rPr>
            </w:pPr>
            <w:r>
              <w:rPr>
                <w:rStyle w:val="83"/>
                <w:rFonts w:hint="eastAsia" w:ascii="仿宋" w:hAnsi="仿宋" w:eastAsia="仿宋" w:cs="仿宋"/>
                <w:color w:val="auto"/>
                <w:sz w:val="21"/>
                <w:szCs w:val="21"/>
                <w:lang w:val="zh-TW"/>
              </w:rPr>
              <w:t>现行定额问题分析及下一步工作思路（10）</w:t>
            </w:r>
          </w:p>
        </w:tc>
        <w:tc>
          <w:tcPr>
            <w:tcW w:w="4602" w:type="dxa"/>
            <w:noWrap/>
            <w:vAlign w:val="center"/>
          </w:tcPr>
          <w:p>
            <w:pPr>
              <w:pStyle w:val="158"/>
              <w:spacing w:line="320" w:lineRule="exact"/>
              <w:rPr>
                <w:sz w:val="21"/>
                <w:szCs w:val="21"/>
              </w:rPr>
            </w:pPr>
            <w:r>
              <w:rPr>
                <w:rFonts w:hint="eastAsia"/>
                <w:sz w:val="21"/>
                <w:szCs w:val="21"/>
              </w:rPr>
              <w:t>供应商对现行定额存在的主要问题进行分析，评审小组根据分析内容的全面性、合理性进行评分：</w:t>
            </w:r>
          </w:p>
          <w:p>
            <w:pPr>
              <w:pStyle w:val="158"/>
              <w:spacing w:line="320" w:lineRule="exact"/>
              <w:rPr>
                <w:sz w:val="21"/>
                <w:szCs w:val="21"/>
              </w:rPr>
            </w:pPr>
            <w:r>
              <w:rPr>
                <w:rFonts w:hint="eastAsia"/>
                <w:sz w:val="21"/>
                <w:szCs w:val="21"/>
              </w:rPr>
              <w:t>方案内容不存在瑕疵，得</w:t>
            </w:r>
            <w:r>
              <w:rPr>
                <w:sz w:val="21"/>
                <w:szCs w:val="21"/>
              </w:rPr>
              <w:t>10</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1</w:t>
            </w:r>
            <w:r>
              <w:rPr>
                <w:rFonts w:hint="eastAsia"/>
                <w:sz w:val="21"/>
                <w:szCs w:val="21"/>
              </w:rPr>
              <w:t>处瑕疵，得</w:t>
            </w:r>
            <w:r>
              <w:rPr>
                <w:sz w:val="21"/>
                <w:szCs w:val="21"/>
              </w:rPr>
              <w:t>8</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2</w:t>
            </w:r>
            <w:r>
              <w:rPr>
                <w:rFonts w:hint="eastAsia"/>
                <w:sz w:val="21"/>
                <w:szCs w:val="21"/>
              </w:rPr>
              <w:t>处瑕疵得</w:t>
            </w:r>
            <w:r>
              <w:rPr>
                <w:sz w:val="21"/>
                <w:szCs w:val="21"/>
              </w:rPr>
              <w:t>6</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3</w:t>
            </w:r>
            <w:r>
              <w:rPr>
                <w:rFonts w:hint="eastAsia"/>
                <w:sz w:val="21"/>
                <w:szCs w:val="21"/>
              </w:rPr>
              <w:t>处瑕疵得</w:t>
            </w:r>
            <w:r>
              <w:rPr>
                <w:sz w:val="21"/>
                <w:szCs w:val="21"/>
              </w:rPr>
              <w:t>4</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4</w:t>
            </w:r>
            <w:r>
              <w:rPr>
                <w:rFonts w:hint="eastAsia"/>
                <w:sz w:val="21"/>
                <w:szCs w:val="21"/>
              </w:rPr>
              <w:t>处瑕疵得</w:t>
            </w:r>
            <w:r>
              <w:rPr>
                <w:sz w:val="21"/>
                <w:szCs w:val="21"/>
              </w:rPr>
              <w:t>2</w:t>
            </w:r>
            <w:r>
              <w:rPr>
                <w:rFonts w:hint="eastAsia"/>
                <w:sz w:val="21"/>
                <w:szCs w:val="21"/>
              </w:rPr>
              <w:t>分；</w:t>
            </w:r>
          </w:p>
          <w:p>
            <w:pPr>
              <w:pStyle w:val="158"/>
              <w:tabs>
                <w:tab w:val="left" w:pos="1134"/>
              </w:tabs>
              <w:adjustRightInd w:val="0"/>
              <w:snapToGrid w:val="0"/>
              <w:spacing w:before="120" w:line="320" w:lineRule="exact"/>
              <w:ind w:left="1418" w:hanging="284"/>
              <w:rPr>
                <w:rFonts w:eastAsia="宋体"/>
              </w:rPr>
            </w:pPr>
            <w:r>
              <w:rPr>
                <w:rFonts w:hint="eastAsia"/>
                <w:sz w:val="21"/>
                <w:szCs w:val="21"/>
              </w:rPr>
              <w:t>方案内容存在</w:t>
            </w:r>
            <w:r>
              <w:rPr>
                <w:sz w:val="21"/>
                <w:szCs w:val="21"/>
              </w:rPr>
              <w:t>5</w:t>
            </w:r>
            <w:r>
              <w:rPr>
                <w:rFonts w:hint="eastAsia"/>
                <w:sz w:val="21"/>
                <w:szCs w:val="21"/>
              </w:rPr>
              <w:t>处及以上瑕疵或未提供得</w:t>
            </w:r>
            <w:r>
              <w:rPr>
                <w:sz w:val="21"/>
                <w:szCs w:val="21"/>
              </w:rPr>
              <w:t>0</w:t>
            </w:r>
            <w:r>
              <w:rPr>
                <w:rFonts w:hint="eastAsia"/>
                <w:sz w:val="21"/>
                <w:szCs w:val="21"/>
              </w:rPr>
              <w:t>分。</w:t>
            </w:r>
          </w:p>
        </w:tc>
        <w:tc>
          <w:tcPr>
            <w:tcW w:w="2191" w:type="dxa"/>
            <w:noWrap/>
            <w:vAlign w:val="center"/>
          </w:tcPr>
          <w:p>
            <w:pPr>
              <w:pStyle w:val="158"/>
              <w:spacing w:line="320" w:lineRule="exact"/>
              <w:rPr>
                <w:rFonts w:ascii="微软雅黑" w:hAnsi="微软雅黑" w:eastAsia="微软雅黑" w:cs="微软雅黑"/>
                <w:sz w:val="18"/>
                <w:szCs w:val="18"/>
              </w:rPr>
            </w:pPr>
            <w:bookmarkStart w:id="86" w:name="OLE_LINK9"/>
            <w:bookmarkStart w:id="87" w:name="OLE_LINK10"/>
            <w:r>
              <w:rPr>
                <w:rFonts w:hint="eastAsia" w:ascii="微软雅黑" w:hAnsi="微软雅黑" w:eastAsia="微软雅黑" w:cs="微软雅黑"/>
                <w:sz w:val="18"/>
                <w:szCs w:val="18"/>
              </w:rPr>
              <w:t>【本项内容中所称的“瑕疵”指内容缺项；提供内容未结合项目特点，对现行定额基本情况及存在问题不了解；对主要问题分析不够全面、不合理；下一步工作思路不清晰、不科学；内容存在逻辑漏洞、常识错误等任意一种情形】。</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32" w:type="dxa"/>
            <w:vMerge w:val="continue"/>
            <w:noWrap/>
            <w:vAlign w:val="center"/>
          </w:tcPr>
          <w:p>
            <w:pPr>
              <w:pStyle w:val="158"/>
              <w:spacing w:line="320" w:lineRule="exact"/>
              <w:rPr>
                <w:rStyle w:val="83"/>
                <w:rFonts w:ascii="仿宋" w:hAnsi="仿宋" w:eastAsia="仿宋" w:cs="仿宋"/>
                <w:color w:val="auto"/>
                <w:sz w:val="21"/>
                <w:szCs w:val="21"/>
                <w:lang w:val="zh-TW" w:eastAsia="zh-TW"/>
              </w:rPr>
            </w:pPr>
          </w:p>
        </w:tc>
        <w:tc>
          <w:tcPr>
            <w:tcW w:w="1561" w:type="dxa"/>
            <w:vMerge w:val="continue"/>
            <w:noWrap/>
            <w:vAlign w:val="center"/>
          </w:tcPr>
          <w:p>
            <w:pPr>
              <w:pStyle w:val="158"/>
              <w:spacing w:line="320" w:lineRule="exact"/>
              <w:rPr>
                <w:rStyle w:val="83"/>
                <w:rFonts w:ascii="仿宋" w:hAnsi="仿宋" w:eastAsia="仿宋" w:cs="仿宋"/>
                <w:color w:val="auto"/>
                <w:sz w:val="21"/>
                <w:szCs w:val="21"/>
                <w:lang w:val="zh-TW" w:eastAsia="zh-TW"/>
              </w:rPr>
            </w:pPr>
          </w:p>
        </w:tc>
        <w:tc>
          <w:tcPr>
            <w:tcW w:w="850"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项目质量管理（</w:t>
            </w:r>
            <w:r>
              <w:rPr>
                <w:rStyle w:val="83"/>
                <w:rFonts w:hint="eastAsia" w:ascii="仿宋" w:hAnsi="仿宋" w:eastAsia="仿宋" w:cs="仿宋"/>
                <w:color w:val="auto"/>
                <w:sz w:val="21"/>
                <w:szCs w:val="21"/>
              </w:rPr>
              <w:t>10</w:t>
            </w:r>
            <w:r>
              <w:rPr>
                <w:rStyle w:val="83"/>
                <w:rFonts w:hint="eastAsia" w:ascii="仿宋" w:hAnsi="仿宋" w:eastAsia="仿宋" w:cs="仿宋"/>
                <w:color w:val="auto"/>
                <w:sz w:val="21"/>
                <w:szCs w:val="21"/>
                <w:lang w:val="zh-TW" w:eastAsia="zh-TW"/>
              </w:rPr>
              <w:t>）</w:t>
            </w:r>
          </w:p>
        </w:tc>
        <w:tc>
          <w:tcPr>
            <w:tcW w:w="4602" w:type="dxa"/>
            <w:noWrap/>
            <w:vAlign w:val="center"/>
          </w:tcPr>
          <w:p>
            <w:pPr>
              <w:pStyle w:val="158"/>
              <w:spacing w:line="320" w:lineRule="exact"/>
              <w:rPr>
                <w:rStyle w:val="83"/>
                <w:rFonts w:ascii="仿宋" w:hAnsi="仿宋" w:eastAsia="仿宋" w:cs="仿宋"/>
                <w:color w:val="auto"/>
                <w:sz w:val="21"/>
                <w:szCs w:val="21"/>
                <w:lang w:val="zh-TW"/>
              </w:rPr>
            </w:pPr>
            <w:r>
              <w:rPr>
                <w:rStyle w:val="83"/>
                <w:rFonts w:hint="eastAsia" w:ascii="仿宋" w:hAnsi="仿宋" w:eastAsia="仿宋" w:cs="仿宋"/>
                <w:color w:val="auto"/>
                <w:sz w:val="21"/>
                <w:szCs w:val="21"/>
                <w:lang w:val="zh-TW"/>
              </w:rPr>
              <w:t>供应商提供项目质量管理方案，包括但不限于任务目标、责任划分、质量考核等，评审小组对方案内容进行评分：</w:t>
            </w:r>
          </w:p>
          <w:p>
            <w:pPr>
              <w:pStyle w:val="158"/>
              <w:spacing w:line="320" w:lineRule="exact"/>
              <w:rPr>
                <w:sz w:val="21"/>
                <w:szCs w:val="21"/>
              </w:rPr>
            </w:pPr>
            <w:bookmarkStart w:id="88" w:name="OLE_LINK50"/>
            <w:bookmarkStart w:id="89" w:name="OLE_LINK49"/>
            <w:r>
              <w:rPr>
                <w:rFonts w:hint="eastAsia"/>
                <w:sz w:val="21"/>
                <w:szCs w:val="21"/>
              </w:rPr>
              <w:t>方案内容不存在瑕疵，得</w:t>
            </w:r>
            <w:r>
              <w:rPr>
                <w:sz w:val="21"/>
                <w:szCs w:val="21"/>
              </w:rPr>
              <w:t>10</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1</w:t>
            </w:r>
            <w:r>
              <w:rPr>
                <w:rFonts w:hint="eastAsia"/>
                <w:sz w:val="21"/>
                <w:szCs w:val="21"/>
              </w:rPr>
              <w:t>处瑕疵，得</w:t>
            </w:r>
            <w:r>
              <w:rPr>
                <w:sz w:val="21"/>
                <w:szCs w:val="21"/>
              </w:rPr>
              <w:t>8</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2</w:t>
            </w:r>
            <w:r>
              <w:rPr>
                <w:rFonts w:hint="eastAsia"/>
                <w:sz w:val="21"/>
                <w:szCs w:val="21"/>
              </w:rPr>
              <w:t>处瑕疵得</w:t>
            </w:r>
            <w:r>
              <w:rPr>
                <w:sz w:val="21"/>
                <w:szCs w:val="21"/>
              </w:rPr>
              <w:t>6</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3</w:t>
            </w:r>
            <w:r>
              <w:rPr>
                <w:rFonts w:hint="eastAsia"/>
                <w:sz w:val="21"/>
                <w:szCs w:val="21"/>
              </w:rPr>
              <w:t>处瑕疵得</w:t>
            </w:r>
            <w:r>
              <w:rPr>
                <w:sz w:val="21"/>
                <w:szCs w:val="21"/>
              </w:rPr>
              <w:t>4</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4</w:t>
            </w:r>
            <w:r>
              <w:rPr>
                <w:rFonts w:hint="eastAsia"/>
                <w:sz w:val="21"/>
                <w:szCs w:val="21"/>
              </w:rPr>
              <w:t>处瑕疵得</w:t>
            </w:r>
            <w:r>
              <w:rPr>
                <w:sz w:val="21"/>
                <w:szCs w:val="21"/>
              </w:rPr>
              <w:t>2</w:t>
            </w:r>
            <w:r>
              <w:rPr>
                <w:rFonts w:hint="eastAsia"/>
                <w:sz w:val="21"/>
                <w:szCs w:val="21"/>
              </w:rPr>
              <w:t>分；</w:t>
            </w:r>
          </w:p>
          <w:p>
            <w:pPr>
              <w:pStyle w:val="158"/>
              <w:tabs>
                <w:tab w:val="left" w:pos="1134"/>
              </w:tabs>
              <w:adjustRightInd w:val="0"/>
              <w:snapToGrid w:val="0"/>
              <w:spacing w:before="120" w:line="320" w:lineRule="exact"/>
              <w:ind w:left="1418" w:hanging="284"/>
            </w:pPr>
            <w:r>
              <w:rPr>
                <w:rFonts w:hint="eastAsia"/>
                <w:sz w:val="21"/>
                <w:szCs w:val="21"/>
              </w:rPr>
              <w:t>方案内容存在</w:t>
            </w:r>
            <w:r>
              <w:rPr>
                <w:sz w:val="21"/>
                <w:szCs w:val="21"/>
              </w:rPr>
              <w:t>5</w:t>
            </w:r>
            <w:r>
              <w:rPr>
                <w:rFonts w:hint="eastAsia"/>
                <w:sz w:val="21"/>
                <w:szCs w:val="21"/>
              </w:rPr>
              <w:t>处及以上瑕疵或未提供得</w:t>
            </w:r>
            <w:r>
              <w:rPr>
                <w:sz w:val="21"/>
                <w:szCs w:val="21"/>
              </w:rPr>
              <w:t>0</w:t>
            </w:r>
            <w:r>
              <w:rPr>
                <w:rFonts w:hint="eastAsia"/>
                <w:sz w:val="21"/>
                <w:szCs w:val="21"/>
              </w:rPr>
              <w:t>分。</w:t>
            </w:r>
          </w:p>
          <w:bookmarkEnd w:id="88"/>
          <w:bookmarkEnd w:id="89"/>
          <w:p>
            <w:pPr>
              <w:pStyle w:val="158"/>
              <w:spacing w:line="320" w:lineRule="exact"/>
              <w:rPr>
                <w:rStyle w:val="83"/>
                <w:rFonts w:ascii="仿宋" w:hAnsi="仿宋" w:eastAsia="仿宋" w:cs="仿宋"/>
                <w:color w:val="auto"/>
                <w:sz w:val="21"/>
                <w:szCs w:val="21"/>
                <w:lang w:val="zh-TW" w:eastAsia="zh-TW"/>
              </w:rPr>
            </w:pPr>
          </w:p>
        </w:tc>
        <w:tc>
          <w:tcPr>
            <w:tcW w:w="2191" w:type="dxa"/>
            <w:noWrap/>
            <w:vAlign w:val="center"/>
          </w:tcPr>
          <w:p>
            <w:pPr>
              <w:pStyle w:val="158"/>
              <w:spacing w:line="320" w:lineRule="exact"/>
              <w:rPr>
                <w:rStyle w:val="83"/>
                <w:rFonts w:ascii="仿宋" w:hAnsi="仿宋" w:eastAsia="仿宋" w:cs="仿宋"/>
                <w:color w:val="auto"/>
                <w:sz w:val="21"/>
                <w:szCs w:val="21"/>
                <w:lang w:val="zh-TW" w:eastAsia="zh-TW"/>
              </w:rPr>
            </w:pPr>
            <w:bookmarkStart w:id="90" w:name="OLE_LINK48"/>
            <w:bookmarkStart w:id="91" w:name="OLE_LINK47"/>
            <w:r>
              <w:rPr>
                <w:rFonts w:hint="eastAsia" w:ascii="微软雅黑" w:hAnsi="微软雅黑" w:eastAsia="微软雅黑" w:cs="微软雅黑"/>
                <w:sz w:val="18"/>
                <w:szCs w:val="18"/>
              </w:rPr>
              <w:t>【本项内容中所称的“瑕疵”指内容缺项；提供内容未结合项目特点；工作目标不明确；责任划分不明确；考核体系措施不健全；内容存在逻辑漏洞、常识错误等任意一种情形】。</w:t>
            </w:r>
            <w:bookmarkEnd w:id="90"/>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32" w:type="dxa"/>
            <w:vMerge w:val="continue"/>
            <w:noWrap/>
            <w:vAlign w:val="center"/>
          </w:tcPr>
          <w:p>
            <w:pPr>
              <w:pStyle w:val="158"/>
              <w:spacing w:line="320" w:lineRule="exact"/>
              <w:rPr>
                <w:rStyle w:val="83"/>
                <w:rFonts w:ascii="仿宋" w:hAnsi="仿宋" w:eastAsia="仿宋" w:cs="仿宋"/>
                <w:color w:val="auto"/>
                <w:sz w:val="21"/>
                <w:szCs w:val="21"/>
                <w:lang w:val="zh-TW" w:eastAsia="zh-TW"/>
              </w:rPr>
            </w:pPr>
          </w:p>
        </w:tc>
        <w:tc>
          <w:tcPr>
            <w:tcW w:w="1561" w:type="dxa"/>
            <w:vMerge w:val="continue"/>
            <w:noWrap/>
            <w:vAlign w:val="center"/>
          </w:tcPr>
          <w:p>
            <w:pPr>
              <w:pStyle w:val="158"/>
              <w:spacing w:line="320" w:lineRule="exact"/>
              <w:rPr>
                <w:rStyle w:val="83"/>
                <w:rFonts w:ascii="仿宋" w:hAnsi="仿宋" w:eastAsia="仿宋" w:cs="仿宋"/>
                <w:color w:val="auto"/>
                <w:sz w:val="21"/>
                <w:szCs w:val="21"/>
                <w:lang w:val="zh-TW" w:eastAsia="zh-TW"/>
              </w:rPr>
            </w:pPr>
          </w:p>
        </w:tc>
        <w:tc>
          <w:tcPr>
            <w:tcW w:w="850"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实施方案（</w:t>
            </w:r>
            <w:r>
              <w:rPr>
                <w:rStyle w:val="83"/>
                <w:rFonts w:hint="eastAsia" w:ascii="仿宋" w:hAnsi="仿宋" w:eastAsia="仿宋" w:cs="仿宋"/>
                <w:color w:val="auto"/>
                <w:sz w:val="21"/>
                <w:szCs w:val="21"/>
              </w:rPr>
              <w:t>10</w:t>
            </w:r>
            <w:r>
              <w:rPr>
                <w:rStyle w:val="83"/>
                <w:rFonts w:hint="eastAsia" w:ascii="仿宋" w:hAnsi="仿宋" w:eastAsia="仿宋" w:cs="仿宋"/>
                <w:color w:val="auto"/>
                <w:sz w:val="21"/>
                <w:szCs w:val="21"/>
                <w:lang w:val="zh-TW" w:eastAsia="zh-TW"/>
              </w:rPr>
              <w:t>）</w:t>
            </w:r>
          </w:p>
        </w:tc>
        <w:tc>
          <w:tcPr>
            <w:tcW w:w="4602" w:type="dxa"/>
            <w:noWrap/>
            <w:vAlign w:val="center"/>
          </w:tcPr>
          <w:p>
            <w:pPr>
              <w:pStyle w:val="158"/>
              <w:spacing w:line="320" w:lineRule="exact"/>
              <w:rPr>
                <w:sz w:val="21"/>
                <w:szCs w:val="21"/>
              </w:rPr>
            </w:pPr>
            <w:r>
              <w:rPr>
                <w:rFonts w:hint="eastAsia"/>
                <w:sz w:val="21"/>
                <w:szCs w:val="21"/>
              </w:rPr>
              <w:t>供应商提供项目实施方案，评审小组对方案中工作思路、工作流程、各阶段工作计划、组织机构、人员安排、工作职责划分等内容进行评分。</w:t>
            </w:r>
          </w:p>
          <w:p>
            <w:pPr>
              <w:pStyle w:val="158"/>
              <w:spacing w:line="320" w:lineRule="exact"/>
              <w:rPr>
                <w:sz w:val="21"/>
                <w:szCs w:val="21"/>
              </w:rPr>
            </w:pPr>
            <w:bookmarkStart w:id="92" w:name="OLE_LINK57"/>
            <w:bookmarkStart w:id="93" w:name="OLE_LINK58"/>
            <w:r>
              <w:rPr>
                <w:rFonts w:hint="eastAsia"/>
                <w:sz w:val="21"/>
                <w:szCs w:val="21"/>
              </w:rPr>
              <w:t>方案内容不存在瑕疵，得</w:t>
            </w:r>
            <w:r>
              <w:rPr>
                <w:sz w:val="21"/>
                <w:szCs w:val="21"/>
              </w:rPr>
              <w:t>10</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1</w:t>
            </w:r>
            <w:r>
              <w:rPr>
                <w:rFonts w:hint="eastAsia"/>
                <w:sz w:val="21"/>
                <w:szCs w:val="21"/>
              </w:rPr>
              <w:t>处瑕疵，得</w:t>
            </w:r>
            <w:r>
              <w:rPr>
                <w:sz w:val="21"/>
                <w:szCs w:val="21"/>
              </w:rPr>
              <w:t>8</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2</w:t>
            </w:r>
            <w:r>
              <w:rPr>
                <w:rFonts w:hint="eastAsia"/>
                <w:sz w:val="21"/>
                <w:szCs w:val="21"/>
              </w:rPr>
              <w:t>处瑕疵得</w:t>
            </w:r>
            <w:r>
              <w:rPr>
                <w:sz w:val="21"/>
                <w:szCs w:val="21"/>
              </w:rPr>
              <w:t>6</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3</w:t>
            </w:r>
            <w:r>
              <w:rPr>
                <w:rFonts w:hint="eastAsia"/>
                <w:sz w:val="21"/>
                <w:szCs w:val="21"/>
              </w:rPr>
              <w:t>处瑕疵得</w:t>
            </w:r>
            <w:r>
              <w:rPr>
                <w:sz w:val="21"/>
                <w:szCs w:val="21"/>
              </w:rPr>
              <w:t>4</w:t>
            </w:r>
            <w:r>
              <w:rPr>
                <w:rFonts w:hint="eastAsia"/>
                <w:sz w:val="21"/>
                <w:szCs w:val="21"/>
              </w:rPr>
              <w:t>分；</w:t>
            </w:r>
          </w:p>
          <w:p>
            <w:pPr>
              <w:pStyle w:val="158"/>
              <w:spacing w:line="320" w:lineRule="exact"/>
              <w:rPr>
                <w:sz w:val="21"/>
                <w:szCs w:val="21"/>
              </w:rPr>
            </w:pPr>
            <w:r>
              <w:rPr>
                <w:rFonts w:hint="eastAsia"/>
                <w:sz w:val="21"/>
                <w:szCs w:val="21"/>
              </w:rPr>
              <w:t>方案内容存在</w:t>
            </w:r>
            <w:r>
              <w:rPr>
                <w:sz w:val="21"/>
                <w:szCs w:val="21"/>
              </w:rPr>
              <w:t>4</w:t>
            </w:r>
            <w:r>
              <w:rPr>
                <w:rFonts w:hint="eastAsia"/>
                <w:sz w:val="21"/>
                <w:szCs w:val="21"/>
              </w:rPr>
              <w:t>处瑕疵得</w:t>
            </w:r>
            <w:r>
              <w:rPr>
                <w:sz w:val="21"/>
                <w:szCs w:val="21"/>
              </w:rPr>
              <w:t>2</w:t>
            </w:r>
            <w:r>
              <w:rPr>
                <w:rFonts w:hint="eastAsia"/>
                <w:sz w:val="21"/>
                <w:szCs w:val="21"/>
              </w:rPr>
              <w:t>分；</w:t>
            </w:r>
          </w:p>
          <w:p>
            <w:pPr>
              <w:pStyle w:val="158"/>
              <w:tabs>
                <w:tab w:val="left" w:pos="1134"/>
              </w:tabs>
              <w:adjustRightInd w:val="0"/>
              <w:snapToGrid w:val="0"/>
              <w:spacing w:before="120" w:line="320" w:lineRule="exact"/>
            </w:pPr>
            <w:r>
              <w:rPr>
                <w:rFonts w:hint="eastAsia"/>
                <w:sz w:val="21"/>
                <w:szCs w:val="21"/>
              </w:rPr>
              <w:t>方案内容存在</w:t>
            </w:r>
            <w:r>
              <w:rPr>
                <w:sz w:val="21"/>
                <w:szCs w:val="21"/>
              </w:rPr>
              <w:t>5</w:t>
            </w:r>
            <w:r>
              <w:rPr>
                <w:rFonts w:hint="eastAsia"/>
                <w:sz w:val="21"/>
                <w:szCs w:val="21"/>
              </w:rPr>
              <w:t>处及以上瑕疵或未提供得</w:t>
            </w:r>
            <w:r>
              <w:rPr>
                <w:sz w:val="21"/>
                <w:szCs w:val="21"/>
              </w:rPr>
              <w:t>0</w:t>
            </w:r>
            <w:r>
              <w:rPr>
                <w:rFonts w:hint="eastAsia"/>
                <w:sz w:val="21"/>
                <w:szCs w:val="21"/>
              </w:rPr>
              <w:t>分。</w:t>
            </w:r>
          </w:p>
          <w:bookmarkEnd w:id="92"/>
          <w:bookmarkEnd w:id="93"/>
          <w:p>
            <w:pPr>
              <w:pStyle w:val="158"/>
              <w:spacing w:line="320" w:lineRule="exact"/>
              <w:rPr>
                <w:rStyle w:val="83"/>
                <w:rFonts w:ascii="仿宋" w:hAnsi="仿宋" w:eastAsia="仿宋" w:cs="仿宋"/>
                <w:color w:val="auto"/>
                <w:sz w:val="21"/>
                <w:szCs w:val="21"/>
                <w:lang w:val="zh-TW" w:eastAsia="zh-TW"/>
              </w:rPr>
            </w:pPr>
          </w:p>
        </w:tc>
        <w:tc>
          <w:tcPr>
            <w:tcW w:w="2191" w:type="dxa"/>
            <w:noWrap/>
            <w:vAlign w:val="center"/>
          </w:tcPr>
          <w:p>
            <w:pPr>
              <w:pStyle w:val="158"/>
              <w:spacing w:line="320" w:lineRule="exact"/>
              <w:rPr>
                <w:rStyle w:val="83"/>
                <w:rFonts w:ascii="仿宋" w:hAnsi="仿宋" w:eastAsia="仿宋" w:cs="仿宋"/>
                <w:color w:val="auto"/>
                <w:sz w:val="21"/>
                <w:szCs w:val="21"/>
                <w:lang w:val="zh-TW" w:eastAsia="zh-TW"/>
              </w:rPr>
            </w:pPr>
            <w:bookmarkStart w:id="94" w:name="OLE_LINK55"/>
            <w:bookmarkStart w:id="95" w:name="OLE_LINK56"/>
            <w:r>
              <w:rPr>
                <w:rFonts w:hint="eastAsia" w:ascii="微软雅黑" w:hAnsi="微软雅黑" w:eastAsia="微软雅黑" w:cs="微软雅黑"/>
                <w:sz w:val="18"/>
                <w:szCs w:val="18"/>
              </w:rPr>
              <w:t>【本项内容中所称的“瑕疵”指内容缺项；提供内容未结合项目特点；工作思路不清晰；工作流程不完整；缺少阶段性工作计划；组织机构、人员安排不合理；工作职责划分不明确；内容存在逻辑漏洞、常识错误等任意一种情形】。</w:t>
            </w:r>
            <w:bookmarkEnd w:id="94"/>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32" w:type="dxa"/>
            <w:vMerge w:val="continue"/>
            <w:noWrap/>
            <w:vAlign w:val="center"/>
          </w:tcPr>
          <w:p>
            <w:pPr>
              <w:pStyle w:val="158"/>
              <w:spacing w:line="320" w:lineRule="exact"/>
              <w:rPr>
                <w:rStyle w:val="83"/>
                <w:rFonts w:ascii="仿宋" w:hAnsi="仿宋" w:eastAsia="仿宋" w:cs="仿宋"/>
                <w:color w:val="auto"/>
                <w:sz w:val="21"/>
                <w:szCs w:val="21"/>
                <w:lang w:val="zh-TW" w:eastAsia="zh-TW"/>
              </w:rPr>
            </w:pPr>
          </w:p>
        </w:tc>
        <w:tc>
          <w:tcPr>
            <w:tcW w:w="1561" w:type="dxa"/>
            <w:vMerge w:val="continue"/>
            <w:noWrap/>
            <w:vAlign w:val="center"/>
          </w:tcPr>
          <w:p>
            <w:pPr>
              <w:pStyle w:val="158"/>
              <w:spacing w:line="320" w:lineRule="exact"/>
              <w:rPr>
                <w:rStyle w:val="83"/>
                <w:rFonts w:ascii="仿宋" w:hAnsi="仿宋" w:eastAsia="仿宋" w:cs="仿宋"/>
                <w:color w:val="auto"/>
                <w:sz w:val="21"/>
                <w:szCs w:val="21"/>
                <w:lang w:val="zh-TW" w:eastAsia="zh-TW"/>
              </w:rPr>
            </w:pPr>
          </w:p>
        </w:tc>
        <w:tc>
          <w:tcPr>
            <w:tcW w:w="850"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计划进度（10）</w:t>
            </w:r>
          </w:p>
        </w:tc>
        <w:tc>
          <w:tcPr>
            <w:tcW w:w="4602" w:type="dxa"/>
            <w:noWrap/>
            <w:vAlign w:val="center"/>
          </w:tcPr>
          <w:p>
            <w:pPr>
              <w:pStyle w:val="158"/>
              <w:adjustRightInd w:val="0"/>
              <w:snapToGrid w:val="0"/>
              <w:spacing w:before="120" w:line="320" w:lineRule="exact"/>
              <w:outlineLvl w:val="2"/>
              <w:rPr>
                <w:rFonts w:ascii="方正仿宋_GBK" w:hAnsi="宋体" w:eastAsia="方正仿宋_GBK"/>
                <w:sz w:val="21"/>
                <w:szCs w:val="21"/>
              </w:rPr>
            </w:pPr>
            <w:r>
              <w:rPr>
                <w:rFonts w:hint="eastAsia" w:ascii="方正仿宋_GBK" w:hAnsi="宋体" w:eastAsia="方正仿宋_GBK"/>
                <w:sz w:val="21"/>
                <w:szCs w:val="21"/>
              </w:rPr>
              <w:t>供应商提供项目</w:t>
            </w:r>
            <w:r>
              <w:rPr>
                <w:rFonts w:hint="eastAsia"/>
                <w:sz w:val="21"/>
                <w:szCs w:val="21"/>
              </w:rPr>
              <w:t>进度</w:t>
            </w:r>
            <w:r>
              <w:rPr>
                <w:rFonts w:hint="eastAsia" w:ascii="方正仿宋_GBK" w:hAnsi="宋体" w:eastAsia="方正仿宋_GBK"/>
                <w:sz w:val="21"/>
                <w:szCs w:val="21"/>
              </w:rPr>
              <w:t>计划安排，</w:t>
            </w:r>
            <w:r>
              <w:rPr>
                <w:rFonts w:hint="eastAsia"/>
                <w:sz w:val="21"/>
                <w:szCs w:val="21"/>
              </w:rPr>
              <w:t>评审小组</w:t>
            </w:r>
            <w:r>
              <w:rPr>
                <w:rFonts w:hint="eastAsia" w:ascii="方正仿宋_GBK" w:hAnsi="宋体" w:eastAsia="方正仿宋_GBK"/>
                <w:sz w:val="21"/>
                <w:szCs w:val="21"/>
              </w:rPr>
              <w:t>对进度计划是否详细合理，阶段目标是否明确</w:t>
            </w:r>
            <w:r>
              <w:rPr>
                <w:rFonts w:hint="eastAsia"/>
                <w:sz w:val="21"/>
                <w:szCs w:val="21"/>
              </w:rPr>
              <w:t>，符合项目实际所需</w:t>
            </w:r>
            <w:r>
              <w:rPr>
                <w:rFonts w:hint="eastAsia" w:ascii="方正仿宋_GBK" w:hAnsi="宋体" w:eastAsia="方正仿宋_GBK"/>
                <w:sz w:val="21"/>
                <w:szCs w:val="21"/>
              </w:rPr>
              <w:t>进行评分。</w:t>
            </w:r>
          </w:p>
          <w:p>
            <w:pPr>
              <w:pStyle w:val="158"/>
              <w:spacing w:line="320" w:lineRule="exact"/>
              <w:rPr>
                <w:sz w:val="21"/>
                <w:szCs w:val="21"/>
              </w:rPr>
            </w:pPr>
            <w:r>
              <w:rPr>
                <w:rFonts w:hint="eastAsia"/>
                <w:sz w:val="21"/>
                <w:szCs w:val="21"/>
              </w:rPr>
              <w:t>方案内容不存在瑕疵，得10分；</w:t>
            </w:r>
          </w:p>
          <w:p>
            <w:pPr>
              <w:pStyle w:val="158"/>
              <w:spacing w:line="320" w:lineRule="exact"/>
              <w:rPr>
                <w:sz w:val="21"/>
                <w:szCs w:val="21"/>
              </w:rPr>
            </w:pPr>
            <w:r>
              <w:rPr>
                <w:rFonts w:hint="eastAsia"/>
                <w:sz w:val="21"/>
                <w:szCs w:val="21"/>
              </w:rPr>
              <w:t>方案内容存在1处瑕疵，得8分；</w:t>
            </w:r>
          </w:p>
          <w:p>
            <w:pPr>
              <w:pStyle w:val="158"/>
              <w:spacing w:line="320" w:lineRule="exact"/>
              <w:rPr>
                <w:sz w:val="21"/>
                <w:szCs w:val="21"/>
              </w:rPr>
            </w:pPr>
            <w:r>
              <w:rPr>
                <w:rFonts w:hint="eastAsia"/>
                <w:sz w:val="21"/>
                <w:szCs w:val="21"/>
              </w:rPr>
              <w:t>方案内容存在2处瑕疵得6分；</w:t>
            </w:r>
          </w:p>
          <w:p>
            <w:pPr>
              <w:pStyle w:val="158"/>
              <w:spacing w:line="320" w:lineRule="exact"/>
              <w:rPr>
                <w:sz w:val="21"/>
                <w:szCs w:val="21"/>
              </w:rPr>
            </w:pPr>
            <w:r>
              <w:rPr>
                <w:rFonts w:hint="eastAsia"/>
                <w:sz w:val="21"/>
                <w:szCs w:val="21"/>
              </w:rPr>
              <w:t>方案内容存在3处瑕疵得4分；</w:t>
            </w:r>
          </w:p>
          <w:p>
            <w:pPr>
              <w:pStyle w:val="158"/>
              <w:spacing w:line="320" w:lineRule="exact"/>
              <w:rPr>
                <w:sz w:val="21"/>
                <w:szCs w:val="21"/>
              </w:rPr>
            </w:pPr>
            <w:r>
              <w:rPr>
                <w:rFonts w:hint="eastAsia"/>
                <w:sz w:val="21"/>
                <w:szCs w:val="21"/>
              </w:rPr>
              <w:t>方案内容存在4处瑕疵得2分；</w:t>
            </w:r>
          </w:p>
          <w:p>
            <w:pPr>
              <w:pStyle w:val="158"/>
              <w:spacing w:line="320" w:lineRule="exact"/>
            </w:pPr>
            <w:r>
              <w:rPr>
                <w:rFonts w:hint="eastAsia"/>
                <w:sz w:val="21"/>
                <w:szCs w:val="21"/>
              </w:rPr>
              <w:t>方案内容存在5处及以上瑕疵或未提供得0分。</w:t>
            </w:r>
          </w:p>
          <w:p>
            <w:pPr>
              <w:pStyle w:val="158"/>
              <w:spacing w:line="320" w:lineRule="exact"/>
              <w:rPr>
                <w:rStyle w:val="83"/>
                <w:rFonts w:ascii="仿宋" w:hAnsi="仿宋" w:eastAsia="仿宋" w:cs="仿宋"/>
                <w:color w:val="auto"/>
                <w:sz w:val="21"/>
                <w:szCs w:val="21"/>
                <w:lang w:val="zh-TW" w:eastAsia="zh-TW"/>
              </w:rPr>
            </w:pPr>
          </w:p>
        </w:tc>
        <w:tc>
          <w:tcPr>
            <w:tcW w:w="2191" w:type="dxa"/>
            <w:noWrap/>
            <w:vAlign w:val="center"/>
          </w:tcPr>
          <w:p>
            <w:pPr>
              <w:pStyle w:val="158"/>
              <w:spacing w:line="320" w:lineRule="exact"/>
              <w:rPr>
                <w:rStyle w:val="83"/>
                <w:rFonts w:ascii="仿宋" w:hAnsi="仿宋" w:eastAsia="仿宋" w:cs="仿宋"/>
                <w:color w:val="auto"/>
                <w:sz w:val="21"/>
                <w:szCs w:val="21"/>
                <w:lang w:val="zh-TW" w:eastAsia="zh-TW"/>
              </w:rPr>
            </w:pPr>
            <w:r>
              <w:rPr>
                <w:rFonts w:hint="eastAsia" w:ascii="微软雅黑" w:hAnsi="微软雅黑" w:eastAsia="微软雅黑" w:cs="微软雅黑"/>
                <w:sz w:val="18"/>
                <w:szCs w:val="18"/>
              </w:rPr>
              <w:t>【本项内容中所称的“瑕疵”指内容缺项；提供内容未结合项目特点；进度计划不够完整；阶段目标不够明确；内容存在逻辑漏洞、常识错误等任意一种情形】。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532" w:type="dxa"/>
            <w:vMerge w:val="restart"/>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3</w:t>
            </w:r>
          </w:p>
        </w:tc>
        <w:tc>
          <w:tcPr>
            <w:tcW w:w="1561" w:type="dxa"/>
            <w:vMerge w:val="restart"/>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商务部分</w:t>
            </w:r>
          </w:p>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w:t>
            </w:r>
            <w:r>
              <w:rPr>
                <w:rStyle w:val="83"/>
                <w:rFonts w:hint="eastAsia" w:ascii="仿宋" w:hAnsi="仿宋" w:eastAsia="仿宋" w:cs="仿宋"/>
                <w:color w:val="auto"/>
                <w:sz w:val="21"/>
                <w:szCs w:val="21"/>
              </w:rPr>
              <w:t>30</w:t>
            </w:r>
            <w:r>
              <w:rPr>
                <w:rStyle w:val="83"/>
                <w:rFonts w:hint="eastAsia" w:ascii="仿宋" w:hAnsi="仿宋" w:eastAsia="仿宋" w:cs="仿宋"/>
                <w:color w:val="auto"/>
                <w:sz w:val="21"/>
                <w:szCs w:val="21"/>
                <w:lang w:val="zh-TW" w:eastAsia="zh-TW"/>
              </w:rPr>
              <w:t>%）</w:t>
            </w:r>
          </w:p>
        </w:tc>
        <w:tc>
          <w:tcPr>
            <w:tcW w:w="850"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rPr>
              <w:t>业绩（15）</w:t>
            </w:r>
          </w:p>
        </w:tc>
        <w:tc>
          <w:tcPr>
            <w:tcW w:w="4602" w:type="dxa"/>
            <w:noWrap/>
            <w:vAlign w:val="center"/>
          </w:tcPr>
          <w:p>
            <w:pPr>
              <w:pStyle w:val="158"/>
              <w:spacing w:line="320" w:lineRule="exact"/>
              <w:rPr>
                <w:rStyle w:val="83"/>
                <w:rFonts w:ascii="仿宋" w:hAnsi="仿宋" w:eastAsia="仿宋" w:cs="仿宋"/>
                <w:color w:val="auto"/>
                <w:sz w:val="21"/>
                <w:szCs w:val="21"/>
                <w:lang w:val="zh-TW" w:eastAsia="zh-TW"/>
              </w:rPr>
            </w:pPr>
            <w:r>
              <w:rPr>
                <w:rFonts w:hint="eastAsia" w:ascii="方正仿宋_GBK" w:hAnsi="宋体" w:eastAsia="方正仿宋_GBK"/>
                <w:color w:val="auto"/>
                <w:sz w:val="21"/>
                <w:szCs w:val="21"/>
              </w:rPr>
              <w:t>供应商</w:t>
            </w:r>
            <w:r>
              <w:rPr>
                <w:rFonts w:ascii="方正仿宋_GBK" w:hAnsi="宋体" w:eastAsia="方正仿宋_GBK"/>
                <w:bCs/>
                <w:color w:val="auto"/>
                <w:sz w:val="21"/>
                <w:szCs w:val="21"/>
              </w:rPr>
              <w:t>近</w:t>
            </w:r>
            <w:r>
              <w:rPr>
                <w:rFonts w:hint="eastAsia" w:ascii="方正仿宋_GBK" w:hAnsi="宋体" w:eastAsia="方正仿宋_GBK"/>
                <w:bCs/>
                <w:color w:val="auto"/>
                <w:sz w:val="21"/>
                <w:szCs w:val="21"/>
              </w:rPr>
              <w:t>5</w:t>
            </w:r>
            <w:r>
              <w:rPr>
                <w:rFonts w:ascii="方正仿宋_GBK" w:hAnsi="宋体" w:eastAsia="方正仿宋_GBK"/>
                <w:bCs/>
                <w:color w:val="auto"/>
                <w:sz w:val="21"/>
                <w:szCs w:val="21"/>
              </w:rPr>
              <w:t>年（20</w:t>
            </w:r>
            <w:r>
              <w:rPr>
                <w:rFonts w:hint="eastAsia" w:ascii="方正仿宋_GBK" w:hAnsi="宋体" w:eastAsia="方正仿宋_GBK"/>
                <w:bCs/>
                <w:color w:val="auto"/>
                <w:sz w:val="21"/>
                <w:szCs w:val="21"/>
              </w:rPr>
              <w:t>20年1月1日至今,以合同签订时间为准）</w:t>
            </w:r>
            <w:r>
              <w:rPr>
                <w:rFonts w:hint="eastAsia" w:ascii="方正仿宋_GBK" w:hAnsi="宋体" w:eastAsia="方正仿宋_GBK"/>
                <w:color w:val="auto"/>
                <w:sz w:val="21"/>
                <w:szCs w:val="21"/>
              </w:rPr>
              <w:t>完成航道相关咨询项目或完成预算定额编制（或修订）业绩的，每个得3分，最多得分不超出15分。</w:t>
            </w:r>
          </w:p>
        </w:tc>
        <w:tc>
          <w:tcPr>
            <w:tcW w:w="2191" w:type="dxa"/>
            <w:noWrap/>
            <w:vAlign w:val="center"/>
          </w:tcPr>
          <w:p>
            <w:pPr>
              <w:pStyle w:val="158"/>
              <w:spacing w:line="320" w:lineRule="exact"/>
              <w:rPr>
                <w:rStyle w:val="83"/>
                <w:rFonts w:ascii="仿宋" w:hAnsi="仿宋" w:eastAsia="仿宋" w:cs="仿宋"/>
                <w:color w:val="auto"/>
                <w:sz w:val="21"/>
                <w:szCs w:val="21"/>
                <w:lang w:val="zh-TW" w:eastAsia="zh-TW"/>
              </w:rPr>
            </w:pPr>
            <w:r>
              <w:rPr>
                <w:rFonts w:hint="eastAsia" w:ascii="方正仿宋_GBK" w:hAnsi="宋体" w:eastAsia="方正仿宋_GBK"/>
                <w:color w:val="auto"/>
                <w:sz w:val="21"/>
                <w:szCs w:val="21"/>
              </w:rPr>
              <w:t>提供</w:t>
            </w:r>
            <w:r>
              <w:rPr>
                <w:rFonts w:hint="eastAsia" w:ascii="方正仿宋_GBK" w:hAnsi="微软雅黑" w:eastAsia="方正仿宋_GBK" w:cs="微软雅黑"/>
                <w:color w:val="auto"/>
                <w:sz w:val="21"/>
                <w:szCs w:val="21"/>
              </w:rPr>
              <w:t>合同关键页,同时提供对应的合同授予方验收合格证明材料复印件或经专家评审通过的评审意见复印件，加盖供应商公章。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532" w:type="dxa"/>
            <w:vMerge w:val="continue"/>
            <w:noWrap/>
            <w:vAlign w:val="center"/>
          </w:tcPr>
          <w:p>
            <w:pPr>
              <w:pStyle w:val="158"/>
              <w:spacing w:line="320" w:lineRule="exact"/>
              <w:rPr>
                <w:rStyle w:val="83"/>
                <w:rFonts w:ascii="仿宋" w:hAnsi="仿宋" w:eastAsia="仿宋" w:cs="仿宋"/>
                <w:color w:val="auto"/>
                <w:sz w:val="21"/>
                <w:szCs w:val="21"/>
                <w:lang w:val="zh-TW" w:eastAsia="zh-TW"/>
              </w:rPr>
            </w:pPr>
          </w:p>
        </w:tc>
        <w:tc>
          <w:tcPr>
            <w:tcW w:w="1561" w:type="dxa"/>
            <w:vMerge w:val="continue"/>
            <w:noWrap/>
            <w:vAlign w:val="center"/>
          </w:tcPr>
          <w:p>
            <w:pPr>
              <w:pStyle w:val="158"/>
              <w:spacing w:line="320" w:lineRule="exact"/>
              <w:rPr>
                <w:rStyle w:val="83"/>
                <w:rFonts w:ascii="仿宋" w:hAnsi="仿宋" w:eastAsia="仿宋" w:cs="仿宋"/>
                <w:color w:val="auto"/>
                <w:sz w:val="21"/>
                <w:szCs w:val="21"/>
                <w:lang w:val="zh-TW" w:eastAsia="zh-TW"/>
              </w:rPr>
            </w:pPr>
          </w:p>
        </w:tc>
        <w:tc>
          <w:tcPr>
            <w:tcW w:w="850"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项目人员专业性（</w:t>
            </w:r>
            <w:r>
              <w:rPr>
                <w:rStyle w:val="83"/>
                <w:rFonts w:hint="eastAsia" w:ascii="仿宋" w:hAnsi="仿宋" w:eastAsia="仿宋" w:cs="仿宋"/>
                <w:color w:val="auto"/>
                <w:sz w:val="21"/>
                <w:szCs w:val="21"/>
              </w:rPr>
              <w:t>15</w:t>
            </w:r>
            <w:r>
              <w:rPr>
                <w:rStyle w:val="83"/>
                <w:rFonts w:hint="eastAsia" w:ascii="仿宋" w:hAnsi="仿宋" w:eastAsia="仿宋" w:cs="仿宋"/>
                <w:color w:val="auto"/>
                <w:sz w:val="21"/>
                <w:szCs w:val="21"/>
                <w:lang w:val="zh-TW" w:eastAsia="zh-TW"/>
              </w:rPr>
              <w:t>）</w:t>
            </w:r>
          </w:p>
        </w:tc>
        <w:tc>
          <w:tcPr>
            <w:tcW w:w="4602"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参与本次服务工作的</w:t>
            </w:r>
            <w:r>
              <w:rPr>
                <w:rStyle w:val="83"/>
                <w:rFonts w:hint="eastAsia" w:ascii="仿宋" w:hAnsi="仿宋" w:eastAsia="仿宋" w:cs="仿宋"/>
                <w:color w:val="auto"/>
                <w:sz w:val="21"/>
                <w:szCs w:val="21"/>
              </w:rPr>
              <w:t>成员</w:t>
            </w:r>
            <w:r>
              <w:rPr>
                <w:rStyle w:val="83"/>
                <w:rFonts w:hint="eastAsia" w:ascii="仿宋" w:hAnsi="仿宋" w:eastAsia="仿宋" w:cs="仿宋"/>
                <w:color w:val="auto"/>
                <w:sz w:val="21"/>
                <w:szCs w:val="21"/>
                <w:lang w:val="zh-TW" w:eastAsia="zh-TW"/>
              </w:rPr>
              <w:t>具有</w:t>
            </w:r>
            <w:r>
              <w:rPr>
                <w:rStyle w:val="83"/>
                <w:rFonts w:hint="eastAsia" w:ascii="仿宋" w:hAnsi="仿宋" w:eastAsia="仿宋" w:cs="仿宋"/>
                <w:color w:val="auto"/>
                <w:sz w:val="21"/>
                <w:szCs w:val="21"/>
              </w:rPr>
              <w:t>港口航道、水利工程等高级职称的</w:t>
            </w:r>
            <w:r>
              <w:rPr>
                <w:rStyle w:val="83"/>
                <w:rFonts w:hint="eastAsia" w:ascii="仿宋" w:hAnsi="仿宋" w:eastAsia="仿宋" w:cs="仿宋"/>
                <w:color w:val="auto"/>
                <w:sz w:val="21"/>
                <w:szCs w:val="21"/>
                <w:lang w:val="zh-TW" w:eastAsia="zh-TW"/>
              </w:rPr>
              <w:t>，投入1人得</w:t>
            </w:r>
            <w:r>
              <w:rPr>
                <w:rStyle w:val="83"/>
                <w:rFonts w:hint="eastAsia" w:ascii="仿宋" w:hAnsi="仿宋" w:eastAsia="仿宋" w:cs="仿宋"/>
                <w:color w:val="auto"/>
                <w:sz w:val="21"/>
                <w:szCs w:val="21"/>
              </w:rPr>
              <w:t>3</w:t>
            </w:r>
            <w:r>
              <w:rPr>
                <w:rStyle w:val="83"/>
                <w:rFonts w:hint="eastAsia" w:ascii="仿宋" w:hAnsi="仿宋" w:eastAsia="仿宋" w:cs="仿宋"/>
                <w:color w:val="auto"/>
                <w:sz w:val="21"/>
                <w:szCs w:val="21"/>
                <w:lang w:val="zh-TW" w:eastAsia="zh-TW"/>
              </w:rPr>
              <w:t>分，最多得</w:t>
            </w:r>
            <w:r>
              <w:rPr>
                <w:rStyle w:val="83"/>
                <w:rFonts w:hint="eastAsia" w:ascii="仿宋" w:hAnsi="仿宋" w:eastAsia="仿宋" w:cs="仿宋"/>
                <w:color w:val="auto"/>
                <w:sz w:val="21"/>
                <w:szCs w:val="21"/>
              </w:rPr>
              <w:t>9</w:t>
            </w:r>
            <w:r>
              <w:rPr>
                <w:rStyle w:val="83"/>
                <w:rFonts w:hint="eastAsia" w:ascii="仿宋" w:hAnsi="仿宋" w:eastAsia="仿宋" w:cs="仿宋"/>
                <w:color w:val="auto"/>
                <w:sz w:val="21"/>
                <w:szCs w:val="21"/>
                <w:lang w:val="zh-TW" w:eastAsia="zh-TW"/>
              </w:rPr>
              <w:t>分</w:t>
            </w:r>
            <w:r>
              <w:rPr>
                <w:rStyle w:val="83"/>
                <w:rFonts w:hint="eastAsia" w:ascii="仿宋" w:hAnsi="仿宋" w:eastAsia="仿宋" w:cs="仿宋"/>
                <w:color w:val="auto"/>
                <w:sz w:val="21"/>
                <w:szCs w:val="21"/>
                <w:lang w:val="zh-TW"/>
              </w:rPr>
              <w:t>；具有注册造价师资格证书的，投入</w:t>
            </w:r>
            <w:r>
              <w:rPr>
                <w:rStyle w:val="83"/>
                <w:rFonts w:hint="eastAsia" w:ascii="仿宋" w:hAnsi="仿宋" w:eastAsia="仿宋" w:cs="仿宋"/>
                <w:color w:val="auto"/>
                <w:sz w:val="21"/>
                <w:szCs w:val="21"/>
              </w:rPr>
              <w:t>1人得3分，最多得6分。</w:t>
            </w:r>
          </w:p>
        </w:tc>
        <w:tc>
          <w:tcPr>
            <w:tcW w:w="2191" w:type="dxa"/>
            <w:noWrap/>
            <w:vAlign w:val="center"/>
          </w:tcPr>
          <w:p>
            <w:pPr>
              <w:pStyle w:val="158"/>
              <w:spacing w:line="320" w:lineRule="exact"/>
              <w:rPr>
                <w:rStyle w:val="83"/>
                <w:rFonts w:ascii="仿宋" w:hAnsi="仿宋" w:eastAsia="仿宋" w:cs="仿宋"/>
                <w:color w:val="auto"/>
                <w:sz w:val="21"/>
                <w:szCs w:val="21"/>
                <w:lang w:val="zh-TW" w:eastAsia="zh-TW"/>
              </w:rPr>
            </w:pPr>
            <w:r>
              <w:rPr>
                <w:rStyle w:val="83"/>
                <w:rFonts w:hint="eastAsia" w:ascii="仿宋" w:hAnsi="仿宋" w:eastAsia="仿宋" w:cs="仿宋"/>
                <w:color w:val="auto"/>
                <w:sz w:val="21"/>
                <w:szCs w:val="21"/>
                <w:lang w:val="zh-TW" w:eastAsia="zh-TW"/>
              </w:rPr>
              <w:t>提供证书复印件，加盖供应商公章。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9736" w:type="dxa"/>
            <w:gridSpan w:val="5"/>
            <w:noWrap/>
            <w:vAlign w:val="center"/>
          </w:tcPr>
          <w:p>
            <w:pPr>
              <w:pStyle w:val="158"/>
              <w:spacing w:line="320" w:lineRule="exact"/>
              <w:rPr>
                <w:rStyle w:val="83"/>
                <w:rFonts w:ascii="仿宋" w:hAnsi="仿宋" w:eastAsia="仿宋" w:cs="仿宋"/>
                <w:color w:val="0000FF"/>
                <w:sz w:val="21"/>
                <w:szCs w:val="21"/>
                <w:lang w:val="zh-TW" w:eastAsia="zh-TW"/>
              </w:rPr>
            </w:pPr>
            <w:r>
              <w:rPr>
                <w:rFonts w:hint="eastAsia" w:ascii="方正仿宋_GBK" w:eastAsia="方正仿宋_GBK"/>
                <w:b/>
                <w:sz w:val="24"/>
                <w:szCs w:val="24"/>
              </w:rPr>
              <w:t>注：当商务部分得分差异较大（有效供应商商务部分平均得分不足最高得分的50%时），评审小组经分析认为本次项目竞标明显缺乏竞争的，可以说明原因并按废标进行处置。由采购人或代理机构发布项目终止公告，重新开展采购活动。</w:t>
            </w:r>
          </w:p>
        </w:tc>
      </w:tr>
    </w:tbl>
    <w:p>
      <w:pPr>
        <w:pStyle w:val="3"/>
        <w:adjustRightInd w:val="0"/>
        <w:snapToGrid w:val="0"/>
        <w:spacing w:line="400" w:lineRule="exact"/>
        <w:ind w:firstLine="482" w:firstLineChars="200"/>
        <w:rPr>
          <w:rFonts w:ascii="仿宋" w:hAnsi="仿宋" w:eastAsia="仿宋" w:cs="仿宋"/>
          <w:sz w:val="24"/>
        </w:rPr>
      </w:pPr>
      <w:bookmarkStart w:id="96" w:name="_Toc106030890"/>
      <w:bookmarkStart w:id="97" w:name="_Toc76462335"/>
      <w:r>
        <w:rPr>
          <w:rFonts w:hint="eastAsia" w:ascii="仿宋" w:hAnsi="仿宋" w:eastAsia="仿宋" w:cs="仿宋"/>
          <w:sz w:val="24"/>
        </w:rPr>
        <w:t>三、无效响应</w:t>
      </w:r>
      <w:bookmarkEnd w:id="96"/>
      <w:bookmarkEnd w:id="97"/>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供应商发生以下条款情况之一者，视为无效响应，其响应文件将被拒绝：</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（一）供应商不符合规定的资格条件的；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（二）供应商的法定代表人（或其授权代表）或自然人未参加磋商；</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（三）供应商所提交的响应文件不按“第七篇响应文件编制要求”要求签署或盖章；</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（四）供应商的最后报价超过采购预算或最高限价的；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（五）法定代表人为同一个人的两个及两个以上法人，母公司、全资子公司及其控股公司，在同一包采购中同时参与竞争；</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（六）单位负责人为同一人或者存在直接控股、管理关系的不同供应商，参加同一合同项下的政府采购活动的；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（七）为采购项目提供整体设计、规范编制或者项目管理、监理、检测等服务的供应商，再参加该采购项目的其他采购活动；</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（八）供应商限额以下磋商评分有效期不满足采购文件要求的；</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（九）供应商响应文件内容有与国家现行法律法规相违背的内容，或附有采购人无法接受的条件；</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（十）法律、法规和采购文件规定的其他无效情形。</w:t>
      </w:r>
    </w:p>
    <w:p>
      <w:pPr>
        <w:pStyle w:val="3"/>
        <w:adjustRightInd w:val="0"/>
        <w:snapToGrid w:val="0"/>
        <w:spacing w:line="400" w:lineRule="exact"/>
        <w:ind w:firstLine="482" w:firstLineChars="200"/>
        <w:rPr>
          <w:rFonts w:ascii="仿宋" w:hAnsi="仿宋" w:eastAsia="仿宋" w:cs="仿宋"/>
          <w:sz w:val="24"/>
        </w:rPr>
      </w:pPr>
      <w:bookmarkStart w:id="98" w:name="_Toc76462336"/>
      <w:bookmarkStart w:id="99" w:name="_Toc106030891"/>
      <w:r>
        <w:rPr>
          <w:rFonts w:hint="eastAsia" w:ascii="仿宋" w:hAnsi="仿宋" w:eastAsia="仿宋" w:cs="仿宋"/>
          <w:sz w:val="24"/>
        </w:rPr>
        <w:t>四、</w:t>
      </w:r>
      <w:bookmarkEnd w:id="78"/>
      <w:bookmarkEnd w:id="79"/>
      <w:r>
        <w:rPr>
          <w:rFonts w:hint="eastAsia" w:ascii="仿宋" w:hAnsi="仿宋" w:eastAsia="仿宋" w:cs="仿宋"/>
          <w:sz w:val="24"/>
        </w:rPr>
        <w:t>采购终止</w:t>
      </w:r>
      <w:bookmarkEnd w:id="98"/>
      <w:bookmarkEnd w:id="99"/>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出现下列情形之一的，采购人或者采购代理机构应当终止采购活动，发布项目终止公告并说明原因，重新开展采购活动：</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（一）因情况变化，不再符合规定的限额以下磋商评分采购方式适用情形的；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（二）出现影响采购公正的违法、违规行为的；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pacing w:line="400" w:lineRule="exact"/>
        <w:ind w:firstLine="480" w:firstLineChars="200"/>
        <w:rPr>
          <w:rFonts w:ascii="仿宋" w:hAnsi="仿宋" w:eastAsia="仿宋" w:cs="仿宋"/>
          <w:sz w:val="24"/>
          <w:szCs w:val="24"/>
        </w:rPr>
        <w:sectPr>
          <w:pgSz w:w="11907" w:h="16840"/>
          <w:pgMar w:top="1134" w:right="1191" w:bottom="1134" w:left="1304" w:header="964" w:footer="992" w:gutter="0"/>
          <w:pgNumType w:fmt="numberInDash"/>
          <w:cols w:space="720" w:num="1"/>
          <w:docGrid w:linePitch="312" w:charSpace="0"/>
        </w:sectPr>
      </w:pPr>
    </w:p>
    <w:p>
      <w:pPr>
        <w:pStyle w:val="3"/>
        <w:pageBreakBefore/>
        <w:spacing w:line="360" w:lineRule="auto"/>
        <w:jc w:val="center"/>
        <w:rPr>
          <w:rFonts w:ascii="仿宋" w:hAnsi="仿宋" w:eastAsia="仿宋" w:cs="仿宋"/>
          <w:b w:val="0"/>
          <w:bCs/>
          <w:sz w:val="36"/>
          <w:szCs w:val="30"/>
        </w:rPr>
      </w:pPr>
      <w:bookmarkStart w:id="100" w:name="_Toc76462337"/>
      <w:bookmarkStart w:id="101" w:name="_Toc106030892"/>
      <w:bookmarkStart w:id="102" w:name="_Toc102227313"/>
      <w:r>
        <w:rPr>
          <w:rFonts w:hint="eastAsia" w:ascii="仿宋" w:hAnsi="仿宋" w:eastAsia="仿宋" w:cs="仿宋"/>
          <w:b w:val="0"/>
          <w:bCs/>
          <w:sz w:val="36"/>
          <w:szCs w:val="30"/>
        </w:rPr>
        <w:t>第五篇  供应商须知</w:t>
      </w:r>
      <w:bookmarkEnd w:id="100"/>
      <w:bookmarkEnd w:id="101"/>
      <w:bookmarkEnd w:id="102"/>
    </w:p>
    <w:p>
      <w:pPr>
        <w:pStyle w:val="3"/>
        <w:adjustRightInd w:val="0"/>
        <w:snapToGrid w:val="0"/>
        <w:spacing w:line="400" w:lineRule="exact"/>
        <w:ind w:firstLine="482" w:firstLineChars="200"/>
        <w:rPr>
          <w:rFonts w:ascii="仿宋" w:hAnsi="仿宋" w:eastAsia="仿宋" w:cs="仿宋"/>
          <w:sz w:val="24"/>
        </w:rPr>
      </w:pPr>
      <w:bookmarkStart w:id="103" w:name="_Toc342913389"/>
      <w:bookmarkStart w:id="104" w:name="_Toc106030893"/>
      <w:bookmarkStart w:id="105" w:name="_Toc76462338"/>
      <w:r>
        <w:rPr>
          <w:rFonts w:hint="eastAsia" w:ascii="仿宋" w:hAnsi="仿宋" w:eastAsia="仿宋" w:cs="仿宋"/>
          <w:sz w:val="24"/>
        </w:rPr>
        <w:t>一、限额以下磋商评分费用</w:t>
      </w:r>
      <w:bookmarkEnd w:id="103"/>
      <w:bookmarkEnd w:id="104"/>
      <w:bookmarkEnd w:id="105"/>
    </w:p>
    <w:p>
      <w:pPr>
        <w:pStyle w:val="211"/>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参与竞争的供应商应承担其编制响应文件与递交响应文件所涉及的一切费用，不论结果如何，采购人和采购代理机构在任何情况下无义务也无责任承担这些费用。</w:t>
      </w:r>
    </w:p>
    <w:p>
      <w:pPr>
        <w:pStyle w:val="3"/>
        <w:adjustRightInd w:val="0"/>
        <w:snapToGrid w:val="0"/>
        <w:spacing w:line="400" w:lineRule="exact"/>
        <w:ind w:firstLine="482" w:firstLineChars="200"/>
        <w:rPr>
          <w:rFonts w:ascii="仿宋" w:hAnsi="仿宋" w:eastAsia="仿宋" w:cs="仿宋"/>
          <w:sz w:val="24"/>
        </w:rPr>
      </w:pPr>
      <w:bookmarkStart w:id="106" w:name="_Toc106030894"/>
      <w:bookmarkStart w:id="107" w:name="_Toc76462339"/>
      <w:bookmarkStart w:id="108" w:name="_Toc342913391"/>
      <w:r>
        <w:rPr>
          <w:rFonts w:hint="eastAsia" w:ascii="仿宋" w:hAnsi="仿宋" w:eastAsia="仿宋" w:cs="仿宋"/>
          <w:sz w:val="24"/>
        </w:rPr>
        <w:t>二、限额以下磋商评分文件</w:t>
      </w:r>
      <w:bookmarkEnd w:id="106"/>
      <w:bookmarkEnd w:id="107"/>
      <w:bookmarkEnd w:id="108"/>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（一）限额以下磋商评分文件由采购邀请书、项目服务需求、项目商务需求、评分程序及方法、评审标准、无效响应和采购终止、供应商须知、政府采购合同</w:t>
      </w:r>
      <w:r>
        <w:rPr>
          <w:rFonts w:hint="eastAsia" w:ascii="仿宋" w:hAnsi="仿宋" w:eastAsia="仿宋" w:cs="仿宋"/>
          <w:b/>
          <w:sz w:val="24"/>
          <w:szCs w:val="24"/>
        </w:rPr>
        <w:t>、</w:t>
      </w:r>
      <w:r>
        <w:rPr>
          <w:rFonts w:hint="eastAsia" w:ascii="仿宋" w:hAnsi="仿宋" w:eastAsia="仿宋" w:cs="仿宋"/>
          <w:sz w:val="24"/>
          <w:szCs w:val="24"/>
        </w:rPr>
        <w:t>响应文件编制要求七部分组成。</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（二）采购人（或采购代理机构）所作的一切有效的书面通知、修改及补充，都是采购文件不可分割的部分。</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（三）限额以下磋商评分文件的解释</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09" w:name="_Toc318166429"/>
      <w:bookmarkStart w:id="110" w:name="_Toc318159160"/>
      <w:bookmarkStart w:id="111" w:name="_Toc318159780"/>
      <w:bookmarkStart w:id="112" w:name="_Toc318159349"/>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（四）本限额以下磋商评分文件中，评审小组根据与供应商进行磋商可能实质性变动的内容为限额以下磋商评分文件第二、三、六篇全部内容。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（五）评审的依据为限额以下磋商评分文件和响应文件（含有效的书面承诺）。评审小组判断响应文件对限额以下磋商评分文件的响应，仅基于响应文件本身而不靠外部证据。</w:t>
      </w:r>
    </w:p>
    <w:bookmarkEnd w:id="109"/>
    <w:bookmarkEnd w:id="110"/>
    <w:bookmarkEnd w:id="111"/>
    <w:bookmarkEnd w:id="112"/>
    <w:p>
      <w:pPr>
        <w:pStyle w:val="3"/>
        <w:adjustRightInd w:val="0"/>
        <w:snapToGrid w:val="0"/>
        <w:spacing w:line="400" w:lineRule="exact"/>
        <w:ind w:firstLine="482" w:firstLineChars="200"/>
        <w:rPr>
          <w:rFonts w:ascii="仿宋" w:hAnsi="仿宋" w:eastAsia="仿宋" w:cs="仿宋"/>
          <w:sz w:val="24"/>
        </w:rPr>
      </w:pPr>
      <w:bookmarkStart w:id="113" w:name="_Toc106030895"/>
      <w:bookmarkStart w:id="114" w:name="_Toc179714297"/>
      <w:bookmarkStart w:id="115" w:name="_Toc342913392"/>
      <w:bookmarkStart w:id="116" w:name="_Toc76462340"/>
      <w:bookmarkStart w:id="117" w:name="_Toc102227318"/>
      <w:r>
        <w:rPr>
          <w:rFonts w:hint="eastAsia" w:ascii="仿宋" w:hAnsi="仿宋" w:eastAsia="仿宋" w:cs="仿宋"/>
          <w:sz w:val="24"/>
        </w:rPr>
        <w:t>三、限额以下磋商评分要求</w:t>
      </w:r>
      <w:bookmarkEnd w:id="113"/>
      <w:bookmarkEnd w:id="114"/>
      <w:bookmarkEnd w:id="115"/>
      <w:bookmarkEnd w:id="116"/>
      <w:bookmarkEnd w:id="117"/>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（一）响应文件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1.供应商应当按照采购文件的要求编制响应文件，并对采购文件提出的要求和条件作出实质性响应，响应文件原则上应装订成册提交，同时应编制完整的页码、目录。</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2.响应文件组成</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（二）联合体</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本项目不接受联合体参与磋商。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（三）限额以下磋商评分有效期：响应文件及有关承诺文件有效期为提交响应文件截止时间起90天。</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（四）修正错误</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（五）提交响应文件的份数和签署</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1.响应文件一式二份，其中正本一份，副本一份，副本可为正本的复印件，应与正本一致，如出现不一致情况以正本为准。</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rPr>
        <w:t>响应文件按采购文件“第七篇响应文件编制要求”要求签署或盖章。</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（六）响应文件的递交</w:t>
      </w:r>
    </w:p>
    <w:p>
      <w:pPr>
        <w:pStyle w:val="30"/>
        <w:spacing w:line="400" w:lineRule="exact"/>
        <w:ind w:firstLine="480" w:firstLineChars="200"/>
        <w:rPr>
          <w:rFonts w:ascii="仿宋" w:hAnsi="仿宋" w:eastAsia="仿宋" w:cs="仿宋"/>
          <w:sz w:val="24"/>
        </w:rPr>
      </w:pPr>
      <w:r>
        <w:rPr>
          <w:rFonts w:hint="eastAsia" w:ascii="仿宋" w:hAnsi="仿宋" w:eastAsia="仿宋" w:cs="仿宋"/>
          <w:sz w:val="24"/>
        </w:rPr>
        <w:t>响应文件的正本、副本均应密封送达限额以下磋商评分地点，应在封套上注明限额以下磋商评分项目名称、供应商名称。若正本、副本分别进行密封的，还应在封套上注明“正本”、“副本”字样。</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（七）供应商参与人员</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各个供应商应当派1-2名代表参与磋商，至少1人应为法定代表人（或其授权代表）或自然人（供应商为自然人）。</w:t>
      </w:r>
    </w:p>
    <w:p>
      <w:pPr>
        <w:pStyle w:val="3"/>
        <w:adjustRightInd w:val="0"/>
        <w:snapToGrid w:val="0"/>
        <w:spacing w:line="400" w:lineRule="exact"/>
        <w:ind w:firstLine="482" w:firstLineChars="200"/>
        <w:rPr>
          <w:rFonts w:ascii="仿宋" w:hAnsi="仿宋" w:eastAsia="仿宋" w:cs="仿宋"/>
          <w:sz w:val="24"/>
        </w:rPr>
      </w:pPr>
      <w:bookmarkStart w:id="118" w:name="_Toc106030896"/>
      <w:bookmarkStart w:id="119" w:name="_Toc76462341"/>
      <w:r>
        <w:rPr>
          <w:rFonts w:hint="eastAsia" w:ascii="仿宋" w:hAnsi="仿宋" w:eastAsia="仿宋" w:cs="仿宋"/>
          <w:sz w:val="24"/>
        </w:rPr>
        <w:t>四、成交供应商的确认和变更</w:t>
      </w:r>
      <w:bookmarkEnd w:id="118"/>
      <w:bookmarkEnd w:id="119"/>
    </w:p>
    <w:p>
      <w:pPr>
        <w:snapToGrid w:val="0"/>
        <w:spacing w:line="4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（一）成交供应商的确认</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结果应当在评审结束后5个工作日内发布。采购人应当从评审结论意见提出的成交候选供应商中，按照排序由高到低的原则确定成交供应商。采购人逾期未确定成交供应商且不提出异议的，视为确定评审结论意见提出的排序第一的供应商为成交供应商。</w:t>
      </w:r>
    </w:p>
    <w:p>
      <w:pPr>
        <w:snapToGrid w:val="0"/>
        <w:spacing w:line="4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（二）成交供应商的变更</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rPr>
        <w:t>成交供应商拒绝与采购人签订合同的，采购人可以按照评审意见推荐的成交候选供应商顺序，确定排名下一位的候选人为成交供应商，也可以重新开展政府采购活动。</w:t>
      </w:r>
    </w:p>
    <w:p>
      <w:pPr>
        <w:pStyle w:val="3"/>
        <w:adjustRightInd w:val="0"/>
        <w:snapToGrid w:val="0"/>
        <w:spacing w:line="400" w:lineRule="exact"/>
        <w:ind w:firstLine="482" w:firstLineChars="200"/>
        <w:rPr>
          <w:rFonts w:ascii="仿宋" w:hAnsi="仿宋" w:eastAsia="仿宋" w:cs="仿宋"/>
          <w:sz w:val="24"/>
        </w:rPr>
      </w:pPr>
      <w:bookmarkStart w:id="120" w:name="_Toc102227321"/>
      <w:bookmarkStart w:id="121" w:name="_Toc76462342"/>
      <w:bookmarkStart w:id="122" w:name="_Toc106030897"/>
      <w:bookmarkStart w:id="123" w:name="_Toc342913395"/>
      <w:r>
        <w:rPr>
          <w:rFonts w:hint="eastAsia" w:ascii="仿宋" w:hAnsi="仿宋" w:eastAsia="仿宋" w:cs="仿宋"/>
          <w:sz w:val="24"/>
        </w:rPr>
        <w:t>五、成交通知</w:t>
      </w:r>
      <w:bookmarkEnd w:id="120"/>
      <w:bookmarkEnd w:id="121"/>
      <w:bookmarkEnd w:id="122"/>
      <w:bookmarkEnd w:id="123"/>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（一）成交供应商确定后，采购代理机构将在重庆市交通运输委员会官网上发布成交结果公告。</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（二）成交结果公告将作为签订合同的依据。</w:t>
      </w:r>
    </w:p>
    <w:p>
      <w:pPr>
        <w:pStyle w:val="3"/>
        <w:adjustRightInd w:val="0"/>
        <w:snapToGrid w:val="0"/>
        <w:spacing w:line="400" w:lineRule="exact"/>
        <w:ind w:firstLine="482" w:firstLineChars="200"/>
        <w:rPr>
          <w:rFonts w:ascii="仿宋" w:hAnsi="仿宋" w:eastAsia="仿宋" w:cs="仿宋"/>
          <w:sz w:val="24"/>
        </w:rPr>
      </w:pPr>
      <w:bookmarkStart w:id="124" w:name="_Toc76462343"/>
      <w:bookmarkStart w:id="125" w:name="_Toc106030898"/>
      <w:r>
        <w:rPr>
          <w:rFonts w:hint="eastAsia" w:ascii="仿宋" w:hAnsi="仿宋" w:eastAsia="仿宋" w:cs="仿宋"/>
          <w:sz w:val="24"/>
        </w:rPr>
        <w:t>六、关于质疑和投诉</w:t>
      </w:r>
      <w:bookmarkEnd w:id="124"/>
      <w:bookmarkEnd w:id="125"/>
    </w:p>
    <w:p>
      <w:pPr>
        <w:spacing w:line="400" w:lineRule="exact"/>
        <w:ind w:firstLine="480" w:firstLineChars="200"/>
        <w:outlineLvl w:val="2"/>
        <w:rPr>
          <w:rFonts w:ascii="仿宋" w:hAnsi="仿宋" w:eastAsia="仿宋" w:cs="仿宋"/>
          <w:sz w:val="24"/>
          <w:szCs w:val="24"/>
        </w:rPr>
      </w:pPr>
      <w:r>
        <w:rPr>
          <w:rFonts w:hint="eastAsia" w:ascii="仿宋" w:hAnsi="仿宋" w:eastAsia="仿宋" w:cs="仿宋"/>
          <w:sz w:val="24"/>
          <w:szCs w:val="24"/>
        </w:rPr>
        <w:t>（一）质疑</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提出质疑的应当是参与所质疑项目采购活动的供应商。 </w:t>
      </w:r>
    </w:p>
    <w:p>
      <w:pPr>
        <w:spacing w:line="400" w:lineRule="exact"/>
        <w:ind w:right="12" w:firstLine="480"/>
        <w:outlineLvl w:val="2"/>
        <w:rPr>
          <w:rFonts w:ascii="仿宋" w:hAnsi="仿宋" w:eastAsia="仿宋" w:cs="仿宋"/>
          <w:sz w:val="24"/>
        </w:rPr>
      </w:pPr>
      <w:r>
        <w:rPr>
          <w:rFonts w:hint="eastAsia" w:ascii="仿宋" w:hAnsi="仿宋" w:eastAsia="仿宋" w:cs="仿宋"/>
          <w:sz w:val="24"/>
        </w:rPr>
        <w:t>1.质疑时限、内容</w:t>
      </w:r>
    </w:p>
    <w:p>
      <w:pPr>
        <w:spacing w:line="400" w:lineRule="exact"/>
        <w:ind w:right="12" w:firstLine="480"/>
        <w:rPr>
          <w:rFonts w:ascii="仿宋" w:hAnsi="仿宋" w:eastAsia="仿宋" w:cs="仿宋"/>
          <w:sz w:val="24"/>
        </w:rPr>
      </w:pPr>
      <w:r>
        <w:rPr>
          <w:rFonts w:hint="eastAsia" w:ascii="仿宋" w:hAnsi="仿宋" w:eastAsia="仿宋" w:cs="仿宋"/>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仿宋" w:hAnsi="仿宋" w:eastAsia="仿宋" w:cs="仿宋"/>
          <w:sz w:val="24"/>
        </w:rPr>
      </w:pPr>
      <w:r>
        <w:rPr>
          <w:rFonts w:hint="eastAsia" w:ascii="仿宋" w:hAnsi="仿宋" w:eastAsia="仿宋" w:cs="仿宋"/>
          <w:sz w:val="24"/>
        </w:rPr>
        <w:t>1.2供应商提出质疑应当提交质疑函和必要的证明材料，质疑函应当包括下列内容：</w:t>
      </w:r>
    </w:p>
    <w:p>
      <w:pPr>
        <w:spacing w:line="400" w:lineRule="exact"/>
        <w:ind w:right="12" w:firstLine="480"/>
        <w:rPr>
          <w:rFonts w:ascii="仿宋" w:hAnsi="仿宋" w:eastAsia="仿宋" w:cs="仿宋"/>
          <w:sz w:val="24"/>
        </w:rPr>
      </w:pPr>
      <w:r>
        <w:rPr>
          <w:rFonts w:hint="eastAsia" w:ascii="仿宋" w:hAnsi="仿宋" w:eastAsia="仿宋" w:cs="仿宋"/>
          <w:sz w:val="24"/>
        </w:rPr>
        <w:t>1.2.1供应商的姓名或者名称、地址、邮编、联系人及联系电话；</w:t>
      </w:r>
    </w:p>
    <w:p>
      <w:pPr>
        <w:spacing w:line="400" w:lineRule="exact"/>
        <w:ind w:right="12" w:firstLine="480"/>
        <w:rPr>
          <w:rFonts w:ascii="仿宋" w:hAnsi="仿宋" w:eastAsia="仿宋" w:cs="仿宋"/>
          <w:sz w:val="24"/>
        </w:rPr>
      </w:pPr>
      <w:r>
        <w:rPr>
          <w:rFonts w:hint="eastAsia" w:ascii="仿宋" w:hAnsi="仿宋" w:eastAsia="仿宋" w:cs="仿宋"/>
          <w:sz w:val="24"/>
        </w:rPr>
        <w:t>1.2.2质疑项目的名称、项目号以及采购执行编号；</w:t>
      </w:r>
    </w:p>
    <w:p>
      <w:pPr>
        <w:spacing w:line="400" w:lineRule="exact"/>
        <w:ind w:right="12" w:firstLine="480"/>
        <w:rPr>
          <w:rFonts w:ascii="仿宋" w:hAnsi="仿宋" w:eastAsia="仿宋" w:cs="仿宋"/>
          <w:sz w:val="24"/>
        </w:rPr>
      </w:pPr>
      <w:r>
        <w:rPr>
          <w:rFonts w:hint="eastAsia" w:ascii="仿宋" w:hAnsi="仿宋" w:eastAsia="仿宋" w:cs="仿宋"/>
          <w:sz w:val="24"/>
        </w:rPr>
        <w:t>1.2.3具体、明确的质疑事项和与质疑事项相关的请求；</w:t>
      </w:r>
    </w:p>
    <w:p>
      <w:pPr>
        <w:spacing w:line="400" w:lineRule="exact"/>
        <w:ind w:right="12" w:firstLine="480"/>
        <w:rPr>
          <w:rFonts w:ascii="仿宋" w:hAnsi="仿宋" w:eastAsia="仿宋" w:cs="仿宋"/>
          <w:sz w:val="24"/>
        </w:rPr>
      </w:pPr>
      <w:r>
        <w:rPr>
          <w:rFonts w:hint="eastAsia" w:ascii="仿宋" w:hAnsi="仿宋" w:eastAsia="仿宋" w:cs="仿宋"/>
          <w:sz w:val="24"/>
        </w:rPr>
        <w:t>1.2.4事实依据；</w:t>
      </w:r>
    </w:p>
    <w:p>
      <w:pPr>
        <w:spacing w:line="400" w:lineRule="exact"/>
        <w:ind w:right="12" w:firstLine="480"/>
        <w:rPr>
          <w:rFonts w:ascii="仿宋" w:hAnsi="仿宋" w:eastAsia="仿宋" w:cs="仿宋"/>
          <w:sz w:val="24"/>
        </w:rPr>
      </w:pPr>
      <w:r>
        <w:rPr>
          <w:rFonts w:hint="eastAsia" w:ascii="仿宋" w:hAnsi="仿宋" w:eastAsia="仿宋" w:cs="仿宋"/>
          <w:sz w:val="24"/>
        </w:rPr>
        <w:t>1.2.5必要的法律依据；</w:t>
      </w:r>
    </w:p>
    <w:p>
      <w:pPr>
        <w:spacing w:line="400" w:lineRule="exact"/>
        <w:ind w:right="12" w:firstLine="480"/>
        <w:rPr>
          <w:rFonts w:ascii="仿宋" w:hAnsi="仿宋" w:eastAsia="仿宋" w:cs="仿宋"/>
          <w:sz w:val="24"/>
        </w:rPr>
      </w:pPr>
      <w:r>
        <w:rPr>
          <w:rFonts w:hint="eastAsia" w:ascii="仿宋" w:hAnsi="仿宋" w:eastAsia="仿宋" w:cs="仿宋"/>
          <w:sz w:val="24"/>
        </w:rPr>
        <w:t>1.2.6提出质疑的日期；</w:t>
      </w:r>
    </w:p>
    <w:p>
      <w:pPr>
        <w:spacing w:line="400" w:lineRule="exact"/>
        <w:ind w:right="12" w:firstLine="480"/>
        <w:rPr>
          <w:rFonts w:ascii="仿宋" w:hAnsi="仿宋" w:eastAsia="仿宋" w:cs="仿宋"/>
          <w:sz w:val="24"/>
        </w:rPr>
      </w:pPr>
      <w:r>
        <w:rPr>
          <w:rFonts w:hint="eastAsia" w:ascii="仿宋" w:hAnsi="仿宋" w:eastAsia="仿宋" w:cs="仿宋"/>
          <w:sz w:val="24"/>
        </w:rPr>
        <w:t>1.2.7营业执照（或事业单位法人证书，或个体工商户营业执照或有效的自然人身份证明）复印件；</w:t>
      </w:r>
    </w:p>
    <w:p>
      <w:pPr>
        <w:spacing w:line="400" w:lineRule="exact"/>
        <w:ind w:right="12" w:firstLine="480"/>
        <w:rPr>
          <w:rFonts w:ascii="仿宋" w:hAnsi="仿宋" w:eastAsia="仿宋" w:cs="仿宋"/>
          <w:sz w:val="24"/>
        </w:rPr>
      </w:pPr>
      <w:r>
        <w:rPr>
          <w:rFonts w:hint="eastAsia" w:ascii="仿宋" w:hAnsi="仿宋" w:eastAsia="仿宋"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仿宋" w:hAnsi="仿宋" w:eastAsia="仿宋" w:cs="仿宋"/>
          <w:sz w:val="24"/>
        </w:rPr>
      </w:pPr>
      <w:r>
        <w:rPr>
          <w:rFonts w:hint="eastAsia" w:ascii="仿宋" w:hAnsi="仿宋" w:eastAsia="仿宋"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仿宋" w:hAnsi="仿宋" w:eastAsia="仿宋" w:cs="仿宋"/>
          <w:sz w:val="24"/>
        </w:rPr>
      </w:pPr>
      <w:r>
        <w:rPr>
          <w:rFonts w:hint="eastAsia" w:ascii="仿宋" w:hAnsi="仿宋" w:eastAsia="仿宋" w:cs="仿宋"/>
          <w:sz w:val="24"/>
        </w:rPr>
        <w:t>2.质疑答复</w:t>
      </w:r>
    </w:p>
    <w:p>
      <w:pPr>
        <w:spacing w:line="400" w:lineRule="exact"/>
        <w:ind w:right="12" w:firstLine="480"/>
        <w:rPr>
          <w:rFonts w:ascii="仿宋" w:hAnsi="仿宋" w:eastAsia="仿宋" w:cs="仿宋"/>
          <w:sz w:val="24"/>
        </w:rPr>
      </w:pPr>
      <w:r>
        <w:rPr>
          <w:rFonts w:hint="eastAsia" w:ascii="仿宋" w:hAnsi="仿宋" w:eastAsia="仿宋" w:cs="仿宋"/>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仿宋" w:hAnsi="仿宋" w:eastAsia="仿宋" w:cs="仿宋"/>
          <w:sz w:val="24"/>
        </w:rPr>
      </w:pPr>
      <w:r>
        <w:rPr>
          <w:rFonts w:hint="eastAsia" w:ascii="仿宋" w:hAnsi="仿宋" w:eastAsia="仿宋" w:cs="仿宋"/>
          <w:sz w:val="24"/>
        </w:rPr>
        <w:t>3.其他</w:t>
      </w:r>
    </w:p>
    <w:p>
      <w:pPr>
        <w:spacing w:line="400" w:lineRule="exact"/>
        <w:ind w:right="12" w:firstLine="480"/>
        <w:rPr>
          <w:rFonts w:ascii="仿宋" w:hAnsi="仿宋" w:eastAsia="仿宋" w:cs="仿宋"/>
          <w:sz w:val="24"/>
        </w:rPr>
      </w:pPr>
      <w:r>
        <w:rPr>
          <w:rFonts w:hint="eastAsia" w:ascii="仿宋" w:hAnsi="仿宋" w:eastAsia="仿宋"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仿宋" w:hAnsi="仿宋" w:eastAsia="仿宋" w:cs="仿宋"/>
          <w:sz w:val="24"/>
        </w:rPr>
      </w:pPr>
      <w:r>
        <w:rPr>
          <w:rFonts w:hint="eastAsia" w:ascii="仿宋" w:hAnsi="仿宋" w:eastAsia="仿宋" w:cs="仿宋"/>
          <w:sz w:val="24"/>
        </w:rPr>
        <w:t>3.2质疑函范本可在财政部门户网站和中国政府采购网下载。</w:t>
      </w:r>
    </w:p>
    <w:p>
      <w:pPr>
        <w:pStyle w:val="3"/>
        <w:adjustRightInd w:val="0"/>
        <w:snapToGrid w:val="0"/>
        <w:spacing w:line="400" w:lineRule="exact"/>
        <w:ind w:firstLine="482" w:firstLineChars="200"/>
        <w:rPr>
          <w:rFonts w:ascii="仿宋" w:hAnsi="仿宋" w:eastAsia="仿宋" w:cs="仿宋"/>
          <w:sz w:val="24"/>
        </w:rPr>
      </w:pPr>
      <w:bookmarkStart w:id="126" w:name="_Toc102227322"/>
      <w:bookmarkStart w:id="127" w:name="_Toc76462346"/>
      <w:bookmarkStart w:id="128" w:name="_Toc106030901"/>
      <w:bookmarkStart w:id="129" w:name="_Toc342913396"/>
      <w:bookmarkStart w:id="130" w:name="_Toc11641055"/>
      <w:bookmarkStart w:id="131" w:name="_Toc12789059"/>
      <w:r>
        <w:rPr>
          <w:rFonts w:hint="eastAsia" w:ascii="仿宋" w:hAnsi="仿宋" w:eastAsia="仿宋" w:cs="仿宋"/>
          <w:sz w:val="24"/>
        </w:rPr>
        <w:t>七、签订</w:t>
      </w:r>
      <w:bookmarkEnd w:id="126"/>
      <w:r>
        <w:rPr>
          <w:rFonts w:hint="eastAsia" w:ascii="仿宋" w:hAnsi="仿宋" w:eastAsia="仿宋" w:cs="仿宋"/>
          <w:sz w:val="24"/>
        </w:rPr>
        <w:t>合同</w:t>
      </w:r>
      <w:bookmarkEnd w:id="127"/>
      <w:bookmarkEnd w:id="128"/>
      <w:bookmarkEnd w:id="129"/>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rPr>
        <w:t>采购人原则上应在成交结果公告发出之日起二十日内和成交供应商签订政府采购合同，无正当理由不得拒绝或拖延合同签订</w:t>
      </w:r>
      <w:r>
        <w:rPr>
          <w:rFonts w:hint="eastAsia" w:ascii="仿宋" w:hAnsi="仿宋" w:eastAsia="仿宋" w:cs="仿宋"/>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（二）采购文件、供应商的响应文件及澄清文件等，均为签订政府采购合同的依据。</w:t>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（三）合同生效条款由供需双方约定，法律、行政法规规定应当办理批准、登记等手续后生效的合同，依照其规定。</w:t>
      </w:r>
    </w:p>
    <w:p>
      <w:pPr>
        <w:pStyle w:val="3"/>
        <w:adjustRightInd w:val="0"/>
        <w:snapToGrid w:val="0"/>
        <w:spacing w:line="400" w:lineRule="exact"/>
        <w:ind w:firstLine="482" w:firstLineChars="200"/>
        <w:rPr>
          <w:rFonts w:ascii="仿宋" w:hAnsi="仿宋" w:eastAsia="仿宋" w:cs="仿宋"/>
          <w:sz w:val="24"/>
        </w:rPr>
      </w:pPr>
      <w:bookmarkStart w:id="132" w:name="_Toc106030902"/>
      <w:r>
        <w:rPr>
          <w:rFonts w:hint="eastAsia" w:ascii="仿宋" w:hAnsi="仿宋" w:eastAsia="仿宋" w:cs="仿宋"/>
          <w:sz w:val="24"/>
        </w:rPr>
        <w:t>八、项目验收</w:t>
      </w:r>
      <w:bookmarkEnd w:id="132"/>
    </w:p>
    <w:p>
      <w:pPr>
        <w:spacing w:line="400" w:lineRule="exact"/>
        <w:ind w:firstLine="480" w:firstLineChars="200"/>
        <w:rPr>
          <w:rFonts w:ascii="仿宋" w:hAnsi="仿宋" w:eastAsia="仿宋" w:cs="仿宋"/>
          <w:sz w:val="24"/>
          <w:szCs w:val="24"/>
        </w:rPr>
      </w:pPr>
      <w:r>
        <w:rPr>
          <w:rFonts w:hint="eastAsia" w:ascii="仿宋" w:hAnsi="仿宋" w:eastAsia="仿宋" w:cs="仿宋"/>
          <w:sz w:val="24"/>
        </w:rPr>
        <w:t>合同执行完毕，采购人或采购代理机构原则上应在7个工作日内组织履约情况验收，不得无故拖延或附加额外条件。</w:t>
      </w:r>
    </w:p>
    <w:p>
      <w:pPr>
        <w:pStyle w:val="3"/>
        <w:adjustRightInd w:val="0"/>
        <w:snapToGrid w:val="0"/>
        <w:spacing w:line="400" w:lineRule="exact"/>
        <w:ind w:firstLine="482" w:firstLineChars="200"/>
        <w:rPr>
          <w:rFonts w:ascii="仿宋" w:hAnsi="仿宋" w:eastAsia="仿宋" w:cs="仿宋"/>
          <w:sz w:val="24"/>
        </w:rPr>
      </w:pPr>
      <w:bookmarkStart w:id="133" w:name="_Toc106030899"/>
      <w:bookmarkStart w:id="134" w:name="_Toc76462344"/>
      <w:r>
        <w:rPr>
          <w:rFonts w:hint="eastAsia" w:ascii="仿宋" w:hAnsi="仿宋" w:eastAsia="仿宋" w:cs="仿宋"/>
          <w:sz w:val="24"/>
        </w:rPr>
        <w:t>九、采购代理服务费</w:t>
      </w:r>
      <w:bookmarkEnd w:id="133"/>
      <w:bookmarkEnd w:id="134"/>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rPr>
        <w:t>本项目不收取代理服务费。</w:t>
      </w:r>
    </w:p>
    <w:p>
      <w:pPr>
        <w:pStyle w:val="3"/>
        <w:spacing w:line="360" w:lineRule="auto"/>
        <w:jc w:val="center"/>
        <w:rPr>
          <w:rFonts w:ascii="仿宋" w:hAnsi="仿宋" w:eastAsia="仿宋" w:cs="仿宋"/>
          <w:b w:val="0"/>
          <w:sz w:val="36"/>
          <w:szCs w:val="30"/>
        </w:rPr>
      </w:pPr>
      <w:r>
        <w:rPr>
          <w:rFonts w:hint="eastAsia" w:ascii="仿宋" w:hAnsi="仿宋" w:eastAsia="仿宋" w:cs="仿宋"/>
          <w:sz w:val="36"/>
          <w:szCs w:val="30"/>
        </w:rPr>
        <w:br w:type="page"/>
      </w:r>
      <w:bookmarkStart w:id="135" w:name="_Toc106030904"/>
      <w:bookmarkStart w:id="136" w:name="_Toc76462348"/>
      <w:r>
        <w:rPr>
          <w:rFonts w:hint="eastAsia" w:ascii="仿宋" w:hAnsi="仿宋" w:eastAsia="仿宋" w:cs="仿宋"/>
          <w:b w:val="0"/>
          <w:sz w:val="36"/>
          <w:szCs w:val="30"/>
        </w:rPr>
        <w:t xml:space="preserve">第六篇  </w:t>
      </w:r>
      <w:bookmarkEnd w:id="130"/>
      <w:bookmarkEnd w:id="131"/>
      <w:r>
        <w:rPr>
          <w:rFonts w:hint="eastAsia" w:ascii="仿宋" w:hAnsi="仿宋" w:eastAsia="仿宋" w:cs="仿宋"/>
          <w:b w:val="0"/>
          <w:sz w:val="36"/>
          <w:szCs w:val="30"/>
        </w:rPr>
        <w:t>政府采购合同</w:t>
      </w:r>
      <w:bookmarkEnd w:id="135"/>
      <w:bookmarkEnd w:id="136"/>
    </w:p>
    <w:p>
      <w:pPr>
        <w:spacing w:line="500" w:lineRule="exact"/>
        <w:jc w:val="center"/>
        <w:rPr>
          <w:rFonts w:ascii="仿宋" w:hAnsi="仿宋" w:eastAsia="仿宋" w:cs="仿宋"/>
          <w:b/>
          <w:sz w:val="44"/>
        </w:rPr>
      </w:pPr>
      <w:r>
        <w:rPr>
          <w:rFonts w:hint="eastAsia" w:ascii="仿宋" w:hAnsi="仿宋" w:eastAsia="仿宋" w:cs="仿宋"/>
          <w:b/>
          <w:sz w:val="44"/>
        </w:rPr>
        <w:t>重庆市政府采购合同</w:t>
      </w:r>
    </w:p>
    <w:p>
      <w:pPr>
        <w:spacing w:line="500" w:lineRule="exact"/>
        <w:rPr>
          <w:rFonts w:ascii="仿宋" w:hAnsi="仿宋" w:eastAsia="仿宋" w:cs="仿宋"/>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cs="仿宋"/>
          <w:sz w:val="24"/>
        </w:rPr>
      </w:pPr>
      <w:r>
        <w:rPr>
          <w:rFonts w:hint="eastAsia" w:ascii="仿宋" w:hAnsi="仿宋" w:eastAsia="仿宋" w:cs="仿宋"/>
          <w:sz w:val="24"/>
        </w:rPr>
        <w:t>经双方协商一致，达成以下委托合同：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项目名称</w:t>
            </w:r>
          </w:p>
        </w:tc>
        <w:tc>
          <w:tcPr>
            <w:tcW w:w="984"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数量</w:t>
            </w:r>
          </w:p>
        </w:tc>
        <w:tc>
          <w:tcPr>
            <w:tcW w:w="1298" w:type="dxa"/>
            <w:gridSpan w:val="2"/>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综合单价</w:t>
            </w:r>
          </w:p>
        </w:tc>
        <w:tc>
          <w:tcPr>
            <w:tcW w:w="1134"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总价</w:t>
            </w:r>
          </w:p>
        </w:tc>
        <w:tc>
          <w:tcPr>
            <w:tcW w:w="1559"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服务时间</w:t>
            </w:r>
          </w:p>
        </w:tc>
        <w:tc>
          <w:tcPr>
            <w:tcW w:w="1567"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sz w:val="21"/>
                <w:szCs w:val="21"/>
              </w:rPr>
            </w:pPr>
          </w:p>
        </w:tc>
        <w:tc>
          <w:tcPr>
            <w:tcW w:w="984" w:type="dxa"/>
            <w:vAlign w:val="center"/>
          </w:tcPr>
          <w:p>
            <w:pPr>
              <w:spacing w:line="240" w:lineRule="atLeast"/>
              <w:jc w:val="center"/>
              <w:rPr>
                <w:rFonts w:ascii="仿宋" w:hAnsi="仿宋" w:eastAsia="仿宋" w:cs="仿宋"/>
                <w:sz w:val="21"/>
                <w:szCs w:val="21"/>
              </w:rPr>
            </w:pPr>
          </w:p>
        </w:tc>
        <w:tc>
          <w:tcPr>
            <w:tcW w:w="1298" w:type="dxa"/>
            <w:gridSpan w:val="2"/>
            <w:vAlign w:val="center"/>
          </w:tcPr>
          <w:p>
            <w:pPr>
              <w:spacing w:line="240" w:lineRule="atLeast"/>
              <w:jc w:val="center"/>
              <w:rPr>
                <w:rFonts w:ascii="仿宋" w:hAnsi="仿宋" w:eastAsia="仿宋" w:cs="仿宋"/>
                <w:sz w:val="21"/>
                <w:szCs w:val="21"/>
              </w:rPr>
            </w:pPr>
          </w:p>
        </w:tc>
        <w:tc>
          <w:tcPr>
            <w:tcW w:w="1134" w:type="dxa"/>
            <w:vAlign w:val="center"/>
          </w:tcPr>
          <w:p>
            <w:pPr>
              <w:spacing w:line="240" w:lineRule="atLeast"/>
              <w:jc w:val="center"/>
              <w:rPr>
                <w:rFonts w:ascii="仿宋" w:hAnsi="仿宋" w:eastAsia="仿宋" w:cs="仿宋"/>
                <w:sz w:val="21"/>
                <w:szCs w:val="21"/>
              </w:rPr>
            </w:pPr>
          </w:p>
        </w:tc>
        <w:tc>
          <w:tcPr>
            <w:tcW w:w="1559" w:type="dxa"/>
            <w:vAlign w:val="center"/>
          </w:tcPr>
          <w:p>
            <w:pPr>
              <w:spacing w:line="240" w:lineRule="atLeast"/>
              <w:jc w:val="center"/>
              <w:rPr>
                <w:rFonts w:ascii="仿宋" w:hAnsi="仿宋" w:eastAsia="仿宋" w:cs="仿宋"/>
                <w:sz w:val="21"/>
                <w:szCs w:val="21"/>
              </w:rPr>
            </w:pPr>
          </w:p>
        </w:tc>
        <w:tc>
          <w:tcPr>
            <w:tcW w:w="1567" w:type="dxa"/>
            <w:vAlign w:val="center"/>
          </w:tcPr>
          <w:p>
            <w:pPr>
              <w:spacing w:line="240" w:lineRule="atLeas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sz w:val="21"/>
                <w:szCs w:val="21"/>
              </w:rPr>
            </w:pPr>
          </w:p>
        </w:tc>
        <w:tc>
          <w:tcPr>
            <w:tcW w:w="984" w:type="dxa"/>
            <w:vAlign w:val="center"/>
          </w:tcPr>
          <w:p>
            <w:pPr>
              <w:spacing w:line="240" w:lineRule="atLeast"/>
              <w:jc w:val="center"/>
              <w:rPr>
                <w:rFonts w:ascii="仿宋" w:hAnsi="仿宋" w:eastAsia="仿宋" w:cs="仿宋"/>
                <w:sz w:val="21"/>
                <w:szCs w:val="21"/>
              </w:rPr>
            </w:pPr>
          </w:p>
        </w:tc>
        <w:tc>
          <w:tcPr>
            <w:tcW w:w="1298" w:type="dxa"/>
            <w:gridSpan w:val="2"/>
            <w:vAlign w:val="center"/>
          </w:tcPr>
          <w:p>
            <w:pPr>
              <w:spacing w:line="240" w:lineRule="atLeast"/>
              <w:jc w:val="center"/>
              <w:rPr>
                <w:rFonts w:ascii="仿宋" w:hAnsi="仿宋" w:eastAsia="仿宋" w:cs="仿宋"/>
                <w:sz w:val="21"/>
                <w:szCs w:val="21"/>
              </w:rPr>
            </w:pPr>
          </w:p>
        </w:tc>
        <w:tc>
          <w:tcPr>
            <w:tcW w:w="1134" w:type="dxa"/>
            <w:vAlign w:val="center"/>
          </w:tcPr>
          <w:p>
            <w:pPr>
              <w:spacing w:line="240" w:lineRule="atLeast"/>
              <w:jc w:val="center"/>
              <w:rPr>
                <w:rFonts w:ascii="仿宋" w:hAnsi="仿宋" w:eastAsia="仿宋" w:cs="仿宋"/>
                <w:sz w:val="21"/>
                <w:szCs w:val="21"/>
              </w:rPr>
            </w:pPr>
          </w:p>
        </w:tc>
        <w:tc>
          <w:tcPr>
            <w:tcW w:w="1559" w:type="dxa"/>
            <w:vAlign w:val="center"/>
          </w:tcPr>
          <w:p>
            <w:pPr>
              <w:spacing w:line="240" w:lineRule="atLeast"/>
              <w:jc w:val="center"/>
              <w:rPr>
                <w:rFonts w:ascii="仿宋" w:hAnsi="仿宋" w:eastAsia="仿宋" w:cs="仿宋"/>
                <w:sz w:val="21"/>
                <w:szCs w:val="21"/>
              </w:rPr>
            </w:pPr>
          </w:p>
        </w:tc>
        <w:tc>
          <w:tcPr>
            <w:tcW w:w="1567" w:type="dxa"/>
            <w:vAlign w:val="center"/>
          </w:tcPr>
          <w:p>
            <w:pPr>
              <w:spacing w:line="240" w:lineRule="atLeas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仿宋" w:hAnsi="仿宋" w:eastAsia="仿宋" w:cs="仿宋"/>
                <w:sz w:val="21"/>
                <w:szCs w:val="21"/>
              </w:rPr>
            </w:pPr>
            <w:r>
              <w:rPr>
                <w:rFonts w:hint="eastAsia" w:ascii="仿宋" w:hAnsi="仿宋" w:eastAsia="仿宋" w:cs="仿宋"/>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仿宋" w:hAnsi="仿宋" w:eastAsia="仿宋" w:cs="仿宋"/>
                <w:sz w:val="21"/>
                <w:szCs w:val="21"/>
              </w:rPr>
            </w:pPr>
            <w:r>
              <w:rPr>
                <w:rFonts w:hint="eastAsia" w:ascii="仿宋" w:hAnsi="仿宋" w:eastAsia="仿宋" w:cs="仿宋"/>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仿宋" w:hAnsi="仿宋" w:eastAsia="仿宋" w:cs="仿宋"/>
                <w:sz w:val="21"/>
                <w:szCs w:val="21"/>
              </w:rPr>
            </w:pPr>
            <w:r>
              <w:rPr>
                <w:rFonts w:hint="eastAsia" w:ascii="仿宋" w:hAnsi="仿宋" w:eastAsia="仿宋" w:cs="仿宋"/>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仿宋" w:hAnsi="仿宋" w:eastAsia="仿宋" w:cs="仿宋"/>
                <w:sz w:val="21"/>
                <w:szCs w:val="21"/>
              </w:rPr>
            </w:pPr>
            <w:r>
              <w:rPr>
                <w:rFonts w:hint="eastAsia" w:ascii="仿宋" w:hAnsi="仿宋" w:eastAsia="仿宋" w:cs="仿宋"/>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仿宋" w:hAnsi="仿宋" w:eastAsia="仿宋" w:cs="仿宋"/>
                <w:sz w:val="21"/>
                <w:szCs w:val="21"/>
              </w:rPr>
            </w:pPr>
            <w:r>
              <w:rPr>
                <w:rFonts w:hint="eastAsia" w:ascii="仿宋" w:hAnsi="仿宋" w:eastAsia="仿宋" w:cs="仿宋"/>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仿宋" w:hAnsi="仿宋" w:eastAsia="仿宋" w:cs="仿宋"/>
                <w:sz w:val="21"/>
                <w:szCs w:val="21"/>
              </w:rPr>
            </w:pPr>
            <w:r>
              <w:rPr>
                <w:rFonts w:hint="eastAsia" w:ascii="仿宋" w:hAnsi="仿宋" w:eastAsia="仿宋" w:cs="仿宋"/>
                <w:sz w:val="21"/>
                <w:szCs w:val="21"/>
              </w:rPr>
              <w:t>四、付款方式：</w:t>
            </w:r>
          </w:p>
          <w:p>
            <w:pP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仿宋" w:hAnsi="仿宋" w:eastAsia="仿宋" w:cs="仿宋"/>
                <w:sz w:val="21"/>
                <w:szCs w:val="21"/>
              </w:rPr>
            </w:pPr>
            <w:r>
              <w:rPr>
                <w:rFonts w:hint="eastAsia" w:ascii="仿宋" w:hAnsi="仿宋" w:eastAsia="仿宋" w:cs="仿宋"/>
                <w:sz w:val="21"/>
                <w:szCs w:val="21"/>
              </w:rPr>
              <w:t>五、违约责任：</w:t>
            </w:r>
          </w:p>
          <w:p>
            <w:pPr>
              <w:spacing w:line="240" w:lineRule="atLeas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仿宋" w:hAnsi="仿宋" w:eastAsia="仿宋" w:cs="仿宋"/>
                <w:sz w:val="21"/>
                <w:szCs w:val="21"/>
              </w:rPr>
            </w:pPr>
            <w:r>
              <w:rPr>
                <w:rFonts w:hint="eastAsia" w:ascii="仿宋" w:hAnsi="仿宋" w:eastAsia="仿宋" w:cs="仿宋"/>
                <w:sz w:val="21"/>
                <w:szCs w:val="21"/>
              </w:rPr>
              <w:t>六、其他约定事项：</w:t>
            </w:r>
          </w:p>
          <w:p>
            <w:pPr>
              <w:spacing w:line="240" w:lineRule="atLeast"/>
              <w:rPr>
                <w:rFonts w:ascii="仿宋" w:hAnsi="仿宋" w:eastAsia="仿宋" w:cs="仿宋"/>
                <w:sz w:val="21"/>
                <w:szCs w:val="21"/>
              </w:rPr>
            </w:pPr>
            <w:r>
              <w:rPr>
                <w:rFonts w:hint="eastAsia" w:ascii="仿宋" w:hAnsi="仿宋" w:eastAsia="仿宋" w:cs="仿宋"/>
                <w:sz w:val="21"/>
                <w:szCs w:val="21"/>
              </w:rPr>
              <w:t>1.采购文件及其澄清文件、响应文件和承诺是本合同不可分割的部分。</w:t>
            </w:r>
          </w:p>
          <w:p>
            <w:pPr>
              <w:spacing w:line="240" w:lineRule="atLeast"/>
              <w:rPr>
                <w:rFonts w:ascii="仿宋" w:hAnsi="仿宋" w:eastAsia="仿宋" w:cs="仿宋"/>
                <w:sz w:val="21"/>
                <w:szCs w:val="21"/>
              </w:rPr>
            </w:pPr>
            <w:r>
              <w:rPr>
                <w:rFonts w:hint="eastAsia" w:ascii="仿宋" w:hAnsi="仿宋" w:eastAsia="仿宋" w:cs="仿宋"/>
                <w:sz w:val="21"/>
                <w:szCs w:val="21"/>
              </w:rPr>
              <w:t>2.本合同如发生争议由双方协商解决，协商不成向需方所在人民法院提请诉讼。</w:t>
            </w:r>
          </w:p>
          <w:p>
            <w:pPr>
              <w:spacing w:line="240" w:lineRule="atLeast"/>
              <w:rPr>
                <w:rFonts w:ascii="仿宋" w:hAnsi="仿宋" w:eastAsia="仿宋" w:cs="仿宋"/>
                <w:sz w:val="21"/>
                <w:szCs w:val="21"/>
              </w:rPr>
            </w:pPr>
            <w:r>
              <w:rPr>
                <w:rFonts w:hint="eastAsia" w:ascii="仿宋" w:hAnsi="仿宋" w:eastAsia="仿宋" w:cs="仿宋"/>
                <w:sz w:val="21"/>
                <w:szCs w:val="21"/>
              </w:rPr>
              <w:t>3.本合同一式__份， 需方__份，供方__份，具同等法律效力。</w:t>
            </w:r>
          </w:p>
          <w:p>
            <w:pPr>
              <w:spacing w:line="240" w:lineRule="atLeast"/>
              <w:rPr>
                <w:rFonts w:ascii="仿宋" w:hAnsi="仿宋" w:eastAsia="仿宋" w:cs="仿宋"/>
                <w:sz w:val="21"/>
                <w:szCs w:val="21"/>
              </w:rPr>
            </w:pPr>
            <w:r>
              <w:rPr>
                <w:rFonts w:hint="eastAsia" w:ascii="仿宋" w:hAnsi="仿宋" w:eastAsia="仿宋" w:cs="仿宋"/>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仿宋" w:hAnsi="仿宋" w:eastAsia="仿宋" w:cs="仿宋"/>
                <w:sz w:val="21"/>
                <w:szCs w:val="21"/>
              </w:rPr>
            </w:pPr>
            <w:r>
              <w:rPr>
                <w:rFonts w:hint="eastAsia" w:ascii="仿宋" w:hAnsi="仿宋" w:eastAsia="仿宋" w:cs="仿宋"/>
                <w:sz w:val="21"/>
                <w:szCs w:val="21"/>
              </w:rPr>
              <w:t>需方：</w:t>
            </w:r>
          </w:p>
          <w:p>
            <w:pPr>
              <w:spacing w:line="240" w:lineRule="atLeast"/>
              <w:rPr>
                <w:rFonts w:ascii="仿宋" w:hAnsi="仿宋" w:eastAsia="仿宋" w:cs="仿宋"/>
                <w:sz w:val="21"/>
                <w:szCs w:val="21"/>
              </w:rPr>
            </w:pPr>
            <w:r>
              <w:rPr>
                <w:rFonts w:hint="eastAsia" w:ascii="仿宋" w:hAnsi="仿宋" w:eastAsia="仿宋" w:cs="仿宋"/>
                <w:sz w:val="21"/>
                <w:szCs w:val="21"/>
              </w:rPr>
              <w:t>地址：</w:t>
            </w:r>
          </w:p>
          <w:p>
            <w:pPr>
              <w:spacing w:line="240" w:lineRule="atLeast"/>
              <w:rPr>
                <w:rFonts w:ascii="仿宋" w:hAnsi="仿宋" w:eastAsia="仿宋" w:cs="仿宋"/>
                <w:sz w:val="21"/>
                <w:szCs w:val="21"/>
              </w:rPr>
            </w:pPr>
            <w:r>
              <w:rPr>
                <w:rFonts w:hint="eastAsia" w:ascii="仿宋" w:hAnsi="仿宋" w:eastAsia="仿宋" w:cs="仿宋"/>
                <w:sz w:val="21"/>
                <w:szCs w:val="21"/>
              </w:rPr>
              <w:t>联系电话：</w:t>
            </w:r>
          </w:p>
          <w:p>
            <w:pPr>
              <w:spacing w:line="240" w:lineRule="atLeast"/>
              <w:rPr>
                <w:rFonts w:ascii="仿宋" w:hAnsi="仿宋" w:eastAsia="仿宋" w:cs="仿宋"/>
                <w:sz w:val="21"/>
                <w:szCs w:val="21"/>
              </w:rPr>
            </w:pPr>
            <w:r>
              <w:rPr>
                <w:rFonts w:hint="eastAsia" w:ascii="仿宋" w:hAnsi="仿宋" w:eastAsia="仿宋" w:cs="仿宋"/>
                <w:sz w:val="21"/>
                <w:szCs w:val="21"/>
              </w:rPr>
              <w:t>授权代表：</w:t>
            </w:r>
          </w:p>
        </w:tc>
        <w:tc>
          <w:tcPr>
            <w:tcW w:w="4984" w:type="dxa"/>
            <w:gridSpan w:val="5"/>
          </w:tcPr>
          <w:p>
            <w:pPr>
              <w:spacing w:line="240" w:lineRule="atLeast"/>
              <w:rPr>
                <w:rFonts w:ascii="仿宋" w:hAnsi="仿宋" w:eastAsia="仿宋" w:cs="仿宋"/>
                <w:sz w:val="21"/>
                <w:szCs w:val="21"/>
              </w:rPr>
            </w:pPr>
            <w:r>
              <w:rPr>
                <w:rFonts w:hint="eastAsia" w:ascii="仿宋" w:hAnsi="仿宋" w:eastAsia="仿宋" w:cs="仿宋"/>
                <w:sz w:val="21"/>
                <w:szCs w:val="21"/>
              </w:rPr>
              <w:t>供方：</w:t>
            </w:r>
          </w:p>
          <w:p>
            <w:pPr>
              <w:spacing w:line="240" w:lineRule="atLeast"/>
              <w:rPr>
                <w:rFonts w:ascii="仿宋" w:hAnsi="仿宋" w:eastAsia="仿宋" w:cs="仿宋"/>
                <w:sz w:val="21"/>
                <w:szCs w:val="21"/>
              </w:rPr>
            </w:pPr>
            <w:r>
              <w:rPr>
                <w:rFonts w:hint="eastAsia" w:ascii="仿宋" w:hAnsi="仿宋" w:eastAsia="仿宋" w:cs="仿宋"/>
                <w:sz w:val="21"/>
                <w:szCs w:val="21"/>
              </w:rPr>
              <w:t>地址：</w:t>
            </w:r>
          </w:p>
          <w:p>
            <w:pPr>
              <w:spacing w:line="240" w:lineRule="atLeast"/>
              <w:rPr>
                <w:rFonts w:ascii="仿宋" w:hAnsi="仿宋" w:eastAsia="仿宋" w:cs="仿宋"/>
                <w:sz w:val="21"/>
                <w:szCs w:val="21"/>
              </w:rPr>
            </w:pPr>
            <w:r>
              <w:rPr>
                <w:rFonts w:hint="eastAsia" w:ascii="仿宋" w:hAnsi="仿宋" w:eastAsia="仿宋" w:cs="仿宋"/>
                <w:sz w:val="21"/>
                <w:szCs w:val="21"/>
              </w:rPr>
              <w:t>电话：</w:t>
            </w:r>
          </w:p>
          <w:p>
            <w:pPr>
              <w:spacing w:line="240" w:lineRule="atLeast"/>
              <w:rPr>
                <w:rFonts w:ascii="仿宋" w:hAnsi="仿宋" w:eastAsia="仿宋" w:cs="仿宋"/>
                <w:sz w:val="21"/>
                <w:szCs w:val="21"/>
              </w:rPr>
            </w:pPr>
            <w:r>
              <w:rPr>
                <w:rFonts w:hint="eastAsia" w:ascii="仿宋" w:hAnsi="仿宋" w:eastAsia="仿宋" w:cs="仿宋"/>
                <w:sz w:val="21"/>
                <w:szCs w:val="21"/>
              </w:rPr>
              <w:t>传真：</w:t>
            </w:r>
          </w:p>
          <w:p>
            <w:pPr>
              <w:spacing w:line="240" w:lineRule="atLeast"/>
              <w:rPr>
                <w:rFonts w:ascii="仿宋" w:hAnsi="仿宋" w:eastAsia="仿宋" w:cs="仿宋"/>
                <w:sz w:val="21"/>
                <w:szCs w:val="21"/>
              </w:rPr>
            </w:pPr>
            <w:r>
              <w:rPr>
                <w:rFonts w:hint="eastAsia" w:ascii="仿宋" w:hAnsi="仿宋" w:eastAsia="仿宋" w:cs="仿宋"/>
                <w:sz w:val="21"/>
                <w:szCs w:val="21"/>
              </w:rPr>
              <w:t>开户银行：</w:t>
            </w:r>
          </w:p>
          <w:p>
            <w:pPr>
              <w:spacing w:line="240" w:lineRule="atLeast"/>
              <w:rPr>
                <w:rFonts w:ascii="仿宋" w:hAnsi="仿宋" w:eastAsia="仿宋" w:cs="仿宋"/>
                <w:sz w:val="21"/>
                <w:szCs w:val="21"/>
              </w:rPr>
            </w:pPr>
            <w:r>
              <w:rPr>
                <w:rFonts w:hint="eastAsia" w:ascii="仿宋" w:hAnsi="仿宋" w:eastAsia="仿宋" w:cs="仿宋"/>
                <w:sz w:val="21"/>
                <w:szCs w:val="21"/>
              </w:rPr>
              <w:t>账号：</w:t>
            </w:r>
          </w:p>
          <w:p>
            <w:pPr>
              <w:spacing w:line="240" w:lineRule="atLeast"/>
              <w:rPr>
                <w:rFonts w:ascii="仿宋" w:hAnsi="仿宋" w:eastAsia="仿宋" w:cs="仿宋"/>
                <w:sz w:val="21"/>
                <w:szCs w:val="21"/>
              </w:rPr>
            </w:pPr>
            <w:r>
              <w:rPr>
                <w:rFonts w:hint="eastAsia" w:ascii="仿宋" w:hAnsi="仿宋" w:eastAsia="仿宋" w:cs="仿宋"/>
                <w:sz w:val="21"/>
                <w:szCs w:val="21"/>
              </w:rPr>
              <w:t>授权代表：</w:t>
            </w:r>
          </w:p>
          <w:p>
            <w:pPr>
              <w:widowControl/>
              <w:spacing w:line="240" w:lineRule="atLeast"/>
              <w:jc w:val="left"/>
              <w:rPr>
                <w:rFonts w:ascii="仿宋" w:hAnsi="仿宋" w:eastAsia="仿宋" w:cs="仿宋"/>
                <w:sz w:val="21"/>
                <w:szCs w:val="21"/>
              </w:rPr>
            </w:pPr>
            <w:r>
              <w:rPr>
                <w:rFonts w:hint="eastAsia" w:ascii="仿宋" w:hAnsi="仿宋" w:eastAsia="仿宋" w:cs="仿宋"/>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仿宋" w:hAnsi="仿宋" w:eastAsia="仿宋" w:cs="仿宋"/>
                <w:sz w:val="21"/>
                <w:szCs w:val="21"/>
              </w:rPr>
            </w:pPr>
            <w:r>
              <w:rPr>
                <w:rFonts w:hint="eastAsia" w:ascii="仿宋" w:hAnsi="仿宋" w:eastAsia="仿宋" w:cs="仿宋"/>
                <w:sz w:val="21"/>
                <w:szCs w:val="21"/>
              </w:rPr>
              <w:t>备注：</w:t>
            </w:r>
          </w:p>
          <w:p>
            <w:pPr>
              <w:spacing w:line="240" w:lineRule="atLeast"/>
              <w:rPr>
                <w:rFonts w:ascii="仿宋" w:hAnsi="仿宋" w:eastAsia="仿宋" w:cs="仿宋"/>
                <w:sz w:val="21"/>
                <w:szCs w:val="21"/>
              </w:rPr>
            </w:pPr>
          </w:p>
          <w:p>
            <w:pPr>
              <w:spacing w:line="240" w:lineRule="atLeast"/>
              <w:rPr>
                <w:rFonts w:ascii="仿宋" w:hAnsi="仿宋" w:eastAsia="仿宋" w:cs="仿宋"/>
                <w:sz w:val="21"/>
                <w:szCs w:val="21"/>
              </w:rPr>
            </w:pPr>
          </w:p>
        </w:tc>
      </w:tr>
    </w:tbl>
    <w:p>
      <w:pPr>
        <w:rPr>
          <w:rFonts w:ascii="仿宋" w:hAnsi="仿宋" w:eastAsia="仿宋" w:cs="仿宋"/>
          <w:sz w:val="24"/>
        </w:rPr>
      </w:pPr>
      <w:r>
        <w:rPr>
          <w:rFonts w:hint="eastAsia" w:ascii="仿宋" w:hAnsi="仿宋" w:eastAsia="仿宋" w:cs="仿宋"/>
          <w:sz w:val="24"/>
        </w:rPr>
        <w:t>签约时间：           年   月   日      签约地点：</w:t>
      </w:r>
    </w:p>
    <w:p>
      <w:pPr>
        <w:tabs>
          <w:tab w:val="left" w:pos="9000"/>
        </w:tabs>
        <w:spacing w:line="276" w:lineRule="auto"/>
        <w:jc w:val="center"/>
        <w:rPr>
          <w:rFonts w:ascii="仿宋" w:hAnsi="仿宋" w:eastAsia="仿宋" w:cs="仿宋"/>
          <w:sz w:val="21"/>
          <w:szCs w:val="21"/>
        </w:rPr>
        <w:sectPr>
          <w:footerReference r:id="rId17" w:type="default"/>
          <w:footerReference r:id="rId18" w:type="even"/>
          <w:pgSz w:w="11907" w:h="16840"/>
          <w:pgMar w:top="1134" w:right="1191" w:bottom="1134" w:left="1304" w:header="964" w:footer="992" w:gutter="0"/>
          <w:pgNumType w:fmt="numberInDash"/>
          <w:cols w:space="720" w:num="1"/>
          <w:docGrid w:linePitch="312" w:charSpace="0"/>
        </w:sectPr>
      </w:pPr>
    </w:p>
    <w:p>
      <w:pPr>
        <w:pStyle w:val="3"/>
        <w:spacing w:line="360" w:lineRule="auto"/>
        <w:jc w:val="center"/>
        <w:rPr>
          <w:rFonts w:ascii="仿宋" w:hAnsi="仿宋" w:eastAsia="仿宋" w:cs="仿宋"/>
          <w:b w:val="0"/>
          <w:sz w:val="36"/>
          <w:szCs w:val="30"/>
        </w:rPr>
      </w:pPr>
      <w:bookmarkStart w:id="137" w:name="_Hlt41879464"/>
      <w:bookmarkEnd w:id="137"/>
      <w:bookmarkStart w:id="138" w:name="_Toc106030905"/>
      <w:bookmarkStart w:id="139" w:name="_Toc76462349"/>
      <w:r>
        <w:rPr>
          <w:rFonts w:hint="eastAsia" w:ascii="仿宋" w:hAnsi="仿宋" w:eastAsia="仿宋" w:cs="仿宋"/>
          <w:b w:val="0"/>
          <w:sz w:val="36"/>
          <w:szCs w:val="30"/>
        </w:rPr>
        <w:t>第七篇  响应文件编制要求</w:t>
      </w:r>
      <w:bookmarkEnd w:id="138"/>
      <w:bookmarkEnd w:id="139"/>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一、经济部分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（一）报价函</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二、服务部分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（一）服务响应偏离表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（二）其他资料（格式自定）</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三、商务部分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（一）商务响应偏离表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（二）其它优惠服务承诺（格式自定）</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四、资格条件及其他</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（二）法定代表人身份证明书（格式）</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（三）法定代表人授权委托书（格式）</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（四）基本资格条件承诺函（格式）</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（五）特定资格条件证书或证明文件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五、其他资料</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其他与项目有关的资料</w:t>
      </w:r>
    </w:p>
    <w:p>
      <w:pPr>
        <w:snapToGrid w:val="0"/>
        <w:spacing w:line="360" w:lineRule="auto"/>
        <w:rPr>
          <w:rFonts w:ascii="仿宋" w:hAnsi="仿宋" w:eastAsia="仿宋" w:cs="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line="400" w:lineRule="exact"/>
        <w:ind w:firstLine="482" w:firstLineChars="200"/>
        <w:rPr>
          <w:rFonts w:ascii="仿宋" w:hAnsi="仿宋" w:eastAsia="仿宋" w:cs="仿宋"/>
          <w:sz w:val="24"/>
        </w:rPr>
      </w:pPr>
      <w:bookmarkStart w:id="140" w:name="_Toc313008356"/>
      <w:bookmarkStart w:id="141" w:name="_Toc342913419"/>
      <w:bookmarkStart w:id="142" w:name="_Toc76462350"/>
      <w:bookmarkStart w:id="143" w:name="_Toc106030906"/>
      <w:bookmarkStart w:id="144" w:name="_Toc313888360"/>
      <w:bookmarkStart w:id="145" w:name="_Toc283382454"/>
      <w:bookmarkStart w:id="146" w:name="_Toc12789073"/>
      <w:r>
        <w:rPr>
          <w:rFonts w:hint="eastAsia" w:ascii="仿宋" w:hAnsi="仿宋" w:eastAsia="仿宋" w:cs="仿宋"/>
          <w:sz w:val="24"/>
        </w:rPr>
        <w:t>一、经济部分</w:t>
      </w:r>
      <w:bookmarkEnd w:id="140"/>
      <w:bookmarkEnd w:id="141"/>
      <w:bookmarkEnd w:id="142"/>
      <w:bookmarkEnd w:id="143"/>
      <w:bookmarkEnd w:id="144"/>
    </w:p>
    <w:bookmarkEnd w:id="145"/>
    <w:bookmarkEnd w:id="146"/>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（一）报价函</w:t>
      </w:r>
    </w:p>
    <w:p>
      <w:pPr>
        <w:jc w:val="center"/>
        <w:rPr>
          <w:rFonts w:ascii="仿宋" w:hAnsi="仿宋" w:eastAsia="仿宋" w:cs="仿宋"/>
          <w:b/>
          <w:szCs w:val="28"/>
        </w:rPr>
      </w:pPr>
      <w:r>
        <w:rPr>
          <w:rFonts w:hint="eastAsia" w:ascii="仿宋" w:hAnsi="仿宋" w:eastAsia="仿宋" w:cs="仿宋"/>
          <w:b/>
          <w:szCs w:val="28"/>
        </w:rPr>
        <w:t>报价函</w:t>
      </w:r>
    </w:p>
    <w:p>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u w:val="single"/>
        </w:rPr>
        <w:t>（采购人名称））</w:t>
      </w:r>
      <w:r>
        <w:rPr>
          <w:rFonts w:hint="eastAsia" w:ascii="仿宋" w:hAnsi="仿宋" w:eastAsia="仿宋" w:cs="仿宋"/>
          <w:sz w:val="24"/>
          <w:szCs w:val="24"/>
        </w:rPr>
        <w:t>：</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我方收到____________________________（项目名称）的限额以下磋商评分文件，经详细研究，决定参加该项目的竞争。</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1.愿意按照限额以下磋商评分文件中的一切要求，提供本项目的服务，初始报价为人民币大写：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元。以我公司最后报价为准。</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2.我方现提交的响应文件为：响应文件正本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3.我方承诺：本次限额以下磋商评分的有效期为提交响应文件截止时间起90天。</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4.我方完全理解和接受贵方限额以下磋商评分文件的一切规定和要求及评审办法。</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5.在整个限额以下磋商评分过程中，我方若有违规行为，接受按照《中华人民共和国政府采购法》和《限额以下磋商评分文件》之规定给予惩罚。</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7.如果我方成为成交供应商，保证在接到成交通知书后，向采购代理机构</w:t>
      </w:r>
      <w:r>
        <w:rPr>
          <w:rFonts w:hint="eastAsia" w:ascii="仿宋" w:hAnsi="仿宋" w:eastAsia="仿宋" w:cs="仿宋"/>
          <w:sz w:val="24"/>
        </w:rPr>
        <w:t>缴纳</w:t>
      </w:r>
      <w:r>
        <w:rPr>
          <w:rFonts w:hint="eastAsia" w:ascii="仿宋" w:hAnsi="仿宋" w:eastAsia="仿宋" w:cs="仿宋"/>
          <w:sz w:val="24"/>
          <w:szCs w:val="24"/>
        </w:rPr>
        <w:t>采购文件规定的采购代理服务费。</w:t>
      </w:r>
    </w:p>
    <w:p>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8"/>
        </w:rPr>
        <w:t>我方未</w:t>
      </w:r>
      <w:r>
        <w:rPr>
          <w:rFonts w:hint="eastAsia" w:ascii="仿宋" w:hAnsi="仿宋" w:eastAsia="仿宋" w:cs="仿宋"/>
          <w:sz w:val="24"/>
          <w:szCs w:val="24"/>
        </w:rPr>
        <w:t>为采购项目提供整体设计、规范编制或者项目管理、监理、检测等服务。</w:t>
      </w: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供应商（公章）或自然人签署：</w:t>
      </w: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 xml:space="preserve">地址：  </w:t>
      </w: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电话：                                             传真：</w:t>
      </w: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网址：                                             邮编：</w:t>
      </w: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联系人：</w:t>
      </w:r>
    </w:p>
    <w:p>
      <w:pPr>
        <w:snapToGrid w:val="0"/>
        <w:spacing w:line="312" w:lineRule="auto"/>
        <w:ind w:firstLine="480" w:firstLineChars="200"/>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rPr>
        <w:t xml:space="preserve">                                                  年   月   日</w:t>
      </w:r>
    </w:p>
    <w:p>
      <w:pPr>
        <w:tabs>
          <w:tab w:val="left" w:pos="2895"/>
        </w:tabs>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 xml:space="preserve">项目名称：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仿宋" w:hAnsi="仿宋" w:eastAsia="仿宋" w:cs="仿宋"/>
                <w:b/>
                <w:sz w:val="21"/>
                <w:szCs w:val="21"/>
              </w:rPr>
            </w:pPr>
            <w:r>
              <w:rPr>
                <w:rFonts w:hint="eastAsia" w:ascii="仿宋" w:hAnsi="仿宋" w:eastAsia="仿宋" w:cs="仿宋"/>
                <w:b/>
                <w:sz w:val="21"/>
                <w:szCs w:val="21"/>
              </w:rPr>
              <w:t>序号</w:t>
            </w:r>
          </w:p>
        </w:tc>
        <w:tc>
          <w:tcPr>
            <w:tcW w:w="1557" w:type="dxa"/>
            <w:vAlign w:val="center"/>
          </w:tcPr>
          <w:p>
            <w:pPr>
              <w:jc w:val="center"/>
              <w:rPr>
                <w:rFonts w:ascii="仿宋" w:hAnsi="仿宋" w:eastAsia="仿宋" w:cs="仿宋"/>
                <w:b/>
                <w:sz w:val="21"/>
                <w:szCs w:val="21"/>
              </w:rPr>
            </w:pPr>
            <w:r>
              <w:rPr>
                <w:rFonts w:hint="eastAsia" w:ascii="仿宋" w:hAnsi="仿宋" w:eastAsia="仿宋" w:cs="仿宋"/>
                <w:b/>
                <w:sz w:val="21"/>
                <w:szCs w:val="21"/>
              </w:rPr>
              <w:t>名称</w:t>
            </w:r>
          </w:p>
        </w:tc>
        <w:tc>
          <w:tcPr>
            <w:tcW w:w="3127" w:type="dxa"/>
            <w:vAlign w:val="center"/>
          </w:tcPr>
          <w:p>
            <w:pPr>
              <w:jc w:val="center"/>
              <w:rPr>
                <w:rFonts w:ascii="仿宋" w:hAnsi="仿宋" w:eastAsia="仿宋" w:cs="仿宋"/>
                <w:b/>
                <w:sz w:val="21"/>
                <w:szCs w:val="21"/>
              </w:rPr>
            </w:pPr>
            <w:r>
              <w:rPr>
                <w:rFonts w:hint="eastAsia" w:ascii="仿宋" w:hAnsi="仿宋" w:eastAsia="仿宋" w:cs="仿宋"/>
                <w:b/>
                <w:sz w:val="21"/>
                <w:szCs w:val="21"/>
              </w:rPr>
              <w:t>相关信息</w:t>
            </w:r>
          </w:p>
        </w:tc>
        <w:tc>
          <w:tcPr>
            <w:tcW w:w="1235" w:type="dxa"/>
            <w:vAlign w:val="center"/>
          </w:tcPr>
          <w:p>
            <w:pPr>
              <w:jc w:val="center"/>
              <w:rPr>
                <w:rFonts w:ascii="仿宋" w:hAnsi="仿宋" w:eastAsia="仿宋" w:cs="仿宋"/>
                <w:b/>
                <w:sz w:val="21"/>
                <w:szCs w:val="21"/>
              </w:rPr>
            </w:pPr>
            <w:r>
              <w:rPr>
                <w:rFonts w:hint="eastAsia" w:ascii="仿宋" w:hAnsi="仿宋" w:eastAsia="仿宋" w:cs="仿宋"/>
                <w:b/>
                <w:sz w:val="21"/>
                <w:szCs w:val="21"/>
              </w:rPr>
              <w:t>数量</w:t>
            </w:r>
          </w:p>
        </w:tc>
        <w:tc>
          <w:tcPr>
            <w:tcW w:w="1235" w:type="dxa"/>
            <w:vAlign w:val="center"/>
          </w:tcPr>
          <w:p>
            <w:pPr>
              <w:jc w:val="center"/>
              <w:rPr>
                <w:rFonts w:ascii="仿宋" w:hAnsi="仿宋" w:eastAsia="仿宋" w:cs="仿宋"/>
                <w:b/>
                <w:sz w:val="21"/>
                <w:szCs w:val="21"/>
              </w:rPr>
            </w:pPr>
            <w:r>
              <w:rPr>
                <w:rFonts w:hint="eastAsia" w:ascii="仿宋" w:hAnsi="仿宋" w:eastAsia="仿宋" w:cs="仿宋"/>
                <w:b/>
                <w:sz w:val="21"/>
                <w:szCs w:val="21"/>
              </w:rPr>
              <w:t>单价</w:t>
            </w:r>
          </w:p>
        </w:tc>
        <w:tc>
          <w:tcPr>
            <w:tcW w:w="1235" w:type="dxa"/>
            <w:vAlign w:val="center"/>
          </w:tcPr>
          <w:p>
            <w:pPr>
              <w:jc w:val="center"/>
              <w:rPr>
                <w:rFonts w:ascii="仿宋" w:hAnsi="仿宋" w:eastAsia="仿宋" w:cs="仿宋"/>
                <w:b/>
                <w:sz w:val="21"/>
                <w:szCs w:val="21"/>
              </w:rPr>
            </w:pPr>
            <w:r>
              <w:rPr>
                <w:rFonts w:hint="eastAsia" w:ascii="仿宋" w:hAnsi="仿宋" w:eastAsia="仿宋" w:cs="仿宋"/>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1</w:t>
            </w:r>
          </w:p>
        </w:tc>
        <w:tc>
          <w:tcPr>
            <w:tcW w:w="1557" w:type="dxa"/>
            <w:vAlign w:val="center"/>
          </w:tcPr>
          <w:p>
            <w:pPr>
              <w:jc w:val="center"/>
              <w:rPr>
                <w:rFonts w:ascii="仿宋" w:hAnsi="仿宋" w:eastAsia="仿宋" w:cs="仿宋"/>
                <w:sz w:val="21"/>
                <w:szCs w:val="21"/>
              </w:rPr>
            </w:pPr>
          </w:p>
        </w:tc>
        <w:tc>
          <w:tcPr>
            <w:tcW w:w="3127" w:type="dxa"/>
          </w:tcPr>
          <w:p>
            <w:pPr>
              <w:jc w:val="center"/>
              <w:rPr>
                <w:rFonts w:ascii="仿宋" w:hAnsi="仿宋" w:eastAsia="仿宋" w:cs="仿宋"/>
                <w:sz w:val="21"/>
                <w:szCs w:val="21"/>
              </w:rPr>
            </w:pPr>
          </w:p>
        </w:tc>
        <w:tc>
          <w:tcPr>
            <w:tcW w:w="1235" w:type="dxa"/>
            <w:vAlign w:val="center"/>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2</w:t>
            </w:r>
          </w:p>
        </w:tc>
        <w:tc>
          <w:tcPr>
            <w:tcW w:w="1557" w:type="dxa"/>
            <w:vAlign w:val="center"/>
          </w:tcPr>
          <w:p>
            <w:pPr>
              <w:jc w:val="center"/>
              <w:rPr>
                <w:rFonts w:ascii="仿宋" w:hAnsi="仿宋" w:eastAsia="仿宋" w:cs="仿宋"/>
                <w:sz w:val="21"/>
                <w:szCs w:val="21"/>
              </w:rPr>
            </w:pPr>
          </w:p>
        </w:tc>
        <w:tc>
          <w:tcPr>
            <w:tcW w:w="3127" w:type="dxa"/>
          </w:tcPr>
          <w:p>
            <w:pPr>
              <w:jc w:val="center"/>
              <w:rPr>
                <w:rFonts w:ascii="仿宋" w:hAnsi="仿宋" w:eastAsia="仿宋" w:cs="仿宋"/>
                <w:sz w:val="21"/>
                <w:szCs w:val="21"/>
              </w:rPr>
            </w:pPr>
          </w:p>
        </w:tc>
        <w:tc>
          <w:tcPr>
            <w:tcW w:w="1235" w:type="dxa"/>
            <w:vAlign w:val="center"/>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3</w:t>
            </w:r>
          </w:p>
        </w:tc>
        <w:tc>
          <w:tcPr>
            <w:tcW w:w="1557" w:type="dxa"/>
            <w:vAlign w:val="center"/>
          </w:tcPr>
          <w:p>
            <w:pPr>
              <w:jc w:val="center"/>
              <w:rPr>
                <w:rFonts w:ascii="仿宋" w:hAnsi="仿宋" w:eastAsia="仿宋" w:cs="仿宋"/>
                <w:sz w:val="21"/>
                <w:szCs w:val="21"/>
              </w:rPr>
            </w:pPr>
          </w:p>
        </w:tc>
        <w:tc>
          <w:tcPr>
            <w:tcW w:w="3127" w:type="dxa"/>
          </w:tcPr>
          <w:p>
            <w:pPr>
              <w:jc w:val="center"/>
              <w:rPr>
                <w:rFonts w:ascii="仿宋" w:hAnsi="仿宋" w:eastAsia="仿宋" w:cs="仿宋"/>
                <w:sz w:val="21"/>
                <w:szCs w:val="21"/>
              </w:rPr>
            </w:pPr>
          </w:p>
        </w:tc>
        <w:tc>
          <w:tcPr>
            <w:tcW w:w="1235" w:type="dxa"/>
            <w:vAlign w:val="center"/>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4</w:t>
            </w:r>
          </w:p>
        </w:tc>
        <w:tc>
          <w:tcPr>
            <w:tcW w:w="1557" w:type="dxa"/>
            <w:vAlign w:val="center"/>
          </w:tcPr>
          <w:p>
            <w:pPr>
              <w:jc w:val="center"/>
              <w:rPr>
                <w:rFonts w:ascii="仿宋" w:hAnsi="仿宋" w:eastAsia="仿宋" w:cs="仿宋"/>
                <w:sz w:val="21"/>
                <w:szCs w:val="21"/>
              </w:rPr>
            </w:pPr>
          </w:p>
        </w:tc>
        <w:tc>
          <w:tcPr>
            <w:tcW w:w="3127" w:type="dxa"/>
          </w:tcPr>
          <w:p>
            <w:pPr>
              <w:jc w:val="center"/>
              <w:rPr>
                <w:rFonts w:ascii="仿宋" w:hAnsi="仿宋" w:eastAsia="仿宋" w:cs="仿宋"/>
                <w:sz w:val="21"/>
                <w:szCs w:val="21"/>
              </w:rPr>
            </w:pPr>
          </w:p>
        </w:tc>
        <w:tc>
          <w:tcPr>
            <w:tcW w:w="1235" w:type="dxa"/>
            <w:vAlign w:val="center"/>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5</w:t>
            </w:r>
          </w:p>
        </w:tc>
        <w:tc>
          <w:tcPr>
            <w:tcW w:w="1557" w:type="dxa"/>
            <w:vAlign w:val="center"/>
          </w:tcPr>
          <w:p>
            <w:pPr>
              <w:jc w:val="center"/>
              <w:rPr>
                <w:rFonts w:ascii="仿宋" w:hAnsi="仿宋" w:eastAsia="仿宋" w:cs="仿宋"/>
                <w:sz w:val="21"/>
                <w:szCs w:val="21"/>
              </w:rPr>
            </w:pPr>
          </w:p>
        </w:tc>
        <w:tc>
          <w:tcPr>
            <w:tcW w:w="3127" w:type="dxa"/>
          </w:tcPr>
          <w:p>
            <w:pPr>
              <w:jc w:val="center"/>
              <w:rPr>
                <w:rFonts w:ascii="仿宋" w:hAnsi="仿宋" w:eastAsia="仿宋" w:cs="仿宋"/>
                <w:sz w:val="21"/>
                <w:szCs w:val="21"/>
              </w:rPr>
            </w:pPr>
          </w:p>
        </w:tc>
        <w:tc>
          <w:tcPr>
            <w:tcW w:w="1235" w:type="dxa"/>
            <w:vAlign w:val="center"/>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6</w:t>
            </w:r>
          </w:p>
        </w:tc>
        <w:tc>
          <w:tcPr>
            <w:tcW w:w="1557" w:type="dxa"/>
            <w:vAlign w:val="center"/>
          </w:tcPr>
          <w:p>
            <w:pPr>
              <w:jc w:val="center"/>
              <w:rPr>
                <w:rFonts w:ascii="仿宋" w:hAnsi="仿宋" w:eastAsia="仿宋" w:cs="仿宋"/>
                <w:sz w:val="21"/>
                <w:szCs w:val="21"/>
              </w:rPr>
            </w:pPr>
          </w:p>
        </w:tc>
        <w:tc>
          <w:tcPr>
            <w:tcW w:w="3127" w:type="dxa"/>
          </w:tcPr>
          <w:p>
            <w:pPr>
              <w:jc w:val="center"/>
              <w:rPr>
                <w:rFonts w:ascii="仿宋" w:hAnsi="仿宋" w:eastAsia="仿宋" w:cs="仿宋"/>
                <w:sz w:val="21"/>
                <w:szCs w:val="21"/>
              </w:rPr>
            </w:pPr>
          </w:p>
        </w:tc>
        <w:tc>
          <w:tcPr>
            <w:tcW w:w="1235" w:type="dxa"/>
            <w:vAlign w:val="center"/>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7</w:t>
            </w:r>
          </w:p>
        </w:tc>
        <w:tc>
          <w:tcPr>
            <w:tcW w:w="1557" w:type="dxa"/>
            <w:vAlign w:val="center"/>
          </w:tcPr>
          <w:p>
            <w:pPr>
              <w:jc w:val="center"/>
              <w:rPr>
                <w:rFonts w:ascii="仿宋" w:hAnsi="仿宋" w:eastAsia="仿宋" w:cs="仿宋"/>
                <w:sz w:val="21"/>
                <w:szCs w:val="21"/>
              </w:rPr>
            </w:pPr>
          </w:p>
        </w:tc>
        <w:tc>
          <w:tcPr>
            <w:tcW w:w="3127" w:type="dxa"/>
          </w:tcPr>
          <w:p>
            <w:pPr>
              <w:jc w:val="center"/>
              <w:rPr>
                <w:rFonts w:ascii="仿宋" w:hAnsi="仿宋" w:eastAsia="仿宋" w:cs="仿宋"/>
                <w:sz w:val="21"/>
                <w:szCs w:val="21"/>
              </w:rPr>
            </w:pPr>
          </w:p>
        </w:tc>
        <w:tc>
          <w:tcPr>
            <w:tcW w:w="1235" w:type="dxa"/>
            <w:vAlign w:val="center"/>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8</w:t>
            </w:r>
          </w:p>
        </w:tc>
        <w:tc>
          <w:tcPr>
            <w:tcW w:w="1557" w:type="dxa"/>
            <w:vAlign w:val="center"/>
          </w:tcPr>
          <w:p>
            <w:pPr>
              <w:jc w:val="center"/>
              <w:rPr>
                <w:rFonts w:ascii="仿宋" w:hAnsi="仿宋" w:eastAsia="仿宋" w:cs="仿宋"/>
                <w:sz w:val="21"/>
                <w:szCs w:val="21"/>
              </w:rPr>
            </w:pPr>
            <w:r>
              <w:rPr>
                <w:rFonts w:hint="eastAsia" w:ascii="仿宋" w:hAnsi="仿宋" w:eastAsia="仿宋" w:cs="仿宋"/>
                <w:sz w:val="21"/>
                <w:szCs w:val="21"/>
              </w:rPr>
              <w:t>人工费</w:t>
            </w:r>
          </w:p>
        </w:tc>
        <w:tc>
          <w:tcPr>
            <w:tcW w:w="3127" w:type="dxa"/>
          </w:tcPr>
          <w:p>
            <w:pPr>
              <w:jc w:val="center"/>
              <w:rPr>
                <w:rFonts w:ascii="仿宋" w:hAnsi="仿宋" w:eastAsia="仿宋" w:cs="仿宋"/>
                <w:sz w:val="21"/>
                <w:szCs w:val="21"/>
              </w:rPr>
            </w:pPr>
          </w:p>
        </w:tc>
        <w:tc>
          <w:tcPr>
            <w:tcW w:w="1235" w:type="dxa"/>
            <w:vAlign w:val="center"/>
          </w:tcPr>
          <w:p>
            <w:pPr>
              <w:jc w:val="center"/>
              <w:rPr>
                <w:rFonts w:ascii="仿宋" w:hAnsi="仿宋" w:eastAsia="仿宋" w:cs="仿宋"/>
                <w:sz w:val="21"/>
                <w:szCs w:val="21"/>
              </w:rPr>
            </w:pPr>
            <w:r>
              <w:rPr>
                <w:rFonts w:hint="eastAsia" w:ascii="仿宋" w:hAnsi="仿宋" w:eastAsia="仿宋" w:cs="仿宋"/>
                <w:sz w:val="21"/>
                <w:szCs w:val="21"/>
              </w:rPr>
              <w:t>/</w:t>
            </w:r>
          </w:p>
        </w:tc>
        <w:tc>
          <w:tcPr>
            <w:tcW w:w="1235" w:type="dxa"/>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9</w:t>
            </w:r>
          </w:p>
        </w:tc>
        <w:tc>
          <w:tcPr>
            <w:tcW w:w="1557" w:type="dxa"/>
            <w:vAlign w:val="center"/>
          </w:tcPr>
          <w:p>
            <w:pPr>
              <w:jc w:val="center"/>
              <w:rPr>
                <w:rFonts w:ascii="仿宋" w:hAnsi="仿宋" w:eastAsia="仿宋" w:cs="仿宋"/>
                <w:sz w:val="21"/>
                <w:szCs w:val="21"/>
              </w:rPr>
            </w:pPr>
            <w:r>
              <w:rPr>
                <w:rFonts w:hint="eastAsia" w:ascii="仿宋" w:hAnsi="仿宋" w:eastAsia="仿宋" w:cs="仿宋"/>
                <w:sz w:val="21"/>
                <w:szCs w:val="21"/>
              </w:rPr>
              <w:t>运输费</w:t>
            </w:r>
          </w:p>
        </w:tc>
        <w:tc>
          <w:tcPr>
            <w:tcW w:w="3127" w:type="dxa"/>
          </w:tcPr>
          <w:p>
            <w:pPr>
              <w:jc w:val="center"/>
              <w:rPr>
                <w:rFonts w:ascii="仿宋" w:hAnsi="仿宋" w:eastAsia="仿宋" w:cs="仿宋"/>
                <w:sz w:val="21"/>
                <w:szCs w:val="21"/>
              </w:rPr>
            </w:pPr>
          </w:p>
        </w:tc>
        <w:tc>
          <w:tcPr>
            <w:tcW w:w="1235" w:type="dxa"/>
            <w:vAlign w:val="center"/>
          </w:tcPr>
          <w:p>
            <w:pPr>
              <w:jc w:val="center"/>
              <w:rPr>
                <w:rFonts w:ascii="仿宋" w:hAnsi="仿宋" w:eastAsia="仿宋" w:cs="仿宋"/>
                <w:sz w:val="21"/>
                <w:szCs w:val="21"/>
              </w:rPr>
            </w:pPr>
            <w:r>
              <w:rPr>
                <w:rFonts w:hint="eastAsia" w:ascii="仿宋" w:hAnsi="仿宋" w:eastAsia="仿宋" w:cs="仿宋"/>
                <w:sz w:val="21"/>
                <w:szCs w:val="21"/>
              </w:rPr>
              <w:t>/</w:t>
            </w:r>
          </w:p>
        </w:tc>
        <w:tc>
          <w:tcPr>
            <w:tcW w:w="1235" w:type="dxa"/>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10</w:t>
            </w:r>
          </w:p>
        </w:tc>
        <w:tc>
          <w:tcPr>
            <w:tcW w:w="1557" w:type="dxa"/>
            <w:vAlign w:val="center"/>
          </w:tcPr>
          <w:p>
            <w:pPr>
              <w:jc w:val="center"/>
              <w:rPr>
                <w:rFonts w:ascii="仿宋" w:hAnsi="仿宋" w:eastAsia="仿宋" w:cs="仿宋"/>
                <w:sz w:val="21"/>
                <w:szCs w:val="21"/>
              </w:rPr>
            </w:pPr>
            <w:r>
              <w:rPr>
                <w:rFonts w:hint="eastAsia" w:ascii="仿宋" w:hAnsi="仿宋" w:eastAsia="仿宋" w:cs="仿宋"/>
                <w:sz w:val="21"/>
                <w:szCs w:val="21"/>
              </w:rPr>
              <w:t>其他费用</w:t>
            </w:r>
          </w:p>
        </w:tc>
        <w:tc>
          <w:tcPr>
            <w:tcW w:w="3127" w:type="dxa"/>
          </w:tcPr>
          <w:p>
            <w:pPr>
              <w:jc w:val="center"/>
              <w:rPr>
                <w:rFonts w:ascii="仿宋" w:hAnsi="仿宋" w:eastAsia="仿宋" w:cs="仿宋"/>
                <w:sz w:val="21"/>
                <w:szCs w:val="21"/>
              </w:rPr>
            </w:pPr>
          </w:p>
        </w:tc>
        <w:tc>
          <w:tcPr>
            <w:tcW w:w="1235" w:type="dxa"/>
            <w:vAlign w:val="center"/>
          </w:tcPr>
          <w:p>
            <w:pPr>
              <w:jc w:val="center"/>
              <w:rPr>
                <w:rFonts w:ascii="仿宋" w:hAnsi="仿宋" w:eastAsia="仿宋" w:cs="仿宋"/>
                <w:sz w:val="21"/>
                <w:szCs w:val="21"/>
              </w:rPr>
            </w:pPr>
            <w:r>
              <w:rPr>
                <w:rFonts w:hint="eastAsia" w:ascii="仿宋" w:hAnsi="仿宋" w:eastAsia="仿宋" w:cs="仿宋"/>
                <w:sz w:val="21"/>
                <w:szCs w:val="21"/>
              </w:rPr>
              <w:t>/</w:t>
            </w:r>
          </w:p>
        </w:tc>
        <w:tc>
          <w:tcPr>
            <w:tcW w:w="1235" w:type="dxa"/>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11</w:t>
            </w:r>
          </w:p>
        </w:tc>
        <w:tc>
          <w:tcPr>
            <w:tcW w:w="1557" w:type="dxa"/>
            <w:vAlign w:val="center"/>
          </w:tcPr>
          <w:p>
            <w:pPr>
              <w:jc w:val="center"/>
              <w:rPr>
                <w:rFonts w:ascii="仿宋" w:hAnsi="仿宋" w:eastAsia="仿宋" w:cs="仿宋"/>
                <w:sz w:val="21"/>
                <w:szCs w:val="21"/>
              </w:rPr>
            </w:pPr>
            <w:r>
              <w:rPr>
                <w:rFonts w:hint="eastAsia" w:ascii="仿宋" w:hAnsi="仿宋" w:eastAsia="仿宋" w:cs="仿宋"/>
                <w:sz w:val="21"/>
                <w:szCs w:val="21"/>
              </w:rPr>
              <w:t>……</w:t>
            </w:r>
          </w:p>
        </w:tc>
        <w:tc>
          <w:tcPr>
            <w:tcW w:w="3127" w:type="dxa"/>
          </w:tcPr>
          <w:p>
            <w:pPr>
              <w:jc w:val="center"/>
              <w:rPr>
                <w:rFonts w:ascii="仿宋" w:hAnsi="仿宋" w:eastAsia="仿宋" w:cs="仿宋"/>
                <w:sz w:val="21"/>
                <w:szCs w:val="21"/>
              </w:rPr>
            </w:pPr>
          </w:p>
        </w:tc>
        <w:tc>
          <w:tcPr>
            <w:tcW w:w="1235" w:type="dxa"/>
            <w:vAlign w:val="center"/>
          </w:tcPr>
          <w:p>
            <w:pPr>
              <w:jc w:val="center"/>
              <w:rPr>
                <w:rFonts w:ascii="仿宋" w:hAnsi="仿宋" w:eastAsia="仿宋" w:cs="仿宋"/>
                <w:sz w:val="21"/>
                <w:szCs w:val="21"/>
              </w:rPr>
            </w:pPr>
            <w:r>
              <w:rPr>
                <w:rFonts w:hint="eastAsia" w:ascii="仿宋" w:hAnsi="仿宋" w:eastAsia="仿宋" w:cs="仿宋"/>
                <w:sz w:val="21"/>
                <w:szCs w:val="21"/>
              </w:rPr>
              <w:t>/</w:t>
            </w:r>
          </w:p>
        </w:tc>
        <w:tc>
          <w:tcPr>
            <w:tcW w:w="1235" w:type="dxa"/>
          </w:tcPr>
          <w:p>
            <w:pPr>
              <w:jc w:val="center"/>
              <w:rPr>
                <w:rFonts w:ascii="仿宋" w:hAnsi="仿宋" w:eastAsia="仿宋" w:cs="仿宋"/>
                <w:sz w:val="21"/>
                <w:szCs w:val="21"/>
              </w:rPr>
            </w:pPr>
          </w:p>
        </w:tc>
        <w:tc>
          <w:tcPr>
            <w:tcW w:w="1235"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仿宋" w:hAnsi="仿宋" w:eastAsia="仿宋" w:cs="仿宋"/>
                <w:sz w:val="21"/>
                <w:szCs w:val="21"/>
              </w:rPr>
            </w:pPr>
            <w:r>
              <w:rPr>
                <w:rFonts w:hint="eastAsia" w:ascii="仿宋" w:hAnsi="仿宋" w:eastAsia="仿宋" w:cs="仿宋"/>
                <w:sz w:val="21"/>
                <w:szCs w:val="21"/>
              </w:rPr>
              <w:t>12</w:t>
            </w:r>
          </w:p>
        </w:tc>
        <w:tc>
          <w:tcPr>
            <w:tcW w:w="1557" w:type="dxa"/>
            <w:vAlign w:val="center"/>
          </w:tcPr>
          <w:p>
            <w:pPr>
              <w:jc w:val="center"/>
              <w:rPr>
                <w:rFonts w:ascii="仿宋" w:hAnsi="仿宋" w:eastAsia="仿宋" w:cs="仿宋"/>
                <w:sz w:val="21"/>
                <w:szCs w:val="21"/>
              </w:rPr>
            </w:pPr>
            <w:r>
              <w:rPr>
                <w:rFonts w:hint="eastAsia" w:ascii="仿宋" w:hAnsi="仿宋" w:eastAsia="仿宋" w:cs="仿宋"/>
                <w:sz w:val="21"/>
                <w:szCs w:val="21"/>
              </w:rPr>
              <w:t>总计</w:t>
            </w:r>
          </w:p>
        </w:tc>
        <w:tc>
          <w:tcPr>
            <w:tcW w:w="6832" w:type="dxa"/>
            <w:gridSpan w:val="4"/>
          </w:tcPr>
          <w:p>
            <w:pPr>
              <w:rPr>
                <w:rFonts w:ascii="仿宋" w:hAnsi="仿宋" w:eastAsia="仿宋" w:cs="仿宋"/>
                <w:sz w:val="21"/>
                <w:szCs w:val="21"/>
              </w:rPr>
            </w:pPr>
          </w:p>
        </w:tc>
      </w:tr>
    </w:tbl>
    <w:p>
      <w:pPr>
        <w:snapToGrid w:val="0"/>
        <w:spacing w:line="500" w:lineRule="exact"/>
        <w:ind w:firstLine="480" w:firstLineChars="200"/>
        <w:rPr>
          <w:rFonts w:ascii="仿宋" w:hAnsi="仿宋" w:eastAsia="仿宋" w:cs="仿宋"/>
          <w:sz w:val="24"/>
          <w:szCs w:val="28"/>
        </w:rPr>
      </w:pPr>
    </w:p>
    <w:p>
      <w:pPr>
        <w:snapToGrid w:val="0"/>
        <w:spacing w:line="500" w:lineRule="exact"/>
        <w:ind w:firstLine="480" w:firstLineChars="200"/>
        <w:rPr>
          <w:rFonts w:ascii="仿宋" w:hAnsi="仿宋" w:eastAsia="仿宋" w:cs="仿宋"/>
          <w:sz w:val="24"/>
          <w:szCs w:val="28"/>
        </w:rPr>
      </w:pPr>
      <w:r>
        <w:rPr>
          <w:rFonts w:hint="eastAsia" w:ascii="仿宋" w:hAnsi="仿宋" w:eastAsia="仿宋" w:cs="仿宋"/>
          <w:sz w:val="24"/>
          <w:szCs w:val="28"/>
        </w:rPr>
        <w:t>注：1.供应商应完整填写本表。</w:t>
      </w:r>
    </w:p>
    <w:p>
      <w:pPr>
        <w:snapToGrid w:val="0"/>
        <w:spacing w:line="500" w:lineRule="exact"/>
        <w:rPr>
          <w:rFonts w:ascii="仿宋" w:hAnsi="仿宋" w:eastAsia="仿宋" w:cs="仿宋"/>
          <w:sz w:val="24"/>
          <w:szCs w:val="28"/>
        </w:rPr>
      </w:pPr>
      <w:r>
        <w:rPr>
          <w:rFonts w:hint="eastAsia" w:ascii="仿宋" w:hAnsi="仿宋" w:eastAsia="仿宋" w:cs="仿宋"/>
          <w:sz w:val="24"/>
          <w:szCs w:val="28"/>
        </w:rPr>
        <w:t xml:space="preserve">        2.该表可扩展</w:t>
      </w:r>
      <w:bookmarkStart w:id="147" w:name="OLE_LINK1"/>
      <w:bookmarkStart w:id="148" w:name="OLE_LINK2"/>
      <w:r>
        <w:rPr>
          <w:rFonts w:hint="eastAsia" w:ascii="仿宋" w:hAnsi="仿宋" w:eastAsia="仿宋" w:cs="仿宋"/>
          <w:sz w:val="24"/>
          <w:szCs w:val="28"/>
        </w:rPr>
        <w:t>。</w:t>
      </w:r>
      <w:bookmarkEnd w:id="147"/>
      <w:bookmarkEnd w:id="148"/>
    </w:p>
    <w:p>
      <w:pPr>
        <w:pStyle w:val="37"/>
        <w:spacing w:line="360" w:lineRule="auto"/>
        <w:rPr>
          <w:rFonts w:ascii="仿宋" w:hAnsi="仿宋" w:eastAsia="仿宋" w:cs="仿宋"/>
          <w:sz w:val="24"/>
          <w:szCs w:val="24"/>
        </w:rPr>
      </w:pPr>
    </w:p>
    <w:p>
      <w:pPr>
        <w:pStyle w:val="37"/>
        <w:spacing w:line="360" w:lineRule="auto"/>
        <w:rPr>
          <w:rFonts w:ascii="仿宋" w:hAnsi="仿宋" w:eastAsia="仿宋" w:cs="仿宋"/>
          <w:sz w:val="24"/>
          <w:szCs w:val="24"/>
        </w:rPr>
      </w:pPr>
      <w:r>
        <w:rPr>
          <w:rFonts w:hint="eastAsia" w:ascii="仿宋" w:hAnsi="仿宋" w:eastAsia="仿宋" w:cs="仿宋"/>
          <w:sz w:val="24"/>
          <w:szCs w:val="24"/>
        </w:rPr>
        <w:t xml:space="preserve">            </w:t>
      </w:r>
    </w:p>
    <w:p>
      <w:pPr>
        <w:rPr>
          <w:rFonts w:ascii="仿宋" w:hAnsi="仿宋" w:eastAsia="仿宋" w:cs="仿宋"/>
        </w:rPr>
      </w:pPr>
    </w:p>
    <w:p>
      <w:pPr>
        <w:rPr>
          <w:rFonts w:ascii="仿宋" w:hAnsi="仿宋" w:eastAsia="仿宋" w:cs="仿宋"/>
        </w:rPr>
      </w:pPr>
    </w:p>
    <w:p>
      <w:pPr>
        <w:spacing w:line="360" w:lineRule="auto"/>
        <w:rPr>
          <w:rFonts w:ascii="仿宋" w:hAnsi="仿宋" w:eastAsia="仿宋" w:cs="仿宋"/>
        </w:rPr>
      </w:pPr>
      <w:r>
        <w:rPr>
          <w:rFonts w:hint="eastAsia" w:ascii="仿宋" w:hAnsi="仿宋" w:eastAsia="仿宋" w:cs="仿宋"/>
          <w:sz w:val="24"/>
          <w:szCs w:val="24"/>
        </w:rPr>
        <w:t xml:space="preserve">                                             供应商名称（公章）或自然人签署：</w:t>
      </w:r>
    </w:p>
    <w:p>
      <w:pPr>
        <w:spacing w:line="360" w:lineRule="auto"/>
        <w:ind w:right="480" w:firstLine="6480" w:firstLineChars="2700"/>
        <w:rPr>
          <w:rFonts w:ascii="仿宋" w:hAnsi="仿宋" w:eastAsia="仿宋" w:cs="仿宋"/>
          <w:sz w:val="24"/>
          <w:szCs w:val="24"/>
        </w:rPr>
      </w:pPr>
      <w:r>
        <w:rPr>
          <w:rFonts w:hint="eastAsia" w:ascii="仿宋" w:hAnsi="仿宋" w:eastAsia="仿宋" w:cs="仿宋"/>
          <w:sz w:val="24"/>
          <w:szCs w:val="24"/>
        </w:rPr>
        <w:t>年     月    日</w:t>
      </w:r>
    </w:p>
    <w:p>
      <w:pPr>
        <w:snapToGrid w:val="0"/>
        <w:spacing w:line="360" w:lineRule="auto"/>
        <w:ind w:firstLine="480" w:firstLineChars="200"/>
        <w:rPr>
          <w:rFonts w:ascii="仿宋" w:hAnsi="仿宋" w:eastAsia="仿宋" w:cs="仿宋"/>
          <w:sz w:val="24"/>
          <w:szCs w:val="24"/>
          <w:bdr w:val="single" w:color="auto" w:sz="4" w:space="0"/>
        </w:rPr>
        <w:sectPr>
          <w:headerReference r:id="rId19"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line="400" w:lineRule="exact"/>
        <w:ind w:firstLine="482" w:firstLineChars="200"/>
        <w:rPr>
          <w:rFonts w:ascii="仿宋" w:hAnsi="仿宋" w:eastAsia="仿宋" w:cs="仿宋"/>
          <w:sz w:val="24"/>
        </w:rPr>
      </w:pPr>
      <w:bookmarkStart w:id="149" w:name="_Toc106030907"/>
      <w:bookmarkStart w:id="150" w:name="_Toc76462351"/>
      <w:bookmarkStart w:id="151" w:name="_Toc342913420"/>
      <w:bookmarkStart w:id="152" w:name="_Toc313008357"/>
      <w:bookmarkStart w:id="153" w:name="_Toc313888361"/>
      <w:r>
        <w:rPr>
          <w:rFonts w:hint="eastAsia" w:ascii="仿宋" w:hAnsi="仿宋" w:eastAsia="仿宋" w:cs="仿宋"/>
          <w:sz w:val="24"/>
        </w:rPr>
        <w:t>二、服务部分</w:t>
      </w:r>
      <w:bookmarkEnd w:id="149"/>
      <w:bookmarkEnd w:id="150"/>
      <w:bookmarkEnd w:id="151"/>
      <w:bookmarkEnd w:id="152"/>
      <w:bookmarkEnd w:id="153"/>
    </w:p>
    <w:p>
      <w:pPr>
        <w:tabs>
          <w:tab w:val="left" w:pos="6300"/>
        </w:tabs>
        <w:snapToGrid w:val="0"/>
        <w:spacing w:line="400" w:lineRule="exact"/>
        <w:ind w:firstLine="480" w:firstLineChars="200"/>
        <w:rPr>
          <w:rFonts w:ascii="仿宋" w:hAnsi="仿宋" w:eastAsia="仿宋" w:cs="仿宋"/>
          <w:szCs w:val="24"/>
        </w:rPr>
      </w:pPr>
      <w:r>
        <w:rPr>
          <w:rFonts w:hint="eastAsia" w:ascii="仿宋" w:hAnsi="仿宋" w:eastAsia="仿宋" w:cs="仿宋"/>
          <w:sz w:val="24"/>
          <w:szCs w:val="24"/>
        </w:rPr>
        <w:t xml:space="preserve">（一）服务响应偏离表                                </w:t>
      </w:r>
    </w:p>
    <w:p>
      <w:pPr>
        <w:spacing w:line="400" w:lineRule="exact"/>
        <w:ind w:firstLine="480" w:firstLineChars="200"/>
        <w:rPr>
          <w:rFonts w:ascii="仿宋" w:hAnsi="仿宋" w:eastAsia="仿宋" w:cs="仿宋"/>
          <w:sz w:val="24"/>
          <w:szCs w:val="24"/>
        </w:rPr>
      </w:pP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序号</w:t>
            </w:r>
          </w:p>
        </w:tc>
        <w:tc>
          <w:tcPr>
            <w:tcW w:w="2967" w:type="dxa"/>
            <w:vAlign w:val="center"/>
          </w:tcPr>
          <w:p>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采购需求</w:t>
            </w:r>
          </w:p>
        </w:tc>
        <w:tc>
          <w:tcPr>
            <w:tcW w:w="3081" w:type="dxa"/>
            <w:vAlign w:val="center"/>
          </w:tcPr>
          <w:p>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响应情况</w:t>
            </w:r>
          </w:p>
        </w:tc>
        <w:tc>
          <w:tcPr>
            <w:tcW w:w="2309" w:type="dxa"/>
            <w:vAlign w:val="center"/>
          </w:tcPr>
          <w:p>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081" w:type="dxa"/>
            <w:vAlign w:val="center"/>
          </w:tcPr>
          <w:p>
            <w:pPr>
              <w:tabs>
                <w:tab w:val="left" w:pos="6300"/>
              </w:tabs>
              <w:snapToGrid w:val="0"/>
              <w:spacing w:line="500" w:lineRule="exact"/>
              <w:outlineLvl w:val="0"/>
              <w:rPr>
                <w:rFonts w:ascii="仿宋" w:hAnsi="仿宋" w:eastAsia="仿宋" w:cs="仿宋"/>
                <w:sz w:val="21"/>
                <w:szCs w:val="21"/>
              </w:rPr>
            </w:pPr>
            <w:r>
              <w:rPr>
                <w:rFonts w:hint="eastAsia" w:ascii="仿宋" w:hAnsi="仿宋" w:eastAsia="仿宋" w:cs="仿宋"/>
                <w:sz w:val="21"/>
                <w:szCs w:val="21"/>
              </w:rPr>
              <w:t>提醒：请注明技术参数或具体内容以及响应文件中技术参数或具体内容的位置（页码）</w:t>
            </w:r>
          </w:p>
        </w:tc>
        <w:tc>
          <w:tcPr>
            <w:tcW w:w="2309" w:type="dxa"/>
            <w:vAlign w:val="center"/>
          </w:tcPr>
          <w:p>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967"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081"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309" w:type="dxa"/>
            <w:vAlign w:val="center"/>
          </w:tcPr>
          <w:p>
            <w:pPr>
              <w:tabs>
                <w:tab w:val="left" w:pos="6300"/>
              </w:tabs>
              <w:snapToGrid w:val="0"/>
              <w:spacing w:line="500" w:lineRule="exact"/>
              <w:jc w:val="center"/>
              <w:outlineLvl w:val="0"/>
              <w:rPr>
                <w:rFonts w:ascii="仿宋" w:hAnsi="仿宋" w:eastAsia="仿宋" w:cs="仿宋"/>
                <w:sz w:val="21"/>
                <w:szCs w:val="21"/>
              </w:rPr>
            </w:pPr>
          </w:p>
        </w:tc>
      </w:tr>
    </w:tbl>
    <w:p>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 xml:space="preserve">供应商：                            </w:t>
      </w:r>
      <w:r>
        <w:rPr>
          <w:rFonts w:hint="eastAsia" w:ascii="仿宋" w:hAnsi="仿宋" w:eastAsia="仿宋" w:cs="仿宋"/>
          <w:sz w:val="24"/>
          <w:szCs w:val="24"/>
        </w:rPr>
        <w:t>法定代表人（或其授权代表）或自然人：</w:t>
      </w:r>
    </w:p>
    <w:p>
      <w:pPr>
        <w:spacing w:line="500" w:lineRule="exact"/>
        <w:rPr>
          <w:rFonts w:ascii="仿宋" w:hAnsi="仿宋" w:eastAsia="仿宋" w:cs="仿宋"/>
          <w:sz w:val="24"/>
          <w:szCs w:val="28"/>
        </w:rPr>
      </w:pPr>
      <w:r>
        <w:rPr>
          <w:rFonts w:hint="eastAsia" w:ascii="仿宋" w:hAnsi="仿宋" w:eastAsia="仿宋" w:cs="仿宋"/>
          <w:sz w:val="24"/>
          <w:szCs w:val="28"/>
        </w:rPr>
        <w:t xml:space="preserve">    </w:t>
      </w:r>
    </w:p>
    <w:p>
      <w:pPr>
        <w:spacing w:line="500" w:lineRule="exact"/>
        <w:ind w:firstLine="720" w:firstLineChars="300"/>
        <w:rPr>
          <w:rFonts w:ascii="仿宋" w:hAnsi="仿宋" w:eastAsia="仿宋" w:cs="仿宋"/>
          <w:sz w:val="24"/>
          <w:szCs w:val="28"/>
        </w:rPr>
      </w:pPr>
      <w:r>
        <w:rPr>
          <w:rFonts w:hint="eastAsia" w:ascii="仿宋" w:hAnsi="仿宋" w:eastAsia="仿宋" w:cs="仿宋"/>
          <w:sz w:val="24"/>
          <w:szCs w:val="28"/>
        </w:rPr>
        <w:t>（供应商公章）                               （签署或盖章）</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注：</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w:t>
      </w:r>
      <w:r>
        <w:rPr>
          <w:rFonts w:hint="eastAsia" w:ascii="仿宋" w:hAnsi="仿宋" w:eastAsia="仿宋" w:cs="仿宋"/>
          <w:sz w:val="24"/>
          <w:szCs w:val="24"/>
        </w:rPr>
        <w:t>本表即为对本项目“第二篇  项目服务需求”中所列条款进行比较和响应；</w:t>
      </w:r>
    </w:p>
    <w:p>
      <w:pPr>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rPr>
        <w:t>2.本表可扩展。</w:t>
      </w:r>
    </w:p>
    <w:p>
      <w:pPr>
        <w:tabs>
          <w:tab w:val="left" w:pos="6300"/>
        </w:tabs>
        <w:snapToGrid w:val="0"/>
        <w:spacing w:line="400" w:lineRule="exact"/>
        <w:ind w:firstLine="560" w:firstLineChars="200"/>
        <w:rPr>
          <w:rFonts w:ascii="仿宋" w:hAnsi="仿宋" w:eastAsia="仿宋" w:cs="仿宋"/>
          <w:szCs w:val="24"/>
        </w:rPr>
      </w:pPr>
      <w:r>
        <w:rPr>
          <w:rFonts w:hint="eastAsia" w:ascii="仿宋" w:hAnsi="仿宋" w:eastAsia="仿宋" w:cs="仿宋"/>
          <w:szCs w:val="24"/>
        </w:rPr>
        <w:br w:type="page"/>
      </w:r>
      <w:r>
        <w:rPr>
          <w:rFonts w:hint="eastAsia" w:ascii="仿宋" w:hAnsi="仿宋" w:eastAsia="仿宋" w:cs="仿宋"/>
          <w:sz w:val="24"/>
          <w:szCs w:val="24"/>
        </w:rPr>
        <w:t>（二）其他资料（格式自定）</w:t>
      </w:r>
    </w:p>
    <w:p>
      <w:pPr>
        <w:pStyle w:val="3"/>
        <w:adjustRightInd w:val="0"/>
        <w:snapToGrid w:val="0"/>
        <w:spacing w:line="400" w:lineRule="exact"/>
        <w:ind w:firstLine="640" w:firstLineChars="200"/>
        <w:rPr>
          <w:rFonts w:ascii="仿宋" w:hAnsi="仿宋" w:eastAsia="仿宋" w:cs="仿宋"/>
          <w:sz w:val="24"/>
        </w:rPr>
      </w:pPr>
      <w:r>
        <w:rPr>
          <w:rFonts w:hint="eastAsia" w:ascii="仿宋" w:hAnsi="仿宋" w:eastAsia="仿宋" w:cs="仿宋"/>
          <w:b w:val="0"/>
        </w:rPr>
        <w:br w:type="page"/>
      </w:r>
      <w:bookmarkStart w:id="154" w:name="_Toc313008358"/>
      <w:bookmarkStart w:id="155" w:name="_Toc342913421"/>
      <w:bookmarkStart w:id="156" w:name="_Toc313888362"/>
      <w:bookmarkStart w:id="157" w:name="_Toc76462352"/>
      <w:bookmarkStart w:id="158" w:name="_Toc106030908"/>
      <w:r>
        <w:rPr>
          <w:rFonts w:hint="eastAsia" w:ascii="仿宋" w:hAnsi="仿宋" w:eastAsia="仿宋" w:cs="仿宋"/>
          <w:sz w:val="24"/>
        </w:rPr>
        <w:t>三、商务部分</w:t>
      </w:r>
      <w:bookmarkEnd w:id="154"/>
      <w:bookmarkEnd w:id="155"/>
      <w:bookmarkEnd w:id="156"/>
      <w:bookmarkEnd w:id="157"/>
      <w:bookmarkEnd w:id="158"/>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（一）商务响应偏离表                           </w:t>
      </w:r>
    </w:p>
    <w:p>
      <w:pPr>
        <w:snapToGrid w:val="0"/>
        <w:spacing w:line="400" w:lineRule="exact"/>
        <w:ind w:firstLine="480" w:firstLineChars="200"/>
        <w:rPr>
          <w:rFonts w:ascii="仿宋" w:hAnsi="仿宋" w:eastAsia="仿宋" w:cs="仿宋"/>
          <w:sz w:val="24"/>
          <w:szCs w:val="24"/>
        </w:rPr>
      </w:pP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项目名称： </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仿宋" w:hAnsi="仿宋" w:eastAsia="仿宋" w:cs="仿宋"/>
                <w:sz w:val="21"/>
                <w:szCs w:val="24"/>
              </w:rPr>
            </w:pPr>
            <w:r>
              <w:rPr>
                <w:rFonts w:hint="eastAsia" w:ascii="仿宋" w:hAnsi="仿宋" w:eastAsia="仿宋" w:cs="仿宋"/>
                <w:sz w:val="21"/>
                <w:szCs w:val="24"/>
              </w:rPr>
              <w:t>序号</w:t>
            </w: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项目商务需求</w:t>
            </w: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响应情况</w:t>
            </w: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outlineLvl w:val="0"/>
              <w:rPr>
                <w:rFonts w:ascii="仿宋" w:hAnsi="仿宋" w:eastAsia="仿宋" w:cs="仿宋"/>
                <w:sz w:val="21"/>
                <w:szCs w:val="24"/>
              </w:rPr>
            </w:pPr>
            <w:r>
              <w:rPr>
                <w:rFonts w:hint="eastAsia" w:ascii="仿宋" w:hAnsi="仿宋" w:eastAsia="仿宋" w:cs="仿宋"/>
                <w:sz w:val="21"/>
                <w:szCs w:val="21"/>
              </w:rPr>
              <w:t>提醒：请注明具体内容或响应文件中具体内容的位置（页码）</w:t>
            </w: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p>
        </w:tc>
      </w:tr>
    </w:tbl>
    <w:p>
      <w:pPr>
        <w:snapToGrid w:val="0"/>
        <w:spacing w:line="360" w:lineRule="auto"/>
        <w:ind w:firstLine="465"/>
        <w:rPr>
          <w:rFonts w:ascii="仿宋" w:hAnsi="仿宋" w:eastAsia="仿宋" w:cs="仿宋"/>
          <w:sz w:val="24"/>
          <w:szCs w:val="24"/>
        </w:rPr>
      </w:pPr>
    </w:p>
    <w:p>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 xml:space="preserve">供应商：                          </w:t>
      </w:r>
      <w:r>
        <w:rPr>
          <w:rFonts w:hint="eastAsia" w:ascii="仿宋" w:hAnsi="仿宋" w:eastAsia="仿宋" w:cs="仿宋"/>
          <w:sz w:val="24"/>
          <w:szCs w:val="24"/>
        </w:rPr>
        <w:t>法定代表人（或其授权代表）或自然人：</w:t>
      </w:r>
    </w:p>
    <w:p>
      <w:pPr>
        <w:spacing w:line="500" w:lineRule="exact"/>
        <w:rPr>
          <w:rFonts w:ascii="仿宋" w:hAnsi="仿宋" w:eastAsia="仿宋" w:cs="仿宋"/>
          <w:sz w:val="24"/>
          <w:szCs w:val="28"/>
        </w:rPr>
      </w:pPr>
      <w:r>
        <w:rPr>
          <w:rFonts w:hint="eastAsia" w:ascii="仿宋" w:hAnsi="仿宋" w:eastAsia="仿宋" w:cs="仿宋"/>
          <w:sz w:val="24"/>
          <w:szCs w:val="28"/>
        </w:rPr>
        <w:t xml:space="preserve">    </w:t>
      </w:r>
    </w:p>
    <w:p>
      <w:pPr>
        <w:spacing w:line="500" w:lineRule="exact"/>
        <w:ind w:firstLine="360" w:firstLineChars="150"/>
        <w:rPr>
          <w:rFonts w:ascii="仿宋" w:hAnsi="仿宋" w:eastAsia="仿宋" w:cs="仿宋"/>
          <w:sz w:val="24"/>
          <w:szCs w:val="28"/>
        </w:rPr>
      </w:pPr>
      <w:r>
        <w:rPr>
          <w:rFonts w:hint="eastAsia" w:ascii="仿宋" w:hAnsi="仿宋" w:eastAsia="仿宋" w:cs="仿宋"/>
          <w:sz w:val="24"/>
          <w:szCs w:val="28"/>
        </w:rPr>
        <w:t>（供应商公章）                                 （签署或盖章）</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pPr>
        <w:tabs>
          <w:tab w:val="left" w:pos="6300"/>
        </w:tabs>
        <w:snapToGrid w:val="0"/>
        <w:spacing w:line="400" w:lineRule="exact"/>
        <w:ind w:firstLine="480" w:firstLineChars="200"/>
        <w:rPr>
          <w:rFonts w:ascii="仿宋" w:hAnsi="仿宋" w:eastAsia="仿宋" w:cs="仿宋"/>
          <w:sz w:val="24"/>
        </w:rPr>
      </w:pPr>
      <w:r>
        <w:rPr>
          <w:rFonts w:hint="eastAsia" w:ascii="仿宋" w:hAnsi="仿宋" w:eastAsia="仿宋" w:cs="仿宋"/>
          <w:sz w:val="24"/>
        </w:rPr>
        <w:t>注：</w:t>
      </w:r>
    </w:p>
    <w:p>
      <w:pPr>
        <w:tabs>
          <w:tab w:val="left" w:pos="6300"/>
        </w:tabs>
        <w:snapToGrid w:val="0"/>
        <w:spacing w:line="400" w:lineRule="exact"/>
        <w:ind w:firstLine="480" w:firstLineChars="200"/>
        <w:rPr>
          <w:rFonts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w:t>
      </w:r>
      <w:r>
        <w:rPr>
          <w:rFonts w:hint="eastAsia" w:ascii="仿宋" w:hAnsi="仿宋" w:eastAsia="仿宋" w:cs="仿宋"/>
          <w:sz w:val="24"/>
          <w:szCs w:val="24"/>
        </w:rPr>
        <w:t>本表即为对本项目“第三篇  项目商务需求”中所列条款进行比较和响应；</w:t>
      </w:r>
    </w:p>
    <w:p>
      <w:pPr>
        <w:snapToGrid w:val="0"/>
        <w:spacing w:line="400" w:lineRule="exact"/>
        <w:ind w:firstLine="480" w:firstLineChars="200"/>
        <w:rPr>
          <w:rFonts w:ascii="仿宋" w:hAnsi="仿宋" w:eastAsia="仿宋" w:cs="仿宋"/>
          <w:b/>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rPr>
        <w:t>2.本表可扩展。</w:t>
      </w:r>
    </w:p>
    <w:p>
      <w:pPr>
        <w:snapToGrid w:val="0"/>
        <w:spacing w:line="400" w:lineRule="exact"/>
        <w:ind w:firstLine="480" w:firstLineChars="200"/>
        <w:rPr>
          <w:rFonts w:ascii="仿宋" w:hAnsi="仿宋" w:eastAsia="仿宋" w:cs="仿宋"/>
          <w:sz w:val="24"/>
          <w:szCs w:val="24"/>
        </w:rPr>
      </w:pPr>
      <w:bookmarkStart w:id="159" w:name="_Toc283382459"/>
      <w:r>
        <w:rPr>
          <w:rFonts w:hint="eastAsia" w:ascii="仿宋" w:hAnsi="仿宋" w:eastAsia="仿宋" w:cs="仿宋"/>
          <w:sz w:val="24"/>
          <w:szCs w:val="24"/>
        </w:rPr>
        <w:t>（二）其它优惠承诺（格式自定）</w:t>
      </w:r>
    </w:p>
    <w:p>
      <w:pPr>
        <w:snapToGrid w:val="0"/>
        <w:spacing w:line="400" w:lineRule="exact"/>
        <w:ind w:firstLine="480" w:firstLineChars="200"/>
        <w:rPr>
          <w:rFonts w:ascii="仿宋" w:hAnsi="仿宋" w:eastAsia="仿宋" w:cs="仿宋"/>
          <w:sz w:val="24"/>
          <w:szCs w:val="24"/>
        </w:rPr>
      </w:pPr>
    </w:p>
    <w:p>
      <w:pPr>
        <w:pStyle w:val="3"/>
        <w:adjustRightInd w:val="0"/>
        <w:snapToGrid w:val="0"/>
        <w:spacing w:line="400" w:lineRule="exact"/>
        <w:ind w:firstLine="482" w:firstLineChars="200"/>
        <w:rPr>
          <w:rFonts w:ascii="仿宋" w:hAnsi="仿宋" w:eastAsia="仿宋" w:cs="仿宋"/>
          <w:sz w:val="24"/>
        </w:rPr>
      </w:pPr>
      <w:r>
        <w:rPr>
          <w:rFonts w:hint="eastAsia" w:ascii="仿宋" w:hAnsi="仿宋" w:eastAsia="仿宋" w:cs="仿宋"/>
          <w:sz w:val="24"/>
          <w:szCs w:val="24"/>
        </w:rPr>
        <w:br w:type="page"/>
      </w:r>
      <w:bookmarkEnd w:id="159"/>
      <w:bookmarkStart w:id="160" w:name="_Toc342913422"/>
      <w:bookmarkStart w:id="161" w:name="_Toc313888363"/>
      <w:bookmarkStart w:id="162" w:name="_Toc313008359"/>
      <w:bookmarkStart w:id="163" w:name="_Toc76462353"/>
      <w:bookmarkStart w:id="164" w:name="_Toc106030909"/>
      <w:r>
        <w:rPr>
          <w:rFonts w:hint="eastAsia" w:ascii="仿宋" w:hAnsi="仿宋" w:eastAsia="仿宋" w:cs="仿宋"/>
          <w:sz w:val="24"/>
        </w:rPr>
        <w:t>四、资格条件</w:t>
      </w:r>
      <w:bookmarkEnd w:id="160"/>
      <w:bookmarkEnd w:id="161"/>
      <w:bookmarkEnd w:id="162"/>
      <w:bookmarkEnd w:id="163"/>
      <w:bookmarkEnd w:id="164"/>
    </w:p>
    <w:p>
      <w:pPr>
        <w:tabs>
          <w:tab w:val="left" w:pos="6300"/>
        </w:tabs>
        <w:snapToGrid w:val="0"/>
        <w:spacing w:line="400" w:lineRule="exact"/>
        <w:ind w:firstLine="57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仿宋" w:hAnsi="仿宋" w:eastAsia="仿宋" w:cs="仿宋"/>
        </w:rPr>
      </w:pPr>
    </w:p>
    <w:p>
      <w:pPr>
        <w:tabs>
          <w:tab w:val="left" w:pos="6300"/>
        </w:tabs>
        <w:snapToGrid w:val="0"/>
        <w:spacing w:line="500" w:lineRule="exact"/>
        <w:ind w:firstLine="570"/>
        <w:rPr>
          <w:rFonts w:ascii="仿宋" w:hAnsi="仿宋" w:eastAsia="仿宋" w:cs="仿宋"/>
        </w:rPr>
      </w:pPr>
    </w:p>
    <w:p>
      <w:pPr>
        <w:tabs>
          <w:tab w:val="left" w:pos="6300"/>
        </w:tabs>
        <w:snapToGrid w:val="0"/>
        <w:spacing w:line="500" w:lineRule="exact"/>
        <w:ind w:firstLine="570"/>
        <w:rPr>
          <w:rFonts w:ascii="仿宋" w:hAnsi="仿宋" w:eastAsia="仿宋" w:cs="仿宋"/>
        </w:rPr>
      </w:pPr>
    </w:p>
    <w:p>
      <w:pPr>
        <w:tabs>
          <w:tab w:val="left" w:pos="6300"/>
        </w:tabs>
        <w:snapToGrid w:val="0"/>
        <w:spacing w:line="500" w:lineRule="exact"/>
        <w:ind w:firstLine="570"/>
        <w:rPr>
          <w:rFonts w:ascii="仿宋" w:hAnsi="仿宋" w:eastAsia="仿宋" w:cs="仿宋"/>
        </w:rPr>
      </w:pPr>
    </w:p>
    <w:p>
      <w:pPr>
        <w:tabs>
          <w:tab w:val="left" w:pos="6300"/>
        </w:tabs>
        <w:snapToGrid w:val="0"/>
        <w:spacing w:line="500" w:lineRule="exact"/>
        <w:ind w:firstLine="570"/>
        <w:rPr>
          <w:rFonts w:ascii="仿宋" w:hAnsi="仿宋" w:eastAsia="仿宋" w:cs="仿宋"/>
        </w:rPr>
      </w:pPr>
    </w:p>
    <w:p>
      <w:pPr>
        <w:snapToGrid w:val="0"/>
        <w:spacing w:line="400" w:lineRule="exact"/>
        <w:ind w:firstLine="560" w:firstLineChars="200"/>
        <w:rPr>
          <w:rFonts w:ascii="仿宋" w:hAnsi="仿宋" w:eastAsia="仿宋" w:cs="仿宋"/>
          <w:sz w:val="24"/>
          <w:szCs w:val="24"/>
        </w:rPr>
      </w:pPr>
      <w:r>
        <w:rPr>
          <w:rFonts w:hint="eastAsia" w:ascii="仿宋" w:hAnsi="仿宋" w:eastAsia="仿宋" w:cs="仿宋"/>
        </w:rPr>
        <w:br w:type="page"/>
      </w:r>
      <w:r>
        <w:rPr>
          <w:rFonts w:hint="eastAsia" w:ascii="仿宋" w:hAnsi="仿宋" w:eastAsia="仿宋" w:cs="仿宋"/>
          <w:sz w:val="24"/>
          <w:szCs w:val="24"/>
        </w:rPr>
        <w:t>（二）法定代表人身份证明书（格式）</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（法定代表人姓名）在</w:t>
      </w:r>
      <w:r>
        <w:rPr>
          <w:rFonts w:hint="eastAsia" w:ascii="仿宋" w:hAnsi="仿宋" w:eastAsia="仿宋" w:cs="仿宋"/>
          <w:sz w:val="24"/>
          <w:u w:val="single"/>
        </w:rPr>
        <w:t xml:space="preserve">                       </w:t>
      </w:r>
      <w:r>
        <w:rPr>
          <w:rFonts w:hint="eastAsia" w:ascii="仿宋" w:hAnsi="仿宋" w:eastAsia="仿宋" w:cs="仿宋"/>
          <w:sz w:val="24"/>
        </w:rPr>
        <w:t>（供应商名称）任</w:t>
      </w:r>
      <w:r>
        <w:rPr>
          <w:rFonts w:hint="eastAsia" w:ascii="仿宋" w:hAnsi="仿宋" w:eastAsia="仿宋" w:cs="仿宋"/>
          <w:sz w:val="24"/>
          <w:u w:val="single"/>
        </w:rPr>
        <w:t xml:space="preserve">    </w:t>
      </w:r>
      <w:r>
        <w:rPr>
          <w:rFonts w:hint="eastAsia" w:ascii="仿宋" w:hAnsi="仿宋" w:eastAsia="仿宋" w:cs="仿宋"/>
          <w:sz w:val="24"/>
        </w:rPr>
        <w:t>（职务名称）职务，是（供应商名称）</w:t>
      </w:r>
      <w:r>
        <w:rPr>
          <w:rFonts w:hint="eastAsia" w:ascii="仿宋" w:hAnsi="仿宋" w:eastAsia="仿宋" w:cs="仿宋"/>
          <w:sz w:val="24"/>
          <w:u w:val="single"/>
        </w:rPr>
        <w:t xml:space="preserve">              </w:t>
      </w:r>
      <w:r>
        <w:rPr>
          <w:rFonts w:hint="eastAsia" w:ascii="仿宋" w:hAnsi="仿宋" w:eastAsia="仿宋" w:cs="仿宋"/>
          <w:sz w:val="24"/>
        </w:rPr>
        <w:t>的法定代表人。</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特此证明。</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（供应商公章）</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年   月   日</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法定代表人电话：XXXXXXX      电子邮箱：XXXXXX@XXXXX（若授权他人办理并签署响应文件的可不填写）</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（附：法定代表人身份证正反面复印件）</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snapToGrid w:val="0"/>
        <w:spacing w:line="400" w:lineRule="exact"/>
        <w:ind w:firstLine="560" w:firstLineChars="200"/>
        <w:rPr>
          <w:rFonts w:ascii="仿宋" w:hAnsi="仿宋" w:eastAsia="仿宋" w:cs="仿宋"/>
          <w:sz w:val="24"/>
          <w:szCs w:val="24"/>
        </w:rPr>
      </w:pPr>
      <w:r>
        <w:rPr>
          <w:rFonts w:hint="eastAsia" w:ascii="仿宋" w:hAnsi="仿宋" w:eastAsia="仿宋" w:cs="仿宋"/>
        </w:rPr>
        <w:br w:type="column"/>
      </w:r>
      <w:r>
        <w:rPr>
          <w:rFonts w:hint="eastAsia" w:ascii="仿宋" w:hAnsi="仿宋" w:eastAsia="仿宋" w:cs="仿宋"/>
          <w:sz w:val="24"/>
          <w:szCs w:val="24"/>
        </w:rPr>
        <w:t>（三）法定代表人授权委托书（格式）</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szCs w:val="28"/>
        </w:rPr>
        <w:t>项目名称</w:t>
      </w:r>
      <w:r>
        <w:rPr>
          <w:rFonts w:hint="eastAsia" w:ascii="仿宋" w:hAnsi="仿宋" w:eastAsia="仿宋" w:cs="仿宋"/>
          <w:sz w:val="24"/>
        </w:rPr>
        <w:t>：</w:t>
      </w:r>
      <w:r>
        <w:rPr>
          <w:rFonts w:hint="eastAsia" w:ascii="仿宋" w:hAnsi="仿宋" w:eastAsia="仿宋" w:cs="仿宋"/>
          <w:sz w:val="24"/>
          <w:u w:val="single"/>
        </w:rPr>
        <w:t xml:space="preserve">                                                </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szCs w:val="24"/>
          <w:u w:val="single"/>
        </w:rPr>
        <w:t>采购人名称</w:t>
      </w:r>
      <w:r>
        <w:rPr>
          <w:rFonts w:hint="eastAsia" w:ascii="仿宋" w:hAnsi="仿宋" w:eastAsia="仿宋" w:cs="仿宋"/>
          <w:sz w:val="24"/>
        </w:rPr>
        <w:t>）：</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（供应商法定代表人名称）是</w:t>
      </w:r>
      <w:r>
        <w:rPr>
          <w:rFonts w:hint="eastAsia" w:ascii="仿宋" w:hAnsi="仿宋" w:eastAsia="仿宋" w:cs="仿宋"/>
          <w:sz w:val="24"/>
          <w:u w:val="single"/>
        </w:rPr>
        <w:t xml:space="preserve">                    </w:t>
      </w:r>
      <w:r>
        <w:rPr>
          <w:rFonts w:hint="eastAsia" w:ascii="仿宋" w:hAnsi="仿宋" w:eastAsia="仿宋" w:cs="仿宋"/>
          <w:sz w:val="24"/>
        </w:rPr>
        <w:t>（供应商名称）的法定代表人，特授权</w:t>
      </w:r>
      <w:r>
        <w:rPr>
          <w:rFonts w:hint="eastAsia" w:ascii="仿宋" w:hAnsi="仿宋" w:eastAsia="仿宋" w:cs="仿宋"/>
          <w:sz w:val="24"/>
          <w:u w:val="single"/>
        </w:rPr>
        <w:t xml:space="preserve">          </w:t>
      </w:r>
      <w:r>
        <w:rPr>
          <w:rFonts w:hint="eastAsia" w:ascii="仿宋" w:hAnsi="仿宋" w:eastAsia="仿宋" w:cs="仿宋"/>
          <w:sz w:val="24"/>
        </w:rPr>
        <w:t>（被授权人姓名及身份证代码）代表我单位全权办理上述项目的竞争、签约等具体工作，并签署全部有关文件、协议及合同。</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我单位对被授权人的</w:t>
      </w:r>
      <w:r>
        <w:rPr>
          <w:rFonts w:hint="eastAsia" w:ascii="仿宋" w:hAnsi="仿宋" w:eastAsia="仿宋" w:cs="仿宋"/>
          <w:sz w:val="24"/>
          <w:szCs w:val="28"/>
        </w:rPr>
        <w:t>签署</w:t>
      </w:r>
      <w:r>
        <w:rPr>
          <w:rFonts w:hint="eastAsia" w:ascii="仿宋" w:hAnsi="仿宋" w:eastAsia="仿宋" w:cs="仿宋"/>
          <w:sz w:val="24"/>
        </w:rPr>
        <w:t>负全部责任。</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被授权人：                                 供应商法定代表人：</w:t>
      </w:r>
    </w:p>
    <w:p>
      <w:pPr>
        <w:tabs>
          <w:tab w:val="left" w:pos="6300"/>
        </w:tabs>
        <w:snapToGrid w:val="0"/>
        <w:spacing w:line="500" w:lineRule="exact"/>
        <w:ind w:firstLine="570"/>
        <w:rPr>
          <w:rFonts w:ascii="仿宋" w:hAnsi="仿宋" w:eastAsia="仿宋" w:cs="仿宋"/>
          <w:sz w:val="24"/>
          <w:szCs w:val="28"/>
        </w:rPr>
      </w:pPr>
      <w:r>
        <w:rPr>
          <w:rFonts w:hint="eastAsia" w:ascii="仿宋" w:hAnsi="仿宋" w:eastAsia="仿宋" w:cs="仿宋"/>
          <w:sz w:val="24"/>
          <w:szCs w:val="28"/>
        </w:rPr>
        <w:t>（签署或盖章）                                （签署或盖章）</w:t>
      </w:r>
    </w:p>
    <w:p>
      <w:pPr>
        <w:tabs>
          <w:tab w:val="left" w:pos="6300"/>
        </w:tabs>
        <w:snapToGrid w:val="0"/>
        <w:spacing w:line="500" w:lineRule="exact"/>
        <w:ind w:firstLine="570"/>
        <w:rPr>
          <w:rFonts w:ascii="仿宋" w:hAnsi="仿宋" w:eastAsia="仿宋" w:cs="仿宋"/>
          <w:sz w:val="24"/>
          <w:szCs w:val="28"/>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（附：被授权人身份证正反面复印件）</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right="480" w:firstLine="570"/>
        <w:jc w:val="right"/>
        <w:rPr>
          <w:rFonts w:ascii="仿宋" w:hAnsi="仿宋" w:eastAsia="仿宋" w:cs="仿宋"/>
          <w:sz w:val="24"/>
        </w:rPr>
      </w:pPr>
      <w:r>
        <w:rPr>
          <w:rFonts w:hint="eastAsia" w:ascii="仿宋" w:hAnsi="仿宋" w:eastAsia="仿宋" w:cs="仿宋"/>
          <w:sz w:val="24"/>
        </w:rPr>
        <w:t>（供应商公章）</w:t>
      </w:r>
    </w:p>
    <w:p>
      <w:pPr>
        <w:tabs>
          <w:tab w:val="left" w:pos="6300"/>
        </w:tabs>
        <w:snapToGrid w:val="0"/>
        <w:spacing w:line="500" w:lineRule="exact"/>
        <w:ind w:right="480" w:firstLine="570"/>
        <w:jc w:val="right"/>
        <w:rPr>
          <w:rFonts w:ascii="仿宋" w:hAnsi="仿宋" w:eastAsia="仿宋" w:cs="仿宋"/>
          <w:sz w:val="24"/>
        </w:rPr>
      </w:pPr>
      <w:r>
        <w:rPr>
          <w:rFonts w:hint="eastAsia" w:ascii="仿宋" w:hAnsi="仿宋" w:eastAsia="仿宋" w:cs="仿宋"/>
          <w:sz w:val="24"/>
        </w:rPr>
        <w:t>年   月   日</w:t>
      </w:r>
    </w:p>
    <w:p>
      <w:pPr>
        <w:tabs>
          <w:tab w:val="left" w:pos="6300"/>
        </w:tabs>
        <w:snapToGrid w:val="0"/>
        <w:spacing w:line="500" w:lineRule="exact"/>
        <w:ind w:right="480" w:firstLine="570"/>
        <w:jc w:val="left"/>
        <w:rPr>
          <w:rFonts w:ascii="仿宋" w:hAnsi="仿宋" w:eastAsia="仿宋" w:cs="仿宋"/>
          <w:sz w:val="24"/>
        </w:rPr>
      </w:pPr>
      <w:r>
        <w:rPr>
          <w:rFonts w:hint="eastAsia" w:ascii="仿宋" w:hAnsi="仿宋" w:eastAsia="仿宋" w:cs="仿宋"/>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仿宋" w:hAnsi="仿宋" w:eastAsia="仿宋" w:cs="仿宋"/>
          <w:sz w:val="24"/>
        </w:rPr>
      </w:pPr>
      <w:r>
        <w:rPr>
          <w:rFonts w:hint="eastAsia" w:ascii="仿宋" w:hAnsi="仿宋" w:eastAsia="仿宋" w:cs="仿宋"/>
          <w:sz w:val="24"/>
        </w:rPr>
        <w:t>注：</w:t>
      </w:r>
    </w:p>
    <w:p>
      <w:pPr>
        <w:tabs>
          <w:tab w:val="left" w:pos="6300"/>
        </w:tabs>
        <w:snapToGrid w:val="0"/>
        <w:spacing w:line="500" w:lineRule="exact"/>
        <w:ind w:right="480" w:firstLine="570"/>
        <w:jc w:val="left"/>
        <w:rPr>
          <w:rFonts w:ascii="仿宋" w:hAnsi="仿宋" w:eastAsia="仿宋" w:cs="仿宋"/>
          <w:sz w:val="24"/>
        </w:rPr>
      </w:pPr>
      <w:r>
        <w:rPr>
          <w:rFonts w:hint="eastAsia" w:ascii="仿宋" w:hAnsi="仿宋" w:eastAsia="仿宋" w:cs="仿宋"/>
          <w:sz w:val="24"/>
        </w:rPr>
        <w:t>1.若为法定代表人办理并签署响应文件的，不提供此文件。</w:t>
      </w:r>
    </w:p>
    <w:p>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rPr>
        <w:br w:type="column"/>
      </w:r>
      <w:r>
        <w:rPr>
          <w:rFonts w:hint="eastAsia" w:ascii="仿宋" w:hAnsi="仿宋" w:eastAsia="仿宋" w:cs="仿宋"/>
          <w:sz w:val="24"/>
          <w:szCs w:val="24"/>
        </w:rPr>
        <w:t>（四）</w:t>
      </w:r>
      <w:r>
        <w:rPr>
          <w:rFonts w:hint="eastAsia" w:ascii="仿宋" w:hAnsi="仿宋" w:eastAsia="仿宋" w:cs="仿宋"/>
          <w:sz w:val="24"/>
          <w:szCs w:val="28"/>
        </w:rPr>
        <w:t>基本资格条件承诺函</w:t>
      </w:r>
    </w:p>
    <w:p>
      <w:pPr>
        <w:tabs>
          <w:tab w:val="left" w:pos="6300"/>
        </w:tabs>
        <w:snapToGrid w:val="0"/>
        <w:spacing w:line="50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基本资格条件承诺函</w:t>
      </w:r>
    </w:p>
    <w:p>
      <w:pPr>
        <w:tabs>
          <w:tab w:val="left" w:pos="6300"/>
        </w:tabs>
        <w:snapToGrid w:val="0"/>
        <w:spacing w:line="530" w:lineRule="exact"/>
        <w:rPr>
          <w:rFonts w:ascii="仿宋" w:hAnsi="仿宋" w:eastAsia="仿宋" w:cs="仿宋"/>
          <w:sz w:val="24"/>
        </w:rPr>
      </w:pP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（供应商名称）郑重承诺：</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1.我方具有良好的商业信誉和健全的财务会计制度，具有履行合同所必需的设备和专业技术能力，具</w:t>
      </w:r>
      <w:r>
        <w:rPr>
          <w:rFonts w:hint="eastAsia" w:ascii="仿宋" w:hAnsi="仿宋" w:eastAsia="仿宋" w:cs="仿宋"/>
          <w:sz w:val="24"/>
          <w:lang w:val="zh-CN"/>
        </w:rPr>
        <w:t>有依法缴纳税收和社会保障金的良好记录</w:t>
      </w:r>
      <w:r>
        <w:rPr>
          <w:rFonts w:hint="eastAsia" w:ascii="仿宋" w:hAnsi="仿宋" w:eastAsia="仿宋" w:cs="仿宋"/>
          <w:sz w:val="24"/>
        </w:rPr>
        <w:t>，参加本项目采购活动前三年内无重大违法活动记录。</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4.我方承诺与你单位保持正常的业务交往，按照有关法律法规和程序开展业务工作，不存在向你方人员行贿、馈赠或变相进行任何利益输送等违反廉政规定的行为，否则一经查实，自愿在三年内不再参与你单位组织的项目采购和招标活动，期间你方有权利对我方投标（响应）文件进行否决。</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我方对以上承诺负全部法律责任。</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特此承诺。</w:t>
      </w:r>
    </w:p>
    <w:p>
      <w:pPr>
        <w:tabs>
          <w:tab w:val="left" w:pos="6300"/>
        </w:tabs>
        <w:snapToGrid w:val="0"/>
        <w:spacing w:line="500" w:lineRule="exact"/>
        <w:ind w:firstLine="480" w:firstLineChars="200"/>
        <w:rPr>
          <w:rFonts w:ascii="仿宋" w:hAnsi="仿宋" w:eastAsia="仿宋" w:cs="仿宋"/>
          <w:sz w:val="24"/>
        </w:rPr>
      </w:pPr>
    </w:p>
    <w:p>
      <w:pPr>
        <w:tabs>
          <w:tab w:val="left" w:pos="6300"/>
        </w:tabs>
        <w:snapToGrid w:val="0"/>
        <w:spacing w:line="500" w:lineRule="exact"/>
        <w:ind w:firstLine="480" w:firstLineChars="200"/>
        <w:jc w:val="right"/>
        <w:rPr>
          <w:rFonts w:ascii="仿宋" w:hAnsi="仿宋" w:eastAsia="仿宋" w:cs="仿宋"/>
          <w:sz w:val="24"/>
        </w:rPr>
      </w:pPr>
      <w:r>
        <w:rPr>
          <w:rFonts w:hint="eastAsia" w:ascii="仿宋" w:hAnsi="仿宋" w:eastAsia="仿宋" w:cs="仿宋"/>
          <w:sz w:val="24"/>
        </w:rPr>
        <w:t>（供应商公章）</w:t>
      </w:r>
    </w:p>
    <w:p>
      <w:pPr>
        <w:tabs>
          <w:tab w:val="left" w:pos="6300"/>
        </w:tabs>
        <w:snapToGrid w:val="0"/>
        <w:spacing w:line="500" w:lineRule="exact"/>
        <w:ind w:firstLine="7920" w:firstLineChars="3300"/>
        <w:rPr>
          <w:rFonts w:ascii="仿宋" w:hAnsi="仿宋" w:eastAsia="仿宋" w:cs="仿宋"/>
          <w:sz w:val="24"/>
          <w:szCs w:val="24"/>
        </w:rPr>
      </w:pPr>
      <w:r>
        <w:rPr>
          <w:rFonts w:hint="eastAsia" w:ascii="仿宋" w:hAnsi="仿宋" w:eastAsia="仿宋" w:cs="仿宋"/>
          <w:sz w:val="24"/>
        </w:rPr>
        <w:t>年   月   日</w:t>
      </w:r>
    </w:p>
    <w:p>
      <w:pPr>
        <w:snapToGrid w:val="0"/>
        <w:spacing w:line="400" w:lineRule="exact"/>
        <w:ind w:firstLine="560" w:firstLineChars="200"/>
        <w:rPr>
          <w:rFonts w:ascii="仿宋" w:hAnsi="仿宋" w:eastAsia="仿宋" w:cs="仿宋"/>
          <w:sz w:val="24"/>
          <w:szCs w:val="24"/>
        </w:rPr>
      </w:pPr>
      <w:r>
        <w:rPr>
          <w:rFonts w:hint="eastAsia" w:ascii="仿宋" w:hAnsi="仿宋" w:eastAsia="仿宋" w:cs="仿宋"/>
        </w:rPr>
        <w:br w:type="page"/>
      </w:r>
      <w:r>
        <w:rPr>
          <w:rFonts w:hint="eastAsia" w:ascii="仿宋" w:hAnsi="仿宋" w:eastAsia="仿宋" w:cs="仿宋"/>
          <w:sz w:val="24"/>
          <w:szCs w:val="24"/>
        </w:rPr>
        <w:t>（五）特定资格条件证明文件</w:t>
      </w:r>
    </w:p>
    <w:p>
      <w:pPr>
        <w:tabs>
          <w:tab w:val="left" w:pos="6300"/>
        </w:tabs>
        <w:snapToGrid w:val="0"/>
        <w:spacing w:line="400" w:lineRule="exact"/>
        <w:ind w:firstLine="480" w:firstLineChars="200"/>
        <w:rPr>
          <w:rFonts w:ascii="仿宋" w:hAnsi="仿宋" w:eastAsia="仿宋" w:cs="仿宋"/>
          <w:sz w:val="24"/>
          <w:szCs w:val="24"/>
        </w:rPr>
      </w:pPr>
    </w:p>
    <w:p>
      <w:pPr>
        <w:pStyle w:val="3"/>
        <w:adjustRightInd w:val="0"/>
        <w:snapToGrid w:val="0"/>
        <w:spacing w:line="400" w:lineRule="exact"/>
        <w:ind w:firstLine="560" w:firstLineChars="200"/>
        <w:rPr>
          <w:rFonts w:ascii="仿宋" w:hAnsi="仿宋" w:eastAsia="仿宋" w:cs="仿宋"/>
          <w:sz w:val="24"/>
        </w:rPr>
      </w:pPr>
      <w:bookmarkStart w:id="165" w:name="_Toc14422"/>
      <w:r>
        <w:rPr>
          <w:rFonts w:hint="eastAsia" w:ascii="仿宋" w:hAnsi="仿宋" w:eastAsia="仿宋" w:cs="仿宋"/>
          <w:b w:val="0"/>
          <w:sz w:val="28"/>
        </w:rPr>
        <w:br w:type="page"/>
      </w:r>
      <w:bookmarkStart w:id="166" w:name="_Toc76462354"/>
      <w:bookmarkStart w:id="167" w:name="_Toc106030910"/>
      <w:r>
        <w:rPr>
          <w:rFonts w:hint="eastAsia" w:ascii="仿宋" w:hAnsi="仿宋" w:eastAsia="仿宋" w:cs="仿宋"/>
          <w:sz w:val="24"/>
        </w:rPr>
        <w:t>五、其他资料</w:t>
      </w:r>
      <w:bookmarkEnd w:id="165"/>
      <w:bookmarkEnd w:id="166"/>
      <w:bookmarkEnd w:id="167"/>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其他与项目有关的资料（自附） </w:t>
      </w:r>
    </w:p>
    <w:p>
      <w:pPr>
        <w:spacing w:line="360" w:lineRule="auto"/>
        <w:ind w:firstLine="480" w:firstLineChars="200"/>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rPr>
          <w:rFonts w:ascii="仿宋" w:hAnsi="仿宋" w:eastAsia="仿宋" w:cs="仿宋"/>
          <w:sz w:val="24"/>
          <w:szCs w:val="24"/>
        </w:rPr>
      </w:pPr>
    </w:p>
    <w:p>
      <w:pPr>
        <w:spacing w:line="360" w:lineRule="auto"/>
        <w:ind w:firstLine="480" w:firstLineChars="200"/>
        <w:jc w:val="center"/>
        <w:outlineLvl w:val="0"/>
        <w:rPr>
          <w:rFonts w:ascii="仿宋" w:hAnsi="仿宋" w:eastAsia="仿宋" w:cs="仿宋"/>
        </w:rPr>
      </w:pPr>
      <w:r>
        <w:rPr>
          <w:rFonts w:hint="eastAsia" w:ascii="仿宋" w:hAnsi="仿宋" w:eastAsia="仿宋" w:cs="仿宋"/>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- 2 -</w:t>
    </w:r>
    <w:r>
      <w:rPr>
        <w:rFonts w:ascii="宋体"/>
        <w:sz w:val="21"/>
        <w:szCs w:val="21"/>
      </w:rPr>
      <w:fldChar w:fldCharType="end"/>
    </w:r>
  </w:p>
  <w:p>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end"/>
    </w:r>
  </w:p>
  <w:p>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- 2 -</w:t>
    </w:r>
    <w:r>
      <w:rPr>
        <w:rFonts w:ascii="宋体"/>
        <w:sz w:val="21"/>
        <w:szCs w:val="21"/>
      </w:rPr>
      <w:fldChar w:fldCharType="end"/>
    </w:r>
  </w:p>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end"/>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p>
  <w:p>
    <w:pPr>
      <w:pStyle w:val="35"/>
      <w:jc w:val="center"/>
      <w:rPr>
        <w:rFonts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- 4 -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end"/>
    </w:r>
  </w:p>
  <w:p>
    <w:pPr>
      <w:pStyle w:val="3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0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2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9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7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11"/>
  </w:num>
  <w:num w:numId="5">
    <w:abstractNumId w:val="1"/>
  </w:num>
  <w:num w:numId="6">
    <w:abstractNumId w:val="0"/>
  </w:num>
  <w:num w:numId="7">
    <w:abstractNumId w:val="6"/>
  </w:num>
  <w:num w:numId="8">
    <w:abstractNumId w:val="10"/>
  </w:num>
  <w:num w:numId="9">
    <w:abstractNumId w:val="7"/>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lNDFlNWI5OGY4MjQ4MTdlNjFlOWI0ZDY1NzAyMDMifQ=="/>
    <w:docVar w:name="KSO_WPS_MARK_KEY" w:val="a2d778c6-d3b1-4134-b56c-df95c93c9b6a"/>
  </w:docVars>
  <w:rsids>
    <w:rsidRoot w:val="00172A27"/>
    <w:rsid w:val="000014C5"/>
    <w:rsid w:val="00002AE4"/>
    <w:rsid w:val="00003626"/>
    <w:rsid w:val="000040DE"/>
    <w:rsid w:val="000070F0"/>
    <w:rsid w:val="000075E8"/>
    <w:rsid w:val="00011B4B"/>
    <w:rsid w:val="00016B79"/>
    <w:rsid w:val="00017816"/>
    <w:rsid w:val="00021F92"/>
    <w:rsid w:val="00032ACA"/>
    <w:rsid w:val="0003632F"/>
    <w:rsid w:val="000379D3"/>
    <w:rsid w:val="00043835"/>
    <w:rsid w:val="0004739C"/>
    <w:rsid w:val="00051E02"/>
    <w:rsid w:val="000523C9"/>
    <w:rsid w:val="0005298B"/>
    <w:rsid w:val="0005417C"/>
    <w:rsid w:val="000576E1"/>
    <w:rsid w:val="00061A7C"/>
    <w:rsid w:val="00063981"/>
    <w:rsid w:val="00065789"/>
    <w:rsid w:val="00074383"/>
    <w:rsid w:val="00074C38"/>
    <w:rsid w:val="000765CE"/>
    <w:rsid w:val="000816AD"/>
    <w:rsid w:val="00082CC1"/>
    <w:rsid w:val="0008354E"/>
    <w:rsid w:val="00090C5A"/>
    <w:rsid w:val="00091B1C"/>
    <w:rsid w:val="00091D22"/>
    <w:rsid w:val="00092844"/>
    <w:rsid w:val="000974E7"/>
    <w:rsid w:val="000A164E"/>
    <w:rsid w:val="000A201E"/>
    <w:rsid w:val="000A3057"/>
    <w:rsid w:val="000B1068"/>
    <w:rsid w:val="000B2C8B"/>
    <w:rsid w:val="000B3002"/>
    <w:rsid w:val="000B42F4"/>
    <w:rsid w:val="000B7377"/>
    <w:rsid w:val="000B7F54"/>
    <w:rsid w:val="000C08C1"/>
    <w:rsid w:val="000C1E0E"/>
    <w:rsid w:val="000C20E6"/>
    <w:rsid w:val="000C2C03"/>
    <w:rsid w:val="000C6D89"/>
    <w:rsid w:val="000D75F9"/>
    <w:rsid w:val="000D776F"/>
    <w:rsid w:val="000E01C9"/>
    <w:rsid w:val="000E0DD7"/>
    <w:rsid w:val="000E3259"/>
    <w:rsid w:val="000E4835"/>
    <w:rsid w:val="000E5AB0"/>
    <w:rsid w:val="000F302A"/>
    <w:rsid w:val="000F35C1"/>
    <w:rsid w:val="000F3D5B"/>
    <w:rsid w:val="000F64D7"/>
    <w:rsid w:val="000F7DBF"/>
    <w:rsid w:val="0010014A"/>
    <w:rsid w:val="00100639"/>
    <w:rsid w:val="0010088E"/>
    <w:rsid w:val="001028FD"/>
    <w:rsid w:val="00105638"/>
    <w:rsid w:val="0010716D"/>
    <w:rsid w:val="001140DC"/>
    <w:rsid w:val="00114CFE"/>
    <w:rsid w:val="00115337"/>
    <w:rsid w:val="00115401"/>
    <w:rsid w:val="001166B8"/>
    <w:rsid w:val="0011683E"/>
    <w:rsid w:val="00116856"/>
    <w:rsid w:val="00116C42"/>
    <w:rsid w:val="0011780F"/>
    <w:rsid w:val="00117B26"/>
    <w:rsid w:val="00120259"/>
    <w:rsid w:val="00122F9D"/>
    <w:rsid w:val="001264A8"/>
    <w:rsid w:val="001266BF"/>
    <w:rsid w:val="00127AC2"/>
    <w:rsid w:val="00133D16"/>
    <w:rsid w:val="00134037"/>
    <w:rsid w:val="001342AC"/>
    <w:rsid w:val="00135BAE"/>
    <w:rsid w:val="0014436C"/>
    <w:rsid w:val="00145224"/>
    <w:rsid w:val="00146EC3"/>
    <w:rsid w:val="00147FB4"/>
    <w:rsid w:val="0015011C"/>
    <w:rsid w:val="00150204"/>
    <w:rsid w:val="0015033B"/>
    <w:rsid w:val="00150429"/>
    <w:rsid w:val="001523C5"/>
    <w:rsid w:val="00152B00"/>
    <w:rsid w:val="00152CAD"/>
    <w:rsid w:val="00153556"/>
    <w:rsid w:val="0016265A"/>
    <w:rsid w:val="00165758"/>
    <w:rsid w:val="00171E05"/>
    <w:rsid w:val="00171E3D"/>
    <w:rsid w:val="00172A27"/>
    <w:rsid w:val="001745B6"/>
    <w:rsid w:val="001805A0"/>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3DA4"/>
    <w:rsid w:val="001E5CAC"/>
    <w:rsid w:val="001E64A9"/>
    <w:rsid w:val="001E6841"/>
    <w:rsid w:val="001E725F"/>
    <w:rsid w:val="001F1AF5"/>
    <w:rsid w:val="001F1AF7"/>
    <w:rsid w:val="001F4964"/>
    <w:rsid w:val="001F4A96"/>
    <w:rsid w:val="001F6562"/>
    <w:rsid w:val="001F7063"/>
    <w:rsid w:val="00200EBE"/>
    <w:rsid w:val="00202B04"/>
    <w:rsid w:val="00203052"/>
    <w:rsid w:val="00204469"/>
    <w:rsid w:val="00204936"/>
    <w:rsid w:val="002049D5"/>
    <w:rsid w:val="00206AE4"/>
    <w:rsid w:val="002100EE"/>
    <w:rsid w:val="00210168"/>
    <w:rsid w:val="00210ED7"/>
    <w:rsid w:val="00212A06"/>
    <w:rsid w:val="00214E7A"/>
    <w:rsid w:val="00215DEE"/>
    <w:rsid w:val="0021618E"/>
    <w:rsid w:val="0021704D"/>
    <w:rsid w:val="002172C8"/>
    <w:rsid w:val="002216C7"/>
    <w:rsid w:val="00222097"/>
    <w:rsid w:val="002227DB"/>
    <w:rsid w:val="002235D4"/>
    <w:rsid w:val="00223C9A"/>
    <w:rsid w:val="002270A5"/>
    <w:rsid w:val="00227202"/>
    <w:rsid w:val="00227377"/>
    <w:rsid w:val="00227851"/>
    <w:rsid w:val="00227C22"/>
    <w:rsid w:val="00230A09"/>
    <w:rsid w:val="002339D3"/>
    <w:rsid w:val="00234257"/>
    <w:rsid w:val="002348E0"/>
    <w:rsid w:val="002434FE"/>
    <w:rsid w:val="00254CD4"/>
    <w:rsid w:val="00254E1A"/>
    <w:rsid w:val="00262555"/>
    <w:rsid w:val="002643C1"/>
    <w:rsid w:val="00265203"/>
    <w:rsid w:val="0026790A"/>
    <w:rsid w:val="00270223"/>
    <w:rsid w:val="0027199E"/>
    <w:rsid w:val="00271D47"/>
    <w:rsid w:val="002721EA"/>
    <w:rsid w:val="002752BA"/>
    <w:rsid w:val="00276521"/>
    <w:rsid w:val="00280E8A"/>
    <w:rsid w:val="00285164"/>
    <w:rsid w:val="002855B0"/>
    <w:rsid w:val="00286959"/>
    <w:rsid w:val="00295FA5"/>
    <w:rsid w:val="00297A6F"/>
    <w:rsid w:val="002A1D09"/>
    <w:rsid w:val="002A4956"/>
    <w:rsid w:val="002A6710"/>
    <w:rsid w:val="002A7778"/>
    <w:rsid w:val="002B1FDA"/>
    <w:rsid w:val="002B2ACF"/>
    <w:rsid w:val="002B5650"/>
    <w:rsid w:val="002B578B"/>
    <w:rsid w:val="002B5ECC"/>
    <w:rsid w:val="002B7904"/>
    <w:rsid w:val="002C1859"/>
    <w:rsid w:val="002C2507"/>
    <w:rsid w:val="002C2E6E"/>
    <w:rsid w:val="002C3A3D"/>
    <w:rsid w:val="002C57DE"/>
    <w:rsid w:val="002C7927"/>
    <w:rsid w:val="002D0D19"/>
    <w:rsid w:val="002D41FF"/>
    <w:rsid w:val="002D608F"/>
    <w:rsid w:val="002D6419"/>
    <w:rsid w:val="002D7053"/>
    <w:rsid w:val="002D7208"/>
    <w:rsid w:val="002D7725"/>
    <w:rsid w:val="002E0CC2"/>
    <w:rsid w:val="002E0EF5"/>
    <w:rsid w:val="002E3527"/>
    <w:rsid w:val="002E3824"/>
    <w:rsid w:val="002E78F7"/>
    <w:rsid w:val="002F031F"/>
    <w:rsid w:val="002F0ED3"/>
    <w:rsid w:val="002F2801"/>
    <w:rsid w:val="002F3278"/>
    <w:rsid w:val="002F3DE3"/>
    <w:rsid w:val="002F552E"/>
    <w:rsid w:val="002F632E"/>
    <w:rsid w:val="003021BC"/>
    <w:rsid w:val="00303604"/>
    <w:rsid w:val="0030440F"/>
    <w:rsid w:val="00305E51"/>
    <w:rsid w:val="00310AF9"/>
    <w:rsid w:val="00310DAA"/>
    <w:rsid w:val="0031465E"/>
    <w:rsid w:val="00314F18"/>
    <w:rsid w:val="00315742"/>
    <w:rsid w:val="003163B3"/>
    <w:rsid w:val="003200C6"/>
    <w:rsid w:val="00322A7A"/>
    <w:rsid w:val="00326C5B"/>
    <w:rsid w:val="003336F0"/>
    <w:rsid w:val="003361E0"/>
    <w:rsid w:val="0033663D"/>
    <w:rsid w:val="003366D9"/>
    <w:rsid w:val="00340777"/>
    <w:rsid w:val="00341D8A"/>
    <w:rsid w:val="00341DEB"/>
    <w:rsid w:val="00346A3D"/>
    <w:rsid w:val="00350510"/>
    <w:rsid w:val="00350C20"/>
    <w:rsid w:val="003548FA"/>
    <w:rsid w:val="00355643"/>
    <w:rsid w:val="00355A74"/>
    <w:rsid w:val="0035764D"/>
    <w:rsid w:val="00361427"/>
    <w:rsid w:val="0036231F"/>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B20F0"/>
    <w:rsid w:val="003B71BB"/>
    <w:rsid w:val="003D0E0A"/>
    <w:rsid w:val="003D3B22"/>
    <w:rsid w:val="003D4D39"/>
    <w:rsid w:val="003D7B3D"/>
    <w:rsid w:val="003E0348"/>
    <w:rsid w:val="003E1655"/>
    <w:rsid w:val="003E5A66"/>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4D74"/>
    <w:rsid w:val="0042525A"/>
    <w:rsid w:val="0042733C"/>
    <w:rsid w:val="0044185A"/>
    <w:rsid w:val="0044193A"/>
    <w:rsid w:val="00453B8F"/>
    <w:rsid w:val="00454D6A"/>
    <w:rsid w:val="004556B7"/>
    <w:rsid w:val="00460489"/>
    <w:rsid w:val="004608C7"/>
    <w:rsid w:val="004608E6"/>
    <w:rsid w:val="00462878"/>
    <w:rsid w:val="00465B7A"/>
    <w:rsid w:val="00471121"/>
    <w:rsid w:val="00472AA2"/>
    <w:rsid w:val="00473B39"/>
    <w:rsid w:val="00474175"/>
    <w:rsid w:val="00481309"/>
    <w:rsid w:val="004928A2"/>
    <w:rsid w:val="00494610"/>
    <w:rsid w:val="004953EC"/>
    <w:rsid w:val="00497A46"/>
    <w:rsid w:val="00497ADD"/>
    <w:rsid w:val="004A0D29"/>
    <w:rsid w:val="004A0DE1"/>
    <w:rsid w:val="004A2410"/>
    <w:rsid w:val="004A27AC"/>
    <w:rsid w:val="004A3995"/>
    <w:rsid w:val="004B00DD"/>
    <w:rsid w:val="004B3AB3"/>
    <w:rsid w:val="004C1DD0"/>
    <w:rsid w:val="004C222F"/>
    <w:rsid w:val="004C2685"/>
    <w:rsid w:val="004C64E4"/>
    <w:rsid w:val="004C6673"/>
    <w:rsid w:val="004C7A90"/>
    <w:rsid w:val="004D2334"/>
    <w:rsid w:val="004D433D"/>
    <w:rsid w:val="004D4410"/>
    <w:rsid w:val="004D69C8"/>
    <w:rsid w:val="004E156F"/>
    <w:rsid w:val="004E2F88"/>
    <w:rsid w:val="004E550E"/>
    <w:rsid w:val="004E55DB"/>
    <w:rsid w:val="004E67C6"/>
    <w:rsid w:val="004F5959"/>
    <w:rsid w:val="004F670C"/>
    <w:rsid w:val="00502B2F"/>
    <w:rsid w:val="00512D00"/>
    <w:rsid w:val="00512D44"/>
    <w:rsid w:val="00514179"/>
    <w:rsid w:val="00516243"/>
    <w:rsid w:val="005164D4"/>
    <w:rsid w:val="005333D0"/>
    <w:rsid w:val="00537681"/>
    <w:rsid w:val="005406A0"/>
    <w:rsid w:val="00540D4D"/>
    <w:rsid w:val="00540E03"/>
    <w:rsid w:val="00541D5F"/>
    <w:rsid w:val="00544BEA"/>
    <w:rsid w:val="005460D5"/>
    <w:rsid w:val="00553CF0"/>
    <w:rsid w:val="00557C75"/>
    <w:rsid w:val="00561FDE"/>
    <w:rsid w:val="00566A85"/>
    <w:rsid w:val="00570C78"/>
    <w:rsid w:val="005731DF"/>
    <w:rsid w:val="00573AE3"/>
    <w:rsid w:val="00581EF9"/>
    <w:rsid w:val="00583690"/>
    <w:rsid w:val="005848B9"/>
    <w:rsid w:val="005902D9"/>
    <w:rsid w:val="0059075F"/>
    <w:rsid w:val="00596AB7"/>
    <w:rsid w:val="005A1442"/>
    <w:rsid w:val="005A1B5C"/>
    <w:rsid w:val="005A1EA7"/>
    <w:rsid w:val="005A479F"/>
    <w:rsid w:val="005A4B20"/>
    <w:rsid w:val="005A6A12"/>
    <w:rsid w:val="005B0724"/>
    <w:rsid w:val="005B1E46"/>
    <w:rsid w:val="005B338A"/>
    <w:rsid w:val="005B5AA4"/>
    <w:rsid w:val="005C3F4B"/>
    <w:rsid w:val="005C42AC"/>
    <w:rsid w:val="005C4F84"/>
    <w:rsid w:val="005C5501"/>
    <w:rsid w:val="005C588F"/>
    <w:rsid w:val="005C62DE"/>
    <w:rsid w:val="005D2EC6"/>
    <w:rsid w:val="005D37D0"/>
    <w:rsid w:val="005D41E8"/>
    <w:rsid w:val="005D703E"/>
    <w:rsid w:val="005E35E9"/>
    <w:rsid w:val="005E5525"/>
    <w:rsid w:val="005E5E26"/>
    <w:rsid w:val="005F38BB"/>
    <w:rsid w:val="005F7895"/>
    <w:rsid w:val="0060003E"/>
    <w:rsid w:val="00602BBE"/>
    <w:rsid w:val="0060315D"/>
    <w:rsid w:val="00613410"/>
    <w:rsid w:val="0061508C"/>
    <w:rsid w:val="00617986"/>
    <w:rsid w:val="006256CA"/>
    <w:rsid w:val="00627729"/>
    <w:rsid w:val="00627F21"/>
    <w:rsid w:val="0063025A"/>
    <w:rsid w:val="006407C2"/>
    <w:rsid w:val="00642317"/>
    <w:rsid w:val="0064583B"/>
    <w:rsid w:val="006468B8"/>
    <w:rsid w:val="00651127"/>
    <w:rsid w:val="0065190C"/>
    <w:rsid w:val="0065290D"/>
    <w:rsid w:val="0065380D"/>
    <w:rsid w:val="006542F1"/>
    <w:rsid w:val="00654A48"/>
    <w:rsid w:val="0065651B"/>
    <w:rsid w:val="00656782"/>
    <w:rsid w:val="006631CF"/>
    <w:rsid w:val="00664607"/>
    <w:rsid w:val="00665941"/>
    <w:rsid w:val="0066755F"/>
    <w:rsid w:val="00670089"/>
    <w:rsid w:val="00670C89"/>
    <w:rsid w:val="00671233"/>
    <w:rsid w:val="00673763"/>
    <w:rsid w:val="006763DC"/>
    <w:rsid w:val="00680AE4"/>
    <w:rsid w:val="00682205"/>
    <w:rsid w:val="006822B0"/>
    <w:rsid w:val="00684E51"/>
    <w:rsid w:val="00685BBE"/>
    <w:rsid w:val="0068793C"/>
    <w:rsid w:val="00694288"/>
    <w:rsid w:val="00694F91"/>
    <w:rsid w:val="006A100B"/>
    <w:rsid w:val="006A143A"/>
    <w:rsid w:val="006A3285"/>
    <w:rsid w:val="006A4C56"/>
    <w:rsid w:val="006A7144"/>
    <w:rsid w:val="006B0567"/>
    <w:rsid w:val="006B4535"/>
    <w:rsid w:val="006B72DE"/>
    <w:rsid w:val="006B75CB"/>
    <w:rsid w:val="006C2079"/>
    <w:rsid w:val="006C5FC1"/>
    <w:rsid w:val="006D44E1"/>
    <w:rsid w:val="006D51DC"/>
    <w:rsid w:val="006D5BB8"/>
    <w:rsid w:val="006D6350"/>
    <w:rsid w:val="006D6662"/>
    <w:rsid w:val="006D6CC3"/>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327"/>
    <w:rsid w:val="00715FB5"/>
    <w:rsid w:val="00716C50"/>
    <w:rsid w:val="007171A6"/>
    <w:rsid w:val="0071799D"/>
    <w:rsid w:val="007200AC"/>
    <w:rsid w:val="007204F2"/>
    <w:rsid w:val="00723107"/>
    <w:rsid w:val="00726088"/>
    <w:rsid w:val="00730B6A"/>
    <w:rsid w:val="00731B91"/>
    <w:rsid w:val="0073209D"/>
    <w:rsid w:val="00736D88"/>
    <w:rsid w:val="00736DD2"/>
    <w:rsid w:val="00736EE0"/>
    <w:rsid w:val="00741CDF"/>
    <w:rsid w:val="00743FA9"/>
    <w:rsid w:val="0074681C"/>
    <w:rsid w:val="00746EC2"/>
    <w:rsid w:val="007504DE"/>
    <w:rsid w:val="00762B70"/>
    <w:rsid w:val="007636FE"/>
    <w:rsid w:val="007654C2"/>
    <w:rsid w:val="0077408E"/>
    <w:rsid w:val="007751FF"/>
    <w:rsid w:val="007758EB"/>
    <w:rsid w:val="00776989"/>
    <w:rsid w:val="00780577"/>
    <w:rsid w:val="00781AD3"/>
    <w:rsid w:val="00781BFB"/>
    <w:rsid w:val="00786E36"/>
    <w:rsid w:val="00786FA7"/>
    <w:rsid w:val="0079177C"/>
    <w:rsid w:val="00794382"/>
    <w:rsid w:val="007959AC"/>
    <w:rsid w:val="00796323"/>
    <w:rsid w:val="0079718D"/>
    <w:rsid w:val="007A20E0"/>
    <w:rsid w:val="007A2D5C"/>
    <w:rsid w:val="007A60FA"/>
    <w:rsid w:val="007B2204"/>
    <w:rsid w:val="007B4B60"/>
    <w:rsid w:val="007B7278"/>
    <w:rsid w:val="007C1691"/>
    <w:rsid w:val="007C5991"/>
    <w:rsid w:val="007C6B0F"/>
    <w:rsid w:val="007D0625"/>
    <w:rsid w:val="007D51E1"/>
    <w:rsid w:val="007D7A44"/>
    <w:rsid w:val="007D7E65"/>
    <w:rsid w:val="007E19E0"/>
    <w:rsid w:val="007E517D"/>
    <w:rsid w:val="007E5248"/>
    <w:rsid w:val="007E573E"/>
    <w:rsid w:val="007E58E7"/>
    <w:rsid w:val="007F6769"/>
    <w:rsid w:val="008041D4"/>
    <w:rsid w:val="00806938"/>
    <w:rsid w:val="00807818"/>
    <w:rsid w:val="0081156A"/>
    <w:rsid w:val="00827398"/>
    <w:rsid w:val="008275B6"/>
    <w:rsid w:val="0083653E"/>
    <w:rsid w:val="008369DC"/>
    <w:rsid w:val="00837546"/>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3E70"/>
    <w:rsid w:val="00875A42"/>
    <w:rsid w:val="0088192C"/>
    <w:rsid w:val="00885113"/>
    <w:rsid w:val="008904A8"/>
    <w:rsid w:val="00890BA8"/>
    <w:rsid w:val="00891D94"/>
    <w:rsid w:val="00896589"/>
    <w:rsid w:val="00896EF5"/>
    <w:rsid w:val="008A0CEE"/>
    <w:rsid w:val="008A19AF"/>
    <w:rsid w:val="008A20FB"/>
    <w:rsid w:val="008A435E"/>
    <w:rsid w:val="008A4D88"/>
    <w:rsid w:val="008A66D3"/>
    <w:rsid w:val="008C1B22"/>
    <w:rsid w:val="008C4C84"/>
    <w:rsid w:val="008C510F"/>
    <w:rsid w:val="008D067F"/>
    <w:rsid w:val="008D155A"/>
    <w:rsid w:val="008D3283"/>
    <w:rsid w:val="008D48D4"/>
    <w:rsid w:val="008D56F3"/>
    <w:rsid w:val="008D5BBB"/>
    <w:rsid w:val="008E036A"/>
    <w:rsid w:val="008E437B"/>
    <w:rsid w:val="008E4D3F"/>
    <w:rsid w:val="008E66B8"/>
    <w:rsid w:val="008F0A2E"/>
    <w:rsid w:val="008F1988"/>
    <w:rsid w:val="008F2B05"/>
    <w:rsid w:val="008F5E76"/>
    <w:rsid w:val="008F6252"/>
    <w:rsid w:val="008F76DB"/>
    <w:rsid w:val="00900A8D"/>
    <w:rsid w:val="009023F3"/>
    <w:rsid w:val="0090383C"/>
    <w:rsid w:val="00905D85"/>
    <w:rsid w:val="00905FD5"/>
    <w:rsid w:val="00912132"/>
    <w:rsid w:val="00912934"/>
    <w:rsid w:val="0091346B"/>
    <w:rsid w:val="00913CAA"/>
    <w:rsid w:val="009226D2"/>
    <w:rsid w:val="00922FAD"/>
    <w:rsid w:val="00924F0A"/>
    <w:rsid w:val="00925082"/>
    <w:rsid w:val="00925726"/>
    <w:rsid w:val="00926904"/>
    <w:rsid w:val="0092708B"/>
    <w:rsid w:val="0093049D"/>
    <w:rsid w:val="00933B21"/>
    <w:rsid w:val="00936A01"/>
    <w:rsid w:val="00937713"/>
    <w:rsid w:val="009404E7"/>
    <w:rsid w:val="009409CD"/>
    <w:rsid w:val="00941EFD"/>
    <w:rsid w:val="00944EDA"/>
    <w:rsid w:val="0094759E"/>
    <w:rsid w:val="00952C13"/>
    <w:rsid w:val="0095455D"/>
    <w:rsid w:val="00954CF7"/>
    <w:rsid w:val="00962BF1"/>
    <w:rsid w:val="00963237"/>
    <w:rsid w:val="00963AEF"/>
    <w:rsid w:val="00966820"/>
    <w:rsid w:val="00971E57"/>
    <w:rsid w:val="009723CF"/>
    <w:rsid w:val="00972F46"/>
    <w:rsid w:val="00973D3A"/>
    <w:rsid w:val="009741DC"/>
    <w:rsid w:val="0097652A"/>
    <w:rsid w:val="00980037"/>
    <w:rsid w:val="00983B43"/>
    <w:rsid w:val="00984742"/>
    <w:rsid w:val="00986C65"/>
    <w:rsid w:val="0099161D"/>
    <w:rsid w:val="00991B37"/>
    <w:rsid w:val="00997855"/>
    <w:rsid w:val="009A5D9B"/>
    <w:rsid w:val="009B6208"/>
    <w:rsid w:val="009B71FF"/>
    <w:rsid w:val="009C3034"/>
    <w:rsid w:val="009C4BFF"/>
    <w:rsid w:val="009C7522"/>
    <w:rsid w:val="009D0FDD"/>
    <w:rsid w:val="009D3162"/>
    <w:rsid w:val="009D3181"/>
    <w:rsid w:val="009D5B18"/>
    <w:rsid w:val="009D7B9B"/>
    <w:rsid w:val="009E067B"/>
    <w:rsid w:val="009E717E"/>
    <w:rsid w:val="009E737D"/>
    <w:rsid w:val="009F18FA"/>
    <w:rsid w:val="009F499F"/>
    <w:rsid w:val="00A00E56"/>
    <w:rsid w:val="00A0197B"/>
    <w:rsid w:val="00A02768"/>
    <w:rsid w:val="00A02AF7"/>
    <w:rsid w:val="00A03977"/>
    <w:rsid w:val="00A06013"/>
    <w:rsid w:val="00A07896"/>
    <w:rsid w:val="00A104A7"/>
    <w:rsid w:val="00A12904"/>
    <w:rsid w:val="00A14578"/>
    <w:rsid w:val="00A15391"/>
    <w:rsid w:val="00A15FBF"/>
    <w:rsid w:val="00A1616D"/>
    <w:rsid w:val="00A1783B"/>
    <w:rsid w:val="00A2061C"/>
    <w:rsid w:val="00A21AA2"/>
    <w:rsid w:val="00A224AC"/>
    <w:rsid w:val="00A26FF7"/>
    <w:rsid w:val="00A27159"/>
    <w:rsid w:val="00A33FF0"/>
    <w:rsid w:val="00A37A20"/>
    <w:rsid w:val="00A4300A"/>
    <w:rsid w:val="00A43845"/>
    <w:rsid w:val="00A445DC"/>
    <w:rsid w:val="00A44BEA"/>
    <w:rsid w:val="00A47C22"/>
    <w:rsid w:val="00A50E79"/>
    <w:rsid w:val="00A55B14"/>
    <w:rsid w:val="00A5689C"/>
    <w:rsid w:val="00A569E8"/>
    <w:rsid w:val="00A57FAF"/>
    <w:rsid w:val="00A601C4"/>
    <w:rsid w:val="00A61D6E"/>
    <w:rsid w:val="00A70193"/>
    <w:rsid w:val="00A711C6"/>
    <w:rsid w:val="00A719EE"/>
    <w:rsid w:val="00A730F3"/>
    <w:rsid w:val="00A74B68"/>
    <w:rsid w:val="00A77EE1"/>
    <w:rsid w:val="00A81A31"/>
    <w:rsid w:val="00A84863"/>
    <w:rsid w:val="00A9026B"/>
    <w:rsid w:val="00A91750"/>
    <w:rsid w:val="00A95D95"/>
    <w:rsid w:val="00A97199"/>
    <w:rsid w:val="00A972C4"/>
    <w:rsid w:val="00A977EC"/>
    <w:rsid w:val="00AA19E1"/>
    <w:rsid w:val="00AA3FD1"/>
    <w:rsid w:val="00AA4543"/>
    <w:rsid w:val="00AA52DE"/>
    <w:rsid w:val="00AB11B3"/>
    <w:rsid w:val="00AB1DAF"/>
    <w:rsid w:val="00AB40EF"/>
    <w:rsid w:val="00AB43D9"/>
    <w:rsid w:val="00AB5ED3"/>
    <w:rsid w:val="00AB6B0C"/>
    <w:rsid w:val="00AB70CD"/>
    <w:rsid w:val="00AB7800"/>
    <w:rsid w:val="00AC1860"/>
    <w:rsid w:val="00AC4898"/>
    <w:rsid w:val="00AC48B3"/>
    <w:rsid w:val="00AC68CE"/>
    <w:rsid w:val="00AC7893"/>
    <w:rsid w:val="00AC7AC9"/>
    <w:rsid w:val="00AD0B4D"/>
    <w:rsid w:val="00AD1C54"/>
    <w:rsid w:val="00AE1920"/>
    <w:rsid w:val="00AE76F8"/>
    <w:rsid w:val="00AF01B3"/>
    <w:rsid w:val="00AF0F13"/>
    <w:rsid w:val="00AF16E2"/>
    <w:rsid w:val="00AF6887"/>
    <w:rsid w:val="00AF7992"/>
    <w:rsid w:val="00AF7CDD"/>
    <w:rsid w:val="00B00AB3"/>
    <w:rsid w:val="00B14C52"/>
    <w:rsid w:val="00B200AA"/>
    <w:rsid w:val="00B203A9"/>
    <w:rsid w:val="00B229A5"/>
    <w:rsid w:val="00B23F48"/>
    <w:rsid w:val="00B2488E"/>
    <w:rsid w:val="00B25EB3"/>
    <w:rsid w:val="00B42056"/>
    <w:rsid w:val="00B443F4"/>
    <w:rsid w:val="00B478C3"/>
    <w:rsid w:val="00B52715"/>
    <w:rsid w:val="00B52D2A"/>
    <w:rsid w:val="00B551BB"/>
    <w:rsid w:val="00B61348"/>
    <w:rsid w:val="00B6263F"/>
    <w:rsid w:val="00B67114"/>
    <w:rsid w:val="00B678C7"/>
    <w:rsid w:val="00B70368"/>
    <w:rsid w:val="00B7097C"/>
    <w:rsid w:val="00B720DF"/>
    <w:rsid w:val="00B72BCC"/>
    <w:rsid w:val="00B75449"/>
    <w:rsid w:val="00B81284"/>
    <w:rsid w:val="00B835F1"/>
    <w:rsid w:val="00B838F9"/>
    <w:rsid w:val="00B86DA1"/>
    <w:rsid w:val="00B86F50"/>
    <w:rsid w:val="00B87401"/>
    <w:rsid w:val="00B93A00"/>
    <w:rsid w:val="00B95047"/>
    <w:rsid w:val="00B9524B"/>
    <w:rsid w:val="00B95365"/>
    <w:rsid w:val="00B96164"/>
    <w:rsid w:val="00B96B1E"/>
    <w:rsid w:val="00BA1937"/>
    <w:rsid w:val="00BA527C"/>
    <w:rsid w:val="00BA5B9C"/>
    <w:rsid w:val="00BA7D51"/>
    <w:rsid w:val="00BA7F31"/>
    <w:rsid w:val="00BB4AD5"/>
    <w:rsid w:val="00BB68CD"/>
    <w:rsid w:val="00BB7494"/>
    <w:rsid w:val="00BB76A5"/>
    <w:rsid w:val="00BC089B"/>
    <w:rsid w:val="00BC183F"/>
    <w:rsid w:val="00BC1C37"/>
    <w:rsid w:val="00BC2390"/>
    <w:rsid w:val="00BC775D"/>
    <w:rsid w:val="00BD0051"/>
    <w:rsid w:val="00BD12C6"/>
    <w:rsid w:val="00BD2939"/>
    <w:rsid w:val="00BD472A"/>
    <w:rsid w:val="00BD5A75"/>
    <w:rsid w:val="00BD6BF7"/>
    <w:rsid w:val="00BE07A9"/>
    <w:rsid w:val="00BE1700"/>
    <w:rsid w:val="00BE1FB6"/>
    <w:rsid w:val="00BE2E36"/>
    <w:rsid w:val="00BE4D8F"/>
    <w:rsid w:val="00BE61C6"/>
    <w:rsid w:val="00BF0A3E"/>
    <w:rsid w:val="00BF26AC"/>
    <w:rsid w:val="00BF46A7"/>
    <w:rsid w:val="00BF5230"/>
    <w:rsid w:val="00BF551A"/>
    <w:rsid w:val="00BF6DA8"/>
    <w:rsid w:val="00C00289"/>
    <w:rsid w:val="00C0476C"/>
    <w:rsid w:val="00C1090C"/>
    <w:rsid w:val="00C201FC"/>
    <w:rsid w:val="00C207C8"/>
    <w:rsid w:val="00C240C8"/>
    <w:rsid w:val="00C249AF"/>
    <w:rsid w:val="00C26513"/>
    <w:rsid w:val="00C27441"/>
    <w:rsid w:val="00C328C9"/>
    <w:rsid w:val="00C339ED"/>
    <w:rsid w:val="00C3416C"/>
    <w:rsid w:val="00C35BA8"/>
    <w:rsid w:val="00C37F72"/>
    <w:rsid w:val="00C40246"/>
    <w:rsid w:val="00C420C1"/>
    <w:rsid w:val="00C43FEE"/>
    <w:rsid w:val="00C45963"/>
    <w:rsid w:val="00C472B8"/>
    <w:rsid w:val="00C50723"/>
    <w:rsid w:val="00C529FD"/>
    <w:rsid w:val="00C53124"/>
    <w:rsid w:val="00C538A9"/>
    <w:rsid w:val="00C53B2E"/>
    <w:rsid w:val="00C60FDB"/>
    <w:rsid w:val="00C6160A"/>
    <w:rsid w:val="00C62B51"/>
    <w:rsid w:val="00C65711"/>
    <w:rsid w:val="00C66460"/>
    <w:rsid w:val="00C67A4C"/>
    <w:rsid w:val="00C76ECD"/>
    <w:rsid w:val="00C8221C"/>
    <w:rsid w:val="00C84B63"/>
    <w:rsid w:val="00C84E04"/>
    <w:rsid w:val="00C86DC6"/>
    <w:rsid w:val="00C910BE"/>
    <w:rsid w:val="00C922BE"/>
    <w:rsid w:val="00C94F8A"/>
    <w:rsid w:val="00CA10F9"/>
    <w:rsid w:val="00CA14F4"/>
    <w:rsid w:val="00CA583F"/>
    <w:rsid w:val="00CA5844"/>
    <w:rsid w:val="00CA7415"/>
    <w:rsid w:val="00CB265C"/>
    <w:rsid w:val="00CB2BDD"/>
    <w:rsid w:val="00CB32BC"/>
    <w:rsid w:val="00CB4540"/>
    <w:rsid w:val="00CB4951"/>
    <w:rsid w:val="00CB7A07"/>
    <w:rsid w:val="00CC3711"/>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1E"/>
    <w:rsid w:val="00D22C4B"/>
    <w:rsid w:val="00D230C7"/>
    <w:rsid w:val="00D23583"/>
    <w:rsid w:val="00D2362D"/>
    <w:rsid w:val="00D23B14"/>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67D43"/>
    <w:rsid w:val="00D745E0"/>
    <w:rsid w:val="00D76AA3"/>
    <w:rsid w:val="00D80604"/>
    <w:rsid w:val="00D851E6"/>
    <w:rsid w:val="00D86529"/>
    <w:rsid w:val="00D86A86"/>
    <w:rsid w:val="00D8791E"/>
    <w:rsid w:val="00D92438"/>
    <w:rsid w:val="00D93B7D"/>
    <w:rsid w:val="00DA0040"/>
    <w:rsid w:val="00DA03F8"/>
    <w:rsid w:val="00DA086B"/>
    <w:rsid w:val="00DA1D7A"/>
    <w:rsid w:val="00DA3E2D"/>
    <w:rsid w:val="00DA4759"/>
    <w:rsid w:val="00DA5DD7"/>
    <w:rsid w:val="00DA5E0A"/>
    <w:rsid w:val="00DA6834"/>
    <w:rsid w:val="00DA7145"/>
    <w:rsid w:val="00DA78D8"/>
    <w:rsid w:val="00DA7E05"/>
    <w:rsid w:val="00DB012E"/>
    <w:rsid w:val="00DB02DE"/>
    <w:rsid w:val="00DB29CE"/>
    <w:rsid w:val="00DB4794"/>
    <w:rsid w:val="00DB5C3E"/>
    <w:rsid w:val="00DB628E"/>
    <w:rsid w:val="00DC077E"/>
    <w:rsid w:val="00DC4070"/>
    <w:rsid w:val="00DE1DE6"/>
    <w:rsid w:val="00DE1E39"/>
    <w:rsid w:val="00DE2DBC"/>
    <w:rsid w:val="00DE513D"/>
    <w:rsid w:val="00DE7AB4"/>
    <w:rsid w:val="00DF235C"/>
    <w:rsid w:val="00DF2FAA"/>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26F65"/>
    <w:rsid w:val="00E27C72"/>
    <w:rsid w:val="00E300BB"/>
    <w:rsid w:val="00E31D0A"/>
    <w:rsid w:val="00E3245B"/>
    <w:rsid w:val="00E324B9"/>
    <w:rsid w:val="00E32DCD"/>
    <w:rsid w:val="00E32DF0"/>
    <w:rsid w:val="00E3707B"/>
    <w:rsid w:val="00E50685"/>
    <w:rsid w:val="00E57F6B"/>
    <w:rsid w:val="00E609CE"/>
    <w:rsid w:val="00E6234F"/>
    <w:rsid w:val="00E67AC7"/>
    <w:rsid w:val="00E7134F"/>
    <w:rsid w:val="00E7342C"/>
    <w:rsid w:val="00E736E9"/>
    <w:rsid w:val="00E76363"/>
    <w:rsid w:val="00E80AFB"/>
    <w:rsid w:val="00E90BE3"/>
    <w:rsid w:val="00E91374"/>
    <w:rsid w:val="00E91D81"/>
    <w:rsid w:val="00E92BC2"/>
    <w:rsid w:val="00E937B8"/>
    <w:rsid w:val="00E95805"/>
    <w:rsid w:val="00EA010E"/>
    <w:rsid w:val="00EA28AB"/>
    <w:rsid w:val="00EA6FBF"/>
    <w:rsid w:val="00EB0A1E"/>
    <w:rsid w:val="00EB1E33"/>
    <w:rsid w:val="00EB4DA6"/>
    <w:rsid w:val="00EB759E"/>
    <w:rsid w:val="00EB7B0A"/>
    <w:rsid w:val="00EC0881"/>
    <w:rsid w:val="00EC20C2"/>
    <w:rsid w:val="00EC74F9"/>
    <w:rsid w:val="00ED13DE"/>
    <w:rsid w:val="00ED1996"/>
    <w:rsid w:val="00ED2843"/>
    <w:rsid w:val="00ED2F55"/>
    <w:rsid w:val="00ED5ED8"/>
    <w:rsid w:val="00EE0C95"/>
    <w:rsid w:val="00EE3F0F"/>
    <w:rsid w:val="00EF0199"/>
    <w:rsid w:val="00F0263C"/>
    <w:rsid w:val="00F02A9C"/>
    <w:rsid w:val="00F02E51"/>
    <w:rsid w:val="00F0402A"/>
    <w:rsid w:val="00F07266"/>
    <w:rsid w:val="00F10C66"/>
    <w:rsid w:val="00F16313"/>
    <w:rsid w:val="00F1700E"/>
    <w:rsid w:val="00F20820"/>
    <w:rsid w:val="00F20FF1"/>
    <w:rsid w:val="00F24317"/>
    <w:rsid w:val="00F27AC7"/>
    <w:rsid w:val="00F32641"/>
    <w:rsid w:val="00F34974"/>
    <w:rsid w:val="00F35457"/>
    <w:rsid w:val="00F3595B"/>
    <w:rsid w:val="00F367F3"/>
    <w:rsid w:val="00F36A26"/>
    <w:rsid w:val="00F41F54"/>
    <w:rsid w:val="00F420A7"/>
    <w:rsid w:val="00F426A6"/>
    <w:rsid w:val="00F429FD"/>
    <w:rsid w:val="00F4623C"/>
    <w:rsid w:val="00F46AD7"/>
    <w:rsid w:val="00F520C4"/>
    <w:rsid w:val="00F56399"/>
    <w:rsid w:val="00F6046A"/>
    <w:rsid w:val="00F606BB"/>
    <w:rsid w:val="00F70113"/>
    <w:rsid w:val="00F72317"/>
    <w:rsid w:val="00F746E3"/>
    <w:rsid w:val="00F76C17"/>
    <w:rsid w:val="00F7709C"/>
    <w:rsid w:val="00F7750A"/>
    <w:rsid w:val="00F80006"/>
    <w:rsid w:val="00F80084"/>
    <w:rsid w:val="00F95676"/>
    <w:rsid w:val="00F96401"/>
    <w:rsid w:val="00F9690B"/>
    <w:rsid w:val="00FA3F8B"/>
    <w:rsid w:val="00FA56FF"/>
    <w:rsid w:val="00FA767D"/>
    <w:rsid w:val="00FB5439"/>
    <w:rsid w:val="00FB65DA"/>
    <w:rsid w:val="00FB693B"/>
    <w:rsid w:val="00FC0BA8"/>
    <w:rsid w:val="00FC3C96"/>
    <w:rsid w:val="00FD2470"/>
    <w:rsid w:val="00FD5823"/>
    <w:rsid w:val="00FD7BE0"/>
    <w:rsid w:val="00FE1C27"/>
    <w:rsid w:val="00FE326F"/>
    <w:rsid w:val="00FE4523"/>
    <w:rsid w:val="00FE5C31"/>
    <w:rsid w:val="00FF0F20"/>
    <w:rsid w:val="00FF1692"/>
    <w:rsid w:val="00FF1B0E"/>
    <w:rsid w:val="00FF268A"/>
    <w:rsid w:val="00FF2881"/>
    <w:rsid w:val="00FF6D70"/>
    <w:rsid w:val="00FF748B"/>
    <w:rsid w:val="010B76F2"/>
    <w:rsid w:val="01782B78"/>
    <w:rsid w:val="01852063"/>
    <w:rsid w:val="019F1377"/>
    <w:rsid w:val="020D08A2"/>
    <w:rsid w:val="023F0464"/>
    <w:rsid w:val="02B40E52"/>
    <w:rsid w:val="03101E00"/>
    <w:rsid w:val="0314369E"/>
    <w:rsid w:val="03511BDB"/>
    <w:rsid w:val="03FF434E"/>
    <w:rsid w:val="045D1075"/>
    <w:rsid w:val="047F723D"/>
    <w:rsid w:val="04DE7BED"/>
    <w:rsid w:val="055B464A"/>
    <w:rsid w:val="05685F23"/>
    <w:rsid w:val="058C55E1"/>
    <w:rsid w:val="05B72A07"/>
    <w:rsid w:val="05CA44E8"/>
    <w:rsid w:val="06D373CC"/>
    <w:rsid w:val="06DF0467"/>
    <w:rsid w:val="070457D8"/>
    <w:rsid w:val="07190F9C"/>
    <w:rsid w:val="076369A2"/>
    <w:rsid w:val="079E06FB"/>
    <w:rsid w:val="07FC2953"/>
    <w:rsid w:val="087E3119"/>
    <w:rsid w:val="0887011A"/>
    <w:rsid w:val="08DF474E"/>
    <w:rsid w:val="08EC365F"/>
    <w:rsid w:val="094E71DE"/>
    <w:rsid w:val="09646EC3"/>
    <w:rsid w:val="0A7A3506"/>
    <w:rsid w:val="0AF52007"/>
    <w:rsid w:val="0B5C2086"/>
    <w:rsid w:val="0BC00C3E"/>
    <w:rsid w:val="0C1C35C4"/>
    <w:rsid w:val="0C632FA1"/>
    <w:rsid w:val="0CA1581F"/>
    <w:rsid w:val="0CBB4B8B"/>
    <w:rsid w:val="0CDE5078"/>
    <w:rsid w:val="0D215336"/>
    <w:rsid w:val="0D431BAC"/>
    <w:rsid w:val="0D447276"/>
    <w:rsid w:val="0D7A4A46"/>
    <w:rsid w:val="0DB55A7E"/>
    <w:rsid w:val="0DD72A46"/>
    <w:rsid w:val="0DE3083D"/>
    <w:rsid w:val="0DE61630"/>
    <w:rsid w:val="0DF93BBD"/>
    <w:rsid w:val="0E3015A8"/>
    <w:rsid w:val="0E7616B1"/>
    <w:rsid w:val="0ECD6DF7"/>
    <w:rsid w:val="0EE26D46"/>
    <w:rsid w:val="0EF425D6"/>
    <w:rsid w:val="0F2A424A"/>
    <w:rsid w:val="0F3F7CF5"/>
    <w:rsid w:val="0FC93A62"/>
    <w:rsid w:val="0FDE3D15"/>
    <w:rsid w:val="11544561"/>
    <w:rsid w:val="116C6D93"/>
    <w:rsid w:val="11717F0E"/>
    <w:rsid w:val="117B0D8C"/>
    <w:rsid w:val="11943BFC"/>
    <w:rsid w:val="11E64458"/>
    <w:rsid w:val="12251A7F"/>
    <w:rsid w:val="128A572B"/>
    <w:rsid w:val="128F2F2F"/>
    <w:rsid w:val="12BC78AF"/>
    <w:rsid w:val="12F157AA"/>
    <w:rsid w:val="13280AA0"/>
    <w:rsid w:val="13394A5B"/>
    <w:rsid w:val="134358DA"/>
    <w:rsid w:val="13651CF4"/>
    <w:rsid w:val="136E2957"/>
    <w:rsid w:val="13914897"/>
    <w:rsid w:val="13D558BA"/>
    <w:rsid w:val="13DF1AA7"/>
    <w:rsid w:val="13E470BD"/>
    <w:rsid w:val="13FF3EF7"/>
    <w:rsid w:val="142E67E6"/>
    <w:rsid w:val="14694189"/>
    <w:rsid w:val="146E4BD8"/>
    <w:rsid w:val="147A5E14"/>
    <w:rsid w:val="14FC21E4"/>
    <w:rsid w:val="154431AB"/>
    <w:rsid w:val="157A1214"/>
    <w:rsid w:val="15A707FB"/>
    <w:rsid w:val="15DD3DC4"/>
    <w:rsid w:val="162C099A"/>
    <w:rsid w:val="165F0C7D"/>
    <w:rsid w:val="165F4EA8"/>
    <w:rsid w:val="16BF34C9"/>
    <w:rsid w:val="16E55626"/>
    <w:rsid w:val="17A1211B"/>
    <w:rsid w:val="18455478"/>
    <w:rsid w:val="18AD3F21"/>
    <w:rsid w:val="18DA68F2"/>
    <w:rsid w:val="18ED7A84"/>
    <w:rsid w:val="19267830"/>
    <w:rsid w:val="195C76F5"/>
    <w:rsid w:val="19836A30"/>
    <w:rsid w:val="1A381F10"/>
    <w:rsid w:val="1B0E4A1F"/>
    <w:rsid w:val="1B6F54BE"/>
    <w:rsid w:val="1B7156DA"/>
    <w:rsid w:val="1B79352A"/>
    <w:rsid w:val="1BA968A4"/>
    <w:rsid w:val="1BB67591"/>
    <w:rsid w:val="1D3A7D4E"/>
    <w:rsid w:val="1E454BFC"/>
    <w:rsid w:val="1E5E7A6C"/>
    <w:rsid w:val="1E6C03DB"/>
    <w:rsid w:val="1EE2069D"/>
    <w:rsid w:val="1F2C4F8B"/>
    <w:rsid w:val="1F9E45C4"/>
    <w:rsid w:val="1FD969AC"/>
    <w:rsid w:val="1FF42436"/>
    <w:rsid w:val="1FF57F5C"/>
    <w:rsid w:val="1FF70178"/>
    <w:rsid w:val="203942EC"/>
    <w:rsid w:val="20670E5A"/>
    <w:rsid w:val="207C40EA"/>
    <w:rsid w:val="20A0611A"/>
    <w:rsid w:val="20C0056A"/>
    <w:rsid w:val="20D154C3"/>
    <w:rsid w:val="213F1DD6"/>
    <w:rsid w:val="21864056"/>
    <w:rsid w:val="21F7445F"/>
    <w:rsid w:val="222A65E3"/>
    <w:rsid w:val="22356E1C"/>
    <w:rsid w:val="226C6BFB"/>
    <w:rsid w:val="22803E07"/>
    <w:rsid w:val="22883309"/>
    <w:rsid w:val="23476D20"/>
    <w:rsid w:val="23733FB9"/>
    <w:rsid w:val="238C5E0E"/>
    <w:rsid w:val="23EE3640"/>
    <w:rsid w:val="246758CC"/>
    <w:rsid w:val="24C34ACD"/>
    <w:rsid w:val="253C34BF"/>
    <w:rsid w:val="255816B9"/>
    <w:rsid w:val="2580476C"/>
    <w:rsid w:val="259D3570"/>
    <w:rsid w:val="25D046DE"/>
    <w:rsid w:val="25E35B8E"/>
    <w:rsid w:val="261A696E"/>
    <w:rsid w:val="26551754"/>
    <w:rsid w:val="265C5E90"/>
    <w:rsid w:val="26B80661"/>
    <w:rsid w:val="26D22DA5"/>
    <w:rsid w:val="27BB7CDD"/>
    <w:rsid w:val="27C272BD"/>
    <w:rsid w:val="27F31225"/>
    <w:rsid w:val="28194FE3"/>
    <w:rsid w:val="28463A4A"/>
    <w:rsid w:val="28694435"/>
    <w:rsid w:val="287E31E4"/>
    <w:rsid w:val="28E868B0"/>
    <w:rsid w:val="290F02E0"/>
    <w:rsid w:val="2A331DAD"/>
    <w:rsid w:val="2A5A37DD"/>
    <w:rsid w:val="2A8F64A0"/>
    <w:rsid w:val="2AA01F44"/>
    <w:rsid w:val="2AE008C1"/>
    <w:rsid w:val="2B1020EE"/>
    <w:rsid w:val="2B146082"/>
    <w:rsid w:val="2B6F2C13"/>
    <w:rsid w:val="2B892FE7"/>
    <w:rsid w:val="2B967E93"/>
    <w:rsid w:val="2BEA0B91"/>
    <w:rsid w:val="2BF0264B"/>
    <w:rsid w:val="2C6201EE"/>
    <w:rsid w:val="2CA13945"/>
    <w:rsid w:val="2CC32693"/>
    <w:rsid w:val="2CC94C4A"/>
    <w:rsid w:val="2D76092E"/>
    <w:rsid w:val="2D917516"/>
    <w:rsid w:val="2DAE6A51"/>
    <w:rsid w:val="2DD613CD"/>
    <w:rsid w:val="2DE74912"/>
    <w:rsid w:val="2E385686"/>
    <w:rsid w:val="2E756E38"/>
    <w:rsid w:val="2E8A79D2"/>
    <w:rsid w:val="2E905A1F"/>
    <w:rsid w:val="2EB72FAC"/>
    <w:rsid w:val="2EF12C10"/>
    <w:rsid w:val="2EF37D5C"/>
    <w:rsid w:val="2F120B2A"/>
    <w:rsid w:val="2F4F7689"/>
    <w:rsid w:val="2F6B1FE9"/>
    <w:rsid w:val="2FD951A4"/>
    <w:rsid w:val="30136908"/>
    <w:rsid w:val="30336FAA"/>
    <w:rsid w:val="3043156F"/>
    <w:rsid w:val="30F56E88"/>
    <w:rsid w:val="318B4B73"/>
    <w:rsid w:val="3195334D"/>
    <w:rsid w:val="31994BEB"/>
    <w:rsid w:val="31DA6061"/>
    <w:rsid w:val="327B2543"/>
    <w:rsid w:val="328A6C2A"/>
    <w:rsid w:val="32BB162B"/>
    <w:rsid w:val="32C911D8"/>
    <w:rsid w:val="32DF0D23"/>
    <w:rsid w:val="32E620B2"/>
    <w:rsid w:val="3328091C"/>
    <w:rsid w:val="33305A23"/>
    <w:rsid w:val="333F681A"/>
    <w:rsid w:val="33633703"/>
    <w:rsid w:val="338B0EAB"/>
    <w:rsid w:val="33953AD8"/>
    <w:rsid w:val="33CB38E9"/>
    <w:rsid w:val="342A2472"/>
    <w:rsid w:val="345474EF"/>
    <w:rsid w:val="3498102F"/>
    <w:rsid w:val="34C06933"/>
    <w:rsid w:val="34DB551B"/>
    <w:rsid w:val="36A55DE0"/>
    <w:rsid w:val="36C822F0"/>
    <w:rsid w:val="36F17277"/>
    <w:rsid w:val="378620B5"/>
    <w:rsid w:val="37B24C58"/>
    <w:rsid w:val="38591578"/>
    <w:rsid w:val="38B365AD"/>
    <w:rsid w:val="38E84E1E"/>
    <w:rsid w:val="39E92488"/>
    <w:rsid w:val="39FA4695"/>
    <w:rsid w:val="3A00614F"/>
    <w:rsid w:val="3A483652"/>
    <w:rsid w:val="3A726DE4"/>
    <w:rsid w:val="3B4A1BD1"/>
    <w:rsid w:val="3B4F27BE"/>
    <w:rsid w:val="3B6C3370"/>
    <w:rsid w:val="3BDD601C"/>
    <w:rsid w:val="3C41099B"/>
    <w:rsid w:val="3CA115AD"/>
    <w:rsid w:val="3CC52D38"/>
    <w:rsid w:val="3CCF1E09"/>
    <w:rsid w:val="3CED49C8"/>
    <w:rsid w:val="3D4F4CF8"/>
    <w:rsid w:val="3D65451B"/>
    <w:rsid w:val="3D6C2FBC"/>
    <w:rsid w:val="3DD31485"/>
    <w:rsid w:val="3DE25B6C"/>
    <w:rsid w:val="3E4405D4"/>
    <w:rsid w:val="3EB7273D"/>
    <w:rsid w:val="3EBB7211"/>
    <w:rsid w:val="3F204B9E"/>
    <w:rsid w:val="3F255D10"/>
    <w:rsid w:val="3F4F7231"/>
    <w:rsid w:val="3FDF51CD"/>
    <w:rsid w:val="3FE756BB"/>
    <w:rsid w:val="3FFB2F15"/>
    <w:rsid w:val="406334F2"/>
    <w:rsid w:val="40905D53"/>
    <w:rsid w:val="409F1AF2"/>
    <w:rsid w:val="40F40090"/>
    <w:rsid w:val="4105229D"/>
    <w:rsid w:val="412B77C4"/>
    <w:rsid w:val="414A7CB0"/>
    <w:rsid w:val="41970A1B"/>
    <w:rsid w:val="41EA6663"/>
    <w:rsid w:val="42360234"/>
    <w:rsid w:val="42831BF8"/>
    <w:rsid w:val="42B71375"/>
    <w:rsid w:val="43170066"/>
    <w:rsid w:val="437944A0"/>
    <w:rsid w:val="4379487C"/>
    <w:rsid w:val="440028DC"/>
    <w:rsid w:val="44165B0A"/>
    <w:rsid w:val="44DF2E05"/>
    <w:rsid w:val="45097E82"/>
    <w:rsid w:val="452C7897"/>
    <w:rsid w:val="4545710C"/>
    <w:rsid w:val="45790B64"/>
    <w:rsid w:val="458614D2"/>
    <w:rsid w:val="46405B25"/>
    <w:rsid w:val="46955E71"/>
    <w:rsid w:val="46A00372"/>
    <w:rsid w:val="46A61E2C"/>
    <w:rsid w:val="46E34F31"/>
    <w:rsid w:val="46F54B62"/>
    <w:rsid w:val="47040901"/>
    <w:rsid w:val="471548BC"/>
    <w:rsid w:val="478C73B4"/>
    <w:rsid w:val="47B10A89"/>
    <w:rsid w:val="47B73BC5"/>
    <w:rsid w:val="4812529F"/>
    <w:rsid w:val="48466007"/>
    <w:rsid w:val="48DD10FF"/>
    <w:rsid w:val="48DF4BE5"/>
    <w:rsid w:val="490E1F0B"/>
    <w:rsid w:val="492139EC"/>
    <w:rsid w:val="497B7CB3"/>
    <w:rsid w:val="49CC7CC9"/>
    <w:rsid w:val="4A003601"/>
    <w:rsid w:val="4A392FB7"/>
    <w:rsid w:val="4A3E2C8B"/>
    <w:rsid w:val="4A4756D4"/>
    <w:rsid w:val="4A513E5D"/>
    <w:rsid w:val="4AAB627D"/>
    <w:rsid w:val="4AD74AA8"/>
    <w:rsid w:val="4B071B1E"/>
    <w:rsid w:val="4B2D12E0"/>
    <w:rsid w:val="4B47439E"/>
    <w:rsid w:val="4B5C51AF"/>
    <w:rsid w:val="4B6E4EE3"/>
    <w:rsid w:val="4BA24A06"/>
    <w:rsid w:val="4BEB6B31"/>
    <w:rsid w:val="4C7958ED"/>
    <w:rsid w:val="4C9646F1"/>
    <w:rsid w:val="4CD90E06"/>
    <w:rsid w:val="4D57646E"/>
    <w:rsid w:val="4DC25072"/>
    <w:rsid w:val="4DD36371"/>
    <w:rsid w:val="4E151645"/>
    <w:rsid w:val="4E231FB4"/>
    <w:rsid w:val="4E6A7BE3"/>
    <w:rsid w:val="4E6B4968"/>
    <w:rsid w:val="4E740A62"/>
    <w:rsid w:val="4EB3158A"/>
    <w:rsid w:val="4F451824"/>
    <w:rsid w:val="4F5C74D7"/>
    <w:rsid w:val="4FAC2A11"/>
    <w:rsid w:val="4FC9594E"/>
    <w:rsid w:val="4FD712A8"/>
    <w:rsid w:val="505521CD"/>
    <w:rsid w:val="50666BDD"/>
    <w:rsid w:val="507C0470"/>
    <w:rsid w:val="50884B86"/>
    <w:rsid w:val="50B27620"/>
    <w:rsid w:val="50DB6B76"/>
    <w:rsid w:val="5153495F"/>
    <w:rsid w:val="519F7BA4"/>
    <w:rsid w:val="523F3135"/>
    <w:rsid w:val="525C3CE7"/>
    <w:rsid w:val="52D92ACB"/>
    <w:rsid w:val="52EC506B"/>
    <w:rsid w:val="531243A6"/>
    <w:rsid w:val="53B4776F"/>
    <w:rsid w:val="53D036A9"/>
    <w:rsid w:val="5422585F"/>
    <w:rsid w:val="54600F9D"/>
    <w:rsid w:val="54880DC3"/>
    <w:rsid w:val="54972DB4"/>
    <w:rsid w:val="549E05E7"/>
    <w:rsid w:val="54F268D9"/>
    <w:rsid w:val="550D751A"/>
    <w:rsid w:val="55284354"/>
    <w:rsid w:val="552F7491"/>
    <w:rsid w:val="55A75279"/>
    <w:rsid w:val="567A6461"/>
    <w:rsid w:val="56905D0D"/>
    <w:rsid w:val="56D45CC7"/>
    <w:rsid w:val="57092431"/>
    <w:rsid w:val="57A20B0E"/>
    <w:rsid w:val="57BC105A"/>
    <w:rsid w:val="582F64DC"/>
    <w:rsid w:val="587578B0"/>
    <w:rsid w:val="58B02697"/>
    <w:rsid w:val="58BC54DF"/>
    <w:rsid w:val="59484FC5"/>
    <w:rsid w:val="59D81EA5"/>
    <w:rsid w:val="5A517EA9"/>
    <w:rsid w:val="5A56101C"/>
    <w:rsid w:val="5ADC3C17"/>
    <w:rsid w:val="5AF90400"/>
    <w:rsid w:val="5B0715F7"/>
    <w:rsid w:val="5B1A473F"/>
    <w:rsid w:val="5C0F0D95"/>
    <w:rsid w:val="5C427AAA"/>
    <w:rsid w:val="5C7B120D"/>
    <w:rsid w:val="5CA16EC6"/>
    <w:rsid w:val="5CA67F0E"/>
    <w:rsid w:val="5CCB4CE9"/>
    <w:rsid w:val="5CE01403"/>
    <w:rsid w:val="5D2518DA"/>
    <w:rsid w:val="5DB06C95"/>
    <w:rsid w:val="5E053485"/>
    <w:rsid w:val="5E4919E4"/>
    <w:rsid w:val="5EF86B45"/>
    <w:rsid w:val="5FE412B4"/>
    <w:rsid w:val="5FE84E0C"/>
    <w:rsid w:val="602953C2"/>
    <w:rsid w:val="608A5EC3"/>
    <w:rsid w:val="60F320D7"/>
    <w:rsid w:val="60FB0B6F"/>
    <w:rsid w:val="618741B1"/>
    <w:rsid w:val="61B37A51"/>
    <w:rsid w:val="61D842DB"/>
    <w:rsid w:val="622163B3"/>
    <w:rsid w:val="62402CDD"/>
    <w:rsid w:val="62EF64B1"/>
    <w:rsid w:val="62F448FD"/>
    <w:rsid w:val="634C56B2"/>
    <w:rsid w:val="63A66B70"/>
    <w:rsid w:val="63B53257"/>
    <w:rsid w:val="640B731B"/>
    <w:rsid w:val="645111D2"/>
    <w:rsid w:val="64A357A5"/>
    <w:rsid w:val="64D678D3"/>
    <w:rsid w:val="64E01116"/>
    <w:rsid w:val="653B778C"/>
    <w:rsid w:val="65C15EE3"/>
    <w:rsid w:val="65C77271"/>
    <w:rsid w:val="65D046D1"/>
    <w:rsid w:val="65F05759"/>
    <w:rsid w:val="65F91B21"/>
    <w:rsid w:val="667747F4"/>
    <w:rsid w:val="667E3DD4"/>
    <w:rsid w:val="66884C53"/>
    <w:rsid w:val="66915CEE"/>
    <w:rsid w:val="670F0ED0"/>
    <w:rsid w:val="672F5260"/>
    <w:rsid w:val="67852F40"/>
    <w:rsid w:val="679715F1"/>
    <w:rsid w:val="683055A2"/>
    <w:rsid w:val="686D4100"/>
    <w:rsid w:val="688A2F04"/>
    <w:rsid w:val="68C91CB5"/>
    <w:rsid w:val="68D73C6F"/>
    <w:rsid w:val="68E819D9"/>
    <w:rsid w:val="69475092"/>
    <w:rsid w:val="69B61AD7"/>
    <w:rsid w:val="69DB2749"/>
    <w:rsid w:val="69DB53A9"/>
    <w:rsid w:val="6A5A06B4"/>
    <w:rsid w:val="6A720A66"/>
    <w:rsid w:val="6B0D1BCA"/>
    <w:rsid w:val="6BC8789F"/>
    <w:rsid w:val="6C5C6966"/>
    <w:rsid w:val="6D0C5F48"/>
    <w:rsid w:val="6D9739CD"/>
    <w:rsid w:val="6E2E4332"/>
    <w:rsid w:val="6E525817"/>
    <w:rsid w:val="6E5A663C"/>
    <w:rsid w:val="6EB93B02"/>
    <w:rsid w:val="6ECC76A7"/>
    <w:rsid w:val="6F54601A"/>
    <w:rsid w:val="6F667AFB"/>
    <w:rsid w:val="6F6C676B"/>
    <w:rsid w:val="6F742218"/>
    <w:rsid w:val="6F8F7052"/>
    <w:rsid w:val="6F9B1553"/>
    <w:rsid w:val="6FE078AE"/>
    <w:rsid w:val="6FE969BF"/>
    <w:rsid w:val="700A0487"/>
    <w:rsid w:val="70150489"/>
    <w:rsid w:val="70F353BF"/>
    <w:rsid w:val="71775FF0"/>
    <w:rsid w:val="71804EA4"/>
    <w:rsid w:val="7185070D"/>
    <w:rsid w:val="71B3706C"/>
    <w:rsid w:val="728269FA"/>
    <w:rsid w:val="728C6F83"/>
    <w:rsid w:val="72C8016F"/>
    <w:rsid w:val="73696F77"/>
    <w:rsid w:val="73A34E7A"/>
    <w:rsid w:val="73AF3858"/>
    <w:rsid w:val="73C82B32"/>
    <w:rsid w:val="74A215D5"/>
    <w:rsid w:val="74D70DF7"/>
    <w:rsid w:val="74FF4332"/>
    <w:rsid w:val="750E7112"/>
    <w:rsid w:val="755146D9"/>
    <w:rsid w:val="7553467E"/>
    <w:rsid w:val="75842A89"/>
    <w:rsid w:val="758C74D3"/>
    <w:rsid w:val="759157D0"/>
    <w:rsid w:val="75E44BFA"/>
    <w:rsid w:val="75EA4FE2"/>
    <w:rsid w:val="76320737"/>
    <w:rsid w:val="76C84BF7"/>
    <w:rsid w:val="76F93003"/>
    <w:rsid w:val="770E6AAE"/>
    <w:rsid w:val="772B3B04"/>
    <w:rsid w:val="77387FCF"/>
    <w:rsid w:val="774C4288"/>
    <w:rsid w:val="777A4144"/>
    <w:rsid w:val="77C33D3D"/>
    <w:rsid w:val="77DE2925"/>
    <w:rsid w:val="786646C8"/>
    <w:rsid w:val="78743289"/>
    <w:rsid w:val="789F3DA6"/>
    <w:rsid w:val="78A52377"/>
    <w:rsid w:val="79334EF2"/>
    <w:rsid w:val="79617272"/>
    <w:rsid w:val="799A287B"/>
    <w:rsid w:val="79BD2A0E"/>
    <w:rsid w:val="7A254E7A"/>
    <w:rsid w:val="7A3A5E0C"/>
    <w:rsid w:val="7A801BF3"/>
    <w:rsid w:val="7ADB75EF"/>
    <w:rsid w:val="7AEC5358"/>
    <w:rsid w:val="7B551150"/>
    <w:rsid w:val="7B5B7497"/>
    <w:rsid w:val="7B9B19E6"/>
    <w:rsid w:val="7BBA15AC"/>
    <w:rsid w:val="7BC938EC"/>
    <w:rsid w:val="7C2F7BF3"/>
    <w:rsid w:val="7C635AEE"/>
    <w:rsid w:val="7C8868DF"/>
    <w:rsid w:val="7CC45CFB"/>
    <w:rsid w:val="7CD52994"/>
    <w:rsid w:val="7D036989"/>
    <w:rsid w:val="7D105049"/>
    <w:rsid w:val="7D852E5E"/>
    <w:rsid w:val="7D9D6DDE"/>
    <w:rsid w:val="7DAA32A9"/>
    <w:rsid w:val="7DAA5057"/>
    <w:rsid w:val="7DBD2FDC"/>
    <w:rsid w:val="7DE93DD1"/>
    <w:rsid w:val="7EB63CCD"/>
    <w:rsid w:val="7EEA7E01"/>
    <w:rsid w:val="7FAC3308"/>
    <w:rsid w:val="7FB16B71"/>
    <w:rsid w:val="7FD840FD"/>
    <w:rsid w:val="7FF5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link w:val="7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line="360" w:lineRule="auto"/>
      <w:ind w:left="840" w:leftChars="400"/>
    </w:pPr>
    <w:rPr>
      <w:sz w:val="24"/>
    </w:rPr>
  </w:style>
  <w:style w:type="paragraph" w:styleId="51">
    <w:name w:val="Message Header"/>
    <w:basedOn w:val="1"/>
    <w:next w:val="2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52">
    <w:name w:val="Normal (Web)"/>
    <w:basedOn w:val="1"/>
    <w:qFormat/>
    <w:uiPriority w:val="0"/>
    <w:pPr>
      <w:widowControl/>
      <w:spacing w:beforeAutospacing="1" w:afterAutospacing="1"/>
      <w:jc w:val="left"/>
    </w:pPr>
    <w:rPr>
      <w:rFonts w:ascii="宋体" w:hAnsi="宋体"/>
      <w:kern w:val="0"/>
      <w:sz w:val="24"/>
    </w:rPr>
  </w:style>
  <w:style w:type="paragraph" w:styleId="53">
    <w:name w:val="List Continue 3"/>
    <w:basedOn w:val="1"/>
    <w:qFormat/>
    <w:uiPriority w:val="0"/>
    <w:pPr>
      <w:adjustRightInd w:val="0"/>
      <w:snapToGrid w:val="0"/>
      <w:spacing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line="360" w:lineRule="auto"/>
      <w:jc w:val="center"/>
    </w:pPr>
    <w:rPr>
      <w:rFonts w:ascii="Arial" w:hAnsi="Arial"/>
      <w:b/>
      <w:smallCaps/>
      <w:kern w:val="28"/>
      <w:sz w:val="36"/>
      <w:lang w:eastAsia="en-US"/>
    </w:rPr>
  </w:style>
  <w:style w:type="paragraph" w:styleId="56">
    <w:name w:val="annotation subject"/>
    <w:basedOn w:val="19"/>
    <w:next w:val="19"/>
    <w:link w:val="76"/>
    <w:qFormat/>
    <w:uiPriority w:val="0"/>
    <w:pPr>
      <w:adjustRightInd/>
      <w:spacing w:line="240" w:lineRule="auto"/>
      <w:textAlignment w:val="auto"/>
    </w:pPr>
  </w:style>
  <w:style w:type="paragraph" w:styleId="57">
    <w:name w:val="Body Text First Indent"/>
    <w:basedOn w:val="1"/>
    <w:qFormat/>
    <w:uiPriority w:val="0"/>
    <w:pPr>
      <w:spacing w:line="360" w:lineRule="auto"/>
      <w:ind w:firstLine="420"/>
    </w:pPr>
    <w:rPr>
      <w:rFonts w:ascii="宋体" w:hAnsi="宋体"/>
      <w:sz w:val="24"/>
    </w:rPr>
  </w:style>
  <w:style w:type="paragraph" w:styleId="58">
    <w:name w:val="Body Text First Indent 2"/>
    <w:basedOn w:val="23"/>
    <w:link w:val="77"/>
    <w:qFormat/>
    <w:uiPriority w:val="0"/>
    <w:pPr>
      <w:spacing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Char1"/>
    <w:link w:val="3"/>
    <w:qFormat/>
    <w:uiPriority w:val="0"/>
    <w:rPr>
      <w:rFonts w:ascii="Arial" w:hAnsi="Arial" w:eastAsia="黑体"/>
      <w:b/>
      <w:kern w:val="2"/>
      <w:sz w:val="32"/>
    </w:rPr>
  </w:style>
  <w:style w:type="character" w:customStyle="1" w:styleId="70">
    <w:name w:val="标题 3 Char"/>
    <w:link w:val="4"/>
    <w:qFormat/>
    <w:uiPriority w:val="0"/>
    <w:rPr>
      <w:rFonts w:eastAsia="宋体"/>
      <w:b/>
      <w:kern w:val="2"/>
      <w:sz w:val="32"/>
      <w:lang w:val="en-US" w:eastAsia="zh-CN"/>
    </w:rPr>
  </w:style>
  <w:style w:type="character" w:customStyle="1" w:styleId="71">
    <w:name w:val="批注文字 Char"/>
    <w:link w:val="19"/>
    <w:qFormat/>
    <w:uiPriority w:val="0"/>
    <w:rPr>
      <w:sz w:val="24"/>
    </w:rPr>
  </w:style>
  <w:style w:type="character" w:customStyle="1" w:styleId="72">
    <w:name w:val="正文文本缩进 Char"/>
    <w:link w:val="23"/>
    <w:qFormat/>
    <w:uiPriority w:val="0"/>
    <w:rPr>
      <w:kern w:val="2"/>
      <w:sz w:val="44"/>
    </w:rPr>
  </w:style>
  <w:style w:type="character" w:customStyle="1" w:styleId="73">
    <w:name w:val="日期 Char"/>
    <w:link w:val="32"/>
    <w:qFormat/>
    <w:uiPriority w:val="0"/>
    <w:rPr>
      <w:kern w:val="2"/>
      <w:sz w:val="28"/>
    </w:rPr>
  </w:style>
  <w:style w:type="character" w:customStyle="1" w:styleId="74">
    <w:name w:val="正文文本缩进 2 Char"/>
    <w:link w:val="33"/>
    <w:qFormat/>
    <w:uiPriority w:val="0"/>
    <w:rPr>
      <w:kern w:val="2"/>
      <w:sz w:val="28"/>
    </w:rPr>
  </w:style>
  <w:style w:type="character" w:customStyle="1" w:styleId="75">
    <w:name w:val="脚注文本 Char"/>
    <w:link w:val="40"/>
    <w:qFormat/>
    <w:uiPriority w:val="0"/>
    <w:rPr>
      <w:kern w:val="2"/>
      <w:sz w:val="18"/>
    </w:rPr>
  </w:style>
  <w:style w:type="character" w:customStyle="1" w:styleId="76">
    <w:name w:val="批注主题 Char"/>
    <w:link w:val="56"/>
    <w:qFormat/>
    <w:uiPriority w:val="0"/>
  </w:style>
  <w:style w:type="character" w:customStyle="1" w:styleId="77">
    <w:name w:val="正文首行缩进 2 Char"/>
    <w:link w:val="58"/>
    <w:qFormat/>
    <w:uiPriority w:val="0"/>
  </w:style>
  <w:style w:type="character" w:customStyle="1" w:styleId="78">
    <w:name w:val="标题 2 Char"/>
    <w:qFormat/>
    <w:uiPriority w:val="0"/>
    <w:rPr>
      <w:rFonts w:ascii="Arial" w:hAnsi="Arial" w:eastAsia="黑体"/>
      <w:b/>
      <w:kern w:val="2"/>
      <w:sz w:val="32"/>
    </w:rPr>
  </w:style>
  <w:style w:type="paragraph" w:customStyle="1" w:styleId="79">
    <w:name w:val="样式2"/>
    <w:basedOn w:val="5"/>
    <w:qFormat/>
    <w:uiPriority w:val="0"/>
    <w:pPr>
      <w:numPr>
        <w:ilvl w:val="0"/>
        <w:numId w:val="4"/>
      </w:numPr>
      <w:spacing w:line="400" w:lineRule="exact"/>
      <w:jc w:val="center"/>
      <w:outlineLvl w:val="0"/>
    </w:pPr>
    <w:rPr>
      <w:b w:val="0"/>
      <w:sz w:val="44"/>
    </w:rPr>
  </w:style>
  <w:style w:type="paragraph" w:customStyle="1" w:styleId="80">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character" w:customStyle="1" w:styleId="81">
    <w:name w:val="样式 宋体"/>
    <w:qFormat/>
    <w:uiPriority w:val="0"/>
    <w:rPr>
      <w:rFonts w:ascii="宋体" w:hAnsi="宋体" w:eastAsia="宋体"/>
      <w:sz w:val="28"/>
    </w:rPr>
  </w:style>
  <w:style w:type="character" w:customStyle="1" w:styleId="82">
    <w:name w:val="Char Char5"/>
    <w:qFormat/>
    <w:uiPriority w:val="0"/>
    <w:rPr>
      <w:rFonts w:ascii="Arial" w:hAnsi="Arial" w:eastAsia="宋体"/>
      <w:b/>
      <w:smallCaps/>
      <w:kern w:val="28"/>
      <w:sz w:val="36"/>
      <w:lang w:val="en-US" w:eastAsia="en-US"/>
    </w:rPr>
  </w:style>
  <w:style w:type="character" w:customStyle="1" w:styleId="83">
    <w:name w:val="无"/>
    <w:qFormat/>
    <w:uiPriority w:val="0"/>
  </w:style>
  <w:style w:type="character" w:customStyle="1" w:styleId="84">
    <w:name w:val="Char Char4"/>
    <w:qFormat/>
    <w:uiPriority w:val="0"/>
    <w:rPr>
      <w:rFonts w:eastAsia="宋体"/>
      <w:b/>
      <w:kern w:val="2"/>
      <w:sz w:val="21"/>
      <w:lang w:val="en-US" w:eastAsia="zh-CN"/>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top-det1"/>
    <w:qFormat/>
    <w:uiPriority w:val="0"/>
    <w:rPr>
      <w:b/>
      <w:color w:val="000000"/>
    </w:rPr>
  </w:style>
  <w:style w:type="character" w:customStyle="1" w:styleId="88">
    <w:name w:val="小 Char"/>
    <w:qFormat/>
    <w:uiPriority w:val="0"/>
    <w:rPr>
      <w:rFonts w:ascii="宋体" w:hAnsi="Courier New" w:eastAsia="宋体"/>
      <w:kern w:val="2"/>
      <w:sz w:val="21"/>
      <w:lang w:val="en-US" w:eastAsia="zh-CN" w:bidi="ar-SA"/>
    </w:rPr>
  </w:style>
  <w:style w:type="character" w:customStyle="1" w:styleId="89">
    <w:name w:val="Char Char6"/>
    <w:qFormat/>
    <w:uiPriority w:val="0"/>
    <w:rPr>
      <w:rFonts w:ascii="仿宋_GB2312" w:eastAsia="仿宋_GB2312"/>
      <w:kern w:val="2"/>
      <w:sz w:val="32"/>
    </w:rPr>
  </w:style>
  <w:style w:type="character" w:customStyle="1" w:styleId="90">
    <w:name w:val="未命名11"/>
    <w:qFormat/>
    <w:uiPriority w:val="0"/>
    <w:rPr>
      <w:color w:val="77FFFF"/>
      <w:sz w:val="24"/>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crowed11"/>
    <w:qFormat/>
    <w:uiPriority w:val="0"/>
    <w:rPr>
      <w:rFonts w:hint="default" w:ascii="_x000B__x000C_" w:hAnsi="_x000B__x000C_"/>
      <w:sz w:val="24"/>
    </w:rPr>
  </w:style>
  <w:style w:type="character" w:customStyle="1" w:styleId="94">
    <w:name w:val="Char Char11"/>
    <w:qFormat/>
    <w:uiPriority w:val="0"/>
    <w:rPr>
      <w:rFonts w:ascii="宋体"/>
      <w:kern w:val="2"/>
      <w:sz w:val="28"/>
    </w:rPr>
  </w:style>
  <w:style w:type="character" w:customStyle="1" w:styleId="95">
    <w:name w:val="Char Char"/>
    <w:qFormat/>
    <w:uiPriority w:val="0"/>
    <w:rPr>
      <w:rFonts w:ascii="宋体" w:hAnsi="宋体" w:eastAsia="宋体"/>
      <w:kern w:val="2"/>
      <w:sz w:val="24"/>
      <w:lang w:val="en-US" w:eastAsia="zh-CN" w:bidi="ar-SA"/>
    </w:rPr>
  </w:style>
  <w:style w:type="character" w:customStyle="1" w:styleId="96">
    <w:name w:val="H2 Char"/>
    <w:qFormat/>
    <w:uiPriority w:val="0"/>
    <w:rPr>
      <w:rFonts w:ascii="Arial" w:hAnsi="Arial" w:eastAsia="宋体"/>
      <w:kern w:val="2"/>
      <w:sz w:val="28"/>
      <w:lang w:val="en-US" w:eastAsia="zh-CN"/>
    </w:rPr>
  </w:style>
  <w:style w:type="character" w:customStyle="1" w:styleId="97">
    <w:name w:val="文字 Char"/>
    <w:link w:val="98"/>
    <w:qFormat/>
    <w:uiPriority w:val="0"/>
    <w:rPr>
      <w:rFonts w:ascii="宋体"/>
      <w:kern w:val="2"/>
      <w:sz w:val="28"/>
    </w:rPr>
  </w:style>
  <w:style w:type="paragraph" w:customStyle="1" w:styleId="98">
    <w:name w:val="文字"/>
    <w:basedOn w:val="1"/>
    <w:link w:val="97"/>
    <w:qFormat/>
    <w:uiPriority w:val="0"/>
    <w:pPr>
      <w:tabs>
        <w:tab w:val="left" w:pos="8520"/>
      </w:tabs>
      <w:spacing w:line="312" w:lineRule="auto"/>
      <w:ind w:right="-210" w:firstLine="556"/>
    </w:pPr>
    <w:rPr>
      <w:rFonts w:ascii="宋体"/>
    </w:rPr>
  </w:style>
  <w:style w:type="character" w:customStyle="1" w:styleId="99">
    <w:name w:val="Char Char7"/>
    <w:qFormat/>
    <w:uiPriority w:val="0"/>
    <w:rPr>
      <w:rFonts w:ascii="宋体" w:hAnsi="宋体" w:eastAsia="宋体"/>
      <w:kern w:val="2"/>
      <w:sz w:val="28"/>
    </w:rPr>
  </w:style>
  <w:style w:type="character" w:customStyle="1" w:styleId="100">
    <w:name w:val="Char Char2"/>
    <w:qFormat/>
    <w:uiPriority w:val="0"/>
    <w:rPr>
      <w:rFonts w:eastAsia="宋体"/>
      <w:kern w:val="2"/>
      <w:sz w:val="18"/>
      <w:lang w:val="en-US" w:eastAsia="zh-CN"/>
    </w:rPr>
  </w:style>
  <w:style w:type="character" w:customStyle="1" w:styleId="101">
    <w:name w:val="title_emph1"/>
    <w:qFormat/>
    <w:uiPriority w:val="0"/>
    <w:rPr>
      <w:rFonts w:hint="default" w:ascii="Arial" w:hAnsi="Arial"/>
      <w:b/>
      <w:sz w:val="20"/>
    </w:rPr>
  </w:style>
  <w:style w:type="character" w:customStyle="1" w:styleId="102">
    <w:name w:val="content-white1"/>
    <w:qFormat/>
    <w:uiPriority w:val="0"/>
    <w:rPr>
      <w:rFonts w:ascii="_x000B__x000C_" w:hAnsi="_x000B__x000C_"/>
      <w:color w:val="auto"/>
      <w:sz w:val="18"/>
      <w:u w:val="none"/>
    </w:rPr>
  </w:style>
  <w:style w:type="character" w:customStyle="1" w:styleId="103">
    <w:name w:val="font1"/>
    <w:qFormat/>
    <w:uiPriority w:val="0"/>
    <w:rPr>
      <w:color w:val="000000"/>
      <w:sz w:val="18"/>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v151"/>
    <w:qFormat/>
    <w:uiPriority w:val="0"/>
    <w:rPr>
      <w:sz w:val="18"/>
    </w:rPr>
  </w:style>
  <w:style w:type="character" w:customStyle="1" w:styleId="107">
    <w:name w:val="正文 + 三号 Char"/>
    <w:qFormat/>
    <w:uiPriority w:val="0"/>
    <w:rPr>
      <w:rFonts w:eastAsia="宋体"/>
      <w:kern w:val="2"/>
      <w:sz w:val="21"/>
      <w:lang w:val="en-US" w:eastAsia="zh-CN"/>
    </w:rPr>
  </w:style>
  <w:style w:type="character" w:customStyle="1" w:styleId="108">
    <w:name w:val="标书正文:  0.74 厘米 Char1"/>
    <w:qFormat/>
    <w:uiPriority w:val="0"/>
    <w:rPr>
      <w:rFonts w:eastAsia="宋体"/>
      <w:kern w:val="2"/>
      <w:sz w:val="24"/>
      <w:lang w:val="en-US" w:eastAsia="zh-CN"/>
    </w:rPr>
  </w:style>
  <w:style w:type="character" w:customStyle="1" w:styleId="109">
    <w:name w:val="Char Char3"/>
    <w:qFormat/>
    <w:uiPriority w:val="0"/>
    <w:rPr>
      <w:rFonts w:eastAsia="宋体"/>
      <w:kern w:val="2"/>
      <w:sz w:val="18"/>
      <w:lang w:val="en-US" w:eastAsia="zh-CN"/>
    </w:rPr>
  </w:style>
  <w:style w:type="paragraph" w:customStyle="1" w:styleId="110">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11">
    <w:name w:val="Char"/>
    <w:basedOn w:val="1"/>
    <w:qFormat/>
    <w:uiPriority w:val="0"/>
    <w:pPr>
      <w:spacing w:line="240" w:lineRule="atLeast"/>
      <w:ind w:left="420" w:firstLine="420"/>
    </w:pPr>
    <w:rPr>
      <w:kern w:val="0"/>
      <w:sz w:val="21"/>
    </w:rPr>
  </w:style>
  <w:style w:type="paragraph" w:customStyle="1" w:styleId="112">
    <w:name w:val="附录3"/>
    <w:basedOn w:val="1"/>
    <w:next w:val="1"/>
    <w:qFormat/>
    <w:uiPriority w:val="0"/>
    <w:pPr>
      <w:tabs>
        <w:tab w:val="left" w:pos="851"/>
      </w:tabs>
      <w:ind w:left="425" w:hanging="425"/>
      <w:outlineLvl w:val="2"/>
    </w:pPr>
    <w:rPr>
      <w:rFonts w:eastAsia="黑体"/>
      <w:b/>
      <w:sz w:val="32"/>
    </w:rPr>
  </w:style>
  <w:style w:type="paragraph" w:customStyle="1" w:styleId="113">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14">
    <w:name w:val="Char Char1 Char"/>
    <w:basedOn w:val="1"/>
    <w:qFormat/>
    <w:uiPriority w:val="0"/>
    <w:rPr>
      <w:rFonts w:ascii="Tahoma" w:hAnsi="Tahoma"/>
      <w:sz w:val="24"/>
      <w:szCs w:val="24"/>
    </w:rPr>
  </w:style>
  <w:style w:type="paragraph" w:customStyle="1" w:styleId="115">
    <w:name w:val="样式 正文缩进正文（首行缩进两字）表正文正文非缩进特点标题4段1 + 首行缩进:  2 字符"/>
    <w:basedOn w:val="15"/>
    <w:qFormat/>
    <w:uiPriority w:val="0"/>
    <w:pPr>
      <w:ind w:firstLine="480" w:firstLineChars="200"/>
    </w:pPr>
  </w:style>
  <w:style w:type="paragraph" w:customStyle="1" w:styleId="116">
    <w:name w:val="Char Char Char Char Char Char Char"/>
    <w:basedOn w:val="17"/>
    <w:qFormat/>
    <w:uiPriority w:val="0"/>
    <w:rPr>
      <w:rFonts w:ascii="宋体" w:hAnsi="Tahoma"/>
    </w:rPr>
  </w:style>
  <w:style w:type="paragraph" w:customStyle="1" w:styleId="11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18">
    <w:name w:val="默认段落字体 Para Char Char Char Char Char Char Char"/>
    <w:basedOn w:val="1"/>
    <w:qFormat/>
    <w:uiPriority w:val="0"/>
    <w:rPr>
      <w:rFonts w:ascii="Tahoma" w:hAnsi="Tahoma"/>
      <w:sz w:val="24"/>
    </w:rPr>
  </w:style>
  <w:style w:type="paragraph" w:customStyle="1" w:styleId="119">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20">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21">
    <w:name w:val="二级列表"/>
    <w:basedOn w:val="122"/>
    <w:next w:val="122"/>
    <w:qFormat/>
    <w:uiPriority w:val="0"/>
    <w:pPr>
      <w:tabs>
        <w:tab w:val="left" w:pos="2120"/>
      </w:tabs>
      <w:ind w:firstLine="0" w:firstLineChars="0"/>
    </w:pPr>
    <w:rPr>
      <w:b/>
    </w:rPr>
  </w:style>
  <w:style w:type="paragraph" w:customStyle="1" w:styleId="122">
    <w:name w:val="段落正文"/>
    <w:basedOn w:val="1"/>
    <w:qFormat/>
    <w:uiPriority w:val="0"/>
    <w:pPr>
      <w:spacing w:beforeLines="50" w:line="360" w:lineRule="auto"/>
      <w:ind w:firstLine="200" w:firstLineChars="200"/>
    </w:pPr>
    <w:rPr>
      <w:spacing w:val="2"/>
      <w:sz w:val="24"/>
    </w:rPr>
  </w:style>
  <w:style w:type="paragraph" w:customStyle="1" w:styleId="123">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5">
    <w:name w:val="样式 首行缩进:  0.74 厘米"/>
    <w:basedOn w:val="1"/>
    <w:qFormat/>
    <w:uiPriority w:val="0"/>
    <w:pPr>
      <w:spacing w:line="360" w:lineRule="auto"/>
      <w:ind w:firstLine="420"/>
    </w:pPr>
    <w:rPr>
      <w:sz w:val="24"/>
    </w:rPr>
  </w:style>
  <w:style w:type="paragraph" w:customStyle="1" w:styleId="126">
    <w:name w:val="正文表格"/>
    <w:basedOn w:val="1"/>
    <w:qFormat/>
    <w:uiPriority w:val="0"/>
    <w:pPr>
      <w:adjustRightInd w:val="0"/>
    </w:pPr>
    <w:rPr>
      <w:sz w:val="24"/>
    </w:rPr>
  </w:style>
  <w:style w:type="paragraph" w:customStyle="1" w:styleId="127">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128">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29">
    <w:name w:val="00"/>
    <w:basedOn w:val="1"/>
    <w:qFormat/>
    <w:uiPriority w:val="0"/>
    <w:pPr>
      <w:autoSpaceDE w:val="0"/>
      <w:autoSpaceDN w:val="0"/>
      <w:adjustRightInd w:val="0"/>
      <w:jc w:val="left"/>
    </w:pPr>
    <w:rPr>
      <w:rFonts w:ascii="黑体" w:eastAsia="黑体"/>
      <w:b/>
      <w:kern w:val="0"/>
      <w:sz w:val="20"/>
    </w:r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32">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33">
    <w:name w:val="Char Char Char Char Char Char Char1"/>
    <w:basedOn w:val="1"/>
    <w:qFormat/>
    <w:uiPriority w:val="0"/>
    <w:rPr>
      <w:rFonts w:ascii="Tahoma" w:hAnsi="Tahoma"/>
      <w:sz w:val="24"/>
    </w:rPr>
  </w:style>
  <w:style w:type="paragraph" w:customStyle="1" w:styleId="134">
    <w:name w:val="表头文本"/>
    <w:qFormat/>
    <w:uiPriority w:val="0"/>
    <w:pPr>
      <w:jc w:val="center"/>
    </w:pPr>
    <w:rPr>
      <w:rFonts w:ascii="Arial" w:hAnsi="Arial" w:eastAsia="宋体" w:cs="Times New Roman"/>
      <w:b/>
      <w:sz w:val="21"/>
      <w:lang w:val="en-US" w:eastAsia="zh-CN" w:bidi="ar-SA"/>
    </w:rPr>
  </w:style>
  <w:style w:type="paragraph" w:customStyle="1" w:styleId="135">
    <w:name w:val="文本1"/>
    <w:basedOn w:val="1"/>
    <w:qFormat/>
    <w:uiPriority w:val="0"/>
    <w:pPr>
      <w:adjustRightInd w:val="0"/>
      <w:spacing w:line="312" w:lineRule="atLeast"/>
      <w:jc w:val="center"/>
      <w:textAlignment w:val="baseline"/>
    </w:pPr>
    <w:rPr>
      <w:kern w:val="0"/>
      <w:sz w:val="18"/>
    </w:rPr>
  </w:style>
  <w:style w:type="paragraph" w:customStyle="1" w:styleId="13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Char Char14 Char Char"/>
    <w:basedOn w:val="1"/>
    <w:qFormat/>
    <w:uiPriority w:val="0"/>
    <w:rPr>
      <w:sz w:val="21"/>
      <w:szCs w:val="24"/>
    </w:rPr>
  </w:style>
  <w:style w:type="paragraph" w:customStyle="1" w:styleId="13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0">
    <w:name w:val="Char Char1"/>
    <w:basedOn w:val="1"/>
    <w:qFormat/>
    <w:uiPriority w:val="0"/>
    <w:pPr>
      <w:widowControl/>
      <w:spacing w:line="240" w:lineRule="exact"/>
      <w:jc w:val="left"/>
    </w:pPr>
    <w:rPr>
      <w:rFonts w:ascii="Verdana" w:hAnsi="Verdana"/>
      <w:kern w:val="0"/>
      <w:sz w:val="20"/>
      <w:lang w:eastAsia="en-US"/>
    </w:rPr>
  </w:style>
  <w:style w:type="paragraph" w:customStyle="1" w:styleId="141">
    <w:name w:val="标准正文"/>
    <w:basedOn w:val="23"/>
    <w:qFormat/>
    <w:uiPriority w:val="0"/>
    <w:pPr>
      <w:spacing w:line="360" w:lineRule="auto"/>
      <w:ind w:left="0" w:firstLine="482"/>
    </w:pPr>
    <w:rPr>
      <w:rFonts w:ascii="Arial" w:hAnsi="Arial"/>
      <w:sz w:val="24"/>
    </w:rPr>
  </w:style>
  <w:style w:type="paragraph" w:customStyle="1" w:styleId="14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43">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图片文字"/>
    <w:basedOn w:val="1"/>
    <w:qFormat/>
    <w:uiPriority w:val="0"/>
    <w:pPr>
      <w:spacing w:line="240" w:lineRule="atLeast"/>
      <w:jc w:val="center"/>
    </w:pPr>
    <w:rPr>
      <w:sz w:val="21"/>
    </w:rPr>
  </w:style>
  <w:style w:type="paragraph" w:customStyle="1" w:styleId="146">
    <w:name w:val="正文（首行不缩进）"/>
    <w:basedOn w:val="1"/>
    <w:qFormat/>
    <w:uiPriority w:val="0"/>
    <w:pPr>
      <w:autoSpaceDE w:val="0"/>
      <w:autoSpaceDN w:val="0"/>
      <w:adjustRightInd w:val="0"/>
      <w:spacing w:line="360" w:lineRule="auto"/>
      <w:jc w:val="left"/>
    </w:pPr>
    <w:rPr>
      <w:kern w:val="0"/>
      <w:sz w:val="21"/>
    </w:rPr>
  </w:style>
  <w:style w:type="paragraph" w:customStyle="1" w:styleId="147">
    <w:name w:val="Char Char Char"/>
    <w:basedOn w:val="1"/>
    <w:qFormat/>
    <w:uiPriority w:val="0"/>
    <w:rPr>
      <w:rFonts w:ascii="Tahoma" w:hAnsi="Tahoma"/>
      <w:sz w:val="24"/>
    </w:rPr>
  </w:style>
  <w:style w:type="paragraph" w:customStyle="1" w:styleId="148">
    <w:name w:val="xl23"/>
    <w:basedOn w:val="1"/>
    <w:qFormat/>
    <w:uiPriority w:val="0"/>
    <w:pPr>
      <w:widowControl/>
      <w:spacing w:beforeAutospacing="1" w:afterAutospacing="1" w:line="360" w:lineRule="auto"/>
      <w:textAlignment w:val="top"/>
    </w:pPr>
    <w:rPr>
      <w:kern w:val="0"/>
      <w:sz w:val="24"/>
    </w:rPr>
  </w:style>
  <w:style w:type="paragraph" w:customStyle="1" w:styleId="149">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50">
    <w:name w:val="简单回函地址"/>
    <w:basedOn w:val="1"/>
    <w:qFormat/>
    <w:uiPriority w:val="0"/>
    <w:pPr>
      <w:adjustRightInd w:val="0"/>
      <w:snapToGrid w:val="0"/>
      <w:spacing w:line="360" w:lineRule="auto"/>
    </w:pPr>
    <w:rPr>
      <w:sz w:val="24"/>
    </w:rPr>
  </w:style>
  <w:style w:type="paragraph" w:customStyle="1" w:styleId="15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2">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53">
    <w:name w:val="样式4"/>
    <w:basedOn w:val="5"/>
    <w:qFormat/>
    <w:uiPriority w:val="0"/>
    <w:pPr>
      <w:adjustRightInd w:val="0"/>
      <w:snapToGrid w:val="0"/>
    </w:pPr>
  </w:style>
  <w:style w:type="paragraph" w:customStyle="1" w:styleId="154">
    <w:name w:val="正文文本缩进 21"/>
    <w:basedOn w:val="1"/>
    <w:qFormat/>
    <w:uiPriority w:val="0"/>
    <w:pPr>
      <w:adjustRightInd w:val="0"/>
      <w:ind w:firstLine="420"/>
      <w:textAlignment w:val="baseline"/>
    </w:pPr>
    <w:rPr>
      <w:sz w:val="24"/>
    </w:rPr>
  </w:style>
  <w:style w:type="paragraph" w:customStyle="1" w:styleId="155">
    <w:name w:val="正文文本 21"/>
    <w:basedOn w:val="1"/>
    <w:qFormat/>
    <w:uiPriority w:val="0"/>
    <w:pPr>
      <w:adjustRightInd w:val="0"/>
      <w:spacing w:line="360" w:lineRule="auto"/>
      <w:ind w:firstLine="480"/>
      <w:textAlignment w:val="baseline"/>
    </w:pPr>
    <w:rPr>
      <w:sz w:val="24"/>
    </w:rPr>
  </w:style>
  <w:style w:type="paragraph" w:customStyle="1" w:styleId="156">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57">
    <w:name w:val="图例"/>
    <w:basedOn w:val="1"/>
    <w:qFormat/>
    <w:uiPriority w:val="0"/>
    <w:pPr>
      <w:spacing w:line="360" w:lineRule="auto"/>
      <w:jc w:val="center"/>
    </w:pPr>
    <w:rPr>
      <w:rFonts w:eastAsia="仿宋_GB2312"/>
      <w:b/>
      <w:sz w:val="24"/>
    </w:rPr>
  </w:style>
  <w:style w:type="paragraph" w:customStyle="1" w:styleId="158">
    <w:name w:val="正文文本1"/>
    <w:next w:val="132"/>
    <w:qFormat/>
    <w:uiPriority w:val="0"/>
    <w:pPr>
      <w:widowControl w:val="0"/>
      <w:jc w:val="both"/>
    </w:pPr>
    <w:rPr>
      <w:rFonts w:ascii="仿宋_GB2312" w:hAnsi="仿宋_GB2312" w:eastAsia="仿宋_GB2312" w:cs="仿宋_GB2312"/>
      <w:color w:val="000000"/>
      <w:kern w:val="2"/>
      <w:sz w:val="32"/>
      <w:szCs w:val="32"/>
      <w:lang w:val="en-US" w:eastAsia="zh-CN" w:bidi="ar-SA"/>
    </w:rPr>
  </w:style>
  <w:style w:type="paragraph" w:customStyle="1" w:styleId="159">
    <w:name w:val="摘要"/>
    <w:basedOn w:val="1"/>
    <w:next w:val="3"/>
    <w:qFormat/>
    <w:uiPriority w:val="0"/>
    <w:pPr>
      <w:spacing w:line="360" w:lineRule="auto"/>
    </w:pPr>
    <w:rPr>
      <w:rFonts w:eastAsia="黑体"/>
      <w:sz w:val="20"/>
    </w:rPr>
  </w:style>
  <w:style w:type="paragraph" w:customStyle="1" w:styleId="160">
    <w:name w:val="标题3——2"/>
    <w:basedOn w:val="4"/>
    <w:next w:val="57"/>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61">
    <w:name w:val="Char Char Char Char Char"/>
    <w:basedOn w:val="1"/>
    <w:qFormat/>
    <w:uiPriority w:val="0"/>
    <w:pPr>
      <w:tabs>
        <w:tab w:val="left" w:pos="425"/>
      </w:tabs>
      <w:ind w:left="1620" w:hanging="360"/>
    </w:pPr>
    <w:rPr>
      <w:rFonts w:ascii="Tahoma" w:hAnsi="Tahoma"/>
      <w:sz w:val="24"/>
    </w:rPr>
  </w:style>
  <w:style w:type="paragraph" w:customStyle="1" w:styleId="162">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63">
    <w:name w:val="正文4"/>
    <w:basedOn w:val="1"/>
    <w:qFormat/>
    <w:uiPriority w:val="0"/>
    <w:pPr>
      <w:tabs>
        <w:tab w:val="left" w:pos="1275"/>
      </w:tabs>
      <w:spacing w:line="360" w:lineRule="auto"/>
      <w:ind w:left="820" w:leftChars="400" w:hanging="705"/>
    </w:pPr>
    <w:rPr>
      <w:sz w:val="24"/>
    </w:rPr>
  </w:style>
  <w:style w:type="paragraph" w:customStyle="1" w:styleId="164">
    <w:name w:val="可研正文"/>
    <w:basedOn w:val="22"/>
    <w:qFormat/>
    <w:uiPriority w:val="0"/>
    <w:pPr>
      <w:adjustRightInd w:val="0"/>
      <w:snapToGrid w:val="0"/>
      <w:spacing w:line="440" w:lineRule="exact"/>
      <w:ind w:firstLine="567"/>
    </w:pPr>
    <w:rPr>
      <w:sz w:val="28"/>
    </w:rPr>
  </w:style>
  <w:style w:type="paragraph" w:customStyle="1" w:styleId="165">
    <w:name w:val="没有缩进（为图形使用）"/>
    <w:basedOn w:val="1"/>
    <w:qFormat/>
    <w:uiPriority w:val="0"/>
    <w:pPr>
      <w:spacing w:line="360" w:lineRule="auto"/>
    </w:pPr>
    <w:rPr>
      <w:sz w:val="24"/>
    </w:rPr>
  </w:style>
  <w:style w:type="paragraph" w:customStyle="1" w:styleId="166">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67">
    <w:name w:val="列表项目"/>
    <w:basedOn w:val="1"/>
    <w:qFormat/>
    <w:uiPriority w:val="0"/>
    <w:pPr>
      <w:tabs>
        <w:tab w:val="left" w:pos="420"/>
      </w:tabs>
      <w:spacing w:line="288" w:lineRule="auto"/>
      <w:ind w:left="840" w:leftChars="200" w:hanging="420" w:hangingChars="200"/>
    </w:pPr>
    <w:rPr>
      <w:sz w:val="21"/>
    </w:rPr>
  </w:style>
  <w:style w:type="paragraph" w:customStyle="1" w:styleId="168">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69">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70">
    <w:name w:val="Char1"/>
    <w:basedOn w:val="1"/>
    <w:qFormat/>
    <w:uiPriority w:val="0"/>
    <w:rPr>
      <w:sz w:val="21"/>
    </w:rPr>
  </w:style>
  <w:style w:type="paragraph" w:customStyle="1" w:styleId="171">
    <w:name w:val="关键词"/>
    <w:basedOn w:val="1"/>
    <w:next w:val="1"/>
    <w:qFormat/>
    <w:uiPriority w:val="0"/>
    <w:pPr>
      <w:spacing w:line="360" w:lineRule="auto"/>
    </w:pPr>
    <w:rPr>
      <w:rFonts w:eastAsia="黑体"/>
      <w:sz w:val="20"/>
    </w:rPr>
  </w:style>
  <w:style w:type="paragraph" w:customStyle="1" w:styleId="172">
    <w:name w:val="IN Feature"/>
    <w:next w:val="17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3">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7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7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76">
    <w:name w:val="Note"/>
    <w:basedOn w:val="1"/>
    <w:qFormat/>
    <w:uiPriority w:val="0"/>
    <w:pPr>
      <w:pBdr>
        <w:top w:val="single" w:color="auto" w:sz="12" w:space="3"/>
        <w:bottom w:val="single" w:color="auto" w:sz="12" w:space="3"/>
      </w:pBdr>
      <w:spacing w:line="360" w:lineRule="auto"/>
    </w:pPr>
    <w:rPr>
      <w:sz w:val="24"/>
    </w:rPr>
  </w:style>
  <w:style w:type="paragraph" w:customStyle="1" w:styleId="177">
    <w:name w:val="表格文本"/>
    <w:qFormat/>
    <w:uiPriority w:val="0"/>
    <w:pPr>
      <w:tabs>
        <w:tab w:val="decimal" w:pos="0"/>
      </w:tabs>
    </w:pPr>
    <w:rPr>
      <w:rFonts w:ascii="Arial" w:hAnsi="Arial" w:eastAsia="宋体" w:cs="Times New Roman"/>
      <w:sz w:val="21"/>
      <w:lang w:val="en-US" w:eastAsia="zh-CN" w:bidi="ar-SA"/>
    </w:rPr>
  </w:style>
  <w:style w:type="paragraph" w:customStyle="1" w:styleId="178">
    <w:name w:val="默认段落字体 Para Char Char Char Char Char Char Char Char Char1 Char Char Char Char"/>
    <w:basedOn w:val="1"/>
    <w:qFormat/>
    <w:uiPriority w:val="0"/>
    <w:rPr>
      <w:rFonts w:ascii="Tahoma" w:hAnsi="Tahoma"/>
      <w:sz w:val="24"/>
    </w:rPr>
  </w:style>
  <w:style w:type="paragraph" w:customStyle="1" w:styleId="179">
    <w:name w:val="样式1"/>
    <w:basedOn w:val="5"/>
    <w:qFormat/>
    <w:uiPriority w:val="0"/>
    <w:pPr>
      <w:tabs>
        <w:tab w:val="left" w:pos="720"/>
      </w:tabs>
      <w:spacing w:line="560" w:lineRule="atLeast"/>
      <w:ind w:left="420" w:hanging="420"/>
    </w:pPr>
  </w:style>
  <w:style w:type="paragraph" w:customStyle="1" w:styleId="180">
    <w:name w:val="_Style 179"/>
    <w:qFormat/>
    <w:uiPriority w:val="0"/>
    <w:rPr>
      <w:rFonts w:ascii="Times New Roman" w:hAnsi="Times New Roman" w:eastAsia="宋体" w:cs="Times New Roman"/>
      <w:kern w:val="2"/>
      <w:sz w:val="21"/>
      <w:lang w:val="en-US" w:eastAsia="zh-CN" w:bidi="ar-SA"/>
    </w:rPr>
  </w:style>
  <w:style w:type="paragraph" w:customStyle="1" w:styleId="181">
    <w:name w:val="正文1"/>
    <w:basedOn w:val="1"/>
    <w:qFormat/>
    <w:uiPriority w:val="0"/>
    <w:pPr>
      <w:spacing w:line="300" w:lineRule="auto"/>
      <w:ind w:firstLine="200" w:firstLineChars="200"/>
    </w:pPr>
    <w:rPr>
      <w:sz w:val="24"/>
    </w:rPr>
  </w:style>
  <w:style w:type="paragraph" w:customStyle="1" w:styleId="182">
    <w:name w:val="内容标题"/>
    <w:basedOn w:val="17"/>
    <w:qFormat/>
    <w:uiPriority w:val="0"/>
    <w:rPr>
      <w:rFonts w:ascii="Tahoma" w:hAnsi="Tahoma"/>
      <w:sz w:val="24"/>
    </w:rPr>
  </w:style>
  <w:style w:type="paragraph" w:customStyle="1" w:styleId="183">
    <w:name w:val="正文 + 三号"/>
    <w:basedOn w:val="1"/>
    <w:qFormat/>
    <w:uiPriority w:val="0"/>
    <w:rPr>
      <w:sz w:val="21"/>
    </w:rPr>
  </w:style>
  <w:style w:type="paragraph" w:customStyle="1" w:styleId="184">
    <w:name w:val="style1"/>
    <w:basedOn w:val="1"/>
    <w:qFormat/>
    <w:uiPriority w:val="0"/>
    <w:pPr>
      <w:widowControl/>
      <w:spacing w:beforeAutospacing="1" w:afterAutospacing="1"/>
      <w:jc w:val="left"/>
    </w:pPr>
    <w:rPr>
      <w:rFonts w:ascii="宋体" w:hAnsi="宋体"/>
      <w:kern w:val="0"/>
      <w:sz w:val="21"/>
    </w:rPr>
  </w:style>
  <w:style w:type="paragraph" w:customStyle="1" w:styleId="185">
    <w:name w:val="Char1 Char Char Char"/>
    <w:basedOn w:val="1"/>
    <w:qFormat/>
    <w:uiPriority w:val="0"/>
    <w:rPr>
      <w:rFonts w:ascii="Tahoma" w:hAnsi="Tahoma"/>
      <w:sz w:val="30"/>
    </w:rPr>
  </w:style>
  <w:style w:type="paragraph" w:customStyle="1" w:styleId="186">
    <w:name w:val="标题无"/>
    <w:basedOn w:val="1"/>
    <w:qFormat/>
    <w:uiPriority w:val="0"/>
    <w:pPr>
      <w:spacing w:line="360" w:lineRule="auto"/>
    </w:pPr>
    <w:rPr>
      <w:sz w:val="24"/>
    </w:rPr>
  </w:style>
  <w:style w:type="paragraph" w:customStyle="1" w:styleId="18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9">
    <w:name w:val="Table Contents"/>
    <w:basedOn w:val="22"/>
    <w:qFormat/>
    <w:uiPriority w:val="0"/>
    <w:pPr>
      <w:suppressAutoHyphens/>
      <w:jc w:val="left"/>
    </w:pPr>
    <w:rPr>
      <w:rFonts w:ascii="Times New Roman" w:eastAsia="Times New Roman"/>
      <w:kern w:val="0"/>
      <w:sz w:val="24"/>
    </w:rPr>
  </w:style>
  <w:style w:type="paragraph" w:customStyle="1" w:styleId="190">
    <w:name w:val="表格内文字"/>
    <w:basedOn w:val="30"/>
    <w:qFormat/>
    <w:uiPriority w:val="0"/>
    <w:pPr>
      <w:adjustRightInd w:val="0"/>
    </w:pPr>
    <w:rPr>
      <w:color w:val="000000"/>
      <w:lang w:val="en-GB"/>
    </w:rPr>
  </w:style>
  <w:style w:type="paragraph" w:customStyle="1" w:styleId="191">
    <w:name w:val="标书正文:  0.74 厘米"/>
    <w:basedOn w:val="1"/>
    <w:qFormat/>
    <w:uiPriority w:val="0"/>
    <w:pPr>
      <w:snapToGrid w:val="0"/>
      <w:spacing w:line="360" w:lineRule="auto"/>
      <w:ind w:firstLine="420"/>
    </w:pPr>
    <w:rPr>
      <w:sz w:val="24"/>
    </w:rPr>
  </w:style>
  <w:style w:type="paragraph" w:customStyle="1" w:styleId="192">
    <w:name w:val="文本框样式1"/>
    <w:basedOn w:val="1"/>
    <w:qFormat/>
    <w:uiPriority w:val="0"/>
    <w:pPr>
      <w:adjustRightInd w:val="0"/>
      <w:snapToGrid w:val="0"/>
      <w:spacing w:line="180" w:lineRule="exact"/>
      <w:jc w:val="center"/>
    </w:pPr>
    <w:rPr>
      <w:sz w:val="21"/>
    </w:rPr>
  </w:style>
  <w:style w:type="paragraph" w:customStyle="1" w:styleId="19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4">
    <w:name w:val="Title - Revision"/>
    <w:basedOn w:val="55"/>
    <w:qFormat/>
    <w:uiPriority w:val="0"/>
  </w:style>
  <w:style w:type="paragraph" w:customStyle="1" w:styleId="195">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96">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97">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98">
    <w:name w:val="首行缩进 1"/>
    <w:basedOn w:val="1"/>
    <w:qFormat/>
    <w:uiPriority w:val="0"/>
    <w:pPr>
      <w:spacing w:line="360" w:lineRule="auto"/>
      <w:ind w:firstLine="200" w:firstLineChars="200"/>
    </w:pPr>
    <w:rPr>
      <w:sz w:val="24"/>
    </w:rPr>
  </w:style>
  <w:style w:type="paragraph" w:customStyle="1" w:styleId="19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1">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编号正文"/>
    <w:basedOn w:val="200"/>
    <w:qFormat/>
    <w:uiPriority w:val="0"/>
    <w:pPr>
      <w:snapToGrid/>
      <w:spacing w:line="360" w:lineRule="auto"/>
      <w:ind w:left="1407" w:hanging="1047"/>
      <w:jc w:val="left"/>
    </w:pPr>
    <w:rPr>
      <w:rFonts w:eastAsia="仿宋_GB2312"/>
    </w:rPr>
  </w:style>
  <w:style w:type="paragraph" w:customStyle="1" w:styleId="20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0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5">
    <w:name w:val="Char2"/>
    <w:basedOn w:val="1"/>
    <w:qFormat/>
    <w:uiPriority w:val="0"/>
    <w:pPr>
      <w:spacing w:line="240" w:lineRule="atLeast"/>
      <w:ind w:left="420" w:firstLine="420"/>
    </w:pPr>
    <w:rPr>
      <w:kern w:val="0"/>
      <w:sz w:val="21"/>
    </w:rPr>
  </w:style>
  <w:style w:type="paragraph" w:customStyle="1" w:styleId="206">
    <w:name w:val="样式 行距: 1.5 倍行距1"/>
    <w:basedOn w:val="1"/>
    <w:qFormat/>
    <w:uiPriority w:val="0"/>
    <w:pPr>
      <w:snapToGrid w:val="0"/>
    </w:pPr>
    <w:rPr>
      <w:sz w:val="21"/>
    </w:rPr>
  </w:style>
  <w:style w:type="paragraph" w:customStyle="1" w:styleId="20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209">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210">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211">
    <w:name w:val="1"/>
    <w:basedOn w:val="1"/>
    <w:next w:val="30"/>
    <w:qFormat/>
    <w:uiPriority w:val="0"/>
    <w:rPr>
      <w:rFonts w:ascii="宋体" w:hAnsi="Courier New"/>
      <w:sz w:val="21"/>
    </w:rPr>
  </w:style>
  <w:style w:type="paragraph" w:customStyle="1" w:styleId="21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1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5">
    <w:name w:val="表头样式"/>
    <w:basedOn w:val="1"/>
    <w:qFormat/>
    <w:uiPriority w:val="0"/>
    <w:pPr>
      <w:autoSpaceDE w:val="0"/>
      <w:autoSpaceDN w:val="0"/>
      <w:adjustRightInd w:val="0"/>
      <w:spacing w:line="360" w:lineRule="auto"/>
      <w:jc w:val="left"/>
    </w:pPr>
    <w:rPr>
      <w:b/>
      <w:kern w:val="0"/>
      <w:sz w:val="21"/>
    </w:rPr>
  </w:style>
  <w:style w:type="paragraph" w:customStyle="1" w:styleId="216">
    <w:name w:val="正文字缩2字"/>
    <w:basedOn w:val="1"/>
    <w:qFormat/>
    <w:uiPriority w:val="0"/>
    <w:pPr>
      <w:spacing w:line="360" w:lineRule="auto"/>
      <w:ind w:left="200" w:leftChars="200" w:firstLine="200" w:firstLineChars="200"/>
    </w:pPr>
    <w:rPr>
      <w:sz w:val="24"/>
    </w:rPr>
  </w:style>
  <w:style w:type="paragraph" w:customStyle="1" w:styleId="217">
    <w:name w:val="Char2 Char Char Char Char Char Char"/>
    <w:basedOn w:val="1"/>
    <w:qFormat/>
    <w:uiPriority w:val="0"/>
    <w:rPr>
      <w:rFonts w:ascii="仿宋_GB2312"/>
      <w:b/>
      <w:sz w:val="30"/>
    </w:rPr>
  </w:style>
  <w:style w:type="paragraph" w:customStyle="1" w:styleId="218">
    <w:name w:val="首行缩进"/>
    <w:basedOn w:val="1"/>
    <w:qFormat/>
    <w:uiPriority w:val="0"/>
    <w:pPr>
      <w:numPr>
        <w:ilvl w:val="0"/>
        <w:numId w:val="10"/>
      </w:numPr>
      <w:spacing w:line="360" w:lineRule="auto"/>
    </w:pPr>
    <w:rPr>
      <w:rFonts w:eastAsia="仿宋_GB2312"/>
    </w:rPr>
  </w:style>
  <w:style w:type="paragraph" w:customStyle="1" w:styleId="2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0">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21">
    <w:name w:val="af"/>
    <w:basedOn w:val="1"/>
    <w:qFormat/>
    <w:uiPriority w:val="0"/>
    <w:pPr>
      <w:widowControl/>
      <w:spacing w:line="300" w:lineRule="atLeast"/>
      <w:jc w:val="left"/>
    </w:pPr>
    <w:rPr>
      <w:rFonts w:ascii="宋体" w:hAnsi="宋体"/>
      <w:kern w:val="0"/>
      <w:sz w:val="18"/>
    </w:rPr>
  </w:style>
  <w:style w:type="paragraph" w:customStyle="1" w:styleId="222">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223">
    <w:name w:val="Char Char Char Char Char Char Char Char Char Char Char Char Char Char Char Char"/>
    <w:basedOn w:val="1"/>
    <w:qFormat/>
    <w:uiPriority w:val="0"/>
    <w:pPr>
      <w:tabs>
        <w:tab w:val="left" w:pos="360"/>
      </w:tabs>
    </w:pPr>
    <w:rPr>
      <w:sz w:val="24"/>
    </w:rPr>
  </w:style>
  <w:style w:type="paragraph" w:customStyle="1" w:styleId="224">
    <w:name w:val="文章正文"/>
    <w:basedOn w:val="1"/>
    <w:qFormat/>
    <w:uiPriority w:val="0"/>
    <w:pPr>
      <w:ind w:firstLine="560" w:firstLineChars="200"/>
    </w:pPr>
    <w:rPr>
      <w:rFonts w:ascii="仿宋_GB2312" w:hAnsi="宋体" w:eastAsia="仿宋_GB2312"/>
      <w:color w:val="000000"/>
    </w:rPr>
  </w:style>
  <w:style w:type="paragraph" w:customStyle="1" w:styleId="225">
    <w:name w:val="Title - Date"/>
    <w:basedOn w:val="55"/>
    <w:next w:val="1"/>
    <w:qFormat/>
    <w:uiPriority w:val="0"/>
    <w:rPr>
      <w:sz w:val="28"/>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Char Char 字元 字元 字元 Char Char Char Char"/>
    <w:basedOn w:val="1"/>
    <w:qFormat/>
    <w:uiPriority w:val="0"/>
    <w:pPr>
      <w:adjustRightInd w:val="0"/>
      <w:spacing w:line="360" w:lineRule="auto"/>
    </w:pPr>
    <w:rPr>
      <w:kern w:val="0"/>
      <w:sz w:val="24"/>
    </w:rPr>
  </w:style>
  <w:style w:type="paragraph" w:customStyle="1" w:styleId="22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1">
    <w:name w:val="Char1 Char Char Char1"/>
    <w:basedOn w:val="1"/>
    <w:qFormat/>
    <w:uiPriority w:val="0"/>
    <w:rPr>
      <w:rFonts w:ascii="Tahoma" w:hAnsi="Tahoma"/>
      <w:sz w:val="24"/>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一级条标题"/>
    <w:basedOn w:val="152"/>
    <w:next w:val="187"/>
    <w:qFormat/>
    <w:uiPriority w:val="0"/>
    <w:pPr>
      <w:numPr>
        <w:numId w:val="0"/>
      </w:numPr>
      <w:spacing w:beforeLines="0" w:afterLines="0"/>
      <w:ind w:left="525"/>
      <w:outlineLvl w:val="2"/>
    </w:pPr>
    <w:rPr>
      <w:sz w:val="21"/>
    </w:rPr>
  </w:style>
  <w:style w:type="paragraph" w:customStyle="1" w:styleId="2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5">
    <w:name w:val="样式1xz"/>
    <w:basedOn w:val="1"/>
    <w:qFormat/>
    <w:uiPriority w:val="0"/>
    <w:pPr>
      <w:tabs>
        <w:tab w:val="left" w:pos="1050"/>
        <w:tab w:val="right" w:leader="dot" w:pos="8296"/>
      </w:tabs>
    </w:pPr>
    <w:rPr>
      <w:caps/>
      <w:spacing w:val="20"/>
      <w:sz w:val="24"/>
    </w:rPr>
  </w:style>
  <w:style w:type="paragraph" w:customStyle="1" w:styleId="236">
    <w:name w:val="表号"/>
    <w:basedOn w:val="1"/>
    <w:qFormat/>
    <w:uiPriority w:val="0"/>
    <w:pPr>
      <w:numPr>
        <w:ilvl w:val="0"/>
        <w:numId w:val="11"/>
      </w:numPr>
      <w:tabs>
        <w:tab w:val="left" w:pos="648"/>
        <w:tab w:val="clear" w:pos="360"/>
      </w:tabs>
      <w:autoSpaceDE w:val="0"/>
      <w:autoSpaceDN w:val="0"/>
      <w:adjustRightInd w:val="0"/>
      <w:ind w:left="425" w:hanging="137"/>
      <w:jc w:val="center"/>
    </w:pPr>
    <w:rPr>
      <w:kern w:val="0"/>
      <w:sz w:val="21"/>
      <w:lang w:eastAsia="en-US"/>
    </w:rPr>
  </w:style>
  <w:style w:type="paragraph" w:customStyle="1" w:styleId="237">
    <w:name w:val="二级条标题"/>
    <w:basedOn w:val="233"/>
    <w:next w:val="187"/>
    <w:qFormat/>
    <w:uiPriority w:val="0"/>
    <w:pPr>
      <w:ind w:left="840"/>
      <w:outlineLvl w:val="3"/>
    </w:pPr>
  </w:style>
  <w:style w:type="paragraph" w:customStyle="1" w:styleId="23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9">
    <w:name w:val="Style Heading 3h3Heading 3 - oldLevel 3 HeadH3level_3PIM 3se..."/>
    <w:basedOn w:val="4"/>
    <w:qFormat/>
    <w:uiPriority w:val="0"/>
    <w:pPr>
      <w:numPr>
        <w:ilvl w:val="2"/>
        <w:numId w:val="12"/>
      </w:numPr>
      <w:tabs>
        <w:tab w:val="left" w:pos="709"/>
        <w:tab w:val="left" w:pos="1620"/>
      </w:tabs>
    </w:pPr>
  </w:style>
  <w:style w:type="paragraph" w:customStyle="1" w:styleId="2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29</Pages>
  <Words>2281</Words>
  <Characters>13008</Characters>
  <Lines>108</Lines>
  <Paragraphs>30</Paragraphs>
  <TotalTime>55</TotalTime>
  <ScaleCrop>false</ScaleCrop>
  <LinksUpToDate>false</LinksUpToDate>
  <CharactersWithSpaces>15259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2022-06-13T08:41:00Z</dcterms:created>
  <dc:creator>周媛媛</dc:creator>
  <cp:lastModifiedBy>jtj</cp:lastModifiedBy>
  <cp:lastPrinted>2025-05-16T02:15:00Z</cp:lastPrinted>
  <dcterms:modified xsi:type="dcterms:W3CDTF">2025-05-26T08:30:25Z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D40CFBC06BA749B6938708AFA3A0BDB1_13</vt:lpwstr>
  </property>
  <property fmtid="{D5CDD505-2E9C-101B-9397-08002B2CF9AE}" pid="4" name="KSOTemplateDocerSaveRecord">
    <vt:lpwstr>eyJoZGlkIjoiY2VlODg0ODQ5YmQzOGYzM2VjZmJhMmI2NWUwZjg3NTEiLCJ1c2VySWQiOiI3NjYwNjMwMTEifQ==</vt:lpwstr>
  </property>
</Properties>
</file>