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84"/>
          <w:szCs w:val="84"/>
        </w:rPr>
      </w:pPr>
    </w:p>
    <w:p>
      <w:pPr>
        <w:spacing w:line="1600" w:lineRule="exact"/>
        <w:jc w:val="center"/>
        <w:outlineLvl w:val="0"/>
        <w:rPr>
          <w:rFonts w:ascii="方正黑体_GBK" w:eastAsia="方正黑体_GBK"/>
          <w:sz w:val="84"/>
          <w:szCs w:val="84"/>
        </w:rPr>
      </w:pPr>
      <w:r>
        <w:rPr>
          <w:rFonts w:hint="eastAsia" w:ascii="方正黑体_GBK" w:eastAsia="方正黑体_GBK"/>
          <w:sz w:val="84"/>
          <w:szCs w:val="84"/>
        </w:rPr>
        <w:t>重庆市合川航道管理处</w:t>
      </w:r>
    </w:p>
    <w:p>
      <w:pPr>
        <w:spacing w:line="1600" w:lineRule="exact"/>
        <w:jc w:val="center"/>
        <w:outlineLvl w:val="0"/>
        <w:rPr>
          <w:rFonts w:ascii="方正黑体_GBK" w:eastAsia="方正黑体_GBK"/>
          <w:sz w:val="84"/>
          <w:szCs w:val="84"/>
        </w:rPr>
      </w:pPr>
      <w:r>
        <w:rPr>
          <w:rFonts w:hint="eastAsia" w:ascii="方正黑体_GBK" w:eastAsia="方正黑体_GBK"/>
          <w:sz w:val="84"/>
          <w:szCs w:val="84"/>
        </w:rPr>
        <w:t>政府采购</w:t>
      </w:r>
    </w:p>
    <w:p>
      <w:pPr>
        <w:jc w:val="center"/>
        <w:rPr>
          <w:rFonts w:ascii="宋体" w:hAnsi="宋体"/>
          <w:sz w:val="84"/>
          <w:szCs w:val="84"/>
        </w:rPr>
      </w:pPr>
    </w:p>
    <w:p>
      <w:pPr>
        <w:spacing w:line="1600" w:lineRule="exact"/>
        <w:jc w:val="center"/>
        <w:outlineLvl w:val="0"/>
        <w:rPr>
          <w:rFonts w:hint="eastAsia" w:ascii="方正黑体_GBK" w:hAnsi="宋体" w:eastAsia="方正黑体_GBK"/>
          <w:sz w:val="84"/>
          <w:szCs w:val="84"/>
        </w:rPr>
      </w:pPr>
      <w:r>
        <w:rPr>
          <w:rFonts w:hint="eastAsia" w:ascii="方正黑体_GBK" w:hAnsi="宋体" w:eastAsia="方正黑体_GBK"/>
          <w:sz w:val="84"/>
          <w:szCs w:val="84"/>
        </w:rPr>
        <w:t>限额以下比价采购公告</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方正黑体_GBK" w:hAnsi="宋体" w:eastAsia="方正黑体_GBK"/>
          <w:sz w:val="36"/>
          <w:szCs w:val="36"/>
          <w:lang w:eastAsia="zh-CN"/>
        </w:rPr>
      </w:pPr>
      <w:r>
        <w:rPr>
          <w:rFonts w:hint="eastAsia" w:ascii="方正黑体_GBK" w:hAnsi="宋体" w:eastAsia="方正黑体_GBK"/>
          <w:sz w:val="36"/>
          <w:szCs w:val="36"/>
          <w:lang w:eastAsia="zh-CN"/>
        </w:rPr>
        <w:t>（第二次）</w:t>
      </w:r>
    </w:p>
    <w:p>
      <w:pPr>
        <w:spacing w:line="700" w:lineRule="exact"/>
        <w:jc w:val="center"/>
        <w:rPr>
          <w:rFonts w:ascii="黑体" w:eastAsia="黑体"/>
          <w:sz w:val="32"/>
        </w:rPr>
      </w:pPr>
    </w:p>
    <w:p>
      <w:pPr>
        <w:spacing w:line="500" w:lineRule="exact"/>
        <w:ind w:left="2874" w:leftChars="512" w:hanging="1440" w:hangingChars="400"/>
        <w:jc w:val="left"/>
        <w:outlineLvl w:val="0"/>
        <w:rPr>
          <w:rFonts w:hint="eastAsia" w:ascii="方正小标宋_GBK" w:hAnsi="宋体" w:eastAsia="方正仿宋_GBK"/>
          <w:sz w:val="36"/>
          <w:szCs w:val="36"/>
          <w:lang w:eastAsia="zh-CN"/>
        </w:rPr>
      </w:pPr>
      <w:r>
        <w:rPr>
          <w:rFonts w:hint="eastAsia" w:ascii="方正小标宋_GBK" w:hAnsi="宋体" w:eastAsia="方正小标宋_GBK"/>
          <w:sz w:val="36"/>
          <w:szCs w:val="36"/>
        </w:rPr>
        <w:t>项目名称:</w:t>
      </w:r>
      <w:r>
        <w:rPr>
          <w:rFonts w:hint="eastAsia" w:ascii="宋体" w:hAnsi="宋体" w:cs="宋体"/>
          <w:b/>
          <w:bCs/>
          <w:sz w:val="36"/>
          <w:szCs w:val="36"/>
        </w:rPr>
        <w:t xml:space="preserve"> </w:t>
      </w:r>
      <w:r>
        <w:rPr>
          <w:rFonts w:hint="eastAsia" w:ascii="方正小标宋_GBK" w:hAnsi="宋体" w:eastAsia="方正小标宋_GBK"/>
          <w:sz w:val="36"/>
          <w:szCs w:val="36"/>
        </w:rPr>
        <w:t>渝合航2号、重航1号、渝港航挖2号</w:t>
      </w:r>
      <w:r>
        <w:rPr>
          <w:rFonts w:hint="eastAsia" w:ascii="方正小标宋_GBK" w:hAnsi="宋体" w:eastAsia="方正小标宋_GBK"/>
          <w:sz w:val="36"/>
          <w:szCs w:val="36"/>
          <w:lang w:eastAsia="zh-CN"/>
        </w:rPr>
        <w:t>三艘船舶</w:t>
      </w:r>
      <w:r>
        <w:rPr>
          <w:rFonts w:hint="eastAsia" w:ascii="方正小标宋_GBK" w:hAnsi="宋体" w:eastAsia="方正小标宋_GBK"/>
          <w:sz w:val="36"/>
          <w:szCs w:val="36"/>
        </w:rPr>
        <w:t>维修改造设计</w:t>
      </w:r>
      <w:r>
        <w:rPr>
          <w:rFonts w:hint="eastAsia" w:ascii="方正小标宋_GBK" w:hAnsi="宋体" w:eastAsia="方正小标宋_GBK"/>
          <w:sz w:val="36"/>
          <w:szCs w:val="36"/>
          <w:lang w:eastAsia="zh-CN"/>
        </w:rPr>
        <w:t>服务</w:t>
      </w:r>
    </w:p>
    <w:p>
      <w:pPr>
        <w:spacing w:line="500" w:lineRule="exact"/>
        <w:ind w:firstLine="1440" w:firstLineChars="400"/>
        <w:jc w:val="left"/>
        <w:outlineLvl w:val="0"/>
        <w:rPr>
          <w:rFonts w:ascii="方正小标宋_GBK" w:eastAsia="方正小标宋_GBK"/>
          <w:sz w:val="36"/>
          <w:szCs w:val="36"/>
        </w:rPr>
      </w:pPr>
      <w:r>
        <w:rPr>
          <w:rFonts w:hint="eastAsia" w:ascii="方正小标宋_GBK" w:eastAsia="方正小标宋_GBK"/>
          <w:sz w:val="36"/>
          <w:szCs w:val="36"/>
        </w:rPr>
        <w:t>采购人：重庆市</w:t>
      </w:r>
      <w:bookmarkStart w:id="241" w:name="_GoBack"/>
      <w:bookmarkEnd w:id="241"/>
      <w:r>
        <w:rPr>
          <w:rFonts w:hint="eastAsia" w:ascii="方正小标宋_GBK" w:eastAsia="方正小标宋_GBK"/>
          <w:sz w:val="36"/>
          <w:szCs w:val="36"/>
        </w:rPr>
        <w:t>合川航道管理处</w:t>
      </w: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720" w:lineRule="exact"/>
        <w:jc w:val="center"/>
        <w:outlineLvl w:val="0"/>
        <w:rPr>
          <w:rFonts w:ascii="方正黑体_GBK" w:hAnsi="宋体" w:eastAsia="方正黑体_GBK"/>
          <w:sz w:val="48"/>
          <w:szCs w:val="32"/>
        </w:rPr>
      </w:pPr>
      <w:r>
        <w:rPr>
          <w:rFonts w:hint="eastAsia" w:ascii="方正小标宋_GBK" w:hAnsi="宋体" w:eastAsia="方正小标宋_GBK"/>
          <w:sz w:val="36"/>
          <w:szCs w:val="36"/>
        </w:rPr>
        <w:t>二〇二</w:t>
      </w:r>
      <w:r>
        <w:rPr>
          <w:rFonts w:hint="eastAsia" w:ascii="方正小标宋_GBK" w:hAnsi="宋体" w:eastAsia="方正小标宋_GBK"/>
          <w:sz w:val="36"/>
          <w:szCs w:val="36"/>
          <w:lang w:eastAsia="zh-CN"/>
        </w:rPr>
        <w:t>五</w:t>
      </w:r>
      <w:r>
        <w:rPr>
          <w:rFonts w:hint="eastAsia" w:ascii="方正小标宋_GBK" w:hAnsi="宋体" w:eastAsia="方正小标宋_GBK"/>
          <w:sz w:val="36"/>
          <w:szCs w:val="36"/>
        </w:rPr>
        <w:t>年</w:t>
      </w:r>
      <w:r>
        <w:rPr>
          <w:rFonts w:hint="eastAsia" w:ascii="方正小标宋_GBK" w:hAnsi="宋体" w:eastAsia="方正小标宋_GBK"/>
          <w:sz w:val="36"/>
          <w:szCs w:val="36"/>
          <w:lang w:eastAsia="zh-CN"/>
        </w:rPr>
        <w:t>二</w:t>
      </w:r>
      <w:r>
        <w:rPr>
          <w:rFonts w:hint="eastAsia" w:ascii="方正小标宋_GBK" w:hAnsi="宋体" w:eastAsia="方正小标宋_GBK"/>
          <w:sz w:val="36"/>
          <w:szCs w:val="36"/>
        </w:rPr>
        <w:t>月</w:t>
      </w:r>
    </w:p>
    <w:p>
      <w:pPr>
        <w:spacing w:line="480" w:lineRule="exact"/>
        <w:outlineLvl w:val="0"/>
        <w:rPr>
          <w:rFonts w:ascii="方正黑体_GBK" w:eastAsia="方正黑体_GBK"/>
          <w:sz w:val="44"/>
          <w:szCs w:val="28"/>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851" w:footer="992" w:gutter="0"/>
          <w:pgNumType w:fmt="numberInDash" w:start="1"/>
          <w:cols w:space="720" w:num="1"/>
          <w:titlePg/>
          <w:docGrid w:linePitch="381" w:charSpace="-5735"/>
        </w:sectPr>
      </w:pPr>
    </w:p>
    <w:p>
      <w:pPr>
        <w:pStyle w:val="2"/>
        <w:spacing w:before="0" w:after="0" w:line="360" w:lineRule="auto"/>
        <w:jc w:val="center"/>
        <w:rPr>
          <w:rFonts w:ascii="方正小标宋_GBK" w:eastAsia="方正小标宋_GBK"/>
          <w:b w:val="0"/>
          <w:sz w:val="36"/>
          <w:szCs w:val="30"/>
        </w:rPr>
      </w:pPr>
      <w:bookmarkStart w:id="0" w:name="_Toc11641050"/>
      <w:bookmarkStart w:id="1" w:name="_Toc24817"/>
      <w:bookmarkStart w:id="2" w:name="_Toc12789052"/>
      <w:bookmarkStart w:id="3" w:name="_Toc24173"/>
      <w:bookmarkStart w:id="4" w:name="_Toc15726"/>
      <w:bookmarkStart w:id="5" w:name="_Toc106034769"/>
      <w:bookmarkStart w:id="6" w:name="_Toc65660329"/>
      <w:r>
        <w:rPr>
          <w:rFonts w:hint="eastAsia" w:ascii="方正小标宋_GBK" w:eastAsia="方正小标宋_GBK"/>
          <w:b w:val="0"/>
          <w:sz w:val="36"/>
          <w:szCs w:val="30"/>
        </w:rPr>
        <w:t xml:space="preserve">第一篇  </w:t>
      </w:r>
      <w:r>
        <w:rPr>
          <w:rFonts w:hint="eastAsia" w:ascii="方正小标宋_GBK" w:eastAsia="方正小标宋_GBK" w:cs="Arial"/>
          <w:b w:val="0"/>
          <w:sz w:val="36"/>
        </w:rPr>
        <w:t>限额以下比价采购邀请书</w:t>
      </w:r>
      <w:bookmarkEnd w:id="0"/>
      <w:bookmarkEnd w:id="1"/>
      <w:bookmarkEnd w:id="2"/>
      <w:bookmarkEnd w:id="3"/>
      <w:bookmarkEnd w:id="4"/>
      <w:bookmarkEnd w:id="5"/>
      <w:bookmarkEnd w:id="6"/>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根据航道生产工作需要，重庆市合川航道管理处</w:t>
      </w:r>
      <w:r>
        <w:rPr>
          <w:rFonts w:hint="eastAsia" w:ascii="方正仿宋_GBK" w:hAnsi="宋体" w:eastAsia="方正仿宋_GBK"/>
          <w:sz w:val="24"/>
          <w:szCs w:val="24"/>
          <w:lang w:eastAsia="zh-CN"/>
        </w:rPr>
        <w:t>就</w:t>
      </w:r>
      <w:r>
        <w:rPr>
          <w:rFonts w:hint="eastAsia" w:ascii="方正仿宋_GBK" w:hAnsi="宋体" w:eastAsia="方正仿宋_GBK"/>
          <w:sz w:val="24"/>
          <w:szCs w:val="24"/>
        </w:rPr>
        <w:t>渝合航2号、重航1号、渝港航挖2号</w:t>
      </w:r>
      <w:r>
        <w:rPr>
          <w:rFonts w:hint="eastAsia" w:ascii="方正仿宋_GBK" w:hAnsi="宋体" w:eastAsia="方正仿宋_GBK"/>
          <w:sz w:val="24"/>
          <w:szCs w:val="24"/>
          <w:lang w:eastAsia="zh-CN"/>
        </w:rPr>
        <w:t>三艘船舶</w:t>
      </w:r>
      <w:r>
        <w:rPr>
          <w:rFonts w:hint="eastAsia" w:ascii="方正仿宋_GBK" w:hAnsi="宋体" w:eastAsia="方正仿宋_GBK"/>
          <w:sz w:val="24"/>
          <w:szCs w:val="24"/>
        </w:rPr>
        <w:t>维修改造设计</w:t>
      </w:r>
      <w:r>
        <w:rPr>
          <w:rFonts w:hint="eastAsia" w:ascii="方正仿宋_GBK" w:hAnsi="宋体" w:eastAsia="方正仿宋_GBK"/>
          <w:sz w:val="24"/>
          <w:szCs w:val="24"/>
          <w:lang w:eastAsia="zh-CN"/>
        </w:rPr>
        <w:t>服务</w:t>
      </w:r>
      <w:r>
        <w:rPr>
          <w:rFonts w:hint="eastAsia" w:ascii="方正仿宋_GBK" w:hAnsi="宋体" w:eastAsia="方正仿宋_GBK"/>
          <w:sz w:val="24"/>
          <w:szCs w:val="24"/>
        </w:rPr>
        <w:t>项目进行限额以下比价采购。欢迎有资格的供应商前来参加报价。</w:t>
      </w:r>
    </w:p>
    <w:p>
      <w:pPr>
        <w:pStyle w:val="2"/>
        <w:adjustRightInd w:val="0"/>
        <w:snapToGrid w:val="0"/>
        <w:spacing w:before="0" w:after="0" w:line="400" w:lineRule="exact"/>
        <w:ind w:firstLine="482" w:firstLineChars="200"/>
        <w:rPr>
          <w:rFonts w:ascii="方正仿宋_GBK" w:hAnsi="宋体" w:eastAsia="方正仿宋_GBK"/>
          <w:sz w:val="24"/>
        </w:rPr>
      </w:pPr>
      <w:bookmarkStart w:id="7" w:name="_Toc7758"/>
      <w:bookmarkStart w:id="8" w:name="_Toc317775175"/>
      <w:bookmarkStart w:id="9" w:name="_Toc313893526"/>
      <w:bookmarkStart w:id="10" w:name="_Toc65660330"/>
      <w:bookmarkStart w:id="11" w:name="_Toc26091"/>
      <w:bookmarkStart w:id="12" w:name="_Toc106034770"/>
      <w:bookmarkStart w:id="13" w:name="_Toc18246"/>
      <w:r>
        <w:rPr>
          <w:rFonts w:hint="eastAsia" w:ascii="方正仿宋_GBK" w:hAnsi="宋体" w:eastAsia="方正仿宋_GBK"/>
          <w:sz w:val="24"/>
        </w:rPr>
        <w:t>一、比价内容</w:t>
      </w:r>
      <w:bookmarkEnd w:id="7"/>
      <w:bookmarkEnd w:id="8"/>
      <w:bookmarkEnd w:id="9"/>
      <w:bookmarkEnd w:id="10"/>
      <w:bookmarkEnd w:id="11"/>
      <w:bookmarkEnd w:id="12"/>
      <w:bookmarkEnd w:id="13"/>
    </w:p>
    <w:tbl>
      <w:tblPr>
        <w:tblStyle w:val="11"/>
        <w:tblW w:w="43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0"/>
        <w:gridCol w:w="1277"/>
        <w:gridCol w:w="1912"/>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571" w:type="pct"/>
            <w:tcBorders>
              <w:top w:val="single" w:color="auto" w:sz="4" w:space="0"/>
              <w:left w:val="single" w:color="auto" w:sz="4" w:space="0"/>
              <w:right w:val="single" w:color="auto" w:sz="4" w:space="0"/>
            </w:tcBorders>
            <w:vAlign w:val="center"/>
          </w:tcPr>
          <w:p>
            <w:pPr>
              <w:widowControl/>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包号及名称</w:t>
            </w:r>
          </w:p>
        </w:tc>
        <w:tc>
          <w:tcPr>
            <w:tcW w:w="787" w:type="pct"/>
            <w:tcBorders>
              <w:top w:val="single" w:color="auto" w:sz="4" w:space="0"/>
              <w:left w:val="single" w:color="auto" w:sz="4" w:space="0"/>
              <w:right w:val="single" w:color="auto" w:sz="4" w:space="0"/>
            </w:tcBorders>
            <w:vAlign w:val="center"/>
          </w:tcPr>
          <w:p>
            <w:pPr>
              <w:widowControl/>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最高限价</w:t>
            </w:r>
          </w:p>
        </w:tc>
        <w:tc>
          <w:tcPr>
            <w:tcW w:w="1178" w:type="pct"/>
            <w:tcBorders>
              <w:top w:val="single" w:color="auto" w:sz="4" w:space="0"/>
              <w:left w:val="single" w:color="auto" w:sz="4" w:space="0"/>
              <w:right w:val="single" w:color="auto" w:sz="4" w:space="0"/>
            </w:tcBorders>
            <w:vAlign w:val="center"/>
          </w:tcPr>
          <w:p>
            <w:pP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成交供应商数量（名）</w:t>
            </w:r>
          </w:p>
        </w:tc>
        <w:tc>
          <w:tcPr>
            <w:tcW w:w="1464" w:type="pct"/>
            <w:tcBorders>
              <w:top w:val="single" w:color="auto" w:sz="4" w:space="0"/>
              <w:left w:val="single" w:color="auto" w:sz="4" w:space="0"/>
              <w:right w:val="single" w:color="auto" w:sz="4" w:space="0"/>
            </w:tcBorders>
            <w:vAlign w:val="center"/>
          </w:tcPr>
          <w:p>
            <w:pP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571" w:type="pct"/>
            <w:tcBorders>
              <w:top w:val="single" w:color="auto" w:sz="4" w:space="0"/>
              <w:left w:val="single" w:color="auto" w:sz="4" w:space="0"/>
              <w:bottom w:val="single" w:color="auto" w:sz="4" w:space="0"/>
              <w:right w:val="single" w:color="auto" w:sz="4" w:space="0"/>
            </w:tcBorders>
            <w:vAlign w:val="center"/>
          </w:tcPr>
          <w:p>
            <w:pPr>
              <w:widowControl/>
              <w:rPr>
                <w:rFonts w:ascii="方正仿宋_GBK" w:hAnsi="宋体" w:eastAsia="方正仿宋_GBK" w:cs="宋体"/>
                <w:kern w:val="0"/>
                <w:sz w:val="21"/>
                <w:szCs w:val="24"/>
              </w:rPr>
            </w:pPr>
            <w:bookmarkStart w:id="14" w:name="_Hlk344477914"/>
            <w:r>
              <w:rPr>
                <w:rFonts w:hint="eastAsia" w:ascii="方正仿宋_GBK" w:hAnsi="宋体" w:eastAsia="方正仿宋_GBK"/>
                <w:sz w:val="24"/>
                <w:szCs w:val="24"/>
              </w:rPr>
              <w:t>渝合航2号、重航1号、渝港航挖2号</w:t>
            </w:r>
            <w:r>
              <w:rPr>
                <w:rFonts w:hint="eastAsia" w:ascii="方正仿宋_GBK" w:hAnsi="宋体" w:eastAsia="方正仿宋_GBK"/>
                <w:sz w:val="24"/>
                <w:szCs w:val="24"/>
                <w:lang w:eastAsia="zh-CN"/>
              </w:rPr>
              <w:t>三艘船舶</w:t>
            </w:r>
            <w:r>
              <w:rPr>
                <w:rFonts w:hint="eastAsia" w:ascii="方正仿宋_GBK" w:hAnsi="宋体" w:eastAsia="方正仿宋_GBK"/>
                <w:sz w:val="24"/>
                <w:szCs w:val="24"/>
              </w:rPr>
              <w:t>维修改造设计</w:t>
            </w:r>
            <w:r>
              <w:rPr>
                <w:rFonts w:hint="eastAsia" w:ascii="方正仿宋_GBK" w:hAnsi="宋体" w:eastAsia="方正仿宋_GBK"/>
                <w:sz w:val="24"/>
                <w:szCs w:val="24"/>
                <w:lang w:eastAsia="zh-CN"/>
              </w:rPr>
              <w:t>服务</w:t>
            </w:r>
          </w:p>
        </w:tc>
        <w:tc>
          <w:tcPr>
            <w:tcW w:w="787" w:type="pct"/>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sz w:val="24"/>
                <w:szCs w:val="24"/>
              </w:rPr>
            </w:pPr>
            <w:r>
              <w:rPr>
                <w:rFonts w:hint="eastAsia" w:ascii="方正仿宋_GBK" w:hAnsi="宋体" w:eastAsia="方正仿宋_GBK"/>
                <w:sz w:val="24"/>
                <w:szCs w:val="24"/>
                <w:lang w:val="en-US" w:eastAsia="zh-CN"/>
              </w:rPr>
              <w:t>131080</w:t>
            </w:r>
            <w:r>
              <w:rPr>
                <w:rFonts w:hint="eastAsia" w:ascii="方正仿宋_GBK" w:hAnsi="宋体" w:eastAsia="方正仿宋_GBK"/>
                <w:sz w:val="24"/>
                <w:szCs w:val="24"/>
              </w:rPr>
              <w:t xml:space="preserve">元 </w:t>
            </w:r>
          </w:p>
        </w:tc>
        <w:tc>
          <w:tcPr>
            <w:tcW w:w="1178" w:type="pct"/>
            <w:tcBorders>
              <w:top w:val="single" w:color="auto" w:sz="4" w:space="0"/>
              <w:left w:val="single" w:color="auto" w:sz="4" w:space="0"/>
              <w:right w:val="single" w:color="auto" w:sz="4" w:space="0"/>
            </w:tcBorders>
            <w:vAlign w:val="center"/>
          </w:tcPr>
          <w:p>
            <w:pPr>
              <w:rPr>
                <w:rFonts w:ascii="方正仿宋_GBK" w:hAnsi="宋体" w:eastAsia="方正仿宋_GBK"/>
                <w:sz w:val="21"/>
                <w:szCs w:val="21"/>
              </w:rPr>
            </w:pPr>
            <w:r>
              <w:rPr>
                <w:rFonts w:hint="eastAsia" w:ascii="方正仿宋_GBK" w:hAnsi="宋体" w:eastAsia="方正仿宋_GBK"/>
                <w:sz w:val="21"/>
                <w:szCs w:val="21"/>
              </w:rPr>
              <w:t>1</w:t>
            </w:r>
          </w:p>
        </w:tc>
        <w:tc>
          <w:tcPr>
            <w:tcW w:w="1464" w:type="pct"/>
            <w:tcBorders>
              <w:top w:val="single" w:color="auto" w:sz="4" w:space="0"/>
              <w:left w:val="single" w:color="auto" w:sz="4" w:space="0"/>
              <w:bottom w:val="single" w:color="auto" w:sz="4" w:space="0"/>
              <w:right w:val="single" w:color="auto" w:sz="4" w:space="0"/>
            </w:tcBorders>
            <w:vAlign w:val="center"/>
          </w:tcPr>
          <w:p>
            <w:pPr>
              <w:jc w:val="left"/>
              <w:rPr>
                <w:rFonts w:ascii="方正仿宋_GBK" w:hAnsi="宋体" w:eastAsia="方正仿宋_GBK"/>
                <w:b/>
                <w:sz w:val="21"/>
                <w:szCs w:val="21"/>
              </w:rPr>
            </w:pPr>
          </w:p>
        </w:tc>
      </w:tr>
      <w:bookmarkEnd w:id="14"/>
    </w:tbl>
    <w:p>
      <w:pPr>
        <w:pStyle w:val="2"/>
        <w:adjustRightInd w:val="0"/>
        <w:snapToGrid w:val="0"/>
        <w:spacing w:before="0" w:after="0" w:line="400" w:lineRule="exact"/>
        <w:ind w:firstLine="482" w:firstLineChars="200"/>
        <w:rPr>
          <w:rFonts w:ascii="方正仿宋_GBK" w:hAnsi="宋体" w:eastAsia="方正仿宋_GBK"/>
          <w:sz w:val="24"/>
        </w:rPr>
      </w:pPr>
      <w:bookmarkStart w:id="15" w:name="_Toc106034771"/>
      <w:bookmarkStart w:id="16" w:name="_Toc65660331"/>
      <w:bookmarkStart w:id="17" w:name="_Toc3256"/>
      <w:bookmarkStart w:id="18" w:name="_Toc4424"/>
      <w:bookmarkStart w:id="19" w:name="_Toc27028"/>
      <w:bookmarkStart w:id="20" w:name="_Toc373860293"/>
      <w:bookmarkStart w:id="21" w:name="_Toc317775178"/>
      <w:r>
        <w:rPr>
          <w:rFonts w:hint="eastAsia" w:ascii="方正仿宋_GBK" w:hAnsi="宋体" w:eastAsia="方正仿宋_GBK"/>
          <w:sz w:val="24"/>
        </w:rPr>
        <w:t>二、资金来源</w:t>
      </w:r>
      <w:bookmarkEnd w:id="15"/>
      <w:bookmarkEnd w:id="16"/>
      <w:bookmarkEnd w:id="17"/>
      <w:bookmarkEnd w:id="18"/>
      <w:bookmarkEnd w:id="19"/>
    </w:p>
    <w:p>
      <w:pPr>
        <w:spacing w:line="400" w:lineRule="exact"/>
        <w:ind w:firstLine="480" w:firstLineChars="200"/>
        <w:rPr>
          <w:rFonts w:ascii="方正仿宋_GBK" w:hAnsi="宋体" w:eastAsia="方正仿宋_GBK"/>
          <w:sz w:val="24"/>
          <w:szCs w:val="24"/>
        </w:rPr>
      </w:pPr>
      <w:r>
        <w:rPr>
          <w:rFonts w:hint="eastAsia" w:ascii="方正仿宋_GBK" w:hAnsi="仿宋" w:eastAsia="方正仿宋_GBK"/>
          <w:sz w:val="24"/>
          <w:szCs w:val="24"/>
        </w:rPr>
        <w:t>财政预算资金（或单位自筹资金）。</w:t>
      </w:r>
    </w:p>
    <w:p>
      <w:pPr>
        <w:pStyle w:val="2"/>
        <w:adjustRightInd w:val="0"/>
        <w:snapToGrid w:val="0"/>
        <w:spacing w:before="0" w:after="0" w:line="400" w:lineRule="exact"/>
        <w:ind w:firstLine="482" w:firstLineChars="200"/>
        <w:rPr>
          <w:rFonts w:ascii="方正仿宋_GBK" w:hAnsi="宋体" w:eastAsia="方正仿宋_GBK"/>
          <w:sz w:val="24"/>
        </w:rPr>
      </w:pPr>
      <w:bookmarkStart w:id="22" w:name="_Toc13541"/>
      <w:bookmarkStart w:id="23" w:name="_Toc64731996"/>
      <w:bookmarkStart w:id="24" w:name="_Toc18548"/>
      <w:bookmarkStart w:id="25" w:name="_Toc106034772"/>
      <w:bookmarkStart w:id="26" w:name="_Toc20867"/>
      <w:bookmarkStart w:id="27" w:name="_Toc65660332"/>
      <w:r>
        <w:rPr>
          <w:rFonts w:hint="eastAsia" w:ascii="方正仿宋_GBK" w:hAnsi="宋体" w:eastAsia="方正仿宋_GBK"/>
          <w:sz w:val="24"/>
        </w:rPr>
        <w:t>三、供应商资格条件</w:t>
      </w:r>
      <w:bookmarkEnd w:id="22"/>
      <w:bookmarkEnd w:id="23"/>
      <w:bookmarkEnd w:id="24"/>
      <w:bookmarkEnd w:id="25"/>
      <w:bookmarkEnd w:id="26"/>
      <w:bookmarkEnd w:id="27"/>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（一）满足《中华人民共和国政府采购法》第二十二条规定；</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（二）本项目的特定资格要求：无。</w:t>
      </w:r>
    </w:p>
    <w:p>
      <w:pPr>
        <w:pStyle w:val="2"/>
        <w:adjustRightInd w:val="0"/>
        <w:snapToGrid w:val="0"/>
        <w:spacing w:before="0" w:after="0" w:line="400" w:lineRule="exact"/>
        <w:ind w:firstLine="482" w:firstLineChars="200"/>
        <w:rPr>
          <w:rFonts w:ascii="方正仿宋_GBK" w:hAnsi="宋体" w:eastAsia="方正仿宋_GBK"/>
          <w:sz w:val="24"/>
        </w:rPr>
      </w:pPr>
      <w:bookmarkStart w:id="28" w:name="_Toc11908"/>
      <w:bookmarkStart w:id="29" w:name="_Toc65660333"/>
      <w:bookmarkStart w:id="30" w:name="_Toc13903"/>
      <w:bookmarkStart w:id="31" w:name="_Toc1386"/>
      <w:bookmarkStart w:id="32" w:name="_Toc106034773"/>
      <w:r>
        <w:rPr>
          <w:rFonts w:hint="eastAsia" w:ascii="方正仿宋_GBK" w:hAnsi="宋体" w:eastAsia="方正仿宋_GBK"/>
          <w:sz w:val="24"/>
        </w:rPr>
        <w:t>四、限额以下比价有关说明</w:t>
      </w:r>
      <w:bookmarkEnd w:id="20"/>
      <w:bookmarkEnd w:id="28"/>
      <w:bookmarkEnd w:id="29"/>
      <w:bookmarkEnd w:id="30"/>
      <w:bookmarkEnd w:id="31"/>
      <w:bookmarkEnd w:id="32"/>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（一）凡有意参加比价的供应商，请在重庆市交通运输委员会网上下载本项目采购文件以及图纸、澄清等报价前公布的所有项目资料，无论供应商下载与否，均视为已知晓所有实质性要求内容。</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（二）采购公告期限：自采购公告发布之日起三个工作日。</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（三）递交响应文件地点：重庆市合川航道管理处9楼会议室（地址：重庆市合川区合阳办马家沟路36号）</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（四）提交响应文件截止时间：202</w:t>
      </w:r>
      <w:r>
        <w:rPr>
          <w:rFonts w:hint="eastAsia" w:ascii="方正仿宋_GBK" w:hAnsi="宋体" w:eastAsia="方正仿宋_GBK"/>
          <w:sz w:val="24"/>
          <w:szCs w:val="24"/>
          <w:lang w:val="en-US" w:eastAsia="zh-CN"/>
        </w:rPr>
        <w:t>5</w:t>
      </w:r>
      <w:r>
        <w:rPr>
          <w:rFonts w:hint="eastAsia" w:ascii="方正仿宋_GBK" w:hAnsi="宋体" w:eastAsia="方正仿宋_GBK"/>
          <w:sz w:val="24"/>
          <w:szCs w:val="24"/>
        </w:rPr>
        <w:t>年</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14</w:t>
      </w:r>
      <w:r>
        <w:rPr>
          <w:rFonts w:hint="eastAsia" w:ascii="方正仿宋_GBK" w:hAnsi="宋体" w:eastAsia="方正仿宋_GBK"/>
          <w:sz w:val="24"/>
          <w:szCs w:val="24"/>
        </w:rPr>
        <w:t>日北京时间</w:t>
      </w:r>
      <w:r>
        <w:rPr>
          <w:rFonts w:hint="eastAsia" w:ascii="方正仿宋_GBK" w:hAnsi="宋体" w:eastAsia="方正仿宋_GBK"/>
          <w:sz w:val="24"/>
          <w:szCs w:val="24"/>
          <w:lang w:val="en-US" w:eastAsia="zh-CN"/>
        </w:rPr>
        <w:t>09</w:t>
      </w:r>
      <w:r>
        <w:rPr>
          <w:rFonts w:hint="eastAsia" w:ascii="方正仿宋_GBK" w:hAnsi="宋体" w:eastAsia="方正仿宋_GBK"/>
          <w:sz w:val="24"/>
          <w:szCs w:val="24"/>
        </w:rPr>
        <w:t>时至</w:t>
      </w:r>
      <w:r>
        <w:rPr>
          <w:rFonts w:hint="eastAsia" w:ascii="方正仿宋_GBK" w:hAnsi="宋体" w:eastAsia="方正仿宋_GBK"/>
          <w:sz w:val="24"/>
          <w:szCs w:val="24"/>
          <w:lang w:val="en-US" w:eastAsia="zh-CN"/>
        </w:rPr>
        <w:t>09</w:t>
      </w:r>
      <w:r>
        <w:rPr>
          <w:rFonts w:hint="eastAsia" w:ascii="方正仿宋_GBK" w:hAnsi="宋体" w:eastAsia="方正仿宋_GBK"/>
          <w:sz w:val="24"/>
          <w:szCs w:val="24"/>
        </w:rPr>
        <w:t>时</w:t>
      </w:r>
      <w:r>
        <w:rPr>
          <w:rFonts w:hint="eastAsia" w:ascii="方正仿宋_GBK" w:hAnsi="宋体" w:eastAsia="方正仿宋_GBK"/>
          <w:sz w:val="24"/>
          <w:szCs w:val="24"/>
          <w:lang w:val="en-US" w:eastAsia="zh-CN"/>
        </w:rPr>
        <w:t>30分</w:t>
      </w:r>
      <w:r>
        <w:rPr>
          <w:rFonts w:hint="eastAsia" w:ascii="方正仿宋_GBK" w:hAnsi="宋体" w:eastAsia="方正仿宋_GBK"/>
          <w:sz w:val="24"/>
          <w:szCs w:val="24"/>
        </w:rPr>
        <w:t>。</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（五）评审开始时间：202</w:t>
      </w:r>
      <w:r>
        <w:rPr>
          <w:rFonts w:hint="eastAsia" w:ascii="方正仿宋_GBK" w:hAnsi="宋体" w:eastAsia="方正仿宋_GBK"/>
          <w:sz w:val="24"/>
          <w:szCs w:val="24"/>
          <w:lang w:val="en-US" w:eastAsia="zh-CN"/>
        </w:rPr>
        <w:t>5</w:t>
      </w:r>
      <w:r>
        <w:rPr>
          <w:rFonts w:hint="eastAsia" w:ascii="方正仿宋_GBK" w:hAnsi="宋体" w:eastAsia="方正仿宋_GBK"/>
          <w:sz w:val="24"/>
          <w:szCs w:val="24"/>
        </w:rPr>
        <w:t>年</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14</w:t>
      </w:r>
      <w:r>
        <w:rPr>
          <w:rFonts w:hint="eastAsia" w:ascii="方正仿宋_GBK" w:hAnsi="宋体" w:eastAsia="方正仿宋_GBK"/>
          <w:sz w:val="24"/>
          <w:szCs w:val="24"/>
        </w:rPr>
        <w:t>日北京时间</w:t>
      </w:r>
      <w:r>
        <w:rPr>
          <w:rFonts w:hint="eastAsia" w:ascii="方正仿宋_GBK" w:hAnsi="宋体" w:eastAsia="方正仿宋_GBK"/>
          <w:sz w:val="24"/>
          <w:szCs w:val="24"/>
          <w:lang w:val="en-US" w:eastAsia="zh-CN"/>
        </w:rPr>
        <w:t>09</w:t>
      </w:r>
      <w:r>
        <w:rPr>
          <w:rFonts w:hint="eastAsia" w:ascii="方正仿宋_GBK" w:hAnsi="宋体" w:eastAsia="方正仿宋_GBK"/>
          <w:sz w:val="24"/>
          <w:szCs w:val="24"/>
        </w:rPr>
        <w:t>时</w:t>
      </w:r>
      <w:r>
        <w:rPr>
          <w:rFonts w:hint="eastAsia" w:ascii="方正仿宋_GBK" w:hAnsi="宋体" w:eastAsia="方正仿宋_GBK"/>
          <w:sz w:val="24"/>
          <w:szCs w:val="24"/>
          <w:lang w:val="en-US" w:eastAsia="zh-CN"/>
        </w:rPr>
        <w:t>30分</w:t>
      </w:r>
      <w:r>
        <w:rPr>
          <w:rFonts w:hint="eastAsia" w:ascii="方正仿宋_GBK" w:hAnsi="宋体" w:eastAsia="方正仿宋_GBK"/>
          <w:sz w:val="24"/>
          <w:szCs w:val="24"/>
        </w:rPr>
        <w:t>。</w:t>
      </w:r>
    </w:p>
    <w:bookmarkEnd w:id="21"/>
    <w:p>
      <w:pPr>
        <w:pStyle w:val="2"/>
        <w:adjustRightInd w:val="0"/>
        <w:snapToGrid w:val="0"/>
        <w:spacing w:before="0" w:after="0" w:line="400" w:lineRule="exact"/>
        <w:ind w:firstLine="482" w:firstLineChars="200"/>
        <w:rPr>
          <w:rFonts w:ascii="方正仿宋_GBK" w:hAnsi="宋体" w:eastAsia="方正仿宋_GBK"/>
          <w:sz w:val="24"/>
        </w:rPr>
      </w:pPr>
      <w:bookmarkStart w:id="33" w:name="_Toc16269"/>
      <w:bookmarkStart w:id="34" w:name="_Toc521053055"/>
      <w:bookmarkStart w:id="35" w:name="_Toc6563"/>
      <w:bookmarkStart w:id="36" w:name="_Toc525047163"/>
      <w:bookmarkStart w:id="37" w:name="_Toc106034776"/>
      <w:bookmarkStart w:id="38" w:name="_Toc65660336"/>
      <w:bookmarkStart w:id="39" w:name="_Toc4728"/>
      <w:r>
        <w:rPr>
          <w:rFonts w:hint="eastAsia" w:ascii="方正仿宋_GBK" w:hAnsi="宋体" w:eastAsia="方正仿宋_GBK"/>
          <w:sz w:val="24"/>
        </w:rPr>
        <w:t>五、其它有关规定</w:t>
      </w:r>
      <w:bookmarkEnd w:id="33"/>
      <w:bookmarkEnd w:id="34"/>
      <w:bookmarkEnd w:id="35"/>
      <w:bookmarkEnd w:id="36"/>
      <w:bookmarkEnd w:id="37"/>
      <w:bookmarkEnd w:id="38"/>
      <w:bookmarkEnd w:id="39"/>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（一）单位负责人为同一人或者存在直接控股、管理关系的不同供应商，</w:t>
      </w:r>
      <w:r>
        <w:rPr>
          <w:rFonts w:ascii="方正仿宋_GBK" w:hAnsi="宋体" w:eastAsia="方正仿宋_GBK"/>
          <w:sz w:val="24"/>
          <w:szCs w:val="24"/>
        </w:rPr>
        <w:t>不得参加同一合同项</w:t>
      </w:r>
      <w:r>
        <w:rPr>
          <w:rFonts w:hint="eastAsia" w:ascii="方正仿宋_GBK" w:hAnsi="宋体" w:eastAsia="方正仿宋_GBK"/>
          <w:sz w:val="24"/>
          <w:szCs w:val="24"/>
        </w:rPr>
        <w:t>（包）</w:t>
      </w:r>
      <w:r>
        <w:rPr>
          <w:rFonts w:ascii="方正仿宋_GBK" w:hAnsi="宋体" w:eastAsia="方正仿宋_GBK"/>
          <w:sz w:val="24"/>
          <w:szCs w:val="24"/>
        </w:rPr>
        <w:t>下的政府采购活动</w:t>
      </w:r>
      <w:r>
        <w:rPr>
          <w:rFonts w:hint="eastAsia" w:ascii="方正仿宋_GBK" w:hAnsi="宋体" w:eastAsia="方正仿宋_GBK"/>
          <w:sz w:val="24"/>
          <w:szCs w:val="24"/>
        </w:rPr>
        <w:t>，否则均为无效报价。</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（二）为采购项目提供整体设计、规范编制或者项目管理、监理、检测等服务的供应商，不得再</w:t>
      </w:r>
      <w:r>
        <w:rPr>
          <w:rFonts w:ascii="方正仿宋_GBK" w:hAnsi="宋体" w:eastAsia="方正仿宋_GBK"/>
          <w:sz w:val="24"/>
          <w:szCs w:val="24"/>
        </w:rPr>
        <w:t>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（三）同一合同项（包）下为单一品目的货物采购中，同一品牌同一型号产品有多家供应商参加谈判，只能按照一家供应商计算。</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（四）同一合同项（包）下的货物，制造商参与报价的，不得再委托代理商参与报价。</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（五）本项目的澄清文件（如果有）一律在重庆市交通运输委员会网上发布，请各供应商注意下载；无论供应商下载或领取与否，均视同供应商已知晓本项目澄清文件（如果有）的内容。</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（六）超过响应文件截止时间递交的响应文件，恕不接收。</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（七）限额以下比价费用：无论采购结果如何，供应商参与本项目比价的所有费用均应由供应商自行承担。</w:t>
      </w:r>
    </w:p>
    <w:p>
      <w:pPr>
        <w:snapToGrid w:val="0"/>
        <w:spacing w:line="400" w:lineRule="exact"/>
        <w:ind w:firstLine="361" w:firstLineChars="150"/>
        <w:rPr>
          <w:rFonts w:ascii="方正仿宋_GBK" w:hAnsi="宋体" w:eastAsia="方正仿宋_GBK"/>
          <w:sz w:val="24"/>
          <w:szCs w:val="24"/>
        </w:rPr>
      </w:pPr>
      <w:r>
        <w:rPr>
          <w:rFonts w:hint="eastAsia" w:ascii="方正仿宋_GBK" w:hAnsi="宋体" w:eastAsia="方正仿宋_GBK"/>
          <w:b/>
          <w:bCs/>
          <w:sz w:val="24"/>
          <w:szCs w:val="24"/>
        </w:rPr>
        <w:t>（八）</w:t>
      </w:r>
      <w:r>
        <w:rPr>
          <w:rFonts w:hint="eastAsia" w:ascii="方正仿宋_GBK" w:hAnsi="宋体" w:eastAsia="方正仿宋_GBK"/>
          <w:b/>
          <w:sz w:val="24"/>
          <w:szCs w:val="24"/>
        </w:rPr>
        <w:t>本项目不接受联合体参与报价，否则按无效处理。</w:t>
      </w:r>
    </w:p>
    <w:p>
      <w:pPr>
        <w:snapToGrid w:val="0"/>
        <w:spacing w:line="400" w:lineRule="exact"/>
        <w:ind w:firstLine="361" w:firstLineChars="150"/>
        <w:rPr>
          <w:rFonts w:ascii="方正仿宋_GBK" w:hAnsi="宋体" w:eastAsia="方正仿宋_GBK"/>
          <w:b/>
          <w:sz w:val="24"/>
          <w:szCs w:val="24"/>
        </w:rPr>
      </w:pPr>
      <w:r>
        <w:rPr>
          <w:rFonts w:hint="eastAsia" w:ascii="方正仿宋_GBK" w:hAnsi="宋体" w:eastAsia="方正仿宋_GBK"/>
          <w:b/>
          <w:sz w:val="24"/>
          <w:szCs w:val="24"/>
        </w:rPr>
        <w:t>（九）本项目不接受合同分包，否则按无效处理。</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bCs/>
          <w:sz w:val="24"/>
          <w:szCs w:val="24"/>
        </w:rPr>
        <w:t>（十）</w:t>
      </w:r>
      <w:r>
        <w:rPr>
          <w:rFonts w:hint="eastAsia" w:ascii="方正仿宋_GBK" w:hAnsi="宋体" w:eastAsia="方正仿宋_GBK"/>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不得参与政府采购活动。</w:t>
      </w:r>
    </w:p>
    <w:p>
      <w:pPr>
        <w:pStyle w:val="2"/>
        <w:adjustRightInd w:val="0"/>
        <w:snapToGrid w:val="0"/>
        <w:spacing w:before="0" w:after="0" w:line="400" w:lineRule="exact"/>
        <w:ind w:firstLine="482" w:firstLineChars="200"/>
        <w:rPr>
          <w:rFonts w:ascii="方正仿宋_GBK" w:hAnsi="宋体" w:eastAsia="方正仿宋_GBK"/>
          <w:sz w:val="24"/>
        </w:rPr>
      </w:pPr>
      <w:bookmarkStart w:id="40" w:name="_Toc10415"/>
      <w:bookmarkStart w:id="41" w:name="_Toc1733"/>
      <w:bookmarkStart w:id="42" w:name="_Toc106034777"/>
      <w:bookmarkStart w:id="43" w:name="_Toc65660337"/>
      <w:bookmarkStart w:id="44" w:name="_Toc525047164"/>
      <w:bookmarkStart w:id="45" w:name="_Toc521053056"/>
      <w:bookmarkStart w:id="46" w:name="_Toc1552"/>
      <w:r>
        <w:rPr>
          <w:rFonts w:hint="eastAsia" w:ascii="方正仿宋_GBK" w:hAnsi="宋体" w:eastAsia="方正仿宋_GBK"/>
          <w:sz w:val="24"/>
        </w:rPr>
        <w:t>六、联系方式</w:t>
      </w:r>
      <w:bookmarkEnd w:id="40"/>
      <w:bookmarkEnd w:id="41"/>
      <w:bookmarkEnd w:id="42"/>
      <w:bookmarkEnd w:id="43"/>
      <w:bookmarkEnd w:id="44"/>
      <w:bookmarkEnd w:id="45"/>
      <w:bookmarkEnd w:id="46"/>
    </w:p>
    <w:p>
      <w:pPr>
        <w:snapToGrid w:val="0"/>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采购人：重庆市合川航道管理处</w:t>
      </w:r>
    </w:p>
    <w:p>
      <w:pPr>
        <w:snapToGrid w:val="0"/>
        <w:spacing w:line="400" w:lineRule="exact"/>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rPr>
        <w:t>联系人：</w:t>
      </w:r>
      <w:r>
        <w:rPr>
          <w:rFonts w:hint="eastAsia" w:ascii="方正仿宋_GBK" w:hAnsi="宋体" w:eastAsia="方正仿宋_GBK"/>
          <w:sz w:val="24"/>
          <w:szCs w:val="24"/>
          <w:lang w:eastAsia="zh-CN"/>
        </w:rPr>
        <w:t>曹老师</w:t>
      </w:r>
    </w:p>
    <w:p>
      <w:pPr>
        <w:snapToGrid w:val="0"/>
        <w:spacing w:line="40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rPr>
        <w:t>电  话：023-42</w:t>
      </w:r>
      <w:r>
        <w:rPr>
          <w:rFonts w:hint="eastAsia" w:ascii="方正仿宋_GBK" w:hAnsi="宋体" w:eastAsia="方正仿宋_GBK"/>
          <w:sz w:val="24"/>
          <w:szCs w:val="24"/>
          <w:lang w:val="en-US" w:eastAsia="zh-CN"/>
        </w:rPr>
        <w:t>868093</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传  真：</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地  址：重庆市合川区合阳办马家沟路36号</w:t>
      </w:r>
    </w:p>
    <w:p>
      <w:pPr>
        <w:snapToGrid w:val="0"/>
        <w:spacing w:line="380" w:lineRule="exact"/>
        <w:ind w:firstLine="480" w:firstLineChars="200"/>
        <w:rPr>
          <w:rFonts w:ascii="方正仿宋_GBK" w:hAnsi="宋体" w:eastAsia="方正仿宋_GBK"/>
          <w:sz w:val="24"/>
          <w:szCs w:val="24"/>
        </w:rPr>
        <w:sectPr>
          <w:pgSz w:w="11907" w:h="16840"/>
          <w:pgMar w:top="1134" w:right="1418" w:bottom="1134" w:left="1418" w:header="964" w:footer="992" w:gutter="0"/>
          <w:pgNumType w:fmt="numberInDash"/>
          <w:cols w:space="720" w:num="1"/>
          <w:docGrid w:linePitch="312" w:charSpace="0"/>
        </w:sectPr>
      </w:pPr>
    </w:p>
    <w:p>
      <w:pPr>
        <w:pStyle w:val="2"/>
        <w:spacing w:before="0" w:after="0" w:line="360" w:lineRule="auto"/>
        <w:jc w:val="center"/>
        <w:rPr>
          <w:rFonts w:ascii="方正小标宋_GBK" w:eastAsia="方正小标宋_GBK"/>
          <w:b w:val="0"/>
          <w:sz w:val="36"/>
          <w:szCs w:val="30"/>
        </w:rPr>
      </w:pPr>
      <w:bookmarkStart w:id="47" w:name="_Toc11327"/>
      <w:bookmarkStart w:id="48" w:name="_Toc106034778"/>
      <w:bookmarkStart w:id="49" w:name="_Toc65660338"/>
      <w:bookmarkStart w:id="50" w:name="_Toc14516"/>
      <w:bookmarkStart w:id="51" w:name="_Toc1292"/>
      <w:bookmarkStart w:id="52" w:name="_Toc102227313"/>
      <w:r>
        <w:rPr>
          <w:rFonts w:hint="eastAsia" w:ascii="方正小标宋_GBK" w:eastAsia="方正小标宋_GBK"/>
          <w:b w:val="0"/>
          <w:sz w:val="36"/>
          <w:szCs w:val="30"/>
        </w:rPr>
        <w:t>第二篇  项目技术（质量）需求</w:t>
      </w:r>
      <w:bookmarkEnd w:id="47"/>
      <w:bookmarkEnd w:id="48"/>
      <w:bookmarkEnd w:id="49"/>
      <w:bookmarkEnd w:id="50"/>
      <w:bookmarkEnd w:id="51"/>
    </w:p>
    <w:p>
      <w:pPr>
        <w:jc w:val="center"/>
        <w:rPr>
          <w:b/>
        </w:rPr>
      </w:pPr>
    </w:p>
    <w:p>
      <w:pPr>
        <w:pStyle w:val="2"/>
        <w:adjustRightInd w:val="0"/>
        <w:snapToGrid w:val="0"/>
        <w:spacing w:before="0" w:after="0" w:line="400" w:lineRule="exact"/>
        <w:ind w:firstLine="482" w:firstLineChars="200"/>
        <w:rPr>
          <w:rFonts w:ascii="方正仿宋_GBK" w:hAnsi="宋体" w:eastAsia="方正仿宋_GBK"/>
          <w:sz w:val="24"/>
        </w:rPr>
      </w:pPr>
      <w:bookmarkStart w:id="53" w:name="_Toc106030879"/>
      <w:r>
        <w:rPr>
          <w:rFonts w:hint="eastAsia" w:ascii="方正仿宋_GBK" w:hAnsi="宋体" w:eastAsia="方正仿宋_GBK"/>
          <w:sz w:val="24"/>
        </w:rPr>
        <w:t>一、项目基本概况介绍</w:t>
      </w:r>
      <w:bookmarkEnd w:id="53"/>
    </w:p>
    <w:p>
      <w:pPr>
        <w:pStyle w:val="2"/>
        <w:adjustRightInd w:val="0"/>
        <w:snapToGrid w:val="0"/>
        <w:spacing w:before="0" w:after="0" w:line="400" w:lineRule="exact"/>
        <w:ind w:firstLine="480" w:firstLineChars="200"/>
        <w:rPr>
          <w:rFonts w:hint="eastAsia" w:ascii="方正仿宋_GBK" w:hAnsi="宋体" w:eastAsia="方正仿宋_GBK" w:cs="Times New Roman"/>
          <w:b w:val="0"/>
          <w:kern w:val="2"/>
          <w:sz w:val="24"/>
          <w:szCs w:val="24"/>
          <w:lang w:val="en-US" w:eastAsia="zh-CN" w:bidi="ar-SA"/>
        </w:rPr>
      </w:pPr>
      <w:bookmarkStart w:id="54" w:name="_Toc106030880"/>
      <w:r>
        <w:rPr>
          <w:rFonts w:hint="eastAsia" w:ascii="方正仿宋_GBK" w:hAnsi="宋体" w:eastAsia="方正仿宋_GBK" w:cs="Times New Roman"/>
          <w:b w:val="0"/>
          <w:kern w:val="2"/>
          <w:sz w:val="24"/>
          <w:szCs w:val="24"/>
          <w:lang w:val="en-US" w:eastAsia="zh-CN" w:bidi="ar-SA"/>
        </w:rPr>
        <w:t>渝合航2号，主要存在无夜航设施、超吃水、设施设备老化等问题；重航1号，主要存在无夜航设施、主机功率不足、设施设备老化等问题；渝港航挖2号主要存在设施设备老化等问题。为进一步提高航道养护水平，确保汛期船舶安全，需对三艘船舶进行维修改造，现对三艘船舶维修改造进行设计。</w:t>
      </w:r>
    </w:p>
    <w:p>
      <w:pPr>
        <w:pStyle w:val="2"/>
        <w:adjustRightInd w:val="0"/>
        <w:snapToGrid w:val="0"/>
        <w:spacing w:before="0" w:after="0" w:line="400" w:lineRule="exact"/>
        <w:ind w:firstLine="482" w:firstLineChars="200"/>
        <w:rPr>
          <w:rFonts w:ascii="方正仿宋_GBK" w:hAnsi="宋体" w:eastAsia="方正仿宋_GBK"/>
          <w:sz w:val="24"/>
        </w:rPr>
      </w:pPr>
      <w:r>
        <w:rPr>
          <w:rFonts w:hint="eastAsia" w:ascii="方正仿宋_GBK" w:hAnsi="宋体" w:eastAsia="方正仿宋_GBK"/>
          <w:sz w:val="24"/>
        </w:rPr>
        <w:t>二、服务范围、要求及标准</w:t>
      </w:r>
      <w:bookmarkEnd w:id="54"/>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（一）服务范围、要求及标准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1.服务范围：</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渝合航2号、重航1号、渝港航挖2号</w:t>
      </w:r>
      <w:r>
        <w:rPr>
          <w:rFonts w:hint="eastAsia" w:ascii="方正仿宋_GBK" w:hAnsi="宋体" w:eastAsia="方正仿宋_GBK"/>
          <w:sz w:val="24"/>
          <w:szCs w:val="24"/>
          <w:lang w:eastAsia="zh-CN"/>
        </w:rPr>
        <w:t>三艘船舶</w:t>
      </w:r>
      <w:r>
        <w:rPr>
          <w:rFonts w:hint="eastAsia" w:ascii="方正仿宋_GBK" w:hAnsi="宋体" w:eastAsia="方正仿宋_GBK"/>
          <w:sz w:val="24"/>
          <w:szCs w:val="24"/>
        </w:rPr>
        <w:t>维修改造设计。</w:t>
      </w:r>
      <w:r>
        <w:rPr>
          <w:rFonts w:ascii="方正仿宋_GBK" w:hAnsi="宋体" w:eastAsia="方正仿宋_GBK"/>
          <w:sz w:val="24"/>
          <w:szCs w:val="24"/>
        </w:rPr>
        <w:t xml:space="preserve"> </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2.服务要求：</w:t>
      </w:r>
    </w:p>
    <w:p>
      <w:pPr>
        <w:adjustRightInd w:val="0"/>
        <w:snapToGrid w:val="0"/>
        <w:spacing w:line="400" w:lineRule="exact"/>
        <w:ind w:firstLine="480" w:firstLineChars="200"/>
        <w:jc w:val="left"/>
        <w:rPr>
          <w:rFonts w:hint="default" w:ascii="方正仿宋_GBK" w:hAnsi="宋体" w:eastAsia="方正仿宋_GBK"/>
          <w:sz w:val="24"/>
          <w:szCs w:val="24"/>
          <w:lang w:val="en-US" w:eastAsia="zh-CN"/>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1</w:t>
      </w:r>
      <w:r>
        <w:rPr>
          <w:rFonts w:hint="eastAsia" w:ascii="方正仿宋_GBK" w:hAnsi="宋体" w:eastAsia="方正仿宋_GBK"/>
          <w:sz w:val="24"/>
          <w:szCs w:val="24"/>
        </w:rPr>
        <w:t>）</w:t>
      </w:r>
      <w:r>
        <w:rPr>
          <w:rFonts w:hint="eastAsia" w:ascii="方正仿宋_GBK" w:hAnsi="宋体" w:eastAsia="方正仿宋_GBK"/>
          <w:sz w:val="24"/>
          <w:szCs w:val="24"/>
          <w:lang w:eastAsia="zh-CN"/>
        </w:rPr>
        <w:t>渝合航</w:t>
      </w:r>
      <w:r>
        <w:rPr>
          <w:rFonts w:hint="eastAsia" w:ascii="方正仿宋_GBK" w:hAnsi="宋体" w:eastAsia="方正仿宋_GBK"/>
          <w:sz w:val="24"/>
          <w:szCs w:val="24"/>
          <w:lang w:val="en-US" w:eastAsia="zh-CN"/>
        </w:rPr>
        <w:t>2号</w:t>
      </w:r>
      <w:r>
        <w:rPr>
          <w:rFonts w:hint="eastAsia" w:ascii="方正仿宋_GBK" w:hAnsi="宋体" w:eastAsia="方正仿宋_GBK"/>
          <w:sz w:val="24"/>
          <w:szCs w:val="24"/>
        </w:rPr>
        <w:t>设计内容：</w:t>
      </w:r>
      <w:r>
        <w:rPr>
          <w:rFonts w:hint="default" w:ascii="方正仿宋_GBK" w:hAnsi="宋体" w:eastAsia="方正仿宋_GBK"/>
          <w:sz w:val="24"/>
          <w:szCs w:val="24"/>
          <w:lang w:val="en-US" w:eastAsia="zh-CN"/>
        </w:rPr>
        <w:t>按照中国船级社《钢质内河船舶建造规范》（2016）及其修改通报(2019)、(2021)(以下简称“钢规”)、中华人民共和国海事局《内河船舶法定检验技术规则》（2019）(以下简称“法规”)的规定进行技术设计</w:t>
      </w:r>
      <w:r>
        <w:rPr>
          <w:rFonts w:hint="eastAsia" w:ascii="方正仿宋_GBK" w:hAnsi="宋体" w:eastAsia="方正仿宋_GBK"/>
          <w:sz w:val="24"/>
          <w:szCs w:val="24"/>
          <w:lang w:val="en-US" w:eastAsia="zh-CN"/>
        </w:rPr>
        <w:t>，新增船舶夜航功能，</w:t>
      </w:r>
      <w:r>
        <w:rPr>
          <w:rFonts w:hint="eastAsia" w:ascii="方正仿宋_GBK" w:hAnsi="宋体" w:eastAsia="方正仿宋_GBK"/>
          <w:sz w:val="24"/>
          <w:szCs w:val="24"/>
          <w:lang w:eastAsia="zh-CN"/>
        </w:rPr>
        <w:t>重新修订船舶设计吃水，并取得船检批准图纸。全船</w:t>
      </w:r>
      <w:r>
        <w:rPr>
          <w:rFonts w:hint="default" w:ascii="方正仿宋_GBK" w:hAnsi="宋体" w:eastAsia="方正仿宋_GBK"/>
          <w:sz w:val="24"/>
          <w:szCs w:val="24"/>
          <w:lang w:val="en-US" w:eastAsia="zh-CN"/>
        </w:rPr>
        <w:t>内饰修缮改造</w:t>
      </w:r>
      <w:r>
        <w:rPr>
          <w:rFonts w:hint="eastAsia" w:ascii="方正仿宋_GBK" w:hAnsi="宋体" w:eastAsia="方正仿宋_GBK"/>
          <w:sz w:val="24"/>
          <w:szCs w:val="24"/>
          <w:lang w:val="en-US" w:eastAsia="zh-CN"/>
        </w:rPr>
        <w:t>设计</w:t>
      </w:r>
      <w:r>
        <w:rPr>
          <w:rFonts w:hint="default" w:ascii="方正仿宋_GBK" w:hAnsi="宋体" w:eastAsia="方正仿宋_GBK"/>
          <w:sz w:val="24"/>
          <w:szCs w:val="24"/>
          <w:lang w:val="en-US" w:eastAsia="zh-CN"/>
        </w:rPr>
        <w:t>，根据现场实际情况对</w:t>
      </w:r>
      <w:r>
        <w:rPr>
          <w:rFonts w:hint="eastAsia" w:ascii="方正仿宋_GBK" w:hAnsi="宋体" w:eastAsia="方正仿宋_GBK"/>
          <w:sz w:val="24"/>
          <w:szCs w:val="24"/>
          <w:lang w:val="en-US" w:eastAsia="zh-CN"/>
        </w:rPr>
        <w:t>全船舱室及通道的功能布局</w:t>
      </w:r>
      <w:r>
        <w:rPr>
          <w:rFonts w:hint="default" w:ascii="方正仿宋_GBK" w:hAnsi="宋体" w:eastAsia="方正仿宋_GBK"/>
          <w:sz w:val="24"/>
          <w:szCs w:val="24"/>
          <w:lang w:val="en-US" w:eastAsia="zh-CN"/>
        </w:rPr>
        <w:t>进行</w:t>
      </w:r>
      <w:r>
        <w:rPr>
          <w:rFonts w:hint="eastAsia" w:ascii="方正仿宋_GBK" w:hAnsi="宋体" w:eastAsia="方正仿宋_GBK"/>
          <w:sz w:val="24"/>
          <w:szCs w:val="24"/>
          <w:lang w:val="en-US" w:eastAsia="zh-CN"/>
        </w:rPr>
        <w:t>内饰修缮优化</w:t>
      </w:r>
      <w:r>
        <w:rPr>
          <w:rFonts w:hint="default" w:ascii="方正仿宋_GBK" w:hAnsi="宋体" w:eastAsia="方正仿宋_GBK"/>
          <w:sz w:val="24"/>
          <w:szCs w:val="24"/>
          <w:lang w:val="en-US" w:eastAsia="zh-CN"/>
        </w:rPr>
        <w:t>设计，</w:t>
      </w:r>
      <w:r>
        <w:rPr>
          <w:rFonts w:hint="eastAsia" w:ascii="方正仿宋_GBK" w:hAnsi="宋体" w:eastAsia="方正仿宋_GBK"/>
          <w:sz w:val="24"/>
          <w:szCs w:val="24"/>
          <w:lang w:val="en-US" w:eastAsia="zh-CN"/>
        </w:rPr>
        <w:t>具备休息和储物的功能，</w:t>
      </w:r>
      <w:r>
        <w:rPr>
          <w:rFonts w:hint="default" w:ascii="方正仿宋_GBK" w:hAnsi="宋体" w:eastAsia="方正仿宋_GBK"/>
          <w:sz w:val="24"/>
          <w:szCs w:val="24"/>
          <w:lang w:val="en-US" w:eastAsia="zh-CN"/>
        </w:rPr>
        <w:t>并出具</w:t>
      </w:r>
      <w:r>
        <w:rPr>
          <w:rFonts w:hint="eastAsia" w:ascii="方正仿宋_GBK" w:hAnsi="宋体" w:eastAsia="方正仿宋_GBK"/>
          <w:sz w:val="24"/>
          <w:szCs w:val="24"/>
          <w:lang w:val="en-US" w:eastAsia="zh-CN"/>
        </w:rPr>
        <w:t>驾驶室和船员室效果图、</w:t>
      </w:r>
      <w:r>
        <w:rPr>
          <w:rFonts w:hint="default" w:ascii="方正仿宋_GBK" w:hAnsi="宋体" w:eastAsia="方正仿宋_GBK"/>
          <w:sz w:val="24"/>
          <w:szCs w:val="24"/>
          <w:lang w:val="en-US" w:eastAsia="zh-CN"/>
        </w:rPr>
        <w:t>施工图及</w:t>
      </w:r>
      <w:r>
        <w:rPr>
          <w:rFonts w:hint="eastAsia" w:ascii="方正仿宋_GBK" w:hAnsi="宋体" w:eastAsia="方正仿宋_GBK"/>
          <w:sz w:val="24"/>
          <w:szCs w:val="24"/>
          <w:lang w:val="en-US" w:eastAsia="zh-CN"/>
        </w:rPr>
        <w:t>上述工程</w:t>
      </w:r>
      <w:r>
        <w:rPr>
          <w:rFonts w:hint="default" w:ascii="方正仿宋_GBK" w:hAnsi="宋体" w:eastAsia="方正仿宋_GBK"/>
          <w:sz w:val="24"/>
          <w:szCs w:val="24"/>
          <w:lang w:val="en-US" w:eastAsia="zh-CN"/>
        </w:rPr>
        <w:t>概算清单。</w:t>
      </w:r>
    </w:p>
    <w:p>
      <w:pPr>
        <w:adjustRightInd w:val="0"/>
        <w:snapToGrid w:val="0"/>
        <w:spacing w:line="400" w:lineRule="exact"/>
        <w:ind w:firstLine="480" w:firstLineChars="200"/>
        <w:jc w:val="left"/>
        <w:rPr>
          <w:rFonts w:hint="default" w:ascii="方正仿宋_GBK" w:hAnsi="宋体" w:eastAsia="方正仿宋_GBK"/>
          <w:sz w:val="24"/>
          <w:szCs w:val="24"/>
          <w:lang w:val="en-US" w:eastAsia="zh-CN"/>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w:t>
      </w:r>
      <w:r>
        <w:rPr>
          <w:rFonts w:hint="eastAsia" w:ascii="方正仿宋_GBK" w:hAnsi="宋体" w:eastAsia="方正仿宋_GBK"/>
          <w:sz w:val="24"/>
          <w:szCs w:val="24"/>
          <w:lang w:eastAsia="zh-CN"/>
        </w:rPr>
        <w:t>重航</w:t>
      </w:r>
      <w:r>
        <w:rPr>
          <w:rFonts w:hint="eastAsia" w:ascii="方正仿宋_GBK" w:hAnsi="宋体" w:eastAsia="方正仿宋_GBK"/>
          <w:sz w:val="24"/>
          <w:szCs w:val="24"/>
          <w:lang w:val="en-US" w:eastAsia="zh-CN"/>
        </w:rPr>
        <w:t>1号</w:t>
      </w:r>
      <w:r>
        <w:rPr>
          <w:rFonts w:hint="eastAsia" w:ascii="方正仿宋_GBK" w:hAnsi="宋体" w:eastAsia="方正仿宋_GBK"/>
          <w:sz w:val="24"/>
          <w:szCs w:val="24"/>
        </w:rPr>
        <w:t>设计内容：</w:t>
      </w:r>
      <w:r>
        <w:rPr>
          <w:rFonts w:hint="default" w:ascii="方正仿宋_GBK" w:hAnsi="宋体" w:eastAsia="方正仿宋_GBK"/>
          <w:sz w:val="24"/>
          <w:szCs w:val="24"/>
          <w:lang w:val="en-US" w:eastAsia="zh-CN"/>
        </w:rPr>
        <w:t>按照中国船级社《钢质内河船舶建造规范》（2016）及其修改通报(2019)、(2021)(以下简称“钢规”)、中华人民共和国海事局《内河船舶法定检验技术规则》（2019）(以下简称“法规”)的规定进行技术设计</w:t>
      </w:r>
      <w:r>
        <w:rPr>
          <w:rFonts w:hint="eastAsia" w:ascii="方正仿宋_GBK" w:hAnsi="宋体" w:eastAsia="方正仿宋_GBK"/>
          <w:sz w:val="24"/>
          <w:szCs w:val="24"/>
          <w:lang w:val="en-US" w:eastAsia="zh-CN"/>
        </w:rPr>
        <w:t>，</w:t>
      </w:r>
      <w:r>
        <w:rPr>
          <w:rFonts w:hint="eastAsia" w:ascii="方正仿宋_GBK" w:hAnsi="宋体" w:eastAsia="方正仿宋_GBK"/>
          <w:sz w:val="24"/>
          <w:szCs w:val="24"/>
        </w:rPr>
        <w:t>根据船舶现状，提出更换主机设计思路和方案，要求主机功率不低于1</w:t>
      </w: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0kw/台，科学选择拟更换的主机品牌、型号，对轴系、舵系、螺旋桨进行适配性优化设计</w:t>
      </w:r>
      <w:r>
        <w:rPr>
          <w:rFonts w:hint="eastAsia" w:ascii="方正仿宋_GBK" w:hAnsi="宋体" w:eastAsia="方正仿宋_GBK"/>
          <w:sz w:val="24"/>
          <w:szCs w:val="24"/>
          <w:lang w:eastAsia="zh-CN"/>
        </w:rPr>
        <w:t>，并取得船检批准图纸</w:t>
      </w:r>
      <w:r>
        <w:rPr>
          <w:rFonts w:hint="eastAsia" w:ascii="方正仿宋_GBK" w:hAnsi="宋体" w:eastAsia="方正仿宋_GBK"/>
          <w:sz w:val="24"/>
          <w:szCs w:val="24"/>
        </w:rPr>
        <w:t>。原主甲艏部的双速电动绞盘</w:t>
      </w:r>
      <w:r>
        <w:rPr>
          <w:rFonts w:hint="eastAsia" w:ascii="方正仿宋_GBK" w:hAnsi="宋体" w:eastAsia="方正仿宋_GBK"/>
          <w:sz w:val="24"/>
          <w:szCs w:val="24"/>
          <w:lang w:val="en-US" w:eastAsia="zh-CN"/>
        </w:rPr>
        <w:t>15KN</w:t>
      </w:r>
      <w:r>
        <w:rPr>
          <w:rFonts w:hint="eastAsia" w:ascii="方正仿宋_GBK" w:hAnsi="宋体" w:eastAsia="方正仿宋_GBK"/>
          <w:sz w:val="24"/>
          <w:szCs w:val="24"/>
        </w:rPr>
        <w:t>更换为三速电动绞盘</w:t>
      </w:r>
      <w:r>
        <w:rPr>
          <w:rFonts w:hint="eastAsia" w:ascii="方正仿宋_GBK" w:hAnsi="宋体" w:eastAsia="方正仿宋_GBK"/>
          <w:sz w:val="24"/>
          <w:szCs w:val="24"/>
          <w:lang w:val="en-US" w:eastAsia="zh-CN"/>
        </w:rPr>
        <w:t>20KN</w:t>
      </w:r>
      <w:r>
        <w:rPr>
          <w:rFonts w:hint="eastAsia" w:ascii="方正仿宋_GBK" w:hAnsi="宋体" w:eastAsia="方正仿宋_GBK"/>
          <w:sz w:val="24"/>
          <w:szCs w:val="24"/>
          <w:lang w:eastAsia="zh-CN"/>
        </w:rPr>
        <w:t>，</w:t>
      </w:r>
      <w:r>
        <w:rPr>
          <w:rFonts w:hint="eastAsia" w:ascii="方正仿宋_GBK" w:hAnsi="宋体" w:eastAsia="方正仿宋_GBK"/>
          <w:sz w:val="24"/>
          <w:szCs w:val="24"/>
        </w:rPr>
        <w:t>同时将原船12KW的船用发电机组更换为30KW</w:t>
      </w:r>
      <w:r>
        <w:rPr>
          <w:rFonts w:hint="eastAsia" w:ascii="方正仿宋_GBK" w:hAnsi="宋体" w:eastAsia="方正仿宋_GBK"/>
          <w:sz w:val="24"/>
          <w:szCs w:val="24"/>
          <w:lang w:eastAsia="zh-CN"/>
        </w:rPr>
        <w:t>；本船新增夜航功能，相应电气设备及电缆按照规范要求配置和更换，并取得船检批准图纸。全船</w:t>
      </w:r>
      <w:r>
        <w:rPr>
          <w:rFonts w:hint="default" w:ascii="方正仿宋_GBK" w:hAnsi="宋体" w:eastAsia="方正仿宋_GBK"/>
          <w:sz w:val="24"/>
          <w:szCs w:val="24"/>
          <w:lang w:val="en-US" w:eastAsia="zh-CN"/>
        </w:rPr>
        <w:t>内饰修缮改造</w:t>
      </w:r>
      <w:r>
        <w:rPr>
          <w:rFonts w:hint="eastAsia" w:ascii="方正仿宋_GBK" w:hAnsi="宋体" w:eastAsia="方正仿宋_GBK"/>
          <w:sz w:val="24"/>
          <w:szCs w:val="24"/>
          <w:lang w:val="en-US" w:eastAsia="zh-CN"/>
        </w:rPr>
        <w:t>设计</w:t>
      </w:r>
      <w:r>
        <w:rPr>
          <w:rFonts w:hint="default" w:ascii="方正仿宋_GBK" w:hAnsi="宋体" w:eastAsia="方正仿宋_GBK"/>
          <w:sz w:val="24"/>
          <w:szCs w:val="24"/>
          <w:lang w:val="en-US" w:eastAsia="zh-CN"/>
        </w:rPr>
        <w:t>，根据现场实际情况对</w:t>
      </w:r>
      <w:r>
        <w:rPr>
          <w:rFonts w:hint="eastAsia" w:ascii="方正仿宋_GBK" w:hAnsi="宋体" w:eastAsia="方正仿宋_GBK"/>
          <w:sz w:val="24"/>
          <w:szCs w:val="24"/>
          <w:lang w:val="en-US" w:eastAsia="zh-CN"/>
        </w:rPr>
        <w:t>全船舱室及通道的功能布局</w:t>
      </w:r>
      <w:r>
        <w:rPr>
          <w:rFonts w:hint="default" w:ascii="方正仿宋_GBK" w:hAnsi="宋体" w:eastAsia="方正仿宋_GBK"/>
          <w:sz w:val="24"/>
          <w:szCs w:val="24"/>
          <w:lang w:val="en-US" w:eastAsia="zh-CN"/>
        </w:rPr>
        <w:t>进行</w:t>
      </w:r>
      <w:r>
        <w:rPr>
          <w:rFonts w:hint="eastAsia" w:ascii="方正仿宋_GBK" w:hAnsi="宋体" w:eastAsia="方正仿宋_GBK"/>
          <w:sz w:val="24"/>
          <w:szCs w:val="24"/>
          <w:lang w:val="en-US" w:eastAsia="zh-CN"/>
        </w:rPr>
        <w:t>内饰修缮优化</w:t>
      </w:r>
      <w:r>
        <w:rPr>
          <w:rFonts w:hint="default" w:ascii="方正仿宋_GBK" w:hAnsi="宋体" w:eastAsia="方正仿宋_GBK"/>
          <w:sz w:val="24"/>
          <w:szCs w:val="24"/>
          <w:lang w:val="en-US" w:eastAsia="zh-CN"/>
        </w:rPr>
        <w:t>设计，</w:t>
      </w:r>
      <w:r>
        <w:rPr>
          <w:rFonts w:hint="eastAsia" w:ascii="方正仿宋_GBK" w:hAnsi="宋体" w:eastAsia="方正仿宋_GBK"/>
          <w:sz w:val="24"/>
          <w:szCs w:val="24"/>
          <w:lang w:val="en-US" w:eastAsia="zh-CN"/>
        </w:rPr>
        <w:t>具备休息和储物的功能，</w:t>
      </w:r>
      <w:r>
        <w:rPr>
          <w:rFonts w:hint="default" w:ascii="方正仿宋_GBK" w:hAnsi="宋体" w:eastAsia="方正仿宋_GBK"/>
          <w:sz w:val="24"/>
          <w:szCs w:val="24"/>
          <w:lang w:val="en-US" w:eastAsia="zh-CN"/>
        </w:rPr>
        <w:t>并</w:t>
      </w:r>
      <w:r>
        <w:rPr>
          <w:rFonts w:hint="eastAsia" w:ascii="方正仿宋_GBK" w:hAnsi="宋体" w:eastAsia="方正仿宋_GBK"/>
          <w:sz w:val="24"/>
          <w:szCs w:val="24"/>
          <w:lang w:val="en-US" w:eastAsia="zh-CN"/>
        </w:rPr>
        <w:t>设绘驾驶室、船员室</w:t>
      </w:r>
      <w:r>
        <w:rPr>
          <w:rFonts w:hint="default" w:ascii="方正仿宋_GBK" w:hAnsi="宋体" w:eastAsia="方正仿宋_GBK"/>
          <w:sz w:val="24"/>
          <w:szCs w:val="24"/>
          <w:lang w:val="en-US" w:eastAsia="zh-CN"/>
        </w:rPr>
        <w:t>效果图</w:t>
      </w:r>
      <w:r>
        <w:rPr>
          <w:rFonts w:hint="eastAsia" w:ascii="方正仿宋_GBK" w:hAnsi="宋体" w:eastAsia="方正仿宋_GBK"/>
          <w:sz w:val="24"/>
          <w:szCs w:val="24"/>
          <w:lang w:val="en-US" w:eastAsia="zh-CN"/>
        </w:rPr>
        <w:t>和</w:t>
      </w:r>
      <w:r>
        <w:rPr>
          <w:rFonts w:hint="default" w:ascii="方正仿宋_GBK" w:hAnsi="宋体" w:eastAsia="方正仿宋_GBK"/>
          <w:sz w:val="24"/>
          <w:szCs w:val="24"/>
          <w:lang w:val="en-US" w:eastAsia="zh-CN"/>
        </w:rPr>
        <w:t>施工图</w:t>
      </w:r>
      <w:r>
        <w:rPr>
          <w:rFonts w:hint="eastAsia" w:ascii="方正仿宋_GBK" w:hAnsi="宋体" w:eastAsia="方正仿宋_GBK"/>
          <w:sz w:val="24"/>
          <w:szCs w:val="24"/>
          <w:lang w:val="en-US" w:eastAsia="zh-CN"/>
        </w:rPr>
        <w:t>并编制上述工程</w:t>
      </w:r>
      <w:r>
        <w:rPr>
          <w:rFonts w:hint="default" w:ascii="方正仿宋_GBK" w:hAnsi="宋体" w:eastAsia="方正仿宋_GBK"/>
          <w:sz w:val="24"/>
          <w:szCs w:val="24"/>
          <w:lang w:val="en-US" w:eastAsia="zh-CN"/>
        </w:rPr>
        <w:t>概算清单。</w:t>
      </w:r>
    </w:p>
    <w:p>
      <w:pPr>
        <w:adjustRightInd w:val="0"/>
        <w:snapToGrid w:val="0"/>
        <w:spacing w:line="400" w:lineRule="exact"/>
        <w:ind w:firstLine="480" w:firstLineChars="200"/>
        <w:jc w:val="left"/>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（3）渝港航挖2号设计内容：</w:t>
      </w:r>
      <w:r>
        <w:rPr>
          <w:rFonts w:hint="default" w:ascii="方正仿宋_GBK" w:hAnsi="方正仿宋_GBK" w:eastAsia="方正仿宋_GBK" w:cs="方正仿宋_GBK"/>
          <w:sz w:val="24"/>
          <w:szCs w:val="24"/>
          <w:lang w:val="en-US" w:eastAsia="zh-CN"/>
        </w:rPr>
        <w:t>按照中国船级社《钢质内河船舶建造规范》（2016）及其修改通报(2019)、(2021)(以下简称“钢规”)、中华人民共和国海事局《内河船舶法定检验技术规则》（2019）(以下简称“法规”)的规定进行技术设计。</w:t>
      </w:r>
      <w:r>
        <w:rPr>
          <w:rFonts w:hint="eastAsia" w:ascii="方正仿宋_GBK" w:hAnsi="方正仿宋_GBK" w:eastAsia="方正仿宋_GBK" w:cs="方正仿宋_GBK"/>
          <w:sz w:val="24"/>
          <w:szCs w:val="24"/>
        </w:rPr>
        <w:t>根据现场实际情况对主甲板及上层甲板舱室结构进行优化设计，对</w:t>
      </w:r>
      <w:r>
        <w:rPr>
          <w:rFonts w:hint="eastAsia" w:ascii="方正仿宋_GBK" w:hAnsi="方正仿宋_GBK" w:eastAsia="方正仿宋_GBK" w:cs="方正仿宋_GBK"/>
          <w:sz w:val="24"/>
          <w:szCs w:val="24"/>
          <w:lang w:eastAsia="zh-CN"/>
        </w:rPr>
        <w:t>驾驶室、</w:t>
      </w:r>
      <w:r>
        <w:rPr>
          <w:rFonts w:hint="eastAsia" w:ascii="方正仿宋_GBK" w:hAnsi="方正仿宋_GBK" w:eastAsia="方正仿宋_GBK" w:cs="方正仿宋_GBK"/>
          <w:sz w:val="24"/>
          <w:szCs w:val="24"/>
        </w:rPr>
        <w:t>会议室、船员</w:t>
      </w:r>
      <w:r>
        <w:rPr>
          <w:rFonts w:hint="eastAsia" w:ascii="方正仿宋_GBK" w:hAnsi="方正仿宋_GBK" w:eastAsia="方正仿宋_GBK" w:cs="方正仿宋_GBK"/>
          <w:sz w:val="24"/>
          <w:szCs w:val="24"/>
          <w:lang w:eastAsia="zh-CN"/>
        </w:rPr>
        <w:t>室</w:t>
      </w:r>
      <w:r>
        <w:rPr>
          <w:rFonts w:hint="eastAsia" w:ascii="方正仿宋_GBK" w:hAnsi="方正仿宋_GBK" w:eastAsia="方正仿宋_GBK" w:cs="方正仿宋_GBK"/>
          <w:sz w:val="24"/>
          <w:szCs w:val="24"/>
        </w:rPr>
        <w:t>、厨房、</w:t>
      </w:r>
      <w:r>
        <w:rPr>
          <w:rFonts w:hint="eastAsia" w:ascii="方正仿宋_GBK" w:hAnsi="方正仿宋_GBK" w:eastAsia="方正仿宋_GBK" w:cs="方正仿宋_GBK"/>
          <w:sz w:val="24"/>
          <w:szCs w:val="24"/>
          <w:lang w:eastAsia="zh-CN"/>
        </w:rPr>
        <w:t>餐厅、洗</w:t>
      </w:r>
      <w:r>
        <w:rPr>
          <w:rFonts w:hint="eastAsia" w:ascii="方正仿宋_GBK" w:hAnsi="方正仿宋_GBK" w:eastAsia="方正仿宋_GBK" w:cs="方正仿宋_GBK"/>
          <w:sz w:val="24"/>
          <w:szCs w:val="24"/>
        </w:rPr>
        <w:t>衣间</w:t>
      </w:r>
      <w:r>
        <w:rPr>
          <w:rFonts w:hint="eastAsia" w:ascii="方正仿宋_GBK" w:hAnsi="方正仿宋_GBK" w:eastAsia="方正仿宋_GBK" w:cs="方正仿宋_GBK"/>
          <w:sz w:val="24"/>
          <w:szCs w:val="24"/>
          <w:lang w:eastAsia="zh-CN"/>
        </w:rPr>
        <w:t>等</w:t>
      </w:r>
      <w:r>
        <w:rPr>
          <w:rFonts w:hint="eastAsia" w:ascii="方正仿宋_GBK" w:hAnsi="方正仿宋_GBK" w:eastAsia="方正仿宋_GBK" w:cs="方正仿宋_GBK"/>
          <w:sz w:val="24"/>
          <w:szCs w:val="24"/>
        </w:rPr>
        <w:t>进行内饰修缮</w:t>
      </w:r>
      <w:r>
        <w:rPr>
          <w:rFonts w:hint="eastAsia" w:ascii="方正仿宋_GBK" w:hAnsi="方正仿宋_GBK" w:eastAsia="方正仿宋_GBK" w:cs="方正仿宋_GBK"/>
          <w:sz w:val="24"/>
          <w:szCs w:val="24"/>
          <w:lang w:eastAsia="zh-CN"/>
        </w:rPr>
        <w:t>、船体加固（如有需要）</w:t>
      </w:r>
      <w:r>
        <w:rPr>
          <w:rFonts w:hint="eastAsia" w:ascii="方正仿宋_GBK" w:hAnsi="方正仿宋_GBK" w:eastAsia="方正仿宋_GBK" w:cs="方正仿宋_GBK"/>
          <w:sz w:val="24"/>
          <w:szCs w:val="24"/>
        </w:rPr>
        <w:t>方案设计，并出具效果图、施工图及概算清单。</w:t>
      </w:r>
    </w:p>
    <w:p>
      <w:pPr>
        <w:snapToGrid w:val="0"/>
        <w:spacing w:line="400" w:lineRule="exact"/>
        <w:ind w:firstLine="480" w:firstLineChars="200"/>
        <w:rPr>
          <w:rFonts w:ascii="方正仿宋_GBK" w:hAnsi="宋体" w:eastAsia="方正仿宋_GBK"/>
          <w:sz w:val="24"/>
          <w:szCs w:val="24"/>
        </w:rPr>
      </w:pP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4</w:t>
      </w:r>
      <w:r>
        <w:rPr>
          <w:rFonts w:hint="eastAsia" w:ascii="方正仿宋_GBK" w:hAnsi="宋体" w:eastAsia="方正仿宋_GBK"/>
          <w:sz w:val="24"/>
          <w:szCs w:val="24"/>
        </w:rPr>
        <w:t>）供应商组织专业人员按行业规范完成方案设计、概算编制等工作，满足采购人的需求。</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5</w:t>
      </w:r>
      <w:r>
        <w:rPr>
          <w:rFonts w:hint="eastAsia" w:ascii="方正仿宋_GBK" w:hAnsi="宋体" w:eastAsia="方正仿宋_GBK"/>
          <w:sz w:val="24"/>
          <w:szCs w:val="24"/>
        </w:rPr>
        <w:t>）供应商编制的技术资料如需要船舶检验机构认可的必须通过船检机构认可，如需要船舶检验机构审批的必须通过船检机构审批，并负责提供船舶检验机构所需的</w:t>
      </w:r>
      <w:r>
        <w:rPr>
          <w:rFonts w:hint="eastAsia" w:ascii="方正仿宋_GBK" w:hAnsi="宋体" w:eastAsia="方正仿宋_GBK"/>
          <w:sz w:val="24"/>
          <w:szCs w:val="24"/>
          <w:lang w:eastAsia="zh-CN"/>
        </w:rPr>
        <w:t>船舶</w:t>
      </w:r>
      <w:r>
        <w:rPr>
          <w:rFonts w:hint="eastAsia" w:ascii="方正仿宋_GBK" w:hAnsi="宋体" w:eastAsia="方正仿宋_GBK"/>
          <w:sz w:val="24"/>
          <w:szCs w:val="24"/>
        </w:rPr>
        <w:t>维修改造技术资料。</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6</w:t>
      </w:r>
      <w:r>
        <w:rPr>
          <w:rFonts w:hint="eastAsia" w:ascii="方正仿宋_GBK" w:hAnsi="宋体" w:eastAsia="方正仿宋_GBK"/>
          <w:sz w:val="24"/>
          <w:szCs w:val="24"/>
        </w:rPr>
        <w:t>）供应商提供渝合航2号、重航1号、渝港航挖2号</w:t>
      </w:r>
      <w:r>
        <w:rPr>
          <w:rFonts w:hint="eastAsia" w:ascii="方正仿宋_GBK" w:hAnsi="宋体" w:eastAsia="方正仿宋_GBK"/>
          <w:sz w:val="24"/>
          <w:szCs w:val="24"/>
          <w:lang w:eastAsia="zh-CN"/>
        </w:rPr>
        <w:t>三艘船舶</w:t>
      </w:r>
      <w:r>
        <w:rPr>
          <w:rFonts w:hint="eastAsia" w:ascii="方正仿宋_GBK" w:hAnsi="宋体" w:eastAsia="方正仿宋_GBK"/>
          <w:sz w:val="24"/>
          <w:szCs w:val="24"/>
        </w:rPr>
        <w:t>维修改造施工过程中的技术支持服务工作。</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7</w:t>
      </w:r>
      <w:r>
        <w:rPr>
          <w:rFonts w:hint="eastAsia" w:ascii="方正仿宋_GBK" w:hAnsi="宋体" w:eastAsia="方正仿宋_GBK"/>
          <w:sz w:val="24"/>
          <w:szCs w:val="24"/>
        </w:rPr>
        <w:t>）供应商应建立健全安全保证体系，项目实施过程中应遵守《安全生产法》及其它安全法规。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8</w:t>
      </w:r>
      <w:r>
        <w:rPr>
          <w:rFonts w:hint="eastAsia" w:ascii="方正仿宋_GBK" w:hAnsi="宋体" w:eastAsia="方正仿宋_GBK"/>
          <w:sz w:val="24"/>
          <w:szCs w:val="24"/>
        </w:rPr>
        <w:t>）针对性的制定相应的环境保护措施，严格控制三废“废气、废水、废渣”的排放，减少对生态环境的不利影响。</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3.服务标准：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w:t>
      </w:r>
      <w:r>
        <w:rPr>
          <w:rFonts w:ascii="方正仿宋_GBK" w:hAnsi="宋体" w:eastAsia="方正仿宋_GBK"/>
          <w:sz w:val="24"/>
          <w:szCs w:val="24"/>
        </w:rPr>
        <w:t>中国船级社《钢质内河船舶建造规范》（2016）及其修改通报(2019)、(2021)</w:t>
      </w:r>
      <w:r>
        <w:rPr>
          <w:rFonts w:hint="eastAsia" w:ascii="方正仿宋_GBK" w:hAnsi="宋体" w:eastAsia="方正仿宋_GBK"/>
          <w:sz w:val="24"/>
          <w:szCs w:val="24"/>
        </w:rPr>
        <w:t>；</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w:t>
      </w:r>
      <w:r>
        <w:rPr>
          <w:rFonts w:ascii="方正仿宋_GBK" w:hAnsi="宋体" w:eastAsia="方正仿宋_GBK"/>
          <w:sz w:val="24"/>
          <w:szCs w:val="24"/>
        </w:rPr>
        <w:t>中华人民共和国海事局《内河船舶法定检验技术规则》（2019）</w:t>
      </w:r>
      <w:r>
        <w:rPr>
          <w:rFonts w:hint="eastAsia" w:ascii="方正仿宋_GBK" w:hAnsi="宋体" w:eastAsia="方正仿宋_GBK"/>
          <w:sz w:val="24"/>
          <w:szCs w:val="24"/>
        </w:rPr>
        <w:t>；</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（3）其他相关规范。</w:t>
      </w:r>
    </w:p>
    <w:p>
      <w:pPr>
        <w:pStyle w:val="2"/>
        <w:adjustRightInd w:val="0"/>
        <w:snapToGrid w:val="0"/>
        <w:spacing w:before="0" w:after="0" w:line="400" w:lineRule="exact"/>
        <w:ind w:firstLine="482" w:firstLineChars="200"/>
        <w:rPr>
          <w:rFonts w:ascii="方正仿宋_GBK" w:hAnsi="宋体" w:eastAsia="方正仿宋_GBK"/>
          <w:sz w:val="24"/>
        </w:rPr>
      </w:pPr>
      <w:bookmarkStart w:id="55" w:name="_Toc344475116"/>
      <w:bookmarkStart w:id="56" w:name="_Toc313536013"/>
      <w:bookmarkStart w:id="57" w:name="_Toc106030881"/>
      <w:bookmarkStart w:id="58" w:name="_Toc76462326"/>
      <w:r>
        <w:rPr>
          <w:rFonts w:hint="eastAsia" w:ascii="方正仿宋_GBK" w:hAnsi="宋体" w:eastAsia="方正仿宋_GBK"/>
          <w:sz w:val="24"/>
        </w:rPr>
        <w:t>三、服务及质量</w:t>
      </w:r>
      <w:bookmarkEnd w:id="55"/>
      <w:bookmarkEnd w:id="56"/>
      <w:r>
        <w:rPr>
          <w:rFonts w:hint="eastAsia" w:ascii="方正仿宋_GBK" w:hAnsi="宋体" w:eastAsia="方正仿宋_GBK"/>
          <w:sz w:val="24"/>
        </w:rPr>
        <w:t>需求</w:t>
      </w:r>
      <w:bookmarkEnd w:id="57"/>
      <w:bookmarkEnd w:id="58"/>
    </w:p>
    <w:p>
      <w:pPr>
        <w:adjustRightInd w:val="0"/>
        <w:snapToGrid w:val="0"/>
        <w:spacing w:line="400" w:lineRule="exact"/>
        <w:ind w:firstLine="480" w:firstLineChars="200"/>
        <w:jc w:val="left"/>
        <w:rPr>
          <w:rFonts w:ascii="方正仿宋_GBK" w:hAnsi="宋体" w:eastAsia="方正仿宋_GBK"/>
          <w:sz w:val="24"/>
          <w:szCs w:val="24"/>
        </w:rPr>
      </w:pPr>
      <w:bookmarkStart w:id="59" w:name="_Toc480558624"/>
      <w:r>
        <w:rPr>
          <w:rFonts w:hint="eastAsia" w:ascii="方正仿宋_GBK" w:hAnsi="宋体" w:eastAsia="方正仿宋_GBK"/>
          <w:sz w:val="24"/>
          <w:szCs w:val="24"/>
        </w:rPr>
        <w:t>1.质量要求：按相关规定、规范完成采购人要求设计工作，编制的技术资料如需要船舶检验机构认可的必须通过船检机构认可，如需要船舶检验机构审批的必须通过船检机构审批。</w:t>
      </w:r>
    </w:p>
    <w:p>
      <w:pPr>
        <w:adjustRightInd w:val="0"/>
        <w:snapToGrid w:val="0"/>
        <w:spacing w:line="400" w:lineRule="exact"/>
        <w:ind w:firstLine="480" w:firstLineChars="200"/>
        <w:jc w:val="left"/>
        <w:rPr>
          <w:rFonts w:ascii="方正仿宋_GBK" w:hAnsi="宋体" w:eastAsia="方正仿宋_GBK"/>
          <w:color w:val="FF0000"/>
          <w:sz w:val="24"/>
          <w:szCs w:val="24"/>
        </w:rPr>
      </w:pPr>
      <w:r>
        <w:rPr>
          <w:rFonts w:hint="eastAsia" w:ascii="方正仿宋_GBK" w:hAnsi="宋体" w:eastAsia="方正仿宋_GBK"/>
          <w:sz w:val="24"/>
          <w:szCs w:val="24"/>
        </w:rPr>
        <w:t>2.质量保修期：无</w:t>
      </w:r>
    </w:p>
    <w:p>
      <w:pPr>
        <w:pStyle w:val="2"/>
        <w:adjustRightInd w:val="0"/>
        <w:snapToGrid w:val="0"/>
        <w:spacing w:before="0" w:after="0" w:line="400" w:lineRule="exact"/>
        <w:ind w:firstLine="482" w:firstLineChars="200"/>
        <w:rPr>
          <w:rFonts w:ascii="方正仿宋_GBK" w:hAnsi="宋体" w:eastAsia="方正仿宋_GBK"/>
          <w:sz w:val="24"/>
        </w:rPr>
      </w:pPr>
      <w:r>
        <w:rPr>
          <w:rFonts w:hint="eastAsia" w:ascii="方正仿宋_GBK" w:hAnsi="宋体" w:eastAsia="方正仿宋_GBK"/>
          <w:sz w:val="24"/>
        </w:rPr>
        <w:t>四、服务项目清单</w:t>
      </w:r>
    </w:p>
    <w:tbl>
      <w:tblPr>
        <w:tblStyle w:val="11"/>
        <w:tblpPr w:leftFromText="180" w:rightFromText="180" w:vertAnchor="text" w:horzAnchor="page" w:tblpX="1725" w:tblpY="460"/>
        <w:tblOverlap w:val="never"/>
        <w:tblW w:w="8588" w:type="dxa"/>
        <w:tblInd w:w="0" w:type="dxa"/>
        <w:tblLayout w:type="fixed"/>
        <w:tblCellMar>
          <w:top w:w="0" w:type="dxa"/>
          <w:left w:w="108" w:type="dxa"/>
          <w:bottom w:w="0" w:type="dxa"/>
          <w:right w:w="108" w:type="dxa"/>
        </w:tblCellMar>
      </w:tblPr>
      <w:tblGrid>
        <w:gridCol w:w="828"/>
        <w:gridCol w:w="4485"/>
        <w:gridCol w:w="1605"/>
        <w:gridCol w:w="1670"/>
      </w:tblGrid>
      <w:tr>
        <w:tblPrEx>
          <w:tblCellMar>
            <w:top w:w="0" w:type="dxa"/>
            <w:left w:w="108" w:type="dxa"/>
            <w:bottom w:w="0" w:type="dxa"/>
            <w:right w:w="108" w:type="dxa"/>
          </w:tblCellMar>
        </w:tblPrEx>
        <w:trPr>
          <w:trHeight w:val="400" w:hRule="atLeast"/>
        </w:trPr>
        <w:tc>
          <w:tcPr>
            <w:tcW w:w="82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序号</w:t>
            </w:r>
          </w:p>
        </w:tc>
        <w:tc>
          <w:tcPr>
            <w:tcW w:w="44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ind w:firstLine="480" w:firstLineChars="200"/>
              <w:jc w:val="center"/>
              <w:rPr>
                <w:rFonts w:ascii="方正仿宋_GBK" w:hAnsi="宋体" w:eastAsia="方正仿宋_GBK"/>
                <w:sz w:val="24"/>
                <w:szCs w:val="24"/>
              </w:rPr>
            </w:pPr>
            <w:r>
              <w:rPr>
                <w:rFonts w:hint="eastAsia" w:ascii="方正仿宋_GBK" w:hAnsi="宋体" w:eastAsia="方正仿宋_GBK"/>
                <w:sz w:val="24"/>
                <w:szCs w:val="24"/>
              </w:rPr>
              <w:t>分部分项工程名称</w:t>
            </w:r>
          </w:p>
        </w:tc>
        <w:tc>
          <w:tcPr>
            <w:tcW w:w="16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ind w:firstLine="480" w:firstLineChars="200"/>
              <w:jc w:val="center"/>
              <w:rPr>
                <w:rFonts w:ascii="方正仿宋_GBK" w:hAnsi="宋体" w:eastAsia="方正仿宋_GBK"/>
                <w:sz w:val="24"/>
                <w:szCs w:val="24"/>
              </w:rPr>
            </w:pPr>
            <w:r>
              <w:rPr>
                <w:rFonts w:hint="eastAsia" w:ascii="方正仿宋_GBK" w:hAnsi="宋体" w:eastAsia="方正仿宋_GBK"/>
                <w:sz w:val="24"/>
                <w:szCs w:val="24"/>
              </w:rPr>
              <w:t>单位</w:t>
            </w:r>
          </w:p>
        </w:tc>
        <w:tc>
          <w:tcPr>
            <w:tcW w:w="16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工程数量</w:t>
            </w:r>
          </w:p>
        </w:tc>
      </w:tr>
      <w:tr>
        <w:tblPrEx>
          <w:tblCellMar>
            <w:top w:w="0" w:type="dxa"/>
            <w:left w:w="108" w:type="dxa"/>
            <w:bottom w:w="0" w:type="dxa"/>
            <w:right w:w="108" w:type="dxa"/>
          </w:tblCellMar>
        </w:tblPrEx>
        <w:trPr>
          <w:trHeight w:val="400" w:hRule="atLeast"/>
        </w:trPr>
        <w:tc>
          <w:tcPr>
            <w:tcW w:w="8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ind w:firstLine="480" w:firstLineChars="200"/>
              <w:jc w:val="center"/>
              <w:rPr>
                <w:rFonts w:ascii="方正仿宋_GBK" w:hAnsi="宋体" w:eastAsia="方正仿宋_GBK"/>
                <w:sz w:val="24"/>
                <w:szCs w:val="24"/>
              </w:rPr>
            </w:pPr>
          </w:p>
        </w:tc>
        <w:tc>
          <w:tcPr>
            <w:tcW w:w="44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ind w:firstLine="480" w:firstLineChars="200"/>
              <w:jc w:val="center"/>
              <w:rPr>
                <w:rFonts w:ascii="方正仿宋_GBK" w:hAnsi="宋体" w:eastAsia="方正仿宋_GBK"/>
                <w:sz w:val="24"/>
                <w:szCs w:val="24"/>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ind w:firstLine="480" w:firstLineChars="200"/>
              <w:jc w:val="center"/>
              <w:rPr>
                <w:rFonts w:ascii="方正仿宋_GBK" w:hAnsi="宋体" w:eastAsia="方正仿宋_GBK"/>
                <w:sz w:val="24"/>
                <w:szCs w:val="24"/>
              </w:rPr>
            </w:pPr>
          </w:p>
        </w:tc>
        <w:tc>
          <w:tcPr>
            <w:tcW w:w="16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ind w:firstLine="480" w:firstLineChars="200"/>
              <w:jc w:val="center"/>
              <w:rPr>
                <w:rFonts w:ascii="方正仿宋_GBK" w:hAnsi="宋体" w:eastAsia="方正仿宋_GBK"/>
                <w:sz w:val="24"/>
                <w:szCs w:val="24"/>
              </w:rPr>
            </w:pPr>
          </w:p>
        </w:tc>
      </w:tr>
      <w:tr>
        <w:tblPrEx>
          <w:tblCellMar>
            <w:top w:w="0" w:type="dxa"/>
            <w:left w:w="108" w:type="dxa"/>
            <w:bottom w:w="0" w:type="dxa"/>
            <w:right w:w="108" w:type="dxa"/>
          </w:tblCellMar>
        </w:tblPrEx>
        <w:trPr>
          <w:trHeight w:val="597"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lang w:eastAsia="zh-CN"/>
              </w:rPr>
              <w:t>渝合航</w:t>
            </w:r>
            <w:r>
              <w:rPr>
                <w:rFonts w:hint="eastAsia" w:ascii="方正仿宋_GBK" w:hAnsi="宋体" w:eastAsia="方正仿宋_GBK"/>
                <w:sz w:val="24"/>
                <w:szCs w:val="24"/>
                <w:lang w:val="en-US" w:eastAsia="zh-CN"/>
              </w:rPr>
              <w:t>2号</w:t>
            </w:r>
            <w:r>
              <w:rPr>
                <w:rFonts w:hint="eastAsia" w:ascii="方正仿宋_GBK" w:hAnsi="宋体" w:eastAsia="方正仿宋_GBK"/>
                <w:sz w:val="24"/>
                <w:szCs w:val="24"/>
              </w:rPr>
              <w:t>维修改造设计</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ind w:firstLine="480" w:firstLineChars="200"/>
              <w:jc w:val="center"/>
              <w:rPr>
                <w:rFonts w:ascii="方正仿宋_GBK" w:hAnsi="宋体" w:eastAsia="方正仿宋_GBK"/>
                <w:sz w:val="24"/>
                <w:szCs w:val="24"/>
              </w:rPr>
            </w:pPr>
            <w:r>
              <w:rPr>
                <w:rFonts w:hint="eastAsia" w:ascii="方正仿宋_GBK" w:hAnsi="宋体" w:eastAsia="方正仿宋_GBK"/>
                <w:sz w:val="24"/>
                <w:szCs w:val="24"/>
              </w:rPr>
              <w:t>项</w:t>
            </w:r>
          </w:p>
        </w:tc>
        <w:tc>
          <w:tcPr>
            <w:tcW w:w="1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1</w:t>
            </w:r>
          </w:p>
        </w:tc>
      </w:tr>
      <w:tr>
        <w:tblPrEx>
          <w:tblCellMar>
            <w:top w:w="0" w:type="dxa"/>
            <w:left w:w="108" w:type="dxa"/>
            <w:bottom w:w="0" w:type="dxa"/>
            <w:right w:w="108" w:type="dxa"/>
          </w:tblCellMar>
        </w:tblPrEx>
        <w:trPr>
          <w:trHeight w:val="530"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lang w:eastAsia="zh-CN"/>
              </w:rPr>
              <w:t>重航</w:t>
            </w:r>
            <w:r>
              <w:rPr>
                <w:rFonts w:hint="eastAsia" w:ascii="方正仿宋_GBK" w:hAnsi="宋体" w:eastAsia="方正仿宋_GBK"/>
                <w:sz w:val="24"/>
                <w:szCs w:val="24"/>
                <w:lang w:val="en-US" w:eastAsia="zh-CN"/>
              </w:rPr>
              <w:t>1号</w:t>
            </w:r>
            <w:r>
              <w:rPr>
                <w:rFonts w:hint="eastAsia" w:ascii="方正仿宋_GBK" w:hAnsi="宋体" w:eastAsia="方正仿宋_GBK"/>
                <w:sz w:val="24"/>
                <w:szCs w:val="24"/>
              </w:rPr>
              <w:t>维修改造设计</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ind w:firstLine="480" w:firstLineChars="200"/>
              <w:jc w:val="center"/>
              <w:rPr>
                <w:rFonts w:ascii="方正仿宋_GBK" w:hAnsi="宋体" w:eastAsia="方正仿宋_GBK"/>
                <w:sz w:val="24"/>
                <w:szCs w:val="24"/>
              </w:rPr>
            </w:pPr>
            <w:r>
              <w:rPr>
                <w:rFonts w:hint="eastAsia" w:ascii="方正仿宋_GBK" w:hAnsi="宋体" w:eastAsia="方正仿宋_GBK"/>
                <w:sz w:val="24"/>
                <w:szCs w:val="24"/>
              </w:rPr>
              <w:t>项</w:t>
            </w:r>
          </w:p>
        </w:tc>
        <w:tc>
          <w:tcPr>
            <w:tcW w:w="1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1</w:t>
            </w:r>
          </w:p>
        </w:tc>
      </w:tr>
      <w:tr>
        <w:tblPrEx>
          <w:tblCellMar>
            <w:top w:w="0" w:type="dxa"/>
            <w:left w:w="108" w:type="dxa"/>
            <w:bottom w:w="0" w:type="dxa"/>
            <w:right w:w="108" w:type="dxa"/>
          </w:tblCellMar>
        </w:tblPrEx>
        <w:trPr>
          <w:trHeight w:val="530"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jc w:val="center"/>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jc w:val="center"/>
              <w:rPr>
                <w:rFonts w:hint="default" w:ascii="方正仿宋_GBK" w:hAnsi="宋体" w:eastAsia="方正仿宋_GBK"/>
                <w:sz w:val="24"/>
                <w:szCs w:val="24"/>
                <w:lang w:val="en-US" w:eastAsia="zh-CN"/>
              </w:rPr>
            </w:pPr>
            <w:r>
              <w:rPr>
                <w:rFonts w:hint="eastAsia" w:ascii="方正仿宋_GBK" w:hAnsi="宋体" w:eastAsia="方正仿宋_GBK"/>
                <w:sz w:val="24"/>
                <w:szCs w:val="24"/>
                <w:lang w:eastAsia="zh-CN"/>
              </w:rPr>
              <w:t>渝港航挖</w:t>
            </w:r>
            <w:r>
              <w:rPr>
                <w:rFonts w:hint="eastAsia" w:ascii="方正仿宋_GBK" w:hAnsi="宋体" w:eastAsia="方正仿宋_GBK"/>
                <w:sz w:val="24"/>
                <w:szCs w:val="24"/>
                <w:lang w:val="en-US" w:eastAsia="zh-CN"/>
              </w:rPr>
              <w:t>2号维修改造设计</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ind w:firstLine="480" w:firstLineChars="200"/>
              <w:jc w:val="center"/>
              <w:rPr>
                <w:rFonts w:hint="eastAsia" w:ascii="方正仿宋_GBK" w:hAnsi="宋体" w:eastAsia="方正仿宋_GBK" w:cs="Times New Roman"/>
                <w:kern w:val="2"/>
                <w:sz w:val="24"/>
                <w:szCs w:val="24"/>
                <w:lang w:val="en-US" w:eastAsia="zh-CN" w:bidi="ar-SA"/>
              </w:rPr>
            </w:pPr>
            <w:r>
              <w:rPr>
                <w:rFonts w:hint="eastAsia" w:ascii="方正仿宋_GBK" w:hAnsi="宋体" w:eastAsia="方正仿宋_GBK"/>
                <w:sz w:val="24"/>
                <w:szCs w:val="24"/>
              </w:rPr>
              <w:t>项</w:t>
            </w:r>
          </w:p>
        </w:tc>
        <w:tc>
          <w:tcPr>
            <w:tcW w:w="1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jc w:val="center"/>
              <w:rPr>
                <w:rFonts w:hint="eastAsia" w:ascii="方正仿宋_GBK" w:hAnsi="宋体" w:eastAsia="方正仿宋_GBK" w:cs="Times New Roman"/>
                <w:kern w:val="2"/>
                <w:sz w:val="24"/>
                <w:szCs w:val="24"/>
                <w:lang w:val="en-US" w:eastAsia="zh-CN" w:bidi="ar-SA"/>
              </w:rPr>
            </w:pPr>
            <w:r>
              <w:rPr>
                <w:rFonts w:hint="eastAsia" w:ascii="方正仿宋_GBK" w:hAnsi="宋体" w:eastAsia="方正仿宋_GBK"/>
                <w:sz w:val="24"/>
                <w:szCs w:val="24"/>
              </w:rPr>
              <w:t>1</w:t>
            </w:r>
          </w:p>
        </w:tc>
      </w:tr>
    </w:tbl>
    <w:p/>
    <w:p>
      <w:pPr>
        <w:adjustRightInd w:val="0"/>
        <w:snapToGrid w:val="0"/>
        <w:spacing w:line="400" w:lineRule="exact"/>
        <w:ind w:firstLine="480" w:firstLineChars="200"/>
        <w:jc w:val="left"/>
        <w:rPr>
          <w:rFonts w:ascii="方正仿宋_GBK" w:hAnsi="宋体" w:eastAsia="方正仿宋_GBK"/>
          <w:sz w:val="24"/>
          <w:szCs w:val="24"/>
        </w:rPr>
      </w:pPr>
    </w:p>
    <w:bookmarkEnd w:id="59"/>
    <w:p>
      <w:pPr>
        <w:spacing w:line="400" w:lineRule="exact"/>
        <w:ind w:firstLine="480" w:firstLineChars="200"/>
        <w:rPr>
          <w:rFonts w:ascii="方正仿宋_GBK" w:hAnsi="宋体" w:eastAsia="方正仿宋_GBK"/>
          <w:sz w:val="24"/>
          <w:szCs w:val="24"/>
        </w:rPr>
      </w:pPr>
    </w:p>
    <w:p>
      <w:pPr>
        <w:spacing w:line="400" w:lineRule="exact"/>
        <w:ind w:firstLine="480" w:firstLineChars="200"/>
        <w:rPr>
          <w:rFonts w:ascii="方正仿宋_GBK" w:hAnsi="宋体" w:eastAsia="方正仿宋_GBK"/>
          <w:sz w:val="24"/>
          <w:szCs w:val="24"/>
        </w:rPr>
      </w:pPr>
    </w:p>
    <w:p>
      <w:pPr>
        <w:pStyle w:val="2"/>
        <w:spacing w:before="0" w:after="0" w:line="360" w:lineRule="auto"/>
        <w:jc w:val="center"/>
        <w:rPr>
          <w:rFonts w:ascii="方正小标宋_GBK" w:eastAsia="方正小标宋_GBK"/>
          <w:b w:val="0"/>
          <w:sz w:val="36"/>
          <w:szCs w:val="30"/>
        </w:rPr>
      </w:pPr>
      <w:r>
        <w:rPr>
          <w:rFonts w:ascii="方正小标宋_GBK" w:hAnsi="宋体" w:eastAsia="方正小标宋_GBK"/>
          <w:b w:val="0"/>
          <w:sz w:val="36"/>
          <w:szCs w:val="30"/>
        </w:rPr>
        <w:br w:type="page"/>
      </w:r>
      <w:bookmarkStart w:id="60" w:name="_Toc13356"/>
      <w:bookmarkStart w:id="61" w:name="_Toc15492"/>
      <w:bookmarkStart w:id="62" w:name="_Toc65660341"/>
      <w:bookmarkStart w:id="63" w:name="_Toc523"/>
      <w:bookmarkStart w:id="64" w:name="_Toc106034781"/>
      <w:r>
        <w:rPr>
          <w:rFonts w:hint="eastAsia" w:ascii="方正小标宋_GBK" w:eastAsia="方正小标宋_GBK"/>
          <w:b w:val="0"/>
          <w:sz w:val="36"/>
          <w:szCs w:val="30"/>
        </w:rPr>
        <w:t xml:space="preserve">第三篇  </w:t>
      </w:r>
      <w:bookmarkEnd w:id="52"/>
      <w:r>
        <w:rPr>
          <w:rFonts w:hint="eastAsia" w:ascii="方正小标宋_GBK" w:eastAsia="方正小标宋_GBK"/>
          <w:b w:val="0"/>
          <w:sz w:val="36"/>
          <w:szCs w:val="30"/>
        </w:rPr>
        <w:t>项目</w:t>
      </w:r>
      <w:bookmarkEnd w:id="60"/>
      <w:bookmarkEnd w:id="61"/>
      <w:bookmarkEnd w:id="62"/>
      <w:bookmarkEnd w:id="63"/>
      <w:r>
        <w:rPr>
          <w:rFonts w:hint="eastAsia" w:ascii="方正小标宋_GBK" w:eastAsia="方正小标宋_GBK"/>
          <w:b w:val="0"/>
          <w:sz w:val="36"/>
          <w:szCs w:val="30"/>
        </w:rPr>
        <w:t>商务需求</w:t>
      </w:r>
      <w:bookmarkEnd w:id="64"/>
    </w:p>
    <w:p>
      <w:pPr>
        <w:pStyle w:val="2"/>
        <w:adjustRightInd w:val="0"/>
        <w:snapToGrid w:val="0"/>
        <w:spacing w:before="0" w:after="0" w:line="400" w:lineRule="exact"/>
        <w:ind w:firstLine="482" w:firstLineChars="200"/>
        <w:rPr>
          <w:rFonts w:ascii="方正仿宋_GBK" w:hAnsi="宋体" w:eastAsia="方正仿宋_GBK"/>
          <w:sz w:val="24"/>
        </w:rPr>
      </w:pPr>
      <w:bookmarkStart w:id="65" w:name="_Toc13555"/>
      <w:bookmarkStart w:id="66" w:name="_Toc65660342"/>
      <w:bookmarkStart w:id="67" w:name="_Toc106034782"/>
      <w:bookmarkStart w:id="68" w:name="_Toc12935"/>
      <w:bookmarkStart w:id="69" w:name="_Toc17750"/>
      <w:bookmarkStart w:id="70" w:name="_Toc342913389"/>
      <w:r>
        <w:rPr>
          <w:rFonts w:hint="eastAsia" w:ascii="方正仿宋_GBK" w:hAnsi="宋体" w:eastAsia="方正仿宋_GBK"/>
          <w:sz w:val="24"/>
        </w:rPr>
        <w:t>一、服务期、地点及验收方式</w:t>
      </w:r>
      <w:bookmarkEnd w:id="65"/>
      <w:bookmarkEnd w:id="66"/>
      <w:bookmarkEnd w:id="67"/>
      <w:bookmarkEnd w:id="68"/>
      <w:bookmarkEnd w:id="69"/>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（一）服务期：</w:t>
      </w:r>
      <w:r>
        <w:rPr>
          <w:rFonts w:hint="eastAsia" w:ascii="方正仿宋_GBK" w:hAnsi="宋体" w:eastAsia="方正仿宋_GBK"/>
          <w:color w:val="000000" w:themeColor="text1"/>
          <w:sz w:val="24"/>
          <w:szCs w:val="24"/>
          <w:lang w:val="en-US" w:eastAsia="zh-CN"/>
          <w14:textFill>
            <w14:solidFill>
              <w14:schemeClr w14:val="tx1"/>
            </w14:solidFill>
          </w14:textFill>
        </w:rPr>
        <w:t>2025年4月30日前提交成果资料，服务期为合同签订后至</w:t>
      </w:r>
      <w:r>
        <w:rPr>
          <w:rFonts w:hint="eastAsia" w:ascii="方正仿宋_GBK" w:hAnsi="宋体" w:eastAsia="方正仿宋_GBK"/>
          <w:sz w:val="24"/>
          <w:szCs w:val="24"/>
        </w:rPr>
        <w:t>渝合航2号、重航1号、渝港航挖2号</w:t>
      </w:r>
      <w:r>
        <w:rPr>
          <w:rFonts w:hint="eastAsia" w:ascii="方正仿宋_GBK" w:hAnsi="宋体" w:eastAsia="方正仿宋_GBK"/>
          <w:sz w:val="24"/>
          <w:szCs w:val="24"/>
          <w:lang w:eastAsia="zh-CN"/>
        </w:rPr>
        <w:t>三艘船舶</w:t>
      </w:r>
      <w:r>
        <w:rPr>
          <w:rFonts w:hint="eastAsia" w:ascii="方正仿宋_GBK" w:hAnsi="宋体" w:eastAsia="方正仿宋_GBK"/>
          <w:sz w:val="24"/>
          <w:szCs w:val="24"/>
        </w:rPr>
        <w:t>维修改造完成。</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（二）服务地点：钓鱼城航道基地、</w:t>
      </w:r>
      <w:r>
        <w:rPr>
          <w:rFonts w:hint="eastAsia" w:ascii="方正仿宋_GBK" w:hAnsi="宋体" w:eastAsia="方正仿宋_GBK"/>
          <w:sz w:val="24"/>
          <w:szCs w:val="24"/>
          <w:lang w:eastAsia="zh-CN"/>
        </w:rPr>
        <w:t>中心港</w:t>
      </w:r>
      <w:r>
        <w:rPr>
          <w:rFonts w:hint="eastAsia" w:ascii="方正仿宋_GBK" w:hAnsi="宋体" w:eastAsia="方正仿宋_GBK"/>
          <w:sz w:val="24"/>
          <w:szCs w:val="24"/>
        </w:rPr>
        <w:t>航道基地。</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（三）验收方式：供应商</w:t>
      </w:r>
      <w:r>
        <w:rPr>
          <w:rFonts w:hint="eastAsia" w:ascii="方正仿宋_GBK" w:hAnsi="宋体" w:eastAsia="方正仿宋_GBK"/>
          <w:sz w:val="24"/>
          <w:szCs w:val="24"/>
          <w:lang w:eastAsia="zh-CN"/>
        </w:rPr>
        <w:t>提供</w:t>
      </w:r>
      <w:r>
        <w:rPr>
          <w:rFonts w:hint="eastAsia" w:ascii="方正仿宋_GBK" w:hAnsi="宋体" w:eastAsia="方正仿宋_GBK"/>
          <w:sz w:val="24"/>
          <w:szCs w:val="24"/>
        </w:rPr>
        <w:t>满足采购人的需求并通过船舶检验机构的认可或审批</w:t>
      </w:r>
      <w:r>
        <w:rPr>
          <w:rFonts w:hint="eastAsia" w:ascii="方正仿宋_GBK" w:hAnsi="宋体" w:eastAsia="方正仿宋_GBK"/>
          <w:sz w:val="24"/>
          <w:szCs w:val="24"/>
          <w:lang w:eastAsia="zh-CN"/>
        </w:rPr>
        <w:t>（如有需要）</w:t>
      </w:r>
      <w:r>
        <w:rPr>
          <w:rFonts w:hint="eastAsia" w:ascii="方正仿宋_GBK" w:hAnsi="宋体" w:eastAsia="方正仿宋_GBK"/>
          <w:sz w:val="24"/>
          <w:szCs w:val="24"/>
        </w:rPr>
        <w:t>的技术资料。</w:t>
      </w:r>
    </w:p>
    <w:p>
      <w:pPr>
        <w:pStyle w:val="2"/>
        <w:adjustRightInd w:val="0"/>
        <w:snapToGrid w:val="0"/>
        <w:spacing w:before="0" w:after="0" w:line="400" w:lineRule="exact"/>
        <w:ind w:firstLine="482" w:firstLineChars="200"/>
        <w:rPr>
          <w:rFonts w:ascii="方正仿宋_GBK" w:hAnsi="宋体" w:eastAsia="方正仿宋_GBK"/>
          <w:sz w:val="24"/>
        </w:rPr>
      </w:pPr>
      <w:bookmarkStart w:id="71" w:name="_Toc8103"/>
      <w:bookmarkStart w:id="72" w:name="_Toc24110"/>
      <w:bookmarkStart w:id="73" w:name="_Toc106034783"/>
      <w:bookmarkStart w:id="74" w:name="_Toc1838"/>
      <w:bookmarkStart w:id="75" w:name="_Toc65660343"/>
      <w:r>
        <w:rPr>
          <w:rFonts w:hint="eastAsia" w:ascii="方正仿宋_GBK" w:hAnsi="宋体" w:eastAsia="方正仿宋_GBK"/>
          <w:sz w:val="24"/>
        </w:rPr>
        <w:t>二、质量保证</w:t>
      </w:r>
      <w:bookmarkEnd w:id="71"/>
      <w:bookmarkEnd w:id="72"/>
      <w:bookmarkEnd w:id="73"/>
      <w:bookmarkEnd w:id="74"/>
      <w:bookmarkEnd w:id="75"/>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（一）服务质量保证期：</w:t>
      </w:r>
      <w:r>
        <w:rPr>
          <w:rFonts w:hint="eastAsia" w:ascii="方正仿宋_GBK" w:hAnsi="宋体" w:eastAsia="方正仿宋_GBK"/>
          <w:color w:val="000000" w:themeColor="text1"/>
          <w:sz w:val="24"/>
          <w:szCs w:val="24"/>
          <w14:textFill>
            <w14:solidFill>
              <w14:schemeClr w14:val="tx1"/>
            </w14:solidFill>
          </w14:textFill>
        </w:rPr>
        <w:t>无</w:t>
      </w:r>
    </w:p>
    <w:p>
      <w:pPr>
        <w:pStyle w:val="2"/>
        <w:adjustRightInd w:val="0"/>
        <w:snapToGrid w:val="0"/>
        <w:spacing w:before="0" w:after="0" w:line="400" w:lineRule="exact"/>
        <w:ind w:firstLine="482" w:firstLineChars="200"/>
        <w:rPr>
          <w:rFonts w:ascii="方正仿宋_GBK" w:hAnsi="宋体" w:eastAsia="方正仿宋_GBK"/>
          <w:sz w:val="24"/>
        </w:rPr>
      </w:pPr>
      <w:bookmarkStart w:id="76" w:name="_Toc16974"/>
      <w:bookmarkStart w:id="77" w:name="_Toc12184"/>
      <w:bookmarkStart w:id="78" w:name="_Toc65660344"/>
      <w:bookmarkStart w:id="79" w:name="_Toc122"/>
      <w:bookmarkStart w:id="80" w:name="_Toc106034784"/>
      <w:r>
        <w:rPr>
          <w:rFonts w:hint="eastAsia" w:ascii="方正仿宋_GBK" w:hAnsi="宋体" w:eastAsia="方正仿宋_GBK"/>
          <w:sz w:val="24"/>
        </w:rPr>
        <w:t>三、报价要求</w:t>
      </w:r>
      <w:bookmarkEnd w:id="76"/>
      <w:bookmarkEnd w:id="77"/>
      <w:bookmarkEnd w:id="78"/>
      <w:bookmarkEnd w:id="79"/>
      <w:bookmarkEnd w:id="80"/>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本项目采取固定总价的报价方式，报价须为人民币报价，包括完成本项目所需的人工费、材料费、差旅费、安全环保费用以及各种应纳的税费</w:t>
      </w:r>
      <w:r>
        <w:rPr>
          <w:rFonts w:ascii="方正仿宋_GBK" w:hAnsi="宋体" w:eastAsia="方正仿宋_GBK"/>
          <w:sz w:val="24"/>
          <w:szCs w:val="24"/>
        </w:rPr>
        <w:t>。</w:t>
      </w:r>
      <w:r>
        <w:rPr>
          <w:rFonts w:hint="eastAsia" w:ascii="方正仿宋_GBK" w:hAnsi="宋体" w:eastAsia="方正仿宋_GBK"/>
          <w:sz w:val="24"/>
          <w:szCs w:val="24"/>
        </w:rPr>
        <w:t>因成交供应商自身原因造成漏报、少报皆由其自行承担责任，采购人不再补偿。</w:t>
      </w:r>
    </w:p>
    <w:p>
      <w:pPr>
        <w:pStyle w:val="2"/>
        <w:adjustRightInd w:val="0"/>
        <w:snapToGrid w:val="0"/>
        <w:spacing w:before="0" w:after="0" w:line="400" w:lineRule="exact"/>
        <w:ind w:firstLine="482" w:firstLineChars="200"/>
        <w:rPr>
          <w:rFonts w:ascii="方正仿宋_GBK" w:hAnsi="宋体" w:eastAsia="方正仿宋_GBK"/>
          <w:sz w:val="24"/>
          <w:szCs w:val="24"/>
        </w:rPr>
      </w:pPr>
      <w:bookmarkStart w:id="81" w:name="_Toc7562"/>
      <w:bookmarkStart w:id="82" w:name="_Toc9192"/>
      <w:bookmarkStart w:id="83" w:name="_Toc106034785"/>
      <w:bookmarkStart w:id="84" w:name="_Toc11000"/>
      <w:bookmarkStart w:id="85" w:name="_Toc65660345"/>
      <w:r>
        <w:rPr>
          <w:rFonts w:hint="eastAsia" w:ascii="方正仿宋_GBK" w:hAnsi="宋体" w:eastAsia="方正仿宋_GBK"/>
          <w:sz w:val="24"/>
          <w:szCs w:val="24"/>
        </w:rPr>
        <w:t>四、付款方式</w:t>
      </w:r>
      <w:bookmarkEnd w:id="81"/>
      <w:bookmarkEnd w:id="82"/>
      <w:bookmarkEnd w:id="83"/>
      <w:bookmarkEnd w:id="84"/>
      <w:bookmarkEnd w:id="85"/>
    </w:p>
    <w:p>
      <w:pPr>
        <w:adjustRightInd w:val="0"/>
        <w:snapToGrid w:val="0"/>
        <w:spacing w:line="400" w:lineRule="exact"/>
        <w:ind w:firstLine="480" w:firstLineChars="200"/>
        <w:jc w:val="left"/>
        <w:rPr>
          <w:rFonts w:ascii="方正仿宋_GBK" w:hAnsi="宋体" w:eastAsia="方正仿宋_GBK"/>
          <w:sz w:val="24"/>
          <w:szCs w:val="24"/>
        </w:rPr>
      </w:pPr>
      <w:bookmarkStart w:id="86" w:name="OLE_LINK3"/>
      <w:bookmarkStart w:id="87" w:name="OLE_LINK4"/>
      <w:r>
        <w:rPr>
          <w:rFonts w:hint="eastAsia" w:ascii="方正仿宋_GBK" w:hAnsi="宋体" w:eastAsia="方正仿宋_GBK"/>
          <w:sz w:val="24"/>
          <w:szCs w:val="24"/>
        </w:rPr>
        <w:t>供应商</w:t>
      </w:r>
      <w:r>
        <w:rPr>
          <w:rFonts w:hint="eastAsia" w:ascii="方正仿宋_GBK" w:hAnsi="宋体" w:eastAsia="方正仿宋_GBK"/>
          <w:sz w:val="24"/>
          <w:szCs w:val="24"/>
          <w:lang w:eastAsia="zh-CN"/>
        </w:rPr>
        <w:t>提供</w:t>
      </w:r>
      <w:r>
        <w:rPr>
          <w:rFonts w:hint="eastAsia" w:ascii="方正仿宋_GBK" w:hAnsi="宋体" w:eastAsia="方正仿宋_GBK"/>
          <w:sz w:val="24"/>
          <w:szCs w:val="24"/>
        </w:rPr>
        <w:t>满足采购人的需求并通过船舶检验机构的认可或审批</w:t>
      </w:r>
      <w:r>
        <w:rPr>
          <w:rFonts w:hint="eastAsia" w:ascii="方正仿宋_GBK" w:hAnsi="宋体" w:eastAsia="方正仿宋_GBK"/>
          <w:sz w:val="24"/>
          <w:szCs w:val="24"/>
          <w:lang w:eastAsia="zh-CN"/>
        </w:rPr>
        <w:t>（如有需要）</w:t>
      </w:r>
      <w:r>
        <w:rPr>
          <w:rFonts w:hint="eastAsia" w:ascii="方正仿宋_GBK" w:hAnsi="宋体" w:eastAsia="方正仿宋_GBK"/>
          <w:sz w:val="24"/>
          <w:szCs w:val="24"/>
        </w:rPr>
        <w:t>的技术资料</w:t>
      </w:r>
      <w:r>
        <w:rPr>
          <w:rFonts w:hint="eastAsia" w:ascii="方正仿宋_GBK" w:hAnsi="宋体" w:eastAsia="方正仿宋_GBK"/>
          <w:sz w:val="24"/>
          <w:szCs w:val="24"/>
          <w:lang w:eastAsia="zh-CN"/>
        </w:rPr>
        <w:t>之后</w:t>
      </w:r>
      <w:r>
        <w:rPr>
          <w:rFonts w:hint="eastAsia" w:ascii="方正仿宋_GBK" w:hAnsi="宋体" w:eastAsia="方正仿宋_GBK"/>
          <w:sz w:val="24"/>
          <w:szCs w:val="24"/>
        </w:rPr>
        <w:t>，供应商开具相应金额发票，采购人凭发票一次性支付全部合同款。</w:t>
      </w:r>
    </w:p>
    <w:bookmarkEnd w:id="86"/>
    <w:bookmarkEnd w:id="87"/>
    <w:p>
      <w:pPr>
        <w:pStyle w:val="2"/>
        <w:adjustRightInd w:val="0"/>
        <w:snapToGrid w:val="0"/>
        <w:spacing w:before="0" w:after="0" w:line="400" w:lineRule="exact"/>
        <w:ind w:firstLine="482" w:firstLineChars="200"/>
        <w:rPr>
          <w:rFonts w:ascii="方正仿宋_GBK" w:hAnsi="宋体" w:eastAsia="方正仿宋_GBK"/>
          <w:sz w:val="24"/>
        </w:rPr>
      </w:pPr>
      <w:bookmarkStart w:id="88" w:name="_Toc24751"/>
      <w:bookmarkStart w:id="89" w:name="_Toc65660346"/>
      <w:bookmarkStart w:id="90" w:name="_Toc106034786"/>
      <w:bookmarkStart w:id="91" w:name="_Toc7228"/>
      <w:bookmarkStart w:id="92" w:name="_Toc3786"/>
      <w:r>
        <w:rPr>
          <w:rFonts w:hint="eastAsia" w:ascii="方正仿宋_GBK" w:hAnsi="宋体" w:eastAsia="方正仿宋_GBK"/>
          <w:sz w:val="24"/>
        </w:rPr>
        <w:t>五、知识产权</w:t>
      </w:r>
      <w:bookmarkEnd w:id="88"/>
      <w:bookmarkEnd w:id="89"/>
      <w:bookmarkEnd w:id="90"/>
      <w:bookmarkEnd w:id="91"/>
      <w:bookmarkEnd w:id="92"/>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本项目知识产权归采购人所有。</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2"/>
        <w:adjustRightInd w:val="0"/>
        <w:snapToGrid w:val="0"/>
        <w:spacing w:before="0" w:after="0" w:line="400" w:lineRule="exact"/>
        <w:ind w:firstLine="482" w:firstLineChars="200"/>
        <w:rPr>
          <w:rFonts w:ascii="方正仿宋_GBK" w:hAnsi="宋体" w:eastAsia="方正仿宋_GBK"/>
          <w:sz w:val="24"/>
        </w:rPr>
      </w:pPr>
      <w:bookmarkStart w:id="93" w:name="_Toc6869"/>
      <w:bookmarkStart w:id="94" w:name="_Toc5555"/>
      <w:bookmarkStart w:id="95" w:name="_Toc106034787"/>
      <w:bookmarkStart w:id="96" w:name="_Toc65660347"/>
      <w:bookmarkStart w:id="97" w:name="_Toc6565"/>
      <w:r>
        <w:rPr>
          <w:rFonts w:hint="eastAsia" w:ascii="方正仿宋_GBK" w:hAnsi="宋体" w:eastAsia="方正仿宋_GBK"/>
          <w:sz w:val="24"/>
        </w:rPr>
        <w:t>六、培训</w:t>
      </w:r>
      <w:bookmarkEnd w:id="93"/>
      <w:bookmarkEnd w:id="94"/>
      <w:bookmarkEnd w:id="95"/>
      <w:bookmarkEnd w:id="96"/>
      <w:bookmarkEnd w:id="97"/>
    </w:p>
    <w:p>
      <w:pPr>
        <w:snapToGrid w:val="0"/>
        <w:spacing w:line="400" w:lineRule="exact"/>
        <w:ind w:firstLine="540"/>
        <w:rPr>
          <w:rFonts w:ascii="方正仿宋_GBK" w:hAnsi="宋体" w:eastAsia="方正仿宋_GBK"/>
          <w:sz w:val="24"/>
          <w:szCs w:val="24"/>
        </w:rPr>
      </w:pPr>
      <w:r>
        <w:rPr>
          <w:rFonts w:hint="eastAsia" w:ascii="方正仿宋_GBK" w:hAnsi="宋体" w:eastAsia="方正仿宋_GBK"/>
          <w:sz w:val="24"/>
          <w:szCs w:val="24"/>
        </w:rPr>
        <w:t>无。</w:t>
      </w:r>
    </w:p>
    <w:p>
      <w:pPr>
        <w:pStyle w:val="2"/>
        <w:adjustRightInd w:val="0"/>
        <w:snapToGrid w:val="0"/>
        <w:spacing w:before="0" w:after="0" w:line="400" w:lineRule="exact"/>
        <w:ind w:firstLine="482" w:firstLineChars="200"/>
        <w:jc w:val="left"/>
        <w:rPr>
          <w:rFonts w:ascii="方正仿宋_GBK" w:hAnsi="方正仿宋_GBK" w:eastAsia="方正仿宋_GBK" w:cs="方正仿宋_GBK"/>
          <w:sz w:val="24"/>
        </w:rPr>
      </w:pPr>
      <w:bookmarkStart w:id="98" w:name="_Toc25707"/>
      <w:bookmarkStart w:id="99" w:name="_Toc947"/>
      <w:bookmarkStart w:id="100" w:name="_Toc108013105"/>
      <w:bookmarkStart w:id="101" w:name="_Toc19427"/>
      <w:bookmarkStart w:id="102" w:name="_Toc18104"/>
      <w:bookmarkStart w:id="103" w:name="_Toc31910"/>
      <w:bookmarkStart w:id="104" w:name="_Toc2954"/>
      <w:bookmarkStart w:id="105" w:name="_Toc466546918"/>
      <w:bookmarkStart w:id="106" w:name="_Toc23902"/>
      <w:bookmarkStart w:id="107" w:name="_Toc21248"/>
      <w:bookmarkStart w:id="108" w:name="_Toc106034788"/>
      <w:bookmarkStart w:id="109" w:name="_Toc65660348"/>
      <w:bookmarkStart w:id="110" w:name="_Toc31659"/>
      <w:r>
        <w:rPr>
          <w:rFonts w:hint="eastAsia" w:ascii="方正仿宋_GBK" w:hAnsi="方正仿宋_GBK" w:eastAsia="方正仿宋_GBK" w:cs="方正仿宋_GBK"/>
          <w:sz w:val="24"/>
        </w:rPr>
        <w:t>七、项目风险管控</w:t>
      </w:r>
      <w:bookmarkEnd w:id="98"/>
      <w:bookmarkEnd w:id="99"/>
      <w:bookmarkEnd w:id="100"/>
      <w:bookmarkEnd w:id="101"/>
      <w:bookmarkEnd w:id="102"/>
      <w:bookmarkEnd w:id="103"/>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本项目采购过程和合同履行过程中，如遇国家政策变化、实施环境变化、重大技术变化、预算项目调整等情况，按下列方式处置：</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1.处于采购过程中的，如果相关变化将导致采购任务取消的，应当按照《中华人民共和国政府采购法》第三十六条规定，取消采购任务，作废标处理；</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2.采购已经完成，尚未签订合同的，如果相关变化导致不能实现合同目的，按不可抗力事件处理，取消采购任务，采购人与供应商不再签订合同；</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bookmarkStart w:id="111" w:name="_Toc6830"/>
      <w:r>
        <w:rPr>
          <w:rFonts w:hint="eastAsia" w:ascii="方正仿宋_GBK" w:hAnsi="方正仿宋_GBK" w:eastAsia="方正仿宋_GBK" w:cs="方正仿宋_GBK"/>
          <w:sz w:val="24"/>
          <w:szCs w:val="24"/>
        </w:rPr>
        <w:t>3.合同已签订的，如果相关变化导致不能实现合同目的或合同价款等实质性条款变化，针对变化部分按不可抗力事件处理，采购人与供应商协商后解除合同或签订补充协议。</w:t>
      </w:r>
      <w:bookmarkEnd w:id="104"/>
      <w:bookmarkEnd w:id="105"/>
      <w:bookmarkEnd w:id="111"/>
    </w:p>
    <w:p>
      <w:pPr>
        <w:pStyle w:val="2"/>
        <w:adjustRightInd w:val="0"/>
        <w:snapToGrid w:val="0"/>
        <w:spacing w:before="0" w:after="0" w:line="400" w:lineRule="exact"/>
        <w:ind w:firstLine="482" w:firstLineChars="200"/>
        <w:rPr>
          <w:rFonts w:ascii="方正仿宋_GBK" w:hAnsi="方正仿宋_GBK" w:eastAsia="方正仿宋_GBK" w:cs="方正仿宋_GBK"/>
          <w:sz w:val="24"/>
        </w:rPr>
      </w:pPr>
      <w:r>
        <w:rPr>
          <w:rFonts w:hint="eastAsia" w:ascii="方正仿宋_GBK" w:hAnsi="宋体" w:eastAsia="方正仿宋_GBK"/>
          <w:sz w:val="24"/>
        </w:rPr>
        <w:t>八、</w:t>
      </w:r>
      <w:r>
        <w:rPr>
          <w:rFonts w:hint="eastAsia" w:ascii="方正仿宋_GBK" w:hAnsi="方正仿宋_GBK" w:eastAsia="方正仿宋_GBK" w:cs="方正仿宋_GBK"/>
          <w:sz w:val="24"/>
        </w:rPr>
        <w:t>违约责任</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就当事人一方不履行合同义务或者履行合同义务不符合约定应当承担的责任进行约定。</w:t>
      </w:r>
    </w:p>
    <w:p>
      <w:pPr>
        <w:pStyle w:val="2"/>
        <w:adjustRightInd w:val="0"/>
        <w:snapToGrid w:val="0"/>
        <w:spacing w:before="0" w:after="0" w:line="400" w:lineRule="exact"/>
        <w:ind w:firstLine="482" w:firstLineChars="200"/>
        <w:rPr>
          <w:rFonts w:ascii="方正仿宋_GBK" w:hAnsi="宋体" w:eastAsia="方正仿宋_GBK"/>
          <w:sz w:val="24"/>
        </w:rPr>
      </w:pPr>
      <w:r>
        <w:rPr>
          <w:rFonts w:hint="eastAsia" w:ascii="方正仿宋_GBK" w:hAnsi="宋体" w:eastAsia="方正仿宋_GBK"/>
          <w:sz w:val="24"/>
        </w:rPr>
        <w:t>九、合同争议</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项目执行中，如发生争议由双方协商解决，协商不成向甲方所在地具有管辖权人民法院提请诉讼。</w:t>
      </w:r>
    </w:p>
    <w:p>
      <w:pPr>
        <w:pStyle w:val="2"/>
        <w:adjustRightInd w:val="0"/>
        <w:snapToGrid w:val="0"/>
        <w:spacing w:before="0" w:after="0" w:line="400" w:lineRule="exact"/>
        <w:ind w:firstLine="482" w:firstLineChars="200"/>
        <w:rPr>
          <w:rFonts w:ascii="方正仿宋_GBK" w:hAnsi="宋体" w:eastAsia="方正仿宋_GBK"/>
          <w:sz w:val="24"/>
        </w:rPr>
      </w:pPr>
      <w:r>
        <w:rPr>
          <w:rFonts w:hint="eastAsia" w:ascii="方正仿宋_GBK" w:hAnsi="宋体" w:eastAsia="方正仿宋_GBK"/>
          <w:sz w:val="24"/>
        </w:rPr>
        <w:t>十、其他</w:t>
      </w:r>
      <w:bookmarkEnd w:id="106"/>
      <w:bookmarkEnd w:id="107"/>
      <w:bookmarkEnd w:id="108"/>
      <w:bookmarkEnd w:id="109"/>
      <w:bookmarkEnd w:id="110"/>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其他未尽事宜由供需双方在采购合同中详细约定。</w:t>
      </w:r>
    </w:p>
    <w:p>
      <w:pPr>
        <w:snapToGrid w:val="0"/>
        <w:spacing w:line="400" w:lineRule="exact"/>
        <w:ind w:firstLine="540"/>
        <w:rPr>
          <w:rFonts w:ascii="方正仿宋_GBK" w:eastAsia="方正仿宋_GBK"/>
          <w:sz w:val="24"/>
          <w:szCs w:val="24"/>
        </w:rPr>
      </w:pPr>
    </w:p>
    <w:p>
      <w:pPr>
        <w:snapToGrid w:val="0"/>
        <w:spacing w:line="400" w:lineRule="exact"/>
        <w:ind w:firstLine="540"/>
        <w:rPr>
          <w:rFonts w:ascii="方正仿宋_GBK" w:eastAsia="方正仿宋_GBK"/>
          <w:sz w:val="24"/>
          <w:szCs w:val="24"/>
        </w:rPr>
      </w:pPr>
    </w:p>
    <w:p>
      <w:pPr>
        <w:pStyle w:val="2"/>
        <w:spacing w:before="0" w:after="0" w:line="360" w:lineRule="auto"/>
        <w:jc w:val="center"/>
        <w:rPr>
          <w:rFonts w:ascii="方正小标宋_GBK" w:eastAsia="方正小标宋_GBK"/>
          <w:b w:val="0"/>
          <w:sz w:val="36"/>
          <w:szCs w:val="30"/>
        </w:rPr>
      </w:pPr>
      <w:r>
        <w:rPr>
          <w:rFonts w:ascii="方正小标宋_GBK" w:eastAsia="方正小标宋_GBK"/>
          <w:b w:val="0"/>
          <w:sz w:val="36"/>
          <w:szCs w:val="30"/>
        </w:rPr>
        <w:br w:type="page"/>
      </w:r>
      <w:bookmarkStart w:id="112" w:name="_Toc65660349"/>
      <w:bookmarkStart w:id="113" w:name="_Toc106034789"/>
      <w:bookmarkStart w:id="114" w:name="_Toc16123"/>
      <w:bookmarkStart w:id="115" w:name="_Toc31282"/>
      <w:bookmarkStart w:id="116" w:name="_Toc24195"/>
      <w:r>
        <w:rPr>
          <w:rFonts w:hint="eastAsia" w:ascii="方正小标宋_GBK" w:eastAsia="方正小标宋_GBK"/>
          <w:b w:val="0"/>
          <w:sz w:val="36"/>
          <w:szCs w:val="30"/>
        </w:rPr>
        <w:t>第四篇  采购程序、评定成交的标准、无效报价及采购终止</w:t>
      </w:r>
      <w:bookmarkEnd w:id="112"/>
      <w:bookmarkEnd w:id="113"/>
      <w:bookmarkEnd w:id="114"/>
      <w:bookmarkEnd w:id="115"/>
      <w:bookmarkEnd w:id="116"/>
    </w:p>
    <w:p>
      <w:pPr>
        <w:pStyle w:val="2"/>
        <w:adjustRightInd w:val="0"/>
        <w:snapToGrid w:val="0"/>
        <w:spacing w:before="0" w:after="0" w:line="400" w:lineRule="exact"/>
        <w:ind w:firstLine="482" w:firstLineChars="200"/>
        <w:rPr>
          <w:rFonts w:ascii="方正仿宋_GBK" w:hAnsi="宋体" w:eastAsia="方正仿宋_GBK"/>
          <w:sz w:val="24"/>
        </w:rPr>
      </w:pPr>
      <w:bookmarkStart w:id="117" w:name="_Toc65660350"/>
      <w:bookmarkStart w:id="118" w:name="_Toc5167"/>
      <w:bookmarkStart w:id="119" w:name="_Toc106034790"/>
      <w:bookmarkStart w:id="120" w:name="_Toc64732012"/>
      <w:bookmarkStart w:id="121" w:name="_Toc27932"/>
      <w:bookmarkStart w:id="122" w:name="_Toc9361"/>
      <w:r>
        <w:rPr>
          <w:rFonts w:hint="eastAsia" w:ascii="方正仿宋_GBK" w:hAnsi="宋体" w:eastAsia="方正仿宋_GBK"/>
          <w:sz w:val="24"/>
        </w:rPr>
        <w:t>一、采购程序</w:t>
      </w:r>
      <w:bookmarkEnd w:id="117"/>
      <w:bookmarkEnd w:id="118"/>
      <w:bookmarkEnd w:id="119"/>
      <w:bookmarkEnd w:id="120"/>
      <w:bookmarkEnd w:id="121"/>
      <w:bookmarkEnd w:id="122"/>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（一）比价按采购文件规定的时间和地点进行。供应商须有法定代表人（或其授权代表）或自然人参加并签到。</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（二）由本项目评审小组对各供应商的资格条件、实质性响应等进行审查。 </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sz w:val="24"/>
          <w:szCs w:val="24"/>
        </w:rPr>
        <w:t>1.资格性审查。依据法律法规和采购文件的规定，对响应文件中的资格证明材料等进行审查。资格性审查内容如下：</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检查因素</w:t>
            </w:r>
          </w:p>
        </w:tc>
        <w:tc>
          <w:tcPr>
            <w:tcW w:w="5267" w:type="dxa"/>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rPr>
                <w:rFonts w:ascii="方正仿宋_GBK" w:hAnsi="仿宋" w:eastAsia="方正仿宋_GBK"/>
                <w:sz w:val="21"/>
                <w:szCs w:val="21"/>
              </w:rPr>
            </w:pPr>
            <w:r>
              <w:rPr>
                <w:rFonts w:hint="eastAsia" w:ascii="方正仿宋_GBK" w:hAnsi="仿宋" w:eastAsia="方正仿宋_GBK"/>
                <w:sz w:val="21"/>
                <w:szCs w:val="21"/>
              </w:rPr>
              <w:t>（一）</w:t>
            </w:r>
          </w:p>
        </w:tc>
        <w:tc>
          <w:tcPr>
            <w:tcW w:w="709" w:type="dxa"/>
            <w:vMerge w:val="restart"/>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《中华人民共和国政府采购法》第二十二条规定</w:t>
            </w:r>
          </w:p>
        </w:tc>
        <w:tc>
          <w:tcPr>
            <w:tcW w:w="2835" w:type="dxa"/>
            <w:vAlign w:val="center"/>
          </w:tcPr>
          <w:p>
            <w:pPr>
              <w:rPr>
                <w:rFonts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5267" w:type="dxa"/>
            <w:vAlign w:val="center"/>
          </w:tcPr>
          <w:p>
            <w:pPr>
              <w:rPr>
                <w:rFonts w:ascii="方正仿宋_GBK" w:hAnsi="仿宋" w:eastAsia="方正仿宋_GBK"/>
                <w:sz w:val="21"/>
                <w:szCs w:val="21"/>
              </w:rPr>
            </w:pPr>
            <w:r>
              <w:rPr>
                <w:rFonts w:hint="eastAsia" w:ascii="方正仿宋_GBK" w:hAnsi="仿宋" w:eastAsia="方正仿宋_GBK"/>
                <w:sz w:val="21"/>
                <w:szCs w:val="21"/>
              </w:rPr>
              <w:t xml:space="preserve">1.供应商法人营业执照（副本）或事业单位法人证书（副本）或个体工商户营业执照或有效的自然人身份证明或社会团体法人登记证书（提供复印件）。 </w:t>
            </w:r>
          </w:p>
          <w:p>
            <w:pPr>
              <w:rPr>
                <w:rFonts w:ascii="方正仿宋_GBK" w:hAnsi="仿宋" w:eastAsia="方正仿宋_GBK"/>
                <w:sz w:val="21"/>
                <w:szCs w:val="21"/>
              </w:rPr>
            </w:pPr>
            <w:r>
              <w:rPr>
                <w:rFonts w:hint="eastAsia" w:ascii="方正仿宋_GBK" w:hAnsi="仿宋" w:eastAsia="方正仿宋_GBK"/>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5267" w:type="dxa"/>
            <w:vMerge w:val="restart"/>
            <w:vAlign w:val="center"/>
          </w:tcPr>
          <w:p>
            <w:pPr>
              <w:rPr>
                <w:rFonts w:ascii="方正仿宋_GBK" w:hAnsi="仿宋" w:eastAsia="方正仿宋_GBK"/>
                <w:b/>
                <w:sz w:val="21"/>
                <w:szCs w:val="21"/>
              </w:rPr>
            </w:pPr>
            <w:r>
              <w:rPr>
                <w:rFonts w:hint="eastAsia" w:ascii="方正仿宋_GBK" w:hAnsi="仿宋" w:eastAsia="方正仿宋_GBK"/>
                <w:sz w:val="21"/>
                <w:szCs w:val="21"/>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5267" w:type="dxa"/>
            <w:vMerge w:val="continue"/>
            <w:vAlign w:val="center"/>
          </w:tcPr>
          <w:p>
            <w:pP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5267" w:type="dxa"/>
            <w:vMerge w:val="continue"/>
            <w:vAlign w:val="center"/>
          </w:tcPr>
          <w:p>
            <w:pP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cs="仿宋_GB2312"/>
                <w:sz w:val="21"/>
                <w:szCs w:val="21"/>
                <w:lang w:val="zh-CN"/>
              </w:rPr>
            </w:pPr>
            <w:r>
              <w:rPr>
                <w:rFonts w:hint="eastAsia" w:ascii="方正仿宋_GBK" w:hAnsi="仿宋" w:eastAsia="方正仿宋_GBK"/>
                <w:sz w:val="21"/>
                <w:szCs w:val="21"/>
              </w:rPr>
              <w:t>5.参加政府采购活动前三年内，在经营活动中没有重大违法记录</w:t>
            </w:r>
          </w:p>
        </w:tc>
        <w:tc>
          <w:tcPr>
            <w:tcW w:w="5267" w:type="dxa"/>
            <w:vMerge w:val="continue"/>
            <w:vAlign w:val="center"/>
          </w:tcPr>
          <w:p>
            <w:pPr>
              <w:rPr>
                <w:rFonts w:ascii="方正仿宋_GBK" w:hAnsi="仿宋" w:eastAsia="方正仿宋_GBK"/>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rPr>
            </w:pPr>
          </w:p>
        </w:tc>
        <w:tc>
          <w:tcPr>
            <w:tcW w:w="2835" w:type="dxa"/>
            <w:vAlign w:val="center"/>
          </w:tcPr>
          <w:p>
            <w:pPr>
              <w:rPr>
                <w:rFonts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5267" w:type="dxa"/>
            <w:vAlign w:val="center"/>
          </w:tcPr>
          <w:p>
            <w:pP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rPr>
            </w:pPr>
          </w:p>
        </w:tc>
        <w:tc>
          <w:tcPr>
            <w:tcW w:w="2835" w:type="dxa"/>
            <w:vAlign w:val="center"/>
          </w:tcPr>
          <w:p>
            <w:pPr>
              <w:rPr>
                <w:rFonts w:ascii="方正仿宋_GBK" w:hAnsi="仿宋" w:eastAsia="方正仿宋_GBK"/>
                <w:sz w:val="21"/>
                <w:szCs w:val="21"/>
              </w:rPr>
            </w:pPr>
            <w:r>
              <w:rPr>
                <w:rFonts w:hint="eastAsia" w:ascii="方正仿宋_GBK" w:hAnsi="仿宋" w:eastAsia="方正仿宋_GBK"/>
                <w:sz w:val="21"/>
                <w:szCs w:val="21"/>
              </w:rPr>
              <w:t>7.本项目的特定资格要求</w:t>
            </w:r>
          </w:p>
        </w:tc>
        <w:tc>
          <w:tcPr>
            <w:tcW w:w="5267" w:type="dxa"/>
            <w:vAlign w:val="center"/>
          </w:tcPr>
          <w:p>
            <w:pPr>
              <w:rPr>
                <w:rFonts w:ascii="方正仿宋_GBK" w:hAnsi="仿宋" w:eastAsia="方正仿宋_GBK"/>
                <w:sz w:val="21"/>
                <w:szCs w:val="21"/>
              </w:rPr>
            </w:pPr>
            <w:r>
              <w:rPr>
                <w:rFonts w:hint="eastAsia" w:ascii="方正仿宋_GBK" w:hAnsi="仿宋" w:eastAsia="方正仿宋_GBK"/>
                <w:sz w:val="21"/>
                <w:szCs w:val="21"/>
              </w:rPr>
              <w:t>按“第一篇三、供应商资格要求（二）本项目的特定资格要求”的要求提交</w:t>
            </w:r>
            <w:r>
              <w:rPr>
                <w:rFonts w:hint="eastAsia" w:ascii="方正仿宋_GBK" w:hAnsi="宋体" w:eastAsia="方正仿宋_GBK"/>
                <w:sz w:val="21"/>
                <w:szCs w:val="21"/>
              </w:rPr>
              <w:t>（如果有）</w:t>
            </w:r>
            <w:r>
              <w:rPr>
                <w:rFonts w:hint="eastAsia" w:ascii="方正仿宋_GBK" w:hAnsi="仿宋" w:eastAsia="方正仿宋_GBK"/>
                <w:sz w:val="21"/>
                <w:szCs w:val="21"/>
              </w:rPr>
              <w:t>。</w:t>
            </w:r>
          </w:p>
        </w:tc>
      </w:tr>
    </w:tbl>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注：</w:t>
      </w:r>
    </w:p>
    <w:p>
      <w:pPr>
        <w:snapToGrid w:val="0"/>
        <w:spacing w:line="400" w:lineRule="exact"/>
        <w:ind w:firstLine="480" w:firstLineChars="200"/>
        <w:rPr>
          <w:rFonts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根据《</w:t>
      </w:r>
      <w:r>
        <w:rPr>
          <w:rFonts w:ascii="方正仿宋_GBK" w:hAnsi="宋体" w:eastAsia="方正仿宋_GBK" w:cs="宋体"/>
          <w:kern w:val="0"/>
          <w:sz w:val="24"/>
          <w:szCs w:val="24"/>
        </w:rPr>
        <w:t>中华人民共和国政府采购法实施条例</w:t>
      </w:r>
      <w:r>
        <w:rPr>
          <w:rFonts w:hint="eastAsia" w:ascii="方正仿宋_GBK" w:hAnsi="宋体" w:eastAsia="方正仿宋_GBK" w:cs="宋体"/>
          <w:kern w:val="0"/>
          <w:sz w:val="24"/>
          <w:szCs w:val="24"/>
        </w:rPr>
        <w:t>》第十九条“参加政府采购活动前三年内，在经营活动中没有重大违法记录”中“重大违法记录”</w:t>
      </w:r>
      <w:r>
        <w:rPr>
          <w:rFonts w:ascii="方正仿宋_GBK" w:hAnsi="宋体" w:eastAsia="方正仿宋_GBK" w:cs="宋体"/>
          <w:kern w:val="0"/>
          <w:sz w:val="24"/>
          <w:szCs w:val="24"/>
        </w:rPr>
        <w:t>，是指供应商因违法经营受到刑事处罚或者责令停产停业、吊销许可证或者执照、较大数额罚款等行政处罚。</w:t>
      </w:r>
      <w:r>
        <w:rPr>
          <w:rFonts w:hint="eastAsia" w:ascii="方正仿宋_GBK" w:hAnsi="宋体" w:eastAsia="方正仿宋_GBK" w:cs="宋体"/>
          <w:kern w:val="0"/>
          <w:sz w:val="24"/>
          <w:szCs w:val="24"/>
        </w:rPr>
        <w:t>行政处罚中“较大数额”的认定标准，按照“</w:t>
      </w:r>
      <w:r>
        <w:rPr>
          <w:rFonts w:ascii="方正仿宋_GBK" w:hAnsi="宋体" w:eastAsia="方正仿宋_GBK" w:cs="宋体"/>
          <w:kern w:val="0"/>
          <w:sz w:val="24"/>
          <w:szCs w:val="24"/>
        </w:rPr>
        <w:t>财政部关于《中华人民共和国政府采购法实施条例》第十九条第一款“较大数额罚款”具体适用问题的意见</w:t>
      </w:r>
      <w:r>
        <w:rPr>
          <w:rFonts w:hint="eastAsia" w:ascii="方正仿宋_GBK" w:hAnsi="宋体" w:eastAsia="方正仿宋_GBK" w:cs="宋体"/>
          <w:kern w:val="0"/>
          <w:sz w:val="24"/>
          <w:szCs w:val="24"/>
        </w:rPr>
        <w:t>（财库〔2022〕3 号）”执行。供应商可于响应文件递交截止时间前通过 “信用中国”网站(www.creditchina.gov.cn)、"中国政府采购网"(www.ccgp.gov.cn)等渠道查询信用记录。</w:t>
      </w:r>
    </w:p>
    <w:p>
      <w:pPr>
        <w:snapToGrid w:val="0"/>
        <w:spacing w:line="400" w:lineRule="exact"/>
        <w:ind w:firstLine="480" w:firstLineChars="200"/>
        <w:rPr>
          <w:rFonts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2</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以联合体形式参与比价的，共同联合协议中应确定主办方（主体），</w:t>
      </w:r>
      <w:r>
        <w:rPr>
          <w:rFonts w:hint="eastAsia" w:ascii="方正仿宋_GBK" w:hAnsi="宋体" w:eastAsia="方正仿宋_GBK"/>
          <w:sz w:val="24"/>
        </w:rPr>
        <w:t>代表联合体进行报价和澄清。</w:t>
      </w:r>
      <w:r>
        <w:rPr>
          <w:rFonts w:hint="eastAsia" w:ascii="方正仿宋_GBK" w:hAnsi="宋体" w:eastAsia="方正仿宋_GBK" w:cs="宋体"/>
          <w:kern w:val="0"/>
          <w:sz w:val="24"/>
          <w:szCs w:val="24"/>
        </w:rPr>
        <w:t>联合体各方均应满足供应商资格要求（详见“第一篇”）。</w:t>
      </w:r>
    </w:p>
    <w:p>
      <w:pPr>
        <w:snapToGrid w:val="0"/>
        <w:spacing w:line="400" w:lineRule="exact"/>
        <w:ind w:firstLine="480" w:firstLineChars="200"/>
        <w:rPr>
          <w:rFonts w:ascii="方正仿宋_GBK" w:eastAsia="方正仿宋_GBK"/>
          <w:kern w:val="0"/>
          <w:sz w:val="24"/>
          <w:szCs w:val="24"/>
        </w:rPr>
      </w:pPr>
      <w:r>
        <w:rPr>
          <w:rFonts w:hint="eastAsia" w:ascii="方正仿宋_GBK" w:hAnsi="宋体" w:eastAsia="方正仿宋_GBK"/>
          <w:sz w:val="24"/>
          <w:szCs w:val="24"/>
        </w:rPr>
        <w:t>2.实质性响应审查。评审小组应当对响应文件进行评审，并根据采购文件规定的采购程序、评定成交的标准等事项与实质性响应采购文件要求的供应商进行评审。未实质性响应采购文件的响应文件按无效处理，评审小组应当告知有关供应商。实质性响应审查内容如下：</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2694" w:type="dxa"/>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审查因素</w:t>
            </w:r>
          </w:p>
        </w:tc>
        <w:tc>
          <w:tcPr>
            <w:tcW w:w="6259" w:type="dxa"/>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响应文件签署或盖章</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按“第七篇响应文件格式要求”要求签署或盖章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pP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6259" w:type="dxa"/>
            <w:vAlign w:val="center"/>
          </w:tcPr>
          <w:p>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法定代表人身份证明及授权委托书有效，符合采购文件规定的格式，签署或盖章齐全。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pP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响应文件</w:t>
            </w:r>
            <w:r>
              <w:rPr>
                <w:rFonts w:hint="eastAsia" w:ascii="方正仿宋_GBK" w:hAnsi="宋体" w:eastAsia="方正仿宋_GBK" w:cs="仿宋_GB2312"/>
                <w:sz w:val="21"/>
                <w:szCs w:val="21"/>
                <w:lang w:val="zh-CN"/>
              </w:rPr>
              <w:t>份数</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响应文件</w:t>
            </w:r>
            <w:r>
              <w:rPr>
                <w:rFonts w:hint="eastAsia" w:ascii="方正仿宋_GBK" w:hAnsi="宋体" w:eastAsia="方正仿宋_GBK" w:cs="仿宋_GB2312"/>
                <w:sz w:val="21"/>
                <w:szCs w:val="21"/>
                <w:lang w:val="zh-CN"/>
              </w:rPr>
              <w:t>正、副本数量符合采购文件要求。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响应文件内容</w:t>
            </w:r>
          </w:p>
        </w:tc>
        <w:tc>
          <w:tcPr>
            <w:tcW w:w="6259" w:type="dxa"/>
            <w:vAlign w:val="center"/>
          </w:tcPr>
          <w:p>
            <w:pPr>
              <w:pStyle w:val="5"/>
              <w:rPr>
                <w:rFonts w:ascii="方正仿宋_GBK" w:hAnsi="宋体" w:eastAsia="方正仿宋_GBK" w:cs="宋体"/>
                <w:kern w:val="0"/>
                <w:sz w:val="21"/>
                <w:szCs w:val="21"/>
              </w:rPr>
            </w:pPr>
            <w:r>
              <w:rPr>
                <w:rFonts w:hint="eastAsia" w:ascii="方正仿宋_GBK" w:hAnsi="宋体" w:eastAsia="方正仿宋_GBK" w:cs="宋体"/>
                <w:kern w:val="0"/>
                <w:sz w:val="21"/>
                <w:szCs w:val="21"/>
              </w:rPr>
              <w:t>对</w:t>
            </w:r>
            <w:r>
              <w:rPr>
                <w:rFonts w:hint="eastAsia" w:ascii="方正仿宋_GBK" w:hAnsi="宋体" w:eastAsia="方正仿宋_GBK" w:cs="仿宋_GB2312"/>
                <w:sz w:val="21"/>
                <w:szCs w:val="21"/>
                <w:lang w:val="zh-CN"/>
              </w:rPr>
              <w:t>采购文件</w:t>
            </w:r>
            <w:r>
              <w:rPr>
                <w:rFonts w:hint="eastAsia" w:ascii="方正仿宋_GBK" w:hAnsi="宋体" w:eastAsia="方正仿宋_GBK" w:cs="宋体"/>
                <w:kern w:val="0"/>
                <w:sz w:val="21"/>
                <w:szCs w:val="21"/>
              </w:rPr>
              <w:t>第二篇、第三篇规定的内容进行实质性响应。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pP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比价有效期</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响应文件及有关承诺文件有效期为提交响应文件截止时间起90天。</w:t>
            </w:r>
          </w:p>
        </w:tc>
      </w:tr>
    </w:tbl>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评审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（四）评审的依据为采购文件和响应文件（含有效的补充文件）。评审小组判断响应文件对采购文件的响应，仅基于响应文件本身而不靠外部证据。</w:t>
      </w:r>
    </w:p>
    <w:p>
      <w:pPr>
        <w:pStyle w:val="2"/>
        <w:adjustRightInd w:val="0"/>
        <w:snapToGrid w:val="0"/>
        <w:spacing w:before="0" w:after="0" w:line="400" w:lineRule="exact"/>
        <w:ind w:firstLine="482" w:firstLineChars="200"/>
        <w:rPr>
          <w:rFonts w:ascii="方正仿宋_GBK" w:hAnsi="宋体" w:eastAsia="方正仿宋_GBK"/>
          <w:sz w:val="24"/>
        </w:rPr>
      </w:pPr>
      <w:bookmarkStart w:id="123" w:name="_Toc11713"/>
      <w:bookmarkStart w:id="124" w:name="_Toc5149"/>
      <w:bookmarkStart w:id="125" w:name="_Toc65660351"/>
      <w:bookmarkStart w:id="126" w:name="_Toc106034791"/>
      <w:bookmarkStart w:id="127" w:name="_Toc64732013"/>
      <w:bookmarkStart w:id="128" w:name="_Toc30639"/>
      <w:r>
        <w:rPr>
          <w:rFonts w:hint="eastAsia" w:ascii="方正仿宋_GBK" w:hAnsi="宋体" w:eastAsia="方正仿宋_GBK"/>
          <w:sz w:val="24"/>
        </w:rPr>
        <w:t>二、评定成交的标准</w:t>
      </w:r>
      <w:bookmarkEnd w:id="123"/>
      <w:bookmarkEnd w:id="124"/>
      <w:bookmarkEnd w:id="125"/>
      <w:bookmarkEnd w:id="126"/>
      <w:bookmarkEnd w:id="127"/>
      <w:bookmarkEnd w:id="128"/>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评审小组将依照本采购文件相关规定对技术（质量）和服务均能满足实质性响应要求的供应商所提交的报价按照由低到高的顺序提出3名以上成交候选人，并编写结论意见（原则上由报价最低的供应商为成交供应商）。</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（二）若供应商的报价价格相同，按现场随机抽取的方式确定顺序排列。</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（三）成交价格=成交供应商的报价。</w:t>
      </w:r>
    </w:p>
    <w:p>
      <w:pPr>
        <w:pStyle w:val="2"/>
        <w:adjustRightInd w:val="0"/>
        <w:snapToGrid w:val="0"/>
        <w:spacing w:before="0" w:after="0" w:line="400" w:lineRule="exact"/>
        <w:ind w:firstLine="482" w:firstLineChars="200"/>
        <w:rPr>
          <w:rFonts w:ascii="方正仿宋_GBK" w:hAnsi="宋体" w:eastAsia="方正仿宋_GBK"/>
          <w:sz w:val="24"/>
        </w:rPr>
      </w:pPr>
      <w:bookmarkStart w:id="129" w:name="_Toc65660352"/>
      <w:bookmarkStart w:id="130" w:name="_Toc29113"/>
      <w:bookmarkStart w:id="131" w:name="_Toc12644"/>
      <w:bookmarkStart w:id="132" w:name="_Toc19473"/>
      <w:bookmarkStart w:id="133" w:name="_Toc106034792"/>
      <w:r>
        <w:rPr>
          <w:rFonts w:hint="eastAsia" w:ascii="方正仿宋_GBK" w:hAnsi="宋体" w:eastAsia="方正仿宋_GBK"/>
          <w:sz w:val="24"/>
        </w:rPr>
        <w:t>三、无效</w:t>
      </w:r>
      <w:bookmarkEnd w:id="129"/>
      <w:bookmarkEnd w:id="130"/>
      <w:bookmarkEnd w:id="131"/>
      <w:r>
        <w:rPr>
          <w:rFonts w:hint="eastAsia" w:ascii="方正仿宋_GBK" w:hAnsi="宋体" w:eastAsia="方正仿宋_GBK"/>
          <w:sz w:val="24"/>
        </w:rPr>
        <w:t>报价</w:t>
      </w:r>
      <w:bookmarkEnd w:id="132"/>
      <w:bookmarkEnd w:id="133"/>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供应商发生以下条款情况之一者，视为无效报价：</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（一）供应商不符合规定的资格条件的；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（二）供应商未通过实质性响应审查的；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（三）供应商的法定代表人（或其授权代表）或自然人未参加谈判的；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（四）供应商所提交的响应文件未按“第七篇响应文件格式要求”要求签署或盖章的；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（五）供应商的报价超过采购预算或最高限价的；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（六）供应商不接受评审小组修正后的价格的；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（七）单位负责人为同一人或者存在直接控股、管理关系的不同供应商，</w:t>
      </w:r>
      <w:r>
        <w:rPr>
          <w:rFonts w:ascii="方正仿宋_GBK" w:hAnsi="宋体" w:eastAsia="方正仿宋_GBK"/>
          <w:sz w:val="24"/>
          <w:szCs w:val="24"/>
        </w:rPr>
        <w:t>参加同一合同项</w:t>
      </w:r>
      <w:r>
        <w:rPr>
          <w:rFonts w:hint="eastAsia" w:ascii="方正仿宋_GBK" w:hAnsi="宋体" w:eastAsia="方正仿宋_GBK"/>
          <w:sz w:val="24"/>
          <w:szCs w:val="24"/>
        </w:rPr>
        <w:t>（包）报价的；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（八）为采购项目提供整体设计、规范编制或者项目管理、监理、检测等服务的供应商再参加该采购项目的其他采购活动的；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（九）同一</w:t>
      </w:r>
      <w:r>
        <w:rPr>
          <w:rFonts w:ascii="方正仿宋_GBK" w:hAnsi="宋体" w:eastAsia="方正仿宋_GBK"/>
          <w:sz w:val="24"/>
          <w:szCs w:val="24"/>
        </w:rPr>
        <w:t>合同项</w:t>
      </w:r>
      <w:r>
        <w:rPr>
          <w:rFonts w:hint="eastAsia" w:ascii="方正仿宋_GBK" w:hAnsi="宋体" w:eastAsia="方正仿宋_GBK"/>
          <w:sz w:val="24"/>
          <w:szCs w:val="24"/>
        </w:rPr>
        <w:t>（包）</w:t>
      </w:r>
      <w:r>
        <w:rPr>
          <w:rFonts w:ascii="方正仿宋_GBK" w:hAnsi="宋体" w:eastAsia="方正仿宋_GBK"/>
          <w:sz w:val="24"/>
          <w:szCs w:val="24"/>
        </w:rPr>
        <w:t>下</w:t>
      </w:r>
      <w:r>
        <w:rPr>
          <w:rFonts w:hint="eastAsia" w:ascii="方正仿宋_GBK" w:hAnsi="宋体" w:eastAsia="方正仿宋_GBK"/>
          <w:sz w:val="24"/>
          <w:szCs w:val="24"/>
        </w:rPr>
        <w:t>的货物，制造商参与报价，再委托代理商参与报价的；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（十）供应商响应文件内容有与国家现行法律法规相违背的内容，或附有采购人无法接受条件的；</w:t>
      </w:r>
    </w:p>
    <w:p>
      <w:pPr>
        <w:pStyle w:val="6"/>
        <w:spacing w:line="400" w:lineRule="exact"/>
        <w:rPr>
          <w:rFonts w:ascii="方正仿宋_GBK" w:hAnsi="宋体" w:eastAsia="方正仿宋_GBK"/>
          <w:sz w:val="24"/>
          <w:szCs w:val="24"/>
        </w:rPr>
      </w:pPr>
      <w:r>
        <w:rPr>
          <w:rFonts w:hint="eastAsia" w:ascii="方正仿宋_GBK" w:hAnsi="宋体" w:eastAsia="方正仿宋_GBK"/>
          <w:sz w:val="24"/>
          <w:szCs w:val="24"/>
        </w:rPr>
        <w:t>（十一）法律、法规和采购文件规定的其他无效情形。</w:t>
      </w:r>
    </w:p>
    <w:p>
      <w:pPr>
        <w:pStyle w:val="2"/>
        <w:adjustRightInd w:val="0"/>
        <w:snapToGrid w:val="0"/>
        <w:spacing w:before="0" w:after="0" w:line="400" w:lineRule="exact"/>
        <w:ind w:firstLine="482" w:firstLineChars="200"/>
        <w:rPr>
          <w:rFonts w:ascii="方正仿宋_GBK" w:hAnsi="宋体" w:eastAsia="方正仿宋_GBK"/>
          <w:sz w:val="24"/>
        </w:rPr>
      </w:pPr>
      <w:bookmarkStart w:id="134" w:name="_Toc22716"/>
      <w:bookmarkStart w:id="135" w:name="_Toc106034793"/>
      <w:bookmarkStart w:id="136" w:name="_Toc28422"/>
      <w:bookmarkStart w:id="137" w:name="_Toc65660353"/>
      <w:bookmarkStart w:id="138" w:name="_Toc29298"/>
      <w:r>
        <w:rPr>
          <w:rFonts w:hint="eastAsia" w:ascii="方正仿宋_GBK" w:hAnsi="宋体" w:eastAsia="方正仿宋_GBK"/>
          <w:sz w:val="24"/>
        </w:rPr>
        <w:t>四、采购终止</w:t>
      </w:r>
      <w:bookmarkEnd w:id="134"/>
      <w:bookmarkEnd w:id="135"/>
      <w:bookmarkEnd w:id="136"/>
      <w:bookmarkEnd w:id="137"/>
      <w:bookmarkEnd w:id="138"/>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出现下列情形之一的，采购人或者采购代理机构应当终止限额以下比价采购活动，发布项目终止公告并说明原因，重新开展采购活动：</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（一）因情况变化，不再符合规定的限额以下比价采购方式适用情形的；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（二）出现影响采购公正的违法、违规行为的；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项目首次采购过程中，符合竞争要求的供应商或者报价未超过采购预算的供应商不足3家的。但重新采购的供应商仍然少于三个的，按照本采购文件规定的标准、程序开标和评标，经评审有有效供应商的，应当确定成交供应商。</w:t>
      </w:r>
    </w:p>
    <w:p>
      <w:pPr>
        <w:snapToGrid w:val="0"/>
        <w:spacing w:line="400" w:lineRule="exact"/>
        <w:ind w:firstLine="480" w:firstLineChars="200"/>
        <w:rPr>
          <w:rFonts w:ascii="方正仿宋_GBK" w:hAnsi="宋体" w:eastAsia="方正仿宋_GBK"/>
          <w:sz w:val="24"/>
          <w:szCs w:val="24"/>
        </w:rPr>
      </w:pPr>
    </w:p>
    <w:p>
      <w:pPr>
        <w:pStyle w:val="2"/>
        <w:spacing w:before="0" w:after="0" w:line="360" w:lineRule="auto"/>
        <w:jc w:val="center"/>
        <w:rPr>
          <w:rFonts w:ascii="方正小标宋_GBK" w:eastAsia="方正小标宋_GBK"/>
          <w:b w:val="0"/>
          <w:sz w:val="36"/>
          <w:szCs w:val="30"/>
        </w:rPr>
      </w:pPr>
      <w:r>
        <w:rPr>
          <w:rFonts w:ascii="方正仿宋_GBK" w:hAnsi="宋体" w:eastAsia="方正仿宋_GBK"/>
          <w:sz w:val="24"/>
          <w:szCs w:val="24"/>
        </w:rPr>
        <w:br w:type="page"/>
      </w:r>
      <w:bookmarkStart w:id="139" w:name="_Toc8916"/>
      <w:bookmarkStart w:id="140" w:name="_Toc65660354"/>
      <w:bookmarkStart w:id="141" w:name="_Toc106034794"/>
      <w:bookmarkStart w:id="142" w:name="_Toc20055"/>
      <w:bookmarkStart w:id="143" w:name="_Toc10768"/>
      <w:r>
        <w:rPr>
          <w:rFonts w:hint="eastAsia" w:ascii="方正小标宋_GBK" w:eastAsia="方正小标宋_GBK"/>
          <w:b w:val="0"/>
          <w:sz w:val="36"/>
          <w:szCs w:val="30"/>
        </w:rPr>
        <w:t>第五篇  供应商须知</w:t>
      </w:r>
      <w:bookmarkEnd w:id="139"/>
      <w:bookmarkEnd w:id="140"/>
      <w:bookmarkEnd w:id="141"/>
      <w:bookmarkEnd w:id="142"/>
      <w:bookmarkEnd w:id="143"/>
    </w:p>
    <w:p>
      <w:pPr>
        <w:pStyle w:val="2"/>
        <w:adjustRightInd w:val="0"/>
        <w:snapToGrid w:val="0"/>
        <w:spacing w:before="0" w:after="0" w:line="400" w:lineRule="exact"/>
        <w:ind w:firstLine="482" w:firstLineChars="200"/>
        <w:rPr>
          <w:rFonts w:ascii="方正仿宋_GBK" w:hAnsi="宋体" w:eastAsia="方正仿宋_GBK"/>
          <w:sz w:val="24"/>
        </w:rPr>
      </w:pPr>
      <w:bookmarkStart w:id="144" w:name="_Toc5290"/>
      <w:bookmarkStart w:id="145" w:name="_Toc2864"/>
      <w:bookmarkStart w:id="146" w:name="_Toc106034795"/>
      <w:bookmarkStart w:id="147" w:name="_Toc65660355"/>
      <w:bookmarkStart w:id="148" w:name="_Toc16524"/>
      <w:r>
        <w:rPr>
          <w:rFonts w:hint="eastAsia" w:ascii="方正仿宋_GBK" w:hAnsi="宋体" w:eastAsia="方正仿宋_GBK"/>
          <w:sz w:val="24"/>
        </w:rPr>
        <w:t>一、限额以下比价费用</w:t>
      </w:r>
      <w:bookmarkEnd w:id="144"/>
      <w:bookmarkEnd w:id="145"/>
      <w:bookmarkEnd w:id="146"/>
      <w:bookmarkEnd w:id="147"/>
      <w:bookmarkEnd w:id="148"/>
    </w:p>
    <w:p>
      <w:pPr>
        <w:pStyle w:val="21"/>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参与报价的供应商应承担其编制响应文件与递交响应文件所涉及的一切费用，不论比价结果如何，采购人和采购代理机构在任何情况下无义务也无责任承担这些费用。</w:t>
      </w:r>
    </w:p>
    <w:p>
      <w:pPr>
        <w:pStyle w:val="2"/>
        <w:adjustRightInd w:val="0"/>
        <w:snapToGrid w:val="0"/>
        <w:spacing w:before="0" w:after="0" w:line="400" w:lineRule="exact"/>
        <w:ind w:firstLine="482" w:firstLineChars="200"/>
        <w:rPr>
          <w:rFonts w:ascii="方正仿宋_GBK" w:hAnsi="宋体" w:eastAsia="方正仿宋_GBK"/>
          <w:sz w:val="24"/>
        </w:rPr>
      </w:pPr>
      <w:bookmarkStart w:id="149" w:name="_Toc31739"/>
      <w:bookmarkStart w:id="150" w:name="_Toc106034796"/>
      <w:bookmarkStart w:id="151" w:name="_Toc5915"/>
      <w:bookmarkStart w:id="152" w:name="_Toc65660356"/>
      <w:bookmarkStart w:id="153" w:name="_Toc31070"/>
      <w:r>
        <w:rPr>
          <w:rFonts w:hint="eastAsia" w:ascii="方正仿宋_GBK" w:hAnsi="宋体" w:eastAsia="方正仿宋_GBK"/>
          <w:sz w:val="24"/>
        </w:rPr>
        <w:t>二、限额以下比价</w:t>
      </w:r>
      <w:bookmarkEnd w:id="149"/>
      <w:bookmarkEnd w:id="150"/>
      <w:bookmarkEnd w:id="151"/>
      <w:bookmarkEnd w:id="152"/>
      <w:bookmarkEnd w:id="153"/>
      <w:r>
        <w:rPr>
          <w:rFonts w:hint="eastAsia" w:ascii="方正仿宋_GBK" w:hAnsi="宋体" w:eastAsia="方正仿宋_GBK"/>
          <w:sz w:val="24"/>
        </w:rPr>
        <w:t>采购文件</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（一）采购文件由限额以下比价邀请书、项目技术（质量）需求、项目商务需求、采购程序、评定成交的标准、无效报价及采购终止、供应商须知、合同草案条款、响应文件格式要求七部分组成。</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（二）采购人（或采购代理机构）所作的一切有效的书面通知、修改及补充，都是采购文件不可分割的部分。</w:t>
      </w:r>
    </w:p>
    <w:p>
      <w:pPr>
        <w:pStyle w:val="2"/>
        <w:adjustRightInd w:val="0"/>
        <w:snapToGrid w:val="0"/>
        <w:spacing w:before="0" w:after="0" w:line="400" w:lineRule="exact"/>
        <w:ind w:firstLine="482" w:firstLineChars="200"/>
        <w:rPr>
          <w:rFonts w:ascii="方正仿宋_GBK" w:hAnsi="宋体" w:eastAsia="方正仿宋_GBK"/>
          <w:sz w:val="24"/>
        </w:rPr>
      </w:pPr>
      <w:bookmarkStart w:id="154" w:name="_Toc9532"/>
      <w:bookmarkStart w:id="155" w:name="_Toc106034797"/>
      <w:bookmarkStart w:id="156" w:name="_Toc3061"/>
      <w:bookmarkStart w:id="157" w:name="_Toc1922"/>
      <w:bookmarkStart w:id="158" w:name="_Toc65660357"/>
      <w:r>
        <w:rPr>
          <w:rFonts w:hint="eastAsia" w:ascii="方正仿宋_GBK" w:hAnsi="宋体" w:eastAsia="方正仿宋_GBK"/>
          <w:sz w:val="24"/>
        </w:rPr>
        <w:t>三、报价要求</w:t>
      </w:r>
      <w:bookmarkEnd w:id="154"/>
      <w:bookmarkEnd w:id="155"/>
      <w:bookmarkEnd w:id="156"/>
      <w:bookmarkEnd w:id="157"/>
      <w:bookmarkEnd w:id="158"/>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（一）响应文件</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供应商应当按照采购文件的要求编制响应文件，并对采购文件提出的要求和条件作出实质性响应，响应文件原则上应装订成册提交。</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1.响应文件组成</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2.联合体</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2.1两个以上供应商可以组成一个联合体，以一个供应商的身份参与报价。</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2.2以联合体形式参加报价的，联合体各方均应</w:t>
      </w:r>
      <w:r>
        <w:rPr>
          <w:rFonts w:hint="eastAsia" w:ascii="方正仿宋_GBK" w:hAnsi="宋体" w:eastAsia="方正仿宋_GBK" w:cs="宋体"/>
          <w:kern w:val="0"/>
          <w:sz w:val="24"/>
          <w:szCs w:val="24"/>
        </w:rPr>
        <w:t>满足供应商资格要求（详见“第一篇”）</w:t>
      </w:r>
      <w:r>
        <w:rPr>
          <w:rFonts w:hint="eastAsia" w:ascii="方正仿宋_GBK" w:hAnsi="宋体" w:eastAsia="方正仿宋_GBK"/>
          <w:sz w:val="24"/>
        </w:rPr>
        <w:t>。联合体中有同类资质的供应商按照联合体分工承担相同工作的，应当按照资质等级较低的供应商确定资质等级。</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2.3联合体各方之间应当签订共同联合协议，共同联合协议中应确定主办方（主体），代表联合体进行报价和澄清。共同联合协议应明确约定联合体各方承担的工作和相应的责任，并将共同联合协议连同响应文件一并提交采购人或采购代理机构。</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2.4以联合体形式参加政府采购活动的，联合体各方不得再单独参加或者与其他供应商另外组成联合体参加同一合同项下的政府采购活动。</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2.5联合体业绩计算，按照共同联合协议分工认定。</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2.6两个以上的自然人、法人或者其他组织组成一个联合体，以一个供应商的身份共同参加政府采购活动的，联合体成员存在不良信用记录的，视同联合体存在不良信用记录。</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rPr>
        <w:t>2.7以联合体报价的，共同联合协议中应确定主办方（主体），代表联合体进行报价和澄清。法定代表人授权委托书由联合体主办方（主体）出具。联合体各方均应满足供应商资格要求（详见“第一篇”）。</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3.报价有效期：响应文件及有关承诺文件有效期为提交响应文件截止时间起90天。</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（二）修正错误</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若供应商所递交的响应文件或报价中的价格出现大写金额和小写金额不一致的错误，以大写金额修正为准。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评审小组或采购人按上述修正错误的原则及方法修正供应商的报价，供应商同意并签署确认后，修正后的报价对供应商具有约束作用。如果供应商不接受修正后的价格，将视为无效报价。</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（三）提交响应文件的份数和签署</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1.响应文件正本一份，参加投标人无论是否中标，响应文件一概不退。</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2.</w:t>
      </w:r>
      <w:r>
        <w:rPr>
          <w:rFonts w:hint="eastAsia" w:ascii="方正仿宋_GBK" w:hAnsi="宋体" w:eastAsia="方正仿宋_GBK"/>
          <w:sz w:val="24"/>
        </w:rPr>
        <w:t>在响应文件正本中，采购文件第七篇响应文件格式中规定签署、盖章的地方必须按其规定签署、盖章。</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3.若供应商对响应文件的错处作必要修改，则应在修改处加盖供应商公章或由法定代表人（或其授权代表）或自然人</w:t>
      </w:r>
      <w:r>
        <w:rPr>
          <w:rFonts w:hint="eastAsia" w:ascii="方正仿宋_GBK" w:hAnsi="宋体" w:eastAsia="方正仿宋_GBK"/>
          <w:sz w:val="24"/>
          <w:szCs w:val="24"/>
        </w:rPr>
        <w:t>（供应商为自然人）签署</w:t>
      </w:r>
      <w:r>
        <w:rPr>
          <w:rFonts w:hint="eastAsia" w:ascii="方正仿宋_GBK" w:hAnsi="宋体" w:eastAsia="方正仿宋_GBK"/>
          <w:sz w:val="24"/>
        </w:rPr>
        <w:t>确认。</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4.电报、电话、传真形式的响应文件概不接受。</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（四）响应文件的递交</w:t>
      </w:r>
    </w:p>
    <w:p>
      <w:pPr>
        <w:pStyle w:val="4"/>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响应文件应密封送达报价地点，应在封套上注明采购项目名称、供应商名称。</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（五）响应文件语言：简体中文</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（六）供应商参与人员</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各供应商应当派1-2名代表参与报价，至少1人应为法定代表人（或其授权代表）或自然人（供应商为自然人）。</w:t>
      </w:r>
    </w:p>
    <w:p>
      <w:pPr>
        <w:pStyle w:val="2"/>
        <w:adjustRightInd w:val="0"/>
        <w:snapToGrid w:val="0"/>
        <w:spacing w:before="0" w:after="0" w:line="400" w:lineRule="exact"/>
        <w:ind w:firstLine="482" w:firstLineChars="200"/>
        <w:rPr>
          <w:rFonts w:ascii="方正仿宋_GBK" w:hAnsi="宋体" w:eastAsia="方正仿宋_GBK"/>
          <w:sz w:val="24"/>
        </w:rPr>
      </w:pPr>
      <w:bookmarkStart w:id="159" w:name="_Toc106034798"/>
      <w:bookmarkStart w:id="160" w:name="_Toc14702"/>
      <w:bookmarkStart w:id="161" w:name="_Toc10172"/>
      <w:bookmarkStart w:id="162" w:name="_Toc65660358"/>
      <w:bookmarkStart w:id="163" w:name="_Toc6242"/>
      <w:r>
        <w:rPr>
          <w:rFonts w:hint="eastAsia" w:ascii="方正仿宋_GBK" w:hAnsi="宋体" w:eastAsia="方正仿宋_GBK"/>
          <w:sz w:val="24"/>
        </w:rPr>
        <w:t>四、成交供应商的确定和变更</w:t>
      </w:r>
      <w:bookmarkEnd w:id="159"/>
      <w:bookmarkEnd w:id="160"/>
      <w:bookmarkEnd w:id="161"/>
      <w:bookmarkEnd w:id="162"/>
      <w:bookmarkEnd w:id="163"/>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采购结果应当在评审结束后5个工作日内发布。采购人根据质量和服务均能满足采购文件实质性响应要求且报价最低的原则确定成交供应商。采购人逾期未确定成交供应商且不提出异议的，视为确定评审结论提出的报价最低的供应商为成交供应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（二）成交供应商的变更</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成交供应商拒绝签订政府采购合同的，采购人可以按照评审意见推荐的成交候选人顺序，确定排名下一位的候选人为成交供应商，也可以重新开展政府采购活动。拒绝签订政府采购合同的成交供应商不得参加对该项目重新开展的采购活动。</w:t>
      </w:r>
    </w:p>
    <w:p>
      <w:pPr>
        <w:pStyle w:val="2"/>
        <w:adjustRightInd w:val="0"/>
        <w:snapToGrid w:val="0"/>
        <w:spacing w:before="0" w:after="0" w:line="400" w:lineRule="exact"/>
        <w:ind w:firstLine="482" w:firstLineChars="200"/>
        <w:rPr>
          <w:rFonts w:ascii="方正仿宋_GBK" w:hAnsi="宋体" w:eastAsia="方正仿宋_GBK"/>
          <w:sz w:val="24"/>
        </w:rPr>
      </w:pPr>
      <w:bookmarkStart w:id="164" w:name="_Toc1092"/>
      <w:bookmarkStart w:id="165" w:name="_Toc29821"/>
      <w:bookmarkStart w:id="166" w:name="_Toc106034799"/>
      <w:bookmarkStart w:id="167" w:name="_Toc65660359"/>
      <w:bookmarkStart w:id="168" w:name="_Toc10504"/>
      <w:r>
        <w:rPr>
          <w:rFonts w:hint="eastAsia" w:ascii="方正仿宋_GBK" w:hAnsi="宋体" w:eastAsia="方正仿宋_GBK"/>
          <w:sz w:val="24"/>
        </w:rPr>
        <w:t>五、成交通知</w:t>
      </w:r>
      <w:bookmarkEnd w:id="164"/>
      <w:bookmarkEnd w:id="165"/>
      <w:bookmarkEnd w:id="166"/>
      <w:bookmarkEnd w:id="167"/>
      <w:bookmarkEnd w:id="168"/>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（一）成交供应商确定后，将在重庆市交通运输委员会官网上发布成交结果公告。</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（二）成交结果公告将作为签订合同的依据。</w:t>
      </w:r>
    </w:p>
    <w:p>
      <w:pPr>
        <w:pStyle w:val="2"/>
        <w:adjustRightInd w:val="0"/>
        <w:snapToGrid w:val="0"/>
        <w:spacing w:before="0" w:after="0" w:line="400" w:lineRule="exact"/>
        <w:ind w:firstLine="482" w:firstLineChars="200"/>
        <w:rPr>
          <w:rFonts w:ascii="方正仿宋_GBK" w:hAnsi="宋体" w:eastAsia="方正仿宋_GBK"/>
          <w:sz w:val="24"/>
        </w:rPr>
      </w:pPr>
      <w:bookmarkStart w:id="169" w:name="_Toc65660360"/>
      <w:bookmarkStart w:id="170" w:name="_Toc30909"/>
      <w:bookmarkStart w:id="171" w:name="_Toc31082"/>
      <w:bookmarkStart w:id="172" w:name="_Toc106034800"/>
      <w:bookmarkStart w:id="173" w:name="_Toc1010"/>
      <w:r>
        <w:rPr>
          <w:rFonts w:hint="eastAsia" w:ascii="方正仿宋_GBK" w:hAnsi="宋体" w:eastAsia="方正仿宋_GBK"/>
          <w:sz w:val="24"/>
        </w:rPr>
        <w:t>六、关于质疑和投诉</w:t>
      </w:r>
      <w:bookmarkEnd w:id="169"/>
      <w:bookmarkEnd w:id="170"/>
      <w:bookmarkEnd w:id="171"/>
      <w:bookmarkEnd w:id="172"/>
      <w:bookmarkEnd w:id="173"/>
    </w:p>
    <w:p>
      <w:pPr>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 xml:space="preserve"> （一）质疑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供应商认为采购文件、采购过程和成交结果使自己的权益收到伤害的，可向采购人或采购代理机构以书面形式提出质疑。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 xml:space="preserve">提出质疑的应当是参与所质疑项目采购活动的供应商。 </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1.质疑时限、内容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1.1供应商认为采购文件、采购过程、成交结果使自己的权益受到损害的，可以在知道或者应知其权益受到损害之日起7个工作日内，以书面形式向采购人、采购代理机构提出质疑。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1.2供应商提出质疑应当提交质疑函和必要的证明材料，质疑函应当包括下列内容：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1.2.1供应商的姓名或者名称、地址、邮编、联系人及联系电话；</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1.2.2</w:t>
      </w:r>
      <w:r>
        <w:rPr>
          <w:rFonts w:hint="eastAsia" w:ascii="方正仿宋_GBK" w:hAnsi="宋体" w:eastAsia="方正仿宋_GBK"/>
          <w:sz w:val="24"/>
          <w:szCs w:val="24"/>
        </w:rPr>
        <w:t>质疑项目的项目名称</w:t>
      </w:r>
      <w:r>
        <w:rPr>
          <w:rFonts w:hint="eastAsia" w:ascii="方正仿宋_GBK" w:hAnsi="仿宋" w:eastAsia="方正仿宋_GBK" w:cs="仿宋"/>
          <w:sz w:val="24"/>
        </w:rPr>
        <w:t>；</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1.2.3具体、明确的质疑事项和与质疑事项相关的请求；</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1.2.4事实依据；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1.2.5必要的法律依据；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1.2.6提出质疑的日期；</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1.2.7营业执照（或事业单位法人证书，或个体工商户营业执照或有效的自然人身份证明）复印件；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1.2.8法定代表人授权委托书原件、法定代表人身份证复印件和其授权代表的身份证复印件（供应商为自然人的提供自然人身份证复印件）；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1.3供应商为自然人的，质疑函应当由本人签字；供应商为法人或者其他组织的，质疑函应当由法定代表人、主要负责人，或者其授权代表签字或者盖章，并加盖公章。</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2.质疑答复</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采购人、采购代理机构应当在收到供应商的书面质疑后七个工作日内作出答复，并以书面形式通知质疑供应商和其他有关供应商。</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3.其他</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3.1供应商应按照《政府采购质疑和投诉办法》（财政部令第94号）及相关法律法规要求，在法定质疑期内一次性提出针对同一采购程序环节的质疑。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3.2质疑函范本可在财政部门户网站和中国政府采购网下载。</w:t>
      </w:r>
    </w:p>
    <w:p>
      <w:pPr>
        <w:pStyle w:val="2"/>
        <w:adjustRightInd w:val="0"/>
        <w:snapToGrid w:val="0"/>
        <w:spacing w:before="0" w:after="0" w:line="400" w:lineRule="exact"/>
        <w:ind w:firstLine="482" w:firstLineChars="200"/>
        <w:rPr>
          <w:rFonts w:ascii="方正仿宋_GBK" w:hAnsi="宋体" w:eastAsia="方正仿宋_GBK"/>
          <w:sz w:val="24"/>
        </w:rPr>
      </w:pPr>
      <w:bookmarkStart w:id="174" w:name="_Toc3127"/>
      <w:bookmarkStart w:id="175" w:name="_Toc106034801"/>
      <w:bookmarkStart w:id="176" w:name="_Toc65660361"/>
      <w:bookmarkStart w:id="177" w:name="_Toc16648"/>
      <w:bookmarkStart w:id="178" w:name="_Toc23778"/>
      <w:r>
        <w:rPr>
          <w:rFonts w:hint="eastAsia" w:ascii="方正仿宋_GBK" w:hAnsi="宋体" w:eastAsia="方正仿宋_GBK"/>
          <w:sz w:val="24"/>
        </w:rPr>
        <w:t>七、签订合同</w:t>
      </w:r>
      <w:bookmarkEnd w:id="174"/>
      <w:bookmarkEnd w:id="175"/>
      <w:bookmarkEnd w:id="176"/>
      <w:bookmarkEnd w:id="177"/>
      <w:bookmarkEnd w:id="178"/>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方正仿宋_GBK" w:eastAsia="方正仿宋_GBK"/>
          <w:sz w:val="24"/>
        </w:rPr>
        <w:t>采购人原则上应在成交结果公告发出之日起二十日内和成交供应商签订政府采购合同，无正当理由不得拒绝或拖延合同签订</w:t>
      </w:r>
      <w:r>
        <w:rPr>
          <w:rFonts w:hint="eastAsia" w:ascii="方正仿宋_GBK" w:hAnsi="宋体" w:eastAsia="方正仿宋_GBK"/>
          <w:sz w:val="24"/>
          <w:szCs w:val="24"/>
        </w:rPr>
        <w:t>。所签订的合同不得对采购文件和供应商的响应文件作实质性修改。其他未尽事宜由采购人和成交供应商在采购合同中详细约定。</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（二）采购文件、供应商的响应文件及澄清文件等，均为签订政府采购合同的依据。</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（三）合同生效条款由供需双方约定，法律、行政法规规定应当办理批准、登记等手续后生效的合同，依照其规定。</w:t>
      </w:r>
    </w:p>
    <w:p>
      <w:pPr>
        <w:pStyle w:val="2"/>
        <w:adjustRightInd w:val="0"/>
        <w:snapToGrid w:val="0"/>
        <w:spacing w:before="0" w:after="0" w:line="400" w:lineRule="exact"/>
        <w:ind w:firstLine="482" w:firstLineChars="200"/>
        <w:rPr>
          <w:rFonts w:ascii="方正仿宋_GBK" w:hAnsi="宋体" w:eastAsia="方正仿宋_GBK"/>
          <w:sz w:val="24"/>
        </w:rPr>
      </w:pPr>
      <w:bookmarkStart w:id="179" w:name="_Toc77"/>
      <w:bookmarkStart w:id="180" w:name="_Toc106034802"/>
      <w:r>
        <w:rPr>
          <w:rFonts w:hint="eastAsia" w:ascii="方正仿宋_GBK" w:hAnsi="宋体" w:eastAsia="方正仿宋_GBK"/>
          <w:sz w:val="24"/>
        </w:rPr>
        <w:t>八、项目验收</w:t>
      </w:r>
      <w:bookmarkEnd w:id="179"/>
      <w:bookmarkEnd w:id="180"/>
    </w:p>
    <w:p>
      <w:pPr>
        <w:spacing w:line="400" w:lineRule="exact"/>
        <w:ind w:firstLine="360" w:firstLineChars="150"/>
        <w:rPr>
          <w:rFonts w:ascii="方正仿宋_GBK" w:hAnsi="宋体" w:eastAsia="方正仿宋_GBK"/>
          <w:sz w:val="24"/>
          <w:szCs w:val="24"/>
        </w:rPr>
      </w:pPr>
      <w:r>
        <w:rPr>
          <w:rFonts w:hint="eastAsia" w:ascii="方正仿宋_GBK" w:hAnsi="方正仿宋_GBK" w:eastAsia="方正仿宋_GBK"/>
          <w:sz w:val="24"/>
        </w:rPr>
        <w:t>合同执行完毕，采购人原则上在收到验收申请后，应在7个工作日内组织履约情况验收，不得无故拖延或附加额外条件。</w:t>
      </w:r>
    </w:p>
    <w:p>
      <w:pPr>
        <w:pStyle w:val="2"/>
        <w:adjustRightInd w:val="0"/>
        <w:snapToGrid w:val="0"/>
        <w:spacing w:before="0" w:after="0" w:line="400" w:lineRule="exact"/>
        <w:ind w:firstLine="482" w:firstLineChars="200"/>
        <w:rPr>
          <w:rFonts w:ascii="方正仿宋_GBK" w:hAnsi="宋体" w:eastAsia="方正仿宋_GBK"/>
          <w:sz w:val="24"/>
        </w:rPr>
      </w:pPr>
      <w:bookmarkStart w:id="181" w:name="_Toc29513"/>
      <w:bookmarkStart w:id="182" w:name="_Toc106034803"/>
      <w:bookmarkStart w:id="183" w:name="_Toc32594"/>
      <w:bookmarkStart w:id="184" w:name="_Toc2438"/>
      <w:bookmarkStart w:id="185" w:name="_Toc65660362"/>
      <w:r>
        <w:rPr>
          <w:rFonts w:hint="eastAsia" w:ascii="方正仿宋_GBK" w:hAnsi="宋体" w:eastAsia="方正仿宋_GBK"/>
          <w:sz w:val="24"/>
        </w:rPr>
        <w:t>九、采购代理服务费</w:t>
      </w:r>
      <w:bookmarkEnd w:id="181"/>
      <w:bookmarkEnd w:id="182"/>
      <w:bookmarkEnd w:id="183"/>
      <w:bookmarkEnd w:id="184"/>
      <w:bookmarkEnd w:id="185"/>
    </w:p>
    <w:p>
      <w:pPr>
        <w:spacing w:line="400" w:lineRule="exact"/>
        <w:ind w:firstLine="480" w:firstLineChars="200"/>
        <w:rPr>
          <w:rFonts w:ascii="方正仿宋_GBK" w:hAnsi="宋体" w:eastAsia="方正仿宋_GBK"/>
          <w:b/>
          <w:sz w:val="24"/>
        </w:rPr>
      </w:pPr>
      <w:r>
        <w:rPr>
          <w:rFonts w:hint="eastAsia" w:ascii="方正仿宋_GBK" w:hAnsi="宋体" w:eastAsia="方正仿宋_GBK"/>
          <w:sz w:val="24"/>
        </w:rPr>
        <w:t>（一）供应商成交后向采购代理机构缴纳</w:t>
      </w:r>
      <w:r>
        <w:rPr>
          <w:rFonts w:hint="eastAsia" w:ascii="方正仿宋_GBK" w:hAnsi="宋体" w:eastAsia="方正仿宋_GBK"/>
          <w:sz w:val="24"/>
          <w:szCs w:val="24"/>
        </w:rPr>
        <w:t>采购</w:t>
      </w:r>
      <w:r>
        <w:rPr>
          <w:rFonts w:hint="eastAsia" w:ascii="方正仿宋_GBK" w:hAnsi="宋体" w:eastAsia="方正仿宋_GBK"/>
          <w:sz w:val="24"/>
        </w:rPr>
        <w:t>代理服务费，</w:t>
      </w:r>
      <w:r>
        <w:rPr>
          <w:rFonts w:hint="eastAsia" w:ascii="方正仿宋_GBK" w:hAnsi="宋体" w:eastAsia="方正仿宋_GBK"/>
          <w:sz w:val="24"/>
          <w:szCs w:val="24"/>
        </w:rPr>
        <w:t>采购</w:t>
      </w:r>
      <w:r>
        <w:rPr>
          <w:rFonts w:hint="eastAsia" w:ascii="方正仿宋_GBK" w:hAnsi="宋体" w:eastAsia="方正仿宋_GBK"/>
          <w:sz w:val="24"/>
        </w:rPr>
        <w:t>代理服务费的收取标准按照以下标准执行:</w:t>
      </w:r>
    </w:p>
    <w:p>
      <w:pPr>
        <w:snapToGrid w:val="0"/>
        <w:spacing w:line="400" w:lineRule="exact"/>
        <w:ind w:firstLine="360" w:firstLineChars="150"/>
        <w:rPr>
          <w:rFonts w:ascii="方正仿宋_GBK" w:hAnsi="宋体" w:eastAsia="方正仿宋_GBK"/>
          <w:sz w:val="24"/>
        </w:rPr>
      </w:pPr>
      <w:r>
        <w:rPr>
          <w:rFonts w:hint="eastAsia" w:ascii="方正仿宋_GBK" w:hAnsi="宋体" w:eastAsia="方正仿宋_GBK"/>
          <w:sz w:val="24"/>
        </w:rPr>
        <w:t>XXXXXXX</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rPr>
        <w:t>（二）项目无采购代理机构的不收取代理服务费。</w:t>
      </w:r>
    </w:p>
    <w:p>
      <w:pPr>
        <w:spacing w:line="360" w:lineRule="auto"/>
        <w:ind w:firstLine="480" w:firstLineChars="200"/>
        <w:rPr>
          <w:rFonts w:ascii="宋体" w:hAnsi="宋体"/>
          <w:sz w:val="24"/>
          <w:szCs w:val="24"/>
        </w:rPr>
        <w:sectPr>
          <w:pgSz w:w="11907" w:h="16840"/>
          <w:pgMar w:top="1134" w:right="1191" w:bottom="1134" w:left="1304" w:header="964" w:footer="992" w:gutter="0"/>
          <w:pgNumType w:fmt="numberInDash"/>
          <w:cols w:space="720" w:num="1"/>
          <w:docGrid w:linePitch="312" w:charSpace="0"/>
        </w:sectPr>
      </w:pPr>
    </w:p>
    <w:bookmarkEnd w:id="70"/>
    <w:p>
      <w:pPr>
        <w:pStyle w:val="2"/>
        <w:spacing w:before="0" w:after="0" w:line="360" w:lineRule="auto"/>
        <w:jc w:val="center"/>
        <w:rPr>
          <w:rFonts w:ascii="方正小标宋_GBK" w:eastAsia="方正小标宋_GBK"/>
          <w:b w:val="0"/>
          <w:sz w:val="36"/>
          <w:szCs w:val="30"/>
        </w:rPr>
      </w:pPr>
      <w:bookmarkStart w:id="186" w:name="_Toc11641055"/>
      <w:bookmarkStart w:id="187" w:name="_Toc12789059"/>
      <w:bookmarkStart w:id="188" w:name="_Toc28162"/>
      <w:bookmarkStart w:id="189" w:name="_Toc14861"/>
      <w:bookmarkStart w:id="190" w:name="_Toc65660365"/>
      <w:bookmarkStart w:id="191" w:name="_Toc106034806"/>
      <w:bookmarkStart w:id="192" w:name="_Toc10599"/>
      <w:r>
        <w:rPr>
          <w:rFonts w:hint="eastAsia" w:ascii="方正小标宋_GBK" w:eastAsia="方正小标宋_GBK"/>
          <w:b w:val="0"/>
          <w:sz w:val="36"/>
          <w:szCs w:val="30"/>
        </w:rPr>
        <w:t xml:space="preserve">第六篇  </w:t>
      </w:r>
      <w:bookmarkEnd w:id="186"/>
      <w:bookmarkEnd w:id="187"/>
      <w:r>
        <w:rPr>
          <w:rFonts w:hint="eastAsia" w:ascii="方正小标宋_GBK" w:eastAsia="方正小标宋_GBK"/>
          <w:b w:val="0"/>
          <w:sz w:val="36"/>
          <w:szCs w:val="30"/>
        </w:rPr>
        <w:t>合同草案条款</w:t>
      </w:r>
      <w:bookmarkEnd w:id="188"/>
      <w:bookmarkEnd w:id="189"/>
      <w:bookmarkEnd w:id="190"/>
      <w:bookmarkEnd w:id="191"/>
      <w:bookmarkEnd w:id="192"/>
    </w:p>
    <w:p>
      <w:pPr>
        <w:rPr>
          <w:rFonts w:ascii="方正仿宋_GBK" w:eastAsia="方正仿宋_GBK"/>
          <w:sz w:val="24"/>
        </w:rPr>
      </w:pPr>
      <w:bookmarkStart w:id="193" w:name="_Toc148265480"/>
      <w:bookmarkStart w:id="194" w:name="_Toc303945820"/>
      <w:r>
        <w:rPr>
          <w:rFonts w:hint="eastAsia" w:ascii="方正仿宋_GBK" w:eastAsia="方正仿宋_GBK"/>
          <w:sz w:val="24"/>
        </w:rPr>
        <w:t>附页：合同格式</w:t>
      </w:r>
      <w:bookmarkEnd w:id="193"/>
      <w:bookmarkEnd w:id="194"/>
    </w:p>
    <w:p>
      <w:pPr>
        <w:spacing w:line="500" w:lineRule="exact"/>
        <w:jc w:val="center"/>
        <w:rPr>
          <w:rFonts w:ascii="方正仿宋_GBK" w:eastAsia="方正仿宋_GBK"/>
          <w:b/>
          <w:sz w:val="44"/>
        </w:rPr>
      </w:pPr>
      <w:r>
        <w:rPr>
          <w:rFonts w:hint="eastAsia" w:ascii="方正仿宋_GBK" w:eastAsia="方正仿宋_GBK"/>
          <w:b/>
          <w:sz w:val="44"/>
        </w:rPr>
        <w:t>重庆市政府采购合同</w:t>
      </w:r>
    </w:p>
    <w:p>
      <w:pPr>
        <w:spacing w:line="500" w:lineRule="exact"/>
        <w:jc w:val="center"/>
        <w:outlineLvl w:val="1"/>
        <w:rPr>
          <w:rFonts w:ascii="方正仿宋_GBK" w:eastAsia="方正仿宋_GBK"/>
          <w:b/>
          <w:sz w:val="44"/>
        </w:rPr>
      </w:pPr>
      <w:r>
        <w:rPr>
          <w:rFonts w:hint="eastAsia" w:ascii="方正仿宋_GBK" w:eastAsia="方正仿宋_GBK"/>
          <w:b/>
          <w:sz w:val="44"/>
        </w:rPr>
        <w:t>（服务类）</w:t>
      </w:r>
    </w:p>
    <w:p>
      <w:pPr>
        <w:spacing w:line="500" w:lineRule="exact"/>
        <w:rPr>
          <w:rFonts w:ascii="方正仿宋_GBK" w:eastAsia="方正仿宋_GBK"/>
          <w:sz w:val="24"/>
        </w:rPr>
      </w:pPr>
      <w:r>
        <w:rPr>
          <w:rFonts w:hint="eastAsia" w:ascii="方正仿宋_GBK" w:eastAsia="方正仿宋_GBK"/>
          <w:sz w:val="24"/>
        </w:rPr>
        <w:t>甲方（需方）：___________________________      计价单位：____________</w:t>
      </w:r>
    </w:p>
    <w:p>
      <w:pPr>
        <w:spacing w:line="500" w:lineRule="exact"/>
        <w:rPr>
          <w:rFonts w:ascii="方正仿宋_GBK" w:eastAsia="方正仿宋_GBK"/>
          <w:sz w:val="24"/>
        </w:rPr>
      </w:pPr>
      <w:r>
        <w:rPr>
          <w:rFonts w:hint="eastAsia" w:ascii="方正仿宋_GBK" w:eastAsia="方正仿宋_GBK"/>
          <w:sz w:val="24"/>
        </w:rPr>
        <w:t>乙方（供方）：___________________________      计量单位：_____________</w:t>
      </w:r>
    </w:p>
    <w:p>
      <w:pPr>
        <w:spacing w:line="500" w:lineRule="exact"/>
        <w:rPr>
          <w:rFonts w:ascii="方正仿宋_GBK" w:eastAsia="方正仿宋_GBK"/>
          <w:sz w:val="24"/>
        </w:rPr>
      </w:pPr>
      <w:r>
        <w:rPr>
          <w:rFonts w:hint="eastAsia" w:ascii="方正仿宋_GBK" w:eastAsia="方正仿宋_GBK"/>
          <w:sz w:val="24"/>
        </w:rPr>
        <w:t>经双方协商一致，达成以下购销合同：</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项目名称</w:t>
            </w:r>
          </w:p>
        </w:tc>
        <w:tc>
          <w:tcPr>
            <w:tcW w:w="984"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数量</w:t>
            </w:r>
          </w:p>
        </w:tc>
        <w:tc>
          <w:tcPr>
            <w:tcW w:w="1298" w:type="dxa"/>
            <w:gridSpan w:val="2"/>
            <w:vAlign w:val="center"/>
          </w:tcPr>
          <w:p>
            <w:pPr>
              <w:spacing w:line="240" w:lineRule="atLeast"/>
              <w:rPr>
                <w:rFonts w:ascii="方正仿宋_GBK" w:eastAsia="方正仿宋_GBK"/>
                <w:sz w:val="21"/>
                <w:szCs w:val="21"/>
              </w:rPr>
            </w:pPr>
            <w:r>
              <w:rPr>
                <w:rFonts w:hint="eastAsia" w:ascii="方正仿宋_GBK" w:eastAsia="方正仿宋_GBK"/>
                <w:sz w:val="21"/>
                <w:szCs w:val="21"/>
              </w:rPr>
              <w:t>综合单价</w:t>
            </w:r>
          </w:p>
        </w:tc>
        <w:tc>
          <w:tcPr>
            <w:tcW w:w="1134"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总价</w:t>
            </w:r>
          </w:p>
        </w:tc>
        <w:tc>
          <w:tcPr>
            <w:tcW w:w="1559"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服务时间/工期</w:t>
            </w:r>
          </w:p>
        </w:tc>
        <w:tc>
          <w:tcPr>
            <w:tcW w:w="1567"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服务/工程地点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rPr>
                <w:rFonts w:ascii="方正仿宋_GBK" w:eastAsia="方正仿宋_GBK"/>
                <w:sz w:val="21"/>
                <w:szCs w:val="21"/>
              </w:rPr>
            </w:pPr>
          </w:p>
        </w:tc>
        <w:tc>
          <w:tcPr>
            <w:tcW w:w="984" w:type="dxa"/>
            <w:vAlign w:val="center"/>
          </w:tcPr>
          <w:p>
            <w:pPr>
              <w:spacing w:line="240" w:lineRule="atLeast"/>
              <w:rPr>
                <w:rFonts w:ascii="方正仿宋_GBK" w:eastAsia="方正仿宋_GBK"/>
                <w:sz w:val="21"/>
                <w:szCs w:val="21"/>
              </w:rPr>
            </w:pPr>
          </w:p>
        </w:tc>
        <w:tc>
          <w:tcPr>
            <w:tcW w:w="1298" w:type="dxa"/>
            <w:gridSpan w:val="2"/>
            <w:vAlign w:val="center"/>
          </w:tcPr>
          <w:p>
            <w:pPr>
              <w:spacing w:line="240" w:lineRule="atLeast"/>
              <w:rPr>
                <w:rFonts w:ascii="方正仿宋_GBK" w:eastAsia="方正仿宋_GBK"/>
                <w:sz w:val="21"/>
                <w:szCs w:val="21"/>
              </w:rPr>
            </w:pPr>
          </w:p>
        </w:tc>
        <w:tc>
          <w:tcPr>
            <w:tcW w:w="1134" w:type="dxa"/>
            <w:vAlign w:val="center"/>
          </w:tcPr>
          <w:p>
            <w:pPr>
              <w:spacing w:line="240" w:lineRule="atLeast"/>
              <w:rPr>
                <w:rFonts w:ascii="方正仿宋_GBK" w:eastAsia="方正仿宋_GBK"/>
                <w:sz w:val="21"/>
                <w:szCs w:val="21"/>
              </w:rPr>
            </w:pPr>
          </w:p>
        </w:tc>
        <w:tc>
          <w:tcPr>
            <w:tcW w:w="1559" w:type="dxa"/>
            <w:vAlign w:val="center"/>
          </w:tcPr>
          <w:p>
            <w:pPr>
              <w:spacing w:line="240" w:lineRule="atLeast"/>
              <w:rPr>
                <w:rFonts w:ascii="方正仿宋_GBK" w:eastAsia="方正仿宋_GBK"/>
                <w:sz w:val="21"/>
                <w:szCs w:val="21"/>
              </w:rPr>
            </w:pPr>
          </w:p>
        </w:tc>
        <w:tc>
          <w:tcPr>
            <w:tcW w:w="1567" w:type="dxa"/>
            <w:vAlign w:val="center"/>
          </w:tcPr>
          <w:p>
            <w:pPr>
              <w:spacing w:line="240" w:lineRule="atLeast"/>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rPr>
                <w:rFonts w:ascii="方正仿宋_GBK" w:eastAsia="方正仿宋_GBK"/>
                <w:sz w:val="21"/>
                <w:szCs w:val="21"/>
              </w:rPr>
            </w:pPr>
          </w:p>
        </w:tc>
        <w:tc>
          <w:tcPr>
            <w:tcW w:w="984" w:type="dxa"/>
            <w:vAlign w:val="center"/>
          </w:tcPr>
          <w:p>
            <w:pPr>
              <w:spacing w:line="240" w:lineRule="atLeast"/>
              <w:rPr>
                <w:rFonts w:ascii="方正仿宋_GBK" w:eastAsia="方正仿宋_GBK"/>
                <w:sz w:val="21"/>
                <w:szCs w:val="21"/>
              </w:rPr>
            </w:pPr>
          </w:p>
        </w:tc>
        <w:tc>
          <w:tcPr>
            <w:tcW w:w="1298" w:type="dxa"/>
            <w:gridSpan w:val="2"/>
            <w:vAlign w:val="center"/>
          </w:tcPr>
          <w:p>
            <w:pPr>
              <w:spacing w:line="240" w:lineRule="atLeast"/>
              <w:rPr>
                <w:rFonts w:ascii="方正仿宋_GBK" w:eastAsia="方正仿宋_GBK"/>
                <w:sz w:val="21"/>
                <w:szCs w:val="21"/>
              </w:rPr>
            </w:pPr>
          </w:p>
        </w:tc>
        <w:tc>
          <w:tcPr>
            <w:tcW w:w="1134" w:type="dxa"/>
            <w:vAlign w:val="center"/>
          </w:tcPr>
          <w:p>
            <w:pPr>
              <w:spacing w:line="240" w:lineRule="atLeast"/>
              <w:rPr>
                <w:rFonts w:ascii="方正仿宋_GBK" w:eastAsia="方正仿宋_GBK"/>
                <w:sz w:val="21"/>
                <w:szCs w:val="21"/>
              </w:rPr>
            </w:pPr>
          </w:p>
        </w:tc>
        <w:tc>
          <w:tcPr>
            <w:tcW w:w="1559" w:type="dxa"/>
            <w:vAlign w:val="center"/>
          </w:tcPr>
          <w:p>
            <w:pPr>
              <w:spacing w:line="240" w:lineRule="atLeast"/>
              <w:rPr>
                <w:rFonts w:ascii="方正仿宋_GBK" w:eastAsia="方正仿宋_GBK"/>
                <w:sz w:val="21"/>
                <w:szCs w:val="21"/>
              </w:rPr>
            </w:pPr>
          </w:p>
        </w:tc>
        <w:tc>
          <w:tcPr>
            <w:tcW w:w="1567" w:type="dxa"/>
            <w:vAlign w:val="center"/>
          </w:tcPr>
          <w:p>
            <w:pPr>
              <w:spacing w:line="240" w:lineRule="atLeast"/>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9613" w:type="dxa"/>
            <w:gridSpan w:val="7"/>
            <w:vAlign w:val="center"/>
          </w:tcPr>
          <w:p>
            <w:pPr>
              <w:spacing w:line="240" w:lineRule="atLeast"/>
              <w:rPr>
                <w:rFonts w:ascii="方正仿宋_GBK" w:eastAsia="方正仿宋_GBK"/>
                <w:sz w:val="21"/>
                <w:szCs w:val="21"/>
              </w:rPr>
            </w:pPr>
            <w:r>
              <w:rPr>
                <w:rFonts w:hint="eastAsia" w:ascii="方正仿宋_GBK" w:eastAsia="方正仿宋_GBK"/>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pPr>
              <w:spacing w:line="240" w:lineRule="atLeast"/>
              <w:rPr>
                <w:rFonts w:ascii="方正仿宋_GBK" w:eastAsia="方正仿宋_GBK"/>
                <w:sz w:val="21"/>
                <w:szCs w:val="21"/>
              </w:rPr>
            </w:pPr>
            <w:r>
              <w:rPr>
                <w:rFonts w:hint="eastAsia" w:ascii="方正仿宋_GBK" w:eastAsia="方正仿宋_GBK"/>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pPr>
              <w:spacing w:line="240" w:lineRule="atLeast"/>
              <w:rPr>
                <w:rFonts w:ascii="方正仿宋_GBK" w:eastAsia="方正仿宋_GBK"/>
                <w:sz w:val="21"/>
                <w:szCs w:val="21"/>
              </w:rPr>
            </w:pPr>
            <w:r>
              <w:rPr>
                <w:rFonts w:hint="eastAsia" w:ascii="方正仿宋_GBK" w:eastAsia="方正仿宋_GBK"/>
                <w:sz w:val="21"/>
                <w:szCs w:val="21"/>
              </w:rPr>
              <w:t>一、项目内容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二、项目要求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三、验收方式：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tcPr>
          <w:p>
            <w:pPr>
              <w:rPr>
                <w:rFonts w:ascii="方正仿宋_GBK" w:eastAsia="方正仿宋_GBK"/>
                <w:sz w:val="21"/>
                <w:szCs w:val="21"/>
              </w:rPr>
            </w:pPr>
            <w:r>
              <w:rPr>
                <w:rFonts w:hint="eastAsia" w:ascii="方正仿宋_GBK" w:eastAsia="方正仿宋_GBK"/>
                <w:sz w:val="21"/>
                <w:szCs w:val="21"/>
              </w:rPr>
              <w:t>四、付款方式</w:t>
            </w:r>
            <w:r>
              <w:rPr>
                <w:rFonts w:ascii="方正仿宋_GBK" w:eastAsia="方正仿宋_GBK"/>
                <w:sz w:val="21"/>
                <w:szCs w:val="21"/>
              </w:rPr>
              <w:t>：</w:t>
            </w:r>
          </w:p>
          <w:p>
            <w:pPr>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五、违约责任：</w:t>
            </w:r>
          </w:p>
          <w:p>
            <w:pPr>
              <w:spacing w:line="240" w:lineRule="atLeast"/>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六、其他约定事项：</w:t>
            </w:r>
          </w:p>
          <w:p>
            <w:pPr>
              <w:spacing w:line="240" w:lineRule="atLeast"/>
              <w:rPr>
                <w:rFonts w:ascii="方正仿宋_GBK" w:eastAsia="方正仿宋_GBK"/>
                <w:sz w:val="21"/>
                <w:szCs w:val="21"/>
              </w:rPr>
            </w:pPr>
            <w:r>
              <w:rPr>
                <w:rFonts w:hint="eastAsia" w:ascii="方正仿宋_GBK" w:eastAsia="方正仿宋_GBK"/>
                <w:sz w:val="21"/>
                <w:szCs w:val="21"/>
              </w:rPr>
              <w:t>1.采购文件及其澄清文件、响应文件和承诺是本合同不可分割的部分。</w:t>
            </w:r>
          </w:p>
          <w:p>
            <w:pPr>
              <w:spacing w:line="240" w:lineRule="atLeast"/>
              <w:rPr>
                <w:rFonts w:ascii="方正仿宋_GBK" w:eastAsia="方正仿宋_GBK"/>
                <w:sz w:val="21"/>
                <w:szCs w:val="21"/>
              </w:rPr>
            </w:pPr>
            <w:r>
              <w:rPr>
                <w:rFonts w:hint="eastAsia" w:ascii="方正仿宋_GBK" w:eastAsia="方正仿宋_GBK"/>
                <w:sz w:val="21"/>
                <w:szCs w:val="21"/>
              </w:rPr>
              <w:t>2.本合同如发生争议由双方协商解决，协商不成向需方所在人民法院提请诉讼。</w:t>
            </w:r>
          </w:p>
          <w:p>
            <w:pPr>
              <w:spacing w:line="240" w:lineRule="atLeast"/>
              <w:rPr>
                <w:rFonts w:ascii="方正仿宋_GBK" w:eastAsia="方正仿宋_GBK"/>
                <w:sz w:val="21"/>
                <w:szCs w:val="21"/>
              </w:rPr>
            </w:pPr>
            <w:r>
              <w:rPr>
                <w:rFonts w:hint="eastAsia" w:ascii="方正仿宋_GBK" w:eastAsia="方正仿宋_GBK"/>
                <w:sz w:val="21"/>
                <w:szCs w:val="21"/>
              </w:rPr>
              <w:t>3.本合同一式__份， 需方__份，供方__份，具同等法律效力。</w:t>
            </w:r>
          </w:p>
          <w:p>
            <w:pPr>
              <w:spacing w:line="240" w:lineRule="atLeast"/>
              <w:rPr>
                <w:rFonts w:ascii="方正仿宋_GBK" w:eastAsia="方正仿宋_GBK"/>
                <w:sz w:val="21"/>
                <w:szCs w:val="21"/>
              </w:rPr>
            </w:pPr>
            <w:r>
              <w:rPr>
                <w:rFonts w:hint="eastAsia" w:ascii="方正仿宋_GBK" w:eastAsia="方正仿宋_GBK"/>
                <w:sz w:val="21"/>
                <w:szCs w:val="21"/>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44" w:type="dxa"/>
            <w:gridSpan w:val="3"/>
          </w:tcPr>
          <w:p>
            <w:pPr>
              <w:spacing w:line="240" w:lineRule="atLeast"/>
              <w:rPr>
                <w:rFonts w:ascii="方正仿宋_GBK" w:eastAsia="方正仿宋_GBK"/>
                <w:sz w:val="21"/>
                <w:szCs w:val="21"/>
              </w:rPr>
            </w:pPr>
            <w:r>
              <w:rPr>
                <w:rFonts w:hint="eastAsia" w:ascii="方正仿宋_GBK" w:eastAsia="方正仿宋_GBK"/>
                <w:sz w:val="21"/>
                <w:szCs w:val="21"/>
              </w:rPr>
              <w:t>需方：</w:t>
            </w:r>
          </w:p>
          <w:p>
            <w:pPr>
              <w:spacing w:line="240" w:lineRule="atLeast"/>
              <w:rPr>
                <w:rFonts w:ascii="方正仿宋_GBK" w:eastAsia="方正仿宋_GBK"/>
                <w:sz w:val="21"/>
                <w:szCs w:val="21"/>
              </w:rPr>
            </w:pPr>
            <w:r>
              <w:rPr>
                <w:rFonts w:hint="eastAsia" w:ascii="方正仿宋_GBK" w:eastAsia="方正仿宋_GBK"/>
                <w:sz w:val="21"/>
                <w:szCs w:val="21"/>
              </w:rPr>
              <w:t>地址：</w:t>
            </w:r>
          </w:p>
          <w:p>
            <w:pPr>
              <w:spacing w:line="240" w:lineRule="atLeast"/>
              <w:rPr>
                <w:rFonts w:ascii="方正仿宋_GBK" w:eastAsia="方正仿宋_GBK"/>
                <w:sz w:val="21"/>
                <w:szCs w:val="21"/>
              </w:rPr>
            </w:pPr>
            <w:r>
              <w:rPr>
                <w:rFonts w:hint="eastAsia" w:ascii="方正仿宋_GBK" w:eastAsia="方正仿宋_GBK"/>
                <w:sz w:val="21"/>
                <w:szCs w:val="21"/>
              </w:rPr>
              <w:t>联系电话：</w:t>
            </w:r>
          </w:p>
          <w:p>
            <w:pPr>
              <w:spacing w:line="240" w:lineRule="atLeast"/>
              <w:rPr>
                <w:rFonts w:ascii="方正仿宋_GBK" w:eastAsia="方正仿宋_GBK"/>
                <w:sz w:val="21"/>
                <w:szCs w:val="21"/>
              </w:rPr>
            </w:pPr>
            <w:r>
              <w:rPr>
                <w:rFonts w:hint="eastAsia" w:ascii="方正仿宋_GBK" w:eastAsia="方正仿宋_GBK"/>
                <w:sz w:val="21"/>
                <w:szCs w:val="21"/>
              </w:rPr>
              <w:t>授权代表：</w:t>
            </w:r>
          </w:p>
        </w:tc>
        <w:tc>
          <w:tcPr>
            <w:tcW w:w="4984" w:type="dxa"/>
            <w:gridSpan w:val="5"/>
          </w:tcPr>
          <w:p>
            <w:pPr>
              <w:spacing w:line="240" w:lineRule="atLeast"/>
              <w:rPr>
                <w:rFonts w:ascii="方正仿宋_GBK" w:eastAsia="方正仿宋_GBK"/>
                <w:sz w:val="21"/>
                <w:szCs w:val="21"/>
              </w:rPr>
            </w:pPr>
            <w:r>
              <w:rPr>
                <w:rFonts w:hint="eastAsia" w:ascii="方正仿宋_GBK" w:eastAsia="方正仿宋_GBK"/>
                <w:sz w:val="21"/>
                <w:szCs w:val="21"/>
              </w:rPr>
              <w:t>供方：</w:t>
            </w:r>
          </w:p>
          <w:p>
            <w:pPr>
              <w:spacing w:line="240" w:lineRule="atLeast"/>
              <w:rPr>
                <w:rFonts w:ascii="方正仿宋_GBK" w:eastAsia="方正仿宋_GBK"/>
                <w:sz w:val="21"/>
                <w:szCs w:val="21"/>
              </w:rPr>
            </w:pPr>
            <w:r>
              <w:rPr>
                <w:rFonts w:hint="eastAsia" w:ascii="方正仿宋_GBK" w:eastAsia="方正仿宋_GBK"/>
                <w:sz w:val="21"/>
                <w:szCs w:val="21"/>
              </w:rPr>
              <w:t>地址：</w:t>
            </w:r>
          </w:p>
          <w:p>
            <w:pPr>
              <w:spacing w:line="240" w:lineRule="atLeast"/>
              <w:rPr>
                <w:rFonts w:ascii="方正仿宋_GBK" w:eastAsia="方正仿宋_GBK"/>
                <w:sz w:val="21"/>
                <w:szCs w:val="21"/>
              </w:rPr>
            </w:pPr>
            <w:r>
              <w:rPr>
                <w:rFonts w:hint="eastAsia" w:ascii="方正仿宋_GBK" w:eastAsia="方正仿宋_GBK"/>
                <w:sz w:val="21"/>
                <w:szCs w:val="21"/>
              </w:rPr>
              <w:t>电话：</w:t>
            </w:r>
          </w:p>
          <w:p>
            <w:pPr>
              <w:spacing w:line="240" w:lineRule="atLeast"/>
              <w:rPr>
                <w:rFonts w:ascii="方正仿宋_GBK" w:eastAsia="方正仿宋_GBK"/>
                <w:sz w:val="21"/>
                <w:szCs w:val="21"/>
              </w:rPr>
            </w:pPr>
            <w:r>
              <w:rPr>
                <w:rFonts w:hint="eastAsia" w:ascii="方正仿宋_GBK" w:eastAsia="方正仿宋_GBK"/>
                <w:sz w:val="21"/>
                <w:szCs w:val="21"/>
              </w:rPr>
              <w:t>传真：</w:t>
            </w:r>
          </w:p>
          <w:p>
            <w:pPr>
              <w:spacing w:line="240" w:lineRule="atLeast"/>
              <w:rPr>
                <w:rFonts w:ascii="方正仿宋_GBK" w:eastAsia="方正仿宋_GBK"/>
                <w:sz w:val="21"/>
                <w:szCs w:val="21"/>
              </w:rPr>
            </w:pPr>
            <w:r>
              <w:rPr>
                <w:rFonts w:hint="eastAsia" w:ascii="方正仿宋_GBK" w:eastAsia="方正仿宋_GBK"/>
                <w:sz w:val="21"/>
                <w:szCs w:val="21"/>
              </w:rPr>
              <w:t>开户银行：</w:t>
            </w:r>
          </w:p>
          <w:p>
            <w:pPr>
              <w:spacing w:line="240" w:lineRule="atLeast"/>
              <w:rPr>
                <w:rFonts w:ascii="方正仿宋_GBK" w:eastAsia="方正仿宋_GBK"/>
                <w:sz w:val="21"/>
                <w:szCs w:val="21"/>
              </w:rPr>
            </w:pPr>
            <w:r>
              <w:rPr>
                <w:rFonts w:hint="eastAsia" w:ascii="方正仿宋_GBK" w:eastAsia="方正仿宋_GBK"/>
                <w:sz w:val="21"/>
                <w:szCs w:val="21"/>
              </w:rPr>
              <w:t>账号：</w:t>
            </w:r>
          </w:p>
          <w:p>
            <w:pPr>
              <w:spacing w:line="240" w:lineRule="atLeast"/>
              <w:rPr>
                <w:rFonts w:ascii="方正仿宋_GBK" w:eastAsia="方正仿宋_GBK"/>
                <w:sz w:val="21"/>
                <w:szCs w:val="21"/>
              </w:rPr>
            </w:pPr>
            <w:r>
              <w:rPr>
                <w:rFonts w:hint="eastAsia" w:ascii="方正仿宋_GBK" w:eastAsia="方正仿宋_GBK"/>
                <w:sz w:val="21"/>
                <w:szCs w:val="21"/>
              </w:rPr>
              <w:t>授权代表：</w:t>
            </w:r>
          </w:p>
          <w:p>
            <w:pPr>
              <w:widowControl/>
              <w:spacing w:line="240" w:lineRule="atLeast"/>
              <w:jc w:val="left"/>
              <w:rPr>
                <w:rFonts w:ascii="方正仿宋_GBK" w:eastAsia="方正仿宋_GBK"/>
                <w:sz w:val="21"/>
                <w:szCs w:val="21"/>
              </w:rPr>
            </w:pPr>
            <w:r>
              <w:rPr>
                <w:rFonts w:hint="eastAsia" w:ascii="方正仿宋_GBK" w:eastAsia="方正仿宋_GBK"/>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备注：</w:t>
            </w:r>
          </w:p>
          <w:p>
            <w:pPr>
              <w:spacing w:line="240" w:lineRule="atLeast"/>
              <w:rPr>
                <w:rFonts w:ascii="方正仿宋_GBK" w:eastAsia="方正仿宋_GBK"/>
                <w:sz w:val="21"/>
                <w:szCs w:val="21"/>
              </w:rPr>
            </w:pPr>
          </w:p>
          <w:p>
            <w:pPr>
              <w:spacing w:line="240" w:lineRule="atLeast"/>
              <w:rPr>
                <w:rFonts w:ascii="方正仿宋_GBK" w:eastAsia="方正仿宋_GBK"/>
                <w:sz w:val="21"/>
                <w:szCs w:val="21"/>
              </w:rPr>
            </w:pPr>
          </w:p>
        </w:tc>
      </w:tr>
    </w:tbl>
    <w:p>
      <w:pPr>
        <w:rPr>
          <w:rFonts w:ascii="方正仿宋_GBK" w:eastAsia="方正仿宋_GBK"/>
          <w:sz w:val="24"/>
        </w:rPr>
      </w:pPr>
      <w:r>
        <w:rPr>
          <w:rFonts w:hint="eastAsia" w:ascii="方正仿宋_GBK" w:eastAsia="方正仿宋_GBK"/>
          <w:sz w:val="24"/>
        </w:rPr>
        <w:t>签约时间：           年   月   日      签约地点：</w:t>
      </w:r>
    </w:p>
    <w:p>
      <w:pPr>
        <w:tabs>
          <w:tab w:val="left" w:pos="9000"/>
        </w:tabs>
        <w:spacing w:line="276" w:lineRule="auto"/>
        <w:jc w:val="center"/>
        <w:rPr>
          <w:rFonts w:ascii="方正仿宋_GBK" w:eastAsia="方正仿宋_GBK"/>
          <w:sz w:val="21"/>
          <w:szCs w:val="21"/>
        </w:rPr>
        <w:sectPr>
          <w:footerReference r:id="rId9" w:type="default"/>
          <w:footerReference r:id="rId10" w:type="even"/>
          <w:pgSz w:w="11907" w:h="16840"/>
          <w:pgMar w:top="1134" w:right="1191" w:bottom="1134" w:left="1304" w:header="964" w:footer="992" w:gutter="0"/>
          <w:pgNumType w:fmt="numberInDash"/>
          <w:cols w:space="720" w:num="1"/>
          <w:docGrid w:linePitch="312" w:charSpace="0"/>
        </w:sectPr>
      </w:pPr>
    </w:p>
    <w:p>
      <w:pPr>
        <w:pStyle w:val="2"/>
        <w:spacing w:before="0" w:after="0" w:line="360" w:lineRule="auto"/>
        <w:jc w:val="center"/>
        <w:rPr>
          <w:rFonts w:ascii="方正小标宋_GBK" w:eastAsia="方正小标宋_GBK"/>
          <w:b w:val="0"/>
          <w:sz w:val="36"/>
          <w:szCs w:val="30"/>
        </w:rPr>
      </w:pPr>
      <w:bookmarkStart w:id="195" w:name="_Hlt41879464"/>
      <w:bookmarkEnd w:id="195"/>
      <w:bookmarkStart w:id="196" w:name="_Toc6968"/>
      <w:bookmarkStart w:id="197" w:name="_Toc12789072"/>
      <w:bookmarkStart w:id="198" w:name="_Toc65660378"/>
      <w:bookmarkStart w:id="199" w:name="_Toc9538"/>
      <w:bookmarkStart w:id="200" w:name="_Toc18521"/>
      <w:bookmarkStart w:id="201" w:name="_Toc106034807"/>
      <w:r>
        <w:rPr>
          <w:rFonts w:hint="eastAsia" w:ascii="方正小标宋_GBK" w:eastAsia="方正小标宋_GBK"/>
          <w:b w:val="0"/>
          <w:sz w:val="36"/>
          <w:szCs w:val="30"/>
        </w:rPr>
        <w:t>第七篇  响应文件格式要求</w:t>
      </w:r>
      <w:bookmarkEnd w:id="196"/>
      <w:bookmarkEnd w:id="197"/>
      <w:bookmarkEnd w:id="198"/>
      <w:bookmarkEnd w:id="199"/>
      <w:bookmarkEnd w:id="200"/>
      <w:bookmarkEnd w:id="201"/>
    </w:p>
    <w:p>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一、经济部分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（一）报价函</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二、技术（质量）部分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（一）技术（质量）响应偏离表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（二）其他资料（格式自定）</w:t>
      </w:r>
    </w:p>
    <w:p>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三、服务部分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（一）服务响应偏离表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（二）其它优惠服务承诺（格式自定）</w:t>
      </w:r>
    </w:p>
    <w:p>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四、资格条件及其他</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（二）法定代表人身份证明书（格式）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（三）法定代表人授权委托书（格式）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（四）基本资格条件承诺函（格式）</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（五）特定资格条件证书或证明文件</w:t>
      </w:r>
    </w:p>
    <w:p>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五、其他资料</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（一）联合体协议或分包意向协议（格式自定）</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（二）其他与项目有关的资料（自附）</w:t>
      </w:r>
    </w:p>
    <w:p>
      <w:pPr>
        <w:snapToGrid w:val="0"/>
        <w:spacing w:line="360" w:lineRule="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ascii="方正仿宋_GBK" w:hAnsi="宋体" w:eastAsia="方正仿宋_GBK"/>
          <w:sz w:val="24"/>
        </w:rPr>
      </w:pPr>
      <w:bookmarkStart w:id="202" w:name="_Toc14244"/>
      <w:bookmarkStart w:id="203" w:name="_Toc26343"/>
      <w:bookmarkStart w:id="204" w:name="_Toc313888360"/>
      <w:bookmarkStart w:id="205" w:name="_Toc30982"/>
      <w:bookmarkStart w:id="206" w:name="_Toc106034808"/>
      <w:bookmarkStart w:id="207" w:name="_Toc313008356"/>
      <w:bookmarkStart w:id="208" w:name="_Toc342913419"/>
      <w:bookmarkStart w:id="209" w:name="_Toc65660379"/>
      <w:bookmarkStart w:id="210" w:name="_Toc12789073"/>
      <w:bookmarkStart w:id="211" w:name="_Toc283382454"/>
      <w:r>
        <w:rPr>
          <w:rFonts w:hint="eastAsia" w:ascii="方正仿宋_GBK" w:hAnsi="宋体" w:eastAsia="方正仿宋_GBK"/>
          <w:sz w:val="24"/>
        </w:rPr>
        <w:t>一、经济部分</w:t>
      </w:r>
      <w:bookmarkEnd w:id="202"/>
      <w:bookmarkEnd w:id="203"/>
      <w:bookmarkEnd w:id="204"/>
      <w:bookmarkEnd w:id="205"/>
      <w:bookmarkEnd w:id="206"/>
      <w:bookmarkEnd w:id="207"/>
      <w:bookmarkEnd w:id="208"/>
      <w:bookmarkEnd w:id="209"/>
    </w:p>
    <w:bookmarkEnd w:id="210"/>
    <w:bookmarkEnd w:id="211"/>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562" w:firstLineChars="200"/>
        <w:jc w:val="center"/>
        <w:rPr>
          <w:rFonts w:ascii="方正仿宋_GBK" w:hAnsi="宋体" w:eastAsia="方正仿宋_GBK"/>
          <w:b/>
          <w:szCs w:val="28"/>
        </w:rPr>
      </w:pPr>
      <w:r>
        <w:rPr>
          <w:rFonts w:hint="eastAsia" w:ascii="方正仿宋_GBK" w:hAnsi="宋体" w:eastAsia="方正仿宋_GBK"/>
          <w:b/>
          <w:szCs w:val="28"/>
        </w:rPr>
        <w:t>报价函</w:t>
      </w:r>
    </w:p>
    <w:p>
      <w:pPr>
        <w:tabs>
          <w:tab w:val="left" w:pos="6300"/>
        </w:tabs>
        <w:snapToGrid w:val="0"/>
        <w:spacing w:line="312" w:lineRule="auto"/>
        <w:rPr>
          <w:rFonts w:ascii="方正仿宋_GBK" w:hAnsi="宋体" w:eastAsia="方正仿宋_GBK"/>
          <w:sz w:val="24"/>
          <w:szCs w:val="24"/>
        </w:rPr>
      </w:pP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szCs w:val="24"/>
        </w:rPr>
        <w:t>：</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我方收到____________________________（项目名称）的限额以下比价通知书，经详细研究，决定参加该项目的报价。</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1.愿意按照采购文件中的一切要求，提供本项目服务，项目报价（单价）为人民币大写：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元；人民币小写：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元。以我公司报价为准。</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3.我方承诺：本次报价的有效期为提交响应文件截止时间起90天。</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4.我方完全理解和接受贵方采购文件的一切规定和要求及评审办法。</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5.在整个比价过程中，我方若有违规行为，接受按照《中华人民共和国政府采购法》和《限额以下比价通知书》之规定给予惩罚。</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6.我方若成为成交供应商，将按照报价结果签订合同，并且严格履行合同义务。本承诺函将成为合同不可分割的一部分，与合同具有同等的法律效力。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7.如果我方成为成交供应商，保证向采购代理机构缴纳采购文件规定的采购代理服务费。</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8.</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pPr>
        <w:tabs>
          <w:tab w:val="left" w:pos="6300"/>
        </w:tabs>
        <w:snapToGrid w:val="0"/>
        <w:spacing w:line="312" w:lineRule="auto"/>
        <w:ind w:firstLine="570"/>
        <w:rPr>
          <w:rFonts w:ascii="方正仿宋_GBK" w:hAnsi="宋体" w:eastAsia="方正仿宋_GBK"/>
          <w:sz w:val="24"/>
          <w:szCs w:val="24"/>
        </w:rPr>
      </w:pP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供应商（公章）或自然人签署：</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地址：  </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电话：                           传真：</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网址：                           邮编：</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联系人：</w:t>
      </w:r>
    </w:p>
    <w:p>
      <w:pPr>
        <w:snapToGrid w:val="0"/>
        <w:spacing w:line="312" w:lineRule="auto"/>
        <w:ind w:firstLine="480" w:firstLineChars="200"/>
        <w:rPr>
          <w:rFonts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（二）明细报价表                           </w:t>
      </w:r>
    </w:p>
    <w:p>
      <w:pPr>
        <w:spacing w:line="400" w:lineRule="exact"/>
        <w:rPr>
          <w:rFonts w:ascii="方正仿宋_GBK" w:hAnsi="宋体" w:eastAsia="方正仿宋_GBK"/>
          <w:sz w:val="24"/>
          <w:szCs w:val="24"/>
        </w:rPr>
      </w:pPr>
      <w:r>
        <w:rPr>
          <w:rFonts w:hint="eastAsia" w:ascii="方正仿宋_GBK" w:hAnsi="宋体" w:eastAsia="方正仿宋_GBK"/>
          <w:sz w:val="24"/>
          <w:szCs w:val="24"/>
        </w:rPr>
        <w:t xml:space="preserve">项目名称（服务类）： </w:t>
      </w:r>
    </w:p>
    <w:tbl>
      <w:tblPr>
        <w:tblStyle w:val="11"/>
        <w:tblW w:w="9080" w:type="dxa"/>
        <w:tblInd w:w="96" w:type="dxa"/>
        <w:tblLayout w:type="fixed"/>
        <w:tblCellMar>
          <w:top w:w="0" w:type="dxa"/>
          <w:left w:w="108" w:type="dxa"/>
          <w:bottom w:w="0" w:type="dxa"/>
          <w:right w:w="108" w:type="dxa"/>
        </w:tblCellMar>
      </w:tblPr>
      <w:tblGrid>
        <w:gridCol w:w="640"/>
        <w:gridCol w:w="9"/>
        <w:gridCol w:w="3191"/>
        <w:gridCol w:w="34"/>
        <w:gridCol w:w="45"/>
        <w:gridCol w:w="495"/>
        <w:gridCol w:w="6"/>
        <w:gridCol w:w="679"/>
        <w:gridCol w:w="20"/>
        <w:gridCol w:w="925"/>
        <w:gridCol w:w="35"/>
        <w:gridCol w:w="925"/>
        <w:gridCol w:w="2076"/>
      </w:tblGrid>
      <w:tr>
        <w:tblPrEx>
          <w:tblCellMar>
            <w:top w:w="0" w:type="dxa"/>
            <w:left w:w="108" w:type="dxa"/>
            <w:bottom w:w="0" w:type="dxa"/>
            <w:right w:w="108" w:type="dxa"/>
          </w:tblCellMar>
        </w:tblPrEx>
        <w:trPr>
          <w:trHeight w:val="576" w:hRule="atLeast"/>
        </w:trPr>
        <w:tc>
          <w:tcPr>
            <w:tcW w:w="6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3200" w:type="dxa"/>
            <w:gridSpan w:val="2"/>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分</w:t>
            </w:r>
            <w:r>
              <w:rPr>
                <w:rFonts w:hint="eastAsia" w:ascii="宋体" w:hAnsi="宋体" w:cs="宋体"/>
                <w:color w:val="000000"/>
                <w:kern w:val="0"/>
                <w:sz w:val="20"/>
              </w:rPr>
              <w:t>部分项</w:t>
            </w:r>
            <w:r>
              <w:rPr>
                <w:rFonts w:hint="eastAsia" w:ascii="宋体" w:hAnsi="宋体" w:cs="宋体"/>
                <w:color w:val="000000"/>
                <w:kern w:val="0"/>
                <w:sz w:val="22"/>
                <w:szCs w:val="22"/>
              </w:rPr>
              <w:t>工程名称</w:t>
            </w:r>
          </w:p>
        </w:tc>
        <w:tc>
          <w:tcPr>
            <w:tcW w:w="580" w:type="dxa"/>
            <w:gridSpan w:val="4"/>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单位</w:t>
            </w:r>
          </w:p>
        </w:tc>
        <w:tc>
          <w:tcPr>
            <w:tcW w:w="679"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工程数量</w:t>
            </w:r>
          </w:p>
        </w:tc>
        <w:tc>
          <w:tcPr>
            <w:tcW w:w="945" w:type="dxa"/>
            <w:gridSpan w:val="2"/>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综合单价（元）</w:t>
            </w:r>
          </w:p>
        </w:tc>
        <w:tc>
          <w:tcPr>
            <w:tcW w:w="960" w:type="dxa"/>
            <w:gridSpan w:val="2"/>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合价（元）</w:t>
            </w:r>
          </w:p>
        </w:tc>
        <w:tc>
          <w:tcPr>
            <w:tcW w:w="2076"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备注</w:t>
            </w:r>
          </w:p>
        </w:tc>
      </w:tr>
      <w:tr>
        <w:tblPrEx>
          <w:tblCellMar>
            <w:top w:w="0" w:type="dxa"/>
            <w:left w:w="108" w:type="dxa"/>
            <w:bottom w:w="0" w:type="dxa"/>
            <w:right w:w="108" w:type="dxa"/>
          </w:tblCellMar>
        </w:tblPrEx>
        <w:trPr>
          <w:trHeight w:val="476" w:hRule="exact"/>
        </w:trPr>
        <w:tc>
          <w:tcPr>
            <w:tcW w:w="9080" w:type="dxa"/>
            <w:gridSpan w:val="1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宋体"/>
                <w:color w:val="000000"/>
                <w:kern w:val="0"/>
                <w:sz w:val="20"/>
              </w:rPr>
            </w:pPr>
            <w:r>
              <w:rPr>
                <w:rFonts w:hint="eastAsia" w:ascii="宋体" w:hAnsi="宋体" w:cs="宋体"/>
                <w:color w:val="000000"/>
                <w:kern w:val="0"/>
                <w:sz w:val="20"/>
              </w:rPr>
              <w:t>一、</w:t>
            </w:r>
            <w:r>
              <w:rPr>
                <w:rFonts w:hint="eastAsia" w:ascii="宋体" w:hAnsi="宋体" w:cs="宋体"/>
                <w:color w:val="000000"/>
                <w:kern w:val="0"/>
                <w:sz w:val="20"/>
                <w:lang w:eastAsia="zh-CN"/>
              </w:rPr>
              <w:t>渝合航</w:t>
            </w:r>
            <w:r>
              <w:rPr>
                <w:rFonts w:hint="eastAsia" w:ascii="宋体" w:hAnsi="宋体" w:cs="宋体"/>
                <w:color w:val="000000"/>
                <w:kern w:val="0"/>
                <w:sz w:val="20"/>
                <w:lang w:val="en-US" w:eastAsia="zh-CN"/>
              </w:rPr>
              <w:t>2号</w:t>
            </w:r>
            <w:r>
              <w:rPr>
                <w:rFonts w:hint="eastAsia" w:ascii="宋体" w:hAnsi="宋体" w:cs="宋体"/>
                <w:color w:val="000000"/>
                <w:kern w:val="0"/>
                <w:sz w:val="20"/>
              </w:rPr>
              <w:t>维修改造设计</w:t>
            </w:r>
          </w:p>
        </w:tc>
      </w:tr>
      <w:tr>
        <w:tblPrEx>
          <w:tblCellMar>
            <w:top w:w="0" w:type="dxa"/>
            <w:left w:w="108" w:type="dxa"/>
            <w:bottom w:w="0" w:type="dxa"/>
            <w:right w:w="108" w:type="dxa"/>
          </w:tblCellMar>
        </w:tblPrEx>
        <w:trPr>
          <w:trHeight w:val="556" w:hRule="exact"/>
        </w:trPr>
        <w:tc>
          <w:tcPr>
            <w:tcW w:w="64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3200" w:type="dxa"/>
            <w:gridSpan w:val="2"/>
            <w:tcBorders>
              <w:top w:val="nil"/>
              <w:left w:val="nil"/>
              <w:bottom w:val="single" w:color="000000" w:sz="4" w:space="0"/>
              <w:right w:val="single" w:color="000000" w:sz="4" w:space="0"/>
            </w:tcBorders>
            <w:shd w:val="clear" w:color="000000" w:fill="FFFFFF"/>
            <w:vAlign w:val="center"/>
          </w:tcPr>
          <w:p>
            <w:pPr>
              <w:jc w:val="center"/>
              <w:rPr>
                <w:rFonts w:ascii="宋体" w:hAnsi="宋体" w:cs="宋体"/>
                <w:color w:val="000000"/>
                <w:kern w:val="0"/>
                <w:sz w:val="20"/>
              </w:rPr>
            </w:pPr>
            <w:r>
              <w:rPr>
                <w:rFonts w:hint="default" w:ascii="宋体" w:hAnsi="宋体" w:eastAsia="宋体" w:cs="宋体"/>
                <w:color w:val="000000"/>
                <w:kern w:val="0"/>
                <w:sz w:val="20"/>
                <w:lang w:val="en-US" w:eastAsia="zh-CN"/>
              </w:rPr>
              <w:t>船体、电气</w:t>
            </w:r>
            <w:r>
              <w:rPr>
                <w:rFonts w:hint="eastAsia" w:ascii="宋体" w:hAnsi="宋体" w:eastAsia="宋体" w:cs="宋体"/>
                <w:color w:val="000000"/>
                <w:kern w:val="0"/>
                <w:sz w:val="20"/>
                <w:lang w:val="en-US" w:eastAsia="zh-CN"/>
              </w:rPr>
              <w:t>维</w:t>
            </w:r>
            <w:r>
              <w:rPr>
                <w:rFonts w:hint="default" w:ascii="宋体" w:hAnsi="宋体" w:eastAsia="宋体" w:cs="宋体"/>
                <w:color w:val="000000"/>
                <w:kern w:val="0"/>
                <w:sz w:val="20"/>
                <w:lang w:val="en-US" w:eastAsia="zh-CN"/>
              </w:rPr>
              <w:t>修</w:t>
            </w:r>
            <w:r>
              <w:rPr>
                <w:rFonts w:hint="eastAsia" w:ascii="宋体" w:hAnsi="宋体" w:eastAsia="宋体" w:cs="宋体"/>
                <w:color w:val="000000"/>
                <w:kern w:val="0"/>
                <w:sz w:val="20"/>
                <w:lang w:val="en-US" w:eastAsia="zh-CN"/>
              </w:rPr>
              <w:t>改造送审</w:t>
            </w:r>
            <w:r>
              <w:rPr>
                <w:rFonts w:hint="default" w:ascii="宋体" w:hAnsi="宋体" w:eastAsia="宋体" w:cs="宋体"/>
                <w:color w:val="000000"/>
                <w:kern w:val="0"/>
                <w:sz w:val="20"/>
                <w:lang w:val="en-US" w:eastAsia="zh-CN"/>
              </w:rPr>
              <w:t>图纸设计</w:t>
            </w:r>
          </w:p>
        </w:tc>
        <w:tc>
          <w:tcPr>
            <w:tcW w:w="580" w:type="dxa"/>
            <w:gridSpan w:val="4"/>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项</w:t>
            </w:r>
          </w:p>
        </w:tc>
        <w:tc>
          <w:tcPr>
            <w:tcW w:w="679"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945"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p>
        </w:tc>
        <w:tc>
          <w:tcPr>
            <w:tcW w:w="960"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p>
        </w:tc>
        <w:tc>
          <w:tcPr>
            <w:tcW w:w="2076"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宋体" w:hAnsi="宋体" w:eastAsia="宋体" w:cs="宋体"/>
                <w:color w:val="000000"/>
                <w:kern w:val="0"/>
                <w:sz w:val="20"/>
                <w:lang w:eastAsia="zh-CN"/>
              </w:rPr>
            </w:pPr>
            <w:r>
              <w:rPr>
                <w:rFonts w:hint="eastAsia" w:ascii="宋体" w:hAnsi="宋体" w:cs="宋体"/>
                <w:color w:val="000000"/>
                <w:kern w:val="0"/>
                <w:sz w:val="20"/>
                <w:lang w:eastAsia="zh-CN"/>
              </w:rPr>
              <w:t>包含方案设计、送审设计、完工设计</w:t>
            </w:r>
          </w:p>
        </w:tc>
      </w:tr>
      <w:tr>
        <w:tblPrEx>
          <w:tblCellMar>
            <w:top w:w="0" w:type="dxa"/>
            <w:left w:w="108" w:type="dxa"/>
            <w:bottom w:w="0" w:type="dxa"/>
            <w:right w:w="108" w:type="dxa"/>
          </w:tblCellMar>
        </w:tblPrEx>
        <w:trPr>
          <w:trHeight w:val="476" w:hRule="exact"/>
        </w:trPr>
        <w:tc>
          <w:tcPr>
            <w:tcW w:w="64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2</w:t>
            </w:r>
          </w:p>
        </w:tc>
        <w:tc>
          <w:tcPr>
            <w:tcW w:w="3200" w:type="dxa"/>
            <w:gridSpan w:val="2"/>
            <w:tcBorders>
              <w:top w:val="nil"/>
              <w:left w:val="nil"/>
              <w:bottom w:val="single" w:color="000000" w:sz="4" w:space="0"/>
              <w:right w:val="single" w:color="000000" w:sz="4" w:space="0"/>
            </w:tcBorders>
            <w:shd w:val="clear" w:color="000000" w:fill="FFFFFF"/>
            <w:vAlign w:val="center"/>
          </w:tcPr>
          <w:p>
            <w:pPr>
              <w:jc w:val="center"/>
              <w:rPr>
                <w:rFonts w:hint="default"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内饰修缮效果图绘制</w:t>
            </w:r>
          </w:p>
        </w:tc>
        <w:tc>
          <w:tcPr>
            <w:tcW w:w="580" w:type="dxa"/>
            <w:gridSpan w:val="4"/>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项</w:t>
            </w:r>
          </w:p>
        </w:tc>
        <w:tc>
          <w:tcPr>
            <w:tcW w:w="679"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945"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p>
        </w:tc>
        <w:tc>
          <w:tcPr>
            <w:tcW w:w="960"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p>
        </w:tc>
        <w:tc>
          <w:tcPr>
            <w:tcW w:w="207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p>
        </w:tc>
      </w:tr>
      <w:tr>
        <w:tblPrEx>
          <w:tblCellMar>
            <w:top w:w="0" w:type="dxa"/>
            <w:left w:w="108" w:type="dxa"/>
            <w:bottom w:w="0" w:type="dxa"/>
            <w:right w:w="108" w:type="dxa"/>
          </w:tblCellMar>
        </w:tblPrEx>
        <w:trPr>
          <w:trHeight w:val="476" w:hRule="exact"/>
        </w:trPr>
        <w:tc>
          <w:tcPr>
            <w:tcW w:w="64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3</w:t>
            </w:r>
          </w:p>
        </w:tc>
        <w:tc>
          <w:tcPr>
            <w:tcW w:w="3200" w:type="dxa"/>
            <w:gridSpan w:val="2"/>
            <w:tcBorders>
              <w:top w:val="nil"/>
              <w:left w:val="nil"/>
              <w:bottom w:val="single" w:color="000000" w:sz="4" w:space="0"/>
              <w:right w:val="single" w:color="000000" w:sz="4" w:space="0"/>
            </w:tcBorders>
            <w:shd w:val="clear" w:color="000000" w:fill="FFFFFF"/>
            <w:vAlign w:val="center"/>
          </w:tcPr>
          <w:p>
            <w:pPr>
              <w:jc w:val="center"/>
              <w:rPr>
                <w:rFonts w:hint="default" w:ascii="宋体" w:hAnsi="宋体" w:eastAsia="宋体" w:cs="宋体"/>
                <w:color w:val="000000"/>
                <w:kern w:val="0"/>
                <w:sz w:val="20"/>
                <w:lang w:val="en-US" w:eastAsia="zh-CN"/>
              </w:rPr>
            </w:pPr>
            <w:r>
              <w:rPr>
                <w:rFonts w:hint="default" w:ascii="宋体" w:hAnsi="宋体" w:eastAsia="宋体" w:cs="宋体"/>
                <w:color w:val="000000"/>
                <w:kern w:val="0"/>
                <w:sz w:val="20"/>
                <w:lang w:val="en-US" w:eastAsia="zh-CN"/>
              </w:rPr>
              <w:t>内饰修缮施工图设计</w:t>
            </w:r>
          </w:p>
        </w:tc>
        <w:tc>
          <w:tcPr>
            <w:tcW w:w="580" w:type="dxa"/>
            <w:gridSpan w:val="4"/>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项</w:t>
            </w:r>
          </w:p>
        </w:tc>
        <w:tc>
          <w:tcPr>
            <w:tcW w:w="679"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945"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p>
        </w:tc>
        <w:tc>
          <w:tcPr>
            <w:tcW w:w="960"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p>
        </w:tc>
        <w:tc>
          <w:tcPr>
            <w:tcW w:w="207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p>
        </w:tc>
      </w:tr>
      <w:tr>
        <w:tblPrEx>
          <w:tblCellMar>
            <w:top w:w="0" w:type="dxa"/>
            <w:left w:w="108" w:type="dxa"/>
            <w:bottom w:w="0" w:type="dxa"/>
            <w:right w:w="108" w:type="dxa"/>
          </w:tblCellMar>
        </w:tblPrEx>
        <w:trPr>
          <w:trHeight w:val="476" w:hRule="exact"/>
        </w:trPr>
        <w:tc>
          <w:tcPr>
            <w:tcW w:w="64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4</w:t>
            </w:r>
          </w:p>
        </w:tc>
        <w:tc>
          <w:tcPr>
            <w:tcW w:w="3200" w:type="dxa"/>
            <w:gridSpan w:val="2"/>
            <w:tcBorders>
              <w:top w:val="nil"/>
              <w:left w:val="nil"/>
              <w:bottom w:val="single" w:color="000000" w:sz="4" w:space="0"/>
              <w:right w:val="single" w:color="000000" w:sz="4" w:space="0"/>
            </w:tcBorders>
            <w:shd w:val="clear" w:color="000000" w:fill="FFFFFF"/>
            <w:vAlign w:val="center"/>
          </w:tcPr>
          <w:p>
            <w:pPr>
              <w:jc w:val="center"/>
              <w:rPr>
                <w:rFonts w:hint="default"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维修改造清单概算编制</w:t>
            </w:r>
          </w:p>
        </w:tc>
        <w:tc>
          <w:tcPr>
            <w:tcW w:w="580" w:type="dxa"/>
            <w:gridSpan w:val="4"/>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项</w:t>
            </w:r>
          </w:p>
        </w:tc>
        <w:tc>
          <w:tcPr>
            <w:tcW w:w="679"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945"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p>
        </w:tc>
        <w:tc>
          <w:tcPr>
            <w:tcW w:w="960"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p>
        </w:tc>
        <w:tc>
          <w:tcPr>
            <w:tcW w:w="207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p>
        </w:tc>
      </w:tr>
      <w:tr>
        <w:tblPrEx>
          <w:tblCellMar>
            <w:top w:w="0" w:type="dxa"/>
            <w:left w:w="108" w:type="dxa"/>
            <w:bottom w:w="0" w:type="dxa"/>
            <w:right w:w="108" w:type="dxa"/>
          </w:tblCellMar>
        </w:tblPrEx>
        <w:trPr>
          <w:trHeight w:val="476" w:hRule="exact"/>
        </w:trPr>
        <w:tc>
          <w:tcPr>
            <w:tcW w:w="5099" w:type="dxa"/>
            <w:gridSpan w:val="8"/>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宋体"/>
                <w:color w:val="000000"/>
                <w:kern w:val="0"/>
                <w:sz w:val="20"/>
              </w:rPr>
            </w:pPr>
            <w:r>
              <w:rPr>
                <w:rFonts w:hint="eastAsia" w:ascii="宋体" w:hAnsi="宋体" w:cs="宋体"/>
                <w:color w:val="000000"/>
                <w:kern w:val="0"/>
                <w:sz w:val="20"/>
                <w:lang w:eastAsia="zh-CN"/>
              </w:rPr>
              <w:t>渝合航</w:t>
            </w:r>
            <w:r>
              <w:rPr>
                <w:rFonts w:hint="eastAsia" w:ascii="宋体" w:hAnsi="宋体" w:cs="宋体"/>
                <w:color w:val="000000"/>
                <w:kern w:val="0"/>
                <w:sz w:val="20"/>
                <w:lang w:val="en-US" w:eastAsia="zh-CN"/>
              </w:rPr>
              <w:t>2号</w:t>
            </w:r>
            <w:r>
              <w:rPr>
                <w:rFonts w:hint="eastAsia" w:ascii="宋体" w:hAnsi="宋体" w:cs="宋体"/>
                <w:color w:val="000000"/>
                <w:kern w:val="0"/>
                <w:sz w:val="20"/>
              </w:rPr>
              <w:t>维修改造设计小计：</w:t>
            </w:r>
          </w:p>
        </w:tc>
        <w:tc>
          <w:tcPr>
            <w:tcW w:w="1905" w:type="dxa"/>
            <w:gridSpan w:val="4"/>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p>
        </w:tc>
        <w:tc>
          <w:tcPr>
            <w:tcW w:w="2076"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p>
        </w:tc>
      </w:tr>
      <w:tr>
        <w:tblPrEx>
          <w:tblCellMar>
            <w:top w:w="0" w:type="dxa"/>
            <w:left w:w="108" w:type="dxa"/>
            <w:bottom w:w="0" w:type="dxa"/>
            <w:right w:w="108" w:type="dxa"/>
          </w:tblCellMar>
        </w:tblPrEx>
        <w:trPr>
          <w:trHeight w:val="476" w:hRule="exact"/>
        </w:trPr>
        <w:tc>
          <w:tcPr>
            <w:tcW w:w="9080" w:type="dxa"/>
            <w:gridSpan w:val="1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宋体"/>
                <w:color w:val="000000"/>
                <w:kern w:val="0"/>
                <w:sz w:val="20"/>
              </w:rPr>
            </w:pPr>
            <w:r>
              <w:rPr>
                <w:rFonts w:hint="eastAsia" w:ascii="宋体" w:hAnsi="宋体" w:cs="宋体"/>
                <w:color w:val="000000"/>
                <w:kern w:val="0"/>
                <w:sz w:val="20"/>
              </w:rPr>
              <w:t>二、</w:t>
            </w:r>
            <w:r>
              <w:rPr>
                <w:rFonts w:hint="eastAsia" w:ascii="宋体" w:hAnsi="宋体" w:cs="宋体"/>
                <w:color w:val="000000"/>
                <w:kern w:val="0"/>
                <w:sz w:val="20"/>
                <w:lang w:eastAsia="zh-CN"/>
              </w:rPr>
              <w:t>重航</w:t>
            </w:r>
            <w:r>
              <w:rPr>
                <w:rFonts w:hint="eastAsia" w:ascii="宋体" w:hAnsi="宋体" w:cs="宋体"/>
                <w:color w:val="000000"/>
                <w:kern w:val="0"/>
                <w:sz w:val="20"/>
                <w:lang w:val="en-US" w:eastAsia="zh-CN"/>
              </w:rPr>
              <w:t>1号</w:t>
            </w:r>
            <w:r>
              <w:rPr>
                <w:rFonts w:hint="eastAsia" w:ascii="宋体" w:hAnsi="宋体" w:cs="宋体"/>
                <w:color w:val="000000"/>
                <w:kern w:val="0"/>
                <w:sz w:val="20"/>
              </w:rPr>
              <w:t>维修改造设计</w:t>
            </w:r>
          </w:p>
        </w:tc>
      </w:tr>
      <w:tr>
        <w:tblPrEx>
          <w:tblCellMar>
            <w:top w:w="0" w:type="dxa"/>
            <w:left w:w="108" w:type="dxa"/>
            <w:bottom w:w="0" w:type="dxa"/>
            <w:right w:w="108" w:type="dxa"/>
          </w:tblCellMar>
        </w:tblPrEx>
        <w:trPr>
          <w:trHeight w:val="591" w:hRule="exact"/>
        </w:trPr>
        <w:tc>
          <w:tcPr>
            <w:tcW w:w="64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3200" w:type="dxa"/>
            <w:gridSpan w:val="2"/>
            <w:tcBorders>
              <w:top w:val="nil"/>
              <w:left w:val="nil"/>
              <w:bottom w:val="single" w:color="000000" w:sz="4" w:space="0"/>
              <w:right w:val="single" w:color="000000" w:sz="4" w:space="0"/>
            </w:tcBorders>
            <w:shd w:val="clear" w:color="000000" w:fill="FFFFFF"/>
            <w:vAlign w:val="center"/>
          </w:tcPr>
          <w:p>
            <w:pPr>
              <w:jc w:val="center"/>
              <w:rPr>
                <w:rFonts w:ascii="宋体" w:hAnsi="宋体" w:cs="宋体"/>
                <w:color w:val="000000"/>
                <w:kern w:val="0"/>
                <w:sz w:val="20"/>
              </w:rPr>
            </w:pPr>
            <w:r>
              <w:rPr>
                <w:rFonts w:hint="eastAsia" w:ascii="宋体" w:hAnsi="宋体" w:eastAsia="宋体" w:cs="宋体"/>
                <w:color w:val="000000"/>
                <w:kern w:val="0"/>
                <w:sz w:val="20"/>
                <w:lang w:val="en-US" w:eastAsia="zh-CN"/>
              </w:rPr>
              <w:t>船体、轮机、电气维修改造送审图纸设计</w:t>
            </w:r>
          </w:p>
        </w:tc>
        <w:tc>
          <w:tcPr>
            <w:tcW w:w="580" w:type="dxa"/>
            <w:gridSpan w:val="4"/>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项</w:t>
            </w:r>
          </w:p>
        </w:tc>
        <w:tc>
          <w:tcPr>
            <w:tcW w:w="679"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945"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p>
        </w:tc>
        <w:tc>
          <w:tcPr>
            <w:tcW w:w="960"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p>
        </w:tc>
        <w:tc>
          <w:tcPr>
            <w:tcW w:w="207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lang w:eastAsia="zh-CN"/>
              </w:rPr>
              <w:t>包含方案设计、送审设计、完工设计</w:t>
            </w:r>
          </w:p>
        </w:tc>
      </w:tr>
      <w:tr>
        <w:tblPrEx>
          <w:tblCellMar>
            <w:top w:w="0" w:type="dxa"/>
            <w:left w:w="108" w:type="dxa"/>
            <w:bottom w:w="0" w:type="dxa"/>
            <w:right w:w="108" w:type="dxa"/>
          </w:tblCellMar>
        </w:tblPrEx>
        <w:trPr>
          <w:trHeight w:val="476" w:hRule="exact"/>
        </w:trPr>
        <w:tc>
          <w:tcPr>
            <w:tcW w:w="64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2</w:t>
            </w:r>
          </w:p>
        </w:tc>
        <w:tc>
          <w:tcPr>
            <w:tcW w:w="3200" w:type="dxa"/>
            <w:gridSpan w:val="2"/>
            <w:tcBorders>
              <w:top w:val="nil"/>
              <w:left w:val="nil"/>
              <w:bottom w:val="single" w:color="000000" w:sz="4" w:space="0"/>
              <w:right w:val="single" w:color="000000" w:sz="4" w:space="0"/>
            </w:tcBorders>
            <w:shd w:val="clear" w:color="000000" w:fill="FFFFFF"/>
            <w:vAlign w:val="center"/>
          </w:tcPr>
          <w:p>
            <w:pPr>
              <w:jc w:val="center"/>
              <w:rPr>
                <w:rFonts w:hint="default"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内饰修缮效果图绘制</w:t>
            </w:r>
          </w:p>
        </w:tc>
        <w:tc>
          <w:tcPr>
            <w:tcW w:w="580" w:type="dxa"/>
            <w:gridSpan w:val="4"/>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项</w:t>
            </w:r>
          </w:p>
        </w:tc>
        <w:tc>
          <w:tcPr>
            <w:tcW w:w="679"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945"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p>
        </w:tc>
        <w:tc>
          <w:tcPr>
            <w:tcW w:w="960"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p>
        </w:tc>
        <w:tc>
          <w:tcPr>
            <w:tcW w:w="207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p>
        </w:tc>
      </w:tr>
      <w:tr>
        <w:tblPrEx>
          <w:tblCellMar>
            <w:top w:w="0" w:type="dxa"/>
            <w:left w:w="108" w:type="dxa"/>
            <w:bottom w:w="0" w:type="dxa"/>
            <w:right w:w="108" w:type="dxa"/>
          </w:tblCellMar>
        </w:tblPrEx>
        <w:trPr>
          <w:trHeight w:val="476" w:hRule="exact"/>
        </w:trPr>
        <w:tc>
          <w:tcPr>
            <w:tcW w:w="64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3</w:t>
            </w:r>
          </w:p>
        </w:tc>
        <w:tc>
          <w:tcPr>
            <w:tcW w:w="3200" w:type="dxa"/>
            <w:gridSpan w:val="2"/>
            <w:tcBorders>
              <w:top w:val="nil"/>
              <w:left w:val="nil"/>
              <w:bottom w:val="single" w:color="000000" w:sz="4" w:space="0"/>
              <w:right w:val="single" w:color="000000" w:sz="4" w:space="0"/>
            </w:tcBorders>
            <w:shd w:val="clear" w:color="000000" w:fill="FFFFFF"/>
            <w:vAlign w:val="center"/>
          </w:tcPr>
          <w:p>
            <w:pPr>
              <w:jc w:val="center"/>
              <w:rPr>
                <w:rFonts w:hint="default" w:ascii="宋体" w:hAnsi="宋体" w:eastAsia="宋体" w:cs="宋体"/>
                <w:color w:val="000000"/>
                <w:kern w:val="0"/>
                <w:sz w:val="20"/>
                <w:lang w:val="en-US" w:eastAsia="zh-CN"/>
              </w:rPr>
            </w:pPr>
            <w:r>
              <w:rPr>
                <w:rFonts w:hint="default" w:ascii="宋体" w:hAnsi="宋体" w:eastAsia="宋体" w:cs="宋体"/>
                <w:color w:val="000000"/>
                <w:kern w:val="0"/>
                <w:sz w:val="20"/>
                <w:lang w:val="en-US" w:eastAsia="zh-CN"/>
              </w:rPr>
              <w:t>内饰修缮施工图设计</w:t>
            </w:r>
          </w:p>
        </w:tc>
        <w:tc>
          <w:tcPr>
            <w:tcW w:w="580" w:type="dxa"/>
            <w:gridSpan w:val="4"/>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项</w:t>
            </w:r>
          </w:p>
        </w:tc>
        <w:tc>
          <w:tcPr>
            <w:tcW w:w="679"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945"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p>
        </w:tc>
        <w:tc>
          <w:tcPr>
            <w:tcW w:w="960"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p>
        </w:tc>
        <w:tc>
          <w:tcPr>
            <w:tcW w:w="207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p>
        </w:tc>
      </w:tr>
      <w:tr>
        <w:tblPrEx>
          <w:tblCellMar>
            <w:top w:w="0" w:type="dxa"/>
            <w:left w:w="108" w:type="dxa"/>
            <w:bottom w:w="0" w:type="dxa"/>
            <w:right w:w="108" w:type="dxa"/>
          </w:tblCellMar>
        </w:tblPrEx>
        <w:trPr>
          <w:trHeight w:val="476" w:hRule="exact"/>
        </w:trPr>
        <w:tc>
          <w:tcPr>
            <w:tcW w:w="64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4</w:t>
            </w:r>
          </w:p>
        </w:tc>
        <w:tc>
          <w:tcPr>
            <w:tcW w:w="3200" w:type="dxa"/>
            <w:gridSpan w:val="2"/>
            <w:tcBorders>
              <w:top w:val="nil"/>
              <w:left w:val="nil"/>
              <w:bottom w:val="single" w:color="000000" w:sz="4" w:space="0"/>
              <w:right w:val="single" w:color="000000" w:sz="4" w:space="0"/>
            </w:tcBorders>
            <w:shd w:val="clear" w:color="000000" w:fill="FFFFFF"/>
            <w:vAlign w:val="center"/>
          </w:tcPr>
          <w:p>
            <w:pPr>
              <w:jc w:val="center"/>
              <w:rPr>
                <w:rFonts w:hint="default"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维修改造清单概算编制</w:t>
            </w:r>
          </w:p>
        </w:tc>
        <w:tc>
          <w:tcPr>
            <w:tcW w:w="580" w:type="dxa"/>
            <w:gridSpan w:val="4"/>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项</w:t>
            </w:r>
          </w:p>
        </w:tc>
        <w:tc>
          <w:tcPr>
            <w:tcW w:w="679"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945"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p>
        </w:tc>
        <w:tc>
          <w:tcPr>
            <w:tcW w:w="960"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p>
        </w:tc>
        <w:tc>
          <w:tcPr>
            <w:tcW w:w="207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p>
        </w:tc>
      </w:tr>
      <w:tr>
        <w:tblPrEx>
          <w:tblCellMar>
            <w:top w:w="0" w:type="dxa"/>
            <w:left w:w="108" w:type="dxa"/>
            <w:bottom w:w="0" w:type="dxa"/>
            <w:right w:w="108" w:type="dxa"/>
          </w:tblCellMar>
        </w:tblPrEx>
        <w:trPr>
          <w:trHeight w:val="476" w:hRule="exact"/>
        </w:trPr>
        <w:tc>
          <w:tcPr>
            <w:tcW w:w="5099" w:type="dxa"/>
            <w:gridSpan w:val="8"/>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宋体"/>
                <w:color w:val="000000"/>
                <w:kern w:val="0"/>
                <w:sz w:val="20"/>
              </w:rPr>
            </w:pPr>
            <w:r>
              <w:rPr>
                <w:rFonts w:hint="eastAsia" w:ascii="宋体" w:hAnsi="宋体" w:cs="宋体"/>
                <w:color w:val="000000"/>
                <w:kern w:val="0"/>
                <w:sz w:val="20"/>
                <w:lang w:eastAsia="zh-CN"/>
              </w:rPr>
              <w:t>重航</w:t>
            </w:r>
            <w:r>
              <w:rPr>
                <w:rFonts w:hint="eastAsia" w:ascii="宋体" w:hAnsi="宋体" w:cs="宋体"/>
                <w:color w:val="000000"/>
                <w:kern w:val="0"/>
                <w:sz w:val="20"/>
                <w:lang w:val="en-US" w:eastAsia="zh-CN"/>
              </w:rPr>
              <w:t>1号</w:t>
            </w:r>
            <w:r>
              <w:rPr>
                <w:rFonts w:hint="eastAsia" w:ascii="宋体" w:hAnsi="宋体" w:cs="宋体"/>
                <w:color w:val="000000"/>
                <w:kern w:val="0"/>
                <w:sz w:val="20"/>
              </w:rPr>
              <w:t>维修改造设计小计：</w:t>
            </w:r>
          </w:p>
        </w:tc>
        <w:tc>
          <w:tcPr>
            <w:tcW w:w="1905" w:type="dxa"/>
            <w:gridSpan w:val="4"/>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p>
        </w:tc>
        <w:tc>
          <w:tcPr>
            <w:tcW w:w="2076"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p>
        </w:tc>
      </w:tr>
      <w:tr>
        <w:tblPrEx>
          <w:tblCellMar>
            <w:top w:w="0" w:type="dxa"/>
            <w:left w:w="108" w:type="dxa"/>
            <w:bottom w:w="0" w:type="dxa"/>
            <w:right w:w="108" w:type="dxa"/>
          </w:tblCellMar>
        </w:tblPrEx>
        <w:trPr>
          <w:trHeight w:val="476" w:hRule="exact"/>
        </w:trPr>
        <w:tc>
          <w:tcPr>
            <w:tcW w:w="9080" w:type="dxa"/>
            <w:gridSpan w:val="1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宋体"/>
                <w:color w:val="000000"/>
                <w:kern w:val="0"/>
                <w:sz w:val="20"/>
              </w:rPr>
            </w:pPr>
            <w:r>
              <w:rPr>
                <w:rFonts w:hint="eastAsia" w:ascii="宋体" w:hAnsi="宋体" w:cs="宋体"/>
                <w:color w:val="000000"/>
                <w:kern w:val="0"/>
                <w:sz w:val="20"/>
                <w:lang w:eastAsia="zh-CN"/>
              </w:rPr>
              <w:t>三</w:t>
            </w:r>
            <w:r>
              <w:rPr>
                <w:rFonts w:hint="eastAsia" w:ascii="宋体" w:hAnsi="宋体" w:cs="宋体"/>
                <w:color w:val="000000"/>
                <w:kern w:val="0"/>
                <w:sz w:val="20"/>
              </w:rPr>
              <w:t>、</w:t>
            </w:r>
            <w:r>
              <w:rPr>
                <w:rFonts w:hint="eastAsia" w:ascii="宋体" w:hAnsi="宋体" w:cs="宋体"/>
                <w:color w:val="000000"/>
                <w:kern w:val="0"/>
                <w:sz w:val="20"/>
                <w:lang w:eastAsia="zh-CN"/>
              </w:rPr>
              <w:t>渝港航挖</w:t>
            </w:r>
            <w:r>
              <w:rPr>
                <w:rFonts w:hint="eastAsia" w:ascii="宋体" w:hAnsi="宋体" w:cs="宋体"/>
                <w:color w:val="000000"/>
                <w:kern w:val="0"/>
                <w:sz w:val="20"/>
                <w:lang w:val="en-US" w:eastAsia="zh-CN"/>
              </w:rPr>
              <w:t>2号</w:t>
            </w:r>
            <w:r>
              <w:rPr>
                <w:rFonts w:hint="eastAsia" w:ascii="宋体" w:hAnsi="宋体" w:cs="宋体"/>
                <w:color w:val="000000"/>
                <w:kern w:val="0"/>
                <w:sz w:val="20"/>
              </w:rPr>
              <w:t>维修改造设计</w:t>
            </w:r>
          </w:p>
        </w:tc>
      </w:tr>
      <w:tr>
        <w:tblPrEx>
          <w:tblCellMar>
            <w:top w:w="0" w:type="dxa"/>
            <w:left w:w="108" w:type="dxa"/>
            <w:bottom w:w="0" w:type="dxa"/>
            <w:right w:w="108" w:type="dxa"/>
          </w:tblCellMar>
        </w:tblPrEx>
        <w:trPr>
          <w:trHeight w:val="476" w:hRule="exact"/>
        </w:trPr>
        <w:tc>
          <w:tcPr>
            <w:tcW w:w="649" w:type="dxa"/>
            <w:gridSpan w:val="2"/>
            <w:tcBorders>
              <w:top w:val="single" w:color="000000" w:sz="4" w:space="0"/>
              <w:left w:val="single" w:color="000000" w:sz="4" w:space="0"/>
              <w:bottom w:val="single" w:color="000000" w:sz="4" w:space="0"/>
              <w:right w:val="single" w:color="auto" w:sz="4" w:space="0"/>
            </w:tcBorders>
            <w:shd w:val="clear" w:color="000000" w:fill="FFFFFF"/>
            <w:vAlign w:val="center"/>
          </w:tcPr>
          <w:p>
            <w:pPr>
              <w:jc w:val="center"/>
              <w:rPr>
                <w:rFonts w:hint="default"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w:t>
            </w:r>
          </w:p>
        </w:tc>
        <w:tc>
          <w:tcPr>
            <w:tcW w:w="3225" w:type="dxa"/>
            <w:gridSpan w:val="2"/>
            <w:tcBorders>
              <w:top w:val="single" w:color="000000" w:sz="4" w:space="0"/>
              <w:left w:val="single" w:color="auto" w:sz="4" w:space="0"/>
              <w:bottom w:val="single" w:color="000000" w:sz="4" w:space="0"/>
              <w:right w:val="single" w:color="auto" w:sz="4" w:space="0"/>
            </w:tcBorders>
            <w:shd w:val="clear" w:color="000000" w:fill="FFFFFF"/>
            <w:vAlign w:val="center"/>
          </w:tcPr>
          <w:p>
            <w:pPr>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内饰修缮效果图绘制</w:t>
            </w:r>
          </w:p>
        </w:tc>
        <w:tc>
          <w:tcPr>
            <w:tcW w:w="540" w:type="dxa"/>
            <w:gridSpan w:val="2"/>
            <w:tcBorders>
              <w:top w:val="single" w:color="000000" w:sz="4" w:space="0"/>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rPr>
              <w:t>项</w:t>
            </w:r>
          </w:p>
        </w:tc>
        <w:tc>
          <w:tcPr>
            <w:tcW w:w="705" w:type="dxa"/>
            <w:gridSpan w:val="3"/>
            <w:tcBorders>
              <w:top w:val="single" w:color="000000" w:sz="4" w:space="0"/>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rPr>
              <w:t>1</w:t>
            </w:r>
          </w:p>
        </w:tc>
        <w:tc>
          <w:tcPr>
            <w:tcW w:w="960" w:type="dxa"/>
            <w:gridSpan w:val="2"/>
            <w:tcBorders>
              <w:top w:val="single" w:color="000000" w:sz="4" w:space="0"/>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cs="宋体"/>
                <w:color w:val="000000"/>
                <w:kern w:val="0"/>
                <w:sz w:val="20"/>
              </w:rPr>
            </w:pPr>
          </w:p>
        </w:tc>
        <w:tc>
          <w:tcPr>
            <w:tcW w:w="925" w:type="dxa"/>
            <w:tcBorders>
              <w:top w:val="single" w:color="000000" w:sz="4" w:space="0"/>
              <w:left w:val="single" w:color="auto" w:sz="4" w:space="0"/>
              <w:bottom w:val="single" w:color="000000" w:sz="4" w:space="0"/>
              <w:right w:val="single" w:color="000000" w:sz="4" w:space="0"/>
            </w:tcBorders>
            <w:shd w:val="clear" w:color="000000" w:fill="FFFFFF"/>
            <w:vAlign w:val="center"/>
          </w:tcPr>
          <w:p>
            <w:pPr>
              <w:widowControl/>
              <w:jc w:val="center"/>
              <w:rPr>
                <w:rFonts w:hint="eastAsia" w:ascii="宋体" w:hAnsi="宋体" w:cs="宋体"/>
                <w:color w:val="000000"/>
                <w:kern w:val="0"/>
                <w:sz w:val="20"/>
              </w:rPr>
            </w:pPr>
          </w:p>
        </w:tc>
        <w:tc>
          <w:tcPr>
            <w:tcW w:w="207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p>
        </w:tc>
      </w:tr>
      <w:tr>
        <w:tblPrEx>
          <w:tblCellMar>
            <w:top w:w="0" w:type="dxa"/>
            <w:left w:w="108" w:type="dxa"/>
            <w:bottom w:w="0" w:type="dxa"/>
            <w:right w:w="108" w:type="dxa"/>
          </w:tblCellMar>
        </w:tblPrEx>
        <w:trPr>
          <w:trHeight w:val="476" w:hRule="exact"/>
        </w:trPr>
        <w:tc>
          <w:tcPr>
            <w:tcW w:w="649" w:type="dxa"/>
            <w:gridSpan w:val="2"/>
            <w:tcBorders>
              <w:top w:val="single" w:color="000000" w:sz="4" w:space="0"/>
              <w:left w:val="single" w:color="000000" w:sz="4" w:space="0"/>
              <w:bottom w:val="single" w:color="000000" w:sz="4" w:space="0"/>
              <w:right w:val="single" w:color="auto" w:sz="4" w:space="0"/>
            </w:tcBorders>
            <w:shd w:val="clear" w:color="000000" w:fill="FFFFFF"/>
            <w:vAlign w:val="center"/>
          </w:tcPr>
          <w:p>
            <w:pPr>
              <w:jc w:val="center"/>
              <w:rPr>
                <w:rFonts w:hint="default"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2</w:t>
            </w:r>
          </w:p>
        </w:tc>
        <w:tc>
          <w:tcPr>
            <w:tcW w:w="3225" w:type="dxa"/>
            <w:gridSpan w:val="2"/>
            <w:tcBorders>
              <w:top w:val="single" w:color="000000" w:sz="4" w:space="0"/>
              <w:left w:val="single" w:color="auto" w:sz="4" w:space="0"/>
              <w:bottom w:val="single" w:color="000000" w:sz="4" w:space="0"/>
              <w:right w:val="single" w:color="auto" w:sz="4" w:space="0"/>
            </w:tcBorders>
            <w:shd w:val="clear" w:color="000000" w:fill="FFFFFF"/>
            <w:vAlign w:val="center"/>
          </w:tcPr>
          <w:p>
            <w:pPr>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内饰修缮施工图设计</w:t>
            </w:r>
          </w:p>
        </w:tc>
        <w:tc>
          <w:tcPr>
            <w:tcW w:w="540" w:type="dxa"/>
            <w:gridSpan w:val="2"/>
            <w:tcBorders>
              <w:top w:val="single" w:color="000000" w:sz="4" w:space="0"/>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rPr>
              <w:t>项</w:t>
            </w:r>
          </w:p>
        </w:tc>
        <w:tc>
          <w:tcPr>
            <w:tcW w:w="705" w:type="dxa"/>
            <w:gridSpan w:val="3"/>
            <w:tcBorders>
              <w:top w:val="single" w:color="000000" w:sz="4" w:space="0"/>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rPr>
              <w:t>1</w:t>
            </w:r>
          </w:p>
        </w:tc>
        <w:tc>
          <w:tcPr>
            <w:tcW w:w="960" w:type="dxa"/>
            <w:gridSpan w:val="2"/>
            <w:tcBorders>
              <w:top w:val="single" w:color="000000" w:sz="4" w:space="0"/>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cs="宋体"/>
                <w:color w:val="000000"/>
                <w:kern w:val="0"/>
                <w:sz w:val="20"/>
              </w:rPr>
            </w:pPr>
          </w:p>
        </w:tc>
        <w:tc>
          <w:tcPr>
            <w:tcW w:w="925" w:type="dxa"/>
            <w:tcBorders>
              <w:top w:val="single" w:color="000000" w:sz="4" w:space="0"/>
              <w:left w:val="single" w:color="auto" w:sz="4" w:space="0"/>
              <w:bottom w:val="single" w:color="000000" w:sz="4" w:space="0"/>
              <w:right w:val="single" w:color="000000" w:sz="4" w:space="0"/>
            </w:tcBorders>
            <w:shd w:val="clear" w:color="000000" w:fill="FFFFFF"/>
            <w:vAlign w:val="center"/>
          </w:tcPr>
          <w:p>
            <w:pPr>
              <w:widowControl/>
              <w:jc w:val="center"/>
              <w:rPr>
                <w:rFonts w:hint="eastAsia" w:ascii="宋体" w:hAnsi="宋体" w:cs="宋体"/>
                <w:color w:val="000000"/>
                <w:kern w:val="0"/>
                <w:sz w:val="20"/>
              </w:rPr>
            </w:pPr>
          </w:p>
        </w:tc>
        <w:tc>
          <w:tcPr>
            <w:tcW w:w="207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p>
        </w:tc>
      </w:tr>
      <w:tr>
        <w:tblPrEx>
          <w:tblCellMar>
            <w:top w:w="0" w:type="dxa"/>
            <w:left w:w="108" w:type="dxa"/>
            <w:bottom w:w="0" w:type="dxa"/>
            <w:right w:w="108" w:type="dxa"/>
          </w:tblCellMar>
        </w:tblPrEx>
        <w:trPr>
          <w:trHeight w:val="476" w:hRule="exact"/>
        </w:trPr>
        <w:tc>
          <w:tcPr>
            <w:tcW w:w="649" w:type="dxa"/>
            <w:gridSpan w:val="2"/>
            <w:tcBorders>
              <w:top w:val="single" w:color="000000" w:sz="4" w:space="0"/>
              <w:left w:val="single" w:color="000000" w:sz="4" w:space="0"/>
              <w:bottom w:val="single" w:color="000000" w:sz="4" w:space="0"/>
              <w:right w:val="single" w:color="auto" w:sz="4" w:space="0"/>
            </w:tcBorders>
            <w:shd w:val="clear" w:color="000000" w:fill="FFFFFF"/>
            <w:vAlign w:val="center"/>
          </w:tcPr>
          <w:p>
            <w:pPr>
              <w:jc w:val="center"/>
              <w:rPr>
                <w:rFonts w:hint="default"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3</w:t>
            </w:r>
          </w:p>
        </w:tc>
        <w:tc>
          <w:tcPr>
            <w:tcW w:w="3225" w:type="dxa"/>
            <w:gridSpan w:val="2"/>
            <w:tcBorders>
              <w:top w:val="single" w:color="000000" w:sz="4" w:space="0"/>
              <w:left w:val="single" w:color="auto" w:sz="4" w:space="0"/>
              <w:bottom w:val="single" w:color="000000" w:sz="4" w:space="0"/>
              <w:right w:val="single" w:color="auto" w:sz="4" w:space="0"/>
            </w:tcBorders>
            <w:shd w:val="clear" w:color="000000" w:fill="FFFFFF"/>
            <w:vAlign w:val="center"/>
          </w:tcPr>
          <w:p>
            <w:pPr>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维修改造清单概算编制</w:t>
            </w:r>
          </w:p>
        </w:tc>
        <w:tc>
          <w:tcPr>
            <w:tcW w:w="540" w:type="dxa"/>
            <w:gridSpan w:val="2"/>
            <w:tcBorders>
              <w:top w:val="single" w:color="000000" w:sz="4" w:space="0"/>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rPr>
              <w:t>项</w:t>
            </w:r>
          </w:p>
        </w:tc>
        <w:tc>
          <w:tcPr>
            <w:tcW w:w="705" w:type="dxa"/>
            <w:gridSpan w:val="3"/>
            <w:tcBorders>
              <w:top w:val="single" w:color="000000" w:sz="4" w:space="0"/>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rPr>
              <w:t>1</w:t>
            </w:r>
          </w:p>
        </w:tc>
        <w:tc>
          <w:tcPr>
            <w:tcW w:w="960" w:type="dxa"/>
            <w:gridSpan w:val="2"/>
            <w:tcBorders>
              <w:top w:val="single" w:color="000000" w:sz="4" w:space="0"/>
              <w:left w:val="single" w:color="auto" w:sz="4" w:space="0"/>
              <w:bottom w:val="single" w:color="000000" w:sz="4" w:space="0"/>
              <w:right w:val="single" w:color="auto" w:sz="4" w:space="0"/>
            </w:tcBorders>
            <w:shd w:val="clear" w:color="000000" w:fill="FFFFFF"/>
            <w:vAlign w:val="center"/>
          </w:tcPr>
          <w:p>
            <w:pPr>
              <w:widowControl/>
              <w:jc w:val="center"/>
              <w:rPr>
                <w:rFonts w:hint="eastAsia" w:ascii="宋体" w:hAnsi="宋体" w:cs="宋体"/>
                <w:color w:val="000000"/>
                <w:kern w:val="0"/>
                <w:sz w:val="20"/>
              </w:rPr>
            </w:pPr>
          </w:p>
        </w:tc>
        <w:tc>
          <w:tcPr>
            <w:tcW w:w="925" w:type="dxa"/>
            <w:tcBorders>
              <w:top w:val="single" w:color="000000" w:sz="4" w:space="0"/>
              <w:left w:val="single" w:color="auto" w:sz="4" w:space="0"/>
              <w:bottom w:val="single" w:color="000000" w:sz="4" w:space="0"/>
              <w:right w:val="single" w:color="000000" w:sz="4" w:space="0"/>
            </w:tcBorders>
            <w:shd w:val="clear" w:color="000000" w:fill="FFFFFF"/>
            <w:vAlign w:val="center"/>
          </w:tcPr>
          <w:p>
            <w:pPr>
              <w:widowControl/>
              <w:jc w:val="center"/>
              <w:rPr>
                <w:rFonts w:hint="eastAsia" w:ascii="宋体" w:hAnsi="宋体" w:cs="宋体"/>
                <w:color w:val="000000"/>
                <w:kern w:val="0"/>
                <w:sz w:val="20"/>
              </w:rPr>
            </w:pPr>
          </w:p>
        </w:tc>
        <w:tc>
          <w:tcPr>
            <w:tcW w:w="207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p>
        </w:tc>
      </w:tr>
      <w:tr>
        <w:tblPrEx>
          <w:tblCellMar>
            <w:top w:w="0" w:type="dxa"/>
            <w:left w:w="108" w:type="dxa"/>
            <w:bottom w:w="0" w:type="dxa"/>
            <w:right w:w="108" w:type="dxa"/>
          </w:tblCellMar>
        </w:tblPrEx>
        <w:trPr>
          <w:trHeight w:val="476" w:hRule="exact"/>
        </w:trPr>
        <w:tc>
          <w:tcPr>
            <w:tcW w:w="5119" w:type="dxa"/>
            <w:gridSpan w:val="9"/>
            <w:tcBorders>
              <w:top w:val="single" w:color="000000" w:sz="4" w:space="0"/>
              <w:left w:val="single" w:color="000000" w:sz="4" w:space="0"/>
              <w:bottom w:val="single" w:color="000000" w:sz="4" w:space="0"/>
              <w:right w:val="single" w:color="auto" w:sz="4" w:space="0"/>
            </w:tcBorders>
            <w:shd w:val="clear" w:color="000000" w:fill="FFFFFF"/>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lang w:eastAsia="zh-CN"/>
              </w:rPr>
              <w:t>渝港航挖</w:t>
            </w:r>
            <w:r>
              <w:rPr>
                <w:rFonts w:hint="eastAsia" w:ascii="宋体" w:hAnsi="宋体" w:cs="宋体"/>
                <w:color w:val="000000"/>
                <w:kern w:val="0"/>
                <w:sz w:val="20"/>
                <w:lang w:val="en-US" w:eastAsia="zh-CN"/>
              </w:rPr>
              <w:t>2号</w:t>
            </w:r>
            <w:r>
              <w:rPr>
                <w:rFonts w:hint="eastAsia" w:ascii="宋体" w:hAnsi="宋体" w:cs="宋体"/>
                <w:color w:val="000000"/>
                <w:kern w:val="0"/>
                <w:sz w:val="20"/>
              </w:rPr>
              <w:t>维修改造设计小计：</w:t>
            </w:r>
          </w:p>
        </w:tc>
        <w:tc>
          <w:tcPr>
            <w:tcW w:w="1885" w:type="dxa"/>
            <w:gridSpan w:val="3"/>
            <w:tcBorders>
              <w:top w:val="single" w:color="000000" w:sz="4" w:space="0"/>
              <w:left w:val="single" w:color="auto" w:sz="4" w:space="0"/>
              <w:bottom w:val="single" w:color="000000" w:sz="4" w:space="0"/>
              <w:right w:val="single" w:color="000000" w:sz="4" w:space="0"/>
            </w:tcBorders>
            <w:shd w:val="clear" w:color="000000" w:fill="FFFFFF"/>
            <w:vAlign w:val="center"/>
          </w:tcPr>
          <w:p>
            <w:pPr>
              <w:widowControl/>
              <w:jc w:val="center"/>
              <w:rPr>
                <w:rFonts w:hint="eastAsia" w:ascii="宋体" w:hAnsi="宋体" w:cs="宋体"/>
                <w:color w:val="000000"/>
                <w:kern w:val="0"/>
                <w:sz w:val="20"/>
              </w:rPr>
            </w:pPr>
          </w:p>
        </w:tc>
        <w:tc>
          <w:tcPr>
            <w:tcW w:w="207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p>
        </w:tc>
      </w:tr>
      <w:tr>
        <w:tblPrEx>
          <w:tblCellMar>
            <w:top w:w="0" w:type="dxa"/>
            <w:left w:w="108" w:type="dxa"/>
            <w:bottom w:w="0" w:type="dxa"/>
            <w:right w:w="108" w:type="dxa"/>
          </w:tblCellMar>
        </w:tblPrEx>
        <w:trPr>
          <w:trHeight w:val="476" w:hRule="exact"/>
        </w:trPr>
        <w:tc>
          <w:tcPr>
            <w:tcW w:w="3919" w:type="dxa"/>
            <w:gridSpan w:val="5"/>
            <w:tcBorders>
              <w:top w:val="single" w:color="000000" w:sz="4" w:space="0"/>
              <w:left w:val="single" w:color="000000" w:sz="4" w:space="0"/>
              <w:bottom w:val="single" w:color="000000" w:sz="4" w:space="0"/>
              <w:right w:val="single" w:color="auto" w:sz="4" w:space="0"/>
            </w:tcBorders>
            <w:shd w:val="clear" w:color="000000" w:fill="FFFFFF"/>
            <w:vAlign w:val="center"/>
          </w:tcPr>
          <w:p>
            <w:pPr>
              <w:widowControl/>
              <w:jc w:val="left"/>
              <w:rPr>
                <w:rFonts w:hint="eastAsia" w:ascii="宋体" w:hAnsi="宋体" w:cs="宋体"/>
                <w:color w:val="000000"/>
                <w:kern w:val="0"/>
                <w:sz w:val="20"/>
              </w:rPr>
            </w:pPr>
            <w:r>
              <w:rPr>
                <w:rFonts w:hint="eastAsia" w:ascii="宋体" w:hAnsi="宋体" w:cs="宋体"/>
                <w:color w:val="000000"/>
                <w:kern w:val="0"/>
                <w:sz w:val="20"/>
              </w:rPr>
              <w:t>合计（一+二</w:t>
            </w:r>
            <w:r>
              <w:rPr>
                <w:rFonts w:hint="eastAsia" w:ascii="宋体" w:hAnsi="宋体" w:cs="宋体"/>
                <w:color w:val="000000"/>
                <w:kern w:val="0"/>
                <w:sz w:val="20"/>
                <w:lang w:val="en-US" w:eastAsia="zh-CN"/>
              </w:rPr>
              <w:t>+三</w:t>
            </w:r>
            <w:r>
              <w:rPr>
                <w:rFonts w:hint="eastAsia" w:ascii="宋体" w:hAnsi="宋体" w:cs="宋体"/>
                <w:color w:val="000000"/>
                <w:kern w:val="0"/>
                <w:sz w:val="20"/>
              </w:rPr>
              <w:t>）:</w:t>
            </w:r>
          </w:p>
        </w:tc>
        <w:tc>
          <w:tcPr>
            <w:tcW w:w="5161" w:type="dxa"/>
            <w:gridSpan w:val="8"/>
            <w:tcBorders>
              <w:top w:val="single" w:color="000000" w:sz="4" w:space="0"/>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rPr>
            </w:pPr>
          </w:p>
        </w:tc>
      </w:tr>
    </w:tbl>
    <w:p>
      <w:pPr>
        <w:spacing w:line="400" w:lineRule="exact"/>
        <w:rPr>
          <w:rFonts w:ascii="方正仿宋_GBK" w:hAnsi="宋体" w:eastAsia="方正仿宋_GBK"/>
          <w:sz w:val="24"/>
          <w:szCs w:val="24"/>
          <w:u w:val="single"/>
        </w:rPr>
      </w:pPr>
    </w:p>
    <w:p>
      <w:pPr>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注：1.供应商应完整填写本表。</w:t>
      </w:r>
    </w:p>
    <w:p>
      <w:pPr>
        <w:snapToGrid w:val="0"/>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2.该表可扩展。</w:t>
      </w:r>
    </w:p>
    <w:p>
      <w:pPr>
        <w:pStyle w:val="1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w:t>
      </w:r>
    </w:p>
    <w:p>
      <w:pPr>
        <w:spacing w:line="360" w:lineRule="auto"/>
      </w:pPr>
      <w:r>
        <w:rPr>
          <w:rFonts w:hint="eastAsia" w:ascii="方正仿宋_GBK" w:hAnsi="宋体" w:eastAsia="方正仿宋_GBK"/>
          <w:sz w:val="24"/>
          <w:szCs w:val="24"/>
        </w:rPr>
        <w:t xml:space="preserve">                                             供应商名称（公章）或自然人签署：</w:t>
      </w:r>
    </w:p>
    <w:p>
      <w:pPr>
        <w:spacing w:line="360" w:lineRule="auto"/>
        <w:ind w:right="480" w:firstLine="6480" w:firstLineChars="2700"/>
        <w:rPr>
          <w:rFonts w:ascii="方正仿宋_GBK" w:hAnsi="宋体" w:eastAsia="方正仿宋_GBK"/>
          <w:sz w:val="24"/>
          <w:szCs w:val="24"/>
        </w:rPr>
      </w:pPr>
      <w:r>
        <w:rPr>
          <w:rFonts w:hint="eastAsia" w:ascii="方正仿宋_GBK" w:hAnsi="宋体" w:eastAsia="方正仿宋_GBK"/>
          <w:sz w:val="24"/>
          <w:szCs w:val="24"/>
        </w:rPr>
        <w:t>年     月    日</w:t>
      </w:r>
    </w:p>
    <w:p>
      <w:pPr>
        <w:snapToGrid w:val="0"/>
        <w:spacing w:line="360" w:lineRule="auto"/>
        <w:ind w:firstLine="480" w:firstLineChars="200"/>
        <w:rPr>
          <w:rFonts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ascii="方正仿宋_GBK" w:hAnsi="宋体" w:eastAsia="方正仿宋_GBK"/>
          <w:sz w:val="24"/>
        </w:rPr>
      </w:pPr>
      <w:bookmarkStart w:id="212" w:name="_Toc26085"/>
      <w:bookmarkStart w:id="213" w:name="_Toc14073"/>
      <w:bookmarkStart w:id="214" w:name="_Toc342913420"/>
      <w:bookmarkStart w:id="215" w:name="_Toc106034809"/>
      <w:bookmarkStart w:id="216" w:name="_Toc22655"/>
      <w:bookmarkStart w:id="217" w:name="_Toc313008357"/>
      <w:bookmarkStart w:id="218" w:name="_Toc313888361"/>
      <w:bookmarkStart w:id="219" w:name="_Toc65660380"/>
      <w:r>
        <w:rPr>
          <w:rFonts w:hint="eastAsia" w:ascii="方正仿宋_GBK" w:hAnsi="宋体" w:eastAsia="方正仿宋_GBK"/>
          <w:sz w:val="24"/>
        </w:rPr>
        <w:t>二、技术（质量）部分</w:t>
      </w:r>
      <w:bookmarkEnd w:id="212"/>
      <w:bookmarkEnd w:id="213"/>
      <w:bookmarkEnd w:id="214"/>
      <w:bookmarkEnd w:id="215"/>
      <w:bookmarkEnd w:id="216"/>
      <w:bookmarkEnd w:id="217"/>
      <w:bookmarkEnd w:id="218"/>
      <w:bookmarkEnd w:id="219"/>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（一）技术（质量）响应偏离表                               </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项目名称：</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序号</w:t>
            </w:r>
          </w:p>
        </w:tc>
        <w:tc>
          <w:tcPr>
            <w:tcW w:w="2844" w:type="dxa"/>
            <w:vAlign w:val="center"/>
          </w:tcPr>
          <w:p>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采购需求</w:t>
            </w:r>
          </w:p>
        </w:tc>
        <w:tc>
          <w:tcPr>
            <w:tcW w:w="2952" w:type="dxa"/>
            <w:vAlign w:val="center"/>
          </w:tcPr>
          <w:p>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响应情况</w:t>
            </w:r>
          </w:p>
        </w:tc>
        <w:tc>
          <w:tcPr>
            <w:tcW w:w="2212" w:type="dxa"/>
            <w:vAlign w:val="center"/>
          </w:tcPr>
          <w:p>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r>
              <w:rPr>
                <w:rFonts w:hint="eastAsia" w:ascii="方正仿宋_GBK" w:hAnsi="宋体" w:eastAsia="方正仿宋_GBK"/>
                <w:sz w:val="21"/>
                <w:szCs w:val="21"/>
              </w:rPr>
              <w:t>1</w:t>
            </w: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r>
              <w:rPr>
                <w:rFonts w:hint="eastAsia" w:ascii="方正仿宋_GBK" w:hAnsi="仿宋" w:eastAsia="方正仿宋_GBK"/>
                <w:sz w:val="21"/>
                <w:szCs w:val="21"/>
              </w:rPr>
              <w:t>提醒：请注明技术参数或具体内容以及响应文件中技术参数或具体内容的位置（页码）</w:t>
            </w:r>
          </w:p>
        </w:tc>
        <w:tc>
          <w:tcPr>
            <w:tcW w:w="2212" w:type="dxa"/>
            <w:vAlign w:val="center"/>
          </w:tcPr>
          <w:p>
            <w:pPr>
              <w:tabs>
                <w:tab w:val="left" w:pos="6300"/>
              </w:tabs>
              <w:snapToGrid w:val="0"/>
              <w:outlineLvl w:val="0"/>
              <w:rPr>
                <w:rFonts w:ascii="方正仿宋_GBK" w:hAnsi="宋体" w:eastAsia="方正仿宋_GBK"/>
                <w:sz w:val="21"/>
                <w:szCs w:val="21"/>
              </w:rPr>
            </w:pPr>
            <w:r>
              <w:rPr>
                <w:rFonts w:hint="eastAsia" w:ascii="方正仿宋_GBK" w:hAnsi="仿宋" w:eastAsia="方正仿宋_GBK"/>
                <w:sz w:val="21"/>
                <w:szCs w:val="21"/>
              </w:rPr>
              <w:t>提醒：请注明响应情况与采购需求的差异情况：正偏离、负偏离或者无差异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bl>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w:t>
      </w:r>
      <w:r>
        <w:rPr>
          <w:rFonts w:hint="eastAsia" w:ascii="方正仿宋_GBK" w:hAnsi="宋体" w:eastAsia="方正仿宋_GBK"/>
          <w:sz w:val="24"/>
          <w:szCs w:val="24"/>
        </w:rPr>
        <w:t>签署</w:t>
      </w:r>
      <w:r>
        <w:rPr>
          <w:rFonts w:hint="eastAsia" w:ascii="方正仿宋_GBK" w:hAnsi="宋体" w:eastAsia="方正仿宋_GBK"/>
          <w:sz w:val="24"/>
          <w:szCs w:val="28"/>
        </w:rPr>
        <w:t>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本表即为对本项目“第二篇  项目技术（质量）需求”中所列条款进行比较和响应；</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2.本表可扩展。</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br w:type="page"/>
      </w:r>
      <w:r>
        <w:rPr>
          <w:rFonts w:hint="eastAsia" w:ascii="方正仿宋_GBK" w:hAnsi="宋体" w:eastAsia="方正仿宋_GBK"/>
          <w:sz w:val="24"/>
          <w:szCs w:val="24"/>
        </w:rPr>
        <w:t>（二）其他资料（格式自定）</w:t>
      </w:r>
    </w:p>
    <w:p>
      <w:pPr>
        <w:tabs>
          <w:tab w:val="left" w:pos="6300"/>
        </w:tabs>
        <w:snapToGrid w:val="0"/>
        <w:spacing w:line="500" w:lineRule="exact"/>
        <w:ind w:firstLine="480" w:firstLineChars="200"/>
        <w:rPr>
          <w:rFonts w:ascii="方正仿宋_GBK" w:hAnsi="宋体" w:eastAsia="方正仿宋_GBK"/>
          <w:sz w:val="24"/>
          <w:szCs w:val="24"/>
        </w:rPr>
      </w:pPr>
    </w:p>
    <w:p>
      <w:pPr>
        <w:pStyle w:val="2"/>
        <w:adjustRightInd w:val="0"/>
        <w:snapToGrid w:val="0"/>
        <w:spacing w:before="0" w:after="0" w:line="400" w:lineRule="exact"/>
        <w:ind w:firstLine="640" w:firstLineChars="200"/>
        <w:rPr>
          <w:rFonts w:ascii="方正仿宋_GBK" w:hAnsi="宋体" w:eastAsia="方正仿宋_GBK"/>
          <w:sz w:val="24"/>
        </w:rPr>
      </w:pPr>
      <w:r>
        <w:rPr>
          <w:rFonts w:ascii="方正仿宋_GBK" w:eastAsia="方正仿宋_GBK"/>
          <w:b w:val="0"/>
        </w:rPr>
        <w:br w:type="page"/>
      </w:r>
      <w:bookmarkStart w:id="220" w:name="_Toc106034810"/>
      <w:bookmarkStart w:id="221" w:name="_Toc65660381"/>
      <w:bookmarkStart w:id="222" w:name="_Toc32158"/>
      <w:bookmarkStart w:id="223" w:name="_Toc27717"/>
      <w:bookmarkStart w:id="224" w:name="_Toc32339"/>
      <w:bookmarkStart w:id="225" w:name="_Toc313888362"/>
      <w:bookmarkStart w:id="226" w:name="_Toc313008358"/>
      <w:bookmarkStart w:id="227" w:name="_Toc342913421"/>
      <w:r>
        <w:rPr>
          <w:rFonts w:hint="eastAsia" w:ascii="方正仿宋_GBK" w:hAnsi="宋体" w:eastAsia="方正仿宋_GBK"/>
          <w:sz w:val="24"/>
        </w:rPr>
        <w:t>三、商务服务部分</w:t>
      </w:r>
      <w:bookmarkEnd w:id="220"/>
      <w:bookmarkEnd w:id="221"/>
      <w:bookmarkEnd w:id="222"/>
      <w:bookmarkEnd w:id="223"/>
      <w:bookmarkEnd w:id="224"/>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（一）商务服务响应偏离表                              </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项目名称：</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4"/>
              </w:rPr>
              <w:t>序号</w:t>
            </w:r>
          </w:p>
        </w:tc>
        <w:tc>
          <w:tcPr>
            <w:tcW w:w="3184" w:type="dxa"/>
            <w:vAlign w:val="center"/>
          </w:tcPr>
          <w:p>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4"/>
              </w:rPr>
              <w:t>项目商务需求</w:t>
            </w:r>
          </w:p>
        </w:tc>
        <w:tc>
          <w:tcPr>
            <w:tcW w:w="2438" w:type="dxa"/>
            <w:vAlign w:val="center"/>
          </w:tcPr>
          <w:p>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4"/>
              </w:rPr>
              <w:t>响应情况</w:t>
            </w:r>
          </w:p>
        </w:tc>
        <w:tc>
          <w:tcPr>
            <w:tcW w:w="2359" w:type="dxa"/>
            <w:vAlign w:val="center"/>
          </w:tcPr>
          <w:p>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r>
              <w:rPr>
                <w:rFonts w:hint="eastAsia" w:ascii="方正仿宋_GBK" w:hAnsi="仿宋" w:eastAsia="方正仿宋_GBK"/>
                <w:sz w:val="21"/>
                <w:szCs w:val="21"/>
              </w:rPr>
              <w:t>提醒：请注明具体内容以及响应文件中具体内容的位置（页码）</w:t>
            </w:r>
          </w:p>
        </w:tc>
        <w:tc>
          <w:tcPr>
            <w:tcW w:w="2359" w:type="dxa"/>
            <w:vAlign w:val="center"/>
          </w:tcPr>
          <w:p>
            <w:pPr>
              <w:tabs>
                <w:tab w:val="left" w:pos="6300"/>
              </w:tabs>
              <w:snapToGrid w:val="0"/>
              <w:outlineLvl w:val="0"/>
              <w:rPr>
                <w:rFonts w:ascii="方正仿宋_GBK" w:hAnsi="宋体" w:eastAsia="方正仿宋_GBK"/>
                <w:sz w:val="21"/>
                <w:szCs w:val="24"/>
              </w:rPr>
            </w:pPr>
            <w:r>
              <w:rPr>
                <w:rFonts w:hint="eastAsia" w:ascii="方正仿宋_GBK" w:hAnsi="仿宋" w:eastAsia="方正仿宋_GBK"/>
                <w:sz w:val="21"/>
                <w:szCs w:val="21"/>
              </w:rPr>
              <w:t>提醒：请注明响应情况与商务需求的差异情况：正偏离、负偏离或者无差异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bl>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360" w:firstLineChars="150"/>
        <w:rPr>
          <w:rFonts w:ascii="方正仿宋_GBK" w:hAnsi="宋体" w:eastAsia="方正仿宋_GBK"/>
          <w:sz w:val="24"/>
          <w:szCs w:val="28"/>
        </w:rPr>
      </w:pPr>
      <w:r>
        <w:rPr>
          <w:rFonts w:hint="eastAsia" w:ascii="方正仿宋_GBK" w:hAnsi="宋体" w:eastAsia="方正仿宋_GBK"/>
          <w:sz w:val="24"/>
          <w:szCs w:val="28"/>
        </w:rPr>
        <w:t>（供应商公章）                                     （签署或盖章）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本表即为对本项目“第三篇  项目商务需求”中所列条款进行比较和响应；</w:t>
      </w: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rPr>
        <w:t>2.本表可扩展</w:t>
      </w:r>
      <w:r>
        <w:rPr>
          <w:rFonts w:hint="eastAsia" w:ascii="方正仿宋_GBK" w:hAnsi="宋体" w:eastAsia="方正仿宋_GBK"/>
          <w:sz w:val="24"/>
          <w:szCs w:val="24"/>
        </w:rPr>
        <w:t>。</w:t>
      </w:r>
    </w:p>
    <w:p>
      <w:pPr>
        <w:tabs>
          <w:tab w:val="left" w:pos="6300"/>
        </w:tabs>
        <w:snapToGrid w:val="0"/>
        <w:spacing w:line="480" w:lineRule="exact"/>
        <w:ind w:firstLine="480" w:firstLineChars="200"/>
        <w:rPr>
          <w:rFonts w:ascii="方正仿宋_GBK" w:hAnsi="宋体" w:eastAsia="方正仿宋_GBK"/>
          <w:sz w:val="24"/>
          <w:szCs w:val="24"/>
        </w:rPr>
      </w:pP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br w:type="page"/>
      </w:r>
      <w:r>
        <w:rPr>
          <w:rFonts w:hint="eastAsia" w:ascii="方正仿宋_GBK" w:hAnsi="宋体" w:eastAsia="方正仿宋_GBK"/>
          <w:sz w:val="24"/>
          <w:szCs w:val="24"/>
        </w:rPr>
        <w:t>（二）其它优惠服务承诺（格式自定）</w:t>
      </w:r>
    </w:p>
    <w:p>
      <w:pPr>
        <w:tabs>
          <w:tab w:val="left" w:pos="6300"/>
        </w:tabs>
        <w:snapToGrid w:val="0"/>
        <w:spacing w:line="480" w:lineRule="exact"/>
        <w:ind w:firstLine="480" w:firstLineChars="200"/>
        <w:rPr>
          <w:rFonts w:ascii="方正仿宋_GBK" w:hAnsi="宋体" w:eastAsia="方正仿宋_GBK"/>
          <w:sz w:val="24"/>
          <w:szCs w:val="24"/>
        </w:rPr>
      </w:pPr>
    </w:p>
    <w:p>
      <w:pPr>
        <w:pStyle w:val="2"/>
        <w:adjustRightInd w:val="0"/>
        <w:snapToGrid w:val="0"/>
        <w:spacing w:before="0" w:after="0" w:line="400" w:lineRule="exact"/>
        <w:ind w:firstLine="482" w:firstLineChars="200"/>
        <w:rPr>
          <w:rFonts w:ascii="方正仿宋_GBK" w:hAnsi="宋体" w:eastAsia="方正仿宋_GBK"/>
          <w:sz w:val="24"/>
        </w:rPr>
      </w:pPr>
      <w:r>
        <w:rPr>
          <w:rFonts w:ascii="方正仿宋_GBK" w:hAnsi="宋体" w:eastAsia="方正仿宋_GBK"/>
          <w:sz w:val="24"/>
          <w:szCs w:val="24"/>
        </w:rPr>
        <w:br w:type="page"/>
      </w:r>
      <w:bookmarkStart w:id="228" w:name="_Toc65660382"/>
      <w:bookmarkStart w:id="229" w:name="_Toc20162"/>
      <w:bookmarkStart w:id="230" w:name="_Toc21793"/>
      <w:bookmarkStart w:id="231" w:name="_Toc2082"/>
      <w:bookmarkStart w:id="232" w:name="_Toc106034811"/>
      <w:r>
        <w:rPr>
          <w:rFonts w:hint="eastAsia" w:ascii="方正仿宋_GBK" w:hAnsi="宋体" w:eastAsia="方正仿宋_GBK"/>
          <w:sz w:val="24"/>
        </w:rPr>
        <w:t>四、</w:t>
      </w:r>
      <w:bookmarkEnd w:id="225"/>
      <w:bookmarkEnd w:id="226"/>
      <w:bookmarkEnd w:id="227"/>
      <w:r>
        <w:rPr>
          <w:rFonts w:hint="eastAsia" w:ascii="方正仿宋_GBK" w:hAnsi="宋体" w:eastAsia="方正仿宋_GBK"/>
          <w:sz w:val="24"/>
        </w:rPr>
        <w:t>资格条件及其他</w:t>
      </w:r>
      <w:bookmarkEnd w:id="228"/>
      <w:bookmarkEnd w:id="229"/>
      <w:bookmarkEnd w:id="230"/>
      <w:bookmarkEnd w:id="231"/>
      <w:bookmarkEnd w:id="232"/>
      <w:bookmarkStart w:id="233" w:name="_Toc313888363"/>
      <w:bookmarkStart w:id="234" w:name="_Toc313008359"/>
      <w:bookmarkStart w:id="235" w:name="_Toc342913422"/>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ascii="方正仿宋_GBK" w:hAnsi="宋体" w:eastAsia="方正仿宋_GBK"/>
          <w:sz w:val="24"/>
          <w:szCs w:val="24"/>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widowControl/>
        <w:spacing w:line="400" w:lineRule="exact"/>
        <w:ind w:firstLine="560" w:firstLineChars="200"/>
        <w:jc w:val="left"/>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w:t>
      </w: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rPr>
        <w:t>）：</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（供应商公章）</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tabs>
          <w:tab w:val="left" w:pos="6300"/>
        </w:tabs>
        <w:snapToGrid w:val="0"/>
        <w:spacing w:line="500" w:lineRule="exact"/>
        <w:ind w:firstLine="570"/>
        <w:rPr>
          <w:rFonts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widowControl/>
        <w:spacing w:line="400" w:lineRule="exact"/>
        <w:ind w:firstLine="560" w:firstLineChars="200"/>
        <w:jc w:val="left"/>
        <w:rPr>
          <w:rFonts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w:t>
      </w: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rPr>
        <w:t>）：</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（被授权人姓名及身份证代码）代表我单位全权办理上述项目的报价、签约等具体工作，并签署全部有关文件、协议及合同。</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被授权人：                                 供应商法定代表人：</w:t>
      </w:r>
    </w:p>
    <w:p>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（签署或盖章）                                （签署或盖章）</w:t>
      </w:r>
    </w:p>
    <w:p>
      <w:pPr>
        <w:tabs>
          <w:tab w:val="left" w:pos="6300"/>
        </w:tabs>
        <w:snapToGrid w:val="0"/>
        <w:spacing w:line="500" w:lineRule="exact"/>
        <w:ind w:firstLine="570"/>
        <w:rPr>
          <w:rFonts w:ascii="方正仿宋_GBK" w:hAnsi="宋体" w:eastAsia="方正仿宋_GBK"/>
          <w:sz w:val="24"/>
          <w:szCs w:val="28"/>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注：</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1.若为法定代表人办理并签署响应文件的，不提供此文件。</w:t>
      </w:r>
    </w:p>
    <w:p>
      <w:pPr>
        <w:tabs>
          <w:tab w:val="left" w:pos="6300"/>
        </w:tabs>
        <w:snapToGrid w:val="0"/>
        <w:spacing w:line="400" w:lineRule="exact"/>
        <w:ind w:firstLine="573"/>
        <w:rPr>
          <w:rFonts w:ascii="方正仿宋_GBK" w:hAnsi="仿宋" w:eastAsia="方正仿宋_GBK"/>
          <w:sz w:val="24"/>
        </w:rPr>
      </w:pPr>
      <w:r>
        <w:rPr>
          <w:rFonts w:hint="eastAsia" w:ascii="方正仿宋_GBK" w:hAnsi="仿宋" w:eastAsia="方正仿宋_GBK"/>
          <w:sz w:val="24"/>
        </w:rPr>
        <w:t>2.若为联合体参与的，法定代表人授权委托书由联合体主办方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pPr>
        <w:widowControl/>
        <w:spacing w:line="400" w:lineRule="exact"/>
        <w:ind w:firstLine="560" w:firstLineChars="200"/>
        <w:jc w:val="left"/>
        <w:rPr>
          <w:rFonts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3" w:firstLineChars="200"/>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（采购人或采购代理机构名称）：</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我方对以上承诺负全部法律责任。</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特此承诺。</w:t>
      </w:r>
    </w:p>
    <w:p>
      <w:pPr>
        <w:tabs>
          <w:tab w:val="left" w:pos="6300"/>
        </w:tabs>
        <w:snapToGrid w:val="0"/>
        <w:spacing w:line="500" w:lineRule="exact"/>
        <w:ind w:firstLine="480" w:firstLineChars="200"/>
        <w:rPr>
          <w:rFonts w:ascii="方正仿宋_GBK" w:hAnsi="仿宋" w:eastAsia="方正仿宋_GBK"/>
          <w:sz w:val="24"/>
        </w:rPr>
      </w:pPr>
    </w:p>
    <w:p>
      <w:pPr>
        <w:tabs>
          <w:tab w:val="left" w:pos="6300"/>
        </w:tabs>
        <w:snapToGrid w:val="0"/>
        <w:spacing w:line="500" w:lineRule="exact"/>
        <w:ind w:firstLine="480" w:firstLineChars="200"/>
        <w:jc w:val="right"/>
        <w:rPr>
          <w:rFonts w:ascii="方正仿宋_GBK" w:hAnsi="仿宋" w:eastAsia="方正仿宋_GBK"/>
          <w:sz w:val="24"/>
        </w:rPr>
      </w:pPr>
      <w:r>
        <w:rPr>
          <w:rFonts w:hint="eastAsia" w:ascii="方正仿宋_GBK" w:hAnsi="仿宋" w:eastAsia="方正仿宋_GBK"/>
          <w:sz w:val="24"/>
        </w:rPr>
        <w:t>（供应商公章）</w:t>
      </w:r>
    </w:p>
    <w:p>
      <w:pPr>
        <w:widowControl/>
        <w:spacing w:line="400" w:lineRule="exact"/>
        <w:ind w:firstLine="7920" w:firstLineChars="3300"/>
        <w:jc w:val="left"/>
        <w:rPr>
          <w:rFonts w:ascii="方正仿宋_GBK" w:hAnsi="宋体" w:eastAsia="方正仿宋_GBK"/>
          <w:sz w:val="24"/>
          <w:szCs w:val="24"/>
        </w:rPr>
      </w:pPr>
      <w:r>
        <w:rPr>
          <w:rFonts w:hint="eastAsia" w:ascii="方正仿宋_GBK" w:hAnsi="仿宋" w:eastAsia="方正仿宋_GBK"/>
          <w:sz w:val="24"/>
        </w:rPr>
        <w:t>年   月   日</w:t>
      </w:r>
    </w:p>
    <w:p>
      <w:pPr>
        <w:widowControl/>
        <w:spacing w:line="400" w:lineRule="exact"/>
        <w:ind w:firstLine="560" w:firstLineChars="200"/>
        <w:jc w:val="left"/>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（五）特定资格条件证书或证明文件</w:t>
      </w:r>
    </w:p>
    <w:p>
      <w:pPr>
        <w:widowControl/>
        <w:spacing w:line="400" w:lineRule="exact"/>
        <w:ind w:firstLine="480" w:firstLineChars="200"/>
        <w:jc w:val="left"/>
        <w:rPr>
          <w:rFonts w:ascii="方正仿宋_GBK" w:hAnsi="宋体" w:eastAsia="方正仿宋_GBK"/>
          <w:sz w:val="24"/>
          <w:szCs w:val="24"/>
        </w:rPr>
      </w:pPr>
    </w:p>
    <w:p>
      <w:pPr>
        <w:pStyle w:val="2"/>
        <w:adjustRightInd w:val="0"/>
        <w:snapToGrid w:val="0"/>
        <w:spacing w:before="0" w:after="0" w:line="400" w:lineRule="exact"/>
        <w:ind w:firstLine="482" w:firstLineChars="200"/>
        <w:rPr>
          <w:rFonts w:ascii="方正仿宋_GBK" w:hAnsi="宋体" w:eastAsia="方正仿宋_GBK"/>
          <w:sz w:val="24"/>
        </w:rPr>
      </w:pPr>
      <w:r>
        <w:rPr>
          <w:rFonts w:ascii="方正仿宋_GBK" w:hAnsi="宋体" w:eastAsia="方正仿宋_GBK"/>
          <w:sz w:val="24"/>
          <w:szCs w:val="24"/>
        </w:rPr>
        <w:br w:type="page"/>
      </w:r>
      <w:bookmarkStart w:id="236" w:name="_Toc15815"/>
      <w:bookmarkStart w:id="237" w:name="_Toc65660383"/>
      <w:bookmarkStart w:id="238" w:name="_Toc2080"/>
      <w:bookmarkStart w:id="239" w:name="_Toc17010"/>
      <w:bookmarkStart w:id="240" w:name="_Toc106034812"/>
      <w:r>
        <w:rPr>
          <w:rFonts w:hint="eastAsia" w:ascii="方正仿宋_GBK" w:hAnsi="宋体" w:eastAsia="方正仿宋_GBK"/>
          <w:sz w:val="24"/>
        </w:rPr>
        <w:t>五、</w:t>
      </w:r>
      <w:bookmarkEnd w:id="233"/>
      <w:bookmarkEnd w:id="234"/>
      <w:bookmarkEnd w:id="235"/>
      <w:r>
        <w:rPr>
          <w:rFonts w:hint="eastAsia" w:ascii="方正仿宋_GBK" w:hAnsi="宋体" w:eastAsia="方正仿宋_GBK"/>
          <w:sz w:val="24"/>
        </w:rPr>
        <w:t>其他资料</w:t>
      </w:r>
      <w:bookmarkEnd w:id="236"/>
      <w:bookmarkEnd w:id="237"/>
      <w:bookmarkEnd w:id="238"/>
      <w:bookmarkEnd w:id="239"/>
      <w:bookmarkEnd w:id="240"/>
    </w:p>
    <w:p>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（一）联合体协议或分包意向协议（格式自定）</w:t>
      </w:r>
    </w:p>
    <w:p>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（二）其他与项目有关的资料（自附）</w:t>
      </w:r>
    </w:p>
    <w:p>
      <w:pPr>
        <w:spacing w:line="360" w:lineRule="auto"/>
        <w:ind w:firstLine="480" w:firstLineChars="200"/>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560" w:firstLineChars="200"/>
        <w:jc w:val="center"/>
        <w:rPr>
          <w:rFonts w:ascii="方正仿宋_GBK" w:hAnsi="仿宋" w:eastAsia="方正仿宋_GBK"/>
        </w:rPr>
      </w:pPr>
      <w:r>
        <w:rPr>
          <w:rFonts w:hint="eastAsia" w:ascii="方正仿宋_GBK" w:hAnsi="仿宋" w:eastAsia="方正仿宋_GBK"/>
        </w:rPr>
        <w:t>（结束）</w:t>
      </w:r>
    </w:p>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jc w:val="center"/>
      <w:rPr>
        <w:rStyle w:val="13"/>
        <w:rFonts w:ascii="宋体"/>
        <w:sz w:val="21"/>
        <w:szCs w:val="21"/>
      </w:rPr>
    </w:pPr>
    <w:r>
      <w:rPr>
        <w:rFonts w:ascii="宋体"/>
        <w:sz w:val="21"/>
        <w:szCs w:val="21"/>
      </w:rPr>
      <w:fldChar w:fldCharType="begin"/>
    </w:r>
    <w:r>
      <w:rPr>
        <w:rStyle w:val="13"/>
        <w:rFonts w:ascii="宋体"/>
        <w:sz w:val="21"/>
        <w:szCs w:val="21"/>
      </w:rPr>
      <w:instrText xml:space="preserve">PAGE  </w:instrText>
    </w:r>
    <w:r>
      <w:rPr>
        <w:rFonts w:ascii="宋体"/>
        <w:sz w:val="21"/>
        <w:szCs w:val="21"/>
      </w:rPr>
      <w:fldChar w:fldCharType="separate"/>
    </w:r>
    <w:r>
      <w:rPr>
        <w:rStyle w:val="13"/>
        <w:rFonts w:ascii="宋体"/>
        <w:sz w:val="21"/>
        <w:szCs w:val="21"/>
      </w:rPr>
      <w:t>- 14 -</w:t>
    </w:r>
    <w:r>
      <w:rPr>
        <w:rFonts w:ascii="宋体"/>
        <w:sz w:val="21"/>
        <w:szCs w:val="21"/>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fldChar w:fldCharType="begin"/>
    </w:r>
    <w:r>
      <w:rPr>
        <w:rStyle w:val="13"/>
      </w:rPr>
      <w:instrText xml:space="preserve">PAGE  </w:instrText>
    </w:r>
    <w: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p>
  <w:p>
    <w:pPr>
      <w:pStyle w:val="8"/>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宋体" w:hAnsi="宋体"/>
        <w:sz w:val="21"/>
        <w:szCs w:val="21"/>
      </w:rPr>
    </w:pPr>
    <w:r>
      <w:rPr>
        <w:rFonts w:ascii="宋体" w:hAnsi="宋体"/>
        <w:sz w:val="21"/>
        <w:szCs w:val="21"/>
      </w:rPr>
      <w:fldChar w:fldCharType="begin"/>
    </w:r>
    <w:r>
      <w:rPr>
        <w:rStyle w:val="13"/>
        <w:rFonts w:ascii="宋体" w:hAnsi="宋体"/>
        <w:sz w:val="21"/>
        <w:szCs w:val="21"/>
      </w:rPr>
      <w:instrText xml:space="preserve"> PAGE </w:instrText>
    </w:r>
    <w:r>
      <w:rPr>
        <w:rFonts w:ascii="宋体" w:hAnsi="宋体"/>
        <w:sz w:val="21"/>
        <w:szCs w:val="21"/>
      </w:rPr>
      <w:fldChar w:fldCharType="separate"/>
    </w:r>
    <w:r>
      <w:rPr>
        <w:rStyle w:val="13"/>
        <w:rFonts w:ascii="宋体" w:hAnsi="宋体"/>
        <w:sz w:val="21"/>
        <w:szCs w:val="21"/>
      </w:rPr>
      <w:t>- 30 -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fldChar w:fldCharType="begin"/>
    </w:r>
    <w:r>
      <w:rPr>
        <w:rStyle w:val="13"/>
      </w:rPr>
      <w:instrText xml:space="preserve">PAGE  </w:instrText>
    </w:r>
    <w:r>
      <w:fldChar w:fldCharType="end"/>
    </w:r>
  </w:p>
  <w:p>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30A"/>
    <w:rsid w:val="00005456"/>
    <w:rsid w:val="00016940"/>
    <w:rsid w:val="00024357"/>
    <w:rsid w:val="00050434"/>
    <w:rsid w:val="00065F5E"/>
    <w:rsid w:val="00070D39"/>
    <w:rsid w:val="000758C2"/>
    <w:rsid w:val="000954B0"/>
    <w:rsid w:val="000B1C02"/>
    <w:rsid w:val="000B597E"/>
    <w:rsid w:val="000C4F2F"/>
    <w:rsid w:val="000F4D23"/>
    <w:rsid w:val="00111022"/>
    <w:rsid w:val="00113325"/>
    <w:rsid w:val="001145CD"/>
    <w:rsid w:val="00121E25"/>
    <w:rsid w:val="00122D99"/>
    <w:rsid w:val="00125013"/>
    <w:rsid w:val="00155771"/>
    <w:rsid w:val="001636E8"/>
    <w:rsid w:val="0019346F"/>
    <w:rsid w:val="001935FD"/>
    <w:rsid w:val="001A54F5"/>
    <w:rsid w:val="001C48F8"/>
    <w:rsid w:val="001D756C"/>
    <w:rsid w:val="0023047E"/>
    <w:rsid w:val="002359CF"/>
    <w:rsid w:val="002457A1"/>
    <w:rsid w:val="002874A4"/>
    <w:rsid w:val="00296F7F"/>
    <w:rsid w:val="002A1AE8"/>
    <w:rsid w:val="002B660E"/>
    <w:rsid w:val="002B7C8E"/>
    <w:rsid w:val="002C119F"/>
    <w:rsid w:val="002C3197"/>
    <w:rsid w:val="002C6600"/>
    <w:rsid w:val="002C7576"/>
    <w:rsid w:val="002C7E10"/>
    <w:rsid w:val="002D5223"/>
    <w:rsid w:val="002E7B1A"/>
    <w:rsid w:val="002F1C11"/>
    <w:rsid w:val="003214F8"/>
    <w:rsid w:val="0032366E"/>
    <w:rsid w:val="0033397D"/>
    <w:rsid w:val="0033585B"/>
    <w:rsid w:val="00346970"/>
    <w:rsid w:val="003551C9"/>
    <w:rsid w:val="003609C7"/>
    <w:rsid w:val="00371512"/>
    <w:rsid w:val="0038623A"/>
    <w:rsid w:val="003A7C25"/>
    <w:rsid w:val="003B5E9E"/>
    <w:rsid w:val="003C3382"/>
    <w:rsid w:val="003D0C09"/>
    <w:rsid w:val="003D3F49"/>
    <w:rsid w:val="003F0647"/>
    <w:rsid w:val="004112FA"/>
    <w:rsid w:val="00441FF0"/>
    <w:rsid w:val="00444ADC"/>
    <w:rsid w:val="00444B7E"/>
    <w:rsid w:val="00456380"/>
    <w:rsid w:val="004C7178"/>
    <w:rsid w:val="004F52DD"/>
    <w:rsid w:val="0051335C"/>
    <w:rsid w:val="0051437A"/>
    <w:rsid w:val="005221A7"/>
    <w:rsid w:val="00543B04"/>
    <w:rsid w:val="00545543"/>
    <w:rsid w:val="00553328"/>
    <w:rsid w:val="0056014E"/>
    <w:rsid w:val="005757ED"/>
    <w:rsid w:val="00577C74"/>
    <w:rsid w:val="00582360"/>
    <w:rsid w:val="00586BEF"/>
    <w:rsid w:val="00595A04"/>
    <w:rsid w:val="005E1B0F"/>
    <w:rsid w:val="005E49FE"/>
    <w:rsid w:val="005F70AD"/>
    <w:rsid w:val="00630964"/>
    <w:rsid w:val="00631502"/>
    <w:rsid w:val="006411C7"/>
    <w:rsid w:val="00652A4C"/>
    <w:rsid w:val="00653F1A"/>
    <w:rsid w:val="006765AE"/>
    <w:rsid w:val="006822E2"/>
    <w:rsid w:val="006A071D"/>
    <w:rsid w:val="006B1519"/>
    <w:rsid w:val="006D0D7A"/>
    <w:rsid w:val="006E442D"/>
    <w:rsid w:val="00700ED4"/>
    <w:rsid w:val="0070782D"/>
    <w:rsid w:val="00713809"/>
    <w:rsid w:val="00740FEC"/>
    <w:rsid w:val="00742C9D"/>
    <w:rsid w:val="00750B04"/>
    <w:rsid w:val="00761143"/>
    <w:rsid w:val="0077178A"/>
    <w:rsid w:val="00787782"/>
    <w:rsid w:val="007A12CD"/>
    <w:rsid w:val="007C586A"/>
    <w:rsid w:val="007E425C"/>
    <w:rsid w:val="007E50CC"/>
    <w:rsid w:val="007F285E"/>
    <w:rsid w:val="00804787"/>
    <w:rsid w:val="0081151D"/>
    <w:rsid w:val="00844F8A"/>
    <w:rsid w:val="00851063"/>
    <w:rsid w:val="008573FA"/>
    <w:rsid w:val="0086065A"/>
    <w:rsid w:val="0087360B"/>
    <w:rsid w:val="0087608B"/>
    <w:rsid w:val="008848B4"/>
    <w:rsid w:val="008A2EC1"/>
    <w:rsid w:val="008A4E21"/>
    <w:rsid w:val="008B23D3"/>
    <w:rsid w:val="008F272C"/>
    <w:rsid w:val="00924C55"/>
    <w:rsid w:val="0093447A"/>
    <w:rsid w:val="00946455"/>
    <w:rsid w:val="009576E2"/>
    <w:rsid w:val="009666ED"/>
    <w:rsid w:val="00972801"/>
    <w:rsid w:val="009941D6"/>
    <w:rsid w:val="009A1E0F"/>
    <w:rsid w:val="009A5103"/>
    <w:rsid w:val="009C2668"/>
    <w:rsid w:val="009C300E"/>
    <w:rsid w:val="009D030A"/>
    <w:rsid w:val="009E0E6C"/>
    <w:rsid w:val="009E7BFB"/>
    <w:rsid w:val="009F21A7"/>
    <w:rsid w:val="009F5ADB"/>
    <w:rsid w:val="00A02053"/>
    <w:rsid w:val="00A0643A"/>
    <w:rsid w:val="00A16B2E"/>
    <w:rsid w:val="00A347E9"/>
    <w:rsid w:val="00A716EC"/>
    <w:rsid w:val="00A9659C"/>
    <w:rsid w:val="00AA57B7"/>
    <w:rsid w:val="00AC2D4E"/>
    <w:rsid w:val="00AE59C4"/>
    <w:rsid w:val="00B062C3"/>
    <w:rsid w:val="00B56F58"/>
    <w:rsid w:val="00B65BC6"/>
    <w:rsid w:val="00B718A6"/>
    <w:rsid w:val="00B74261"/>
    <w:rsid w:val="00B82256"/>
    <w:rsid w:val="00B91B04"/>
    <w:rsid w:val="00BB1048"/>
    <w:rsid w:val="00BC0E21"/>
    <w:rsid w:val="00BC5A8F"/>
    <w:rsid w:val="00C1108E"/>
    <w:rsid w:val="00C256A6"/>
    <w:rsid w:val="00C31006"/>
    <w:rsid w:val="00C3410A"/>
    <w:rsid w:val="00C44999"/>
    <w:rsid w:val="00C46489"/>
    <w:rsid w:val="00CA02D2"/>
    <w:rsid w:val="00CB2007"/>
    <w:rsid w:val="00CB2057"/>
    <w:rsid w:val="00CF4059"/>
    <w:rsid w:val="00D536C9"/>
    <w:rsid w:val="00D5542D"/>
    <w:rsid w:val="00D559EB"/>
    <w:rsid w:val="00D5775B"/>
    <w:rsid w:val="00D7611C"/>
    <w:rsid w:val="00D8465D"/>
    <w:rsid w:val="00DD0585"/>
    <w:rsid w:val="00DD1C2B"/>
    <w:rsid w:val="00DD6770"/>
    <w:rsid w:val="00DE5A84"/>
    <w:rsid w:val="00DF6458"/>
    <w:rsid w:val="00DF69F5"/>
    <w:rsid w:val="00E318F2"/>
    <w:rsid w:val="00E31FE1"/>
    <w:rsid w:val="00E50BA0"/>
    <w:rsid w:val="00E53D11"/>
    <w:rsid w:val="00E579AC"/>
    <w:rsid w:val="00E60AF7"/>
    <w:rsid w:val="00E66997"/>
    <w:rsid w:val="00E81E94"/>
    <w:rsid w:val="00EA7A36"/>
    <w:rsid w:val="00EC1DA0"/>
    <w:rsid w:val="00ED08BE"/>
    <w:rsid w:val="00EF7CBE"/>
    <w:rsid w:val="00F004BA"/>
    <w:rsid w:val="00F105D4"/>
    <w:rsid w:val="00F12829"/>
    <w:rsid w:val="00F157DC"/>
    <w:rsid w:val="00F17FE5"/>
    <w:rsid w:val="00F3651F"/>
    <w:rsid w:val="00F52295"/>
    <w:rsid w:val="00F87525"/>
    <w:rsid w:val="00F90999"/>
    <w:rsid w:val="00FA45C8"/>
    <w:rsid w:val="00FB2705"/>
    <w:rsid w:val="00FC0821"/>
    <w:rsid w:val="00FC5AF4"/>
    <w:rsid w:val="00FD24D0"/>
    <w:rsid w:val="5ADD6FEA"/>
    <w:rsid w:val="7F3FB75B"/>
    <w:rsid w:val="E3EB8C38"/>
    <w:rsid w:val="FFFD3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0"/>
      <w:lang w:val="en-US" w:eastAsia="zh-CN" w:bidi="ar-SA"/>
    </w:rPr>
  </w:style>
  <w:style w:type="paragraph" w:styleId="2">
    <w:name w:val="heading 2"/>
    <w:basedOn w:val="1"/>
    <w:next w:val="1"/>
    <w:link w:val="16"/>
    <w:qFormat/>
    <w:uiPriority w:val="0"/>
    <w:pPr>
      <w:keepNext/>
      <w:keepLines/>
      <w:spacing w:before="260" w:after="260" w:line="413" w:lineRule="auto"/>
      <w:outlineLvl w:val="1"/>
    </w:pPr>
    <w:rPr>
      <w:rFonts w:ascii="Arial" w:hAnsi="Arial" w:eastAsia="黑体"/>
      <w:b/>
      <w:sz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7"/>
    <w:qFormat/>
    <w:uiPriority w:val="0"/>
    <w:pPr>
      <w:spacing w:line="700" w:lineRule="exact"/>
      <w:ind w:left="960"/>
    </w:pPr>
    <w:rPr>
      <w:sz w:val="44"/>
    </w:rPr>
  </w:style>
  <w:style w:type="paragraph" w:styleId="4">
    <w:name w:val="Plain Text"/>
    <w:basedOn w:val="1"/>
    <w:link w:val="18"/>
    <w:qFormat/>
    <w:uiPriority w:val="0"/>
    <w:rPr>
      <w:rFonts w:ascii="宋体" w:hAnsi="Courier New"/>
      <w:sz w:val="21"/>
    </w:rPr>
  </w:style>
  <w:style w:type="paragraph" w:styleId="5">
    <w:name w:val="Date"/>
    <w:basedOn w:val="1"/>
    <w:next w:val="1"/>
    <w:link w:val="19"/>
    <w:qFormat/>
    <w:uiPriority w:val="0"/>
  </w:style>
  <w:style w:type="paragraph" w:styleId="6">
    <w:name w:val="Body Text Indent 2"/>
    <w:basedOn w:val="1"/>
    <w:link w:val="20"/>
    <w:qFormat/>
    <w:uiPriority w:val="0"/>
    <w:pPr>
      <w:snapToGrid w:val="0"/>
      <w:spacing w:line="560" w:lineRule="atLeast"/>
      <w:ind w:firstLine="540"/>
    </w:pPr>
  </w:style>
  <w:style w:type="paragraph" w:styleId="7">
    <w:name w:val="Balloon Text"/>
    <w:basedOn w:val="1"/>
    <w:link w:val="22"/>
    <w:semiHidden/>
    <w:unhideWhenUsed/>
    <w:qFormat/>
    <w:uiPriority w:val="99"/>
    <w:rPr>
      <w:sz w:val="18"/>
      <w:szCs w:val="18"/>
    </w:rPr>
  </w:style>
  <w:style w:type="paragraph" w:styleId="8">
    <w:name w:val="footer"/>
    <w:basedOn w:val="1"/>
    <w:link w:val="15"/>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4"/>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toc 1"/>
    <w:basedOn w:val="1"/>
    <w:next w:val="1"/>
    <w:qFormat/>
    <w:uiPriority w:val="0"/>
    <w:pPr>
      <w:spacing w:line="180" w:lineRule="auto"/>
      <w:jc w:val="center"/>
    </w:pPr>
    <w:rPr>
      <w:sz w:val="30"/>
    </w:rPr>
  </w:style>
  <w:style w:type="character" w:styleId="13">
    <w:name w:val="page number"/>
    <w:qFormat/>
    <w:uiPriority w:val="0"/>
  </w:style>
  <w:style w:type="character" w:customStyle="1" w:styleId="14">
    <w:name w:val="页眉 Char"/>
    <w:basedOn w:val="12"/>
    <w:link w:val="9"/>
    <w:semiHidden/>
    <w:qFormat/>
    <w:uiPriority w:val="99"/>
    <w:rPr>
      <w:sz w:val="18"/>
      <w:szCs w:val="18"/>
    </w:rPr>
  </w:style>
  <w:style w:type="character" w:customStyle="1" w:styleId="15">
    <w:name w:val="页脚 Char"/>
    <w:basedOn w:val="12"/>
    <w:link w:val="8"/>
    <w:semiHidden/>
    <w:qFormat/>
    <w:uiPriority w:val="99"/>
    <w:rPr>
      <w:sz w:val="18"/>
      <w:szCs w:val="18"/>
    </w:rPr>
  </w:style>
  <w:style w:type="character" w:customStyle="1" w:styleId="16">
    <w:name w:val="标题 2 Char"/>
    <w:basedOn w:val="12"/>
    <w:link w:val="2"/>
    <w:qFormat/>
    <w:uiPriority w:val="0"/>
    <w:rPr>
      <w:rFonts w:ascii="Arial" w:hAnsi="Arial" w:eastAsia="黑体" w:cs="Times New Roman"/>
      <w:b/>
      <w:sz w:val="32"/>
      <w:szCs w:val="20"/>
    </w:rPr>
  </w:style>
  <w:style w:type="character" w:customStyle="1" w:styleId="17">
    <w:name w:val="正文文本缩进 Char"/>
    <w:basedOn w:val="12"/>
    <w:link w:val="3"/>
    <w:qFormat/>
    <w:uiPriority w:val="0"/>
    <w:rPr>
      <w:rFonts w:ascii="Times New Roman" w:hAnsi="Times New Roman" w:eastAsia="宋体" w:cs="Times New Roman"/>
      <w:sz w:val="44"/>
      <w:szCs w:val="20"/>
    </w:rPr>
  </w:style>
  <w:style w:type="character" w:customStyle="1" w:styleId="18">
    <w:name w:val="纯文本 Char"/>
    <w:basedOn w:val="12"/>
    <w:link w:val="4"/>
    <w:qFormat/>
    <w:uiPriority w:val="0"/>
    <w:rPr>
      <w:rFonts w:ascii="宋体" w:hAnsi="Courier New" w:eastAsia="宋体" w:cs="Times New Roman"/>
      <w:szCs w:val="20"/>
    </w:rPr>
  </w:style>
  <w:style w:type="character" w:customStyle="1" w:styleId="19">
    <w:name w:val="日期 Char"/>
    <w:basedOn w:val="12"/>
    <w:link w:val="5"/>
    <w:qFormat/>
    <w:uiPriority w:val="0"/>
    <w:rPr>
      <w:rFonts w:ascii="Times New Roman" w:hAnsi="Times New Roman" w:eastAsia="宋体" w:cs="Times New Roman"/>
      <w:sz w:val="28"/>
      <w:szCs w:val="20"/>
    </w:rPr>
  </w:style>
  <w:style w:type="character" w:customStyle="1" w:styleId="20">
    <w:name w:val="正文文本缩进 2 Char"/>
    <w:basedOn w:val="12"/>
    <w:link w:val="6"/>
    <w:qFormat/>
    <w:uiPriority w:val="0"/>
    <w:rPr>
      <w:rFonts w:ascii="Times New Roman" w:hAnsi="Times New Roman" w:eastAsia="宋体" w:cs="Times New Roman"/>
      <w:sz w:val="28"/>
      <w:szCs w:val="20"/>
    </w:rPr>
  </w:style>
  <w:style w:type="paragraph" w:customStyle="1" w:styleId="21">
    <w:name w:val="1"/>
    <w:basedOn w:val="1"/>
    <w:next w:val="4"/>
    <w:qFormat/>
    <w:uiPriority w:val="0"/>
    <w:rPr>
      <w:rFonts w:ascii="宋体" w:hAnsi="Courier New"/>
      <w:sz w:val="21"/>
    </w:rPr>
  </w:style>
  <w:style w:type="character" w:customStyle="1" w:styleId="22">
    <w:name w:val="批注框文本 Char"/>
    <w:basedOn w:val="12"/>
    <w:link w:val="7"/>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30</Pages>
  <Words>1954</Words>
  <Characters>11141</Characters>
  <Lines>92</Lines>
  <Paragraphs>26</Paragraphs>
  <TotalTime>8</TotalTime>
  <ScaleCrop>false</ScaleCrop>
  <LinksUpToDate>false</LinksUpToDate>
  <CharactersWithSpaces>13069</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2024-01-10T11:36:00Z</dcterms:created>
  <dc:creator>微软用户</dc:creator>
  <cp:lastModifiedBy>suma</cp:lastModifiedBy>
  <dcterms:modified xsi:type="dcterms:W3CDTF">2025-02-10T09:44:17Z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AE7ED7AB279206925459A96791431348</vt:lpwstr>
  </property>
</Properties>
</file>