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84"/>
          <w:szCs w:val="84"/>
        </w:rPr>
      </w:pP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重庆市合川航道管理处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限额以下比价采购公告</w:t>
      </w:r>
    </w:p>
    <w:p>
      <w:pPr>
        <w:spacing w:line="700" w:lineRule="exact"/>
        <w:jc w:val="center"/>
        <w:rPr>
          <w:rFonts w:hint="eastAsia" w:ascii="黑体" w:eastAsia="黑体"/>
          <w:sz w:val="32"/>
          <w:lang w:eastAsia="zh-CN"/>
        </w:rPr>
      </w:pPr>
      <w:r>
        <w:rPr>
          <w:rFonts w:hint="eastAsia" w:ascii="黑体" w:eastAsia="黑体"/>
          <w:sz w:val="32"/>
          <w:lang w:eastAsia="zh-CN"/>
        </w:rPr>
        <w:t>（第二次）</w:t>
      </w:r>
    </w:p>
    <w:p>
      <w:pPr>
        <w:spacing w:line="500" w:lineRule="exact"/>
        <w:ind w:left="3054" w:leftChars="512" w:hanging="1620" w:hangingChars="450"/>
        <w:jc w:val="left"/>
        <w:outlineLvl w:val="0"/>
        <w:rPr>
          <w:rFonts w:ascii="方正小标宋_GBK" w:hAnsi="宋体" w:eastAsia="方正小标宋_GBK"/>
          <w:sz w:val="36"/>
          <w:szCs w:val="36"/>
        </w:rPr>
      </w:pPr>
    </w:p>
    <w:p>
      <w:pPr>
        <w:spacing w:line="500" w:lineRule="exact"/>
        <w:ind w:left="3054" w:leftChars="512" w:hanging="1620" w:hangingChars="450"/>
        <w:jc w:val="left"/>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项目名称:</w:t>
      </w:r>
      <w:r>
        <w:rPr>
          <w:rFonts w:ascii="方正小标宋_GBK" w:hAnsi="宋体" w:eastAsia="方正小标宋_GBK"/>
          <w:sz w:val="36"/>
          <w:szCs w:val="36"/>
        </w:rPr>
        <w:t>码头场航道基地系锚泊设施及水尺优化改造</w:t>
      </w:r>
      <w:r>
        <w:rPr>
          <w:rFonts w:hint="eastAsia" w:ascii="方正小标宋_GBK" w:hAnsi="宋体" w:eastAsia="方正小标宋_GBK"/>
          <w:sz w:val="36"/>
          <w:szCs w:val="36"/>
          <w:lang w:eastAsia="zh-CN"/>
        </w:rPr>
        <w:t>服务</w:t>
      </w:r>
    </w:p>
    <w:p>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采购人：重庆市合川航道管理处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eastAsia="zh-CN"/>
        </w:rPr>
        <w:t>五</w:t>
      </w:r>
      <w:r>
        <w:rPr>
          <w:rFonts w:hint="eastAsia" w:ascii="方正小标宋_GBK" w:hAnsi="宋体" w:eastAsia="方正小标宋_GBK"/>
          <w:sz w:val="36"/>
          <w:szCs w:val="36"/>
        </w:rPr>
        <w:t>年</w:t>
      </w:r>
      <w:r>
        <w:rPr>
          <w:rFonts w:hint="eastAsia" w:ascii="方正小标宋_GBK" w:hAnsi="宋体" w:eastAsia="方正小标宋_GBK"/>
          <w:sz w:val="36"/>
          <w:szCs w:val="36"/>
          <w:lang w:eastAsia="zh-CN"/>
        </w:rPr>
        <w:t>二</w:t>
      </w:r>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12789052"/>
      <w:bookmarkStart w:id="1" w:name="_Toc65660329"/>
      <w:bookmarkStart w:id="2" w:name="_Toc24173"/>
      <w:bookmarkStart w:id="3" w:name="_Toc24817"/>
      <w:bookmarkStart w:id="4" w:name="_Toc15726"/>
      <w:bookmarkStart w:id="5" w:name="_Toc11641050"/>
      <w:bookmarkStart w:id="6" w:name="_Toc10603476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根据航道维护工作需要，重庆市合川航道管理处对码头场航道基地系锚泊设施及水尺优化改造</w:t>
      </w:r>
      <w:r>
        <w:rPr>
          <w:rFonts w:hint="eastAsia" w:ascii="方正仿宋_GBK" w:hAnsi="宋体" w:eastAsia="方正仿宋_GBK"/>
          <w:sz w:val="24"/>
          <w:szCs w:val="24"/>
          <w:lang w:eastAsia="zh-CN"/>
        </w:rPr>
        <w:t>服务</w:t>
      </w:r>
      <w:r>
        <w:rPr>
          <w:rFonts w:hint="eastAsia" w:ascii="方正仿宋_GBK" w:hAnsi="宋体" w:eastAsia="方正仿宋_GBK"/>
          <w:sz w:val="24"/>
          <w:szCs w:val="24"/>
        </w:rPr>
        <w:t>项目进行限额以下比价采购。欢迎有资格的供应商前来参加报价。</w:t>
      </w:r>
    </w:p>
    <w:p>
      <w:pPr>
        <w:pStyle w:val="2"/>
        <w:adjustRightInd w:val="0"/>
        <w:snapToGrid w:val="0"/>
        <w:spacing w:before="0" w:after="0" w:line="400" w:lineRule="exact"/>
        <w:ind w:firstLine="482" w:firstLineChars="200"/>
        <w:rPr>
          <w:rFonts w:ascii="方正仿宋_GBK" w:hAnsi="宋体" w:eastAsia="方正仿宋_GBK"/>
          <w:sz w:val="24"/>
        </w:rPr>
      </w:pPr>
      <w:bookmarkStart w:id="7" w:name="_Toc18246"/>
      <w:bookmarkStart w:id="8" w:name="_Toc65660330"/>
      <w:bookmarkStart w:id="9" w:name="_Toc7758"/>
      <w:bookmarkStart w:id="10" w:name="_Toc106034770"/>
      <w:bookmarkStart w:id="11" w:name="_Toc317775175"/>
      <w:bookmarkStart w:id="12" w:name="_Toc26091"/>
      <w:bookmarkStart w:id="13" w:name="_Toc313893526"/>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2"/>
        <w:tblW w:w="43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1277"/>
        <w:gridCol w:w="1912"/>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71"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787"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178"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64"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71" w:type="pct"/>
            <w:tcBorders>
              <w:top w:val="single" w:color="auto" w:sz="4" w:space="0"/>
              <w:left w:val="single" w:color="auto" w:sz="4" w:space="0"/>
              <w:bottom w:val="single" w:color="auto" w:sz="4" w:space="0"/>
              <w:right w:val="single" w:color="auto" w:sz="4" w:space="0"/>
            </w:tcBorders>
            <w:vAlign w:val="center"/>
          </w:tcPr>
          <w:p>
            <w:pPr>
              <w:widowControl/>
              <w:rPr>
                <w:rFonts w:ascii="方正仿宋_GBK" w:hAnsi="宋体" w:eastAsia="方正仿宋_GBK" w:cs="宋体"/>
                <w:kern w:val="0"/>
                <w:sz w:val="21"/>
                <w:szCs w:val="24"/>
              </w:rPr>
            </w:pPr>
            <w:bookmarkStart w:id="14" w:name="_Hlk344477914"/>
            <w:r>
              <w:rPr>
                <w:rFonts w:hint="eastAsia" w:ascii="方正仿宋_GBK" w:hAnsi="宋体" w:eastAsia="方正仿宋_GBK"/>
                <w:sz w:val="24"/>
                <w:szCs w:val="24"/>
              </w:rPr>
              <w:t>码头场航道基地系锚泊设施及水尺优化改造</w:t>
            </w:r>
            <w:r>
              <w:rPr>
                <w:rFonts w:hint="eastAsia" w:ascii="方正仿宋_GBK" w:hAnsi="宋体" w:eastAsia="方正仿宋_GBK"/>
                <w:sz w:val="24"/>
                <w:szCs w:val="24"/>
                <w:lang w:eastAsia="zh-CN"/>
              </w:rPr>
              <w:t>服务</w:t>
            </w:r>
          </w:p>
        </w:tc>
        <w:tc>
          <w:tcPr>
            <w:tcW w:w="787" w:type="pct"/>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 w:val="21"/>
                <w:szCs w:val="21"/>
              </w:rPr>
            </w:pPr>
            <w:r>
              <w:rPr>
                <w:rFonts w:hint="eastAsia" w:ascii="方正仿宋_GBK" w:hAnsi="宋体" w:eastAsia="方正仿宋_GBK"/>
                <w:sz w:val="21"/>
                <w:szCs w:val="21"/>
                <w:lang w:val="en-US" w:eastAsia="zh-CN"/>
              </w:rPr>
              <w:t>108137</w:t>
            </w:r>
            <w:r>
              <w:rPr>
                <w:rFonts w:hint="eastAsia" w:ascii="方正仿宋_GBK" w:hAnsi="宋体" w:eastAsia="方正仿宋_GBK"/>
                <w:sz w:val="21"/>
                <w:szCs w:val="21"/>
              </w:rPr>
              <w:t>元</w:t>
            </w:r>
            <w:r>
              <w:rPr>
                <w:rFonts w:ascii="方正仿宋_GBK" w:hAnsi="宋体" w:eastAsia="方正仿宋_GBK"/>
                <w:sz w:val="21"/>
                <w:szCs w:val="21"/>
              </w:rPr>
              <w:t xml:space="preserve"> </w:t>
            </w:r>
          </w:p>
        </w:tc>
        <w:tc>
          <w:tcPr>
            <w:tcW w:w="1178" w:type="pct"/>
            <w:tcBorders>
              <w:top w:val="single" w:color="auto" w:sz="4" w:space="0"/>
              <w:left w:val="single" w:color="auto" w:sz="4" w:space="0"/>
              <w:right w:val="single" w:color="auto" w:sz="4" w:space="0"/>
            </w:tcBorders>
            <w:vAlign w:val="center"/>
          </w:tcPr>
          <w:p>
            <w:pPr>
              <w:rPr>
                <w:rFonts w:ascii="方正仿宋_GBK" w:hAnsi="宋体" w:eastAsia="方正仿宋_GBK"/>
                <w:sz w:val="21"/>
                <w:szCs w:val="21"/>
              </w:rPr>
            </w:pPr>
            <w:r>
              <w:rPr>
                <w:rFonts w:hint="eastAsia" w:ascii="方正仿宋_GBK" w:hAnsi="宋体" w:eastAsia="方正仿宋_GBK"/>
                <w:sz w:val="21"/>
                <w:szCs w:val="21"/>
              </w:rPr>
              <w:t>1</w:t>
            </w:r>
          </w:p>
        </w:tc>
        <w:tc>
          <w:tcPr>
            <w:tcW w:w="1464" w:type="pct"/>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14"/>
    </w:tbl>
    <w:p>
      <w:pPr>
        <w:pStyle w:val="2"/>
        <w:adjustRightInd w:val="0"/>
        <w:snapToGrid w:val="0"/>
        <w:spacing w:before="0" w:after="0" w:line="400" w:lineRule="exact"/>
        <w:ind w:firstLine="482" w:firstLineChars="200"/>
        <w:rPr>
          <w:rFonts w:ascii="方正仿宋_GBK" w:hAnsi="宋体" w:eastAsia="方正仿宋_GBK"/>
          <w:sz w:val="24"/>
        </w:rPr>
      </w:pPr>
      <w:bookmarkStart w:id="15" w:name="_Toc27028"/>
      <w:bookmarkStart w:id="16" w:name="_Toc4424"/>
      <w:bookmarkStart w:id="17" w:name="_Toc106034771"/>
      <w:bookmarkStart w:id="18" w:name="_Toc65660331"/>
      <w:bookmarkStart w:id="19" w:name="_Toc3256"/>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2"/>
        <w:adjustRightInd w:val="0"/>
        <w:snapToGrid w:val="0"/>
        <w:spacing w:before="0" w:after="0" w:line="400" w:lineRule="exact"/>
        <w:ind w:firstLine="482" w:firstLineChars="200"/>
        <w:rPr>
          <w:rFonts w:ascii="方正仿宋_GBK" w:hAnsi="宋体" w:eastAsia="方正仿宋_GBK"/>
          <w:sz w:val="24"/>
        </w:rPr>
      </w:pPr>
      <w:bookmarkStart w:id="22" w:name="_Toc106034772"/>
      <w:bookmarkStart w:id="23" w:name="_Toc64731996"/>
      <w:bookmarkStart w:id="24" w:name="_Toc18548"/>
      <w:bookmarkStart w:id="25" w:name="_Toc20867"/>
      <w:bookmarkStart w:id="26" w:name="_Toc65660332"/>
      <w:bookmarkStart w:id="27" w:name="_Toc13541"/>
      <w:r>
        <w:rPr>
          <w:rFonts w:hint="eastAsia" w:ascii="方正仿宋_GBK" w:hAnsi="宋体" w:eastAsia="方正仿宋_GBK"/>
          <w:sz w:val="24"/>
        </w:rPr>
        <w:t>三、供应商资格条件</w:t>
      </w:r>
      <w:bookmarkEnd w:id="22"/>
      <w:bookmarkEnd w:id="23"/>
      <w:bookmarkEnd w:id="24"/>
      <w:bookmarkEnd w:id="25"/>
      <w:bookmarkEnd w:id="26"/>
      <w:bookmarkEnd w:id="27"/>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（二）本项目的特定资格要求：无。</w:t>
      </w:r>
    </w:p>
    <w:p>
      <w:pPr>
        <w:pStyle w:val="2"/>
        <w:adjustRightInd w:val="0"/>
        <w:snapToGrid w:val="0"/>
        <w:spacing w:before="0" w:after="0" w:line="400" w:lineRule="exact"/>
        <w:ind w:firstLine="482" w:firstLineChars="200"/>
        <w:rPr>
          <w:rFonts w:ascii="方正仿宋_GBK" w:hAnsi="宋体" w:eastAsia="方正仿宋_GBK"/>
          <w:sz w:val="24"/>
        </w:rPr>
      </w:pPr>
      <w:bookmarkStart w:id="28" w:name="_Toc65660333"/>
      <w:bookmarkStart w:id="29" w:name="_Toc13903"/>
      <w:bookmarkStart w:id="30" w:name="_Toc1386"/>
      <w:bookmarkStart w:id="31" w:name="_Toc11908"/>
      <w:bookmarkStart w:id="32" w:name="_Toc106034773"/>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（三）递交响应文件地点：重庆市合川航道管理处9楼会议室（地址：重庆市合川区合阳办马家沟路36号）</w:t>
      </w:r>
      <w:bookmarkStart w:id="241" w:name="_GoBack"/>
      <w:bookmarkEnd w:id="241"/>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14</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时</w:t>
      </w:r>
      <w:r>
        <w:rPr>
          <w:rFonts w:hint="eastAsia" w:ascii="方正仿宋_GBK" w:hAnsi="宋体" w:eastAsia="方正仿宋_GBK"/>
          <w:sz w:val="24"/>
          <w:szCs w:val="24"/>
          <w:lang w:val="en-US" w:eastAsia="zh-CN"/>
        </w:rPr>
        <w:t>30分</w:t>
      </w:r>
      <w:r>
        <w:rPr>
          <w:rFonts w:hint="eastAsia" w:ascii="方正仿宋_GBK" w:hAnsi="宋体" w:eastAsia="方正仿宋_GBK"/>
          <w:sz w:val="24"/>
          <w:szCs w:val="24"/>
        </w:rPr>
        <w:t>至</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14</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时。</w:t>
      </w:r>
    </w:p>
    <w:bookmarkEnd w:id="21"/>
    <w:p>
      <w:pPr>
        <w:pStyle w:val="2"/>
        <w:adjustRightInd w:val="0"/>
        <w:snapToGrid w:val="0"/>
        <w:spacing w:before="0" w:after="0" w:line="400" w:lineRule="exact"/>
        <w:ind w:firstLine="482" w:firstLineChars="200"/>
        <w:rPr>
          <w:rFonts w:ascii="方正仿宋_GBK" w:hAnsi="宋体" w:eastAsia="方正仿宋_GBK"/>
          <w:sz w:val="24"/>
        </w:rPr>
      </w:pPr>
      <w:bookmarkStart w:id="33" w:name="_Toc4728"/>
      <w:bookmarkStart w:id="34" w:name="_Toc16269"/>
      <w:bookmarkStart w:id="35" w:name="_Toc525047163"/>
      <w:bookmarkStart w:id="36" w:name="_Toc6563"/>
      <w:bookmarkStart w:id="37" w:name="_Toc106034776"/>
      <w:bookmarkStart w:id="38" w:name="_Toc65660336"/>
      <w:bookmarkStart w:id="39" w:name="_Toc521053055"/>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1"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40" w:name="_Toc65660337"/>
      <w:bookmarkStart w:id="41" w:name="_Toc106034777"/>
      <w:bookmarkStart w:id="42" w:name="_Toc10415"/>
      <w:bookmarkStart w:id="43" w:name="_Toc521053056"/>
      <w:bookmarkStart w:id="44" w:name="_Toc1733"/>
      <w:bookmarkStart w:id="45" w:name="_Toc1552"/>
      <w:bookmarkStart w:id="46" w:name="_Toc525047164"/>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采购人：重庆市合川航道管理处</w:t>
      </w:r>
    </w:p>
    <w:p>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联系人：</w:t>
      </w:r>
      <w:r>
        <w:rPr>
          <w:rFonts w:hint="eastAsia" w:ascii="方正仿宋_GBK" w:hAnsi="宋体" w:eastAsia="方正仿宋_GBK"/>
          <w:sz w:val="24"/>
          <w:szCs w:val="24"/>
          <w:lang w:eastAsia="zh-CN"/>
        </w:rPr>
        <w:t>曹老师</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w:t>
      </w:r>
      <w:r>
        <w:rPr>
          <w:rFonts w:hint="eastAsia" w:ascii="方正仿宋_GBK" w:hAnsi="宋体" w:eastAsia="方正仿宋_GBK"/>
          <w:sz w:val="24"/>
          <w:szCs w:val="24"/>
          <w:lang w:val="en-US" w:eastAsia="zh-CN"/>
        </w:rPr>
        <w:t>12868093</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址：重庆市合川区合阳办马家沟路36号</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292"/>
      <w:bookmarkStart w:id="48" w:name="_Toc14516"/>
      <w:bookmarkStart w:id="49" w:name="_Toc11327"/>
      <w:bookmarkStart w:id="50" w:name="_Toc106034778"/>
      <w:bookmarkStart w:id="51" w:name="_Toc6566033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2"/>
        <w:adjustRightInd w:val="0"/>
        <w:snapToGrid w:val="0"/>
        <w:spacing w:before="0" w:after="0" w:line="400" w:lineRule="exact"/>
        <w:ind w:firstLine="482"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p>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码头场航道基地于</w:t>
      </w:r>
      <w:r>
        <w:rPr>
          <w:rFonts w:hint="eastAsia" w:ascii="方正仿宋_GBK" w:hAnsi="宋体" w:eastAsia="方正仿宋_GBK"/>
          <w:sz w:val="24"/>
          <w:szCs w:val="24"/>
          <w:lang w:val="en-US" w:eastAsia="zh-CN"/>
        </w:rPr>
        <w:t>2024年5</w:t>
      </w:r>
      <w:r>
        <w:rPr>
          <w:rFonts w:hint="eastAsia" w:ascii="方正仿宋_GBK" w:hAnsi="宋体" w:eastAsia="方正仿宋_GBK"/>
          <w:sz w:val="24"/>
          <w:szCs w:val="24"/>
        </w:rPr>
        <w:t>月投入使用，</w:t>
      </w:r>
      <w:r>
        <w:rPr>
          <w:rFonts w:hint="eastAsia" w:ascii="方正仿宋_GBK" w:hAnsi="宋体" w:eastAsia="方正仿宋_GBK"/>
          <w:sz w:val="24"/>
          <w:szCs w:val="24"/>
          <w:lang w:eastAsia="zh-CN"/>
        </w:rPr>
        <w:t>经历</w:t>
      </w:r>
      <w:r>
        <w:rPr>
          <w:rFonts w:hint="eastAsia" w:ascii="方正仿宋_GBK" w:hAnsi="宋体" w:eastAsia="方正仿宋_GBK"/>
          <w:sz w:val="24"/>
          <w:szCs w:val="24"/>
          <w:lang w:val="en-US" w:eastAsia="zh-CN"/>
        </w:rPr>
        <w:t>2024年</w:t>
      </w:r>
      <w:r>
        <w:rPr>
          <w:rFonts w:hint="eastAsia" w:ascii="方正仿宋_GBK" w:hAnsi="宋体" w:eastAsia="方正仿宋_GBK"/>
          <w:sz w:val="24"/>
          <w:szCs w:val="24"/>
          <w:lang w:eastAsia="zh-CN"/>
        </w:rPr>
        <w:t>汛期后发现：主要存在基地水尺读数不准确、中水位对口地牛设置不合理、无高洪水位对口对牛等问题，为</w:t>
      </w:r>
      <w:r>
        <w:rPr>
          <w:rFonts w:hint="eastAsia" w:ascii="方正仿宋_GBK" w:hAnsi="宋体" w:eastAsia="方正仿宋_GBK"/>
          <w:sz w:val="24"/>
          <w:szCs w:val="24"/>
        </w:rPr>
        <w:t>保障码头场航道基地</w:t>
      </w:r>
      <w:r>
        <w:rPr>
          <w:rFonts w:hint="eastAsia" w:ascii="方正仿宋_GBK" w:hAnsi="宋体" w:eastAsia="方正仿宋_GBK"/>
          <w:sz w:val="24"/>
          <w:szCs w:val="24"/>
          <w:lang w:eastAsia="zh-CN"/>
        </w:rPr>
        <w:t>防汛安全</w:t>
      </w:r>
      <w:r>
        <w:rPr>
          <w:rFonts w:hint="eastAsia" w:ascii="方正仿宋_GBK" w:hAnsi="宋体" w:eastAsia="方正仿宋_GBK"/>
          <w:sz w:val="24"/>
          <w:szCs w:val="24"/>
        </w:rPr>
        <w:t>，</w:t>
      </w:r>
      <w:r>
        <w:rPr>
          <w:rFonts w:hint="eastAsia" w:ascii="方正仿宋_GBK" w:hAnsi="宋体" w:eastAsia="方正仿宋_GBK"/>
          <w:sz w:val="24"/>
          <w:szCs w:val="24"/>
          <w:lang w:eastAsia="zh-CN"/>
        </w:rPr>
        <w:t>现对</w:t>
      </w:r>
      <w:r>
        <w:rPr>
          <w:rFonts w:hint="eastAsia" w:ascii="方正仿宋_GBK" w:hAnsi="宋体" w:eastAsia="方正仿宋_GBK"/>
          <w:sz w:val="24"/>
          <w:szCs w:val="24"/>
        </w:rPr>
        <w:t>码头场航道基地系锚泊设施及水尺</w:t>
      </w:r>
      <w:r>
        <w:rPr>
          <w:rFonts w:hint="eastAsia" w:ascii="方正仿宋_GBK" w:hAnsi="宋体" w:eastAsia="方正仿宋_GBK"/>
          <w:sz w:val="24"/>
          <w:szCs w:val="24"/>
          <w:lang w:eastAsia="zh-CN"/>
        </w:rPr>
        <w:t>进行</w:t>
      </w:r>
      <w:r>
        <w:rPr>
          <w:rFonts w:hint="eastAsia" w:ascii="方正仿宋_GBK" w:hAnsi="宋体" w:eastAsia="方正仿宋_GBK"/>
          <w:sz w:val="24"/>
          <w:szCs w:val="24"/>
        </w:rPr>
        <w:t>优化改造</w:t>
      </w:r>
      <w:r>
        <w:rPr>
          <w:rFonts w:hint="eastAsia" w:ascii="方正仿宋_GBK" w:hAnsi="宋体" w:eastAsia="方正仿宋_GBK"/>
          <w:sz w:val="24"/>
          <w:szCs w:val="24"/>
          <w:lang w:eastAsia="zh-CN"/>
        </w:rPr>
        <w:t>。</w:t>
      </w:r>
    </w:p>
    <w:p>
      <w:pPr>
        <w:pStyle w:val="2"/>
        <w:adjustRightInd w:val="0"/>
        <w:snapToGrid w:val="0"/>
        <w:spacing w:before="0" w:after="0" w:line="400" w:lineRule="exact"/>
        <w:ind w:firstLine="482"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（一）服务范围、要求及标准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1.服务范围：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新建部分</w:t>
      </w:r>
      <w:r>
        <w:rPr>
          <w:rFonts w:hint="eastAsia" w:ascii="方正仿宋_GBK" w:hAnsi="宋体" w:eastAsia="方正仿宋_GBK"/>
          <w:sz w:val="24"/>
          <w:szCs w:val="24"/>
        </w:rPr>
        <w:t>码头场航道基地系锚泊设施</w:t>
      </w:r>
      <w:r>
        <w:rPr>
          <w:rFonts w:hint="eastAsia" w:ascii="方正仿宋_GBK" w:hAnsi="宋体" w:eastAsia="方正仿宋_GBK"/>
          <w:sz w:val="24"/>
          <w:szCs w:val="24"/>
          <w:lang w:eastAsia="zh-CN"/>
        </w:rPr>
        <w:t>，对原</w:t>
      </w:r>
      <w:r>
        <w:rPr>
          <w:rFonts w:hint="eastAsia" w:ascii="方正仿宋_GBK" w:hAnsi="宋体" w:eastAsia="方正仿宋_GBK"/>
          <w:sz w:val="24"/>
          <w:szCs w:val="24"/>
        </w:rPr>
        <w:t>水尺</w:t>
      </w:r>
      <w:r>
        <w:rPr>
          <w:rFonts w:hint="eastAsia" w:ascii="方正仿宋_GBK" w:hAnsi="宋体" w:eastAsia="方正仿宋_GBK"/>
          <w:sz w:val="24"/>
          <w:szCs w:val="24"/>
          <w:lang w:eastAsia="zh-CN"/>
        </w:rPr>
        <w:t>进行</w:t>
      </w:r>
      <w:r>
        <w:rPr>
          <w:rFonts w:hint="eastAsia" w:ascii="方正仿宋_GBK" w:hAnsi="宋体" w:eastAsia="方正仿宋_GBK"/>
          <w:sz w:val="24"/>
          <w:szCs w:val="24"/>
        </w:rPr>
        <w:t>优化改造</w:t>
      </w:r>
      <w:r>
        <w:rPr>
          <w:rFonts w:hint="eastAsia" w:ascii="方正仿宋_GBK" w:hAnsi="宋体" w:eastAsia="方正仿宋_GBK"/>
          <w:sz w:val="24"/>
          <w:szCs w:val="24"/>
          <w:lang w:eastAsia="zh-CN"/>
        </w:rPr>
        <w:t>（详见设计图纸）</w:t>
      </w:r>
      <w:r>
        <w:rPr>
          <w:rFonts w:hint="eastAsia" w:ascii="方正仿宋_GBK" w:hAnsi="宋体" w:eastAsia="方正仿宋_GBK"/>
          <w:sz w:val="24"/>
          <w:szCs w:val="24"/>
        </w:rPr>
        <w:t>。</w:t>
      </w:r>
      <w:r>
        <w:rPr>
          <w:rFonts w:ascii="方正仿宋_GBK" w:hAnsi="宋体" w:eastAsia="方正仿宋_GBK"/>
          <w:sz w:val="24"/>
          <w:szCs w:val="24"/>
        </w:rPr>
        <w:t xml:space="preserve"> </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2.服务要求：</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 一般要求：施工应严格按行业标准和规范进行施工，测量放线、材料质量、基础开挖、地基处理和填料压实等均应符合相应规范规定和要求。施工前应对施工范围的地形和测量控制网点进行复核，对控制点进行加固并保持到竣工验收。施工单位进场施工前，应先清除种植土腐殖土，并作好施工期间的临时排水措施，合理安排排水线路。施工前，应建好临时排水设施和施工材料堆放场地。施工过程中应加强质量意识，搞好质量管理，严格按程序办事。施工时，应注意边坡的施工，由上自下小心开挖，以保证自然边坡的美观性，如造成破坏，应采取相应措施进行恢复处理。施工前，应调查和核准施工区域内现有地下、地上管线的位置、埋深、使用情况等，严禁盲目开挖，以免损坏地下管线。施工单位应做好文明施工，确保施工及过往车辆、人员的安全，并做好施工组织设计，报业主批准。施工中应严格按建设方指定的地方作为弃渣场和取土坑，并作好临时支挡、夯实等工作，以免造成危害和破坏环境。一切隐蔽工程应及时通知有关单位作好阶段验收工作，未经验交，不得进行下一道工序的施工。场地紧邻</w:t>
      </w:r>
      <w:r>
        <w:rPr>
          <w:rFonts w:hint="eastAsia" w:ascii="方正仿宋_GBK" w:hAnsi="宋体" w:eastAsia="方正仿宋_GBK"/>
          <w:sz w:val="24"/>
          <w:szCs w:val="24"/>
          <w:lang w:val="en-US" w:eastAsia="zh-CN"/>
        </w:rPr>
        <w:t>渠江</w:t>
      </w:r>
      <w:r>
        <w:rPr>
          <w:rFonts w:hint="eastAsia" w:ascii="方正仿宋_GBK" w:hAnsi="宋体" w:eastAsia="方正仿宋_GBK"/>
          <w:sz w:val="24"/>
          <w:szCs w:val="24"/>
        </w:rPr>
        <w:t>，为减少江水对</w:t>
      </w:r>
      <w:r>
        <w:rPr>
          <w:rFonts w:hint="eastAsia" w:ascii="方正仿宋_GBK" w:hAnsi="宋体" w:eastAsia="方正仿宋_GBK"/>
          <w:sz w:val="24"/>
          <w:szCs w:val="24"/>
          <w:lang w:val="en-US" w:eastAsia="zh-CN"/>
        </w:rPr>
        <w:t>构筑</w:t>
      </w:r>
      <w:r>
        <w:rPr>
          <w:rFonts w:hint="eastAsia" w:ascii="方正仿宋_GBK" w:hAnsi="宋体" w:eastAsia="方正仿宋_GBK"/>
          <w:sz w:val="24"/>
          <w:szCs w:val="24"/>
        </w:rPr>
        <w:t>物施工的影响，建议尽可能非雨季施工并做好岸坡防护措施。</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开挖与回填</w:t>
      </w:r>
      <w:r>
        <w:rPr>
          <w:rFonts w:hint="eastAsia" w:ascii="方正仿宋_GBK" w:hAnsi="宋体" w:eastAsia="方正仿宋_GBK"/>
          <w:sz w:val="24"/>
          <w:szCs w:val="24"/>
        </w:rPr>
        <w:t>：本</w:t>
      </w:r>
      <w:r>
        <w:rPr>
          <w:rFonts w:hint="eastAsia" w:ascii="方正仿宋_GBK" w:hAnsi="宋体" w:eastAsia="方正仿宋_GBK"/>
          <w:sz w:val="24"/>
          <w:szCs w:val="24"/>
          <w:lang w:eastAsia="zh-CN"/>
        </w:rPr>
        <w:t>项目</w:t>
      </w:r>
      <w:r>
        <w:rPr>
          <w:rFonts w:hint="eastAsia" w:ascii="方正仿宋_GBK" w:hAnsi="宋体" w:eastAsia="方正仿宋_GBK"/>
          <w:sz w:val="24"/>
          <w:szCs w:val="24"/>
        </w:rPr>
        <w:t>土石方工程主要为地牛开挖基槽。开挖时，原则上应根据施工作业需要的场地进行，开挖坡度可根据实际情况按1:0.75～1:1.5的坡度进行。基槽开挖、级配块石填筑、夯实、整平施工等均按有关规定进行，场地范围内原岸坡的淤泥、淤沙、细沙层必须全部清除。进行土石方回填时，回填料应满足设计要求，其内摩擦角应不小于32°，分层密实，分层厚度0.3m，压实度≥93%（重型标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系锚设施</w:t>
      </w:r>
      <w:r>
        <w:rPr>
          <w:rFonts w:hint="eastAsia" w:ascii="方正仿宋_GBK" w:hAnsi="宋体" w:eastAsia="方正仿宋_GBK"/>
          <w:sz w:val="24"/>
          <w:szCs w:val="24"/>
        </w:rPr>
        <w:t>：锚碇采用混凝土，施工参照交通部标准《码头结构设计规范》（JTS 167-2018）有关规定执行，填筑后压实。锚碇采用C25砼。锚链均采用有档铸钢锚链，其质量要求应满足现行国家标准《铸钢锚链GB550》有关规定。施工时应保证锚链在锚碇混凝土中伸直，必要时应设支架。原河滩或岸坡上的锚碇浇筑后基坑应回填压实。锚碇的具体位置和高程由现场确定。</w:t>
      </w:r>
    </w:p>
    <w:p>
      <w:pPr>
        <w:snapToGrid w:val="0"/>
        <w:spacing w:line="400" w:lineRule="exact"/>
        <w:ind w:firstLine="480" w:firstLineChars="200"/>
        <w:rPr>
          <w:rFonts w:ascii="方正仿宋_GBK" w:hAnsi="宋体" w:eastAsia="方正仿宋_GBK"/>
          <w:color w:val="FF0000"/>
          <w:sz w:val="24"/>
          <w:szCs w:val="24"/>
        </w:rPr>
      </w:pP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）供应商应建立健全安全保证体系，制作安装工作中应遵守《安全生产法》及其它安全法规，并对项目实施过程中的安全生产工作负责。</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）针对性的制定相应的环境保护措施，严格控制三废“废气、废水、废渣”的排放，减少对生态环境的不利影响。</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3.服务标准：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（1）按项目技术资料实施。</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（2）《水运工程质量检验标准》（JTS257-2008），按国家有关法律法规及规范规定执行。</w:t>
      </w:r>
    </w:p>
    <w:p>
      <w:pPr>
        <w:pStyle w:val="2"/>
        <w:adjustRightInd w:val="0"/>
        <w:snapToGrid w:val="0"/>
        <w:spacing w:before="0" w:after="0" w:line="400" w:lineRule="exact"/>
        <w:ind w:firstLine="482" w:firstLineChars="200"/>
        <w:rPr>
          <w:rFonts w:ascii="方正仿宋_GBK" w:hAnsi="宋体" w:eastAsia="方正仿宋_GBK"/>
          <w:sz w:val="24"/>
        </w:rPr>
      </w:pPr>
      <w:bookmarkStart w:id="55" w:name="_Toc344475116"/>
      <w:bookmarkStart w:id="56" w:name="_Toc313536013"/>
      <w:bookmarkStart w:id="57" w:name="_Toc76462326"/>
      <w:bookmarkStart w:id="58" w:name="_Toc106030881"/>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adjustRightInd w:val="0"/>
        <w:snapToGrid w:val="0"/>
        <w:spacing w:line="400" w:lineRule="exact"/>
        <w:ind w:firstLine="480" w:firstLineChars="200"/>
        <w:jc w:val="left"/>
        <w:rPr>
          <w:rFonts w:hint="eastAsia" w:ascii="方正仿宋_GBK" w:hAnsi="宋体" w:eastAsia="方正仿宋_GBK"/>
          <w:sz w:val="24"/>
          <w:szCs w:val="24"/>
          <w:lang w:eastAsia="zh-CN"/>
        </w:rPr>
      </w:pPr>
      <w:bookmarkStart w:id="59" w:name="_Toc480558624"/>
      <w:r>
        <w:rPr>
          <w:rFonts w:hint="eastAsia" w:ascii="方正仿宋_GBK" w:hAnsi="宋体" w:eastAsia="方正仿宋_GBK"/>
          <w:sz w:val="24"/>
          <w:szCs w:val="24"/>
        </w:rPr>
        <w:t>1.质量要求：</w:t>
      </w:r>
      <w:r>
        <w:rPr>
          <w:rFonts w:hint="eastAsia" w:ascii="方正仿宋_GBK" w:hAnsi="宋体" w:eastAsia="方正仿宋_GBK"/>
          <w:sz w:val="24"/>
          <w:szCs w:val="24"/>
          <w:lang w:eastAsia="zh-CN"/>
        </w:rPr>
        <w:t>满足采购人及设计要求，满足</w:t>
      </w:r>
      <w:r>
        <w:rPr>
          <w:rFonts w:hint="eastAsia" w:ascii="方正仿宋_GBK" w:hAnsi="宋体" w:eastAsia="方正仿宋_GBK"/>
          <w:sz w:val="24"/>
          <w:szCs w:val="24"/>
        </w:rPr>
        <w:t>《水运工程质量检验标准》（JTS257-2008）</w:t>
      </w:r>
      <w:r>
        <w:rPr>
          <w:rFonts w:hint="eastAsia" w:ascii="方正仿宋_GBK" w:hAnsi="宋体" w:eastAsia="方正仿宋_GBK"/>
          <w:sz w:val="24"/>
          <w:szCs w:val="24"/>
          <w:lang w:eastAsia="zh-CN"/>
        </w:rPr>
        <w:t>要求。</w:t>
      </w:r>
    </w:p>
    <w:p>
      <w:pPr>
        <w:adjustRightInd w:val="0"/>
        <w:snapToGrid w:val="0"/>
        <w:spacing w:line="400" w:lineRule="exact"/>
        <w:ind w:firstLine="480" w:firstLineChars="200"/>
        <w:jc w:val="left"/>
        <w:rPr>
          <w:rFonts w:ascii="方正仿宋_GBK" w:hAnsi="宋体" w:eastAsia="方正仿宋_GBK"/>
          <w:color w:val="FF0000"/>
          <w:sz w:val="24"/>
          <w:szCs w:val="24"/>
        </w:rPr>
      </w:pPr>
      <w:r>
        <w:rPr>
          <w:rFonts w:hint="eastAsia" w:ascii="方正仿宋_GBK" w:hAnsi="宋体" w:eastAsia="方正仿宋_GBK"/>
          <w:sz w:val="24"/>
          <w:szCs w:val="24"/>
        </w:rPr>
        <w:t>2.质量保修期：</w:t>
      </w:r>
      <w:r>
        <w:rPr>
          <w:rFonts w:hint="eastAsia" w:ascii="方正仿宋_GBK" w:hAnsi="宋体" w:eastAsia="方正仿宋_GBK"/>
          <w:color w:val="000000" w:themeColor="text1"/>
          <w:sz w:val="24"/>
          <w:szCs w:val="24"/>
          <w14:textFill>
            <w14:solidFill>
              <w14:schemeClr w14:val="tx1"/>
            </w14:solidFill>
          </w14:textFill>
        </w:rPr>
        <w:t>1年</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四、服务项目清单</w:t>
      </w:r>
    </w:p>
    <w:tbl>
      <w:tblPr>
        <w:tblStyle w:val="12"/>
        <w:tblpPr w:leftFromText="180" w:rightFromText="180" w:vertAnchor="text" w:horzAnchor="page" w:tblpX="1725" w:tblpY="460"/>
        <w:tblOverlap w:val="never"/>
        <w:tblW w:w="8588" w:type="dxa"/>
        <w:tblInd w:w="0" w:type="dxa"/>
        <w:tblLayout w:type="fixed"/>
        <w:tblCellMar>
          <w:top w:w="0" w:type="dxa"/>
          <w:left w:w="108" w:type="dxa"/>
          <w:bottom w:w="0" w:type="dxa"/>
          <w:right w:w="108" w:type="dxa"/>
        </w:tblCellMar>
      </w:tblPr>
      <w:tblGrid>
        <w:gridCol w:w="828"/>
        <w:gridCol w:w="4485"/>
        <w:gridCol w:w="1605"/>
        <w:gridCol w:w="1670"/>
      </w:tblGrid>
      <w:tr>
        <w:tblPrEx>
          <w:tblCellMar>
            <w:top w:w="0" w:type="dxa"/>
            <w:left w:w="108" w:type="dxa"/>
            <w:bottom w:w="0" w:type="dxa"/>
            <w:right w:w="108" w:type="dxa"/>
          </w:tblCellMar>
        </w:tblPrEx>
        <w:trPr>
          <w:trHeight w:val="400" w:hRule="atLeast"/>
        </w:trPr>
        <w:tc>
          <w:tcPr>
            <w:tcW w:w="8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序号</w:t>
            </w:r>
          </w:p>
        </w:tc>
        <w:tc>
          <w:tcPr>
            <w:tcW w:w="4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分部分项工程名称</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单位</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工程数量</w:t>
            </w:r>
          </w:p>
        </w:tc>
      </w:tr>
      <w:tr>
        <w:tblPrEx>
          <w:tblCellMar>
            <w:top w:w="0" w:type="dxa"/>
            <w:left w:w="108" w:type="dxa"/>
            <w:bottom w:w="0" w:type="dxa"/>
            <w:right w:w="108" w:type="dxa"/>
          </w:tblCellMar>
        </w:tblPrEx>
        <w:trPr>
          <w:trHeight w:val="40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p>
        </w:tc>
        <w:tc>
          <w:tcPr>
            <w:tcW w:w="4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p>
        </w:tc>
      </w:tr>
      <w:tr>
        <w:tblPrEx>
          <w:tblCellMar>
            <w:top w:w="0" w:type="dxa"/>
            <w:left w:w="108" w:type="dxa"/>
            <w:bottom w:w="0" w:type="dxa"/>
            <w:right w:w="108" w:type="dxa"/>
          </w:tblCellMar>
        </w:tblPrEx>
        <w:trPr>
          <w:trHeight w:val="59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系锚泊设施建设</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w:t>
            </w:r>
          </w:p>
        </w:tc>
      </w:tr>
      <w:tr>
        <w:tblPrEx>
          <w:tblCellMar>
            <w:top w:w="0" w:type="dxa"/>
            <w:left w:w="108" w:type="dxa"/>
            <w:bottom w:w="0" w:type="dxa"/>
            <w:right w:w="108" w:type="dxa"/>
          </w:tblCellMar>
        </w:tblPrEx>
        <w:trPr>
          <w:trHeight w:val="59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eastAsia="zh-CN"/>
              </w:rPr>
            </w:pPr>
            <w:r>
              <w:rPr>
                <w:rFonts w:hint="eastAsia" w:ascii="方正仿宋_GBK" w:hAnsi="宋体" w:eastAsia="方正仿宋_GBK"/>
                <w:sz w:val="24"/>
                <w:szCs w:val="24"/>
              </w:rPr>
              <w:t>航行水尺</w:t>
            </w:r>
            <w:r>
              <w:rPr>
                <w:rFonts w:hint="eastAsia" w:ascii="方正仿宋_GBK" w:hAnsi="宋体" w:eastAsia="方正仿宋_GBK"/>
                <w:sz w:val="24"/>
                <w:szCs w:val="24"/>
                <w:lang w:eastAsia="zh-CN"/>
              </w:rPr>
              <w:t>改造</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w:t>
            </w:r>
          </w:p>
        </w:tc>
      </w:tr>
    </w:tbl>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bookmarkEnd w:id="59"/>
    <w:p>
      <w:pPr>
        <w:pStyle w:val="2"/>
        <w:spacing w:before="0" w:after="0" w:line="360" w:lineRule="auto"/>
        <w:jc w:val="center"/>
        <w:rPr>
          <w:rFonts w:ascii="方正小标宋_GBK" w:eastAsia="方正小标宋_GBK"/>
          <w:b w:val="0"/>
          <w:sz w:val="36"/>
          <w:szCs w:val="30"/>
        </w:rPr>
      </w:pPr>
      <w:bookmarkStart w:id="60" w:name="_Toc523"/>
      <w:bookmarkStart w:id="61" w:name="_Toc15492"/>
      <w:bookmarkStart w:id="62" w:name="_Toc13356"/>
      <w:bookmarkStart w:id="63" w:name="_Toc65660341"/>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2" w:firstLineChars="200"/>
        <w:rPr>
          <w:rFonts w:ascii="方正仿宋_GBK" w:hAnsi="宋体" w:eastAsia="方正仿宋_GBK"/>
          <w:sz w:val="24"/>
        </w:rPr>
      </w:pPr>
      <w:bookmarkStart w:id="65" w:name="_Toc17750"/>
      <w:bookmarkStart w:id="66" w:name="_Toc12935"/>
      <w:bookmarkStart w:id="67" w:name="_Toc65660342"/>
      <w:bookmarkStart w:id="68" w:name="_Toc13555"/>
      <w:bookmarkStart w:id="69" w:name="_Toc106034782"/>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（一）服务期：合同签订之日起40日历日。</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w:t>
      </w:r>
      <w:r>
        <w:rPr>
          <w:rFonts w:hint="eastAsia" w:ascii="方正仿宋_GBK" w:hAnsi="宋体" w:eastAsia="方正仿宋_GBK"/>
          <w:sz w:val="24"/>
          <w:szCs w:val="24"/>
          <w:lang w:eastAsia="zh-CN"/>
        </w:rPr>
        <w:t>码头场航道基地</w:t>
      </w:r>
      <w:r>
        <w:rPr>
          <w:rFonts w:hint="eastAsia" w:ascii="方正仿宋_GBK" w:hAnsi="宋体" w:eastAsia="方正仿宋_GBK"/>
          <w:sz w:val="24"/>
          <w:szCs w:val="24"/>
        </w:rPr>
        <w:t>。</w:t>
      </w:r>
    </w:p>
    <w:p>
      <w:pPr>
        <w:spacing w:beforeLines="50"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（三）验收方式：按项目服务要求、施工设计图、相关标准规范验收。</w:t>
      </w:r>
    </w:p>
    <w:p>
      <w:pPr>
        <w:pStyle w:val="2"/>
        <w:adjustRightInd w:val="0"/>
        <w:snapToGrid w:val="0"/>
        <w:spacing w:before="0" w:after="0" w:line="400" w:lineRule="exact"/>
        <w:ind w:firstLine="482" w:firstLineChars="200"/>
        <w:rPr>
          <w:rFonts w:ascii="方正仿宋_GBK" w:hAnsi="宋体" w:eastAsia="方正仿宋_GBK"/>
          <w:sz w:val="24"/>
        </w:rPr>
      </w:pPr>
      <w:bookmarkStart w:id="71" w:name="_Toc1838"/>
      <w:bookmarkStart w:id="72" w:name="_Toc106034783"/>
      <w:bookmarkStart w:id="73" w:name="_Toc65660343"/>
      <w:bookmarkStart w:id="74" w:name="_Toc8103"/>
      <w:bookmarkStart w:id="75" w:name="_Toc24110"/>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w:t>
      </w:r>
      <w:r>
        <w:rPr>
          <w:rFonts w:hint="eastAsia" w:ascii="方正仿宋_GBK" w:hAnsi="宋体" w:eastAsia="方正仿宋_GBK"/>
          <w:color w:val="000000" w:themeColor="text1"/>
          <w:sz w:val="24"/>
          <w:szCs w:val="24"/>
          <w14:textFill>
            <w14:solidFill>
              <w14:schemeClr w14:val="tx1"/>
            </w14:solidFill>
          </w14:textFill>
        </w:rPr>
        <w:t>1年</w:t>
      </w:r>
    </w:p>
    <w:p>
      <w:pPr>
        <w:pStyle w:val="2"/>
        <w:adjustRightInd w:val="0"/>
        <w:snapToGrid w:val="0"/>
        <w:spacing w:before="0" w:after="0" w:line="400" w:lineRule="exact"/>
        <w:ind w:firstLine="482" w:firstLineChars="200"/>
        <w:rPr>
          <w:rFonts w:ascii="方正仿宋_GBK" w:hAnsi="宋体" w:eastAsia="方正仿宋_GBK"/>
          <w:sz w:val="24"/>
        </w:rPr>
      </w:pPr>
      <w:bookmarkStart w:id="76" w:name="_Toc122"/>
      <w:bookmarkStart w:id="77" w:name="_Toc12184"/>
      <w:bookmarkStart w:id="78" w:name="_Toc106034784"/>
      <w:bookmarkStart w:id="79" w:name="_Toc16974"/>
      <w:bookmarkStart w:id="80" w:name="_Toc6566034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本项目采取固定总价的报价方式，报价须为人民币报价，包括完成本项目所需的人工费、材料费、运输费、安全环保费用以及各种应纳的税费</w:t>
      </w:r>
      <w:r>
        <w:rPr>
          <w:rFonts w:ascii="方正仿宋_GBK" w:hAnsi="宋体" w:eastAsia="方正仿宋_GBK"/>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2" w:firstLineChars="200"/>
        <w:rPr>
          <w:rFonts w:ascii="方正仿宋_GBK" w:hAnsi="宋体" w:eastAsia="方正仿宋_GBK"/>
          <w:sz w:val="24"/>
          <w:szCs w:val="24"/>
        </w:rPr>
      </w:pPr>
      <w:bookmarkStart w:id="81" w:name="_Toc9192"/>
      <w:bookmarkStart w:id="82" w:name="_Toc11000"/>
      <w:bookmarkStart w:id="83" w:name="_Toc106034785"/>
      <w:bookmarkStart w:id="84" w:name="_Toc7562"/>
      <w:bookmarkStart w:id="85" w:name="_Toc65660345"/>
      <w:r>
        <w:rPr>
          <w:rFonts w:hint="eastAsia" w:ascii="方正仿宋_GBK" w:hAnsi="宋体" w:eastAsia="方正仿宋_GBK"/>
          <w:sz w:val="24"/>
          <w:szCs w:val="24"/>
        </w:rPr>
        <w:t>四、付款方式</w:t>
      </w:r>
      <w:bookmarkEnd w:id="81"/>
      <w:bookmarkEnd w:id="82"/>
      <w:bookmarkEnd w:id="83"/>
      <w:bookmarkEnd w:id="84"/>
      <w:bookmarkEnd w:id="85"/>
    </w:p>
    <w:p>
      <w:pPr>
        <w:adjustRightInd w:val="0"/>
        <w:snapToGrid w:val="0"/>
        <w:spacing w:line="400" w:lineRule="exact"/>
        <w:ind w:firstLine="480" w:firstLineChars="200"/>
        <w:jc w:val="left"/>
        <w:rPr>
          <w:rFonts w:ascii="方正仿宋_GBK" w:hAnsi="宋体" w:eastAsia="方正仿宋_GBK"/>
          <w:sz w:val="24"/>
          <w:szCs w:val="24"/>
        </w:rPr>
      </w:pPr>
      <w:bookmarkStart w:id="86" w:name="OLE_LINK3"/>
      <w:bookmarkStart w:id="87" w:name="OLE_LINK4"/>
      <w:r>
        <w:rPr>
          <w:rFonts w:hint="eastAsia" w:ascii="方正仿宋_GBK" w:hAnsi="宋体" w:eastAsia="方正仿宋_GBK"/>
          <w:sz w:val="24"/>
          <w:szCs w:val="24"/>
        </w:rPr>
        <w:t>项目验收合格后供应商开具相应金额发票，采购人凭发票一次性支付全部合同款。</w:t>
      </w:r>
    </w:p>
    <w:bookmarkEnd w:id="86"/>
    <w:bookmarkEnd w:id="87"/>
    <w:p>
      <w:pPr>
        <w:pStyle w:val="2"/>
        <w:adjustRightInd w:val="0"/>
        <w:snapToGrid w:val="0"/>
        <w:spacing w:before="0" w:after="0" w:line="400" w:lineRule="exact"/>
        <w:ind w:firstLine="482" w:firstLineChars="200"/>
        <w:rPr>
          <w:rFonts w:ascii="方正仿宋_GBK" w:hAnsi="宋体" w:eastAsia="方正仿宋_GBK"/>
          <w:sz w:val="24"/>
        </w:rPr>
      </w:pPr>
      <w:bookmarkStart w:id="88" w:name="_Toc65660346"/>
      <w:bookmarkStart w:id="89" w:name="_Toc24751"/>
      <w:bookmarkStart w:id="90" w:name="_Toc3786"/>
      <w:bookmarkStart w:id="91" w:name="_Toc7228"/>
      <w:bookmarkStart w:id="92" w:name="_Toc106034786"/>
      <w:r>
        <w:rPr>
          <w:rFonts w:hint="eastAsia" w:ascii="方正仿宋_GBK" w:hAnsi="宋体" w:eastAsia="方正仿宋_GBK"/>
          <w:sz w:val="24"/>
        </w:rPr>
        <w:t>五、知识产权</w:t>
      </w:r>
      <w:bookmarkEnd w:id="88"/>
      <w:bookmarkEnd w:id="89"/>
      <w:bookmarkEnd w:id="90"/>
      <w:bookmarkEnd w:id="91"/>
      <w:bookmarkEnd w:id="92"/>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adjustRightInd w:val="0"/>
        <w:snapToGrid w:val="0"/>
        <w:spacing w:before="0" w:after="0" w:line="400" w:lineRule="exact"/>
        <w:ind w:firstLine="482" w:firstLineChars="200"/>
        <w:rPr>
          <w:rFonts w:ascii="方正仿宋_GBK" w:hAnsi="宋体" w:eastAsia="方正仿宋_GBK"/>
          <w:sz w:val="24"/>
        </w:rPr>
      </w:pPr>
      <w:bookmarkStart w:id="93" w:name="_Toc106034787"/>
      <w:bookmarkStart w:id="94" w:name="_Toc5555"/>
      <w:bookmarkStart w:id="95" w:name="_Toc6565"/>
      <w:bookmarkStart w:id="96" w:name="_Toc6869"/>
      <w:bookmarkStart w:id="97" w:name="_Toc65660347"/>
      <w:r>
        <w:rPr>
          <w:rFonts w:hint="eastAsia" w:ascii="方正仿宋_GBK" w:hAnsi="宋体" w:eastAsia="方正仿宋_GBK"/>
          <w:sz w:val="24"/>
        </w:rPr>
        <w:t>六、培训</w:t>
      </w:r>
      <w:bookmarkEnd w:id="93"/>
      <w:bookmarkEnd w:id="94"/>
      <w:bookmarkEnd w:id="95"/>
      <w:bookmarkEnd w:id="96"/>
      <w:bookmarkEnd w:id="97"/>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无。</w:t>
      </w:r>
    </w:p>
    <w:p>
      <w:pPr>
        <w:pStyle w:val="2"/>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98" w:name="_Toc31910"/>
      <w:bookmarkStart w:id="99" w:name="_Toc947"/>
      <w:bookmarkStart w:id="100" w:name="_Toc25707"/>
      <w:bookmarkStart w:id="101" w:name="_Toc108013105"/>
      <w:bookmarkStart w:id="102" w:name="_Toc18104"/>
      <w:bookmarkStart w:id="103" w:name="_Toc19427"/>
      <w:bookmarkStart w:id="104" w:name="_Toc466546918"/>
      <w:bookmarkStart w:id="105" w:name="_Toc2954"/>
      <w:bookmarkStart w:id="106" w:name="_Toc65660348"/>
      <w:bookmarkStart w:id="107" w:name="_Toc23902"/>
      <w:bookmarkStart w:id="108" w:name="_Toc21248"/>
      <w:bookmarkStart w:id="109" w:name="_Toc31659"/>
      <w:bookmarkStart w:id="110" w:name="_Toc106034788"/>
      <w:r>
        <w:rPr>
          <w:rFonts w:hint="eastAsia" w:ascii="方正仿宋_GBK" w:hAnsi="方正仿宋_GBK" w:eastAsia="方正仿宋_GBK" w:cs="方正仿宋_GBK"/>
          <w:sz w:val="24"/>
        </w:rPr>
        <w:t>七、项目风险管控</w:t>
      </w:r>
      <w:bookmarkEnd w:id="98"/>
      <w:bookmarkEnd w:id="99"/>
      <w:bookmarkEnd w:id="100"/>
      <w:bookmarkEnd w:id="101"/>
      <w:bookmarkEnd w:id="102"/>
      <w:bookmarkEnd w:id="10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pPr>
        <w:pStyle w:val="2"/>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十、其他</w:t>
      </w:r>
      <w:bookmarkEnd w:id="106"/>
      <w:bookmarkEnd w:id="107"/>
      <w:bookmarkEnd w:id="108"/>
      <w:bookmarkEnd w:id="109"/>
      <w:bookmarkEnd w:id="11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24195"/>
      <w:bookmarkStart w:id="113" w:name="_Toc106034789"/>
      <w:bookmarkStart w:id="114" w:name="_Toc65660349"/>
      <w:bookmarkStart w:id="115" w:name="_Toc31282"/>
      <w:bookmarkStart w:id="116" w:name="_Toc16123"/>
      <w:r>
        <w:rPr>
          <w:rFonts w:hint="eastAsia" w:ascii="方正小标宋_GBK" w:eastAsia="方正小标宋_GBK"/>
          <w:b w:val="0"/>
          <w:sz w:val="36"/>
          <w:szCs w:val="30"/>
        </w:rPr>
        <w:t>第四篇  采购程序、评定成交的标准、无效报价及采购终止</w:t>
      </w:r>
      <w:bookmarkEnd w:id="112"/>
      <w:bookmarkEnd w:id="113"/>
      <w:bookmarkEnd w:id="114"/>
      <w:bookmarkEnd w:id="115"/>
      <w:bookmarkEnd w:id="116"/>
    </w:p>
    <w:p>
      <w:pPr>
        <w:pStyle w:val="2"/>
        <w:adjustRightInd w:val="0"/>
        <w:snapToGrid w:val="0"/>
        <w:spacing w:before="0" w:after="0" w:line="400" w:lineRule="exact"/>
        <w:ind w:firstLine="482" w:firstLineChars="200"/>
        <w:rPr>
          <w:rFonts w:ascii="方正仿宋_GBK" w:hAnsi="宋体" w:eastAsia="方正仿宋_GBK"/>
          <w:sz w:val="24"/>
        </w:rPr>
      </w:pPr>
      <w:bookmarkStart w:id="117" w:name="_Toc64732012"/>
      <w:bookmarkStart w:id="118" w:name="_Toc65660350"/>
      <w:bookmarkStart w:id="119" w:name="_Toc5167"/>
      <w:bookmarkStart w:id="120" w:name="_Toc27932"/>
      <w:bookmarkStart w:id="121" w:name="_Toc9361"/>
      <w:bookmarkStart w:id="122" w:name="_Toc106034790"/>
      <w:r>
        <w:rPr>
          <w:rFonts w:hint="eastAsia" w:ascii="方正仿宋_GBK" w:hAnsi="宋体" w:eastAsia="方正仿宋_GBK"/>
          <w:sz w:val="24"/>
        </w:rPr>
        <w:t>一、采购程序</w:t>
      </w:r>
      <w:bookmarkEnd w:id="117"/>
      <w:bookmarkEnd w:id="118"/>
      <w:bookmarkEnd w:id="119"/>
      <w:bookmarkEnd w:id="120"/>
      <w:bookmarkEnd w:id="121"/>
      <w:bookmarkEnd w:id="12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2" w:firstLineChars="200"/>
        <w:rPr>
          <w:rFonts w:ascii="方正仿宋_GBK" w:hAnsi="宋体" w:eastAsia="方正仿宋_GBK"/>
          <w:sz w:val="24"/>
        </w:rPr>
      </w:pPr>
      <w:bookmarkStart w:id="123" w:name="_Toc30639"/>
      <w:bookmarkStart w:id="124" w:name="_Toc106034791"/>
      <w:bookmarkStart w:id="125" w:name="_Toc64732013"/>
      <w:bookmarkStart w:id="126" w:name="_Toc11713"/>
      <w:bookmarkStart w:id="127" w:name="_Toc5149"/>
      <w:bookmarkStart w:id="128" w:name="_Toc65660351"/>
      <w:r>
        <w:rPr>
          <w:rFonts w:hint="eastAsia" w:ascii="方正仿宋_GBK" w:hAnsi="宋体" w:eastAsia="方正仿宋_GBK"/>
          <w:sz w:val="24"/>
        </w:rPr>
        <w:t>二、评定成交的标准</w:t>
      </w:r>
      <w:bookmarkEnd w:id="123"/>
      <w:bookmarkEnd w:id="124"/>
      <w:bookmarkEnd w:id="125"/>
      <w:bookmarkEnd w:id="126"/>
      <w:bookmarkEnd w:id="127"/>
      <w:bookmarkEnd w:id="12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2" w:firstLineChars="200"/>
        <w:rPr>
          <w:rFonts w:ascii="方正仿宋_GBK" w:hAnsi="宋体" w:eastAsia="方正仿宋_GBK"/>
          <w:sz w:val="24"/>
        </w:rPr>
      </w:pPr>
      <w:bookmarkStart w:id="129" w:name="_Toc12644"/>
      <w:bookmarkStart w:id="130" w:name="_Toc65660352"/>
      <w:bookmarkStart w:id="131" w:name="_Toc29113"/>
      <w:bookmarkStart w:id="132" w:name="_Toc106034792"/>
      <w:bookmarkStart w:id="133" w:name="_Toc19473"/>
      <w:r>
        <w:rPr>
          <w:rFonts w:hint="eastAsia" w:ascii="方正仿宋_GBK" w:hAnsi="宋体" w:eastAsia="方正仿宋_GBK"/>
          <w:sz w:val="24"/>
        </w:rPr>
        <w:t>三、无效</w:t>
      </w:r>
      <w:bookmarkEnd w:id="129"/>
      <w:bookmarkEnd w:id="130"/>
      <w:bookmarkEnd w:id="131"/>
      <w:r>
        <w:rPr>
          <w:rFonts w:hint="eastAsia" w:ascii="方正仿宋_GBK" w:hAnsi="宋体" w:eastAsia="方正仿宋_GBK"/>
          <w:sz w:val="24"/>
        </w:rPr>
        <w:t>报价</w:t>
      </w:r>
      <w:bookmarkEnd w:id="132"/>
      <w:bookmarkEnd w:id="13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2" w:firstLineChars="200"/>
        <w:rPr>
          <w:rFonts w:ascii="方正仿宋_GBK" w:hAnsi="宋体" w:eastAsia="方正仿宋_GBK"/>
          <w:sz w:val="24"/>
        </w:rPr>
      </w:pPr>
      <w:bookmarkStart w:id="134" w:name="_Toc22716"/>
      <w:bookmarkStart w:id="135" w:name="_Toc28422"/>
      <w:bookmarkStart w:id="136" w:name="_Toc29298"/>
      <w:bookmarkStart w:id="137" w:name="_Toc65660353"/>
      <w:bookmarkStart w:id="138" w:name="_Toc106034793"/>
      <w:r>
        <w:rPr>
          <w:rFonts w:hint="eastAsia" w:ascii="方正仿宋_GBK" w:hAnsi="宋体" w:eastAsia="方正仿宋_GBK"/>
          <w:sz w:val="24"/>
        </w:rPr>
        <w:t>四、采购终止</w:t>
      </w:r>
      <w:bookmarkEnd w:id="134"/>
      <w:bookmarkEnd w:id="135"/>
      <w:bookmarkEnd w:id="136"/>
      <w:bookmarkEnd w:id="137"/>
      <w:bookmarkEnd w:id="13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napToGrid w:val="0"/>
        <w:spacing w:line="400" w:lineRule="exact"/>
        <w:ind w:firstLine="480" w:firstLineChars="200"/>
        <w:rPr>
          <w:rFonts w:ascii="方正仿宋_GBK" w:hAnsi="宋体"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9" w:name="_Toc10768"/>
      <w:bookmarkStart w:id="140" w:name="_Toc8916"/>
      <w:bookmarkStart w:id="141" w:name="_Toc106034794"/>
      <w:bookmarkStart w:id="142" w:name="_Toc20055"/>
      <w:bookmarkStart w:id="143" w:name="_Toc65660354"/>
      <w:r>
        <w:rPr>
          <w:rFonts w:hint="eastAsia" w:ascii="方正小标宋_GBK" w:eastAsia="方正小标宋_GBK"/>
          <w:b w:val="0"/>
          <w:sz w:val="36"/>
          <w:szCs w:val="30"/>
        </w:rPr>
        <w:t>第五篇  供应商须知</w:t>
      </w:r>
      <w:bookmarkEnd w:id="139"/>
      <w:bookmarkEnd w:id="140"/>
      <w:bookmarkEnd w:id="141"/>
      <w:bookmarkEnd w:id="142"/>
      <w:bookmarkEnd w:id="143"/>
    </w:p>
    <w:p>
      <w:pPr>
        <w:pStyle w:val="2"/>
        <w:adjustRightInd w:val="0"/>
        <w:snapToGrid w:val="0"/>
        <w:spacing w:before="0" w:after="0" w:line="400" w:lineRule="exact"/>
        <w:ind w:firstLine="482" w:firstLineChars="200"/>
        <w:rPr>
          <w:rFonts w:ascii="方正仿宋_GBK" w:hAnsi="宋体" w:eastAsia="方正仿宋_GBK"/>
          <w:sz w:val="24"/>
        </w:rPr>
      </w:pPr>
      <w:bookmarkStart w:id="144" w:name="_Toc16524"/>
      <w:bookmarkStart w:id="145" w:name="_Toc106034795"/>
      <w:bookmarkStart w:id="146" w:name="_Toc65660355"/>
      <w:bookmarkStart w:id="147" w:name="_Toc2864"/>
      <w:bookmarkStart w:id="148" w:name="_Toc5290"/>
      <w:r>
        <w:rPr>
          <w:rFonts w:hint="eastAsia" w:ascii="方正仿宋_GBK" w:hAnsi="宋体" w:eastAsia="方正仿宋_GBK"/>
          <w:sz w:val="24"/>
        </w:rPr>
        <w:t>一、限额以下比价费用</w:t>
      </w:r>
      <w:bookmarkEnd w:id="144"/>
      <w:bookmarkEnd w:id="145"/>
      <w:bookmarkEnd w:id="146"/>
      <w:bookmarkEnd w:id="147"/>
      <w:bookmarkEnd w:id="148"/>
    </w:p>
    <w:p>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2" w:firstLineChars="200"/>
        <w:rPr>
          <w:rFonts w:ascii="方正仿宋_GBK" w:hAnsi="宋体" w:eastAsia="方正仿宋_GBK"/>
          <w:sz w:val="24"/>
        </w:rPr>
      </w:pPr>
      <w:bookmarkStart w:id="149" w:name="_Toc31070"/>
      <w:bookmarkStart w:id="150" w:name="_Toc106034796"/>
      <w:bookmarkStart w:id="151" w:name="_Toc31739"/>
      <w:bookmarkStart w:id="152" w:name="_Toc65660356"/>
      <w:bookmarkStart w:id="153" w:name="_Toc5915"/>
      <w:r>
        <w:rPr>
          <w:rFonts w:hint="eastAsia" w:ascii="方正仿宋_GBK" w:hAnsi="宋体" w:eastAsia="方正仿宋_GBK"/>
          <w:sz w:val="24"/>
        </w:rPr>
        <w:t>二、限额以下比价</w:t>
      </w:r>
      <w:bookmarkEnd w:id="149"/>
      <w:bookmarkEnd w:id="150"/>
      <w:bookmarkEnd w:id="151"/>
      <w:bookmarkEnd w:id="152"/>
      <w:bookmarkEnd w:id="15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2" w:firstLineChars="200"/>
        <w:rPr>
          <w:rFonts w:ascii="方正仿宋_GBK" w:hAnsi="宋体" w:eastAsia="方正仿宋_GBK"/>
          <w:sz w:val="24"/>
        </w:rPr>
      </w:pPr>
      <w:bookmarkStart w:id="154" w:name="_Toc9532"/>
      <w:bookmarkStart w:id="155" w:name="_Toc106034797"/>
      <w:bookmarkStart w:id="156" w:name="_Toc1922"/>
      <w:bookmarkStart w:id="157" w:name="_Toc3061"/>
      <w:bookmarkStart w:id="158" w:name="_Toc65660357"/>
      <w:r>
        <w:rPr>
          <w:rFonts w:hint="eastAsia" w:ascii="方正仿宋_GBK" w:hAnsi="宋体" w:eastAsia="方正仿宋_GBK"/>
          <w:sz w:val="24"/>
        </w:rPr>
        <w:t>三、报价要求</w:t>
      </w:r>
      <w:bookmarkEnd w:id="154"/>
      <w:bookmarkEnd w:id="155"/>
      <w:bookmarkEnd w:id="156"/>
      <w:bookmarkEnd w:id="157"/>
      <w:bookmarkEnd w:id="15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2" w:firstLineChars="200"/>
        <w:rPr>
          <w:rFonts w:ascii="方正仿宋_GBK" w:hAnsi="宋体" w:eastAsia="方正仿宋_GBK"/>
          <w:sz w:val="24"/>
        </w:rPr>
      </w:pPr>
      <w:bookmarkStart w:id="159" w:name="_Toc106034798"/>
      <w:bookmarkStart w:id="160" w:name="_Toc65660358"/>
      <w:bookmarkStart w:id="161" w:name="_Toc6242"/>
      <w:bookmarkStart w:id="162" w:name="_Toc14702"/>
      <w:bookmarkStart w:id="163" w:name="_Toc10172"/>
      <w:r>
        <w:rPr>
          <w:rFonts w:hint="eastAsia" w:ascii="方正仿宋_GBK" w:hAnsi="宋体" w:eastAsia="方正仿宋_GBK"/>
          <w:sz w:val="24"/>
        </w:rPr>
        <w:t>四、成交供应商的确定和变更</w:t>
      </w:r>
      <w:bookmarkEnd w:id="159"/>
      <w:bookmarkEnd w:id="160"/>
      <w:bookmarkEnd w:id="161"/>
      <w:bookmarkEnd w:id="162"/>
      <w:bookmarkEnd w:id="16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164" w:name="_Toc1092"/>
      <w:bookmarkStart w:id="165" w:name="_Toc29821"/>
      <w:bookmarkStart w:id="166" w:name="_Toc106034799"/>
      <w:bookmarkStart w:id="167" w:name="_Toc10504"/>
      <w:bookmarkStart w:id="168" w:name="_Toc65660359"/>
      <w:r>
        <w:rPr>
          <w:rFonts w:hint="eastAsia" w:ascii="方正仿宋_GBK" w:hAnsi="宋体" w:eastAsia="方正仿宋_GBK"/>
          <w:sz w:val="24"/>
        </w:rPr>
        <w:t>五、成交通知</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（一）成交供应商确定后，将在重庆市交通运输委员会官网上发布成交结果公告。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2" w:firstLineChars="200"/>
        <w:rPr>
          <w:rFonts w:ascii="方正仿宋_GBK" w:hAnsi="宋体" w:eastAsia="方正仿宋_GBK"/>
          <w:sz w:val="24"/>
        </w:rPr>
      </w:pPr>
      <w:bookmarkStart w:id="169" w:name="_Toc65660360"/>
      <w:bookmarkStart w:id="170" w:name="_Toc1010"/>
      <w:bookmarkStart w:id="171" w:name="_Toc30909"/>
      <w:bookmarkStart w:id="172" w:name="_Toc106034800"/>
      <w:bookmarkStart w:id="173" w:name="_Toc31082"/>
      <w:r>
        <w:rPr>
          <w:rFonts w:hint="eastAsia" w:ascii="方正仿宋_GBK" w:hAnsi="宋体" w:eastAsia="方正仿宋_GBK"/>
          <w:sz w:val="24"/>
        </w:rPr>
        <w:t>六、关于质疑和投诉</w:t>
      </w:r>
      <w:bookmarkEnd w:id="169"/>
      <w:bookmarkEnd w:id="170"/>
      <w:bookmarkEnd w:id="171"/>
      <w:bookmarkEnd w:id="172"/>
      <w:bookmarkEnd w:id="17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2" w:firstLineChars="200"/>
        <w:rPr>
          <w:rFonts w:ascii="方正仿宋_GBK" w:hAnsi="宋体" w:eastAsia="方正仿宋_GBK"/>
          <w:sz w:val="24"/>
        </w:rPr>
      </w:pPr>
      <w:bookmarkStart w:id="174" w:name="_Toc23778"/>
      <w:bookmarkStart w:id="175" w:name="_Toc16648"/>
      <w:bookmarkStart w:id="176" w:name="_Toc65660361"/>
      <w:bookmarkStart w:id="177" w:name="_Toc106034801"/>
      <w:bookmarkStart w:id="178" w:name="_Toc3127"/>
      <w:r>
        <w:rPr>
          <w:rFonts w:hint="eastAsia" w:ascii="方正仿宋_GBK" w:hAnsi="宋体" w:eastAsia="方正仿宋_GBK"/>
          <w:sz w:val="24"/>
        </w:rPr>
        <w:t>七、签订合同</w:t>
      </w:r>
      <w:bookmarkEnd w:id="174"/>
      <w:bookmarkEnd w:id="175"/>
      <w:bookmarkEnd w:id="176"/>
      <w:bookmarkEnd w:id="177"/>
      <w:bookmarkEnd w:id="17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2" w:firstLineChars="200"/>
        <w:rPr>
          <w:rFonts w:ascii="方正仿宋_GBK" w:hAnsi="宋体" w:eastAsia="方正仿宋_GBK"/>
          <w:sz w:val="24"/>
        </w:rPr>
      </w:pPr>
      <w:bookmarkStart w:id="179" w:name="_Toc106034802"/>
      <w:bookmarkStart w:id="180" w:name="_Toc77"/>
      <w:r>
        <w:rPr>
          <w:rFonts w:hint="eastAsia" w:ascii="方正仿宋_GBK" w:hAnsi="宋体" w:eastAsia="方正仿宋_GBK"/>
          <w:sz w:val="24"/>
        </w:rPr>
        <w:t>八、项目验收</w:t>
      </w:r>
      <w:bookmarkEnd w:id="179"/>
      <w:bookmarkEnd w:id="18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2" w:firstLineChars="200"/>
        <w:rPr>
          <w:rFonts w:ascii="方正仿宋_GBK" w:hAnsi="宋体" w:eastAsia="方正仿宋_GBK"/>
          <w:sz w:val="24"/>
        </w:rPr>
      </w:pPr>
      <w:bookmarkStart w:id="181" w:name="_Toc106034803"/>
      <w:bookmarkStart w:id="182" w:name="_Toc65660362"/>
      <w:bookmarkStart w:id="183" w:name="_Toc32594"/>
      <w:bookmarkStart w:id="184" w:name="_Toc29513"/>
      <w:bookmarkStart w:id="185" w:name="_Toc2438"/>
      <w:r>
        <w:rPr>
          <w:rFonts w:hint="eastAsia" w:ascii="方正仿宋_GBK" w:hAnsi="宋体" w:eastAsia="方正仿宋_GBK"/>
          <w:sz w:val="24"/>
        </w:rPr>
        <w:t>九、采购代理服务费</w:t>
      </w:r>
      <w:bookmarkEnd w:id="181"/>
      <w:bookmarkEnd w:id="182"/>
      <w:bookmarkEnd w:id="183"/>
      <w:bookmarkEnd w:id="184"/>
      <w:bookmarkEnd w:id="185"/>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106034806"/>
      <w:bookmarkStart w:id="189" w:name="_Toc28162"/>
      <w:bookmarkStart w:id="190" w:name="_Toc14861"/>
      <w:bookmarkStart w:id="191" w:name="_Toc10599"/>
      <w:bookmarkStart w:id="192" w:name="_Toc65660365"/>
      <w:r>
        <w:rPr>
          <w:rFonts w:hint="eastAsia" w:ascii="方正小标宋_GBK" w:eastAsia="方正小标宋_GBK"/>
          <w:b w:val="0"/>
          <w:sz w:val="36"/>
          <w:szCs w:val="30"/>
        </w:rPr>
        <w:t xml:space="preserve">第六篇  </w:t>
      </w:r>
      <w:bookmarkEnd w:id="186"/>
      <w:bookmarkEnd w:id="187"/>
      <w:r>
        <w:rPr>
          <w:rFonts w:hint="eastAsia" w:ascii="方正小标宋_GBK" w:eastAsia="方正小标宋_GBK"/>
          <w:b w:val="0"/>
          <w:sz w:val="36"/>
          <w:szCs w:val="30"/>
        </w:rPr>
        <w:t>合同草案条款</w:t>
      </w:r>
      <w:bookmarkEnd w:id="188"/>
      <w:bookmarkEnd w:id="189"/>
      <w:bookmarkEnd w:id="190"/>
      <w:bookmarkEnd w:id="191"/>
      <w:bookmarkEnd w:id="192"/>
    </w:p>
    <w:p>
      <w:pPr>
        <w:rPr>
          <w:rFonts w:ascii="方正仿宋_GBK" w:eastAsia="方正仿宋_GBK"/>
          <w:sz w:val="24"/>
        </w:rPr>
      </w:pPr>
      <w:bookmarkStart w:id="193" w:name="_Toc303945820"/>
      <w:bookmarkStart w:id="194" w:name="_Toc148265480"/>
      <w:r>
        <w:rPr>
          <w:rFonts w:hint="eastAsia" w:ascii="方正仿宋_GBK" w:eastAsia="方正仿宋_GBK"/>
          <w:sz w:val="24"/>
        </w:rPr>
        <w:t>附页：合同格式</w:t>
      </w:r>
      <w:bookmarkEnd w:id="193"/>
      <w:bookmarkEnd w:id="194"/>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2"/>
        <w:tblW w:w="9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8"/>
        <w:gridCol w:w="1009"/>
        <w:gridCol w:w="603"/>
        <w:gridCol w:w="727"/>
        <w:gridCol w:w="1162"/>
        <w:gridCol w:w="1598"/>
        <w:gridCol w:w="1606"/>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27" w:hRule="atLeast"/>
        </w:trPr>
        <w:tc>
          <w:tcPr>
            <w:tcW w:w="3148"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100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330"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62"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98"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606"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6" w:hRule="atLeast"/>
        </w:trPr>
        <w:tc>
          <w:tcPr>
            <w:tcW w:w="3148" w:type="dxa"/>
            <w:vAlign w:val="center"/>
          </w:tcPr>
          <w:p>
            <w:pPr>
              <w:spacing w:line="240" w:lineRule="atLeast"/>
              <w:rPr>
                <w:rFonts w:ascii="方正仿宋_GBK" w:eastAsia="方正仿宋_GBK"/>
                <w:sz w:val="21"/>
                <w:szCs w:val="21"/>
              </w:rPr>
            </w:pPr>
          </w:p>
        </w:tc>
        <w:tc>
          <w:tcPr>
            <w:tcW w:w="1009" w:type="dxa"/>
            <w:vAlign w:val="center"/>
          </w:tcPr>
          <w:p>
            <w:pPr>
              <w:spacing w:line="240" w:lineRule="atLeast"/>
              <w:rPr>
                <w:rFonts w:ascii="方正仿宋_GBK" w:eastAsia="方正仿宋_GBK"/>
                <w:sz w:val="21"/>
                <w:szCs w:val="21"/>
              </w:rPr>
            </w:pPr>
          </w:p>
        </w:tc>
        <w:tc>
          <w:tcPr>
            <w:tcW w:w="1330" w:type="dxa"/>
            <w:gridSpan w:val="2"/>
            <w:vAlign w:val="center"/>
          </w:tcPr>
          <w:p>
            <w:pPr>
              <w:spacing w:line="240" w:lineRule="atLeast"/>
              <w:rPr>
                <w:rFonts w:ascii="方正仿宋_GBK" w:eastAsia="方正仿宋_GBK"/>
                <w:sz w:val="21"/>
                <w:szCs w:val="21"/>
              </w:rPr>
            </w:pPr>
          </w:p>
        </w:tc>
        <w:tc>
          <w:tcPr>
            <w:tcW w:w="1162" w:type="dxa"/>
            <w:vAlign w:val="center"/>
          </w:tcPr>
          <w:p>
            <w:pPr>
              <w:spacing w:line="240" w:lineRule="atLeast"/>
              <w:rPr>
                <w:rFonts w:ascii="方正仿宋_GBK" w:eastAsia="方正仿宋_GBK"/>
                <w:sz w:val="21"/>
                <w:szCs w:val="21"/>
              </w:rPr>
            </w:pPr>
          </w:p>
        </w:tc>
        <w:tc>
          <w:tcPr>
            <w:tcW w:w="1598" w:type="dxa"/>
            <w:vAlign w:val="center"/>
          </w:tcPr>
          <w:p>
            <w:pPr>
              <w:spacing w:line="240" w:lineRule="atLeast"/>
              <w:rPr>
                <w:rFonts w:ascii="方正仿宋_GBK" w:eastAsia="方正仿宋_GBK"/>
                <w:sz w:val="21"/>
                <w:szCs w:val="21"/>
              </w:rPr>
            </w:pPr>
          </w:p>
        </w:tc>
        <w:tc>
          <w:tcPr>
            <w:tcW w:w="1606"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6" w:hRule="atLeast"/>
        </w:trPr>
        <w:tc>
          <w:tcPr>
            <w:tcW w:w="3148" w:type="dxa"/>
            <w:vAlign w:val="center"/>
          </w:tcPr>
          <w:p>
            <w:pPr>
              <w:spacing w:line="240" w:lineRule="atLeast"/>
              <w:rPr>
                <w:rFonts w:ascii="方正仿宋_GBK" w:eastAsia="方正仿宋_GBK"/>
                <w:sz w:val="21"/>
                <w:szCs w:val="21"/>
              </w:rPr>
            </w:pPr>
          </w:p>
        </w:tc>
        <w:tc>
          <w:tcPr>
            <w:tcW w:w="1009" w:type="dxa"/>
            <w:vAlign w:val="center"/>
          </w:tcPr>
          <w:p>
            <w:pPr>
              <w:spacing w:line="240" w:lineRule="atLeast"/>
              <w:rPr>
                <w:rFonts w:ascii="方正仿宋_GBK" w:eastAsia="方正仿宋_GBK"/>
                <w:sz w:val="21"/>
                <w:szCs w:val="21"/>
              </w:rPr>
            </w:pPr>
          </w:p>
        </w:tc>
        <w:tc>
          <w:tcPr>
            <w:tcW w:w="1330" w:type="dxa"/>
            <w:gridSpan w:val="2"/>
            <w:vAlign w:val="center"/>
          </w:tcPr>
          <w:p>
            <w:pPr>
              <w:spacing w:line="240" w:lineRule="atLeast"/>
              <w:rPr>
                <w:rFonts w:ascii="方正仿宋_GBK" w:eastAsia="方正仿宋_GBK"/>
                <w:sz w:val="21"/>
                <w:szCs w:val="21"/>
              </w:rPr>
            </w:pPr>
          </w:p>
        </w:tc>
        <w:tc>
          <w:tcPr>
            <w:tcW w:w="1162" w:type="dxa"/>
            <w:vAlign w:val="center"/>
          </w:tcPr>
          <w:p>
            <w:pPr>
              <w:spacing w:line="240" w:lineRule="atLeast"/>
              <w:rPr>
                <w:rFonts w:ascii="方正仿宋_GBK" w:eastAsia="方正仿宋_GBK"/>
                <w:sz w:val="21"/>
                <w:szCs w:val="21"/>
              </w:rPr>
            </w:pPr>
          </w:p>
        </w:tc>
        <w:tc>
          <w:tcPr>
            <w:tcW w:w="1598" w:type="dxa"/>
            <w:vAlign w:val="center"/>
          </w:tcPr>
          <w:p>
            <w:pPr>
              <w:spacing w:line="240" w:lineRule="atLeast"/>
              <w:rPr>
                <w:rFonts w:ascii="方正仿宋_GBK" w:eastAsia="方正仿宋_GBK"/>
                <w:sz w:val="21"/>
                <w:szCs w:val="21"/>
              </w:rPr>
            </w:pPr>
          </w:p>
        </w:tc>
        <w:tc>
          <w:tcPr>
            <w:tcW w:w="1606"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27" w:hRule="atLeast"/>
        </w:trPr>
        <w:tc>
          <w:tcPr>
            <w:tcW w:w="985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6" w:hRule="atLeast"/>
        </w:trPr>
        <w:tc>
          <w:tcPr>
            <w:tcW w:w="985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2" w:hRule="atLeast"/>
        </w:trPr>
        <w:tc>
          <w:tcPr>
            <w:tcW w:w="985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86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4760"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5108"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95" w:name="_Hlt41879464"/>
      <w:bookmarkEnd w:id="195"/>
      <w:bookmarkStart w:id="196" w:name="_Toc6968"/>
      <w:bookmarkStart w:id="197" w:name="_Toc65660378"/>
      <w:bookmarkStart w:id="198" w:name="_Toc18521"/>
      <w:bookmarkStart w:id="199" w:name="_Toc12789072"/>
      <w:bookmarkStart w:id="200" w:name="_Toc9538"/>
      <w:bookmarkStart w:id="201" w:name="_Toc106034807"/>
      <w:r>
        <w:rPr>
          <w:rFonts w:hint="eastAsia" w:ascii="方正小标宋_GBK" w:eastAsia="方正小标宋_GBK"/>
          <w:b w:val="0"/>
          <w:sz w:val="36"/>
          <w:szCs w:val="30"/>
        </w:rPr>
        <w:t>第七篇  响应文件格式要求</w:t>
      </w:r>
      <w:bookmarkEnd w:id="196"/>
      <w:bookmarkEnd w:id="197"/>
      <w:bookmarkEnd w:id="198"/>
      <w:bookmarkEnd w:id="199"/>
      <w:bookmarkEnd w:id="200"/>
      <w:bookmarkEnd w:id="201"/>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02" w:name="_Toc106034808"/>
      <w:bookmarkStart w:id="203" w:name="_Toc313008356"/>
      <w:bookmarkStart w:id="204" w:name="_Toc65660379"/>
      <w:bookmarkStart w:id="205" w:name="_Toc26343"/>
      <w:bookmarkStart w:id="206" w:name="_Toc14244"/>
      <w:bookmarkStart w:id="207" w:name="_Toc30982"/>
      <w:bookmarkStart w:id="208" w:name="_Toc342913419"/>
      <w:bookmarkStart w:id="209" w:name="_Toc313888360"/>
      <w:bookmarkStart w:id="210" w:name="_Toc283382454"/>
      <w:bookmarkStart w:id="211" w:name="_Toc12789073"/>
      <w:r>
        <w:rPr>
          <w:rFonts w:hint="eastAsia" w:ascii="方正仿宋_GBK" w:hAnsi="宋体" w:eastAsia="方正仿宋_GBK"/>
          <w:sz w:val="24"/>
        </w:rPr>
        <w:t>一、经济部分</w:t>
      </w:r>
      <w:bookmarkEnd w:id="202"/>
      <w:bookmarkEnd w:id="203"/>
      <w:bookmarkEnd w:id="204"/>
      <w:bookmarkEnd w:id="205"/>
      <w:bookmarkEnd w:id="206"/>
      <w:bookmarkEnd w:id="207"/>
      <w:bookmarkEnd w:id="208"/>
      <w:bookmarkEnd w:id="209"/>
    </w:p>
    <w:bookmarkEnd w:id="210"/>
    <w:bookmarkEnd w:id="211"/>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1.愿意按照采购文件中的一切要求，提供本项目服务，项目报价（单价）为人民币大写：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tbl>
      <w:tblPr>
        <w:tblStyle w:val="12"/>
        <w:tblW w:w="9537" w:type="dxa"/>
        <w:tblInd w:w="96" w:type="dxa"/>
        <w:tblLayout w:type="autofit"/>
        <w:tblCellMar>
          <w:top w:w="0" w:type="dxa"/>
          <w:left w:w="108" w:type="dxa"/>
          <w:bottom w:w="0" w:type="dxa"/>
          <w:right w:w="108" w:type="dxa"/>
        </w:tblCellMar>
      </w:tblPr>
      <w:tblGrid>
        <w:gridCol w:w="638"/>
        <w:gridCol w:w="1704"/>
        <w:gridCol w:w="3118"/>
        <w:gridCol w:w="586"/>
        <w:gridCol w:w="1162"/>
        <w:gridCol w:w="1135"/>
        <w:gridCol w:w="1194"/>
      </w:tblGrid>
      <w:tr>
        <w:tblPrEx>
          <w:tblCellMar>
            <w:top w:w="0" w:type="dxa"/>
            <w:left w:w="108" w:type="dxa"/>
            <w:bottom w:w="0" w:type="dxa"/>
            <w:right w:w="108" w:type="dxa"/>
          </w:tblCellMar>
        </w:tblPrEx>
        <w:trPr>
          <w:trHeight w:val="565" w:hRule="atLeast"/>
        </w:trPr>
        <w:tc>
          <w:tcPr>
            <w:tcW w:w="9537" w:type="dxa"/>
            <w:gridSpan w:val="7"/>
            <w:tcBorders>
              <w:top w:val="nil"/>
              <w:left w:val="nil"/>
              <w:bottom w:val="nil"/>
              <w:right w:val="nil"/>
            </w:tcBorders>
            <w:shd w:val="clear" w:color="000000" w:fill="FFFFFF"/>
            <w:vAlign w:val="bottom"/>
          </w:tcPr>
          <w:p>
            <w:pPr>
              <w:widowControl/>
              <w:numPr>
                <w:ilvl w:val="0"/>
                <w:numId w:val="1"/>
              </w:numPr>
              <w:jc w:val="left"/>
              <w:rPr>
                <w:rFonts w:hint="eastAsia" w:ascii="方正仿宋_GBK" w:hAnsi="宋体" w:eastAsia="方正仿宋_GBK"/>
                <w:sz w:val="24"/>
                <w:szCs w:val="24"/>
              </w:rPr>
            </w:pPr>
            <w:r>
              <w:rPr>
                <w:rFonts w:hint="eastAsia" w:ascii="方正仿宋_GBK" w:hAnsi="宋体" w:eastAsia="方正仿宋_GBK"/>
                <w:sz w:val="24"/>
                <w:szCs w:val="24"/>
              </w:rPr>
              <w:t xml:space="preserve">明细报价表                          </w:t>
            </w:r>
          </w:p>
          <w:p>
            <w:pPr>
              <w:widowControl/>
              <w:numPr>
                <w:ilvl w:val="0"/>
                <w:numId w:val="0"/>
              </w:numPr>
              <w:jc w:val="left"/>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widowControl/>
              <w:numPr>
                <w:ilvl w:val="0"/>
                <w:numId w:val="0"/>
              </w:numPr>
              <w:jc w:val="left"/>
              <w:rPr>
                <w:rFonts w:ascii="宋体" w:hAnsi="宋体" w:cs="宋体"/>
                <w:color w:val="000000"/>
                <w:kern w:val="0"/>
                <w:sz w:val="20"/>
              </w:rPr>
            </w:pPr>
            <w:r>
              <w:rPr>
                <w:rFonts w:hint="eastAsia" w:ascii="方正仿宋_GBK" w:hAnsi="宋体" w:eastAsia="方正仿宋_GBK"/>
                <w:sz w:val="24"/>
                <w:szCs w:val="24"/>
              </w:rPr>
              <w:t>项目名称（服务类）：</w:t>
            </w:r>
            <w:r>
              <w:rPr>
                <w:rFonts w:ascii="宋体" w:hAnsi="宋体" w:cs="宋体"/>
                <w:color w:val="000000"/>
                <w:kern w:val="0"/>
                <w:sz w:val="20"/>
              </w:rPr>
              <w:t xml:space="preserve"> </w:t>
            </w:r>
          </w:p>
        </w:tc>
      </w:tr>
      <w:tr>
        <w:tblPrEx>
          <w:tblCellMar>
            <w:top w:w="0" w:type="dxa"/>
            <w:left w:w="108" w:type="dxa"/>
            <w:bottom w:w="0" w:type="dxa"/>
            <w:right w:w="108" w:type="dxa"/>
          </w:tblCellMar>
        </w:tblPrEx>
        <w:trPr>
          <w:trHeight w:val="565" w:hRule="atLeast"/>
        </w:trPr>
        <w:tc>
          <w:tcPr>
            <w:tcW w:w="63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序号</w:t>
            </w:r>
          </w:p>
        </w:tc>
        <w:tc>
          <w:tcPr>
            <w:tcW w:w="1704"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编号</w:t>
            </w:r>
          </w:p>
        </w:tc>
        <w:tc>
          <w:tcPr>
            <w:tcW w:w="3118"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分部分项工程名称</w:t>
            </w:r>
          </w:p>
        </w:tc>
        <w:tc>
          <w:tcPr>
            <w:tcW w:w="586"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单位</w:t>
            </w:r>
          </w:p>
        </w:tc>
        <w:tc>
          <w:tcPr>
            <w:tcW w:w="1162"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工程数量</w:t>
            </w:r>
          </w:p>
        </w:tc>
        <w:tc>
          <w:tcPr>
            <w:tcW w:w="1135"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综合单价</w:t>
            </w:r>
            <w:r>
              <w:rPr>
                <w:rFonts w:hint="eastAsia" w:ascii="宋体" w:hAnsi="宋体" w:eastAsia="宋体" w:cs="宋体"/>
                <w:color w:val="000000"/>
                <w:kern w:val="0"/>
                <w:sz w:val="20"/>
                <w:lang w:eastAsia="zh-CN"/>
              </w:rPr>
              <w:t>（元）</w:t>
            </w:r>
          </w:p>
        </w:tc>
        <w:tc>
          <w:tcPr>
            <w:tcW w:w="1194"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合价</w:t>
            </w:r>
            <w:r>
              <w:rPr>
                <w:rFonts w:hint="eastAsia" w:ascii="宋体" w:hAnsi="宋体" w:eastAsia="宋体" w:cs="宋体"/>
                <w:color w:val="000000"/>
                <w:kern w:val="0"/>
                <w:sz w:val="20"/>
                <w:lang w:eastAsia="zh-CN"/>
              </w:rPr>
              <w:t>（元）</w:t>
            </w:r>
          </w:p>
        </w:tc>
      </w:tr>
      <w:tr>
        <w:tblPrEx>
          <w:tblCellMar>
            <w:top w:w="0" w:type="dxa"/>
            <w:left w:w="108" w:type="dxa"/>
            <w:bottom w:w="0" w:type="dxa"/>
            <w:right w:w="108" w:type="dxa"/>
          </w:tblCellMar>
        </w:tblPrEx>
        <w:trPr>
          <w:trHeight w:val="344" w:hRule="atLeast"/>
        </w:trPr>
        <w:tc>
          <w:tcPr>
            <w:tcW w:w="9537" w:type="dxa"/>
            <w:gridSpan w:val="7"/>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一</w:t>
            </w:r>
            <w:r>
              <w:rPr>
                <w:rFonts w:hint="eastAsia" w:ascii="宋体" w:hAnsi="宋体" w:eastAsia="宋体" w:cs="宋体"/>
                <w:color w:val="000000"/>
                <w:kern w:val="0"/>
                <w:sz w:val="20"/>
                <w:lang w:eastAsia="zh-CN"/>
              </w:rPr>
              <w:t>、系锚泊设施建设</w:t>
            </w: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100401003002</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人工挖地坑土方</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m3</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108.56</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2</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100401010001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人工挖基坑石方</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m3</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108.56</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3</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010103001001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人工土石回填</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m3</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170.84</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4</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010103002001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余方弃置（人力运300m，自卸车运10km）</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m3</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46.28</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5</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100503003001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碎石垫层</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m3</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14.28</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6</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100602027001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混凝土地牛</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m3</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32</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7</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100701001001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现浇混凝土钢筋</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t</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0.386</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8</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100900025001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锚链及连接件</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t</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0.326</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9</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011707004001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材料二次搬运 人力运300m</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项</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7208" w:type="dxa"/>
            <w:gridSpan w:val="5"/>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系锚泊设施建设</w:t>
            </w:r>
            <w:r>
              <w:rPr>
                <w:rFonts w:hint="eastAsia" w:ascii="宋体" w:hAnsi="宋体" w:eastAsia="宋体" w:cs="宋体"/>
                <w:color w:val="000000"/>
                <w:kern w:val="0"/>
                <w:sz w:val="20"/>
              </w:rPr>
              <w:t>小计</w:t>
            </w:r>
            <w:r>
              <w:rPr>
                <w:rFonts w:hint="eastAsia" w:ascii="宋体" w:hAnsi="宋体" w:eastAsia="宋体" w:cs="宋体"/>
                <w:color w:val="000000"/>
                <w:kern w:val="0"/>
                <w:sz w:val="20"/>
                <w:lang w:eastAsia="zh-CN"/>
              </w:rPr>
              <w:t>：</w:t>
            </w:r>
          </w:p>
        </w:tc>
        <w:tc>
          <w:tcPr>
            <w:tcW w:w="2329"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9537" w:type="dxa"/>
            <w:gridSpan w:val="7"/>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二</w:t>
            </w:r>
            <w:r>
              <w:rPr>
                <w:rFonts w:hint="eastAsia" w:ascii="宋体" w:hAnsi="宋体" w:eastAsia="宋体" w:cs="宋体"/>
                <w:color w:val="000000"/>
                <w:kern w:val="0"/>
                <w:sz w:val="20"/>
                <w:lang w:eastAsia="zh-CN"/>
              </w:rPr>
              <w:t>、</w:t>
            </w:r>
            <w:r>
              <w:rPr>
                <w:rFonts w:hint="eastAsia" w:ascii="宋体" w:hAnsi="宋体" w:eastAsia="宋体" w:cs="宋体"/>
                <w:color w:val="000000"/>
                <w:kern w:val="0"/>
                <w:sz w:val="20"/>
              </w:rPr>
              <w:t>航行水尺</w:t>
            </w:r>
            <w:r>
              <w:rPr>
                <w:rFonts w:hint="eastAsia" w:ascii="宋体" w:hAnsi="宋体" w:eastAsia="宋体" w:cs="宋体"/>
                <w:color w:val="000000"/>
                <w:kern w:val="0"/>
                <w:sz w:val="20"/>
                <w:lang w:eastAsia="zh-CN"/>
              </w:rPr>
              <w:t>改造</w:t>
            </w: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011605001001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水尺外墙砖拆除</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m2</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28.2</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2</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011102001001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水尺贴大理石</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m2</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30.2</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3</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B0001</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大理石表面刻字</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m</w:t>
            </w:r>
          </w:p>
        </w:tc>
        <w:tc>
          <w:tcPr>
            <w:tcW w:w="1162"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60.4</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4</w:t>
            </w:r>
          </w:p>
        </w:tc>
        <w:tc>
          <w:tcPr>
            <w:tcW w:w="1704"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011707004002</w:t>
            </w:r>
          </w:p>
        </w:tc>
        <w:tc>
          <w:tcPr>
            <w:tcW w:w="3118"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材料二次搬运 人力运300m</w:t>
            </w:r>
          </w:p>
        </w:tc>
        <w:tc>
          <w:tcPr>
            <w:tcW w:w="586" w:type="dxa"/>
            <w:tcBorders>
              <w:top w:val="nil"/>
              <w:left w:val="nil"/>
              <w:bottom w:val="single" w:color="000000" w:sz="4" w:space="0"/>
              <w:right w:val="single" w:color="000000"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项</w:t>
            </w:r>
          </w:p>
        </w:tc>
        <w:tc>
          <w:tcPr>
            <w:tcW w:w="1162" w:type="dxa"/>
            <w:tcBorders>
              <w:top w:val="nil"/>
              <w:left w:val="nil"/>
              <w:bottom w:val="single" w:color="000000" w:sz="4" w:space="0"/>
              <w:right w:val="single" w:color="auto" w:sz="4" w:space="0"/>
            </w:tcBorders>
            <w:shd w:val="clear" w:color="000000" w:fill="FFFFFF"/>
            <w:vAlign w:val="top"/>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1</w:t>
            </w:r>
          </w:p>
        </w:tc>
        <w:tc>
          <w:tcPr>
            <w:tcW w:w="1135" w:type="dxa"/>
            <w:tcBorders>
              <w:top w:val="nil"/>
              <w:left w:val="single" w:color="auto"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7208" w:type="dxa"/>
            <w:gridSpan w:val="5"/>
            <w:tcBorders>
              <w:top w:val="nil"/>
              <w:left w:val="single" w:color="000000" w:sz="4" w:space="0"/>
              <w:bottom w:val="single" w:color="000000"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航行水尺建设小计</w:t>
            </w:r>
            <w:r>
              <w:rPr>
                <w:rFonts w:hint="eastAsia" w:ascii="宋体" w:hAnsi="宋体" w:eastAsia="宋体" w:cs="宋体"/>
                <w:color w:val="000000"/>
                <w:kern w:val="0"/>
                <w:sz w:val="20"/>
                <w:lang w:eastAsia="zh-CN"/>
              </w:rPr>
              <w:t>：</w:t>
            </w:r>
          </w:p>
        </w:tc>
        <w:tc>
          <w:tcPr>
            <w:tcW w:w="2329" w:type="dxa"/>
            <w:gridSpan w:val="2"/>
            <w:tcBorders>
              <w:top w:val="nil"/>
              <w:left w:val="single" w:color="auto"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9537" w:type="dxa"/>
            <w:gridSpan w:val="7"/>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lang w:eastAsia="zh-CN"/>
              </w:rPr>
              <w:t>三、青苗补偿费</w:t>
            </w:r>
          </w:p>
        </w:tc>
      </w:tr>
      <w:tr>
        <w:tblPrEx>
          <w:tblCellMar>
            <w:top w:w="0" w:type="dxa"/>
            <w:left w:w="108" w:type="dxa"/>
            <w:bottom w:w="0" w:type="dxa"/>
            <w:right w:w="108" w:type="dxa"/>
          </w:tblCellMar>
        </w:tblPrEx>
        <w:trPr>
          <w:trHeight w:val="344" w:hRule="atLeast"/>
        </w:trPr>
        <w:tc>
          <w:tcPr>
            <w:tcW w:w="638"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w:t>
            </w:r>
          </w:p>
        </w:tc>
        <w:tc>
          <w:tcPr>
            <w:tcW w:w="170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c>
          <w:tcPr>
            <w:tcW w:w="3118"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青苗补偿费</w:t>
            </w:r>
          </w:p>
        </w:tc>
        <w:tc>
          <w:tcPr>
            <w:tcW w:w="586"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项</w:t>
            </w:r>
          </w:p>
        </w:tc>
        <w:tc>
          <w:tcPr>
            <w:tcW w:w="1162"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w:t>
            </w:r>
          </w:p>
        </w:tc>
        <w:tc>
          <w:tcPr>
            <w:tcW w:w="1135" w:type="dxa"/>
            <w:tcBorders>
              <w:top w:val="nil"/>
              <w:left w:val="nil"/>
              <w:bottom w:val="single" w:color="000000" w:sz="4" w:space="0"/>
              <w:right w:val="single" w:color="000000" w:sz="4" w:space="0"/>
            </w:tcBorders>
            <w:shd w:val="clear" w:color="000000" w:fill="FFFFFF"/>
            <w:vAlign w:val="center"/>
          </w:tcPr>
          <w:p>
            <w:pPr>
              <w:widowControl/>
              <w:jc w:val="lef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6000</w:t>
            </w:r>
          </w:p>
        </w:tc>
        <w:tc>
          <w:tcPr>
            <w:tcW w:w="1194"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344" w:hRule="atLeast"/>
        </w:trPr>
        <w:tc>
          <w:tcPr>
            <w:tcW w:w="7208" w:type="dxa"/>
            <w:gridSpan w:val="5"/>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0"/>
                <w:lang w:eastAsia="zh-CN"/>
              </w:rPr>
            </w:pPr>
            <w:r>
              <w:rPr>
                <w:rFonts w:hint="eastAsia" w:ascii="宋体" w:hAnsi="宋体" w:cs="宋体"/>
                <w:color w:val="000000"/>
                <w:kern w:val="0"/>
                <w:sz w:val="20"/>
                <w:lang w:eastAsia="zh-CN"/>
              </w:rPr>
              <w:t>青苗补偿费小计：</w:t>
            </w:r>
          </w:p>
        </w:tc>
        <w:tc>
          <w:tcPr>
            <w:tcW w:w="2329"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rPr>
            </w:pPr>
          </w:p>
        </w:tc>
      </w:tr>
      <w:tr>
        <w:tblPrEx>
          <w:tblCellMar>
            <w:top w:w="0" w:type="dxa"/>
            <w:left w:w="108" w:type="dxa"/>
            <w:bottom w:w="0" w:type="dxa"/>
            <w:right w:w="108" w:type="dxa"/>
          </w:tblCellMar>
        </w:tblPrEx>
        <w:trPr>
          <w:trHeight w:val="344" w:hRule="atLeast"/>
        </w:trPr>
        <w:tc>
          <w:tcPr>
            <w:tcW w:w="9537" w:type="dxa"/>
            <w:gridSpan w:val="7"/>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合计（一+二</w:t>
            </w:r>
            <w:r>
              <w:rPr>
                <w:rFonts w:hint="eastAsia" w:ascii="宋体" w:hAnsi="宋体" w:cs="宋体"/>
                <w:color w:val="000000"/>
                <w:kern w:val="0"/>
                <w:sz w:val="20"/>
                <w:lang w:val="en-US" w:eastAsia="zh-CN"/>
              </w:rPr>
              <w:t>+三</w:t>
            </w:r>
            <w:r>
              <w:rPr>
                <w:rFonts w:hint="eastAsia" w:ascii="宋体" w:hAnsi="宋体" w:cs="宋体"/>
                <w:color w:val="000000"/>
                <w:kern w:val="0"/>
                <w:sz w:val="20"/>
              </w:rPr>
              <w:t>）:</w:t>
            </w:r>
          </w:p>
        </w:tc>
      </w:tr>
    </w:tbl>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p>
    <w:p>
      <w:pPr>
        <w:snapToGrid w:val="0"/>
        <w:spacing w:line="500" w:lineRule="exact"/>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 xml:space="preserve">        3</w:t>
      </w:r>
      <w:r>
        <w:rPr>
          <w:rFonts w:hint="eastAsia" w:ascii="方正仿宋_GBK" w:hAnsi="宋体" w:eastAsia="方正仿宋_GBK"/>
          <w:sz w:val="24"/>
          <w:szCs w:val="28"/>
        </w:rPr>
        <w:t>.</w:t>
      </w:r>
      <w:r>
        <w:rPr>
          <w:rFonts w:hint="eastAsia" w:ascii="方正仿宋_GBK" w:hAnsi="宋体" w:eastAsia="方正仿宋_GBK"/>
          <w:sz w:val="24"/>
          <w:szCs w:val="28"/>
          <w:lang w:eastAsia="zh-CN"/>
        </w:rPr>
        <w:t>青苗补偿费暂按</w:t>
      </w:r>
      <w:r>
        <w:rPr>
          <w:rFonts w:hint="eastAsia" w:ascii="方正仿宋_GBK" w:hAnsi="宋体" w:eastAsia="方正仿宋_GBK"/>
          <w:sz w:val="24"/>
          <w:szCs w:val="28"/>
          <w:lang w:val="en-US" w:eastAsia="zh-CN"/>
        </w:rPr>
        <w:t>6000元报价，结算时按实际产生结算，且不得超过6000元。</w:t>
      </w:r>
    </w:p>
    <w:p>
      <w:pPr>
        <w:pStyle w:val="1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12" w:name="_Toc106034809"/>
      <w:bookmarkStart w:id="213" w:name="_Toc342913420"/>
      <w:bookmarkStart w:id="214" w:name="_Toc313008357"/>
      <w:bookmarkStart w:id="215" w:name="_Toc313888361"/>
      <w:bookmarkStart w:id="216" w:name="_Toc26085"/>
      <w:bookmarkStart w:id="217" w:name="_Toc65660380"/>
      <w:bookmarkStart w:id="218" w:name="_Toc22655"/>
      <w:bookmarkStart w:id="219" w:name="_Toc14073"/>
      <w:r>
        <w:rPr>
          <w:rFonts w:hint="eastAsia" w:ascii="方正仿宋_GBK" w:hAnsi="宋体" w:eastAsia="方正仿宋_GBK"/>
          <w:sz w:val="24"/>
        </w:rPr>
        <w:t>二、技术（质量）部分</w:t>
      </w:r>
      <w:bookmarkEnd w:id="212"/>
      <w:bookmarkEnd w:id="213"/>
      <w:bookmarkEnd w:id="214"/>
      <w:bookmarkEnd w:id="215"/>
      <w:bookmarkEnd w:id="216"/>
      <w:bookmarkEnd w:id="217"/>
      <w:bookmarkEnd w:id="218"/>
      <w:bookmarkEnd w:id="21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20" w:name="_Toc106034810"/>
      <w:bookmarkStart w:id="221" w:name="_Toc27717"/>
      <w:bookmarkStart w:id="222" w:name="_Toc32158"/>
      <w:bookmarkStart w:id="223" w:name="_Toc65660381"/>
      <w:bookmarkStart w:id="224" w:name="_Toc32339"/>
      <w:bookmarkStart w:id="225" w:name="_Toc342913421"/>
      <w:bookmarkStart w:id="226" w:name="_Toc313008358"/>
      <w:bookmarkStart w:id="227" w:name="_Toc313888362"/>
      <w:r>
        <w:rPr>
          <w:rFonts w:hint="eastAsia" w:ascii="方正仿宋_GBK" w:hAnsi="宋体" w:eastAsia="方正仿宋_GBK"/>
          <w:sz w:val="24"/>
        </w:rPr>
        <w:t>三、商务服务部分</w:t>
      </w:r>
      <w:bookmarkEnd w:id="220"/>
      <w:bookmarkEnd w:id="221"/>
      <w:bookmarkEnd w:id="222"/>
      <w:bookmarkEnd w:id="223"/>
      <w:bookmarkEnd w:id="22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28" w:name="_Toc20162"/>
      <w:bookmarkStart w:id="229" w:name="_Toc106034811"/>
      <w:bookmarkStart w:id="230" w:name="_Toc2082"/>
      <w:bookmarkStart w:id="231" w:name="_Toc21793"/>
      <w:bookmarkStart w:id="232" w:name="_Toc65660382"/>
      <w:r>
        <w:rPr>
          <w:rFonts w:hint="eastAsia" w:ascii="方正仿宋_GBK" w:hAnsi="宋体" w:eastAsia="方正仿宋_GBK"/>
          <w:sz w:val="24"/>
        </w:rPr>
        <w:t>四、</w:t>
      </w:r>
      <w:bookmarkEnd w:id="225"/>
      <w:bookmarkEnd w:id="226"/>
      <w:bookmarkEnd w:id="227"/>
      <w:r>
        <w:rPr>
          <w:rFonts w:hint="eastAsia" w:ascii="方正仿宋_GBK" w:hAnsi="宋体" w:eastAsia="方正仿宋_GBK"/>
          <w:sz w:val="24"/>
        </w:rPr>
        <w:t>资格条件及其他</w:t>
      </w:r>
      <w:bookmarkEnd w:id="228"/>
      <w:bookmarkEnd w:id="229"/>
      <w:bookmarkEnd w:id="230"/>
      <w:bookmarkEnd w:id="231"/>
      <w:bookmarkEnd w:id="232"/>
      <w:bookmarkStart w:id="233" w:name="_Toc313888363"/>
      <w:bookmarkStart w:id="234" w:name="_Toc342913422"/>
      <w:bookmarkStart w:id="235" w:name="_Toc31300835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36" w:name="_Toc15815"/>
      <w:bookmarkStart w:id="237" w:name="_Toc2080"/>
      <w:bookmarkStart w:id="238" w:name="_Toc17010"/>
      <w:bookmarkStart w:id="239" w:name="_Toc106034812"/>
      <w:bookmarkStart w:id="240" w:name="_Toc65660383"/>
      <w:r>
        <w:rPr>
          <w:rFonts w:hint="eastAsia" w:ascii="方正仿宋_GBK" w:hAnsi="宋体" w:eastAsia="方正仿宋_GBK"/>
          <w:sz w:val="24"/>
        </w:rPr>
        <w:t>五、</w:t>
      </w:r>
      <w:bookmarkEnd w:id="233"/>
      <w:bookmarkEnd w:id="234"/>
      <w:bookmarkEnd w:id="235"/>
      <w:r>
        <w:rPr>
          <w:rFonts w:hint="eastAsia" w:ascii="方正仿宋_GBK" w:hAnsi="宋体" w:eastAsia="方正仿宋_GBK"/>
          <w:sz w:val="24"/>
        </w:rPr>
        <w:t>其他资料</w:t>
      </w:r>
      <w:bookmarkEnd w:id="236"/>
      <w:bookmarkEnd w:id="237"/>
      <w:bookmarkEnd w:id="238"/>
      <w:bookmarkEnd w:id="239"/>
      <w:bookmarkEnd w:id="240"/>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4"/>
        <w:rFonts w:ascii="宋体"/>
        <w:sz w:val="21"/>
        <w:szCs w:val="21"/>
      </w:rPr>
    </w:pPr>
    <w:r>
      <w:rPr>
        <w:rFonts w:ascii="宋体"/>
        <w:sz w:val="21"/>
        <w:szCs w:val="21"/>
      </w:rPr>
      <w:fldChar w:fldCharType="begin"/>
    </w:r>
    <w:r>
      <w:rPr>
        <w:rStyle w:val="14"/>
        <w:rFonts w:ascii="宋体"/>
        <w:sz w:val="21"/>
        <w:szCs w:val="21"/>
      </w:rPr>
      <w:instrText xml:space="preserve">PAGE  </w:instrText>
    </w:r>
    <w:r>
      <w:rPr>
        <w:rFonts w:ascii="宋体"/>
        <w:sz w:val="21"/>
        <w:szCs w:val="21"/>
      </w:rPr>
      <w:fldChar w:fldCharType="separate"/>
    </w:r>
    <w:r>
      <w:rPr>
        <w:rStyle w:val="14"/>
        <w:rFonts w:ascii="宋体"/>
        <w:sz w:val="21"/>
        <w:szCs w:val="21"/>
      </w:rPr>
      <w:t>- 9 -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p>
  <w:p>
    <w:pPr>
      <w:pStyle w:val="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4"/>
        <w:rFonts w:ascii="宋体" w:hAnsi="宋体"/>
        <w:sz w:val="21"/>
        <w:szCs w:val="21"/>
      </w:rPr>
      <w:instrText xml:space="preserve"> PAGE </w:instrText>
    </w:r>
    <w:r>
      <w:rPr>
        <w:rFonts w:ascii="宋体" w:hAnsi="宋体"/>
        <w:sz w:val="21"/>
        <w:szCs w:val="21"/>
      </w:rPr>
      <w:fldChar w:fldCharType="separate"/>
    </w:r>
    <w:r>
      <w:rPr>
        <w:rStyle w:val="14"/>
        <w:rFonts w:ascii="宋体" w:hAnsi="宋体"/>
        <w:sz w:val="21"/>
        <w:szCs w:val="21"/>
      </w:rPr>
      <w:t>- 19 -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FE142"/>
    <w:multiLevelType w:val="singleLevel"/>
    <w:tmpl w:val="C71FE1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27"/>
    <w:rsid w:val="00005456"/>
    <w:rsid w:val="00016940"/>
    <w:rsid w:val="00024357"/>
    <w:rsid w:val="00050434"/>
    <w:rsid w:val="0006356F"/>
    <w:rsid w:val="00065F5E"/>
    <w:rsid w:val="00070D39"/>
    <w:rsid w:val="000954B0"/>
    <w:rsid w:val="000B1C02"/>
    <w:rsid w:val="000B4FAC"/>
    <w:rsid w:val="000B597E"/>
    <w:rsid w:val="000C4F2F"/>
    <w:rsid w:val="000F4D23"/>
    <w:rsid w:val="00111022"/>
    <w:rsid w:val="00113325"/>
    <w:rsid w:val="001145CD"/>
    <w:rsid w:val="00121E25"/>
    <w:rsid w:val="00122D99"/>
    <w:rsid w:val="0012635C"/>
    <w:rsid w:val="00155771"/>
    <w:rsid w:val="001636E8"/>
    <w:rsid w:val="0017442C"/>
    <w:rsid w:val="00175AFE"/>
    <w:rsid w:val="0019346F"/>
    <w:rsid w:val="001935FD"/>
    <w:rsid w:val="001A54F5"/>
    <w:rsid w:val="001A68C2"/>
    <w:rsid w:val="001B526C"/>
    <w:rsid w:val="001C48F8"/>
    <w:rsid w:val="001D756C"/>
    <w:rsid w:val="001E1B06"/>
    <w:rsid w:val="00214016"/>
    <w:rsid w:val="002457A1"/>
    <w:rsid w:val="002874A4"/>
    <w:rsid w:val="00296F7F"/>
    <w:rsid w:val="002A1AE8"/>
    <w:rsid w:val="002B660E"/>
    <w:rsid w:val="002B7C8E"/>
    <w:rsid w:val="002C119F"/>
    <w:rsid w:val="002C3197"/>
    <w:rsid w:val="002C6600"/>
    <w:rsid w:val="002C774A"/>
    <w:rsid w:val="002C7E10"/>
    <w:rsid w:val="002D5223"/>
    <w:rsid w:val="002E0274"/>
    <w:rsid w:val="002E4C54"/>
    <w:rsid w:val="002F1C11"/>
    <w:rsid w:val="002F677D"/>
    <w:rsid w:val="00304F79"/>
    <w:rsid w:val="003214F8"/>
    <w:rsid w:val="00327183"/>
    <w:rsid w:val="0033397D"/>
    <w:rsid w:val="0033585B"/>
    <w:rsid w:val="00346970"/>
    <w:rsid w:val="003551C9"/>
    <w:rsid w:val="003609C7"/>
    <w:rsid w:val="0036245F"/>
    <w:rsid w:val="00371512"/>
    <w:rsid w:val="00380DC2"/>
    <w:rsid w:val="0039661D"/>
    <w:rsid w:val="003B5E9E"/>
    <w:rsid w:val="003C3382"/>
    <w:rsid w:val="003D0C09"/>
    <w:rsid w:val="003D3F49"/>
    <w:rsid w:val="003E4DF7"/>
    <w:rsid w:val="004112FA"/>
    <w:rsid w:val="004150FB"/>
    <w:rsid w:val="00421B21"/>
    <w:rsid w:val="00444ADC"/>
    <w:rsid w:val="00444B7E"/>
    <w:rsid w:val="00456380"/>
    <w:rsid w:val="0048590F"/>
    <w:rsid w:val="00495C3A"/>
    <w:rsid w:val="004C7178"/>
    <w:rsid w:val="004F52DD"/>
    <w:rsid w:val="0051335C"/>
    <w:rsid w:val="0051437A"/>
    <w:rsid w:val="005221A7"/>
    <w:rsid w:val="00525683"/>
    <w:rsid w:val="00531D7D"/>
    <w:rsid w:val="00545543"/>
    <w:rsid w:val="0055246B"/>
    <w:rsid w:val="00553328"/>
    <w:rsid w:val="0056014E"/>
    <w:rsid w:val="005757ED"/>
    <w:rsid w:val="005775DE"/>
    <w:rsid w:val="00582360"/>
    <w:rsid w:val="00582904"/>
    <w:rsid w:val="00586BEF"/>
    <w:rsid w:val="00595A04"/>
    <w:rsid w:val="005C003D"/>
    <w:rsid w:val="005C4A1D"/>
    <w:rsid w:val="005D28C9"/>
    <w:rsid w:val="005E1B0F"/>
    <w:rsid w:val="005E49FE"/>
    <w:rsid w:val="005F70AD"/>
    <w:rsid w:val="00631502"/>
    <w:rsid w:val="006411C7"/>
    <w:rsid w:val="00652A4C"/>
    <w:rsid w:val="006765AE"/>
    <w:rsid w:val="006822E2"/>
    <w:rsid w:val="006B1519"/>
    <w:rsid w:val="006D0D7A"/>
    <w:rsid w:val="006E442D"/>
    <w:rsid w:val="0070073C"/>
    <w:rsid w:val="00700ED4"/>
    <w:rsid w:val="0070782D"/>
    <w:rsid w:val="00713809"/>
    <w:rsid w:val="0071585E"/>
    <w:rsid w:val="00740FEC"/>
    <w:rsid w:val="00742C9D"/>
    <w:rsid w:val="00750B04"/>
    <w:rsid w:val="00752A3C"/>
    <w:rsid w:val="007555B9"/>
    <w:rsid w:val="00761143"/>
    <w:rsid w:val="0077178A"/>
    <w:rsid w:val="00787782"/>
    <w:rsid w:val="00792872"/>
    <w:rsid w:val="0079658D"/>
    <w:rsid w:val="007A12CD"/>
    <w:rsid w:val="007C586A"/>
    <w:rsid w:val="007E425C"/>
    <w:rsid w:val="007E50CC"/>
    <w:rsid w:val="007F285E"/>
    <w:rsid w:val="007F61E1"/>
    <w:rsid w:val="00804787"/>
    <w:rsid w:val="00804D7E"/>
    <w:rsid w:val="0081151D"/>
    <w:rsid w:val="00834354"/>
    <w:rsid w:val="00844F8A"/>
    <w:rsid w:val="00851063"/>
    <w:rsid w:val="008573FA"/>
    <w:rsid w:val="0086065A"/>
    <w:rsid w:val="0087360B"/>
    <w:rsid w:val="0087608B"/>
    <w:rsid w:val="008A23C4"/>
    <w:rsid w:val="008A2EC1"/>
    <w:rsid w:val="008B23D3"/>
    <w:rsid w:val="008D7CA7"/>
    <w:rsid w:val="008F272C"/>
    <w:rsid w:val="00912C19"/>
    <w:rsid w:val="00916D53"/>
    <w:rsid w:val="00924C55"/>
    <w:rsid w:val="00946455"/>
    <w:rsid w:val="009576E2"/>
    <w:rsid w:val="009666ED"/>
    <w:rsid w:val="00972801"/>
    <w:rsid w:val="00993119"/>
    <w:rsid w:val="009941D6"/>
    <w:rsid w:val="009A1E0F"/>
    <w:rsid w:val="009A2797"/>
    <w:rsid w:val="009C23BE"/>
    <w:rsid w:val="009C2668"/>
    <w:rsid w:val="009C300E"/>
    <w:rsid w:val="009D030A"/>
    <w:rsid w:val="009E7BFB"/>
    <w:rsid w:val="009F5ADB"/>
    <w:rsid w:val="00A02053"/>
    <w:rsid w:val="00A0643A"/>
    <w:rsid w:val="00A16B2E"/>
    <w:rsid w:val="00A16D4B"/>
    <w:rsid w:val="00A24E9F"/>
    <w:rsid w:val="00A32F54"/>
    <w:rsid w:val="00A347E9"/>
    <w:rsid w:val="00A716EC"/>
    <w:rsid w:val="00A9659C"/>
    <w:rsid w:val="00AA3D42"/>
    <w:rsid w:val="00AA57B7"/>
    <w:rsid w:val="00AE59C4"/>
    <w:rsid w:val="00B06076"/>
    <w:rsid w:val="00B062C3"/>
    <w:rsid w:val="00B16335"/>
    <w:rsid w:val="00B25A10"/>
    <w:rsid w:val="00B65BC6"/>
    <w:rsid w:val="00B67C21"/>
    <w:rsid w:val="00B718A6"/>
    <w:rsid w:val="00B74261"/>
    <w:rsid w:val="00B82256"/>
    <w:rsid w:val="00B95D93"/>
    <w:rsid w:val="00BB1048"/>
    <w:rsid w:val="00BC2217"/>
    <w:rsid w:val="00BC5A8F"/>
    <w:rsid w:val="00C256A6"/>
    <w:rsid w:val="00C31006"/>
    <w:rsid w:val="00C46489"/>
    <w:rsid w:val="00C478DF"/>
    <w:rsid w:val="00C529C0"/>
    <w:rsid w:val="00CA02D2"/>
    <w:rsid w:val="00CA4006"/>
    <w:rsid w:val="00CB2007"/>
    <w:rsid w:val="00CB2057"/>
    <w:rsid w:val="00CE650A"/>
    <w:rsid w:val="00CE6AF7"/>
    <w:rsid w:val="00CF4059"/>
    <w:rsid w:val="00CF52FF"/>
    <w:rsid w:val="00D536C9"/>
    <w:rsid w:val="00D5542D"/>
    <w:rsid w:val="00D559EB"/>
    <w:rsid w:val="00D5775B"/>
    <w:rsid w:val="00D63655"/>
    <w:rsid w:val="00D64B42"/>
    <w:rsid w:val="00D7611C"/>
    <w:rsid w:val="00D8465D"/>
    <w:rsid w:val="00DA3B71"/>
    <w:rsid w:val="00DD0585"/>
    <w:rsid w:val="00DD1C2B"/>
    <w:rsid w:val="00DE448F"/>
    <w:rsid w:val="00DE47BD"/>
    <w:rsid w:val="00DE5A84"/>
    <w:rsid w:val="00DF69F5"/>
    <w:rsid w:val="00E22924"/>
    <w:rsid w:val="00E318F2"/>
    <w:rsid w:val="00E31FE1"/>
    <w:rsid w:val="00E53D11"/>
    <w:rsid w:val="00E579AC"/>
    <w:rsid w:val="00E60AF7"/>
    <w:rsid w:val="00E66997"/>
    <w:rsid w:val="00E75C03"/>
    <w:rsid w:val="00E81E94"/>
    <w:rsid w:val="00E94AAE"/>
    <w:rsid w:val="00ED08BE"/>
    <w:rsid w:val="00ED6702"/>
    <w:rsid w:val="00EE7EEE"/>
    <w:rsid w:val="00EF7CBE"/>
    <w:rsid w:val="00F004BA"/>
    <w:rsid w:val="00F105D4"/>
    <w:rsid w:val="00F12829"/>
    <w:rsid w:val="00F157DC"/>
    <w:rsid w:val="00F17C03"/>
    <w:rsid w:val="00F17FE5"/>
    <w:rsid w:val="00F23189"/>
    <w:rsid w:val="00F3651F"/>
    <w:rsid w:val="00F52295"/>
    <w:rsid w:val="00F53BB3"/>
    <w:rsid w:val="00F71133"/>
    <w:rsid w:val="00F83B21"/>
    <w:rsid w:val="00F83E76"/>
    <w:rsid w:val="00F87525"/>
    <w:rsid w:val="00F90999"/>
    <w:rsid w:val="00F9295A"/>
    <w:rsid w:val="00FA45C8"/>
    <w:rsid w:val="00FB2705"/>
    <w:rsid w:val="00FC0821"/>
    <w:rsid w:val="00FD24D0"/>
    <w:rsid w:val="00FE5D5F"/>
    <w:rsid w:val="3FF768D4"/>
    <w:rsid w:val="577FD8A1"/>
    <w:rsid w:val="6D3BA4B0"/>
    <w:rsid w:val="FD1F4EC8"/>
    <w:rsid w:val="FF507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2"/>
    <w:basedOn w:val="1"/>
    <w:next w:val="1"/>
    <w:link w:val="17"/>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8"/>
    <w:qFormat/>
    <w:uiPriority w:val="0"/>
    <w:pPr>
      <w:spacing w:line="700" w:lineRule="exact"/>
      <w:ind w:left="960"/>
    </w:pPr>
    <w:rPr>
      <w:sz w:val="44"/>
    </w:rPr>
  </w:style>
  <w:style w:type="paragraph" w:styleId="4">
    <w:name w:val="Plain Text"/>
    <w:basedOn w:val="1"/>
    <w:link w:val="19"/>
    <w:qFormat/>
    <w:uiPriority w:val="0"/>
    <w:rPr>
      <w:rFonts w:ascii="宋体" w:hAnsi="Courier New"/>
      <w:sz w:val="21"/>
    </w:rPr>
  </w:style>
  <w:style w:type="paragraph" w:styleId="5">
    <w:name w:val="Date"/>
    <w:basedOn w:val="1"/>
    <w:next w:val="1"/>
    <w:link w:val="20"/>
    <w:qFormat/>
    <w:uiPriority w:val="0"/>
  </w:style>
  <w:style w:type="paragraph" w:styleId="6">
    <w:name w:val="Body Text Indent 2"/>
    <w:basedOn w:val="1"/>
    <w:link w:val="21"/>
    <w:qFormat/>
    <w:uiPriority w:val="0"/>
    <w:pPr>
      <w:snapToGrid w:val="0"/>
      <w:spacing w:line="560" w:lineRule="atLeast"/>
      <w:ind w:firstLine="540"/>
    </w:pPr>
  </w:style>
  <w:style w:type="paragraph" w:styleId="7">
    <w:name w:val="Balloon Text"/>
    <w:basedOn w:val="1"/>
    <w:link w:val="23"/>
    <w:semiHidden/>
    <w:unhideWhenUsed/>
    <w:qFormat/>
    <w:uiPriority w:val="99"/>
    <w:rPr>
      <w:sz w:val="18"/>
      <w:szCs w:val="18"/>
    </w:rPr>
  </w:style>
  <w:style w:type="paragraph" w:styleId="8">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qFormat/>
    <w:uiPriority w:val="0"/>
    <w:pPr>
      <w:spacing w:line="180" w:lineRule="auto"/>
      <w:jc w:val="center"/>
    </w:pPr>
    <w:rPr>
      <w:sz w:val="30"/>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4">
    <w:name w:val="page number"/>
    <w:qFormat/>
    <w:uiPriority w:val="0"/>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标题 2 Char"/>
    <w:basedOn w:val="13"/>
    <w:link w:val="2"/>
    <w:qFormat/>
    <w:uiPriority w:val="0"/>
    <w:rPr>
      <w:rFonts w:ascii="Arial" w:hAnsi="Arial" w:eastAsia="黑体" w:cs="Times New Roman"/>
      <w:b/>
      <w:sz w:val="32"/>
      <w:szCs w:val="20"/>
    </w:rPr>
  </w:style>
  <w:style w:type="character" w:customStyle="1" w:styleId="18">
    <w:name w:val="正文文本缩进 Char"/>
    <w:basedOn w:val="13"/>
    <w:link w:val="3"/>
    <w:qFormat/>
    <w:uiPriority w:val="0"/>
    <w:rPr>
      <w:rFonts w:ascii="Times New Roman" w:hAnsi="Times New Roman" w:eastAsia="宋体" w:cs="Times New Roman"/>
      <w:sz w:val="44"/>
      <w:szCs w:val="20"/>
    </w:rPr>
  </w:style>
  <w:style w:type="character" w:customStyle="1" w:styleId="19">
    <w:name w:val="纯文本 Char"/>
    <w:basedOn w:val="13"/>
    <w:link w:val="4"/>
    <w:qFormat/>
    <w:uiPriority w:val="0"/>
    <w:rPr>
      <w:rFonts w:ascii="宋体" w:hAnsi="Courier New" w:eastAsia="宋体" w:cs="Times New Roman"/>
      <w:szCs w:val="20"/>
    </w:rPr>
  </w:style>
  <w:style w:type="character" w:customStyle="1" w:styleId="20">
    <w:name w:val="日期 Char"/>
    <w:basedOn w:val="13"/>
    <w:link w:val="5"/>
    <w:qFormat/>
    <w:uiPriority w:val="0"/>
    <w:rPr>
      <w:rFonts w:ascii="Times New Roman" w:hAnsi="Times New Roman" w:eastAsia="宋体" w:cs="Times New Roman"/>
      <w:sz w:val="28"/>
      <w:szCs w:val="20"/>
    </w:rPr>
  </w:style>
  <w:style w:type="character" w:customStyle="1" w:styleId="21">
    <w:name w:val="正文文本缩进 2 Char"/>
    <w:basedOn w:val="13"/>
    <w:link w:val="6"/>
    <w:qFormat/>
    <w:uiPriority w:val="0"/>
    <w:rPr>
      <w:rFonts w:ascii="Times New Roman" w:hAnsi="Times New Roman" w:eastAsia="宋体" w:cs="Times New Roman"/>
      <w:sz w:val="28"/>
      <w:szCs w:val="20"/>
    </w:rPr>
  </w:style>
  <w:style w:type="paragraph" w:customStyle="1" w:styleId="22">
    <w:name w:val="1"/>
    <w:basedOn w:val="1"/>
    <w:next w:val="4"/>
    <w:qFormat/>
    <w:uiPriority w:val="0"/>
    <w:rPr>
      <w:rFonts w:ascii="宋体" w:hAnsi="Courier New"/>
      <w:sz w:val="21"/>
    </w:rPr>
  </w:style>
  <w:style w:type="character" w:customStyle="1" w:styleId="23">
    <w:name w:val="批注框文本 Char"/>
    <w:basedOn w:val="13"/>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33</Pages>
  <Words>2549</Words>
  <Characters>14535</Characters>
  <Lines>121</Lines>
  <Paragraphs>34</Paragraphs>
  <TotalTime>4</TotalTime>
  <ScaleCrop>false</ScaleCrop>
  <LinksUpToDate>false</LinksUpToDate>
  <CharactersWithSpaces>17050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2024-01-10T11:36:00Z</dcterms:created>
  <dc:creator>微软用户</dc:creator>
  <cp:lastModifiedBy>suma</cp:lastModifiedBy>
  <dcterms:modified xsi:type="dcterms:W3CDTF">2025-02-10T11:16:55Z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EF8A46C563B639BA776FA967A625B19E</vt:lpwstr>
  </property>
</Properties>
</file>