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hint="eastAsia" w:ascii="方正黑体_GBK" w:hAnsi="宋体" w:eastAsia="方正黑体_GBK"/>
          <w:sz w:val="84"/>
          <w:szCs w:val="84"/>
          <w:lang w:eastAsia="zh-CN"/>
        </w:rPr>
      </w:pPr>
      <w:r>
        <w:rPr>
          <w:rFonts w:hint="eastAsia" w:ascii="方正黑体_GBK" w:hAnsi="宋体" w:eastAsia="方正黑体_GBK"/>
          <w:sz w:val="84"/>
          <w:szCs w:val="84"/>
        </w:rPr>
        <w:t>限额以下比价采购</w:t>
      </w:r>
      <w:r>
        <w:rPr>
          <w:rFonts w:hint="eastAsia" w:ascii="方正黑体_GBK" w:hAnsi="宋体" w:eastAsia="方正黑体_GBK"/>
          <w:sz w:val="84"/>
          <w:szCs w:val="84"/>
          <w:lang w:eastAsia="zh-CN"/>
        </w:rPr>
        <w:t>公告</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渝港航趸</w:t>
      </w:r>
      <w:r>
        <w:rPr>
          <w:rFonts w:hint="eastAsia" w:ascii="方正小标宋_GBK" w:hAnsi="宋体" w:eastAsia="方正小标宋_GBK"/>
          <w:sz w:val="36"/>
          <w:szCs w:val="36"/>
          <w:lang w:val="en-US" w:eastAsia="zh-CN"/>
        </w:rPr>
        <w:t>0003维修改造服务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eastAsia="zh-CN"/>
        </w:rPr>
        <w:t>十二</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24817"/>
      <w:bookmarkStart w:id="1" w:name="_Toc65660329"/>
      <w:bookmarkStart w:id="2" w:name="_Toc15726"/>
      <w:bookmarkStart w:id="3" w:name="_Toc106034769"/>
      <w:bookmarkStart w:id="4" w:name="_Toc12789052"/>
      <w:bookmarkStart w:id="5" w:name="_Toc11641050"/>
      <w:bookmarkStart w:id="6"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根据工作需要，重庆市合川航道管理处对</w:t>
      </w:r>
      <w:r>
        <w:rPr>
          <w:rFonts w:hint="eastAsia" w:ascii="方正仿宋_GBK" w:hAnsi="宋体" w:eastAsia="方正仿宋_GBK"/>
          <w:sz w:val="24"/>
          <w:szCs w:val="24"/>
          <w:lang w:eastAsia="zh-CN"/>
        </w:rPr>
        <w:t>渝港航趸</w:t>
      </w:r>
      <w:r>
        <w:rPr>
          <w:rFonts w:hint="eastAsia" w:ascii="方正仿宋_GBK" w:hAnsi="宋体" w:eastAsia="方正仿宋_GBK"/>
          <w:sz w:val="24"/>
          <w:szCs w:val="24"/>
          <w:lang w:val="en-US" w:eastAsia="zh-CN"/>
        </w:rPr>
        <w:t>0003维修改造服务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26091"/>
      <w:bookmarkStart w:id="8" w:name="_Toc7758"/>
      <w:bookmarkStart w:id="9" w:name="_Toc317775175"/>
      <w:bookmarkStart w:id="10" w:name="_Toc106034770"/>
      <w:bookmarkStart w:id="11" w:name="_Toc313893526"/>
      <w:bookmarkStart w:id="12" w:name="_Toc65660330"/>
      <w:bookmarkStart w:id="13" w:name="_Toc1824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1"/>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550"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277"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912"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376"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rPr>
            </w:pPr>
            <w:bookmarkStart w:id="14" w:name="_Hlk344477914"/>
            <w:r>
              <w:rPr>
                <w:rFonts w:hint="eastAsia" w:ascii="方正仿宋_GBK" w:hAnsi="宋体" w:eastAsia="方正仿宋_GBK"/>
                <w:sz w:val="21"/>
                <w:szCs w:val="21"/>
                <w:lang w:eastAsia="zh-CN"/>
              </w:rPr>
              <w:t>渝港航趸</w:t>
            </w:r>
            <w:r>
              <w:rPr>
                <w:rFonts w:hint="eastAsia" w:ascii="方正仿宋_GBK" w:hAnsi="宋体" w:eastAsia="方正仿宋_GBK"/>
                <w:sz w:val="21"/>
                <w:szCs w:val="21"/>
                <w:lang w:val="en-US" w:eastAsia="zh-CN"/>
              </w:rPr>
              <w:t>0003维修改造服务</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lang w:val="en-US" w:eastAsia="zh-CN"/>
              </w:rPr>
              <w:t>358554.00</w:t>
            </w:r>
            <w:r>
              <w:rPr>
                <w:rFonts w:hint="eastAsia" w:ascii="方正仿宋_GBK" w:hAnsi="宋体" w:eastAsia="方正仿宋_GBK"/>
                <w:sz w:val="21"/>
                <w:szCs w:val="21"/>
                <w:lang w:eastAsia="zh-CN"/>
              </w:rPr>
              <w:t>元</w:t>
            </w:r>
          </w:p>
        </w:tc>
        <w:tc>
          <w:tcPr>
            <w:tcW w:w="191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65660331"/>
      <w:bookmarkStart w:id="16" w:name="_Toc3256"/>
      <w:bookmarkStart w:id="17" w:name="_Toc106034771"/>
      <w:bookmarkStart w:id="18" w:name="_Toc4424"/>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13541"/>
      <w:bookmarkStart w:id="23" w:name="_Toc65660332"/>
      <w:bookmarkStart w:id="24" w:name="_Toc106034772"/>
      <w:bookmarkStart w:id="25" w:name="_Toc64731996"/>
      <w:bookmarkStart w:id="26" w:name="_Toc20867"/>
      <w:bookmarkStart w:id="27" w:name="_Toc18548"/>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06034773"/>
      <w:bookmarkStart w:id="29" w:name="_Toc1386"/>
      <w:bookmarkStart w:id="30" w:name="_Toc11908"/>
      <w:bookmarkStart w:id="31" w:name="_Toc65660333"/>
      <w:bookmarkStart w:id="32" w:name="_Toc1390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日北京时间09时至09时30分。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日北京时间09时30分。</w:t>
      </w:r>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521053055"/>
      <w:bookmarkStart w:id="34" w:name="_Toc65660336"/>
      <w:bookmarkStart w:id="35" w:name="_Toc16269"/>
      <w:bookmarkStart w:id="36" w:name="_Toc525047163"/>
      <w:bookmarkStart w:id="37" w:name="_Toc6563"/>
      <w:bookmarkStart w:id="38" w:name="_Toc4728"/>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525047164"/>
      <w:bookmarkStart w:id="41" w:name="_Toc1733"/>
      <w:bookmarkStart w:id="42" w:name="_Toc65660337"/>
      <w:bookmarkStart w:id="43" w:name="_Toc1552"/>
      <w:bookmarkStart w:id="44" w:name="_Toc106034777"/>
      <w:bookmarkStart w:id="45" w:name="_Toc10415"/>
      <w:bookmarkStart w:id="46" w:name="_Toc521053056"/>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曹</w:t>
      </w:r>
      <w:r>
        <w:rPr>
          <w:rFonts w:hint="eastAsia" w:ascii="方正仿宋_GBK" w:hAnsi="宋体" w:eastAsia="方正仿宋_GBK"/>
          <w:sz w:val="24"/>
          <w:szCs w:val="24"/>
        </w:rPr>
        <w:t>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话：023-42</w:t>
      </w:r>
      <w:r>
        <w:rPr>
          <w:rFonts w:hint="eastAsia" w:ascii="方正仿宋_GBK" w:hAnsi="宋体" w:eastAsia="方正仿宋_GBK"/>
          <w:sz w:val="24"/>
          <w:szCs w:val="24"/>
          <w:lang w:val="en-US" w:eastAsia="zh-CN"/>
        </w:rPr>
        <w:t>868093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4516"/>
      <w:bookmarkStart w:id="48" w:name="_Toc11327"/>
      <w:bookmarkStart w:id="49" w:name="_Toc106034778"/>
      <w:bookmarkStart w:id="50" w:name="_Toc65660338"/>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采购人因工作需要，</w:t>
      </w:r>
      <w:r>
        <w:rPr>
          <w:rFonts w:hint="eastAsia" w:ascii="方正仿宋_GBK" w:hAnsi="宋体" w:eastAsia="方正仿宋_GBK"/>
          <w:sz w:val="24"/>
          <w:szCs w:val="24"/>
          <w:lang w:eastAsia="zh-CN"/>
        </w:rPr>
        <w:t>需对渝港航趸</w:t>
      </w:r>
      <w:r>
        <w:rPr>
          <w:rFonts w:hint="eastAsia" w:ascii="方正仿宋_GBK" w:hAnsi="宋体" w:eastAsia="方正仿宋_GBK"/>
          <w:sz w:val="24"/>
          <w:szCs w:val="24"/>
          <w:lang w:val="en-US" w:eastAsia="zh-CN"/>
        </w:rPr>
        <w:t>0003船舶进行维修改造</w:t>
      </w:r>
      <w:r>
        <w:rPr>
          <w:rFonts w:hint="eastAsia" w:ascii="方正仿宋_GBK" w:hAnsi="宋体" w:eastAsia="方正仿宋_GBK"/>
          <w:sz w:val="24"/>
          <w:szCs w:val="24"/>
        </w:rPr>
        <w:t>，</w:t>
      </w:r>
      <w:r>
        <w:rPr>
          <w:rFonts w:hint="eastAsia" w:ascii="方正仿宋_GBK" w:hAnsi="宋体" w:eastAsia="方正仿宋_GBK"/>
          <w:sz w:val="24"/>
          <w:szCs w:val="24"/>
          <w:lang w:eastAsia="zh-CN"/>
        </w:rPr>
        <w:t>具体</w:t>
      </w:r>
      <w:r>
        <w:rPr>
          <w:rFonts w:hint="eastAsia" w:ascii="方正仿宋_GBK" w:hAnsi="宋体" w:eastAsia="方正仿宋_GBK"/>
          <w:sz w:val="24"/>
          <w:szCs w:val="24"/>
        </w:rPr>
        <w:t>要求详见</w:t>
      </w:r>
      <w:r>
        <w:rPr>
          <w:rFonts w:hint="eastAsia" w:ascii="方正仿宋_GBK" w:hAnsi="宋体" w:eastAsia="方正仿宋_GBK"/>
          <w:sz w:val="24"/>
          <w:szCs w:val="24"/>
          <w:lang w:eastAsia="zh-CN"/>
        </w:rPr>
        <w:t>设计图</w:t>
      </w:r>
      <w:r>
        <w:rPr>
          <w:rFonts w:hint="eastAsia" w:ascii="方正仿宋_GBK" w:hAnsi="宋体" w:eastAsia="方正仿宋_GBK"/>
          <w:sz w:val="24"/>
          <w:szCs w:val="24"/>
        </w:rPr>
        <w:t>。</w:t>
      </w:r>
    </w:p>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供应商为采购人提供</w:t>
      </w:r>
      <w:r>
        <w:rPr>
          <w:rFonts w:hint="eastAsia" w:ascii="方正仿宋_GBK" w:hAnsi="宋体" w:eastAsia="方正仿宋_GBK"/>
          <w:sz w:val="24"/>
          <w:szCs w:val="24"/>
          <w:lang w:eastAsia="zh-CN"/>
        </w:rPr>
        <w:t>渝港航趸</w:t>
      </w:r>
      <w:r>
        <w:rPr>
          <w:rFonts w:hint="eastAsia" w:ascii="方正仿宋_GBK" w:hAnsi="宋体" w:eastAsia="方正仿宋_GBK"/>
          <w:sz w:val="24"/>
          <w:szCs w:val="24"/>
          <w:lang w:val="en-US" w:eastAsia="zh-CN"/>
        </w:rPr>
        <w:t>0003维修改造</w:t>
      </w:r>
      <w:r>
        <w:rPr>
          <w:rFonts w:hint="eastAsia" w:ascii="方正仿宋_GBK" w:hAnsi="宋体" w:eastAsia="方正仿宋_GBK"/>
          <w:sz w:val="24"/>
          <w:szCs w:val="24"/>
        </w:rPr>
        <w:t>服务，服务内容包括提供本项目所需的所有设施设备、材料、人工、运输、及船体修复、出渣清洁、税费、管理费、安全文明施工费等。</w:t>
      </w:r>
      <w:r>
        <w:rPr>
          <w:rFonts w:ascii="方正仿宋_GBK" w:hAnsi="宋体" w:eastAsia="方正仿宋_GBK"/>
          <w:sz w:val="24"/>
          <w:szCs w:val="24"/>
        </w:rPr>
        <w:t xml:space="preserve"> </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（1）供应商按图纸要求的技术参数提供材料、设备并按图</w:t>
      </w:r>
      <w:r>
        <w:rPr>
          <w:rFonts w:hint="eastAsia" w:ascii="方正仿宋_GBK" w:hAnsi="宋体" w:eastAsia="方正仿宋_GBK"/>
          <w:sz w:val="24"/>
          <w:szCs w:val="24"/>
          <w:lang w:eastAsia="zh-CN"/>
        </w:rPr>
        <w:t>完成维修改造服务</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（2）项目涉及船体部分应按船舶规范施工，施工完成后做好修复工作。</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维修改造</w:t>
      </w:r>
      <w:r>
        <w:rPr>
          <w:rFonts w:hint="eastAsia" w:ascii="方正仿宋_GBK" w:hAnsi="宋体" w:eastAsia="方正仿宋_GBK"/>
          <w:sz w:val="24"/>
          <w:szCs w:val="24"/>
        </w:rPr>
        <w:t>完成后</w:t>
      </w:r>
      <w:r>
        <w:rPr>
          <w:rFonts w:hint="eastAsia" w:ascii="方正仿宋_GBK" w:hAnsi="宋体" w:eastAsia="方正仿宋_GBK"/>
          <w:sz w:val="24"/>
          <w:szCs w:val="24"/>
          <w:lang w:eastAsia="zh-CN"/>
        </w:rPr>
        <w:t>应</w:t>
      </w:r>
      <w:r>
        <w:rPr>
          <w:rFonts w:hint="eastAsia" w:ascii="方正仿宋_GBK" w:hAnsi="宋体" w:eastAsia="方正仿宋_GBK"/>
          <w:sz w:val="24"/>
          <w:szCs w:val="24"/>
        </w:rPr>
        <w:t>满足</w:t>
      </w:r>
      <w:r>
        <w:rPr>
          <w:rFonts w:hint="eastAsia" w:ascii="方正仿宋_GBK" w:hAnsi="宋体" w:eastAsia="方正仿宋_GBK"/>
          <w:sz w:val="24"/>
          <w:szCs w:val="24"/>
          <w:lang w:eastAsia="zh-CN"/>
        </w:rPr>
        <w:t>设计及</w:t>
      </w:r>
      <w:r>
        <w:rPr>
          <w:rFonts w:hint="eastAsia" w:ascii="方正仿宋_GBK" w:hAnsi="宋体" w:eastAsia="方正仿宋_GBK"/>
          <w:sz w:val="24"/>
          <w:szCs w:val="24"/>
        </w:rPr>
        <w:t>采购人使用要求。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eastAsia="zh-CN"/>
        </w:rPr>
        <w:t>维修改造完成后需经过船检部门检验，并换发船检证书</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（5）供应商应建立健全安全保证体系，制作安装工作中应遵守《安全生产法》及其它安全法规，并对安装制作工程中的安全生产工作负责。</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（6）针对性的制定相应的环境保护措施，严格控制三废“废气、废水、废渣”的排放，减少对生态环境的不利影响。</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3.服务标准：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（1）焊接技术规范参照“船舶”规范。</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（2）其它图纸要求的规范标准。</w:t>
      </w:r>
    </w:p>
    <w:p>
      <w:pPr>
        <w:pStyle w:val="2"/>
        <w:adjustRightInd w:val="0"/>
        <w:snapToGrid w:val="0"/>
        <w:spacing w:before="0" w:after="0" w:line="400" w:lineRule="exact"/>
        <w:ind w:firstLine="480" w:firstLineChars="200"/>
        <w:rPr>
          <w:rFonts w:ascii="方正仿宋_GBK" w:hAnsi="宋体" w:eastAsia="方正仿宋_GBK"/>
          <w:sz w:val="24"/>
        </w:rPr>
      </w:pPr>
      <w:bookmarkStart w:id="55" w:name="_Toc313536013"/>
      <w:bookmarkStart w:id="56" w:name="_Toc344475116"/>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1.质量要求：达到</w:t>
      </w:r>
      <w:r>
        <w:rPr>
          <w:rFonts w:hint="eastAsia" w:ascii="方正仿宋_GBK" w:hAnsi="宋体" w:eastAsia="方正仿宋_GBK"/>
          <w:sz w:val="24"/>
          <w:szCs w:val="24"/>
          <w:lang w:eastAsia="zh-CN"/>
        </w:rPr>
        <w:t>设计</w:t>
      </w:r>
      <w:r>
        <w:rPr>
          <w:rFonts w:hint="eastAsia" w:ascii="方正仿宋_GBK" w:hAnsi="宋体" w:eastAsia="方正仿宋_GBK"/>
          <w:sz w:val="24"/>
          <w:szCs w:val="24"/>
        </w:rPr>
        <w:t>图纸要求的技术规范</w:t>
      </w:r>
      <w:r>
        <w:rPr>
          <w:rFonts w:hint="eastAsia" w:ascii="方正仿宋_GBK" w:hAnsi="宋体" w:eastAsia="方正仿宋_GBK"/>
          <w:sz w:val="24"/>
          <w:szCs w:val="24"/>
          <w:lang w:eastAsia="zh-CN"/>
        </w:rPr>
        <w:t>及船检部门要求</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2.质量保修期：1年</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四、服务工程量清单</w:t>
      </w:r>
    </w:p>
    <w:p/>
    <w:bookmarkEnd w:id="59"/>
    <w:tbl>
      <w:tblPr>
        <w:tblStyle w:val="11"/>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880"/>
        <w:gridCol w:w="3270"/>
        <w:gridCol w:w="885"/>
        <w:gridCol w:w="8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982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渝港航趸0003维修改造服务项目清单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船体改造</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花铁板</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花铁板钢架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L63*40*6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花铁板固定螺栓</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新增钢质围壁</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新增钢质围壁扶强材</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L75*50*6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库房外围壁门窗封闭用钢板</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库房外围壁新增扶强材</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L75*50*6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电动滑车轨道</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I20b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滑车轨道肘板</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锚机座</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锚机舱内电机座</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跳板搭接台拆除</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跳板搭接台新制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顶篷甲板、上甲板落水管改造（含渝合航3号驾驶室顶棚甲板前部左右两舷增设1个DN50甲板落水口YA50 CB496-74，现场定位，DN50落水管沿顶棚帽檐下方两侧延伸到会议室顶棚前方地漏处）</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Φ89*4.5镀锌钢管，Φ60*4.5镀锌钢管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i w:val="0"/>
                <w:iCs w:val="0"/>
                <w:color w:val="000000"/>
                <w:sz w:val="22"/>
                <w:szCs w:val="22"/>
                <w:u w:val="none"/>
              </w:rPr>
            </w:pPr>
            <w:r>
              <w:rPr>
                <w:rFonts w:hint="eastAsia" w:ascii="方正书宋_GBK" w:hAnsi="方正书宋_GBK" w:eastAsia="方正书宋_GBK" w:cs="方正书宋_GBK"/>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大厅玻璃幕墙</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6"/>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舾装设备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电动起锚系缆绞盘</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型号：DMSE28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型式：电动、落舱式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链径：φ28mm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额定起锚拉力：33.32kN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起锚速度： 12m/min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额定系缆负荷：30kN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钢索直径：φ20.5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电机型号：JZ2-H51-4/8/16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电机功率：16/16/11kW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重量：1580kg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孝感大鹏，整机供货，包含主令控制器和电控箱,电机在底层甲板，提供船用产品证书。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闸刀掣链器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导链滚轮</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停泊掣链器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28Z</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弃链器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锚链舱眼环</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锚链管</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CB*3133--83 B31-34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锚链导槽</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与锚机匹配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钢质舱口盖</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1500X1200X4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圆形平式双盖水密舱口盖 Φ500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CB3125-83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铝质埋入式水密舱口盖  A500×500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 958-80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斜梯</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A60度X600 GB4444-84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库房搁物架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无型号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船岸间跳板</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10m*1.8m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电动葫芦</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型号：CD11-6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起升速度：8m/min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起升高度：6m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运行速度：20m/min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起升电机功率：1.5kW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运行电机功率：0.2kW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整机自重：120kg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起重量1t，起吊高度6m，整机供货，钢丝绳、吊钩、控制手柄等全套附件配齐。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跳板卷扬机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型号：2JM-1t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型式：双卷筒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钢丝索直径：φ12.5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拉力：10kN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提升速度：12m/min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卷筒：直径×长度:φ219×414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容索量：100m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电机型号：Y132S-4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重量：250kg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整机供货，包括防水按钮盒及电控箱。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跳板起吊钢丝绳</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Φ12.5  (6×37)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眼板</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钢索导向滑轮</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CB/T153-1995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防脱钢丝绳</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跳板起吊附件</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电缆卷扬机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型号：JM-1t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钢丝索直径：φ9.3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拉力：10kN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提升速度：12m/min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卷筒：直径×长度:φ219×414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容索量：150m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电机型号：Y132S-4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功率：5.5kW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整机供货，包括防水按钮盒及电控箱。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电缆用钢丝绳</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水管卷扬机</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型号：JM-1t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钢丝索直径：φ9.3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拉力：10kN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卷筒：直径×长度:φ219×414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转速:32.6 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容索量：150m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电机型号：Y132S-4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功率：5.5kW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整机供货，包括防水按钮盒及电控箱。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水管用钢丝绳</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库房风雨密钢质门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900*1700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电气设备</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3×10mm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3×6mm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3×2.5mm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3×1.5mm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3×1mm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2×1.5mm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船用电缆  14×1.5mm</w:t>
            </w:r>
            <w:r>
              <w:rPr>
                <w:rStyle w:val="26"/>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CJ86/SC</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63/100 3P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32/100 3P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 3P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电气辅料</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大厅内饰</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天棚工程（一）</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30*30*2.5mm镀锌角钢吊筋；40*20*1.2mm镀锌方管主骨；30*20*1.2mm镀锌方管副骨；按扣板尺寸安装三角龙骨，焊接处做防锈处理。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天棚工程（二）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低斜边矩形铝扣板，规格：600*600*0.8mm；1.0mm直排孔白色，背面贴黑色无纺布防尘，暗骨架安装，铝质阴角线收边。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天棚工程（三）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木纹膜面铝蜂窝板造型边吊，暗藏灯带及暗窗帘盒，铝质型材收边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地面工程（一）</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水泥砂浆加铁丝网，厚度均值约80mm。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地面工程（二）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抛釉地砖，规格：800*800mm，优等品抛光瓷砖，含铺贴辅料及美缝。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地面工程（三）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非潮湿区域踢脚线：市购成品实木地脚线，80mm高</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墙面工程（一）</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25*50*2.0mm U型镀锌天地槽及垫铁，30*30*2.5mm镀锌角钢支撑，30*30*1.2mm镀锌方管横向加固，焊接处做防锈处理。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墙面工程（二）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A型船用铝蜂窝板，规格：t25mm、w=550mm；双面0.6mm铝板，正面复合PVC膜，配铝合金收边条。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墙面工程（三）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窗套制作:防火大芯板基层框架、标0.6mm灰钛不锈钢包面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背景装饰墙</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木纹膜面铝蜂窝板，t=20mm，铝质线条收边。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灯饰工程</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嵌入式LED面板灯，规格600*600mm，28W；铝质外框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门窗及水电</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12厘钢化玻璃，地弹簧，灰钛不锈钢门套。一层大厅；尺寸2000*1600；硅宝563胶水。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水电安装费</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线路清理出线，主灯具、筒灯、射灯、LED、T5灯架、开关插座面板安装、挂件安装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家具、家电</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沙发（大厅）</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三人位(2100X850X850)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750x750x580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800x400x900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窗帘及其属具</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布艺横拉帘，高密棉麻料，静音滑轨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大3P柱式空调</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冷暖、一级能效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3356"/>
      <w:bookmarkStart w:id="61" w:name="_Toc65660341"/>
      <w:bookmarkStart w:id="62" w:name="_Toc15492"/>
      <w:bookmarkStart w:id="63" w:name="_Toc523"/>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3555"/>
      <w:bookmarkStart w:id="66" w:name="_Toc106034782"/>
      <w:bookmarkStart w:id="67" w:name="_Toc65660342"/>
      <w:bookmarkStart w:id="68" w:name="_Toc17750"/>
      <w:bookmarkStart w:id="69" w:name="_Toc1293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w:t>
      </w:r>
      <w:r>
        <w:rPr>
          <w:rFonts w:hint="eastAsia" w:ascii="方正仿宋_GBK" w:hAnsi="宋体" w:eastAsia="方正仿宋_GBK"/>
          <w:sz w:val="24"/>
          <w:szCs w:val="24"/>
          <w:lang w:eastAsia="zh-CN"/>
        </w:rPr>
        <w:t>至</w:t>
      </w:r>
      <w:r>
        <w:rPr>
          <w:rFonts w:hint="eastAsia" w:ascii="方正仿宋_GBK" w:hAnsi="宋体" w:eastAsia="方正仿宋_GBK"/>
          <w:sz w:val="24"/>
          <w:szCs w:val="24"/>
          <w:lang w:val="en-US" w:eastAsia="zh-CN"/>
        </w:rPr>
        <w:t>2025年4月15日</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（二）服务地点：合川航道管理处</w:t>
      </w:r>
      <w:r>
        <w:rPr>
          <w:rFonts w:hint="eastAsia" w:ascii="方正仿宋_GBK" w:hAnsi="宋体" w:eastAsia="方正仿宋_GBK"/>
          <w:sz w:val="24"/>
          <w:szCs w:val="24"/>
          <w:lang w:eastAsia="zh-CN"/>
        </w:rPr>
        <w:t>码头场</w:t>
      </w:r>
      <w:r>
        <w:rPr>
          <w:rFonts w:hint="eastAsia" w:ascii="方正仿宋_GBK" w:hAnsi="宋体" w:eastAsia="方正仿宋_GBK"/>
          <w:sz w:val="24"/>
          <w:szCs w:val="24"/>
        </w:rPr>
        <w:t>航道基地。</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w:t>
      </w:r>
      <w:r>
        <w:rPr>
          <w:rFonts w:hint="eastAsia" w:ascii="方正仿宋_GBK" w:hAnsi="宋体" w:eastAsia="方正仿宋_GBK"/>
          <w:sz w:val="24"/>
          <w:szCs w:val="24"/>
          <w:lang w:eastAsia="zh-CN"/>
        </w:rPr>
        <w:t>维修改造</w:t>
      </w:r>
      <w:r>
        <w:rPr>
          <w:rFonts w:hint="eastAsia" w:ascii="方正仿宋_GBK" w:hAnsi="宋体" w:eastAsia="方正仿宋_GBK"/>
          <w:sz w:val="24"/>
          <w:szCs w:val="24"/>
        </w:rPr>
        <w:t>调试完成后，采购人现场验收</w:t>
      </w:r>
      <w:r>
        <w:rPr>
          <w:rFonts w:hint="eastAsia" w:ascii="方正仿宋_GBK" w:hAnsi="宋体" w:eastAsia="方正仿宋_GBK"/>
          <w:sz w:val="24"/>
          <w:szCs w:val="24"/>
          <w:lang w:eastAsia="zh-CN"/>
        </w:rPr>
        <w:t>，并通过船舶检验换发船检证书</w:t>
      </w:r>
      <w:r>
        <w:rPr>
          <w:rFonts w:hint="eastAsia" w:ascii="方正仿宋_GBK" w:hAnsi="宋体" w:eastAsia="方正仿宋_GBK"/>
          <w:sz w:val="24"/>
          <w:szCs w:val="24"/>
        </w:rPr>
        <w:t>。</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8103"/>
      <w:bookmarkStart w:id="72" w:name="_Toc24110"/>
      <w:bookmarkStart w:id="73" w:name="_Toc65660343"/>
      <w:bookmarkStart w:id="74" w:name="_Toc1838"/>
      <w:bookmarkStart w:id="75" w:name="_Toc10603478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（一）服务质量保证期：1年</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65660344"/>
      <w:bookmarkStart w:id="77" w:name="_Toc12184"/>
      <w:bookmarkStart w:id="78" w:name="_Toc122"/>
      <w:bookmarkStart w:id="79" w:name="_Toc106034784"/>
      <w:bookmarkStart w:id="80" w:name="_Toc1697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本项目采取固定总价的报价方式，报价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，包括完成本项目所需的人力、材料、运输、安全环保费用以及各种应纳的税</w:t>
      </w:r>
      <w:r>
        <w:rPr>
          <w:rFonts w:hint="eastAsia" w:ascii="方正仿宋_GBK" w:hAnsi="宋体" w:eastAsia="方正仿宋_GBK" w:cs="宋体"/>
          <w:kern w:val="0"/>
          <w:sz w:val="24"/>
          <w:szCs w:val="24"/>
        </w:rPr>
        <w:t>费</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四、服务能力</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lang w:val="zh-TW" w:eastAsia="zh-CN"/>
        </w:rPr>
        <w:t>供应商须自</w:t>
      </w:r>
      <w:r>
        <w:rPr>
          <w:rFonts w:hint="eastAsia" w:ascii="方正仿宋_GBK" w:hAnsi="宋体" w:eastAsia="方正仿宋_GBK"/>
          <w:sz w:val="24"/>
          <w:szCs w:val="24"/>
          <w:lang w:val="en-US" w:eastAsia="zh-CN"/>
        </w:rPr>
        <w:t>2022年1月1日起至投标截止日止（以合同签订日期为准），具有至少1个船舶建造、改造或维修业绩。提供合同复印件，加盖供应商公章（合同提供关键页即可，包含但不限于首页、尾页、签章页、主要</w:t>
      </w:r>
      <w:bookmarkStart w:id="241" w:name="_GoBack"/>
      <w:bookmarkEnd w:id="241"/>
      <w:r>
        <w:rPr>
          <w:rFonts w:hint="eastAsia" w:ascii="方正仿宋_GBK" w:hAnsi="宋体" w:eastAsia="方正仿宋_GBK"/>
          <w:sz w:val="24"/>
          <w:szCs w:val="24"/>
          <w:lang w:val="en-US" w:eastAsia="zh-CN"/>
        </w:rPr>
        <w:t>条款页，关键页需能充分体现以上业绩要求各项要素）。</w:t>
      </w:r>
    </w:p>
    <w:p>
      <w:pPr>
        <w:pStyle w:val="2"/>
        <w:adjustRightInd w:val="0"/>
        <w:snapToGrid w:val="0"/>
        <w:spacing w:before="0" w:after="0" w:line="400" w:lineRule="exact"/>
        <w:ind w:firstLine="480" w:firstLineChars="200"/>
        <w:rPr>
          <w:rFonts w:ascii="方正仿宋_GBK" w:hAnsi="宋体" w:eastAsia="方正仿宋_GBK"/>
          <w:sz w:val="24"/>
          <w:szCs w:val="24"/>
        </w:rPr>
      </w:pPr>
      <w:bookmarkStart w:id="81" w:name="_Toc11000"/>
      <w:bookmarkStart w:id="82" w:name="_Toc9192"/>
      <w:bookmarkStart w:id="83" w:name="_Toc7562"/>
      <w:bookmarkStart w:id="84" w:name="_Toc65660345"/>
      <w:bookmarkStart w:id="85" w:name="_Toc106034785"/>
      <w:r>
        <w:rPr>
          <w:rFonts w:hint="eastAsia" w:ascii="方正仿宋_GBK" w:hAnsi="宋体" w:eastAsia="方正仿宋_GBK"/>
          <w:sz w:val="24"/>
          <w:szCs w:val="24"/>
          <w:lang w:eastAsia="zh-CN"/>
        </w:rPr>
        <w:t>五</w:t>
      </w:r>
      <w:r>
        <w:rPr>
          <w:rFonts w:hint="eastAsia" w:ascii="方正仿宋_GBK" w:hAnsi="宋体" w:eastAsia="方正仿宋_GBK"/>
          <w:sz w:val="24"/>
          <w:szCs w:val="24"/>
        </w:rPr>
        <w:t>、付款方式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项目验收合格后供应商开具相应合同金额发票，采购人凭发票一次性支付全部合同款。</w:t>
      </w:r>
    </w:p>
    <w:bookmarkEnd w:id="86"/>
    <w:bookmarkEnd w:id="87"/>
    <w:p>
      <w:pPr>
        <w:pStyle w:val="2"/>
        <w:adjustRightInd w:val="0"/>
        <w:snapToGrid w:val="0"/>
        <w:spacing w:before="0" w:after="0" w:line="400" w:lineRule="exact"/>
        <w:ind w:firstLine="480" w:firstLineChars="200"/>
        <w:rPr>
          <w:rFonts w:ascii="方正仿宋_GBK" w:hAnsi="宋体" w:eastAsia="方正仿宋_GBK"/>
          <w:sz w:val="24"/>
        </w:rPr>
      </w:pPr>
      <w:bookmarkStart w:id="88" w:name="_Toc7228"/>
      <w:bookmarkStart w:id="89" w:name="_Toc65660346"/>
      <w:bookmarkStart w:id="90" w:name="_Toc3786"/>
      <w:bookmarkStart w:id="91" w:name="_Toc24751"/>
      <w:bookmarkStart w:id="92" w:name="_Toc106034786"/>
      <w:r>
        <w:rPr>
          <w:rFonts w:hint="eastAsia" w:ascii="方正仿宋_GBK" w:hAnsi="宋体" w:eastAsia="方正仿宋_GBK"/>
          <w:sz w:val="24"/>
          <w:lang w:eastAsia="zh-CN"/>
        </w:rPr>
        <w:t>六</w:t>
      </w:r>
      <w:r>
        <w:rPr>
          <w:rFonts w:hint="eastAsia" w:ascii="方正仿宋_GBK" w:hAnsi="宋体" w:eastAsia="方正仿宋_GBK"/>
          <w:sz w:val="24"/>
        </w:rPr>
        <w:t>、知识产权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0" w:firstLineChars="200"/>
        <w:rPr>
          <w:rFonts w:ascii="方正仿宋_GBK" w:hAnsi="宋体" w:eastAsia="方正仿宋_GBK"/>
          <w:sz w:val="24"/>
        </w:rPr>
      </w:pPr>
      <w:bookmarkStart w:id="93" w:name="_Toc106034787"/>
      <w:bookmarkStart w:id="94" w:name="_Toc6565"/>
      <w:bookmarkStart w:id="95" w:name="_Toc65660347"/>
      <w:bookmarkStart w:id="96" w:name="_Toc5555"/>
      <w:bookmarkStart w:id="97" w:name="_Toc6869"/>
      <w:r>
        <w:rPr>
          <w:rFonts w:hint="eastAsia" w:ascii="方正仿宋_GBK" w:hAnsi="宋体" w:eastAsia="方正仿宋_GBK"/>
          <w:sz w:val="24"/>
          <w:lang w:eastAsia="zh-CN"/>
        </w:rPr>
        <w:t>七</w:t>
      </w:r>
      <w:r>
        <w:rPr>
          <w:rFonts w:hint="eastAsia" w:ascii="方正仿宋_GBK" w:hAnsi="宋体" w:eastAsia="方正仿宋_GBK"/>
          <w:sz w:val="24"/>
        </w:rPr>
        <w:t>、培训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8" w:name="_Toc18104"/>
      <w:bookmarkStart w:id="99" w:name="_Toc947"/>
      <w:bookmarkStart w:id="100" w:name="_Toc108013105"/>
      <w:bookmarkStart w:id="101" w:name="_Toc25707"/>
      <w:bookmarkStart w:id="102" w:name="_Toc19427"/>
      <w:bookmarkStart w:id="103" w:name="_Toc31910"/>
      <w:bookmarkStart w:id="104" w:name="_Toc2954"/>
      <w:bookmarkStart w:id="105" w:name="_Toc466546918"/>
      <w:bookmarkStart w:id="106" w:name="_Toc23902"/>
      <w:bookmarkStart w:id="107" w:name="_Toc106034788"/>
      <w:bookmarkStart w:id="108" w:name="_Toc31659"/>
      <w:bookmarkStart w:id="109" w:name="_Toc21248"/>
      <w:bookmarkStart w:id="110" w:name="_Toc65660348"/>
      <w:r>
        <w:rPr>
          <w:rFonts w:hint="eastAsia" w:ascii="方正仿宋_GBK" w:hAnsi="方正仿宋_GBK" w:eastAsia="方正仿宋_GBK" w:cs="方正仿宋_GBK"/>
          <w:sz w:val="24"/>
          <w:lang w:eastAsia="zh-CN"/>
        </w:rPr>
        <w:t>八</w:t>
      </w:r>
      <w:r>
        <w:rPr>
          <w:rFonts w:hint="eastAsia" w:ascii="方正仿宋_GBK" w:hAnsi="方正仿宋_GBK" w:eastAsia="方正仿宋_GBK" w:cs="方正仿宋_GBK"/>
          <w:sz w:val="24"/>
        </w:rPr>
        <w:t>、项目风险管控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lang w:eastAsia="zh-CN"/>
        </w:rPr>
        <w:t>九</w:t>
      </w:r>
      <w:r>
        <w:rPr>
          <w:rFonts w:hint="eastAsia" w:ascii="方正仿宋_GBK" w:hAnsi="宋体" w:eastAsia="方正仿宋_GBK"/>
          <w:sz w:val="24"/>
        </w:rPr>
        <w:t>、</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lang w:eastAsia="zh-CN"/>
        </w:rPr>
        <w:t>十</w:t>
      </w:r>
      <w:r>
        <w:rPr>
          <w:rFonts w:hint="eastAsia" w:ascii="方正仿宋_GBK" w:hAnsi="宋体" w:eastAsia="方正仿宋_GBK"/>
          <w:sz w:val="24"/>
        </w:rPr>
        <w:t>、合同争议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w:t>
      </w:r>
      <w:r>
        <w:rPr>
          <w:rFonts w:hint="eastAsia" w:ascii="方正仿宋_GBK" w:hAnsi="宋体" w:eastAsia="方正仿宋_GBK"/>
          <w:sz w:val="24"/>
          <w:lang w:eastAsia="zh-CN"/>
        </w:rPr>
        <w:t>一</w:t>
      </w:r>
      <w:r>
        <w:rPr>
          <w:rFonts w:hint="eastAsia" w:ascii="方正仿宋_GBK" w:hAnsi="宋体" w:eastAsia="方正仿宋_GBK"/>
          <w:sz w:val="24"/>
        </w:rPr>
        <w:t>、其他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65660349"/>
      <w:bookmarkStart w:id="113" w:name="_Toc24195"/>
      <w:bookmarkStart w:id="114" w:name="_Toc16123"/>
      <w:bookmarkStart w:id="115" w:name="_Toc31282"/>
      <w:bookmarkStart w:id="116" w:name="_Toc10603478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0" w:firstLineChars="200"/>
        <w:rPr>
          <w:rFonts w:ascii="方正仿宋_GBK" w:hAnsi="宋体" w:eastAsia="方正仿宋_GBK"/>
          <w:sz w:val="24"/>
        </w:rPr>
      </w:pPr>
      <w:bookmarkStart w:id="117" w:name="_Toc9361"/>
      <w:bookmarkStart w:id="118" w:name="_Toc106034790"/>
      <w:bookmarkStart w:id="119" w:name="_Toc5167"/>
      <w:bookmarkStart w:id="120" w:name="_Toc27932"/>
      <w:bookmarkStart w:id="121" w:name="_Toc64732012"/>
      <w:bookmarkStart w:id="122" w:name="_Toc6566035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23" w:name="_Toc5149"/>
      <w:bookmarkStart w:id="124" w:name="_Toc11713"/>
      <w:bookmarkStart w:id="125" w:name="_Toc64732013"/>
      <w:bookmarkStart w:id="126" w:name="_Toc65660351"/>
      <w:bookmarkStart w:id="127" w:name="_Toc106034791"/>
      <w:bookmarkStart w:id="128" w:name="_Toc30639"/>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29" w:name="_Toc29113"/>
      <w:bookmarkStart w:id="130" w:name="_Toc12644"/>
      <w:bookmarkStart w:id="131" w:name="_Toc65660352"/>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22716"/>
      <w:bookmarkStart w:id="135" w:name="_Toc106034793"/>
      <w:bookmarkStart w:id="136" w:name="_Toc28422"/>
      <w:bookmarkStart w:id="137" w:name="_Toc65660353"/>
      <w:bookmarkStart w:id="138" w:name="_Toc29298"/>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10768"/>
      <w:bookmarkStart w:id="140" w:name="_Toc106034794"/>
      <w:bookmarkStart w:id="141" w:name="_Toc8916"/>
      <w:bookmarkStart w:id="142" w:name="_Toc65660354"/>
      <w:bookmarkStart w:id="143" w:name="_Toc20055"/>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106034795"/>
      <w:bookmarkStart w:id="145" w:name="_Toc2864"/>
      <w:bookmarkStart w:id="146" w:name="_Toc5290"/>
      <w:bookmarkStart w:id="147" w:name="_Toc65660355"/>
      <w:bookmarkStart w:id="148" w:name="_Toc16524"/>
      <w:r>
        <w:rPr>
          <w:rFonts w:hint="eastAsia" w:ascii="方正仿宋_GBK" w:hAnsi="宋体" w:eastAsia="方正仿宋_GBK"/>
          <w:sz w:val="24"/>
        </w:rPr>
        <w:t>一、限额以下比价费用</w:t>
      </w:r>
      <w:bookmarkEnd w:id="144"/>
      <w:bookmarkEnd w:id="145"/>
      <w:bookmarkEnd w:id="146"/>
      <w:bookmarkEnd w:id="147"/>
      <w:bookmarkEnd w:id="14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5915"/>
      <w:bookmarkStart w:id="150" w:name="_Toc31070"/>
      <w:bookmarkStart w:id="151" w:name="_Toc65660356"/>
      <w:bookmarkStart w:id="152" w:name="_Toc106034796"/>
      <w:bookmarkStart w:id="153" w:name="_Toc31739"/>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3061"/>
      <w:bookmarkStart w:id="155" w:name="_Toc106034797"/>
      <w:bookmarkStart w:id="156" w:name="_Toc9532"/>
      <w:bookmarkStart w:id="157" w:name="_Toc1922"/>
      <w:bookmarkStart w:id="158" w:name="_Toc6566035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14702"/>
      <w:bookmarkStart w:id="160" w:name="_Toc10172"/>
      <w:bookmarkStart w:id="161" w:name="_Toc65660358"/>
      <w:bookmarkStart w:id="162" w:name="_Toc106034798"/>
      <w:bookmarkStart w:id="163" w:name="_Toc6242"/>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10504"/>
      <w:bookmarkStart w:id="165" w:name="_Toc106034799"/>
      <w:bookmarkStart w:id="166" w:name="_Toc65660359"/>
      <w:bookmarkStart w:id="167" w:name="_Toc29821"/>
      <w:bookmarkStart w:id="168" w:name="_Toc1092"/>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65660360"/>
      <w:bookmarkStart w:id="170" w:name="_Toc1010"/>
      <w:bookmarkStart w:id="171" w:name="_Toc106034800"/>
      <w:bookmarkStart w:id="172" w:name="_Toc31082"/>
      <w:bookmarkStart w:id="173" w:name="_Toc30909"/>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74" w:name="_Toc106034801"/>
      <w:bookmarkStart w:id="175" w:name="_Toc3127"/>
      <w:bookmarkStart w:id="176" w:name="_Toc16648"/>
      <w:bookmarkStart w:id="177" w:name="_Toc65660361"/>
      <w:bookmarkStart w:id="178" w:name="_Toc23778"/>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79" w:name="_Toc77"/>
      <w:bookmarkStart w:id="180" w:name="_Toc106034802"/>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0" w:firstLineChars="200"/>
        <w:rPr>
          <w:rFonts w:ascii="方正仿宋_GBK" w:hAnsi="宋体" w:eastAsia="方正仿宋_GBK"/>
          <w:sz w:val="24"/>
        </w:rPr>
      </w:pPr>
      <w:bookmarkStart w:id="181" w:name="_Toc65660362"/>
      <w:bookmarkStart w:id="182" w:name="_Toc32594"/>
      <w:bookmarkStart w:id="183" w:name="_Toc106034803"/>
      <w:bookmarkStart w:id="184" w:name="_Toc2438"/>
      <w:bookmarkStart w:id="185" w:name="_Toc2951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1641055"/>
      <w:bookmarkStart w:id="187" w:name="_Toc12789059"/>
      <w:bookmarkStart w:id="188" w:name="_Toc10599"/>
      <w:bookmarkStart w:id="189" w:name="_Toc14861"/>
      <w:bookmarkStart w:id="190" w:name="_Toc106034806"/>
      <w:bookmarkStart w:id="191" w:name="_Toc65660365"/>
      <w:bookmarkStart w:id="192" w:name="_Toc28162"/>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固定总价，合计人民币（小写）：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固定总价，合计人民币（大写）：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6968"/>
      <w:bookmarkStart w:id="197" w:name="_Toc106034807"/>
      <w:bookmarkStart w:id="198" w:name="_Toc12789072"/>
      <w:bookmarkStart w:id="199" w:name="_Toc18521"/>
      <w:bookmarkStart w:id="200" w:name="_Toc65660378"/>
      <w:bookmarkStart w:id="201" w:name="_Toc953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02" w:name="_Toc342913419"/>
      <w:bookmarkStart w:id="203" w:name="_Toc65660379"/>
      <w:bookmarkStart w:id="204" w:name="_Toc313888360"/>
      <w:bookmarkStart w:id="205" w:name="_Toc14244"/>
      <w:bookmarkStart w:id="206" w:name="_Toc106034808"/>
      <w:bookmarkStart w:id="207" w:name="_Toc30982"/>
      <w:bookmarkStart w:id="208" w:name="_Toc26343"/>
      <w:bookmarkStart w:id="209" w:name="_Toc313008356"/>
      <w:bookmarkStart w:id="210" w:name="_Toc283382454"/>
      <w:bookmarkStart w:id="211" w:name="_Toc12789073"/>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1"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项目名称（服务类）： </w:t>
      </w:r>
    </w:p>
    <w:tbl>
      <w:tblPr>
        <w:tblStyle w:val="11"/>
        <w:tblW w:w="8960" w:type="dxa"/>
        <w:tblInd w:w="96" w:type="dxa"/>
        <w:tblLayout w:type="fixed"/>
        <w:tblCellMar>
          <w:top w:w="0" w:type="dxa"/>
          <w:left w:w="108" w:type="dxa"/>
          <w:bottom w:w="0" w:type="dxa"/>
          <w:right w:w="108" w:type="dxa"/>
        </w:tblCellMar>
      </w:tblPr>
      <w:tblGrid>
        <w:gridCol w:w="824"/>
        <w:gridCol w:w="2013"/>
        <w:gridCol w:w="1130"/>
        <w:gridCol w:w="835"/>
        <w:gridCol w:w="945"/>
        <w:gridCol w:w="1185"/>
        <w:gridCol w:w="1020"/>
        <w:gridCol w:w="1008"/>
      </w:tblGrid>
      <w:tr>
        <w:tblPrEx>
          <w:tblLayout w:type="fixed"/>
          <w:tblCellMar>
            <w:top w:w="0" w:type="dxa"/>
            <w:left w:w="108" w:type="dxa"/>
            <w:bottom w:w="0" w:type="dxa"/>
            <w:right w:w="108" w:type="dxa"/>
          </w:tblCellMar>
        </w:tblPrEx>
        <w:trPr>
          <w:trHeight w:val="402" w:hRule="atLeast"/>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序号</w:t>
            </w:r>
          </w:p>
        </w:tc>
        <w:tc>
          <w:tcPr>
            <w:tcW w:w="2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lang w:eastAsia="zh-CN"/>
              </w:rPr>
              <w:t>项目名称</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0"/>
                <w:lang w:eastAsia="zh-CN"/>
              </w:rPr>
            </w:pPr>
            <w:r>
              <w:rPr>
                <w:rFonts w:hint="eastAsia" w:ascii="宋体" w:hAnsi="宋体" w:cs="宋体"/>
                <w:kern w:val="0"/>
                <w:sz w:val="20"/>
                <w:lang w:eastAsia="zh-CN"/>
              </w:rPr>
              <w:t>规格型号</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 w:val="20"/>
              </w:rPr>
            </w:pPr>
            <w:r>
              <w:rPr>
                <w:rFonts w:hint="eastAsia" w:ascii="宋体" w:hAnsi="宋体" w:cs="宋体"/>
                <w:kern w:val="0"/>
                <w:sz w:val="20"/>
              </w:rPr>
              <w:t>单位</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数量</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单价（元）</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总价（元）</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备注</w:t>
            </w: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 w:val="24"/>
                <w:szCs w:val="24"/>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8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Layout w:type="fixed"/>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20"/>
                <w:lang w:eastAsia="zh-CN"/>
              </w:rPr>
            </w:pPr>
            <w:r>
              <w:rPr>
                <w:rFonts w:hint="eastAsia" w:ascii="宋体" w:hAnsi="宋体" w:cs="宋体"/>
                <w:kern w:val="0"/>
                <w:sz w:val="20"/>
                <w:lang w:eastAsia="zh-CN"/>
              </w:rPr>
              <w:t>总计</w:t>
            </w:r>
          </w:p>
        </w:tc>
        <w:tc>
          <w:tcPr>
            <w:tcW w:w="201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0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00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bl>
    <w:p>
      <w:pPr>
        <w:spacing w:line="400" w:lineRule="exact"/>
        <w:rPr>
          <w:rFonts w:ascii="方正仿宋_GBK" w:hAnsi="宋体" w:eastAsia="方正仿宋_GBK"/>
          <w:sz w:val="24"/>
          <w:szCs w:val="24"/>
          <w:u w:val="single"/>
        </w:rPr>
      </w:pP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212" w:name="_Toc313008357"/>
      <w:bookmarkStart w:id="213" w:name="_Toc313888361"/>
      <w:bookmarkStart w:id="214" w:name="_Toc26085"/>
      <w:bookmarkStart w:id="215" w:name="_Toc14073"/>
      <w:bookmarkStart w:id="216" w:name="_Toc22655"/>
      <w:bookmarkStart w:id="217" w:name="_Toc342913420"/>
      <w:bookmarkStart w:id="218" w:name="_Toc65660380"/>
      <w:bookmarkStart w:id="219" w:name="_Toc106034809"/>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27717"/>
      <w:bookmarkStart w:id="221" w:name="_Toc32158"/>
      <w:bookmarkStart w:id="222" w:name="_Toc32339"/>
      <w:bookmarkStart w:id="223" w:name="_Toc65660381"/>
      <w:bookmarkStart w:id="224" w:name="_Toc106034810"/>
      <w:bookmarkStart w:id="225" w:name="_Toc342913421"/>
      <w:bookmarkStart w:id="226" w:name="_Toc313888362"/>
      <w:bookmarkStart w:id="227" w:name="_Toc313008358"/>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8" w:name="_Toc65660382"/>
      <w:bookmarkStart w:id="229" w:name="_Toc106034811"/>
      <w:bookmarkStart w:id="230" w:name="_Toc2082"/>
      <w:bookmarkStart w:id="231" w:name="_Toc20162"/>
      <w:bookmarkStart w:id="232" w:name="_Toc21793"/>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42913422"/>
      <w:bookmarkStart w:id="234" w:name="_Toc313008359"/>
      <w:bookmarkStart w:id="235"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1"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36" w:name="_Toc65660383"/>
      <w:bookmarkStart w:id="237" w:name="_Toc2080"/>
      <w:bookmarkStart w:id="238" w:name="_Toc15815"/>
      <w:bookmarkStart w:id="239" w:name="_Toc17010"/>
      <w:bookmarkStart w:id="240" w:name="_Toc106034812"/>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黑体_GBK">
    <w:altName w:val="汉仪中黑KW"/>
    <w:panose1 w:val="02000000000000000000"/>
    <w:charset w:val="86"/>
    <w:family w:val="auto"/>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仿宋_GBK">
    <w:altName w:val="汉仪仿宋KW"/>
    <w:panose1 w:val="02000000000000000000"/>
    <w:charset w:val="86"/>
    <w:family w:val="script"/>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书宋_GBK">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 w:name="等线">
    <w:altName w:val="汉仪中等线KW"/>
    <w:panose1 w:val="02010600030101010101"/>
    <w:charset w:val="86"/>
    <w:family w:val="roman"/>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- 29 -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D030A"/>
    <w:rsid w:val="00005456"/>
    <w:rsid w:val="00024357"/>
    <w:rsid w:val="00050434"/>
    <w:rsid w:val="000600E1"/>
    <w:rsid w:val="00065F5E"/>
    <w:rsid w:val="00070D39"/>
    <w:rsid w:val="000954B0"/>
    <w:rsid w:val="000B1C02"/>
    <w:rsid w:val="000F4D23"/>
    <w:rsid w:val="00111022"/>
    <w:rsid w:val="00113325"/>
    <w:rsid w:val="00121E25"/>
    <w:rsid w:val="0019346F"/>
    <w:rsid w:val="001935FD"/>
    <w:rsid w:val="001C48F8"/>
    <w:rsid w:val="001D756C"/>
    <w:rsid w:val="002457A1"/>
    <w:rsid w:val="002874A4"/>
    <w:rsid w:val="00296F7F"/>
    <w:rsid w:val="002972BC"/>
    <w:rsid w:val="002A1AE8"/>
    <w:rsid w:val="002C119F"/>
    <w:rsid w:val="002C3197"/>
    <w:rsid w:val="002C7E10"/>
    <w:rsid w:val="002D05F1"/>
    <w:rsid w:val="002D5223"/>
    <w:rsid w:val="002F1C11"/>
    <w:rsid w:val="002F5C0C"/>
    <w:rsid w:val="003214F8"/>
    <w:rsid w:val="0033397D"/>
    <w:rsid w:val="003551C9"/>
    <w:rsid w:val="003B5E9E"/>
    <w:rsid w:val="003C3382"/>
    <w:rsid w:val="003D0C09"/>
    <w:rsid w:val="004112FA"/>
    <w:rsid w:val="00444ADC"/>
    <w:rsid w:val="00444B7E"/>
    <w:rsid w:val="0051335C"/>
    <w:rsid w:val="0051437A"/>
    <w:rsid w:val="005221A7"/>
    <w:rsid w:val="0056014E"/>
    <w:rsid w:val="005757ED"/>
    <w:rsid w:val="00582360"/>
    <w:rsid w:val="00595A04"/>
    <w:rsid w:val="005E1B0F"/>
    <w:rsid w:val="005E49FE"/>
    <w:rsid w:val="00631502"/>
    <w:rsid w:val="006822E2"/>
    <w:rsid w:val="006B1519"/>
    <w:rsid w:val="00700ED4"/>
    <w:rsid w:val="00702CF6"/>
    <w:rsid w:val="0070782D"/>
    <w:rsid w:val="00713809"/>
    <w:rsid w:val="00740FEC"/>
    <w:rsid w:val="00750B04"/>
    <w:rsid w:val="00761143"/>
    <w:rsid w:val="00767C6A"/>
    <w:rsid w:val="0077178A"/>
    <w:rsid w:val="007A12CD"/>
    <w:rsid w:val="007E425C"/>
    <w:rsid w:val="008316AB"/>
    <w:rsid w:val="0086065A"/>
    <w:rsid w:val="008B23D3"/>
    <w:rsid w:val="00924C55"/>
    <w:rsid w:val="00930D3B"/>
    <w:rsid w:val="00946455"/>
    <w:rsid w:val="00972801"/>
    <w:rsid w:val="009A1E0F"/>
    <w:rsid w:val="009B6B36"/>
    <w:rsid w:val="009C2668"/>
    <w:rsid w:val="009C300E"/>
    <w:rsid w:val="009D030A"/>
    <w:rsid w:val="009E7BFB"/>
    <w:rsid w:val="00A02053"/>
    <w:rsid w:val="00A0643A"/>
    <w:rsid w:val="00A9659C"/>
    <w:rsid w:val="00AE59C4"/>
    <w:rsid w:val="00B062C3"/>
    <w:rsid w:val="00B65BC6"/>
    <w:rsid w:val="00B74261"/>
    <w:rsid w:val="00B82256"/>
    <w:rsid w:val="00BB7461"/>
    <w:rsid w:val="00C46489"/>
    <w:rsid w:val="00CA02D2"/>
    <w:rsid w:val="00CB2007"/>
    <w:rsid w:val="00CF4059"/>
    <w:rsid w:val="00D03E32"/>
    <w:rsid w:val="00D536C9"/>
    <w:rsid w:val="00D559EB"/>
    <w:rsid w:val="00D5775B"/>
    <w:rsid w:val="00D7611C"/>
    <w:rsid w:val="00DD0585"/>
    <w:rsid w:val="00DD1C2B"/>
    <w:rsid w:val="00DE5A84"/>
    <w:rsid w:val="00DF69F5"/>
    <w:rsid w:val="00E24372"/>
    <w:rsid w:val="00E318F2"/>
    <w:rsid w:val="00E31FE1"/>
    <w:rsid w:val="00E5300C"/>
    <w:rsid w:val="00E53D11"/>
    <w:rsid w:val="00E579AC"/>
    <w:rsid w:val="00E66997"/>
    <w:rsid w:val="00E81E94"/>
    <w:rsid w:val="00ED08BE"/>
    <w:rsid w:val="00EE1A70"/>
    <w:rsid w:val="00F004BA"/>
    <w:rsid w:val="00F105D4"/>
    <w:rsid w:val="00F12829"/>
    <w:rsid w:val="00F157DC"/>
    <w:rsid w:val="00F17FE5"/>
    <w:rsid w:val="00F30CD9"/>
    <w:rsid w:val="00F52295"/>
    <w:rsid w:val="00F6618D"/>
    <w:rsid w:val="00F90999"/>
    <w:rsid w:val="00FA45C8"/>
    <w:rsid w:val="00FB2705"/>
    <w:rsid w:val="00FC0821"/>
    <w:rsid w:val="00FD24D0"/>
    <w:rsid w:val="1B5103BB"/>
    <w:rsid w:val="4EFC0408"/>
    <w:rsid w:val="5EFF343A"/>
    <w:rsid w:val="7F3E53F9"/>
    <w:rsid w:val="BBDF7E8B"/>
    <w:rsid w:val="E5FF04E7"/>
    <w:rsid w:val="FC6B55CB"/>
    <w:rsid w:val="FDD6BC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0"/>
    <w:pPr>
      <w:spacing w:line="700" w:lineRule="exact"/>
      <w:ind w:left="960"/>
    </w:pPr>
    <w:rPr>
      <w:sz w:val="44"/>
    </w:rPr>
  </w:style>
  <w:style w:type="paragraph" w:styleId="4">
    <w:name w:val="Plain Text"/>
    <w:basedOn w:val="1"/>
    <w:link w:val="18"/>
    <w:qFormat/>
    <w:uiPriority w:val="0"/>
    <w:rPr>
      <w:rFonts w:ascii="宋体" w:hAnsi="Courier New"/>
      <w:sz w:val="21"/>
    </w:rPr>
  </w:style>
  <w:style w:type="paragraph" w:styleId="5">
    <w:name w:val="Date"/>
    <w:basedOn w:val="1"/>
    <w:next w:val="1"/>
    <w:link w:val="19"/>
    <w:qFormat/>
    <w:uiPriority w:val="0"/>
  </w:style>
  <w:style w:type="paragraph" w:styleId="6">
    <w:name w:val="Body Text Indent 2"/>
    <w:basedOn w:val="1"/>
    <w:link w:val="20"/>
    <w:qFormat/>
    <w:uiPriority w:val="0"/>
    <w:pPr>
      <w:snapToGrid w:val="0"/>
      <w:spacing w:line="560" w:lineRule="atLeast"/>
      <w:ind w:firstLine="540"/>
    </w:pPr>
  </w:style>
  <w:style w:type="paragraph" w:styleId="7">
    <w:name w:val="Balloon Text"/>
    <w:basedOn w:val="1"/>
    <w:link w:val="22"/>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character" w:styleId="13">
    <w:name w:val="page number"/>
    <w:qFormat/>
    <w:uiPriority w:val="0"/>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标题 2 Char"/>
    <w:basedOn w:val="12"/>
    <w:link w:val="2"/>
    <w:qFormat/>
    <w:uiPriority w:val="0"/>
    <w:rPr>
      <w:rFonts w:ascii="Arial" w:hAnsi="Arial" w:eastAsia="黑体" w:cs="Times New Roman"/>
      <w:b/>
      <w:sz w:val="32"/>
      <w:szCs w:val="20"/>
    </w:rPr>
  </w:style>
  <w:style w:type="character" w:customStyle="1" w:styleId="17">
    <w:name w:val="正文文本缩进 Char"/>
    <w:basedOn w:val="12"/>
    <w:link w:val="3"/>
    <w:qFormat/>
    <w:uiPriority w:val="0"/>
    <w:rPr>
      <w:rFonts w:ascii="Times New Roman" w:hAnsi="Times New Roman" w:eastAsia="宋体" w:cs="Times New Roman"/>
      <w:sz w:val="44"/>
      <w:szCs w:val="20"/>
    </w:rPr>
  </w:style>
  <w:style w:type="character" w:customStyle="1" w:styleId="18">
    <w:name w:val="纯文本 Char"/>
    <w:basedOn w:val="12"/>
    <w:link w:val="4"/>
    <w:qFormat/>
    <w:uiPriority w:val="0"/>
    <w:rPr>
      <w:rFonts w:ascii="宋体" w:hAnsi="Courier New" w:eastAsia="宋体" w:cs="Times New Roman"/>
      <w:szCs w:val="20"/>
    </w:rPr>
  </w:style>
  <w:style w:type="character" w:customStyle="1" w:styleId="19">
    <w:name w:val="日期 Char"/>
    <w:basedOn w:val="12"/>
    <w:link w:val="5"/>
    <w:qFormat/>
    <w:uiPriority w:val="0"/>
    <w:rPr>
      <w:rFonts w:ascii="Times New Roman" w:hAnsi="Times New Roman" w:eastAsia="宋体" w:cs="Times New Roman"/>
      <w:sz w:val="28"/>
      <w:szCs w:val="20"/>
    </w:rPr>
  </w:style>
  <w:style w:type="character" w:customStyle="1" w:styleId="20">
    <w:name w:val="正文文本缩进 2 Char"/>
    <w:basedOn w:val="12"/>
    <w:link w:val="6"/>
    <w:qFormat/>
    <w:uiPriority w:val="0"/>
    <w:rPr>
      <w:rFonts w:ascii="Times New Roman" w:hAnsi="Times New Roman" w:eastAsia="宋体" w:cs="Times New Roman"/>
      <w:sz w:val="28"/>
      <w:szCs w:val="20"/>
    </w:rPr>
  </w:style>
  <w:style w:type="paragraph" w:customStyle="1" w:styleId="21">
    <w:name w:val="1"/>
    <w:basedOn w:val="1"/>
    <w:next w:val="4"/>
    <w:qFormat/>
    <w:uiPriority w:val="0"/>
    <w:rPr>
      <w:rFonts w:ascii="宋体" w:hAnsi="Courier New"/>
      <w:sz w:val="21"/>
    </w:rPr>
  </w:style>
  <w:style w:type="character" w:customStyle="1" w:styleId="22">
    <w:name w:val="批注框文本 Char"/>
    <w:basedOn w:val="12"/>
    <w:link w:val="7"/>
    <w:semiHidden/>
    <w:qFormat/>
    <w:uiPriority w:val="99"/>
    <w:rPr>
      <w:rFonts w:ascii="Times New Roman" w:hAnsi="Times New Roman" w:eastAsia="宋体" w:cs="Times New Roman"/>
      <w:sz w:val="18"/>
      <w:szCs w:val="18"/>
    </w:rPr>
  </w:style>
  <w:style w:type="character" w:customStyle="1" w:styleId="23">
    <w:name w:val="font81"/>
    <w:basedOn w:val="12"/>
    <w:qFormat/>
    <w:uiPriority w:val="0"/>
    <w:rPr>
      <w:rFonts w:hint="eastAsia" w:ascii="宋体" w:hAnsi="宋体" w:eastAsia="宋体" w:cs="宋体"/>
      <w:color w:val="000000"/>
      <w:sz w:val="22"/>
      <w:szCs w:val="22"/>
      <w:u w:val="none"/>
      <w:vertAlign w:val="superscript"/>
    </w:rPr>
  </w:style>
  <w:style w:type="character" w:customStyle="1" w:styleId="24">
    <w:name w:val="font11"/>
    <w:basedOn w:val="12"/>
    <w:qFormat/>
    <w:uiPriority w:val="0"/>
    <w:rPr>
      <w:rFonts w:hint="eastAsia" w:ascii="宋体" w:hAnsi="宋体" w:eastAsia="宋体" w:cs="宋体"/>
      <w:color w:val="000000"/>
      <w:sz w:val="22"/>
      <w:szCs w:val="22"/>
      <w:u w:val="none"/>
      <w:vertAlign w:val="subscript"/>
    </w:rPr>
  </w:style>
  <w:style w:type="character" w:customStyle="1" w:styleId="25">
    <w:name w:val="font41"/>
    <w:basedOn w:val="12"/>
    <w:qFormat/>
    <w:uiPriority w:val="0"/>
    <w:rPr>
      <w:rFonts w:hint="eastAsia" w:ascii="宋体" w:hAnsi="宋体" w:eastAsia="宋体" w:cs="宋体"/>
      <w:color w:val="000000"/>
      <w:sz w:val="22"/>
      <w:szCs w:val="22"/>
      <w:u w:val="none"/>
    </w:rPr>
  </w:style>
  <w:style w:type="character" w:customStyle="1" w:styleId="26">
    <w:name w:val="font7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31</Pages>
  <Words>1616</Words>
  <Characters>1691</Characters>
  <Lines>95</Lines>
  <Paragraphs>26</Paragraphs>
  <TotalTime>10</TotalTime>
  <ScaleCrop>false</ScaleCrop>
  <LinksUpToDate>false</LinksUpToDate>
  <CharactersWithSpaces>1702</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2024-01-10T11:36:00Z</dcterms:created>
  <dc:creator>微软用户</dc:creator>
  <cp:lastModifiedBy>suma</cp:lastModifiedBy>
  <dcterms:modified xsi:type="dcterms:W3CDTF">2024-12-25T11:21:30Z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76458E4A5FE6DF3A73F064678927179A</vt:lpwstr>
  </property>
</Properties>
</file>