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600" w:lineRule="exact"/>
        <w:jc w:val="center"/>
        <w:outlineLvl w:val="0"/>
        <w:rPr>
          <w:rFonts w:hint="eastAsia" w:ascii="方正黑体_GBK" w:eastAsia="方正黑体_GBK"/>
          <w:color w:val="auto"/>
          <w:sz w:val="84"/>
          <w:szCs w:val="84"/>
          <w:lang w:eastAsia="zh-CN"/>
        </w:rPr>
      </w:pPr>
      <w:r>
        <w:rPr>
          <w:rFonts w:hint="eastAsia" w:ascii="方正黑体_GBK" w:eastAsia="方正黑体_GBK"/>
          <w:color w:val="auto"/>
          <w:sz w:val="84"/>
          <w:szCs w:val="84"/>
        </w:rPr>
        <w:t>重庆市</w:t>
      </w:r>
      <w:r>
        <w:rPr>
          <w:rFonts w:hint="eastAsia" w:ascii="方正黑体_GBK" w:eastAsia="方正黑体_GBK"/>
          <w:color w:val="auto"/>
          <w:sz w:val="84"/>
          <w:szCs w:val="84"/>
          <w:lang w:eastAsia="zh-CN"/>
        </w:rPr>
        <w:t>乌江航道管理处</w:t>
      </w:r>
    </w:p>
    <w:p>
      <w:pPr>
        <w:spacing w:line="1600" w:lineRule="exact"/>
        <w:jc w:val="center"/>
        <w:outlineLvl w:val="0"/>
        <w:rPr>
          <w:rFonts w:hint="eastAsia" w:ascii="方正黑体_GBK" w:eastAsia="方正黑体_GBK"/>
          <w:color w:val="auto"/>
          <w:sz w:val="84"/>
          <w:szCs w:val="84"/>
        </w:rPr>
      </w:pPr>
      <w:r>
        <w:rPr>
          <w:rFonts w:hint="eastAsia" w:ascii="方正黑体_GBK" w:eastAsia="方正黑体_GBK"/>
          <w:color w:val="auto"/>
          <w:sz w:val="84"/>
          <w:szCs w:val="84"/>
        </w:rPr>
        <w:t>政府采购</w:t>
      </w:r>
    </w:p>
    <w:p>
      <w:pPr>
        <w:jc w:val="center"/>
        <w:rPr>
          <w:rFonts w:hint="eastAsia" w:ascii="宋体" w:hAnsi="宋体"/>
          <w:color w:val="auto"/>
          <w:sz w:val="84"/>
          <w:szCs w:val="84"/>
        </w:rPr>
      </w:pPr>
    </w:p>
    <w:p>
      <w:pPr>
        <w:spacing w:line="1600" w:lineRule="exact"/>
        <w:jc w:val="center"/>
        <w:outlineLvl w:val="0"/>
        <w:rPr>
          <w:rFonts w:hint="eastAsia" w:ascii="方正黑体_GBK" w:hAnsi="宋体" w:eastAsia="方正黑体_GBK"/>
          <w:color w:val="auto"/>
          <w:sz w:val="72"/>
          <w:szCs w:val="72"/>
        </w:rPr>
      </w:pPr>
      <w:r>
        <w:rPr>
          <w:rFonts w:hint="eastAsia" w:ascii="方正黑体_GBK" w:hAnsi="宋体" w:eastAsia="方正黑体_GBK"/>
          <w:color w:val="auto"/>
          <w:sz w:val="72"/>
          <w:szCs w:val="72"/>
        </w:rPr>
        <w:t>限额以下磋商评分采购文件</w:t>
      </w:r>
    </w:p>
    <w:p>
      <w:pPr>
        <w:spacing w:line="700" w:lineRule="exact"/>
        <w:jc w:val="center"/>
        <w:rPr>
          <w:rFonts w:hint="eastAsia" w:ascii="黑体" w:eastAsia="黑体"/>
          <w:color w:val="auto"/>
          <w:sz w:val="32"/>
        </w:rPr>
      </w:pPr>
    </w:p>
    <w:p>
      <w:pPr>
        <w:spacing w:line="700" w:lineRule="exact"/>
        <w:jc w:val="center"/>
        <w:rPr>
          <w:rFonts w:hint="eastAsia" w:ascii="黑体" w:eastAsia="黑体"/>
          <w:color w:val="auto"/>
          <w:sz w:val="32"/>
        </w:rPr>
      </w:pPr>
    </w:p>
    <w:p>
      <w:pPr>
        <w:spacing w:line="700" w:lineRule="exact"/>
        <w:jc w:val="center"/>
        <w:rPr>
          <w:rFonts w:hint="eastAsia" w:ascii="黑体" w:eastAsia="黑体"/>
          <w:color w:val="auto"/>
          <w:sz w:val="32"/>
        </w:rPr>
      </w:pPr>
    </w:p>
    <w:p>
      <w:pPr>
        <w:spacing w:line="500" w:lineRule="exact"/>
        <w:ind w:firstLine="1440" w:firstLineChars="400"/>
        <w:jc w:val="left"/>
        <w:outlineLvl w:val="0"/>
        <w:rPr>
          <w:rFonts w:hint="default" w:ascii="方正小标宋_GBK" w:hAnsi="宋体" w:eastAsia="方正小标宋_GBK"/>
          <w:color w:val="auto"/>
          <w:sz w:val="36"/>
          <w:szCs w:val="36"/>
          <w:lang w:val="en-US" w:eastAsia="zh-CN"/>
        </w:rPr>
      </w:pPr>
      <w:r>
        <w:rPr>
          <w:rFonts w:hint="eastAsia" w:ascii="方正小标宋_GBK" w:hAnsi="宋体" w:eastAsia="方正小标宋_GBK"/>
          <w:color w:val="auto"/>
          <w:sz w:val="36"/>
          <w:szCs w:val="36"/>
        </w:rPr>
        <w:t>采购执行编号：</w:t>
      </w:r>
      <w:r>
        <w:rPr>
          <w:rFonts w:hint="eastAsia" w:ascii="方正小标宋_GBK" w:hAnsi="宋体" w:eastAsia="方正小标宋_GBK"/>
          <w:color w:val="auto"/>
          <w:sz w:val="36"/>
          <w:szCs w:val="36"/>
          <w:highlight w:val="none"/>
        </w:rPr>
        <w:t>WJ202</w:t>
      </w:r>
      <w:r>
        <w:rPr>
          <w:rFonts w:hint="eastAsia" w:ascii="方正小标宋_GBK" w:hAnsi="宋体" w:eastAsia="方正小标宋_GBK"/>
          <w:color w:val="auto"/>
          <w:sz w:val="36"/>
          <w:szCs w:val="36"/>
          <w:highlight w:val="none"/>
          <w:lang w:val="en-US" w:eastAsia="zh-CN"/>
        </w:rPr>
        <w:t>4</w:t>
      </w:r>
      <w:r>
        <w:rPr>
          <w:rFonts w:hint="eastAsia" w:ascii="方正小标宋_GBK" w:hAnsi="宋体" w:eastAsia="方正小标宋_GBK"/>
          <w:color w:val="auto"/>
          <w:sz w:val="36"/>
          <w:szCs w:val="36"/>
          <w:highlight w:val="none"/>
        </w:rPr>
        <w:t>0</w:t>
      </w:r>
      <w:r>
        <w:rPr>
          <w:rFonts w:hint="eastAsia" w:ascii="方正小标宋_GBK" w:hAnsi="宋体" w:eastAsia="方正小标宋_GBK"/>
          <w:color w:val="auto"/>
          <w:sz w:val="36"/>
          <w:szCs w:val="36"/>
          <w:highlight w:val="none"/>
          <w:lang w:val="en-US" w:eastAsia="zh-CN"/>
        </w:rPr>
        <w:t>15</w:t>
      </w:r>
    </w:p>
    <w:p>
      <w:pPr>
        <w:spacing w:line="500" w:lineRule="exact"/>
        <w:ind w:left="3234" w:leftChars="512" w:hanging="1800" w:hangingChars="500"/>
        <w:jc w:val="left"/>
        <w:outlineLvl w:val="0"/>
        <w:rPr>
          <w:rFonts w:hint="eastAsia" w:ascii="方正小标宋_GBK" w:hAnsi="宋体" w:eastAsia="方正小标宋_GBK"/>
          <w:color w:val="auto"/>
          <w:sz w:val="36"/>
          <w:szCs w:val="36"/>
          <w:lang w:eastAsia="zh-CN"/>
        </w:rPr>
      </w:pPr>
      <w:r>
        <w:rPr>
          <w:rFonts w:hint="eastAsia" w:ascii="方正小标宋_GBK" w:hAnsi="宋体" w:eastAsia="方正小标宋_GBK"/>
          <w:color w:val="auto"/>
          <w:sz w:val="36"/>
          <w:szCs w:val="36"/>
        </w:rPr>
        <w:t>项目名称</w:t>
      </w:r>
      <w:r>
        <w:rPr>
          <w:rFonts w:hint="eastAsia" w:ascii="方正小标宋_GBK" w:hAnsi="宋体" w:eastAsia="方正小标宋_GBK"/>
          <w:color w:val="auto"/>
          <w:sz w:val="36"/>
          <w:szCs w:val="36"/>
          <w:lang w:eastAsia="zh-CN"/>
        </w:rPr>
        <w:t>：乌江杨家堡滩、倒杠碛滩航道维护性疏浚工程竣工测量项目</w:t>
      </w:r>
    </w:p>
    <w:p>
      <w:pPr>
        <w:spacing w:line="500" w:lineRule="exact"/>
        <w:ind w:firstLine="1440" w:firstLineChars="400"/>
        <w:jc w:val="left"/>
        <w:outlineLvl w:val="0"/>
        <w:rPr>
          <w:rFonts w:hint="eastAsia" w:ascii="方正小标宋_GBK" w:eastAsia="方正小标宋_GBK"/>
          <w:color w:val="auto"/>
          <w:sz w:val="36"/>
          <w:szCs w:val="36"/>
        </w:rPr>
      </w:pPr>
      <w:r>
        <w:rPr>
          <w:rFonts w:hint="eastAsia" w:ascii="方正小标宋_GBK" w:eastAsia="方正小标宋_GBK"/>
          <w:color w:val="auto"/>
          <w:sz w:val="36"/>
          <w:szCs w:val="36"/>
        </w:rPr>
        <w:t>采购人：重庆市乌江航道管理处</w:t>
      </w:r>
    </w:p>
    <w:p>
      <w:pPr>
        <w:spacing w:line="500" w:lineRule="exact"/>
        <w:ind w:firstLine="1440" w:firstLineChars="400"/>
        <w:jc w:val="left"/>
        <w:outlineLvl w:val="0"/>
        <w:rPr>
          <w:rFonts w:hint="eastAsia" w:ascii="方正小标宋_GBK" w:eastAsia="方正小标宋_GBK"/>
          <w:color w:val="auto"/>
          <w:sz w:val="36"/>
          <w:szCs w:val="36"/>
        </w:rPr>
      </w:pPr>
      <w:r>
        <w:rPr>
          <w:rFonts w:hint="eastAsia" w:ascii="方正小标宋_GBK" w:eastAsia="方正小标宋_GBK"/>
          <w:color w:val="auto"/>
          <w:sz w:val="36"/>
          <w:szCs w:val="36"/>
        </w:rPr>
        <w:t>采购代理机构：重庆华大工程管理有限公司</w:t>
      </w:r>
    </w:p>
    <w:p>
      <w:pPr>
        <w:spacing w:line="500" w:lineRule="exact"/>
        <w:outlineLvl w:val="0"/>
        <w:rPr>
          <w:rFonts w:hint="eastAsia" w:ascii="方正小标宋_GBK" w:eastAsia="方正小标宋_GBK"/>
          <w:color w:val="auto"/>
          <w:sz w:val="36"/>
          <w:szCs w:val="36"/>
        </w:rPr>
      </w:pPr>
    </w:p>
    <w:p>
      <w:pPr>
        <w:spacing w:line="500" w:lineRule="exact"/>
        <w:outlineLvl w:val="0"/>
        <w:rPr>
          <w:rFonts w:hint="eastAsia" w:ascii="方正小标宋_GBK" w:eastAsia="方正小标宋_GBK"/>
          <w:color w:val="auto"/>
          <w:sz w:val="36"/>
          <w:szCs w:val="36"/>
        </w:rPr>
      </w:pPr>
    </w:p>
    <w:p>
      <w:pPr>
        <w:spacing w:line="720" w:lineRule="exact"/>
        <w:jc w:val="center"/>
        <w:outlineLvl w:val="0"/>
        <w:rPr>
          <w:rFonts w:ascii="方正黑体_GBK" w:hAnsi="宋体" w:eastAsia="方正黑体_GBK"/>
          <w:color w:val="auto"/>
          <w:sz w:val="48"/>
          <w:szCs w:val="32"/>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r>
        <w:rPr>
          <w:rFonts w:hint="eastAsia" w:ascii="方正小标宋_GBK" w:hAnsi="宋体" w:eastAsia="方正小标宋_GBK"/>
          <w:color w:val="auto"/>
          <w:sz w:val="36"/>
          <w:szCs w:val="36"/>
        </w:rPr>
        <w:t>二〇二</w:t>
      </w:r>
      <w:r>
        <w:rPr>
          <w:rFonts w:hint="eastAsia" w:ascii="方正小标宋_GBK" w:hAnsi="宋体" w:eastAsia="方正小标宋_GBK"/>
          <w:color w:val="auto"/>
          <w:sz w:val="36"/>
          <w:szCs w:val="36"/>
          <w:lang w:eastAsia="zh-CN"/>
        </w:rPr>
        <w:t>四</w:t>
      </w:r>
      <w:r>
        <w:rPr>
          <w:rFonts w:hint="eastAsia" w:ascii="方正小标宋_GBK" w:hAnsi="宋体" w:eastAsia="方正小标宋_GBK"/>
          <w:color w:val="auto"/>
          <w:sz w:val="36"/>
          <w:szCs w:val="36"/>
        </w:rPr>
        <w:t>年</w:t>
      </w:r>
      <w:r>
        <w:rPr>
          <w:rFonts w:hint="eastAsia" w:ascii="方正小标宋_GBK" w:hAnsi="宋体" w:eastAsia="方正小标宋_GBK"/>
          <w:color w:val="auto"/>
          <w:sz w:val="36"/>
          <w:szCs w:val="36"/>
          <w:lang w:eastAsia="zh-CN"/>
        </w:rPr>
        <w:t>十二</w:t>
      </w:r>
      <w:r>
        <w:rPr>
          <w:rFonts w:hint="eastAsia" w:ascii="方正小标宋_GBK" w:hAnsi="宋体" w:eastAsia="方正小标宋_GBK"/>
          <w:color w:val="auto"/>
          <w:sz w:val="36"/>
          <w:szCs w:val="36"/>
        </w:rPr>
        <w:t>月</w:t>
      </w:r>
    </w:p>
    <w:p>
      <w:pPr>
        <w:pStyle w:val="5"/>
        <w:spacing w:line="360" w:lineRule="auto"/>
        <w:jc w:val="center"/>
        <w:rPr>
          <w:rFonts w:hint="eastAsia" w:ascii="方正小标宋_GBK" w:hAnsi="宋体" w:eastAsia="方正小标宋_GBK"/>
          <w:b w:val="0"/>
          <w:color w:val="auto"/>
          <w:szCs w:val="30"/>
        </w:rPr>
      </w:pPr>
      <w:bookmarkStart w:id="0" w:name="_Toc12789052"/>
      <w:bookmarkStart w:id="1" w:name="_Toc106030870"/>
      <w:bookmarkStart w:id="2" w:name="_Toc76462316"/>
      <w:bookmarkStart w:id="3" w:name="_Toc11641050"/>
      <w:r>
        <w:rPr>
          <w:rFonts w:hint="eastAsia" w:ascii="方正小标宋_GBK" w:hAnsi="宋体" w:eastAsia="方正小标宋_GBK"/>
          <w:b w:val="0"/>
          <w:color w:val="auto"/>
          <w:sz w:val="36"/>
          <w:szCs w:val="30"/>
        </w:rPr>
        <w:t>第一篇  采购邀请书</w:t>
      </w:r>
      <w:bookmarkEnd w:id="0"/>
      <w:bookmarkEnd w:id="1"/>
      <w:bookmarkEnd w:id="2"/>
      <w:bookmarkEnd w:id="3"/>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重庆华大工程管理有限公司（以下简称：采购代理机构）接受重庆市乌江航道管理处（以下简称：采购人）的委托，对</w:t>
      </w:r>
      <w:r>
        <w:rPr>
          <w:rFonts w:hint="eastAsia" w:ascii="方正仿宋_GBK" w:hAnsi="宋体" w:eastAsia="方正仿宋_GBK"/>
          <w:color w:val="auto"/>
          <w:sz w:val="24"/>
          <w:szCs w:val="24"/>
          <w:lang w:eastAsia="zh-CN"/>
        </w:rPr>
        <w:t>乌江杨家堡滩、倒杠碛滩航道维护性疏浚工程竣工测量项目</w:t>
      </w:r>
      <w:r>
        <w:rPr>
          <w:rFonts w:hint="eastAsia" w:ascii="方正仿宋_GBK" w:hAnsi="宋体" w:eastAsia="方正仿宋_GBK"/>
          <w:color w:val="auto"/>
          <w:sz w:val="24"/>
          <w:szCs w:val="24"/>
        </w:rPr>
        <w:t>进行限额以下磋商评分采购。欢迎有资格的供应商前来参与竞争。</w:t>
      </w:r>
    </w:p>
    <w:p>
      <w:pPr>
        <w:pStyle w:val="5"/>
        <w:adjustRightInd w:val="0"/>
        <w:snapToGrid w:val="0"/>
        <w:spacing w:before="0" w:after="0" w:line="400" w:lineRule="exact"/>
        <w:ind w:firstLine="482" w:firstLineChars="200"/>
        <w:rPr>
          <w:rFonts w:ascii="方正仿宋_GBK" w:hAnsi="宋体" w:eastAsia="方正仿宋_GBK"/>
          <w:color w:val="auto"/>
          <w:sz w:val="24"/>
        </w:rPr>
      </w:pPr>
      <w:bookmarkStart w:id="4" w:name="_Toc313893526"/>
      <w:bookmarkStart w:id="5" w:name="_Toc76462317"/>
      <w:bookmarkStart w:id="6" w:name="_Toc106030871"/>
      <w:bookmarkStart w:id="7" w:name="_Toc317775175"/>
      <w:r>
        <w:rPr>
          <w:rFonts w:hint="eastAsia" w:ascii="方正仿宋_GBK" w:hAnsi="宋体" w:eastAsia="方正仿宋_GBK"/>
          <w:color w:val="auto"/>
          <w:sz w:val="24"/>
        </w:rPr>
        <w:t>一、限额以下磋商评分内容</w:t>
      </w:r>
      <w:bookmarkEnd w:id="4"/>
      <w:bookmarkEnd w:id="5"/>
      <w:bookmarkEnd w:id="6"/>
      <w:bookmarkEnd w:id="7"/>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01"/>
        <w:gridCol w:w="2410"/>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660" w:type="dxa"/>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包号及名称</w:t>
            </w:r>
          </w:p>
        </w:tc>
        <w:tc>
          <w:tcPr>
            <w:tcW w:w="1701" w:type="dxa"/>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最高限价（万元）</w:t>
            </w:r>
          </w:p>
        </w:tc>
        <w:tc>
          <w:tcPr>
            <w:tcW w:w="2410" w:type="dxa"/>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成交供应商数量（名）</w:t>
            </w:r>
          </w:p>
        </w:tc>
        <w:tc>
          <w:tcPr>
            <w:tcW w:w="2516" w:type="dxa"/>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60" w:type="dxa"/>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color w:val="auto"/>
                <w:kern w:val="0"/>
                <w:sz w:val="21"/>
                <w:szCs w:val="24"/>
              </w:rPr>
            </w:pPr>
            <w:bookmarkStart w:id="8" w:name="_Hlk344477914"/>
            <w:r>
              <w:rPr>
                <w:rFonts w:hint="eastAsia" w:ascii="方正仿宋_GBK" w:hAnsi="宋体" w:eastAsia="方正仿宋_GBK" w:cs="宋体"/>
                <w:color w:val="auto"/>
                <w:kern w:val="0"/>
                <w:sz w:val="21"/>
                <w:szCs w:val="24"/>
                <w:lang w:eastAsia="zh-CN"/>
              </w:rPr>
              <w:t>乌江杨家堡滩、倒杠碛滩航道维护性疏浚工程竣工测量项目</w:t>
            </w:r>
          </w:p>
        </w:tc>
        <w:tc>
          <w:tcPr>
            <w:tcW w:w="1701" w:type="dxa"/>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color w:val="auto"/>
                <w:kern w:val="0"/>
                <w:sz w:val="21"/>
                <w:szCs w:val="24"/>
              </w:rPr>
            </w:pPr>
            <w:r>
              <w:rPr>
                <w:rFonts w:hint="eastAsia" w:ascii="方正仿宋_GBK" w:hAnsi="宋体" w:eastAsia="方正仿宋_GBK" w:cs="宋体"/>
                <w:color w:val="auto"/>
                <w:kern w:val="0"/>
                <w:sz w:val="21"/>
                <w:szCs w:val="24"/>
                <w:lang w:val="en-US" w:eastAsia="zh-CN"/>
              </w:rPr>
              <w:t>5</w:t>
            </w:r>
          </w:p>
        </w:tc>
        <w:tc>
          <w:tcPr>
            <w:tcW w:w="2410" w:type="dxa"/>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color w:val="auto"/>
                <w:kern w:val="0"/>
                <w:sz w:val="21"/>
                <w:szCs w:val="24"/>
                <w:lang w:val="en-US" w:eastAsia="zh-CN"/>
              </w:rPr>
            </w:pPr>
            <w:r>
              <w:rPr>
                <w:rFonts w:hint="eastAsia" w:ascii="方正仿宋_GBK" w:hAnsi="宋体" w:eastAsia="方正仿宋_GBK" w:cs="宋体"/>
                <w:color w:val="auto"/>
                <w:kern w:val="0"/>
                <w:sz w:val="21"/>
                <w:szCs w:val="24"/>
                <w:lang w:val="en-US" w:eastAsia="zh-CN"/>
              </w:rPr>
              <w:t>1</w:t>
            </w:r>
          </w:p>
        </w:tc>
        <w:tc>
          <w:tcPr>
            <w:tcW w:w="2516" w:type="dxa"/>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b/>
                <w:color w:val="auto"/>
                <w:sz w:val="21"/>
                <w:szCs w:val="21"/>
              </w:rPr>
            </w:pPr>
          </w:p>
        </w:tc>
      </w:tr>
      <w:bookmarkEnd w:id="8"/>
    </w:tbl>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9" w:name="_Toc76462318"/>
      <w:bookmarkStart w:id="10" w:name="_Toc106030872"/>
      <w:bookmarkStart w:id="11" w:name="_Toc373860293"/>
      <w:bookmarkStart w:id="12" w:name="_Toc317775178"/>
      <w:r>
        <w:rPr>
          <w:rFonts w:hint="eastAsia" w:ascii="方正仿宋_GBK" w:hAnsi="宋体" w:eastAsia="方正仿宋_GBK"/>
          <w:color w:val="auto"/>
          <w:sz w:val="24"/>
        </w:rPr>
        <w:t>二、资金来源</w:t>
      </w:r>
      <w:bookmarkEnd w:id="9"/>
      <w:bookmarkEnd w:id="10"/>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仿宋" w:eastAsia="方正仿宋_GBK"/>
          <w:color w:val="auto"/>
          <w:sz w:val="24"/>
          <w:szCs w:val="24"/>
        </w:rPr>
        <w:t>财政预算资金，预算金额为</w:t>
      </w:r>
      <w:r>
        <w:rPr>
          <w:rFonts w:hint="eastAsia" w:ascii="方正仿宋_GBK" w:hAnsi="仿宋" w:eastAsia="方正仿宋_GBK"/>
          <w:color w:val="auto"/>
          <w:sz w:val="24"/>
          <w:szCs w:val="24"/>
          <w:lang w:val="en-US" w:eastAsia="zh-CN"/>
        </w:rPr>
        <w:t>5</w:t>
      </w:r>
      <w:r>
        <w:rPr>
          <w:rFonts w:hint="eastAsia" w:ascii="方正仿宋_GBK" w:hAnsi="仿宋" w:eastAsia="方正仿宋_GBK"/>
          <w:color w:val="auto"/>
          <w:sz w:val="24"/>
          <w:szCs w:val="24"/>
        </w:rPr>
        <w:t>万元</w:t>
      </w:r>
      <w:r>
        <w:rPr>
          <w:rFonts w:hint="eastAsia" w:ascii="方正仿宋_GBK" w:hAnsi="宋体" w:eastAsia="方正仿宋_GBK"/>
          <w:color w:val="auto"/>
          <w:sz w:val="24"/>
          <w:szCs w:val="24"/>
        </w:rPr>
        <w:t>。</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13" w:name="_Toc76462319"/>
      <w:bookmarkStart w:id="14" w:name="_Toc106030873"/>
      <w:r>
        <w:rPr>
          <w:rFonts w:hint="eastAsia" w:ascii="方正仿宋_GBK" w:hAnsi="宋体" w:eastAsia="方正仿宋_GBK"/>
          <w:color w:val="auto"/>
          <w:sz w:val="24"/>
        </w:rPr>
        <w:t>三、供应商资格条件</w:t>
      </w:r>
      <w:bookmarkEnd w:id="13"/>
      <w:bookmarkEnd w:id="14"/>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（一）满足《中华人民共和国政府采购法》第二十二条规定；</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（二）本项目的特定资格要求：</w:t>
      </w:r>
      <w:r>
        <w:rPr>
          <w:rFonts w:hint="eastAsia" w:ascii="方正仿宋_GBK" w:hAnsi="宋体" w:eastAsia="方正仿宋_GBK"/>
          <w:color w:val="auto"/>
          <w:sz w:val="24"/>
          <w:szCs w:val="24"/>
          <w:lang w:val="en-US" w:eastAsia="zh-CN"/>
        </w:rPr>
        <w:t>具备国家测绘地理信息局颁发的乙级及以上应具有海洋测绘资质，或具备</w:t>
      </w:r>
      <w:bookmarkStart w:id="139" w:name="_GoBack"/>
      <w:bookmarkEnd w:id="139"/>
      <w:r>
        <w:rPr>
          <w:rFonts w:hint="eastAsia" w:ascii="方正仿宋_GBK" w:hAnsi="宋体" w:eastAsia="方正仿宋_GBK"/>
          <w:color w:val="auto"/>
          <w:sz w:val="24"/>
          <w:szCs w:val="24"/>
          <w:lang w:val="en-US" w:eastAsia="zh-CN"/>
        </w:rPr>
        <w:t>住房和城乡建设部颁发的工程勘察专业类（工程测量）乙级及以上测绘资质证书。</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15" w:name="_Toc106030874"/>
      <w:bookmarkStart w:id="16" w:name="_Toc76462320"/>
      <w:r>
        <w:rPr>
          <w:rFonts w:hint="eastAsia" w:ascii="方正仿宋_GBK" w:hAnsi="宋体" w:eastAsia="方正仿宋_GBK"/>
          <w:color w:val="auto"/>
          <w:sz w:val="24"/>
        </w:rPr>
        <w:t>四、限额以下磋商评分有关说明</w:t>
      </w:r>
      <w:bookmarkEnd w:id="11"/>
      <w:bookmarkEnd w:id="15"/>
      <w:bookmarkEnd w:id="16"/>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（一）凡有意参加竞争的供应商，请在重庆市交通</w:t>
      </w:r>
      <w:r>
        <w:rPr>
          <w:rFonts w:hint="eastAsia" w:ascii="方正仿宋_GBK" w:hAnsi="宋体" w:eastAsia="方正仿宋_GBK"/>
          <w:color w:val="auto"/>
          <w:sz w:val="24"/>
          <w:szCs w:val="24"/>
          <w:lang w:eastAsia="zh-CN"/>
        </w:rPr>
        <w:t>运输委员会</w:t>
      </w:r>
      <w:r>
        <w:rPr>
          <w:rFonts w:hint="eastAsia" w:ascii="方正仿宋_GBK" w:hAnsi="宋体" w:eastAsia="方正仿宋_GBK"/>
          <w:color w:val="auto"/>
          <w:sz w:val="24"/>
          <w:szCs w:val="24"/>
        </w:rPr>
        <w:t>（https://jtj.cq.gov.cn）上下载本项目采购文件以及图纸、澄清等限额以下磋商评分前公布的所有项目资料，无论供应商下载或领取与否，均视为已知晓所有限额以下磋商评分实质性要求内容。</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（二）限额以下磋商评分公告期限：</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1.</w:t>
      </w:r>
      <w:r>
        <w:rPr>
          <w:rFonts w:hint="eastAsia" w:ascii="方正仿宋_GBK" w:hAnsi="宋体" w:eastAsia="方正仿宋_GBK"/>
          <w:color w:val="auto"/>
          <w:sz w:val="24"/>
          <w:szCs w:val="24"/>
        </w:rPr>
        <w:t>自采购公告发布之日起三个工作日</w:t>
      </w:r>
      <w:r>
        <w:rPr>
          <w:rFonts w:hint="eastAsia" w:ascii="方正仿宋_GBK" w:hAnsi="宋体" w:eastAsia="方正仿宋_GBK" w:cs="Times New Roman"/>
          <w:color w:val="auto"/>
          <w:sz w:val="24"/>
          <w:szCs w:val="24"/>
        </w:rPr>
        <w:t>（202</w:t>
      </w:r>
      <w:r>
        <w:rPr>
          <w:rFonts w:hint="eastAsia" w:ascii="方正仿宋_GBK" w:hAnsi="宋体" w:eastAsia="方正仿宋_GBK" w:cs="Times New Roman"/>
          <w:color w:val="auto"/>
          <w:sz w:val="24"/>
          <w:szCs w:val="24"/>
          <w:lang w:val="en-US" w:eastAsia="zh-CN"/>
        </w:rPr>
        <w:t>4</w:t>
      </w:r>
      <w:r>
        <w:rPr>
          <w:rFonts w:hint="eastAsia" w:ascii="方正仿宋_GBK" w:hAnsi="宋体" w:eastAsia="方正仿宋_GBK" w:cs="Times New Roman"/>
          <w:color w:val="auto"/>
          <w:sz w:val="24"/>
          <w:szCs w:val="24"/>
        </w:rPr>
        <w:t>年</w:t>
      </w:r>
      <w:r>
        <w:rPr>
          <w:rFonts w:hint="eastAsia" w:ascii="方正仿宋_GBK" w:hAnsi="宋体" w:eastAsia="方正仿宋_GBK" w:cs="Times New Roman"/>
          <w:color w:val="auto"/>
          <w:sz w:val="24"/>
          <w:szCs w:val="24"/>
          <w:lang w:val="en-US" w:eastAsia="zh-CN"/>
        </w:rPr>
        <w:t>12</w:t>
      </w:r>
      <w:r>
        <w:rPr>
          <w:rFonts w:hint="eastAsia" w:ascii="方正仿宋_GBK" w:hAnsi="宋体" w:eastAsia="方正仿宋_GBK" w:cs="Times New Roman"/>
          <w:color w:val="auto"/>
          <w:sz w:val="24"/>
          <w:szCs w:val="24"/>
        </w:rPr>
        <w:t>月</w:t>
      </w:r>
      <w:r>
        <w:rPr>
          <w:rFonts w:hint="eastAsia" w:ascii="方正仿宋_GBK" w:hAnsi="宋体" w:eastAsia="方正仿宋_GBK" w:cs="Times New Roman"/>
          <w:color w:val="auto"/>
          <w:sz w:val="24"/>
          <w:szCs w:val="24"/>
          <w:lang w:val="en-US" w:eastAsia="zh-CN"/>
        </w:rPr>
        <w:t xml:space="preserve"> 23 </w:t>
      </w:r>
      <w:r>
        <w:rPr>
          <w:rFonts w:hint="eastAsia" w:ascii="方正仿宋_GBK" w:hAnsi="宋体" w:eastAsia="方正仿宋_GBK" w:cs="Times New Roman"/>
          <w:color w:val="auto"/>
          <w:sz w:val="24"/>
          <w:szCs w:val="24"/>
        </w:rPr>
        <w:t>日-</w:t>
      </w:r>
      <w:r>
        <w:rPr>
          <w:rFonts w:hint="eastAsia" w:ascii="方正仿宋_GBK" w:hAnsi="宋体" w:eastAsia="方正仿宋_GBK" w:cs="Times New Roman"/>
          <w:color w:val="auto"/>
          <w:sz w:val="24"/>
          <w:szCs w:val="24"/>
          <w:lang w:val="en-US" w:eastAsia="zh-CN"/>
        </w:rPr>
        <w:t>12</w:t>
      </w:r>
      <w:r>
        <w:rPr>
          <w:rFonts w:hint="eastAsia" w:ascii="方正仿宋_GBK" w:hAnsi="宋体" w:eastAsia="方正仿宋_GBK" w:cs="Times New Roman"/>
          <w:color w:val="auto"/>
          <w:sz w:val="24"/>
          <w:szCs w:val="24"/>
        </w:rPr>
        <w:t>月</w:t>
      </w:r>
      <w:r>
        <w:rPr>
          <w:rFonts w:hint="eastAsia" w:ascii="方正仿宋_GBK" w:hAnsi="宋体" w:eastAsia="方正仿宋_GBK" w:cs="Times New Roman"/>
          <w:color w:val="auto"/>
          <w:sz w:val="24"/>
          <w:szCs w:val="24"/>
          <w:lang w:val="en-US" w:eastAsia="zh-CN"/>
        </w:rPr>
        <w:t xml:space="preserve">25 </w:t>
      </w:r>
      <w:r>
        <w:rPr>
          <w:rFonts w:hint="eastAsia" w:ascii="方正仿宋_GBK" w:hAnsi="宋体" w:eastAsia="方正仿宋_GBK" w:cs="Times New Roman"/>
          <w:color w:val="auto"/>
          <w:sz w:val="24"/>
          <w:szCs w:val="24"/>
        </w:rPr>
        <w:t>日17:30）</w:t>
      </w:r>
      <w:r>
        <w:rPr>
          <w:rFonts w:hint="eastAsia" w:ascii="方正仿宋_GBK" w:hAnsi="宋体" w:eastAsia="方正仿宋_GBK"/>
          <w:color w:val="auto"/>
          <w:sz w:val="24"/>
          <w:szCs w:val="24"/>
        </w:rPr>
        <w:t>。</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2.</w:t>
      </w:r>
      <w:r>
        <w:rPr>
          <w:rFonts w:hint="eastAsia" w:ascii="方正仿宋_GBK" w:hAnsi="宋体" w:eastAsia="方正仿宋_GBK"/>
          <w:color w:val="auto"/>
          <w:sz w:val="24"/>
          <w:szCs w:val="24"/>
        </w:rPr>
        <w:t>报名方式：</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（1）在</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公告期限内到重庆华大工程管理有限公司报名并领取采购文件。</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方式一：将《发售登记表》递交现场报名。</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方式二：将《发售登记表》盖章后发送至</w:t>
      </w:r>
      <w:r>
        <w:rPr>
          <w:rFonts w:hint="eastAsia" w:ascii="方正仿宋_GBK" w:hAnsi="宋体" w:eastAsia="方正仿宋_GBK"/>
          <w:color w:val="auto"/>
          <w:sz w:val="24"/>
          <w:szCs w:val="24"/>
          <w:lang w:val="en-US" w:eastAsia="zh-CN"/>
        </w:rPr>
        <w:t>114735376</w:t>
      </w:r>
      <w:r>
        <w:rPr>
          <w:rFonts w:hint="eastAsia" w:ascii="方正仿宋_GBK" w:hAnsi="宋体" w:eastAsia="方正仿宋_GBK"/>
          <w:color w:val="auto"/>
          <w:sz w:val="24"/>
          <w:szCs w:val="24"/>
        </w:rPr>
        <w:t>@qq.com。</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（2）供应商须满足以下两种要求，其响应文件才被接受：</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1、按时递交了响应文件；</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2、按时报名签到；</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（3）本</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文件规定的时间为北京时间。</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（4）超过</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截止时间、不按本</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文件规定密封的响应文件，或不按</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文件规定提交有效足额</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保证金的供应商，均视为不响应</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文件要求，为无效响应。</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w:t>
      </w:r>
      <w:r>
        <w:rPr>
          <w:rFonts w:hint="eastAsia" w:ascii="方正仿宋_GBK" w:hAnsi="宋体" w:eastAsia="方正仿宋_GBK"/>
          <w:color w:val="auto"/>
          <w:sz w:val="24"/>
          <w:szCs w:val="24"/>
          <w:lang w:eastAsia="zh-CN"/>
        </w:rPr>
        <w:t>采购文件</w:t>
      </w:r>
      <w:r>
        <w:rPr>
          <w:rFonts w:hint="eastAsia" w:ascii="方正仿宋_GBK" w:hAnsi="宋体" w:eastAsia="方正仿宋_GBK"/>
          <w:color w:val="auto"/>
          <w:sz w:val="24"/>
          <w:szCs w:val="24"/>
        </w:rPr>
        <w:t>售价：人民币500元/包。</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提交方式：现金或微信或转账。</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转账信息：</w:t>
      </w:r>
    </w:p>
    <w:p>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1、单位名称：重庆华大工程管理有限公司</w:t>
      </w:r>
    </w:p>
    <w:p>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2、单位开户行及账号：中国工商银行股份有限公司重庆枳城支行      3100234409000002238</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（三）递交响应文件地点：重庆华大工程管理有限公司（涪陵区新城区建筑大厦3楼）</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（四）提交响应文件截止时间：202</w:t>
      </w:r>
      <w:r>
        <w:rPr>
          <w:rFonts w:hint="eastAsia" w:ascii="方正仿宋_GBK" w:hAnsi="宋体" w:eastAsia="方正仿宋_GBK"/>
          <w:color w:val="auto"/>
          <w:sz w:val="24"/>
          <w:szCs w:val="24"/>
          <w:lang w:val="en-US" w:eastAsia="zh-CN"/>
        </w:rPr>
        <w:t>4</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12</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 xml:space="preserve"> 27 </w:t>
      </w:r>
      <w:r>
        <w:rPr>
          <w:rFonts w:hint="eastAsia" w:ascii="方正仿宋_GBK" w:hAnsi="宋体" w:eastAsia="方正仿宋_GBK"/>
          <w:color w:val="auto"/>
          <w:sz w:val="24"/>
          <w:szCs w:val="24"/>
        </w:rPr>
        <w:t>日北京时间</w:t>
      </w:r>
      <w:r>
        <w:rPr>
          <w:rFonts w:hint="eastAsia" w:ascii="方正仿宋_GBK" w:hAnsi="宋体" w:eastAsia="方正仿宋_GBK"/>
          <w:color w:val="auto"/>
          <w:sz w:val="24"/>
          <w:szCs w:val="24"/>
          <w:lang w:val="en-US" w:eastAsia="zh-CN"/>
        </w:rPr>
        <w:t xml:space="preserve"> 09:00</w:t>
      </w:r>
      <w:r>
        <w:rPr>
          <w:rFonts w:hint="eastAsia" w:ascii="方正仿宋_GBK" w:hAnsi="宋体" w:eastAsia="方正仿宋_GBK"/>
          <w:color w:val="auto"/>
          <w:sz w:val="24"/>
          <w:szCs w:val="24"/>
        </w:rPr>
        <w:t>时至</w:t>
      </w:r>
      <w:r>
        <w:rPr>
          <w:rFonts w:hint="eastAsia" w:ascii="方正仿宋_GBK" w:hAnsi="宋体" w:eastAsia="方正仿宋_GBK"/>
          <w:color w:val="auto"/>
          <w:sz w:val="24"/>
          <w:szCs w:val="24"/>
          <w:lang w:val="en-US" w:eastAsia="zh-CN"/>
        </w:rPr>
        <w:t xml:space="preserve">09:30 </w:t>
      </w:r>
      <w:r>
        <w:rPr>
          <w:rFonts w:hint="eastAsia" w:ascii="方正仿宋_GBK" w:hAnsi="宋体" w:eastAsia="方正仿宋_GBK"/>
          <w:color w:val="auto"/>
          <w:sz w:val="24"/>
          <w:szCs w:val="24"/>
        </w:rPr>
        <w:t>时</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（五）评审开始时间：202</w:t>
      </w:r>
      <w:r>
        <w:rPr>
          <w:rFonts w:hint="eastAsia" w:ascii="方正仿宋_GBK" w:hAnsi="宋体" w:eastAsia="方正仿宋_GBK"/>
          <w:color w:val="auto"/>
          <w:sz w:val="24"/>
          <w:szCs w:val="24"/>
          <w:lang w:val="en-US" w:eastAsia="zh-CN"/>
        </w:rPr>
        <w:t>4</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12</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 xml:space="preserve"> 27 </w:t>
      </w:r>
      <w:r>
        <w:rPr>
          <w:rFonts w:hint="eastAsia" w:ascii="方正仿宋_GBK" w:hAnsi="宋体" w:eastAsia="方正仿宋_GBK"/>
          <w:color w:val="auto"/>
          <w:sz w:val="24"/>
          <w:szCs w:val="24"/>
        </w:rPr>
        <w:t>日北京时间</w:t>
      </w:r>
      <w:r>
        <w:rPr>
          <w:rFonts w:hint="eastAsia" w:ascii="方正仿宋_GBK" w:hAnsi="宋体" w:eastAsia="方正仿宋_GBK"/>
          <w:color w:val="auto"/>
          <w:sz w:val="24"/>
          <w:szCs w:val="24"/>
          <w:lang w:val="en-US" w:eastAsia="zh-CN"/>
        </w:rPr>
        <w:t xml:space="preserve">09:30 </w:t>
      </w:r>
      <w:r>
        <w:rPr>
          <w:rFonts w:hint="eastAsia" w:ascii="方正仿宋_GBK" w:hAnsi="宋体" w:eastAsia="方正仿宋_GBK"/>
          <w:color w:val="auto"/>
          <w:sz w:val="24"/>
          <w:szCs w:val="24"/>
        </w:rPr>
        <w:t>时</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17" w:name="_Toc106030875"/>
      <w:bookmarkStart w:id="18" w:name="_Toc76462321"/>
      <w:bookmarkStart w:id="19" w:name="_Toc373860294"/>
      <w:r>
        <w:rPr>
          <w:rFonts w:hint="eastAsia" w:ascii="方正仿宋_GBK" w:hAnsi="宋体" w:eastAsia="方正仿宋_GBK"/>
          <w:color w:val="auto"/>
          <w:sz w:val="24"/>
        </w:rPr>
        <w:t>五、</w:t>
      </w:r>
      <w:bookmarkEnd w:id="12"/>
      <w:bookmarkEnd w:id="17"/>
      <w:bookmarkEnd w:id="18"/>
      <w:bookmarkEnd w:id="19"/>
      <w:bookmarkStart w:id="20" w:name="_Toc480466699"/>
      <w:bookmarkStart w:id="21" w:name="_Toc76462322"/>
      <w:bookmarkStart w:id="22" w:name="_Toc106030876"/>
      <w:r>
        <w:rPr>
          <w:rFonts w:hint="eastAsia" w:ascii="方正仿宋_GBK" w:hAnsi="宋体" w:eastAsia="方正仿宋_GBK"/>
          <w:color w:val="auto"/>
          <w:sz w:val="24"/>
        </w:rPr>
        <w:t>其它有关规定</w:t>
      </w:r>
      <w:bookmarkEnd w:id="20"/>
      <w:bookmarkEnd w:id="21"/>
      <w:bookmarkEnd w:id="22"/>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bookmarkStart w:id="23" w:name="_Toc480466700"/>
      <w:r>
        <w:rPr>
          <w:rFonts w:hint="eastAsia" w:ascii="方正仿宋_GBK" w:hAnsi="宋体" w:eastAsia="方正仿宋_GBK"/>
          <w:color w:val="auto"/>
          <w:sz w:val="24"/>
          <w:szCs w:val="24"/>
          <w:highlight w:val="none"/>
        </w:rPr>
        <w:t>（一）单位负责人为同一人或者存在直接控股、管理关系的不同供应商，</w:t>
      </w:r>
      <w:r>
        <w:rPr>
          <w:rFonts w:ascii="方正仿宋_GBK" w:hAnsi="宋体" w:eastAsia="方正仿宋_GBK"/>
          <w:color w:val="auto"/>
          <w:sz w:val="24"/>
          <w:szCs w:val="24"/>
          <w:highlight w:val="none"/>
        </w:rPr>
        <w:t>不得参加同一合同项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下的政府采购活动</w:t>
      </w:r>
      <w:r>
        <w:rPr>
          <w:rFonts w:hint="eastAsia" w:ascii="方正仿宋_GBK" w:hAnsi="宋体" w:eastAsia="方正仿宋_GBK"/>
          <w:color w:val="auto"/>
          <w:sz w:val="24"/>
          <w:szCs w:val="24"/>
          <w:highlight w:val="none"/>
        </w:rPr>
        <w:t>，否则均为无效报价。</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（二）为采购项目提供整体设计、规范编制或者项目管理、监理、检测等服务的供应商，不得再</w:t>
      </w:r>
      <w:r>
        <w:rPr>
          <w:rFonts w:ascii="方正仿宋_GBK" w:hAnsi="宋体" w:eastAsia="方正仿宋_GBK"/>
          <w:color w:val="auto"/>
          <w:sz w:val="24"/>
          <w:szCs w:val="24"/>
          <w:highlight w:val="none"/>
        </w:rPr>
        <w:t>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（三）同一合同项（包）下为单一品目的货物采购中，同一品牌同一型号产品有多家供应商参加谈判，只能按照一家供应商计算。</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（四）同一合同项（包）下的货物，制造商参与报价的，不得再委托代理商参与报价。</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（五）本项目的澄清文件（如果有）一律在重庆市交通</w:t>
      </w:r>
      <w:r>
        <w:rPr>
          <w:rFonts w:hint="eastAsia" w:ascii="方正仿宋_GBK" w:hAnsi="宋体" w:eastAsia="方正仿宋_GBK"/>
          <w:color w:val="auto"/>
          <w:sz w:val="24"/>
          <w:szCs w:val="24"/>
          <w:highlight w:val="none"/>
          <w:lang w:eastAsia="zh-CN"/>
        </w:rPr>
        <w:t>运输委员会官</w:t>
      </w:r>
      <w:r>
        <w:rPr>
          <w:rFonts w:hint="eastAsia" w:ascii="方正仿宋_GBK" w:hAnsi="宋体" w:eastAsia="方正仿宋_GBK"/>
          <w:color w:val="auto"/>
          <w:sz w:val="24"/>
          <w:szCs w:val="24"/>
          <w:highlight w:val="none"/>
        </w:rPr>
        <w:t>网</w:t>
      </w:r>
      <w:r>
        <w:rPr>
          <w:rFonts w:hint="eastAsia" w:ascii="方正仿宋_GBK" w:hAnsi="宋体" w:eastAsia="方正仿宋_GBK"/>
          <w:color w:val="auto"/>
          <w:sz w:val="24"/>
          <w:szCs w:val="24"/>
          <w:highlight w:val="none"/>
          <w:lang w:eastAsia="zh-CN"/>
        </w:rPr>
        <w:t>（https://jtj.cq.gov.cn/）</w:t>
      </w:r>
      <w:r>
        <w:rPr>
          <w:rFonts w:hint="eastAsia" w:ascii="方正仿宋_GBK" w:hAnsi="宋体" w:eastAsia="方正仿宋_GBK"/>
          <w:color w:val="auto"/>
          <w:sz w:val="24"/>
          <w:szCs w:val="24"/>
          <w:highlight w:val="none"/>
        </w:rPr>
        <w:t>上发布，请各供应商注意下载；无论供应商下载或领取与否，均视同供应商已知晓本项目澄清文件（如果有）的内容。</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（六）超过响应文件截止时间递交的响应文件，恕不接收。</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（七）限额以下比价费用：无论采购结果如何，供应商参与本项目比价的所有费用均应由供应商自行承担。</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（八）本项目不接受联合体参与报价，否则按无效处理。</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（九）本项目不接受合同分包，否则按无效处理。</w:t>
      </w:r>
    </w:p>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bCs/>
          <w:color w:val="auto"/>
          <w:sz w:val="24"/>
          <w:szCs w:val="24"/>
          <w:highlight w:val="none"/>
        </w:rPr>
        <w:t>（十）</w:t>
      </w:r>
      <w:r>
        <w:rPr>
          <w:rFonts w:hint="eastAsia" w:ascii="方正仿宋_GBK" w:hAnsi="宋体" w:eastAsia="方正仿宋_GBK"/>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bookmarkEnd w:id="23"/>
    <w:p>
      <w:pPr>
        <w:pageBreakBefore w:val="0"/>
        <w:widowControl w:val="0"/>
        <w:kinsoku/>
        <w:wordWrap/>
        <w:overflowPunct/>
        <w:topLinePunct w:val="0"/>
        <w:autoSpaceDE/>
        <w:autoSpaceDN/>
        <w:bidi w:val="0"/>
        <w:snapToGrid w:val="0"/>
        <w:spacing w:line="380" w:lineRule="exact"/>
        <w:ind w:firstLine="361" w:firstLineChars="150"/>
        <w:textAlignment w:val="auto"/>
        <w:rPr>
          <w:rFonts w:hint="eastAsia" w:ascii="方正仿宋_GBK" w:hAnsi="宋体" w:eastAsia="方正仿宋_GBK" w:cs="Times New Roman"/>
          <w:b/>
          <w:color w:val="auto"/>
          <w:sz w:val="24"/>
        </w:rPr>
      </w:pPr>
      <w:r>
        <w:rPr>
          <w:rFonts w:hint="eastAsia" w:ascii="方正仿宋_GBK" w:hAnsi="宋体" w:eastAsia="方正仿宋_GBK" w:cs="Times New Roman"/>
          <w:b/>
          <w:color w:val="auto"/>
          <w:sz w:val="24"/>
        </w:rPr>
        <w:t>六、现场踏勘</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本次项目内容为乌江杨家堡滩、倒杠碛滩航道维护性疏浚工程竣工测量，项目清单内的部分工程量为估计数量，请有意向参与竞标的潜在供应商自行现场复核工程量及了解施工条件、环境。</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踏勘地点：武隆。</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联系人及联系电话：代老师  023-72300403</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踏勘注意事项：</w:t>
      </w:r>
    </w:p>
    <w:p>
      <w:pPr>
        <w:pStyle w:val="5"/>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(1)潜在供应商踏勘现场发生的费用自理，无论供应商是否进行现场踏勘，均视为供应商对该项目情况十分清楚，能对投标及后来的实施做出准确的判断。</w:t>
      </w:r>
    </w:p>
    <w:p>
      <w:pPr>
        <w:pStyle w:val="5"/>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(2)除采购人的原因外，潜在供应商自行负责在踏勘现场中所发生的人员伤亡和财产损失。</w:t>
      </w:r>
    </w:p>
    <w:p>
      <w:pPr>
        <w:pStyle w:val="5"/>
        <w:pageBreakBefore w:val="0"/>
        <w:widowControl w:val="0"/>
        <w:kinsoku/>
        <w:wordWrap/>
        <w:overflowPunct/>
        <w:topLinePunct w:val="0"/>
        <w:autoSpaceDE/>
        <w:autoSpaceDN/>
        <w:bidi w:val="0"/>
        <w:adjustRightInd w:val="0"/>
        <w:snapToGrid w:val="0"/>
        <w:spacing w:before="0" w:after="0" w:line="380" w:lineRule="exact"/>
        <w:ind w:firstLine="482" w:firstLineChars="200"/>
        <w:textAlignment w:val="auto"/>
        <w:rPr>
          <w:rFonts w:hint="eastAsia" w:ascii="方正仿宋_GBK" w:hAnsi="宋体" w:eastAsia="方正仿宋_GBK"/>
          <w:color w:val="auto"/>
          <w:sz w:val="24"/>
        </w:rPr>
      </w:pPr>
      <w:r>
        <w:rPr>
          <w:rFonts w:hint="eastAsia" w:ascii="方正仿宋_GBK" w:hAnsi="宋体" w:eastAsia="方正仿宋_GBK"/>
          <w:color w:val="auto"/>
          <w:sz w:val="24"/>
          <w:lang w:val="en-US" w:eastAsia="zh-CN"/>
        </w:rPr>
        <w:t>七</w:t>
      </w:r>
      <w:r>
        <w:rPr>
          <w:rFonts w:hint="eastAsia" w:ascii="方正仿宋_GBK" w:hAnsi="宋体" w:eastAsia="方正仿宋_GBK"/>
          <w:color w:val="auto"/>
          <w:sz w:val="24"/>
        </w:rPr>
        <w:t>、联系方式</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（一）采购人：重庆市乌江航道管理处</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联系人：</w:t>
      </w:r>
      <w:r>
        <w:rPr>
          <w:rFonts w:hint="eastAsia" w:ascii="方正仿宋_GBK" w:hAnsi="宋体" w:eastAsia="方正仿宋_GBK"/>
          <w:color w:val="auto"/>
          <w:sz w:val="24"/>
          <w:szCs w:val="24"/>
          <w:lang w:eastAsia="zh-CN"/>
        </w:rPr>
        <w:t>肖</w:t>
      </w:r>
      <w:r>
        <w:rPr>
          <w:rFonts w:hint="eastAsia" w:ascii="方正仿宋_GBK" w:hAnsi="宋体" w:eastAsia="方正仿宋_GBK"/>
          <w:color w:val="auto"/>
          <w:sz w:val="24"/>
          <w:szCs w:val="24"/>
        </w:rPr>
        <w:t>老师</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电  话：</w:t>
      </w:r>
      <w:r>
        <w:rPr>
          <w:rFonts w:hint="eastAsia" w:ascii="方正仿宋_GBK" w:hAnsi="宋体" w:eastAsia="方正仿宋_GBK"/>
          <w:color w:val="auto"/>
          <w:sz w:val="24"/>
          <w:szCs w:val="24"/>
          <w:highlight w:val="none"/>
          <w:lang w:val="en-US" w:eastAsia="zh-CN"/>
        </w:rPr>
        <w:t>023-72300403</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地  址：重庆市涪陵区顺江大道望江路99号</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（二）采购代理机构：重庆华大工程管理有限公司</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联系人：</w:t>
      </w:r>
      <w:r>
        <w:rPr>
          <w:rFonts w:hint="eastAsia" w:ascii="方正仿宋_GBK" w:hAnsi="宋体" w:eastAsia="方正仿宋_GBK"/>
          <w:color w:val="auto"/>
          <w:sz w:val="24"/>
          <w:szCs w:val="24"/>
          <w:lang w:eastAsia="zh-CN"/>
        </w:rPr>
        <w:t>刘</w:t>
      </w:r>
      <w:r>
        <w:rPr>
          <w:rFonts w:hint="eastAsia" w:ascii="方正仿宋_GBK" w:hAnsi="宋体" w:eastAsia="方正仿宋_GBK"/>
          <w:color w:val="auto"/>
          <w:sz w:val="24"/>
          <w:szCs w:val="24"/>
        </w:rPr>
        <w:t>老师</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电  话：</w:t>
      </w:r>
      <w:r>
        <w:rPr>
          <w:rFonts w:hint="eastAsia" w:ascii="方正仿宋_GBK" w:hAnsi="宋体" w:eastAsia="方正仿宋_GBK"/>
          <w:color w:val="auto"/>
          <w:sz w:val="24"/>
          <w:szCs w:val="24"/>
          <w:lang w:val="en-US" w:eastAsia="zh-CN"/>
        </w:rPr>
        <w:t>18325055102</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地  址：重庆市涪陵区新城区建筑业大厦3楼</w:t>
      </w:r>
    </w:p>
    <w:p>
      <w:pPr>
        <w:pStyle w:val="5"/>
        <w:pageBreakBefore w:val="0"/>
        <w:widowControl w:val="0"/>
        <w:kinsoku/>
        <w:wordWrap/>
        <w:overflowPunct/>
        <w:topLinePunct w:val="0"/>
        <w:autoSpaceDE/>
        <w:autoSpaceDN/>
        <w:bidi w:val="0"/>
        <w:adjustRightInd w:val="0"/>
        <w:snapToGrid w:val="0"/>
        <w:spacing w:before="0" w:after="0" w:line="380" w:lineRule="exact"/>
        <w:ind w:firstLine="482" w:firstLineChars="200"/>
        <w:textAlignment w:val="auto"/>
        <w:rPr>
          <w:rFonts w:hint="eastAsia" w:ascii="方正仿宋_GBK" w:hAnsi="宋体" w:eastAsia="方正仿宋_GBK" w:cs="Times New Roman"/>
          <w:color w:val="auto"/>
          <w:sz w:val="24"/>
          <w:lang w:val="en-US" w:eastAsia="zh-CN"/>
        </w:rPr>
      </w:pPr>
      <w:r>
        <w:rPr>
          <w:rFonts w:hint="eastAsia" w:ascii="方正仿宋_GBK" w:hAnsi="宋体" w:eastAsia="方正仿宋_GBK" w:cs="Times New Roman"/>
          <w:color w:val="auto"/>
          <w:sz w:val="24"/>
          <w:lang w:val="en-US" w:eastAsia="zh-CN"/>
        </w:rPr>
        <w:t>八、项目其他说明</w:t>
      </w:r>
    </w:p>
    <w:p>
      <w:pPr>
        <w:snapToGrid w:val="0"/>
        <w:spacing w:line="400" w:lineRule="exact"/>
        <w:ind w:firstLine="480" w:firstLineChars="200"/>
        <w:rPr>
          <w:rFonts w:hint="eastAsia" w:ascii="宋体" w:hAnsi="宋体"/>
          <w:b w:val="0"/>
          <w:bCs/>
          <w:color w:val="auto"/>
          <w:sz w:val="24"/>
          <w:szCs w:val="24"/>
        </w:rPr>
      </w:pPr>
      <w:r>
        <w:rPr>
          <w:rFonts w:hint="eastAsia" w:ascii="宋体" w:hAnsi="宋体"/>
          <w:b w:val="0"/>
          <w:bCs/>
          <w:color w:val="auto"/>
          <w:sz w:val="24"/>
          <w:szCs w:val="24"/>
        </w:rPr>
        <w:t>投标</w:t>
      </w:r>
      <w:r>
        <w:rPr>
          <w:rFonts w:hint="eastAsia" w:ascii="宋体" w:hAnsi="宋体"/>
          <w:b w:val="0"/>
          <w:bCs/>
          <w:color w:val="auto"/>
          <w:sz w:val="24"/>
          <w:szCs w:val="24"/>
          <w:lang w:eastAsia="zh-CN"/>
        </w:rPr>
        <w:t>供应商</w:t>
      </w:r>
      <w:r>
        <w:rPr>
          <w:rFonts w:hint="eastAsia" w:ascii="宋体" w:hAnsi="宋体"/>
          <w:b w:val="0"/>
          <w:bCs/>
          <w:color w:val="auto"/>
          <w:sz w:val="24"/>
          <w:szCs w:val="24"/>
        </w:rPr>
        <w:t>的</w:t>
      </w:r>
      <w:r>
        <w:rPr>
          <w:rFonts w:hint="eastAsia" w:ascii="宋体" w:hAnsi="宋体"/>
          <w:b w:val="0"/>
          <w:bCs/>
          <w:color w:val="auto"/>
          <w:sz w:val="24"/>
          <w:szCs w:val="24"/>
          <w:lang w:val="zh-CN"/>
        </w:rPr>
        <w:t>法定代表人或</w:t>
      </w:r>
      <w:r>
        <w:rPr>
          <w:rFonts w:hint="eastAsia" w:ascii="宋体" w:hAnsi="宋体"/>
          <w:b w:val="0"/>
          <w:bCs/>
          <w:color w:val="auto"/>
          <w:sz w:val="24"/>
          <w:szCs w:val="24"/>
        </w:rPr>
        <w:t>授权代理人</w:t>
      </w:r>
      <w:r>
        <w:rPr>
          <w:rFonts w:hint="eastAsia" w:ascii="宋体" w:hAnsi="宋体"/>
          <w:b w:val="0"/>
          <w:bCs/>
          <w:color w:val="auto"/>
          <w:sz w:val="24"/>
          <w:szCs w:val="24"/>
          <w:lang w:val="zh-CN"/>
        </w:rPr>
        <w:t>必须按时参加本竞争性磋商会议。</w:t>
      </w:r>
    </w:p>
    <w:p>
      <w:pPr>
        <w:snapToGrid w:val="0"/>
        <w:spacing w:line="400" w:lineRule="exact"/>
        <w:ind w:firstLine="480" w:firstLineChars="200"/>
        <w:rPr>
          <w:rFonts w:hint="eastAsia" w:ascii="宋体" w:hAnsi="宋体"/>
          <w:b w:val="0"/>
          <w:bCs/>
          <w:color w:val="auto"/>
          <w:sz w:val="24"/>
          <w:szCs w:val="24"/>
        </w:rPr>
      </w:pPr>
      <w:r>
        <w:rPr>
          <w:rFonts w:hint="eastAsia" w:ascii="宋体" w:hAnsi="宋体"/>
          <w:b w:val="0"/>
          <w:bCs/>
          <w:color w:val="auto"/>
          <w:sz w:val="24"/>
          <w:szCs w:val="24"/>
        </w:rPr>
        <w:t>投标</w:t>
      </w:r>
      <w:r>
        <w:rPr>
          <w:rFonts w:hint="eastAsia" w:ascii="宋体" w:hAnsi="宋体"/>
          <w:b w:val="0"/>
          <w:bCs/>
          <w:color w:val="auto"/>
          <w:sz w:val="24"/>
          <w:szCs w:val="24"/>
          <w:lang w:eastAsia="zh-CN"/>
        </w:rPr>
        <w:t>供应商</w:t>
      </w:r>
      <w:r>
        <w:rPr>
          <w:rFonts w:hint="eastAsia" w:ascii="宋体" w:hAnsi="宋体"/>
          <w:b w:val="0"/>
          <w:bCs/>
          <w:color w:val="auto"/>
          <w:sz w:val="24"/>
          <w:szCs w:val="24"/>
        </w:rPr>
        <w:t>的法定代表人参加</w:t>
      </w:r>
      <w:r>
        <w:rPr>
          <w:rFonts w:hint="eastAsia" w:ascii="宋体" w:hAnsi="宋体"/>
          <w:b w:val="0"/>
          <w:bCs/>
          <w:color w:val="auto"/>
          <w:sz w:val="24"/>
          <w:szCs w:val="24"/>
          <w:lang w:eastAsia="zh-CN"/>
        </w:rPr>
        <w:t>竞争性磋商</w:t>
      </w:r>
      <w:r>
        <w:rPr>
          <w:rFonts w:hint="eastAsia" w:ascii="宋体" w:hAnsi="宋体"/>
          <w:b w:val="0"/>
          <w:bCs/>
          <w:color w:val="auto"/>
          <w:sz w:val="24"/>
          <w:szCs w:val="24"/>
        </w:rPr>
        <w:t>会议的，应当随身携带本人身份证（原件），法定代表人身份证明书（原件）；</w:t>
      </w:r>
    </w:p>
    <w:p>
      <w:pPr>
        <w:snapToGrid w:val="0"/>
        <w:spacing w:line="400" w:lineRule="exact"/>
        <w:ind w:firstLine="480" w:firstLineChars="200"/>
        <w:rPr>
          <w:rFonts w:hint="eastAsia" w:ascii="宋体" w:hAnsi="宋体"/>
          <w:b w:val="0"/>
          <w:bCs/>
          <w:color w:val="auto"/>
          <w:sz w:val="24"/>
          <w:szCs w:val="24"/>
        </w:rPr>
      </w:pPr>
      <w:r>
        <w:rPr>
          <w:rFonts w:hint="eastAsia" w:ascii="宋体" w:hAnsi="宋体"/>
          <w:b w:val="0"/>
          <w:bCs/>
          <w:color w:val="auto"/>
          <w:sz w:val="24"/>
          <w:szCs w:val="24"/>
        </w:rPr>
        <w:t>投标</w:t>
      </w:r>
      <w:r>
        <w:rPr>
          <w:rFonts w:hint="eastAsia" w:ascii="宋体" w:hAnsi="宋体"/>
          <w:b w:val="0"/>
          <w:bCs/>
          <w:color w:val="auto"/>
          <w:sz w:val="24"/>
          <w:szCs w:val="24"/>
          <w:lang w:eastAsia="zh-CN"/>
        </w:rPr>
        <w:t>供应商</w:t>
      </w:r>
      <w:r>
        <w:rPr>
          <w:rFonts w:hint="eastAsia" w:ascii="宋体" w:hAnsi="宋体"/>
          <w:b w:val="0"/>
          <w:bCs/>
          <w:color w:val="auto"/>
          <w:sz w:val="24"/>
          <w:szCs w:val="24"/>
        </w:rPr>
        <w:t>的授权代理人参加</w:t>
      </w:r>
      <w:r>
        <w:rPr>
          <w:rFonts w:hint="eastAsia" w:ascii="宋体" w:hAnsi="宋体"/>
          <w:b w:val="0"/>
          <w:bCs/>
          <w:color w:val="auto"/>
          <w:sz w:val="24"/>
          <w:szCs w:val="24"/>
          <w:lang w:eastAsia="zh-CN"/>
        </w:rPr>
        <w:t>竞争性磋商</w:t>
      </w:r>
      <w:r>
        <w:rPr>
          <w:rFonts w:hint="eastAsia" w:ascii="宋体" w:hAnsi="宋体"/>
          <w:b w:val="0"/>
          <w:bCs/>
          <w:color w:val="auto"/>
          <w:sz w:val="24"/>
          <w:szCs w:val="24"/>
        </w:rPr>
        <w:t>会议的，除随身携带法定代表人身份证明书（原件）外，还应当随身携带法定代表人授权委托书(原件)、投标</w:t>
      </w:r>
      <w:r>
        <w:rPr>
          <w:rFonts w:hint="eastAsia" w:ascii="宋体" w:hAnsi="宋体"/>
          <w:b w:val="0"/>
          <w:bCs/>
          <w:color w:val="auto"/>
          <w:sz w:val="24"/>
          <w:szCs w:val="24"/>
          <w:lang w:eastAsia="zh-CN"/>
        </w:rPr>
        <w:t>供应商</w:t>
      </w:r>
      <w:r>
        <w:rPr>
          <w:rFonts w:hint="eastAsia" w:ascii="宋体" w:hAnsi="宋体"/>
          <w:b w:val="0"/>
          <w:bCs/>
          <w:color w:val="auto"/>
          <w:sz w:val="24"/>
          <w:szCs w:val="24"/>
        </w:rPr>
        <w:t>为其交纳的社保证明材料以及本人身份证（原件），否则不予参加</w:t>
      </w:r>
      <w:r>
        <w:rPr>
          <w:rFonts w:hint="eastAsia" w:ascii="宋体" w:hAnsi="宋体"/>
          <w:b w:val="0"/>
          <w:bCs/>
          <w:color w:val="auto"/>
          <w:sz w:val="24"/>
          <w:szCs w:val="24"/>
          <w:lang w:eastAsia="zh-CN"/>
        </w:rPr>
        <w:t>竞争性磋商</w:t>
      </w:r>
      <w:r>
        <w:rPr>
          <w:rFonts w:hint="eastAsia" w:ascii="宋体" w:hAnsi="宋体"/>
          <w:b w:val="0"/>
          <w:bCs/>
          <w:color w:val="auto"/>
          <w:sz w:val="24"/>
          <w:szCs w:val="24"/>
        </w:rPr>
        <w:t>会，其递交的投标文件将被退还给投标</w:t>
      </w:r>
      <w:r>
        <w:rPr>
          <w:rFonts w:hint="eastAsia" w:ascii="宋体" w:hAnsi="宋体"/>
          <w:b w:val="0"/>
          <w:bCs/>
          <w:color w:val="auto"/>
          <w:sz w:val="24"/>
          <w:szCs w:val="24"/>
          <w:lang w:eastAsia="zh-CN"/>
        </w:rPr>
        <w:t>供应商</w:t>
      </w:r>
      <w:r>
        <w:rPr>
          <w:rFonts w:hint="eastAsia" w:ascii="宋体" w:hAnsi="宋体"/>
          <w:b w:val="0"/>
          <w:bCs/>
          <w:color w:val="auto"/>
          <w:sz w:val="24"/>
          <w:szCs w:val="24"/>
        </w:rPr>
        <w:t>。</w:t>
      </w:r>
    </w:p>
    <w:p>
      <w:pPr>
        <w:snapToGrid w:val="0"/>
        <w:spacing w:line="400" w:lineRule="exact"/>
        <w:ind w:firstLine="480" w:firstLineChars="200"/>
        <w:rPr>
          <w:rFonts w:hint="eastAsia" w:ascii="宋体" w:hAnsi="宋体"/>
          <w:b/>
          <w:color w:val="auto"/>
          <w:sz w:val="24"/>
          <w:szCs w:val="24"/>
        </w:rPr>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964" w:footer="992" w:gutter="0"/>
          <w:pgNumType w:fmt="numberInDash"/>
          <w:cols w:space="720" w:num="1"/>
          <w:docGrid w:linePitch="312" w:charSpace="0"/>
        </w:sectPr>
      </w:pPr>
      <w:r>
        <w:rPr>
          <w:rFonts w:hint="eastAsia" w:ascii="宋体" w:hAnsi="宋体"/>
          <w:b w:val="0"/>
          <w:bCs/>
          <w:color w:val="auto"/>
          <w:sz w:val="24"/>
          <w:szCs w:val="24"/>
        </w:rPr>
        <w:t>注：《法定代表人身份证明书》及《法定代表人授权委托书》原件须按要求装入投标文件，也要随身携带壹份以供监督人员核实身份</w:t>
      </w:r>
      <w:r>
        <w:rPr>
          <w:rFonts w:hint="eastAsia" w:ascii="宋体" w:hAnsi="宋体"/>
          <w:b w:val="0"/>
          <w:bCs/>
          <w:color w:val="auto"/>
          <w:sz w:val="24"/>
          <w:szCs w:val="24"/>
          <w:lang w:eastAsia="zh-CN"/>
        </w:rPr>
        <w:t>，社保缴纳期限：</w:t>
      </w:r>
      <w:r>
        <w:rPr>
          <w:rFonts w:hint="eastAsia" w:ascii="宋体" w:hAnsi="宋体"/>
          <w:b w:val="0"/>
          <w:bCs/>
          <w:color w:val="auto"/>
          <w:sz w:val="24"/>
          <w:szCs w:val="24"/>
          <w:lang w:val="en-US" w:eastAsia="zh-CN"/>
        </w:rPr>
        <w:t>2024年9月-2024年11月。</w:t>
      </w:r>
    </w:p>
    <w:p>
      <w:pPr>
        <w:pStyle w:val="5"/>
        <w:spacing w:before="0" w:after="0" w:line="360" w:lineRule="auto"/>
        <w:jc w:val="center"/>
        <w:rPr>
          <w:rFonts w:hint="eastAsia" w:ascii="方正小标宋_GBK" w:hAnsi="宋体" w:eastAsia="方正小标宋_GBK"/>
          <w:b w:val="0"/>
          <w:color w:val="auto"/>
          <w:sz w:val="30"/>
          <w:szCs w:val="30"/>
        </w:rPr>
      </w:pPr>
      <w:bookmarkStart w:id="24" w:name="_Toc106030878"/>
      <w:bookmarkStart w:id="25" w:name="_Toc76462324"/>
      <w:r>
        <w:rPr>
          <w:rFonts w:hint="eastAsia" w:ascii="方正小标宋_GBK" w:hAnsi="宋体" w:eastAsia="方正小标宋_GBK"/>
          <w:b w:val="0"/>
          <w:color w:val="auto"/>
          <w:sz w:val="36"/>
          <w:szCs w:val="30"/>
        </w:rPr>
        <w:t>第二篇  项目服务需求</w:t>
      </w:r>
      <w:bookmarkEnd w:id="24"/>
      <w:bookmarkEnd w:id="25"/>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26" w:name="_Toc106030879"/>
      <w:bookmarkStart w:id="27" w:name="_Toc76462325"/>
      <w:bookmarkStart w:id="28" w:name="_Toc12789058"/>
      <w:r>
        <w:rPr>
          <w:rFonts w:hint="eastAsia" w:ascii="方正仿宋_GBK" w:hAnsi="宋体" w:eastAsia="方正仿宋_GBK"/>
          <w:color w:val="auto"/>
          <w:sz w:val="24"/>
        </w:rPr>
        <w:t>一、项目基本概况介绍</w:t>
      </w:r>
      <w:bookmarkEnd w:id="26"/>
      <w:bookmarkEnd w:id="27"/>
    </w:p>
    <w:tbl>
      <w:tblPr>
        <w:tblStyle w:val="5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3402"/>
        <w:gridCol w:w="1545"/>
        <w:gridCol w:w="1070"/>
        <w:gridCol w:w="1366"/>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820"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3402"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项目</w:t>
            </w:r>
          </w:p>
        </w:tc>
        <w:tc>
          <w:tcPr>
            <w:tcW w:w="1545"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测量内容</w:t>
            </w:r>
          </w:p>
        </w:tc>
        <w:tc>
          <w:tcPr>
            <w:tcW w:w="1070" w:type="dxa"/>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工程量</w:t>
            </w:r>
          </w:p>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（km</w:t>
            </w:r>
            <w:r>
              <w:rPr>
                <w:rFonts w:hint="eastAsia" w:ascii="宋体" w:hAnsi="宋体" w:eastAsia="宋体" w:cs="宋体"/>
                <w:sz w:val="24"/>
                <w:szCs w:val="24"/>
                <w:vertAlign w:val="superscript"/>
              </w:rPr>
              <w:t>2</w:t>
            </w:r>
            <w:r>
              <w:rPr>
                <w:rFonts w:hint="eastAsia" w:ascii="宋体" w:hAnsi="宋体" w:eastAsia="宋体" w:cs="宋体"/>
                <w:sz w:val="24"/>
                <w:szCs w:val="24"/>
              </w:rPr>
              <w:t>）</w:t>
            </w:r>
          </w:p>
        </w:tc>
        <w:tc>
          <w:tcPr>
            <w:tcW w:w="1366"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测图比例</w:t>
            </w:r>
          </w:p>
        </w:tc>
        <w:tc>
          <w:tcPr>
            <w:tcW w:w="1017"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820"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3402"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杨家堡</w:t>
            </w:r>
            <w:r>
              <w:rPr>
                <w:rFonts w:hint="eastAsia" w:ascii="宋体" w:hAnsi="宋体" w:eastAsia="宋体" w:cs="宋体"/>
                <w:sz w:val="24"/>
                <w:szCs w:val="24"/>
              </w:rPr>
              <w:t>滩地形图测量</w:t>
            </w:r>
          </w:p>
        </w:tc>
        <w:tc>
          <w:tcPr>
            <w:tcW w:w="1545" w:type="dxa"/>
            <w:tcBorders>
              <w:bottom w:val="single" w:color="auto" w:sz="4" w:space="0"/>
            </w:tcBorders>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水上、水下地形图</w:t>
            </w:r>
          </w:p>
        </w:tc>
        <w:tc>
          <w:tcPr>
            <w:tcW w:w="1070" w:type="dxa"/>
            <w:tcBorders>
              <w:bottom w:val="single" w:color="auto" w:sz="4" w:space="0"/>
            </w:tcBorders>
            <w:noWrap w:val="0"/>
            <w:vAlign w:val="center"/>
          </w:tcPr>
          <w:p>
            <w:pPr>
              <w:spacing w:line="5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0.05</w:t>
            </w:r>
          </w:p>
        </w:tc>
        <w:tc>
          <w:tcPr>
            <w:tcW w:w="1366" w:type="dxa"/>
            <w:tcBorders>
              <w:bottom w:val="single" w:color="auto" w:sz="4" w:space="0"/>
            </w:tcBorders>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1:500</w:t>
            </w:r>
          </w:p>
        </w:tc>
        <w:tc>
          <w:tcPr>
            <w:tcW w:w="1017" w:type="dxa"/>
            <w:tcBorders>
              <w:bottom w:val="single" w:color="auto" w:sz="4" w:space="0"/>
            </w:tcBorders>
            <w:noWrap w:val="0"/>
            <w:vAlign w:val="center"/>
          </w:tcPr>
          <w:p>
            <w:pPr>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20" w:type="dxa"/>
            <w:noWrap w:val="0"/>
            <w:vAlign w:val="center"/>
          </w:tcPr>
          <w:p>
            <w:pPr>
              <w:spacing w:line="5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402"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倒杠碛</w:t>
            </w:r>
            <w:r>
              <w:rPr>
                <w:rFonts w:hint="eastAsia" w:ascii="宋体" w:hAnsi="宋体" w:eastAsia="宋体" w:cs="宋体"/>
                <w:sz w:val="24"/>
                <w:szCs w:val="24"/>
              </w:rPr>
              <w:t>滩地形图测量</w:t>
            </w:r>
          </w:p>
        </w:tc>
        <w:tc>
          <w:tcPr>
            <w:tcW w:w="1545" w:type="dxa"/>
            <w:tcBorders>
              <w:bottom w:val="single" w:color="auto" w:sz="4" w:space="0"/>
            </w:tcBorders>
            <w:noWrap w:val="0"/>
            <w:vAlign w:val="center"/>
          </w:tcPr>
          <w:p>
            <w:pPr>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水上、水下地形图</w:t>
            </w:r>
          </w:p>
        </w:tc>
        <w:tc>
          <w:tcPr>
            <w:tcW w:w="1070" w:type="dxa"/>
            <w:tcBorders>
              <w:bottom w:val="single" w:color="auto" w:sz="4" w:space="0"/>
            </w:tcBorders>
            <w:noWrap w:val="0"/>
            <w:vAlign w:val="center"/>
          </w:tcPr>
          <w:p>
            <w:pPr>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0.10</w:t>
            </w:r>
          </w:p>
        </w:tc>
        <w:tc>
          <w:tcPr>
            <w:tcW w:w="1366" w:type="dxa"/>
            <w:tcBorders>
              <w:bottom w:val="single" w:color="auto" w:sz="4" w:space="0"/>
            </w:tcBorders>
            <w:noWrap w:val="0"/>
            <w:vAlign w:val="center"/>
          </w:tcPr>
          <w:p>
            <w:pPr>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1:500</w:t>
            </w:r>
          </w:p>
        </w:tc>
        <w:tc>
          <w:tcPr>
            <w:tcW w:w="1017" w:type="dxa"/>
            <w:tcBorders>
              <w:bottom w:val="single" w:color="auto" w:sz="4" w:space="0"/>
            </w:tcBorders>
            <w:noWrap w:val="0"/>
            <w:vAlign w:val="center"/>
          </w:tcPr>
          <w:p>
            <w:pPr>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20" w:type="dxa"/>
            <w:noWrap w:val="0"/>
            <w:vAlign w:val="center"/>
          </w:tcPr>
          <w:p>
            <w:pPr>
              <w:spacing w:line="5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402" w:type="dxa"/>
            <w:noWrap w:val="0"/>
            <w:vAlign w:val="center"/>
          </w:tcPr>
          <w:p>
            <w:pPr>
              <w:spacing w:line="5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杨家堡</w:t>
            </w:r>
            <w:r>
              <w:rPr>
                <w:rFonts w:hint="eastAsia" w:ascii="宋体" w:hAnsi="宋体" w:eastAsia="宋体" w:cs="宋体"/>
                <w:sz w:val="24"/>
                <w:szCs w:val="24"/>
              </w:rPr>
              <w:t>滩</w:t>
            </w:r>
            <w:r>
              <w:rPr>
                <w:rFonts w:hint="eastAsia" w:ascii="宋体" w:hAnsi="宋体" w:eastAsia="宋体" w:cs="宋体"/>
                <w:color w:val="000000"/>
                <w:sz w:val="24"/>
                <w:szCs w:val="24"/>
                <w:lang w:val="en-US" w:eastAsia="zh-CN"/>
              </w:rPr>
              <w:t>成图及报告编制</w:t>
            </w:r>
          </w:p>
        </w:tc>
        <w:tc>
          <w:tcPr>
            <w:tcW w:w="4998" w:type="dxa"/>
            <w:gridSpan w:val="4"/>
            <w:tcBorders>
              <w:bottom w:val="single" w:color="auto" w:sz="4" w:space="0"/>
            </w:tcBorders>
            <w:noWrap w:val="0"/>
            <w:vAlign w:val="center"/>
          </w:tcPr>
          <w:p>
            <w:pPr>
              <w:spacing w:line="500" w:lineRule="exact"/>
              <w:rPr>
                <w:rFonts w:hint="eastAsia" w:ascii="宋体" w:hAnsi="宋体" w:eastAsia="宋体" w:cs="宋体"/>
                <w:sz w:val="24"/>
                <w:szCs w:val="24"/>
              </w:rPr>
            </w:pPr>
            <w:r>
              <w:rPr>
                <w:rFonts w:hint="eastAsia" w:ascii="宋体" w:hAnsi="宋体" w:eastAsia="宋体" w:cs="宋体"/>
                <w:sz w:val="24"/>
                <w:szCs w:val="24"/>
              </w:rPr>
              <w:t>根据施工测量成果以及工程要求对竣工测量成果进行分析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20" w:type="dxa"/>
            <w:noWrap w:val="0"/>
            <w:vAlign w:val="center"/>
          </w:tcPr>
          <w:p>
            <w:pPr>
              <w:spacing w:line="5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402"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sz w:val="24"/>
                <w:szCs w:val="24"/>
                <w:lang w:val="en-US" w:eastAsia="zh-CN"/>
              </w:rPr>
              <w:t>倒杠碛</w:t>
            </w:r>
            <w:r>
              <w:rPr>
                <w:rFonts w:hint="eastAsia" w:ascii="宋体" w:hAnsi="宋体" w:eastAsia="宋体" w:cs="宋体"/>
                <w:sz w:val="24"/>
                <w:szCs w:val="24"/>
              </w:rPr>
              <w:t>滩</w:t>
            </w:r>
            <w:r>
              <w:rPr>
                <w:rFonts w:hint="eastAsia" w:ascii="宋体" w:hAnsi="宋体" w:eastAsia="宋体" w:cs="宋体"/>
                <w:color w:val="000000"/>
                <w:sz w:val="24"/>
                <w:szCs w:val="24"/>
                <w:lang w:val="en-US" w:eastAsia="zh-CN"/>
              </w:rPr>
              <w:t>成图及报告编制</w:t>
            </w:r>
          </w:p>
        </w:tc>
        <w:tc>
          <w:tcPr>
            <w:tcW w:w="4998" w:type="dxa"/>
            <w:gridSpan w:val="4"/>
            <w:tcBorders>
              <w:bottom w:val="single" w:color="auto" w:sz="4" w:space="0"/>
            </w:tcBorders>
            <w:noWrap w:val="0"/>
            <w:vAlign w:val="center"/>
          </w:tcPr>
          <w:p>
            <w:pPr>
              <w:spacing w:line="500" w:lineRule="exact"/>
              <w:rPr>
                <w:rFonts w:hint="eastAsia" w:ascii="宋体" w:hAnsi="宋体" w:eastAsia="宋体" w:cs="宋体"/>
                <w:sz w:val="24"/>
                <w:szCs w:val="24"/>
              </w:rPr>
            </w:pPr>
            <w:r>
              <w:rPr>
                <w:rFonts w:hint="eastAsia" w:ascii="宋体" w:hAnsi="宋体" w:eastAsia="宋体" w:cs="宋体"/>
                <w:sz w:val="24"/>
                <w:szCs w:val="24"/>
              </w:rPr>
              <w:t>根据施工测量成果以及工程要求对竣工测量成果进行分析</w:t>
            </w:r>
          </w:p>
        </w:tc>
      </w:tr>
    </w:tbl>
    <w:p>
      <w:pPr>
        <w:spacing w:line="560" w:lineRule="exact"/>
        <w:ind w:firstLine="560" w:firstLineChars="200"/>
        <w:rPr>
          <w:rFonts w:hint="eastAsia" w:ascii="宋体" w:hAnsi="宋体" w:eastAsia="宋体" w:cs="宋体"/>
          <w:color w:val="auto"/>
          <w:sz w:val="28"/>
          <w:szCs w:val="28"/>
          <w:lang w:val="en-US" w:eastAsia="zh-CN"/>
        </w:rPr>
      </w:pP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二、技术依据</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航道测量内容应满足国家及行业相关规范的要求，主要观测依据如下：</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（1）《水运工程测量规范》（JT/S131-2012）；</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（2）《国家三、四等水准测量规范》（GB/T 12898-2009）；</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（3）《全球定位系统（GPS）测量规范》（GB/T18314-2009）；</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（4）《水运工程测量质量检验标准》（JTS 258-2008）；</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三、工作内容</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测图比例为1：500，杨家堡滩、倒杠碛滩段河床地形图，测量面积0.15km2，陆上、水下地形图测量。陆上测量范围：以沿江公路为界。</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四、地形图测量</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测量范围为杨家堡滩、倒杠碛滩段，含河道陆域地形和水下地形测量面积共0.15km2，测图比例为1:500。测量范围内如包含航道整治建筑物、沿江的码头、人渡、趸船、取水口、排污口、泄洪口、跨江桥梁、电缆等涉河设施需加以备注，其中跨江线缆和桥梁需绘制垂弧图。</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五、技术要求</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1、平面坐标系统采用1954北京坐标系、中央子午线为108°带投影；高程采用1956黄海高程系统，并以绝对高程成图；</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2、测量队伍进场后，在开展测量工作前，需对测量仪器进行现场检校，包括GPS ，全站仪、水准仪i角校正，测深仪比测等工作并做好记录。</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3、平面首级控制采用GPS测量E级，按《全球定位系统（GPS）测量规范》（GB/T18314-2009）执行；首级高程控制按四等方法进行测量，按《国家三、等水准测量规范》（GB/T 12898-2009）执行。</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4、地形测量前应检查平面和高程控制点，并做好检查记录。</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5、水深测量前需确定声速，同时做好测深仪的比测工作。</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地形图应准确标注测量范围内所有涉河工程和设施的位置、尺度、高程等；清楚标识地名、陡岸坡、礁石、水边以及各种石盘、石梁、碛坝、洲滩等地物地貌及跨河、临河建筑物、航标、航行水尺、碍航物、助航标志标牌、航道基地等与航道相关的所有名称。支叉河流，应测量至支叉河流内200m，地形图中应勾绘出实测水边线位置。</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7、河段1:500测图测深线间距不得大于图上1.0cm，点间距不得大于图上0.8cm。</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8、测图中应标示测绘时间、测图水位等；</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9、所有测量工作及其成果必须满足《水运工程测量规范》（JTS131-2012）及其它国家相关标准、要求。</w:t>
      </w:r>
    </w:p>
    <w:p>
      <w:pPr>
        <w:pStyle w:val="2"/>
        <w:rPr>
          <w:rFonts w:hint="eastAsia" w:ascii="宋体" w:hAnsi="宋体" w:eastAsia="宋体" w:cs="宋体"/>
          <w:color w:val="auto"/>
          <w:kern w:val="2"/>
          <w:sz w:val="24"/>
          <w:szCs w:val="24"/>
          <w:lang w:val="en-US" w:eastAsia="zh-CN" w:bidi="ar-SA"/>
        </w:rPr>
      </w:pPr>
    </w:p>
    <w:p>
      <w:pPr>
        <w:pStyle w:val="3"/>
        <w:rPr>
          <w:rFonts w:hint="eastAsia"/>
          <w:lang w:val="en-US" w:eastAsia="zh-CN"/>
        </w:rPr>
      </w:pPr>
    </w:p>
    <w:p>
      <w:pPr>
        <w:pStyle w:val="3"/>
        <w:ind w:left="0" w:leftChars="0" w:firstLine="480" w:firstLineChars="200"/>
        <w:jc w:val="left"/>
        <w:rPr>
          <w:rFonts w:hint="eastAsia" w:ascii="方正仿宋_GBK" w:hAnsi="宋体" w:eastAsia="方正仿宋_GBK" w:cs="Times New Roman"/>
          <w:color w:val="auto"/>
          <w:kern w:val="2"/>
          <w:sz w:val="24"/>
          <w:szCs w:val="24"/>
          <w:lang w:val="en-US" w:eastAsia="zh-CN" w:bidi="ar-SA"/>
        </w:rPr>
        <w:sectPr>
          <w:footerReference r:id="rId15" w:type="default"/>
          <w:footerReference r:id="rId16" w:type="even"/>
          <w:pgSz w:w="11907" w:h="16840"/>
          <w:pgMar w:top="1134" w:right="1191" w:bottom="1134" w:left="1304" w:header="964" w:footer="992" w:gutter="0"/>
          <w:pgNumType w:fmt="numberInDash"/>
          <w:cols w:space="720" w:num="1"/>
          <w:docGrid w:linePitch="312" w:charSpace="0"/>
        </w:sectPr>
      </w:pPr>
      <w:r>
        <w:rPr>
          <w:rFonts w:hint="eastAsia" w:ascii="宋体" w:hAnsi="宋体" w:eastAsia="宋体" w:cs="宋体"/>
          <w:color w:val="auto"/>
          <w:kern w:val="2"/>
          <w:sz w:val="24"/>
          <w:szCs w:val="24"/>
          <w:lang w:val="en-US" w:eastAsia="zh-CN" w:bidi="ar-SA"/>
        </w:rPr>
        <w:t>注：以上要求均为实质性要求</w:t>
      </w:r>
    </w:p>
    <w:p>
      <w:pPr>
        <w:pStyle w:val="5"/>
        <w:spacing w:before="0" w:after="0" w:line="360" w:lineRule="auto"/>
        <w:jc w:val="center"/>
        <w:rPr>
          <w:rFonts w:hint="eastAsia" w:ascii="方正小标宋_GBK" w:hAnsi="宋体" w:eastAsia="方正小标宋_GBK"/>
          <w:b w:val="0"/>
          <w:color w:val="auto"/>
          <w:sz w:val="36"/>
          <w:szCs w:val="30"/>
        </w:rPr>
      </w:pPr>
      <w:bookmarkStart w:id="29" w:name="_Toc76462327"/>
      <w:bookmarkStart w:id="30" w:name="_Toc106030882"/>
      <w:r>
        <w:rPr>
          <w:rFonts w:hint="eastAsia" w:ascii="方正小标宋_GBK" w:hAnsi="宋体" w:eastAsia="方正小标宋_GBK"/>
          <w:b w:val="0"/>
          <w:color w:val="auto"/>
          <w:sz w:val="36"/>
          <w:szCs w:val="30"/>
        </w:rPr>
        <w:t xml:space="preserve">第三篇  </w:t>
      </w:r>
      <w:bookmarkEnd w:id="28"/>
      <w:r>
        <w:rPr>
          <w:rFonts w:hint="eastAsia" w:ascii="方正小标宋_GBK" w:hAnsi="宋体" w:eastAsia="方正小标宋_GBK"/>
          <w:b w:val="0"/>
          <w:color w:val="auto"/>
          <w:sz w:val="36"/>
          <w:szCs w:val="30"/>
        </w:rPr>
        <w:t>项目商务需求</w:t>
      </w:r>
      <w:bookmarkEnd w:id="29"/>
      <w:bookmarkEnd w:id="30"/>
    </w:p>
    <w:p>
      <w:pPr>
        <w:pStyle w:val="5"/>
        <w:adjustRightInd w:val="0"/>
        <w:snapToGrid w:val="0"/>
        <w:spacing w:before="0" w:after="0" w:line="400" w:lineRule="exact"/>
        <w:ind w:firstLine="482" w:firstLineChars="200"/>
        <w:rPr>
          <w:rFonts w:ascii="方正仿宋_GBK" w:hAnsi="宋体" w:eastAsia="方正仿宋_GBK"/>
          <w:color w:val="auto"/>
          <w:sz w:val="24"/>
        </w:rPr>
      </w:pPr>
      <w:bookmarkStart w:id="31" w:name="_Toc344475120"/>
      <w:bookmarkStart w:id="32" w:name="_Toc106030883"/>
      <w:bookmarkStart w:id="33" w:name="_Toc76462328"/>
      <w:r>
        <w:rPr>
          <w:rFonts w:hint="eastAsia" w:ascii="方正仿宋_GBK" w:hAnsi="宋体" w:eastAsia="方正仿宋_GBK"/>
          <w:color w:val="auto"/>
          <w:sz w:val="24"/>
        </w:rPr>
        <w:t>一、</w:t>
      </w:r>
      <w:r>
        <w:rPr>
          <w:rFonts w:hint="eastAsia" w:ascii="方正仿宋_GBK" w:hAnsi="宋体" w:eastAsia="方正仿宋_GBK"/>
          <w:color w:val="auto"/>
          <w:sz w:val="24"/>
          <w:lang w:eastAsia="zh-CN"/>
        </w:rPr>
        <w:t>交付</w:t>
      </w:r>
      <w:r>
        <w:rPr>
          <w:rFonts w:hint="eastAsia" w:ascii="方正仿宋_GBK" w:hAnsi="宋体" w:eastAsia="方正仿宋_GBK"/>
          <w:color w:val="auto"/>
          <w:sz w:val="24"/>
        </w:rPr>
        <w:t>期、地点及验收方式</w:t>
      </w:r>
      <w:bookmarkEnd w:id="31"/>
      <w:bookmarkEnd w:id="32"/>
      <w:bookmarkEnd w:id="33"/>
    </w:p>
    <w:p>
      <w:pPr>
        <w:pStyle w:val="34"/>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w:t>
      </w:r>
      <w:r>
        <w:rPr>
          <w:rFonts w:hint="eastAsia" w:ascii="方正仿宋_GBK" w:hAnsi="宋体" w:eastAsia="方正仿宋_GBK"/>
          <w:color w:val="auto"/>
          <w:sz w:val="24"/>
          <w:szCs w:val="24"/>
          <w:lang w:eastAsia="zh-CN"/>
        </w:rPr>
        <w:t>交付</w:t>
      </w:r>
      <w:r>
        <w:rPr>
          <w:rFonts w:hint="eastAsia" w:ascii="方正仿宋_GBK" w:hAnsi="宋体" w:eastAsia="方正仿宋_GBK"/>
          <w:color w:val="auto"/>
          <w:sz w:val="24"/>
          <w:szCs w:val="24"/>
        </w:rPr>
        <w:t>期：</w:t>
      </w:r>
    </w:p>
    <w:p>
      <w:pPr>
        <w:pStyle w:val="34"/>
        <w:spacing w:line="400" w:lineRule="exact"/>
        <w:ind w:firstLine="360" w:firstLineChars="150"/>
        <w:outlineLvl w:val="2"/>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1、疏浚工程达到竣工测量条件后7个日历日内提交项目成果。</w:t>
      </w:r>
    </w:p>
    <w:p>
      <w:pPr>
        <w:pStyle w:val="34"/>
        <w:spacing w:line="400" w:lineRule="exact"/>
        <w:ind w:firstLine="360" w:firstLineChars="150"/>
        <w:outlineLvl w:val="2"/>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2、资料成果提交</w:t>
      </w:r>
    </w:p>
    <w:p>
      <w:pPr>
        <w:pStyle w:val="34"/>
        <w:spacing w:line="400" w:lineRule="exact"/>
        <w:ind w:firstLine="360" w:firstLineChars="150"/>
        <w:outlineLvl w:val="2"/>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2.1 测图比例为1：500的杨家堡滩、倒杠碛滩段河床地形图，底图一份。</w:t>
      </w:r>
    </w:p>
    <w:p>
      <w:pPr>
        <w:pStyle w:val="34"/>
        <w:spacing w:line="400" w:lineRule="exact"/>
        <w:ind w:firstLine="360" w:firstLineChars="150"/>
        <w:outlineLvl w:val="2"/>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olor w:val="auto"/>
          <w:sz w:val="24"/>
          <w:szCs w:val="24"/>
          <w:highlight w:val="none"/>
          <w:lang w:val="en-US" w:eastAsia="zh-CN"/>
        </w:rPr>
        <w:t>2.2 竣工测量成果分析报告</w:t>
      </w:r>
      <w:r>
        <w:rPr>
          <w:rFonts w:hint="eastAsia" w:ascii="方正仿宋_GBK" w:hAnsi="宋体" w:eastAsia="方正仿宋_GBK" w:cs="Times New Roman"/>
          <w:color w:val="auto"/>
          <w:kern w:val="2"/>
          <w:sz w:val="24"/>
          <w:szCs w:val="24"/>
          <w:highlight w:val="none"/>
          <w:lang w:val="en-US" w:eastAsia="zh-CN" w:bidi="ar-SA"/>
        </w:rPr>
        <w:t>。</w:t>
      </w:r>
    </w:p>
    <w:p>
      <w:pPr>
        <w:pStyle w:val="34"/>
        <w:spacing w:line="400" w:lineRule="exact"/>
        <w:ind w:firstLine="360" w:firstLineChars="150"/>
        <w:outlineLvl w:val="2"/>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2.3 以上所以内容均形成电子版提交1份（采用U盘提交）。</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w:t>
      </w:r>
      <w:r>
        <w:rPr>
          <w:rFonts w:hint="eastAsia" w:ascii="方正仿宋_GBK" w:hAnsi="宋体" w:eastAsia="方正仿宋_GBK"/>
          <w:color w:val="auto"/>
          <w:sz w:val="24"/>
          <w:szCs w:val="24"/>
          <w:lang w:eastAsia="zh-CN"/>
        </w:rPr>
        <w:t>实施</w:t>
      </w:r>
      <w:r>
        <w:rPr>
          <w:rFonts w:hint="eastAsia" w:ascii="方正仿宋_GBK" w:hAnsi="宋体" w:eastAsia="方正仿宋_GBK"/>
          <w:color w:val="auto"/>
          <w:sz w:val="24"/>
          <w:szCs w:val="24"/>
        </w:rPr>
        <w:t>地点：</w:t>
      </w:r>
      <w:r>
        <w:rPr>
          <w:rFonts w:hint="eastAsia" w:ascii="方正仿宋_GBK" w:hAnsi="宋体" w:eastAsia="方正仿宋_GBK"/>
          <w:color w:val="auto"/>
          <w:sz w:val="24"/>
          <w:szCs w:val="24"/>
          <w:lang w:val="en-US" w:eastAsia="zh-CN"/>
        </w:rPr>
        <w:t>武隆滩段。</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（三）验收方式：</w:t>
      </w:r>
    </w:p>
    <w:p>
      <w:pPr>
        <w:pStyle w:val="5"/>
        <w:adjustRightInd w:val="0"/>
        <w:snapToGrid w:val="0"/>
        <w:spacing w:before="0" w:after="0" w:line="400" w:lineRule="exact"/>
        <w:ind w:firstLine="480" w:firstLineChars="200"/>
        <w:rPr>
          <w:rFonts w:hint="eastAsia" w:ascii="方正仿宋_GBK" w:hAnsi="宋体" w:eastAsia="方正仿宋_GBK"/>
          <w:b w:val="0"/>
          <w:bCs/>
          <w:color w:val="auto"/>
          <w:sz w:val="24"/>
          <w:lang w:val="en-US" w:eastAsia="zh-CN"/>
        </w:rPr>
      </w:pPr>
      <w:bookmarkStart w:id="34" w:name="_Toc344475121"/>
      <w:bookmarkStart w:id="35" w:name="_Toc106030884"/>
      <w:bookmarkStart w:id="36" w:name="_Toc76462329"/>
      <w:r>
        <w:rPr>
          <w:rFonts w:hint="eastAsia" w:ascii="方正仿宋_GBK" w:hAnsi="宋体" w:eastAsia="方正仿宋_GBK"/>
          <w:b w:val="0"/>
          <w:bCs/>
          <w:color w:val="auto"/>
          <w:sz w:val="24"/>
          <w:lang w:val="en-US" w:eastAsia="zh-CN"/>
        </w:rPr>
        <w:t>3.1本项目为总价承包，承包人须负责完成杨家堡滩、倒杠碛滩维护性疏浚工程竣工测量的相关项目，发包人参照询价项目内容及要求进行验收。</w:t>
      </w:r>
    </w:p>
    <w:p>
      <w:pPr>
        <w:pStyle w:val="5"/>
        <w:adjustRightInd w:val="0"/>
        <w:snapToGrid w:val="0"/>
        <w:spacing w:before="0" w:after="0" w:line="400" w:lineRule="exact"/>
        <w:ind w:firstLine="480" w:firstLineChars="200"/>
        <w:rPr>
          <w:rFonts w:hint="eastAsia" w:ascii="方正仿宋_GBK" w:hAnsi="宋体" w:eastAsia="方正仿宋_GBK"/>
          <w:b w:val="0"/>
          <w:bCs/>
          <w:color w:val="auto"/>
          <w:sz w:val="24"/>
          <w:lang w:val="en-US" w:eastAsia="zh-CN"/>
        </w:rPr>
      </w:pPr>
      <w:r>
        <w:rPr>
          <w:rFonts w:hint="eastAsia" w:ascii="方正仿宋_GBK" w:hAnsi="宋体" w:eastAsia="方正仿宋_GBK"/>
          <w:b w:val="0"/>
          <w:bCs/>
          <w:color w:val="auto"/>
          <w:sz w:val="24"/>
          <w:lang w:val="en-US" w:eastAsia="zh-CN"/>
        </w:rPr>
        <w:t>3.2 竣工验收程序：发包人收到项目资料成果后15天内组织有关单位验收，并在验收后15天内给予认可或提出整改意见。承包人按要求整改，并承担由自身原因造成整改的费用。</w:t>
      </w:r>
    </w:p>
    <w:p>
      <w:pPr>
        <w:pStyle w:val="5"/>
        <w:adjustRightInd w:val="0"/>
        <w:snapToGrid w:val="0"/>
        <w:spacing w:before="0" w:after="0" w:line="400" w:lineRule="exact"/>
        <w:ind w:firstLine="480" w:firstLineChars="200"/>
        <w:rPr>
          <w:rFonts w:hint="eastAsia" w:ascii="方正仿宋_GBK" w:hAnsi="宋体" w:eastAsia="方正仿宋_GBK"/>
          <w:b w:val="0"/>
          <w:bCs/>
          <w:color w:val="auto"/>
          <w:sz w:val="24"/>
          <w:lang w:val="en-US" w:eastAsia="zh-CN"/>
        </w:rPr>
      </w:pPr>
      <w:r>
        <w:rPr>
          <w:rFonts w:hint="eastAsia" w:ascii="方正仿宋_GBK" w:hAnsi="宋体" w:eastAsia="方正仿宋_GBK"/>
          <w:b w:val="0"/>
          <w:bCs/>
          <w:color w:val="auto"/>
          <w:sz w:val="24"/>
          <w:lang w:val="en-US" w:eastAsia="zh-CN"/>
        </w:rPr>
        <w:t>3.3 验收合格后供应商在应在30天内办理结算手续，逾期给发包方造成的损失由供应商承担。</w:t>
      </w:r>
    </w:p>
    <w:p>
      <w:pPr>
        <w:pStyle w:val="5"/>
        <w:adjustRightInd w:val="0"/>
        <w:snapToGrid w:val="0"/>
        <w:spacing w:before="0" w:after="0" w:line="400" w:lineRule="exact"/>
        <w:ind w:firstLine="480" w:firstLineChars="200"/>
        <w:rPr>
          <w:rFonts w:hint="eastAsia" w:ascii="方正仿宋_GBK" w:hAnsi="宋体" w:eastAsia="方正仿宋_GBK"/>
          <w:b w:val="0"/>
          <w:bCs/>
          <w:color w:val="auto"/>
          <w:sz w:val="24"/>
          <w:lang w:val="en-US" w:eastAsia="zh-CN"/>
        </w:rPr>
      </w:pPr>
      <w:r>
        <w:rPr>
          <w:rFonts w:hint="eastAsia" w:ascii="方正仿宋_GBK" w:hAnsi="宋体" w:eastAsia="方正仿宋_GBK"/>
          <w:b w:val="0"/>
          <w:bCs/>
          <w:color w:val="auto"/>
          <w:sz w:val="24"/>
          <w:lang w:val="en-US" w:eastAsia="zh-CN"/>
        </w:rPr>
        <w:t>3.4  质量要求、质量保修期及缺陷责任期</w:t>
      </w:r>
    </w:p>
    <w:p>
      <w:pPr>
        <w:pStyle w:val="5"/>
        <w:adjustRightInd w:val="0"/>
        <w:snapToGrid w:val="0"/>
        <w:spacing w:before="0" w:after="0"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b w:val="0"/>
          <w:bCs/>
          <w:color w:val="auto"/>
          <w:sz w:val="24"/>
          <w:lang w:val="en-US" w:eastAsia="zh-CN"/>
        </w:rPr>
        <w:t>3.4.1质量要求：质量要求：达到《水运工程测量规范》（JTS131-2012）及其它国家相关标准、要求，并达到合格标准。</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r>
        <w:rPr>
          <w:rFonts w:hint="eastAsia" w:ascii="方正仿宋_GBK" w:hAnsi="宋体" w:eastAsia="方正仿宋_GBK"/>
          <w:color w:val="auto"/>
          <w:sz w:val="24"/>
        </w:rPr>
        <w:t>二、</w:t>
      </w:r>
      <w:bookmarkEnd w:id="34"/>
      <w:r>
        <w:rPr>
          <w:rFonts w:hint="eastAsia" w:ascii="方正仿宋_GBK" w:hAnsi="宋体" w:eastAsia="方正仿宋_GBK"/>
          <w:color w:val="auto"/>
          <w:sz w:val="24"/>
        </w:rPr>
        <w:t>报价要求</w:t>
      </w:r>
      <w:bookmarkEnd w:id="35"/>
      <w:bookmarkEnd w:id="36"/>
    </w:p>
    <w:p>
      <w:pPr>
        <w:snapToGrid w:val="0"/>
        <w:spacing w:line="400" w:lineRule="exact"/>
        <w:ind w:firstLine="540"/>
        <w:rPr>
          <w:rFonts w:hint="eastAsia"/>
          <w:color w:val="auto"/>
        </w:rPr>
      </w:pPr>
      <w:r>
        <w:rPr>
          <w:rFonts w:hint="eastAsia" w:ascii="方正仿宋_GBK" w:hAnsi="宋体" w:eastAsia="方正仿宋_GBK"/>
          <w:color w:val="auto"/>
          <w:sz w:val="24"/>
          <w:szCs w:val="24"/>
        </w:rPr>
        <w:t>本次项目为总价包干，供应商应充分考虑项目的</w:t>
      </w:r>
      <w:r>
        <w:rPr>
          <w:rFonts w:hint="eastAsia" w:ascii="方正仿宋_GBK" w:hAnsi="宋体" w:eastAsia="方正仿宋_GBK"/>
          <w:color w:val="auto"/>
          <w:sz w:val="24"/>
          <w:szCs w:val="24"/>
          <w:lang w:val="en-US" w:eastAsia="zh-CN"/>
        </w:rPr>
        <w:t>实施</w:t>
      </w:r>
      <w:r>
        <w:rPr>
          <w:rFonts w:hint="eastAsia" w:ascii="方正仿宋_GBK" w:hAnsi="宋体" w:eastAsia="方正仿宋_GBK"/>
          <w:color w:val="auto"/>
          <w:sz w:val="24"/>
          <w:szCs w:val="24"/>
        </w:rPr>
        <w:t>条件、</w:t>
      </w:r>
      <w:r>
        <w:rPr>
          <w:rFonts w:hint="eastAsia" w:ascii="方正仿宋_GBK" w:hAnsi="宋体" w:eastAsia="方正仿宋_GBK"/>
          <w:color w:val="auto"/>
          <w:sz w:val="24"/>
          <w:szCs w:val="24"/>
          <w:lang w:val="en-US" w:eastAsia="zh-CN"/>
        </w:rPr>
        <w:t>测量</w:t>
      </w:r>
      <w:r>
        <w:rPr>
          <w:rFonts w:hint="eastAsia" w:ascii="方正仿宋_GBK" w:hAnsi="宋体" w:eastAsia="方正仿宋_GBK"/>
          <w:color w:val="auto"/>
          <w:sz w:val="24"/>
          <w:szCs w:val="24"/>
        </w:rPr>
        <w:t>难度、</w:t>
      </w:r>
      <w:r>
        <w:rPr>
          <w:rFonts w:hint="eastAsia" w:ascii="方正仿宋_GBK" w:hAnsi="宋体" w:eastAsia="方正仿宋_GBK"/>
          <w:color w:val="auto"/>
          <w:sz w:val="24"/>
          <w:szCs w:val="24"/>
          <w:lang w:val="en-US" w:eastAsia="zh-CN"/>
        </w:rPr>
        <w:t>设备</w:t>
      </w:r>
      <w:r>
        <w:rPr>
          <w:rFonts w:hint="eastAsia" w:ascii="方正仿宋_GBK" w:hAnsi="宋体" w:eastAsia="方正仿宋_GBK"/>
          <w:color w:val="auto"/>
          <w:sz w:val="24"/>
          <w:szCs w:val="24"/>
        </w:rPr>
        <w:t>转运等因素对工程费用的影响，供应商的报价应包括本项目的直接费、间接费、</w:t>
      </w:r>
      <w:r>
        <w:rPr>
          <w:rFonts w:hint="eastAsia" w:ascii="方正仿宋_GBK" w:hAnsi="宋体" w:eastAsia="方正仿宋_GBK"/>
          <w:color w:val="auto"/>
          <w:sz w:val="24"/>
          <w:szCs w:val="24"/>
          <w:lang w:val="en-US" w:eastAsia="zh-CN"/>
        </w:rPr>
        <w:t>测量</w:t>
      </w:r>
      <w:r>
        <w:rPr>
          <w:rFonts w:hint="eastAsia" w:ascii="方正仿宋_GBK" w:hAnsi="宋体" w:eastAsia="方正仿宋_GBK"/>
          <w:color w:val="auto"/>
          <w:sz w:val="24"/>
          <w:szCs w:val="24"/>
        </w:rPr>
        <w:t>设备、劳务、管理、材料、水、电、二次转运、利润、税金及政策性文件规定的完成本</w:t>
      </w:r>
      <w:r>
        <w:rPr>
          <w:rFonts w:hint="eastAsia" w:ascii="方正仿宋_GBK" w:hAnsi="宋体" w:eastAsia="方正仿宋_GBK"/>
          <w:color w:val="auto"/>
          <w:sz w:val="24"/>
          <w:szCs w:val="24"/>
          <w:lang w:val="en-US" w:eastAsia="zh-CN"/>
        </w:rPr>
        <w:t>项目</w:t>
      </w:r>
      <w:r>
        <w:rPr>
          <w:rFonts w:hint="eastAsia" w:ascii="方正仿宋_GBK" w:hAnsi="宋体" w:eastAsia="方正仿宋_GBK"/>
          <w:color w:val="auto"/>
          <w:sz w:val="24"/>
          <w:szCs w:val="24"/>
        </w:rPr>
        <w:t>所需的全部费用。未明列需求的，由供应商自行计算。因供应商自身原因造成漏报、少报皆由其自行承担责任，采购人不再补偿。</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37" w:name="_Toc106030885"/>
      <w:bookmarkStart w:id="38" w:name="_Toc344475122"/>
      <w:bookmarkStart w:id="39" w:name="_Toc76462330"/>
      <w:r>
        <w:rPr>
          <w:rFonts w:hint="eastAsia" w:ascii="方正仿宋_GBK" w:hAnsi="宋体" w:eastAsia="方正仿宋_GBK"/>
          <w:color w:val="auto"/>
          <w:sz w:val="24"/>
        </w:rPr>
        <w:t>三、付款方式</w:t>
      </w:r>
      <w:bookmarkEnd w:id="37"/>
      <w:bookmarkEnd w:id="38"/>
      <w:bookmarkEnd w:id="39"/>
    </w:p>
    <w:p>
      <w:pPr>
        <w:snapToGrid w:val="0"/>
        <w:spacing w:line="400" w:lineRule="exact"/>
        <w:ind w:firstLine="480" w:firstLineChars="200"/>
        <w:rPr>
          <w:rFonts w:hint="eastAsia" w:ascii="方正仿宋_GBK" w:hAnsi="宋体" w:eastAsia="方正仿宋_GBK" w:cs="宋体"/>
          <w:color w:val="auto"/>
          <w:kern w:val="0"/>
          <w:sz w:val="24"/>
          <w:szCs w:val="24"/>
        </w:rPr>
      </w:pPr>
      <w:bookmarkStart w:id="40" w:name="_Toc106030886"/>
      <w:bookmarkStart w:id="41" w:name="_Toc76462331"/>
      <w:bookmarkStart w:id="42" w:name="_Toc344475124"/>
      <w:r>
        <w:rPr>
          <w:rFonts w:hint="eastAsia" w:ascii="方正仿宋_GBK" w:hAnsi="宋体" w:eastAsia="方正仿宋_GBK" w:cs="宋体"/>
          <w:color w:val="auto"/>
          <w:kern w:val="0"/>
          <w:sz w:val="24"/>
          <w:szCs w:val="24"/>
          <w:lang w:val="en-US" w:eastAsia="zh-CN"/>
        </w:rPr>
        <w:t>项目</w:t>
      </w:r>
      <w:r>
        <w:rPr>
          <w:rFonts w:hint="eastAsia" w:ascii="方正仿宋_GBK" w:hAnsi="宋体" w:eastAsia="方正仿宋_GBK" w:cs="宋体"/>
          <w:color w:val="auto"/>
          <w:kern w:val="0"/>
          <w:sz w:val="24"/>
          <w:szCs w:val="24"/>
        </w:rPr>
        <w:t>完工甲方验收合格后，乙方提供正式发票，甲方</w:t>
      </w:r>
      <w:r>
        <w:rPr>
          <w:rFonts w:hint="eastAsia" w:ascii="方正仿宋_GBK" w:hAnsi="宋体" w:eastAsia="方正仿宋_GBK" w:cs="宋体"/>
          <w:color w:val="auto"/>
          <w:kern w:val="0"/>
          <w:sz w:val="24"/>
          <w:szCs w:val="24"/>
          <w:lang w:val="en-US" w:eastAsia="zh-CN"/>
        </w:rPr>
        <w:t>待项目经费下拨后进行支付，如延迟时间较久，在本年10月中旬</w:t>
      </w:r>
      <w:r>
        <w:rPr>
          <w:rFonts w:hint="eastAsia" w:ascii="方正仿宋_GBK" w:hAnsi="宋体" w:eastAsia="方正仿宋_GBK" w:cs="宋体"/>
          <w:color w:val="auto"/>
          <w:kern w:val="0"/>
          <w:sz w:val="24"/>
          <w:szCs w:val="24"/>
        </w:rPr>
        <w:t>一次付清所有费用</w:t>
      </w:r>
      <w:r>
        <w:rPr>
          <w:rFonts w:ascii="方正仿宋_GBK" w:hAnsi="宋体" w:eastAsia="方正仿宋_GBK" w:cs="宋体"/>
          <w:color w:val="auto"/>
          <w:kern w:val="0"/>
          <w:sz w:val="24"/>
          <w:szCs w:val="24"/>
        </w:rPr>
        <w:t>。</w:t>
      </w:r>
    </w:p>
    <w:bookmarkEnd w:id="40"/>
    <w:bookmarkEnd w:id="41"/>
    <w:bookmarkEnd w:id="42"/>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43" w:name="_Toc106034637"/>
      <w:bookmarkStart w:id="44" w:name="_Toc24751"/>
      <w:bookmarkStart w:id="45" w:name="_Toc65660346"/>
      <w:bookmarkStart w:id="46" w:name="_Toc7228"/>
      <w:r>
        <w:rPr>
          <w:rFonts w:hint="eastAsia" w:ascii="方正仿宋_GBK" w:hAnsi="宋体" w:eastAsia="方正仿宋_GBK"/>
          <w:color w:val="auto"/>
          <w:sz w:val="24"/>
          <w:lang w:eastAsia="zh-CN"/>
        </w:rPr>
        <w:t>四</w:t>
      </w:r>
      <w:r>
        <w:rPr>
          <w:rFonts w:hint="eastAsia" w:ascii="方正仿宋_GBK" w:hAnsi="宋体" w:eastAsia="方正仿宋_GBK"/>
          <w:color w:val="auto"/>
          <w:sz w:val="24"/>
        </w:rPr>
        <w:t>、知识产权</w:t>
      </w:r>
      <w:bookmarkEnd w:id="43"/>
      <w:bookmarkEnd w:id="44"/>
      <w:bookmarkEnd w:id="45"/>
      <w:bookmarkEnd w:id="46"/>
    </w:p>
    <w:p>
      <w:p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szCs w:val="24"/>
        </w:rPr>
        <w:t>本项目知识产权归采购人所有。</w:t>
      </w:r>
    </w:p>
    <w:p>
      <w:pPr>
        <w:snapToGrid w:val="0"/>
        <w:spacing w:line="400" w:lineRule="exact"/>
        <w:ind w:firstLine="54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numPr>
          <w:ilvl w:val="0"/>
          <w:numId w:val="13"/>
        </w:numPr>
        <w:ind w:firstLine="480"/>
        <w:rPr>
          <w:rFonts w:hint="eastAsia" w:ascii="方正仿宋_GBK" w:hAnsi="宋体" w:eastAsia="方正仿宋_GBK" w:cs="Times New Roman"/>
          <w:b/>
          <w:color w:val="auto"/>
          <w:kern w:val="2"/>
          <w:sz w:val="24"/>
          <w:lang w:val="en-US" w:eastAsia="zh-CN" w:bidi="ar-SA"/>
        </w:rPr>
      </w:pPr>
      <w:bookmarkStart w:id="47" w:name="_Toc18104"/>
      <w:bookmarkStart w:id="48" w:name="_Toc947"/>
      <w:bookmarkStart w:id="49" w:name="_Toc31910"/>
      <w:bookmarkStart w:id="50" w:name="_Toc19427"/>
      <w:bookmarkStart w:id="51" w:name="_Toc108013105"/>
      <w:bookmarkStart w:id="52" w:name="_Toc25707"/>
      <w:bookmarkStart w:id="53" w:name="_Toc466546918"/>
      <w:bookmarkStart w:id="54" w:name="_Toc2954"/>
      <w:bookmarkStart w:id="55" w:name="_Toc106034788"/>
      <w:bookmarkStart w:id="56" w:name="_Toc31659"/>
      <w:bookmarkStart w:id="57" w:name="_Toc65660348"/>
      <w:bookmarkStart w:id="58" w:name="_Toc21248"/>
      <w:bookmarkStart w:id="59" w:name="_Toc23902"/>
      <w:r>
        <w:rPr>
          <w:rFonts w:hint="eastAsia" w:ascii="方正仿宋_GBK" w:hAnsi="宋体" w:eastAsia="方正仿宋_GBK" w:cs="Times New Roman"/>
          <w:b/>
          <w:color w:val="auto"/>
          <w:kern w:val="2"/>
          <w:sz w:val="24"/>
          <w:lang w:val="en-US" w:eastAsia="zh-CN" w:bidi="ar-SA"/>
        </w:rPr>
        <w:t>履约担保</w:t>
      </w:r>
    </w:p>
    <w:p>
      <w:pPr>
        <w:numPr>
          <w:ilvl w:val="0"/>
          <w:numId w:val="14"/>
        </w:numPr>
        <w:ind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履约担保形式：转账或者保函。</w:t>
      </w:r>
    </w:p>
    <w:p>
      <w:pPr>
        <w:numPr>
          <w:ilvl w:val="0"/>
          <w:numId w:val="14"/>
        </w:numPr>
        <w:ind w:left="0" w:leftChars="0"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金额：合同金额的10%。</w:t>
      </w:r>
    </w:p>
    <w:p>
      <w:pPr>
        <w:numPr>
          <w:ilvl w:val="0"/>
          <w:numId w:val="14"/>
        </w:numPr>
        <w:ind w:left="0" w:leftChars="0" w:firstLine="480" w:firstLineChars="200"/>
        <w:rPr>
          <w:rFonts w:hint="eastAsia" w:ascii="方正仿宋_GBK" w:hAnsi="方正仿宋_GBK" w:eastAsia="方正仿宋_GBK" w:cs="方正仿宋_GBK"/>
          <w:color w:val="auto"/>
          <w:sz w:val="24"/>
          <w:lang w:eastAsia="zh-CN"/>
        </w:rPr>
      </w:pPr>
      <w:r>
        <w:rPr>
          <w:rFonts w:hint="eastAsia" w:ascii="方正仿宋_GBK" w:hAnsi="宋体" w:eastAsia="方正仿宋_GBK"/>
          <w:color w:val="auto"/>
          <w:sz w:val="24"/>
          <w:lang w:val="en-US" w:eastAsia="zh-CN"/>
        </w:rPr>
        <w:t>提交方式：成交供应商应在公告发布后10个日历日，按成交金额的10%向采购人提交履约保证金或者提交履约保函。</w:t>
      </w:r>
    </w:p>
    <w:p>
      <w:pPr>
        <w:numPr>
          <w:ilvl w:val="0"/>
          <w:numId w:val="14"/>
        </w:numPr>
        <w:ind w:left="0" w:leftChars="0" w:firstLine="480" w:firstLineChars="200"/>
        <w:rPr>
          <w:rFonts w:hint="eastAsia" w:ascii="方正仿宋_GBK" w:hAnsi="方正仿宋_GBK" w:eastAsia="方正仿宋_GBK" w:cs="方正仿宋_GBK"/>
          <w:color w:val="auto"/>
          <w:sz w:val="24"/>
          <w:lang w:eastAsia="zh-CN"/>
        </w:rPr>
      </w:pPr>
      <w:r>
        <w:rPr>
          <w:rFonts w:hint="eastAsia" w:ascii="方正仿宋_GBK" w:hAnsi="宋体" w:eastAsia="方正仿宋_GBK"/>
          <w:color w:val="auto"/>
          <w:sz w:val="24"/>
          <w:lang w:val="en-US" w:eastAsia="zh-CN"/>
        </w:rPr>
        <w:t>退还方式：项目验收合格后10个工作日内一次性无息退还。</w:t>
      </w:r>
    </w:p>
    <w:p>
      <w:pPr>
        <w:pStyle w:val="5"/>
        <w:adjustRightInd w:val="0"/>
        <w:snapToGrid w:val="0"/>
        <w:spacing w:before="0" w:after="0" w:line="400" w:lineRule="exact"/>
        <w:ind w:firstLine="482" w:firstLineChars="200"/>
        <w:jc w:val="lef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eastAsia="zh-CN"/>
        </w:rPr>
        <w:t>六</w:t>
      </w:r>
      <w:r>
        <w:rPr>
          <w:rFonts w:hint="eastAsia" w:ascii="方正仿宋_GBK" w:hAnsi="方正仿宋_GBK" w:eastAsia="方正仿宋_GBK" w:cs="方正仿宋_GBK"/>
          <w:color w:val="auto"/>
          <w:sz w:val="24"/>
        </w:rPr>
        <w:t>、项目风险管控</w:t>
      </w:r>
      <w:bookmarkEnd w:id="47"/>
      <w:bookmarkEnd w:id="48"/>
      <w:bookmarkEnd w:id="49"/>
      <w:bookmarkEnd w:id="50"/>
      <w:bookmarkEnd w:id="51"/>
      <w:bookmarkEnd w:id="52"/>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rPr>
      </w:pPr>
      <w:bookmarkStart w:id="60" w:name="_Toc6830"/>
      <w:r>
        <w:rPr>
          <w:rFonts w:hint="eastAsia" w:ascii="方正仿宋_GBK" w:hAnsi="方正仿宋_GBK" w:eastAsia="方正仿宋_GBK" w:cs="方正仿宋_GBK"/>
          <w:color w:val="auto"/>
          <w:sz w:val="24"/>
          <w:szCs w:val="24"/>
        </w:rPr>
        <w:t>3.合同已签订的，如果相关变化导致不能实现合同目的或合同价款等实质性条款变化，针对变化部分按不可抗力事件处理，采购人与供应商协商后解除合同或签订补充协议。</w:t>
      </w:r>
      <w:bookmarkEnd w:id="53"/>
      <w:bookmarkEnd w:id="54"/>
      <w:bookmarkEnd w:id="60"/>
    </w:p>
    <w:p>
      <w:pPr>
        <w:pStyle w:val="5"/>
        <w:adjustRightInd w:val="0"/>
        <w:snapToGrid w:val="0"/>
        <w:spacing w:before="0" w:after="0" w:line="400" w:lineRule="exact"/>
        <w:ind w:firstLine="482" w:firstLineChars="200"/>
        <w:rPr>
          <w:rFonts w:hint="eastAsia" w:ascii="方正仿宋_GBK" w:hAnsi="方正仿宋_GBK" w:eastAsia="方正仿宋_GBK" w:cs="方正仿宋_GBK"/>
          <w:color w:val="auto"/>
          <w:sz w:val="24"/>
          <w:lang w:eastAsia="zh-CN"/>
        </w:rPr>
      </w:pPr>
      <w:r>
        <w:rPr>
          <w:rFonts w:hint="eastAsia" w:ascii="方正仿宋_GBK" w:hAnsi="宋体" w:eastAsia="方正仿宋_GBK"/>
          <w:color w:val="auto"/>
          <w:sz w:val="24"/>
          <w:lang w:eastAsia="zh-CN"/>
        </w:rPr>
        <w:t>七、</w:t>
      </w:r>
      <w:r>
        <w:rPr>
          <w:rFonts w:hint="eastAsia" w:ascii="方正仿宋_GBK" w:hAnsi="方正仿宋_GBK" w:eastAsia="方正仿宋_GBK" w:cs="方正仿宋_GBK"/>
          <w:color w:val="auto"/>
          <w:sz w:val="24"/>
        </w:rPr>
        <w:t>违约责任</w:t>
      </w:r>
    </w:p>
    <w:p>
      <w:pPr>
        <w:pStyle w:val="5"/>
        <w:adjustRightInd w:val="0"/>
        <w:snapToGrid w:val="0"/>
        <w:spacing w:before="0" w:after="0" w:line="400" w:lineRule="exact"/>
        <w:ind w:firstLine="480" w:firstLineChars="200"/>
        <w:rPr>
          <w:rFonts w:hint="eastAsia" w:ascii="方正仿宋_GBK" w:hAnsi="宋体" w:eastAsia="方正仿宋_GBK"/>
          <w:b w:val="0"/>
          <w:bCs/>
          <w:color w:val="auto"/>
          <w:sz w:val="24"/>
          <w:lang w:eastAsia="zh-CN"/>
        </w:rPr>
      </w:pPr>
      <w:r>
        <w:rPr>
          <w:rFonts w:hint="eastAsia" w:ascii="方正仿宋_GBK" w:hAnsi="宋体" w:eastAsia="方正仿宋_GBK"/>
          <w:b w:val="0"/>
          <w:bCs/>
          <w:color w:val="auto"/>
          <w:sz w:val="24"/>
          <w:lang w:eastAsia="zh-CN"/>
        </w:rPr>
        <w:t>1、</w:t>
      </w:r>
      <w:r>
        <w:rPr>
          <w:rFonts w:hint="eastAsia" w:ascii="方正仿宋_GBK" w:hAnsi="宋体" w:eastAsia="方正仿宋_GBK"/>
          <w:b w:val="0"/>
          <w:bCs/>
          <w:color w:val="auto"/>
          <w:sz w:val="24"/>
          <w:lang w:val="en-US" w:eastAsia="zh-CN"/>
        </w:rPr>
        <w:t>由于成交供应商原因导致项目超出约定工期的，每迟交一天,按1000元/日扣除成交供应商违约金，累计违约金上限为签约合同价的10%，逾期满【30】日的，采购人有权解除合同，成交供应商应赔偿给采购人造成的损失，并自行承担相关费用。</w:t>
      </w:r>
    </w:p>
    <w:p>
      <w:pPr>
        <w:pStyle w:val="5"/>
        <w:adjustRightInd w:val="0"/>
        <w:snapToGrid w:val="0"/>
        <w:spacing w:before="0" w:after="0" w:line="400" w:lineRule="exact"/>
        <w:ind w:firstLine="480" w:firstLineChars="200"/>
        <w:rPr>
          <w:rFonts w:hint="eastAsia" w:ascii="方正仿宋_GBK" w:hAnsi="宋体" w:eastAsia="方正仿宋_GBK"/>
          <w:b w:val="0"/>
          <w:bCs/>
          <w:color w:val="auto"/>
          <w:sz w:val="24"/>
          <w:lang w:eastAsia="zh-CN"/>
        </w:rPr>
      </w:pPr>
      <w:r>
        <w:rPr>
          <w:rFonts w:hint="eastAsia" w:ascii="方正仿宋_GBK" w:hAnsi="宋体" w:eastAsia="方正仿宋_GBK"/>
          <w:b w:val="0"/>
          <w:bCs/>
          <w:color w:val="auto"/>
          <w:sz w:val="24"/>
          <w:lang w:eastAsia="zh-CN"/>
        </w:rPr>
        <w:t>2、</w:t>
      </w:r>
      <w:r>
        <w:rPr>
          <w:rFonts w:hint="eastAsia" w:ascii="方正仿宋_GBK" w:hAnsi="宋体" w:eastAsia="方正仿宋_GBK"/>
          <w:b w:val="0"/>
          <w:bCs/>
          <w:color w:val="auto"/>
          <w:sz w:val="24"/>
          <w:lang w:val="en-US" w:eastAsia="zh-CN"/>
        </w:rPr>
        <w:t>成交供应商实施项目未达到本项目要求的，成交供应商应及时予以整改。成交供应商未及时整改或者整改后仍不符合要求的，采购人有权扣除履约保证金、解除合同，成交供应商自行承担相关费用。</w:t>
      </w:r>
    </w:p>
    <w:p>
      <w:pPr>
        <w:pStyle w:val="5"/>
        <w:adjustRightInd w:val="0"/>
        <w:snapToGrid w:val="0"/>
        <w:spacing w:before="0" w:after="0" w:line="400" w:lineRule="exact"/>
        <w:ind w:firstLine="482" w:firstLineChars="200"/>
        <w:rPr>
          <w:rFonts w:hint="eastAsia" w:ascii="方正仿宋_GBK" w:hAnsi="宋体" w:eastAsia="方正仿宋_GBK"/>
          <w:color w:val="auto"/>
          <w:sz w:val="24"/>
          <w:lang w:eastAsia="zh-CN"/>
        </w:rPr>
      </w:pPr>
      <w:r>
        <w:rPr>
          <w:rFonts w:hint="eastAsia" w:ascii="方正仿宋_GBK" w:hAnsi="宋体" w:eastAsia="方正仿宋_GBK"/>
          <w:color w:val="auto"/>
          <w:sz w:val="24"/>
          <w:lang w:eastAsia="zh-CN"/>
        </w:rPr>
        <w:t>八、合同争议</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项目执行中，如发生争议由双方协商解决，协商不成向甲方所在地具有管辖权人民法院提请诉讼。</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r>
        <w:rPr>
          <w:rFonts w:hint="eastAsia" w:ascii="方正仿宋_GBK" w:hAnsi="宋体" w:eastAsia="方正仿宋_GBK"/>
          <w:color w:val="auto"/>
          <w:sz w:val="24"/>
          <w:lang w:eastAsia="zh-CN"/>
        </w:rPr>
        <w:t>九</w:t>
      </w:r>
      <w:r>
        <w:rPr>
          <w:rFonts w:hint="eastAsia" w:ascii="方正仿宋_GBK" w:hAnsi="宋体" w:eastAsia="方正仿宋_GBK"/>
          <w:color w:val="auto"/>
          <w:sz w:val="24"/>
        </w:rPr>
        <w:t>、其他</w:t>
      </w:r>
      <w:bookmarkEnd w:id="55"/>
      <w:bookmarkEnd w:id="56"/>
      <w:bookmarkEnd w:id="57"/>
      <w:bookmarkEnd w:id="58"/>
      <w:bookmarkEnd w:id="59"/>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其他未尽事宜由供需双方在采购合同中详细约定。</w:t>
      </w:r>
    </w:p>
    <w:p>
      <w:pPr>
        <w:pStyle w:val="3"/>
        <w:ind w:left="0" w:leftChars="0" w:firstLine="480" w:firstLineChars="200"/>
        <w:jc w:val="left"/>
        <w:rPr>
          <w:rFonts w:hint="eastAsia" w:ascii="方正仿宋_GBK" w:hAnsi="方正仿宋_GBK" w:eastAsia="方正仿宋_GBK" w:cs="方正仿宋_GBK"/>
          <w:color w:val="auto"/>
          <w:kern w:val="2"/>
          <w:sz w:val="24"/>
          <w:szCs w:val="24"/>
          <w:lang w:val="en-US" w:eastAsia="zh-CN" w:bidi="ar-SA"/>
        </w:rPr>
        <w:sectPr>
          <w:footerReference r:id="rId17" w:type="default"/>
          <w:footerReference r:id="rId18" w:type="even"/>
          <w:pgSz w:w="11907" w:h="16840"/>
          <w:pgMar w:top="1134" w:right="1191" w:bottom="1134" w:left="1304" w:header="964" w:footer="992" w:gutter="0"/>
          <w:pgNumType w:fmt="numberInDash"/>
          <w:cols w:space="720" w:num="1"/>
          <w:docGrid w:linePitch="312" w:charSpace="0"/>
        </w:sectPr>
      </w:pPr>
      <w:r>
        <w:rPr>
          <w:rFonts w:hint="eastAsia" w:ascii="方正仿宋_GBK" w:hAnsi="方正仿宋_GBK" w:eastAsia="方正仿宋_GBK" w:cs="方正仿宋_GBK"/>
          <w:color w:val="auto"/>
          <w:kern w:val="2"/>
          <w:sz w:val="24"/>
          <w:szCs w:val="24"/>
          <w:lang w:val="en-US" w:eastAsia="zh-CN" w:bidi="ar-SA"/>
        </w:rPr>
        <w:t>注：以上要求均为实质性要求。</w:t>
      </w:r>
    </w:p>
    <w:p>
      <w:pPr>
        <w:pStyle w:val="5"/>
        <w:pageBreakBefore/>
        <w:spacing w:before="0" w:after="0" w:line="360" w:lineRule="auto"/>
        <w:jc w:val="both"/>
        <w:rPr>
          <w:rFonts w:hint="eastAsia" w:ascii="方正小标宋_GBK" w:hAnsi="宋体" w:eastAsia="方正小标宋_GBK"/>
          <w:b w:val="0"/>
          <w:color w:val="auto"/>
          <w:sz w:val="36"/>
          <w:szCs w:val="30"/>
        </w:rPr>
      </w:pPr>
      <w:bookmarkStart w:id="61" w:name="_Toc106030887"/>
      <w:bookmarkStart w:id="62" w:name="_Toc76462332"/>
      <w:r>
        <w:rPr>
          <w:rFonts w:hint="eastAsia" w:ascii="方正小标宋_GBK" w:hAnsi="宋体" w:eastAsia="方正小标宋_GBK"/>
          <w:b w:val="0"/>
          <w:color w:val="auto"/>
          <w:sz w:val="36"/>
          <w:szCs w:val="30"/>
        </w:rPr>
        <w:t xml:space="preserve">第四篇  </w:t>
      </w:r>
      <w:r>
        <w:rPr>
          <w:rFonts w:hint="eastAsia" w:ascii="方正小标宋_GBK" w:hAnsi="宋体" w:eastAsia="方正小标宋_GBK"/>
          <w:b w:val="0"/>
          <w:color w:val="auto"/>
          <w:sz w:val="36"/>
          <w:szCs w:val="30"/>
          <w:lang w:eastAsia="zh-CN"/>
        </w:rPr>
        <w:t>评分</w:t>
      </w:r>
      <w:r>
        <w:rPr>
          <w:rFonts w:hint="eastAsia" w:ascii="方正小标宋_GBK" w:hAnsi="宋体" w:eastAsia="方正小标宋_GBK"/>
          <w:b w:val="0"/>
          <w:color w:val="auto"/>
          <w:sz w:val="36"/>
          <w:szCs w:val="30"/>
        </w:rPr>
        <w:t>程序及方法、评审标准、无效响应和</w:t>
      </w:r>
      <w:r>
        <w:rPr>
          <w:rFonts w:hint="eastAsia" w:ascii="方正小标宋_GBK" w:eastAsia="方正小标宋_GBK"/>
          <w:b w:val="0"/>
          <w:color w:val="auto"/>
          <w:sz w:val="36"/>
          <w:szCs w:val="36"/>
        </w:rPr>
        <w:t>采购终止</w:t>
      </w:r>
      <w:bookmarkEnd w:id="61"/>
      <w:bookmarkEnd w:id="62"/>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63" w:name="_Toc76462333"/>
      <w:bookmarkStart w:id="64" w:name="_Toc106030888"/>
      <w:r>
        <w:rPr>
          <w:rFonts w:hint="eastAsia" w:ascii="方正仿宋_GBK" w:hAnsi="宋体" w:eastAsia="方正仿宋_GBK"/>
          <w:color w:val="auto"/>
          <w:sz w:val="24"/>
        </w:rPr>
        <w:t>一、</w:t>
      </w:r>
      <w:r>
        <w:rPr>
          <w:rFonts w:hint="eastAsia" w:ascii="方正仿宋_GBK" w:hAnsi="宋体" w:eastAsia="方正仿宋_GBK"/>
          <w:color w:val="auto"/>
          <w:sz w:val="24"/>
          <w:lang w:eastAsia="zh-CN"/>
        </w:rPr>
        <w:t>评分</w:t>
      </w:r>
      <w:r>
        <w:rPr>
          <w:rFonts w:hint="eastAsia" w:ascii="方正仿宋_GBK" w:hAnsi="宋体" w:eastAsia="方正仿宋_GBK"/>
          <w:color w:val="auto"/>
          <w:sz w:val="24"/>
        </w:rPr>
        <w:t>程序及方法</w:t>
      </w:r>
      <w:bookmarkEnd w:id="63"/>
      <w:bookmarkEnd w:id="64"/>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（一）评分按采购文件规定的时间和地点进行，供应商须有法定代表人（或其授权代表）或自然人参加并签到。限额以下磋商评分以抽签的形式确定磋商顺序，由本项目评审小组分别与各供应商进行磋商。</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（二）评审小组对各供应商的资格条件、响应文件的有效性、完整性和响应程度进行审查。各供应商只有在完全符合要求的前提下，才能参与正式磋商。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olor w:val="auto"/>
          <w:sz w:val="24"/>
          <w:szCs w:val="24"/>
        </w:rPr>
        <w:t>1.</w:t>
      </w:r>
      <w:r>
        <w:rPr>
          <w:rFonts w:hint="eastAsia" w:ascii="方正仿宋_GBK" w:hAnsi="宋体" w:eastAsia="方正仿宋_GBK" w:cs="宋体"/>
          <w:color w:val="auto"/>
          <w:kern w:val="0"/>
          <w:sz w:val="24"/>
          <w:szCs w:val="24"/>
        </w:rPr>
        <w:t>资格性审查。依据法律法规和采购文件的规定，对响应文件中的资格证明、等进行审查，以确定供应商是否具备磋商资格。资格性审查资料表如下：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（一）</w:t>
            </w:r>
          </w:p>
        </w:tc>
        <w:tc>
          <w:tcPr>
            <w:tcW w:w="709" w:type="dxa"/>
            <w:vMerge w:val="restart"/>
            <w:noWrap w:val="0"/>
            <w:vAlign w:val="center"/>
          </w:tcPr>
          <w:p>
            <w:pPr>
              <w:rPr>
                <w:rFonts w:hint="eastAsia"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《中华人民共和国政府采购法》第二十二条规定</w:t>
            </w:r>
          </w:p>
        </w:tc>
        <w:tc>
          <w:tcPr>
            <w:tcW w:w="3118" w:type="dxa"/>
            <w:noWrap w:val="0"/>
            <w:vAlign w:val="center"/>
          </w:tcPr>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1.具有独立承担民事责任的能力</w:t>
            </w:r>
          </w:p>
        </w:tc>
        <w:tc>
          <w:tcPr>
            <w:tcW w:w="4984" w:type="dxa"/>
            <w:noWrap w:val="0"/>
            <w:vAlign w:val="center"/>
          </w:tcPr>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rPr>
            </w:pPr>
          </w:p>
        </w:tc>
        <w:tc>
          <w:tcPr>
            <w:tcW w:w="709" w:type="dxa"/>
            <w:vMerge w:val="continue"/>
            <w:noWrap w:val="0"/>
            <w:vAlign w:val="center"/>
          </w:tcPr>
          <w:p>
            <w:pPr>
              <w:rPr>
                <w:rFonts w:hint="eastAsia" w:ascii="方正仿宋_GBK" w:hAnsi="仿宋" w:eastAsia="方正仿宋_GBK" w:cs="仿宋_GB2312"/>
                <w:color w:val="auto"/>
                <w:sz w:val="21"/>
                <w:szCs w:val="21"/>
                <w:lang w:val="zh-CN"/>
              </w:rPr>
            </w:pPr>
          </w:p>
        </w:tc>
        <w:tc>
          <w:tcPr>
            <w:tcW w:w="3118" w:type="dxa"/>
            <w:noWrap w:val="0"/>
            <w:vAlign w:val="center"/>
          </w:tcPr>
          <w:p>
            <w:pPr>
              <w:rPr>
                <w:rFonts w:hint="eastAsia" w:ascii="方正仿宋_GBK" w:hAnsi="仿宋" w:eastAsia="方正仿宋_GBK"/>
                <w:color w:val="auto"/>
                <w:sz w:val="21"/>
                <w:szCs w:val="21"/>
              </w:rPr>
            </w:pPr>
            <w:r>
              <w:rPr>
                <w:rFonts w:hint="eastAsia" w:ascii="方正仿宋_GBK" w:hAnsi="仿宋" w:eastAsia="方正仿宋_GBK" w:cs="仿宋_GB2312"/>
                <w:color w:val="auto"/>
                <w:sz w:val="21"/>
                <w:szCs w:val="21"/>
                <w:lang w:val="zh-CN"/>
              </w:rPr>
              <w:t>2.</w:t>
            </w:r>
            <w:r>
              <w:rPr>
                <w:rFonts w:hint="eastAsia" w:ascii="方正仿宋_GBK" w:hAnsi="仿宋" w:eastAsia="方正仿宋_GBK"/>
                <w:color w:val="auto"/>
                <w:sz w:val="21"/>
                <w:szCs w:val="21"/>
              </w:rPr>
              <w:t>具有良好的商业信誉和健全的财务会计制度</w:t>
            </w:r>
          </w:p>
        </w:tc>
        <w:tc>
          <w:tcPr>
            <w:tcW w:w="4984" w:type="dxa"/>
            <w:vMerge w:val="restart"/>
            <w:noWrap w:val="0"/>
            <w:vAlign w:val="center"/>
          </w:tcPr>
          <w:p>
            <w:pPr>
              <w:rPr>
                <w:rFonts w:hint="eastAsia" w:ascii="方正仿宋_GBK" w:hAnsi="仿宋" w:eastAsia="方正仿宋_GBK"/>
                <w:b/>
                <w:color w:val="auto"/>
                <w:sz w:val="21"/>
                <w:szCs w:val="21"/>
              </w:rPr>
            </w:pPr>
            <w:r>
              <w:rPr>
                <w:rFonts w:hint="eastAsia" w:ascii="方正仿宋_GBK" w:hAnsi="仿宋" w:eastAsia="方正仿宋_GBK"/>
                <w:color w:val="auto"/>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rPr>
            </w:pPr>
          </w:p>
        </w:tc>
        <w:tc>
          <w:tcPr>
            <w:tcW w:w="709" w:type="dxa"/>
            <w:vMerge w:val="continue"/>
            <w:noWrap w:val="0"/>
            <w:vAlign w:val="center"/>
          </w:tcPr>
          <w:p>
            <w:pPr>
              <w:rPr>
                <w:rFonts w:hint="eastAsia" w:ascii="方正仿宋_GBK" w:hAnsi="仿宋" w:eastAsia="方正仿宋_GBK" w:cs="仿宋_GB2312"/>
                <w:color w:val="auto"/>
                <w:sz w:val="21"/>
                <w:szCs w:val="21"/>
                <w:lang w:val="zh-CN"/>
              </w:rPr>
            </w:pPr>
          </w:p>
        </w:tc>
        <w:tc>
          <w:tcPr>
            <w:tcW w:w="3118" w:type="dxa"/>
            <w:noWrap w:val="0"/>
            <w:vAlign w:val="center"/>
          </w:tcPr>
          <w:p>
            <w:pPr>
              <w:rPr>
                <w:rFonts w:hint="eastAsia"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3.具有履行合同所必需的设备和专业技术能力</w:t>
            </w:r>
          </w:p>
        </w:tc>
        <w:tc>
          <w:tcPr>
            <w:tcW w:w="4984" w:type="dxa"/>
            <w:vMerge w:val="continue"/>
            <w:noWrap w:val="0"/>
            <w:vAlign w:val="center"/>
          </w:tcPr>
          <w:p>
            <w:pPr>
              <w:rPr>
                <w:rFonts w:hint="eastAsia"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rPr>
            </w:pPr>
          </w:p>
        </w:tc>
        <w:tc>
          <w:tcPr>
            <w:tcW w:w="709" w:type="dxa"/>
            <w:vMerge w:val="continue"/>
            <w:noWrap w:val="0"/>
            <w:vAlign w:val="center"/>
          </w:tcPr>
          <w:p>
            <w:pPr>
              <w:rPr>
                <w:rFonts w:hint="eastAsia" w:ascii="方正仿宋_GBK" w:hAnsi="仿宋" w:eastAsia="方正仿宋_GBK" w:cs="仿宋_GB2312"/>
                <w:color w:val="auto"/>
                <w:sz w:val="21"/>
                <w:szCs w:val="21"/>
                <w:lang w:val="zh-CN"/>
              </w:rPr>
            </w:pPr>
          </w:p>
        </w:tc>
        <w:tc>
          <w:tcPr>
            <w:tcW w:w="3118" w:type="dxa"/>
            <w:noWrap w:val="0"/>
            <w:vAlign w:val="center"/>
          </w:tcPr>
          <w:p>
            <w:pPr>
              <w:rPr>
                <w:rFonts w:hint="eastAsia"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4.有依法缴纳税收和社会保障金的良好记录</w:t>
            </w:r>
          </w:p>
        </w:tc>
        <w:tc>
          <w:tcPr>
            <w:tcW w:w="4984" w:type="dxa"/>
            <w:vMerge w:val="continue"/>
            <w:noWrap w:val="0"/>
            <w:vAlign w:val="center"/>
          </w:tcPr>
          <w:p>
            <w:pPr>
              <w:rPr>
                <w:rFonts w:hint="eastAsia"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rPr>
            </w:pPr>
          </w:p>
        </w:tc>
        <w:tc>
          <w:tcPr>
            <w:tcW w:w="709" w:type="dxa"/>
            <w:vMerge w:val="continue"/>
            <w:noWrap w:val="0"/>
            <w:vAlign w:val="center"/>
          </w:tcPr>
          <w:p>
            <w:pPr>
              <w:rPr>
                <w:rFonts w:hint="eastAsia" w:ascii="方正仿宋_GBK" w:hAnsi="仿宋" w:eastAsia="方正仿宋_GBK" w:cs="仿宋_GB2312"/>
                <w:color w:val="auto"/>
                <w:sz w:val="21"/>
                <w:szCs w:val="21"/>
                <w:lang w:val="zh-CN"/>
              </w:rPr>
            </w:pPr>
          </w:p>
        </w:tc>
        <w:tc>
          <w:tcPr>
            <w:tcW w:w="3118" w:type="dxa"/>
            <w:noWrap w:val="0"/>
            <w:vAlign w:val="center"/>
          </w:tcPr>
          <w:p>
            <w:pPr>
              <w:rPr>
                <w:rFonts w:hint="eastAsia" w:ascii="方正仿宋_GBK" w:hAnsi="仿宋" w:eastAsia="方正仿宋_GBK" w:cs="仿宋_GB2312"/>
                <w:color w:val="auto"/>
                <w:sz w:val="21"/>
                <w:szCs w:val="21"/>
                <w:lang w:val="zh-CN"/>
              </w:rPr>
            </w:pPr>
            <w:r>
              <w:rPr>
                <w:rFonts w:hint="eastAsia" w:ascii="方正仿宋_GBK" w:hAnsi="仿宋" w:eastAsia="方正仿宋_GBK"/>
                <w:color w:val="auto"/>
                <w:sz w:val="21"/>
                <w:szCs w:val="21"/>
              </w:rPr>
              <w:t>5.参加政府采购活动前三年内，在经营活动中没有重大违法记录</w:t>
            </w:r>
          </w:p>
        </w:tc>
        <w:tc>
          <w:tcPr>
            <w:tcW w:w="4984" w:type="dxa"/>
            <w:vMerge w:val="continue"/>
            <w:noWrap w:val="0"/>
            <w:vAlign w:val="center"/>
          </w:tcPr>
          <w:p>
            <w:pPr>
              <w:rPr>
                <w:rFonts w:hint="eastAsia" w:ascii="方正仿宋_GBK" w:hAnsi="仿宋" w:eastAsia="方正仿宋_GBK"/>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color w:val="auto"/>
                <w:sz w:val="21"/>
                <w:szCs w:val="21"/>
              </w:rPr>
            </w:pPr>
          </w:p>
        </w:tc>
        <w:tc>
          <w:tcPr>
            <w:tcW w:w="709" w:type="dxa"/>
            <w:vMerge w:val="continue"/>
            <w:noWrap w:val="0"/>
            <w:vAlign w:val="center"/>
          </w:tcPr>
          <w:p>
            <w:pPr>
              <w:rPr>
                <w:rFonts w:hint="eastAsia" w:ascii="方正仿宋_GBK" w:hAnsi="仿宋" w:eastAsia="方正仿宋_GBK" w:cs="仿宋_GB2312"/>
                <w:color w:val="auto"/>
                <w:sz w:val="21"/>
                <w:szCs w:val="21"/>
              </w:rPr>
            </w:pPr>
          </w:p>
        </w:tc>
        <w:tc>
          <w:tcPr>
            <w:tcW w:w="3118" w:type="dxa"/>
            <w:noWrap w:val="0"/>
            <w:vAlign w:val="center"/>
          </w:tcPr>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6.法律、行政法规规定的其他条件</w:t>
            </w:r>
          </w:p>
        </w:tc>
        <w:tc>
          <w:tcPr>
            <w:tcW w:w="4984" w:type="dxa"/>
            <w:noWrap w:val="0"/>
            <w:vAlign w:val="center"/>
          </w:tcPr>
          <w:p>
            <w:pPr>
              <w:rPr>
                <w:rFonts w:hint="eastAsia"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color w:val="auto"/>
                <w:sz w:val="21"/>
                <w:szCs w:val="21"/>
              </w:rPr>
            </w:pPr>
          </w:p>
        </w:tc>
        <w:tc>
          <w:tcPr>
            <w:tcW w:w="709" w:type="dxa"/>
            <w:vMerge w:val="continue"/>
            <w:noWrap w:val="0"/>
            <w:vAlign w:val="center"/>
          </w:tcPr>
          <w:p>
            <w:pPr>
              <w:rPr>
                <w:rFonts w:hint="eastAsia" w:ascii="方正仿宋_GBK" w:hAnsi="仿宋" w:eastAsia="方正仿宋_GBK" w:cs="仿宋_GB2312"/>
                <w:color w:val="auto"/>
                <w:sz w:val="21"/>
                <w:szCs w:val="21"/>
              </w:rPr>
            </w:pPr>
          </w:p>
        </w:tc>
        <w:tc>
          <w:tcPr>
            <w:tcW w:w="3118" w:type="dxa"/>
            <w:noWrap w:val="0"/>
            <w:vAlign w:val="center"/>
          </w:tcPr>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7.本项目的特定资格要求</w:t>
            </w:r>
          </w:p>
        </w:tc>
        <w:tc>
          <w:tcPr>
            <w:tcW w:w="4984" w:type="dxa"/>
            <w:noWrap w:val="0"/>
            <w:vAlign w:val="center"/>
          </w:tcPr>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按“第一篇三、供应商资格要求（二）本项目的特定资格要求”的要求提交</w:t>
            </w:r>
            <w:r>
              <w:rPr>
                <w:rFonts w:hint="eastAsia" w:ascii="方正仿宋_GBK" w:hAnsi="宋体" w:eastAsia="方正仿宋_GBK"/>
                <w:color w:val="auto"/>
                <w:sz w:val="21"/>
                <w:szCs w:val="21"/>
              </w:rPr>
              <w:t>（如果有）</w:t>
            </w:r>
            <w:r>
              <w:rPr>
                <w:rFonts w:hint="eastAsia" w:ascii="方正仿宋_GBK" w:hAnsi="仿宋" w:eastAsia="方正仿宋_GBK"/>
                <w:color w:val="auto"/>
                <w:sz w:val="21"/>
                <w:szCs w:val="21"/>
              </w:rPr>
              <w:t>。</w:t>
            </w:r>
          </w:p>
        </w:tc>
      </w:tr>
    </w:tbl>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注：</w:t>
      </w:r>
    </w:p>
    <w:p>
      <w:pPr>
        <w:snapToGrid w:val="0"/>
        <w:spacing w:line="400" w:lineRule="exact"/>
        <w:ind w:firstLine="480" w:firstLineChars="200"/>
        <w:rPr>
          <w:rFonts w:hint="eastAsia" w:ascii="方正仿宋_GBK" w:hAnsi="宋体" w:eastAsia="方正仿宋_GBK" w:cs="宋体"/>
          <w:color w:val="auto"/>
          <w:kern w:val="0"/>
          <w:sz w:val="24"/>
          <w:szCs w:val="24"/>
        </w:rPr>
      </w:pPr>
      <w:r>
        <w:rPr>
          <w:rFonts w:ascii="方正仿宋_GBK" w:hAnsi="宋体" w:eastAsia="方正仿宋_GBK" w:cs="宋体"/>
          <w:color w:val="auto"/>
          <w:kern w:val="0"/>
          <w:sz w:val="24"/>
          <w:szCs w:val="24"/>
        </w:rPr>
        <w:fldChar w:fldCharType="begin"/>
      </w:r>
      <w:r>
        <w:rPr>
          <w:rFonts w:ascii="方正仿宋_GBK" w:hAnsi="宋体" w:eastAsia="方正仿宋_GBK" w:cs="宋体"/>
          <w:color w:val="auto"/>
          <w:kern w:val="0"/>
          <w:sz w:val="24"/>
          <w:szCs w:val="24"/>
        </w:rPr>
        <w:instrText xml:space="preserve"> </w:instrText>
      </w:r>
      <w:r>
        <w:rPr>
          <w:rFonts w:hint="eastAsia" w:ascii="方正仿宋_GBK" w:hAnsi="宋体" w:eastAsia="方正仿宋_GBK" w:cs="宋体"/>
          <w:color w:val="auto"/>
          <w:kern w:val="0"/>
          <w:sz w:val="24"/>
          <w:szCs w:val="24"/>
        </w:rPr>
        <w:instrText xml:space="preserve">eq \o\ac(○,</w:instrText>
      </w:r>
      <w:r>
        <w:rPr>
          <w:rFonts w:hint="eastAsia" w:ascii="宋体" w:hAnsi="宋体" w:eastAsia="方正仿宋_GBK" w:cs="宋体"/>
          <w:color w:val="auto"/>
          <w:kern w:val="0"/>
          <w:position w:val="3"/>
          <w:sz w:val="16"/>
          <w:szCs w:val="24"/>
        </w:rPr>
        <w:instrText xml:space="preserve">1</w:instrText>
      </w:r>
      <w:r>
        <w:rPr>
          <w:rFonts w:hint="eastAsia" w:ascii="方正仿宋_GBK" w:hAnsi="宋体" w:eastAsia="方正仿宋_GBK" w:cs="宋体"/>
          <w:color w:val="auto"/>
          <w:kern w:val="0"/>
          <w:sz w:val="24"/>
          <w:szCs w:val="24"/>
        </w:rPr>
        <w:instrText xml:space="preserve">)</w:instrText>
      </w:r>
      <w:r>
        <w:rPr>
          <w:rFonts w:ascii="方正仿宋_GBK" w:hAnsi="宋体" w:eastAsia="方正仿宋_GBK" w:cs="宋体"/>
          <w:color w:val="auto"/>
          <w:kern w:val="0"/>
          <w:sz w:val="24"/>
          <w:szCs w:val="24"/>
        </w:rPr>
        <w:fldChar w:fldCharType="end"/>
      </w:r>
      <w:r>
        <w:rPr>
          <w:rFonts w:hint="eastAsia" w:ascii="方正仿宋_GBK" w:hAnsi="宋体" w:eastAsia="方正仿宋_GBK" w:cs="宋体"/>
          <w:color w:val="auto"/>
          <w:kern w:val="0"/>
          <w:sz w:val="24"/>
          <w:szCs w:val="24"/>
        </w:rPr>
        <w:t>根据《</w:t>
      </w:r>
      <w:r>
        <w:rPr>
          <w:rFonts w:ascii="方正仿宋_GBK" w:hAnsi="宋体" w:eastAsia="方正仿宋_GBK" w:cs="宋体"/>
          <w:color w:val="auto"/>
          <w:kern w:val="0"/>
          <w:sz w:val="24"/>
          <w:szCs w:val="24"/>
        </w:rPr>
        <w:t>中华人民共和国政府采购法实施条例</w:t>
      </w:r>
      <w:r>
        <w:rPr>
          <w:rFonts w:hint="eastAsia" w:ascii="方正仿宋_GBK" w:hAnsi="宋体" w:eastAsia="方正仿宋_GBK" w:cs="宋体"/>
          <w:color w:val="auto"/>
          <w:kern w:val="0"/>
          <w:sz w:val="24"/>
          <w:szCs w:val="24"/>
        </w:rPr>
        <w:t>》第十九条“参加政府采购活动前三年内，在经营活动中没有重大违法记录”中“重大违法记录”</w:t>
      </w:r>
      <w:r>
        <w:rPr>
          <w:rFonts w:ascii="方正仿宋_GBK" w:hAnsi="宋体" w:eastAsia="方正仿宋_GBK" w:cs="宋体"/>
          <w:color w:val="auto"/>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4"/>
          <w:szCs w:val="24"/>
        </w:rPr>
        <w:t>行政处罚中“较大数额”的认定标准，按照“</w:t>
      </w:r>
      <w:r>
        <w:rPr>
          <w:rFonts w:ascii="方正仿宋_GBK" w:hAnsi="宋体" w:eastAsia="方正仿宋_GBK" w:cs="宋体"/>
          <w:color w:val="auto"/>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方正仿宋_GBK" w:hAnsi="宋体" w:eastAsia="方正仿宋_GBK" w:cs="宋体"/>
          <w:color w:val="auto"/>
          <w:kern w:val="0"/>
          <w:sz w:val="24"/>
          <w:szCs w:val="24"/>
        </w:rPr>
      </w:pPr>
      <w:r>
        <w:rPr>
          <w:rFonts w:ascii="方正仿宋_GBK" w:hAnsi="宋体" w:eastAsia="方正仿宋_GBK" w:cs="宋体"/>
          <w:color w:val="auto"/>
          <w:kern w:val="0"/>
          <w:sz w:val="24"/>
          <w:szCs w:val="24"/>
        </w:rPr>
        <w:fldChar w:fldCharType="begin"/>
      </w:r>
      <w:r>
        <w:rPr>
          <w:rFonts w:ascii="方正仿宋_GBK" w:hAnsi="宋体" w:eastAsia="方正仿宋_GBK" w:cs="宋体"/>
          <w:color w:val="auto"/>
          <w:kern w:val="0"/>
          <w:sz w:val="24"/>
          <w:szCs w:val="24"/>
        </w:rPr>
        <w:instrText xml:space="preserve"> </w:instrText>
      </w:r>
      <w:r>
        <w:rPr>
          <w:rFonts w:hint="eastAsia" w:ascii="方正仿宋_GBK" w:hAnsi="宋体" w:eastAsia="方正仿宋_GBK" w:cs="宋体"/>
          <w:color w:val="auto"/>
          <w:kern w:val="0"/>
          <w:sz w:val="24"/>
          <w:szCs w:val="24"/>
        </w:rPr>
        <w:instrText xml:space="preserve">eq \o\ac(○,</w:instrText>
      </w:r>
      <w:r>
        <w:rPr>
          <w:rFonts w:hint="eastAsia" w:ascii="宋体" w:hAnsi="宋体" w:eastAsia="方正仿宋_GBK" w:cs="宋体"/>
          <w:color w:val="auto"/>
          <w:kern w:val="0"/>
          <w:position w:val="3"/>
          <w:sz w:val="16"/>
          <w:szCs w:val="24"/>
        </w:rPr>
        <w:instrText xml:space="preserve">2</w:instrText>
      </w:r>
      <w:r>
        <w:rPr>
          <w:rFonts w:hint="eastAsia" w:ascii="方正仿宋_GBK" w:hAnsi="宋体" w:eastAsia="方正仿宋_GBK" w:cs="宋体"/>
          <w:color w:val="auto"/>
          <w:kern w:val="0"/>
          <w:sz w:val="24"/>
          <w:szCs w:val="24"/>
        </w:rPr>
        <w:instrText xml:space="preserve">)</w:instrText>
      </w:r>
      <w:r>
        <w:rPr>
          <w:rFonts w:ascii="方正仿宋_GBK" w:hAnsi="宋体" w:eastAsia="方正仿宋_GBK" w:cs="宋体"/>
          <w:color w:val="auto"/>
          <w:kern w:val="0"/>
          <w:sz w:val="24"/>
          <w:szCs w:val="24"/>
        </w:rPr>
        <w:fldChar w:fldCharType="end"/>
      </w:r>
      <w:r>
        <w:rPr>
          <w:rFonts w:hint="eastAsia" w:ascii="方正仿宋_GBK" w:hAnsi="宋体" w:eastAsia="方正仿宋_GBK" w:cs="宋体"/>
          <w:color w:val="auto"/>
          <w:kern w:val="0"/>
          <w:sz w:val="24"/>
          <w:szCs w:val="24"/>
        </w:rPr>
        <w:t>以联合体形式参与评分的，共同联合协议中应确定主办方（主体），</w:t>
      </w:r>
      <w:r>
        <w:rPr>
          <w:rFonts w:hint="eastAsia" w:ascii="方正仿宋_GBK" w:hAnsi="宋体" w:eastAsia="方正仿宋_GBK"/>
          <w:color w:val="auto"/>
          <w:sz w:val="24"/>
        </w:rPr>
        <w:t>代表联合体进行磋商和澄清。</w:t>
      </w:r>
      <w:r>
        <w:rPr>
          <w:rFonts w:hint="eastAsia" w:ascii="方正仿宋_GBK" w:hAnsi="宋体" w:eastAsia="方正仿宋_GBK" w:cs="宋体"/>
          <w:color w:val="auto"/>
          <w:kern w:val="0"/>
          <w:sz w:val="24"/>
          <w:szCs w:val="24"/>
        </w:rPr>
        <w:t>联合体各方均应满足供应商资格要求（详见“第一篇”）。</w:t>
      </w:r>
    </w:p>
    <w:p>
      <w:pPr>
        <w:snapToGrid w:val="0"/>
        <w:spacing w:line="400" w:lineRule="exact"/>
        <w:ind w:firstLine="480" w:firstLineChars="200"/>
        <w:rPr>
          <w:rFonts w:hint="eastAsia" w:ascii="方正仿宋_GBK" w:eastAsia="方正仿宋_GBK"/>
          <w:color w:val="auto"/>
          <w:kern w:val="0"/>
          <w:sz w:val="24"/>
          <w:szCs w:val="24"/>
        </w:rPr>
      </w:pPr>
      <w:r>
        <w:rPr>
          <w:rFonts w:hint="eastAsia" w:ascii="方正仿宋_GBK" w:hAnsi="宋体" w:eastAsia="方正仿宋_GBK" w:cs="宋体"/>
          <w:color w:val="auto"/>
          <w:kern w:val="0"/>
          <w:sz w:val="24"/>
          <w:szCs w:val="24"/>
        </w:rPr>
        <w:t>2.符合性审查。依据采购文件的规定，从响应文件的有效性、完整性和对采购文件的响应程度进行审查，以确定是否对采购文件的实质性要求作出响应。</w:t>
      </w:r>
      <w:r>
        <w:rPr>
          <w:rFonts w:hint="eastAsia" w:ascii="方正仿宋_GBK" w:eastAsia="方正仿宋_GBK"/>
          <w:color w:val="auto"/>
          <w:kern w:val="0"/>
          <w:sz w:val="24"/>
          <w:szCs w:val="24"/>
        </w:rPr>
        <w:t>符合性审查资料表如下：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序号</w:t>
            </w:r>
          </w:p>
        </w:tc>
        <w:tc>
          <w:tcPr>
            <w:tcW w:w="3544" w:type="dxa"/>
            <w:gridSpan w:val="2"/>
            <w:noWrap w:val="0"/>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评审因素</w:t>
            </w:r>
          </w:p>
        </w:tc>
        <w:tc>
          <w:tcPr>
            <w:tcW w:w="5409" w:type="dxa"/>
            <w:noWrap w:val="0"/>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jc w:val="cente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1</w:t>
            </w:r>
          </w:p>
        </w:tc>
        <w:tc>
          <w:tcPr>
            <w:tcW w:w="1560" w:type="dxa"/>
            <w:vMerge w:val="restart"/>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有效性审查</w:t>
            </w:r>
          </w:p>
        </w:tc>
        <w:tc>
          <w:tcPr>
            <w:tcW w:w="1984"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olor w:val="auto"/>
                <w:sz w:val="21"/>
                <w:szCs w:val="21"/>
              </w:rPr>
              <w:t>响应文件签署或盖章</w:t>
            </w:r>
          </w:p>
        </w:tc>
        <w:tc>
          <w:tcPr>
            <w:tcW w:w="5409"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olor w:val="auto"/>
                <w:sz w:val="21"/>
                <w:szCs w:val="21"/>
              </w:rPr>
              <w:t>按限额以下磋商评分文件“第七篇响应文件编制要求”要求签署或盖章。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rPr>
            </w:pPr>
          </w:p>
        </w:tc>
        <w:tc>
          <w:tcPr>
            <w:tcW w:w="1560" w:type="dxa"/>
            <w:vMerge w:val="continue"/>
            <w:noWrap w:val="0"/>
            <w:vAlign w:val="center"/>
          </w:tcPr>
          <w:p>
            <w:pPr>
              <w:rPr>
                <w:rFonts w:hint="eastAsia" w:ascii="方正仿宋_GBK" w:hAnsi="宋体" w:eastAsia="方正仿宋_GBK" w:cs="宋体"/>
                <w:color w:val="auto"/>
                <w:kern w:val="0"/>
                <w:sz w:val="21"/>
                <w:szCs w:val="21"/>
              </w:rPr>
            </w:pPr>
          </w:p>
        </w:tc>
        <w:tc>
          <w:tcPr>
            <w:tcW w:w="1984" w:type="dxa"/>
            <w:noWrap w:val="0"/>
            <w:vAlign w:val="center"/>
          </w:tcPr>
          <w:p>
            <w:pP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法定代表人身份证明及授权委托书</w:t>
            </w:r>
          </w:p>
        </w:tc>
        <w:tc>
          <w:tcPr>
            <w:tcW w:w="5409" w:type="dxa"/>
            <w:noWrap w:val="0"/>
            <w:vAlign w:val="center"/>
          </w:tcPr>
          <w:p>
            <w:pP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rPr>
            </w:pPr>
          </w:p>
        </w:tc>
        <w:tc>
          <w:tcPr>
            <w:tcW w:w="1560" w:type="dxa"/>
            <w:vMerge w:val="continue"/>
            <w:noWrap w:val="0"/>
            <w:vAlign w:val="center"/>
          </w:tcPr>
          <w:p>
            <w:pPr>
              <w:rPr>
                <w:rFonts w:hint="eastAsia" w:ascii="方正仿宋_GBK" w:hAnsi="宋体" w:eastAsia="方正仿宋_GBK" w:cs="宋体"/>
                <w:color w:val="auto"/>
                <w:kern w:val="0"/>
                <w:sz w:val="21"/>
                <w:szCs w:val="21"/>
              </w:rPr>
            </w:pPr>
          </w:p>
        </w:tc>
        <w:tc>
          <w:tcPr>
            <w:tcW w:w="1984" w:type="dxa"/>
            <w:noWrap w:val="0"/>
            <w:vAlign w:val="center"/>
          </w:tcPr>
          <w:p>
            <w:pPr>
              <w:rPr>
                <w:rFonts w:hint="eastAsia" w:ascii="方正仿宋_GBK" w:hAnsi="宋体" w:eastAsia="方正仿宋_GBK" w:cs="仿宋_GB2312"/>
                <w:color w:val="auto"/>
                <w:sz w:val="21"/>
                <w:szCs w:val="21"/>
                <w:lang w:val="zh-CN"/>
              </w:rPr>
            </w:pP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方案</w:t>
            </w:r>
          </w:p>
        </w:tc>
        <w:tc>
          <w:tcPr>
            <w:tcW w:w="5409"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lang w:val="zh-CN"/>
              </w:rPr>
              <w:t>每个包只能有一个</w:t>
            </w: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rPr>
            </w:pPr>
          </w:p>
        </w:tc>
        <w:tc>
          <w:tcPr>
            <w:tcW w:w="1560" w:type="dxa"/>
            <w:vMerge w:val="continue"/>
            <w:noWrap w:val="0"/>
            <w:vAlign w:val="center"/>
          </w:tcPr>
          <w:p>
            <w:pPr>
              <w:rPr>
                <w:rFonts w:hint="eastAsia" w:ascii="方正仿宋_GBK" w:hAnsi="宋体" w:eastAsia="方正仿宋_GBK" w:cs="宋体"/>
                <w:color w:val="auto"/>
                <w:kern w:val="0"/>
                <w:sz w:val="21"/>
                <w:szCs w:val="21"/>
              </w:rPr>
            </w:pPr>
          </w:p>
        </w:tc>
        <w:tc>
          <w:tcPr>
            <w:tcW w:w="1984" w:type="dxa"/>
            <w:noWrap w:val="0"/>
            <w:vAlign w:val="center"/>
          </w:tcPr>
          <w:p>
            <w:pPr>
              <w:rPr>
                <w:rFonts w:hint="eastAsia" w:ascii="方正仿宋_GBK" w:hAnsi="宋体" w:eastAsia="方正仿宋_GBK" w:cs="仿宋_GB2312"/>
                <w:color w:val="auto"/>
                <w:sz w:val="21"/>
                <w:szCs w:val="21"/>
                <w:lang w:val="zh-CN"/>
              </w:rPr>
            </w:pPr>
            <w:r>
              <w:rPr>
                <w:rFonts w:hint="eastAsia" w:ascii="方正仿宋_GBK" w:hAnsi="宋体" w:eastAsia="方正仿宋_GBK"/>
                <w:color w:val="auto"/>
                <w:sz w:val="21"/>
                <w:szCs w:val="21"/>
              </w:rPr>
              <w:t>报价唯一</w:t>
            </w:r>
          </w:p>
        </w:tc>
        <w:tc>
          <w:tcPr>
            <w:tcW w:w="5409"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olor w:val="auto"/>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pPr>
              <w:jc w:val="cente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2</w:t>
            </w:r>
          </w:p>
        </w:tc>
        <w:tc>
          <w:tcPr>
            <w:tcW w:w="1560"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完整性审查</w:t>
            </w:r>
          </w:p>
        </w:tc>
        <w:tc>
          <w:tcPr>
            <w:tcW w:w="1984"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文件份数</w:t>
            </w:r>
          </w:p>
        </w:tc>
        <w:tc>
          <w:tcPr>
            <w:tcW w:w="5409"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文件正、副本数量符合</w:t>
            </w:r>
            <w:r>
              <w:rPr>
                <w:rFonts w:hint="eastAsia" w:ascii="方正仿宋_GBK" w:hAnsi="宋体" w:eastAsia="方正仿宋_GBK" w:cs="仿宋_GB2312"/>
                <w:color w:val="auto"/>
                <w:sz w:val="21"/>
                <w:szCs w:val="21"/>
              </w:rPr>
              <w:t>竞采购</w:t>
            </w:r>
            <w:r>
              <w:rPr>
                <w:rFonts w:hint="eastAsia" w:ascii="方正仿宋_GBK" w:hAnsi="宋体" w:eastAsia="方正仿宋_GBK" w:cs="仿宋_GB2312"/>
                <w:color w:val="auto"/>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jc w:val="cente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3</w:t>
            </w:r>
          </w:p>
        </w:tc>
        <w:tc>
          <w:tcPr>
            <w:tcW w:w="1560" w:type="dxa"/>
            <w:vMerge w:val="restart"/>
            <w:noWrap w:val="0"/>
            <w:vAlign w:val="center"/>
          </w:tcPr>
          <w:p>
            <w:pPr>
              <w:rPr>
                <w:rFonts w:hint="eastAsia" w:ascii="方正仿宋_GBK" w:hAnsi="宋体" w:eastAsia="方正仿宋_GBK" w:cs="仿宋_GB2312"/>
                <w:color w:val="auto"/>
                <w:sz w:val="21"/>
                <w:szCs w:val="21"/>
                <w:lang w:val="zh-CN"/>
              </w:rPr>
            </w:pPr>
            <w:r>
              <w:rPr>
                <w:rFonts w:hint="eastAsia" w:ascii="方正仿宋_GBK" w:hAnsi="宋体" w:eastAsia="方正仿宋_GBK" w:cs="宋体"/>
                <w:color w:val="auto"/>
                <w:kern w:val="0"/>
                <w:sz w:val="21"/>
                <w:szCs w:val="21"/>
              </w:rPr>
              <w:t>响应程度审查</w:t>
            </w:r>
          </w:p>
        </w:tc>
        <w:tc>
          <w:tcPr>
            <w:tcW w:w="1984"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实质性响应</w:t>
            </w:r>
          </w:p>
        </w:tc>
        <w:tc>
          <w:tcPr>
            <w:tcW w:w="5409" w:type="dxa"/>
            <w:noWrap w:val="0"/>
            <w:vAlign w:val="center"/>
          </w:tcPr>
          <w:p>
            <w:pPr>
              <w:pStyle w:val="33"/>
              <w:rPr>
                <w:rFonts w:hint="eastAsia" w:ascii="方正仿宋_GBK" w:hAnsi="宋体" w:eastAsia="方正仿宋_GBK" w:cs="宋体"/>
                <w:color w:val="auto"/>
                <w:kern w:val="0"/>
                <w:sz w:val="21"/>
                <w:szCs w:val="21"/>
                <w:lang w:val="en-US" w:eastAsia="zh-CN"/>
              </w:rPr>
            </w:pPr>
            <w:r>
              <w:rPr>
                <w:rFonts w:hint="eastAsia" w:ascii="方正仿宋_GBK" w:hAnsi="宋体" w:eastAsia="方正仿宋_GBK" w:cs="宋体"/>
                <w:color w:val="auto"/>
                <w:kern w:val="0"/>
                <w:sz w:val="21"/>
                <w:szCs w:val="21"/>
                <w:lang w:val="en-US" w:eastAsia="zh-CN"/>
              </w:rPr>
              <w:t>对采购文件第二篇、第三篇规定的内容进行实质性响应。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rPr>
            </w:pPr>
          </w:p>
        </w:tc>
        <w:tc>
          <w:tcPr>
            <w:tcW w:w="1560" w:type="dxa"/>
            <w:vMerge w:val="continue"/>
            <w:noWrap w:val="0"/>
            <w:vAlign w:val="center"/>
          </w:tcPr>
          <w:p>
            <w:pPr>
              <w:rPr>
                <w:rFonts w:hint="eastAsia" w:ascii="方正仿宋_GBK" w:hAnsi="宋体" w:eastAsia="方正仿宋_GBK" w:cs="仿宋_GB2312"/>
                <w:color w:val="auto"/>
                <w:sz w:val="21"/>
                <w:szCs w:val="21"/>
                <w:lang w:val="zh-CN"/>
              </w:rPr>
            </w:pPr>
          </w:p>
        </w:tc>
        <w:tc>
          <w:tcPr>
            <w:tcW w:w="1984"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响应文件有效期</w:t>
            </w:r>
          </w:p>
        </w:tc>
        <w:tc>
          <w:tcPr>
            <w:tcW w:w="5409"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响应文件及有关承诺文件有效期为提交响应文件截止时间起90天。</w:t>
            </w:r>
          </w:p>
        </w:tc>
      </w:tr>
    </w:tbl>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（五）在评审过程中磋商的任何一方不得向他人透露与磋商有关的服务资料、价格或其他信息。</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在评审过程中，评审小组可以根据采购文件和磋商情况实质性变动采购需求中的服务、商务要求以及合同草案条款，但不得变动采购文件中的其他内容。实质性变动的内容，须经采购人代表确认。对采购文件作出的实质性变动是采购文件的有效组成部分，评审小组应当及时以书面形式同时通知所有参加的供应商。</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（七）供应商在磋商时作出的所有书面承诺须由法定代表人（或其授权代表）或自然人（供应商为自然人）签署。</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八）经磋商确定最终采购需求且磋商结束后，供应商应当按照采购文件的变动情况和评审小组的要求重新提交响应文件或重新做出相关的书面承诺，最后书面提交最后报价及有关承诺（《最后报价表》在磋商现场向供应商提供）。</w:t>
      </w:r>
      <w:r>
        <w:rPr>
          <w:rFonts w:ascii="方正仿宋_GBK" w:hAnsi="宋体" w:eastAsia="方正仿宋_GBK"/>
          <w:color w:val="auto"/>
          <w:sz w:val="24"/>
          <w:szCs w:val="24"/>
        </w:rPr>
        <w:t>已提交响应文件</w:t>
      </w:r>
      <w:r>
        <w:rPr>
          <w:rFonts w:hint="eastAsia" w:ascii="方正仿宋_GBK" w:hAnsi="宋体" w:eastAsia="方正仿宋_GBK"/>
          <w:color w:val="auto"/>
          <w:sz w:val="24"/>
          <w:szCs w:val="24"/>
        </w:rPr>
        <w:t>但未在规定时间内进行最后报价</w:t>
      </w:r>
      <w:r>
        <w:rPr>
          <w:rFonts w:ascii="方正仿宋_GBK" w:hAnsi="宋体" w:eastAsia="方正仿宋_GBK"/>
          <w:color w:val="auto"/>
          <w:sz w:val="24"/>
          <w:szCs w:val="24"/>
        </w:rPr>
        <w:t>的供应商，</w:t>
      </w:r>
      <w:r>
        <w:rPr>
          <w:rFonts w:hint="eastAsia" w:ascii="方正仿宋_GBK" w:hAnsi="宋体" w:eastAsia="方正仿宋_GBK"/>
          <w:color w:val="auto"/>
          <w:sz w:val="24"/>
          <w:szCs w:val="24"/>
        </w:rPr>
        <w:t>视为放弃最后报价，以供应商响应文件中的报价为准。</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（九）评审小组采用综合评分法对提交最后报价的供应商的响应文件和最后报价（含有效书面承诺）进行综合评分。</w:t>
      </w:r>
      <w:r>
        <w:rPr>
          <w:rFonts w:hint="eastAsia" w:ascii="方正仿宋_GBK" w:hAnsi="宋体" w:eastAsia="方正仿宋_GBK" w:cs="宋体"/>
          <w:color w:val="auto"/>
          <w:kern w:val="0"/>
          <w:sz w:val="24"/>
          <w:szCs w:val="24"/>
        </w:rPr>
        <w:t>综合评分法，是指响应</w:t>
      </w:r>
      <w:r>
        <w:rPr>
          <w:rFonts w:ascii="方正仿宋_GBK" w:hAnsi="宋体" w:eastAsia="方正仿宋_GBK" w:cs="宋体"/>
          <w:color w:val="auto"/>
          <w:kern w:val="0"/>
          <w:sz w:val="24"/>
          <w:szCs w:val="24"/>
        </w:rPr>
        <w:t>文件满足</w:t>
      </w:r>
      <w:r>
        <w:rPr>
          <w:rFonts w:hint="eastAsia" w:ascii="方正仿宋_GBK" w:hAnsi="宋体" w:eastAsia="方正仿宋_GBK" w:cs="宋体"/>
          <w:color w:val="auto"/>
          <w:kern w:val="0"/>
          <w:sz w:val="24"/>
          <w:szCs w:val="24"/>
        </w:rPr>
        <w:t>竞采购</w:t>
      </w:r>
      <w:r>
        <w:rPr>
          <w:rFonts w:ascii="方正仿宋_GBK" w:hAnsi="宋体" w:eastAsia="方正仿宋_GBK" w:cs="宋体"/>
          <w:color w:val="auto"/>
          <w:kern w:val="0"/>
          <w:sz w:val="24"/>
          <w:szCs w:val="24"/>
        </w:rPr>
        <w:t>文件全部实质性要求且按照评审因素的量化指标评审得分最高的供应商为</w:t>
      </w:r>
      <w:r>
        <w:rPr>
          <w:rFonts w:hint="eastAsia" w:ascii="方正仿宋_GBK" w:hAnsi="宋体" w:eastAsia="方正仿宋_GBK" w:cs="宋体"/>
          <w:color w:val="auto"/>
          <w:kern w:val="0"/>
          <w:sz w:val="24"/>
          <w:szCs w:val="24"/>
        </w:rPr>
        <w:t>成交</w:t>
      </w:r>
      <w:r>
        <w:rPr>
          <w:rFonts w:ascii="方正仿宋_GBK" w:hAnsi="宋体" w:eastAsia="方正仿宋_GBK" w:cs="宋体"/>
          <w:color w:val="auto"/>
          <w:kern w:val="0"/>
          <w:sz w:val="24"/>
          <w:szCs w:val="24"/>
        </w:rPr>
        <w:t>候选</w:t>
      </w:r>
      <w:r>
        <w:rPr>
          <w:rFonts w:hint="eastAsia" w:ascii="方正仿宋_GBK" w:hAnsi="宋体" w:eastAsia="方正仿宋_GBK" w:cs="宋体"/>
          <w:color w:val="auto"/>
          <w:kern w:val="0"/>
          <w:sz w:val="24"/>
          <w:szCs w:val="24"/>
        </w:rPr>
        <w:t>供应商</w:t>
      </w:r>
      <w:r>
        <w:rPr>
          <w:rFonts w:ascii="方正仿宋_GBK" w:hAnsi="宋体" w:eastAsia="方正仿宋_GBK" w:cs="宋体"/>
          <w:color w:val="auto"/>
          <w:kern w:val="0"/>
          <w:sz w:val="24"/>
          <w:szCs w:val="24"/>
        </w:rPr>
        <w:t>的</w:t>
      </w:r>
      <w:r>
        <w:rPr>
          <w:rFonts w:hint="eastAsia" w:ascii="方正仿宋_GBK" w:hAnsi="宋体" w:eastAsia="方正仿宋_GBK" w:cs="宋体"/>
          <w:color w:val="auto"/>
          <w:kern w:val="0"/>
          <w:sz w:val="24"/>
          <w:szCs w:val="24"/>
        </w:rPr>
        <w:t>评审</w:t>
      </w:r>
      <w:r>
        <w:rPr>
          <w:rFonts w:ascii="方正仿宋_GBK" w:hAnsi="宋体" w:eastAsia="方正仿宋_GBK" w:cs="宋体"/>
          <w:color w:val="auto"/>
          <w:kern w:val="0"/>
          <w:sz w:val="24"/>
          <w:szCs w:val="24"/>
        </w:rPr>
        <w:t>方法</w:t>
      </w:r>
      <w:r>
        <w:rPr>
          <w:rFonts w:hint="eastAsia" w:ascii="方正仿宋_GBK" w:hAnsi="宋体" w:eastAsia="方正仿宋_GBK" w:cs="宋体"/>
          <w:color w:val="auto"/>
          <w:kern w:val="0"/>
          <w:sz w:val="24"/>
          <w:szCs w:val="24"/>
        </w:rPr>
        <w:t>。供应商总得分为价格、服务、商务等评定因素分别按照相应权重值计算分项得分后相加，满分为100分</w:t>
      </w:r>
      <w:r>
        <w:rPr>
          <w:rFonts w:hint="eastAsia" w:ascii="方正仿宋_GBK" w:hAnsi="宋体" w:eastAsia="方正仿宋_GBK"/>
          <w:color w:val="auto"/>
          <w:sz w:val="24"/>
          <w:szCs w:val="24"/>
        </w:rPr>
        <w:t>。</w:t>
      </w:r>
    </w:p>
    <w:p>
      <w:pPr>
        <w:spacing w:line="400" w:lineRule="exact"/>
        <w:ind w:firstLine="480" w:firstLineChars="200"/>
        <w:rPr>
          <w:rFonts w:hint="eastAsia" w:ascii="方正仿宋_GBK" w:hAnsi="宋体" w:eastAsia="方正仿宋_GBK"/>
          <w:b/>
          <w:color w:val="auto"/>
          <w:sz w:val="24"/>
          <w:szCs w:val="24"/>
        </w:rPr>
      </w:pPr>
      <w:r>
        <w:rPr>
          <w:rFonts w:hint="eastAsia" w:ascii="方正仿宋_GBK" w:hAnsi="宋体" w:eastAsia="方正仿宋_GBK"/>
          <w:color w:val="auto"/>
          <w:sz w:val="24"/>
          <w:szCs w:val="24"/>
        </w:rPr>
        <w:t>（十）评审小组各成员独立对每个有效响应（通过资格性审查、</w:t>
      </w:r>
      <w:r>
        <w:rPr>
          <w:rFonts w:hint="eastAsia" w:ascii="方正仿宋_GBK" w:hAnsi="宋体" w:eastAsia="方正仿宋_GBK" w:cs="宋体"/>
          <w:color w:val="auto"/>
          <w:kern w:val="0"/>
          <w:sz w:val="24"/>
          <w:szCs w:val="24"/>
        </w:rPr>
        <w:t>符合性审查的供应商</w:t>
      </w:r>
      <w:r>
        <w:rPr>
          <w:rFonts w:hint="eastAsia" w:ascii="方正仿宋_GBK" w:hAnsi="宋体" w:eastAsia="方正仿宋_GBK"/>
          <w:color w:val="auto"/>
          <w:sz w:val="24"/>
          <w:szCs w:val="24"/>
        </w:rPr>
        <w:t>）的文件进行评价、打分，然后汇总每个供应商每项评分因素的得分，并根据综合评分情况按照评审得分由高到低顺序推荐3名以上成交候选供应商，并编写结论意见。若供应商的评审得分相同的，按照最后报价由低到高的顺序排列推荐。评审得分且最后报价相同的，按现场随机抽取的方式确定顺序排列。</w:t>
      </w:r>
      <w:r>
        <w:rPr>
          <w:rFonts w:hint="eastAsia" w:ascii="方正仿宋_GBK" w:hAnsi="宋体" w:eastAsia="方正仿宋_GBK"/>
          <w:b/>
          <w:color w:val="auto"/>
          <w:sz w:val="24"/>
          <w:szCs w:val="24"/>
        </w:rPr>
        <w:t>服务部分</w:t>
      </w:r>
      <w:r>
        <w:rPr>
          <w:rFonts w:ascii="方正仿宋_GBK" w:hAnsi="宋体" w:eastAsia="方正仿宋_GBK"/>
          <w:b/>
          <w:color w:val="auto"/>
          <w:sz w:val="24"/>
          <w:szCs w:val="24"/>
        </w:rPr>
        <w:t>得分为</w:t>
      </w:r>
      <w:r>
        <w:rPr>
          <w:rFonts w:hint="eastAsia" w:ascii="方正仿宋_GBK" w:hAnsi="宋体" w:eastAsia="方正仿宋_GBK"/>
          <w:b/>
          <w:color w:val="auto"/>
          <w:sz w:val="24"/>
          <w:szCs w:val="24"/>
        </w:rPr>
        <w:t>0分</w:t>
      </w:r>
      <w:r>
        <w:rPr>
          <w:rFonts w:ascii="方正仿宋_GBK" w:hAnsi="宋体" w:eastAsia="方正仿宋_GBK"/>
          <w:b/>
          <w:color w:val="auto"/>
          <w:sz w:val="24"/>
          <w:szCs w:val="24"/>
        </w:rPr>
        <w:t>的</w:t>
      </w:r>
      <w:r>
        <w:rPr>
          <w:rFonts w:hint="eastAsia" w:ascii="方正仿宋_GBK" w:hAnsi="宋体" w:eastAsia="方正仿宋_GBK"/>
          <w:b/>
          <w:color w:val="auto"/>
          <w:sz w:val="24"/>
          <w:szCs w:val="24"/>
        </w:rPr>
        <w:t>供应商不得推荐</w:t>
      </w:r>
      <w:r>
        <w:rPr>
          <w:rFonts w:ascii="方正仿宋_GBK" w:hAnsi="宋体" w:eastAsia="方正仿宋_GBK"/>
          <w:b/>
          <w:color w:val="auto"/>
          <w:sz w:val="24"/>
          <w:szCs w:val="24"/>
        </w:rPr>
        <w:t>成为</w:t>
      </w:r>
      <w:r>
        <w:rPr>
          <w:rFonts w:hint="eastAsia" w:ascii="方正仿宋_GBK" w:hAnsi="宋体" w:eastAsia="方正仿宋_GBK"/>
          <w:b/>
          <w:color w:val="auto"/>
          <w:sz w:val="24"/>
          <w:szCs w:val="24"/>
        </w:rPr>
        <w:t>成交候选供应商</w:t>
      </w:r>
      <w:r>
        <w:rPr>
          <w:rFonts w:ascii="方正仿宋_GBK" w:hAnsi="宋体" w:eastAsia="方正仿宋_GBK"/>
          <w:b/>
          <w:color w:val="auto"/>
          <w:sz w:val="24"/>
          <w:szCs w:val="24"/>
        </w:rPr>
        <w:t>。</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65" w:name="_Toc76462334"/>
      <w:bookmarkStart w:id="66" w:name="_Toc106030889"/>
      <w:r>
        <w:rPr>
          <w:rFonts w:hint="eastAsia" w:ascii="方正仿宋_GBK" w:hAnsi="宋体" w:eastAsia="方正仿宋_GBK"/>
          <w:color w:val="auto"/>
          <w:sz w:val="24"/>
        </w:rPr>
        <w:t>二、</w:t>
      </w:r>
      <w:bookmarkStart w:id="67" w:name="_Toc342913394"/>
      <w:bookmarkStart w:id="68" w:name="_Toc102227320"/>
      <w:r>
        <w:rPr>
          <w:rFonts w:hint="eastAsia" w:ascii="方正仿宋_GBK" w:hAnsi="宋体" w:eastAsia="方正仿宋_GBK"/>
          <w:color w:val="auto"/>
          <w:sz w:val="24"/>
        </w:rPr>
        <w:t>评审标准</w:t>
      </w:r>
      <w:bookmarkEnd w:id="65"/>
      <w:bookmarkEnd w:id="66"/>
    </w:p>
    <w:tbl>
      <w:tblPr>
        <w:tblStyle w:val="58"/>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1339"/>
        <w:gridCol w:w="824"/>
        <w:gridCol w:w="4820"/>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noWrap w:val="0"/>
            <w:vAlign w:val="center"/>
          </w:tcPr>
          <w:p>
            <w:pPr>
              <w:spacing w:line="240" w:lineRule="atLeast"/>
              <w:ind w:firstLine="28"/>
              <w:jc w:val="center"/>
              <w:rPr>
                <w:rFonts w:hint="eastAsia" w:ascii="宋体" w:hAnsi="宋体" w:eastAsia="宋体" w:cs="宋体"/>
                <w:b/>
                <w:color w:val="auto"/>
                <w:sz w:val="21"/>
                <w:szCs w:val="21"/>
              </w:rPr>
            </w:pPr>
            <w:bookmarkStart w:id="69" w:name="_Toc76462335"/>
            <w:bookmarkStart w:id="70" w:name="_Toc106030890"/>
            <w:r>
              <w:rPr>
                <w:rFonts w:hint="eastAsia" w:ascii="宋体" w:hAnsi="宋体" w:eastAsia="宋体" w:cs="宋体"/>
                <w:b/>
                <w:color w:val="auto"/>
                <w:sz w:val="21"/>
                <w:szCs w:val="21"/>
              </w:rPr>
              <w:t>序号</w:t>
            </w:r>
          </w:p>
        </w:tc>
        <w:tc>
          <w:tcPr>
            <w:tcW w:w="695" w:type="pct"/>
            <w:noWrap w:val="0"/>
            <w:vAlign w:val="center"/>
          </w:tcPr>
          <w:p>
            <w:pPr>
              <w:spacing w:line="240" w:lineRule="atLeast"/>
              <w:ind w:firstLine="28"/>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评分因素</w:t>
            </w:r>
          </w:p>
          <w:p>
            <w:pPr>
              <w:spacing w:line="240" w:lineRule="atLeast"/>
              <w:ind w:firstLine="28"/>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及权重</w:t>
            </w:r>
          </w:p>
        </w:tc>
        <w:tc>
          <w:tcPr>
            <w:tcW w:w="428" w:type="pct"/>
            <w:noWrap w:val="0"/>
            <w:vAlign w:val="center"/>
          </w:tcPr>
          <w:p>
            <w:pPr>
              <w:spacing w:line="240" w:lineRule="atLeast"/>
              <w:ind w:firstLine="28"/>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分值</w:t>
            </w:r>
          </w:p>
        </w:tc>
        <w:tc>
          <w:tcPr>
            <w:tcW w:w="2502" w:type="pct"/>
            <w:noWrap w:val="0"/>
            <w:vAlign w:val="center"/>
          </w:tcPr>
          <w:p>
            <w:pPr>
              <w:spacing w:line="240" w:lineRule="atLeast"/>
              <w:ind w:firstLine="28"/>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评分标准</w:t>
            </w:r>
          </w:p>
        </w:tc>
        <w:tc>
          <w:tcPr>
            <w:tcW w:w="1117" w:type="pct"/>
            <w:noWrap w:val="0"/>
            <w:vAlign w:val="center"/>
          </w:tcPr>
          <w:p>
            <w:pPr>
              <w:spacing w:line="240" w:lineRule="atLeas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56" w:type="pct"/>
            <w:noWrap w:val="0"/>
            <w:vAlign w:val="center"/>
          </w:tcPr>
          <w:p>
            <w:pPr>
              <w:spacing w:line="240" w:lineRule="atLeast"/>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95" w:type="pct"/>
            <w:noWrap w:val="0"/>
            <w:vAlign w:val="center"/>
          </w:tcPr>
          <w:p>
            <w:pPr>
              <w:spacing w:line="240" w:lineRule="atLeast"/>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磋商报价</w:t>
            </w:r>
          </w:p>
          <w:p>
            <w:pPr>
              <w:spacing w:line="240" w:lineRule="atLeast"/>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0</w:t>
            </w:r>
            <w:r>
              <w:rPr>
                <w:rFonts w:hint="eastAsia" w:ascii="宋体" w:hAnsi="宋体" w:eastAsia="宋体" w:cs="宋体"/>
                <w:color w:val="auto"/>
                <w:sz w:val="21"/>
                <w:szCs w:val="21"/>
              </w:rPr>
              <w:t>%）</w:t>
            </w:r>
          </w:p>
        </w:tc>
        <w:tc>
          <w:tcPr>
            <w:tcW w:w="428" w:type="pct"/>
            <w:noWrap w:val="0"/>
            <w:vAlign w:val="center"/>
          </w:tcPr>
          <w:p>
            <w:pPr>
              <w:spacing w:line="240" w:lineRule="atLeast"/>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0</w:t>
            </w:r>
            <w:r>
              <w:rPr>
                <w:rFonts w:hint="eastAsia" w:ascii="宋体" w:hAnsi="宋体" w:eastAsia="宋体" w:cs="宋体"/>
                <w:color w:val="auto"/>
                <w:sz w:val="21"/>
                <w:szCs w:val="21"/>
              </w:rPr>
              <w:t>分</w:t>
            </w:r>
          </w:p>
        </w:tc>
        <w:tc>
          <w:tcPr>
            <w:tcW w:w="2502" w:type="pct"/>
            <w:noWrap w:val="0"/>
            <w:vAlign w:val="center"/>
          </w:tcPr>
          <w:p>
            <w:pPr>
              <w:spacing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满足资格性、符合性要求且最后报价最低的投标人的价格为磋商基准价，其价格分为满分。其他供应商的价格分统一按照下列公式计算：</w:t>
            </w:r>
          </w:p>
          <w:p>
            <w:pPr>
              <w:spacing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磋商报价得分=（磋商基准价/最后磋商报价）×价格权重×100</w:t>
            </w:r>
          </w:p>
        </w:tc>
        <w:tc>
          <w:tcPr>
            <w:tcW w:w="1117" w:type="pct"/>
            <w:noWrap w:val="0"/>
            <w:vAlign w:val="center"/>
          </w:tcPr>
          <w:p>
            <w:pPr>
              <w:spacing w:line="240" w:lineRule="exact"/>
              <w:ind w:left="-39" w:leftChars="-14"/>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56" w:type="pct"/>
            <w:vMerge w:val="restart"/>
            <w:noWrap w:val="0"/>
            <w:vAlign w:val="center"/>
          </w:tcPr>
          <w:p>
            <w:pPr>
              <w:spacing w:line="240" w:lineRule="atLeast"/>
              <w:ind w:firstLine="28"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w:t>
            </w:r>
          </w:p>
        </w:tc>
        <w:tc>
          <w:tcPr>
            <w:tcW w:w="695" w:type="pct"/>
            <w:vMerge w:val="restart"/>
            <w:noWrap w:val="0"/>
            <w:vAlign w:val="center"/>
          </w:tcPr>
          <w:p>
            <w:pPr>
              <w:spacing w:line="240" w:lineRule="atLeast"/>
              <w:ind w:firstLine="28"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服务部分（</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0%）</w:t>
            </w:r>
          </w:p>
        </w:tc>
        <w:tc>
          <w:tcPr>
            <w:tcW w:w="428" w:type="pct"/>
            <w:vMerge w:val="restart"/>
            <w:noWrap w:val="0"/>
            <w:vAlign w:val="center"/>
          </w:tcPr>
          <w:p>
            <w:pPr>
              <w:spacing w:line="240" w:lineRule="atLeast"/>
              <w:ind w:firstLine="28"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0</w:t>
            </w:r>
            <w:r>
              <w:rPr>
                <w:rFonts w:hint="eastAsia" w:ascii="宋体" w:hAnsi="宋体" w:cs="宋体"/>
                <w:color w:val="auto"/>
                <w:sz w:val="21"/>
                <w:szCs w:val="21"/>
                <w:lang w:val="en-US" w:eastAsia="zh-CN"/>
              </w:rPr>
              <w:t>分</w:t>
            </w:r>
          </w:p>
        </w:tc>
        <w:tc>
          <w:tcPr>
            <w:tcW w:w="2502" w:type="pct"/>
            <w:noWrap w:val="0"/>
            <w:vAlign w:val="center"/>
          </w:tcPr>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1.针对本项目的测量方案及措施方案（10分）</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优（10分）：对项目认识深刻、表述全面准确，测量方案科学、系统、安全、经济，可操作性强，保障措施得力，对关键技术把握准确，应用到位，阐释清晰；</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良（6分）：对项目认识比较深刻、表述比较全面准确，测量方案比较科学、系统、安全、经济，可操作性比较强，保障措施比较得力，对关键技术、工艺把握比较准确，应用到位，阐释比较清晰；</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一般（4分）：对项目认识、表述一般，测量方案、措施方案一般；</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差或未提供不得分。</w:t>
            </w:r>
          </w:p>
        </w:tc>
        <w:tc>
          <w:tcPr>
            <w:tcW w:w="1117" w:type="pct"/>
            <w:noWrap w:val="0"/>
            <w:vAlign w:val="center"/>
          </w:tcPr>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提供测量方案及措施方案，格式自定。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56" w:type="pct"/>
            <w:vMerge w:val="continue"/>
            <w:noWrap w:val="0"/>
            <w:vAlign w:val="center"/>
          </w:tcPr>
          <w:p>
            <w:pPr>
              <w:spacing w:line="240" w:lineRule="atLeast"/>
              <w:ind w:firstLine="28"/>
              <w:jc w:val="center"/>
              <w:rPr>
                <w:rFonts w:hint="eastAsia" w:ascii="宋体" w:hAnsi="宋体" w:eastAsia="宋体" w:cs="宋体"/>
                <w:color w:val="auto"/>
                <w:sz w:val="21"/>
                <w:szCs w:val="21"/>
              </w:rPr>
            </w:pPr>
          </w:p>
        </w:tc>
        <w:tc>
          <w:tcPr>
            <w:tcW w:w="695" w:type="pct"/>
            <w:vMerge w:val="continue"/>
            <w:noWrap w:val="0"/>
            <w:vAlign w:val="center"/>
          </w:tcPr>
          <w:p>
            <w:pPr>
              <w:spacing w:line="240" w:lineRule="atLeast"/>
              <w:ind w:firstLine="28"/>
              <w:jc w:val="center"/>
              <w:rPr>
                <w:rFonts w:hint="eastAsia" w:ascii="宋体" w:hAnsi="宋体" w:eastAsia="宋体" w:cs="宋体"/>
                <w:color w:val="auto"/>
                <w:sz w:val="21"/>
                <w:szCs w:val="21"/>
              </w:rPr>
            </w:pPr>
          </w:p>
        </w:tc>
        <w:tc>
          <w:tcPr>
            <w:tcW w:w="428" w:type="pct"/>
            <w:vMerge w:val="continue"/>
            <w:noWrap w:val="0"/>
            <w:vAlign w:val="center"/>
          </w:tcPr>
          <w:p>
            <w:pPr>
              <w:spacing w:line="240" w:lineRule="atLeast"/>
              <w:ind w:firstLine="28"/>
              <w:jc w:val="center"/>
              <w:rPr>
                <w:rFonts w:hint="eastAsia" w:ascii="宋体" w:hAnsi="宋体" w:eastAsia="宋体" w:cs="宋体"/>
                <w:color w:val="auto"/>
                <w:sz w:val="21"/>
                <w:szCs w:val="21"/>
                <w:lang w:val="en-US" w:eastAsia="zh-CN"/>
              </w:rPr>
            </w:pPr>
          </w:p>
        </w:tc>
        <w:tc>
          <w:tcPr>
            <w:tcW w:w="2502" w:type="pct"/>
            <w:noWrap w:val="0"/>
            <w:vAlign w:val="center"/>
          </w:tcPr>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2.针对本项目的项目重点、难点分析与解决措施方案（10分）</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优（10分）：对项目重点、难点认识全面，论述完整清晰，解决措施符合实际、规范，计划合理，综合措施科学；</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良（6分）：对项目重点、难点认识比较全面，论述比较完整清晰，解决措施比较符合实际、规范，计划比较合理，综合措施比较科学；</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一般（4分）：对项目重点、难点认识一般，解决措施、计划基本合理；</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差或未提供不得分。</w:t>
            </w:r>
          </w:p>
        </w:tc>
        <w:tc>
          <w:tcPr>
            <w:tcW w:w="1117" w:type="pct"/>
            <w:noWrap w:val="0"/>
            <w:vAlign w:val="center"/>
          </w:tcPr>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提供项目重点、难点分析与解决措施方案，格式自定。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56" w:type="pct"/>
            <w:vMerge w:val="continue"/>
            <w:noWrap w:val="0"/>
            <w:vAlign w:val="center"/>
          </w:tcPr>
          <w:p>
            <w:pPr>
              <w:spacing w:line="240" w:lineRule="atLeast"/>
              <w:ind w:firstLine="28"/>
              <w:jc w:val="center"/>
              <w:rPr>
                <w:rFonts w:hint="eastAsia" w:ascii="宋体" w:hAnsi="宋体" w:eastAsia="宋体" w:cs="宋体"/>
                <w:color w:val="auto"/>
                <w:sz w:val="21"/>
                <w:szCs w:val="21"/>
              </w:rPr>
            </w:pPr>
          </w:p>
        </w:tc>
        <w:tc>
          <w:tcPr>
            <w:tcW w:w="695" w:type="pct"/>
            <w:vMerge w:val="continue"/>
            <w:noWrap w:val="0"/>
            <w:vAlign w:val="center"/>
          </w:tcPr>
          <w:p>
            <w:pPr>
              <w:spacing w:line="240" w:lineRule="atLeast"/>
              <w:ind w:firstLine="28"/>
              <w:jc w:val="center"/>
              <w:rPr>
                <w:rFonts w:hint="eastAsia" w:ascii="宋体" w:hAnsi="宋体" w:eastAsia="宋体" w:cs="宋体"/>
                <w:color w:val="auto"/>
                <w:sz w:val="21"/>
                <w:szCs w:val="21"/>
              </w:rPr>
            </w:pPr>
          </w:p>
        </w:tc>
        <w:tc>
          <w:tcPr>
            <w:tcW w:w="428" w:type="pct"/>
            <w:vMerge w:val="continue"/>
            <w:noWrap w:val="0"/>
            <w:vAlign w:val="center"/>
          </w:tcPr>
          <w:p>
            <w:pPr>
              <w:spacing w:line="240" w:lineRule="atLeast"/>
              <w:ind w:firstLine="28"/>
              <w:jc w:val="center"/>
              <w:rPr>
                <w:rFonts w:hint="eastAsia" w:ascii="宋体" w:hAnsi="宋体" w:eastAsia="宋体" w:cs="宋体"/>
                <w:color w:val="auto"/>
                <w:sz w:val="21"/>
                <w:szCs w:val="21"/>
                <w:lang w:val="en-US" w:eastAsia="zh-CN"/>
              </w:rPr>
            </w:pPr>
          </w:p>
        </w:tc>
        <w:tc>
          <w:tcPr>
            <w:tcW w:w="2502" w:type="pct"/>
            <w:noWrap w:val="0"/>
            <w:vAlign w:val="center"/>
          </w:tcPr>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3.针对本项目的项目组织机构设置方案（10分）</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优（10分）：项目人员组织机构合理，管理先进，班子成员岗位设置合理且符合项目情况；</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良（6分）：项目人员组织机构比较合理，管理比较先进，班子成员岗位设置比较合理且比较符合项目情况；</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一般（4分）：项目人员组织、管理一般，班子成员岗位设置基本符合项目情况；</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差或未提供不得分。</w:t>
            </w:r>
          </w:p>
        </w:tc>
        <w:tc>
          <w:tcPr>
            <w:tcW w:w="1117" w:type="pct"/>
            <w:noWrap w:val="0"/>
            <w:vAlign w:val="center"/>
          </w:tcPr>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提供项目组织机构及人员岗位设置方案，格式自定。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56" w:type="pct"/>
            <w:vMerge w:val="continue"/>
            <w:noWrap w:val="0"/>
            <w:vAlign w:val="center"/>
          </w:tcPr>
          <w:p>
            <w:pPr>
              <w:spacing w:line="240" w:lineRule="atLeast"/>
              <w:ind w:firstLine="28"/>
              <w:jc w:val="center"/>
              <w:rPr>
                <w:rFonts w:hint="eastAsia" w:ascii="宋体" w:hAnsi="宋体" w:eastAsia="宋体" w:cs="宋体"/>
                <w:color w:val="auto"/>
                <w:sz w:val="21"/>
                <w:szCs w:val="21"/>
              </w:rPr>
            </w:pPr>
          </w:p>
        </w:tc>
        <w:tc>
          <w:tcPr>
            <w:tcW w:w="695" w:type="pct"/>
            <w:vMerge w:val="continue"/>
            <w:noWrap w:val="0"/>
            <w:vAlign w:val="center"/>
          </w:tcPr>
          <w:p>
            <w:pPr>
              <w:spacing w:line="240" w:lineRule="atLeast"/>
              <w:ind w:firstLine="28"/>
              <w:jc w:val="center"/>
              <w:rPr>
                <w:rFonts w:hint="eastAsia" w:ascii="宋体" w:hAnsi="宋体" w:eastAsia="宋体" w:cs="宋体"/>
                <w:color w:val="auto"/>
                <w:sz w:val="21"/>
                <w:szCs w:val="21"/>
              </w:rPr>
            </w:pPr>
          </w:p>
        </w:tc>
        <w:tc>
          <w:tcPr>
            <w:tcW w:w="428" w:type="pct"/>
            <w:vMerge w:val="continue"/>
            <w:noWrap w:val="0"/>
            <w:vAlign w:val="center"/>
          </w:tcPr>
          <w:p>
            <w:pPr>
              <w:spacing w:line="240" w:lineRule="atLeast"/>
              <w:ind w:firstLine="28"/>
              <w:jc w:val="center"/>
              <w:rPr>
                <w:rFonts w:hint="eastAsia" w:ascii="宋体" w:hAnsi="宋体" w:eastAsia="宋体" w:cs="宋体"/>
                <w:color w:val="auto"/>
                <w:sz w:val="21"/>
                <w:szCs w:val="21"/>
                <w:lang w:val="en-US" w:eastAsia="zh-CN"/>
              </w:rPr>
            </w:pPr>
          </w:p>
        </w:tc>
        <w:tc>
          <w:tcPr>
            <w:tcW w:w="2502" w:type="pct"/>
            <w:noWrap w:val="0"/>
            <w:vAlign w:val="center"/>
          </w:tcPr>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4.针对本项目的质量、工期的保证措施方案（10分）</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优（10分）：施工进度计划编制合理、可行，关键线路清晰、准确、完整，关键节点控制措施得力、可操作性强，保证措施可靠；</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良（5分）：施工进度计划编制比较合理、可行，关键线路比较清晰、准确、完整，关键节点控制措施比较得力、可操作性比较强，保证措施比较可靠；</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一般（4分）：施工进度计划编制基本合理、可行，关键线路基本清晰、完整，关键节点控制措施基本合理；</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差或未提供不得分。</w:t>
            </w:r>
          </w:p>
        </w:tc>
        <w:tc>
          <w:tcPr>
            <w:tcW w:w="1117" w:type="pct"/>
            <w:noWrap w:val="0"/>
            <w:vAlign w:val="center"/>
          </w:tcPr>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提供质量、工期的保证措施方案，格式自定。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56" w:type="pct"/>
            <w:vMerge w:val="continue"/>
            <w:noWrap w:val="0"/>
            <w:vAlign w:val="center"/>
          </w:tcPr>
          <w:p>
            <w:pPr>
              <w:spacing w:line="240" w:lineRule="atLeast"/>
              <w:ind w:firstLine="28"/>
              <w:jc w:val="center"/>
              <w:rPr>
                <w:rFonts w:hint="eastAsia" w:ascii="宋体" w:hAnsi="宋体" w:eastAsia="宋体" w:cs="宋体"/>
                <w:color w:val="auto"/>
                <w:sz w:val="21"/>
                <w:szCs w:val="21"/>
              </w:rPr>
            </w:pPr>
          </w:p>
        </w:tc>
        <w:tc>
          <w:tcPr>
            <w:tcW w:w="695" w:type="pct"/>
            <w:vMerge w:val="continue"/>
            <w:noWrap w:val="0"/>
            <w:vAlign w:val="center"/>
          </w:tcPr>
          <w:p>
            <w:pPr>
              <w:spacing w:line="240" w:lineRule="atLeast"/>
              <w:ind w:firstLine="28"/>
              <w:jc w:val="center"/>
              <w:rPr>
                <w:rFonts w:hint="eastAsia" w:ascii="宋体" w:hAnsi="宋体" w:eastAsia="宋体" w:cs="宋体"/>
                <w:color w:val="auto"/>
                <w:sz w:val="21"/>
                <w:szCs w:val="21"/>
              </w:rPr>
            </w:pPr>
          </w:p>
        </w:tc>
        <w:tc>
          <w:tcPr>
            <w:tcW w:w="428" w:type="pct"/>
            <w:vMerge w:val="continue"/>
            <w:noWrap w:val="0"/>
            <w:vAlign w:val="center"/>
          </w:tcPr>
          <w:p>
            <w:pPr>
              <w:spacing w:line="240" w:lineRule="atLeast"/>
              <w:ind w:firstLine="28"/>
              <w:jc w:val="center"/>
              <w:rPr>
                <w:rFonts w:hint="eastAsia" w:ascii="宋体" w:hAnsi="宋体" w:eastAsia="宋体" w:cs="宋体"/>
                <w:color w:val="auto"/>
                <w:sz w:val="21"/>
                <w:szCs w:val="21"/>
                <w:lang w:val="en-US" w:eastAsia="zh-CN"/>
              </w:rPr>
            </w:pPr>
          </w:p>
        </w:tc>
        <w:tc>
          <w:tcPr>
            <w:tcW w:w="2502" w:type="pct"/>
            <w:noWrap w:val="0"/>
            <w:vAlign w:val="center"/>
          </w:tcPr>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5.针对本项目的仪器投入方案（10分）</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优（10分）：投入的设备先进，投入计划与进度计划协调，调配计划合理，保证措施具体；</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良（6分）：投入的设备基本需要，投入计划与进度计划比较协调，调配计划比较合理，保证措施比较具体；</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一般（4分）：投入的设备基本需要，投入计划与进度计划基本协调，调配计划基本合理，保证措施一般；</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差或未提供不得分。</w:t>
            </w:r>
          </w:p>
        </w:tc>
        <w:tc>
          <w:tcPr>
            <w:tcW w:w="1117" w:type="pct"/>
            <w:noWrap w:val="0"/>
            <w:vAlign w:val="center"/>
          </w:tcPr>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提供仪器投入方案，格式自定。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256" w:type="pct"/>
            <w:vMerge w:val="restart"/>
            <w:noWrap w:val="0"/>
            <w:vAlign w:val="center"/>
          </w:tcPr>
          <w:p>
            <w:pPr>
              <w:spacing w:line="240" w:lineRule="atLeast"/>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695" w:type="pct"/>
            <w:vMerge w:val="restart"/>
            <w:noWrap w:val="0"/>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w:t>
            </w:r>
          </w:p>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w:t>
            </w:r>
          </w:p>
        </w:tc>
        <w:tc>
          <w:tcPr>
            <w:tcW w:w="428" w:type="pct"/>
            <w:noWrap w:val="0"/>
            <w:vAlign w:val="center"/>
          </w:tcPr>
          <w:p>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业绩</w:t>
            </w:r>
          </w:p>
          <w:p>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tc>
        <w:tc>
          <w:tcPr>
            <w:tcW w:w="2502" w:type="pct"/>
            <w:noWrap w:val="0"/>
            <w:vAlign w:val="center"/>
          </w:tcPr>
          <w:p>
            <w:pPr>
              <w:spacing w:line="24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近</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年（2</w:t>
            </w:r>
            <w:r>
              <w:rPr>
                <w:rFonts w:hint="eastAsia" w:ascii="宋体" w:hAnsi="宋体" w:eastAsia="宋体" w:cs="宋体"/>
                <w:color w:val="auto"/>
                <w:sz w:val="21"/>
                <w:szCs w:val="21"/>
                <w:lang w:val="en-US" w:eastAsia="zh-CN"/>
              </w:rPr>
              <w:t>022</w:t>
            </w:r>
            <w:r>
              <w:rPr>
                <w:rFonts w:hint="eastAsia" w:ascii="宋体" w:hAnsi="宋体" w:eastAsia="宋体" w:cs="宋体"/>
                <w:color w:val="auto"/>
                <w:sz w:val="21"/>
                <w:szCs w:val="21"/>
              </w:rPr>
              <w:t>年1月1日至今，以合同签订时间为准）供应商承担过省级（含直辖市、自治区）及以上</w:t>
            </w:r>
            <w:r>
              <w:rPr>
                <w:rFonts w:hint="eastAsia" w:ascii="宋体" w:hAnsi="宋体" w:eastAsia="宋体" w:cs="宋体"/>
                <w:color w:val="auto"/>
                <w:sz w:val="21"/>
                <w:szCs w:val="21"/>
                <w:lang w:val="en-US" w:eastAsia="zh-CN"/>
              </w:rPr>
              <w:t>河床地形测量</w:t>
            </w:r>
            <w:r>
              <w:rPr>
                <w:rFonts w:hint="eastAsia" w:ascii="宋体" w:hAnsi="宋体" w:eastAsia="宋体" w:cs="宋体"/>
                <w:color w:val="auto"/>
                <w:sz w:val="21"/>
                <w:szCs w:val="21"/>
              </w:rPr>
              <w:t>的，每一项业绩得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分，最多得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tc>
        <w:tc>
          <w:tcPr>
            <w:tcW w:w="111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39" w:leftChars="-14"/>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须在响应文件中提供项目合同复印件加盖供应商公章。（合同需包含项目名称，内容，双方签章清晰。因内容不完整或不清晰导致磋商小组无法判定的，单个合同不得分。未提供的不得分）注：每个业绩不得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256" w:type="pct"/>
            <w:vMerge w:val="continue"/>
            <w:noWrap w:val="0"/>
            <w:vAlign w:val="center"/>
          </w:tcPr>
          <w:p>
            <w:pPr>
              <w:spacing w:line="240" w:lineRule="atLeast"/>
              <w:ind w:firstLine="28"/>
              <w:jc w:val="center"/>
              <w:rPr>
                <w:rFonts w:hint="eastAsia" w:ascii="宋体" w:hAnsi="宋体" w:eastAsia="宋体" w:cs="宋体"/>
                <w:color w:val="auto"/>
                <w:sz w:val="21"/>
                <w:szCs w:val="21"/>
              </w:rPr>
            </w:pPr>
          </w:p>
        </w:tc>
        <w:tc>
          <w:tcPr>
            <w:tcW w:w="695" w:type="pct"/>
            <w:vMerge w:val="continue"/>
            <w:noWrap w:val="0"/>
            <w:vAlign w:val="center"/>
          </w:tcPr>
          <w:p>
            <w:pPr>
              <w:spacing w:line="240" w:lineRule="exact"/>
              <w:jc w:val="center"/>
              <w:rPr>
                <w:rFonts w:hint="eastAsia" w:ascii="宋体" w:hAnsi="宋体" w:eastAsia="宋体" w:cs="宋体"/>
                <w:color w:val="auto"/>
                <w:sz w:val="21"/>
                <w:szCs w:val="21"/>
              </w:rPr>
            </w:pPr>
          </w:p>
        </w:tc>
        <w:tc>
          <w:tcPr>
            <w:tcW w:w="428" w:type="pct"/>
            <w:noWrap w:val="0"/>
            <w:vAlign w:val="center"/>
          </w:tcPr>
          <w:p>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团队</w:t>
            </w:r>
          </w:p>
          <w:p>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tc>
        <w:tc>
          <w:tcPr>
            <w:tcW w:w="2502" w:type="pct"/>
            <w:noWrap w:val="0"/>
            <w:vAlign w:val="center"/>
          </w:tcPr>
          <w:p>
            <w:pPr>
              <w:spacing w:line="240" w:lineRule="atLeas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投入本项目的人员须为本单位人员。                             </w:t>
            </w:r>
          </w:p>
          <w:p>
            <w:pPr>
              <w:spacing w:line="240" w:lineRule="atLeast"/>
              <w:ind w:firstLine="420" w:firstLineChars="20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1、拟派项目负责人具有注册测绘师证书的得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en-US"/>
              </w:rPr>
              <w:t>分</w:t>
            </w:r>
            <w:r>
              <w:rPr>
                <w:rFonts w:hint="eastAsia" w:ascii="宋体" w:hAnsi="宋体" w:eastAsia="宋体" w:cs="宋体"/>
                <w:color w:val="auto"/>
                <w:sz w:val="21"/>
                <w:szCs w:val="21"/>
                <w:lang w:val="en-US" w:eastAsia="zh-CN"/>
              </w:rPr>
              <w:t xml:space="preserve">，项目负责人近5年内（2019年1月1日至今，以签订合同时间为准）以来参加过水下测绘项目工作的一个得1分，最多5分。                                             </w:t>
            </w:r>
          </w:p>
          <w:p>
            <w:pPr>
              <w:spacing w:line="240" w:lineRule="atLeast"/>
              <w:ind w:firstLine="420" w:firstLineChars="20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2、项目组成员中具有注册测绘师证书</w:t>
            </w:r>
            <w:r>
              <w:rPr>
                <w:rFonts w:hint="eastAsia" w:ascii="宋体" w:hAnsi="宋体" w:eastAsia="宋体" w:cs="宋体"/>
                <w:color w:val="auto"/>
                <w:sz w:val="21"/>
                <w:szCs w:val="21"/>
                <w:lang w:val="en-US" w:eastAsia="zh-CN"/>
              </w:rPr>
              <w:t>，具备1名</w:t>
            </w:r>
            <w:r>
              <w:rPr>
                <w:rFonts w:hint="eastAsia" w:ascii="宋体" w:hAnsi="宋体" w:eastAsia="宋体" w:cs="宋体"/>
                <w:color w:val="auto"/>
                <w:sz w:val="21"/>
                <w:szCs w:val="21"/>
                <w:lang w:val="en-US"/>
              </w:rPr>
              <w:t>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rPr>
              <w:t>分，最多得</w:t>
            </w:r>
            <w:r>
              <w:rPr>
                <w:rFonts w:hint="eastAsia" w:ascii="宋体" w:hAnsi="宋体" w:eastAsia="宋体" w:cs="宋体"/>
                <w:color w:val="auto"/>
                <w:sz w:val="21"/>
                <w:szCs w:val="21"/>
                <w:lang w:val="en-US" w:eastAsia="zh-CN"/>
              </w:rPr>
              <w:t>10分。</w:t>
            </w:r>
          </w:p>
        </w:tc>
        <w:tc>
          <w:tcPr>
            <w:tcW w:w="111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9" w:leftChars="-14"/>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人员不得相互兼任，不得重复得分。需提供资格证书、服务合同（或相关证明材料）及社会保险参保证明复印件并加盖供应商单位公章。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256" w:type="pct"/>
            <w:vMerge w:val="continue"/>
            <w:noWrap w:val="0"/>
            <w:vAlign w:val="center"/>
          </w:tcPr>
          <w:p>
            <w:pPr>
              <w:spacing w:line="240" w:lineRule="atLeast"/>
              <w:ind w:firstLine="28"/>
              <w:jc w:val="center"/>
              <w:rPr>
                <w:rFonts w:hint="eastAsia" w:ascii="宋体" w:hAnsi="宋体" w:eastAsia="宋体" w:cs="宋体"/>
                <w:color w:val="auto"/>
                <w:sz w:val="21"/>
                <w:szCs w:val="21"/>
              </w:rPr>
            </w:pPr>
          </w:p>
        </w:tc>
        <w:tc>
          <w:tcPr>
            <w:tcW w:w="695" w:type="pct"/>
            <w:vMerge w:val="continue"/>
            <w:noWrap w:val="0"/>
            <w:vAlign w:val="center"/>
          </w:tcPr>
          <w:p>
            <w:pPr>
              <w:spacing w:line="240" w:lineRule="exact"/>
              <w:jc w:val="center"/>
              <w:rPr>
                <w:rFonts w:hint="eastAsia" w:ascii="宋体" w:hAnsi="宋体" w:eastAsia="宋体" w:cs="宋体"/>
                <w:color w:val="auto"/>
                <w:sz w:val="21"/>
                <w:szCs w:val="21"/>
              </w:rPr>
            </w:pPr>
          </w:p>
        </w:tc>
        <w:tc>
          <w:tcPr>
            <w:tcW w:w="428" w:type="pct"/>
            <w:noWrap w:val="0"/>
            <w:vAlign w:val="center"/>
          </w:tcPr>
          <w:p>
            <w:pPr>
              <w:spacing w:line="240" w:lineRule="atLeast"/>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 xml:space="preserve">设备情况             </w:t>
            </w:r>
          </w:p>
          <w:p>
            <w:pPr>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2502" w:type="pct"/>
            <w:noWrap w:val="0"/>
            <w:vAlign w:val="center"/>
          </w:tcPr>
          <w:p>
            <w:pPr>
              <w:spacing w:line="240" w:lineRule="atLeast"/>
              <w:ind w:firstLine="420" w:firstLineChars="200"/>
              <w:rPr>
                <w:rFonts w:hint="eastAsia" w:ascii="宋体" w:hAnsi="宋体" w:eastAsia="宋体" w:cs="宋体"/>
                <w:color w:val="auto"/>
                <w:lang w:val="en-US" w:eastAsia="zh-CN"/>
              </w:rPr>
            </w:pPr>
            <w:r>
              <w:rPr>
                <w:rFonts w:hint="eastAsia" w:ascii="宋体" w:hAnsi="宋体" w:eastAsia="宋体" w:cs="宋体"/>
                <w:color w:val="auto"/>
                <w:sz w:val="21"/>
                <w:szCs w:val="21"/>
                <w:lang w:val="en-US" w:eastAsia="zh-CN"/>
              </w:rPr>
              <w:t>有测量船舶1艘以上的得5分。</w:t>
            </w:r>
          </w:p>
        </w:tc>
        <w:tc>
          <w:tcPr>
            <w:tcW w:w="111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9" w:leftChars="-14"/>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须提供船舶航行证书及检验报告，加盖供应商公章                                                                          </w:t>
            </w:r>
          </w:p>
        </w:tc>
      </w:tr>
    </w:tbl>
    <w:p>
      <w:pPr>
        <w:pStyle w:val="5"/>
        <w:adjustRightInd w:val="0"/>
        <w:snapToGrid w:val="0"/>
        <w:spacing w:before="0" w:after="0" w:line="400" w:lineRule="exact"/>
        <w:ind w:firstLine="482" w:firstLineChars="200"/>
        <w:rPr>
          <w:rFonts w:hint="eastAsia" w:ascii="方正仿宋_GBK" w:hAnsi="宋体" w:eastAsia="方正仿宋_GBK"/>
          <w:color w:val="auto"/>
          <w:sz w:val="24"/>
        </w:rPr>
      </w:pP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r>
        <w:rPr>
          <w:rFonts w:hint="eastAsia" w:ascii="方正仿宋_GBK" w:hAnsi="宋体" w:eastAsia="方正仿宋_GBK"/>
          <w:color w:val="auto"/>
          <w:sz w:val="24"/>
        </w:rPr>
        <w:t>三、无效响应</w:t>
      </w:r>
      <w:bookmarkEnd w:id="69"/>
      <w:bookmarkEnd w:id="70"/>
    </w:p>
    <w:p>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供应商发生以下条款情况之一者，视为无效响应，其响应文件将被拒绝：</w:t>
      </w:r>
    </w:p>
    <w:p>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（一）供应商不符合规定的资格条件的；</w:t>
      </w:r>
    </w:p>
    <w:p>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（二）供应商的法定代表人（或其授权代表）或自然人未参加磋商；</w:t>
      </w:r>
    </w:p>
    <w:p>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（三）供应商所提交的响应文件不按“第七篇响应文件编制要求”要求签署或盖章；</w:t>
      </w:r>
    </w:p>
    <w:p>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（四）供应商的最后报价超过采购预算或最高限价的；</w:t>
      </w:r>
    </w:p>
    <w:p>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（五）法定代表人为同一个人的两个及两个以上法人，母公司、全资子公司及其控股公司，在同一包采购中同时参与竞争；</w:t>
      </w:r>
    </w:p>
    <w:p>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（六）单位负责人为同一人或者存在直接控股、管理关系的不同供应商，参加同一合同项下的政府采购活动的；</w:t>
      </w:r>
    </w:p>
    <w:p>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（七）</w:t>
      </w:r>
      <w:r>
        <w:rPr>
          <w:rFonts w:ascii="方正仿宋_GBK" w:hAnsi="宋体" w:eastAsia="方正仿宋_GBK"/>
          <w:color w:val="auto"/>
          <w:sz w:val="24"/>
          <w:szCs w:val="24"/>
        </w:rPr>
        <w:t>为采购项目提供整体设计、规范编制或者项目管理、监理、检测等服务的供应商，再参加</w:t>
      </w:r>
      <w:r>
        <w:rPr>
          <w:rFonts w:hint="eastAsia" w:ascii="方正仿宋_GBK" w:hAnsi="宋体" w:eastAsia="方正仿宋_GBK"/>
          <w:color w:val="auto"/>
          <w:sz w:val="24"/>
          <w:szCs w:val="24"/>
        </w:rPr>
        <w:t>该采购</w:t>
      </w:r>
      <w:r>
        <w:rPr>
          <w:rFonts w:ascii="方正仿宋_GBK" w:hAnsi="宋体" w:eastAsia="方正仿宋_GBK"/>
          <w:color w:val="auto"/>
          <w:sz w:val="24"/>
          <w:szCs w:val="24"/>
        </w:rPr>
        <w:t>项目的</w:t>
      </w:r>
      <w:r>
        <w:rPr>
          <w:rFonts w:hint="eastAsia" w:ascii="方正仿宋_GBK" w:hAnsi="宋体" w:eastAsia="方正仿宋_GBK"/>
          <w:color w:val="auto"/>
          <w:sz w:val="24"/>
          <w:szCs w:val="24"/>
        </w:rPr>
        <w:t>其他</w:t>
      </w:r>
      <w:r>
        <w:rPr>
          <w:rFonts w:ascii="方正仿宋_GBK" w:hAnsi="宋体" w:eastAsia="方正仿宋_GBK"/>
          <w:color w:val="auto"/>
          <w:sz w:val="24"/>
          <w:szCs w:val="24"/>
        </w:rPr>
        <w:t>采购活动</w:t>
      </w:r>
      <w:r>
        <w:rPr>
          <w:rFonts w:hint="eastAsia" w:ascii="方正仿宋_GBK" w:hAnsi="宋体" w:eastAsia="方正仿宋_GBK"/>
          <w:color w:val="auto"/>
          <w:sz w:val="24"/>
          <w:szCs w:val="24"/>
        </w:rPr>
        <w:t>；</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（八）供应商限额以下磋商评分有效期不满足采购文件要求的；</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（九）供应商响应文件内容有与国家现行法律法规相违背的内容，或附有采购人无法接受的条件；</w:t>
      </w:r>
    </w:p>
    <w:p>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（十）法律、法规和采购文件规定的其他无效情形。</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71" w:name="_Toc106030891"/>
      <w:bookmarkStart w:id="72" w:name="_Toc76462336"/>
      <w:r>
        <w:rPr>
          <w:rFonts w:hint="eastAsia" w:ascii="方正仿宋_GBK" w:hAnsi="宋体" w:eastAsia="方正仿宋_GBK"/>
          <w:color w:val="auto"/>
          <w:sz w:val="24"/>
        </w:rPr>
        <w:t>四、</w:t>
      </w:r>
      <w:bookmarkEnd w:id="67"/>
      <w:bookmarkEnd w:id="68"/>
      <w:r>
        <w:rPr>
          <w:rFonts w:hint="eastAsia" w:ascii="方正仿宋_GBK" w:hAnsi="宋体" w:eastAsia="方正仿宋_GBK"/>
          <w:color w:val="auto"/>
          <w:sz w:val="24"/>
        </w:rPr>
        <w:t>采购终止</w:t>
      </w:r>
      <w:bookmarkEnd w:id="71"/>
      <w:bookmarkEnd w:id="72"/>
    </w:p>
    <w:p>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出现下列情形之一的，采购人或者采购代理机构应当终止采购活动，发布项目终止公告并说明原因，重新开展采购活动：</w:t>
      </w:r>
    </w:p>
    <w:p>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（一）因情况变化，不再符合规定的限额以下磋商评分采购方式适用情形的；</w:t>
      </w:r>
    </w:p>
    <w:p>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（二）出现影响采购公正的违法、违规行为的；</w:t>
      </w:r>
    </w:p>
    <w:p>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spacing w:line="400" w:lineRule="exact"/>
        <w:ind w:firstLine="480" w:firstLineChars="200"/>
        <w:rPr>
          <w:rFonts w:ascii="宋体" w:hAnsi="宋体"/>
          <w:color w:val="auto"/>
          <w:sz w:val="24"/>
          <w:szCs w:val="24"/>
        </w:rPr>
        <w:sectPr>
          <w:pgSz w:w="11907" w:h="16840"/>
          <w:pgMar w:top="1134" w:right="1191" w:bottom="1134" w:left="1304" w:header="964" w:footer="992" w:gutter="0"/>
          <w:pgNumType w:fmt="numberInDash"/>
          <w:cols w:space="720" w:num="1"/>
          <w:docGrid w:linePitch="312" w:charSpace="0"/>
        </w:sectPr>
      </w:pPr>
    </w:p>
    <w:p>
      <w:pPr>
        <w:pStyle w:val="5"/>
        <w:pageBreakBefore/>
        <w:spacing w:before="0" w:after="0" w:line="360" w:lineRule="auto"/>
        <w:jc w:val="center"/>
        <w:rPr>
          <w:rFonts w:hint="eastAsia" w:ascii="方正小标宋_GBK" w:hAnsi="宋体" w:eastAsia="方正小标宋_GBK"/>
          <w:b w:val="0"/>
          <w:bCs/>
          <w:color w:val="auto"/>
          <w:sz w:val="36"/>
          <w:szCs w:val="30"/>
        </w:rPr>
      </w:pPr>
      <w:bookmarkStart w:id="73" w:name="_Toc76462337"/>
      <w:bookmarkStart w:id="74" w:name="_Toc106030892"/>
      <w:bookmarkStart w:id="75" w:name="_Toc102227313"/>
      <w:r>
        <w:rPr>
          <w:rFonts w:hint="eastAsia" w:ascii="方正小标宋_GBK" w:hAnsi="宋体" w:eastAsia="方正小标宋_GBK"/>
          <w:b w:val="0"/>
          <w:bCs/>
          <w:color w:val="auto"/>
          <w:sz w:val="36"/>
          <w:szCs w:val="30"/>
        </w:rPr>
        <w:t>第五篇  供应商须知</w:t>
      </w:r>
      <w:bookmarkEnd w:id="73"/>
      <w:bookmarkEnd w:id="74"/>
      <w:bookmarkEnd w:id="75"/>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76" w:name="_Toc342913389"/>
      <w:bookmarkStart w:id="77" w:name="_Toc76462338"/>
      <w:bookmarkStart w:id="78" w:name="_Toc106030893"/>
      <w:r>
        <w:rPr>
          <w:rFonts w:hint="eastAsia" w:ascii="方正仿宋_GBK" w:hAnsi="宋体" w:eastAsia="方正仿宋_GBK"/>
          <w:color w:val="auto"/>
          <w:sz w:val="24"/>
        </w:rPr>
        <w:t>一、</w:t>
      </w:r>
      <w:r>
        <w:rPr>
          <w:rFonts w:hint="eastAsia" w:ascii="方正仿宋_GBK" w:hAnsi="宋体" w:eastAsia="方正仿宋_GBK"/>
          <w:color w:val="auto"/>
          <w:sz w:val="24"/>
          <w:lang w:eastAsia="zh-CN"/>
        </w:rPr>
        <w:t>限额以下磋商评分</w:t>
      </w:r>
      <w:r>
        <w:rPr>
          <w:rFonts w:hint="eastAsia" w:ascii="方正仿宋_GBK" w:hAnsi="宋体" w:eastAsia="方正仿宋_GBK"/>
          <w:color w:val="auto"/>
          <w:sz w:val="24"/>
        </w:rPr>
        <w:t>费用</w:t>
      </w:r>
      <w:bookmarkEnd w:id="76"/>
      <w:bookmarkEnd w:id="77"/>
      <w:bookmarkEnd w:id="78"/>
    </w:p>
    <w:p>
      <w:pPr>
        <w:pStyle w:val="141"/>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参与竞争的供应商应承担其编制响应文件与递交响应文件所涉及的一切费用，不论结果如何，采购人和采购代理机构在任何情况下无义务也无责任承担这些费用。</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79" w:name="_Toc76462339"/>
      <w:bookmarkStart w:id="80" w:name="_Toc342913391"/>
      <w:bookmarkStart w:id="81" w:name="_Toc106030894"/>
      <w:r>
        <w:rPr>
          <w:rFonts w:hint="eastAsia" w:ascii="方正仿宋_GBK" w:hAnsi="宋体" w:eastAsia="方正仿宋_GBK"/>
          <w:color w:val="auto"/>
          <w:sz w:val="24"/>
        </w:rPr>
        <w:t>二、限额以下磋商评分文件</w:t>
      </w:r>
      <w:bookmarkEnd w:id="79"/>
      <w:bookmarkEnd w:id="80"/>
      <w:bookmarkEnd w:id="81"/>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（一）限额以下磋商评分文件由采购邀请书、项目服务需求、项目商务需求、评分程序及方法、评审标准、无效响应和采购终止、供应商须知、政府采购合同</w:t>
      </w:r>
      <w:r>
        <w:rPr>
          <w:rFonts w:hint="eastAsia" w:ascii="方正仿宋_GBK" w:hAnsi="宋体" w:eastAsia="方正仿宋_GBK"/>
          <w:b/>
          <w:color w:val="auto"/>
          <w:sz w:val="24"/>
          <w:szCs w:val="24"/>
        </w:rPr>
        <w:t>、</w:t>
      </w:r>
      <w:r>
        <w:rPr>
          <w:rFonts w:hint="eastAsia" w:ascii="方正仿宋_GBK" w:hAnsi="宋体" w:eastAsia="方正仿宋_GBK"/>
          <w:color w:val="auto"/>
          <w:sz w:val="24"/>
          <w:szCs w:val="24"/>
        </w:rPr>
        <w:t>响应文件编制要求七部分组成。</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（二）采购人（或采购代理机构）所作的一切有效的书面通知、修改及补充，都是采购文件不可分割的部分。</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（三）限额以下磋商评分文件的解释</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供应商如对限额以下磋商评分文件有疑问，必须以书面形式在提交响应文件截止时间前向采购人（或采购代理机构）要求澄清，采购人（或采购代理机构）可视具体情况做出处理或答复。如供应商未提出疑问，视为完全理解并同意本限额以下磋商评分文件。一经进入评审程序，即视为供应商已详细阅读全部文件资料，完全理解限额以下磋商评分文件所有条款内容并同意放弃对这方面有不明白及误解的权利。</w:t>
      </w:r>
      <w:bookmarkStart w:id="82" w:name="_Toc318159160"/>
      <w:bookmarkStart w:id="83" w:name="_Toc318159349"/>
      <w:bookmarkStart w:id="84" w:name="_Toc318159780"/>
      <w:bookmarkStart w:id="85" w:name="_Toc318166429"/>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（四）本限额以下磋商评分文件中，评审小组根据与供应商进行磋商可能实质性变动的内容为限额以下磋商评分文件第二、三、六篇全部内容。</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（五）评审的依据为限额以下磋商评分文件和响应文件（含有效的书面承诺）。评审小组判断响应文件对限额以下磋商评分文件的响应，仅基于响应文件本身而不靠外部证据。</w:t>
      </w:r>
    </w:p>
    <w:bookmarkEnd w:id="82"/>
    <w:bookmarkEnd w:id="83"/>
    <w:bookmarkEnd w:id="84"/>
    <w:bookmarkEnd w:id="85"/>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86" w:name="_Toc76462340"/>
      <w:bookmarkStart w:id="87" w:name="_Toc179714297"/>
      <w:bookmarkStart w:id="88" w:name="_Toc102227318"/>
      <w:bookmarkStart w:id="89" w:name="_Toc106030895"/>
      <w:bookmarkStart w:id="90" w:name="_Toc342913392"/>
      <w:r>
        <w:rPr>
          <w:rFonts w:hint="eastAsia" w:ascii="方正仿宋_GBK" w:hAnsi="宋体" w:eastAsia="方正仿宋_GBK"/>
          <w:color w:val="auto"/>
          <w:sz w:val="24"/>
        </w:rPr>
        <w:t>三、</w:t>
      </w:r>
      <w:r>
        <w:rPr>
          <w:rFonts w:hint="eastAsia" w:ascii="方正仿宋_GBK" w:hAnsi="宋体" w:eastAsia="方正仿宋_GBK"/>
          <w:color w:val="auto"/>
          <w:sz w:val="24"/>
          <w:lang w:eastAsia="zh-CN"/>
        </w:rPr>
        <w:t>限额以下磋商评分</w:t>
      </w:r>
      <w:r>
        <w:rPr>
          <w:rFonts w:hint="eastAsia" w:ascii="方正仿宋_GBK" w:hAnsi="宋体" w:eastAsia="方正仿宋_GBK"/>
          <w:color w:val="auto"/>
          <w:sz w:val="24"/>
        </w:rPr>
        <w:t>要求</w:t>
      </w:r>
      <w:bookmarkEnd w:id="86"/>
      <w:bookmarkEnd w:id="87"/>
      <w:bookmarkEnd w:id="88"/>
      <w:bookmarkEnd w:id="89"/>
      <w:bookmarkEnd w:id="90"/>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（一）响应文件</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1.供应商应当按照采购文件的要求编制响应文件，并对采购文件提出的要求和条件作出实质性响应，响应文件原则上应装订成册提交，同时应编制完整的页码、目录。</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2.响应文件组成</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（二）联合体</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1.两个以上供应商可以组成一个联合体，以一个供应商的身份共同参与竞争。</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2.以联合体形式参加竞争的，联合体各方均应满足</w:t>
      </w:r>
      <w:r>
        <w:rPr>
          <w:rFonts w:hint="eastAsia" w:ascii="方正仿宋_GBK" w:eastAsia="方正仿宋_GBK"/>
          <w:color w:val="auto"/>
          <w:sz w:val="24"/>
          <w:szCs w:val="24"/>
        </w:rPr>
        <w:t>供应商资格条件</w:t>
      </w:r>
      <w:r>
        <w:rPr>
          <w:rFonts w:hint="eastAsia" w:ascii="方正仿宋_GBK" w:hAnsi="宋体" w:eastAsia="方正仿宋_GBK"/>
          <w:color w:val="auto"/>
          <w:sz w:val="24"/>
          <w:szCs w:val="24"/>
        </w:rPr>
        <w:t>（详见“第一篇”）</w:t>
      </w:r>
      <w:r>
        <w:rPr>
          <w:rFonts w:ascii="方正仿宋_GBK" w:hAnsi="宋体" w:eastAsia="方正仿宋_GBK"/>
          <w:color w:val="auto"/>
          <w:sz w:val="24"/>
        </w:rPr>
        <w:t>联合体中有同类资质的供应商按照联合体分工承担相同工作的，应当按照资质等级较低的供应商确定资质等级。</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w:t>
      </w:r>
      <w:r>
        <w:rPr>
          <w:rFonts w:ascii="方正仿宋_GBK" w:hAnsi="宋体" w:eastAsia="方正仿宋_GBK"/>
          <w:color w:val="auto"/>
          <w:sz w:val="24"/>
        </w:rPr>
        <w:t>以联合体形式参加政府采购活动的，联合体各方不得再单独参加或者与其他供应商另外组成联合体参加同一合同项下的政府采购活动。</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5.联合体业绩计算，按照共同联合协议分工认定。</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6.</w:t>
      </w:r>
      <w:r>
        <w:rPr>
          <w:rFonts w:ascii="方正仿宋_GBK" w:hAnsi="宋体" w:eastAsia="方正仿宋_GBK"/>
          <w:color w:val="auto"/>
          <w:sz w:val="24"/>
          <w:szCs w:val="24"/>
        </w:rPr>
        <w:t>两个以上的自然人、法人或者其他组织组成一个联合体，以一个供应商的身份共同参加政府采购活动的，联合体成员存在不良信用记录的，视同联合体存在不良信用记录</w:t>
      </w:r>
      <w:r>
        <w:rPr>
          <w:rFonts w:hint="eastAsia" w:ascii="方正仿宋_GBK" w:hAnsi="宋体" w:eastAsia="方正仿宋_GBK"/>
          <w:color w:val="auto"/>
          <w:sz w:val="24"/>
          <w:szCs w:val="24"/>
        </w:rPr>
        <w:t>，将</w:t>
      </w:r>
      <w:r>
        <w:rPr>
          <w:rFonts w:ascii="方正仿宋_GBK" w:hAnsi="宋体" w:eastAsia="方正仿宋_GBK"/>
          <w:color w:val="auto"/>
          <w:sz w:val="24"/>
          <w:szCs w:val="24"/>
        </w:rPr>
        <w:t>拒绝</w:t>
      </w:r>
      <w:r>
        <w:rPr>
          <w:rFonts w:hint="eastAsia" w:ascii="方正仿宋_GBK" w:hAnsi="宋体" w:eastAsia="方正仿宋_GBK"/>
          <w:color w:val="auto"/>
          <w:sz w:val="24"/>
          <w:szCs w:val="24"/>
        </w:rPr>
        <w:t>该联合体</w:t>
      </w:r>
      <w:r>
        <w:rPr>
          <w:rFonts w:ascii="方正仿宋_GBK" w:hAnsi="宋体" w:eastAsia="方正仿宋_GBK"/>
          <w:color w:val="auto"/>
          <w:sz w:val="24"/>
          <w:szCs w:val="24"/>
        </w:rPr>
        <w:t>参与政府采购活动。</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（三）限额以下磋商评分有效期：响应文件及有关承诺文件有效期为提交响应文件截止时间起90天。</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（四）修正错误</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1.若供应商所递交的响应文件或最后报价中的价格出现大写金额和小写金额不一致的错误，以大写金额修正为准。</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2.评审小组按上述修正错误的原则及方法修正供应商的报价，供应商同意并签字确认后，修正后的报价对供应商具有约束作用。如果供应商不接受修正后的价格，将失去成为成交供应商的资格。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（五）提交响应文件的份数和签署</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1.响应文件一式</w:t>
      </w:r>
      <w:r>
        <w:rPr>
          <w:rFonts w:hint="eastAsia" w:ascii="方正仿宋_GBK" w:hAnsi="宋体" w:eastAsia="方正仿宋_GBK"/>
          <w:color w:val="auto"/>
          <w:sz w:val="24"/>
          <w:szCs w:val="24"/>
          <w:lang w:eastAsia="zh-CN"/>
        </w:rPr>
        <w:t>三</w:t>
      </w:r>
      <w:r>
        <w:rPr>
          <w:rFonts w:hint="eastAsia" w:ascii="方正仿宋_GBK" w:hAnsi="宋体" w:eastAsia="方正仿宋_GBK"/>
          <w:color w:val="auto"/>
          <w:sz w:val="24"/>
          <w:szCs w:val="24"/>
        </w:rPr>
        <w:t>份，其中正本一份，副本</w:t>
      </w:r>
      <w:r>
        <w:rPr>
          <w:rFonts w:hint="eastAsia" w:ascii="方正仿宋_GBK" w:hAnsi="宋体" w:eastAsia="方正仿宋_GBK"/>
          <w:color w:val="auto"/>
          <w:sz w:val="24"/>
          <w:szCs w:val="24"/>
          <w:lang w:eastAsia="zh-CN"/>
        </w:rPr>
        <w:t>二</w:t>
      </w:r>
      <w:r>
        <w:rPr>
          <w:rFonts w:hint="eastAsia" w:ascii="方正仿宋_GBK" w:hAnsi="宋体" w:eastAsia="方正仿宋_GBK"/>
          <w:color w:val="auto"/>
          <w:sz w:val="24"/>
          <w:szCs w:val="24"/>
        </w:rPr>
        <w:t>份，副本可为正本的复印件，应与正本一致，如出现不一致情况以正本为准。</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w:t>
      </w:r>
      <w:r>
        <w:rPr>
          <w:rFonts w:hint="eastAsia" w:ascii="方正仿宋_GBK" w:hAnsi="宋体" w:eastAsia="方正仿宋_GBK"/>
          <w:color w:val="auto"/>
          <w:sz w:val="24"/>
        </w:rPr>
        <w:t>响应文件按采购文件“第七篇响应文件编制要求”要求签署或盖章。</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（六）响应文件的递交</w:t>
      </w:r>
    </w:p>
    <w:p>
      <w:pPr>
        <w:pStyle w:val="31"/>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响应文件的正本、副本均应密封送达限额以下磋商评分地点，应在封套上注明限额以下磋商评分项目名称、供应商名称。若正本、副本分别进行密封的，还应在封套上注明“正本”、“副本”字样。</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（七）供应商参与人员</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各个供应商应当派1-2名代表参与磋商，至少1人应为法定代表人（或其授权代表）或自然人（供应商为自然人）。</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91" w:name="_Toc106030896"/>
      <w:bookmarkStart w:id="92" w:name="_Toc76462341"/>
      <w:r>
        <w:rPr>
          <w:rFonts w:hint="eastAsia" w:ascii="方正仿宋_GBK" w:hAnsi="宋体" w:eastAsia="方正仿宋_GBK"/>
          <w:color w:val="auto"/>
          <w:sz w:val="24"/>
        </w:rPr>
        <w:t>四、成交供应商的确认和变更</w:t>
      </w:r>
      <w:bookmarkEnd w:id="91"/>
      <w:bookmarkEnd w:id="92"/>
    </w:p>
    <w:p>
      <w:pPr>
        <w:snapToGrid w:val="0"/>
        <w:spacing w:line="400" w:lineRule="exact"/>
        <w:ind w:firstLine="480" w:firstLineChars="20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（一）成交供应商的确认</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采购结果</w:t>
      </w:r>
      <w:r>
        <w:rPr>
          <w:rFonts w:ascii="方正仿宋_GBK" w:hAnsi="宋体" w:eastAsia="方正仿宋_GBK"/>
          <w:color w:val="auto"/>
          <w:sz w:val="24"/>
          <w:szCs w:val="24"/>
        </w:rPr>
        <w:t>应当在评审结束后</w:t>
      </w:r>
      <w:r>
        <w:rPr>
          <w:rFonts w:hint="eastAsia" w:ascii="方正仿宋_GBK" w:hAnsi="宋体" w:eastAsia="方正仿宋_GBK"/>
          <w:color w:val="auto"/>
          <w:sz w:val="24"/>
          <w:szCs w:val="24"/>
        </w:rPr>
        <w:t>5</w:t>
      </w:r>
      <w:r>
        <w:rPr>
          <w:rFonts w:ascii="方正仿宋_GBK" w:hAnsi="宋体" w:eastAsia="方正仿宋_GBK"/>
          <w:color w:val="auto"/>
          <w:sz w:val="24"/>
          <w:szCs w:val="24"/>
        </w:rPr>
        <w:t>个工作日内</w:t>
      </w:r>
      <w:r>
        <w:rPr>
          <w:rFonts w:hint="eastAsia" w:ascii="方正仿宋_GBK" w:hAnsi="宋体" w:eastAsia="方正仿宋_GBK"/>
          <w:color w:val="auto"/>
          <w:sz w:val="24"/>
          <w:szCs w:val="24"/>
        </w:rPr>
        <w:t>发布</w:t>
      </w:r>
      <w:r>
        <w:rPr>
          <w:rFonts w:ascii="方正仿宋_GBK" w:hAnsi="宋体" w:eastAsia="方正仿宋_GBK"/>
          <w:color w:val="auto"/>
          <w:sz w:val="24"/>
          <w:szCs w:val="24"/>
        </w:rPr>
        <w:t>。采购人应当</w:t>
      </w:r>
      <w:r>
        <w:rPr>
          <w:rFonts w:hint="eastAsia" w:ascii="方正仿宋_GBK" w:hAnsi="宋体" w:eastAsia="方正仿宋_GBK"/>
          <w:color w:val="auto"/>
          <w:sz w:val="24"/>
          <w:szCs w:val="24"/>
        </w:rPr>
        <w:t>从评审结论意见提出的成交候选供应商中，按照排序由高到低的原则确定成交供应商。采购人逾期未确定成交供应商且不提出异议的，视为确定评审结论意见提出的排序第一的供应商为成交供应商。</w:t>
      </w:r>
    </w:p>
    <w:p>
      <w:pPr>
        <w:snapToGrid w:val="0"/>
        <w:spacing w:line="400" w:lineRule="exact"/>
        <w:ind w:firstLine="480" w:firstLineChars="20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（二）成交供应商的变更</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eastAsia="方正仿宋_GBK"/>
          <w:color w:val="auto"/>
          <w:sz w:val="24"/>
        </w:rPr>
        <w:t>成交供应商拒绝与采购人签订合同的，采购人可以按照评审意见推荐的成交候选供应商顺序，确定排名下一位的候选人为成交供应商，也可以重新开展政府采购活动。</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93" w:name="_Toc102227321"/>
      <w:bookmarkStart w:id="94" w:name="_Toc106030897"/>
      <w:bookmarkStart w:id="95" w:name="_Toc342913395"/>
      <w:bookmarkStart w:id="96" w:name="_Toc76462342"/>
      <w:r>
        <w:rPr>
          <w:rFonts w:hint="eastAsia" w:ascii="方正仿宋_GBK" w:hAnsi="宋体" w:eastAsia="方正仿宋_GBK"/>
          <w:color w:val="auto"/>
          <w:sz w:val="24"/>
        </w:rPr>
        <w:t>五、成交通知</w:t>
      </w:r>
      <w:bookmarkEnd w:id="93"/>
      <w:bookmarkEnd w:id="94"/>
      <w:bookmarkEnd w:id="95"/>
      <w:bookmarkEnd w:id="96"/>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（一）成交供应商确定后，采购代理机构将在重庆市交通</w:t>
      </w:r>
      <w:r>
        <w:rPr>
          <w:rFonts w:hint="eastAsia" w:ascii="方正仿宋_GBK" w:hAnsi="宋体" w:eastAsia="方正仿宋_GBK"/>
          <w:color w:val="auto"/>
          <w:sz w:val="24"/>
          <w:szCs w:val="24"/>
          <w:lang w:eastAsia="zh-CN"/>
        </w:rPr>
        <w:t>运输委员会</w:t>
      </w:r>
      <w:r>
        <w:rPr>
          <w:rFonts w:hint="eastAsia" w:ascii="方正仿宋_GBK" w:hAnsi="宋体" w:eastAsia="方正仿宋_GBK"/>
          <w:color w:val="auto"/>
          <w:sz w:val="24"/>
          <w:szCs w:val="24"/>
        </w:rPr>
        <w:t>（https://jtj.cq.gov.cn）上发布成交结果公告。</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（三）成交结果公告将作为签订合同的依据。</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97" w:name="_Toc106030898"/>
      <w:bookmarkStart w:id="98" w:name="_Toc76462343"/>
      <w:r>
        <w:rPr>
          <w:rFonts w:hint="eastAsia" w:ascii="方正仿宋_GBK" w:hAnsi="宋体" w:eastAsia="方正仿宋_GBK"/>
          <w:color w:val="auto"/>
          <w:sz w:val="24"/>
        </w:rPr>
        <w:t>六、关于质疑和投诉</w:t>
      </w:r>
      <w:bookmarkEnd w:id="97"/>
      <w:bookmarkEnd w:id="98"/>
    </w:p>
    <w:p>
      <w:pPr>
        <w:spacing w:line="400" w:lineRule="exact"/>
        <w:ind w:firstLine="480" w:firstLineChars="20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（一）质疑</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供应商认为采购文件、采购过程和成交结果使自己的权益收到伤害的，可向采购人或采购代理机构以书面形式提出质疑。</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提出质疑的应当是参与所质疑项目采购活动的供应商。 </w:t>
      </w:r>
    </w:p>
    <w:p>
      <w:pPr>
        <w:spacing w:line="400" w:lineRule="exact"/>
        <w:ind w:right="12" w:firstLine="480"/>
        <w:outlineLvl w:val="2"/>
        <w:rPr>
          <w:rFonts w:ascii="方正仿宋_GBK" w:hAnsi="仿宋" w:eastAsia="方正仿宋_GBK" w:cs="仿宋"/>
          <w:color w:val="auto"/>
          <w:sz w:val="24"/>
        </w:rPr>
      </w:pPr>
      <w:r>
        <w:rPr>
          <w:rFonts w:hint="eastAsia" w:ascii="方正仿宋_GBK" w:hAnsi="仿宋" w:eastAsia="方正仿宋_GBK" w:cs="仿宋"/>
          <w:color w:val="auto"/>
          <w:sz w:val="24"/>
        </w:rPr>
        <w:t>1.质疑时限、内容</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1.2.1供应商的姓名或者名称、地址、邮编、联系人及联系电话；</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1.2.2质疑项目的名称、项目号以及采购执行编号；</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1.2.3具体、明确的质疑事项和与质疑事项相关的请求；</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1.2.4事实依据；</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1.2.5必要的法律依据；</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1.2.6提出质疑的日期；</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outlineLvl w:val="2"/>
        <w:rPr>
          <w:rFonts w:ascii="方正仿宋_GBK" w:hAnsi="仿宋" w:eastAsia="方正仿宋_GBK" w:cs="仿宋"/>
          <w:color w:val="auto"/>
          <w:sz w:val="24"/>
        </w:rPr>
      </w:pPr>
      <w:r>
        <w:rPr>
          <w:rFonts w:hint="eastAsia" w:ascii="方正仿宋_GBK" w:hAnsi="仿宋" w:eastAsia="方正仿宋_GBK" w:cs="仿宋"/>
          <w:color w:val="auto"/>
          <w:sz w:val="24"/>
        </w:rPr>
        <w:t>2.质疑答复</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采购人、采购代理机构应当在收到供应商的书面质疑后七个工作日内作出答复，并以书面形式通知质疑供应商和其他有关供应商。</w:t>
      </w:r>
    </w:p>
    <w:p>
      <w:pPr>
        <w:spacing w:line="400" w:lineRule="exact"/>
        <w:ind w:right="12" w:firstLine="480"/>
        <w:outlineLvl w:val="2"/>
        <w:rPr>
          <w:rFonts w:ascii="方正仿宋_GBK" w:hAnsi="仿宋" w:eastAsia="方正仿宋_GBK" w:cs="仿宋"/>
          <w:color w:val="auto"/>
          <w:sz w:val="24"/>
        </w:rPr>
      </w:pPr>
      <w:r>
        <w:rPr>
          <w:rFonts w:hint="eastAsia" w:ascii="方正仿宋_GBK" w:hAnsi="仿宋" w:eastAsia="方正仿宋_GBK" w:cs="仿宋"/>
          <w:color w:val="auto"/>
          <w:sz w:val="24"/>
        </w:rPr>
        <w:t>3.其他</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3.2质疑函范本可在财政部门户网站和中国政府采购网下载。</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99" w:name="_Toc102227322"/>
      <w:bookmarkStart w:id="100" w:name="_Toc342913396"/>
      <w:bookmarkStart w:id="101" w:name="_Toc106030901"/>
      <w:bookmarkStart w:id="102" w:name="_Toc76462346"/>
      <w:bookmarkStart w:id="103" w:name="_Toc12789059"/>
      <w:bookmarkStart w:id="104" w:name="_Toc11641055"/>
      <w:r>
        <w:rPr>
          <w:rFonts w:hint="eastAsia" w:ascii="方正仿宋_GBK" w:hAnsi="宋体" w:eastAsia="方正仿宋_GBK"/>
          <w:color w:val="auto"/>
          <w:sz w:val="24"/>
          <w:lang w:eastAsia="zh-CN"/>
        </w:rPr>
        <w:t>七</w:t>
      </w:r>
      <w:r>
        <w:rPr>
          <w:rFonts w:hint="eastAsia" w:ascii="方正仿宋_GBK" w:hAnsi="宋体" w:eastAsia="方正仿宋_GBK"/>
          <w:color w:val="auto"/>
          <w:sz w:val="24"/>
        </w:rPr>
        <w:t>、签订</w:t>
      </w:r>
      <w:bookmarkEnd w:id="99"/>
      <w:r>
        <w:rPr>
          <w:rFonts w:hint="eastAsia" w:ascii="方正仿宋_GBK" w:hAnsi="宋体" w:eastAsia="方正仿宋_GBK"/>
          <w:color w:val="auto"/>
          <w:sz w:val="24"/>
        </w:rPr>
        <w:t>合同</w:t>
      </w:r>
      <w:bookmarkEnd w:id="100"/>
      <w:bookmarkEnd w:id="101"/>
      <w:bookmarkEnd w:id="102"/>
    </w:p>
    <w:p>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w:t>
      </w:r>
      <w:r>
        <w:rPr>
          <w:rFonts w:hint="eastAsia" w:ascii="方正仿宋_GBK" w:hAnsi="方正仿宋_GBK" w:eastAsia="方正仿宋_GBK"/>
          <w:color w:val="auto"/>
          <w:sz w:val="24"/>
        </w:rPr>
        <w:t>采购人原则上应在成交结果公告发出之日起二十日内和成交供应商签订政府采购合同，无正当理由不得拒绝或拖延合同签订</w:t>
      </w:r>
      <w:r>
        <w:rPr>
          <w:rFonts w:hint="eastAsia" w:ascii="方正仿宋_GBK" w:hAnsi="宋体" w:eastAsia="方正仿宋_GBK"/>
          <w:color w:val="auto"/>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（二）采购文件、供应商的响应文件及澄清文件等，均为签订政府采购合同的依据。</w:t>
      </w:r>
    </w:p>
    <w:p>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（三）合同生效条款由供需双方约定，法律、行政法规规定应当办理批准、登记等手续后生效的合同，依照其规定。</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105" w:name="_Toc106030902"/>
      <w:r>
        <w:rPr>
          <w:rFonts w:hint="eastAsia" w:ascii="方正仿宋_GBK" w:hAnsi="宋体" w:eastAsia="方正仿宋_GBK"/>
          <w:color w:val="auto"/>
          <w:sz w:val="24"/>
          <w:lang w:eastAsia="zh-CN"/>
        </w:rPr>
        <w:t>八</w:t>
      </w:r>
      <w:r>
        <w:rPr>
          <w:rFonts w:hint="eastAsia" w:ascii="方正仿宋_GBK" w:hAnsi="宋体" w:eastAsia="方正仿宋_GBK"/>
          <w:color w:val="auto"/>
          <w:sz w:val="24"/>
        </w:rPr>
        <w:t>、项目验收</w:t>
      </w:r>
      <w:bookmarkEnd w:id="105"/>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方正仿宋_GBK" w:eastAsia="方正仿宋_GBK"/>
          <w:color w:val="auto"/>
          <w:sz w:val="24"/>
        </w:rPr>
        <w:t>合同执行完毕，采购人或采购代理机构原则上应在7个工作日内组织履约情况验收，不得无故拖延或附加额外条件。</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106" w:name="_Toc76462344"/>
      <w:bookmarkStart w:id="107" w:name="_Toc106030899"/>
      <w:r>
        <w:rPr>
          <w:rFonts w:hint="eastAsia" w:ascii="方正仿宋_GBK" w:hAnsi="宋体" w:eastAsia="方正仿宋_GBK"/>
          <w:color w:val="auto"/>
          <w:sz w:val="24"/>
          <w:lang w:eastAsia="zh-CN"/>
        </w:rPr>
        <w:t>九</w:t>
      </w:r>
      <w:r>
        <w:rPr>
          <w:rFonts w:hint="eastAsia" w:ascii="方正仿宋_GBK" w:hAnsi="宋体" w:eastAsia="方正仿宋_GBK"/>
          <w:color w:val="auto"/>
          <w:sz w:val="24"/>
        </w:rPr>
        <w:t>、采购代理服务费</w:t>
      </w:r>
      <w:bookmarkEnd w:id="106"/>
      <w:bookmarkEnd w:id="107"/>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供应商成交后向采购代理机构缴纳采购代理服务费，服务费的收取标准为按照计价格[2002]1980号文件规定下浮36%计取，但不低于2700元。</w:t>
      </w:r>
    </w:p>
    <w:p>
      <w:pPr>
        <w:pStyle w:val="5"/>
        <w:spacing w:before="0" w:after="0" w:line="360" w:lineRule="auto"/>
        <w:jc w:val="center"/>
        <w:rPr>
          <w:rFonts w:hint="eastAsia" w:ascii="方正小标宋_GBK" w:hAnsi="宋体" w:eastAsia="方正小标宋_GBK"/>
          <w:b w:val="0"/>
          <w:color w:val="auto"/>
          <w:sz w:val="36"/>
          <w:szCs w:val="30"/>
        </w:rPr>
      </w:pPr>
      <w:r>
        <w:rPr>
          <w:rFonts w:ascii="宋体" w:hAnsi="宋体" w:eastAsia="宋体"/>
          <w:color w:val="auto"/>
          <w:sz w:val="36"/>
          <w:szCs w:val="30"/>
        </w:rPr>
        <w:br w:type="page"/>
      </w:r>
      <w:bookmarkStart w:id="108" w:name="_Toc106030904"/>
      <w:bookmarkStart w:id="109" w:name="_Toc76462348"/>
      <w:r>
        <w:rPr>
          <w:rFonts w:hint="eastAsia" w:ascii="方正小标宋_GBK" w:hAnsi="宋体" w:eastAsia="方正小标宋_GBK"/>
          <w:b w:val="0"/>
          <w:color w:val="auto"/>
          <w:sz w:val="36"/>
          <w:szCs w:val="30"/>
        </w:rPr>
        <w:t xml:space="preserve">第六篇  </w:t>
      </w:r>
      <w:bookmarkEnd w:id="103"/>
      <w:bookmarkEnd w:id="104"/>
      <w:r>
        <w:rPr>
          <w:rFonts w:hint="eastAsia" w:ascii="方正小标宋_GBK" w:hAnsi="宋体" w:eastAsia="方正小标宋_GBK"/>
          <w:b w:val="0"/>
          <w:color w:val="auto"/>
          <w:sz w:val="36"/>
          <w:szCs w:val="30"/>
        </w:rPr>
        <w:t>政府采购合同</w:t>
      </w:r>
      <w:bookmarkEnd w:id="108"/>
      <w:bookmarkEnd w:id="109"/>
    </w:p>
    <w:p>
      <w:pPr>
        <w:spacing w:line="500" w:lineRule="exact"/>
        <w:jc w:val="center"/>
        <w:rPr>
          <w:rFonts w:hint="eastAsia" w:ascii="方正仿宋_GBK" w:eastAsia="方正仿宋_GBK"/>
          <w:b/>
          <w:color w:val="auto"/>
          <w:sz w:val="44"/>
        </w:rPr>
      </w:pPr>
      <w:r>
        <w:rPr>
          <w:rFonts w:hint="eastAsia" w:ascii="方正仿宋_GBK" w:eastAsia="方正仿宋_GBK"/>
          <w:b/>
          <w:color w:val="auto"/>
          <w:sz w:val="44"/>
        </w:rPr>
        <w:t>重庆市政府采购合同</w:t>
      </w:r>
    </w:p>
    <w:p>
      <w:pPr>
        <w:spacing w:line="500" w:lineRule="exact"/>
        <w:rPr>
          <w:rFonts w:hint="eastAsia" w:ascii="方正仿宋_GBK" w:eastAsia="方正仿宋_GBK"/>
          <w:color w:val="auto"/>
        </w:rPr>
      </w:pPr>
    </w:p>
    <w:p>
      <w:pPr>
        <w:spacing w:line="500" w:lineRule="exact"/>
        <w:rPr>
          <w:rFonts w:hint="eastAsia" w:ascii="方正仿宋_GBK" w:eastAsia="方正仿宋_GBK"/>
          <w:color w:val="auto"/>
          <w:sz w:val="24"/>
        </w:rPr>
      </w:pPr>
      <w:r>
        <w:rPr>
          <w:rFonts w:hint="eastAsia" w:ascii="方正仿宋_GBK" w:eastAsia="方正仿宋_GBK"/>
          <w:color w:val="auto"/>
          <w:sz w:val="24"/>
        </w:rPr>
        <w:t>甲方（需方）：___________________________      计价单位：____________</w:t>
      </w:r>
    </w:p>
    <w:p>
      <w:pPr>
        <w:spacing w:line="500" w:lineRule="exact"/>
        <w:rPr>
          <w:rFonts w:hint="eastAsia" w:ascii="方正仿宋_GBK" w:eastAsia="方正仿宋_GBK"/>
          <w:color w:val="auto"/>
          <w:sz w:val="24"/>
        </w:rPr>
      </w:pPr>
      <w:r>
        <w:rPr>
          <w:rFonts w:hint="eastAsia" w:ascii="方正仿宋_GBK" w:eastAsia="方正仿宋_GBK"/>
          <w:color w:val="auto"/>
          <w:sz w:val="24"/>
        </w:rPr>
        <w:t>乙方（供方）：___________________________      计量单位：_____________</w:t>
      </w:r>
    </w:p>
    <w:p>
      <w:pPr>
        <w:spacing w:line="500" w:lineRule="exact"/>
        <w:rPr>
          <w:rFonts w:hint="eastAsia" w:ascii="方正仿宋_GBK" w:eastAsia="方正仿宋_GBK"/>
          <w:color w:val="auto"/>
          <w:sz w:val="24"/>
        </w:rPr>
      </w:pPr>
      <w:r>
        <w:rPr>
          <w:rFonts w:hint="eastAsia" w:ascii="方正仿宋_GBK" w:eastAsia="方正仿宋_GBK"/>
          <w:color w:val="auto"/>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方正仿宋_GBK" w:eastAsia="方正仿宋_GBK"/>
                <w:color w:val="auto"/>
                <w:sz w:val="21"/>
                <w:szCs w:val="21"/>
              </w:rPr>
            </w:pPr>
            <w:r>
              <w:rPr>
                <w:rFonts w:hint="eastAsia" w:ascii="方正仿宋_GBK" w:eastAsia="方正仿宋_GBK"/>
                <w:color w:val="auto"/>
                <w:sz w:val="21"/>
                <w:szCs w:val="21"/>
              </w:rPr>
              <w:t>项目名称</w:t>
            </w:r>
          </w:p>
        </w:tc>
        <w:tc>
          <w:tcPr>
            <w:tcW w:w="984" w:type="dxa"/>
            <w:noWrap w:val="0"/>
            <w:vAlign w:val="center"/>
          </w:tcPr>
          <w:p>
            <w:pPr>
              <w:spacing w:line="240" w:lineRule="atLeast"/>
              <w:jc w:val="center"/>
              <w:rPr>
                <w:rFonts w:hint="eastAsia" w:ascii="方正仿宋_GBK" w:eastAsia="方正仿宋_GBK"/>
                <w:color w:val="auto"/>
                <w:sz w:val="21"/>
                <w:szCs w:val="21"/>
              </w:rPr>
            </w:pPr>
            <w:r>
              <w:rPr>
                <w:rFonts w:hint="eastAsia" w:ascii="方正仿宋_GBK" w:eastAsia="方正仿宋_GBK"/>
                <w:color w:val="auto"/>
                <w:sz w:val="21"/>
                <w:szCs w:val="21"/>
              </w:rPr>
              <w:t>数量</w:t>
            </w:r>
          </w:p>
        </w:tc>
        <w:tc>
          <w:tcPr>
            <w:tcW w:w="1298" w:type="dxa"/>
            <w:gridSpan w:val="2"/>
            <w:noWrap w:val="0"/>
            <w:vAlign w:val="center"/>
          </w:tcPr>
          <w:p>
            <w:pPr>
              <w:spacing w:line="240" w:lineRule="atLeast"/>
              <w:jc w:val="center"/>
              <w:rPr>
                <w:rFonts w:hint="eastAsia" w:ascii="方正仿宋_GBK" w:eastAsia="方正仿宋_GBK"/>
                <w:color w:val="auto"/>
                <w:sz w:val="21"/>
                <w:szCs w:val="21"/>
              </w:rPr>
            </w:pPr>
            <w:r>
              <w:rPr>
                <w:rFonts w:hint="eastAsia" w:ascii="方正仿宋_GBK" w:eastAsia="方正仿宋_GBK"/>
                <w:color w:val="auto"/>
                <w:sz w:val="21"/>
                <w:szCs w:val="21"/>
              </w:rPr>
              <w:t>综合单价</w:t>
            </w:r>
          </w:p>
        </w:tc>
        <w:tc>
          <w:tcPr>
            <w:tcW w:w="1134" w:type="dxa"/>
            <w:noWrap w:val="0"/>
            <w:vAlign w:val="center"/>
          </w:tcPr>
          <w:p>
            <w:pPr>
              <w:spacing w:line="240" w:lineRule="atLeast"/>
              <w:jc w:val="center"/>
              <w:rPr>
                <w:rFonts w:hint="eastAsia" w:ascii="方正仿宋_GBK" w:eastAsia="方正仿宋_GBK"/>
                <w:color w:val="auto"/>
                <w:sz w:val="21"/>
                <w:szCs w:val="21"/>
              </w:rPr>
            </w:pPr>
            <w:r>
              <w:rPr>
                <w:rFonts w:hint="eastAsia" w:ascii="方正仿宋_GBK" w:eastAsia="方正仿宋_GBK"/>
                <w:color w:val="auto"/>
                <w:sz w:val="21"/>
                <w:szCs w:val="21"/>
              </w:rPr>
              <w:t>总价</w:t>
            </w:r>
          </w:p>
        </w:tc>
        <w:tc>
          <w:tcPr>
            <w:tcW w:w="1559" w:type="dxa"/>
            <w:noWrap w:val="0"/>
            <w:vAlign w:val="center"/>
          </w:tcPr>
          <w:p>
            <w:pPr>
              <w:spacing w:line="240" w:lineRule="atLeast"/>
              <w:jc w:val="center"/>
              <w:rPr>
                <w:rFonts w:hint="eastAsia" w:ascii="方正仿宋_GBK" w:eastAsia="方正仿宋_GBK"/>
                <w:color w:val="auto"/>
                <w:sz w:val="21"/>
                <w:szCs w:val="21"/>
              </w:rPr>
            </w:pPr>
            <w:r>
              <w:rPr>
                <w:rFonts w:hint="eastAsia" w:ascii="方正仿宋_GBK" w:eastAsia="方正仿宋_GBK"/>
                <w:color w:val="auto"/>
                <w:sz w:val="21"/>
                <w:szCs w:val="21"/>
              </w:rPr>
              <w:t>服务时间</w:t>
            </w:r>
          </w:p>
        </w:tc>
        <w:tc>
          <w:tcPr>
            <w:tcW w:w="1567" w:type="dxa"/>
            <w:noWrap w:val="0"/>
            <w:vAlign w:val="center"/>
          </w:tcPr>
          <w:p>
            <w:pPr>
              <w:spacing w:line="240" w:lineRule="atLeast"/>
              <w:jc w:val="center"/>
              <w:rPr>
                <w:rFonts w:hint="eastAsia" w:ascii="方正仿宋_GBK" w:eastAsia="方正仿宋_GBK"/>
                <w:color w:val="auto"/>
                <w:sz w:val="21"/>
                <w:szCs w:val="21"/>
              </w:rPr>
            </w:pPr>
            <w:r>
              <w:rPr>
                <w:rFonts w:hint="eastAsia" w:ascii="方正仿宋_GBK" w:eastAsia="方正仿宋_GBK"/>
                <w:color w:val="auto"/>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方正仿宋_GBK" w:eastAsia="方正仿宋_GBK"/>
                <w:color w:val="auto"/>
                <w:sz w:val="21"/>
                <w:szCs w:val="21"/>
              </w:rPr>
            </w:pPr>
          </w:p>
        </w:tc>
        <w:tc>
          <w:tcPr>
            <w:tcW w:w="984" w:type="dxa"/>
            <w:noWrap w:val="0"/>
            <w:vAlign w:val="center"/>
          </w:tcPr>
          <w:p>
            <w:pPr>
              <w:spacing w:line="240" w:lineRule="atLeast"/>
              <w:jc w:val="center"/>
              <w:rPr>
                <w:rFonts w:hint="eastAsia" w:ascii="方正仿宋_GBK" w:eastAsia="方正仿宋_GBK"/>
                <w:color w:val="auto"/>
                <w:sz w:val="21"/>
                <w:szCs w:val="21"/>
              </w:rPr>
            </w:pPr>
          </w:p>
        </w:tc>
        <w:tc>
          <w:tcPr>
            <w:tcW w:w="1298" w:type="dxa"/>
            <w:gridSpan w:val="2"/>
            <w:noWrap w:val="0"/>
            <w:vAlign w:val="center"/>
          </w:tcPr>
          <w:p>
            <w:pPr>
              <w:spacing w:line="240" w:lineRule="atLeast"/>
              <w:jc w:val="center"/>
              <w:rPr>
                <w:rFonts w:hint="eastAsia" w:ascii="方正仿宋_GBK" w:eastAsia="方正仿宋_GBK"/>
                <w:color w:val="auto"/>
                <w:sz w:val="21"/>
                <w:szCs w:val="21"/>
              </w:rPr>
            </w:pPr>
          </w:p>
        </w:tc>
        <w:tc>
          <w:tcPr>
            <w:tcW w:w="1134" w:type="dxa"/>
            <w:noWrap w:val="0"/>
            <w:vAlign w:val="center"/>
          </w:tcPr>
          <w:p>
            <w:pPr>
              <w:spacing w:line="240" w:lineRule="atLeast"/>
              <w:jc w:val="center"/>
              <w:rPr>
                <w:rFonts w:hint="eastAsia" w:ascii="方正仿宋_GBK" w:eastAsia="方正仿宋_GBK"/>
                <w:color w:val="auto"/>
                <w:sz w:val="21"/>
                <w:szCs w:val="21"/>
              </w:rPr>
            </w:pPr>
          </w:p>
        </w:tc>
        <w:tc>
          <w:tcPr>
            <w:tcW w:w="1559" w:type="dxa"/>
            <w:noWrap w:val="0"/>
            <w:vAlign w:val="center"/>
          </w:tcPr>
          <w:p>
            <w:pPr>
              <w:spacing w:line="240" w:lineRule="atLeast"/>
              <w:jc w:val="center"/>
              <w:rPr>
                <w:rFonts w:hint="eastAsia" w:ascii="方正仿宋_GBK" w:eastAsia="方正仿宋_GBK"/>
                <w:color w:val="auto"/>
                <w:sz w:val="21"/>
                <w:szCs w:val="21"/>
              </w:rPr>
            </w:pPr>
          </w:p>
        </w:tc>
        <w:tc>
          <w:tcPr>
            <w:tcW w:w="1567" w:type="dxa"/>
            <w:noWrap w:val="0"/>
            <w:vAlign w:val="center"/>
          </w:tcPr>
          <w:p>
            <w:pPr>
              <w:spacing w:line="240" w:lineRule="atLeast"/>
              <w:jc w:val="center"/>
              <w:rPr>
                <w:rFonts w:hint="eastAsia" w:ascii="方正仿宋_GBK"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方正仿宋_GBK" w:eastAsia="方正仿宋_GBK"/>
                <w:color w:val="auto"/>
                <w:sz w:val="21"/>
                <w:szCs w:val="21"/>
              </w:rPr>
            </w:pPr>
          </w:p>
        </w:tc>
        <w:tc>
          <w:tcPr>
            <w:tcW w:w="984" w:type="dxa"/>
            <w:noWrap w:val="0"/>
            <w:vAlign w:val="center"/>
          </w:tcPr>
          <w:p>
            <w:pPr>
              <w:spacing w:line="240" w:lineRule="atLeast"/>
              <w:jc w:val="center"/>
              <w:rPr>
                <w:rFonts w:hint="eastAsia" w:ascii="方正仿宋_GBK" w:eastAsia="方正仿宋_GBK"/>
                <w:color w:val="auto"/>
                <w:sz w:val="21"/>
                <w:szCs w:val="21"/>
              </w:rPr>
            </w:pPr>
          </w:p>
        </w:tc>
        <w:tc>
          <w:tcPr>
            <w:tcW w:w="1298" w:type="dxa"/>
            <w:gridSpan w:val="2"/>
            <w:noWrap w:val="0"/>
            <w:vAlign w:val="center"/>
          </w:tcPr>
          <w:p>
            <w:pPr>
              <w:spacing w:line="240" w:lineRule="atLeast"/>
              <w:jc w:val="center"/>
              <w:rPr>
                <w:rFonts w:hint="eastAsia" w:ascii="方正仿宋_GBK" w:eastAsia="方正仿宋_GBK"/>
                <w:color w:val="auto"/>
                <w:sz w:val="21"/>
                <w:szCs w:val="21"/>
              </w:rPr>
            </w:pPr>
          </w:p>
        </w:tc>
        <w:tc>
          <w:tcPr>
            <w:tcW w:w="1134" w:type="dxa"/>
            <w:noWrap w:val="0"/>
            <w:vAlign w:val="center"/>
          </w:tcPr>
          <w:p>
            <w:pPr>
              <w:spacing w:line="240" w:lineRule="atLeast"/>
              <w:jc w:val="center"/>
              <w:rPr>
                <w:rFonts w:hint="eastAsia" w:ascii="方正仿宋_GBK" w:eastAsia="方正仿宋_GBK"/>
                <w:color w:val="auto"/>
                <w:sz w:val="21"/>
                <w:szCs w:val="21"/>
              </w:rPr>
            </w:pPr>
          </w:p>
        </w:tc>
        <w:tc>
          <w:tcPr>
            <w:tcW w:w="1559" w:type="dxa"/>
            <w:noWrap w:val="0"/>
            <w:vAlign w:val="center"/>
          </w:tcPr>
          <w:p>
            <w:pPr>
              <w:spacing w:line="240" w:lineRule="atLeast"/>
              <w:jc w:val="center"/>
              <w:rPr>
                <w:rFonts w:hint="eastAsia" w:ascii="方正仿宋_GBK" w:eastAsia="方正仿宋_GBK"/>
                <w:color w:val="auto"/>
                <w:sz w:val="21"/>
                <w:szCs w:val="21"/>
              </w:rPr>
            </w:pPr>
          </w:p>
        </w:tc>
        <w:tc>
          <w:tcPr>
            <w:tcW w:w="1567" w:type="dxa"/>
            <w:noWrap w:val="0"/>
            <w:vAlign w:val="center"/>
          </w:tcPr>
          <w:p>
            <w:pPr>
              <w:spacing w:line="240" w:lineRule="atLeast"/>
              <w:jc w:val="center"/>
              <w:rPr>
                <w:rFonts w:hint="eastAsia" w:ascii="方正仿宋_GBK"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val="0"/>
            <w:vAlign w:val="top"/>
          </w:tcPr>
          <w:p>
            <w:pPr>
              <w:rPr>
                <w:rFonts w:hint="eastAsia" w:ascii="方正仿宋_GBK" w:eastAsia="方正仿宋_GBK"/>
                <w:color w:val="auto"/>
                <w:sz w:val="21"/>
                <w:szCs w:val="21"/>
              </w:rPr>
            </w:pPr>
            <w:r>
              <w:rPr>
                <w:rFonts w:hint="eastAsia" w:ascii="方正仿宋_GBK" w:eastAsia="方正仿宋_GBK"/>
                <w:color w:val="auto"/>
                <w:sz w:val="21"/>
                <w:szCs w:val="21"/>
              </w:rPr>
              <w:t>四、付款方式</w:t>
            </w:r>
            <w:r>
              <w:rPr>
                <w:rFonts w:ascii="方正仿宋_GBK" w:eastAsia="方正仿宋_GBK"/>
                <w:color w:val="auto"/>
                <w:sz w:val="21"/>
                <w:szCs w:val="21"/>
              </w:rPr>
              <w:t>：</w:t>
            </w:r>
          </w:p>
          <w:p>
            <w:pPr>
              <w:rPr>
                <w:rFonts w:hint="eastAsia" w:ascii="方正仿宋_GBK"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五、违约责任：</w:t>
            </w:r>
          </w:p>
          <w:p>
            <w:pPr>
              <w:spacing w:line="240" w:lineRule="atLeast"/>
              <w:rPr>
                <w:rFonts w:hint="eastAsia" w:ascii="方正仿宋_GBK"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六、其他约定事项：</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1.采购文件及其澄清文件、响应文件和承诺是本合同不可分割的部分。</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2.本合同如发生争议由双方协商解决，协商不成向需方所在人民法院提请诉讼。</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3.本合同一式__份， 需方__份，供方__份，具同等法律效力。</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需方：</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地址：</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联系电话：</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授权代表：</w:t>
            </w:r>
          </w:p>
        </w:tc>
        <w:tc>
          <w:tcPr>
            <w:tcW w:w="4984" w:type="dxa"/>
            <w:gridSpan w:val="5"/>
            <w:noWrap w:val="0"/>
            <w:vAlign w:val="top"/>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供方：</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地址：</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电话：</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传真：</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开户银行：</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账号：</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授权代表：</w:t>
            </w:r>
          </w:p>
          <w:p>
            <w:pPr>
              <w:widowControl/>
              <w:spacing w:line="240" w:lineRule="atLeast"/>
              <w:jc w:val="left"/>
              <w:rPr>
                <w:rFonts w:hint="eastAsia" w:ascii="方正仿宋_GBK" w:eastAsia="方正仿宋_GBK"/>
                <w:color w:val="auto"/>
                <w:sz w:val="21"/>
                <w:szCs w:val="21"/>
              </w:rPr>
            </w:pPr>
            <w:r>
              <w:rPr>
                <w:rFonts w:hint="eastAsia" w:ascii="方正仿宋_GBK" w:eastAsia="方正仿宋_GBK"/>
                <w:color w:val="auto"/>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备注：</w:t>
            </w:r>
          </w:p>
          <w:p>
            <w:pPr>
              <w:spacing w:line="240" w:lineRule="atLeast"/>
              <w:rPr>
                <w:rFonts w:hint="eastAsia" w:ascii="方正仿宋_GBK" w:eastAsia="方正仿宋_GBK"/>
                <w:color w:val="auto"/>
                <w:sz w:val="21"/>
                <w:szCs w:val="21"/>
              </w:rPr>
            </w:pPr>
          </w:p>
          <w:p>
            <w:pPr>
              <w:spacing w:line="240" w:lineRule="atLeast"/>
              <w:rPr>
                <w:rFonts w:hint="eastAsia" w:ascii="方正仿宋_GBK" w:eastAsia="方正仿宋_GBK"/>
                <w:color w:val="auto"/>
                <w:sz w:val="21"/>
                <w:szCs w:val="21"/>
              </w:rPr>
            </w:pPr>
          </w:p>
        </w:tc>
      </w:tr>
    </w:tbl>
    <w:p>
      <w:pPr>
        <w:rPr>
          <w:rFonts w:hint="eastAsia" w:ascii="方正仿宋_GBK" w:eastAsia="方正仿宋_GBK"/>
          <w:color w:val="auto"/>
          <w:sz w:val="24"/>
        </w:rPr>
      </w:pPr>
      <w:r>
        <w:rPr>
          <w:rFonts w:hint="eastAsia" w:ascii="方正仿宋_GBK" w:eastAsia="方正仿宋_GBK"/>
          <w:color w:val="auto"/>
          <w:sz w:val="24"/>
        </w:rPr>
        <w:t>签约时间：           年   月   日      签约地点：</w:t>
      </w:r>
    </w:p>
    <w:p>
      <w:pPr>
        <w:tabs>
          <w:tab w:val="left" w:pos="9000"/>
        </w:tabs>
        <w:spacing w:line="276" w:lineRule="auto"/>
        <w:jc w:val="center"/>
        <w:rPr>
          <w:rFonts w:hint="eastAsia" w:ascii="方正仿宋_GBK" w:eastAsia="方正仿宋_GBK"/>
          <w:color w:val="auto"/>
          <w:sz w:val="21"/>
          <w:szCs w:val="21"/>
        </w:rPr>
        <w:sectPr>
          <w:footerReference r:id="rId19" w:type="default"/>
          <w:footerReference r:id="rId20" w:type="even"/>
          <w:pgSz w:w="11907" w:h="16840"/>
          <w:pgMar w:top="1134" w:right="1191" w:bottom="1134" w:left="1304" w:header="964" w:footer="992" w:gutter="0"/>
          <w:pgNumType w:fmt="numberInDash"/>
          <w:cols w:space="720" w:num="1"/>
          <w:docGrid w:linePitch="312" w:charSpace="0"/>
        </w:sectPr>
      </w:pPr>
    </w:p>
    <w:p>
      <w:pPr>
        <w:pStyle w:val="5"/>
        <w:spacing w:before="0" w:after="0" w:line="360" w:lineRule="auto"/>
        <w:jc w:val="center"/>
        <w:rPr>
          <w:rFonts w:hint="eastAsia" w:ascii="方正小标宋_GBK" w:hAnsi="宋体" w:eastAsia="方正小标宋_GBK"/>
          <w:b w:val="0"/>
          <w:color w:val="auto"/>
          <w:sz w:val="36"/>
          <w:szCs w:val="30"/>
        </w:rPr>
      </w:pPr>
      <w:bookmarkStart w:id="110" w:name="_Hlt41879464"/>
      <w:bookmarkEnd w:id="110"/>
      <w:bookmarkStart w:id="111" w:name="_Toc106030905"/>
      <w:bookmarkStart w:id="112" w:name="_Toc76462349"/>
      <w:r>
        <w:rPr>
          <w:rFonts w:hint="eastAsia" w:ascii="方正小标宋_GBK" w:hAnsi="宋体" w:eastAsia="方正小标宋_GBK"/>
          <w:b w:val="0"/>
          <w:color w:val="auto"/>
          <w:sz w:val="36"/>
          <w:szCs w:val="30"/>
        </w:rPr>
        <w:t>第七篇  响应文件编制要求</w:t>
      </w:r>
      <w:bookmarkEnd w:id="111"/>
      <w:bookmarkEnd w:id="112"/>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一、经济部分</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（一）报价函</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（二）明细报价表（格式自定）</w:t>
      </w:r>
    </w:p>
    <w:p>
      <w:pPr>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二、服务</w:t>
      </w:r>
      <w:r>
        <w:rPr>
          <w:rFonts w:hint="eastAsia" w:ascii="方正仿宋_GBK" w:hAnsi="宋体" w:eastAsia="方正仿宋_GBK"/>
          <w:color w:val="auto"/>
          <w:sz w:val="24"/>
          <w:szCs w:val="24"/>
          <w:lang w:eastAsia="zh-CN"/>
        </w:rPr>
        <w:t>部分</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（一）服务响应偏离表</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（二）其他资料（格式自定）</w:t>
      </w:r>
    </w:p>
    <w:p>
      <w:pPr>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三、商务</w:t>
      </w:r>
      <w:r>
        <w:rPr>
          <w:rFonts w:hint="eastAsia" w:ascii="方正仿宋_GBK" w:hAnsi="宋体" w:eastAsia="方正仿宋_GBK"/>
          <w:color w:val="auto"/>
          <w:sz w:val="24"/>
          <w:szCs w:val="24"/>
          <w:lang w:eastAsia="zh-CN"/>
        </w:rPr>
        <w:t>部分</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（一）商务响应偏离表</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（二）其它优惠服务承诺（格式自定）</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四、资格条件及其他</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（二）法定代表人身份证明书（格式）</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（三）法定代表人授权委托书（格式）</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（四）基本资格条件承诺函（格式）</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（五）特定资格条件证书或证明文件</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五、其他资料</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一</w:t>
      </w:r>
      <w:r>
        <w:rPr>
          <w:rFonts w:hint="eastAsia" w:ascii="方正仿宋_GBK" w:hAnsi="宋体" w:eastAsia="方正仿宋_GBK"/>
          <w:color w:val="auto"/>
          <w:sz w:val="24"/>
          <w:szCs w:val="24"/>
        </w:rPr>
        <w:t>）其他与项目有关的资料（自附）</w:t>
      </w:r>
    </w:p>
    <w:p>
      <w:pPr>
        <w:snapToGrid w:val="0"/>
        <w:spacing w:line="360" w:lineRule="auto"/>
        <w:rPr>
          <w:rFonts w:ascii="宋体" w:hAnsi="宋体"/>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113" w:name="_Toc106030906"/>
      <w:bookmarkStart w:id="114" w:name="_Toc342913419"/>
      <w:bookmarkStart w:id="115" w:name="_Toc313008356"/>
      <w:bookmarkStart w:id="116" w:name="_Toc76462350"/>
      <w:bookmarkStart w:id="117" w:name="_Toc313888360"/>
      <w:bookmarkStart w:id="118" w:name="_Toc283382454"/>
      <w:bookmarkStart w:id="119" w:name="_Toc12789073"/>
      <w:r>
        <w:rPr>
          <w:rFonts w:hint="eastAsia" w:ascii="方正仿宋_GBK" w:hAnsi="宋体" w:eastAsia="方正仿宋_GBK"/>
          <w:color w:val="auto"/>
          <w:sz w:val="24"/>
        </w:rPr>
        <w:t>一、经济部分</w:t>
      </w:r>
      <w:bookmarkEnd w:id="113"/>
      <w:bookmarkEnd w:id="114"/>
      <w:bookmarkEnd w:id="115"/>
      <w:bookmarkEnd w:id="116"/>
      <w:bookmarkEnd w:id="117"/>
    </w:p>
    <w:bookmarkEnd w:id="118"/>
    <w:bookmarkEnd w:id="119"/>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（一）报价函</w:t>
      </w:r>
    </w:p>
    <w:p>
      <w:pPr>
        <w:jc w:val="center"/>
        <w:rPr>
          <w:rFonts w:hint="eastAsia" w:ascii="方正仿宋_GBK" w:eastAsia="方正仿宋_GBK"/>
          <w:b/>
          <w:color w:val="auto"/>
          <w:szCs w:val="28"/>
        </w:rPr>
      </w:pPr>
      <w:r>
        <w:rPr>
          <w:rFonts w:hint="eastAsia" w:ascii="方正仿宋_GBK" w:eastAsia="方正仿宋_GBK"/>
          <w:b/>
          <w:color w:val="auto"/>
          <w:szCs w:val="28"/>
        </w:rPr>
        <w:t>报价函</w:t>
      </w:r>
    </w:p>
    <w:p>
      <w:pPr>
        <w:tabs>
          <w:tab w:val="left" w:pos="6300"/>
        </w:tabs>
        <w:snapToGrid w:val="0"/>
        <w:spacing w:line="312" w:lineRule="auto"/>
        <w:rPr>
          <w:rFonts w:hint="eastAsia" w:ascii="方正仿宋_GBK" w:hAnsi="宋体" w:eastAsia="方正仿宋_GBK"/>
          <w:color w:val="auto"/>
          <w:sz w:val="24"/>
          <w:szCs w:val="24"/>
        </w:rPr>
      </w:pPr>
      <w:r>
        <w:rPr>
          <w:rFonts w:hint="eastAsia" w:ascii="方正仿宋_GBK" w:hAnsi="宋体" w:eastAsia="方正仿宋_GBK"/>
          <w:color w:val="auto"/>
          <w:sz w:val="24"/>
          <w:szCs w:val="24"/>
          <w:u w:val="single"/>
        </w:rPr>
        <w:t>（采购人或采购代理机构名称））</w:t>
      </w:r>
      <w:r>
        <w:rPr>
          <w:rFonts w:hint="eastAsia" w:ascii="方正仿宋_GBK" w:hAnsi="宋体" w:eastAsia="方正仿宋_GBK"/>
          <w:color w:val="auto"/>
          <w:sz w:val="24"/>
          <w:szCs w:val="24"/>
        </w:rPr>
        <w:t>：</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我方收到____________________________（项目名称）的限额以下磋商评分文件，经详细研究，决定参加该项目的竞争。</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1.愿意按照限额以下磋商评分文件中的一切要求，提供本项目的服务，初始报价为人民币大写：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元整；人民币小写：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元。以我公司最后报价为准。</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2.我方现提交的响应文件为：响应文件正本</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份，副本</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3.我方承诺：本次限额以下磋商评分的有效期为提交响应文件截止时间起90天。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4.我方完全理解和接受贵方限额以下磋商评分文件的一切规定和要求及评审办法。</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5.在整个限额以下磋商评分过程中，我方若有违规行为，接受按照《中华人民共和国政府采购法》和《限额以下磋商评分文件》之规定给予惩罚。</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7.如果我方成为成交供应商，保证在接到成交通知书后，向采购代理机构</w:t>
      </w:r>
      <w:r>
        <w:rPr>
          <w:rFonts w:hint="eastAsia" w:ascii="方正仿宋_GBK" w:hAnsi="宋体" w:eastAsia="方正仿宋_GBK"/>
          <w:color w:val="auto"/>
          <w:sz w:val="24"/>
        </w:rPr>
        <w:t>缴纳</w:t>
      </w:r>
      <w:r>
        <w:rPr>
          <w:rFonts w:hint="eastAsia" w:ascii="方正仿宋_GBK" w:hAnsi="宋体" w:eastAsia="方正仿宋_GBK"/>
          <w:color w:val="auto"/>
          <w:sz w:val="24"/>
          <w:szCs w:val="24"/>
        </w:rPr>
        <w:t>采购文件规定的采购代理服务费。</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8.</w:t>
      </w:r>
      <w:r>
        <w:rPr>
          <w:rFonts w:hint="eastAsia" w:ascii="方正仿宋_GBK" w:hAnsi="宋体" w:eastAsia="方正仿宋_GBK"/>
          <w:color w:val="auto"/>
          <w:sz w:val="24"/>
          <w:szCs w:val="28"/>
        </w:rPr>
        <w:t>我方未</w:t>
      </w:r>
      <w:r>
        <w:rPr>
          <w:rFonts w:ascii="方正仿宋_GBK" w:hAnsi="宋体" w:eastAsia="方正仿宋_GBK"/>
          <w:color w:val="auto"/>
          <w:sz w:val="24"/>
          <w:szCs w:val="24"/>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color w:val="auto"/>
          <w:sz w:val="24"/>
          <w:szCs w:val="24"/>
        </w:rPr>
      </w:pPr>
    </w:p>
    <w:p>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供应商（公章）或自然人签署：</w:t>
      </w:r>
    </w:p>
    <w:p>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地址：  </w:t>
      </w:r>
    </w:p>
    <w:p>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电话：                                             传真：</w:t>
      </w:r>
    </w:p>
    <w:p>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网址：                                             邮编：</w:t>
      </w:r>
    </w:p>
    <w:p>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联系人：</w:t>
      </w:r>
    </w:p>
    <w:p>
      <w:pPr>
        <w:snapToGrid w:val="0"/>
        <w:spacing w:line="312" w:lineRule="auto"/>
        <w:ind w:firstLine="480" w:firstLineChars="200"/>
        <w:rPr>
          <w:rFonts w:hint="eastAsia" w:ascii="方正仿宋_GBK" w:hAnsi="宋体" w:eastAsia="方正仿宋_GBK"/>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szCs w:val="24"/>
        </w:rPr>
        <w:t xml:space="preserve">                                                  年   月   日</w:t>
      </w:r>
    </w:p>
    <w:p>
      <w:pPr>
        <w:tabs>
          <w:tab w:val="left" w:pos="2895"/>
        </w:tabs>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（二）明细报价表（格式自定）</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                              </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br w:type="page"/>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120" w:name="_Toc76462351"/>
      <w:bookmarkStart w:id="121" w:name="_Toc106030907"/>
      <w:bookmarkStart w:id="122" w:name="_Toc313888361"/>
      <w:bookmarkStart w:id="123" w:name="_Toc313008357"/>
      <w:bookmarkStart w:id="124" w:name="_Toc342913420"/>
      <w:r>
        <w:rPr>
          <w:rFonts w:hint="eastAsia" w:ascii="方正仿宋_GBK" w:hAnsi="宋体" w:eastAsia="方正仿宋_GBK"/>
          <w:color w:val="auto"/>
          <w:sz w:val="24"/>
        </w:rPr>
        <w:t>二、服务部分</w:t>
      </w:r>
      <w:bookmarkEnd w:id="120"/>
      <w:bookmarkEnd w:id="121"/>
      <w:bookmarkEnd w:id="122"/>
      <w:bookmarkEnd w:id="123"/>
      <w:bookmarkEnd w:id="124"/>
    </w:p>
    <w:p>
      <w:pPr>
        <w:tabs>
          <w:tab w:val="left" w:pos="6300"/>
        </w:tabs>
        <w:snapToGrid w:val="0"/>
        <w:spacing w:line="400" w:lineRule="exact"/>
        <w:ind w:firstLine="480" w:firstLineChars="200"/>
        <w:rPr>
          <w:rFonts w:hint="eastAsia" w:ascii="方正仿宋_GBK" w:hAnsi="宋体" w:eastAsia="方正仿宋_GBK"/>
          <w:color w:val="auto"/>
          <w:szCs w:val="24"/>
        </w:rPr>
      </w:pPr>
      <w:r>
        <w:rPr>
          <w:rFonts w:hint="eastAsia" w:ascii="方正仿宋_GBK" w:hAnsi="宋体" w:eastAsia="方正仿宋_GBK"/>
          <w:color w:val="auto"/>
          <w:sz w:val="24"/>
          <w:szCs w:val="24"/>
        </w:rPr>
        <w:t xml:space="preserve">（一）服务响应偏离表                                </w:t>
      </w:r>
    </w:p>
    <w:p>
      <w:pPr>
        <w:spacing w:line="400" w:lineRule="exact"/>
        <w:ind w:firstLine="480" w:firstLineChars="200"/>
        <w:rPr>
          <w:rFonts w:hint="eastAsia" w:ascii="方正仿宋_GBK" w:hAnsi="宋体" w:eastAsia="方正仿宋_GBK"/>
          <w:color w:val="auto"/>
          <w:sz w:val="24"/>
          <w:szCs w:val="24"/>
        </w:rPr>
      </w:pP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项目名称：</w:t>
      </w:r>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序号</w:t>
            </w: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采购需求</w:t>
            </w: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响应情况</w:t>
            </w: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600" w:type="pct"/>
            <w:noWrap w:val="0"/>
            <w:vAlign w:val="center"/>
          </w:tcPr>
          <w:p>
            <w:pPr>
              <w:tabs>
                <w:tab w:val="left" w:pos="6300"/>
              </w:tabs>
              <w:snapToGrid w:val="0"/>
              <w:spacing w:line="500" w:lineRule="exact"/>
              <w:outlineLvl w:val="0"/>
              <w:rPr>
                <w:rFonts w:hint="eastAsia" w:ascii="方正仿宋_GBK" w:hAnsi="宋体" w:eastAsia="方正仿宋_GBK"/>
                <w:color w:val="auto"/>
                <w:sz w:val="21"/>
                <w:szCs w:val="21"/>
              </w:rPr>
            </w:pPr>
            <w:r>
              <w:rPr>
                <w:rFonts w:ascii="方正仿宋_GBK" w:hAnsi="仿宋" w:eastAsia="方正仿宋_GBK"/>
                <w:color w:val="auto"/>
                <w:sz w:val="21"/>
                <w:szCs w:val="21"/>
              </w:rPr>
              <w:t>提醒</w:t>
            </w:r>
            <w:r>
              <w:rPr>
                <w:rFonts w:hint="eastAsia" w:ascii="方正仿宋_GBK" w:hAnsi="仿宋" w:eastAsia="方正仿宋_GBK"/>
                <w:color w:val="auto"/>
                <w:sz w:val="21"/>
                <w:szCs w:val="21"/>
              </w:rPr>
              <w:t>：</w:t>
            </w:r>
            <w:r>
              <w:rPr>
                <w:rFonts w:ascii="方正仿宋_GBK" w:hAnsi="仿宋" w:eastAsia="方正仿宋_GBK"/>
                <w:color w:val="auto"/>
                <w:sz w:val="21"/>
                <w:szCs w:val="21"/>
              </w:rPr>
              <w:t>请注明</w:t>
            </w:r>
            <w:r>
              <w:rPr>
                <w:rFonts w:hint="eastAsia" w:ascii="方正仿宋_GBK" w:hAnsi="仿宋" w:eastAsia="方正仿宋_GBK"/>
                <w:color w:val="auto"/>
                <w:sz w:val="21"/>
                <w:szCs w:val="21"/>
              </w:rPr>
              <w:t>技术参数</w:t>
            </w:r>
            <w:r>
              <w:rPr>
                <w:rFonts w:ascii="方正仿宋_GBK" w:hAnsi="仿宋" w:eastAsia="方正仿宋_GBK"/>
                <w:color w:val="auto"/>
                <w:sz w:val="21"/>
                <w:szCs w:val="21"/>
              </w:rPr>
              <w:t>或具体内容以及</w:t>
            </w:r>
            <w:r>
              <w:rPr>
                <w:rFonts w:hint="eastAsia" w:ascii="方正仿宋_GBK" w:hAnsi="仿宋" w:eastAsia="方正仿宋_GBK"/>
                <w:color w:val="auto"/>
                <w:sz w:val="21"/>
                <w:szCs w:val="21"/>
              </w:rPr>
              <w:t>响应文件</w:t>
            </w:r>
            <w:r>
              <w:rPr>
                <w:rFonts w:ascii="方正仿宋_GBK" w:hAnsi="仿宋" w:eastAsia="方正仿宋_GBK"/>
                <w:color w:val="auto"/>
                <w:sz w:val="21"/>
                <w:szCs w:val="21"/>
              </w:rPr>
              <w:t>中</w:t>
            </w:r>
            <w:r>
              <w:rPr>
                <w:rFonts w:hint="eastAsia" w:ascii="方正仿宋_GBK" w:hAnsi="仿宋" w:eastAsia="方正仿宋_GBK"/>
                <w:color w:val="auto"/>
                <w:sz w:val="21"/>
                <w:szCs w:val="21"/>
              </w:rPr>
              <w:t>技术参数</w:t>
            </w:r>
            <w:r>
              <w:rPr>
                <w:rFonts w:ascii="方正仿宋_GBK" w:hAnsi="仿宋" w:eastAsia="方正仿宋_GBK"/>
                <w:color w:val="auto"/>
                <w:sz w:val="21"/>
                <w:szCs w:val="21"/>
              </w:rPr>
              <w:t>或</w:t>
            </w:r>
            <w:r>
              <w:rPr>
                <w:rFonts w:hint="eastAsia" w:ascii="方正仿宋_GBK" w:hAnsi="仿宋" w:eastAsia="方正仿宋_GBK"/>
                <w:color w:val="auto"/>
                <w:sz w:val="21"/>
                <w:szCs w:val="21"/>
              </w:rPr>
              <w:t>具体</w:t>
            </w:r>
            <w:r>
              <w:rPr>
                <w:rFonts w:ascii="方正仿宋_GBK" w:hAnsi="仿宋" w:eastAsia="方正仿宋_GBK"/>
                <w:color w:val="auto"/>
                <w:sz w:val="21"/>
                <w:szCs w:val="21"/>
              </w:rPr>
              <w:t>内容</w:t>
            </w:r>
            <w:r>
              <w:rPr>
                <w:rFonts w:hint="eastAsia" w:ascii="方正仿宋_GBK" w:hAnsi="仿宋" w:eastAsia="方正仿宋_GBK"/>
                <w:color w:val="auto"/>
                <w:sz w:val="21"/>
                <w:szCs w:val="21"/>
              </w:rPr>
              <w:t>的</w:t>
            </w:r>
            <w:r>
              <w:rPr>
                <w:rFonts w:ascii="方正仿宋_GBK" w:hAnsi="仿宋" w:eastAsia="方正仿宋_GBK"/>
                <w:color w:val="auto"/>
                <w:sz w:val="21"/>
                <w:szCs w:val="21"/>
              </w:rPr>
              <w:t>位置（</w:t>
            </w:r>
            <w:r>
              <w:rPr>
                <w:rFonts w:hint="eastAsia" w:ascii="方正仿宋_GBK" w:hAnsi="仿宋" w:eastAsia="方正仿宋_GBK"/>
                <w:color w:val="auto"/>
                <w:sz w:val="21"/>
                <w:szCs w:val="21"/>
              </w:rPr>
              <w:t>页码</w:t>
            </w:r>
            <w:r>
              <w:rPr>
                <w:rFonts w:ascii="方正仿宋_GBK" w:hAnsi="仿宋" w:eastAsia="方正仿宋_GBK"/>
                <w:color w:val="auto"/>
                <w:sz w:val="21"/>
                <w:szCs w:val="21"/>
              </w:rPr>
              <w:t>）</w:t>
            </w: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r>
              <w:rPr>
                <w:rFonts w:hint="eastAsia" w:ascii="方正仿宋_GBK" w:hAnsi="仿宋" w:eastAsia="方正仿宋_GBK"/>
                <w:color w:val="auto"/>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r>
    </w:tbl>
    <w:p>
      <w:pPr>
        <w:spacing w:line="500" w:lineRule="exact"/>
        <w:ind w:firstLine="600" w:firstLineChars="25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法定代表人（或其授权代表）或自然人：</w:t>
      </w:r>
    </w:p>
    <w:p>
      <w:pPr>
        <w:spacing w:line="500" w:lineRule="exact"/>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pPr>
        <w:spacing w:line="500" w:lineRule="exact"/>
        <w:ind w:firstLine="720" w:firstLineChars="30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（供应商公章）                               （签署或盖章）</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注：</w:t>
      </w: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w:t>
      </w:r>
      <w:r>
        <w:rPr>
          <w:rFonts w:hint="eastAsia" w:ascii="方正仿宋_GBK" w:hAnsi="仿宋" w:eastAsia="方正仿宋_GBK"/>
          <w:color w:val="auto"/>
          <w:sz w:val="24"/>
          <w:szCs w:val="24"/>
        </w:rPr>
        <w:t>本表即为对本项目“第二篇  项目服务需求”中所列条款进行比较和响应；</w:t>
      </w:r>
    </w:p>
    <w:p>
      <w:pPr>
        <w:snapToGrid w:val="0"/>
        <w:spacing w:line="400" w:lineRule="exact"/>
        <w:ind w:firstLine="480" w:firstLineChars="200"/>
        <w:jc w:val="left"/>
        <w:rPr>
          <w:rFonts w:hint="eastAsia" w:ascii="方正仿宋_GBK" w:hAnsi="宋体" w:eastAsia="方正仿宋_GBK"/>
          <w:color w:val="auto"/>
          <w:sz w:val="24"/>
          <w:szCs w:val="24"/>
        </w:rPr>
      </w:pPr>
      <w:r>
        <w:rPr>
          <w:rFonts w:hint="eastAsia" w:ascii="方正仿宋_GBK" w:hAnsi="宋体" w:eastAsia="方正仿宋_GBK"/>
          <w:color w:val="auto"/>
          <w:sz w:val="24"/>
        </w:rPr>
        <w:t>2.本表可扩展。</w:t>
      </w:r>
    </w:p>
    <w:p>
      <w:pPr>
        <w:tabs>
          <w:tab w:val="left" w:pos="6300"/>
        </w:tabs>
        <w:snapToGrid w:val="0"/>
        <w:spacing w:line="400" w:lineRule="exact"/>
        <w:ind w:firstLine="560" w:firstLineChars="200"/>
        <w:rPr>
          <w:rFonts w:hint="eastAsia" w:ascii="方正仿宋_GBK" w:hAnsi="宋体" w:eastAsia="方正仿宋_GBK"/>
          <w:color w:val="auto"/>
          <w:szCs w:val="24"/>
        </w:rPr>
      </w:pPr>
      <w:r>
        <w:rPr>
          <w:rFonts w:ascii="方正仿宋_GBK" w:hAnsi="宋体" w:eastAsia="方正仿宋_GBK"/>
          <w:color w:val="auto"/>
          <w:szCs w:val="24"/>
        </w:rPr>
        <w:br w:type="page"/>
      </w:r>
      <w:r>
        <w:rPr>
          <w:rFonts w:hint="eastAsia" w:ascii="方正仿宋_GBK" w:hAnsi="宋体" w:eastAsia="方正仿宋_GBK"/>
          <w:color w:val="auto"/>
          <w:sz w:val="24"/>
          <w:szCs w:val="24"/>
        </w:rPr>
        <w:t>（二）其他资料（格式自定）</w:t>
      </w:r>
    </w:p>
    <w:p>
      <w:pPr>
        <w:pStyle w:val="5"/>
        <w:adjustRightInd w:val="0"/>
        <w:snapToGrid w:val="0"/>
        <w:spacing w:before="0" w:after="0" w:line="400" w:lineRule="exact"/>
        <w:ind w:firstLine="640" w:firstLineChars="200"/>
        <w:rPr>
          <w:rFonts w:hint="eastAsia" w:ascii="方正仿宋_GBK" w:hAnsi="宋体" w:eastAsia="方正仿宋_GBK"/>
          <w:color w:val="auto"/>
          <w:sz w:val="24"/>
        </w:rPr>
      </w:pPr>
      <w:r>
        <w:rPr>
          <w:rFonts w:ascii="方正仿宋_GBK" w:eastAsia="方正仿宋_GBK"/>
          <w:b w:val="0"/>
          <w:color w:val="auto"/>
        </w:rPr>
        <w:br w:type="page"/>
      </w:r>
      <w:bookmarkStart w:id="125" w:name="_Toc313888362"/>
      <w:bookmarkStart w:id="126" w:name="_Toc106030908"/>
      <w:bookmarkStart w:id="127" w:name="_Toc342913421"/>
      <w:bookmarkStart w:id="128" w:name="_Toc76462352"/>
      <w:bookmarkStart w:id="129" w:name="_Toc313008358"/>
      <w:r>
        <w:rPr>
          <w:rFonts w:hint="eastAsia" w:ascii="方正仿宋_GBK" w:hAnsi="宋体" w:eastAsia="方正仿宋_GBK"/>
          <w:color w:val="auto"/>
          <w:sz w:val="24"/>
        </w:rPr>
        <w:t>三、商务部分</w:t>
      </w:r>
      <w:bookmarkEnd w:id="125"/>
      <w:bookmarkEnd w:id="126"/>
      <w:bookmarkEnd w:id="127"/>
      <w:bookmarkEnd w:id="128"/>
      <w:bookmarkEnd w:id="129"/>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（一）商务响应偏离表                           </w:t>
      </w:r>
    </w:p>
    <w:p>
      <w:pPr>
        <w:snapToGrid w:val="0"/>
        <w:spacing w:line="400" w:lineRule="exact"/>
        <w:ind w:firstLine="480" w:firstLineChars="200"/>
        <w:rPr>
          <w:rFonts w:hint="eastAsia" w:ascii="方正仿宋_GBK" w:hAnsi="宋体" w:eastAsia="方正仿宋_GBK"/>
          <w:color w:val="auto"/>
          <w:sz w:val="24"/>
          <w:szCs w:val="24"/>
        </w:rPr>
      </w:pP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项目名称： </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pPr>
              <w:snapToGrid w:val="0"/>
              <w:spacing w:line="360" w:lineRule="auto"/>
              <w:ind w:firstLine="465"/>
              <w:rPr>
                <w:rFonts w:hint="eastAsia" w:ascii="方正仿宋_GBK" w:hAnsi="宋体" w:eastAsia="方正仿宋_GBK"/>
                <w:color w:val="auto"/>
                <w:sz w:val="21"/>
                <w:szCs w:val="24"/>
              </w:rPr>
            </w:pPr>
            <w:r>
              <w:rPr>
                <w:rFonts w:hint="eastAsia" w:ascii="方正仿宋_GBK" w:hAnsi="宋体" w:eastAsia="方正仿宋_GBK"/>
                <w:color w:val="auto"/>
                <w:sz w:val="21"/>
                <w:szCs w:val="24"/>
              </w:rPr>
              <w:t>序号</w:t>
            </w: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r>
              <w:rPr>
                <w:rFonts w:hint="eastAsia" w:ascii="方正仿宋_GBK" w:hAnsi="宋体" w:eastAsia="方正仿宋_GBK"/>
                <w:color w:val="auto"/>
                <w:sz w:val="21"/>
                <w:szCs w:val="24"/>
              </w:rPr>
              <w:t>项目商务需求</w:t>
            </w:r>
          </w:p>
        </w:tc>
        <w:tc>
          <w:tcPr>
            <w:tcW w:w="2434"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r>
              <w:rPr>
                <w:rFonts w:hint="eastAsia" w:ascii="方正仿宋_GBK" w:hAnsi="宋体" w:eastAsia="方正仿宋_GBK"/>
                <w:color w:val="auto"/>
                <w:sz w:val="21"/>
                <w:szCs w:val="24"/>
              </w:rPr>
              <w:t>响应情况</w:t>
            </w: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r>
              <w:rPr>
                <w:rFonts w:hint="eastAsia" w:ascii="方正仿宋_GBK" w:hAnsi="宋体" w:eastAsia="方正仿宋_GBK"/>
                <w:color w:val="auto"/>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pPr>
              <w:tabs>
                <w:tab w:val="left" w:pos="6300"/>
              </w:tabs>
              <w:snapToGrid w:val="0"/>
              <w:spacing w:line="360" w:lineRule="auto"/>
              <w:outlineLvl w:val="0"/>
              <w:rPr>
                <w:rFonts w:hint="eastAsia" w:ascii="方正仿宋_GBK" w:hAnsi="宋体" w:eastAsia="方正仿宋_GBK"/>
                <w:color w:val="auto"/>
                <w:sz w:val="21"/>
                <w:szCs w:val="24"/>
              </w:rPr>
            </w:pPr>
            <w:r>
              <w:rPr>
                <w:rFonts w:ascii="方正仿宋_GBK" w:hAnsi="仿宋" w:eastAsia="方正仿宋_GBK"/>
                <w:color w:val="auto"/>
                <w:sz w:val="21"/>
                <w:szCs w:val="21"/>
              </w:rPr>
              <w:t>提醒</w:t>
            </w:r>
            <w:r>
              <w:rPr>
                <w:rFonts w:hint="eastAsia" w:ascii="方正仿宋_GBK" w:hAnsi="仿宋" w:eastAsia="方正仿宋_GBK"/>
                <w:color w:val="auto"/>
                <w:sz w:val="21"/>
                <w:szCs w:val="21"/>
              </w:rPr>
              <w:t>：</w:t>
            </w:r>
            <w:r>
              <w:rPr>
                <w:rFonts w:ascii="方正仿宋_GBK" w:hAnsi="仿宋" w:eastAsia="方正仿宋_GBK"/>
                <w:color w:val="auto"/>
                <w:sz w:val="21"/>
                <w:szCs w:val="21"/>
              </w:rPr>
              <w:t>请注明具体内容以及</w:t>
            </w:r>
            <w:r>
              <w:rPr>
                <w:rFonts w:hint="eastAsia" w:ascii="方正仿宋_GBK" w:hAnsi="仿宋" w:eastAsia="方正仿宋_GBK"/>
                <w:color w:val="auto"/>
                <w:sz w:val="21"/>
                <w:szCs w:val="21"/>
              </w:rPr>
              <w:t>响应文件</w:t>
            </w:r>
            <w:r>
              <w:rPr>
                <w:rFonts w:ascii="方正仿宋_GBK" w:hAnsi="仿宋" w:eastAsia="方正仿宋_GBK"/>
                <w:color w:val="auto"/>
                <w:sz w:val="21"/>
                <w:szCs w:val="21"/>
              </w:rPr>
              <w:t>中</w:t>
            </w:r>
            <w:r>
              <w:rPr>
                <w:rFonts w:hint="eastAsia" w:ascii="方正仿宋_GBK" w:hAnsi="仿宋" w:eastAsia="方正仿宋_GBK"/>
                <w:color w:val="auto"/>
                <w:sz w:val="21"/>
                <w:szCs w:val="21"/>
              </w:rPr>
              <w:t>具体</w:t>
            </w:r>
            <w:r>
              <w:rPr>
                <w:rFonts w:ascii="方正仿宋_GBK" w:hAnsi="仿宋" w:eastAsia="方正仿宋_GBK"/>
                <w:color w:val="auto"/>
                <w:sz w:val="21"/>
                <w:szCs w:val="21"/>
              </w:rPr>
              <w:t>内容</w:t>
            </w:r>
            <w:r>
              <w:rPr>
                <w:rFonts w:hint="eastAsia" w:ascii="方正仿宋_GBK" w:hAnsi="仿宋" w:eastAsia="方正仿宋_GBK"/>
                <w:color w:val="auto"/>
                <w:sz w:val="21"/>
                <w:szCs w:val="21"/>
              </w:rPr>
              <w:t>的</w:t>
            </w:r>
            <w:r>
              <w:rPr>
                <w:rFonts w:ascii="方正仿宋_GBK" w:hAnsi="仿宋" w:eastAsia="方正仿宋_GBK"/>
                <w:color w:val="auto"/>
                <w:sz w:val="21"/>
                <w:szCs w:val="21"/>
              </w:rPr>
              <w:t>位置（</w:t>
            </w:r>
            <w:r>
              <w:rPr>
                <w:rFonts w:hint="eastAsia" w:ascii="方正仿宋_GBK" w:hAnsi="仿宋" w:eastAsia="方正仿宋_GBK"/>
                <w:color w:val="auto"/>
                <w:sz w:val="21"/>
                <w:szCs w:val="21"/>
              </w:rPr>
              <w:t>页码</w:t>
            </w:r>
            <w:r>
              <w:rPr>
                <w:rFonts w:ascii="方正仿宋_GBK" w:hAnsi="仿宋" w:eastAsia="方正仿宋_GBK"/>
                <w:color w:val="auto"/>
                <w:sz w:val="21"/>
                <w:szCs w:val="21"/>
              </w:rPr>
              <w:t>）</w:t>
            </w: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r>
              <w:rPr>
                <w:rFonts w:hint="eastAsia" w:ascii="方正仿宋_GBK" w:hAnsi="仿宋" w:eastAsia="方正仿宋_GBK"/>
                <w:color w:val="auto"/>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r>
    </w:tbl>
    <w:p>
      <w:pPr>
        <w:snapToGrid w:val="0"/>
        <w:spacing w:line="360" w:lineRule="auto"/>
        <w:ind w:firstLine="465"/>
        <w:rPr>
          <w:rFonts w:hint="eastAsia" w:ascii="方正仿宋_GBK" w:hAnsi="宋体" w:eastAsia="方正仿宋_GBK"/>
          <w:color w:val="auto"/>
          <w:sz w:val="24"/>
          <w:szCs w:val="24"/>
        </w:rPr>
      </w:pPr>
    </w:p>
    <w:p>
      <w:pPr>
        <w:spacing w:line="500" w:lineRule="exact"/>
        <w:ind w:firstLine="600" w:firstLineChars="25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法定代表人（或其授权代表）或自然人：</w:t>
      </w:r>
    </w:p>
    <w:p>
      <w:pPr>
        <w:spacing w:line="500" w:lineRule="exact"/>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pPr>
        <w:spacing w:line="500" w:lineRule="exact"/>
        <w:ind w:firstLine="360" w:firstLineChars="15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（供应商公章）                                 （签署或盖章）</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注：</w:t>
      </w:r>
    </w:p>
    <w:p>
      <w:pPr>
        <w:tabs>
          <w:tab w:val="left" w:pos="6300"/>
        </w:tabs>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w:t>
      </w:r>
      <w:r>
        <w:rPr>
          <w:rFonts w:hint="eastAsia" w:ascii="方正仿宋_GBK" w:hAnsi="仿宋" w:eastAsia="方正仿宋_GBK"/>
          <w:color w:val="auto"/>
          <w:sz w:val="24"/>
          <w:szCs w:val="24"/>
        </w:rPr>
        <w:t>本表即为对本项目“第三篇  项目商务需求”中所列条款进行比较和响应；</w:t>
      </w:r>
    </w:p>
    <w:p>
      <w:pPr>
        <w:snapToGrid w:val="0"/>
        <w:spacing w:line="400" w:lineRule="exact"/>
        <w:ind w:firstLine="480" w:firstLineChars="200"/>
        <w:rPr>
          <w:rFonts w:hint="eastAsia" w:ascii="方正仿宋_GBK" w:eastAsia="方正仿宋_GBK"/>
          <w:b/>
          <w:color w:val="auto"/>
        </w:rPr>
        <w:sectPr>
          <w:headerReference r:id="rId21" w:type="default"/>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rPr>
        <w:t>2.本表可扩展。</w:t>
      </w:r>
    </w:p>
    <w:p>
      <w:pPr>
        <w:snapToGrid w:val="0"/>
        <w:spacing w:line="400" w:lineRule="exact"/>
        <w:ind w:firstLine="480" w:firstLineChars="200"/>
        <w:rPr>
          <w:rFonts w:hint="eastAsia" w:ascii="方正仿宋_GBK" w:hAnsi="宋体" w:eastAsia="方正仿宋_GBK"/>
          <w:color w:val="auto"/>
          <w:sz w:val="24"/>
          <w:szCs w:val="24"/>
        </w:rPr>
      </w:pPr>
      <w:bookmarkStart w:id="130" w:name="_Toc283382459"/>
      <w:r>
        <w:rPr>
          <w:rFonts w:hint="eastAsia" w:ascii="方正仿宋_GBK" w:hAnsi="宋体" w:eastAsia="方正仿宋_GBK"/>
          <w:color w:val="auto"/>
          <w:sz w:val="24"/>
          <w:szCs w:val="24"/>
        </w:rPr>
        <w:t>（二）其它优惠承诺（格式自定）</w:t>
      </w:r>
    </w:p>
    <w:p>
      <w:pPr>
        <w:snapToGrid w:val="0"/>
        <w:spacing w:line="400" w:lineRule="exact"/>
        <w:ind w:firstLine="480" w:firstLineChars="200"/>
        <w:rPr>
          <w:rFonts w:hint="eastAsia" w:ascii="方正仿宋_GBK" w:hAnsi="宋体" w:eastAsia="方正仿宋_GBK"/>
          <w:color w:val="auto"/>
          <w:sz w:val="24"/>
          <w:szCs w:val="24"/>
        </w:rPr>
      </w:pP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r>
        <w:rPr>
          <w:rFonts w:ascii="方正仿宋_GBK" w:hAnsi="宋体" w:eastAsia="方正仿宋_GBK"/>
          <w:color w:val="auto"/>
          <w:sz w:val="24"/>
          <w:szCs w:val="24"/>
        </w:rPr>
        <w:br w:type="page"/>
      </w:r>
      <w:bookmarkEnd w:id="130"/>
      <w:bookmarkStart w:id="131" w:name="_Toc76462353"/>
      <w:bookmarkStart w:id="132" w:name="_Toc106030909"/>
      <w:bookmarkStart w:id="133" w:name="_Toc342913422"/>
      <w:bookmarkStart w:id="134" w:name="_Toc313008359"/>
      <w:bookmarkStart w:id="135" w:name="_Toc313888363"/>
      <w:r>
        <w:rPr>
          <w:rFonts w:hint="eastAsia" w:ascii="方正仿宋_GBK" w:hAnsi="宋体" w:eastAsia="方正仿宋_GBK"/>
          <w:color w:val="auto"/>
          <w:sz w:val="24"/>
        </w:rPr>
        <w:t>四、资格条件</w:t>
      </w:r>
      <w:bookmarkEnd w:id="131"/>
      <w:bookmarkEnd w:id="132"/>
      <w:bookmarkEnd w:id="133"/>
      <w:bookmarkEnd w:id="134"/>
      <w:bookmarkEnd w:id="135"/>
    </w:p>
    <w:p>
      <w:pPr>
        <w:tabs>
          <w:tab w:val="left" w:pos="6300"/>
        </w:tabs>
        <w:snapToGrid w:val="0"/>
        <w:spacing w:line="400" w:lineRule="exact"/>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hint="eastAsia" w:ascii="方正仿宋_GBK" w:hAnsi="宋体" w:eastAsia="方正仿宋_GBK"/>
          <w:color w:val="auto"/>
        </w:rPr>
      </w:pPr>
    </w:p>
    <w:p>
      <w:pPr>
        <w:tabs>
          <w:tab w:val="left" w:pos="6300"/>
        </w:tabs>
        <w:snapToGrid w:val="0"/>
        <w:spacing w:line="500" w:lineRule="exact"/>
        <w:ind w:firstLine="570"/>
        <w:rPr>
          <w:rFonts w:hint="eastAsia" w:ascii="方正仿宋_GBK" w:hAnsi="宋体" w:eastAsia="方正仿宋_GBK"/>
          <w:color w:val="auto"/>
        </w:rPr>
      </w:pPr>
    </w:p>
    <w:p>
      <w:pPr>
        <w:tabs>
          <w:tab w:val="left" w:pos="6300"/>
        </w:tabs>
        <w:snapToGrid w:val="0"/>
        <w:spacing w:line="500" w:lineRule="exact"/>
        <w:ind w:firstLine="570"/>
        <w:rPr>
          <w:rFonts w:hint="eastAsia" w:ascii="方正仿宋_GBK" w:hAnsi="宋体" w:eastAsia="方正仿宋_GBK"/>
          <w:color w:val="auto"/>
        </w:rPr>
      </w:pPr>
    </w:p>
    <w:p>
      <w:pPr>
        <w:tabs>
          <w:tab w:val="left" w:pos="6300"/>
        </w:tabs>
        <w:snapToGrid w:val="0"/>
        <w:spacing w:line="500" w:lineRule="exact"/>
        <w:ind w:firstLine="570"/>
        <w:rPr>
          <w:rFonts w:hint="eastAsia" w:ascii="方正仿宋_GBK" w:hAnsi="宋体" w:eastAsia="方正仿宋_GBK"/>
          <w:color w:val="auto"/>
        </w:rPr>
      </w:pPr>
    </w:p>
    <w:p>
      <w:pPr>
        <w:tabs>
          <w:tab w:val="left" w:pos="6300"/>
        </w:tabs>
        <w:snapToGrid w:val="0"/>
        <w:spacing w:line="500" w:lineRule="exact"/>
        <w:ind w:firstLine="570"/>
        <w:rPr>
          <w:rFonts w:hint="eastAsia" w:ascii="方正仿宋_GBK" w:hAnsi="宋体" w:eastAsia="方正仿宋_GBK"/>
          <w:color w:val="auto"/>
        </w:rPr>
      </w:pPr>
    </w:p>
    <w:p>
      <w:pPr>
        <w:snapToGrid w:val="0"/>
        <w:spacing w:line="400" w:lineRule="exact"/>
        <w:ind w:firstLine="560" w:firstLineChars="200"/>
        <w:rPr>
          <w:rFonts w:hint="eastAsia"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项目名称：</w:t>
      </w:r>
      <w:r>
        <w:rPr>
          <w:rFonts w:hint="eastAsia" w:ascii="方正仿宋_GBK" w:hAnsi="宋体" w:eastAsia="方正仿宋_GBK"/>
          <w:color w:val="auto"/>
          <w:sz w:val="24"/>
          <w:u w:val="single"/>
        </w:rPr>
        <w:t xml:space="preserve">                                                </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rPr>
          <w:rFonts w:hint="eastAsia"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（采购代理机构名称）：</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（法定代表人姓名）在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（供应商名称）任</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（职务名称）职务，是（供应商名称）</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的法定代表人。</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特此证明。</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（供应商公章）</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年   月   日</w:t>
      </w:r>
    </w:p>
    <w:p>
      <w:pPr>
        <w:tabs>
          <w:tab w:val="left" w:pos="6300"/>
        </w:tabs>
        <w:snapToGrid w:val="0"/>
        <w:spacing w:line="500" w:lineRule="exact"/>
        <w:ind w:firstLine="570"/>
        <w:rPr>
          <w:rFonts w:hint="eastAsia" w:ascii="方正仿宋_GBK" w:hAnsi="仿宋" w:eastAsia="方正仿宋_GBK"/>
          <w:color w:val="auto"/>
          <w:sz w:val="24"/>
        </w:rPr>
      </w:pPr>
      <w:r>
        <w:rPr>
          <w:rFonts w:hint="eastAsia" w:ascii="方正仿宋_GBK" w:hAnsi="仿宋" w:eastAsia="方正仿宋_GBK"/>
          <w:color w:val="auto"/>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仿宋" w:eastAsia="方正仿宋_GBK"/>
          <w:color w:val="auto"/>
          <w:sz w:val="24"/>
        </w:rPr>
        <w:t>（附：法定代表人身份证正反面复印件）</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snapToGrid w:val="0"/>
        <w:spacing w:line="400" w:lineRule="exact"/>
        <w:ind w:firstLine="560" w:firstLineChars="200"/>
        <w:rPr>
          <w:rFonts w:hint="eastAsia" w:ascii="方正仿宋_GBK" w:hAnsi="宋体" w:eastAsia="方正仿宋_GBK"/>
          <w:color w:val="auto"/>
          <w:sz w:val="24"/>
          <w:szCs w:val="24"/>
        </w:rPr>
      </w:pPr>
      <w:r>
        <w:rPr>
          <w:color w:val="auto"/>
        </w:rPr>
        <w:br w:type="column"/>
      </w:r>
      <w:r>
        <w:rPr>
          <w:rFonts w:hint="eastAsia" w:ascii="方正仿宋_GBK" w:hAnsi="宋体" w:eastAsia="方正仿宋_GBK"/>
          <w:color w:val="auto"/>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8"/>
        </w:rPr>
        <w:t>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rPr>
          <w:rFonts w:hint="eastAsia"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w:t>
      </w:r>
      <w:r>
        <w:rPr>
          <w:rFonts w:hint="eastAsia" w:ascii="方正仿宋_GBK" w:hAnsi="宋体" w:eastAsia="方正仿宋_GBK"/>
          <w:color w:val="auto"/>
          <w:sz w:val="24"/>
          <w:szCs w:val="24"/>
          <w:u w:val="single"/>
        </w:rPr>
        <w:t>采购人或采购代理机构名称</w:t>
      </w:r>
      <w:r>
        <w:rPr>
          <w:rFonts w:hint="eastAsia" w:ascii="方正仿宋_GBK" w:hAnsi="宋体" w:eastAsia="方正仿宋_GBK"/>
          <w:color w:val="auto"/>
          <w:sz w:val="24"/>
        </w:rPr>
        <w:t>）：</w:t>
      </w: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（供应商法定代表人名称）是</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（供应商名称）的法定代表人，特授权</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（被授权人姓名及身份证代码）代表我单位全权办理上述项目的竞争、签约等具体工作，并签署全部有关文件、协议及合同。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我单位对被授权人的</w:t>
      </w:r>
      <w:r>
        <w:rPr>
          <w:rFonts w:hint="eastAsia" w:ascii="方正仿宋_GBK" w:hAnsi="宋体" w:eastAsia="方正仿宋_GBK"/>
          <w:color w:val="auto"/>
          <w:sz w:val="24"/>
          <w:szCs w:val="28"/>
        </w:rPr>
        <w:t>签署</w:t>
      </w:r>
      <w:r>
        <w:rPr>
          <w:rFonts w:hint="eastAsia" w:ascii="方正仿宋_GBK" w:hAnsi="宋体" w:eastAsia="方正仿宋_GBK"/>
          <w:color w:val="auto"/>
          <w:sz w:val="24"/>
        </w:rPr>
        <w:t>负全部责任。</w:t>
      </w: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被授权人：                                 供应商法定代表人：</w:t>
      </w:r>
    </w:p>
    <w:p>
      <w:pPr>
        <w:tabs>
          <w:tab w:val="left" w:pos="6300"/>
        </w:tabs>
        <w:snapToGrid w:val="0"/>
        <w:spacing w:line="500" w:lineRule="exact"/>
        <w:ind w:firstLine="57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（签署或盖章）                                （签署或盖章）</w:t>
      </w:r>
    </w:p>
    <w:p>
      <w:pPr>
        <w:tabs>
          <w:tab w:val="left" w:pos="6300"/>
        </w:tabs>
        <w:snapToGrid w:val="0"/>
        <w:spacing w:line="500" w:lineRule="exact"/>
        <w:ind w:firstLine="570"/>
        <w:rPr>
          <w:rFonts w:hint="eastAsia" w:ascii="方正仿宋_GBK" w:hAnsi="宋体" w:eastAsia="方正仿宋_GBK"/>
          <w:color w:val="auto"/>
          <w:sz w:val="24"/>
          <w:szCs w:val="28"/>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（附：被授权人身份证正反面复印件）</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right="480" w:firstLine="570"/>
        <w:jc w:val="right"/>
        <w:rPr>
          <w:rFonts w:hint="eastAsia" w:ascii="方正仿宋_GBK" w:hAnsi="宋体" w:eastAsia="方正仿宋_GBK"/>
          <w:color w:val="auto"/>
          <w:sz w:val="24"/>
        </w:rPr>
      </w:pPr>
      <w:r>
        <w:rPr>
          <w:rFonts w:hint="eastAsia" w:ascii="方正仿宋_GBK" w:hAnsi="宋体" w:eastAsia="方正仿宋_GBK"/>
          <w:color w:val="auto"/>
          <w:sz w:val="24"/>
        </w:rPr>
        <w:t>（供应商公章）</w:t>
      </w:r>
    </w:p>
    <w:p>
      <w:pPr>
        <w:tabs>
          <w:tab w:val="left" w:pos="6300"/>
        </w:tabs>
        <w:snapToGrid w:val="0"/>
        <w:spacing w:line="500" w:lineRule="exact"/>
        <w:ind w:right="480" w:firstLine="570"/>
        <w:jc w:val="right"/>
        <w:rPr>
          <w:rFonts w:hint="eastAsia" w:ascii="方正仿宋_GBK" w:hAnsi="宋体" w:eastAsia="方正仿宋_GBK"/>
          <w:color w:val="auto"/>
          <w:sz w:val="24"/>
        </w:rPr>
      </w:pPr>
      <w:r>
        <w:rPr>
          <w:rFonts w:hint="eastAsia" w:ascii="方正仿宋_GBK" w:hAnsi="宋体" w:eastAsia="方正仿宋_GBK"/>
          <w:color w:val="auto"/>
          <w:sz w:val="24"/>
        </w:rPr>
        <w:t>年   月   日</w:t>
      </w:r>
    </w:p>
    <w:p>
      <w:pPr>
        <w:tabs>
          <w:tab w:val="left" w:pos="6300"/>
        </w:tabs>
        <w:snapToGrid w:val="0"/>
        <w:spacing w:line="500" w:lineRule="exact"/>
        <w:ind w:right="480" w:firstLine="570"/>
        <w:jc w:val="left"/>
        <w:rPr>
          <w:rFonts w:hint="eastAsia" w:ascii="方正仿宋_GBK" w:hAnsi="仿宋" w:eastAsia="方正仿宋_GBK"/>
          <w:color w:val="auto"/>
          <w:sz w:val="24"/>
        </w:rPr>
      </w:pPr>
      <w:r>
        <w:rPr>
          <w:rFonts w:hint="eastAsia" w:ascii="方正仿宋_GBK" w:hAnsi="仿宋" w:eastAsia="方正仿宋_GBK"/>
          <w:color w:val="auto"/>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color w:val="auto"/>
          <w:sz w:val="24"/>
        </w:rPr>
      </w:pPr>
      <w:r>
        <w:rPr>
          <w:rFonts w:hint="eastAsia" w:ascii="方正仿宋_GBK" w:hAnsi="仿宋" w:eastAsia="方正仿宋_GBK"/>
          <w:color w:val="auto"/>
          <w:sz w:val="24"/>
        </w:rPr>
        <w:t>注：</w:t>
      </w:r>
    </w:p>
    <w:p>
      <w:pPr>
        <w:tabs>
          <w:tab w:val="left" w:pos="6300"/>
        </w:tabs>
        <w:snapToGrid w:val="0"/>
        <w:spacing w:line="500" w:lineRule="exact"/>
        <w:ind w:right="480" w:firstLine="570"/>
        <w:jc w:val="left"/>
        <w:rPr>
          <w:rFonts w:hint="eastAsia" w:ascii="方正仿宋_GBK" w:hAnsi="仿宋" w:eastAsia="方正仿宋_GBK"/>
          <w:color w:val="auto"/>
          <w:sz w:val="24"/>
        </w:rPr>
      </w:pPr>
      <w:r>
        <w:rPr>
          <w:rFonts w:hint="eastAsia" w:ascii="方正仿宋_GBK" w:hAnsi="仿宋" w:eastAsia="方正仿宋_GBK"/>
          <w:color w:val="auto"/>
          <w:sz w:val="24"/>
        </w:rPr>
        <w:t>1.若为法定代表人办理并签署响应文件的，不提供此文件。</w:t>
      </w:r>
    </w:p>
    <w:p>
      <w:pPr>
        <w:tabs>
          <w:tab w:val="left" w:pos="6300"/>
        </w:tabs>
        <w:snapToGrid w:val="0"/>
        <w:spacing w:line="500" w:lineRule="exact"/>
        <w:ind w:firstLine="570"/>
        <w:rPr>
          <w:rFonts w:hint="eastAsia" w:ascii="方正仿宋_GBK" w:hAnsi="仿宋" w:eastAsia="方正仿宋_GBK"/>
          <w:color w:val="auto"/>
          <w:sz w:val="24"/>
        </w:rPr>
      </w:pPr>
      <w:r>
        <w:rPr>
          <w:rFonts w:hint="eastAsia" w:ascii="方正仿宋_GBK" w:hAnsi="仿宋" w:eastAsia="方正仿宋_GBK"/>
          <w:color w:val="auto"/>
          <w:sz w:val="24"/>
        </w:rPr>
        <w:t>2.</w:t>
      </w:r>
      <w:r>
        <w:rPr>
          <w:rFonts w:hint="eastAsia" w:ascii="方正仿宋_GBK" w:hAnsi="仿宋" w:eastAsia="方正仿宋_GBK"/>
          <w:color w:val="auto"/>
          <w:sz w:val="24"/>
          <w:lang w:eastAsia="zh-CN"/>
        </w:rPr>
        <w:t>提供</w:t>
      </w:r>
      <w:r>
        <w:rPr>
          <w:rFonts w:hint="eastAsia" w:ascii="方正仿宋_GBK" w:hAnsi="仿宋" w:eastAsia="方正仿宋_GBK"/>
          <w:color w:val="auto"/>
          <w:sz w:val="24"/>
        </w:rPr>
        <w:t>被授权人</w:t>
      </w:r>
      <w:r>
        <w:rPr>
          <w:rFonts w:hint="eastAsia" w:ascii="方正仿宋_GBK" w:hAnsi="仿宋" w:eastAsia="方正仿宋_GBK"/>
          <w:color w:val="auto"/>
          <w:sz w:val="24"/>
          <w:lang w:eastAsia="zh-CN"/>
        </w:rPr>
        <w:t>社保证明文件</w:t>
      </w:r>
      <w:r>
        <w:rPr>
          <w:rFonts w:hint="eastAsia" w:ascii="方正仿宋_GBK" w:hAnsi="仿宋" w:eastAsia="方正仿宋_GBK"/>
          <w:color w:val="auto"/>
          <w:sz w:val="24"/>
        </w:rPr>
        <w:t>。</w:t>
      </w:r>
    </w:p>
    <w:p>
      <w:pPr>
        <w:tabs>
          <w:tab w:val="left" w:pos="6300"/>
        </w:tabs>
        <w:snapToGrid w:val="0"/>
        <w:spacing w:line="500" w:lineRule="exact"/>
        <w:ind w:firstLine="570"/>
        <w:rPr>
          <w:rFonts w:hint="eastAsia" w:ascii="方正仿宋_GBK" w:hAnsi="宋体" w:eastAsia="方正仿宋_GBK"/>
          <w:color w:val="auto"/>
          <w:sz w:val="24"/>
          <w:szCs w:val="24"/>
        </w:rPr>
      </w:pPr>
      <w:r>
        <w:rPr>
          <w:rFonts w:ascii="宋体" w:hAnsi="宋体"/>
          <w:color w:val="auto"/>
        </w:rPr>
        <w:br w:type="column"/>
      </w:r>
      <w:r>
        <w:rPr>
          <w:rFonts w:hint="eastAsia" w:ascii="方正仿宋_GBK" w:hAnsi="宋体" w:eastAsia="方正仿宋_GBK"/>
          <w:color w:val="auto"/>
          <w:sz w:val="24"/>
          <w:szCs w:val="24"/>
        </w:rPr>
        <w:t>（四）</w:t>
      </w:r>
      <w:r>
        <w:rPr>
          <w:rFonts w:hint="eastAsia" w:ascii="方正仿宋_GBK" w:hAnsi="宋体" w:eastAsia="方正仿宋_GBK"/>
          <w:color w:val="auto"/>
          <w:sz w:val="24"/>
          <w:szCs w:val="28"/>
        </w:rPr>
        <w:t>基本资格条件承诺函</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基本资格条件承诺函</w:t>
      </w:r>
    </w:p>
    <w:p>
      <w:pPr>
        <w:tabs>
          <w:tab w:val="left" w:pos="6300"/>
        </w:tabs>
        <w:snapToGrid w:val="0"/>
        <w:spacing w:line="530" w:lineRule="exact"/>
        <w:rPr>
          <w:color w:val="auto"/>
          <w:sz w:val="24"/>
        </w:rPr>
      </w:pP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致</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（采购人或采购代理机构名称）：</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 xml:space="preserve">    </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（供应商名称）郑重承诺：</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1.我方具有良好的商业信誉和健全的财务会计制度，具有履行合同所必需的设备和专业技术能力，具</w:t>
      </w:r>
      <w:r>
        <w:rPr>
          <w:rFonts w:hint="eastAsia" w:ascii="方正仿宋_GBK" w:hAnsi="仿宋" w:eastAsia="方正仿宋_GBK"/>
          <w:color w:val="auto"/>
          <w:sz w:val="24"/>
          <w:lang w:val="zh-CN"/>
        </w:rPr>
        <w:t>有依法缴纳税收和社会保障金的良好记录</w:t>
      </w:r>
      <w:r>
        <w:rPr>
          <w:rFonts w:hint="eastAsia" w:ascii="方正仿宋_GBK" w:hAnsi="仿宋" w:eastAsia="方正仿宋_GBK"/>
          <w:color w:val="auto"/>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特此承诺。</w:t>
      </w:r>
    </w:p>
    <w:p>
      <w:pPr>
        <w:tabs>
          <w:tab w:val="left" w:pos="6300"/>
        </w:tabs>
        <w:snapToGrid w:val="0"/>
        <w:spacing w:line="500" w:lineRule="exact"/>
        <w:ind w:firstLine="480" w:firstLineChars="200"/>
        <w:rPr>
          <w:rFonts w:hint="eastAsia" w:ascii="方正仿宋_GBK" w:hAnsi="仿宋" w:eastAsia="方正仿宋_GBK"/>
          <w:color w:val="auto"/>
          <w:sz w:val="24"/>
        </w:rPr>
      </w:pPr>
    </w:p>
    <w:p>
      <w:pPr>
        <w:tabs>
          <w:tab w:val="left" w:pos="6300"/>
        </w:tabs>
        <w:snapToGrid w:val="0"/>
        <w:spacing w:line="500" w:lineRule="exact"/>
        <w:ind w:firstLine="480" w:firstLineChars="200"/>
        <w:jc w:val="right"/>
        <w:rPr>
          <w:rFonts w:hint="eastAsia" w:ascii="方正仿宋_GBK" w:hAnsi="仿宋" w:eastAsia="方正仿宋_GBK"/>
          <w:color w:val="auto"/>
          <w:sz w:val="24"/>
        </w:rPr>
      </w:pPr>
      <w:r>
        <w:rPr>
          <w:rFonts w:hint="eastAsia" w:ascii="方正仿宋_GBK" w:hAnsi="仿宋" w:eastAsia="方正仿宋_GBK"/>
          <w:color w:val="auto"/>
          <w:sz w:val="24"/>
        </w:rPr>
        <w:t>（供应商公章）</w:t>
      </w:r>
    </w:p>
    <w:p>
      <w:pPr>
        <w:tabs>
          <w:tab w:val="left" w:pos="6300"/>
        </w:tabs>
        <w:snapToGrid w:val="0"/>
        <w:spacing w:line="500" w:lineRule="exact"/>
        <w:ind w:firstLine="7920" w:firstLineChars="3300"/>
        <w:rPr>
          <w:rFonts w:hint="eastAsia" w:ascii="方正仿宋_GBK" w:hAnsi="宋体" w:eastAsia="方正仿宋_GBK"/>
          <w:color w:val="auto"/>
          <w:sz w:val="24"/>
          <w:szCs w:val="24"/>
        </w:rPr>
      </w:pPr>
      <w:r>
        <w:rPr>
          <w:rFonts w:hint="eastAsia" w:ascii="方正仿宋_GBK" w:hAnsi="仿宋" w:eastAsia="方正仿宋_GBK"/>
          <w:color w:val="auto"/>
          <w:sz w:val="24"/>
        </w:rPr>
        <w:t>年   月   日</w:t>
      </w:r>
    </w:p>
    <w:p>
      <w:pPr>
        <w:snapToGrid w:val="0"/>
        <w:spacing w:line="400" w:lineRule="exact"/>
        <w:ind w:firstLine="560" w:firstLineChars="200"/>
        <w:rPr>
          <w:rFonts w:hint="eastAsia"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（五）特定资格条件证明文件</w:t>
      </w:r>
    </w:p>
    <w:p>
      <w:pPr>
        <w:tabs>
          <w:tab w:val="left" w:pos="6300"/>
        </w:tabs>
        <w:snapToGrid w:val="0"/>
        <w:spacing w:line="400" w:lineRule="exact"/>
        <w:ind w:firstLine="480" w:firstLineChars="200"/>
        <w:rPr>
          <w:rFonts w:hint="eastAsia" w:ascii="方正仿宋_GBK" w:hAnsi="宋体" w:eastAsia="方正仿宋_GBK"/>
          <w:color w:val="auto"/>
          <w:sz w:val="24"/>
          <w:szCs w:val="24"/>
        </w:rPr>
      </w:pPr>
    </w:p>
    <w:p>
      <w:pPr>
        <w:pStyle w:val="5"/>
        <w:adjustRightInd w:val="0"/>
        <w:snapToGrid w:val="0"/>
        <w:spacing w:before="0" w:after="0" w:line="400" w:lineRule="exact"/>
        <w:ind w:firstLine="560" w:firstLineChars="200"/>
        <w:rPr>
          <w:rFonts w:hint="eastAsia" w:ascii="方正仿宋_GBK" w:hAnsi="宋体" w:eastAsia="方正仿宋_GBK"/>
          <w:color w:val="auto"/>
          <w:sz w:val="24"/>
        </w:rPr>
      </w:pPr>
      <w:bookmarkStart w:id="136" w:name="_Toc14422"/>
      <w:r>
        <w:rPr>
          <w:rFonts w:ascii="方正仿宋_GBK" w:hAnsi="宋体" w:eastAsia="方正仿宋_GBK"/>
          <w:b w:val="0"/>
          <w:color w:val="auto"/>
          <w:sz w:val="28"/>
        </w:rPr>
        <w:br w:type="page"/>
      </w:r>
      <w:bookmarkStart w:id="137" w:name="_Toc106030910"/>
      <w:bookmarkStart w:id="138" w:name="_Toc76462354"/>
      <w:r>
        <w:rPr>
          <w:rFonts w:hint="eastAsia" w:ascii="方正仿宋_GBK" w:hAnsi="宋体" w:eastAsia="方正仿宋_GBK"/>
          <w:color w:val="auto"/>
          <w:sz w:val="24"/>
        </w:rPr>
        <w:t>五、其他资料</w:t>
      </w:r>
      <w:bookmarkEnd w:id="136"/>
      <w:bookmarkEnd w:id="137"/>
      <w:bookmarkEnd w:id="138"/>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一</w:t>
      </w:r>
      <w:r>
        <w:rPr>
          <w:rFonts w:hint="eastAsia" w:ascii="方正仿宋_GBK" w:hAnsi="宋体" w:eastAsia="方正仿宋_GBK"/>
          <w:color w:val="auto"/>
          <w:sz w:val="24"/>
          <w:szCs w:val="24"/>
        </w:rPr>
        <w:t xml:space="preserve">）其他与项目有关的资料（自附） </w:t>
      </w:r>
    </w:p>
    <w:p>
      <w:pPr>
        <w:spacing w:line="360" w:lineRule="auto"/>
        <w:ind w:firstLine="480" w:firstLineChars="200"/>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outlineLvl w:val="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（结束）</w:t>
      </w:r>
    </w:p>
    <w:p>
      <w:pPr>
        <w:rPr>
          <w:rFonts w:hint="eastAsia" w:ascii="方正仿宋_GBK" w:hAnsi="宋体" w:eastAsia="方正仿宋_GBK"/>
          <w:color w:val="auto"/>
          <w:sz w:val="24"/>
          <w:szCs w:val="24"/>
        </w:rPr>
      </w:pPr>
      <w:r>
        <w:rPr>
          <w:rFonts w:hint="eastAsia" w:ascii="方正仿宋_GBK" w:hAnsi="宋体" w:eastAsia="方正仿宋_GBK"/>
          <w:color w:val="auto"/>
          <w:sz w:val="24"/>
          <w:szCs w:val="24"/>
        </w:rPr>
        <w:br w:type="page"/>
      </w:r>
    </w:p>
    <w:p>
      <w:pPr>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附件：重庆华大工程管理有限公司采购文件发售登记表</w:t>
      </w:r>
    </w:p>
    <w:p>
      <w:pPr>
        <w:jc w:val="left"/>
        <w:rPr>
          <w:rFonts w:ascii="宋体" w:hAnsi="宋体" w:cs="宋体"/>
          <w:b/>
          <w:bCs/>
          <w:color w:val="auto"/>
          <w:spacing w:val="40"/>
          <w:sz w:val="32"/>
          <w:szCs w:val="32"/>
          <w:highlight w:val="none"/>
        </w:rPr>
      </w:pPr>
    </w:p>
    <w:tbl>
      <w:tblPr>
        <w:tblStyle w:val="58"/>
        <w:tblW w:w="88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730"/>
        <w:gridCol w:w="1150"/>
        <w:gridCol w:w="44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603"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项目编号</w:t>
            </w:r>
          </w:p>
        </w:tc>
        <w:tc>
          <w:tcPr>
            <w:tcW w:w="7296" w:type="dxa"/>
            <w:gridSpan w:val="3"/>
            <w:noWrap w:val="0"/>
            <w:vAlign w:val="center"/>
          </w:tcPr>
          <w:p>
            <w:pPr>
              <w:jc w:val="center"/>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1603"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项目名称</w:t>
            </w:r>
          </w:p>
        </w:tc>
        <w:tc>
          <w:tcPr>
            <w:tcW w:w="7296" w:type="dxa"/>
            <w:gridSpan w:val="3"/>
            <w:noWrap w:val="0"/>
            <w:vAlign w:val="center"/>
          </w:tcPr>
          <w:p>
            <w:pPr>
              <w:jc w:val="center"/>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1603"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投标人名称</w:t>
            </w:r>
          </w:p>
        </w:tc>
        <w:tc>
          <w:tcPr>
            <w:tcW w:w="7296" w:type="dxa"/>
            <w:gridSpan w:val="3"/>
            <w:noWrap w:val="0"/>
            <w:vAlign w:val="bottom"/>
          </w:tcPr>
          <w:p>
            <w:pPr>
              <w:jc w:val="right"/>
              <w:rPr>
                <w:rFonts w:ascii="宋体" w:hAnsi="宋体" w:cs="宋体"/>
                <w:color w:val="auto"/>
                <w:sz w:val="30"/>
                <w:szCs w:val="30"/>
                <w:highlight w:val="none"/>
              </w:rPr>
            </w:pPr>
            <w:r>
              <w:rPr>
                <w:rFonts w:hint="eastAsia" w:ascii="宋体" w:hAnsi="宋体" w:cs="宋体"/>
                <w:color w:val="auto"/>
                <w:sz w:val="30"/>
                <w:szCs w:val="30"/>
                <w:highlight w:val="none"/>
              </w:rPr>
              <w:t>（投标人公章）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603"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联系人</w:t>
            </w:r>
          </w:p>
        </w:tc>
        <w:tc>
          <w:tcPr>
            <w:tcW w:w="1730" w:type="dxa"/>
            <w:noWrap w:val="0"/>
            <w:vAlign w:val="center"/>
          </w:tcPr>
          <w:p>
            <w:pPr>
              <w:jc w:val="left"/>
              <w:rPr>
                <w:rFonts w:ascii="宋体" w:hAnsi="宋体" w:cs="宋体"/>
                <w:color w:val="auto"/>
                <w:sz w:val="30"/>
                <w:szCs w:val="30"/>
                <w:highlight w:val="none"/>
              </w:rPr>
            </w:pPr>
          </w:p>
        </w:tc>
        <w:tc>
          <w:tcPr>
            <w:tcW w:w="1150" w:type="dxa"/>
            <w:noWrap w:val="0"/>
            <w:vAlign w:val="center"/>
          </w:tcPr>
          <w:p>
            <w:pPr>
              <w:jc w:val="left"/>
              <w:rPr>
                <w:rFonts w:ascii="宋体" w:hAnsi="宋体" w:cs="宋体"/>
                <w:color w:val="auto"/>
                <w:sz w:val="30"/>
                <w:szCs w:val="30"/>
                <w:highlight w:val="none"/>
              </w:rPr>
            </w:pPr>
            <w:r>
              <w:rPr>
                <w:rFonts w:hint="eastAsia" w:ascii="宋体" w:hAnsi="宋体" w:cs="宋体"/>
                <w:color w:val="auto"/>
                <w:sz w:val="30"/>
                <w:szCs w:val="30"/>
                <w:highlight w:val="none"/>
              </w:rPr>
              <w:t>手机</w:t>
            </w:r>
          </w:p>
        </w:tc>
        <w:tc>
          <w:tcPr>
            <w:tcW w:w="4416" w:type="dxa"/>
            <w:noWrap w:val="0"/>
            <w:vAlign w:val="center"/>
          </w:tcPr>
          <w:p>
            <w:pPr>
              <w:jc w:val="left"/>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603"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办公电话</w:t>
            </w:r>
          </w:p>
        </w:tc>
        <w:tc>
          <w:tcPr>
            <w:tcW w:w="1730" w:type="dxa"/>
            <w:noWrap w:val="0"/>
            <w:vAlign w:val="center"/>
          </w:tcPr>
          <w:p>
            <w:pPr>
              <w:jc w:val="left"/>
              <w:rPr>
                <w:rFonts w:ascii="宋体" w:hAnsi="宋体" w:cs="宋体"/>
                <w:color w:val="auto"/>
                <w:sz w:val="30"/>
                <w:szCs w:val="30"/>
                <w:highlight w:val="none"/>
              </w:rPr>
            </w:pPr>
          </w:p>
        </w:tc>
        <w:tc>
          <w:tcPr>
            <w:tcW w:w="1150" w:type="dxa"/>
            <w:noWrap w:val="0"/>
            <w:vAlign w:val="center"/>
          </w:tcPr>
          <w:p>
            <w:pPr>
              <w:jc w:val="left"/>
              <w:rPr>
                <w:rFonts w:ascii="宋体" w:hAnsi="宋体" w:cs="宋体"/>
                <w:color w:val="auto"/>
                <w:sz w:val="30"/>
                <w:szCs w:val="30"/>
                <w:highlight w:val="none"/>
              </w:rPr>
            </w:pPr>
            <w:r>
              <w:rPr>
                <w:rFonts w:hint="eastAsia" w:ascii="宋体" w:hAnsi="宋体" w:cs="宋体"/>
                <w:color w:val="auto"/>
                <w:sz w:val="30"/>
                <w:szCs w:val="30"/>
                <w:highlight w:val="none"/>
              </w:rPr>
              <w:t>传真</w:t>
            </w:r>
          </w:p>
        </w:tc>
        <w:tc>
          <w:tcPr>
            <w:tcW w:w="4416" w:type="dxa"/>
            <w:noWrap w:val="0"/>
            <w:vAlign w:val="center"/>
          </w:tcPr>
          <w:p>
            <w:pPr>
              <w:jc w:val="left"/>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603"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E-mail</w:t>
            </w:r>
          </w:p>
        </w:tc>
        <w:tc>
          <w:tcPr>
            <w:tcW w:w="7296" w:type="dxa"/>
            <w:gridSpan w:val="3"/>
            <w:noWrap w:val="0"/>
            <w:vAlign w:val="center"/>
          </w:tcPr>
          <w:p>
            <w:pPr>
              <w:jc w:val="left"/>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603"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单位地址</w:t>
            </w:r>
          </w:p>
        </w:tc>
        <w:tc>
          <w:tcPr>
            <w:tcW w:w="7296" w:type="dxa"/>
            <w:gridSpan w:val="3"/>
            <w:noWrap w:val="0"/>
            <w:vAlign w:val="center"/>
          </w:tcPr>
          <w:p>
            <w:pPr>
              <w:jc w:val="left"/>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8899" w:type="dxa"/>
            <w:gridSpan w:val="4"/>
            <w:noWrap w:val="0"/>
            <w:vAlign w:val="center"/>
          </w:tcPr>
          <w:p>
            <w:pPr>
              <w:jc w:val="left"/>
              <w:rPr>
                <w:rFonts w:ascii="宋体" w:hAnsi="宋体" w:cs="宋体"/>
                <w:color w:val="auto"/>
                <w:sz w:val="30"/>
                <w:szCs w:val="30"/>
                <w:highlight w:val="none"/>
              </w:rPr>
            </w:pPr>
            <w:r>
              <w:rPr>
                <w:rFonts w:hint="eastAsia" w:ascii="宋体" w:hAnsi="宋体" w:cs="宋体"/>
                <w:color w:val="auto"/>
                <w:sz w:val="30"/>
                <w:szCs w:val="30"/>
                <w:highlight w:val="none"/>
              </w:rPr>
              <w:t xml:space="preserve">    日期：</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 年</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月</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日    </w:t>
            </w:r>
          </w:p>
        </w:tc>
      </w:tr>
    </w:tbl>
    <w:p>
      <w:pPr>
        <w:pStyle w:val="2"/>
        <w:rPr>
          <w:rFonts w:hint="eastAsia"/>
          <w:color w:val="auto"/>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文鼎粗黑">
    <w:altName w:val="黑体"/>
    <w:panose1 w:val="020B0609010101010101"/>
    <w:charset w:val="86"/>
    <w:family w:val="modern"/>
    <w:pitch w:val="default"/>
    <w:sig w:usb0="00000000" w:usb1="00000000" w:usb2="00000010" w:usb3="00000000" w:csb0="00040000" w:csb1="00000000"/>
  </w:font>
  <w:font w:name="昆仑楷体">
    <w:altName w:val="宋体"/>
    <w:panose1 w:val="0201060900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- 28 -</w:t>
    </w:r>
    <w:r>
      <w:rPr>
        <w:rFonts w:ascii="宋体" w:hAnsi="宋体"/>
        <w:sz w:val="21"/>
        <w:szCs w:val="21"/>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hint="eastAsia" w:ascii="宋体" w:hAnsi="宋体"/>
        <w:sz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- 4 -</w:t>
    </w:r>
    <w:r>
      <w:rPr>
        <w:rFonts w:ascii="宋体" w:hAnsi="宋体"/>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- 4 -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eastAsia"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eastAsia"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868276"/>
    <w:multiLevelType w:val="singleLevel"/>
    <w:tmpl w:val="FD868276"/>
    <w:lvl w:ilvl="0" w:tentative="0">
      <w:start w:val="1"/>
      <w:numFmt w:val="decimal"/>
      <w:suff w:val="nothing"/>
      <w:lvlText w:val="%1、"/>
      <w:lvlJc w:val="left"/>
    </w:lvl>
  </w:abstractNum>
  <w:abstractNum w:abstractNumId="1">
    <w:nsid w:val="00000009"/>
    <w:multiLevelType w:val="multilevel"/>
    <w:tmpl w:val="00000009"/>
    <w:lvl w:ilvl="0" w:tentative="0">
      <w:start w:val="1"/>
      <w:numFmt w:val="upperLetter"/>
      <w:pStyle w:val="12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4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3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9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33"/>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3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7736509"/>
    <w:multiLevelType w:val="singleLevel"/>
    <w:tmpl w:val="47736509"/>
    <w:lvl w:ilvl="0" w:tentative="0">
      <w:start w:val="5"/>
      <w:numFmt w:val="chineseCounting"/>
      <w:suff w:val="nothing"/>
      <w:lvlText w:val="%1、"/>
      <w:lvlJc w:val="left"/>
      <w:rPr>
        <w:rFonts w:hint="eastAsia"/>
      </w:rPr>
    </w:lvl>
  </w:abstractNum>
  <w:num w:numId="1">
    <w:abstractNumId w:val="9"/>
  </w:num>
  <w:num w:numId="2">
    <w:abstractNumId w:val="6"/>
  </w:num>
  <w:num w:numId="3">
    <w:abstractNumId w:val="4"/>
  </w:num>
  <w:num w:numId="4">
    <w:abstractNumId w:val="10"/>
  </w:num>
  <w:num w:numId="5">
    <w:abstractNumId w:val="1"/>
  </w:num>
  <w:num w:numId="6">
    <w:abstractNumId w:val="7"/>
  </w:num>
  <w:num w:numId="7">
    <w:abstractNumId w:val="12"/>
  </w:num>
  <w:num w:numId="8">
    <w:abstractNumId w:val="2"/>
  </w:num>
  <w:num w:numId="9">
    <w:abstractNumId w:val="3"/>
  </w:num>
  <w:num w:numId="10">
    <w:abstractNumId w:val="8"/>
  </w:num>
  <w:num w:numId="11">
    <w:abstractNumId w:val="5"/>
  </w:num>
  <w:num w:numId="12">
    <w:abstractNumId w:val="11"/>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8774F10"/>
    <w:rsid w:val="000014C5"/>
    <w:rsid w:val="00002AE4"/>
    <w:rsid w:val="00003626"/>
    <w:rsid w:val="000040DE"/>
    <w:rsid w:val="000070F0"/>
    <w:rsid w:val="000075E8"/>
    <w:rsid w:val="00011B4B"/>
    <w:rsid w:val="00016B79"/>
    <w:rsid w:val="00017816"/>
    <w:rsid w:val="00032ACA"/>
    <w:rsid w:val="0003632F"/>
    <w:rsid w:val="00043835"/>
    <w:rsid w:val="0004739C"/>
    <w:rsid w:val="00051E02"/>
    <w:rsid w:val="000523C9"/>
    <w:rsid w:val="0005298B"/>
    <w:rsid w:val="0005417C"/>
    <w:rsid w:val="000576E1"/>
    <w:rsid w:val="00061A7C"/>
    <w:rsid w:val="00063981"/>
    <w:rsid w:val="00074C38"/>
    <w:rsid w:val="000816AD"/>
    <w:rsid w:val="00082CC1"/>
    <w:rsid w:val="00090C5A"/>
    <w:rsid w:val="00091B1C"/>
    <w:rsid w:val="00091D22"/>
    <w:rsid w:val="000A164E"/>
    <w:rsid w:val="000A201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71E3D"/>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469"/>
    <w:rsid w:val="00204936"/>
    <w:rsid w:val="002049D5"/>
    <w:rsid w:val="00206AE4"/>
    <w:rsid w:val="002100EE"/>
    <w:rsid w:val="00210168"/>
    <w:rsid w:val="00210ED7"/>
    <w:rsid w:val="00212A06"/>
    <w:rsid w:val="00214E7A"/>
    <w:rsid w:val="00215DEE"/>
    <w:rsid w:val="0021618E"/>
    <w:rsid w:val="0021704D"/>
    <w:rsid w:val="002216C7"/>
    <w:rsid w:val="00222097"/>
    <w:rsid w:val="002227DB"/>
    <w:rsid w:val="00227202"/>
    <w:rsid w:val="00227377"/>
    <w:rsid w:val="00227851"/>
    <w:rsid w:val="002339D3"/>
    <w:rsid w:val="00234257"/>
    <w:rsid w:val="002348E0"/>
    <w:rsid w:val="00245C08"/>
    <w:rsid w:val="00254CD4"/>
    <w:rsid w:val="00254E1A"/>
    <w:rsid w:val="00262555"/>
    <w:rsid w:val="002643C1"/>
    <w:rsid w:val="00265203"/>
    <w:rsid w:val="0026790A"/>
    <w:rsid w:val="00270223"/>
    <w:rsid w:val="0027199E"/>
    <w:rsid w:val="00271D47"/>
    <w:rsid w:val="002721EA"/>
    <w:rsid w:val="002752BA"/>
    <w:rsid w:val="00280E8A"/>
    <w:rsid w:val="00285164"/>
    <w:rsid w:val="002855B0"/>
    <w:rsid w:val="00286959"/>
    <w:rsid w:val="00295FA5"/>
    <w:rsid w:val="00297A6F"/>
    <w:rsid w:val="002A4956"/>
    <w:rsid w:val="002A6710"/>
    <w:rsid w:val="002A7778"/>
    <w:rsid w:val="002B1FDA"/>
    <w:rsid w:val="002B2ACF"/>
    <w:rsid w:val="002B578B"/>
    <w:rsid w:val="002B5ECC"/>
    <w:rsid w:val="002B7904"/>
    <w:rsid w:val="002C1859"/>
    <w:rsid w:val="002C2507"/>
    <w:rsid w:val="002C2E6E"/>
    <w:rsid w:val="002C3A3D"/>
    <w:rsid w:val="002C7927"/>
    <w:rsid w:val="002D0D19"/>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703E8"/>
    <w:rsid w:val="00371D2F"/>
    <w:rsid w:val="00373122"/>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D0E0A"/>
    <w:rsid w:val="003D3B22"/>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4D74"/>
    <w:rsid w:val="0042525A"/>
    <w:rsid w:val="0042733C"/>
    <w:rsid w:val="0044185A"/>
    <w:rsid w:val="0044193A"/>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C7A90"/>
    <w:rsid w:val="004D2334"/>
    <w:rsid w:val="004D433D"/>
    <w:rsid w:val="004D4410"/>
    <w:rsid w:val="004E156F"/>
    <w:rsid w:val="004E2F88"/>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60D5"/>
    <w:rsid w:val="00553CF0"/>
    <w:rsid w:val="00557C75"/>
    <w:rsid w:val="005641EB"/>
    <w:rsid w:val="00566A85"/>
    <w:rsid w:val="00570C78"/>
    <w:rsid w:val="00573AE3"/>
    <w:rsid w:val="00581EF9"/>
    <w:rsid w:val="00583690"/>
    <w:rsid w:val="005902D9"/>
    <w:rsid w:val="0059075F"/>
    <w:rsid w:val="00596AB7"/>
    <w:rsid w:val="005A1B5C"/>
    <w:rsid w:val="005A1EA7"/>
    <w:rsid w:val="005A479F"/>
    <w:rsid w:val="005A6A12"/>
    <w:rsid w:val="005B0724"/>
    <w:rsid w:val="005B1E46"/>
    <w:rsid w:val="005B5AA4"/>
    <w:rsid w:val="005C3F4B"/>
    <w:rsid w:val="005C42AC"/>
    <w:rsid w:val="005C4F84"/>
    <w:rsid w:val="005C588F"/>
    <w:rsid w:val="005D2EC6"/>
    <w:rsid w:val="005D37D0"/>
    <w:rsid w:val="005D41E8"/>
    <w:rsid w:val="005D703E"/>
    <w:rsid w:val="005E35E9"/>
    <w:rsid w:val="005E5525"/>
    <w:rsid w:val="005F38BB"/>
    <w:rsid w:val="005F7895"/>
    <w:rsid w:val="0060003E"/>
    <w:rsid w:val="00602BBE"/>
    <w:rsid w:val="0060315D"/>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5941"/>
    <w:rsid w:val="0066755F"/>
    <w:rsid w:val="00670089"/>
    <w:rsid w:val="00670C89"/>
    <w:rsid w:val="00671233"/>
    <w:rsid w:val="00673763"/>
    <w:rsid w:val="006763DC"/>
    <w:rsid w:val="00680AE4"/>
    <w:rsid w:val="00682205"/>
    <w:rsid w:val="006822B0"/>
    <w:rsid w:val="00684E51"/>
    <w:rsid w:val="0068793C"/>
    <w:rsid w:val="00694288"/>
    <w:rsid w:val="00694F91"/>
    <w:rsid w:val="006A100B"/>
    <w:rsid w:val="006A143A"/>
    <w:rsid w:val="006A3285"/>
    <w:rsid w:val="006A4C56"/>
    <w:rsid w:val="006B0567"/>
    <w:rsid w:val="006B4535"/>
    <w:rsid w:val="006B72DE"/>
    <w:rsid w:val="006B75CB"/>
    <w:rsid w:val="006C2079"/>
    <w:rsid w:val="006C5FC1"/>
    <w:rsid w:val="006D44E1"/>
    <w:rsid w:val="006D51DC"/>
    <w:rsid w:val="006D5BB8"/>
    <w:rsid w:val="006D6350"/>
    <w:rsid w:val="006D6662"/>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327"/>
    <w:rsid w:val="00715FB5"/>
    <w:rsid w:val="00716C50"/>
    <w:rsid w:val="007171A6"/>
    <w:rsid w:val="0071799D"/>
    <w:rsid w:val="00726088"/>
    <w:rsid w:val="00730B6A"/>
    <w:rsid w:val="00731B91"/>
    <w:rsid w:val="00736D88"/>
    <w:rsid w:val="00736DD2"/>
    <w:rsid w:val="00736EE0"/>
    <w:rsid w:val="0074681C"/>
    <w:rsid w:val="00746EC2"/>
    <w:rsid w:val="007504DE"/>
    <w:rsid w:val="00762B70"/>
    <w:rsid w:val="007636FE"/>
    <w:rsid w:val="0077408E"/>
    <w:rsid w:val="00776989"/>
    <w:rsid w:val="00780577"/>
    <w:rsid w:val="00781AD3"/>
    <w:rsid w:val="00781BFB"/>
    <w:rsid w:val="00786FA7"/>
    <w:rsid w:val="0079177C"/>
    <w:rsid w:val="00794382"/>
    <w:rsid w:val="007959AC"/>
    <w:rsid w:val="00796323"/>
    <w:rsid w:val="007A20E0"/>
    <w:rsid w:val="007A60FA"/>
    <w:rsid w:val="007B2204"/>
    <w:rsid w:val="007B4B60"/>
    <w:rsid w:val="007B7278"/>
    <w:rsid w:val="007C1691"/>
    <w:rsid w:val="007C6B0F"/>
    <w:rsid w:val="007D0625"/>
    <w:rsid w:val="007D7A44"/>
    <w:rsid w:val="007D7E65"/>
    <w:rsid w:val="007E19E0"/>
    <w:rsid w:val="007E517D"/>
    <w:rsid w:val="007F6769"/>
    <w:rsid w:val="008041D4"/>
    <w:rsid w:val="00806938"/>
    <w:rsid w:val="00807818"/>
    <w:rsid w:val="0081156A"/>
    <w:rsid w:val="00827398"/>
    <w:rsid w:val="008275B6"/>
    <w:rsid w:val="0083653E"/>
    <w:rsid w:val="008369DC"/>
    <w:rsid w:val="00837546"/>
    <w:rsid w:val="00842974"/>
    <w:rsid w:val="00842F87"/>
    <w:rsid w:val="00843A88"/>
    <w:rsid w:val="00843D2E"/>
    <w:rsid w:val="0085550A"/>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96EF5"/>
    <w:rsid w:val="008A0CEE"/>
    <w:rsid w:val="008A19AF"/>
    <w:rsid w:val="008A20FB"/>
    <w:rsid w:val="008A4D88"/>
    <w:rsid w:val="008C1B22"/>
    <w:rsid w:val="008C4C84"/>
    <w:rsid w:val="008C510F"/>
    <w:rsid w:val="008D067F"/>
    <w:rsid w:val="008D3283"/>
    <w:rsid w:val="008D56F3"/>
    <w:rsid w:val="008D5BBB"/>
    <w:rsid w:val="008E437B"/>
    <w:rsid w:val="008E4D3F"/>
    <w:rsid w:val="008E66B8"/>
    <w:rsid w:val="008F0A2E"/>
    <w:rsid w:val="008F1988"/>
    <w:rsid w:val="008F2B05"/>
    <w:rsid w:val="008F5E76"/>
    <w:rsid w:val="008F6252"/>
    <w:rsid w:val="008F76DB"/>
    <w:rsid w:val="009023F3"/>
    <w:rsid w:val="0090383C"/>
    <w:rsid w:val="00905D85"/>
    <w:rsid w:val="00912132"/>
    <w:rsid w:val="0091346B"/>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2C13"/>
    <w:rsid w:val="0095455D"/>
    <w:rsid w:val="00954CF7"/>
    <w:rsid w:val="00962BF1"/>
    <w:rsid w:val="00963237"/>
    <w:rsid w:val="00966820"/>
    <w:rsid w:val="00971E57"/>
    <w:rsid w:val="009723CF"/>
    <w:rsid w:val="00972F46"/>
    <w:rsid w:val="00973D3A"/>
    <w:rsid w:val="009741DC"/>
    <w:rsid w:val="0097652A"/>
    <w:rsid w:val="00980037"/>
    <w:rsid w:val="00983B43"/>
    <w:rsid w:val="00984742"/>
    <w:rsid w:val="0099161D"/>
    <w:rsid w:val="00991B37"/>
    <w:rsid w:val="00997855"/>
    <w:rsid w:val="009B6208"/>
    <w:rsid w:val="009B71FF"/>
    <w:rsid w:val="009C3034"/>
    <w:rsid w:val="009C4BFF"/>
    <w:rsid w:val="009C7522"/>
    <w:rsid w:val="009D0FDD"/>
    <w:rsid w:val="009D3162"/>
    <w:rsid w:val="009D3181"/>
    <w:rsid w:val="009D7B9B"/>
    <w:rsid w:val="009E067B"/>
    <w:rsid w:val="009E717E"/>
    <w:rsid w:val="009E737D"/>
    <w:rsid w:val="009F18FA"/>
    <w:rsid w:val="00A0197B"/>
    <w:rsid w:val="00A02768"/>
    <w:rsid w:val="00A03977"/>
    <w:rsid w:val="00A06013"/>
    <w:rsid w:val="00A104A7"/>
    <w:rsid w:val="00A12904"/>
    <w:rsid w:val="00A15FBF"/>
    <w:rsid w:val="00A1616D"/>
    <w:rsid w:val="00A1783B"/>
    <w:rsid w:val="00A224AC"/>
    <w:rsid w:val="00A26FF7"/>
    <w:rsid w:val="00A27159"/>
    <w:rsid w:val="00A33FF0"/>
    <w:rsid w:val="00A37A20"/>
    <w:rsid w:val="00A445DC"/>
    <w:rsid w:val="00A44BEA"/>
    <w:rsid w:val="00A47C22"/>
    <w:rsid w:val="00A50E79"/>
    <w:rsid w:val="00A55B14"/>
    <w:rsid w:val="00A5689C"/>
    <w:rsid w:val="00A569E8"/>
    <w:rsid w:val="00A57FAF"/>
    <w:rsid w:val="00A601C4"/>
    <w:rsid w:val="00A61D6E"/>
    <w:rsid w:val="00A70193"/>
    <w:rsid w:val="00A711C6"/>
    <w:rsid w:val="00A730F3"/>
    <w:rsid w:val="00A74B68"/>
    <w:rsid w:val="00A77EE1"/>
    <w:rsid w:val="00A84863"/>
    <w:rsid w:val="00A91750"/>
    <w:rsid w:val="00A95D95"/>
    <w:rsid w:val="00A977EC"/>
    <w:rsid w:val="00AA3FD1"/>
    <w:rsid w:val="00AA4543"/>
    <w:rsid w:val="00AA52DE"/>
    <w:rsid w:val="00AB11B3"/>
    <w:rsid w:val="00AB1DAF"/>
    <w:rsid w:val="00AB40EF"/>
    <w:rsid w:val="00AB43D9"/>
    <w:rsid w:val="00AB5ED3"/>
    <w:rsid w:val="00AB6B0C"/>
    <w:rsid w:val="00AB70CD"/>
    <w:rsid w:val="00AB7800"/>
    <w:rsid w:val="00AC1860"/>
    <w:rsid w:val="00AC4898"/>
    <w:rsid w:val="00AC48B3"/>
    <w:rsid w:val="00AC7893"/>
    <w:rsid w:val="00AC7AC9"/>
    <w:rsid w:val="00AD0B4D"/>
    <w:rsid w:val="00AD1C54"/>
    <w:rsid w:val="00AE1920"/>
    <w:rsid w:val="00AE76F8"/>
    <w:rsid w:val="00AF01B3"/>
    <w:rsid w:val="00AF0F13"/>
    <w:rsid w:val="00AF6887"/>
    <w:rsid w:val="00AF7992"/>
    <w:rsid w:val="00AF7CDD"/>
    <w:rsid w:val="00B00AB3"/>
    <w:rsid w:val="00B14C52"/>
    <w:rsid w:val="00B200AA"/>
    <w:rsid w:val="00B203A9"/>
    <w:rsid w:val="00B229A5"/>
    <w:rsid w:val="00B23F48"/>
    <w:rsid w:val="00B2488E"/>
    <w:rsid w:val="00B25EB3"/>
    <w:rsid w:val="00B42056"/>
    <w:rsid w:val="00B478C3"/>
    <w:rsid w:val="00B52715"/>
    <w:rsid w:val="00B52D2A"/>
    <w:rsid w:val="00B61348"/>
    <w:rsid w:val="00B6263F"/>
    <w:rsid w:val="00B67114"/>
    <w:rsid w:val="00B678C7"/>
    <w:rsid w:val="00B70368"/>
    <w:rsid w:val="00B7097C"/>
    <w:rsid w:val="00B72BCC"/>
    <w:rsid w:val="00B75449"/>
    <w:rsid w:val="00B81284"/>
    <w:rsid w:val="00B835F1"/>
    <w:rsid w:val="00B86DA1"/>
    <w:rsid w:val="00B87401"/>
    <w:rsid w:val="00B96B1E"/>
    <w:rsid w:val="00BA1937"/>
    <w:rsid w:val="00BA527C"/>
    <w:rsid w:val="00BA5B9C"/>
    <w:rsid w:val="00BA7D51"/>
    <w:rsid w:val="00BA7F31"/>
    <w:rsid w:val="00BB4AD5"/>
    <w:rsid w:val="00BB7494"/>
    <w:rsid w:val="00BB76A5"/>
    <w:rsid w:val="00BC089B"/>
    <w:rsid w:val="00BC183F"/>
    <w:rsid w:val="00BC1C3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551A"/>
    <w:rsid w:val="00BF6DA8"/>
    <w:rsid w:val="00C00289"/>
    <w:rsid w:val="00C1090C"/>
    <w:rsid w:val="00C201FC"/>
    <w:rsid w:val="00C240C8"/>
    <w:rsid w:val="00C249AF"/>
    <w:rsid w:val="00C26513"/>
    <w:rsid w:val="00C328C9"/>
    <w:rsid w:val="00C339ED"/>
    <w:rsid w:val="00C3416C"/>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910BE"/>
    <w:rsid w:val="00C922BE"/>
    <w:rsid w:val="00CA10F9"/>
    <w:rsid w:val="00CA14F4"/>
    <w:rsid w:val="00CA583F"/>
    <w:rsid w:val="00CA5844"/>
    <w:rsid w:val="00CA7415"/>
    <w:rsid w:val="00CB265C"/>
    <w:rsid w:val="00CB2BDD"/>
    <w:rsid w:val="00CB32BC"/>
    <w:rsid w:val="00CB4540"/>
    <w:rsid w:val="00CB4951"/>
    <w:rsid w:val="00CB7A07"/>
    <w:rsid w:val="00CC59BB"/>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813"/>
    <w:rsid w:val="00D52376"/>
    <w:rsid w:val="00D53EE6"/>
    <w:rsid w:val="00D612C2"/>
    <w:rsid w:val="00D64D38"/>
    <w:rsid w:val="00D745E0"/>
    <w:rsid w:val="00D76AA3"/>
    <w:rsid w:val="00D80604"/>
    <w:rsid w:val="00D86529"/>
    <w:rsid w:val="00D86A86"/>
    <w:rsid w:val="00D8791E"/>
    <w:rsid w:val="00D92438"/>
    <w:rsid w:val="00DA0040"/>
    <w:rsid w:val="00DA03F8"/>
    <w:rsid w:val="00DA086B"/>
    <w:rsid w:val="00DA1D7A"/>
    <w:rsid w:val="00DA5DD7"/>
    <w:rsid w:val="00DA5E0A"/>
    <w:rsid w:val="00DA6834"/>
    <w:rsid w:val="00DA7145"/>
    <w:rsid w:val="00DA78D8"/>
    <w:rsid w:val="00DA7E05"/>
    <w:rsid w:val="00DB012E"/>
    <w:rsid w:val="00DB4794"/>
    <w:rsid w:val="00DB5C3E"/>
    <w:rsid w:val="00DB628E"/>
    <w:rsid w:val="00DC4070"/>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26F65"/>
    <w:rsid w:val="00E300BB"/>
    <w:rsid w:val="00E31D0A"/>
    <w:rsid w:val="00E3245B"/>
    <w:rsid w:val="00E32DCD"/>
    <w:rsid w:val="00E32DF0"/>
    <w:rsid w:val="00E3707B"/>
    <w:rsid w:val="00E50685"/>
    <w:rsid w:val="00E57F6B"/>
    <w:rsid w:val="00E609CE"/>
    <w:rsid w:val="00E6234F"/>
    <w:rsid w:val="00E67AC7"/>
    <w:rsid w:val="00E7134F"/>
    <w:rsid w:val="00E7342C"/>
    <w:rsid w:val="00E736E9"/>
    <w:rsid w:val="00E76363"/>
    <w:rsid w:val="00E80AFB"/>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3F0F"/>
    <w:rsid w:val="00EF0199"/>
    <w:rsid w:val="00F0263C"/>
    <w:rsid w:val="00F0402A"/>
    <w:rsid w:val="00F07266"/>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709C"/>
    <w:rsid w:val="00F7750A"/>
    <w:rsid w:val="00F80006"/>
    <w:rsid w:val="00F80084"/>
    <w:rsid w:val="00F95676"/>
    <w:rsid w:val="00F96401"/>
    <w:rsid w:val="00F9690B"/>
    <w:rsid w:val="00FA3F8B"/>
    <w:rsid w:val="00FA56FF"/>
    <w:rsid w:val="00FA767D"/>
    <w:rsid w:val="00FB693B"/>
    <w:rsid w:val="00FC3C96"/>
    <w:rsid w:val="00FD2470"/>
    <w:rsid w:val="00FD5823"/>
    <w:rsid w:val="00FD7BE0"/>
    <w:rsid w:val="00FE1C27"/>
    <w:rsid w:val="00FE326F"/>
    <w:rsid w:val="00FE5C31"/>
    <w:rsid w:val="00FF0F20"/>
    <w:rsid w:val="00FF1B0E"/>
    <w:rsid w:val="00FF268A"/>
    <w:rsid w:val="00FF748B"/>
    <w:rsid w:val="07FE66CB"/>
    <w:rsid w:val="08774F10"/>
    <w:rsid w:val="147A5E14"/>
    <w:rsid w:val="154A785A"/>
    <w:rsid w:val="17A1211B"/>
    <w:rsid w:val="18791365"/>
    <w:rsid w:val="18ED7A84"/>
    <w:rsid w:val="1E4C6877"/>
    <w:rsid w:val="21864056"/>
    <w:rsid w:val="27F53751"/>
    <w:rsid w:val="2AA01F44"/>
    <w:rsid w:val="31E16CC3"/>
    <w:rsid w:val="354C1CBE"/>
    <w:rsid w:val="406334F2"/>
    <w:rsid w:val="43A73C43"/>
    <w:rsid w:val="43CE5DC6"/>
    <w:rsid w:val="452C7897"/>
    <w:rsid w:val="45F51BEB"/>
    <w:rsid w:val="497B7CB3"/>
    <w:rsid w:val="4A914445"/>
    <w:rsid w:val="4B2D12E0"/>
    <w:rsid w:val="4BEB6B31"/>
    <w:rsid w:val="4DD36371"/>
    <w:rsid w:val="52D92ACB"/>
    <w:rsid w:val="53B4776F"/>
    <w:rsid w:val="5AE87C89"/>
    <w:rsid w:val="5CA67F0E"/>
    <w:rsid w:val="69284EDD"/>
    <w:rsid w:val="6BAB2E0D"/>
    <w:rsid w:val="6BEF01CC"/>
    <w:rsid w:val="6FE969BF"/>
    <w:rsid w:val="74D70DF7"/>
    <w:rsid w:val="789F3DA6"/>
    <w:rsid w:val="78A52377"/>
    <w:rsid w:val="7AD7571C"/>
    <w:rsid w:val="7B5B7497"/>
    <w:rsid w:val="7B9F7F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8"/>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link w:val="69"/>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qFormat/>
    <w:uiPriority w:val="0"/>
  </w:style>
  <w:style w:type="table" w:default="1" w:styleId="5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index 7"/>
    <w:basedOn w:val="1"/>
    <w:next w:val="1"/>
    <w:qFormat/>
    <w:uiPriority w:val="0"/>
    <w:pPr>
      <w:ind w:left="1200" w:leftChars="1200" w:firstLine="0"/>
    </w:pPr>
    <w:rPr>
      <w:rFonts w:ascii="Times New Roman" w:hAnsi="Times New Roman" w:eastAsia="宋体" w:cs="Times New Roman"/>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beforeLines="0"/>
    </w:pPr>
    <w:rPr>
      <w:rFonts w:ascii="Arial" w:hAnsi="Arial"/>
      <w:sz w:val="24"/>
    </w:rPr>
  </w:style>
  <w:style w:type="paragraph" w:styleId="21">
    <w:name w:val="annotation text"/>
    <w:basedOn w:val="1"/>
    <w:link w:val="70"/>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afterLines="0" w:afterAutospacing="0" w:line="360" w:lineRule="auto"/>
    </w:pPr>
    <w:rPr>
      <w:sz w:val="16"/>
    </w:rPr>
  </w:style>
  <w:style w:type="paragraph" w:styleId="23">
    <w:name w:val="List Bullet 3"/>
    <w:basedOn w:val="1"/>
    <w:qFormat/>
    <w:uiPriority w:val="0"/>
    <w:pPr>
      <w:numPr>
        <w:ilvl w:val="0"/>
        <w:numId w:val="3"/>
      </w:numPr>
      <w:adjustRightInd w:val="0"/>
      <w:snapToGrid w:val="0"/>
      <w:spacing w:line="360" w:lineRule="auto"/>
    </w:pPr>
    <w:rPr>
      <w:sz w:val="24"/>
    </w:rPr>
  </w:style>
  <w:style w:type="paragraph" w:styleId="24">
    <w:name w:val="Body Text Indent"/>
    <w:basedOn w:val="1"/>
    <w:link w:val="71"/>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2"/>
    <w:qFormat/>
    <w:uiPriority w:val="0"/>
  </w:style>
  <w:style w:type="paragraph" w:styleId="34">
    <w:name w:val="Body Text Indent 2"/>
    <w:basedOn w:val="1"/>
    <w:link w:val="73"/>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4"/>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afterLines="0" w:afterAutospacing="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21"/>
    <w:next w:val="21"/>
    <w:link w:val="75"/>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76"/>
    <w:qFormat/>
    <w:uiPriority w:val="0"/>
    <w:pPr>
      <w:spacing w:after="120" w:afterLines="0" w:line="240" w:lineRule="auto"/>
      <w:ind w:left="420" w:leftChars="200" w:firstLine="420" w:firstLineChars="200"/>
    </w:p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2 Char"/>
    <w:link w:val="5"/>
    <w:qFormat/>
    <w:uiPriority w:val="0"/>
    <w:rPr>
      <w:rFonts w:ascii="Arial" w:hAnsi="Arial" w:eastAsia="黑体"/>
      <w:b/>
      <w:kern w:val="2"/>
      <w:sz w:val="32"/>
    </w:rPr>
  </w:style>
  <w:style w:type="character" w:customStyle="1" w:styleId="69">
    <w:name w:val="标题 3 Char"/>
    <w:link w:val="6"/>
    <w:qFormat/>
    <w:uiPriority w:val="0"/>
    <w:rPr>
      <w:rFonts w:eastAsia="宋体"/>
      <w:b/>
      <w:kern w:val="2"/>
      <w:sz w:val="32"/>
      <w:lang w:val="en-US" w:eastAsia="zh-CN"/>
    </w:rPr>
  </w:style>
  <w:style w:type="character" w:customStyle="1" w:styleId="70">
    <w:name w:val="批注文字 Char"/>
    <w:link w:val="21"/>
    <w:qFormat/>
    <w:uiPriority w:val="0"/>
    <w:rPr>
      <w:sz w:val="24"/>
    </w:rPr>
  </w:style>
  <w:style w:type="character" w:customStyle="1" w:styleId="71">
    <w:name w:val="正文文本缩进 Char"/>
    <w:link w:val="24"/>
    <w:qFormat/>
    <w:uiPriority w:val="0"/>
    <w:rPr>
      <w:kern w:val="2"/>
      <w:sz w:val="44"/>
    </w:rPr>
  </w:style>
  <w:style w:type="character" w:customStyle="1" w:styleId="72">
    <w:name w:val="日期 Char"/>
    <w:link w:val="33"/>
    <w:qFormat/>
    <w:uiPriority w:val="0"/>
    <w:rPr>
      <w:kern w:val="2"/>
      <w:sz w:val="28"/>
    </w:rPr>
  </w:style>
  <w:style w:type="character" w:customStyle="1" w:styleId="73">
    <w:name w:val="正文文本缩进 2 Char"/>
    <w:link w:val="34"/>
    <w:qFormat/>
    <w:uiPriority w:val="0"/>
    <w:rPr>
      <w:kern w:val="2"/>
      <w:sz w:val="28"/>
    </w:rPr>
  </w:style>
  <w:style w:type="character" w:customStyle="1" w:styleId="74">
    <w:name w:val="脚注文本 Char"/>
    <w:link w:val="41"/>
    <w:qFormat/>
    <w:uiPriority w:val="0"/>
    <w:rPr>
      <w:kern w:val="2"/>
      <w:sz w:val="18"/>
    </w:rPr>
  </w:style>
  <w:style w:type="character" w:customStyle="1" w:styleId="75">
    <w:name w:val="批注主题 Char"/>
    <w:link w:val="55"/>
    <w:qFormat/>
    <w:uiPriority w:val="0"/>
  </w:style>
  <w:style w:type="character" w:customStyle="1" w:styleId="76">
    <w:name w:val="正文首行缩进 2 Char"/>
    <w:link w:val="57"/>
    <w:qFormat/>
    <w:uiPriority w:val="0"/>
  </w:style>
  <w:style w:type="character" w:customStyle="1" w:styleId="77">
    <w:name w:val="v151"/>
    <w:qFormat/>
    <w:uiPriority w:val="0"/>
    <w:rPr>
      <w:sz w:val="18"/>
    </w:rPr>
  </w:style>
  <w:style w:type="character" w:customStyle="1" w:styleId="78">
    <w:name w:val=" Char Char7"/>
    <w:qFormat/>
    <w:uiPriority w:val="0"/>
    <w:rPr>
      <w:rFonts w:ascii="宋体" w:hAnsi="宋体" w:eastAsia="宋体"/>
      <w:kern w:val="2"/>
      <w:sz w:val="28"/>
    </w:rPr>
  </w:style>
  <w:style w:type="character" w:customStyle="1" w:styleId="79">
    <w:name w:val="小 Char"/>
    <w:qFormat/>
    <w:uiPriority w:val="0"/>
    <w:rPr>
      <w:rFonts w:ascii="宋体" w:hAnsi="Courier New" w:eastAsia="宋体"/>
      <w:kern w:val="2"/>
      <w:sz w:val="21"/>
      <w:lang w:val="en-US" w:eastAsia="zh-CN" w:bidi="ar-SA"/>
    </w:rPr>
  </w:style>
  <w:style w:type="character" w:customStyle="1" w:styleId="80">
    <w:name w:val="文字 Char"/>
    <w:link w:val="81"/>
    <w:qFormat/>
    <w:uiPriority w:val="0"/>
    <w:rPr>
      <w:rFonts w:ascii="宋体"/>
      <w:kern w:val="2"/>
      <w:sz w:val="28"/>
    </w:rPr>
  </w:style>
  <w:style w:type="paragraph" w:customStyle="1" w:styleId="81">
    <w:name w:val="文字"/>
    <w:basedOn w:val="1"/>
    <w:link w:val="80"/>
    <w:qFormat/>
    <w:uiPriority w:val="0"/>
    <w:pPr>
      <w:tabs>
        <w:tab w:val="left" w:pos="8520"/>
      </w:tabs>
      <w:spacing w:line="312" w:lineRule="auto"/>
      <w:ind w:right="-210" w:firstLine="556"/>
    </w:pPr>
    <w:rPr>
      <w:rFonts w:ascii="宋体"/>
    </w:rPr>
  </w:style>
  <w:style w:type="character" w:customStyle="1" w:styleId="82">
    <w:name w:val="content-white1"/>
    <w:qFormat/>
    <w:uiPriority w:val="0"/>
    <w:rPr>
      <w:rFonts w:ascii="_x000B__x000C_" w:hAnsi="_x000B__x000C_"/>
      <w:color w:val="auto"/>
      <w:sz w:val="18"/>
      <w:u w:val="none"/>
    </w:rPr>
  </w:style>
  <w:style w:type="character" w:customStyle="1" w:styleId="83">
    <w:name w:val="正文 + 三号 Char"/>
    <w:qFormat/>
    <w:uiPriority w:val="0"/>
    <w:rPr>
      <w:rFonts w:eastAsia="宋体"/>
      <w:kern w:val="2"/>
      <w:sz w:val="21"/>
      <w:lang w:val="en-US" w:eastAsia="zh-CN"/>
    </w:rPr>
  </w:style>
  <w:style w:type="character" w:customStyle="1" w:styleId="84">
    <w:name w:val="H2 Char"/>
    <w:qFormat/>
    <w:uiPriority w:val="0"/>
    <w:rPr>
      <w:rFonts w:ascii="Arial" w:hAnsi="Arial" w:eastAsia="宋体"/>
      <w:kern w:val="2"/>
      <w:sz w:val="28"/>
      <w:lang w:val="en-US" w:eastAsia="zh-CN"/>
    </w:rPr>
  </w:style>
  <w:style w:type="character" w:customStyle="1" w:styleId="85">
    <w:name w:val=" Char Char3"/>
    <w:qFormat/>
    <w:uiPriority w:val="0"/>
    <w:rPr>
      <w:rFonts w:eastAsia="宋体"/>
      <w:kern w:val="2"/>
      <w:sz w:val="18"/>
      <w:lang w:val="en-US" w:eastAsia="zh-CN"/>
    </w:rPr>
  </w:style>
  <w:style w:type="character" w:customStyle="1" w:styleId="86">
    <w:name w:val=" Char Char4"/>
    <w:qFormat/>
    <w:uiPriority w:val="0"/>
    <w:rPr>
      <w:rFonts w:eastAsia="宋体"/>
      <w:b/>
      <w:kern w:val="2"/>
      <w:sz w:val="21"/>
      <w:lang w:val="en-US" w:eastAsia="zh-CN"/>
    </w:rPr>
  </w:style>
  <w:style w:type="character" w:customStyle="1" w:styleId="87">
    <w:name w:val="Table Text Char1 Char"/>
    <w:qFormat/>
    <w:uiPriority w:val="0"/>
    <w:rPr>
      <w:rFonts w:ascii="Arial" w:hAnsi="Arial"/>
      <w:kern w:val="2"/>
      <w:sz w:val="18"/>
      <w:lang w:val="en-US" w:eastAsia="zh-CN" w:bidi="ar-SA"/>
    </w:rPr>
  </w:style>
  <w:style w:type="character" w:customStyle="1" w:styleId="88">
    <w:name w:val=" Char Char5"/>
    <w:qFormat/>
    <w:uiPriority w:val="0"/>
    <w:rPr>
      <w:rFonts w:ascii="Arial" w:hAnsi="Arial" w:eastAsia="宋体"/>
      <w:b/>
      <w:smallCaps/>
      <w:kern w:val="28"/>
      <w:sz w:val="36"/>
      <w:lang w:val="en-US" w:eastAsia="en-US"/>
    </w:rPr>
  </w:style>
  <w:style w:type="character" w:customStyle="1" w:styleId="89">
    <w:name w:val=" Char Char"/>
    <w:qFormat/>
    <w:uiPriority w:val="0"/>
    <w:rPr>
      <w:rFonts w:ascii="宋体" w:hAnsi="宋体" w:eastAsia="宋体"/>
      <w:kern w:val="2"/>
      <w:sz w:val="24"/>
      <w:lang w:val="en-US" w:eastAsia="zh-CN" w:bidi="ar-SA"/>
    </w:rPr>
  </w:style>
  <w:style w:type="character" w:customStyle="1" w:styleId="90">
    <w:name w:val="Table Heading Char Char"/>
    <w:qFormat/>
    <w:uiPriority w:val="0"/>
    <w:rPr>
      <w:rFonts w:ascii="Arial" w:hAnsi="Arial" w:eastAsia="黑体"/>
      <w:kern w:val="2"/>
      <w:sz w:val="18"/>
      <w:lang w:val="en-US" w:eastAsia="zh-CN"/>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Char Char Char"/>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Table Text Char"/>
    <w:link w:val="94"/>
    <w:qFormat/>
    <w:uiPriority w:val="0"/>
    <w:rPr>
      <w:rFonts w:ascii="Arial" w:hAnsi="Arial"/>
      <w:kern w:val="2"/>
      <w:sz w:val="18"/>
      <w:lang w:val="en-US" w:eastAsia="zh-CN" w:bidi="ar-SA"/>
    </w:rPr>
  </w:style>
  <w:style w:type="paragraph" w:customStyle="1" w:styleId="94">
    <w:name w:val="Table Text"/>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 Char Char2"/>
    <w:qFormat/>
    <w:uiPriority w:val="0"/>
    <w:rPr>
      <w:rFonts w:eastAsia="宋体"/>
      <w:kern w:val="2"/>
      <w:sz w:val="18"/>
      <w:lang w:val="en-US" w:eastAsia="zh-CN"/>
    </w:rPr>
  </w:style>
  <w:style w:type="character" w:customStyle="1" w:styleId="96">
    <w:name w:val="标书正文:  0.74 厘米 Char1"/>
    <w:qFormat/>
    <w:uiPriority w:val="0"/>
    <w:rPr>
      <w:rFonts w:eastAsia="宋体"/>
      <w:kern w:val="2"/>
      <w:sz w:val="24"/>
      <w:lang w:val="en-US" w:eastAsia="zh-CN"/>
    </w:rPr>
  </w:style>
  <w:style w:type="character" w:customStyle="1" w:styleId="97">
    <w:name w:val="样式 宋体"/>
    <w:qFormat/>
    <w:uiPriority w:val="0"/>
    <w:rPr>
      <w:rFonts w:ascii="宋体" w:hAnsi="宋体" w:eastAsia="宋体"/>
      <w:sz w:val="28"/>
    </w:rPr>
  </w:style>
  <w:style w:type="character" w:customStyle="1" w:styleId="98">
    <w:name w:val="未命名11"/>
    <w:qFormat/>
    <w:uiPriority w:val="0"/>
    <w:rPr>
      <w:color w:val="77FFFF"/>
      <w:sz w:val="24"/>
    </w:rPr>
  </w:style>
  <w:style w:type="character" w:customStyle="1" w:styleId="99">
    <w:name w:val="crowed11"/>
    <w:qFormat/>
    <w:uiPriority w:val="0"/>
    <w:rPr>
      <w:rFonts w:hint="default" w:ascii="_x000B__x000C_" w:hAnsi="_x000B__x000C_"/>
      <w:sz w:val="24"/>
    </w:rPr>
  </w:style>
  <w:style w:type="character" w:customStyle="1" w:styleId="100">
    <w:name w:val=" Char Char6"/>
    <w:qFormat/>
    <w:uiPriority w:val="0"/>
    <w:rPr>
      <w:rFonts w:ascii="仿宋_GB2312" w:eastAsia="仿宋_GB2312"/>
      <w:kern w:val="2"/>
      <w:sz w:val="32"/>
    </w:rPr>
  </w:style>
  <w:style w:type="character" w:customStyle="1" w:styleId="101">
    <w:name w:val="title_emph1"/>
    <w:qFormat/>
    <w:uiPriority w:val="0"/>
    <w:rPr>
      <w:rFonts w:hint="default" w:ascii="Arial" w:hAnsi="Arial"/>
      <w:b/>
      <w:sz w:val="20"/>
    </w:rPr>
  </w:style>
  <w:style w:type="character" w:customStyle="1" w:styleId="102">
    <w:name w:val="font1"/>
    <w:qFormat/>
    <w:uiPriority w:val="0"/>
    <w:rPr>
      <w:color w:val="000000"/>
      <w:sz w:val="18"/>
    </w:rPr>
  </w:style>
  <w:style w:type="character" w:customStyle="1" w:styleId="103">
    <w:name w:val=" Char Char11"/>
    <w:qFormat/>
    <w:uiPriority w:val="0"/>
    <w:rPr>
      <w:rFonts w:ascii="宋体"/>
      <w:kern w:val="2"/>
      <w:sz w:val="28"/>
    </w:rPr>
  </w:style>
  <w:style w:type="character" w:customStyle="1" w:styleId="104">
    <w:name w:val="top-det1"/>
    <w:qFormat/>
    <w:uiPriority w:val="0"/>
    <w:rPr>
      <w:b/>
      <w:color w:val="000000"/>
    </w:rPr>
  </w:style>
  <w:style w:type="paragraph" w:customStyle="1" w:styleId="105">
    <w:name w:val="二级列表"/>
    <w:basedOn w:val="106"/>
    <w:next w:val="106"/>
    <w:qFormat/>
    <w:uiPriority w:val="0"/>
    <w:pPr>
      <w:tabs>
        <w:tab w:val="left" w:pos="2120"/>
      </w:tabs>
      <w:ind w:firstLine="0" w:firstLineChars="0"/>
    </w:pPr>
    <w:rPr>
      <w:b/>
    </w:rPr>
  </w:style>
  <w:style w:type="paragraph" w:customStyle="1" w:styleId="106">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07">
    <w:name w:val="标题3——2"/>
    <w:basedOn w:val="6"/>
    <w:next w:val="56"/>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08">
    <w:name w:val="文本1"/>
    <w:basedOn w:val="1"/>
    <w:qFormat/>
    <w:uiPriority w:val="0"/>
    <w:pPr>
      <w:adjustRightInd w:val="0"/>
      <w:spacing w:line="312" w:lineRule="atLeast"/>
      <w:jc w:val="center"/>
      <w:textAlignment w:val="baseline"/>
    </w:pPr>
    <w:rPr>
      <w:kern w:val="0"/>
      <w:sz w:val="18"/>
    </w:rPr>
  </w:style>
  <w:style w:type="paragraph" w:customStyle="1" w:styleId="109">
    <w:name w:val="Title - Revision"/>
    <w:basedOn w:val="54"/>
    <w:qFormat/>
    <w:uiPriority w:val="0"/>
    <w:pPr>
      <w:spacing w:before="720" w:beforeLines="0" w:beforeAutospacing="0"/>
    </w:pPr>
  </w:style>
  <w:style w:type="paragraph" w:customStyle="1" w:styleId="11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1">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12">
    <w:name w:val="二级条标题"/>
    <w:basedOn w:val="113"/>
    <w:next w:val="115"/>
    <w:qFormat/>
    <w:uiPriority w:val="0"/>
    <w:pPr>
      <w:ind w:left="840"/>
      <w:outlineLvl w:val="3"/>
    </w:pPr>
  </w:style>
  <w:style w:type="paragraph" w:customStyle="1" w:styleId="113">
    <w:name w:val="一级条标题"/>
    <w:basedOn w:val="114"/>
    <w:next w:val="115"/>
    <w:qFormat/>
    <w:uiPriority w:val="0"/>
    <w:pPr>
      <w:numPr>
        <w:ilvl w:val="1"/>
        <w:numId w:val="0"/>
      </w:numPr>
      <w:spacing w:before="0" w:beforeLines="0" w:beforeAutospacing="0" w:after="0" w:afterLines="0" w:afterAutospacing="0"/>
      <w:ind w:left="525"/>
      <w:outlineLvl w:val="2"/>
    </w:pPr>
    <w:rPr>
      <w:sz w:val="21"/>
    </w:rPr>
  </w:style>
  <w:style w:type="paragraph" w:customStyle="1" w:styleId="114">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6">
    <w:name w:val="1.正文"/>
    <w:basedOn w:val="1"/>
    <w:qFormat/>
    <w:uiPriority w:val="0"/>
    <w:pPr>
      <w:spacing w:line="360" w:lineRule="auto"/>
      <w:ind w:left="540" w:leftChars="225" w:firstLine="540" w:firstLineChars="225"/>
    </w:pPr>
    <w:rPr>
      <w:sz w:val="24"/>
    </w:rPr>
  </w:style>
  <w:style w:type="paragraph" w:customStyle="1" w:styleId="117">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18">
    <w:name w:val="编号正文"/>
    <w:basedOn w:val="119"/>
    <w:qFormat/>
    <w:uiPriority w:val="0"/>
    <w:pPr>
      <w:snapToGrid/>
      <w:spacing w:line="360" w:lineRule="auto"/>
      <w:ind w:left="1407" w:hanging="1047"/>
      <w:jc w:val="left"/>
    </w:pPr>
    <w:rPr>
      <w:rFonts w:eastAsia="仿宋_GB2312"/>
    </w:rPr>
  </w:style>
  <w:style w:type="paragraph" w:customStyle="1" w:styleId="11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0">
    <w:name w:val="样式3"/>
    <w:basedOn w:val="4"/>
    <w:next w:val="4"/>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21">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22">
    <w:name w:val="默认段落字体 Para Char Char Char Char Char Char Char Char Char1 Char Char Char Char"/>
    <w:basedOn w:val="1"/>
    <w:qFormat/>
    <w:uiPriority w:val="0"/>
    <w:rPr>
      <w:rFonts w:ascii="Tahoma" w:hAnsi="Tahoma"/>
      <w:sz w:val="24"/>
    </w:rPr>
  </w:style>
  <w:style w:type="paragraph" w:customStyle="1" w:styleId="12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4">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25">
    <w:name w:val=" Char Char14 Char Char"/>
    <w:basedOn w:val="1"/>
    <w:qFormat/>
    <w:uiPriority w:val="0"/>
    <w:rPr>
      <w:sz w:val="21"/>
      <w:szCs w:val="24"/>
    </w:rPr>
  </w:style>
  <w:style w:type="paragraph" w:customStyle="1" w:styleId="126">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27">
    <w:name w:val=" Char2 Char Char Char Char Char Char"/>
    <w:basedOn w:val="1"/>
    <w:qFormat/>
    <w:uiPriority w:val="0"/>
    <w:rPr>
      <w:rFonts w:ascii="仿宋_GB2312"/>
      <w:b/>
      <w:sz w:val="30"/>
    </w:rPr>
  </w:style>
  <w:style w:type="paragraph" w:customStyle="1" w:styleId="128">
    <w:name w:val="_Style 127"/>
    <w:qFormat/>
    <w:uiPriority w:val="0"/>
    <w:rPr>
      <w:rFonts w:ascii="Times New Roman" w:hAnsi="Times New Roman" w:eastAsia="宋体" w:cs="Times New Roman"/>
      <w:kern w:val="2"/>
      <w:sz w:val="21"/>
      <w:lang w:val="en-US" w:eastAsia="zh-CN" w:bidi="ar-SA"/>
    </w:rPr>
  </w:style>
  <w:style w:type="paragraph" w:customStyle="1" w:styleId="12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0">
    <w:name w:val="正文 + 三号"/>
    <w:basedOn w:val="1"/>
    <w:qFormat/>
    <w:uiPriority w:val="0"/>
    <w:rPr>
      <w:sz w:val="21"/>
    </w:rPr>
  </w:style>
  <w:style w:type="paragraph" w:customStyle="1" w:styleId="131">
    <w:name w:val="样式 首行缩进:  0.74 厘米"/>
    <w:basedOn w:val="1"/>
    <w:qFormat/>
    <w:uiPriority w:val="0"/>
    <w:pPr>
      <w:spacing w:line="360" w:lineRule="auto"/>
      <w:ind w:firstLine="420"/>
    </w:pPr>
    <w:rPr>
      <w:sz w:val="24"/>
    </w:rPr>
  </w:style>
  <w:style w:type="paragraph" w:customStyle="1" w:styleId="132">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33">
    <w:name w:val="标题2"/>
    <w:basedOn w:val="5"/>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3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Table Contents"/>
    <w:basedOn w:val="2"/>
    <w:qFormat/>
    <w:uiPriority w:val="0"/>
    <w:pPr>
      <w:suppressAutoHyphens/>
      <w:jc w:val="left"/>
    </w:pPr>
    <w:rPr>
      <w:rFonts w:ascii="Times New Roman" w:eastAsia="Times New Roman"/>
      <w:kern w:val="0"/>
      <w:sz w:val="24"/>
    </w:rPr>
  </w:style>
  <w:style w:type="paragraph" w:customStyle="1" w:styleId="136">
    <w:name w:val="表格文本"/>
    <w:qFormat/>
    <w:uiPriority w:val="0"/>
    <w:pPr>
      <w:tabs>
        <w:tab w:val="decimal" w:pos="0"/>
      </w:tabs>
    </w:pPr>
    <w:rPr>
      <w:rFonts w:ascii="Arial" w:hAnsi="Arial" w:eastAsia="宋体" w:cs="Times New Roman"/>
      <w:sz w:val="21"/>
      <w:lang w:val="en-US" w:eastAsia="zh-CN" w:bidi="ar-SA"/>
    </w:rPr>
  </w:style>
  <w:style w:type="paragraph" w:customStyle="1" w:styleId="137">
    <w:name w:val=" Char Char Char Char Char Char Char"/>
    <w:basedOn w:val="1"/>
    <w:qFormat/>
    <w:uiPriority w:val="0"/>
    <w:rPr>
      <w:rFonts w:ascii="Tahoma" w:hAnsi="Tahoma"/>
      <w:sz w:val="24"/>
    </w:rPr>
  </w:style>
  <w:style w:type="paragraph" w:customStyle="1" w:styleId="138">
    <w:name w:val="样式2"/>
    <w:basedOn w:val="7"/>
    <w:qFormat/>
    <w:uiPriority w:val="0"/>
    <w:pPr>
      <w:numPr>
        <w:ilvl w:val="0"/>
        <w:numId w:val="7"/>
      </w:numPr>
      <w:spacing w:before="560" w:beforeLines="0" w:line="400" w:lineRule="exact"/>
      <w:jc w:val="center"/>
      <w:outlineLvl w:val="0"/>
    </w:pPr>
    <w:rPr>
      <w:b w:val="0"/>
      <w:sz w:val="44"/>
    </w:rPr>
  </w:style>
  <w:style w:type="paragraph" w:customStyle="1" w:styleId="139">
    <w:name w:val="内容标题"/>
    <w:basedOn w:val="19"/>
    <w:qFormat/>
    <w:uiPriority w:val="0"/>
    <w:rPr>
      <w:rFonts w:ascii="Tahoma" w:hAnsi="Tahoma"/>
      <w:sz w:val="24"/>
    </w:rPr>
  </w:style>
  <w:style w:type="paragraph" w:customStyle="1" w:styleId="140">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41">
    <w:name w:val="1"/>
    <w:basedOn w:val="1"/>
    <w:next w:val="31"/>
    <w:qFormat/>
    <w:uiPriority w:val="0"/>
    <w:rPr>
      <w:rFonts w:ascii="宋体" w:hAnsi="Courier New"/>
      <w:sz w:val="21"/>
    </w:rPr>
  </w:style>
  <w:style w:type="paragraph" w:customStyle="1" w:styleId="142">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43">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44">
    <w:name w:val="Char Char Char Char Char Char Char"/>
    <w:basedOn w:val="19"/>
    <w:qFormat/>
    <w:uiPriority w:val="0"/>
    <w:rPr>
      <w:rFonts w:ascii="宋体" w:hAnsi="Tahoma"/>
    </w:rPr>
  </w:style>
  <w:style w:type="paragraph" w:customStyle="1" w:styleId="145">
    <w:name w:val="样式 标题 6第五层条 + 三号 段前: 0.5 行"/>
    <w:basedOn w:val="9"/>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4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48">
    <w:name w:val="样式 行距: 1.5 倍行距1"/>
    <w:basedOn w:val="1"/>
    <w:qFormat/>
    <w:uiPriority w:val="0"/>
    <w:pPr>
      <w:snapToGrid w:val="0"/>
    </w:pPr>
    <w:rPr>
      <w:sz w:val="21"/>
    </w:rPr>
  </w:style>
  <w:style w:type="paragraph" w:customStyle="1" w:styleId="14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0">
    <w:name w:val="00"/>
    <w:basedOn w:val="1"/>
    <w:qFormat/>
    <w:uiPriority w:val="0"/>
    <w:pPr>
      <w:autoSpaceDE w:val="0"/>
      <w:autoSpaceDN w:val="0"/>
      <w:adjustRightInd w:val="0"/>
      <w:jc w:val="left"/>
    </w:pPr>
    <w:rPr>
      <w:rFonts w:ascii="黑体" w:eastAsia="黑体"/>
      <w:b/>
      <w:kern w:val="0"/>
      <w:sz w:val="20"/>
    </w:rPr>
  </w:style>
  <w:style w:type="paragraph" w:customStyle="1" w:styleId="151">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52">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53">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54">
    <w:name w:val="标准正文"/>
    <w:basedOn w:val="24"/>
    <w:qFormat/>
    <w:uiPriority w:val="0"/>
    <w:pPr>
      <w:spacing w:before="60" w:beforeLines="0" w:after="60" w:afterLines="0" w:line="360" w:lineRule="auto"/>
      <w:ind w:left="0" w:firstLine="482"/>
    </w:pPr>
    <w:rPr>
      <w:rFonts w:ascii="Arial" w:hAnsi="Arial"/>
      <w:sz w:val="24"/>
    </w:rPr>
  </w:style>
  <w:style w:type="paragraph" w:customStyle="1" w:styleId="155">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56">
    <w:name w:val="样式1"/>
    <w:basedOn w:val="7"/>
    <w:qFormat/>
    <w:uiPriority w:val="0"/>
    <w:pPr>
      <w:tabs>
        <w:tab w:val="left" w:pos="720"/>
      </w:tabs>
      <w:spacing w:before="500" w:beforeLines="0" w:beforeAutospacing="0" w:after="260" w:afterLines="0" w:afterAutospacing="0" w:line="560" w:lineRule="atLeast"/>
      <w:ind w:left="420" w:hanging="420"/>
    </w:pPr>
  </w:style>
  <w:style w:type="paragraph" w:customStyle="1" w:styleId="157">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58">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59">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60">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6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4">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6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Title - Date"/>
    <w:basedOn w:val="54"/>
    <w:next w:val="1"/>
    <w:qFormat/>
    <w:uiPriority w:val="0"/>
    <w:pPr>
      <w:spacing w:before="240" w:beforeLines="0" w:beforeAutospacing="0" w:after="720" w:afterLines="0" w:afterAutospacing="0"/>
    </w:pPr>
    <w:rPr>
      <w:sz w:val="28"/>
    </w:rPr>
  </w:style>
  <w:style w:type="paragraph" w:customStyle="1" w:styleId="168">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69">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7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1">
    <w:name w:val="表号"/>
    <w:basedOn w:val="1"/>
    <w:qFormat/>
    <w:uiPriority w:val="0"/>
    <w:pPr>
      <w:numPr>
        <w:ilvl w:val="0"/>
        <w:numId w:val="9"/>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7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3">
    <w:name w:val="Style Heading 3h3Heading 3 - oldLevel 3 HeadH3level_3PIM 3se..."/>
    <w:basedOn w:val="6"/>
    <w:qFormat/>
    <w:uiPriority w:val="0"/>
    <w:pPr>
      <w:numPr>
        <w:ilvl w:val="2"/>
        <w:numId w:val="2"/>
      </w:numPr>
      <w:tabs>
        <w:tab w:val="left" w:pos="709"/>
        <w:tab w:val="left" w:pos="1620"/>
      </w:tabs>
      <w:spacing w:line="413" w:lineRule="auto"/>
    </w:pPr>
  </w:style>
  <w:style w:type="paragraph" w:customStyle="1" w:styleId="174">
    <w:name w:val="样式4"/>
    <w:basedOn w:val="7"/>
    <w:qFormat/>
    <w:uiPriority w:val="0"/>
    <w:pPr>
      <w:adjustRightInd w:val="0"/>
      <w:snapToGrid w:val="0"/>
    </w:pPr>
  </w:style>
  <w:style w:type="paragraph" w:customStyle="1" w:styleId="175">
    <w:name w:val="摘要"/>
    <w:basedOn w:val="1"/>
    <w:next w:val="5"/>
    <w:qFormat/>
    <w:uiPriority w:val="0"/>
    <w:pPr>
      <w:spacing w:line="360" w:lineRule="auto"/>
    </w:pPr>
    <w:rPr>
      <w:rFonts w:eastAsia="黑体"/>
      <w:sz w:val="20"/>
    </w:rPr>
  </w:style>
  <w:style w:type="paragraph" w:customStyle="1" w:styleId="176">
    <w:name w:val=" Char Char 字元 字元 字元 Char Char Char Char"/>
    <w:basedOn w:val="1"/>
    <w:qFormat/>
    <w:uiPriority w:val="0"/>
    <w:pPr>
      <w:adjustRightInd w:val="0"/>
      <w:spacing w:line="360" w:lineRule="auto"/>
    </w:pPr>
    <w:rPr>
      <w:kern w:val="0"/>
      <w:sz w:val="24"/>
    </w:rPr>
  </w:style>
  <w:style w:type="paragraph" w:customStyle="1" w:styleId="177">
    <w:name w:val="可研正文"/>
    <w:basedOn w:val="2"/>
    <w:qFormat/>
    <w:uiPriority w:val="0"/>
    <w:pPr>
      <w:adjustRightInd w:val="0"/>
      <w:snapToGrid w:val="0"/>
      <w:spacing w:line="440" w:lineRule="exact"/>
      <w:ind w:firstLine="567"/>
    </w:pPr>
    <w:rPr>
      <w:sz w:val="28"/>
    </w:rPr>
  </w:style>
  <w:style w:type="paragraph" w:customStyle="1" w:styleId="178">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79">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8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1">
    <w:name w:val="标书正文:  0.74 厘米"/>
    <w:basedOn w:val="1"/>
    <w:qFormat/>
    <w:uiPriority w:val="0"/>
    <w:pPr>
      <w:snapToGrid w:val="0"/>
      <w:spacing w:line="360" w:lineRule="auto"/>
      <w:ind w:firstLine="420"/>
    </w:pPr>
    <w:rPr>
      <w:sz w:val="24"/>
    </w:rPr>
  </w:style>
  <w:style w:type="paragraph" w:customStyle="1" w:styleId="182">
    <w:name w:val="样式 正文缩进正文（首行缩进两字）表正文正文非缩进特点标题4段1 + 首行缩进:  2 字符"/>
    <w:basedOn w:val="17"/>
    <w:qFormat/>
    <w:uiPriority w:val="0"/>
    <w:pPr>
      <w:ind w:firstLine="480" w:firstLineChars="200"/>
    </w:pPr>
  </w:style>
  <w:style w:type="paragraph" w:customStyle="1" w:styleId="18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84">
    <w:name w:val=" Char1 Char Char Char"/>
    <w:basedOn w:val="1"/>
    <w:qFormat/>
    <w:uiPriority w:val="0"/>
    <w:rPr>
      <w:rFonts w:ascii="Tahoma" w:hAnsi="Tahoma"/>
      <w:sz w:val="24"/>
    </w:rPr>
  </w:style>
  <w:style w:type="paragraph" w:customStyle="1" w:styleId="185">
    <w:name w:val="样式 标题 1章标题Heading 0Section HeadPIM 1H1h11st levell11H1..."/>
    <w:basedOn w:val="4"/>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86">
    <w:name w:val="文章正文"/>
    <w:basedOn w:val="1"/>
    <w:qFormat/>
    <w:uiPriority w:val="0"/>
    <w:pPr>
      <w:ind w:firstLine="560" w:firstLineChars="200"/>
    </w:pPr>
    <w:rPr>
      <w:rFonts w:ascii="仿宋_GB2312" w:hAnsi="宋体" w:eastAsia="仿宋_GB2312"/>
      <w:color w:val="000000"/>
    </w:rPr>
  </w:style>
  <w:style w:type="paragraph" w:customStyle="1" w:styleId="18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8">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89">
    <w:name w:val=" Char Char1 Char"/>
    <w:basedOn w:val="1"/>
    <w:qFormat/>
    <w:uiPriority w:val="0"/>
    <w:rPr>
      <w:rFonts w:ascii="Tahoma" w:hAnsi="Tahoma"/>
      <w:sz w:val="24"/>
      <w:szCs w:val="24"/>
    </w:rPr>
  </w:style>
  <w:style w:type="paragraph" w:customStyle="1" w:styleId="190">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1">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92">
    <w:name w:val="Char"/>
    <w:basedOn w:val="1"/>
    <w:qFormat/>
    <w:uiPriority w:val="0"/>
    <w:pPr>
      <w:spacing w:line="240" w:lineRule="atLeast"/>
      <w:ind w:left="420" w:firstLine="420"/>
    </w:pPr>
    <w:rPr>
      <w:kern w:val="0"/>
      <w:sz w:val="21"/>
    </w:rPr>
  </w:style>
  <w:style w:type="paragraph" w:customStyle="1" w:styleId="193">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4">
    <w:name w:val="Char1 Char Char Char"/>
    <w:basedOn w:val="1"/>
    <w:qFormat/>
    <w:uiPriority w:val="0"/>
    <w:rPr>
      <w:rFonts w:ascii="Tahoma" w:hAnsi="Tahoma"/>
      <w:sz w:val="30"/>
    </w:rPr>
  </w:style>
  <w:style w:type="paragraph" w:customStyle="1" w:styleId="195">
    <w:name w:val="表头文本"/>
    <w:qFormat/>
    <w:uiPriority w:val="0"/>
    <w:pPr>
      <w:jc w:val="center"/>
    </w:pPr>
    <w:rPr>
      <w:rFonts w:ascii="Arial" w:hAnsi="Arial" w:eastAsia="宋体" w:cs="Times New Roman"/>
      <w:b/>
      <w:sz w:val="21"/>
      <w:lang w:val="en-US" w:eastAsia="zh-CN" w:bidi="ar-SA"/>
    </w:rPr>
  </w:style>
  <w:style w:type="paragraph" w:customStyle="1" w:styleId="196">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97">
    <w:name w:val=" Char Char Char"/>
    <w:basedOn w:val="1"/>
    <w:qFormat/>
    <w:uiPriority w:val="0"/>
    <w:rPr>
      <w:rFonts w:ascii="Tahoma" w:hAnsi="Tahoma"/>
      <w:sz w:val="24"/>
    </w:rPr>
  </w:style>
  <w:style w:type="paragraph" w:customStyle="1" w:styleId="198">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9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0">
    <w:name w:val="样式 标题 1 + 居中 段前: 6 磅 段后: 6 磅 行距: 1.5 倍行距"/>
    <w:basedOn w:val="4"/>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01">
    <w:name w:val="默认段落字体 Para Char Char Char Char Char Char Char"/>
    <w:basedOn w:val="1"/>
    <w:qFormat/>
    <w:uiPriority w:val="0"/>
    <w:rPr>
      <w:rFonts w:ascii="Tahoma" w:hAnsi="Tahoma"/>
      <w:sz w:val="24"/>
    </w:rPr>
  </w:style>
  <w:style w:type="paragraph" w:customStyle="1" w:styleId="202">
    <w:name w:val="IN Feature"/>
    <w:next w:val="20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3">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204">
    <w:name w:val="首行缩进"/>
    <w:basedOn w:val="1"/>
    <w:qFormat/>
    <w:uiPriority w:val="0"/>
    <w:pPr>
      <w:numPr>
        <w:ilvl w:val="0"/>
        <w:numId w:val="11"/>
      </w:numPr>
      <w:spacing w:line="360" w:lineRule="auto"/>
    </w:pPr>
    <w:rPr>
      <w:rFonts w:eastAsia="仿宋_GB2312"/>
    </w:rPr>
  </w:style>
  <w:style w:type="paragraph" w:customStyle="1" w:styleId="205">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06">
    <w:name w:val="正文表格"/>
    <w:basedOn w:val="1"/>
    <w:qFormat/>
    <w:uiPriority w:val="0"/>
    <w:pPr>
      <w:adjustRightInd w:val="0"/>
      <w:spacing w:before="40" w:beforeLines="0" w:beforeAutospacing="0" w:after="40" w:afterLines="0" w:afterAutospacing="0"/>
    </w:pPr>
    <w:rPr>
      <w:sz w:val="24"/>
    </w:rPr>
  </w:style>
  <w:style w:type="paragraph" w:customStyle="1" w:styleId="207">
    <w:name w:val="表文字"/>
    <w:qFormat/>
    <w:uiPriority w:val="0"/>
    <w:rPr>
      <w:rFonts w:ascii="宋体" w:hAnsi="Times New Roman" w:eastAsia="宋体" w:cs="Times New Roman"/>
      <w:kern w:val="2"/>
      <w:lang w:val="en-US" w:eastAsia="zh-CN" w:bidi="ar-SA"/>
    </w:rPr>
  </w:style>
  <w:style w:type="paragraph" w:customStyle="1" w:styleId="208">
    <w:name w:val="表格内文字"/>
    <w:basedOn w:val="31"/>
    <w:qFormat/>
    <w:uiPriority w:val="0"/>
    <w:pPr>
      <w:adjustRightInd w:val="0"/>
    </w:pPr>
    <w:rPr>
      <w:color w:val="000000"/>
      <w:lang w:val="en-GB"/>
    </w:rPr>
  </w:style>
  <w:style w:type="paragraph" w:customStyle="1" w:styleId="209">
    <w:name w:val="Body Text Indent 2"/>
    <w:basedOn w:val="1"/>
    <w:qFormat/>
    <w:uiPriority w:val="0"/>
    <w:pPr>
      <w:adjustRightInd w:val="0"/>
      <w:spacing w:before="120" w:beforeLines="0" w:beforeAutospacing="0"/>
      <w:ind w:firstLine="420"/>
      <w:textAlignment w:val="baseline"/>
    </w:pPr>
    <w:rPr>
      <w:sz w:val="24"/>
    </w:rPr>
  </w:style>
  <w:style w:type="paragraph" w:customStyle="1" w:styleId="210">
    <w:name w:val="标题无"/>
    <w:basedOn w:val="1"/>
    <w:qFormat/>
    <w:uiPriority w:val="0"/>
    <w:pPr>
      <w:spacing w:line="360" w:lineRule="auto"/>
    </w:pPr>
    <w:rPr>
      <w:sz w:val="24"/>
    </w:rPr>
  </w:style>
  <w:style w:type="paragraph" w:customStyle="1" w:styleId="211">
    <w:name w:val="af"/>
    <w:basedOn w:val="1"/>
    <w:qFormat/>
    <w:uiPriority w:val="0"/>
    <w:pPr>
      <w:widowControl/>
      <w:spacing w:line="300" w:lineRule="atLeast"/>
      <w:jc w:val="left"/>
    </w:pPr>
    <w:rPr>
      <w:rFonts w:ascii="宋体" w:hAnsi="宋体"/>
      <w:kern w:val="0"/>
      <w:sz w:val="18"/>
    </w:rPr>
  </w:style>
  <w:style w:type="paragraph" w:customStyle="1" w:styleId="212">
    <w:name w:val="简单回函地址"/>
    <w:basedOn w:val="1"/>
    <w:qFormat/>
    <w:uiPriority w:val="0"/>
    <w:pPr>
      <w:adjustRightInd w:val="0"/>
      <w:snapToGrid w:val="0"/>
      <w:spacing w:line="360" w:lineRule="auto"/>
    </w:pPr>
    <w:rPr>
      <w:sz w:val="24"/>
    </w:rPr>
  </w:style>
  <w:style w:type="paragraph" w:customStyle="1" w:styleId="21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4">
    <w:name w:val="正文（首行不缩进）"/>
    <w:basedOn w:val="1"/>
    <w:qFormat/>
    <w:uiPriority w:val="0"/>
    <w:pPr>
      <w:autoSpaceDE w:val="0"/>
      <w:autoSpaceDN w:val="0"/>
      <w:adjustRightInd w:val="0"/>
      <w:spacing w:line="360" w:lineRule="auto"/>
      <w:jc w:val="left"/>
    </w:pPr>
    <w:rPr>
      <w:kern w:val="0"/>
      <w:sz w:val="21"/>
    </w:rPr>
  </w:style>
  <w:style w:type="paragraph" w:customStyle="1" w:styleId="215">
    <w:name w:val="正文1"/>
    <w:basedOn w:val="1"/>
    <w:qFormat/>
    <w:uiPriority w:val="0"/>
    <w:pPr>
      <w:spacing w:line="300" w:lineRule="auto"/>
      <w:ind w:firstLine="200" w:firstLineChars="200"/>
    </w:pPr>
    <w:rPr>
      <w:sz w:val="24"/>
    </w:rPr>
  </w:style>
  <w:style w:type="paragraph" w:customStyle="1" w:styleId="21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7">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18">
    <w:name w:val="表头样式"/>
    <w:basedOn w:val="1"/>
    <w:qFormat/>
    <w:uiPriority w:val="0"/>
    <w:pPr>
      <w:autoSpaceDE w:val="0"/>
      <w:autoSpaceDN w:val="0"/>
      <w:adjustRightInd w:val="0"/>
      <w:spacing w:line="360" w:lineRule="auto"/>
      <w:jc w:val="left"/>
    </w:pPr>
    <w:rPr>
      <w:b/>
      <w:kern w:val="0"/>
      <w:sz w:val="21"/>
    </w:rPr>
  </w:style>
  <w:style w:type="paragraph" w:customStyle="1" w:styleId="219">
    <w:name w:val="图片文字"/>
    <w:basedOn w:val="1"/>
    <w:qFormat/>
    <w:uiPriority w:val="0"/>
    <w:pPr>
      <w:spacing w:line="240" w:lineRule="atLeast"/>
      <w:jc w:val="center"/>
    </w:pPr>
    <w:rPr>
      <w:sz w:val="21"/>
    </w:rPr>
  </w:style>
  <w:style w:type="paragraph" w:customStyle="1" w:styleId="220">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21">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22">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3">
    <w:name w:val="首行缩进 1"/>
    <w:basedOn w:val="1"/>
    <w:qFormat/>
    <w:uiPriority w:val="0"/>
    <w:pPr>
      <w:spacing w:after="120" w:afterLines="0" w:afterAutospacing="0" w:line="360" w:lineRule="auto"/>
      <w:ind w:firstLine="200" w:firstLineChars="200"/>
    </w:pPr>
    <w:rPr>
      <w:sz w:val="24"/>
    </w:rPr>
  </w:style>
  <w:style w:type="paragraph" w:customStyle="1" w:styleId="224">
    <w:name w:val=" Char"/>
    <w:basedOn w:val="1"/>
    <w:qFormat/>
    <w:uiPriority w:val="0"/>
    <w:pPr>
      <w:spacing w:line="240" w:lineRule="atLeast"/>
      <w:ind w:left="420" w:firstLine="420"/>
    </w:pPr>
    <w:rPr>
      <w:kern w:val="0"/>
      <w:sz w:val="21"/>
    </w:rPr>
  </w:style>
  <w:style w:type="paragraph" w:customStyle="1" w:styleId="22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6">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9">
    <w:name w:val=" Char1"/>
    <w:basedOn w:val="1"/>
    <w:qFormat/>
    <w:uiPriority w:val="0"/>
    <w:rPr>
      <w:sz w:val="21"/>
    </w:rPr>
  </w:style>
  <w:style w:type="paragraph" w:customStyle="1" w:styleId="230">
    <w:name w:val="Note"/>
    <w:basedOn w:val="1"/>
    <w:qFormat/>
    <w:uiPriority w:val="0"/>
    <w:pPr>
      <w:pBdr>
        <w:top w:val="single" w:color="auto" w:sz="12" w:space="3"/>
        <w:bottom w:val="single" w:color="auto" w:sz="12" w:space="3"/>
      </w:pBdr>
      <w:spacing w:line="360" w:lineRule="auto"/>
    </w:pPr>
    <w:rPr>
      <w:sz w:val="24"/>
    </w:rPr>
  </w:style>
  <w:style w:type="paragraph" w:customStyle="1" w:styleId="231">
    <w:name w:val=" Char Char Char Char Char Char Char Char Char Char Char Char Char Char Char Char"/>
    <w:basedOn w:val="1"/>
    <w:qFormat/>
    <w:uiPriority w:val="0"/>
    <w:pPr>
      <w:tabs>
        <w:tab w:val="left" w:pos="360"/>
      </w:tabs>
    </w:pPr>
    <w:rPr>
      <w:sz w:val="24"/>
    </w:rPr>
  </w:style>
  <w:style w:type="paragraph" w:customStyle="1" w:styleId="232">
    <w:name w:val="样式 宋体 五号 行距: 单倍行距"/>
    <w:basedOn w:val="1"/>
    <w:qFormat/>
    <w:uiPriority w:val="0"/>
    <w:pPr>
      <w:adjustRightInd w:val="0"/>
      <w:jc w:val="left"/>
    </w:pPr>
    <w:rPr>
      <w:rFonts w:ascii="宋体" w:hAnsi="宋体"/>
      <w:kern w:val="0"/>
      <w:sz w:val="21"/>
    </w:rPr>
  </w:style>
  <w:style w:type="paragraph" w:customStyle="1" w:styleId="233">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bt"/>
    <w:basedOn w:val="1"/>
    <w:next w:val="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236">
    <w:name w:val="图例"/>
    <w:basedOn w:val="1"/>
    <w:qFormat/>
    <w:uiPriority w:val="0"/>
    <w:pPr>
      <w:spacing w:before="120" w:beforeLines="0" w:beforeAutospacing="0" w:after="120" w:afterLines="0" w:afterAutospacing="0" w:line="360" w:lineRule="auto"/>
      <w:jc w:val="center"/>
    </w:pPr>
    <w:rPr>
      <w:rFonts w:eastAsia="仿宋_GB2312"/>
      <w:b/>
      <w:sz w:val="24"/>
    </w:rPr>
  </w:style>
  <w:style w:type="character" w:customStyle="1" w:styleId="237">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theme" Target="theme/theme1.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1016;&#20025;2021\2024&#24180;&#25307;&#26631;&#39033;&#30446;\&#28074;&#38517;&#21306;\&#37325;&#24198;&#24066;&#20044;&#27743;&#33322;&#36947;&#31649;&#29702;&#22788;\WJ2024010%20%202024&#24180;&#19979;&#21322;&#24180;&#20044;&#27743;&#38505;&#28393;&#33322;&#27573;&#27827;&#24202;&#22320;&#24418;&#22270;&#27979;&#37327;&#39033;&#30446;\&#37325;&#24198;&#24066;&#20044;&#27743;&#33322;&#36947;&#31649;&#29702;&#22788;&#20851;&#20110;2024&#24180;&#19979;&#21322;&#24180;&#24230;&#20044;&#27743;&#38505;&#28393;&#33322;&#27573;&#27827;&#24202;&#22320;&#24418;&#22270;&#27979;&#37327;&#39033;&#30446;&#38480;&#39069;&#20197;&#19979;&#30923;&#21830;&#35780;&#20998;&#37319;&#36141;&#25991;&#20214;(1)(4).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重庆市乌江航道管理处关于2024年下半年度乌江险滩航段河床地形图测量项目限额以下磋商评分采购文件(1)(4).docx</Template>
  <Manager>罗成</Manager>
  <Pages>32</Pages>
  <Words>6880</Words>
  <Characters>7291</Characters>
  <Lines>89</Lines>
  <Paragraphs>25</Paragraphs>
  <TotalTime>5</TotalTime>
  <ScaleCrop>false</ScaleCrop>
  <LinksUpToDate>false</LinksUpToDate>
  <CharactersWithSpaces>7348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2024-12-19T01:47:00Z</dcterms:created>
  <dc:creator>剪夏罗</dc:creator>
  <cp:lastModifiedBy>jtj</cp:lastModifiedBy>
  <dcterms:modified xsi:type="dcterms:W3CDTF">2024-12-23T07:39:51Z</dcterms:modified>
  <dc:title>竞争性谈判文件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73025DA3BAC84F64BF6D608ABAFEEF64_11</vt:lpwstr>
  </property>
</Properties>
</file>