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hint="eastAsia" w:ascii="方正黑体_GBK" w:eastAsia="方正黑体_GBK"/>
          <w:sz w:val="84"/>
          <w:szCs w:val="84"/>
        </w:rPr>
      </w:pPr>
      <w:bookmarkStart w:id="186" w:name="_GoBack"/>
      <w:bookmarkEnd w:id="186"/>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84"/>
          <w:szCs w:val="8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2"/>
          <w:highlight w:val="none"/>
        </w:rPr>
      </w:pPr>
      <w:r>
        <w:rPr>
          <w:rFonts w:hint="eastAsia" w:ascii="方正黑体_GBK" w:hAnsi="宋体" w:eastAsia="方正黑体_GBK"/>
          <w:sz w:val="72"/>
          <w:szCs w:val="72"/>
        </w:rPr>
        <w:t>限额以下磋商评分采购文件</w:t>
      </w:r>
    </w:p>
    <w:p>
      <w:pPr>
        <w:pStyle w:val="23"/>
        <w:ind w:firstLine="0"/>
        <w:rPr>
          <w:rFonts w:hint="eastAsia" w:ascii="宋体" w:hAnsi="宋体" w:eastAsia="宋体" w:cs="宋体"/>
          <w:color w:val="auto"/>
          <w:highlight w:val="none"/>
        </w:rPr>
      </w:pPr>
    </w:p>
    <w:p>
      <w:pPr>
        <w:bidi w:val="0"/>
        <w:rPr>
          <w:rFonts w:hint="eastAsia"/>
        </w:rPr>
      </w:pPr>
    </w:p>
    <w:p>
      <w:pPr>
        <w:pStyle w:val="23"/>
        <w:ind w:firstLine="0"/>
        <w:rPr>
          <w:rFonts w:hint="eastAsia" w:ascii="宋体" w:hAnsi="宋体" w:eastAsia="宋体" w:cs="宋体"/>
          <w:color w:val="auto"/>
          <w:sz w:val="36"/>
          <w:szCs w:val="36"/>
          <w:highlight w:val="none"/>
        </w:rPr>
      </w:pPr>
    </w:p>
    <w:p>
      <w:pPr>
        <w:bidi w:val="0"/>
        <w:rPr>
          <w:rFonts w:hint="eastAsia"/>
        </w:rPr>
      </w:pPr>
    </w:p>
    <w:p>
      <w:pPr>
        <w:spacing w:line="500" w:lineRule="exact"/>
        <w:ind w:firstLine="1440" w:firstLineChars="400"/>
        <w:outlineLvl w:val="0"/>
        <w:rPr>
          <w:rFonts w:hint="eastAsia" w:ascii="方正小标宋_GBK" w:hAnsi="宋体" w:eastAsia="方正小标宋_GBK" w:cs="Times New Roman"/>
          <w:sz w:val="36"/>
          <w:szCs w:val="36"/>
          <w:lang w:eastAsia="zh-CN"/>
        </w:rPr>
      </w:pPr>
      <w:r>
        <w:rPr>
          <w:rFonts w:hint="eastAsia" w:ascii="方正小标宋_GBK" w:hAnsi="宋体" w:eastAsia="方正小标宋_GBK" w:cs="Times New Roman"/>
          <w:sz w:val="36"/>
          <w:szCs w:val="36"/>
          <w:lang w:eastAsia="zh-CN"/>
        </w:rPr>
        <w:t>项目名称：老旧房屋安全性鉴定（第二次）</w:t>
      </w:r>
    </w:p>
    <w:p>
      <w:pPr>
        <w:spacing w:line="500" w:lineRule="exact"/>
        <w:ind w:firstLine="1440" w:firstLineChars="400"/>
        <w:outlineLvl w:val="0"/>
        <w:rPr>
          <w:rFonts w:hint="eastAsia" w:ascii="宋体" w:hAnsi="宋体" w:eastAsia="宋体" w:cs="宋体"/>
          <w:b/>
          <w:bCs/>
          <w:color w:val="auto"/>
          <w:sz w:val="36"/>
          <w:szCs w:val="36"/>
          <w:highlight w:val="none"/>
          <w:lang w:eastAsia="zh-CN"/>
        </w:rPr>
      </w:pPr>
      <w:r>
        <w:rPr>
          <w:rFonts w:hint="eastAsia" w:ascii="方正小标宋_GBK" w:hAnsi="宋体" w:eastAsia="方正小标宋_GBK" w:cs="Times New Roman"/>
          <w:sz w:val="36"/>
          <w:szCs w:val="36"/>
        </w:rPr>
        <w:t>采购人：重庆市嘉陵江航道管理处</w:t>
      </w:r>
    </w:p>
    <w:p>
      <w:pPr>
        <w:pStyle w:val="8"/>
        <w:rPr>
          <w:rFonts w:hint="eastAsia" w:ascii="宋体" w:hAnsi="宋体" w:eastAsia="宋体" w:cs="宋体"/>
          <w:color w:val="auto"/>
          <w:sz w:val="36"/>
          <w:szCs w:val="36"/>
          <w:highlight w:val="none"/>
        </w:rPr>
      </w:pPr>
    </w:p>
    <w:p>
      <w:pPr>
        <w:spacing w:line="480" w:lineRule="exact"/>
        <w:jc w:val="center"/>
        <w:outlineLvl w:val="0"/>
        <w:rPr>
          <w:rFonts w:hint="eastAsia" w:ascii="宋体" w:hAnsi="宋体" w:eastAsia="宋体" w:cs="宋体"/>
          <w:b/>
          <w:bCs/>
          <w:color w:val="auto"/>
          <w:sz w:val="36"/>
          <w:szCs w:val="36"/>
          <w:highlight w:val="none"/>
        </w:rPr>
      </w:pPr>
    </w:p>
    <w:p>
      <w:pPr>
        <w:spacing w:line="480" w:lineRule="exact"/>
        <w:jc w:val="center"/>
        <w:outlineLvl w:val="0"/>
        <w:rPr>
          <w:rFonts w:hint="eastAsia" w:ascii="宋体" w:hAnsi="宋体" w:eastAsia="宋体" w:cs="宋体"/>
          <w:b/>
          <w:bCs/>
          <w:color w:val="auto"/>
          <w:sz w:val="36"/>
          <w:szCs w:val="36"/>
          <w:highlight w:val="none"/>
        </w:rPr>
      </w:pPr>
    </w:p>
    <w:p>
      <w:pPr>
        <w:spacing w:line="480" w:lineRule="exac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二〇二</w:t>
      </w:r>
      <w:r>
        <w:rPr>
          <w:rFonts w:hint="eastAsia" w:ascii="宋体" w:hAnsi="宋体" w:eastAsia="宋体" w:cs="宋体"/>
          <w:b/>
          <w:bCs/>
          <w:color w:val="auto"/>
          <w:sz w:val="36"/>
          <w:szCs w:val="36"/>
          <w:highlight w:val="none"/>
          <w:lang w:eastAsia="zh-CN"/>
        </w:rPr>
        <w:t>四</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eastAsia="zh-CN"/>
        </w:rPr>
        <w:t>十一</w:t>
      </w:r>
      <w:r>
        <w:rPr>
          <w:rFonts w:hint="eastAsia" w:ascii="宋体" w:hAnsi="宋体" w:eastAsia="宋体" w:cs="宋体"/>
          <w:b/>
          <w:bCs/>
          <w:color w:val="auto"/>
          <w:sz w:val="36"/>
          <w:szCs w:val="36"/>
          <w:highlight w:val="none"/>
        </w:rPr>
        <w:t>月</w:t>
      </w:r>
    </w:p>
    <w:p>
      <w:pPr>
        <w:rPr>
          <w:rFonts w:hint="eastAsia" w:ascii="宋体" w:hAnsi="宋体" w:eastAsia="宋体" w:cs="宋体"/>
          <w:b/>
          <w:bCs/>
          <w:color w:val="auto"/>
          <w:sz w:val="44"/>
          <w:szCs w:val="28"/>
          <w:highlight w:val="none"/>
        </w:rPr>
      </w:pPr>
    </w:p>
    <w:p>
      <w:pPr>
        <w:pStyle w:val="2"/>
        <w:bidi w:val="0"/>
        <w:rPr>
          <w:rFonts w:hint="eastAsia"/>
        </w:rPr>
        <w:sectPr>
          <w:headerReference r:id="rId3" w:type="default"/>
          <w:footerReference r:id="rId4" w:type="default"/>
          <w:footerReference r:id="rId5" w:type="even"/>
          <w:pgSz w:w="11907" w:h="16840"/>
          <w:pgMar w:top="1134" w:right="1191" w:bottom="1134" w:left="1304" w:header="964" w:footer="992" w:gutter="0"/>
          <w:pgNumType w:fmt="numberInDash" w:start="1"/>
          <w:cols w:space="720" w:num="1"/>
          <w:titlePg/>
          <w:docGrid w:linePitch="312" w:charSpace="0"/>
        </w:sectPr>
      </w:pPr>
      <w:bookmarkStart w:id="0" w:name="_Toc12789052"/>
      <w:bookmarkStart w:id="1" w:name="_Toc106034769"/>
      <w:bookmarkStart w:id="2" w:name="_Toc24817"/>
      <w:bookmarkStart w:id="3" w:name="_Toc65660329"/>
      <w:bookmarkStart w:id="4" w:name="_Toc15726"/>
      <w:bookmarkStart w:id="5" w:name="_Toc12217"/>
      <w:bookmarkStart w:id="6" w:name="_Toc11641050"/>
      <w:bookmarkStart w:id="7" w:name="_Toc24173"/>
    </w:p>
    <w:p>
      <w:pPr>
        <w:pStyle w:val="2"/>
        <w:bidi w:val="0"/>
        <w:rPr>
          <w:rFonts w:hint="eastAsia"/>
        </w:rPr>
      </w:pPr>
      <w:r>
        <w:rPr>
          <w:rFonts w:hint="eastAsia"/>
        </w:rPr>
        <w:t>第一篇  限额以下磋商评分采购邀请书</w:t>
      </w:r>
      <w:bookmarkEnd w:id="0"/>
      <w:bookmarkEnd w:id="1"/>
      <w:bookmarkEnd w:id="2"/>
      <w:bookmarkEnd w:id="3"/>
      <w:bookmarkEnd w:id="4"/>
      <w:bookmarkEnd w:id="5"/>
      <w:bookmarkEnd w:id="6"/>
      <w:bookmarkEnd w:id="7"/>
    </w:p>
    <w:p>
      <w:pPr>
        <w:snapToGrid w:val="0"/>
        <w:spacing w:line="400" w:lineRule="exact"/>
        <w:ind w:firstLine="480" w:firstLineChars="200"/>
        <w:rPr>
          <w:rFonts w:ascii="方正仿宋_GBK" w:hAnsi="宋体" w:eastAsia="方正仿宋_GBK"/>
          <w:sz w:val="24"/>
          <w:szCs w:val="24"/>
        </w:rPr>
      </w:pPr>
      <w:bookmarkStart w:id="8" w:name="_Toc317775175"/>
      <w:bookmarkStart w:id="9" w:name="_Toc15765"/>
      <w:bookmarkStart w:id="10" w:name="_Toc3874"/>
      <w:bookmarkStart w:id="11" w:name="_Toc29871"/>
      <w:bookmarkStart w:id="12" w:name="_Toc11087"/>
      <w:bookmarkStart w:id="13" w:name="_Toc313893526"/>
      <w:bookmarkStart w:id="14" w:name="_Toc22701"/>
      <w:r>
        <w:rPr>
          <w:rFonts w:hint="eastAsia" w:ascii="方正仿宋_GBK" w:hAnsi="宋体" w:eastAsia="方正仿宋_GBK"/>
          <w:sz w:val="24"/>
          <w:szCs w:val="24"/>
        </w:rPr>
        <w:t>根据工作需要，重庆市嘉陵江航道管理处对</w:t>
      </w:r>
      <w:r>
        <w:rPr>
          <w:rFonts w:hint="eastAsia" w:ascii="方正仿宋_GBK" w:hAnsi="宋体" w:eastAsia="方正仿宋_GBK"/>
          <w:sz w:val="24"/>
          <w:szCs w:val="24"/>
          <w:lang w:eastAsia="zh-CN"/>
        </w:rPr>
        <w:t>部分</w:t>
      </w:r>
      <w:r>
        <w:rPr>
          <w:rFonts w:hint="eastAsia" w:ascii="方正仿宋_GBK" w:hAnsi="宋体" w:eastAsia="方正仿宋_GBK"/>
          <w:sz w:val="24"/>
          <w:szCs w:val="24"/>
        </w:rPr>
        <w:t>老旧房屋安全性鉴定项目进行限额以下磋商评分采购。欢迎有资格的供应商前来参加报价。</w:t>
      </w:r>
    </w:p>
    <w:p>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方正仿宋_GBK" w:hAnsi="宋体" w:eastAsia="方正仿宋_GBK" w:cs="Times New Roman"/>
          <w:b/>
          <w:bCs w:val="0"/>
          <w:kern w:val="2"/>
          <w:sz w:val="24"/>
          <w:szCs w:val="20"/>
          <w:lang w:val="en-US" w:eastAsia="zh-CN" w:bidi="ar-SA"/>
        </w:rPr>
        <w:t>一、招标采购内容</w:t>
      </w:r>
      <w:bookmarkEnd w:id="8"/>
      <w:bookmarkEnd w:id="9"/>
      <w:bookmarkEnd w:id="10"/>
      <w:bookmarkEnd w:id="11"/>
      <w:bookmarkEnd w:id="12"/>
      <w:bookmarkEnd w:id="13"/>
      <w:bookmarkEnd w:id="14"/>
    </w:p>
    <w:tbl>
      <w:tblPr>
        <w:tblStyle w:val="2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1800"/>
        <w:gridCol w:w="264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58" w:type="dxa"/>
            <w:tcBorders>
              <w:top w:val="single" w:color="auto" w:sz="4" w:space="0"/>
              <w:left w:val="single" w:color="auto" w:sz="4" w:space="0"/>
              <w:right w:val="single" w:color="auto" w:sz="4" w:space="0"/>
            </w:tcBorders>
            <w:vAlign w:val="center"/>
          </w:tcPr>
          <w:p>
            <w:pPr>
              <w:pStyle w:val="4"/>
              <w:adjustRightInd w:val="0"/>
              <w:snapToGrid w:val="0"/>
              <w:spacing w:before="0" w:after="0" w:line="400" w:lineRule="exact"/>
              <w:jc w:val="center"/>
              <w:rPr>
                <w:rFonts w:hint="eastAsia" w:ascii="方正仿宋_GBK" w:hAnsi="宋体" w:eastAsia="方正仿宋_GBK" w:cs="Times New Roman"/>
                <w:b/>
                <w:bCs w:val="0"/>
                <w:kern w:val="2"/>
                <w:sz w:val="24"/>
                <w:szCs w:val="20"/>
                <w:lang w:val="en-US" w:eastAsia="zh-CN" w:bidi="ar-SA"/>
              </w:rPr>
            </w:pPr>
            <w:r>
              <w:rPr>
                <w:rFonts w:hint="eastAsia" w:ascii="方正仿宋_GBK" w:hAnsi="宋体" w:eastAsia="方正仿宋_GBK" w:cs="Times New Roman"/>
                <w:b/>
                <w:bCs w:val="0"/>
                <w:kern w:val="2"/>
                <w:sz w:val="24"/>
                <w:szCs w:val="20"/>
                <w:lang w:val="en-US" w:eastAsia="zh-CN" w:bidi="ar-SA"/>
              </w:rPr>
              <w:t>项目名称</w:t>
            </w:r>
          </w:p>
        </w:tc>
        <w:tc>
          <w:tcPr>
            <w:tcW w:w="1800" w:type="dxa"/>
            <w:tcBorders>
              <w:top w:val="single" w:color="auto" w:sz="4" w:space="0"/>
              <w:left w:val="single" w:color="auto" w:sz="4" w:space="0"/>
              <w:right w:val="single" w:color="auto" w:sz="4" w:space="0"/>
            </w:tcBorders>
            <w:vAlign w:val="center"/>
          </w:tcPr>
          <w:p>
            <w:pPr>
              <w:pStyle w:val="4"/>
              <w:adjustRightInd w:val="0"/>
              <w:snapToGrid w:val="0"/>
              <w:spacing w:before="0" w:after="0" w:line="400" w:lineRule="exact"/>
              <w:jc w:val="center"/>
              <w:rPr>
                <w:rFonts w:hint="eastAsia" w:ascii="方正仿宋_GBK" w:hAnsi="宋体" w:eastAsia="方正仿宋_GBK" w:cs="Times New Roman"/>
                <w:b/>
                <w:bCs w:val="0"/>
                <w:kern w:val="2"/>
                <w:sz w:val="24"/>
                <w:szCs w:val="20"/>
                <w:lang w:val="en-US" w:eastAsia="zh-CN" w:bidi="ar-SA"/>
              </w:rPr>
            </w:pPr>
            <w:r>
              <w:rPr>
                <w:rFonts w:hint="eastAsia" w:ascii="方正仿宋_GBK" w:hAnsi="宋体" w:eastAsia="方正仿宋_GBK" w:cs="Times New Roman"/>
                <w:b/>
                <w:bCs w:val="0"/>
                <w:kern w:val="2"/>
                <w:sz w:val="24"/>
                <w:szCs w:val="20"/>
                <w:lang w:val="en-US" w:eastAsia="zh-CN" w:bidi="ar-SA"/>
              </w:rPr>
              <w:t>最高限价（元）</w:t>
            </w:r>
          </w:p>
        </w:tc>
        <w:tc>
          <w:tcPr>
            <w:tcW w:w="2646" w:type="dxa"/>
            <w:tcBorders>
              <w:top w:val="single" w:color="auto" w:sz="4" w:space="0"/>
              <w:left w:val="single" w:color="auto" w:sz="4" w:space="0"/>
              <w:right w:val="single" w:color="auto" w:sz="4" w:space="0"/>
            </w:tcBorders>
            <w:vAlign w:val="center"/>
          </w:tcPr>
          <w:p>
            <w:pPr>
              <w:pStyle w:val="4"/>
              <w:adjustRightInd w:val="0"/>
              <w:snapToGrid w:val="0"/>
              <w:spacing w:before="0" w:after="0" w:line="400" w:lineRule="exact"/>
              <w:jc w:val="center"/>
              <w:rPr>
                <w:rFonts w:hint="eastAsia" w:ascii="方正仿宋_GBK" w:hAnsi="宋体" w:eastAsia="方正仿宋_GBK" w:cs="Times New Roman"/>
                <w:b/>
                <w:bCs w:val="0"/>
                <w:kern w:val="2"/>
                <w:sz w:val="24"/>
                <w:szCs w:val="20"/>
                <w:lang w:val="en-US" w:eastAsia="zh-CN" w:bidi="ar-SA"/>
              </w:rPr>
            </w:pPr>
            <w:r>
              <w:rPr>
                <w:rFonts w:hint="eastAsia" w:ascii="方正仿宋_GBK" w:hAnsi="宋体" w:eastAsia="方正仿宋_GBK" w:cs="Times New Roman"/>
                <w:b/>
                <w:bCs w:val="0"/>
                <w:kern w:val="2"/>
                <w:sz w:val="24"/>
                <w:szCs w:val="20"/>
                <w:lang w:val="en-US" w:eastAsia="zh-CN" w:bidi="ar-SA"/>
              </w:rPr>
              <w:t>成交供应商数量（名）</w:t>
            </w:r>
          </w:p>
        </w:tc>
        <w:tc>
          <w:tcPr>
            <w:tcW w:w="1569" w:type="dxa"/>
            <w:tcBorders>
              <w:top w:val="single" w:color="auto" w:sz="4" w:space="0"/>
              <w:left w:val="single" w:color="auto" w:sz="4" w:space="0"/>
              <w:right w:val="single" w:color="auto" w:sz="4" w:space="0"/>
            </w:tcBorders>
            <w:vAlign w:val="center"/>
          </w:tcPr>
          <w:p>
            <w:pPr>
              <w:pStyle w:val="4"/>
              <w:adjustRightInd w:val="0"/>
              <w:snapToGrid w:val="0"/>
              <w:spacing w:before="0" w:after="0" w:line="400" w:lineRule="exact"/>
              <w:jc w:val="center"/>
              <w:rPr>
                <w:rFonts w:hint="eastAsia" w:ascii="方正仿宋_GBK" w:hAnsi="宋体" w:eastAsia="方正仿宋_GBK" w:cs="Times New Roman"/>
                <w:b/>
                <w:bCs w:val="0"/>
                <w:kern w:val="2"/>
                <w:sz w:val="24"/>
                <w:szCs w:val="20"/>
                <w:lang w:val="en-US" w:eastAsia="zh-CN" w:bidi="ar-SA"/>
              </w:rPr>
            </w:pPr>
            <w:r>
              <w:rPr>
                <w:rFonts w:hint="eastAsia" w:ascii="方正仿宋_GBK" w:hAnsi="宋体" w:eastAsia="方正仿宋_GBK" w:cs="Times New Roman"/>
                <w:b/>
                <w:bCs w:val="0"/>
                <w:kern w:val="2"/>
                <w:sz w:val="24"/>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yellow"/>
                <w:lang w:eastAsia="zh-CN"/>
              </w:rPr>
            </w:pPr>
            <w:bookmarkStart w:id="15" w:name="_Hlk344477914"/>
            <w:r>
              <w:rPr>
                <w:rFonts w:hint="eastAsia" w:ascii="方正仿宋_GBK" w:hAnsi="宋体" w:eastAsia="方正仿宋_GBK"/>
                <w:sz w:val="24"/>
                <w:szCs w:val="24"/>
                <w:lang w:eastAsia="zh-CN"/>
              </w:rPr>
              <w:t>老旧房屋安全性鉴定（第二次）</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方正仿宋_GBK" w:cs="宋体"/>
                <w:color w:val="auto"/>
                <w:sz w:val="24"/>
                <w:szCs w:val="24"/>
                <w:highlight w:val="yellow"/>
                <w:lang w:val="en-US" w:eastAsia="zh-CN"/>
              </w:rPr>
            </w:pPr>
            <w:r>
              <w:rPr>
                <w:rFonts w:hint="default" w:ascii="方正仿宋_GBK" w:hAnsi="宋体" w:eastAsia="方正仿宋_GBK"/>
                <w:sz w:val="24"/>
                <w:szCs w:val="24"/>
                <w:lang w:val="en-US" w:eastAsia="zh-CN"/>
              </w:rPr>
              <w:t>45850</w:t>
            </w:r>
            <w:r>
              <w:rPr>
                <w:rFonts w:hint="eastAsia" w:ascii="方正仿宋_GBK" w:hAnsi="宋体" w:eastAsia="方正仿宋_GBK"/>
                <w:sz w:val="24"/>
                <w:szCs w:val="24"/>
                <w:lang w:val="en-US" w:eastAsia="zh-CN"/>
              </w:rPr>
              <w:t>元</w:t>
            </w:r>
          </w:p>
        </w:tc>
        <w:tc>
          <w:tcPr>
            <w:tcW w:w="26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sz w:val="24"/>
                <w:szCs w:val="24"/>
                <w:lang w:eastAsia="zh-CN"/>
              </w:rPr>
            </w:pPr>
            <w:r>
              <w:rPr>
                <w:rFonts w:hint="eastAsia" w:ascii="方正仿宋_GBK" w:hAnsi="宋体" w:eastAsia="方正仿宋_GBK"/>
                <w:sz w:val="24"/>
                <w:szCs w:val="24"/>
                <w:lang w:val="en-US" w:eastAsia="zh-CN"/>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sz w:val="24"/>
                <w:szCs w:val="24"/>
                <w:lang w:val="en-US" w:eastAsia="zh-CN"/>
              </w:rPr>
            </w:pPr>
          </w:p>
        </w:tc>
      </w:tr>
      <w:bookmarkEnd w:id="15"/>
    </w:tbl>
    <w:p>
      <w:pPr>
        <w:pStyle w:val="3"/>
        <w:adjustRightInd w:val="0"/>
        <w:snapToGrid w:val="0"/>
        <w:spacing w:before="0" w:after="0" w:line="400" w:lineRule="exact"/>
        <w:ind w:firstLine="482" w:firstLineChars="200"/>
        <w:rPr>
          <w:rFonts w:ascii="方正仿宋_GBK" w:hAnsi="宋体" w:eastAsia="方正仿宋_GBK"/>
          <w:sz w:val="24"/>
        </w:rPr>
      </w:pPr>
      <w:bookmarkStart w:id="16" w:name="_Toc65660331"/>
      <w:bookmarkStart w:id="17" w:name="_Toc4424"/>
      <w:bookmarkStart w:id="18" w:name="_Toc3256"/>
      <w:bookmarkStart w:id="19" w:name="_Toc27028"/>
      <w:bookmarkStart w:id="20" w:name="_Toc106034771"/>
      <w:bookmarkStart w:id="21" w:name="_Toc13356"/>
      <w:bookmarkStart w:id="22" w:name="_Toc2620"/>
      <w:bookmarkStart w:id="23" w:name="_Toc32060"/>
      <w:bookmarkStart w:id="24" w:name="_Toc14941"/>
      <w:bookmarkStart w:id="25" w:name="_Toc13882"/>
      <w:bookmarkStart w:id="26" w:name="_Toc373860293"/>
      <w:bookmarkStart w:id="27" w:name="_Toc317775178"/>
      <w:r>
        <w:rPr>
          <w:rFonts w:hint="eastAsia" w:ascii="方正仿宋_GBK" w:hAnsi="宋体" w:eastAsia="方正仿宋_GBK"/>
          <w:sz w:val="24"/>
        </w:rPr>
        <w:t>二、资金来源</w:t>
      </w:r>
      <w:bookmarkEnd w:id="16"/>
      <w:bookmarkEnd w:id="17"/>
      <w:bookmarkEnd w:id="18"/>
      <w:bookmarkEnd w:id="19"/>
      <w:bookmarkEnd w:id="20"/>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lang w:eastAsia="zh-CN"/>
        </w:rPr>
        <w:t>三</w:t>
      </w:r>
      <w:r>
        <w:rPr>
          <w:rFonts w:hint="eastAsia" w:ascii="方正仿宋_GBK" w:hAnsi="宋体" w:eastAsia="方正仿宋_GBK"/>
          <w:sz w:val="24"/>
        </w:rPr>
        <w:t>、供应商资格条件</w:t>
      </w:r>
      <w:bookmarkEnd w:id="21"/>
      <w:bookmarkEnd w:id="22"/>
      <w:bookmarkEnd w:id="23"/>
      <w:bookmarkEnd w:id="24"/>
      <w:bookmarkEnd w:id="25"/>
    </w:p>
    <w:p>
      <w:pPr>
        <w:spacing w:line="400" w:lineRule="exact"/>
        <w:ind w:firstLine="480" w:firstLineChars="200"/>
        <w:rPr>
          <w:rFonts w:hint="eastAsia" w:ascii="方正仿宋_GBK" w:hAnsi="仿宋" w:eastAsia="方正仿宋_GBK"/>
          <w:sz w:val="24"/>
          <w:szCs w:val="24"/>
        </w:rPr>
      </w:pPr>
      <w:bookmarkStart w:id="28" w:name="_Toc1225"/>
      <w:bookmarkStart w:id="29" w:name="_Toc23964"/>
      <w:r>
        <w:rPr>
          <w:rFonts w:hint="eastAsia" w:ascii="方正仿宋_GBK" w:hAnsi="仿宋" w:eastAsia="方正仿宋_GBK"/>
          <w:sz w:val="24"/>
          <w:szCs w:val="24"/>
        </w:rPr>
        <w:t>（一）满足《中华人民共和国政府采购法》第二十二条规定；</w:t>
      </w:r>
      <w:bookmarkEnd w:id="28"/>
      <w:bookmarkEnd w:id="29"/>
    </w:p>
    <w:p>
      <w:pPr>
        <w:spacing w:line="400" w:lineRule="exact"/>
        <w:ind w:firstLine="480" w:firstLineChars="200"/>
        <w:rPr>
          <w:rFonts w:hint="eastAsia" w:ascii="宋体" w:hAnsi="宋体" w:eastAsia="宋体" w:cs="宋体"/>
          <w:color w:val="auto"/>
          <w:sz w:val="24"/>
          <w:szCs w:val="24"/>
          <w:highlight w:val="none"/>
        </w:rPr>
      </w:pPr>
      <w:r>
        <w:rPr>
          <w:rFonts w:hint="eastAsia" w:ascii="方正仿宋_GBK" w:hAnsi="仿宋" w:eastAsia="方正仿宋_GBK"/>
          <w:sz w:val="24"/>
          <w:szCs w:val="24"/>
        </w:rPr>
        <w:t>（二）特定资格条件</w:t>
      </w:r>
      <w:r>
        <w:rPr>
          <w:rFonts w:hint="eastAsia" w:ascii="方正仿宋_GBK" w:hAnsi="仿宋" w:eastAsia="方正仿宋_GBK"/>
          <w:sz w:val="24"/>
          <w:szCs w:val="24"/>
          <w:lang w:eastAsia="zh-CN"/>
        </w:rPr>
        <w:t>：供应商</w:t>
      </w:r>
      <w:r>
        <w:rPr>
          <w:rFonts w:hint="eastAsia" w:ascii="方正仿宋_GBK" w:hAnsi="仿宋" w:eastAsia="方正仿宋_GBK"/>
          <w:sz w:val="24"/>
          <w:szCs w:val="24"/>
        </w:rPr>
        <w:t>具备建设行政主管部门颁发的建设工程质量检测机构资质证书，检测资质类别需同时包含：见证取样检测、地基基础工程检测、主体结构工程现场检测、钢结构工程检测</w:t>
      </w:r>
      <w:r>
        <w:rPr>
          <w:rFonts w:hint="eastAsia" w:ascii="方正仿宋_GBK" w:hAnsi="仿宋" w:eastAsia="方正仿宋_GBK"/>
          <w:sz w:val="24"/>
          <w:szCs w:val="24"/>
          <w:lang w:eastAsia="zh-CN"/>
        </w:rPr>
        <w:t>。</w:t>
      </w:r>
    </w:p>
    <w:bookmarkEnd w:id="26"/>
    <w:bookmarkEnd w:id="27"/>
    <w:p>
      <w:pPr>
        <w:pStyle w:val="3"/>
        <w:adjustRightInd w:val="0"/>
        <w:snapToGrid w:val="0"/>
        <w:spacing w:before="0" w:after="0" w:line="400" w:lineRule="exact"/>
        <w:ind w:firstLine="482" w:firstLineChars="200"/>
        <w:rPr>
          <w:rFonts w:ascii="方正仿宋_GBK" w:hAnsi="宋体" w:eastAsia="方正仿宋_GBK"/>
          <w:sz w:val="24"/>
        </w:rPr>
      </w:pPr>
      <w:bookmarkStart w:id="30" w:name="_Toc65660333"/>
      <w:bookmarkStart w:id="31" w:name="_Toc1386"/>
      <w:bookmarkStart w:id="32" w:name="_Toc11908"/>
      <w:bookmarkStart w:id="33" w:name="_Toc106034773"/>
      <w:bookmarkStart w:id="34" w:name="_Toc13903"/>
      <w:bookmarkStart w:id="35" w:name="_Toc525047161"/>
      <w:bookmarkStart w:id="36" w:name="_Toc521053053"/>
      <w:bookmarkStart w:id="37" w:name="_Toc373860294"/>
      <w:r>
        <w:rPr>
          <w:rFonts w:hint="eastAsia" w:ascii="方正仿宋_GBK" w:hAnsi="宋体" w:eastAsia="方正仿宋_GBK"/>
          <w:sz w:val="24"/>
        </w:rPr>
        <w:t>四、限额以下比价有关说明</w:t>
      </w:r>
      <w:bookmarkEnd w:id="30"/>
      <w:bookmarkEnd w:id="31"/>
      <w:bookmarkEnd w:id="32"/>
      <w:bookmarkEnd w:id="33"/>
      <w:bookmarkEnd w:id="34"/>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hint="eastAsia" w:eastAsia="方正仿宋_GBK"/>
          <w:sz w:val="24"/>
        </w:rPr>
      </w:pPr>
      <w:r>
        <w:rPr>
          <w:rFonts w:hint="eastAsia" w:ascii="方正仿宋_GBK" w:hAnsi="宋体" w:eastAsia="方正仿宋_GBK"/>
          <w:sz w:val="24"/>
          <w:szCs w:val="24"/>
        </w:rPr>
        <w:t>（三）报名方式：在</w:t>
      </w:r>
      <w:r>
        <w:rPr>
          <w:rFonts w:hint="eastAsia" w:ascii="方正仿宋_GBK" w:hAnsi="宋体" w:eastAsia="方正仿宋_GBK"/>
          <w:sz w:val="24"/>
          <w:szCs w:val="24"/>
          <w:lang w:val="en-US" w:eastAsia="zh-CN"/>
        </w:rPr>
        <w:t>2024</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28</w:t>
      </w:r>
      <w:r>
        <w:rPr>
          <w:rFonts w:hint="eastAsia" w:ascii="方正仿宋_GBK" w:hAnsi="宋体" w:eastAsia="方正仿宋_GBK"/>
          <w:sz w:val="24"/>
          <w:szCs w:val="24"/>
        </w:rPr>
        <w:t>日</w:t>
      </w:r>
      <w:r>
        <w:rPr>
          <w:rFonts w:hint="eastAsia" w:ascii="方正仿宋_GBK" w:hAnsi="宋体" w:eastAsia="方正仿宋_GBK"/>
          <w:sz w:val="24"/>
          <w:szCs w:val="24"/>
          <w:lang w:val="en-US" w:eastAsia="zh-CN"/>
        </w:rPr>
        <w:t>17</w:t>
      </w:r>
      <w:r>
        <w:rPr>
          <w:rFonts w:hint="eastAsia" w:ascii="方正仿宋_GBK" w:hAnsi="宋体" w:eastAsia="方正仿宋_GBK"/>
          <w:sz w:val="24"/>
          <w:szCs w:val="24"/>
        </w:rPr>
        <w:t>:00时前，将《报名表》（</w:t>
      </w:r>
      <w:r>
        <w:rPr>
          <w:rFonts w:eastAsia="方正仿宋_GBK"/>
          <w:sz w:val="24"/>
        </w:rPr>
        <w:t>加盖供应商公章）</w:t>
      </w:r>
      <w:r>
        <w:fldChar w:fldCharType="begin"/>
      </w:r>
      <w:r>
        <w:instrText xml:space="preserve">HYPERLINK "mailto:扫描后发送至ghjzbc@163.com"</w:instrText>
      </w:r>
      <w:r>
        <w:fldChar w:fldCharType="separate"/>
      </w:r>
      <w:r>
        <w:rPr>
          <w:rFonts w:eastAsia="方正仿宋_GBK"/>
          <w:sz w:val="24"/>
        </w:rPr>
        <w:t>扫描后发送至</w:t>
      </w:r>
      <w:r>
        <w:rPr>
          <w:rFonts w:hint="eastAsia" w:ascii="方正仿宋_GBK" w:hAnsi="宋体" w:eastAsia="方正仿宋_GBK"/>
          <w:sz w:val="24"/>
          <w:szCs w:val="24"/>
        </w:rPr>
        <w:t>450601592@</w:t>
      </w:r>
      <w:r>
        <w:rPr>
          <w:rFonts w:hint="eastAsia" w:ascii="方正仿宋_GBK" w:hAnsi="宋体" w:eastAsia="方正仿宋_GBK"/>
          <w:sz w:val="24"/>
          <w:szCs w:val="24"/>
          <w:lang w:val="en-US" w:eastAsia="zh-CN"/>
        </w:rPr>
        <w:t>qq</w:t>
      </w:r>
      <w:r>
        <w:rPr>
          <w:rFonts w:hint="eastAsia" w:ascii="方正仿宋_GBK" w:hAnsi="宋体" w:eastAsia="方正仿宋_GBK"/>
          <w:sz w:val="24"/>
          <w:szCs w:val="24"/>
        </w:rPr>
        <w:t>.com</w:t>
      </w:r>
      <w:r>
        <w:fldChar w:fldCharType="end"/>
      </w:r>
      <w:r>
        <w:rPr>
          <w:rFonts w:eastAsia="方正仿宋_GBK"/>
          <w:sz w:val="24"/>
        </w:rPr>
        <w:t>邮箱</w:t>
      </w:r>
      <w:r>
        <w:rPr>
          <w:rFonts w:eastAsia="方正仿宋_GBK"/>
          <w:sz w:val="24"/>
          <w:szCs w:val="24"/>
        </w:rPr>
        <w:t>。</w:t>
      </w:r>
      <w:r>
        <w:rPr>
          <w:rFonts w:eastAsia="方正仿宋_GBK"/>
          <w:sz w:val="24"/>
        </w:rPr>
        <w:t>邮箱、截止时间按邮箱显示邮件到达时间为准，未按规定提前报名的供应商的响应文件将被拒收。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（四）递交响应文件地点：重庆市嘉陵江航道管理处4楼会议室（地址：重庆市渝中区华一路17号）</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）提交响应文件截止时间：2024年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14</w:t>
      </w:r>
      <w:r>
        <w:rPr>
          <w:rFonts w:hint="eastAsia" w:ascii="方正仿宋_GBK" w:hAnsi="宋体" w:eastAsia="方正仿宋_GBK"/>
          <w:sz w:val="24"/>
          <w:szCs w:val="24"/>
        </w:rPr>
        <w:t>时30分至1</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时00分。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六</w:t>
      </w:r>
      <w:r>
        <w:rPr>
          <w:rFonts w:hint="eastAsia" w:ascii="方正仿宋_GBK" w:hAnsi="宋体" w:eastAsia="方正仿宋_GBK"/>
          <w:sz w:val="24"/>
          <w:szCs w:val="24"/>
        </w:rPr>
        <w:t>）评审开始时间：2024年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日北京时间1</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时00分。</w:t>
      </w:r>
    </w:p>
    <w:p>
      <w:pPr>
        <w:pStyle w:val="3"/>
        <w:adjustRightInd w:val="0"/>
        <w:snapToGrid w:val="0"/>
        <w:spacing w:before="0" w:after="0" w:line="400" w:lineRule="exact"/>
        <w:ind w:firstLine="482" w:firstLineChars="200"/>
        <w:rPr>
          <w:rFonts w:ascii="方正仿宋_GBK" w:hAnsi="宋体" w:eastAsia="方正仿宋_GBK"/>
          <w:sz w:val="24"/>
        </w:rPr>
      </w:pPr>
      <w:bookmarkStart w:id="38" w:name="_Toc4728"/>
      <w:bookmarkStart w:id="39" w:name="_Toc106034776"/>
      <w:r>
        <w:rPr>
          <w:rFonts w:hint="eastAsia" w:ascii="方正仿宋_GBK" w:hAnsi="宋体" w:eastAsia="方正仿宋_GBK"/>
          <w:sz w:val="24"/>
        </w:rPr>
        <w:t>五、其它有关规定</w:t>
      </w:r>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b w:val="0"/>
          <w:bCs w:val="0"/>
          <w:sz w:val="24"/>
          <w:szCs w:val="24"/>
        </w:rPr>
      </w:pPr>
      <w:r>
        <w:rPr>
          <w:rFonts w:hint="eastAsia" w:ascii="方正仿宋_GBK" w:hAnsi="宋体" w:eastAsia="方正仿宋_GBK"/>
          <w:b w:val="0"/>
          <w:bCs w:val="0"/>
          <w:sz w:val="24"/>
          <w:szCs w:val="24"/>
        </w:rPr>
        <w:t>（八）本项目不接受联合体参与报价，否则按无效处理。</w:t>
      </w:r>
    </w:p>
    <w:p>
      <w:pPr>
        <w:snapToGrid w:val="0"/>
        <w:spacing w:line="400" w:lineRule="exact"/>
        <w:ind w:firstLine="360" w:firstLineChars="150"/>
        <w:rPr>
          <w:rFonts w:ascii="方正仿宋_GBK" w:hAnsi="宋体" w:eastAsia="方正仿宋_GBK"/>
          <w:b w:val="0"/>
          <w:bCs w:val="0"/>
          <w:sz w:val="24"/>
          <w:szCs w:val="24"/>
        </w:rPr>
      </w:pPr>
      <w:r>
        <w:rPr>
          <w:rFonts w:hint="eastAsia" w:ascii="方正仿宋_GBK" w:hAnsi="宋体" w:eastAsia="方正仿宋_GBK"/>
          <w:b w:val="0"/>
          <w:bCs w:val="0"/>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eastAsia="zh-CN"/>
        </w:rPr>
        <w:t>刘</w:t>
      </w:r>
      <w:r>
        <w:rPr>
          <w:rFonts w:hint="eastAsia" w:ascii="方正仿宋_GBK" w:hAnsi="宋体" w:eastAsia="方正仿宋_GBK"/>
          <w:sz w:val="24"/>
          <w:szCs w:val="24"/>
        </w:rPr>
        <w:t>老师</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电  话：023-63322505</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地  址：重庆市渝中区华一路17号</w:t>
      </w:r>
    </w:p>
    <w:bookmarkEnd w:id="35"/>
    <w:bookmarkEnd w:id="36"/>
    <w:bookmarkEnd w:id="37"/>
    <w:p>
      <w:pPr>
        <w:rPr>
          <w:rFonts w:hint="eastAsia"/>
        </w:rPr>
      </w:pPr>
      <w:bookmarkStart w:id="40" w:name="_Toc20515"/>
      <w:bookmarkStart w:id="41" w:name="_Toc102227313"/>
      <w:r>
        <w:rPr>
          <w:rFonts w:hint="eastAsia"/>
        </w:rPr>
        <w:br w:type="page"/>
      </w:r>
    </w:p>
    <w:p>
      <w:pPr>
        <w:pStyle w:val="2"/>
        <w:bidi w:val="0"/>
        <w:rPr>
          <w:rFonts w:hint="eastAsia" w:ascii="宋体" w:hAnsi="宋体" w:eastAsia="宋体" w:cs="宋体"/>
          <w:b w:val="0"/>
          <w:bCs w:val="0"/>
          <w:color w:val="auto"/>
          <w:sz w:val="24"/>
          <w:szCs w:val="24"/>
          <w:highlight w:val="none"/>
          <w:lang w:val="en-US" w:eastAsia="zh-CN"/>
        </w:rPr>
      </w:pPr>
      <w:r>
        <w:rPr>
          <w:rFonts w:hint="eastAsia"/>
        </w:rPr>
        <w:t xml:space="preserve">第二篇  </w:t>
      </w:r>
      <w:r>
        <w:rPr>
          <w:rFonts w:hint="eastAsia"/>
          <w:lang w:eastAsia="zh-CN"/>
        </w:rPr>
        <w:t>项目技术需求</w:t>
      </w:r>
      <w:bookmarkEnd w:id="40"/>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ascii="方正仿宋_GBK" w:hAnsi="宋体" w:eastAsia="方正仿宋_GBK"/>
          <w:sz w:val="24"/>
          <w:szCs w:val="24"/>
          <w:highlight w:val="none"/>
        </w:rPr>
        <w:t>项目需求为符合性审查中的实质性要求，响应文件若不满足按无效响应处理。</w:t>
      </w:r>
    </w:p>
    <w:p>
      <w:pPr>
        <w:pStyle w:val="3"/>
        <w:adjustRightInd w:val="0"/>
        <w:snapToGrid w:val="0"/>
        <w:spacing w:before="0" w:after="0" w:line="400" w:lineRule="exact"/>
        <w:ind w:firstLine="482" w:firstLineChars="200"/>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一、项目一览表</w:t>
      </w:r>
    </w:p>
    <w:p>
      <w:pPr>
        <w:rPr>
          <w:rFonts w:hint="eastAsia"/>
          <w:lang w:val="en-US" w:eastAsia="zh-CN"/>
        </w:rPr>
      </w:pPr>
    </w:p>
    <w:tbl>
      <w:tblPr>
        <w:tblStyle w:val="25"/>
        <w:tblW w:w="8439"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1654"/>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9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_GBK" w:hAnsi="宋体" w:eastAsia="方正仿宋_GBK"/>
                <w:b/>
                <w:bCs/>
                <w:sz w:val="24"/>
                <w:szCs w:val="24"/>
              </w:rPr>
            </w:pPr>
            <w:r>
              <w:rPr>
                <w:rFonts w:hint="eastAsia" w:ascii="方正仿宋_GBK" w:hAnsi="宋体" w:eastAsia="方正仿宋_GBK"/>
                <w:b/>
                <w:bCs/>
                <w:sz w:val="24"/>
                <w:szCs w:val="24"/>
              </w:rPr>
              <w:t>包号及名称</w:t>
            </w: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_GBK" w:hAnsi="宋体" w:eastAsia="方正仿宋_GBK"/>
                <w:b/>
                <w:bCs/>
                <w:sz w:val="24"/>
                <w:szCs w:val="24"/>
              </w:rPr>
            </w:pPr>
            <w:r>
              <w:rPr>
                <w:rFonts w:hint="eastAsia" w:ascii="方正仿宋_GBK" w:hAnsi="宋体" w:eastAsia="方正仿宋_GBK"/>
                <w:b/>
                <w:bCs/>
                <w:sz w:val="24"/>
                <w:szCs w:val="24"/>
              </w:rPr>
              <w:t>数量/单位</w:t>
            </w:r>
          </w:p>
        </w:tc>
        <w:tc>
          <w:tcPr>
            <w:tcW w:w="38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_GBK" w:hAnsi="宋体" w:eastAsia="方正仿宋_GBK"/>
                <w:b/>
                <w:bCs/>
                <w:sz w:val="24"/>
                <w:szCs w:val="24"/>
              </w:rPr>
            </w:pPr>
            <w:r>
              <w:rPr>
                <w:rFonts w:hint="eastAsia" w:ascii="方正仿宋_GBK" w:hAnsi="宋体" w:eastAsia="方正仿宋_GBK"/>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老旧房屋安全性鉴定（第二次）</w:t>
            </w: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_GBK" w:hAnsi="宋体" w:eastAsia="方正仿宋_GBK"/>
                <w:sz w:val="24"/>
                <w:szCs w:val="24"/>
              </w:rPr>
            </w:pPr>
            <w:r>
              <w:rPr>
                <w:rFonts w:hint="eastAsia" w:ascii="方正仿宋_GBK" w:hAnsi="宋体" w:eastAsia="方正仿宋_GBK"/>
                <w:sz w:val="24"/>
                <w:szCs w:val="24"/>
              </w:rPr>
              <w:t>1项</w:t>
            </w:r>
          </w:p>
        </w:tc>
        <w:tc>
          <w:tcPr>
            <w:tcW w:w="38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_GBK" w:hAnsi="宋体" w:eastAsia="方正仿宋_GBK"/>
                <w:sz w:val="24"/>
                <w:szCs w:val="24"/>
              </w:rPr>
            </w:pPr>
          </w:p>
        </w:tc>
      </w:tr>
    </w:tbl>
    <w:p>
      <w:pPr>
        <w:pStyle w:val="3"/>
        <w:adjustRightInd w:val="0"/>
        <w:snapToGrid w:val="0"/>
        <w:spacing w:before="0" w:after="0" w:line="400" w:lineRule="exact"/>
        <w:ind w:firstLine="482" w:firstLineChars="200"/>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二、服务</w:t>
      </w:r>
      <w:r>
        <w:rPr>
          <w:rFonts w:hint="eastAsia" w:hAnsi="宋体" w:cs="Times New Roman"/>
          <w:sz w:val="24"/>
          <w:lang w:val="en-US" w:eastAsia="zh-CN"/>
        </w:rPr>
        <w:t>内容</w:t>
      </w:r>
    </w:p>
    <w:p>
      <w:pPr>
        <w:numPr>
          <w:ilvl w:val="0"/>
          <w:numId w:val="1"/>
        </w:numPr>
        <w:spacing w:line="400" w:lineRule="exact"/>
        <w:ind w:firstLine="480" w:firstLineChars="200"/>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本项目包含对重庆市辖区内的自建公共基础设施（信号台）的老旧房屋进行房屋安全性鉴定，列出被鉴定房屋存在的安全问题并提出结论和建议。具体房屋鉴定需求明细如下：</w:t>
      </w:r>
    </w:p>
    <w:tbl>
      <w:tblPr>
        <w:tblStyle w:val="25"/>
        <w:tblW w:w="9417"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5"/>
        <w:gridCol w:w="3525"/>
        <w:gridCol w:w="662"/>
        <w:gridCol w:w="1020"/>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房屋名称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位置</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数量</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石门信号台</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沙坪坝区小龙坎重坊一厂后门下面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m</w:t>
            </w:r>
            <w:r>
              <w:rPr>
                <w:rFonts w:hint="eastAsia" w:ascii="仿宋" w:hAnsi="仿宋" w:eastAsia="仿宋" w:cs="仿宋"/>
                <w:color w:val="000000"/>
                <w:sz w:val="21"/>
                <w:szCs w:val="21"/>
                <w:highlight w:val="none"/>
                <w:vertAlign w:val="superscript"/>
                <w:lang w:val="en-US" w:eastAsia="zh-CN"/>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59.88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黑石盘信号台     飞浪子航标站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重庆市江北区石马河飞浪子75号、76号</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m</w:t>
            </w:r>
            <w:r>
              <w:rPr>
                <w:rFonts w:hint="eastAsia" w:ascii="仿宋" w:hAnsi="仿宋" w:eastAsia="仿宋" w:cs="仿宋"/>
                <w:color w:val="000000"/>
                <w:sz w:val="21"/>
                <w:szCs w:val="21"/>
                <w:highlight w:val="none"/>
                <w:vertAlign w:val="superscript"/>
                <w:lang w:val="en-US" w:eastAsia="zh-CN"/>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414.23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共三处：</w:t>
            </w:r>
            <w:r>
              <w:rPr>
                <w:rFonts w:hint="default" w:ascii="仿宋" w:hAnsi="仿宋" w:eastAsia="仿宋" w:cs="仿宋"/>
                <w:color w:val="000000"/>
                <w:sz w:val="21"/>
                <w:szCs w:val="21"/>
                <w:highlight w:val="none"/>
                <w:lang w:val="en-US" w:eastAsia="zh-CN"/>
              </w:rPr>
              <w:t>72.77</w:t>
            </w:r>
            <w:r>
              <w:rPr>
                <w:rFonts w:hint="eastAsia" w:ascii="仿宋" w:hAnsi="仿宋" w:eastAsia="仿宋" w:cs="仿宋"/>
                <w:color w:val="000000"/>
                <w:sz w:val="21"/>
                <w:szCs w:val="21"/>
                <w:highlight w:val="none"/>
                <w:lang w:val="en-US" w:eastAsia="zh-CN"/>
              </w:rPr>
              <w:t>m</w:t>
            </w:r>
            <w:r>
              <w:rPr>
                <w:rFonts w:hint="eastAsia" w:ascii="仿宋" w:hAnsi="仿宋" w:eastAsia="仿宋" w:cs="仿宋"/>
                <w:color w:val="000000"/>
                <w:sz w:val="21"/>
                <w:szCs w:val="21"/>
                <w:highlight w:val="none"/>
                <w:vertAlign w:val="superscript"/>
                <w:lang w:val="en-US" w:eastAsia="zh-CN"/>
              </w:rPr>
              <w:t>2</w:t>
            </w:r>
            <w:r>
              <w:rPr>
                <w:rFonts w:hint="eastAsia" w:ascii="仿宋" w:hAnsi="仿宋" w:eastAsia="仿宋" w:cs="仿宋"/>
                <w:color w:val="000000"/>
                <w:sz w:val="21"/>
                <w:szCs w:val="21"/>
                <w:highlight w:val="none"/>
                <w:lang w:val="en-US" w:eastAsia="zh-CN"/>
              </w:rPr>
              <w:t>、</w:t>
            </w:r>
            <w:r>
              <w:rPr>
                <w:rFonts w:hint="default" w:ascii="仿宋" w:hAnsi="仿宋" w:eastAsia="仿宋" w:cs="仿宋"/>
                <w:color w:val="000000"/>
                <w:sz w:val="21"/>
                <w:szCs w:val="21"/>
                <w:highlight w:val="none"/>
                <w:lang w:val="en-US" w:eastAsia="zh-CN"/>
              </w:rPr>
              <w:t>331.46</w:t>
            </w:r>
            <w:r>
              <w:rPr>
                <w:rFonts w:hint="eastAsia" w:ascii="仿宋" w:hAnsi="仿宋" w:eastAsia="仿宋" w:cs="仿宋"/>
                <w:color w:val="000000"/>
                <w:sz w:val="21"/>
                <w:szCs w:val="21"/>
                <w:highlight w:val="none"/>
                <w:lang w:val="en-US" w:eastAsia="zh-CN"/>
              </w:rPr>
              <w:t>m</w:t>
            </w:r>
            <w:r>
              <w:rPr>
                <w:rFonts w:hint="eastAsia" w:ascii="仿宋" w:hAnsi="仿宋" w:eastAsia="仿宋" w:cs="仿宋"/>
                <w:color w:val="000000"/>
                <w:sz w:val="21"/>
                <w:szCs w:val="21"/>
                <w:highlight w:val="none"/>
                <w:vertAlign w:val="superscript"/>
                <w:lang w:val="en-US" w:eastAsia="zh-CN"/>
              </w:rPr>
              <w:t>2</w:t>
            </w:r>
            <w:r>
              <w:rPr>
                <w:rFonts w:hint="eastAsia" w:ascii="仿宋" w:hAnsi="仿宋" w:eastAsia="仿宋" w:cs="仿宋"/>
                <w:color w:val="000000"/>
                <w:sz w:val="21"/>
                <w:szCs w:val="21"/>
                <w:highlight w:val="none"/>
                <w:lang w:val="en-US" w:eastAsia="zh-CN"/>
              </w:rPr>
              <w:t>、约</w:t>
            </w:r>
            <w:r>
              <w:rPr>
                <w:rFonts w:hint="default"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lang w:val="en-US" w:eastAsia="zh-CN"/>
              </w:rPr>
              <w:t>5m</w:t>
            </w:r>
            <w:r>
              <w:rPr>
                <w:rFonts w:hint="eastAsia" w:ascii="仿宋" w:hAnsi="仿宋" w:eastAsia="仿宋" w:cs="仿宋"/>
                <w:color w:val="000000"/>
                <w:sz w:val="21"/>
                <w:szCs w:val="21"/>
                <w:highlight w:val="none"/>
                <w:vertAlign w:val="superscript"/>
                <w:lang w:val="en-US" w:eastAsia="zh-CN"/>
              </w:rPr>
              <w:t>2</w:t>
            </w:r>
            <w:r>
              <w:rPr>
                <w:rFonts w:hint="eastAsia" w:ascii="仿宋" w:hAnsi="仿宋" w:eastAsia="仿宋" w:cs="仿宋"/>
                <w:color w:val="000000"/>
                <w:sz w:val="21"/>
                <w:szCs w:val="21"/>
                <w:highlight w:val="none"/>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黑羊石信号台</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重庆市两江新区康美街道金海湾公园内</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m</w:t>
            </w:r>
            <w:r>
              <w:rPr>
                <w:rFonts w:hint="eastAsia" w:ascii="仿宋" w:hAnsi="仿宋" w:eastAsia="仿宋" w:cs="仿宋"/>
                <w:color w:val="000000"/>
                <w:sz w:val="21"/>
                <w:szCs w:val="21"/>
                <w:highlight w:val="none"/>
                <w:vertAlign w:val="superscript"/>
                <w:lang w:val="en-US" w:eastAsia="zh-CN"/>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148.12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柳吊溪信号台</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重庆市渝北区礼嘉镇柳吊溪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m</w:t>
            </w:r>
            <w:r>
              <w:rPr>
                <w:rFonts w:hint="eastAsia" w:ascii="仿宋" w:hAnsi="仿宋" w:eastAsia="仿宋" w:cs="仿宋"/>
                <w:color w:val="000000"/>
                <w:sz w:val="21"/>
                <w:szCs w:val="21"/>
                <w:highlight w:val="none"/>
                <w:vertAlign w:val="superscript"/>
                <w:lang w:val="en-US" w:eastAsia="zh-CN"/>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65.77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三胜信号台</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重庆市北碚区三胜街1号</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m</w:t>
            </w:r>
            <w:r>
              <w:rPr>
                <w:rFonts w:hint="eastAsia" w:ascii="仿宋" w:hAnsi="仿宋" w:eastAsia="仿宋" w:cs="仿宋"/>
                <w:color w:val="000000"/>
                <w:sz w:val="21"/>
                <w:szCs w:val="21"/>
                <w:highlight w:val="none"/>
                <w:vertAlign w:val="superscript"/>
                <w:lang w:val="en-US" w:eastAsia="zh-CN"/>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78.3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庙嘴信号台</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重庆市北碚区文星湾1巷2号</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m</w:t>
            </w:r>
            <w:r>
              <w:rPr>
                <w:rFonts w:hint="eastAsia" w:ascii="仿宋" w:hAnsi="仿宋" w:eastAsia="仿宋" w:cs="仿宋"/>
                <w:color w:val="000000"/>
                <w:sz w:val="21"/>
                <w:szCs w:val="21"/>
                <w:highlight w:val="none"/>
                <w:vertAlign w:val="superscript"/>
                <w:lang w:val="en-US" w:eastAsia="zh-CN"/>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227.69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机关办公室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华一路17号</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m</w:t>
            </w:r>
            <w:r>
              <w:rPr>
                <w:rFonts w:hint="eastAsia" w:ascii="仿宋" w:hAnsi="仿宋" w:eastAsia="仿宋" w:cs="仿宋"/>
                <w:color w:val="000000"/>
                <w:sz w:val="21"/>
                <w:szCs w:val="21"/>
                <w:highlight w:val="none"/>
                <w:vertAlign w:val="superscript"/>
                <w:lang w:val="en-US" w:eastAsia="zh-CN"/>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约7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highlight w:val="none"/>
                <w:lang w:val="en-US" w:eastAsia="zh-CN"/>
              </w:rPr>
            </w:pPr>
          </w:p>
        </w:tc>
      </w:tr>
    </w:tbl>
    <w:p>
      <w:pPr>
        <w:spacing w:line="400" w:lineRule="exact"/>
        <w:ind w:firstLine="480" w:firstLineChars="200"/>
        <w:rPr>
          <w:rFonts w:hint="eastAsia" w:ascii="宋体" w:hAnsi="宋体" w:eastAsia="宋体" w:cs="宋体"/>
          <w:b w:val="0"/>
          <w:bCs w:val="0"/>
          <w:color w:val="auto"/>
          <w:sz w:val="24"/>
          <w:szCs w:val="24"/>
          <w:highlight w:val="none"/>
          <w:lang w:val="en-US" w:eastAsia="zh-CN"/>
        </w:rPr>
      </w:pPr>
    </w:p>
    <w:p>
      <w:pPr>
        <w:pStyle w:val="3"/>
        <w:adjustRightInd w:val="0"/>
        <w:snapToGrid w:val="0"/>
        <w:spacing w:before="0" w:after="0" w:line="400" w:lineRule="exact"/>
        <w:ind w:firstLine="482" w:firstLineChars="200"/>
        <w:rPr>
          <w:rFonts w:hint="eastAsia" w:ascii="方正仿宋_GBK" w:hAnsi="宋体" w:eastAsia="方正仿宋_GBK" w:cs="Times New Roman"/>
          <w:sz w:val="24"/>
          <w:lang w:val="en-US" w:eastAsia="zh-CN"/>
        </w:rPr>
      </w:pPr>
      <w:r>
        <w:rPr>
          <w:rFonts w:hint="eastAsia" w:hAnsi="宋体" w:cs="Times New Roman"/>
          <w:sz w:val="24"/>
          <w:lang w:val="en-US" w:eastAsia="zh-CN"/>
        </w:rPr>
        <w:t>三、</w:t>
      </w:r>
      <w:r>
        <w:rPr>
          <w:rFonts w:hint="eastAsia" w:ascii="方正仿宋_GBK" w:hAnsi="宋体" w:eastAsia="方正仿宋_GBK" w:cs="Times New Roman"/>
          <w:sz w:val="24"/>
          <w:lang w:val="en-US" w:eastAsia="zh-CN"/>
        </w:rPr>
        <w:t>服务需求</w:t>
      </w:r>
    </w:p>
    <w:p>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 依照有关法律法规和行业规范，开展工作，对报告的真实性、准确性负责。</w:t>
      </w:r>
    </w:p>
    <w:p>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 独立完成任务，不得以任何形式将任务再委托给其他机构。</w:t>
      </w:r>
    </w:p>
    <w:p>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 合理安排工作进度，确保按时工作任务。</w:t>
      </w:r>
    </w:p>
    <w:p>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 指派业务能力较强的、具有相当经验的专业检测人员，熟悉业务及政策，能充分胜任所从事的工作。</w:t>
      </w:r>
    </w:p>
    <w:p>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 针对此项目，制定合理的房屋安全检测方案。</w:t>
      </w:r>
    </w:p>
    <w:p>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 完整、准确、真实地反映和记录项目的情况，做好各类资料的归集、存档和保管工作。</w:t>
      </w:r>
    </w:p>
    <w:p>
      <w:pPr>
        <w:pStyle w:val="3"/>
        <w:adjustRightInd w:val="0"/>
        <w:snapToGrid w:val="0"/>
        <w:spacing w:before="0" w:after="0" w:line="400" w:lineRule="exact"/>
        <w:ind w:firstLine="482" w:firstLineChars="200"/>
        <w:rPr>
          <w:rFonts w:hint="eastAsia" w:ascii="方正仿宋_GBK" w:hAnsi="宋体" w:eastAsia="方正仿宋_GBK" w:cs="Times New Roman"/>
          <w:sz w:val="24"/>
          <w:lang w:val="en-US" w:eastAsia="zh-CN"/>
        </w:rPr>
      </w:pPr>
      <w:r>
        <w:rPr>
          <w:rFonts w:hint="eastAsia" w:hAnsi="宋体" w:cs="Times New Roman"/>
          <w:sz w:val="24"/>
          <w:lang w:val="en-US" w:eastAsia="zh-CN"/>
        </w:rPr>
        <w:t>四、</w:t>
      </w:r>
      <w:r>
        <w:rPr>
          <w:rFonts w:hint="eastAsia" w:ascii="方正仿宋_GBK" w:hAnsi="宋体" w:eastAsia="方正仿宋_GBK" w:cs="Times New Roman"/>
          <w:sz w:val="24"/>
          <w:lang w:val="en-US" w:eastAsia="zh-CN"/>
        </w:rPr>
        <w:t>提交成果</w:t>
      </w:r>
    </w:p>
    <w:p>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项目完成后出具房屋安全鉴定报告，鉴定报告符合国家规定。</w:t>
      </w:r>
    </w:p>
    <w:p>
      <w:pPr>
        <w:spacing w:line="4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p>
    <w:bookmarkEnd w:id="41"/>
    <w:p>
      <w:pPr>
        <w:pStyle w:val="3"/>
        <w:spacing w:before="0" w:after="0" w:line="240" w:lineRule="auto"/>
        <w:ind w:firstLine="0" w:firstLineChars="0"/>
        <w:jc w:val="center"/>
        <w:rPr>
          <w:rFonts w:hint="eastAsia" w:ascii="方正小标宋_GBK" w:eastAsia="方正小标宋_GBK"/>
          <w:b w:val="0"/>
          <w:sz w:val="36"/>
          <w:szCs w:val="30"/>
        </w:rPr>
      </w:pPr>
      <w:bookmarkStart w:id="42" w:name="_Toc19786036"/>
      <w:bookmarkStart w:id="43" w:name="_Toc104806981"/>
      <w:bookmarkStart w:id="44" w:name="_Toc10423"/>
      <w:bookmarkStart w:id="45" w:name="_Toc29813"/>
      <w:bookmarkStart w:id="46" w:name="_Toc30898"/>
      <w:bookmarkStart w:id="47" w:name="_Toc30742"/>
      <w:bookmarkStart w:id="48" w:name="_Toc27747"/>
      <w:bookmarkStart w:id="49" w:name="_Toc21511826"/>
      <w:bookmarkStart w:id="50" w:name="_Toc26408"/>
      <w:bookmarkStart w:id="51" w:name="_Toc344475121"/>
      <w:bookmarkStart w:id="52" w:name="_Toc342913389"/>
      <w:r>
        <w:rPr>
          <w:rFonts w:hint="eastAsia" w:ascii="方正小标宋_GBK" w:eastAsia="方正小标宋_GBK"/>
          <w:b w:val="0"/>
          <w:sz w:val="36"/>
          <w:szCs w:val="30"/>
        </w:rPr>
        <w:t>第三篇  项目商务需求</w:t>
      </w:r>
    </w:p>
    <w:p>
      <w:pPr>
        <w:pStyle w:val="3"/>
        <w:adjustRightInd w:val="0"/>
        <w:snapToGrid w:val="0"/>
        <w:spacing w:before="0" w:after="0" w:line="400" w:lineRule="exact"/>
        <w:ind w:firstLine="482" w:firstLineChars="200"/>
        <w:rPr>
          <w:rFonts w:hint="eastAsia" w:ascii="方正仿宋_GBK" w:hAnsi="宋体" w:eastAsia="方正仿宋_GBK" w:cs="Times New Roman"/>
          <w:sz w:val="24"/>
          <w:lang w:eastAsia="zh-CN"/>
        </w:rPr>
      </w:pPr>
      <w:r>
        <w:rPr>
          <w:rFonts w:hint="eastAsia" w:ascii="方正仿宋_GBK" w:hAnsi="宋体" w:eastAsia="方正仿宋_GBK" w:cs="Times New Roman"/>
          <w:sz w:val="24"/>
        </w:rPr>
        <w:t>一、</w:t>
      </w:r>
      <w:bookmarkEnd w:id="42"/>
      <w:bookmarkEnd w:id="43"/>
      <w:bookmarkEnd w:id="44"/>
      <w:r>
        <w:rPr>
          <w:rFonts w:hint="eastAsia" w:ascii="方正仿宋_GBK" w:hAnsi="宋体" w:eastAsia="方正仿宋_GBK" w:cs="Times New Roman"/>
          <w:sz w:val="24"/>
        </w:rPr>
        <w:t>服务期、服务地点</w:t>
      </w:r>
      <w:r>
        <w:rPr>
          <w:rFonts w:hint="eastAsia" w:ascii="方正仿宋_GBK" w:hAnsi="宋体" w:eastAsia="方正仿宋_GBK" w:cs="Times New Roman"/>
          <w:sz w:val="24"/>
          <w:lang w:eastAsia="zh-CN"/>
        </w:rPr>
        <w:t>、</w:t>
      </w:r>
      <w:r>
        <w:rPr>
          <w:rFonts w:hint="eastAsia" w:ascii="方正仿宋_GBK" w:hAnsi="宋体" w:eastAsia="方正仿宋_GBK" w:cs="Times New Roman"/>
          <w:sz w:val="24"/>
        </w:rPr>
        <w:t>验收方式</w:t>
      </w:r>
      <w:r>
        <w:rPr>
          <w:rFonts w:hint="eastAsia" w:ascii="方正仿宋_GBK" w:hAnsi="宋体" w:eastAsia="方正仿宋_GBK" w:cs="Times New Roman"/>
          <w:sz w:val="24"/>
          <w:lang w:eastAsia="zh-CN"/>
        </w:rPr>
        <w:t>及售后服务</w:t>
      </w:r>
      <w:bookmarkEnd w:id="45"/>
      <w:bookmarkEnd w:id="46"/>
      <w:bookmarkEnd w:id="47"/>
      <w:bookmarkEnd w:id="48"/>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rPr>
        <w:t>（一）服务期：合同签订后</w:t>
      </w: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rPr>
        <w:t>0个日历日内完成</w:t>
      </w:r>
      <w:r>
        <w:rPr>
          <w:rFonts w:hint="eastAsia" w:ascii="方正仿宋_GBK" w:hAnsi="宋体" w:eastAsia="方正仿宋_GBK" w:cs="Times New Roman"/>
          <w:sz w:val="24"/>
          <w:szCs w:val="24"/>
          <w:lang w:eastAsia="zh-CN"/>
        </w:rPr>
        <w:t>鉴定工作并出具房屋安全鉴定报告；</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（二）服务地点：</w:t>
      </w:r>
      <w:r>
        <w:rPr>
          <w:rFonts w:hint="eastAsia" w:ascii="方正仿宋_GBK" w:hAnsi="宋体" w:eastAsia="方正仿宋_GBK" w:cs="Times New Roman"/>
          <w:sz w:val="24"/>
          <w:szCs w:val="24"/>
          <w:lang w:eastAsia="zh-CN"/>
        </w:rPr>
        <w:t>各信号台</w:t>
      </w:r>
      <w:r>
        <w:rPr>
          <w:rFonts w:hint="eastAsia" w:ascii="方正仿宋_GBK" w:hAnsi="宋体" w:eastAsia="方正仿宋_GBK" w:cs="Times New Roman"/>
          <w:sz w:val="24"/>
          <w:szCs w:val="24"/>
        </w:rPr>
        <w:t>。</w:t>
      </w:r>
    </w:p>
    <w:p>
      <w:pPr>
        <w:spacing w:line="400" w:lineRule="exact"/>
        <w:ind w:firstLine="480" w:firstLineChars="200"/>
        <w:rPr>
          <w:rFonts w:hint="eastAsia" w:ascii="方正仿宋_GBK" w:hAnsi="宋体" w:eastAsia="方正仿宋_GBK" w:cs="Times New Roman"/>
          <w:b w:val="0"/>
          <w:bCs w:val="0"/>
          <w:sz w:val="24"/>
          <w:szCs w:val="24"/>
        </w:rPr>
      </w:pPr>
      <w:r>
        <w:rPr>
          <w:rFonts w:hint="eastAsia" w:ascii="方正仿宋_GBK" w:hAnsi="宋体" w:eastAsia="方正仿宋_GBK" w:cs="Times New Roman"/>
          <w:b w:val="0"/>
          <w:bCs w:val="0"/>
          <w:sz w:val="24"/>
          <w:szCs w:val="24"/>
        </w:rPr>
        <w:t>（三）验收方式及验收标准</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1</w:t>
      </w:r>
      <w:r>
        <w:rPr>
          <w:rFonts w:hint="default" w:ascii="方正仿宋_GBK" w:hAnsi="宋体" w:eastAsia="方正仿宋_GBK" w:cs="Times New Roman"/>
          <w:sz w:val="24"/>
          <w:szCs w:val="24"/>
        </w:rPr>
        <w:t>.</w:t>
      </w:r>
      <w:r>
        <w:rPr>
          <w:rFonts w:hint="eastAsia" w:ascii="方正仿宋_GBK" w:hAnsi="宋体" w:eastAsia="方正仿宋_GBK" w:cs="Times New Roman"/>
          <w:sz w:val="24"/>
          <w:szCs w:val="24"/>
        </w:rPr>
        <w:t>中标供应商在完工并自检合格后，向采购人提交完整的</w:t>
      </w:r>
      <w:r>
        <w:rPr>
          <w:rFonts w:hint="eastAsia" w:ascii="方正仿宋_GBK" w:hAnsi="宋体" w:eastAsia="方正仿宋_GBK" w:cs="Times New Roman"/>
          <w:sz w:val="24"/>
          <w:szCs w:val="24"/>
          <w:lang w:eastAsia="zh-CN"/>
        </w:rPr>
        <w:t>项目房屋安全性鉴定报告</w:t>
      </w:r>
      <w:r>
        <w:rPr>
          <w:rFonts w:hint="eastAsia" w:ascii="方正仿宋_GBK" w:hAnsi="宋体" w:eastAsia="方正仿宋_GBK" w:cs="Times New Roman"/>
          <w:sz w:val="24"/>
          <w:szCs w:val="24"/>
        </w:rPr>
        <w:t>，采购人在收到</w:t>
      </w:r>
      <w:r>
        <w:rPr>
          <w:rFonts w:hint="eastAsia" w:ascii="方正仿宋_GBK" w:hAnsi="宋体" w:eastAsia="方正仿宋_GBK" w:cs="Times New Roman"/>
          <w:sz w:val="24"/>
          <w:szCs w:val="24"/>
          <w:lang w:eastAsia="zh-CN"/>
        </w:rPr>
        <w:t>鉴定报告</w:t>
      </w:r>
      <w:r>
        <w:rPr>
          <w:rFonts w:hint="eastAsia" w:ascii="方正仿宋_GBK" w:hAnsi="宋体" w:eastAsia="方正仿宋_GBK" w:cs="Times New Roman"/>
          <w:sz w:val="24"/>
          <w:szCs w:val="24"/>
        </w:rPr>
        <w:t>之日起15日内对</w:t>
      </w:r>
      <w:r>
        <w:rPr>
          <w:rFonts w:hint="eastAsia" w:ascii="方正仿宋_GBK" w:hAnsi="宋体" w:eastAsia="方正仿宋_GBK" w:cs="Times New Roman"/>
          <w:sz w:val="24"/>
          <w:szCs w:val="24"/>
          <w:lang w:eastAsia="zh-CN"/>
        </w:rPr>
        <w:t>报告</w:t>
      </w:r>
      <w:r>
        <w:rPr>
          <w:rFonts w:hint="eastAsia" w:ascii="方正仿宋_GBK" w:hAnsi="宋体" w:eastAsia="方正仿宋_GBK" w:cs="Times New Roman"/>
          <w:sz w:val="24"/>
          <w:szCs w:val="24"/>
        </w:rPr>
        <w:t>进行审核，若</w:t>
      </w:r>
      <w:r>
        <w:rPr>
          <w:rFonts w:hint="eastAsia" w:ascii="方正仿宋_GBK" w:hAnsi="宋体" w:eastAsia="方正仿宋_GBK" w:cs="Times New Roman"/>
          <w:sz w:val="24"/>
          <w:szCs w:val="24"/>
          <w:lang w:eastAsia="zh-CN"/>
        </w:rPr>
        <w:t>对鉴定报告有疑问或</w:t>
      </w:r>
      <w:r>
        <w:rPr>
          <w:rFonts w:hint="eastAsia" w:ascii="方正仿宋_GBK" w:hAnsi="宋体" w:eastAsia="方正仿宋_GBK" w:cs="Times New Roman"/>
          <w:sz w:val="24"/>
          <w:szCs w:val="24"/>
        </w:rPr>
        <w:t>不满足相关要求，</w:t>
      </w:r>
      <w:r>
        <w:rPr>
          <w:rFonts w:hint="eastAsia" w:ascii="方正仿宋_GBK" w:hAnsi="宋体" w:eastAsia="方正仿宋_GBK" w:cs="Times New Roman"/>
          <w:sz w:val="24"/>
          <w:szCs w:val="24"/>
          <w:lang w:eastAsia="zh-CN"/>
        </w:rPr>
        <w:t>采购人可要求供应商解释、返场核实、再次核定报告并提交更新后鉴定报告，</w:t>
      </w:r>
      <w:r>
        <w:rPr>
          <w:rFonts w:hint="eastAsia" w:ascii="方正仿宋_GBK" w:hAnsi="宋体" w:eastAsia="方正仿宋_GBK" w:cs="Times New Roman"/>
          <w:sz w:val="24"/>
          <w:szCs w:val="24"/>
        </w:rPr>
        <w:t>供应商需</w:t>
      </w:r>
      <w:r>
        <w:rPr>
          <w:rFonts w:hint="eastAsia" w:ascii="方正仿宋_GBK" w:hAnsi="宋体" w:eastAsia="方正仿宋_GBK" w:cs="Times New Roman"/>
          <w:sz w:val="24"/>
          <w:szCs w:val="24"/>
          <w:lang w:eastAsia="zh-CN"/>
        </w:rPr>
        <w:t>对修改后的鉴定报告</w:t>
      </w:r>
      <w:r>
        <w:rPr>
          <w:rFonts w:hint="eastAsia" w:ascii="方正仿宋_GBK" w:hAnsi="宋体" w:eastAsia="方正仿宋_GBK" w:cs="Times New Roman"/>
          <w:sz w:val="24"/>
          <w:szCs w:val="24"/>
        </w:rPr>
        <w:t>重新验收。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rPr>
        <w:t>.验收小组按照政府采购合同、图纸、国家有关规定标准和政策性文件等进行验收。</w:t>
      </w:r>
    </w:p>
    <w:p>
      <w:pPr>
        <w:pStyle w:val="3"/>
        <w:adjustRightInd w:val="0"/>
        <w:snapToGrid w:val="0"/>
        <w:spacing w:before="0" w:after="0" w:line="240" w:lineRule="auto"/>
        <w:ind w:firstLine="482" w:firstLineChars="200"/>
        <w:rPr>
          <w:rFonts w:hint="eastAsia" w:hAnsi="宋体"/>
          <w:sz w:val="24"/>
          <w:lang w:eastAsia="zh-CN"/>
        </w:rPr>
      </w:pPr>
      <w:r>
        <w:rPr>
          <w:rFonts w:hint="eastAsia" w:hAnsi="宋体"/>
          <w:sz w:val="24"/>
          <w:lang w:eastAsia="zh-CN"/>
        </w:rPr>
        <w:t>二、质量保证及售后</w:t>
      </w:r>
    </w:p>
    <w:p>
      <w:pPr>
        <w:spacing w:line="400" w:lineRule="exact"/>
        <w:ind w:firstLine="480" w:firstLineChars="200"/>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eastAsia="zh-CN"/>
        </w:rPr>
        <w:t>供应商应保证提供鉴定报告真实有效，报告有效期</w:t>
      </w:r>
      <w:r>
        <w:rPr>
          <w:rFonts w:hint="default"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1年。</w:t>
      </w:r>
    </w:p>
    <w:p>
      <w:pPr>
        <w:pStyle w:val="3"/>
        <w:adjustRightInd w:val="0"/>
        <w:snapToGrid w:val="0"/>
        <w:spacing w:before="0" w:after="0" w:line="24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hAnsi="宋体"/>
          <w:sz w:val="24"/>
          <w:lang w:eastAsia="zh-CN"/>
        </w:rPr>
        <w:t>三</w:t>
      </w:r>
      <w:r>
        <w:rPr>
          <w:rFonts w:hint="eastAsia" w:ascii="方正仿宋_GBK" w:hAnsi="宋体" w:eastAsia="方正仿宋_GBK"/>
          <w:sz w:val="24"/>
        </w:rPr>
        <w:t>、报价要求</w:t>
      </w:r>
    </w:p>
    <w:bookmarkEnd w:id="49"/>
    <w:bookmarkEnd w:id="50"/>
    <w:bookmarkEnd w:id="51"/>
    <w:p>
      <w:pPr>
        <w:snapToGrid w:val="0"/>
        <w:spacing w:line="400" w:lineRule="exact"/>
        <w:ind w:firstLine="480" w:firstLineChars="200"/>
        <w:rPr>
          <w:rFonts w:ascii="方正仿宋_GBK" w:hAnsi="宋体" w:eastAsia="方正仿宋_GBK"/>
          <w:sz w:val="24"/>
          <w:szCs w:val="24"/>
        </w:rPr>
      </w:pPr>
      <w:bookmarkStart w:id="53" w:name="_Toc11000"/>
      <w:bookmarkStart w:id="54" w:name="_Toc106034785"/>
      <w:bookmarkStart w:id="55" w:name="_Toc9192"/>
      <w:bookmarkStart w:id="56" w:name="_Toc65660345"/>
      <w:bookmarkStart w:id="57" w:name="_Toc7562"/>
      <w:r>
        <w:rPr>
          <w:rFonts w:hint="eastAsia" w:ascii="方正仿宋_GBK" w:hAnsi="宋体" w:eastAsia="方正仿宋_GBK"/>
          <w:sz w:val="24"/>
          <w:szCs w:val="24"/>
        </w:rPr>
        <w:t>本项目实行固定总价包干，投标人应根据本项目自行考虑投标总报价，中标价即为合同价。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default" w:ascii="方正仿宋_GBK" w:hAnsi="宋体" w:eastAsia="方正仿宋_GBK"/>
          <w:sz w:val="24"/>
          <w:szCs w:val="24"/>
        </w:rPr>
        <w:t>.</w:t>
      </w:r>
      <w:r>
        <w:rPr>
          <w:rFonts w:hint="eastAsia" w:ascii="方正仿宋_GBK" w:hAnsi="宋体" w:eastAsia="方正仿宋_GBK"/>
          <w:sz w:val="24"/>
          <w:szCs w:val="24"/>
        </w:rPr>
        <w:t>本招标项目报价以人民币报价。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default" w:ascii="方正仿宋_GBK" w:hAnsi="宋体" w:eastAsia="方正仿宋_GBK"/>
          <w:sz w:val="24"/>
          <w:szCs w:val="24"/>
        </w:rPr>
        <w:t>.</w:t>
      </w:r>
      <w:r>
        <w:rPr>
          <w:rFonts w:hint="eastAsia" w:ascii="方正仿宋_GBK" w:hAnsi="宋体" w:eastAsia="方正仿宋_GBK"/>
          <w:sz w:val="24"/>
          <w:szCs w:val="24"/>
        </w:rPr>
        <w:t>投标报价：报价应包括人工费、材料费、机械使用费、管理费、安全文明专项措施费、利润以及政府有关部门收取的规费等全部费用。因投标人自身原因造成漏报、少报皆由其自行承担责任，采购人不再补偿。</w:t>
      </w:r>
    </w:p>
    <w:p>
      <w:pPr>
        <w:pStyle w:val="3"/>
        <w:adjustRightInd w:val="0"/>
        <w:snapToGrid w:val="0"/>
        <w:spacing w:before="0" w:after="0" w:line="240" w:lineRule="auto"/>
        <w:ind w:firstLine="482" w:firstLineChars="200"/>
        <w:rPr>
          <w:rFonts w:ascii="方正仿宋_GBK" w:hAnsi="宋体" w:eastAsia="方正仿宋_GBK"/>
          <w:sz w:val="24"/>
        </w:rPr>
      </w:pPr>
      <w:r>
        <w:rPr>
          <w:rFonts w:hint="eastAsia" w:hAnsi="宋体"/>
          <w:sz w:val="24"/>
          <w:lang w:eastAsia="zh-CN"/>
        </w:rPr>
        <w:t>四</w:t>
      </w:r>
      <w:r>
        <w:rPr>
          <w:rFonts w:hint="eastAsia" w:ascii="方正仿宋_GBK" w:hAnsi="宋体" w:eastAsia="方正仿宋_GBK"/>
          <w:sz w:val="24"/>
        </w:rPr>
        <w:t>、付款方式</w:t>
      </w:r>
      <w:bookmarkEnd w:id="53"/>
      <w:bookmarkEnd w:id="54"/>
      <w:bookmarkEnd w:id="55"/>
      <w:bookmarkEnd w:id="56"/>
      <w:bookmarkEnd w:id="57"/>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本项目</w:t>
      </w:r>
      <w:r>
        <w:rPr>
          <w:rFonts w:hint="eastAsia" w:ascii="方正仿宋_GBK" w:hAnsi="宋体" w:eastAsia="方正仿宋_GBK"/>
          <w:sz w:val="24"/>
          <w:szCs w:val="24"/>
          <w:lang w:eastAsia="zh-CN"/>
        </w:rPr>
        <w:t>款项</w:t>
      </w:r>
      <w:r>
        <w:rPr>
          <w:rFonts w:hint="eastAsia" w:ascii="方正仿宋_GBK" w:hAnsi="宋体" w:eastAsia="方正仿宋_GBK"/>
          <w:sz w:val="24"/>
          <w:szCs w:val="24"/>
        </w:rPr>
        <w:t>一次</w:t>
      </w:r>
      <w:r>
        <w:rPr>
          <w:rFonts w:hint="eastAsia" w:ascii="方正仿宋_GBK" w:hAnsi="宋体" w:eastAsia="方正仿宋_GBK"/>
          <w:sz w:val="24"/>
          <w:szCs w:val="24"/>
          <w:lang w:eastAsia="zh-CN"/>
        </w:rPr>
        <w:t>性</w:t>
      </w:r>
      <w:r>
        <w:rPr>
          <w:rFonts w:hint="eastAsia" w:ascii="方正仿宋_GBK" w:hAnsi="宋体" w:eastAsia="方正仿宋_GBK"/>
          <w:sz w:val="24"/>
          <w:szCs w:val="24"/>
        </w:rPr>
        <w:t>付</w:t>
      </w:r>
      <w:r>
        <w:rPr>
          <w:rFonts w:hint="eastAsia" w:ascii="方正仿宋_GBK" w:hAnsi="宋体" w:eastAsia="方正仿宋_GBK"/>
          <w:sz w:val="24"/>
          <w:szCs w:val="24"/>
          <w:lang w:eastAsia="zh-CN"/>
        </w:rPr>
        <w:t>清</w:t>
      </w:r>
      <w:r>
        <w:rPr>
          <w:rFonts w:hint="eastAsia" w:ascii="方正仿宋_GBK" w:hAnsi="宋体" w:eastAsia="方正仿宋_GBK"/>
          <w:sz w:val="24"/>
          <w:szCs w:val="24"/>
        </w:rPr>
        <w:t>，供应商提供完整鉴定报告和正式发票,采购人</w:t>
      </w:r>
      <w:r>
        <w:rPr>
          <w:rFonts w:hint="eastAsia" w:ascii="方正仿宋_GBK" w:hAnsi="宋体" w:eastAsia="方正仿宋_GBK"/>
          <w:sz w:val="24"/>
          <w:szCs w:val="24"/>
          <w:lang w:eastAsia="zh-CN"/>
        </w:rPr>
        <w:t>验收合格后</w:t>
      </w:r>
      <w:r>
        <w:rPr>
          <w:rFonts w:hint="eastAsia" w:ascii="方正仿宋_GBK" w:hAnsi="宋体" w:eastAsia="方正仿宋_GBK"/>
          <w:sz w:val="24"/>
          <w:szCs w:val="24"/>
        </w:rPr>
        <w:t>支付合同金额的</w:t>
      </w:r>
      <w:r>
        <w:rPr>
          <w:rFonts w:hint="eastAsia" w:ascii="方正仿宋_GBK" w:hAnsi="宋体" w:eastAsia="方正仿宋_GBK"/>
          <w:sz w:val="24"/>
          <w:szCs w:val="24"/>
          <w:lang w:val="en-US"/>
        </w:rPr>
        <w:t>100</w:t>
      </w:r>
      <w:r>
        <w:rPr>
          <w:rFonts w:hint="eastAsia" w:ascii="方正仿宋_GBK" w:hAnsi="宋体" w:eastAsia="方正仿宋_GBK"/>
          <w:sz w:val="24"/>
          <w:szCs w:val="24"/>
        </w:rPr>
        <w:t>%。</w:t>
      </w:r>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hAnsi="宋体"/>
          <w:sz w:val="24"/>
          <w:lang w:eastAsia="zh-CN"/>
        </w:rPr>
        <w:t>五</w:t>
      </w:r>
      <w:r>
        <w:rPr>
          <w:rFonts w:hint="eastAsia" w:ascii="方正仿宋_GBK" w:hAnsi="宋体" w:eastAsia="方正仿宋_GBK"/>
          <w:sz w:val="24"/>
        </w:rPr>
        <w:t>、知识产权</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400" w:lineRule="exact"/>
        <w:ind w:firstLine="482" w:firstLineChars="200"/>
        <w:rPr>
          <w:rFonts w:ascii="方正仿宋_GBK" w:hAnsi="宋体" w:eastAsia="方正仿宋_GBK"/>
          <w:sz w:val="24"/>
        </w:rPr>
      </w:pPr>
      <w:bookmarkStart w:id="58" w:name="_Toc65660347"/>
      <w:bookmarkStart w:id="59" w:name="_Toc6565"/>
      <w:bookmarkStart w:id="60" w:name="_Toc106034787"/>
      <w:bookmarkStart w:id="61" w:name="_Toc5555"/>
      <w:bookmarkStart w:id="62" w:name="_Toc6869"/>
      <w:r>
        <w:rPr>
          <w:rFonts w:hint="eastAsia" w:hAnsi="宋体"/>
          <w:sz w:val="24"/>
          <w:lang w:eastAsia="zh-CN"/>
        </w:rPr>
        <w:t>六</w:t>
      </w:r>
      <w:r>
        <w:rPr>
          <w:rFonts w:hint="eastAsia" w:ascii="方正仿宋_GBK" w:hAnsi="宋体" w:eastAsia="方正仿宋_GBK"/>
          <w:sz w:val="24"/>
        </w:rPr>
        <w:t>、培训</w:t>
      </w:r>
      <w:bookmarkEnd w:id="58"/>
      <w:bookmarkEnd w:id="59"/>
      <w:bookmarkEnd w:id="60"/>
      <w:bookmarkEnd w:id="61"/>
      <w:bookmarkEnd w:id="62"/>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lang w:eastAsia="zh-CN"/>
        </w:rPr>
      </w:pPr>
      <w:bookmarkStart w:id="63" w:name="_Toc947"/>
      <w:bookmarkStart w:id="64" w:name="_Toc108013105"/>
      <w:bookmarkStart w:id="65" w:name="_Toc31910"/>
      <w:bookmarkStart w:id="66" w:name="_Toc18104"/>
      <w:bookmarkStart w:id="67" w:name="_Toc25707"/>
      <w:bookmarkStart w:id="68" w:name="_Toc19427"/>
      <w:bookmarkStart w:id="69" w:name="_Toc466546918"/>
      <w:bookmarkStart w:id="70" w:name="_Toc2954"/>
      <w:bookmarkStart w:id="71" w:name="_Toc31659"/>
      <w:bookmarkStart w:id="72" w:name="_Toc65660348"/>
      <w:bookmarkStart w:id="73" w:name="_Toc106034788"/>
      <w:bookmarkStart w:id="74" w:name="_Toc23902"/>
      <w:bookmarkStart w:id="75" w:name="_Toc21248"/>
      <w:r>
        <w:rPr>
          <w:rFonts w:hint="eastAsia" w:ascii="方正仿宋_GBK" w:hAnsi="方正仿宋_GBK" w:eastAsia="方正仿宋_GBK" w:cs="方正仿宋_GBK"/>
          <w:sz w:val="24"/>
          <w:szCs w:val="24"/>
          <w:lang w:eastAsia="zh-CN"/>
        </w:rPr>
        <w:t>无</w:t>
      </w:r>
    </w:p>
    <w:p>
      <w:pPr>
        <w:pStyle w:val="3"/>
        <w:adjustRightInd w:val="0"/>
        <w:snapToGrid w:val="0"/>
        <w:spacing w:before="0" w:after="0" w:line="400" w:lineRule="exact"/>
        <w:ind w:firstLine="482" w:firstLineChars="200"/>
        <w:jc w:val="left"/>
        <w:rPr>
          <w:rFonts w:ascii="方正仿宋_GBK" w:hAnsi="方正仿宋_GBK" w:eastAsia="方正仿宋_GBK" w:cs="方正仿宋_GBK"/>
          <w:sz w:val="24"/>
        </w:rPr>
      </w:pPr>
      <w:r>
        <w:rPr>
          <w:rFonts w:hint="eastAsia" w:cs="方正仿宋_GBK"/>
          <w:sz w:val="24"/>
          <w:lang w:eastAsia="zh-CN"/>
        </w:rPr>
        <w:t>七</w:t>
      </w:r>
      <w:r>
        <w:rPr>
          <w:rFonts w:hint="eastAsia" w:ascii="方正仿宋_GBK" w:hAnsi="方正仿宋_GBK" w:eastAsia="方正仿宋_GBK" w:cs="方正仿宋_GBK"/>
          <w:sz w:val="24"/>
        </w:rPr>
        <w:t>、项目风险管控</w:t>
      </w:r>
      <w:bookmarkEnd w:id="63"/>
      <w:bookmarkEnd w:id="64"/>
      <w:bookmarkEnd w:id="65"/>
      <w:bookmarkEnd w:id="66"/>
      <w:bookmarkEnd w:id="67"/>
      <w:bookmarkEnd w:id="68"/>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76"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69"/>
      <w:bookmarkEnd w:id="70"/>
      <w:bookmarkEnd w:id="76"/>
    </w:p>
    <w:p>
      <w:pPr>
        <w:pStyle w:val="3"/>
        <w:bidi w:val="0"/>
        <w:rPr>
          <w:rFonts w:ascii="方正仿宋_GBK" w:hAnsi="方正仿宋_GBK" w:eastAsia="方正仿宋_GBK" w:cs="方正仿宋_GBK"/>
          <w:sz w:val="24"/>
        </w:rPr>
      </w:pPr>
      <w:r>
        <w:rPr>
          <w:rFonts w:hint="eastAsia" w:hAnsi="宋体"/>
          <w:sz w:val="24"/>
          <w:lang w:eastAsia="zh-CN"/>
        </w:rPr>
        <w:t>八</w:t>
      </w:r>
      <w:r>
        <w:rPr>
          <w:rFonts w:hint="eastAsia" w:ascii="方正仿宋_GBK" w:hAnsi="宋体" w:eastAsia="方正仿宋_GBK"/>
          <w:sz w:val="24"/>
        </w:rPr>
        <w:t>、</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hAnsi="宋体"/>
          <w:sz w:val="24"/>
          <w:lang w:eastAsia="zh-CN"/>
        </w:rPr>
        <w:t>九</w:t>
      </w:r>
      <w:r>
        <w:rPr>
          <w:rFonts w:hint="eastAsia" w:ascii="方正仿宋_GBK" w:hAnsi="宋体" w:eastAsia="方正仿宋_GBK"/>
          <w:sz w:val="24"/>
        </w:rPr>
        <w:t>、合同争议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hAnsi="宋体"/>
          <w:sz w:val="24"/>
          <w:lang w:eastAsia="zh-CN"/>
        </w:rPr>
        <w:t>十</w:t>
      </w:r>
      <w:r>
        <w:rPr>
          <w:rFonts w:hint="eastAsia" w:ascii="方正仿宋_GBK" w:hAnsi="宋体" w:eastAsia="方正仿宋_GBK"/>
          <w:sz w:val="24"/>
        </w:rPr>
        <w:t>、其他</w:t>
      </w:r>
      <w:bookmarkEnd w:id="71"/>
      <w:bookmarkEnd w:id="72"/>
      <w:bookmarkEnd w:id="73"/>
      <w:bookmarkEnd w:id="74"/>
      <w:bookmarkEnd w:id="75"/>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pacing w:line="400" w:lineRule="exact"/>
        <w:ind w:firstLine="480" w:firstLineChars="200"/>
        <w:rPr>
          <w:rFonts w:hint="eastAsia" w:ascii="宋体" w:hAnsi="宋体" w:eastAsia="宋体" w:cs="宋体"/>
          <w:b w:val="0"/>
          <w:bCs w:val="0"/>
          <w:color w:val="auto"/>
          <w:sz w:val="24"/>
          <w:szCs w:val="24"/>
          <w:highlight w:val="none"/>
          <w:lang w:val="en-US" w:eastAsia="zh-CN"/>
        </w:rPr>
      </w:pPr>
    </w:p>
    <w:p>
      <w:pPr>
        <w:spacing w:line="400" w:lineRule="exact"/>
        <w:ind w:firstLine="480" w:firstLineChars="200"/>
        <w:rPr>
          <w:rFonts w:hint="eastAsia" w:ascii="宋体" w:hAnsi="宋体" w:eastAsia="宋体" w:cs="宋体"/>
          <w:b w:val="0"/>
          <w:bCs w:val="0"/>
          <w:color w:val="auto"/>
          <w:sz w:val="24"/>
          <w:szCs w:val="24"/>
          <w:highlight w:val="none"/>
          <w:lang w:val="en-US" w:eastAsia="zh-CN"/>
        </w:rPr>
      </w:pPr>
    </w:p>
    <w:p>
      <w:pPr>
        <w:jc w:val="center"/>
        <w:rPr>
          <w:rFonts w:hint="eastAsia" w:ascii="宋体" w:hAnsi="宋体" w:eastAsia="宋体" w:cs="宋体"/>
          <w:b/>
          <w:color w:val="auto"/>
          <w:sz w:val="24"/>
          <w:szCs w:val="24"/>
          <w:highlight w:val="none"/>
        </w:rPr>
      </w:pPr>
      <w:bookmarkStart w:id="77" w:name="_Toc487204778"/>
      <w:bookmarkStart w:id="78" w:name="_Toc6453"/>
      <w:bookmarkStart w:id="79" w:name="_Toc3115"/>
    </w:p>
    <w:p>
      <w:pPr>
        <w:jc w:val="both"/>
        <w:outlineLvl w:val="0"/>
        <w:rPr>
          <w:rFonts w:hint="eastAsia" w:ascii="宋体" w:hAnsi="宋体" w:eastAsia="宋体" w:cs="宋体"/>
          <w:color w:val="auto"/>
          <w:sz w:val="24"/>
          <w:szCs w:val="24"/>
          <w:highlight w:val="none"/>
        </w:rPr>
      </w:pPr>
    </w:p>
    <w:p>
      <w:pP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bookmarkEnd w:id="77"/>
    <w:bookmarkEnd w:id="78"/>
    <w:bookmarkEnd w:id="79"/>
    <w:p>
      <w:pPr>
        <w:pStyle w:val="2"/>
        <w:bidi w:val="0"/>
        <w:rPr>
          <w:rFonts w:hint="eastAsia"/>
        </w:rPr>
      </w:pPr>
      <w:bookmarkStart w:id="80" w:name="_Toc11341"/>
      <w:bookmarkStart w:id="81" w:name="_Toc342913393"/>
      <w:bookmarkStart w:id="82" w:name="_Toc487204782"/>
      <w:bookmarkStart w:id="83" w:name="_Toc102227319"/>
      <w:bookmarkStart w:id="84" w:name="_Toc426965633"/>
      <w:bookmarkStart w:id="85" w:name="_Toc179714298"/>
      <w:bookmarkStart w:id="86" w:name="_Toc31741"/>
      <w:bookmarkStart w:id="87" w:name="_Toc31795"/>
      <w:r>
        <w:rPr>
          <w:rFonts w:hint="eastAsia"/>
        </w:rPr>
        <w:t>第四篇  开标程序及方法、评审标准、无效响应和采购终止</w:t>
      </w:r>
      <w:bookmarkEnd w:id="80"/>
    </w:p>
    <w:p>
      <w:pPr>
        <w:pStyle w:val="3"/>
        <w:bidi w:val="0"/>
        <w:rPr>
          <w:rFonts w:hint="eastAsia"/>
        </w:rPr>
      </w:pPr>
      <w:bookmarkStart w:id="88" w:name="_Toc32183"/>
      <w:bookmarkStart w:id="89" w:name="_Toc20908"/>
      <w:bookmarkStart w:id="90" w:name="_Toc17036"/>
      <w:bookmarkStart w:id="91" w:name="_Toc32287"/>
      <w:bookmarkStart w:id="92" w:name="_Toc24853"/>
      <w:r>
        <w:rPr>
          <w:rFonts w:hint="eastAsia"/>
          <w:lang w:eastAsia="zh-CN"/>
        </w:rPr>
        <w:t>一</w:t>
      </w:r>
      <w:r>
        <w:rPr>
          <w:rFonts w:hint="eastAsia"/>
        </w:rPr>
        <w:t>、</w:t>
      </w:r>
      <w:bookmarkEnd w:id="81"/>
      <w:bookmarkEnd w:id="82"/>
      <w:bookmarkEnd w:id="83"/>
      <w:bookmarkEnd w:id="84"/>
      <w:bookmarkEnd w:id="85"/>
      <w:bookmarkEnd w:id="86"/>
      <w:bookmarkEnd w:id="87"/>
      <w:bookmarkEnd w:id="88"/>
      <w:bookmarkEnd w:id="89"/>
      <w:bookmarkEnd w:id="90"/>
      <w:bookmarkEnd w:id="91"/>
      <w:bookmarkEnd w:id="92"/>
      <w:r>
        <w:rPr>
          <w:rFonts w:hint="eastAsia" w:ascii="方正仿宋_GBK" w:hAnsi="宋体" w:eastAsia="方正仿宋_GBK"/>
          <w:sz w:val="24"/>
        </w:rPr>
        <w:t>评分程序及方法</w:t>
      </w:r>
    </w:p>
    <w:p>
      <w:pPr>
        <w:spacing w:line="400" w:lineRule="exact"/>
        <w:ind w:firstLine="480" w:firstLineChars="200"/>
        <w:rPr>
          <w:rFonts w:ascii="方正仿宋_GBK" w:hAnsi="宋体" w:eastAsia="方正仿宋_GBK"/>
          <w:sz w:val="24"/>
          <w:szCs w:val="24"/>
        </w:rPr>
      </w:pPr>
      <w:bookmarkStart w:id="93" w:name="_Toc104806988"/>
      <w:bookmarkStart w:id="94" w:name="_Toc15278"/>
      <w:bookmarkStart w:id="95" w:name="_Toc1719"/>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3118"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3118"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pPr>
              <w:pStyle w:val="13"/>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仿宋_GB2312"/>
                <w:sz w:val="21"/>
                <w:szCs w:val="21"/>
                <w:lang w:val="zh-CN"/>
              </w:rPr>
            </w:pP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综合评分法，是指响应文件满足竞采购文件全部实质性要求且按照评审因素的量化指标评审得分最高的供应商为成交候选供应商的评审方法。供应商总得分为价格、服务、商务等评定因素分别按照相应权重值计算分项得分后相加，满分为100分。</w:t>
      </w:r>
    </w:p>
    <w:p>
      <w:pPr>
        <w:spacing w:line="400" w:lineRule="exact"/>
        <w:ind w:firstLine="480" w:firstLineChars="200"/>
        <w:rPr>
          <w:rFonts w:hint="eastAsia" w:ascii="宋体" w:hAnsi="宋体" w:eastAsia="宋体" w:cs="宋体"/>
          <w:color w:val="auto"/>
          <w:kern w:val="0"/>
          <w:sz w:val="24"/>
          <w:szCs w:val="24"/>
          <w:highlight w:val="none"/>
        </w:rPr>
      </w:pPr>
      <w:r>
        <w:rPr>
          <w:rFonts w:hint="eastAsia" w:ascii="方正仿宋_GBK" w:hAnsi="宋体" w:eastAsia="方正仿宋_GBK"/>
          <w:sz w:val="24"/>
          <w:szCs w:val="24"/>
        </w:rPr>
        <w:t>（十）评审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pPr>
        <w:pStyle w:val="3"/>
        <w:bidi w:val="0"/>
        <w:rPr>
          <w:rFonts w:hint="eastAsia"/>
          <w:lang w:eastAsia="zh-CN"/>
        </w:rPr>
      </w:pPr>
      <w:bookmarkStart w:id="96" w:name="_Toc3347"/>
      <w:bookmarkStart w:id="97" w:name="_Toc4824"/>
      <w:bookmarkStart w:id="98" w:name="_Toc24791"/>
      <w:bookmarkStart w:id="99" w:name="_Toc25978"/>
      <w:r>
        <w:rPr>
          <w:rFonts w:hint="eastAsia"/>
          <w:lang w:eastAsia="zh-CN"/>
        </w:rPr>
        <w:t>二、评审标准</w:t>
      </w:r>
      <w:bookmarkEnd w:id="93"/>
      <w:bookmarkEnd w:id="96"/>
      <w:bookmarkEnd w:id="97"/>
      <w:bookmarkEnd w:id="98"/>
      <w:bookmarkEnd w:id="99"/>
    </w:p>
    <w:tbl>
      <w:tblPr>
        <w:tblStyle w:val="25"/>
        <w:tblW w:w="10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67"/>
        <w:gridCol w:w="1133"/>
        <w:gridCol w:w="5065"/>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shd w:val="clear" w:color="auto" w:fill="FFFFFF"/>
            <w:noWrap w:val="0"/>
            <w:vAlign w:val="center"/>
          </w:tcPr>
          <w:p>
            <w:pPr>
              <w:spacing w:line="400" w:lineRule="exact"/>
              <w:ind w:firstLine="28"/>
              <w:jc w:val="center"/>
              <w:rPr>
                <w:rFonts w:hint="eastAsia" w:ascii="方正仿宋_GBK" w:hAnsi="方正仿宋_GBK" w:eastAsia="方正仿宋_GBK" w:cs="方正仿宋_GBK"/>
                <w:b/>
                <w:bCs/>
                <w:color w:val="auto"/>
                <w:sz w:val="21"/>
                <w:szCs w:val="21"/>
                <w:highlight w:val="none"/>
              </w:rPr>
            </w:pPr>
            <w:bookmarkStart w:id="100" w:name="_Toc4474"/>
            <w:r>
              <w:rPr>
                <w:rFonts w:hint="eastAsia" w:ascii="方正仿宋_GBK" w:hAnsi="方正仿宋_GBK" w:eastAsia="方正仿宋_GBK" w:cs="方正仿宋_GBK"/>
                <w:b/>
                <w:bCs/>
                <w:color w:val="auto"/>
                <w:sz w:val="21"/>
                <w:szCs w:val="21"/>
                <w:highlight w:val="none"/>
              </w:rPr>
              <w:t>序号</w:t>
            </w:r>
          </w:p>
        </w:tc>
        <w:tc>
          <w:tcPr>
            <w:tcW w:w="1167" w:type="dxa"/>
            <w:shd w:val="clear" w:color="auto" w:fill="FFFFFF"/>
            <w:noWrap w:val="0"/>
            <w:vAlign w:val="center"/>
          </w:tcPr>
          <w:p>
            <w:pPr>
              <w:spacing w:line="240" w:lineRule="auto"/>
              <w:ind w:firstLine="28"/>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评分因素及权重</w:t>
            </w:r>
          </w:p>
        </w:tc>
        <w:tc>
          <w:tcPr>
            <w:tcW w:w="1133" w:type="dxa"/>
            <w:shd w:val="clear" w:color="auto" w:fill="FFFFFF"/>
            <w:noWrap w:val="0"/>
            <w:vAlign w:val="center"/>
          </w:tcPr>
          <w:p>
            <w:pPr>
              <w:spacing w:line="400" w:lineRule="exact"/>
              <w:ind w:firstLine="28"/>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分值</w:t>
            </w:r>
          </w:p>
        </w:tc>
        <w:tc>
          <w:tcPr>
            <w:tcW w:w="5065" w:type="dxa"/>
            <w:shd w:val="clear" w:color="auto" w:fill="FFFFFF"/>
            <w:noWrap w:val="0"/>
            <w:vAlign w:val="center"/>
          </w:tcPr>
          <w:p>
            <w:pPr>
              <w:spacing w:line="400" w:lineRule="exact"/>
              <w:ind w:firstLine="28"/>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评分标准</w:t>
            </w:r>
          </w:p>
        </w:tc>
        <w:tc>
          <w:tcPr>
            <w:tcW w:w="2494" w:type="dxa"/>
            <w:shd w:val="clear" w:color="auto" w:fill="FFFFFF"/>
            <w:noWrap w:val="0"/>
            <w:vAlign w:val="center"/>
          </w:tcPr>
          <w:p>
            <w:pPr>
              <w:spacing w:line="400" w:lineRule="exact"/>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15" w:type="dxa"/>
            <w:noWrap w:val="0"/>
            <w:vAlign w:val="center"/>
          </w:tcPr>
          <w:p>
            <w:pPr>
              <w:spacing w:line="400" w:lineRule="exact"/>
              <w:ind w:firstLine="28"/>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167" w:type="dxa"/>
            <w:noWrap w:val="0"/>
            <w:vAlign w:val="center"/>
          </w:tcPr>
          <w:p>
            <w:pPr>
              <w:spacing w:line="400" w:lineRule="exact"/>
              <w:ind w:firstLine="28"/>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报价</w:t>
            </w:r>
            <w:r>
              <w:rPr>
                <w:rFonts w:hint="eastAsia" w:ascii="方正仿宋_GBK" w:hAnsi="方正仿宋_GBK" w:eastAsia="方正仿宋_GBK" w:cs="方正仿宋_GBK"/>
                <w:color w:val="auto"/>
                <w:sz w:val="21"/>
                <w:szCs w:val="21"/>
                <w:highlight w:val="none"/>
                <w:lang w:val="en-US" w:eastAsia="zh-CN"/>
              </w:rPr>
              <w:t>部分</w:t>
            </w:r>
          </w:p>
          <w:p>
            <w:pPr>
              <w:spacing w:line="400" w:lineRule="exact"/>
              <w:ind w:firstLine="28"/>
              <w:jc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val="en-US" w:eastAsia="zh-CN"/>
              </w:rPr>
              <w:t>20</w:t>
            </w:r>
            <w:r>
              <w:rPr>
                <w:rFonts w:hint="eastAsia" w:ascii="方正仿宋_GBK" w:hAnsi="方正仿宋_GBK" w:eastAsia="方正仿宋_GBK" w:cs="方正仿宋_GBK"/>
                <w:color w:val="auto"/>
                <w:sz w:val="21"/>
                <w:szCs w:val="21"/>
                <w:highlight w:val="none"/>
              </w:rPr>
              <w:t>%</w:t>
            </w:r>
          </w:p>
        </w:tc>
        <w:tc>
          <w:tcPr>
            <w:tcW w:w="1133" w:type="dxa"/>
            <w:noWrap w:val="0"/>
            <w:vAlign w:val="center"/>
          </w:tcPr>
          <w:p>
            <w:pPr>
              <w:spacing w:line="400" w:lineRule="exact"/>
              <w:ind w:firstLine="28"/>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报价</w:t>
            </w:r>
          </w:p>
          <w:p>
            <w:pPr>
              <w:spacing w:line="400" w:lineRule="exact"/>
              <w:ind w:firstLine="28"/>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（20分）</w:t>
            </w:r>
          </w:p>
        </w:tc>
        <w:tc>
          <w:tcPr>
            <w:tcW w:w="5065" w:type="dxa"/>
            <w:noWrap w:val="0"/>
            <w:vAlign w:val="center"/>
          </w:tcPr>
          <w:p>
            <w:pPr>
              <w:spacing w:line="400" w:lineRule="exact"/>
              <w:ind w:firstLine="28"/>
              <w:jc w:val="both"/>
              <w:rPr>
                <w:rFonts w:hint="eastAsia" w:ascii="方正仿宋_GBK" w:hAnsi="方正仿宋_GBK" w:eastAsia="方正仿宋_GBK" w:cs="方正仿宋_GBK"/>
                <w:color w:val="auto"/>
                <w:sz w:val="21"/>
                <w:szCs w:val="21"/>
                <w:highlight w:val="none"/>
                <w:lang w:val="en-US" w:eastAsia="zh-CN"/>
              </w:rPr>
            </w:pPr>
            <w:r>
              <w:rPr>
                <w:rFonts w:hint="eastAsia" w:ascii="仿宋" w:hAnsi="仿宋" w:eastAsia="仿宋" w:cs="Times New Roman"/>
                <w:kern w:val="2"/>
                <w:sz w:val="21"/>
                <w:szCs w:val="21"/>
              </w:rPr>
              <w:t>满足资格审查要求且最后报价最低的供应商的报价为基准价，其价格分为满分。其他供应商的价格分统一按照下列公式计算：报价得分＝（评标基准价/最后报价）×价格权值×100。</w:t>
            </w:r>
          </w:p>
        </w:tc>
        <w:tc>
          <w:tcPr>
            <w:tcW w:w="2494" w:type="dxa"/>
            <w:noWrap w:val="0"/>
            <w:vAlign w:val="center"/>
          </w:tcPr>
          <w:p>
            <w:pPr>
              <w:spacing w:line="360" w:lineRule="auto"/>
              <w:jc w:val="left"/>
              <w:rPr>
                <w:rFonts w:hint="eastAsia" w:ascii="方正仿宋_GBK" w:hAnsi="方正仿宋_GBK" w:eastAsia="方正仿宋_GBK" w:cs="方正仿宋_GBK"/>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15" w:type="dxa"/>
            <w:vMerge w:val="restart"/>
            <w:noWrap w:val="0"/>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w:t>
            </w:r>
          </w:p>
        </w:tc>
        <w:tc>
          <w:tcPr>
            <w:tcW w:w="1167" w:type="dxa"/>
            <w:vMerge w:val="restart"/>
            <w:noWrap w:val="0"/>
            <w:vAlign w:val="center"/>
          </w:tcPr>
          <w:p>
            <w:pPr>
              <w:spacing w:line="400" w:lineRule="exact"/>
              <w:ind w:firstLine="28"/>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技术部分</w:t>
            </w:r>
          </w:p>
          <w:p>
            <w:pPr>
              <w:spacing w:line="400" w:lineRule="exact"/>
              <w:ind w:firstLine="28"/>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50%</w:t>
            </w:r>
          </w:p>
        </w:tc>
        <w:tc>
          <w:tcPr>
            <w:tcW w:w="1133" w:type="dxa"/>
            <w:noWrap w:val="0"/>
            <w:vAlign w:val="center"/>
          </w:tcPr>
          <w:p>
            <w:pPr>
              <w:spacing w:line="400" w:lineRule="exact"/>
              <w:ind w:firstLine="28" w:firstLineChars="0"/>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鉴定方案（20分）</w:t>
            </w:r>
          </w:p>
        </w:tc>
        <w:tc>
          <w:tcPr>
            <w:tcW w:w="5065" w:type="dxa"/>
            <w:noWrap w:val="0"/>
            <w:vAlign w:val="center"/>
          </w:tcPr>
          <w:p>
            <w:pPr>
              <w:spacing w:line="400" w:lineRule="exact"/>
              <w:ind w:firstLine="28"/>
              <w:jc w:val="both"/>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供应商应提供施工方案，内容应包含但不限于、鉴定流程、检测设备、鉴定内容等。内容存在瑕疵1处扣4分总分20分，未提供的得0分。</w:t>
            </w:r>
          </w:p>
        </w:tc>
        <w:tc>
          <w:tcPr>
            <w:tcW w:w="2494" w:type="dxa"/>
            <w:vMerge w:val="restart"/>
            <w:noWrap w:val="0"/>
            <w:vAlign w:val="center"/>
          </w:tcPr>
          <w:p>
            <w:pPr>
              <w:spacing w:line="400" w:lineRule="exact"/>
              <w:ind w:firstLine="28"/>
              <w:jc w:val="both"/>
              <w:rPr>
                <w:rFonts w:hint="eastAsia" w:ascii="方正仿宋_GBK" w:hAnsi="方正仿宋_GBK" w:eastAsia="方正仿宋_GBK" w:cs="方正仿宋_GBK"/>
                <w:color w:val="auto"/>
                <w:sz w:val="21"/>
                <w:szCs w:val="21"/>
                <w:highlight w:val="none"/>
                <w:lang w:val="en-US" w:eastAsia="zh-CN"/>
              </w:rPr>
            </w:pPr>
            <w:r>
              <w:rPr>
                <w:rFonts w:hint="eastAsia" w:ascii="仿宋" w:hAnsi="仿宋" w:eastAsia="仿宋"/>
                <w:sz w:val="21"/>
                <w:szCs w:val="21"/>
                <w:lang w:val="zh-CN"/>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815" w:type="dxa"/>
            <w:vMerge w:val="continue"/>
            <w:noWrap w:val="0"/>
            <w:vAlign w:val="center"/>
          </w:tcPr>
          <w:p>
            <w:pPr>
              <w:rPr>
                <w:rFonts w:hint="eastAsia" w:ascii="方正仿宋_GBK" w:hAnsi="方正仿宋_GBK" w:eastAsia="方正仿宋_GBK" w:cs="方正仿宋_GBK"/>
                <w:color w:val="auto"/>
                <w:kern w:val="2"/>
                <w:sz w:val="21"/>
                <w:szCs w:val="21"/>
                <w:highlight w:val="none"/>
                <w:lang w:val="en-US" w:eastAsia="zh-CN" w:bidi="ar-SA"/>
              </w:rPr>
            </w:pPr>
          </w:p>
        </w:tc>
        <w:tc>
          <w:tcPr>
            <w:tcW w:w="1167" w:type="dxa"/>
            <w:vMerge w:val="continue"/>
            <w:noWrap w:val="0"/>
            <w:vAlign w:val="center"/>
          </w:tcPr>
          <w:p>
            <w:pPr>
              <w:spacing w:line="400" w:lineRule="exact"/>
              <w:ind w:firstLine="28"/>
              <w:jc w:val="center"/>
              <w:rPr>
                <w:rFonts w:hint="eastAsia" w:ascii="方正仿宋_GBK" w:hAnsi="方正仿宋_GBK" w:eastAsia="方正仿宋_GBK" w:cs="方正仿宋_GBK"/>
                <w:color w:val="auto"/>
                <w:sz w:val="21"/>
                <w:szCs w:val="21"/>
                <w:highlight w:val="none"/>
                <w:lang w:val="en-US" w:eastAsia="zh-CN"/>
              </w:rPr>
            </w:pPr>
          </w:p>
        </w:tc>
        <w:tc>
          <w:tcPr>
            <w:tcW w:w="1133" w:type="dxa"/>
            <w:noWrap w:val="0"/>
            <w:vAlign w:val="center"/>
          </w:tcPr>
          <w:p>
            <w:pPr>
              <w:pStyle w:val="32"/>
              <w:jc w:val="center"/>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sz w:val="21"/>
                <w:szCs w:val="21"/>
                <w:highlight w:val="none"/>
                <w:lang w:val="en-US" w:eastAsia="zh-CN"/>
              </w:rPr>
              <w:t>服务方案（</w:t>
            </w:r>
            <w:r>
              <w:rPr>
                <w:rFonts w:hint="eastAsia" w:ascii="方正仿宋_GBK" w:hAnsi="方正仿宋_GBK" w:eastAsia="方正仿宋_GBK" w:cs="方正仿宋_GBK"/>
                <w:color w:val="auto"/>
                <w:kern w:val="0"/>
                <w:sz w:val="21"/>
                <w:szCs w:val="21"/>
                <w:highlight w:val="none"/>
                <w:lang w:val="en-US" w:eastAsia="zh-CN" w:bidi="ar-SA"/>
              </w:rPr>
              <w:t>10分）</w:t>
            </w:r>
          </w:p>
        </w:tc>
        <w:tc>
          <w:tcPr>
            <w:tcW w:w="5065" w:type="dxa"/>
            <w:noWrap w:val="0"/>
            <w:vAlign w:val="center"/>
          </w:tcPr>
          <w:p>
            <w:pPr>
              <w:spacing w:line="400" w:lineRule="exact"/>
              <w:ind w:firstLine="28"/>
              <w:jc w:val="both"/>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供应商应提供服务方案，内容应包含但不限于服务承诺、质量保障措施、服务人员安排、服务响应时间、紧急情况处理预案等。内容存在瑕疵1处扣2分总分10分，未提供的得0分。</w:t>
            </w:r>
          </w:p>
        </w:tc>
        <w:tc>
          <w:tcPr>
            <w:tcW w:w="2494" w:type="dxa"/>
            <w:vMerge w:val="continue"/>
            <w:noWrap w:val="0"/>
            <w:vAlign w:val="center"/>
          </w:tcPr>
          <w:p>
            <w:pPr>
              <w:spacing w:line="400" w:lineRule="exact"/>
              <w:ind w:firstLine="28"/>
              <w:jc w:val="center"/>
              <w:rPr>
                <w:rFonts w:hint="eastAsia" w:ascii="方正仿宋_GBK" w:hAnsi="方正仿宋_GBK" w:eastAsia="方正仿宋_GBK" w:cs="方正仿宋_GBK"/>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815" w:type="dxa"/>
            <w:vMerge w:val="continue"/>
            <w:noWrap w:val="0"/>
            <w:vAlign w:val="center"/>
          </w:tcPr>
          <w:p>
            <w:pPr>
              <w:rPr>
                <w:rFonts w:hint="eastAsia" w:ascii="方正仿宋_GBK" w:hAnsi="方正仿宋_GBK" w:eastAsia="方正仿宋_GBK" w:cs="方正仿宋_GBK"/>
                <w:color w:val="auto"/>
                <w:kern w:val="2"/>
                <w:sz w:val="21"/>
                <w:szCs w:val="21"/>
                <w:highlight w:val="none"/>
                <w:lang w:val="en-US" w:eastAsia="zh-CN" w:bidi="ar-SA"/>
              </w:rPr>
            </w:pPr>
          </w:p>
        </w:tc>
        <w:tc>
          <w:tcPr>
            <w:tcW w:w="1167" w:type="dxa"/>
            <w:vMerge w:val="continue"/>
            <w:noWrap w:val="0"/>
            <w:vAlign w:val="center"/>
          </w:tcPr>
          <w:p>
            <w:pPr>
              <w:spacing w:line="400" w:lineRule="exact"/>
              <w:ind w:firstLine="28"/>
              <w:jc w:val="center"/>
              <w:rPr>
                <w:rFonts w:hint="eastAsia" w:ascii="方正仿宋_GBK" w:hAnsi="方正仿宋_GBK" w:eastAsia="方正仿宋_GBK" w:cs="方正仿宋_GBK"/>
                <w:color w:val="auto"/>
                <w:sz w:val="21"/>
                <w:szCs w:val="21"/>
                <w:highlight w:val="none"/>
                <w:lang w:val="en-US" w:eastAsia="zh-CN"/>
              </w:rPr>
            </w:pPr>
          </w:p>
        </w:tc>
        <w:tc>
          <w:tcPr>
            <w:tcW w:w="1133" w:type="dxa"/>
            <w:noWrap w:val="0"/>
            <w:vAlign w:val="center"/>
          </w:tcPr>
          <w:p>
            <w:pPr>
              <w:spacing w:line="400" w:lineRule="exact"/>
              <w:ind w:firstLine="28"/>
              <w:jc w:val="both"/>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进度保证措施</w:t>
            </w:r>
          </w:p>
          <w:p>
            <w:pPr>
              <w:spacing w:line="400" w:lineRule="exact"/>
              <w:ind w:firstLine="28"/>
              <w:jc w:val="both"/>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kern w:val="0"/>
                <w:sz w:val="21"/>
                <w:szCs w:val="21"/>
                <w:highlight w:val="none"/>
                <w:lang w:val="en-US" w:eastAsia="zh-CN" w:bidi="ar-SA"/>
              </w:rPr>
              <w:t>10分）</w:t>
            </w:r>
          </w:p>
        </w:tc>
        <w:tc>
          <w:tcPr>
            <w:tcW w:w="5065" w:type="dxa"/>
            <w:noWrap w:val="0"/>
            <w:vAlign w:val="center"/>
          </w:tcPr>
          <w:p>
            <w:pPr>
              <w:spacing w:line="400" w:lineRule="exact"/>
              <w:ind w:firstLine="28"/>
              <w:jc w:val="both"/>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供应商应提供进度保证措施方案，施工进度计划合理、可行，关键线路清晰、准确、完整，关键节点控制措施得力、可操作性强，保证措施可靠。内容存在瑕疵1处扣2分总分10分，未提供的得0分。</w:t>
            </w:r>
          </w:p>
        </w:tc>
        <w:tc>
          <w:tcPr>
            <w:tcW w:w="2494" w:type="dxa"/>
            <w:vMerge w:val="continue"/>
            <w:noWrap w:val="0"/>
            <w:vAlign w:val="center"/>
          </w:tcPr>
          <w:p>
            <w:pPr>
              <w:spacing w:line="400" w:lineRule="exact"/>
              <w:ind w:firstLine="28"/>
              <w:jc w:val="center"/>
              <w:rPr>
                <w:rFonts w:hint="eastAsia" w:ascii="方正仿宋_GBK" w:hAnsi="方正仿宋_GBK" w:eastAsia="方正仿宋_GBK" w:cs="方正仿宋_GBK"/>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15" w:type="dxa"/>
            <w:vMerge w:val="continue"/>
            <w:noWrap w:val="0"/>
            <w:vAlign w:val="center"/>
          </w:tcPr>
          <w:p>
            <w:pPr>
              <w:rPr>
                <w:rFonts w:hint="eastAsia" w:ascii="方正仿宋_GBK" w:hAnsi="方正仿宋_GBK" w:eastAsia="方正仿宋_GBK" w:cs="方正仿宋_GBK"/>
                <w:color w:val="auto"/>
                <w:kern w:val="2"/>
                <w:sz w:val="21"/>
                <w:szCs w:val="21"/>
                <w:highlight w:val="none"/>
                <w:lang w:val="en-US" w:eastAsia="zh-CN" w:bidi="ar-SA"/>
              </w:rPr>
            </w:pPr>
          </w:p>
        </w:tc>
        <w:tc>
          <w:tcPr>
            <w:tcW w:w="1167" w:type="dxa"/>
            <w:vMerge w:val="continue"/>
            <w:noWrap w:val="0"/>
            <w:vAlign w:val="center"/>
          </w:tcPr>
          <w:p>
            <w:pPr>
              <w:spacing w:line="400" w:lineRule="exact"/>
              <w:ind w:firstLine="28"/>
              <w:jc w:val="center"/>
              <w:rPr>
                <w:rFonts w:hint="eastAsia" w:ascii="方正仿宋_GBK" w:hAnsi="方正仿宋_GBK" w:eastAsia="方正仿宋_GBK" w:cs="方正仿宋_GBK"/>
                <w:color w:val="auto"/>
                <w:sz w:val="21"/>
                <w:szCs w:val="21"/>
                <w:highlight w:val="none"/>
                <w:lang w:val="en-US" w:eastAsia="zh-CN"/>
              </w:rPr>
            </w:pPr>
          </w:p>
        </w:tc>
        <w:tc>
          <w:tcPr>
            <w:tcW w:w="1133" w:type="dxa"/>
            <w:noWrap w:val="0"/>
            <w:vAlign w:val="center"/>
          </w:tcPr>
          <w:p>
            <w:pPr>
              <w:spacing w:line="400" w:lineRule="exact"/>
              <w:ind w:firstLine="28"/>
              <w:jc w:val="both"/>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项目理解（10分）</w:t>
            </w:r>
          </w:p>
        </w:tc>
        <w:tc>
          <w:tcPr>
            <w:tcW w:w="5065" w:type="dxa"/>
            <w:noWrap w:val="0"/>
            <w:vAlign w:val="center"/>
          </w:tcPr>
          <w:p>
            <w:pPr>
              <w:spacing w:line="400" w:lineRule="exact"/>
              <w:ind w:firstLine="28"/>
              <w:jc w:val="both"/>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供应商应提供服务方案，内容应包含但不限于对项目的分析和理解、重难点分析及解决方案等。内容存在瑕疵1处扣2分总分10分，未提供的得0分。</w:t>
            </w:r>
          </w:p>
        </w:tc>
        <w:tc>
          <w:tcPr>
            <w:tcW w:w="2494" w:type="dxa"/>
            <w:vMerge w:val="continue"/>
            <w:noWrap w:val="0"/>
            <w:vAlign w:val="center"/>
          </w:tcPr>
          <w:p>
            <w:pPr>
              <w:spacing w:line="400" w:lineRule="exact"/>
              <w:ind w:firstLine="28"/>
              <w:jc w:val="center"/>
              <w:rPr>
                <w:rFonts w:hint="eastAsia" w:ascii="方正仿宋_GBK" w:hAnsi="方正仿宋_GBK" w:eastAsia="方正仿宋_GBK" w:cs="方正仿宋_GBK"/>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15" w:type="dxa"/>
            <w:vMerge w:val="restart"/>
            <w:noWrap w:val="0"/>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3</w:t>
            </w:r>
          </w:p>
        </w:tc>
        <w:tc>
          <w:tcPr>
            <w:tcW w:w="1167" w:type="dxa"/>
            <w:vMerge w:val="restart"/>
            <w:noWrap w:val="0"/>
            <w:vAlign w:val="center"/>
          </w:tcPr>
          <w:p>
            <w:pPr>
              <w:spacing w:line="400" w:lineRule="exact"/>
              <w:ind w:firstLine="28"/>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商务部分30%</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人员配置</w:t>
            </w:r>
          </w:p>
          <w:p>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（15分）</w:t>
            </w:r>
          </w:p>
        </w:tc>
        <w:tc>
          <w:tcPr>
            <w:tcW w:w="5065" w:type="dxa"/>
            <w:noWrap w:val="0"/>
            <w:vAlign w:val="center"/>
          </w:tcPr>
          <w:p>
            <w:pPr>
              <w:numPr>
                <w:ilvl w:val="0"/>
                <w:numId w:val="0"/>
              </w:numPr>
              <w:spacing w:line="360" w:lineRule="auto"/>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供应商拟投入本项目人员：</w:t>
            </w:r>
          </w:p>
          <w:p>
            <w:pPr>
              <w:numPr>
                <w:ilvl w:val="0"/>
                <w:numId w:val="0"/>
              </w:numPr>
              <w:spacing w:line="360" w:lineRule="auto"/>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1、项目负责人具有一级注册结构工程师资质得5分，具有高级工程师职称得5分，具有中级职称得2分，本项最多得10分；</w:t>
            </w:r>
          </w:p>
          <w:p>
            <w:pPr>
              <w:pStyle w:val="8"/>
              <w:rPr>
                <w:rFonts w:hint="default"/>
                <w:lang w:val="en-US" w:eastAsia="zh-CN"/>
              </w:rPr>
            </w:pPr>
            <w:r>
              <w:rPr>
                <w:rFonts w:hint="eastAsia" w:ascii="方正仿宋_GBK" w:hAnsi="方正仿宋_GBK" w:eastAsia="方正仿宋_GBK" w:cs="方正仿宋_GBK"/>
                <w:color w:val="auto"/>
                <w:kern w:val="2"/>
                <w:sz w:val="21"/>
                <w:szCs w:val="21"/>
                <w:highlight w:val="none"/>
                <w:lang w:val="en-US" w:eastAsia="zh-CN" w:bidi="ar-SA"/>
              </w:rPr>
              <w:t>2、技术负责人具有高级职称得5分，具有中级职称得2分，本项最多得5分。</w:t>
            </w:r>
          </w:p>
        </w:tc>
        <w:tc>
          <w:tcPr>
            <w:tcW w:w="2494" w:type="dxa"/>
            <w:noWrap w:val="0"/>
            <w:vAlign w:val="center"/>
          </w:tcPr>
          <w:p>
            <w:pPr>
              <w:spacing w:line="360" w:lineRule="auto"/>
              <w:ind w:left="-38" w:leftChars="0"/>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color w:val="auto"/>
                <w:sz w:val="21"/>
                <w:szCs w:val="21"/>
                <w:highlight w:val="none"/>
                <w:lang w:val="en-US" w:eastAsia="zh-CN" w:bidi="ar-SA"/>
              </w:rPr>
              <w:t>供应商提供拟派人员相关证书，供应商为其交纳的近半年任意一个月养老保险证明材料复印件并加盖供应商公章。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15" w:type="dxa"/>
            <w:vMerge w:val="continue"/>
            <w:noWrap w:val="0"/>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p>
        </w:tc>
        <w:tc>
          <w:tcPr>
            <w:tcW w:w="1167" w:type="dxa"/>
            <w:vMerge w:val="continue"/>
            <w:noWrap w:val="0"/>
            <w:vAlign w:val="center"/>
          </w:tcPr>
          <w:p>
            <w:pPr>
              <w:spacing w:line="400" w:lineRule="exact"/>
              <w:ind w:firstLine="28"/>
              <w:jc w:val="center"/>
              <w:rPr>
                <w:rFonts w:hint="eastAsia" w:ascii="方正仿宋_GBK" w:hAnsi="方正仿宋_GBK" w:eastAsia="方正仿宋_GBK" w:cs="方正仿宋_GBK"/>
                <w:color w:val="auto"/>
                <w:sz w:val="21"/>
                <w:szCs w:val="21"/>
                <w:highlight w:val="none"/>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业绩</w:t>
            </w:r>
          </w:p>
          <w:p>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（15分）</w:t>
            </w:r>
          </w:p>
        </w:tc>
        <w:tc>
          <w:tcPr>
            <w:tcW w:w="5065" w:type="dxa"/>
            <w:noWrap w:val="0"/>
            <w:vAlign w:val="center"/>
          </w:tcPr>
          <w:p>
            <w:pPr>
              <w:spacing w:line="360" w:lineRule="auto"/>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供应商自2022年1月1日起至本项目开标之日止（以合同签订时间为准），提供过类似项目的，每提供1个合同得3分，最多得15分。</w:t>
            </w:r>
          </w:p>
        </w:tc>
        <w:tc>
          <w:tcPr>
            <w:tcW w:w="2494" w:type="dxa"/>
            <w:noWrap w:val="0"/>
            <w:vAlign w:val="center"/>
          </w:tcPr>
          <w:p>
            <w:pPr>
              <w:spacing w:line="360" w:lineRule="auto"/>
              <w:ind w:left="-38" w:leftChars="0"/>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color w:val="auto"/>
                <w:sz w:val="21"/>
                <w:szCs w:val="21"/>
                <w:highlight w:val="none"/>
                <w:lang w:val="en-US" w:eastAsia="zh-CN" w:bidi="ar-SA"/>
              </w:rPr>
              <w:t>提供合同关键页复印件并加盖供应商公章。</w:t>
            </w:r>
          </w:p>
        </w:tc>
      </w:tr>
    </w:tbl>
    <w:p>
      <w:pPr>
        <w:pStyle w:val="4"/>
        <w:snapToGrid w:val="0"/>
        <w:spacing w:before="0" w:after="0" w:line="336" w:lineRule="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bookmarkEnd w:id="100"/>
    <w:p>
      <w:pPr>
        <w:pStyle w:val="3"/>
        <w:adjustRightInd w:val="0"/>
        <w:snapToGrid w:val="0"/>
        <w:spacing w:before="0" w:after="0" w:line="400" w:lineRule="exact"/>
        <w:ind w:firstLine="482" w:firstLineChars="200"/>
        <w:rPr>
          <w:rFonts w:ascii="方正仿宋_GBK" w:hAnsi="宋体" w:eastAsia="方正仿宋_GBK"/>
          <w:sz w:val="24"/>
        </w:rPr>
      </w:pPr>
      <w:bookmarkStart w:id="101" w:name="_Toc30197"/>
      <w:r>
        <w:rPr>
          <w:rFonts w:hint="eastAsia" w:ascii="方正仿宋_GBK" w:hAnsi="宋体" w:eastAsia="方正仿宋_GBK"/>
          <w:sz w:val="24"/>
        </w:rPr>
        <w:t>三、无效响应</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pPr>
        <w:pStyle w:val="3"/>
        <w:adjustRightInd w:val="0"/>
        <w:snapToGrid w:val="0"/>
        <w:spacing w:before="0" w:after="0" w:line="400" w:lineRule="exact"/>
        <w:ind w:firstLine="482" w:firstLineChars="200"/>
        <w:rPr>
          <w:rFonts w:ascii="方正仿宋_GBK" w:hAnsi="宋体" w:eastAsia="方正仿宋_GBK"/>
          <w:sz w:val="24"/>
        </w:rPr>
      </w:pPr>
      <w:bookmarkStart w:id="102" w:name="_Toc76462336"/>
      <w:bookmarkStart w:id="103" w:name="_Toc106030891"/>
      <w:r>
        <w:rPr>
          <w:rFonts w:hint="eastAsia" w:ascii="方正仿宋_GBK" w:hAnsi="宋体" w:eastAsia="方正仿宋_GBK"/>
          <w:sz w:val="24"/>
        </w:rPr>
        <w:t>四、采购终止</w:t>
      </w:r>
      <w:bookmarkEnd w:id="102"/>
      <w:bookmarkEnd w:id="103"/>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br w:type="page"/>
      </w:r>
    </w:p>
    <w:p>
      <w:pPr>
        <w:pStyle w:val="2"/>
        <w:bidi w:val="0"/>
        <w:rPr>
          <w:rFonts w:hint="eastAsia"/>
        </w:rPr>
      </w:pPr>
      <w:r>
        <w:rPr>
          <w:rFonts w:hint="eastAsia"/>
          <w:lang w:val="en-US" w:eastAsia="zh-CN"/>
        </w:rPr>
        <w:t>第五篇  供应商须知</w:t>
      </w:r>
      <w:bookmarkEnd w:id="101"/>
    </w:p>
    <w:bookmarkEnd w:id="52"/>
    <w:bookmarkEnd w:id="94"/>
    <w:bookmarkEnd w:id="95"/>
    <w:p>
      <w:pPr>
        <w:pStyle w:val="3"/>
        <w:adjustRightInd w:val="0"/>
        <w:snapToGrid w:val="0"/>
        <w:spacing w:before="0" w:after="0" w:line="400" w:lineRule="exact"/>
        <w:ind w:firstLine="482" w:firstLineChars="200"/>
        <w:rPr>
          <w:rFonts w:ascii="方正仿宋_GBK" w:hAnsi="宋体" w:eastAsia="方正仿宋_GBK"/>
          <w:sz w:val="24"/>
        </w:rPr>
      </w:pPr>
      <w:bookmarkStart w:id="104" w:name="_Toc76462338"/>
      <w:bookmarkStart w:id="105" w:name="_Toc106030893"/>
      <w:bookmarkStart w:id="106" w:name="_Toc11641055"/>
      <w:bookmarkStart w:id="107" w:name="_Toc12789059"/>
      <w:r>
        <w:rPr>
          <w:rFonts w:hint="eastAsia" w:ascii="方正仿宋_GBK" w:hAnsi="宋体" w:eastAsia="方正仿宋_GBK"/>
          <w:sz w:val="24"/>
        </w:rPr>
        <w:t>一、限额以下磋商评分费用</w:t>
      </w:r>
      <w:bookmarkEnd w:id="104"/>
      <w:bookmarkEnd w:id="105"/>
    </w:p>
    <w:p>
      <w:pPr>
        <w:pStyle w:val="3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pPr>
        <w:pStyle w:val="3"/>
        <w:adjustRightInd w:val="0"/>
        <w:snapToGrid w:val="0"/>
        <w:spacing w:before="0" w:after="0" w:line="400" w:lineRule="exact"/>
        <w:ind w:firstLine="482" w:firstLineChars="200"/>
        <w:rPr>
          <w:rFonts w:ascii="方正仿宋_GBK" w:hAnsi="宋体" w:eastAsia="方正仿宋_GBK"/>
          <w:sz w:val="24"/>
        </w:rPr>
      </w:pPr>
      <w:bookmarkStart w:id="108" w:name="_Toc342913391"/>
      <w:bookmarkStart w:id="109" w:name="_Toc106030894"/>
      <w:bookmarkStart w:id="110" w:name="_Toc76462339"/>
      <w:r>
        <w:rPr>
          <w:rFonts w:hint="eastAsia" w:ascii="方正仿宋_GBK" w:hAnsi="宋体" w:eastAsia="方正仿宋_GBK"/>
          <w:sz w:val="24"/>
        </w:rPr>
        <w:t>二、限额以下磋商评分文件</w:t>
      </w:r>
      <w:bookmarkEnd w:id="108"/>
      <w:bookmarkEnd w:id="109"/>
      <w:bookmarkEnd w:id="110"/>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（三）限额以下磋商评分文件的解释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11" w:name="_Toc318159780"/>
      <w:bookmarkStart w:id="112" w:name="_Toc318166429"/>
      <w:bookmarkStart w:id="113" w:name="_Toc318159160"/>
      <w:bookmarkStart w:id="114" w:name="_Toc31815934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11"/>
    <w:bookmarkEnd w:id="112"/>
    <w:bookmarkEnd w:id="113"/>
    <w:bookmarkEnd w:id="114"/>
    <w:p>
      <w:pPr>
        <w:pStyle w:val="3"/>
        <w:adjustRightInd w:val="0"/>
        <w:snapToGrid w:val="0"/>
        <w:spacing w:before="0" w:after="0" w:line="400" w:lineRule="exact"/>
        <w:ind w:firstLine="482" w:firstLineChars="200"/>
        <w:rPr>
          <w:rFonts w:ascii="方正仿宋_GBK" w:hAnsi="宋体" w:eastAsia="方正仿宋_GBK"/>
          <w:sz w:val="24"/>
        </w:rPr>
      </w:pPr>
      <w:bookmarkStart w:id="115" w:name="_Toc102227318"/>
      <w:bookmarkStart w:id="116" w:name="_Toc76462340"/>
      <w:bookmarkStart w:id="117" w:name="_Toc106030895"/>
      <w:bookmarkStart w:id="118" w:name="_Toc179714297"/>
      <w:bookmarkStart w:id="119" w:name="_Toc342913392"/>
      <w:r>
        <w:rPr>
          <w:rFonts w:hint="eastAsia" w:ascii="方正仿宋_GBK" w:hAnsi="宋体" w:eastAsia="方正仿宋_GBK"/>
          <w:sz w:val="24"/>
        </w:rPr>
        <w:t>三、限额以下磋商评分要求</w:t>
      </w:r>
      <w:bookmarkEnd w:id="115"/>
      <w:bookmarkEnd w:id="116"/>
      <w:bookmarkEnd w:id="117"/>
      <w:bookmarkEnd w:id="118"/>
      <w:bookmarkEnd w:id="11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highlight w:val="none"/>
        </w:rPr>
        <w:t>1.响应文件一式三份，其中正本一份，副本二份，副本可为正本的复印件，应与正本</w:t>
      </w:r>
      <w:r>
        <w:rPr>
          <w:rFonts w:hint="eastAsia" w:ascii="方正仿宋_GBK" w:hAnsi="宋体" w:eastAsia="方正仿宋_GBK"/>
          <w:sz w:val="24"/>
          <w:szCs w:val="24"/>
        </w:rPr>
        <w:t>一致，如出现不一致情况以正本为准。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pPr>
        <w:pStyle w:val="12"/>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pPr>
        <w:pStyle w:val="3"/>
        <w:adjustRightInd w:val="0"/>
        <w:snapToGrid w:val="0"/>
        <w:spacing w:before="0" w:after="0" w:line="400" w:lineRule="exact"/>
        <w:ind w:firstLine="482" w:firstLineChars="200"/>
        <w:rPr>
          <w:rFonts w:ascii="方正仿宋_GBK" w:hAnsi="宋体" w:eastAsia="方正仿宋_GBK"/>
          <w:sz w:val="24"/>
        </w:rPr>
      </w:pPr>
      <w:bookmarkStart w:id="120" w:name="_Toc76462341"/>
      <w:bookmarkStart w:id="121" w:name="_Toc106030896"/>
      <w:r>
        <w:rPr>
          <w:rFonts w:hint="eastAsia" w:ascii="方正仿宋_GBK" w:hAnsi="宋体" w:eastAsia="方正仿宋_GBK"/>
          <w:sz w:val="24"/>
        </w:rPr>
        <w:t>四、成交供应商的确认和变更</w:t>
      </w:r>
      <w:bookmarkEnd w:id="120"/>
      <w:bookmarkEnd w:id="121"/>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pPr>
        <w:pStyle w:val="3"/>
        <w:adjustRightInd w:val="0"/>
        <w:snapToGrid w:val="0"/>
        <w:spacing w:before="0" w:after="0" w:line="400" w:lineRule="exact"/>
        <w:ind w:firstLine="482" w:firstLineChars="200"/>
        <w:rPr>
          <w:rFonts w:ascii="方正仿宋_GBK" w:hAnsi="宋体" w:eastAsia="方正仿宋_GBK"/>
          <w:sz w:val="24"/>
        </w:rPr>
      </w:pPr>
      <w:bookmarkStart w:id="122" w:name="_Toc102227321"/>
      <w:bookmarkStart w:id="123" w:name="_Toc342913395"/>
      <w:bookmarkStart w:id="124" w:name="_Toc76462342"/>
      <w:bookmarkStart w:id="125" w:name="_Toc106030897"/>
      <w:r>
        <w:rPr>
          <w:rFonts w:hint="eastAsia" w:ascii="方正仿宋_GBK" w:hAnsi="宋体" w:eastAsia="方正仿宋_GBK"/>
          <w:sz w:val="24"/>
        </w:rPr>
        <w:t>五、成交通知</w:t>
      </w:r>
      <w:bookmarkEnd w:id="122"/>
      <w:bookmarkEnd w:id="123"/>
      <w:bookmarkEnd w:id="124"/>
      <w:bookmarkEnd w:id="12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（一）成交供应商确定后，采购人将在重庆市交通运输委员会官网上发布成交结果公告。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二</w:t>
      </w:r>
      <w:r>
        <w:rPr>
          <w:rFonts w:hint="eastAsia" w:ascii="方正仿宋_GBK" w:hAnsi="宋体" w:eastAsia="方正仿宋_GBK"/>
          <w:sz w:val="24"/>
          <w:szCs w:val="24"/>
        </w:rPr>
        <w:t>）成交结果公告将作为签订合同的依据。</w:t>
      </w:r>
    </w:p>
    <w:p>
      <w:pPr>
        <w:pStyle w:val="3"/>
        <w:adjustRightInd w:val="0"/>
        <w:snapToGrid w:val="0"/>
        <w:spacing w:before="0" w:after="0" w:line="400" w:lineRule="exact"/>
        <w:ind w:firstLine="482" w:firstLineChars="200"/>
        <w:rPr>
          <w:rFonts w:ascii="方正仿宋_GBK" w:hAnsi="宋体" w:eastAsia="方正仿宋_GBK"/>
          <w:sz w:val="24"/>
        </w:rPr>
      </w:pPr>
      <w:bookmarkStart w:id="126" w:name="_Toc106030898"/>
      <w:bookmarkStart w:id="127" w:name="_Toc76462343"/>
      <w:r>
        <w:rPr>
          <w:rFonts w:hint="eastAsia" w:ascii="方正仿宋_GBK" w:hAnsi="宋体" w:eastAsia="方正仿宋_GBK"/>
          <w:sz w:val="24"/>
        </w:rPr>
        <w:t>六、关于质疑和投诉</w:t>
      </w:r>
      <w:bookmarkEnd w:id="126"/>
      <w:bookmarkEnd w:id="127"/>
    </w:p>
    <w:p>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3"/>
        <w:adjustRightInd w:val="0"/>
        <w:snapToGrid w:val="0"/>
        <w:spacing w:before="0" w:after="0" w:line="400" w:lineRule="exact"/>
        <w:ind w:firstLine="482" w:firstLineChars="200"/>
        <w:rPr>
          <w:rFonts w:ascii="方正仿宋_GBK" w:hAnsi="宋体" w:eastAsia="方正仿宋_GBK"/>
          <w:sz w:val="24"/>
        </w:rPr>
      </w:pPr>
      <w:bookmarkStart w:id="128" w:name="_Toc102227322"/>
      <w:bookmarkStart w:id="129" w:name="_Toc76462346"/>
      <w:bookmarkStart w:id="130" w:name="_Toc106030901"/>
      <w:bookmarkStart w:id="131" w:name="_Toc342913396"/>
      <w:r>
        <w:rPr>
          <w:rFonts w:hint="eastAsia" w:ascii="方正仿宋_GBK" w:hAnsi="宋体" w:eastAsia="方正仿宋_GBK"/>
          <w:sz w:val="24"/>
        </w:rPr>
        <w:t>七、签订</w:t>
      </w:r>
      <w:bookmarkEnd w:id="128"/>
      <w:r>
        <w:rPr>
          <w:rFonts w:hint="eastAsia" w:ascii="方正仿宋_GBK" w:hAnsi="宋体" w:eastAsia="方正仿宋_GBK"/>
          <w:sz w:val="24"/>
        </w:rPr>
        <w:t>合同</w:t>
      </w:r>
      <w:bookmarkEnd w:id="129"/>
      <w:bookmarkEnd w:id="130"/>
      <w:bookmarkEnd w:id="131"/>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3"/>
        <w:adjustRightInd w:val="0"/>
        <w:snapToGrid w:val="0"/>
        <w:spacing w:before="0" w:after="0" w:line="400" w:lineRule="exact"/>
        <w:ind w:firstLine="482" w:firstLineChars="200"/>
        <w:rPr>
          <w:rFonts w:ascii="方正仿宋_GBK" w:hAnsi="宋体" w:eastAsia="方正仿宋_GBK"/>
          <w:sz w:val="24"/>
        </w:rPr>
      </w:pPr>
      <w:bookmarkStart w:id="132" w:name="_Toc106030902"/>
      <w:r>
        <w:rPr>
          <w:rFonts w:hint="eastAsia" w:ascii="方正仿宋_GBK" w:hAnsi="宋体" w:eastAsia="方正仿宋_GBK"/>
          <w:sz w:val="24"/>
        </w:rPr>
        <w:t>八、项目验收</w:t>
      </w:r>
      <w:bookmarkEnd w:id="132"/>
    </w:p>
    <w:p>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pPr>
        <w:pStyle w:val="3"/>
        <w:adjustRightInd w:val="0"/>
        <w:snapToGrid w:val="0"/>
        <w:spacing w:before="0" w:after="0" w:line="400" w:lineRule="exact"/>
        <w:ind w:firstLine="482" w:firstLineChars="200"/>
        <w:rPr>
          <w:rFonts w:ascii="方正仿宋_GBK" w:hAnsi="宋体" w:eastAsia="方正仿宋_GBK"/>
          <w:sz w:val="24"/>
        </w:rPr>
      </w:pPr>
      <w:bookmarkStart w:id="133" w:name="_Toc76462344"/>
      <w:bookmarkStart w:id="134" w:name="_Toc106030899"/>
      <w:r>
        <w:rPr>
          <w:rFonts w:hint="eastAsia" w:ascii="方正仿宋_GBK" w:hAnsi="宋体" w:eastAsia="方正仿宋_GBK"/>
          <w:sz w:val="24"/>
        </w:rPr>
        <w:t>九、采购代理服务费</w:t>
      </w:r>
      <w:bookmarkEnd w:id="133"/>
      <w:bookmarkEnd w:id="134"/>
    </w:p>
    <w:p>
      <w:pPr>
        <w:rPr>
          <w:rFonts w:hint="eastAsia" w:ascii="宋体" w:hAnsi="宋体" w:eastAsia="宋体" w:cs="宋体"/>
          <w:b w:val="0"/>
          <w:color w:val="auto"/>
          <w:sz w:val="36"/>
          <w:szCs w:val="30"/>
          <w:highlight w:val="none"/>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费。</w:t>
      </w:r>
      <w:r>
        <w:rPr>
          <w:rFonts w:hint="eastAsia" w:ascii="宋体" w:hAnsi="宋体" w:eastAsia="宋体" w:cs="宋体"/>
          <w:b w:val="0"/>
          <w:color w:val="auto"/>
          <w:sz w:val="36"/>
          <w:szCs w:val="30"/>
          <w:highlight w:val="none"/>
        </w:rPr>
        <w:br w:type="page"/>
      </w:r>
    </w:p>
    <w:p>
      <w:pPr>
        <w:pStyle w:val="2"/>
        <w:bidi w:val="0"/>
        <w:rPr>
          <w:rFonts w:hint="eastAsia"/>
        </w:rPr>
      </w:pPr>
      <w:bookmarkStart w:id="135" w:name="_Toc20942"/>
      <w:r>
        <w:rPr>
          <w:rFonts w:hint="eastAsia"/>
        </w:rPr>
        <w:t>第</w:t>
      </w:r>
      <w:r>
        <w:rPr>
          <w:rFonts w:hint="eastAsia"/>
          <w:lang w:eastAsia="zh-CN"/>
        </w:rPr>
        <w:t>六</w:t>
      </w:r>
      <w:r>
        <w:rPr>
          <w:rFonts w:hint="eastAsia"/>
        </w:rPr>
        <w:t xml:space="preserve">篇  </w:t>
      </w:r>
      <w:bookmarkEnd w:id="106"/>
      <w:bookmarkEnd w:id="107"/>
      <w:r>
        <w:rPr>
          <w:rFonts w:hint="eastAsia"/>
        </w:rPr>
        <w:t>合同草案条款</w:t>
      </w:r>
      <w:bookmarkEnd w:id="135"/>
    </w:p>
    <w:p>
      <w:pPr>
        <w:adjustRightInd w:val="0"/>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注：（以下合同格式为通用版本，合同格式的最终版以签订合同时采购人提供的版本为准）</w:t>
      </w:r>
    </w:p>
    <w:p>
      <w:pPr>
        <w:rPr>
          <w:rFonts w:ascii="方正仿宋_GBK" w:eastAsia="方正仿宋_GBK"/>
          <w:sz w:val="24"/>
        </w:rPr>
      </w:pPr>
      <w:bookmarkStart w:id="136" w:name="_Toc148265480"/>
      <w:bookmarkStart w:id="137" w:name="_Toc303945820"/>
      <w:r>
        <w:rPr>
          <w:rFonts w:hint="eastAsia" w:ascii="方正仿宋_GBK" w:eastAsia="方正仿宋_GBK"/>
          <w:sz w:val="24"/>
        </w:rPr>
        <w:t>附页：合同格式</w:t>
      </w:r>
      <w:bookmarkEnd w:id="136"/>
      <w:bookmarkEnd w:id="137"/>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hint="eastAsia" w:ascii="宋体" w:hAnsi="宋体" w:eastAsia="宋体" w:cs="宋体"/>
          <w:color w:val="auto"/>
          <w:sz w:val="22"/>
          <w:szCs w:val="22"/>
          <w:highlight w:val="none"/>
        </w:rPr>
      </w:pPr>
      <w:r>
        <w:rPr>
          <w:rFonts w:hint="eastAsia" w:ascii="方正仿宋_GBK" w:eastAsia="方正仿宋_GBK"/>
          <w:sz w:val="24"/>
        </w:rPr>
        <w:t>签约时间：           年   月   日      签约地点：</w:t>
      </w:r>
    </w:p>
    <w:p>
      <w:pPr>
        <w:tabs>
          <w:tab w:val="left" w:pos="9000"/>
        </w:tabs>
        <w:spacing w:line="276" w:lineRule="auto"/>
        <w:jc w:val="center"/>
        <w:rPr>
          <w:rFonts w:hint="eastAsia" w:ascii="宋体" w:hAnsi="宋体" w:eastAsia="宋体" w:cs="宋体"/>
          <w:color w:val="auto"/>
          <w:sz w:val="21"/>
          <w:szCs w:val="21"/>
          <w:highlight w:val="none"/>
        </w:rPr>
        <w:sectPr>
          <w:footerReference r:id="rId7" w:type="first"/>
          <w:footerReference r:id="rId6" w:type="default"/>
          <w:pgSz w:w="11907" w:h="16840"/>
          <w:pgMar w:top="1134" w:right="1191" w:bottom="1134" w:left="1304" w:header="964" w:footer="992" w:gutter="0"/>
          <w:pgNumType w:fmt="decimal" w:start="1"/>
          <w:cols w:space="720" w:num="1"/>
          <w:titlePg/>
          <w:docGrid w:linePitch="312" w:charSpace="0"/>
        </w:sectPr>
      </w:pPr>
    </w:p>
    <w:p>
      <w:pPr>
        <w:pStyle w:val="2"/>
        <w:bidi w:val="0"/>
        <w:rPr>
          <w:rFonts w:hint="eastAsia"/>
        </w:rPr>
      </w:pPr>
      <w:bookmarkStart w:id="138" w:name="_Hlt41879464"/>
      <w:bookmarkEnd w:id="138"/>
      <w:bookmarkStart w:id="139" w:name="_Toc12789072"/>
      <w:bookmarkStart w:id="140" w:name="_Toc10002"/>
      <w:r>
        <w:rPr>
          <w:rFonts w:hint="eastAsia"/>
        </w:rPr>
        <w:t>第</w:t>
      </w:r>
      <w:r>
        <w:rPr>
          <w:rFonts w:hint="eastAsia"/>
          <w:lang w:eastAsia="zh-CN"/>
        </w:rPr>
        <w:t>七</w:t>
      </w:r>
      <w:r>
        <w:rPr>
          <w:rFonts w:hint="eastAsia"/>
        </w:rPr>
        <w:t>篇  响应文件格式要求</w:t>
      </w:r>
      <w:bookmarkEnd w:id="139"/>
      <w:bookmarkEnd w:id="140"/>
    </w:p>
    <w:p>
      <w:pPr>
        <w:spacing w:line="400" w:lineRule="exact"/>
        <w:ind w:firstLine="480" w:firstLineChars="200"/>
        <w:rPr>
          <w:rFonts w:ascii="方正仿宋_GBK" w:hAnsi="宋体" w:eastAsia="方正仿宋_GBK"/>
          <w:sz w:val="24"/>
          <w:szCs w:val="24"/>
        </w:rPr>
      </w:pPr>
      <w:bookmarkStart w:id="141" w:name="_Toc10567"/>
      <w:bookmarkStart w:id="142" w:name="_Toc21179"/>
      <w:bookmarkStart w:id="143" w:name="_Toc26458"/>
      <w:bookmarkStart w:id="144" w:name="_Toc8321"/>
      <w:bookmarkStart w:id="145" w:name="_Toc18063"/>
      <w:bookmarkStart w:id="146" w:name="_Toc22835"/>
      <w:bookmarkStart w:id="147" w:name="_Toc32111"/>
      <w:bookmarkStart w:id="148" w:name="_Toc13336"/>
      <w:bookmarkStart w:id="149" w:name="_Toc19707"/>
      <w:bookmarkStart w:id="150" w:name="_Toc20722"/>
      <w:bookmarkStart w:id="151" w:name="_Toc477027621"/>
      <w:bookmarkStart w:id="152" w:name="_Toc24258"/>
      <w:r>
        <w:rPr>
          <w:rFonts w:hint="eastAsia" w:ascii="方正仿宋_GBK" w:hAnsi="宋体" w:eastAsia="方正仿宋_GBK"/>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decimal"/>
          <w:cols w:space="720" w:num="1"/>
          <w:docGrid w:linePitch="380" w:charSpace="-5735"/>
        </w:sectPr>
      </w:pPr>
    </w:p>
    <w:p>
      <w:pPr>
        <w:pStyle w:val="3"/>
        <w:adjustRightInd w:val="0"/>
        <w:snapToGrid w:val="0"/>
        <w:spacing w:before="0" w:after="0" w:line="400" w:lineRule="exact"/>
        <w:ind w:firstLine="482" w:firstLineChars="200"/>
        <w:rPr>
          <w:rFonts w:ascii="方正仿宋_GBK" w:hAnsi="宋体" w:eastAsia="方正仿宋_GBK"/>
          <w:sz w:val="24"/>
        </w:rPr>
      </w:pPr>
      <w:bookmarkStart w:id="153" w:name="_Toc313888360"/>
      <w:bookmarkStart w:id="154" w:name="_Toc313008356"/>
      <w:bookmarkStart w:id="155" w:name="_Toc76462350"/>
      <w:bookmarkStart w:id="156" w:name="_Toc106030906"/>
      <w:bookmarkStart w:id="157" w:name="_Toc342913419"/>
      <w:bookmarkStart w:id="158" w:name="_Toc283382454"/>
      <w:bookmarkStart w:id="159" w:name="_Toc12789073"/>
      <w:r>
        <w:rPr>
          <w:rFonts w:hint="eastAsia" w:ascii="方正仿宋_GBK" w:hAnsi="宋体" w:eastAsia="方正仿宋_GBK"/>
          <w:sz w:val="24"/>
        </w:rPr>
        <w:t>一、经济部分</w:t>
      </w:r>
      <w:bookmarkEnd w:id="153"/>
      <w:bookmarkEnd w:id="154"/>
      <w:bookmarkEnd w:id="155"/>
      <w:bookmarkEnd w:id="156"/>
      <w:bookmarkEnd w:id="157"/>
    </w:p>
    <w:bookmarkEnd w:id="158"/>
    <w:bookmarkEnd w:id="159"/>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jc w:val="center"/>
        <w:rPr>
          <w:rFonts w:ascii="方正仿宋_GBK" w:eastAsia="方正仿宋_GBK"/>
          <w:b/>
          <w:szCs w:val="28"/>
        </w:rPr>
      </w:pPr>
      <w:r>
        <w:rPr>
          <w:rFonts w:hint="eastAsia" w:ascii="方正仿宋_GBK"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decimal"/>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p>
    <w:p>
      <w:pPr>
        <w:pStyle w:val="3"/>
        <w:adjustRightInd w:val="0"/>
        <w:snapToGrid w:val="0"/>
        <w:spacing w:before="0" w:after="0" w:line="400" w:lineRule="exact"/>
        <w:ind w:firstLine="482" w:firstLineChars="200"/>
        <w:rPr>
          <w:rFonts w:ascii="方正仿宋_GBK" w:hAnsi="宋体" w:eastAsia="方正仿宋_GBK"/>
          <w:sz w:val="24"/>
        </w:rPr>
      </w:pPr>
      <w:bookmarkStart w:id="160" w:name="_Toc313008357"/>
      <w:bookmarkStart w:id="161" w:name="_Toc313888361"/>
      <w:bookmarkStart w:id="162" w:name="_Toc76462351"/>
      <w:bookmarkStart w:id="163" w:name="_Toc106030907"/>
      <w:bookmarkStart w:id="164" w:name="_Toc342913420"/>
      <w:r>
        <w:rPr>
          <w:rFonts w:hint="eastAsia" w:ascii="方正仿宋_GBK" w:hAnsi="宋体" w:eastAsia="方正仿宋_GBK"/>
          <w:sz w:val="24"/>
        </w:rPr>
        <w:t>二、服务部分</w:t>
      </w:r>
      <w:bookmarkEnd w:id="160"/>
      <w:bookmarkEnd w:id="161"/>
      <w:bookmarkEnd w:id="162"/>
      <w:bookmarkEnd w:id="163"/>
      <w:bookmarkEnd w:id="164"/>
    </w:p>
    <w:p>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 xml:space="preserve">（一）服务响应偏离表                                </w:t>
      </w: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pPr>
        <w:pStyle w:val="3"/>
        <w:adjustRightInd w:val="0"/>
        <w:snapToGrid w:val="0"/>
        <w:spacing w:before="0" w:after="0" w:line="400" w:lineRule="exact"/>
        <w:ind w:firstLine="480" w:firstLineChars="200"/>
        <w:rPr>
          <w:rFonts w:ascii="方正仿宋_GBK" w:hAnsi="宋体" w:eastAsia="方正仿宋_GBK"/>
          <w:sz w:val="24"/>
        </w:rPr>
      </w:pPr>
      <w:r>
        <w:rPr>
          <w:rFonts w:ascii="方正仿宋_GBK" w:eastAsia="方正仿宋_GBK"/>
          <w:b w:val="0"/>
        </w:rPr>
        <w:br w:type="page"/>
      </w:r>
      <w:bookmarkStart w:id="165" w:name="_Toc106030908"/>
      <w:bookmarkStart w:id="166" w:name="_Toc313008358"/>
      <w:bookmarkStart w:id="167" w:name="_Toc342913421"/>
      <w:bookmarkStart w:id="168" w:name="_Toc313888362"/>
      <w:bookmarkStart w:id="169" w:name="_Toc76462352"/>
      <w:r>
        <w:rPr>
          <w:rFonts w:hint="eastAsia" w:ascii="方正仿宋_GBK" w:hAnsi="宋体" w:eastAsia="方正仿宋_GBK"/>
          <w:sz w:val="24"/>
        </w:rPr>
        <w:t>三、商务部分</w:t>
      </w:r>
      <w:bookmarkEnd w:id="165"/>
      <w:bookmarkEnd w:id="166"/>
      <w:bookmarkEnd w:id="167"/>
      <w:bookmarkEnd w:id="168"/>
      <w:bookmarkEnd w:id="16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（一）商务响应偏离表                           </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25"/>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snapToGrid w:val="0"/>
        <w:spacing w:line="400" w:lineRule="exact"/>
        <w:ind w:firstLine="480" w:firstLineChars="200"/>
        <w:rPr>
          <w:rFonts w:ascii="方正仿宋_GBK" w:eastAsia="方正仿宋_GBK"/>
          <w:b/>
        </w:rPr>
        <w:sectPr>
          <w:headerReference r:id="rId8" w:type="default"/>
          <w:pgSz w:w="11907" w:h="16840"/>
          <w:pgMar w:top="1134" w:right="1191" w:bottom="1134" w:left="1304" w:header="851" w:footer="992" w:gutter="0"/>
          <w:pgNumType w:fmt="decimal"/>
          <w:cols w:space="720" w:num="1"/>
          <w:docGrid w:linePitch="380" w:charSpace="-5735"/>
        </w:sectPr>
      </w:pPr>
      <w:r>
        <w:rPr>
          <w:rFonts w:hint="eastAsia" w:ascii="方正仿宋_GBK" w:hAnsi="宋体" w:eastAsia="方正仿宋_GBK"/>
          <w:sz w:val="24"/>
        </w:rPr>
        <w:t>2.本表可扩展。</w:t>
      </w:r>
    </w:p>
    <w:p>
      <w:pPr>
        <w:snapToGrid w:val="0"/>
        <w:spacing w:line="400" w:lineRule="exact"/>
        <w:ind w:firstLine="480" w:firstLineChars="200"/>
        <w:rPr>
          <w:rFonts w:ascii="方正仿宋_GBK" w:hAnsi="宋体" w:eastAsia="方正仿宋_GBK"/>
          <w:sz w:val="24"/>
          <w:szCs w:val="24"/>
        </w:rPr>
      </w:pPr>
      <w:bookmarkStart w:id="170" w:name="_Toc283382459"/>
      <w:r>
        <w:rPr>
          <w:rFonts w:hint="eastAsia" w:ascii="方正仿宋_GBK" w:hAnsi="宋体" w:eastAsia="方正仿宋_GBK"/>
          <w:sz w:val="24"/>
          <w:szCs w:val="24"/>
        </w:rPr>
        <w:t>（二）其它优惠承诺（格式自定）</w:t>
      </w:r>
    </w:p>
    <w:p>
      <w:pPr>
        <w:snapToGrid w:val="0"/>
        <w:spacing w:line="400" w:lineRule="exact"/>
        <w:ind w:firstLine="480" w:firstLineChars="200"/>
        <w:rPr>
          <w:rFonts w:ascii="方正仿宋_GBK" w:hAnsi="宋体" w:eastAsia="方正仿宋_GBK"/>
          <w:sz w:val="24"/>
          <w:szCs w:val="24"/>
        </w:rPr>
      </w:pPr>
    </w:p>
    <w:p>
      <w:pPr>
        <w:pStyle w:val="3"/>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End w:id="170"/>
      <w:bookmarkStart w:id="171" w:name="_Toc313888363"/>
      <w:bookmarkStart w:id="172" w:name="_Toc106030909"/>
      <w:bookmarkStart w:id="173" w:name="_Toc342913422"/>
      <w:bookmarkStart w:id="174" w:name="_Toc76462353"/>
      <w:bookmarkStart w:id="175" w:name="_Toc313008359"/>
      <w:r>
        <w:rPr>
          <w:rFonts w:hint="eastAsia" w:ascii="方正仿宋_GBK" w:hAnsi="宋体" w:eastAsia="方正仿宋_GBK"/>
          <w:sz w:val="24"/>
        </w:rPr>
        <w:t>四、资格条件</w:t>
      </w:r>
      <w:bookmarkEnd w:id="171"/>
      <w:bookmarkEnd w:id="172"/>
      <w:bookmarkEnd w:id="173"/>
      <w:bookmarkEnd w:id="174"/>
      <w:bookmarkEnd w:id="175"/>
    </w:p>
    <w:p>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pPr>
        <w:tabs>
          <w:tab w:val="left" w:pos="6300"/>
        </w:tabs>
        <w:snapToGrid w:val="0"/>
        <w:spacing w:line="400" w:lineRule="exact"/>
        <w:ind w:firstLine="480" w:firstLineChars="200"/>
        <w:rPr>
          <w:rFonts w:ascii="方正仿宋_GBK" w:hAnsi="宋体" w:eastAsia="方正仿宋_GBK"/>
          <w:sz w:val="24"/>
          <w:szCs w:val="24"/>
        </w:rPr>
      </w:pPr>
    </w:p>
    <w:p>
      <w:pPr>
        <w:pStyle w:val="3"/>
        <w:adjustRightInd w:val="0"/>
        <w:snapToGrid w:val="0"/>
        <w:spacing w:before="0" w:after="0" w:line="400" w:lineRule="exact"/>
        <w:ind w:firstLine="560" w:firstLineChars="200"/>
        <w:rPr>
          <w:rFonts w:ascii="方正仿宋_GBK" w:hAnsi="宋体" w:eastAsia="方正仿宋_GBK"/>
          <w:sz w:val="24"/>
        </w:rPr>
      </w:pPr>
      <w:bookmarkStart w:id="176" w:name="_Toc14422"/>
      <w:r>
        <w:rPr>
          <w:rFonts w:ascii="方正仿宋_GBK" w:hAnsi="宋体" w:eastAsia="方正仿宋_GBK"/>
          <w:b w:val="0"/>
          <w:sz w:val="28"/>
        </w:rPr>
        <w:br w:type="page"/>
      </w:r>
      <w:bookmarkStart w:id="177" w:name="_Toc76462354"/>
      <w:bookmarkStart w:id="178" w:name="_Toc106030910"/>
      <w:r>
        <w:rPr>
          <w:rFonts w:hint="eastAsia" w:ascii="方正仿宋_GBK" w:hAnsi="宋体" w:eastAsia="方正仿宋_GBK"/>
          <w:sz w:val="24"/>
        </w:rPr>
        <w:t>五、其他资料</w:t>
      </w:r>
      <w:bookmarkEnd w:id="176"/>
      <w:bookmarkEnd w:id="177"/>
      <w:bookmarkEnd w:id="17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p>
      <w:pPr>
        <w:pStyle w:val="37"/>
        <w:ind w:firstLine="480"/>
        <w:rPr>
          <w:rFonts w:hint="eastAsia" w:ascii="宋体" w:hAnsi="宋体" w:eastAsia="宋体" w:cs="宋体"/>
          <w:color w:val="auto"/>
          <w:highlight w:val="none"/>
        </w:rPr>
      </w:pPr>
    </w:p>
    <w:p>
      <w:pPr>
        <w:pStyle w:val="37"/>
        <w:ind w:firstLine="480"/>
        <w:rPr>
          <w:rFonts w:hint="eastAsia" w:ascii="宋体" w:hAnsi="宋体" w:eastAsia="宋体" w:cs="宋体"/>
          <w:color w:val="auto"/>
          <w:highlight w:val="none"/>
        </w:rPr>
      </w:pPr>
    </w:p>
    <w:p>
      <w:pPr>
        <w:pStyle w:val="37"/>
        <w:ind w:firstLine="480"/>
        <w:rPr>
          <w:rFonts w:hint="eastAsia" w:ascii="宋体" w:hAnsi="宋体" w:eastAsia="宋体" w:cs="宋体"/>
          <w:color w:val="auto"/>
          <w:highlight w:val="none"/>
        </w:rPr>
      </w:pPr>
    </w:p>
    <w:p>
      <w:pPr>
        <w:pStyle w:val="37"/>
        <w:ind w:firstLine="480"/>
        <w:rPr>
          <w:rFonts w:hint="eastAsia" w:ascii="宋体" w:hAnsi="宋体" w:eastAsia="宋体" w:cs="宋体"/>
          <w:color w:val="auto"/>
          <w:highlight w:val="none"/>
        </w:rPr>
      </w:pPr>
    </w:p>
    <w:p>
      <w:pPr>
        <w:pStyle w:val="37"/>
        <w:ind w:firstLine="480"/>
        <w:rPr>
          <w:rFonts w:hint="eastAsia" w:ascii="宋体" w:hAnsi="宋体" w:eastAsia="宋体" w:cs="宋体"/>
          <w:color w:val="auto"/>
          <w:highlight w:val="none"/>
        </w:rPr>
      </w:pPr>
    </w:p>
    <w:p>
      <w:pPr>
        <w:pStyle w:val="37"/>
        <w:ind w:firstLine="480"/>
        <w:rPr>
          <w:rFonts w:hint="eastAsia" w:ascii="宋体" w:hAnsi="宋体" w:eastAsia="宋体" w:cs="宋体"/>
          <w:color w:val="auto"/>
          <w:highlight w:val="none"/>
        </w:rPr>
      </w:pPr>
    </w:p>
    <w:p>
      <w:pPr>
        <w:pStyle w:val="37"/>
        <w:ind w:firstLine="480"/>
        <w:rPr>
          <w:rFonts w:hint="eastAsia" w:ascii="宋体" w:hAnsi="宋体" w:eastAsia="宋体" w:cs="宋体"/>
          <w:color w:val="auto"/>
          <w:highlight w:val="none"/>
        </w:rPr>
      </w:pPr>
    </w:p>
    <w:p>
      <w:pPr>
        <w:pStyle w:val="37"/>
        <w:ind w:firstLine="480"/>
        <w:rPr>
          <w:rFonts w:hint="eastAsia" w:ascii="宋体" w:hAnsi="宋体" w:eastAsia="宋体" w:cs="宋体"/>
          <w:color w:val="auto"/>
          <w:highlight w:val="none"/>
        </w:rPr>
      </w:pPr>
    </w:p>
    <w:bookmarkEnd w:id="141"/>
    <w:bookmarkEnd w:id="142"/>
    <w:bookmarkEnd w:id="143"/>
    <w:bookmarkEnd w:id="144"/>
    <w:bookmarkEnd w:id="145"/>
    <w:bookmarkEnd w:id="146"/>
    <w:bookmarkEnd w:id="147"/>
    <w:bookmarkEnd w:id="148"/>
    <w:bookmarkEnd w:id="149"/>
    <w:bookmarkEnd w:id="150"/>
    <w:bookmarkEnd w:id="151"/>
    <w:bookmarkEnd w:id="152"/>
    <w:p>
      <w:pPr>
        <w:rPr>
          <w:rFonts w:hint="eastAsia" w:ascii="宋体" w:hAnsi="宋体" w:eastAsia="宋体" w:cs="宋体"/>
          <w:color w:val="auto"/>
          <w:szCs w:val="22"/>
          <w:highlight w:val="none"/>
        </w:rPr>
      </w:pPr>
      <w:bookmarkStart w:id="179" w:name="_Toc26001"/>
      <w:bookmarkStart w:id="180" w:name="_Toc4954"/>
      <w:bookmarkStart w:id="181" w:name="_Toc4759"/>
      <w:bookmarkStart w:id="182" w:name="_Toc7891"/>
      <w:bookmarkStart w:id="183" w:name="_Toc18730"/>
      <w:bookmarkStart w:id="184" w:name="_Toc31598"/>
      <w:bookmarkStart w:id="185" w:name="_Toc31510"/>
      <w:r>
        <w:rPr>
          <w:rFonts w:hint="eastAsia" w:ascii="宋体" w:hAnsi="宋体" w:eastAsia="宋体" w:cs="宋体"/>
          <w:color w:val="auto"/>
          <w:szCs w:val="22"/>
          <w:highlight w:val="none"/>
        </w:rPr>
        <w:br w:type="page"/>
      </w:r>
    </w:p>
    <w:bookmarkEnd w:id="179"/>
    <w:bookmarkEnd w:id="180"/>
    <w:bookmarkEnd w:id="181"/>
    <w:bookmarkEnd w:id="182"/>
    <w:bookmarkEnd w:id="183"/>
    <w:bookmarkEnd w:id="184"/>
    <w:bookmarkEnd w:id="185"/>
    <w:p>
      <w:pPr>
        <w:jc w:val="center"/>
        <w:rPr>
          <w:rFonts w:eastAsia="黑体"/>
          <w:b/>
          <w:bCs/>
          <w:sz w:val="44"/>
          <w:szCs w:val="44"/>
        </w:rPr>
      </w:pPr>
      <w:r>
        <w:rPr>
          <w:rFonts w:hint="eastAsia" w:eastAsia="黑体"/>
          <w:b/>
          <w:bCs/>
          <w:sz w:val="44"/>
          <w:szCs w:val="44"/>
        </w:rPr>
        <w:t>报名表</w:t>
      </w:r>
    </w:p>
    <w:p>
      <w:pPr>
        <w:jc w:val="left"/>
        <w:rPr>
          <w:rFonts w:eastAsia="黑体"/>
          <w:b/>
          <w:bCs/>
          <w:spacing w:val="40"/>
        </w:rPr>
      </w:pPr>
    </w:p>
    <w:tbl>
      <w:tblPr>
        <w:tblStyle w:val="25"/>
        <w:tblW w:w="909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777"/>
        <w:gridCol w:w="850"/>
        <w:gridCol w:w="37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noWrap w:val="0"/>
            <w:vAlign w:val="center"/>
          </w:tcPr>
          <w:p>
            <w:pPr>
              <w:spacing w:line="360" w:lineRule="exact"/>
              <w:jc w:val="center"/>
              <w:rPr>
                <w:rFonts w:hint="eastAsia" w:ascii="宋体" w:hAnsi="宋体"/>
                <w:sz w:val="30"/>
                <w:szCs w:val="30"/>
              </w:rPr>
            </w:pPr>
            <w:r>
              <w:rPr>
                <w:rFonts w:hint="eastAsia" w:ascii="宋体" w:hAnsi="宋体"/>
                <w:sz w:val="30"/>
                <w:szCs w:val="30"/>
              </w:rPr>
              <w:t>项目名称</w:t>
            </w:r>
          </w:p>
        </w:tc>
        <w:tc>
          <w:tcPr>
            <w:tcW w:w="7365" w:type="dxa"/>
            <w:gridSpan w:val="3"/>
            <w:noWrap w:val="0"/>
            <w:vAlign w:val="center"/>
          </w:tcPr>
          <w:p>
            <w:pPr>
              <w:spacing w:line="360" w:lineRule="exact"/>
              <w:jc w:val="center"/>
              <w:rPr>
                <w:rFonts w:hint="eastAsia" w:ascii="宋体" w:hAnsi="宋体" w:eastAsia="宋体"/>
                <w:sz w:val="30"/>
                <w:szCs w:val="30"/>
                <w:lang w:eastAsia="zh-CN"/>
              </w:rPr>
            </w:pPr>
            <w:r>
              <w:rPr>
                <w:rFonts w:hint="eastAsia" w:ascii="宋体" w:hAnsi="宋体"/>
                <w:sz w:val="30"/>
                <w:szCs w:val="30"/>
              </w:rPr>
              <w:t>老旧房屋安全鉴定</w:t>
            </w:r>
            <w:r>
              <w:rPr>
                <w:rFonts w:hint="eastAsia" w:ascii="宋体" w:hAnsi="宋体"/>
                <w:sz w:val="30"/>
                <w:szCs w:val="30"/>
                <w:lang w:eastAsia="zh-CN"/>
              </w:rPr>
              <w:t>（第二次）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noWrap w:val="0"/>
            <w:vAlign w:val="center"/>
          </w:tcPr>
          <w:p>
            <w:pPr>
              <w:spacing w:line="360" w:lineRule="exact"/>
              <w:jc w:val="center"/>
              <w:rPr>
                <w:rFonts w:hint="eastAsia"/>
                <w:sz w:val="30"/>
                <w:szCs w:val="30"/>
              </w:rPr>
            </w:pPr>
            <w:r>
              <w:rPr>
                <w:rFonts w:hint="eastAsia"/>
                <w:sz w:val="30"/>
                <w:szCs w:val="30"/>
              </w:rPr>
              <w:t>供应商名称</w:t>
            </w:r>
          </w:p>
        </w:tc>
        <w:tc>
          <w:tcPr>
            <w:tcW w:w="7365" w:type="dxa"/>
            <w:gridSpan w:val="3"/>
            <w:noWrap w:val="0"/>
            <w:vAlign w:val="bottom"/>
          </w:tcPr>
          <w:p>
            <w:pPr>
              <w:spacing w:line="360" w:lineRule="exact"/>
              <w:jc w:val="right"/>
              <w:rPr>
                <w:rFonts w:hint="eastAsia"/>
                <w:sz w:val="30"/>
                <w:szCs w:val="30"/>
              </w:rPr>
            </w:pPr>
            <w:r>
              <w:rPr>
                <w:rFonts w:hint="eastAsia"/>
                <w:sz w:val="30"/>
                <w:szCs w:val="30"/>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noWrap w:val="0"/>
            <w:vAlign w:val="center"/>
          </w:tcPr>
          <w:p>
            <w:pPr>
              <w:spacing w:line="360" w:lineRule="exact"/>
              <w:jc w:val="center"/>
              <w:rPr>
                <w:rFonts w:hint="eastAsia"/>
                <w:sz w:val="30"/>
                <w:szCs w:val="30"/>
              </w:rPr>
            </w:pPr>
            <w:r>
              <w:rPr>
                <w:rFonts w:hint="eastAsia"/>
                <w:sz w:val="30"/>
                <w:szCs w:val="30"/>
              </w:rPr>
              <w:t>联系人</w:t>
            </w:r>
          </w:p>
        </w:tc>
        <w:tc>
          <w:tcPr>
            <w:tcW w:w="2777" w:type="dxa"/>
            <w:noWrap w:val="0"/>
            <w:vAlign w:val="center"/>
          </w:tcPr>
          <w:p>
            <w:pPr>
              <w:spacing w:line="360" w:lineRule="exact"/>
              <w:jc w:val="left"/>
              <w:rPr>
                <w:rFonts w:hint="eastAsia"/>
                <w:sz w:val="30"/>
                <w:szCs w:val="30"/>
              </w:rPr>
            </w:pPr>
          </w:p>
        </w:tc>
        <w:tc>
          <w:tcPr>
            <w:tcW w:w="850" w:type="dxa"/>
            <w:noWrap w:val="0"/>
            <w:vAlign w:val="center"/>
          </w:tcPr>
          <w:p>
            <w:pPr>
              <w:spacing w:line="360" w:lineRule="exact"/>
              <w:jc w:val="left"/>
              <w:rPr>
                <w:rFonts w:hint="eastAsia"/>
                <w:sz w:val="30"/>
                <w:szCs w:val="30"/>
              </w:rPr>
            </w:pPr>
            <w:r>
              <w:rPr>
                <w:rFonts w:hint="eastAsia"/>
                <w:sz w:val="30"/>
                <w:szCs w:val="30"/>
              </w:rPr>
              <w:t>手机</w:t>
            </w:r>
          </w:p>
        </w:tc>
        <w:tc>
          <w:tcPr>
            <w:tcW w:w="3738" w:type="dxa"/>
            <w:noWrap w:val="0"/>
            <w:vAlign w:val="center"/>
          </w:tcPr>
          <w:p>
            <w:pPr>
              <w:spacing w:line="360" w:lineRule="exact"/>
              <w:jc w:val="left"/>
              <w:rPr>
                <w:rFonts w:hint="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noWrap w:val="0"/>
            <w:vAlign w:val="center"/>
          </w:tcPr>
          <w:p>
            <w:pPr>
              <w:spacing w:line="360" w:lineRule="exact"/>
              <w:jc w:val="center"/>
              <w:rPr>
                <w:rFonts w:hint="eastAsia"/>
                <w:sz w:val="30"/>
                <w:szCs w:val="30"/>
              </w:rPr>
            </w:pPr>
            <w:r>
              <w:rPr>
                <w:rFonts w:hint="eastAsia"/>
                <w:sz w:val="30"/>
                <w:szCs w:val="30"/>
              </w:rPr>
              <w:t>办公电话</w:t>
            </w:r>
          </w:p>
        </w:tc>
        <w:tc>
          <w:tcPr>
            <w:tcW w:w="2777" w:type="dxa"/>
            <w:noWrap w:val="0"/>
            <w:vAlign w:val="center"/>
          </w:tcPr>
          <w:p>
            <w:pPr>
              <w:spacing w:line="360" w:lineRule="exact"/>
              <w:jc w:val="left"/>
              <w:rPr>
                <w:rFonts w:hint="eastAsia"/>
                <w:sz w:val="30"/>
                <w:szCs w:val="30"/>
              </w:rPr>
            </w:pPr>
          </w:p>
        </w:tc>
        <w:tc>
          <w:tcPr>
            <w:tcW w:w="850" w:type="dxa"/>
            <w:noWrap w:val="0"/>
            <w:vAlign w:val="center"/>
          </w:tcPr>
          <w:p>
            <w:pPr>
              <w:spacing w:line="360" w:lineRule="exact"/>
              <w:jc w:val="left"/>
              <w:rPr>
                <w:rFonts w:hint="eastAsia"/>
                <w:sz w:val="30"/>
                <w:szCs w:val="30"/>
              </w:rPr>
            </w:pPr>
            <w:r>
              <w:rPr>
                <w:rFonts w:hint="eastAsia"/>
                <w:sz w:val="30"/>
                <w:szCs w:val="30"/>
              </w:rPr>
              <w:t>传真</w:t>
            </w:r>
          </w:p>
        </w:tc>
        <w:tc>
          <w:tcPr>
            <w:tcW w:w="3738" w:type="dxa"/>
            <w:noWrap w:val="0"/>
            <w:vAlign w:val="center"/>
          </w:tcPr>
          <w:p>
            <w:pPr>
              <w:spacing w:line="360" w:lineRule="exact"/>
              <w:jc w:val="left"/>
              <w:rPr>
                <w:rFonts w:hint="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26" w:type="dxa"/>
            <w:noWrap w:val="0"/>
            <w:vAlign w:val="center"/>
          </w:tcPr>
          <w:p>
            <w:pPr>
              <w:spacing w:line="360" w:lineRule="exact"/>
              <w:jc w:val="center"/>
              <w:rPr>
                <w:rFonts w:hint="eastAsia"/>
                <w:sz w:val="30"/>
                <w:szCs w:val="30"/>
              </w:rPr>
            </w:pPr>
            <w:r>
              <w:rPr>
                <w:rFonts w:hint="eastAsia"/>
                <w:sz w:val="30"/>
                <w:szCs w:val="30"/>
              </w:rPr>
              <w:t>单位地址</w:t>
            </w:r>
          </w:p>
        </w:tc>
        <w:tc>
          <w:tcPr>
            <w:tcW w:w="7365" w:type="dxa"/>
            <w:gridSpan w:val="3"/>
            <w:noWrap w:val="0"/>
            <w:vAlign w:val="center"/>
          </w:tcPr>
          <w:p>
            <w:pPr>
              <w:spacing w:line="360" w:lineRule="exact"/>
              <w:jc w:val="left"/>
              <w:rPr>
                <w:rFonts w:hint="eastAsia"/>
                <w:sz w:val="30"/>
                <w:szCs w:val="30"/>
              </w:rPr>
            </w:pPr>
          </w:p>
        </w:tc>
      </w:tr>
    </w:tbl>
    <w:p>
      <w:pPr>
        <w:rPr>
          <w:rFonts w:hint="eastAsia" w:ascii="宋体" w:hAnsi="宋体"/>
          <w:sz w:val="24"/>
        </w:rPr>
      </w:pPr>
      <w:r>
        <w:rPr>
          <w:rFonts w:hint="eastAsia" w:ascii="宋体" w:hAnsi="宋体"/>
          <w:sz w:val="24"/>
        </w:rPr>
        <w:t xml:space="preserve">                                                </w:t>
      </w:r>
    </w:p>
    <w:p>
      <w:pPr>
        <w:jc w:val="right"/>
        <w:rPr>
          <w:rFonts w:hint="eastAsia" w:ascii="宋体" w:hAnsi="宋体"/>
          <w:sz w:val="24"/>
        </w:rPr>
      </w:pPr>
      <w:r>
        <w:rPr>
          <w:rFonts w:hint="eastAsia" w:ascii="宋体" w:hAnsi="宋体"/>
          <w:sz w:val="24"/>
        </w:rPr>
        <w:t>日期：  年    月    日</w:t>
      </w:r>
    </w:p>
    <w:p>
      <w:pPr>
        <w:ind w:firstLine="482"/>
        <w:rPr>
          <w:rFonts w:hint="eastAsia" w:ascii="宋体" w:hAnsi="宋体" w:eastAsia="宋体" w:cs="宋体"/>
          <w:b/>
          <w:color w:val="auto"/>
          <w:sz w:val="24"/>
          <w:szCs w:val="24"/>
          <w:highlight w:val="none"/>
        </w:rPr>
      </w:pPr>
    </w:p>
    <w:p>
      <w:pPr>
        <w:spacing w:line="360" w:lineRule="auto"/>
        <w:ind w:firstLine="4060" w:firstLineChars="1450"/>
        <w:rPr>
          <w:rFonts w:hint="eastAsia" w:ascii="宋体" w:hAnsi="宋体" w:eastAsia="宋体" w:cs="宋体"/>
          <w:color w:val="auto"/>
          <w:highlight w:val="none"/>
        </w:rPr>
      </w:pPr>
    </w:p>
    <w:sectPr>
      <w:headerReference r:id="rId9"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642C45C-3D83-42E4-B9B0-B12EA7E9DA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E701C05A-A1EB-4053-9CD4-5D2118436288}"/>
  </w:font>
  <w:font w:name="方正仿宋_GBK">
    <w:panose1 w:val="03000509000000000000"/>
    <w:charset w:val="86"/>
    <w:family w:val="script"/>
    <w:pitch w:val="default"/>
    <w:sig w:usb0="00000001" w:usb1="080E0000" w:usb2="00000000" w:usb3="00000000" w:csb0="00040000" w:csb1="00000000"/>
    <w:embedRegular r:id="rId3" w:fontKey="{C9EAAD26-1158-43CE-90CA-741D04592B71}"/>
  </w:font>
  <w:font w:name="仿宋_GB2312">
    <w:panose1 w:val="02010609030101010101"/>
    <w:charset w:val="86"/>
    <w:family w:val="modern"/>
    <w:pitch w:val="default"/>
    <w:sig w:usb0="00000001" w:usb1="080E0000" w:usb2="00000000" w:usb3="00000000" w:csb0="00040000" w:csb1="00000000"/>
    <w:embedRegular r:id="rId4" w:fontKey="{A6E98EC1-C701-4C55-B454-5B5D60A67D78}"/>
  </w:font>
  <w:font w:name="方正黑体_GBK">
    <w:panose1 w:val="03000509000000000000"/>
    <w:charset w:val="86"/>
    <w:family w:val="script"/>
    <w:pitch w:val="default"/>
    <w:sig w:usb0="00000001" w:usb1="080E0000" w:usb2="00000000" w:usb3="00000000" w:csb0="00040000" w:csb1="00000000"/>
    <w:embedRegular r:id="rId5" w:fontKey="{202FF12E-D111-40F3-9BF0-142424AD5816}"/>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embedRegular r:id="rId6" w:fontKey="{FFCA66B8-CFB2-40BC-9731-013E5B7BA1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- 2 -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- 2 -</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- 1 -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- 1 -</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jc w:val="both"/>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B999E"/>
    <w:multiLevelType w:val="singleLevel"/>
    <w:tmpl w:val="BB9B99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000000"/>
    <w:rsid w:val="05EC445F"/>
    <w:rsid w:val="076E4B55"/>
    <w:rsid w:val="0AA149F4"/>
    <w:rsid w:val="0E315C68"/>
    <w:rsid w:val="0EC54C36"/>
    <w:rsid w:val="10581217"/>
    <w:rsid w:val="10801F5A"/>
    <w:rsid w:val="14DA2D19"/>
    <w:rsid w:val="17A93069"/>
    <w:rsid w:val="19650358"/>
    <w:rsid w:val="1A843D04"/>
    <w:rsid w:val="1C5F68D2"/>
    <w:rsid w:val="1E2C716D"/>
    <w:rsid w:val="1F7A5FCA"/>
    <w:rsid w:val="214F6284"/>
    <w:rsid w:val="22502328"/>
    <w:rsid w:val="23141A23"/>
    <w:rsid w:val="24B936FF"/>
    <w:rsid w:val="28875435"/>
    <w:rsid w:val="2A140A2A"/>
    <w:rsid w:val="2F2B74F6"/>
    <w:rsid w:val="333B3D68"/>
    <w:rsid w:val="35AD3539"/>
    <w:rsid w:val="3A23599A"/>
    <w:rsid w:val="3D9077EA"/>
    <w:rsid w:val="3F766CEF"/>
    <w:rsid w:val="417075E1"/>
    <w:rsid w:val="420B475C"/>
    <w:rsid w:val="427473C6"/>
    <w:rsid w:val="48694A38"/>
    <w:rsid w:val="4B963C9B"/>
    <w:rsid w:val="4BF140FB"/>
    <w:rsid w:val="4E092CA1"/>
    <w:rsid w:val="51041A36"/>
    <w:rsid w:val="547F771B"/>
    <w:rsid w:val="54E34054"/>
    <w:rsid w:val="568A1CFA"/>
    <w:rsid w:val="57247BBB"/>
    <w:rsid w:val="5A2104BB"/>
    <w:rsid w:val="5BDE39BF"/>
    <w:rsid w:val="5CF27722"/>
    <w:rsid w:val="667A295B"/>
    <w:rsid w:val="674F7021"/>
    <w:rsid w:val="67AD63CA"/>
    <w:rsid w:val="68613B11"/>
    <w:rsid w:val="6D1911C7"/>
    <w:rsid w:val="6FFB4C09"/>
    <w:rsid w:val="71375D29"/>
    <w:rsid w:val="747607E0"/>
    <w:rsid w:val="75446385"/>
    <w:rsid w:val="77520EC7"/>
    <w:rsid w:val="792E0EB0"/>
    <w:rsid w:val="7AD86F9D"/>
    <w:rsid w:val="7C14004B"/>
    <w:rsid w:val="7F3D4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3"/>
    <w:next w:val="1"/>
    <w:qFormat/>
    <w:uiPriority w:val="0"/>
    <w:pPr>
      <w:spacing w:before="0" w:after="0" w:line="360" w:lineRule="auto"/>
      <w:jc w:val="center"/>
      <w:outlineLvl w:val="0"/>
    </w:pPr>
    <w:rPr>
      <w:rFonts w:ascii="方正小标宋_GBK" w:hAnsi="宋体" w:eastAsia="方正小标宋_GBK" w:cs="Arial"/>
      <w:b w:val="0"/>
      <w:color w:val="auto"/>
      <w:sz w:val="36"/>
      <w:szCs w:val="30"/>
      <w:highlight w:val="none"/>
    </w:rPr>
  </w:style>
  <w:style w:type="paragraph" w:styleId="3">
    <w:name w:val="heading 2"/>
    <w:basedOn w:val="1"/>
    <w:next w:val="1"/>
    <w:link w:val="30"/>
    <w:qFormat/>
    <w:uiPriority w:val="0"/>
    <w:pPr>
      <w:keepNext/>
      <w:keepLines/>
      <w:adjustRightInd w:val="0"/>
      <w:snapToGrid w:val="0"/>
      <w:spacing w:line="400" w:lineRule="exact"/>
      <w:ind w:firstLine="482" w:firstLineChars="200"/>
      <w:outlineLvl w:val="1"/>
    </w:pPr>
    <w:rPr>
      <w:rFonts w:ascii="方正仿宋_GBK" w:hAnsi="方正仿宋_GBK" w:eastAsia="方正仿宋_GBK" w:cs="方正仿宋_GBK"/>
      <w:b/>
      <w:sz w:val="24"/>
    </w:rPr>
  </w:style>
  <w:style w:type="paragraph" w:styleId="4">
    <w:name w:val="heading 3"/>
    <w:basedOn w:val="1"/>
    <w:next w:val="1"/>
    <w:link w:val="31"/>
    <w:qFormat/>
    <w:uiPriority w:val="99"/>
    <w:pPr>
      <w:keepNext/>
      <w:keepLines/>
      <w:spacing w:before="260" w:after="260" w:line="415" w:lineRule="auto"/>
      <w:outlineLvl w:val="2"/>
    </w:pPr>
    <w:rPr>
      <w:b/>
      <w:bCs/>
      <w:sz w:val="32"/>
      <w:szCs w:val="32"/>
    </w:rPr>
  </w:style>
  <w:style w:type="paragraph" w:styleId="5">
    <w:name w:val="heading 7"/>
    <w:basedOn w:val="1"/>
    <w:next w:val="1"/>
    <w:link w:val="46"/>
    <w:qFormat/>
    <w:uiPriority w:val="0"/>
    <w:pPr>
      <w:keepNext/>
      <w:keepLines/>
      <w:spacing w:before="240" w:after="64" w:line="320" w:lineRule="auto"/>
      <w:outlineLvl w:val="6"/>
    </w:pPr>
    <w:rPr>
      <w:b/>
      <w:bCs/>
      <w:sz w:val="24"/>
      <w:szCs w:val="24"/>
    </w:rPr>
  </w:style>
  <w:style w:type="character" w:default="1" w:styleId="26">
    <w:name w:val="Default Paragraph Font"/>
    <w:qFormat/>
    <w:uiPriority w:val="1"/>
  </w:style>
  <w:style w:type="table" w:default="1" w:styleId="25">
    <w:name w:val="Normal Table"/>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42"/>
    <w:qFormat/>
    <w:uiPriority w:val="0"/>
    <w:pPr>
      <w:jc w:val="left"/>
    </w:pPr>
  </w:style>
  <w:style w:type="paragraph" w:styleId="8">
    <w:name w:val="Body Text"/>
    <w:basedOn w:val="1"/>
    <w:next w:val="9"/>
    <w:qFormat/>
    <w:uiPriority w:val="99"/>
    <w:pPr>
      <w:spacing w:after="120"/>
    </w:pPr>
  </w:style>
  <w:style w:type="paragraph" w:customStyle="1" w:styleId="9">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0">
    <w:name w:val="Body Text Indent"/>
    <w:basedOn w:val="1"/>
    <w:qFormat/>
    <w:uiPriority w:val="0"/>
    <w:pPr>
      <w:spacing w:line="700" w:lineRule="exact"/>
      <w:ind w:left="960"/>
    </w:pPr>
    <w:rPr>
      <w:sz w:val="44"/>
    </w:rPr>
  </w:style>
  <w:style w:type="paragraph" w:styleId="11">
    <w:name w:val="toc 3"/>
    <w:basedOn w:val="1"/>
    <w:next w:val="1"/>
    <w:qFormat/>
    <w:uiPriority w:val="0"/>
    <w:pPr>
      <w:ind w:left="840" w:leftChars="400"/>
    </w:pPr>
  </w:style>
  <w:style w:type="paragraph" w:styleId="12">
    <w:name w:val="Plain Text"/>
    <w:basedOn w:val="1"/>
    <w:next w:val="1"/>
    <w:link w:val="38"/>
    <w:qFormat/>
    <w:uiPriority w:val="0"/>
    <w:rPr>
      <w:rFonts w:ascii="宋体" w:hAnsi="Courier New"/>
    </w:rPr>
  </w:style>
  <w:style w:type="paragraph" w:styleId="13">
    <w:name w:val="Date"/>
    <w:basedOn w:val="1"/>
    <w:next w:val="1"/>
    <w:link w:val="45"/>
    <w:qFormat/>
    <w:uiPriority w:val="0"/>
  </w:style>
  <w:style w:type="paragraph" w:styleId="14">
    <w:name w:val="Body Text Indent 2"/>
    <w:basedOn w:val="1"/>
    <w:link w:val="41"/>
    <w:qFormat/>
    <w:uiPriority w:val="0"/>
    <w:pPr>
      <w:snapToGrid w:val="0"/>
      <w:spacing w:line="560" w:lineRule="atLeast"/>
      <w:ind w:firstLine="540"/>
    </w:pPr>
  </w:style>
  <w:style w:type="paragraph" w:styleId="15">
    <w:name w:val="Balloon Text"/>
    <w:basedOn w:val="1"/>
    <w:link w:val="44"/>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pPr>
      <w:spacing w:line="180" w:lineRule="auto"/>
      <w:jc w:val="center"/>
    </w:pPr>
    <w:rPr>
      <w:sz w:val="30"/>
    </w:rPr>
  </w:style>
  <w:style w:type="paragraph" w:styleId="19">
    <w:name w:val="footnote text"/>
    <w:basedOn w:val="1"/>
    <w:qFormat/>
    <w:uiPriority w:val="0"/>
    <w:pPr>
      <w:spacing w:line="360" w:lineRule="auto"/>
    </w:pPr>
    <w:rPr>
      <w:sz w:val="18"/>
    </w:rPr>
  </w:style>
  <w:style w:type="paragraph" w:styleId="20">
    <w:name w:val="toc 2"/>
    <w:basedOn w:val="1"/>
    <w:next w:val="1"/>
    <w:qFormat/>
    <w:uiPriority w:val="39"/>
    <w:pPr>
      <w:ind w:left="420" w:leftChars="200"/>
    </w:pPr>
  </w:style>
  <w:style w:type="paragraph" w:styleId="21">
    <w:name w:val="Normal (Web)"/>
    <w:basedOn w:val="1"/>
    <w:qFormat/>
    <w:uiPriority w:val="0"/>
    <w:rPr>
      <w:sz w:val="24"/>
    </w:rPr>
  </w:style>
  <w:style w:type="paragraph" w:styleId="22">
    <w:name w:val="annotation subject"/>
    <w:basedOn w:val="7"/>
    <w:next w:val="7"/>
    <w:link w:val="43"/>
    <w:qFormat/>
    <w:uiPriority w:val="0"/>
    <w:rPr>
      <w:b/>
      <w:bCs/>
    </w:rPr>
  </w:style>
  <w:style w:type="paragraph" w:styleId="23">
    <w:name w:val="Body Text First Indent"/>
    <w:basedOn w:val="8"/>
    <w:next w:val="1"/>
    <w:qFormat/>
    <w:uiPriority w:val="0"/>
    <w:pPr>
      <w:ind w:firstLine="420"/>
    </w:pPr>
  </w:style>
  <w:style w:type="paragraph" w:styleId="24">
    <w:name w:val="Body Text First Indent 2"/>
    <w:basedOn w:val="10"/>
    <w:qFormat/>
    <w:uiPriority w:val="0"/>
    <w:pPr>
      <w:spacing w:after="120" w:line="240" w:lineRule="auto"/>
      <w:ind w:left="420" w:leftChars="200" w:firstLine="420" w:firstLineChars="200"/>
    </w:p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character" w:customStyle="1" w:styleId="30">
    <w:name w:val="标题 2 Char"/>
    <w:link w:val="3"/>
    <w:qFormat/>
    <w:uiPriority w:val="0"/>
    <w:rPr>
      <w:rFonts w:ascii="方正仿宋_GBK" w:hAnsi="方正仿宋_GBK" w:eastAsia="方正仿宋_GBK" w:cs="方正仿宋_GBK"/>
      <w:b/>
      <w:kern w:val="2"/>
      <w:sz w:val="24"/>
      <w:lang w:val="en-US" w:eastAsia="zh-CN" w:bidi="ar-SA"/>
    </w:rPr>
  </w:style>
  <w:style w:type="character" w:customStyle="1" w:styleId="31">
    <w:name w:val="标题 3 Char"/>
    <w:basedOn w:val="26"/>
    <w:link w:val="4"/>
    <w:qFormat/>
    <w:uiPriority w:val="0"/>
    <w:rPr>
      <w:b/>
      <w:kern w:val="2"/>
      <w:sz w:val="32"/>
    </w:rPr>
  </w:style>
  <w:style w:type="paragraph" w:customStyle="1" w:styleId="32">
    <w:name w:val="BodyText"/>
    <w:basedOn w:val="1"/>
    <w:next w:val="33"/>
    <w:qFormat/>
    <w:uiPriority w:val="0"/>
    <w:pPr>
      <w:textAlignment w:val="baseline"/>
    </w:pPr>
    <w:rPr>
      <w:rFonts w:ascii="仿宋_GB2312" w:eastAsia="仿宋_GB2312"/>
      <w:sz w:val="32"/>
    </w:rPr>
  </w:style>
  <w:style w:type="paragraph" w:customStyle="1" w:styleId="33">
    <w:name w:val="BodyTextIndent"/>
    <w:basedOn w:val="1"/>
    <w:qFormat/>
    <w:uiPriority w:val="0"/>
    <w:pPr>
      <w:spacing w:line="700" w:lineRule="exact"/>
      <w:ind w:left="960"/>
      <w:textAlignment w:val="baseline"/>
    </w:pPr>
    <w:rPr>
      <w:sz w:val="44"/>
    </w:rPr>
  </w:style>
  <w:style w:type="paragraph" w:customStyle="1" w:styleId="34">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6">
    <w:name w:val="标题 2 字符"/>
    <w:qFormat/>
    <w:uiPriority w:val="99"/>
    <w:rPr>
      <w:rFonts w:ascii="Arial" w:hAnsi="Arial" w:eastAsia="黑体"/>
      <w:b/>
      <w:sz w:val="32"/>
    </w:rPr>
  </w:style>
  <w:style w:type="paragraph" w:customStyle="1" w:styleId="37">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8">
    <w:name w:val="纯文本 Char"/>
    <w:basedOn w:val="26"/>
    <w:link w:val="12"/>
    <w:qFormat/>
    <w:uiPriority w:val="0"/>
    <w:rPr>
      <w:rFonts w:hint="eastAsia" w:ascii="宋体" w:hAnsi="Courier New" w:eastAsia="宋体" w:cs="Courier New"/>
      <w:kern w:val="2"/>
      <w:sz w:val="21"/>
      <w:szCs w:val="21"/>
    </w:rPr>
  </w:style>
  <w:style w:type="paragraph" w:customStyle="1" w:styleId="39">
    <w:name w:val="1"/>
    <w:basedOn w:val="1"/>
    <w:next w:val="12"/>
    <w:qFormat/>
    <w:uiPriority w:val="0"/>
    <w:rPr>
      <w:rFonts w:hint="eastAsia" w:ascii="宋体" w:hAnsi="Courier New"/>
      <w:sz w:val="21"/>
    </w:rPr>
  </w:style>
  <w:style w:type="character" w:customStyle="1" w:styleId="40">
    <w:name w:val="正文文本缩进 2 Char1"/>
    <w:basedOn w:val="26"/>
    <w:qFormat/>
    <w:uiPriority w:val="0"/>
    <w:rPr>
      <w:kern w:val="2"/>
      <w:sz w:val="28"/>
    </w:rPr>
  </w:style>
  <w:style w:type="character" w:customStyle="1" w:styleId="41">
    <w:name w:val="正文文本缩进 2 Char"/>
    <w:basedOn w:val="26"/>
    <w:link w:val="14"/>
    <w:qFormat/>
    <w:uiPriority w:val="0"/>
    <w:rPr>
      <w:kern w:val="2"/>
      <w:sz w:val="28"/>
    </w:rPr>
  </w:style>
  <w:style w:type="character" w:customStyle="1" w:styleId="42">
    <w:name w:val="批注文字 Char"/>
    <w:basedOn w:val="26"/>
    <w:link w:val="7"/>
    <w:qFormat/>
    <w:uiPriority w:val="0"/>
    <w:rPr>
      <w:rFonts w:ascii="Times New Roman" w:hAnsi="Times New Roman" w:cs="Times New Roman"/>
      <w:kern w:val="2"/>
      <w:sz w:val="28"/>
    </w:rPr>
  </w:style>
  <w:style w:type="character" w:customStyle="1" w:styleId="43">
    <w:name w:val="批注主题 Char"/>
    <w:basedOn w:val="42"/>
    <w:link w:val="22"/>
    <w:qFormat/>
    <w:uiPriority w:val="0"/>
    <w:rPr>
      <w:rFonts w:ascii="Times New Roman" w:hAnsi="Times New Roman" w:cs="Times New Roman"/>
      <w:b/>
      <w:bCs/>
      <w:kern w:val="2"/>
      <w:sz w:val="28"/>
    </w:rPr>
  </w:style>
  <w:style w:type="character" w:customStyle="1" w:styleId="44">
    <w:name w:val="批注框文本 Char"/>
    <w:basedOn w:val="26"/>
    <w:link w:val="15"/>
    <w:qFormat/>
    <w:uiPriority w:val="0"/>
    <w:rPr>
      <w:rFonts w:ascii="Times New Roman" w:hAnsi="Times New Roman" w:cs="Times New Roman"/>
      <w:kern w:val="2"/>
      <w:sz w:val="18"/>
      <w:szCs w:val="18"/>
    </w:rPr>
  </w:style>
  <w:style w:type="character" w:customStyle="1" w:styleId="45">
    <w:name w:val="日期 Char"/>
    <w:link w:val="13"/>
    <w:qFormat/>
    <w:uiPriority w:val="0"/>
    <w:rPr>
      <w:rFonts w:ascii="Times New Roman" w:hAnsi="Times New Roman" w:cs="Times New Roman"/>
      <w:kern w:val="2"/>
      <w:sz w:val="28"/>
    </w:rPr>
  </w:style>
  <w:style w:type="character" w:customStyle="1" w:styleId="46">
    <w:name w:val="标题 7 Char"/>
    <w:basedOn w:val="26"/>
    <w:link w:val="5"/>
    <w:qFormat/>
    <w:uiPriority w:val="0"/>
    <w:rPr>
      <w:rFonts w:ascii="Times New Roman" w:hAnsi="Times New Roman" w:cs="Times New Roman"/>
      <w:b/>
      <w:bCs/>
      <w:kern w:val="2"/>
      <w:sz w:val="24"/>
      <w:szCs w:val="24"/>
    </w:rPr>
  </w:style>
  <w:style w:type="character" w:customStyle="1" w:styleId="47">
    <w:name w:val="标题 7 字符1"/>
    <w:qFormat/>
    <w:uiPriority w:val="0"/>
    <w:rPr>
      <w:rFonts w:ascii="Arial" w:hAnsi="Arial" w:eastAsia="黑体" w:cs="Times New Roman"/>
      <w:b/>
      <w:kern w:val="2"/>
      <w:sz w:val="24"/>
      <w:lang w:val="en-US" w:eastAsia="zh-CN" w:bidi="ar-SA"/>
    </w:rPr>
  </w:style>
  <w:style w:type="character" w:customStyle="1" w:styleId="48">
    <w:name w:val="页眉 Char"/>
    <w:link w:val="17"/>
    <w:qFormat/>
    <w:uiPriority w:val="0"/>
    <w:rPr>
      <w:rFonts w:ascii="Times New Roman" w:hAnsi="Times New Roman" w:cs="Times New Roman"/>
      <w:kern w:val="2"/>
      <w:sz w:val="18"/>
    </w:rPr>
  </w:style>
  <w:style w:type="paragraph" w:customStyle="1" w:styleId="49">
    <w:name w:val="正文首行缩进两字符"/>
    <w:basedOn w:val="1"/>
    <w:qFormat/>
    <w:uiPriority w:val="0"/>
    <w:pPr>
      <w:spacing w:line="360" w:lineRule="auto"/>
      <w:ind w:firstLine="200" w:firstLineChars="200"/>
    </w:pPr>
  </w:style>
  <w:style w:type="paragraph" w:customStyle="1" w:styleId="50">
    <w:name w:val="段落正文"/>
    <w:basedOn w:val="1"/>
    <w:qFormat/>
    <w:uiPriority w:val="0"/>
    <w:pPr>
      <w:spacing w:beforeLines="50" w:line="360" w:lineRule="auto"/>
      <w:ind w:firstLine="200" w:firstLineChars="200"/>
    </w:pPr>
    <w:rPr>
      <w:spacing w:val="2"/>
      <w:sz w:val="24"/>
    </w:rPr>
  </w:style>
  <w:style w:type="paragraph" w:customStyle="1" w:styleId="51">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2">
    <w:name w:val="授权书和信息卡行距"/>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3">
    <w:name w:val="图例"/>
    <w:basedOn w:val="1"/>
    <w:qFormat/>
    <w:uiPriority w:val="0"/>
    <w:pPr>
      <w:spacing w:before="120" w:beforeAutospacing="0" w:after="120" w:afterAutospacing="0" w:line="360" w:lineRule="auto"/>
      <w:jc w:val="center"/>
    </w:pPr>
    <w:rPr>
      <w:rFonts w:eastAsia="仿宋_GB2312"/>
      <w:b/>
      <w:sz w:val="24"/>
    </w:rPr>
  </w:style>
  <w:style w:type="character" w:customStyle="1" w:styleId="54">
    <w:name w:val="font01"/>
    <w:basedOn w:val="26"/>
    <w:qFormat/>
    <w:uiPriority w:val="0"/>
    <w:rPr>
      <w:rFonts w:hint="eastAsia" w:ascii="宋体" w:hAnsi="宋体" w:eastAsia="宋体" w:cs="宋体"/>
      <w:color w:val="000000"/>
      <w:sz w:val="22"/>
      <w:szCs w:val="22"/>
      <w:u w:val="none"/>
    </w:rPr>
  </w:style>
  <w:style w:type="character" w:customStyle="1" w:styleId="55">
    <w:name w:val="font21"/>
    <w:basedOn w:val="26"/>
    <w:qFormat/>
    <w:uiPriority w:val="0"/>
    <w:rPr>
      <w:rFonts w:hint="eastAsia" w:ascii="宋体" w:hAnsi="宋体" w:eastAsia="宋体" w:cs="宋体"/>
      <w:color w:val="000000"/>
      <w:sz w:val="22"/>
      <w:szCs w:val="22"/>
      <w:u w:val="none"/>
    </w:rPr>
  </w:style>
  <w:style w:type="character" w:customStyle="1" w:styleId="56">
    <w:name w:val="font71"/>
    <w:basedOn w:val="26"/>
    <w:qFormat/>
    <w:uiPriority w:val="0"/>
    <w:rPr>
      <w:rFonts w:hint="default" w:ascii="Times New Roman" w:hAnsi="Times New Roman" w:cs="Times New Roman"/>
      <w:b/>
      <w:bCs/>
      <w:color w:val="000000"/>
      <w:sz w:val="18"/>
      <w:szCs w:val="18"/>
      <w:u w:val="none"/>
      <w:vertAlign w:val="superscript"/>
    </w:rPr>
  </w:style>
  <w:style w:type="character" w:customStyle="1" w:styleId="57">
    <w:name w:val="font81"/>
    <w:basedOn w:val="26"/>
    <w:qFormat/>
    <w:uiPriority w:val="0"/>
    <w:rPr>
      <w:rFonts w:hint="default" w:ascii="Times New Roman" w:hAnsi="Times New Roman" w:cs="Times New Roman"/>
      <w:b/>
      <w:bCs/>
      <w:color w:val="000000"/>
      <w:sz w:val="18"/>
      <w:szCs w:val="18"/>
      <w:u w:val="none"/>
      <w:vertAlign w:val="superscript"/>
    </w:rPr>
  </w:style>
  <w:style w:type="character" w:customStyle="1" w:styleId="58">
    <w:name w:val="font111"/>
    <w:basedOn w:val="26"/>
    <w:qFormat/>
    <w:uiPriority w:val="0"/>
    <w:rPr>
      <w:rFonts w:hint="default" w:ascii="Times New Roman" w:hAnsi="Times New Roman" w:cs="Times New Roman"/>
      <w:b/>
      <w:bCs/>
      <w:color w:val="000000"/>
      <w:sz w:val="18"/>
      <w:szCs w:val="18"/>
      <w:u w:val="none"/>
      <w:vertAlign w:val="superscript"/>
    </w:rPr>
  </w:style>
  <w:style w:type="character" w:customStyle="1" w:styleId="59">
    <w:name w:val="font122"/>
    <w:basedOn w:val="26"/>
    <w:qFormat/>
    <w:uiPriority w:val="0"/>
    <w:rPr>
      <w:rFonts w:hint="eastAsia" w:ascii="宋体" w:hAnsi="宋体" w:eastAsia="宋体" w:cs="宋体"/>
      <w:color w:val="000000"/>
      <w:sz w:val="18"/>
      <w:szCs w:val="18"/>
      <w:u w:val="none"/>
    </w:rPr>
  </w:style>
  <w:style w:type="character" w:customStyle="1" w:styleId="60">
    <w:name w:val="font12"/>
    <w:basedOn w:val="26"/>
    <w:qFormat/>
    <w:uiPriority w:val="0"/>
    <w:rPr>
      <w:rFonts w:hint="eastAsia" w:ascii="宋体" w:hAnsi="宋体" w:eastAsia="宋体" w:cs="宋体"/>
      <w:color w:val="000000"/>
      <w:sz w:val="18"/>
      <w:szCs w:val="18"/>
      <w:u w:val="none"/>
    </w:rPr>
  </w:style>
  <w:style w:type="character" w:customStyle="1" w:styleId="61">
    <w:name w:val="font11"/>
    <w:basedOn w:val="26"/>
    <w:qFormat/>
    <w:uiPriority w:val="0"/>
    <w:rPr>
      <w:rFonts w:hint="eastAsia" w:ascii="新宋体" w:hAnsi="新宋体" w:eastAsia="新宋体" w:cs="新宋体"/>
      <w:b/>
      <w:bCs/>
      <w:color w:val="000000"/>
      <w:sz w:val="28"/>
      <w:szCs w:val="28"/>
      <w:u w:val="none"/>
    </w:rPr>
  </w:style>
  <w:style w:type="character" w:customStyle="1" w:styleId="62">
    <w:name w:val="NormalCharacter"/>
    <w:qFormat/>
    <w:uiPriority w:val="0"/>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11883</Words>
  <Characters>12362</Characters>
  <Paragraphs>794</Paragraphs>
  <TotalTime>2</TotalTime>
  <ScaleCrop>false</ScaleCrop>
  <LinksUpToDate>false</LinksUpToDate>
  <CharactersWithSpaces>13482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2023-06-14T07:19:00Z</dcterms:created>
  <dc:creator>莉~</dc:creator>
  <cp:lastModifiedBy>jtj</cp:lastModifiedBy>
  <cp:lastPrinted>2023-11-07T03:04:00Z</cp:lastPrinted>
  <dcterms:modified xsi:type="dcterms:W3CDTF">2024-11-25T09:19:46Z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EE56DEF9CEB543B99CB2C33D4F652A9D_13</vt:lpwstr>
  </property>
</Properties>
</file>