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sz w:val="84"/>
          <w:szCs w:val="84"/>
        </w:rPr>
      </w:pPr>
    </w:p>
    <w:p>
      <w:pPr>
        <w:spacing w:line="1600" w:lineRule="exact"/>
        <w:jc w:val="center"/>
        <w:outlineLvl w:val="0"/>
        <w:rPr>
          <w:rFonts w:hint="eastAsia" w:ascii="方正黑体_GBK" w:eastAsia="方正黑体_GBK"/>
          <w:sz w:val="84"/>
          <w:szCs w:val="84"/>
          <w:lang w:val="en-US" w:eastAsia="zh-CN"/>
        </w:rPr>
      </w:pPr>
      <w:r>
        <w:rPr>
          <w:rFonts w:hint="eastAsia" w:ascii="方正黑体_GBK" w:eastAsia="方正黑体_GBK"/>
          <w:sz w:val="84"/>
          <w:szCs w:val="84"/>
        </w:rPr>
        <w:t>重庆市</w:t>
      </w:r>
      <w:r>
        <w:rPr>
          <w:rFonts w:hint="eastAsia" w:ascii="方正黑体_GBK" w:eastAsia="方正黑体_GBK"/>
          <w:sz w:val="84"/>
          <w:szCs w:val="84"/>
          <w:lang w:val="en-US" w:eastAsia="zh-CN"/>
        </w:rPr>
        <w:t>铜梁船闸管理处</w:t>
      </w:r>
    </w:p>
    <w:p>
      <w:pPr>
        <w:spacing w:line="1600" w:lineRule="exact"/>
        <w:jc w:val="center"/>
        <w:outlineLvl w:val="0"/>
        <w:rPr>
          <w:rFonts w:hint="eastAsia" w:ascii="方正黑体_GBK" w:eastAsia="方正黑体_GBK"/>
          <w:sz w:val="84"/>
          <w:szCs w:val="84"/>
        </w:rPr>
      </w:pPr>
      <w:r>
        <w:rPr>
          <w:rFonts w:hint="eastAsia" w:ascii="方正黑体_GBK" w:eastAsia="方正黑体_GBK"/>
          <w:sz w:val="84"/>
          <w:szCs w:val="84"/>
        </w:rPr>
        <w:t>政府采购</w:t>
      </w:r>
    </w:p>
    <w:p>
      <w:pPr>
        <w:jc w:val="center"/>
        <w:rPr>
          <w:rFonts w:hint="eastAsia" w:ascii="宋体" w:hAnsi="宋体"/>
          <w:sz w:val="84"/>
          <w:szCs w:val="84"/>
        </w:rPr>
      </w:pPr>
    </w:p>
    <w:p>
      <w:pPr>
        <w:spacing w:line="1600" w:lineRule="exact"/>
        <w:jc w:val="center"/>
        <w:outlineLvl w:val="0"/>
        <w:rPr>
          <w:rFonts w:hint="eastAsia" w:ascii="方正黑体_GBK" w:hAnsi="宋体" w:eastAsia="方正黑体_GBK"/>
          <w:sz w:val="84"/>
          <w:szCs w:val="84"/>
        </w:rPr>
      </w:pPr>
      <w:r>
        <w:rPr>
          <w:rFonts w:hint="eastAsia" w:ascii="方正黑体_GBK" w:hAnsi="宋体" w:eastAsia="方正黑体_GBK"/>
          <w:sz w:val="84"/>
          <w:szCs w:val="84"/>
        </w:rPr>
        <w:t>限额以下比价采购文件</w:t>
      </w:r>
    </w:p>
    <w:p>
      <w:pPr>
        <w:spacing w:line="700" w:lineRule="exact"/>
        <w:jc w:val="center"/>
        <w:rPr>
          <w:rFonts w:hint="eastAsia" w:ascii="黑体" w:eastAsia="黑体"/>
          <w:sz w:val="32"/>
        </w:rPr>
      </w:pPr>
    </w:p>
    <w:p>
      <w:pPr>
        <w:spacing w:line="700" w:lineRule="exact"/>
        <w:jc w:val="center"/>
        <w:rPr>
          <w:rFonts w:hint="eastAsia" w:ascii="黑体" w:eastAsia="黑体"/>
          <w:sz w:val="32"/>
        </w:rPr>
      </w:pPr>
    </w:p>
    <w:p>
      <w:pPr>
        <w:spacing w:line="700" w:lineRule="exact"/>
        <w:jc w:val="center"/>
        <w:rPr>
          <w:rFonts w:hint="eastAsia" w:ascii="黑体" w:eastAsia="黑体"/>
          <w:sz w:val="32"/>
        </w:rPr>
      </w:pPr>
    </w:p>
    <w:p>
      <w:pPr>
        <w:spacing w:line="500" w:lineRule="exact"/>
        <w:ind w:firstLine="1440" w:firstLineChars="400"/>
        <w:jc w:val="left"/>
        <w:outlineLvl w:val="0"/>
        <w:rPr>
          <w:rFonts w:hint="default" w:ascii="方正小标宋_GBK" w:hAnsi="宋体" w:eastAsia="方正小标宋_GBK"/>
          <w:sz w:val="36"/>
          <w:szCs w:val="36"/>
          <w:lang w:val="en-US" w:eastAsia="zh-CN"/>
        </w:rPr>
      </w:pPr>
      <w:r>
        <w:rPr>
          <w:rFonts w:hint="eastAsia" w:ascii="方正小标宋_GBK" w:hAnsi="宋体" w:eastAsia="方正小标宋_GBK"/>
          <w:sz w:val="36"/>
          <w:szCs w:val="36"/>
        </w:rPr>
        <w:t>项目名称：</w:t>
      </w:r>
      <w:r>
        <w:rPr>
          <w:rFonts w:hint="eastAsia" w:ascii="方正小标宋_GBK" w:hAnsi="宋体" w:eastAsia="方正小标宋_GBK"/>
          <w:sz w:val="36"/>
          <w:szCs w:val="36"/>
          <w:lang w:val="en-US" w:eastAsia="zh-CN"/>
        </w:rPr>
        <w:t>水毁修复项目</w:t>
      </w:r>
    </w:p>
    <w:p>
      <w:pPr>
        <w:spacing w:line="500" w:lineRule="exact"/>
        <w:ind w:firstLine="1440" w:firstLineChars="400"/>
        <w:jc w:val="left"/>
        <w:outlineLvl w:val="0"/>
        <w:rPr>
          <w:rFonts w:hint="default" w:ascii="方正小标宋_GBK" w:eastAsia="方正小标宋_GBK"/>
          <w:sz w:val="36"/>
          <w:szCs w:val="36"/>
          <w:lang w:val="en-US" w:eastAsia="zh-CN"/>
        </w:rPr>
      </w:pPr>
      <w:r>
        <w:rPr>
          <w:rFonts w:hint="eastAsia" w:ascii="方正小标宋_GBK" w:eastAsia="方正小标宋_GBK"/>
          <w:sz w:val="36"/>
          <w:szCs w:val="36"/>
        </w:rPr>
        <w:t>采购人：</w:t>
      </w:r>
      <w:r>
        <w:rPr>
          <w:rFonts w:hint="eastAsia" w:ascii="方正小标宋_GBK" w:eastAsia="方正小标宋_GBK"/>
          <w:sz w:val="36"/>
          <w:szCs w:val="36"/>
          <w:lang w:val="en-US" w:eastAsia="zh-CN"/>
        </w:rPr>
        <w:t>重庆市铜梁船闸管理处</w:t>
      </w:r>
    </w:p>
    <w:p>
      <w:pPr>
        <w:spacing w:line="500" w:lineRule="exact"/>
        <w:outlineLvl w:val="0"/>
        <w:rPr>
          <w:rFonts w:hint="eastAsia" w:ascii="方正小标宋_GBK" w:eastAsia="方正小标宋_GBK"/>
          <w:sz w:val="36"/>
          <w:szCs w:val="36"/>
        </w:rPr>
      </w:pPr>
    </w:p>
    <w:p>
      <w:pPr>
        <w:spacing w:line="500" w:lineRule="exact"/>
        <w:outlineLvl w:val="0"/>
        <w:rPr>
          <w:rFonts w:hint="eastAsia" w:ascii="方正小标宋_GBK" w:eastAsia="方正小标宋_GBK"/>
          <w:sz w:val="36"/>
          <w:szCs w:val="36"/>
        </w:rPr>
      </w:pPr>
    </w:p>
    <w:p>
      <w:pPr>
        <w:spacing w:line="500" w:lineRule="exact"/>
        <w:outlineLvl w:val="0"/>
        <w:rPr>
          <w:rFonts w:hint="eastAsia" w:ascii="方正小标宋_GBK" w:eastAsia="方正小标宋_GBK"/>
          <w:sz w:val="36"/>
          <w:szCs w:val="36"/>
        </w:rPr>
      </w:pPr>
    </w:p>
    <w:p>
      <w:pPr>
        <w:spacing w:line="500" w:lineRule="exact"/>
        <w:outlineLvl w:val="0"/>
        <w:rPr>
          <w:rFonts w:hint="eastAsia" w:ascii="方正小标宋_GBK" w:eastAsia="方正小标宋_GBK"/>
          <w:sz w:val="36"/>
          <w:szCs w:val="36"/>
        </w:rPr>
      </w:pPr>
    </w:p>
    <w:p>
      <w:pPr>
        <w:spacing w:line="500" w:lineRule="exact"/>
        <w:outlineLvl w:val="0"/>
        <w:rPr>
          <w:rFonts w:hint="eastAsia" w:ascii="方正小标宋_GBK" w:eastAsia="方正小标宋_GBK"/>
          <w:sz w:val="36"/>
          <w:szCs w:val="36"/>
        </w:rPr>
      </w:pPr>
    </w:p>
    <w:p>
      <w:pPr>
        <w:spacing w:line="500" w:lineRule="exact"/>
        <w:outlineLvl w:val="0"/>
        <w:rPr>
          <w:rFonts w:hint="eastAsia" w:ascii="方正小标宋_GBK" w:eastAsia="方正小标宋_GBK"/>
          <w:sz w:val="36"/>
          <w:szCs w:val="36"/>
        </w:rPr>
      </w:pPr>
    </w:p>
    <w:p>
      <w:pPr>
        <w:spacing w:line="720" w:lineRule="exact"/>
        <w:jc w:val="center"/>
        <w:outlineLvl w:val="0"/>
        <w:rPr>
          <w:rFonts w:hint="eastAsia" w:ascii="方正黑体_GBK" w:hAnsi="宋体" w:eastAsia="方正黑体_GBK"/>
          <w:sz w:val="48"/>
          <w:szCs w:val="32"/>
        </w:rPr>
      </w:pPr>
      <w:r>
        <w:rPr>
          <w:rFonts w:hint="eastAsia" w:ascii="方正小标宋_GBK" w:hAnsi="宋体" w:eastAsia="方正小标宋_GBK"/>
          <w:sz w:val="36"/>
          <w:szCs w:val="36"/>
        </w:rPr>
        <w:t>二〇二</w:t>
      </w:r>
      <w:r>
        <w:rPr>
          <w:rFonts w:hint="eastAsia" w:ascii="方正小标宋_GBK" w:hAnsi="宋体" w:eastAsia="方正小标宋_GBK"/>
          <w:sz w:val="36"/>
          <w:szCs w:val="36"/>
          <w:lang w:val="en-US" w:eastAsia="zh-CN"/>
        </w:rPr>
        <w:t>四</w:t>
      </w:r>
      <w:r>
        <w:rPr>
          <w:rFonts w:hint="eastAsia" w:ascii="方正小标宋_GBK" w:hAnsi="宋体" w:eastAsia="方正小标宋_GBK"/>
          <w:sz w:val="36"/>
          <w:szCs w:val="36"/>
        </w:rPr>
        <w:t>年</w:t>
      </w:r>
      <w:r>
        <w:rPr>
          <w:rFonts w:hint="eastAsia" w:ascii="方正小标宋_GBK" w:hAnsi="宋体" w:eastAsia="方正小标宋_GBK"/>
          <w:sz w:val="36"/>
          <w:szCs w:val="36"/>
          <w:lang w:val="en-US" w:eastAsia="zh-CN"/>
        </w:rPr>
        <w:t>十一</w:t>
      </w:r>
      <w:r>
        <w:rPr>
          <w:rFonts w:hint="eastAsia" w:ascii="方正小标宋_GBK" w:hAnsi="宋体" w:eastAsia="方正小标宋_GBK"/>
          <w:sz w:val="36"/>
          <w:szCs w:val="36"/>
        </w:rPr>
        <w:t>月</w:t>
      </w:r>
    </w:p>
    <w:p>
      <w:pPr>
        <w:spacing w:line="480" w:lineRule="exact"/>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pPr>
        <w:pStyle w:val="3"/>
        <w:spacing w:before="0" w:after="0" w:line="360" w:lineRule="auto"/>
        <w:jc w:val="center"/>
        <w:rPr>
          <w:rFonts w:hint="eastAsia" w:ascii="方正小标宋_GBK" w:eastAsia="方正小标宋_GBK"/>
          <w:b w:val="0"/>
          <w:sz w:val="36"/>
          <w:szCs w:val="30"/>
        </w:rPr>
      </w:pPr>
      <w:bookmarkStart w:id="0" w:name="_Toc106034769"/>
      <w:bookmarkStart w:id="1" w:name="_Toc12789052"/>
      <w:bookmarkStart w:id="2" w:name="_Toc15726"/>
      <w:bookmarkStart w:id="3" w:name="_Toc24817"/>
      <w:bookmarkStart w:id="4" w:name="_Toc65660329"/>
      <w:bookmarkStart w:id="5" w:name="_Toc11641050"/>
      <w:bookmarkStart w:id="6" w:name="_Toc24173"/>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限额以下比价采购邀请书</w:t>
      </w:r>
      <w:bookmarkEnd w:id="0"/>
      <w:bookmarkEnd w:id="1"/>
      <w:bookmarkEnd w:id="2"/>
      <w:bookmarkEnd w:id="3"/>
      <w:bookmarkEnd w:id="4"/>
      <w:bookmarkEnd w:id="5"/>
      <w:bookmarkEnd w:id="6"/>
    </w:p>
    <w:p>
      <w:pPr>
        <w:snapToGrid w:val="0"/>
        <w:spacing w:line="400" w:lineRule="exact"/>
        <w:ind w:firstLine="480" w:firstLineChars="200"/>
        <w:rPr>
          <w:rFonts w:hint="eastAsia" w:ascii="方正仿宋_GBK" w:hAnsi="宋体" w:eastAsia="方正仿宋_GBK"/>
          <w:sz w:val="24"/>
          <w:szCs w:val="24"/>
        </w:rPr>
      </w:pPr>
      <w:bookmarkStart w:id="242" w:name="_GoBack"/>
      <w:bookmarkEnd w:id="242"/>
      <w:r>
        <w:rPr>
          <w:rFonts w:hint="eastAsia" w:ascii="方正仿宋_GBK" w:hAnsi="宋体" w:eastAsia="方正仿宋_GBK"/>
          <w:sz w:val="24"/>
          <w:szCs w:val="24"/>
          <w:lang w:val="en-US" w:eastAsia="zh-CN"/>
        </w:rPr>
        <w:t>重庆市铜梁船闸管理处</w:t>
      </w:r>
      <w:r>
        <w:rPr>
          <w:rFonts w:hint="eastAsia" w:ascii="方正仿宋_GBK" w:hAnsi="宋体" w:eastAsia="方正仿宋_GBK"/>
          <w:sz w:val="24"/>
          <w:szCs w:val="24"/>
        </w:rPr>
        <w:t>对</w:t>
      </w:r>
      <w:r>
        <w:rPr>
          <w:rFonts w:hint="eastAsia" w:ascii="方正仿宋_GBK" w:hAnsi="宋体" w:eastAsia="方正仿宋_GBK"/>
          <w:sz w:val="24"/>
          <w:szCs w:val="24"/>
          <w:lang w:val="en-US" w:eastAsia="zh-CN"/>
        </w:rPr>
        <w:t>水毁修复项目</w:t>
      </w:r>
      <w:r>
        <w:rPr>
          <w:rFonts w:hint="eastAsia" w:ascii="方正仿宋_GBK" w:hAnsi="宋体" w:eastAsia="方正仿宋_GBK"/>
          <w:sz w:val="24"/>
          <w:szCs w:val="24"/>
        </w:rPr>
        <w:t>进行限额以下比价采购。欢迎有资格的供应商前来参加报价。</w:t>
      </w:r>
    </w:p>
    <w:p>
      <w:pPr>
        <w:pStyle w:val="3"/>
        <w:adjustRightInd w:val="0"/>
        <w:snapToGrid w:val="0"/>
        <w:spacing w:before="0" w:after="0" w:line="400" w:lineRule="exact"/>
        <w:ind w:firstLine="482" w:firstLineChars="200"/>
        <w:rPr>
          <w:rFonts w:ascii="方正仿宋_GBK" w:hAnsi="宋体" w:eastAsia="方正仿宋_GBK"/>
          <w:sz w:val="24"/>
        </w:rPr>
      </w:pPr>
      <w:bookmarkStart w:id="7" w:name="_Toc7758"/>
      <w:bookmarkStart w:id="8" w:name="_Toc18246"/>
      <w:bookmarkStart w:id="9" w:name="_Toc26091"/>
      <w:bookmarkStart w:id="10" w:name="_Toc313893526"/>
      <w:bookmarkStart w:id="11" w:name="_Toc65660330"/>
      <w:bookmarkStart w:id="12" w:name="_Toc317775175"/>
      <w:bookmarkStart w:id="13" w:name="_Toc106034770"/>
      <w:r>
        <w:rPr>
          <w:rFonts w:hint="eastAsia" w:ascii="方正仿宋_GBK" w:hAnsi="宋体" w:eastAsia="方正仿宋_GBK"/>
          <w:sz w:val="24"/>
        </w:rPr>
        <w:t>一、比价内容</w:t>
      </w:r>
      <w:bookmarkEnd w:id="7"/>
      <w:bookmarkEnd w:id="8"/>
      <w:bookmarkEnd w:id="9"/>
      <w:bookmarkEnd w:id="10"/>
      <w:bookmarkEnd w:id="11"/>
      <w:bookmarkEnd w:id="12"/>
      <w:bookmarkEnd w:id="13"/>
    </w:p>
    <w:tbl>
      <w:tblPr>
        <w:tblStyle w:val="57"/>
        <w:tblW w:w="41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135"/>
        <w:gridCol w:w="1982"/>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446"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734" w:type="pct"/>
            <w:tcBorders>
              <w:top w:val="single" w:color="auto" w:sz="4" w:space="0"/>
              <w:left w:val="single" w:color="auto" w:sz="4" w:space="0"/>
              <w:right w:val="single" w:color="auto" w:sz="4" w:space="0"/>
            </w:tcBorders>
            <w:noWrap w:val="0"/>
            <w:vAlign w:val="center"/>
          </w:tcPr>
          <w:p>
            <w:pPr>
              <w:widowControl/>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最高限价（万元）</w:t>
            </w:r>
          </w:p>
        </w:tc>
        <w:tc>
          <w:tcPr>
            <w:tcW w:w="1282" w:type="pct"/>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538" w:type="pct"/>
            <w:tcBorders>
              <w:top w:val="single" w:color="auto" w:sz="4" w:space="0"/>
              <w:left w:val="single" w:color="auto" w:sz="4" w:space="0"/>
              <w:right w:val="single" w:color="auto" w:sz="4" w:space="0"/>
            </w:tcBorders>
            <w:noWrap w:val="0"/>
            <w:vAlign w:val="center"/>
          </w:tcPr>
          <w:p>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4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宋体" w:eastAsia="方正仿宋_GBK" w:cs="宋体"/>
                <w:kern w:val="0"/>
                <w:sz w:val="21"/>
                <w:szCs w:val="24"/>
              </w:rPr>
            </w:pPr>
            <w:bookmarkStart w:id="14" w:name="_Hlk344477914"/>
            <w:r>
              <w:rPr>
                <w:rFonts w:hint="eastAsia" w:ascii="方正仿宋_GBK" w:hAnsi="宋体" w:eastAsia="方正仿宋_GBK" w:cs="宋体"/>
                <w:kern w:val="0"/>
                <w:sz w:val="21"/>
                <w:szCs w:val="24"/>
                <w:lang w:val="en-US" w:eastAsia="zh-CN"/>
              </w:rPr>
              <w:t>水毁修复项目</w:t>
            </w:r>
          </w:p>
        </w:tc>
        <w:tc>
          <w:tcPr>
            <w:tcW w:w="734"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方正仿宋_GBK" w:hAnsi="宋体" w:eastAsia="方正仿宋_GBK"/>
                <w:sz w:val="21"/>
                <w:szCs w:val="21"/>
                <w:lang w:val="en-US" w:eastAsia="zh-CN"/>
              </w:rPr>
            </w:pPr>
            <w:r>
              <w:rPr>
                <w:rFonts w:hint="eastAsia" w:ascii="方正仿宋_GBK" w:hAnsi="宋体" w:eastAsia="方正仿宋_GBK"/>
                <w:sz w:val="21"/>
                <w:szCs w:val="21"/>
                <w:lang w:val="en-US" w:eastAsia="zh-CN"/>
              </w:rPr>
              <w:t>3.97</w:t>
            </w:r>
          </w:p>
        </w:tc>
        <w:tc>
          <w:tcPr>
            <w:tcW w:w="128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sz w:val="21"/>
                <w:szCs w:val="21"/>
                <w:lang w:val="en-US" w:eastAsia="zh-CN"/>
              </w:rPr>
            </w:pPr>
            <w:r>
              <w:rPr>
                <w:rFonts w:hint="eastAsia" w:ascii="方正仿宋_GBK" w:hAnsi="宋体" w:eastAsia="方正仿宋_GBK"/>
                <w:sz w:val="21"/>
                <w:szCs w:val="21"/>
                <w:lang w:val="en-US" w:eastAsia="zh-CN"/>
              </w:rPr>
              <w:t>1</w:t>
            </w:r>
          </w:p>
        </w:tc>
        <w:tc>
          <w:tcPr>
            <w:tcW w:w="1538"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方正仿宋_GBK" w:hAnsi="宋体" w:eastAsia="方正仿宋_GBK"/>
                <w:b/>
                <w:sz w:val="21"/>
                <w:szCs w:val="21"/>
              </w:rPr>
            </w:pPr>
          </w:p>
        </w:tc>
      </w:tr>
      <w:bookmarkEnd w:id="14"/>
    </w:tbl>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5" w:name="_Toc3256"/>
      <w:bookmarkStart w:id="16" w:name="_Toc4424"/>
      <w:bookmarkStart w:id="17" w:name="_Toc65660331"/>
      <w:bookmarkStart w:id="18" w:name="_Toc27028"/>
      <w:bookmarkStart w:id="19" w:name="_Toc106034771"/>
      <w:bookmarkStart w:id="20" w:name="_Toc373860293"/>
      <w:bookmarkStart w:id="21" w:name="_Toc317775178"/>
      <w:r>
        <w:rPr>
          <w:rFonts w:hint="eastAsia" w:ascii="方正仿宋_GBK" w:hAnsi="宋体" w:eastAsia="方正仿宋_GBK"/>
          <w:sz w:val="24"/>
        </w:rPr>
        <w:t>二、资金来源</w:t>
      </w:r>
      <w:bookmarkEnd w:id="15"/>
      <w:bookmarkEnd w:id="16"/>
      <w:bookmarkEnd w:id="17"/>
      <w:bookmarkEnd w:id="18"/>
      <w:bookmarkEnd w:id="19"/>
    </w:p>
    <w:p>
      <w:pPr>
        <w:spacing w:line="400" w:lineRule="exact"/>
        <w:ind w:firstLine="480" w:firstLineChars="200"/>
        <w:rPr>
          <w:rFonts w:hint="eastAsia" w:ascii="方正仿宋_GBK" w:hAnsi="宋体" w:eastAsia="方正仿宋_GBK"/>
          <w:sz w:val="24"/>
          <w:szCs w:val="24"/>
        </w:rPr>
      </w:pPr>
      <w:r>
        <w:rPr>
          <w:rFonts w:hint="eastAsia" w:ascii="方正仿宋_GBK" w:hAnsi="仿宋" w:eastAsia="方正仿宋_GBK"/>
          <w:sz w:val="24"/>
          <w:szCs w:val="24"/>
        </w:rPr>
        <w:t>财政预算资金（或单位自筹资金），采购预算</w:t>
      </w:r>
      <w:r>
        <w:rPr>
          <w:rFonts w:hint="eastAsia" w:ascii="方正仿宋_GBK" w:hAnsi="仿宋" w:eastAsia="方正仿宋_GBK"/>
          <w:sz w:val="24"/>
          <w:szCs w:val="24"/>
          <w:lang w:val="en-US" w:eastAsia="zh-CN"/>
        </w:rPr>
        <w:t>3.97</w:t>
      </w:r>
      <w:r>
        <w:rPr>
          <w:rFonts w:hint="eastAsia" w:ascii="方正仿宋_GBK" w:hAnsi="仿宋" w:eastAsia="方正仿宋_GBK"/>
          <w:sz w:val="24"/>
          <w:szCs w:val="24"/>
        </w:rPr>
        <w:t>万元。</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22" w:name="_Toc106034772"/>
      <w:bookmarkStart w:id="23" w:name="_Toc13541"/>
      <w:bookmarkStart w:id="24" w:name="_Toc65660332"/>
      <w:bookmarkStart w:id="25" w:name="_Toc64731996"/>
      <w:bookmarkStart w:id="26" w:name="_Toc20867"/>
      <w:bookmarkStart w:id="27" w:name="_Toc18548"/>
      <w:r>
        <w:rPr>
          <w:rFonts w:hint="eastAsia" w:ascii="方正仿宋_GBK" w:hAnsi="宋体" w:eastAsia="方正仿宋_GBK"/>
          <w:sz w:val="24"/>
        </w:rPr>
        <w:t>三、供应商资格条件</w:t>
      </w:r>
      <w:bookmarkEnd w:id="22"/>
      <w:bookmarkEnd w:id="23"/>
      <w:bookmarkEnd w:id="24"/>
      <w:bookmarkEnd w:id="25"/>
      <w:bookmarkEnd w:id="26"/>
      <w:bookmarkEnd w:id="27"/>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rPr>
        <w:t xml:space="preserve">（二）本项目的特定资格要求： </w:t>
      </w:r>
      <w:r>
        <w:rPr>
          <w:rFonts w:hint="eastAsia" w:ascii="方正仿宋_GBK" w:hAnsi="宋体" w:eastAsia="方正仿宋_GBK"/>
          <w:sz w:val="24"/>
          <w:szCs w:val="24"/>
          <w:lang w:val="en-US" w:eastAsia="zh-CN"/>
        </w:rPr>
        <w:t>无</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28" w:name="_Toc13903"/>
      <w:bookmarkStart w:id="29" w:name="_Toc65660333"/>
      <w:bookmarkStart w:id="30" w:name="_Toc11908"/>
      <w:bookmarkStart w:id="31" w:name="_Toc1386"/>
      <w:bookmarkStart w:id="32" w:name="_Toc106034773"/>
      <w:r>
        <w:rPr>
          <w:rFonts w:hint="eastAsia" w:ascii="方正仿宋_GBK" w:hAnsi="宋体" w:eastAsia="方正仿宋_GBK"/>
          <w:sz w:val="24"/>
        </w:rPr>
        <w:t>四、限额以下比价有关说明</w:t>
      </w:r>
      <w:bookmarkEnd w:id="20"/>
      <w:bookmarkEnd w:id="28"/>
      <w:bookmarkEnd w:id="29"/>
      <w:bookmarkEnd w:id="30"/>
      <w:bookmarkEnd w:id="31"/>
      <w:bookmarkEnd w:id="32"/>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（一）凡有意参加比价的供应商，请在重庆市交通局官网上下载本项目采购文件以及图纸、澄清等报价前公布的所有项目资料，无论供应商下载与否，均视为已知晓所有实质性要求内容。</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（三）递交响应文件地点：重庆</w:t>
      </w:r>
      <w:r>
        <w:rPr>
          <w:rFonts w:hint="eastAsia" w:ascii="方正仿宋_GBK" w:hAnsi="宋体" w:eastAsia="方正仿宋_GBK"/>
          <w:sz w:val="24"/>
          <w:szCs w:val="24"/>
          <w:lang w:val="en-US" w:eastAsia="zh-CN"/>
        </w:rPr>
        <w:t>铜梁船闸管理处2</w:t>
      </w:r>
      <w:r>
        <w:rPr>
          <w:rFonts w:hint="eastAsia" w:ascii="方正仿宋_GBK" w:hAnsi="宋体" w:eastAsia="方正仿宋_GBK"/>
          <w:sz w:val="24"/>
          <w:szCs w:val="24"/>
        </w:rPr>
        <w:t>楼会议室（地址：重庆市</w:t>
      </w:r>
      <w:r>
        <w:rPr>
          <w:rFonts w:hint="eastAsia" w:ascii="方正仿宋_GBK" w:hAnsi="宋体" w:eastAsia="方正仿宋_GBK"/>
          <w:sz w:val="24"/>
          <w:szCs w:val="24"/>
          <w:lang w:val="en-US" w:eastAsia="zh-CN"/>
        </w:rPr>
        <w:t>铜梁区巴川街道营盘街76号</w:t>
      </w:r>
      <w:r>
        <w:rPr>
          <w:rFonts w:hint="eastAsia" w:ascii="方正仿宋_GBK" w:hAnsi="宋体" w:eastAsia="方正仿宋_GBK"/>
          <w:sz w:val="24"/>
          <w:szCs w:val="24"/>
        </w:rPr>
        <w:t>）</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（四）提交响应文件截止时间：202</w:t>
      </w: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11</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18</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9:25</w:t>
      </w:r>
      <w:r>
        <w:rPr>
          <w:rFonts w:hint="eastAsia" w:ascii="方正仿宋_GBK" w:hAnsi="宋体" w:eastAsia="方正仿宋_GBK"/>
          <w:sz w:val="24"/>
          <w:szCs w:val="24"/>
        </w:rPr>
        <w:t>时至</w:t>
      </w:r>
      <w:r>
        <w:rPr>
          <w:rFonts w:hint="eastAsia" w:ascii="方正仿宋_GBK" w:hAnsi="宋体" w:eastAsia="方正仿宋_GBK"/>
          <w:sz w:val="24"/>
          <w:szCs w:val="24"/>
          <w:lang w:val="en-US" w:eastAsia="zh-CN"/>
        </w:rPr>
        <w:t>9:30</w:t>
      </w:r>
      <w:r>
        <w:rPr>
          <w:rFonts w:hint="eastAsia" w:ascii="方正仿宋_GBK" w:hAnsi="宋体" w:eastAsia="方正仿宋_GBK"/>
          <w:sz w:val="24"/>
          <w:szCs w:val="24"/>
        </w:rPr>
        <w:t>时</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（五）评审开始时间：202</w:t>
      </w: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11</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18</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9:30</w:t>
      </w:r>
      <w:r>
        <w:rPr>
          <w:rFonts w:hint="eastAsia" w:ascii="方正仿宋_GBK" w:hAnsi="宋体" w:eastAsia="方正仿宋_GBK"/>
          <w:sz w:val="24"/>
          <w:szCs w:val="24"/>
        </w:rPr>
        <w:t>时</w:t>
      </w:r>
    </w:p>
    <w:bookmarkEnd w:id="21"/>
    <w:p>
      <w:pPr>
        <w:pStyle w:val="3"/>
        <w:adjustRightInd w:val="0"/>
        <w:snapToGrid w:val="0"/>
        <w:spacing w:before="0" w:after="0" w:line="400" w:lineRule="exact"/>
        <w:ind w:firstLine="482" w:firstLineChars="200"/>
        <w:rPr>
          <w:rFonts w:hint="eastAsia" w:ascii="方正仿宋_GBK" w:hAnsi="宋体" w:eastAsia="方正仿宋_GBK"/>
          <w:sz w:val="24"/>
        </w:rPr>
      </w:pPr>
      <w:bookmarkStart w:id="33" w:name="_Toc106034776"/>
      <w:bookmarkStart w:id="34" w:name="_Toc4728"/>
      <w:bookmarkStart w:id="35" w:name="_Toc16269"/>
      <w:bookmarkStart w:id="36" w:name="_Toc521053055"/>
      <w:bookmarkStart w:id="37" w:name="_Toc6563"/>
      <w:bookmarkStart w:id="38" w:name="_Toc65660336"/>
      <w:bookmarkStart w:id="39" w:name="_Toc525047163"/>
      <w:r>
        <w:rPr>
          <w:rFonts w:hint="eastAsia" w:ascii="方正仿宋_GBK" w:hAnsi="宋体" w:eastAsia="方正仿宋_GBK"/>
          <w:sz w:val="24"/>
        </w:rPr>
        <w:t>五、其它有关规定</w:t>
      </w:r>
      <w:bookmarkEnd w:id="33"/>
      <w:bookmarkEnd w:id="34"/>
      <w:bookmarkEnd w:id="35"/>
      <w:bookmarkEnd w:id="36"/>
      <w:bookmarkEnd w:id="37"/>
      <w:bookmarkEnd w:id="38"/>
      <w:bookmarkEnd w:id="39"/>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（五）本项目的澄清文件（如果有）一律在重庆市交通局官网上发布，请各供应商注意下载；无论供应商下载或领取与否，均视同供应商已知晓本项目澄清文件（如果有）的内容。</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b w:val="0"/>
          <w:bCs w:val="0"/>
          <w:sz w:val="24"/>
          <w:szCs w:val="24"/>
        </w:rPr>
        <w:t>（八）</w:t>
      </w:r>
      <w:r>
        <w:rPr>
          <w:rFonts w:hint="eastAsia" w:ascii="方正仿宋_GBK" w:hAnsi="宋体" w:eastAsia="方正仿宋_GBK" w:cs="Times New Roman"/>
          <w:sz w:val="24"/>
          <w:szCs w:val="24"/>
        </w:rPr>
        <w:t>本项目不接受联合体参与报价，否则按无效处理。</w:t>
      </w:r>
    </w:p>
    <w:p>
      <w:pPr>
        <w:snapToGrid w:val="0"/>
        <w:spacing w:line="400" w:lineRule="exact"/>
        <w:ind w:firstLine="360" w:firstLineChars="150"/>
        <w:rPr>
          <w:rFonts w:hint="eastAsia" w:ascii="方正仿宋_GBK" w:hAnsi="宋体" w:eastAsia="方正仿宋_GBK"/>
          <w:b/>
          <w:sz w:val="24"/>
          <w:szCs w:val="24"/>
        </w:rPr>
      </w:pPr>
      <w:r>
        <w:rPr>
          <w:rFonts w:hint="eastAsia" w:ascii="方正仿宋_GBK" w:hAnsi="宋体" w:eastAsia="方正仿宋_GBK"/>
          <w:b w:val="0"/>
          <w:sz w:val="24"/>
          <w:szCs w:val="24"/>
        </w:rPr>
        <w:t>（九）</w:t>
      </w:r>
      <w:r>
        <w:rPr>
          <w:rFonts w:hint="eastAsia" w:ascii="方正仿宋_GBK" w:hAnsi="宋体" w:eastAsia="方正仿宋_GBK" w:cs="Times New Roman"/>
          <w:sz w:val="24"/>
          <w:szCs w:val="24"/>
        </w:rPr>
        <w:t>本项目不接受合同分包，否则按无效处理。</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bCs/>
          <w:sz w:val="24"/>
          <w:szCs w:val="24"/>
        </w:rPr>
        <w:t>（十）</w:t>
      </w:r>
      <w:r>
        <w:rPr>
          <w:rFonts w:hint="eastAsia" w:ascii="方正仿宋_GBK" w:hAnsi="宋体" w:eastAsia="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pPr>
        <w:pageBreakBefore w:val="0"/>
        <w:widowControl w:val="0"/>
        <w:kinsoku/>
        <w:wordWrap/>
        <w:overflowPunct/>
        <w:topLinePunct w:val="0"/>
        <w:autoSpaceDE/>
        <w:autoSpaceDN/>
        <w:bidi w:val="0"/>
        <w:snapToGrid w:val="0"/>
        <w:spacing w:line="380" w:lineRule="exact"/>
        <w:ind w:firstLine="361" w:firstLineChars="150"/>
        <w:textAlignment w:val="auto"/>
        <w:rPr>
          <w:rFonts w:hint="eastAsia" w:ascii="方正仿宋_GBK" w:hAnsi="宋体" w:eastAsia="方正仿宋_GBK" w:cs="Times New Roman"/>
          <w:b/>
          <w:sz w:val="24"/>
        </w:rPr>
      </w:pPr>
      <w:r>
        <w:rPr>
          <w:rFonts w:hint="eastAsia" w:ascii="方正仿宋_GBK" w:hAnsi="宋体" w:eastAsia="方正仿宋_GBK" w:cs="Times New Roman"/>
          <w:b/>
          <w:sz w:val="24"/>
        </w:rPr>
        <w:t>六、现场踏勘</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b w:val="0"/>
          <w:bCs/>
          <w:sz w:val="24"/>
          <w:lang w:eastAsia="zh-CN"/>
        </w:rPr>
      </w:pPr>
      <w:r>
        <w:rPr>
          <w:rFonts w:hint="eastAsia" w:ascii="方正仿宋_GBK" w:hAnsi="宋体" w:eastAsia="方正仿宋_GBK"/>
          <w:b w:val="0"/>
          <w:bCs/>
          <w:sz w:val="24"/>
          <w:lang w:eastAsia="zh-CN"/>
        </w:rPr>
        <w:t>本次项目内容为</w:t>
      </w:r>
      <w:r>
        <w:rPr>
          <w:rFonts w:hint="eastAsia" w:ascii="方正仿宋_GBK" w:hAnsi="宋体" w:eastAsia="方正仿宋_GBK"/>
          <w:b w:val="0"/>
          <w:bCs/>
          <w:sz w:val="24"/>
          <w:lang w:val="en-US" w:eastAsia="zh-CN"/>
        </w:rPr>
        <w:t>水毁修复项目</w:t>
      </w:r>
      <w:r>
        <w:rPr>
          <w:rFonts w:hint="eastAsia" w:ascii="方正仿宋_GBK" w:hAnsi="宋体" w:eastAsia="方正仿宋_GBK"/>
          <w:b w:val="0"/>
          <w:bCs/>
          <w:sz w:val="24"/>
          <w:lang w:eastAsia="zh-CN"/>
        </w:rPr>
        <w:t>，有意向参与竞标的潜在供应商可在开标前自行踏勘现场，了解施工条件及环境。</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default" w:ascii="方正仿宋_GBK" w:hAnsi="宋体" w:eastAsia="方正仿宋_GBK"/>
          <w:b w:val="0"/>
          <w:bCs/>
          <w:sz w:val="24"/>
          <w:lang w:val="en-US" w:eastAsia="zh-CN"/>
        </w:rPr>
      </w:pPr>
      <w:r>
        <w:rPr>
          <w:rFonts w:hint="eastAsia" w:ascii="方正仿宋_GBK" w:hAnsi="宋体" w:eastAsia="方正仿宋_GBK"/>
          <w:b w:val="0"/>
          <w:bCs/>
          <w:sz w:val="24"/>
          <w:lang w:eastAsia="zh-CN"/>
        </w:rPr>
        <w:t>踏勘地点：</w:t>
      </w:r>
      <w:r>
        <w:rPr>
          <w:rFonts w:hint="eastAsia" w:ascii="方正仿宋_GBK" w:hAnsi="宋体" w:eastAsia="方正仿宋_GBK"/>
          <w:b w:val="0"/>
          <w:bCs/>
          <w:sz w:val="24"/>
          <w:lang w:val="en-US" w:eastAsia="zh-CN"/>
        </w:rPr>
        <w:t>关溅船闸、中和船闸、蒲吕船闸、虎峰船闸、永久船闸</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default" w:ascii="方正仿宋_GBK" w:hAnsi="宋体" w:eastAsia="方正仿宋_GBK"/>
          <w:b w:val="0"/>
          <w:bCs/>
          <w:sz w:val="24"/>
          <w:lang w:val="en-US" w:eastAsia="zh-CN"/>
        </w:rPr>
      </w:pPr>
      <w:r>
        <w:rPr>
          <w:rFonts w:hint="eastAsia" w:ascii="方正仿宋_GBK" w:hAnsi="宋体" w:eastAsia="方正仿宋_GBK"/>
          <w:b w:val="0"/>
          <w:bCs/>
          <w:sz w:val="24"/>
          <w:lang w:eastAsia="zh-CN"/>
        </w:rPr>
        <w:t>联系人及联系电话：</w:t>
      </w:r>
      <w:r>
        <w:rPr>
          <w:rFonts w:hint="eastAsia" w:ascii="方正仿宋_GBK" w:hAnsi="宋体" w:eastAsia="方正仿宋_GBK"/>
          <w:b w:val="0"/>
          <w:bCs/>
          <w:sz w:val="24"/>
          <w:lang w:val="en-US" w:eastAsia="zh-CN"/>
        </w:rPr>
        <w:t>马老师 023-45677139</w:t>
      </w:r>
    </w:p>
    <w:p>
      <w:pPr>
        <w:pageBreakBefore w:val="0"/>
        <w:widowControl w:val="0"/>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b w:val="0"/>
          <w:bCs/>
          <w:sz w:val="24"/>
          <w:lang w:eastAsia="zh-CN"/>
        </w:rPr>
      </w:pPr>
      <w:r>
        <w:rPr>
          <w:rFonts w:hint="eastAsia" w:ascii="方正仿宋_GBK" w:hAnsi="宋体" w:eastAsia="方正仿宋_GBK"/>
          <w:b w:val="0"/>
          <w:bCs/>
          <w:sz w:val="24"/>
          <w:lang w:eastAsia="zh-CN"/>
        </w:rPr>
        <w:t>踏勘注意事项：</w:t>
      </w:r>
    </w:p>
    <w:p>
      <w:pPr>
        <w:pageBreakBefore w:val="0"/>
        <w:widowControl w:val="0"/>
        <w:numPr>
          <w:ilvl w:val="0"/>
          <w:numId w:val="13"/>
        </w:numPr>
        <w:kinsoku/>
        <w:wordWrap/>
        <w:overflowPunct/>
        <w:topLinePunct w:val="0"/>
        <w:autoSpaceDE/>
        <w:autoSpaceDN/>
        <w:bidi w:val="0"/>
        <w:snapToGrid w:val="0"/>
        <w:spacing w:line="380" w:lineRule="exact"/>
        <w:ind w:firstLine="360" w:firstLineChars="150"/>
        <w:textAlignment w:val="auto"/>
        <w:rPr>
          <w:rFonts w:hint="eastAsia" w:ascii="方正仿宋_GBK" w:hAnsi="宋体" w:eastAsia="方正仿宋_GBK"/>
          <w:b w:val="0"/>
          <w:bCs/>
          <w:sz w:val="24"/>
          <w:lang w:eastAsia="zh-CN"/>
        </w:rPr>
      </w:pPr>
      <w:r>
        <w:rPr>
          <w:rFonts w:hint="eastAsia" w:ascii="方正仿宋_GBK" w:hAnsi="宋体" w:eastAsia="方正仿宋_GBK"/>
          <w:b w:val="0"/>
          <w:bCs/>
          <w:sz w:val="24"/>
          <w:lang w:eastAsia="zh-CN"/>
        </w:rPr>
        <w:t>潜在供应商踏勘现场发生的费用自理，无论供应商是否进行现场踏勘，均视为供应商对该项目情况十分清楚，能对投标及后来的实施做出准确的判断。</w:t>
      </w:r>
    </w:p>
    <w:p>
      <w:pPr>
        <w:pageBreakBefore w:val="0"/>
        <w:widowControl w:val="0"/>
        <w:numPr>
          <w:ilvl w:val="0"/>
          <w:numId w:val="0"/>
        </w:numPr>
        <w:kinsoku/>
        <w:wordWrap/>
        <w:overflowPunct/>
        <w:topLinePunct w:val="0"/>
        <w:autoSpaceDE/>
        <w:autoSpaceDN/>
        <w:bidi w:val="0"/>
        <w:snapToGrid w:val="0"/>
        <w:spacing w:line="380" w:lineRule="exact"/>
        <w:ind w:firstLine="480" w:firstLineChars="200"/>
        <w:textAlignment w:val="auto"/>
        <w:rPr>
          <w:rFonts w:hint="eastAsia" w:ascii="方正仿宋_GBK" w:hAnsi="宋体" w:eastAsia="方正仿宋_GBK"/>
          <w:b w:val="0"/>
          <w:bCs/>
          <w:sz w:val="24"/>
          <w:lang w:eastAsia="zh-CN"/>
        </w:rPr>
      </w:pPr>
      <w:r>
        <w:rPr>
          <w:rFonts w:hint="eastAsia" w:ascii="方正仿宋_GBK" w:hAnsi="宋体" w:eastAsia="方正仿宋_GBK"/>
          <w:b w:val="0"/>
          <w:bCs/>
          <w:sz w:val="24"/>
          <w:lang w:eastAsia="zh-CN"/>
        </w:rPr>
        <w:t>(2)除采购人的原因外，潜在供应商自行负责在踏勘现场中所发生的人员伤亡和财产损失。</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40" w:name="_Toc10415"/>
      <w:bookmarkStart w:id="41" w:name="_Toc106034777"/>
      <w:bookmarkStart w:id="42" w:name="_Toc1733"/>
      <w:bookmarkStart w:id="43" w:name="_Toc525047164"/>
      <w:bookmarkStart w:id="44" w:name="_Toc1552"/>
      <w:bookmarkStart w:id="45" w:name="_Toc65660337"/>
      <w:bookmarkStart w:id="46" w:name="_Toc521053056"/>
      <w:r>
        <w:rPr>
          <w:rFonts w:hint="eastAsia" w:ascii="方正仿宋_GBK" w:hAnsi="宋体" w:eastAsia="方正仿宋_GBK"/>
          <w:sz w:val="24"/>
          <w:lang w:val="en-US" w:eastAsia="zh-CN"/>
        </w:rPr>
        <w:t>七</w:t>
      </w:r>
      <w:r>
        <w:rPr>
          <w:rFonts w:hint="eastAsia" w:ascii="方正仿宋_GBK" w:hAnsi="宋体" w:eastAsia="方正仿宋_GBK"/>
          <w:sz w:val="24"/>
        </w:rPr>
        <w:t>、联系方式</w:t>
      </w:r>
      <w:bookmarkEnd w:id="40"/>
      <w:bookmarkEnd w:id="41"/>
      <w:bookmarkEnd w:id="42"/>
      <w:bookmarkEnd w:id="43"/>
      <w:bookmarkEnd w:id="44"/>
      <w:bookmarkEnd w:id="45"/>
      <w:bookmarkEnd w:id="46"/>
    </w:p>
    <w:p>
      <w:pPr>
        <w:snapToGrid w:val="0"/>
        <w:spacing w:line="400" w:lineRule="exact"/>
        <w:ind w:firstLine="480" w:firstLineChars="200"/>
        <w:outlineLvl w:val="2"/>
        <w:rPr>
          <w:rFonts w:hint="default" w:ascii="方正仿宋_GBK" w:hAnsi="宋体" w:eastAsia="方正仿宋_GBK"/>
          <w:sz w:val="24"/>
          <w:szCs w:val="24"/>
          <w:lang w:val="en-US" w:eastAsia="zh-CN"/>
        </w:rPr>
      </w:pPr>
      <w:r>
        <w:rPr>
          <w:rFonts w:hint="eastAsia" w:ascii="方正仿宋_GBK" w:hAnsi="宋体" w:eastAsia="方正仿宋_GBK"/>
          <w:sz w:val="24"/>
          <w:szCs w:val="24"/>
        </w:rPr>
        <w:t>（一）采购人：</w:t>
      </w:r>
      <w:r>
        <w:rPr>
          <w:rFonts w:hint="eastAsia" w:ascii="方正仿宋_GBK" w:hAnsi="宋体" w:eastAsia="方正仿宋_GBK"/>
          <w:sz w:val="24"/>
          <w:szCs w:val="24"/>
          <w:lang w:val="en-US" w:eastAsia="zh-CN"/>
        </w:rPr>
        <w:t>重庆市铜梁船闸管理处</w:t>
      </w:r>
    </w:p>
    <w:p>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联系人：</w:t>
      </w:r>
      <w:r>
        <w:rPr>
          <w:rFonts w:hint="eastAsia" w:ascii="方正仿宋_GBK" w:hAnsi="宋体" w:eastAsia="方正仿宋_GBK"/>
          <w:sz w:val="24"/>
          <w:szCs w:val="24"/>
          <w:lang w:val="en-US" w:eastAsia="zh-CN"/>
        </w:rPr>
        <w:t>唐老师</w:t>
      </w:r>
    </w:p>
    <w:p>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电  话：023-</w:t>
      </w:r>
      <w:r>
        <w:rPr>
          <w:rFonts w:hint="eastAsia" w:ascii="方正仿宋_GBK" w:hAnsi="宋体" w:eastAsia="方正仿宋_GBK"/>
          <w:sz w:val="24"/>
          <w:szCs w:val="24"/>
          <w:lang w:val="en-US" w:eastAsia="zh-CN"/>
        </w:rPr>
        <w:t>45674006</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传  真：023-</w:t>
      </w:r>
      <w:r>
        <w:rPr>
          <w:rFonts w:hint="eastAsia" w:ascii="方正仿宋_GBK" w:hAnsi="宋体" w:eastAsia="方正仿宋_GBK"/>
          <w:sz w:val="24"/>
          <w:szCs w:val="24"/>
          <w:lang w:val="en-US" w:eastAsia="zh-CN"/>
        </w:rPr>
        <w:t>45674006</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地  址：：重庆市</w:t>
      </w:r>
      <w:r>
        <w:rPr>
          <w:rFonts w:hint="eastAsia" w:ascii="方正仿宋_GBK" w:hAnsi="宋体" w:eastAsia="方正仿宋_GBK"/>
          <w:sz w:val="24"/>
          <w:szCs w:val="24"/>
          <w:lang w:val="en-US" w:eastAsia="zh-CN"/>
        </w:rPr>
        <w:t>铜梁区巴川街道营盘街76号</w:t>
      </w:r>
    </w:p>
    <w:p>
      <w:pPr>
        <w:snapToGrid w:val="0"/>
        <w:spacing w:line="380" w:lineRule="exact"/>
        <w:ind w:firstLine="480" w:firstLineChars="200"/>
        <w:rPr>
          <w:rFonts w:hint="eastAsia" w:ascii="方正仿宋_GBK" w:hAnsi="宋体" w:eastAsia="方正仿宋_GBK"/>
          <w:sz w:val="24"/>
          <w:szCs w:val="24"/>
        </w:rPr>
        <w:sectPr>
          <w:pgSz w:w="11907" w:h="16840"/>
          <w:pgMar w:top="1134" w:right="1418" w:bottom="1134" w:left="1418" w:header="964" w:footer="992" w:gutter="0"/>
          <w:pgNumType w:fmt="numberInDash"/>
          <w:cols w:space="720" w:num="1"/>
          <w:docGrid w:linePitch="312" w:charSpace="0"/>
        </w:sectPr>
      </w:pPr>
    </w:p>
    <w:p>
      <w:pPr>
        <w:pStyle w:val="3"/>
        <w:spacing w:before="0" w:after="0" w:line="360" w:lineRule="auto"/>
        <w:jc w:val="center"/>
        <w:rPr>
          <w:rFonts w:hint="eastAsia" w:ascii="方正小标宋_GBK" w:eastAsia="方正小标宋_GBK"/>
          <w:b w:val="0"/>
          <w:sz w:val="36"/>
          <w:szCs w:val="30"/>
        </w:rPr>
      </w:pPr>
      <w:bookmarkStart w:id="47" w:name="_Toc14516"/>
      <w:bookmarkStart w:id="48" w:name="_Toc106034778"/>
      <w:bookmarkStart w:id="49" w:name="_Toc11327"/>
      <w:bookmarkStart w:id="50" w:name="_Toc65660338"/>
      <w:bookmarkStart w:id="51" w:name="_Toc1292"/>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pPr>
        <w:jc w:val="center"/>
        <w:rPr>
          <w:rFonts w:hint="eastAsia"/>
          <w:b/>
        </w:rPr>
      </w:pP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53" w:name="_Toc446"/>
      <w:bookmarkStart w:id="54" w:name="_Toc106034779"/>
      <w:bookmarkStart w:id="55" w:name="_Toc65660339"/>
      <w:bookmarkStart w:id="56" w:name="_Toc24129"/>
      <w:bookmarkStart w:id="57" w:name="_Toc26971"/>
      <w:r>
        <w:rPr>
          <w:rFonts w:hint="eastAsia" w:ascii="方正仿宋_GBK" w:hAnsi="宋体" w:eastAsia="方正仿宋_GBK"/>
          <w:sz w:val="24"/>
        </w:rPr>
        <w:t>一、项目一览表</w:t>
      </w:r>
      <w:bookmarkEnd w:id="53"/>
      <w:bookmarkEnd w:id="54"/>
      <w:bookmarkEnd w:id="55"/>
      <w:bookmarkEnd w:id="56"/>
      <w:bookmarkEnd w:id="57"/>
    </w:p>
    <w:p>
      <w:pPr>
        <w:snapToGrid w:val="0"/>
        <w:spacing w:line="400" w:lineRule="exact"/>
        <w:ind w:firstLine="480" w:firstLineChars="200"/>
        <w:rPr>
          <w:rFonts w:hint="eastAsia" w:ascii="方正仿宋_GBK" w:hAnsi="宋体" w:eastAsia="方正仿宋_GBK"/>
          <w:sz w:val="24"/>
          <w:szCs w:val="24"/>
        </w:rPr>
      </w:pPr>
    </w:p>
    <w:tbl>
      <w:tblPr>
        <w:tblStyle w:val="5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1567"/>
        <w:gridCol w:w="6352"/>
        <w:gridCol w:w="506"/>
        <w:gridCol w:w="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37"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814"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30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26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38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37"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14"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30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26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8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关溅船闸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下门库板制作安装</w:t>
            </w:r>
          </w:p>
        </w:tc>
        <w:tc>
          <w:tcPr>
            <w:tcW w:w="330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1.具体做法:100mm厚C20混凝土板4块（Φ10@200钢筋单层双向，结构尺寸2m*2.1m），原地螺栓加长修复，压板铁长2m*宽6cm*厚3mm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[工作内容]1.制作2.安装</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下门锁盖板制作安装</w:t>
            </w:r>
          </w:p>
        </w:tc>
        <w:tc>
          <w:tcPr>
            <w:tcW w:w="330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1.具体做法:地螺栓2根植入深度0.2m，100mm厚C20混凝土板1块（Φ10@200钢筋单层双向，结构尺寸0.7m*0.5m）制作安装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[工作内容]1.制作2.安装</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C30钢筋混凝土（门柱）</w:t>
            </w:r>
          </w:p>
        </w:tc>
        <w:tc>
          <w:tcPr>
            <w:tcW w:w="330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1.尺寸:高2.46m*长1.5m*宽0.5m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2.混凝土种类:C30商品混凝土（含模板、钢筋制作安装）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3.植筋:采用12钢筋竖向植筋间距300mm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4.植筋深度:深度不小于200mm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5.水平钢筋:12钢筋间距300mm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[工作内容]1.模板及支架(撑)制作、安装、拆除、堆放、运输及清理模内杂物、刷隔离剂等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2.混凝土制作、运输、浇筑、振捣、养护</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不锈钢管门制作安装</w:t>
            </w:r>
          </w:p>
        </w:tc>
        <w:tc>
          <w:tcPr>
            <w:tcW w:w="330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1.门代号及洞口尺寸:2m*1.03m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2.门框或扇外围尺寸:不锈钢门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3.防攀爬处理:2mm不锈钢面板封挡顶部焊接两块0.4m*1.03m出头5cm、底部焊接两块0.7m*1.03m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4.配件:包含所有配件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[工作内容]1.门安装 2.启动装置、五金配件安装</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警示牌0.6m*0.4m</w:t>
            </w:r>
          </w:p>
        </w:tc>
        <w:tc>
          <w:tcPr>
            <w:tcW w:w="330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1.名称:警示牌2.材质:不锈钢（拉丝面）3.文字内容及要求:由业主方确定，采用uv打印、四角钻孔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4.尺寸:0.6m*0.4m5.安装方式:墙上固定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[工作内容]1.警示牌制作安装</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围堰及围堰拆除</w:t>
            </w:r>
          </w:p>
        </w:tc>
        <w:tc>
          <w:tcPr>
            <w:tcW w:w="330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1.围堰板块（库房中存放）搬运及使用完后放回库房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2.搬运方式:人工搬运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[工作内容]1.拆除2.运输</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拆除及恢复阀门进水安全网</w:t>
            </w:r>
          </w:p>
        </w:tc>
        <w:tc>
          <w:tcPr>
            <w:tcW w:w="330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1.两个钢条焊接安全网前期拆除与后期恢复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[工作内容]1.拆除2.恢复</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阀门支架连接及阀门门轴检修，零部件上漆</w:t>
            </w:r>
          </w:p>
        </w:tc>
        <w:tc>
          <w:tcPr>
            <w:tcW w:w="330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1.阀门支架连接及阀门门轴检修，零部件上漆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[工作内容]1.更换2.上漆</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更换两幅启闭机平行轴承</w:t>
            </w:r>
          </w:p>
        </w:tc>
        <w:tc>
          <w:tcPr>
            <w:tcW w:w="330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1.更换两幅启闭机平行轴承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[工作内容]1.更换</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四个走轮轴承更换上黄油及上漆</w:t>
            </w:r>
          </w:p>
        </w:tc>
        <w:tc>
          <w:tcPr>
            <w:tcW w:w="330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1.内容:四个走轮轴承更换2.型号:与原型号一致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3.维护:清洗维护上黄油及上漆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[工作内容]1.拆除原轴承2.清理3.更换轴承4.上油</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下闸轨道潜水清障</w:t>
            </w:r>
          </w:p>
        </w:tc>
        <w:tc>
          <w:tcPr>
            <w:tcW w:w="330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1.内容:清理石块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[工作内容]1.清理</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sz w:val="18"/>
                <w:szCs w:val="18"/>
                <w:u w:val="none"/>
                <w:lang w:val="en-US" w:eastAsia="zh-CN"/>
              </w:rPr>
              <w:t>中和船闸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安全墩膨胀窟制作安装</w:t>
            </w:r>
          </w:p>
        </w:tc>
        <w:tc>
          <w:tcPr>
            <w:tcW w:w="330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1.名称:安全墩膨胀窟制作安装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[工作内容]1.制作2.安装</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钢管栏杆</w:t>
            </w:r>
          </w:p>
        </w:tc>
        <w:tc>
          <w:tcPr>
            <w:tcW w:w="330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1.立柱基础:地面钻孔，孔深200mm，底部灌浆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2.栏杆立柱:Φ50*3.5钢管间距1.5m设置，立柱外露高度800mm，埋深200mm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3.1米长采用架管，植入20cm,顶部环加穿链条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[工作内容]1.钻孔2.制作3.运输4.安装5.灌浆</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钢管栏杆、链条上漆</w:t>
            </w:r>
          </w:p>
        </w:tc>
        <w:tc>
          <w:tcPr>
            <w:tcW w:w="330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1.构件名称:钢管栏杆、链条上漆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[工作内容]1.刷防护材料、油漆</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不锈钢安全警示牌制作安装</w:t>
            </w:r>
          </w:p>
        </w:tc>
        <w:tc>
          <w:tcPr>
            <w:tcW w:w="330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1.名称:警示牌2.材质:不锈钢（双面）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3.文字内容及要求:由业主方确定，采用uv打印、四角钻孔4.尺寸:0.6m*0.4m5.安装方式:墙上固定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[工作内容]1.警示牌制作安装</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sz w:val="18"/>
                <w:szCs w:val="18"/>
                <w:u w:val="none"/>
                <w:lang w:val="en-US" w:eastAsia="zh-CN"/>
              </w:rPr>
              <w:t>虎峰船闸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下门四个行走轮检修并清洗上黄油、部分边盖螺栓扩丝更换</w:t>
            </w:r>
          </w:p>
        </w:tc>
        <w:tc>
          <w:tcPr>
            <w:tcW w:w="330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1.下门四个行走轮检修并清洗上黄油、部分边盖螺栓扩丝更换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[工作内容]1.清洗2.上油3.更换螺栓</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sz w:val="18"/>
                <w:szCs w:val="18"/>
                <w:u w:val="none"/>
                <w:lang w:val="en-US" w:eastAsia="zh-CN"/>
              </w:rPr>
              <w:t>蒲吕船闸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上阀门支架、φ75无缝管子更换及上油漆</w:t>
            </w:r>
          </w:p>
        </w:tc>
        <w:tc>
          <w:tcPr>
            <w:tcW w:w="330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1.上阀门支架、φ75无缝管子更换及上油漆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[工作内容]1.更换2.刷漆</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检修槽叠梁板（木质）</w:t>
            </w:r>
          </w:p>
        </w:tc>
        <w:tc>
          <w:tcPr>
            <w:tcW w:w="330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1.构件规格尺寸:木：长4.45m，高1.6m，厚0.2m，检修完后放回库房2.二次转运:人工转运500m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[工作内容]1.运输2.安装</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围堰及围堰拆除</w:t>
            </w:r>
          </w:p>
        </w:tc>
        <w:tc>
          <w:tcPr>
            <w:tcW w:w="330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1.围堰板块（库房中存放）搬运及使用完后放回库房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2.搬运方式:人工搬运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[工作内容]1.拆除2.运输</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下闸门口、门库淤泥及石料清理</w:t>
            </w:r>
          </w:p>
        </w:tc>
        <w:tc>
          <w:tcPr>
            <w:tcW w:w="330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1.下闸门口、门库淤泥及石料清理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2.清理方式:人工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[工作内容]1.清理2.运输</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上下闸门走轮清洗、上油</w:t>
            </w:r>
          </w:p>
        </w:tc>
        <w:tc>
          <w:tcPr>
            <w:tcW w:w="330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1.上下闸门走轮清洗、上油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[工作内容]1.清洗2.上油</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sz w:val="18"/>
                <w:szCs w:val="18"/>
                <w:u w:val="none"/>
                <w:lang w:val="en-US" w:eastAsia="zh-CN"/>
              </w:rPr>
              <w:t>永久船闸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37" w:type="pct"/>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1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上闸门支撑木更换</w:t>
            </w:r>
          </w:p>
        </w:tc>
        <w:tc>
          <w:tcPr>
            <w:tcW w:w="330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1.支撑木拆除并浇筑混凝土；上闸门底支撑墩制作两个0.4m*0.4m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[工作内容]1.拆除2.运输</w:t>
            </w:r>
          </w:p>
        </w:tc>
        <w:tc>
          <w:tcPr>
            <w:tcW w:w="2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bl>
    <w:p>
      <w:pPr>
        <w:snapToGrid w:val="0"/>
        <w:spacing w:line="400" w:lineRule="exact"/>
        <w:ind w:firstLine="480" w:firstLineChars="200"/>
        <w:rPr>
          <w:rFonts w:hint="eastAsia" w:ascii="方正仿宋_GBK" w:hAnsi="宋体" w:eastAsia="方正仿宋_GBK"/>
          <w:sz w:val="24"/>
          <w:szCs w:val="24"/>
        </w:rPr>
      </w:pP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cs="Times New Roman"/>
          <w:b w:val="0"/>
          <w:kern w:val="2"/>
          <w:sz w:val="24"/>
          <w:szCs w:val="24"/>
          <w:lang w:val="en-US" w:eastAsia="zh-CN" w:bidi="ar-SA"/>
        </w:rPr>
        <w:t>说明：以上为估计量，以供应商现场踏勘时量取的实际面积为准。</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58" w:name="_Toc106034780"/>
      <w:bookmarkStart w:id="59" w:name="_Toc11439"/>
      <w:bookmarkStart w:id="60" w:name="_Toc2119"/>
      <w:bookmarkStart w:id="61" w:name="_Toc10723"/>
      <w:bookmarkStart w:id="62" w:name="_Toc65660340"/>
    </w:p>
    <w:p>
      <w:pPr>
        <w:pStyle w:val="3"/>
        <w:adjustRightInd w:val="0"/>
        <w:snapToGrid w:val="0"/>
        <w:spacing w:before="0" w:after="0" w:line="400" w:lineRule="exact"/>
        <w:ind w:firstLine="482" w:firstLineChars="200"/>
        <w:rPr>
          <w:rFonts w:hint="eastAsia" w:ascii="方正仿宋_GBK" w:hAnsi="宋体" w:eastAsia="方正仿宋_GBK"/>
          <w:sz w:val="24"/>
        </w:rPr>
      </w:pPr>
      <w:r>
        <w:rPr>
          <w:rFonts w:hint="eastAsia" w:ascii="方正仿宋_GBK" w:hAnsi="宋体" w:eastAsia="方正仿宋_GBK"/>
          <w:sz w:val="24"/>
        </w:rPr>
        <w:t>二、技术规格及质量要求</w:t>
      </w:r>
      <w:bookmarkEnd w:id="58"/>
      <w:bookmarkEnd w:id="59"/>
      <w:bookmarkEnd w:id="60"/>
      <w:bookmarkEnd w:id="61"/>
      <w:bookmarkEnd w:id="62"/>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1、施工期间，中标供应商需做好安全、环保措施，产生的废弃物按照环保规定处理，凡发生污染事件由中标供应商自行负责。</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注：以上要求均为实质性要求。</w:t>
      </w:r>
    </w:p>
    <w:p>
      <w:pPr>
        <w:rPr>
          <w:rFonts w:hint="eastAsia"/>
        </w:rPr>
      </w:pPr>
    </w:p>
    <w:p>
      <w:pPr>
        <w:jc w:val="center"/>
        <w:rPr>
          <w:rFonts w:hint="eastAsia"/>
          <w:b/>
        </w:rPr>
      </w:pPr>
    </w:p>
    <w:p>
      <w:pPr>
        <w:pStyle w:val="3"/>
        <w:spacing w:before="0" w:after="0" w:line="360" w:lineRule="auto"/>
        <w:jc w:val="center"/>
        <w:rPr>
          <w:rFonts w:hint="eastAsia" w:ascii="方正小标宋_GBK" w:eastAsia="方正小标宋_GBK"/>
          <w:b w:val="0"/>
          <w:sz w:val="36"/>
          <w:szCs w:val="30"/>
        </w:rPr>
      </w:pPr>
      <w:bookmarkStart w:id="63" w:name="_Toc13356"/>
      <w:bookmarkStart w:id="64" w:name="_Toc65660341"/>
      <w:bookmarkStart w:id="65" w:name="_Toc15492"/>
      <w:bookmarkStart w:id="66" w:name="_Toc523"/>
      <w:bookmarkStart w:id="67" w:name="_Toc106034781"/>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63"/>
      <w:bookmarkEnd w:id="64"/>
      <w:bookmarkEnd w:id="65"/>
      <w:bookmarkEnd w:id="66"/>
      <w:r>
        <w:rPr>
          <w:rFonts w:hint="eastAsia" w:ascii="方正小标宋_GBK" w:eastAsia="方正小标宋_GBK"/>
          <w:b w:val="0"/>
          <w:sz w:val="36"/>
          <w:szCs w:val="30"/>
        </w:rPr>
        <w:t>商务需求</w:t>
      </w:r>
      <w:bookmarkEnd w:id="67"/>
    </w:p>
    <w:p>
      <w:pPr>
        <w:pStyle w:val="3"/>
        <w:adjustRightInd w:val="0"/>
        <w:snapToGrid w:val="0"/>
        <w:spacing w:before="0" w:after="0" w:line="400" w:lineRule="exact"/>
        <w:ind w:firstLine="482" w:firstLineChars="200"/>
        <w:rPr>
          <w:rFonts w:ascii="方正仿宋_GBK" w:hAnsi="宋体" w:eastAsia="方正仿宋_GBK"/>
          <w:sz w:val="24"/>
        </w:rPr>
      </w:pPr>
      <w:bookmarkStart w:id="68" w:name="_Toc12935"/>
      <w:bookmarkStart w:id="69" w:name="_Toc13555"/>
      <w:bookmarkStart w:id="70" w:name="_Toc17750"/>
      <w:bookmarkStart w:id="71" w:name="_Toc106034782"/>
      <w:bookmarkStart w:id="72" w:name="_Toc65660342"/>
      <w:bookmarkStart w:id="73" w:name="_Toc342913389"/>
      <w:r>
        <w:rPr>
          <w:rFonts w:hint="eastAsia" w:ascii="方正仿宋_GBK" w:hAnsi="宋体" w:eastAsia="方正仿宋_GBK"/>
          <w:sz w:val="24"/>
        </w:rPr>
        <w:t>一、交货时间/服务期、地点及验收方式</w:t>
      </w:r>
      <w:bookmarkEnd w:id="68"/>
      <w:bookmarkEnd w:id="69"/>
      <w:bookmarkEnd w:id="70"/>
      <w:bookmarkEnd w:id="71"/>
      <w:bookmarkEnd w:id="72"/>
    </w:p>
    <w:p>
      <w:pPr>
        <w:pStyle w:val="33"/>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（一）交货时间/服务期：合同签订后</w:t>
      </w:r>
      <w:r>
        <w:rPr>
          <w:rFonts w:hint="eastAsia" w:ascii="方正仿宋_GBK" w:hAnsi="宋体" w:eastAsia="方正仿宋_GBK"/>
          <w:sz w:val="24"/>
          <w:szCs w:val="24"/>
          <w:lang w:val="en-US" w:eastAsia="zh-CN"/>
        </w:rPr>
        <w:t>15</w:t>
      </w:r>
      <w:r>
        <w:rPr>
          <w:rFonts w:hint="eastAsia" w:ascii="方正仿宋_GBK" w:hAnsi="宋体" w:eastAsia="方正仿宋_GBK"/>
          <w:sz w:val="24"/>
          <w:szCs w:val="24"/>
        </w:rPr>
        <w:t>个日历日交付使用。</w:t>
      </w:r>
    </w:p>
    <w:p>
      <w:pPr>
        <w:pStyle w:val="33"/>
        <w:spacing w:line="400" w:lineRule="exact"/>
        <w:ind w:firstLine="360" w:firstLineChars="150"/>
        <w:outlineLvl w:val="2"/>
        <w:rPr>
          <w:rFonts w:hint="default" w:ascii="方正仿宋_GBK" w:hAnsi="宋体" w:eastAsia="方正仿宋_GBK"/>
          <w:sz w:val="24"/>
          <w:szCs w:val="24"/>
          <w:lang w:val="en-US" w:eastAsia="zh-CN"/>
        </w:rPr>
      </w:pPr>
      <w:r>
        <w:rPr>
          <w:rFonts w:hint="eastAsia" w:ascii="方正仿宋_GBK" w:hAnsi="宋体" w:eastAsia="方正仿宋_GBK"/>
          <w:sz w:val="24"/>
          <w:szCs w:val="24"/>
        </w:rPr>
        <w:t>（二）交货/服务地点：</w:t>
      </w:r>
      <w:r>
        <w:rPr>
          <w:rFonts w:hint="eastAsia" w:ascii="方正仿宋_GBK" w:hAnsi="宋体" w:eastAsia="方正仿宋_GBK"/>
          <w:sz w:val="24"/>
          <w:szCs w:val="24"/>
          <w:lang w:val="en-US" w:eastAsia="zh-CN"/>
        </w:rPr>
        <w:t>关溅、中和、蒲吕、虎峰、永久船闸站</w:t>
      </w:r>
    </w:p>
    <w:p>
      <w:pPr>
        <w:pStyle w:val="3"/>
        <w:adjustRightInd w:val="0"/>
        <w:snapToGrid w:val="0"/>
        <w:spacing w:before="0" w:after="0" w:line="400" w:lineRule="exact"/>
        <w:ind w:firstLine="482" w:firstLineChars="200"/>
        <w:rPr>
          <w:rFonts w:hint="eastAsia" w:ascii="方正仿宋_GBK" w:hAnsi="宋体" w:eastAsia="方正仿宋_GBK"/>
          <w:sz w:val="24"/>
          <w:szCs w:val="24"/>
        </w:rPr>
      </w:pPr>
      <w:r>
        <w:rPr>
          <w:rFonts w:hint="eastAsia" w:ascii="方正仿宋_GBK" w:hAnsi="宋体" w:eastAsia="方正仿宋_GBK"/>
          <w:sz w:val="24"/>
          <w:szCs w:val="24"/>
        </w:rPr>
        <w:t>（三）验收方式：</w:t>
      </w:r>
    </w:p>
    <w:p>
      <w:pPr>
        <w:pStyle w:val="3"/>
        <w:adjustRightInd w:val="0"/>
        <w:snapToGrid w:val="0"/>
        <w:spacing w:before="0" w:after="0" w:line="400" w:lineRule="exact"/>
        <w:ind w:firstLine="480" w:firstLineChars="200"/>
        <w:rPr>
          <w:rFonts w:hint="eastAsia" w:ascii="方正仿宋_GBK" w:hAnsi="宋体" w:eastAsia="方正仿宋_GBK"/>
          <w:b w:val="0"/>
          <w:bCs/>
          <w:sz w:val="24"/>
        </w:rPr>
      </w:pPr>
      <w:r>
        <w:rPr>
          <w:rFonts w:hint="eastAsia" w:ascii="方正仿宋_GBK" w:hAnsi="宋体" w:eastAsia="方正仿宋_GBK"/>
          <w:b w:val="0"/>
          <w:bCs/>
          <w:sz w:val="24"/>
        </w:rPr>
        <w:t>1</w:t>
      </w:r>
      <w:r>
        <w:rPr>
          <w:rFonts w:hint="eastAsia" w:ascii="方正仿宋_GBK" w:hAnsi="宋体" w:eastAsia="方正仿宋_GBK"/>
          <w:b w:val="0"/>
          <w:bCs/>
          <w:sz w:val="24"/>
          <w:lang w:eastAsia="zh-CN"/>
        </w:rPr>
        <w:t>、</w:t>
      </w:r>
      <w:r>
        <w:rPr>
          <w:rFonts w:hint="eastAsia" w:ascii="方正仿宋_GBK" w:hAnsi="宋体" w:eastAsia="方正仿宋_GBK"/>
          <w:b w:val="0"/>
          <w:bCs/>
          <w:sz w:val="24"/>
        </w:rPr>
        <w:t>本项目为交钥匙工程，</w:t>
      </w:r>
      <w:r>
        <w:rPr>
          <w:rFonts w:hint="eastAsia" w:ascii="方正仿宋_GBK" w:hAnsi="宋体" w:eastAsia="方正仿宋_GBK"/>
          <w:b w:val="0"/>
          <w:bCs/>
          <w:sz w:val="24"/>
          <w:lang w:val="en-US" w:eastAsia="zh-CN"/>
        </w:rPr>
        <w:t>成交供应商</w:t>
      </w:r>
      <w:r>
        <w:rPr>
          <w:rFonts w:hint="eastAsia" w:ascii="方正仿宋_GBK" w:hAnsi="宋体" w:eastAsia="方正仿宋_GBK"/>
          <w:b w:val="0"/>
          <w:bCs/>
          <w:sz w:val="24"/>
        </w:rPr>
        <w:t>须负责完成</w:t>
      </w:r>
      <w:r>
        <w:rPr>
          <w:rFonts w:hint="eastAsia" w:ascii="方正仿宋_GBK" w:hAnsi="宋体" w:eastAsia="方正仿宋_GBK"/>
          <w:b w:val="0"/>
          <w:bCs/>
          <w:sz w:val="24"/>
          <w:lang w:val="en-US" w:eastAsia="zh-CN"/>
        </w:rPr>
        <w:t>工程清单内所有项目的施工</w:t>
      </w:r>
      <w:r>
        <w:rPr>
          <w:rFonts w:hint="eastAsia" w:ascii="方正仿宋_GBK" w:hAnsi="宋体" w:eastAsia="方正仿宋_GBK"/>
          <w:b w:val="0"/>
          <w:bCs/>
          <w:sz w:val="24"/>
        </w:rPr>
        <w:t>，提供厂家售后服务承诺</w:t>
      </w:r>
      <w:r>
        <w:rPr>
          <w:rFonts w:hint="eastAsia" w:ascii="方正仿宋_GBK" w:hAnsi="宋体" w:eastAsia="方正仿宋_GBK"/>
          <w:b w:val="0"/>
          <w:bCs/>
          <w:sz w:val="24"/>
          <w:lang w:val="en-US" w:eastAsia="zh-CN"/>
        </w:rPr>
        <w:t>函</w:t>
      </w:r>
      <w:r>
        <w:rPr>
          <w:rFonts w:hint="eastAsia" w:ascii="方正仿宋_GBK" w:hAnsi="宋体" w:eastAsia="方正仿宋_GBK"/>
          <w:b w:val="0"/>
          <w:bCs/>
          <w:sz w:val="24"/>
          <w:lang w:eastAsia="zh-CN"/>
        </w:rPr>
        <w:t>，</w:t>
      </w:r>
      <w:r>
        <w:rPr>
          <w:rFonts w:hint="eastAsia" w:ascii="方正仿宋_GBK" w:hAnsi="宋体" w:eastAsia="方正仿宋_GBK"/>
          <w:b w:val="0"/>
          <w:bCs/>
          <w:sz w:val="24"/>
          <w:lang w:val="en-US" w:eastAsia="zh-CN"/>
        </w:rPr>
        <w:t>采购人</w:t>
      </w:r>
      <w:r>
        <w:rPr>
          <w:rFonts w:hint="eastAsia" w:ascii="方正仿宋_GBK" w:hAnsi="宋体" w:eastAsia="方正仿宋_GBK"/>
          <w:b w:val="0"/>
          <w:bCs/>
          <w:sz w:val="24"/>
        </w:rPr>
        <w:t>参照询价项目内容及要求进行验收。</w:t>
      </w:r>
    </w:p>
    <w:p>
      <w:pPr>
        <w:pStyle w:val="3"/>
        <w:adjustRightInd w:val="0"/>
        <w:snapToGrid w:val="0"/>
        <w:spacing w:before="0" w:after="0" w:line="400" w:lineRule="exact"/>
        <w:ind w:firstLine="480" w:firstLineChars="200"/>
        <w:rPr>
          <w:rFonts w:hint="eastAsia" w:ascii="方正仿宋_GBK" w:hAnsi="宋体" w:eastAsia="方正仿宋_GBK"/>
          <w:b w:val="0"/>
          <w:bCs/>
          <w:sz w:val="24"/>
        </w:rPr>
      </w:pPr>
      <w:r>
        <w:rPr>
          <w:rFonts w:hint="eastAsia" w:ascii="方正仿宋_GBK" w:hAnsi="宋体" w:eastAsia="方正仿宋_GBK"/>
          <w:b w:val="0"/>
          <w:bCs/>
          <w:sz w:val="24"/>
        </w:rPr>
        <w:t>2</w:t>
      </w:r>
      <w:r>
        <w:rPr>
          <w:rFonts w:hint="eastAsia" w:ascii="方正仿宋_GBK" w:hAnsi="宋体" w:eastAsia="方正仿宋_GBK"/>
          <w:b w:val="0"/>
          <w:bCs/>
          <w:sz w:val="24"/>
          <w:lang w:eastAsia="zh-CN"/>
        </w:rPr>
        <w:t>、</w:t>
      </w:r>
      <w:r>
        <w:rPr>
          <w:rFonts w:hint="eastAsia" w:ascii="方正仿宋_GBK" w:hAnsi="宋体" w:eastAsia="方正仿宋_GBK"/>
          <w:b w:val="0"/>
          <w:bCs/>
          <w:sz w:val="24"/>
        </w:rPr>
        <w:t>竣工验收程序：</w:t>
      </w:r>
      <w:r>
        <w:rPr>
          <w:rFonts w:hint="eastAsia" w:ascii="方正仿宋_GBK" w:hAnsi="宋体" w:eastAsia="方正仿宋_GBK"/>
          <w:b w:val="0"/>
          <w:bCs/>
          <w:sz w:val="24"/>
          <w:lang w:val="en-US" w:eastAsia="zh-CN"/>
        </w:rPr>
        <w:t>采购人</w:t>
      </w:r>
      <w:r>
        <w:rPr>
          <w:rFonts w:hint="eastAsia" w:ascii="方正仿宋_GBK" w:hAnsi="宋体" w:eastAsia="方正仿宋_GBK"/>
          <w:b w:val="0"/>
          <w:bCs/>
          <w:sz w:val="24"/>
        </w:rPr>
        <w:t>收到竣工验收报告后15天内组织有关单位验收，并在验收后15天内给予认可或提出整改意见。</w:t>
      </w:r>
      <w:r>
        <w:rPr>
          <w:rFonts w:hint="eastAsia" w:ascii="方正仿宋_GBK" w:hAnsi="宋体" w:eastAsia="方正仿宋_GBK"/>
          <w:b w:val="0"/>
          <w:bCs/>
          <w:sz w:val="24"/>
          <w:lang w:val="en-US" w:eastAsia="zh-CN"/>
        </w:rPr>
        <w:t>成交供应商</w:t>
      </w:r>
      <w:r>
        <w:rPr>
          <w:rFonts w:hint="eastAsia" w:ascii="方正仿宋_GBK" w:hAnsi="宋体" w:eastAsia="方正仿宋_GBK"/>
          <w:b w:val="0"/>
          <w:bCs/>
          <w:sz w:val="24"/>
        </w:rPr>
        <w:t>按要求整改，并承担由自身原因造成整改的费用。</w:t>
      </w:r>
    </w:p>
    <w:p>
      <w:pPr>
        <w:pStyle w:val="3"/>
        <w:adjustRightInd w:val="0"/>
        <w:snapToGrid w:val="0"/>
        <w:spacing w:before="0" w:after="0" w:line="400" w:lineRule="exact"/>
        <w:ind w:firstLine="480" w:firstLineChars="200"/>
        <w:rPr>
          <w:rFonts w:hint="eastAsia" w:ascii="方正仿宋_GBK" w:hAnsi="宋体" w:eastAsia="方正仿宋_GBK"/>
          <w:b w:val="0"/>
          <w:bCs/>
          <w:sz w:val="24"/>
        </w:rPr>
      </w:pPr>
      <w:r>
        <w:rPr>
          <w:rFonts w:hint="eastAsia" w:ascii="方正仿宋_GBK" w:hAnsi="宋体" w:eastAsia="方正仿宋_GBK"/>
          <w:b w:val="0"/>
          <w:bCs/>
          <w:sz w:val="24"/>
        </w:rPr>
        <w:t>3</w:t>
      </w:r>
      <w:r>
        <w:rPr>
          <w:rFonts w:hint="eastAsia" w:ascii="方正仿宋_GBK" w:hAnsi="宋体" w:eastAsia="方正仿宋_GBK"/>
          <w:b w:val="0"/>
          <w:bCs/>
          <w:sz w:val="24"/>
          <w:lang w:eastAsia="zh-CN"/>
        </w:rPr>
        <w:t>、</w:t>
      </w:r>
      <w:r>
        <w:rPr>
          <w:rFonts w:hint="eastAsia" w:ascii="方正仿宋_GBK" w:hAnsi="宋体" w:eastAsia="方正仿宋_GBK"/>
          <w:b w:val="0"/>
          <w:bCs/>
          <w:sz w:val="24"/>
        </w:rPr>
        <w:t>验收合格后供应商在应在30天内办理结算手续，逾期给</w:t>
      </w:r>
      <w:r>
        <w:rPr>
          <w:rFonts w:hint="eastAsia" w:ascii="方正仿宋_GBK" w:hAnsi="宋体" w:eastAsia="方正仿宋_GBK"/>
          <w:b w:val="0"/>
          <w:bCs/>
          <w:sz w:val="24"/>
          <w:lang w:val="en-US" w:eastAsia="zh-CN"/>
        </w:rPr>
        <w:t>采购人</w:t>
      </w:r>
      <w:r>
        <w:rPr>
          <w:rFonts w:hint="eastAsia" w:ascii="方正仿宋_GBK" w:hAnsi="宋体" w:eastAsia="方正仿宋_GBK"/>
          <w:b w:val="0"/>
          <w:bCs/>
          <w:sz w:val="24"/>
        </w:rPr>
        <w:t>造成的损失由</w:t>
      </w:r>
      <w:r>
        <w:rPr>
          <w:rFonts w:hint="eastAsia" w:ascii="方正仿宋_GBK" w:hAnsi="宋体" w:eastAsia="方正仿宋_GBK"/>
          <w:b w:val="0"/>
          <w:bCs/>
          <w:sz w:val="24"/>
          <w:lang w:val="en-US" w:eastAsia="zh-CN"/>
        </w:rPr>
        <w:t>成交</w:t>
      </w:r>
      <w:r>
        <w:rPr>
          <w:rFonts w:hint="eastAsia" w:ascii="方正仿宋_GBK" w:hAnsi="宋体" w:eastAsia="方正仿宋_GBK"/>
          <w:b w:val="0"/>
          <w:bCs/>
          <w:sz w:val="24"/>
        </w:rPr>
        <w:t>供应商承担。</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74" w:name="_Toc106034783"/>
      <w:bookmarkStart w:id="75" w:name="_Toc8103"/>
      <w:bookmarkStart w:id="76" w:name="_Toc65660343"/>
      <w:bookmarkStart w:id="77" w:name="_Toc24110"/>
      <w:bookmarkStart w:id="78" w:name="_Toc1838"/>
      <w:r>
        <w:rPr>
          <w:rFonts w:hint="eastAsia" w:ascii="方正仿宋_GBK" w:hAnsi="宋体" w:eastAsia="方正仿宋_GBK"/>
          <w:sz w:val="24"/>
        </w:rPr>
        <w:t>二、质量保证</w:t>
      </w:r>
      <w:bookmarkEnd w:id="74"/>
      <w:bookmarkEnd w:id="75"/>
      <w:bookmarkEnd w:id="76"/>
      <w:bookmarkEnd w:id="77"/>
      <w:bookmarkEnd w:id="78"/>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质量要求：达到国家现行有关</w:t>
      </w:r>
      <w:r>
        <w:rPr>
          <w:rFonts w:hint="eastAsia" w:ascii="方正仿宋_GBK" w:hAnsi="宋体" w:eastAsia="方正仿宋_GBK"/>
          <w:sz w:val="24"/>
          <w:szCs w:val="24"/>
          <w:lang w:val="en-US" w:eastAsia="zh-CN"/>
        </w:rPr>
        <w:t>行业</w:t>
      </w:r>
      <w:r>
        <w:rPr>
          <w:rFonts w:hint="eastAsia" w:ascii="方正仿宋_GBK" w:hAnsi="宋体" w:eastAsia="方正仿宋_GBK"/>
          <w:sz w:val="24"/>
          <w:szCs w:val="24"/>
        </w:rPr>
        <w:t>质量验收规范要求，并达到合格标准。</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79" w:name="_Toc122"/>
      <w:bookmarkStart w:id="80" w:name="_Toc16974"/>
      <w:bookmarkStart w:id="81" w:name="_Toc65660344"/>
      <w:bookmarkStart w:id="82" w:name="_Toc12184"/>
      <w:bookmarkStart w:id="83" w:name="_Toc106034784"/>
      <w:r>
        <w:rPr>
          <w:rFonts w:hint="eastAsia" w:ascii="方正仿宋_GBK" w:hAnsi="宋体" w:eastAsia="方正仿宋_GBK"/>
          <w:sz w:val="24"/>
        </w:rPr>
        <w:t>三、报价要求</w:t>
      </w:r>
      <w:bookmarkEnd w:id="79"/>
      <w:bookmarkEnd w:id="80"/>
      <w:bookmarkEnd w:id="81"/>
      <w:bookmarkEnd w:id="82"/>
      <w:bookmarkEnd w:id="83"/>
    </w:p>
    <w:p>
      <w:pPr>
        <w:adjustRightInd w:val="0"/>
        <w:snapToGrid w:val="0"/>
        <w:spacing w:line="400" w:lineRule="exact"/>
        <w:ind w:firstLine="480" w:firstLineChars="200"/>
        <w:jc w:val="left"/>
        <w:rPr>
          <w:rFonts w:hint="eastAsia" w:ascii="方正仿宋_GBK" w:hAnsi="方正仿宋_GBK" w:eastAsia="方正仿宋_GBK" w:cs="方正仿宋_GBK"/>
          <w:kern w:val="0"/>
          <w:sz w:val="24"/>
          <w:szCs w:val="24"/>
          <w:lang w:val="zh-TW"/>
        </w:rPr>
      </w:pPr>
      <w:r>
        <w:rPr>
          <w:rFonts w:hint="eastAsia" w:ascii="方正仿宋_GBK" w:hAnsi="方正仿宋_GBK" w:eastAsia="方正仿宋_GBK" w:cs="方正仿宋_GBK"/>
          <w:kern w:val="0"/>
          <w:sz w:val="24"/>
          <w:szCs w:val="24"/>
          <w:lang w:val="zh-TW"/>
        </w:rPr>
        <w:t>本次项目为总价包干，供应商应充分考虑项目的施工条件、施工难度、材料转运等因素对工程费用的影响，供应商的报价应包括本项目的直接费、间接费、施工设备、劳务、管理、材料、水、电、二次转运、利润、税金及政策性文件规定的完成本工程所需的全部费用。未明列需求的，由供应商自行计算。因供应商自身原因造成漏报、少报皆由其自行承担责任，采购人不再补偿。</w:t>
      </w:r>
    </w:p>
    <w:p>
      <w:pPr>
        <w:pStyle w:val="3"/>
        <w:numPr>
          <w:ilvl w:val="0"/>
          <w:numId w:val="14"/>
        </w:numPr>
        <w:adjustRightInd w:val="0"/>
        <w:snapToGrid w:val="0"/>
        <w:spacing w:before="0" w:after="0" w:line="400" w:lineRule="exact"/>
        <w:ind w:firstLine="482" w:firstLineChars="200"/>
        <w:rPr>
          <w:rFonts w:hint="eastAsia" w:ascii="方正仿宋_GBK" w:hAnsi="宋体" w:eastAsia="方正仿宋_GBK"/>
          <w:sz w:val="24"/>
        </w:rPr>
      </w:pPr>
      <w:bookmarkStart w:id="84" w:name="_Toc7562"/>
      <w:bookmarkStart w:id="85" w:name="_Toc106034785"/>
      <w:bookmarkStart w:id="86" w:name="_Toc9192"/>
      <w:bookmarkStart w:id="87" w:name="_Toc11000"/>
      <w:bookmarkStart w:id="88" w:name="_Toc65660345"/>
      <w:r>
        <w:rPr>
          <w:rFonts w:hint="eastAsia" w:ascii="方正仿宋_GBK" w:hAnsi="宋体" w:eastAsia="方正仿宋_GBK"/>
          <w:sz w:val="24"/>
        </w:rPr>
        <w:t>付款方式</w:t>
      </w:r>
      <w:bookmarkEnd w:id="84"/>
      <w:bookmarkEnd w:id="85"/>
      <w:bookmarkEnd w:id="86"/>
      <w:bookmarkEnd w:id="87"/>
      <w:bookmarkEnd w:id="88"/>
    </w:p>
    <w:p>
      <w:pPr>
        <w:snapToGrid w:val="0"/>
        <w:spacing w:line="400" w:lineRule="exact"/>
        <w:ind w:firstLine="480" w:firstLineChars="200"/>
        <w:rPr>
          <w:rFonts w:hint="eastAsia" w:ascii="方正仿宋_GBK" w:hAnsi="宋体" w:eastAsia="方正仿宋_GBK" w:cs="Times New Roman"/>
          <w:kern w:val="2"/>
          <w:sz w:val="24"/>
          <w:szCs w:val="24"/>
        </w:rPr>
      </w:pPr>
      <w:r>
        <w:rPr>
          <w:rFonts w:hint="eastAsia" w:ascii="方正仿宋_GBK" w:hAnsi="宋体" w:eastAsia="方正仿宋_GBK"/>
          <w:color w:val="auto"/>
          <w:sz w:val="24"/>
          <w:szCs w:val="24"/>
          <w:lang w:val="en-US" w:eastAsia="zh-CN"/>
        </w:rPr>
        <w:t>本次项目完成后</w:t>
      </w:r>
      <w:r>
        <w:rPr>
          <w:rFonts w:hint="eastAsia" w:ascii="方正仿宋_GBK" w:hAnsi="宋体" w:eastAsia="方正仿宋_GBK" w:cs="Times New Roman"/>
          <w:i w:val="0"/>
          <w:iCs w:val="0"/>
          <w:caps w:val="0"/>
          <w:color w:val="auto"/>
          <w:spacing w:val="0"/>
          <w:sz w:val="24"/>
          <w:szCs w:val="24"/>
        </w:rPr>
        <w:t>，供应商提供正式发票，</w:t>
      </w:r>
      <w:r>
        <w:rPr>
          <w:rFonts w:hint="eastAsia" w:ascii="方正仿宋_GBK" w:hAnsi="宋体" w:eastAsia="方正仿宋_GBK" w:cs="Times New Roman"/>
          <w:i w:val="0"/>
          <w:iCs w:val="0"/>
          <w:caps w:val="0"/>
          <w:spacing w:val="0"/>
          <w:sz w:val="24"/>
          <w:szCs w:val="24"/>
          <w:lang w:val="zh-TW"/>
        </w:rPr>
        <w:t>采</w:t>
      </w:r>
      <w:r>
        <w:rPr>
          <w:rFonts w:hint="eastAsia" w:ascii="方正仿宋_GBK" w:hAnsi="宋体" w:eastAsia="方正仿宋_GBK" w:cs="Times New Roman"/>
          <w:i w:val="0"/>
          <w:iCs w:val="0"/>
          <w:caps w:val="0"/>
          <w:spacing w:val="0"/>
          <w:sz w:val="24"/>
          <w:szCs w:val="24"/>
        </w:rPr>
        <w:t>购人</w:t>
      </w:r>
      <w:r>
        <w:rPr>
          <w:rFonts w:hint="eastAsia" w:ascii="方正仿宋_GBK" w:hAnsi="宋体" w:eastAsia="方正仿宋_GBK" w:cs="Times New Roman"/>
          <w:i w:val="0"/>
          <w:iCs w:val="0"/>
          <w:caps w:val="0"/>
          <w:spacing w:val="0"/>
          <w:sz w:val="24"/>
          <w:szCs w:val="24"/>
          <w:lang w:val="en-US" w:eastAsia="zh-CN"/>
        </w:rPr>
        <w:t>运行</w:t>
      </w:r>
      <w:r>
        <w:rPr>
          <w:rFonts w:hint="eastAsia" w:ascii="方正仿宋_GBK" w:hAnsi="宋体" w:eastAsia="方正仿宋_GBK" w:cs="Times New Roman"/>
          <w:i w:val="0"/>
          <w:iCs w:val="0"/>
          <w:caps w:val="0"/>
          <w:spacing w:val="0"/>
          <w:sz w:val="24"/>
          <w:szCs w:val="24"/>
        </w:rPr>
        <w:t>验收合格后</w:t>
      </w:r>
      <w:r>
        <w:rPr>
          <w:rFonts w:hint="eastAsia" w:ascii="方正仿宋_GBK" w:hAnsi="宋体" w:eastAsia="方正仿宋_GBK" w:cs="Times New Roman"/>
          <w:i w:val="0"/>
          <w:iCs w:val="0"/>
          <w:caps w:val="0"/>
          <w:spacing w:val="0"/>
          <w:sz w:val="24"/>
          <w:szCs w:val="24"/>
          <w:lang w:eastAsia="zh-CN"/>
        </w:rPr>
        <w:t>，</w:t>
      </w:r>
      <w:r>
        <w:rPr>
          <w:rFonts w:hint="eastAsia" w:ascii="方正仿宋_GBK" w:hAnsi="宋体" w:eastAsia="方正仿宋_GBK" w:cs="Times New Roman"/>
          <w:i w:val="0"/>
          <w:iCs w:val="0"/>
          <w:caps w:val="0"/>
          <w:spacing w:val="0"/>
          <w:sz w:val="24"/>
          <w:szCs w:val="24"/>
          <w:lang w:val="en-US" w:eastAsia="zh-CN"/>
        </w:rPr>
        <w:t>采购人一次性支付</w:t>
      </w:r>
      <w:r>
        <w:rPr>
          <w:rFonts w:hint="eastAsia" w:ascii="方正仿宋_GBK" w:hAnsi="宋体" w:eastAsia="方正仿宋_GBK" w:cs="Times New Roman"/>
          <w:i w:val="0"/>
          <w:iCs w:val="0"/>
          <w:caps w:val="0"/>
          <w:color w:val="auto"/>
          <w:spacing w:val="0"/>
          <w:sz w:val="24"/>
          <w:szCs w:val="24"/>
        </w:rPr>
        <w:t>。</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89" w:name="_Toc3786"/>
      <w:bookmarkStart w:id="90" w:name="_Toc106034786"/>
      <w:bookmarkStart w:id="91" w:name="_Toc24751"/>
      <w:bookmarkStart w:id="92" w:name="_Toc7228"/>
      <w:bookmarkStart w:id="93" w:name="_Toc65660346"/>
      <w:r>
        <w:rPr>
          <w:rFonts w:hint="eastAsia" w:ascii="方正仿宋_GBK" w:hAnsi="宋体" w:eastAsia="方正仿宋_GBK"/>
          <w:sz w:val="24"/>
        </w:rPr>
        <w:t>五、知识产权</w:t>
      </w:r>
      <w:bookmarkEnd w:id="89"/>
      <w:bookmarkEnd w:id="90"/>
      <w:bookmarkEnd w:id="91"/>
      <w:bookmarkEnd w:id="92"/>
      <w:bookmarkEnd w:id="93"/>
    </w:p>
    <w:p>
      <w:pPr>
        <w:snapToGrid w:val="0"/>
        <w:spacing w:line="400" w:lineRule="exact"/>
        <w:ind w:firstLine="540"/>
        <w:rPr>
          <w:rFonts w:hint="eastAsia" w:ascii="方正仿宋_GBK" w:hAnsi="宋体" w:eastAsia="方正仿宋_GBK"/>
          <w:sz w:val="24"/>
          <w:szCs w:val="24"/>
        </w:rPr>
      </w:pPr>
      <w:r>
        <w:rPr>
          <w:rFonts w:hint="eastAsia" w:ascii="方正仿宋_GBK" w:hAnsi="宋体" w:eastAsia="方正仿宋_GBK"/>
          <w:sz w:val="24"/>
          <w:szCs w:val="24"/>
        </w:rPr>
        <w:t>本项目知识产权归采购人所有。</w:t>
      </w:r>
    </w:p>
    <w:p>
      <w:pPr>
        <w:snapToGrid w:val="0"/>
        <w:spacing w:line="400" w:lineRule="exact"/>
        <w:ind w:firstLine="540"/>
        <w:rPr>
          <w:rFonts w:hint="eastAsia" w:ascii="方正仿宋_GBK" w:hAnsi="宋体" w:eastAsia="方正仿宋_GBK"/>
          <w:sz w:val="24"/>
          <w:szCs w:val="24"/>
        </w:rPr>
      </w:pPr>
      <w:r>
        <w:rPr>
          <w:rFonts w:hint="eastAsia" w:ascii="方正仿宋_GBK" w:hAnsi="宋体" w:eastAsia="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94" w:name="_Toc106034787"/>
      <w:bookmarkStart w:id="95" w:name="_Toc65660347"/>
      <w:bookmarkStart w:id="96" w:name="_Toc6869"/>
      <w:bookmarkStart w:id="97" w:name="_Toc5555"/>
      <w:bookmarkStart w:id="98" w:name="_Toc6565"/>
      <w:r>
        <w:rPr>
          <w:rFonts w:hint="eastAsia" w:ascii="方正仿宋_GBK" w:hAnsi="宋体" w:eastAsia="方正仿宋_GBK"/>
          <w:sz w:val="24"/>
        </w:rPr>
        <w:t>六、培训</w:t>
      </w:r>
      <w:bookmarkEnd w:id="94"/>
      <w:bookmarkEnd w:id="95"/>
      <w:bookmarkEnd w:id="96"/>
      <w:bookmarkEnd w:id="97"/>
      <w:bookmarkEnd w:id="98"/>
    </w:p>
    <w:p>
      <w:pPr>
        <w:snapToGrid w:val="0"/>
        <w:spacing w:line="400" w:lineRule="exact"/>
        <w:ind w:firstLine="540"/>
        <w:rPr>
          <w:rFonts w:hint="eastAsia" w:ascii="方正仿宋_GBK" w:hAnsi="宋体" w:eastAsia="方正仿宋_GBK"/>
          <w:sz w:val="24"/>
          <w:szCs w:val="24"/>
        </w:rPr>
      </w:pPr>
      <w:r>
        <w:rPr>
          <w:rFonts w:hint="eastAsia" w:ascii="方正仿宋_GBK" w:hAnsi="宋体" w:eastAsia="方正仿宋_GBK"/>
          <w:sz w:val="24"/>
          <w:szCs w:val="24"/>
        </w:rPr>
        <w:t>成交供应商须提供对设备的操作培训，使相关使用人员能够正常操作相关设备。</w:t>
      </w:r>
    </w:p>
    <w:p>
      <w:pPr>
        <w:pStyle w:val="3"/>
        <w:adjustRightInd w:val="0"/>
        <w:snapToGrid w:val="0"/>
        <w:spacing w:before="0" w:after="0" w:line="400" w:lineRule="exact"/>
        <w:ind w:firstLine="482" w:firstLineChars="200"/>
        <w:jc w:val="left"/>
        <w:rPr>
          <w:rFonts w:hint="eastAsia" w:ascii="方正仿宋_GBK" w:hAnsi="方正仿宋_GBK" w:eastAsia="方正仿宋_GBK" w:cs="方正仿宋_GBK"/>
          <w:sz w:val="24"/>
        </w:rPr>
      </w:pPr>
      <w:bookmarkStart w:id="99" w:name="_Toc31910"/>
      <w:bookmarkStart w:id="100" w:name="_Toc947"/>
      <w:bookmarkStart w:id="101" w:name="_Toc25707"/>
      <w:bookmarkStart w:id="102" w:name="_Toc18104"/>
      <w:bookmarkStart w:id="103" w:name="_Toc108013105"/>
      <w:bookmarkStart w:id="104" w:name="_Toc19427"/>
      <w:bookmarkStart w:id="105" w:name="_Toc466546918"/>
      <w:bookmarkStart w:id="106" w:name="_Toc2954"/>
      <w:bookmarkStart w:id="107" w:name="_Toc23902"/>
      <w:bookmarkStart w:id="108" w:name="_Toc106034788"/>
      <w:bookmarkStart w:id="109" w:name="_Toc31659"/>
      <w:bookmarkStart w:id="110" w:name="_Toc65660348"/>
      <w:bookmarkStart w:id="111" w:name="_Toc21248"/>
      <w:r>
        <w:rPr>
          <w:rFonts w:hint="eastAsia" w:ascii="方正仿宋_GBK" w:hAnsi="方正仿宋_GBK" w:eastAsia="方正仿宋_GBK" w:cs="方正仿宋_GBK"/>
          <w:sz w:val="24"/>
        </w:rPr>
        <w:t>七、项目风险管控</w:t>
      </w:r>
      <w:bookmarkEnd w:id="99"/>
      <w:bookmarkEnd w:id="100"/>
      <w:bookmarkEnd w:id="101"/>
      <w:bookmarkEnd w:id="102"/>
      <w:bookmarkEnd w:id="103"/>
      <w:bookmarkEnd w:id="104"/>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bookmarkStart w:id="112"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105"/>
      <w:bookmarkEnd w:id="106"/>
      <w:bookmarkEnd w:id="112"/>
    </w:p>
    <w:p>
      <w:pPr>
        <w:pStyle w:val="3"/>
        <w:adjustRightInd w:val="0"/>
        <w:snapToGrid w:val="0"/>
        <w:spacing w:before="0" w:after="0" w:line="400" w:lineRule="exact"/>
        <w:ind w:firstLine="482" w:firstLineChars="200"/>
        <w:rPr>
          <w:rFonts w:hint="eastAsia" w:ascii="方正仿宋_GBK" w:hAnsi="方正仿宋_GBK" w:eastAsia="方正仿宋_GBK" w:cs="方正仿宋_GBK"/>
          <w:sz w:val="24"/>
          <w:lang w:eastAsia="zh-CN"/>
        </w:rPr>
      </w:pPr>
      <w:r>
        <w:rPr>
          <w:rFonts w:hint="eastAsia" w:ascii="方正仿宋_GBK" w:hAnsi="宋体" w:eastAsia="方正仿宋_GBK"/>
          <w:sz w:val="24"/>
          <w:lang w:eastAsia="zh-CN"/>
        </w:rPr>
        <w:t>八、</w:t>
      </w:r>
      <w:r>
        <w:rPr>
          <w:rFonts w:hint="eastAsia" w:ascii="方正仿宋_GBK" w:hAnsi="方正仿宋_GBK" w:eastAsia="方正仿宋_GBK" w:cs="方正仿宋_GBK"/>
          <w:sz w:val="24"/>
        </w:rPr>
        <w:t>违约责任</w:t>
      </w:r>
    </w:p>
    <w:p>
      <w:pPr>
        <w:adjustRightInd w:val="0"/>
        <w:snapToGrid w:val="0"/>
        <w:spacing w:before="0" w:after="0" w:line="400" w:lineRule="exact"/>
        <w:ind w:firstLine="480" w:firstLineChars="200"/>
        <w:jc w:val="left"/>
        <w:rPr>
          <w:rFonts w:hint="eastAsia" w:ascii="方正仿宋_GBK" w:hAnsi="宋体" w:eastAsia="方正仿宋_GBK"/>
          <w:b w:val="0"/>
          <w:bCs/>
          <w:sz w:val="24"/>
          <w:lang w:eastAsia="zh-CN"/>
        </w:rPr>
      </w:pPr>
      <w:r>
        <w:rPr>
          <w:rFonts w:hint="eastAsia" w:ascii="方正仿宋_GBK" w:hAnsi="方正仿宋_GBK" w:eastAsia="方正仿宋_GBK" w:cs="方正仿宋_GBK"/>
          <w:color w:val="FF0000"/>
          <w:sz w:val="24"/>
          <w:szCs w:val="24"/>
          <w:lang w:val="en-US" w:eastAsia="zh-CN"/>
        </w:rPr>
        <w:t xml:space="preserve"> </w:t>
      </w:r>
      <w:r>
        <w:rPr>
          <w:rFonts w:hint="eastAsia" w:ascii="方正仿宋_GBK" w:hAnsi="宋体" w:eastAsia="方正仿宋_GBK"/>
          <w:b w:val="0"/>
          <w:bCs/>
          <w:sz w:val="24"/>
          <w:lang w:eastAsia="zh-CN"/>
        </w:rPr>
        <w:t>1、</w:t>
      </w:r>
      <w:r>
        <w:rPr>
          <w:rFonts w:hint="eastAsia" w:ascii="方正仿宋_GBK" w:hAnsi="宋体" w:eastAsia="方正仿宋_GBK"/>
          <w:b w:val="0"/>
          <w:bCs/>
          <w:sz w:val="24"/>
          <w:lang w:val="en-US" w:eastAsia="zh-CN"/>
        </w:rPr>
        <w:t>由于成交供应商原因导致项目超出约定工期的，每迟交一天,按200元/日扣除成交供应商违约金，累计违约金上限为签约合同价的10%，逾期满【30】日的，采购人有权解除合同，成交供应商应赔偿给采购人造成的损失，并自行承担相关费用。</w:t>
      </w:r>
    </w:p>
    <w:p>
      <w:pPr>
        <w:pStyle w:val="3"/>
        <w:adjustRightInd w:val="0"/>
        <w:snapToGrid w:val="0"/>
        <w:spacing w:before="0" w:after="0" w:line="400" w:lineRule="exact"/>
        <w:ind w:firstLine="480" w:firstLineChars="200"/>
        <w:rPr>
          <w:rFonts w:hint="eastAsia" w:ascii="方正仿宋_GBK" w:hAnsi="宋体" w:eastAsia="方正仿宋_GBK"/>
          <w:b w:val="0"/>
          <w:bCs/>
          <w:sz w:val="24"/>
          <w:lang w:eastAsia="zh-CN"/>
        </w:rPr>
      </w:pPr>
      <w:r>
        <w:rPr>
          <w:rFonts w:hint="eastAsia" w:ascii="方正仿宋_GBK" w:hAnsi="宋体" w:eastAsia="方正仿宋_GBK"/>
          <w:b w:val="0"/>
          <w:bCs/>
          <w:sz w:val="24"/>
          <w:lang w:eastAsia="zh-CN"/>
        </w:rPr>
        <w:t>2、</w:t>
      </w:r>
      <w:r>
        <w:rPr>
          <w:rFonts w:hint="eastAsia" w:ascii="方正仿宋_GBK" w:hAnsi="宋体" w:eastAsia="方正仿宋_GBK"/>
          <w:b w:val="0"/>
          <w:bCs/>
          <w:sz w:val="24"/>
          <w:lang w:val="en-US" w:eastAsia="zh-CN"/>
        </w:rPr>
        <w:t>成交供应商实施项目未达到本项目要求的，成交供应商应及时予以整改。成交供应商未及时整改或者整改后仍不符合要求的，采购人有权扣除履约保证金、解除合同，成交供应商自行承担相关费用。</w:t>
      </w:r>
    </w:p>
    <w:p>
      <w:pPr>
        <w:pStyle w:val="3"/>
        <w:adjustRightInd w:val="0"/>
        <w:snapToGrid w:val="0"/>
        <w:spacing w:before="0" w:after="0" w:line="400" w:lineRule="exact"/>
        <w:ind w:firstLine="480" w:firstLineChars="200"/>
        <w:rPr>
          <w:rFonts w:hint="eastAsia" w:ascii="方正仿宋_GBK" w:hAnsi="宋体" w:eastAsia="方正仿宋_GBK"/>
          <w:b w:val="0"/>
          <w:bCs/>
          <w:sz w:val="24"/>
          <w:lang w:eastAsia="zh-CN"/>
        </w:rPr>
      </w:pPr>
      <w:r>
        <w:rPr>
          <w:rFonts w:hint="eastAsia" w:ascii="方正仿宋_GBK" w:hAnsi="宋体" w:eastAsia="方正仿宋_GBK"/>
          <w:b w:val="0"/>
          <w:bCs/>
          <w:sz w:val="24"/>
          <w:lang w:eastAsia="zh-CN"/>
        </w:rPr>
        <w:t>3、</w:t>
      </w:r>
      <w:r>
        <w:rPr>
          <w:rFonts w:hint="eastAsia" w:ascii="方正仿宋_GBK" w:hAnsi="宋体" w:eastAsia="方正仿宋_GBK"/>
          <w:b w:val="0"/>
          <w:bCs/>
          <w:sz w:val="24"/>
          <w:lang w:val="en-US" w:eastAsia="zh-CN"/>
        </w:rPr>
        <w:t>成交供应商违反项目合同和采购文件约定的有关质量保证及售后服务的，采购人有权委托第三方进行保修，所产生的费用由成交供应商承担。若因项目缺陷或质量等问题造成采购人或任何人员人身、财产损害的，成交供应商应承担有关责任并作出相应赔偿。</w:t>
      </w:r>
    </w:p>
    <w:p>
      <w:pPr>
        <w:pStyle w:val="3"/>
        <w:adjustRightInd w:val="0"/>
        <w:snapToGrid w:val="0"/>
        <w:spacing w:before="0" w:after="0" w:line="400" w:lineRule="exact"/>
        <w:ind w:firstLine="482" w:firstLineChars="200"/>
        <w:rPr>
          <w:rFonts w:hint="eastAsia" w:ascii="方正仿宋_GBK" w:hAnsi="宋体" w:eastAsia="方正仿宋_GBK"/>
          <w:sz w:val="24"/>
          <w:lang w:eastAsia="zh-CN"/>
        </w:rPr>
      </w:pPr>
      <w:r>
        <w:rPr>
          <w:rFonts w:hint="eastAsia" w:ascii="方正仿宋_GBK" w:hAnsi="宋体" w:eastAsia="方正仿宋_GBK"/>
          <w:sz w:val="24"/>
          <w:lang w:eastAsia="zh-CN"/>
        </w:rPr>
        <w:t>九、合同争议</w:t>
      </w:r>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pPr>
        <w:pStyle w:val="3"/>
        <w:adjustRightInd w:val="0"/>
        <w:snapToGrid w:val="0"/>
        <w:spacing w:before="0" w:after="0" w:line="400" w:lineRule="exact"/>
        <w:ind w:firstLine="482" w:firstLineChars="200"/>
        <w:rPr>
          <w:rFonts w:hint="eastAsia" w:ascii="方正仿宋_GBK" w:hAnsi="宋体" w:eastAsia="方正仿宋_GBK"/>
          <w:sz w:val="24"/>
        </w:rPr>
      </w:pPr>
      <w:r>
        <w:rPr>
          <w:rFonts w:hint="eastAsia" w:ascii="方正仿宋_GBK" w:hAnsi="宋体" w:eastAsia="方正仿宋_GBK"/>
          <w:sz w:val="24"/>
          <w:lang w:eastAsia="zh-CN"/>
        </w:rPr>
        <w:t>十</w:t>
      </w:r>
      <w:r>
        <w:rPr>
          <w:rFonts w:hint="eastAsia" w:ascii="方正仿宋_GBK" w:hAnsi="宋体" w:eastAsia="方正仿宋_GBK"/>
          <w:sz w:val="24"/>
        </w:rPr>
        <w:t>、其他</w:t>
      </w:r>
      <w:bookmarkEnd w:id="107"/>
      <w:bookmarkEnd w:id="108"/>
      <w:bookmarkEnd w:id="109"/>
      <w:bookmarkEnd w:id="110"/>
      <w:bookmarkEnd w:id="111"/>
    </w:p>
    <w:p>
      <w:pPr>
        <w:adjustRightInd w:val="0"/>
        <w:snapToGrid w:val="0"/>
        <w:spacing w:line="400" w:lineRule="exact"/>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pPr>
        <w:snapToGrid w:val="0"/>
        <w:spacing w:line="400" w:lineRule="exact"/>
        <w:ind w:firstLine="540"/>
        <w:rPr>
          <w:rFonts w:hint="eastAsia" w:ascii="方正仿宋_GBK" w:eastAsia="方正仿宋_GBK"/>
          <w:sz w:val="24"/>
          <w:szCs w:val="24"/>
        </w:rPr>
      </w:pPr>
    </w:p>
    <w:p>
      <w:pPr>
        <w:snapToGrid w:val="0"/>
        <w:spacing w:line="400" w:lineRule="exact"/>
        <w:ind w:firstLine="540"/>
        <w:rPr>
          <w:rFonts w:hint="eastAsia" w:ascii="方正仿宋_GBK" w:eastAsia="方正仿宋_GBK"/>
          <w:sz w:val="24"/>
          <w:szCs w:val="24"/>
        </w:rPr>
      </w:pPr>
    </w:p>
    <w:p>
      <w:pPr>
        <w:pStyle w:val="3"/>
        <w:spacing w:before="0" w:after="0" w:line="360" w:lineRule="auto"/>
        <w:jc w:val="center"/>
        <w:rPr>
          <w:rFonts w:hint="eastAsia" w:ascii="方正小标宋_GBK" w:eastAsia="方正小标宋_GBK"/>
          <w:b w:val="0"/>
          <w:sz w:val="36"/>
          <w:szCs w:val="30"/>
        </w:rPr>
      </w:pPr>
      <w:r>
        <w:rPr>
          <w:rFonts w:ascii="方正小标宋_GBK" w:eastAsia="方正小标宋_GBK"/>
          <w:b w:val="0"/>
          <w:sz w:val="36"/>
          <w:szCs w:val="30"/>
        </w:rPr>
        <w:br w:type="page"/>
      </w:r>
      <w:bookmarkStart w:id="113" w:name="_Toc16123"/>
      <w:bookmarkStart w:id="114" w:name="_Toc65660349"/>
      <w:bookmarkStart w:id="115" w:name="_Toc24195"/>
      <w:bookmarkStart w:id="116" w:name="_Toc31282"/>
      <w:bookmarkStart w:id="117" w:name="_Toc106034789"/>
      <w:r>
        <w:rPr>
          <w:rFonts w:hint="eastAsia" w:ascii="方正小标宋_GBK" w:eastAsia="方正小标宋_GBK"/>
          <w:b w:val="0"/>
          <w:sz w:val="36"/>
          <w:szCs w:val="30"/>
        </w:rPr>
        <w:t>第四篇  采购程序、评定成交的标准、无效报价及采购终止</w:t>
      </w:r>
      <w:bookmarkEnd w:id="113"/>
      <w:bookmarkEnd w:id="114"/>
      <w:bookmarkEnd w:id="115"/>
      <w:bookmarkEnd w:id="116"/>
      <w:bookmarkEnd w:id="117"/>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18" w:name="_Toc106034790"/>
      <w:bookmarkStart w:id="119" w:name="_Toc64732012"/>
      <w:bookmarkStart w:id="120" w:name="_Toc27932"/>
      <w:bookmarkStart w:id="121" w:name="_Toc9361"/>
      <w:bookmarkStart w:id="122" w:name="_Toc65660350"/>
      <w:bookmarkStart w:id="123" w:name="_Toc5167"/>
      <w:r>
        <w:rPr>
          <w:rFonts w:hint="eastAsia" w:ascii="方正仿宋_GBK" w:hAnsi="宋体" w:eastAsia="方正仿宋_GBK"/>
          <w:sz w:val="24"/>
        </w:rPr>
        <w:t>一、采购程序</w:t>
      </w:r>
      <w:bookmarkEnd w:id="118"/>
      <w:bookmarkEnd w:id="119"/>
      <w:bookmarkEnd w:id="120"/>
      <w:bookmarkEnd w:id="121"/>
      <w:bookmarkEnd w:id="122"/>
      <w:bookmarkEnd w:id="123"/>
    </w:p>
    <w:p>
      <w:pPr>
        <w:pStyle w:val="33"/>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比价</w:t>
      </w:r>
      <w:r>
        <w:rPr>
          <w:rFonts w:hint="eastAsia" w:ascii="方正仿宋_GBK" w:hAnsi="宋体" w:eastAsia="方正仿宋_GBK"/>
          <w:sz w:val="24"/>
          <w:szCs w:val="24"/>
        </w:rPr>
        <w:t>按</w:t>
      </w:r>
      <w:r>
        <w:rPr>
          <w:rFonts w:hint="eastAsia" w:ascii="方正仿宋_GBK" w:hAnsi="宋体" w:eastAsia="方正仿宋_GBK"/>
          <w:sz w:val="24"/>
          <w:szCs w:val="24"/>
          <w:lang w:eastAsia="zh-CN"/>
        </w:rPr>
        <w:t>采购文件</w:t>
      </w:r>
      <w:r>
        <w:rPr>
          <w:rFonts w:hint="eastAsia" w:ascii="方正仿宋_GBK" w:hAnsi="宋体" w:eastAsia="方正仿宋_GBK"/>
          <w:sz w:val="24"/>
          <w:szCs w:val="24"/>
        </w:rPr>
        <w:t>规定的时间和地点进行。供应商须有法定代表人（或其授权代表）或自然人参加并签到。</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（二）由本项目</w:t>
      </w:r>
      <w:r>
        <w:rPr>
          <w:rFonts w:hint="eastAsia" w:ascii="方正仿宋_GBK" w:hAnsi="宋体" w:eastAsia="方正仿宋_GBK"/>
          <w:sz w:val="24"/>
          <w:szCs w:val="24"/>
          <w:lang w:eastAsia="zh-CN"/>
        </w:rPr>
        <w:t>评审</w:t>
      </w:r>
      <w:r>
        <w:rPr>
          <w:rFonts w:hint="eastAsia" w:ascii="方正仿宋_GBK" w:hAnsi="宋体" w:eastAsia="方正仿宋_GBK"/>
          <w:sz w:val="24"/>
          <w:szCs w:val="24"/>
        </w:rPr>
        <w:t xml:space="preserve">小组对各供应商的资格条件、实质性响应等进行审查。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1.资格性审查。依据法律法规和采购文件的规定，对响应文件中的资格证明材料等进行审查。资格性审查内容如下：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hint="eastAsia"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noWrap w:val="0"/>
            <w:vAlign w:val="center"/>
          </w:tcPr>
          <w:p>
            <w:pPr>
              <w:rPr>
                <w:rFonts w:hint="eastAsia"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lang w:val="zh-CN"/>
              </w:rPr>
            </w:pPr>
          </w:p>
        </w:tc>
        <w:tc>
          <w:tcPr>
            <w:tcW w:w="2835" w:type="dxa"/>
            <w:noWrap w:val="0"/>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noWrap w:val="0"/>
            <w:vAlign w:val="center"/>
          </w:tcPr>
          <w:p>
            <w:pPr>
              <w:rPr>
                <w:rFonts w:hint="eastAsia"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noWrap w:val="0"/>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方正仿宋_GBK" w:hAnsi="仿宋" w:eastAsia="方正仿宋_GBK"/>
                <w:sz w:val="21"/>
                <w:szCs w:val="21"/>
              </w:rPr>
            </w:pPr>
          </w:p>
        </w:tc>
        <w:tc>
          <w:tcPr>
            <w:tcW w:w="709" w:type="dxa"/>
            <w:vMerge w:val="continue"/>
            <w:noWrap w:val="0"/>
            <w:vAlign w:val="center"/>
          </w:tcPr>
          <w:p>
            <w:pPr>
              <w:rPr>
                <w:rFonts w:hint="eastAsia" w:ascii="方正仿宋_GBK" w:hAnsi="仿宋" w:eastAsia="方正仿宋_GBK" w:cs="仿宋_GB2312"/>
                <w:sz w:val="21"/>
                <w:szCs w:val="21"/>
              </w:rPr>
            </w:pPr>
          </w:p>
        </w:tc>
        <w:tc>
          <w:tcPr>
            <w:tcW w:w="2835"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noWrap w:val="0"/>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hint="eastAsia"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hint="eastAsia"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以联合体形式参与比价的，共同联合协议中应确定主办方（主体），</w:t>
      </w:r>
      <w:r>
        <w:rPr>
          <w:rFonts w:hint="eastAsia" w:ascii="方正仿宋_GBK" w:hAnsi="宋体" w:eastAsia="方正仿宋_GBK"/>
          <w:sz w:val="24"/>
        </w:rPr>
        <w:t>代表联合体进行报价和澄清。</w:t>
      </w:r>
      <w:r>
        <w:rPr>
          <w:rFonts w:hint="eastAsia" w:ascii="方正仿宋_GBK" w:hAnsi="宋体" w:eastAsia="方正仿宋_GBK" w:cs="宋体"/>
          <w:kern w:val="0"/>
          <w:sz w:val="24"/>
          <w:szCs w:val="24"/>
        </w:rPr>
        <w:t>联合体各方均应满足供应商资格要求（详见“第一篇”）。</w:t>
      </w:r>
    </w:p>
    <w:p>
      <w:pPr>
        <w:snapToGrid w:val="0"/>
        <w:spacing w:line="400" w:lineRule="exact"/>
        <w:ind w:firstLine="480" w:firstLineChars="200"/>
        <w:rPr>
          <w:rFonts w:hint="eastAsia" w:ascii="方正仿宋_GBK" w:eastAsia="方正仿宋_GBK"/>
          <w:kern w:val="0"/>
          <w:sz w:val="24"/>
          <w:szCs w:val="24"/>
        </w:rPr>
      </w:pPr>
      <w:r>
        <w:rPr>
          <w:rFonts w:hint="eastAsia" w:ascii="方正仿宋_GBK" w:hAnsi="宋体" w:eastAsia="方正仿宋_GBK"/>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noWrap w:val="0"/>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noWrap w:val="0"/>
            <w:vAlign w:val="center"/>
          </w:tcPr>
          <w:p>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noWrap w:val="0"/>
            <w:vAlign w:val="center"/>
          </w:tcPr>
          <w:p>
            <w:pPr>
              <w:pStyle w:val="32"/>
              <w:rPr>
                <w:rFonts w:hint="eastAsia" w:ascii="方正仿宋_GBK" w:hAnsi="宋体" w:eastAsia="方正仿宋_GBK" w:cs="宋体"/>
                <w:kern w:val="0"/>
                <w:sz w:val="21"/>
                <w:szCs w:val="21"/>
                <w:lang w:val="en-US" w:eastAsia="zh-CN"/>
              </w:rPr>
            </w:pPr>
            <w:r>
              <w:rPr>
                <w:rFonts w:hint="eastAsia" w:ascii="方正仿宋_GBK" w:hAnsi="宋体" w:eastAsia="方正仿宋_GBK" w:cs="宋体"/>
                <w:kern w:val="0"/>
                <w:sz w:val="21"/>
                <w:szCs w:val="21"/>
                <w:lang w:val="en-US" w:eastAsia="zh-CN"/>
              </w:rPr>
              <w:t>对</w:t>
            </w:r>
            <w:r>
              <w:rPr>
                <w:rFonts w:hint="eastAsia" w:ascii="方正仿宋_GBK" w:hAnsi="宋体" w:eastAsia="方正仿宋_GBK" w:cs="仿宋_GB2312"/>
                <w:sz w:val="21"/>
                <w:szCs w:val="21"/>
                <w:lang w:val="zh-CN" w:eastAsia="zh-CN"/>
              </w:rPr>
              <w:t>采购文件</w:t>
            </w:r>
            <w:r>
              <w:rPr>
                <w:rFonts w:hint="eastAsia" w:ascii="方正仿宋_GBK" w:hAnsi="宋体" w:eastAsia="方正仿宋_GBK" w:cs="宋体"/>
                <w:kern w:val="0"/>
                <w:sz w:val="21"/>
                <w:szCs w:val="21"/>
                <w:lang w:val="en-US" w:eastAsia="zh-CN"/>
              </w:rPr>
              <w:t>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pPr>
              <w:jc w:val="center"/>
              <w:rPr>
                <w:rFonts w:hint="eastAsia" w:ascii="方正仿宋_GBK" w:hAnsi="宋体" w:eastAsia="方正仿宋_GBK" w:cs="宋体"/>
                <w:kern w:val="0"/>
                <w:sz w:val="21"/>
                <w:szCs w:val="21"/>
              </w:rPr>
            </w:pPr>
          </w:p>
        </w:tc>
        <w:tc>
          <w:tcPr>
            <w:tcW w:w="2694"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比价有效期</w:t>
            </w:r>
          </w:p>
        </w:tc>
        <w:tc>
          <w:tcPr>
            <w:tcW w:w="6259" w:type="dxa"/>
            <w:noWrap w:val="0"/>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w:t>
      </w:r>
      <w:r>
        <w:rPr>
          <w:rFonts w:hint="eastAsia" w:ascii="方正仿宋_GBK" w:hAnsi="宋体" w:eastAsia="方正仿宋_GBK"/>
          <w:sz w:val="24"/>
          <w:szCs w:val="24"/>
          <w:lang w:eastAsia="zh-CN"/>
        </w:rPr>
        <w:t>评审</w:t>
      </w:r>
      <w:r>
        <w:rPr>
          <w:rFonts w:hint="eastAsia" w:ascii="方正仿宋_GBK" w:hAnsi="宋体" w:eastAsia="方正仿宋_GBK"/>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评审</w:t>
      </w:r>
      <w:r>
        <w:rPr>
          <w:rFonts w:hint="eastAsia" w:ascii="方正仿宋_GBK" w:hAnsi="宋体" w:eastAsia="方正仿宋_GBK"/>
          <w:sz w:val="24"/>
          <w:szCs w:val="24"/>
        </w:rPr>
        <w:t>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（四）评审的依据为采购文件和响应文件（含有效的补充文件）。评审小组判断响应文件对采购文件的响应，仅基于响应文件本身而不靠外部证据。</w:t>
      </w:r>
    </w:p>
    <w:p>
      <w:pPr>
        <w:pStyle w:val="3"/>
        <w:adjustRightInd w:val="0"/>
        <w:snapToGrid w:val="0"/>
        <w:spacing w:before="0" w:after="0" w:line="400" w:lineRule="exact"/>
        <w:ind w:firstLine="482" w:firstLineChars="200"/>
        <w:rPr>
          <w:rFonts w:hint="eastAsia" w:ascii="方正仿宋_GBK" w:hAnsi="宋体" w:eastAsia="方正仿宋_GBK"/>
          <w:sz w:val="24"/>
          <w:lang w:eastAsia="zh-CN"/>
        </w:rPr>
      </w:pPr>
      <w:bookmarkStart w:id="124" w:name="_Toc106034791"/>
      <w:bookmarkStart w:id="125" w:name="_Toc5149"/>
      <w:bookmarkStart w:id="126" w:name="_Toc11713"/>
      <w:bookmarkStart w:id="127" w:name="_Toc64732013"/>
      <w:bookmarkStart w:id="128" w:name="_Toc65660351"/>
      <w:bookmarkStart w:id="129" w:name="_Toc30639"/>
      <w:r>
        <w:rPr>
          <w:rFonts w:hint="eastAsia" w:ascii="方正仿宋_GBK" w:hAnsi="宋体" w:eastAsia="方正仿宋_GBK"/>
          <w:sz w:val="24"/>
        </w:rPr>
        <w:t>二、评定成交的标准</w:t>
      </w:r>
      <w:bookmarkEnd w:id="124"/>
      <w:bookmarkEnd w:id="125"/>
      <w:bookmarkEnd w:id="126"/>
      <w:bookmarkEnd w:id="127"/>
      <w:bookmarkEnd w:id="128"/>
      <w:bookmarkEnd w:id="129"/>
    </w:p>
    <w:p>
      <w:pPr>
        <w:pStyle w:val="33"/>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评审</w:t>
      </w:r>
      <w:r>
        <w:rPr>
          <w:rFonts w:hint="eastAsia" w:ascii="方正仿宋_GBK" w:hAnsi="宋体" w:eastAsia="方正仿宋_GBK"/>
          <w:sz w:val="24"/>
          <w:szCs w:val="24"/>
        </w:rPr>
        <w:t>小组将依照本</w:t>
      </w:r>
      <w:r>
        <w:rPr>
          <w:rFonts w:hint="eastAsia" w:ascii="方正仿宋_GBK" w:hAnsi="宋体" w:eastAsia="方正仿宋_GBK"/>
          <w:sz w:val="24"/>
          <w:szCs w:val="24"/>
          <w:lang w:val="en-US" w:eastAsia="zh-CN"/>
        </w:rPr>
        <w:t>采购文件</w:t>
      </w:r>
      <w:r>
        <w:rPr>
          <w:rFonts w:hint="eastAsia" w:ascii="方正仿宋_GBK" w:hAnsi="宋体" w:eastAsia="方正仿宋_GBK"/>
          <w:sz w:val="24"/>
          <w:szCs w:val="24"/>
        </w:rPr>
        <w:t>相关规定对技术（质量）和服务均能满足实质性响应要求的供应商所提交的报价按照由低到高的顺序提出3名以上成交候选人，并编写</w:t>
      </w:r>
      <w:r>
        <w:rPr>
          <w:rFonts w:hint="eastAsia" w:ascii="方正仿宋_GBK" w:hAnsi="宋体" w:eastAsia="方正仿宋_GBK"/>
          <w:sz w:val="24"/>
          <w:szCs w:val="24"/>
          <w:lang w:eastAsia="zh-CN"/>
        </w:rPr>
        <w:t>结论意见（原则上由</w:t>
      </w:r>
      <w:r>
        <w:rPr>
          <w:rFonts w:hint="eastAsia" w:ascii="方正仿宋_GBK" w:hAnsi="宋体" w:eastAsia="方正仿宋_GBK"/>
          <w:sz w:val="24"/>
          <w:szCs w:val="24"/>
        </w:rPr>
        <w:t>报价最低的供应商为成交供应商</w:t>
      </w:r>
      <w:r>
        <w:rPr>
          <w:rFonts w:hint="eastAsia" w:ascii="方正仿宋_GBK" w:hAnsi="宋体" w:eastAsia="方正仿宋_GBK"/>
          <w:sz w:val="24"/>
          <w:szCs w:val="24"/>
          <w:lang w:eastAsia="zh-CN"/>
        </w:rPr>
        <w:t>）</w:t>
      </w:r>
      <w:r>
        <w:rPr>
          <w:rFonts w:hint="eastAsia" w:ascii="方正仿宋_GBK" w:hAnsi="宋体" w:eastAsia="方正仿宋_GBK"/>
          <w:sz w:val="24"/>
          <w:szCs w:val="24"/>
        </w:rPr>
        <w:t>。</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（二）若供应商的报价价格相同，</w:t>
      </w:r>
      <w:r>
        <w:rPr>
          <w:rFonts w:hint="eastAsia" w:ascii="方正仿宋_GBK" w:hAnsi="宋体" w:eastAsia="方正仿宋_GBK"/>
          <w:sz w:val="24"/>
          <w:szCs w:val="24"/>
          <w:lang w:eastAsia="zh-CN"/>
        </w:rPr>
        <w:t>按现场随机抽取的方式确定顺序排列</w:t>
      </w:r>
      <w:r>
        <w:rPr>
          <w:rFonts w:hint="eastAsia" w:ascii="方正仿宋_GBK" w:hAnsi="宋体" w:eastAsia="方正仿宋_GBK"/>
          <w:sz w:val="24"/>
          <w:szCs w:val="24"/>
        </w:rPr>
        <w:t>。</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（三）成交价格=成交供应商的报价。</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30" w:name="_Toc65660352"/>
      <w:bookmarkStart w:id="131" w:name="_Toc29113"/>
      <w:bookmarkStart w:id="132" w:name="_Toc12644"/>
      <w:bookmarkStart w:id="133" w:name="_Toc106034792"/>
      <w:bookmarkStart w:id="134" w:name="_Toc19473"/>
      <w:r>
        <w:rPr>
          <w:rFonts w:hint="eastAsia" w:ascii="方正仿宋_GBK" w:hAnsi="宋体" w:eastAsia="方正仿宋_GBK"/>
          <w:sz w:val="24"/>
        </w:rPr>
        <w:t>三、无效</w:t>
      </w:r>
      <w:bookmarkEnd w:id="130"/>
      <w:bookmarkEnd w:id="131"/>
      <w:bookmarkEnd w:id="132"/>
      <w:r>
        <w:rPr>
          <w:rFonts w:hint="eastAsia" w:ascii="方正仿宋_GBK" w:hAnsi="宋体" w:eastAsia="方正仿宋_GBK"/>
          <w:sz w:val="24"/>
        </w:rPr>
        <w:t>报价</w:t>
      </w:r>
      <w:bookmarkEnd w:id="133"/>
      <w:bookmarkEnd w:id="134"/>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33"/>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（二）供应商未通过实质性响应审查的；</w:t>
      </w:r>
    </w:p>
    <w:p>
      <w:pPr>
        <w:pStyle w:val="33"/>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（三）供应商的法定代表人（或其授权代表）或自然人未参加谈判的；</w:t>
      </w:r>
    </w:p>
    <w:p>
      <w:pPr>
        <w:pStyle w:val="33"/>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四</w:t>
      </w:r>
      <w:r>
        <w:rPr>
          <w:rFonts w:hint="eastAsia" w:ascii="方正仿宋_GBK" w:hAnsi="宋体" w:eastAsia="方正仿宋_GBK"/>
          <w:sz w:val="24"/>
          <w:szCs w:val="24"/>
        </w:rPr>
        <w:t>）供应商所提交的响应文件未按“第七篇响应文件格式要求”要求签署或盖章的；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五</w:t>
      </w:r>
      <w:r>
        <w:rPr>
          <w:rFonts w:hint="eastAsia" w:ascii="方正仿宋_GBK" w:hAnsi="宋体" w:eastAsia="方正仿宋_GBK"/>
          <w:sz w:val="24"/>
          <w:szCs w:val="24"/>
        </w:rPr>
        <w:t>）供应商的报价超过采购预算或最高限价的；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六</w:t>
      </w:r>
      <w:r>
        <w:rPr>
          <w:rFonts w:hint="eastAsia" w:ascii="方正仿宋_GBK" w:hAnsi="宋体" w:eastAsia="方正仿宋_GBK"/>
          <w:sz w:val="24"/>
          <w:szCs w:val="24"/>
        </w:rPr>
        <w:t>）供应商不接受</w:t>
      </w:r>
      <w:r>
        <w:rPr>
          <w:rFonts w:hint="eastAsia" w:ascii="方正仿宋_GBK" w:hAnsi="宋体" w:eastAsia="方正仿宋_GBK"/>
          <w:sz w:val="24"/>
          <w:szCs w:val="24"/>
          <w:lang w:eastAsia="zh-CN"/>
        </w:rPr>
        <w:t>评审</w:t>
      </w:r>
      <w:r>
        <w:rPr>
          <w:rFonts w:hint="eastAsia" w:ascii="方正仿宋_GBK" w:hAnsi="宋体" w:eastAsia="方正仿宋_GBK"/>
          <w:sz w:val="24"/>
          <w:szCs w:val="24"/>
        </w:rPr>
        <w:t>小组修正后的价格的；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七</w:t>
      </w:r>
      <w:r>
        <w:rPr>
          <w:rFonts w:hint="eastAsia" w:ascii="方正仿宋_GBK" w:hAnsi="宋体" w:eastAsia="方正仿宋_GBK"/>
          <w:sz w:val="24"/>
          <w:szCs w:val="24"/>
        </w:rPr>
        <w:t>）单位负责人为同一人或者存在直接控股、管理关系的不同供应商，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八</w:t>
      </w:r>
      <w:r>
        <w:rPr>
          <w:rFonts w:hint="eastAsia" w:ascii="方正仿宋_GBK" w:hAnsi="宋体" w:eastAsia="方正仿宋_GBK"/>
          <w:sz w:val="24"/>
          <w:szCs w:val="24"/>
        </w:rPr>
        <w:t>）为采购项目提供整体设计、规范编制或者项目管理、监理、检测等服务的供应商再参加该采购项目的其他采购活动的；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九</w:t>
      </w:r>
      <w:r>
        <w:rPr>
          <w:rFonts w:hint="eastAsia" w:ascii="方正仿宋_GBK" w:hAnsi="宋体" w:eastAsia="方正仿宋_GBK"/>
          <w:sz w:val="24"/>
          <w:szCs w:val="24"/>
        </w:rPr>
        <w:t>）同一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pPr>
        <w:pStyle w:val="33"/>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十</w:t>
      </w:r>
      <w:r>
        <w:rPr>
          <w:rFonts w:hint="eastAsia" w:ascii="方正仿宋_GBK" w:hAnsi="宋体" w:eastAsia="方正仿宋_GBK"/>
          <w:sz w:val="24"/>
          <w:szCs w:val="24"/>
        </w:rPr>
        <w:t>）供应商响应文件内容有与国家现行法律法规相违背的内容，或附有采购人无法接受条件的；</w:t>
      </w:r>
    </w:p>
    <w:p>
      <w:pPr>
        <w:pStyle w:val="33"/>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（十</w:t>
      </w:r>
      <w:r>
        <w:rPr>
          <w:rFonts w:hint="eastAsia" w:ascii="方正仿宋_GBK" w:hAnsi="宋体" w:eastAsia="方正仿宋_GBK"/>
          <w:sz w:val="24"/>
          <w:szCs w:val="24"/>
          <w:lang w:eastAsia="zh-CN"/>
        </w:rPr>
        <w:t>一</w:t>
      </w:r>
      <w:r>
        <w:rPr>
          <w:rFonts w:hint="eastAsia" w:ascii="方正仿宋_GBK" w:hAnsi="宋体" w:eastAsia="方正仿宋_GBK"/>
          <w:sz w:val="24"/>
          <w:szCs w:val="24"/>
        </w:rPr>
        <w:t>）法律、法规和</w:t>
      </w:r>
      <w:r>
        <w:rPr>
          <w:rFonts w:hint="eastAsia" w:ascii="方正仿宋_GBK" w:hAnsi="宋体" w:eastAsia="方正仿宋_GBK"/>
          <w:sz w:val="24"/>
          <w:szCs w:val="24"/>
          <w:lang w:val="en-US" w:eastAsia="zh-CN"/>
        </w:rPr>
        <w:t>采购文件</w:t>
      </w:r>
      <w:r>
        <w:rPr>
          <w:rFonts w:hint="eastAsia" w:ascii="方正仿宋_GBK" w:hAnsi="宋体" w:eastAsia="方正仿宋_GBK"/>
          <w:sz w:val="24"/>
          <w:szCs w:val="24"/>
        </w:rPr>
        <w:t>规定的其他无效情形。</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35" w:name="_Toc28422"/>
      <w:bookmarkStart w:id="136" w:name="_Toc22716"/>
      <w:bookmarkStart w:id="137" w:name="_Toc65660353"/>
      <w:bookmarkStart w:id="138" w:name="_Toc106034793"/>
      <w:bookmarkStart w:id="139" w:name="_Toc29298"/>
      <w:r>
        <w:rPr>
          <w:rFonts w:hint="eastAsia" w:ascii="方正仿宋_GBK" w:hAnsi="宋体" w:eastAsia="方正仿宋_GBK"/>
          <w:sz w:val="24"/>
        </w:rPr>
        <w:t>四、采购终止</w:t>
      </w:r>
      <w:bookmarkEnd w:id="135"/>
      <w:bookmarkEnd w:id="136"/>
      <w:bookmarkEnd w:id="137"/>
      <w:bookmarkEnd w:id="138"/>
      <w:bookmarkEnd w:id="139"/>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出现下列情形之一的，采购人或者采购代理机构应当终止限额以下比价采购活动，发布项目终止公告并说明原因，重新开展采购活动：</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（一）因情况变化，不再符合规定的限额以下比价采购方式适用情形的；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pacing w:line="520" w:lineRule="exact"/>
        <w:ind w:firstLine="480" w:firstLineChars="200"/>
        <w:rPr>
          <w:rFonts w:hint="eastAsia" w:ascii="方正仿宋_GBK" w:hAnsi="宋体" w:eastAsia="方正仿宋_GBK"/>
          <w:szCs w:val="28"/>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pStyle w:val="3"/>
        <w:spacing w:before="0" w:after="0" w:line="360" w:lineRule="auto"/>
        <w:jc w:val="center"/>
        <w:rPr>
          <w:rFonts w:hint="eastAsia" w:ascii="方正小标宋_GBK" w:eastAsia="方正小标宋_GBK"/>
          <w:b w:val="0"/>
          <w:sz w:val="36"/>
          <w:szCs w:val="30"/>
        </w:rPr>
      </w:pPr>
      <w:r>
        <w:rPr>
          <w:rFonts w:ascii="方正仿宋_GBK" w:hAnsi="宋体" w:eastAsia="方正仿宋_GBK"/>
          <w:sz w:val="24"/>
          <w:szCs w:val="24"/>
        </w:rPr>
        <w:br w:type="page"/>
      </w:r>
      <w:bookmarkStart w:id="140" w:name="_Toc10768"/>
      <w:bookmarkStart w:id="141" w:name="_Toc8916"/>
      <w:bookmarkStart w:id="142" w:name="_Toc65660354"/>
      <w:bookmarkStart w:id="143" w:name="_Toc106034794"/>
      <w:bookmarkStart w:id="144" w:name="_Toc20055"/>
      <w:r>
        <w:rPr>
          <w:rFonts w:hint="eastAsia" w:ascii="方正小标宋_GBK" w:eastAsia="方正小标宋_GBK"/>
          <w:b w:val="0"/>
          <w:sz w:val="36"/>
          <w:szCs w:val="30"/>
        </w:rPr>
        <w:t>第五篇  供应商须知</w:t>
      </w:r>
      <w:bookmarkEnd w:id="140"/>
      <w:bookmarkEnd w:id="141"/>
      <w:bookmarkEnd w:id="142"/>
      <w:bookmarkEnd w:id="143"/>
      <w:bookmarkEnd w:id="144"/>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45" w:name="_Toc16524"/>
      <w:bookmarkStart w:id="146" w:name="_Toc5290"/>
      <w:bookmarkStart w:id="147" w:name="_Toc2864"/>
      <w:bookmarkStart w:id="148" w:name="_Toc106034795"/>
      <w:bookmarkStart w:id="149" w:name="_Toc65660355"/>
      <w:r>
        <w:rPr>
          <w:rFonts w:hint="eastAsia" w:ascii="方正仿宋_GBK" w:hAnsi="宋体" w:eastAsia="方正仿宋_GBK"/>
          <w:sz w:val="24"/>
        </w:rPr>
        <w:t>一、</w:t>
      </w:r>
      <w:r>
        <w:rPr>
          <w:rFonts w:hint="eastAsia" w:ascii="方正仿宋_GBK" w:hAnsi="宋体" w:eastAsia="方正仿宋_GBK"/>
          <w:sz w:val="24"/>
          <w:lang w:eastAsia="zh-CN"/>
        </w:rPr>
        <w:t>限额以下比价</w:t>
      </w:r>
      <w:r>
        <w:rPr>
          <w:rFonts w:hint="eastAsia" w:ascii="方正仿宋_GBK" w:hAnsi="宋体" w:eastAsia="方正仿宋_GBK"/>
          <w:sz w:val="24"/>
        </w:rPr>
        <w:t>费用</w:t>
      </w:r>
      <w:bookmarkEnd w:id="145"/>
      <w:bookmarkEnd w:id="146"/>
      <w:bookmarkEnd w:id="147"/>
      <w:bookmarkEnd w:id="148"/>
      <w:bookmarkEnd w:id="149"/>
    </w:p>
    <w:p>
      <w:pPr>
        <w:pStyle w:val="141"/>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参与报价的供应商应承担其编制响应文件与递交响应文件所涉及的一切费用，不论比价结果如何，采购人和采购代理机构在任何情况下无义务也无责任承担这些费用。</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50" w:name="_Toc106034796"/>
      <w:bookmarkStart w:id="151" w:name="_Toc65660356"/>
      <w:bookmarkStart w:id="152" w:name="_Toc31739"/>
      <w:bookmarkStart w:id="153" w:name="_Toc31070"/>
      <w:bookmarkStart w:id="154" w:name="_Toc5915"/>
      <w:r>
        <w:rPr>
          <w:rFonts w:hint="eastAsia" w:ascii="方正仿宋_GBK" w:hAnsi="宋体" w:eastAsia="方正仿宋_GBK"/>
          <w:sz w:val="24"/>
        </w:rPr>
        <w:t>二、</w:t>
      </w:r>
      <w:r>
        <w:rPr>
          <w:rFonts w:hint="eastAsia" w:ascii="方正仿宋_GBK" w:hAnsi="宋体" w:eastAsia="方正仿宋_GBK"/>
          <w:sz w:val="24"/>
          <w:lang w:eastAsia="zh-CN"/>
        </w:rPr>
        <w:t>限额以下比价</w:t>
      </w:r>
      <w:bookmarkEnd w:id="150"/>
      <w:bookmarkEnd w:id="151"/>
      <w:bookmarkEnd w:id="152"/>
      <w:bookmarkEnd w:id="153"/>
      <w:bookmarkEnd w:id="154"/>
      <w:r>
        <w:rPr>
          <w:rFonts w:hint="eastAsia" w:ascii="方正仿宋_GBK" w:hAnsi="宋体" w:eastAsia="方正仿宋_GBK"/>
          <w:sz w:val="24"/>
          <w:lang w:eastAsia="zh-CN"/>
        </w:rPr>
        <w:t>采购文件</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55" w:name="_Toc3061"/>
      <w:bookmarkStart w:id="156" w:name="_Toc1922"/>
      <w:bookmarkStart w:id="157" w:name="_Toc65660357"/>
      <w:bookmarkStart w:id="158" w:name="_Toc9532"/>
      <w:bookmarkStart w:id="159" w:name="_Toc106034797"/>
      <w:r>
        <w:rPr>
          <w:rFonts w:hint="eastAsia" w:ascii="方正仿宋_GBK" w:hAnsi="宋体" w:eastAsia="方正仿宋_GBK"/>
          <w:sz w:val="24"/>
        </w:rPr>
        <w:t>三、报价要求</w:t>
      </w:r>
      <w:bookmarkEnd w:id="155"/>
      <w:bookmarkEnd w:id="156"/>
      <w:bookmarkEnd w:id="157"/>
      <w:bookmarkEnd w:id="158"/>
      <w:bookmarkEnd w:id="159"/>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供应商应当按照采购文件的要求编制响应文件，并对采购文件提出的要求和条件作出实质性响应，响应文件原则上应装订成册提交。</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2.联合体</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2.1两个以上供应商可以组成一个联合体，以一个供应商的身份参与报价。</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2.2以联合体形式参加报价的，联合体各方均应</w:t>
      </w:r>
      <w:r>
        <w:rPr>
          <w:rFonts w:hint="eastAsia" w:ascii="方正仿宋_GBK" w:hAnsi="宋体" w:eastAsia="方正仿宋_GBK" w:cs="宋体"/>
          <w:kern w:val="0"/>
          <w:sz w:val="24"/>
          <w:szCs w:val="24"/>
        </w:rPr>
        <w:t>满足供应商资格要求（详见“第一篇”）</w:t>
      </w:r>
      <w:r>
        <w:rPr>
          <w:rFonts w:hint="eastAsia" w:ascii="方正仿宋_GBK" w:hAnsi="宋体" w:eastAsia="方正仿宋_GBK"/>
          <w:sz w:val="24"/>
        </w:rPr>
        <w:t>。联合体中有同类资质的供应商按照联合体分工承担相同工作的，应当按照资质等级较低的供应商确定资质等级。</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2.5联合体业绩计算，按照共同联合协议分工认定。</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2.6两个以上的自然人、法人或者其他组织组成一个联合体，以一个供应商的身份共同参加政府采购活动的，联合体成员存在不良信用记录的，视同联合体存在不良信用记录。</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3.报价有效期：响应文件及有关承诺文件有效期为提交响应文件截止时间起90天。</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1.响应文件一式二份，其中正本一份，副本一份。副本可为正本的复印件，应与正本一致，如出现不一致情况以正本为准。</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在响应文件正本中，采购文件第七篇响应文件格式中规定签署、盖章的地方必须按其规定签署、盖章。</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（四）响应文件的递交</w:t>
      </w:r>
    </w:p>
    <w:p>
      <w:pPr>
        <w:pStyle w:val="3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响应文件的正本、副本均应密封送达报价地点，应在封套上注明</w:t>
      </w:r>
      <w:r>
        <w:rPr>
          <w:rFonts w:hint="eastAsia" w:ascii="方正仿宋_GBK" w:hAnsi="宋体" w:eastAsia="方正仿宋_GBK"/>
          <w:sz w:val="24"/>
          <w:szCs w:val="24"/>
          <w:lang w:eastAsia="zh-CN"/>
        </w:rPr>
        <w:t>采购</w:t>
      </w:r>
      <w:r>
        <w:rPr>
          <w:rFonts w:hint="eastAsia" w:ascii="方正仿宋_GBK" w:hAnsi="宋体" w:eastAsia="方正仿宋_GBK"/>
          <w:sz w:val="24"/>
          <w:szCs w:val="24"/>
        </w:rPr>
        <w:t>项目名称、供应商名称。若正本、副本分别进行密封的，还应在封套上注明“正本”、“副本”字样。</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（五）响应文件语言：简体中文</w:t>
      </w:r>
    </w:p>
    <w:p>
      <w:pPr>
        <w:snapToGrid w:val="0"/>
        <w:spacing w:line="400" w:lineRule="exact"/>
        <w:ind w:firstLine="360" w:firstLineChars="150"/>
        <w:outlineLvl w:val="2"/>
        <w:rPr>
          <w:rFonts w:hint="eastAsia" w:ascii="方正仿宋_GBK" w:hAnsi="宋体" w:eastAsia="方正仿宋_GBK"/>
          <w:sz w:val="24"/>
          <w:szCs w:val="24"/>
        </w:rPr>
      </w:pPr>
      <w:r>
        <w:rPr>
          <w:rFonts w:hint="eastAsia" w:ascii="方正仿宋_GBK" w:hAnsi="宋体" w:eastAsia="方正仿宋_GBK"/>
          <w:sz w:val="24"/>
          <w:szCs w:val="24"/>
        </w:rPr>
        <w:t>（六）供应商参与人员</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各供应商应当派1-2名代表参与报价，至少1人应为法定代表人（或其授权代表）或自然人（供应商为自然人）。</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60" w:name="_Toc14702"/>
      <w:bookmarkStart w:id="161" w:name="_Toc10172"/>
      <w:bookmarkStart w:id="162" w:name="_Toc6242"/>
      <w:bookmarkStart w:id="163" w:name="_Toc65660358"/>
      <w:bookmarkStart w:id="164" w:name="_Toc106034798"/>
      <w:r>
        <w:rPr>
          <w:rFonts w:hint="eastAsia" w:ascii="方正仿宋_GBK" w:hAnsi="宋体" w:eastAsia="方正仿宋_GBK"/>
          <w:sz w:val="24"/>
        </w:rPr>
        <w:t>四、成交供应商的确定和变更</w:t>
      </w:r>
      <w:bookmarkEnd w:id="160"/>
      <w:bookmarkEnd w:id="161"/>
      <w:bookmarkEnd w:id="162"/>
      <w:bookmarkEnd w:id="163"/>
      <w:bookmarkEnd w:id="164"/>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65" w:name="_Toc10504"/>
      <w:bookmarkStart w:id="166" w:name="_Toc29821"/>
      <w:bookmarkStart w:id="167" w:name="_Toc1092"/>
      <w:bookmarkStart w:id="168" w:name="_Toc106034799"/>
      <w:bookmarkStart w:id="169" w:name="_Toc65660359"/>
      <w:r>
        <w:rPr>
          <w:rFonts w:hint="eastAsia" w:ascii="方正仿宋_GBK" w:hAnsi="宋体" w:eastAsia="方正仿宋_GBK"/>
          <w:sz w:val="24"/>
        </w:rPr>
        <w:t>五、成交通知</w:t>
      </w:r>
      <w:bookmarkEnd w:id="165"/>
      <w:bookmarkEnd w:id="166"/>
      <w:bookmarkEnd w:id="167"/>
      <w:bookmarkEnd w:id="168"/>
      <w:bookmarkEnd w:id="169"/>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（一）成交供应商确定后，采购代理机构将在重庆市交通局官网上发布成交结果公告。</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（二）成交结果公告将作为签订合同的依据。</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70" w:name="_Toc65660360"/>
      <w:bookmarkStart w:id="171" w:name="_Toc1010"/>
      <w:bookmarkStart w:id="172" w:name="_Toc106034800"/>
      <w:bookmarkStart w:id="173" w:name="_Toc30909"/>
      <w:bookmarkStart w:id="174" w:name="_Toc31082"/>
      <w:r>
        <w:rPr>
          <w:rFonts w:hint="eastAsia" w:ascii="方正仿宋_GBK" w:hAnsi="宋体" w:eastAsia="方正仿宋_GBK"/>
          <w:sz w:val="24"/>
        </w:rPr>
        <w:t>六、关于质疑和投诉</w:t>
      </w:r>
      <w:bookmarkEnd w:id="170"/>
      <w:bookmarkEnd w:id="171"/>
      <w:bookmarkEnd w:id="172"/>
      <w:bookmarkEnd w:id="173"/>
      <w:bookmarkEnd w:id="174"/>
    </w:p>
    <w:p>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供应商认为采购文件、采购过程和成交结果使自己的权益收到伤害的，可向采购人或采购代理机构以书面形式提出质疑。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w:t>
      </w:r>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75" w:name="_Toc65660361"/>
      <w:bookmarkStart w:id="176" w:name="_Toc23778"/>
      <w:bookmarkStart w:id="177" w:name="_Toc16648"/>
      <w:bookmarkStart w:id="178" w:name="_Toc3127"/>
      <w:bookmarkStart w:id="179" w:name="_Toc106034801"/>
      <w:r>
        <w:rPr>
          <w:rFonts w:hint="eastAsia" w:ascii="方正仿宋_GBK" w:hAnsi="宋体" w:eastAsia="方正仿宋_GBK"/>
          <w:sz w:val="24"/>
        </w:rPr>
        <w:t>七、签订合同</w:t>
      </w:r>
      <w:bookmarkEnd w:id="175"/>
      <w:bookmarkEnd w:id="176"/>
      <w:bookmarkEnd w:id="177"/>
      <w:bookmarkEnd w:id="178"/>
      <w:bookmarkEnd w:id="179"/>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80" w:name="_Toc106034802"/>
      <w:bookmarkStart w:id="181" w:name="_Toc77"/>
      <w:r>
        <w:rPr>
          <w:rFonts w:hint="eastAsia" w:ascii="方正仿宋_GBK" w:hAnsi="宋体" w:eastAsia="方正仿宋_GBK"/>
          <w:sz w:val="24"/>
        </w:rPr>
        <w:t>八、项目验收</w:t>
      </w:r>
      <w:bookmarkEnd w:id="180"/>
      <w:bookmarkEnd w:id="181"/>
    </w:p>
    <w:p>
      <w:pPr>
        <w:spacing w:line="400" w:lineRule="exact"/>
        <w:ind w:firstLine="360" w:firstLineChars="150"/>
        <w:rPr>
          <w:rFonts w:hint="eastAsia" w:ascii="方正仿宋_GBK" w:hAnsi="宋体" w:eastAsia="方正仿宋_GBK"/>
          <w:sz w:val="24"/>
          <w:szCs w:val="24"/>
        </w:rPr>
      </w:pPr>
      <w:r>
        <w:rPr>
          <w:rFonts w:hint="eastAsia" w:ascii="方正仿宋_GBK" w:hAnsi="方正仿宋_GBK" w:eastAsia="方正仿宋_GBK"/>
          <w:sz w:val="24"/>
        </w:rPr>
        <w:t>合同执行完毕，采购人原则上在收到验收申请后，应在7个工作日内组织履约情况验收，不得无故拖延或附加额外条件。</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82" w:name="_Toc2438"/>
      <w:bookmarkStart w:id="183" w:name="_Toc29513"/>
      <w:bookmarkStart w:id="184" w:name="_Toc65660362"/>
      <w:bookmarkStart w:id="185" w:name="_Toc106034803"/>
      <w:bookmarkStart w:id="186" w:name="_Toc32594"/>
      <w:r>
        <w:rPr>
          <w:rFonts w:hint="eastAsia" w:ascii="方正仿宋_GBK" w:hAnsi="宋体" w:eastAsia="方正仿宋_GBK"/>
          <w:sz w:val="24"/>
        </w:rPr>
        <w:t>九、采购代理服务费</w:t>
      </w:r>
      <w:bookmarkEnd w:id="182"/>
      <w:bookmarkEnd w:id="183"/>
      <w:bookmarkEnd w:id="184"/>
      <w:bookmarkEnd w:id="185"/>
      <w:bookmarkEnd w:id="186"/>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rPr>
        <w:t>项目无采购代理机构的不收取代理服务费。</w:t>
      </w:r>
    </w:p>
    <w:p>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73"/>
    <w:p>
      <w:pPr>
        <w:pStyle w:val="3"/>
        <w:spacing w:before="0" w:after="0" w:line="360" w:lineRule="auto"/>
        <w:jc w:val="center"/>
        <w:rPr>
          <w:rFonts w:hint="eastAsia" w:ascii="方正小标宋_GBK" w:eastAsia="方正小标宋_GBK"/>
          <w:b w:val="0"/>
          <w:sz w:val="36"/>
          <w:szCs w:val="30"/>
        </w:rPr>
      </w:pPr>
      <w:bookmarkStart w:id="187" w:name="_Toc11641055"/>
      <w:bookmarkStart w:id="188" w:name="_Toc12789059"/>
      <w:bookmarkStart w:id="189" w:name="_Toc28162"/>
      <w:bookmarkStart w:id="190" w:name="_Toc14861"/>
      <w:bookmarkStart w:id="191" w:name="_Toc10599"/>
      <w:bookmarkStart w:id="192" w:name="_Toc65660365"/>
      <w:bookmarkStart w:id="193" w:name="_Toc106034806"/>
      <w:r>
        <w:rPr>
          <w:rFonts w:hint="eastAsia" w:ascii="方正小标宋_GBK" w:eastAsia="方正小标宋_GBK"/>
          <w:b w:val="0"/>
          <w:sz w:val="36"/>
          <w:szCs w:val="30"/>
        </w:rPr>
        <w:t xml:space="preserve">第六篇  </w:t>
      </w:r>
      <w:bookmarkEnd w:id="187"/>
      <w:bookmarkEnd w:id="188"/>
      <w:r>
        <w:rPr>
          <w:rFonts w:hint="eastAsia" w:ascii="方正小标宋_GBK" w:eastAsia="方正小标宋_GBK"/>
          <w:b w:val="0"/>
          <w:sz w:val="36"/>
          <w:szCs w:val="30"/>
        </w:rPr>
        <w:t>合同草案条款</w:t>
      </w:r>
      <w:bookmarkEnd w:id="189"/>
      <w:bookmarkEnd w:id="190"/>
      <w:bookmarkEnd w:id="191"/>
      <w:bookmarkEnd w:id="192"/>
      <w:bookmarkEnd w:id="193"/>
    </w:p>
    <w:p>
      <w:pPr>
        <w:spacing w:line="400" w:lineRule="exact"/>
        <w:ind w:right="12" w:firstLine="480"/>
        <w:rPr>
          <w:rFonts w:hint="eastAsia" w:ascii="方正仿宋_GBK" w:hAnsi="仿宋" w:eastAsia="方正仿宋_GBK" w:cs="仿宋"/>
          <w:sz w:val="24"/>
        </w:rPr>
      </w:pPr>
    </w:p>
    <w:p>
      <w:pPr>
        <w:spacing w:line="400" w:lineRule="exact"/>
        <w:ind w:right="12" w:firstLine="480"/>
        <w:rPr>
          <w:rFonts w:ascii="方正仿宋_GBK" w:hAnsi="仿宋" w:eastAsia="方正仿宋_GBK" w:cs="仿宋"/>
          <w:sz w:val="24"/>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pPr>
        <w:rPr>
          <w:rFonts w:hint="eastAsia" w:ascii="方正仿宋_GBK" w:eastAsia="方正仿宋_GBK"/>
          <w:sz w:val="24"/>
        </w:rPr>
      </w:pPr>
      <w:bookmarkStart w:id="194" w:name="_Toc148265480"/>
      <w:bookmarkStart w:id="195" w:name="_Toc303945820"/>
      <w:r>
        <w:rPr>
          <w:rFonts w:hint="eastAsia" w:ascii="方正仿宋_GBK" w:eastAsia="方正仿宋_GBK"/>
          <w:sz w:val="24"/>
        </w:rPr>
        <w:t>附页：合同格式</w:t>
      </w:r>
      <w:bookmarkEnd w:id="194"/>
      <w:bookmarkEnd w:id="195"/>
    </w:p>
    <w:p>
      <w:pPr>
        <w:tabs>
          <w:tab w:val="left" w:pos="9000"/>
        </w:tabs>
        <w:spacing w:line="276" w:lineRule="auto"/>
        <w:jc w:val="center"/>
      </w:pPr>
    </w:p>
    <w:p>
      <w:pPr>
        <w:tabs>
          <w:tab w:val="left" w:pos="9000"/>
        </w:tabs>
        <w:spacing w:line="276" w:lineRule="auto"/>
        <w:jc w:val="center"/>
      </w:pPr>
    </w:p>
    <w:p>
      <w:pPr>
        <w:spacing w:line="500" w:lineRule="exact"/>
        <w:jc w:val="center"/>
        <w:outlineLvl w:val="1"/>
        <w:rPr>
          <w:rFonts w:hint="eastAsia" w:ascii="方正仿宋_GBK" w:eastAsia="方正仿宋_GBK"/>
          <w:b/>
          <w:sz w:val="44"/>
        </w:rPr>
      </w:pPr>
      <w:r>
        <w:rPr>
          <w:rFonts w:hint="eastAsia" w:ascii="方正仿宋_GBK" w:eastAsia="方正仿宋_GBK"/>
          <w:b/>
          <w:sz w:val="44"/>
        </w:rPr>
        <w:t>重庆市政府采购合同</w:t>
      </w:r>
    </w:p>
    <w:p>
      <w:pPr>
        <w:spacing w:line="500" w:lineRule="exact"/>
        <w:jc w:val="center"/>
        <w:outlineLvl w:val="1"/>
        <w:rPr>
          <w:rFonts w:ascii="方正仿宋_GBK" w:eastAsia="方正仿宋_GBK"/>
          <w:b/>
          <w:sz w:val="44"/>
        </w:rPr>
      </w:pPr>
      <w:r>
        <w:rPr>
          <w:rFonts w:hint="eastAsia" w:ascii="方正仿宋_GBK" w:eastAsia="方正仿宋_GBK"/>
          <w:b/>
          <w:sz w:val="44"/>
        </w:rPr>
        <w:t>（货物类）</w:t>
      </w:r>
    </w:p>
    <w:p>
      <w:pPr>
        <w:spacing w:line="500" w:lineRule="exact"/>
        <w:rPr>
          <w:rFonts w:hint="eastAsia" w:ascii="方正仿宋_GBK" w:eastAsia="方正仿宋_GBK"/>
          <w:sz w:val="36"/>
          <w:szCs w:val="36"/>
        </w:rPr>
      </w:pP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p>
    <w:p>
      <w:pPr>
        <w:spacing w:line="500" w:lineRule="exact"/>
        <w:rPr>
          <w:rFonts w:ascii="方正仿宋_GBK" w:eastAsia="方正仿宋_GBK"/>
          <w:sz w:val="24"/>
        </w:rPr>
      </w:pPr>
      <w:r>
        <w:rPr>
          <w:rFonts w:hint="eastAsia" w:ascii="方正仿宋_GBK" w:eastAsia="方正仿宋_GBK"/>
          <w:sz w:val="24"/>
        </w:rPr>
        <w:t>经双方协商一致，达成以下XX合同：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商品名称</w:t>
            </w:r>
          </w:p>
        </w:tc>
        <w:tc>
          <w:tcPr>
            <w:tcW w:w="1741"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规格型号</w:t>
            </w:r>
          </w:p>
        </w:tc>
        <w:tc>
          <w:tcPr>
            <w:tcW w:w="984"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数量</w:t>
            </w:r>
          </w:p>
        </w:tc>
        <w:tc>
          <w:tcPr>
            <w:tcW w:w="873"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单价</w:t>
            </w:r>
          </w:p>
        </w:tc>
        <w:tc>
          <w:tcPr>
            <w:tcW w:w="899"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总价</w:t>
            </w:r>
          </w:p>
        </w:tc>
        <w:tc>
          <w:tcPr>
            <w:tcW w:w="1575"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交货时间</w:t>
            </w:r>
          </w:p>
        </w:tc>
        <w:tc>
          <w:tcPr>
            <w:tcW w:w="2211" w:type="dxa"/>
            <w:noWrap w:val="0"/>
            <w:vAlign w:val="center"/>
          </w:tcPr>
          <w:p>
            <w:pPr>
              <w:spacing w:line="500" w:lineRule="exact"/>
              <w:jc w:val="center"/>
              <w:rPr>
                <w:rFonts w:ascii="方正仿宋_GBK" w:eastAsia="方正仿宋_GBK"/>
                <w:sz w:val="24"/>
              </w:rPr>
            </w:pPr>
            <w:r>
              <w:rPr>
                <w:rFonts w:hint="eastAsia" w:ascii="方正仿宋_GBK" w:eastAsia="方正仿宋_GBK"/>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pPr>
              <w:spacing w:line="500" w:lineRule="exact"/>
              <w:jc w:val="center"/>
              <w:rPr>
                <w:rFonts w:ascii="方正仿宋_GBK" w:eastAsia="方正仿宋_GBK"/>
                <w:sz w:val="24"/>
              </w:rPr>
            </w:pPr>
          </w:p>
        </w:tc>
        <w:tc>
          <w:tcPr>
            <w:tcW w:w="1741" w:type="dxa"/>
            <w:tcBorders>
              <w:bottom w:val="single" w:color="auto" w:sz="4" w:space="0"/>
            </w:tcBorders>
            <w:noWrap w:val="0"/>
            <w:vAlign w:val="center"/>
          </w:tcPr>
          <w:p>
            <w:pPr>
              <w:spacing w:line="500" w:lineRule="exact"/>
              <w:jc w:val="center"/>
              <w:rPr>
                <w:rFonts w:ascii="方正仿宋_GBK" w:eastAsia="方正仿宋_GBK"/>
                <w:sz w:val="24"/>
              </w:rPr>
            </w:pPr>
          </w:p>
        </w:tc>
        <w:tc>
          <w:tcPr>
            <w:tcW w:w="984" w:type="dxa"/>
            <w:tcBorders>
              <w:bottom w:val="single" w:color="auto" w:sz="4" w:space="0"/>
            </w:tcBorders>
            <w:noWrap w:val="0"/>
            <w:vAlign w:val="center"/>
          </w:tcPr>
          <w:p>
            <w:pPr>
              <w:spacing w:line="500" w:lineRule="exact"/>
              <w:jc w:val="center"/>
              <w:rPr>
                <w:rFonts w:ascii="方正仿宋_GBK" w:eastAsia="方正仿宋_GBK"/>
                <w:sz w:val="24"/>
              </w:rPr>
            </w:pPr>
          </w:p>
        </w:tc>
        <w:tc>
          <w:tcPr>
            <w:tcW w:w="873" w:type="dxa"/>
            <w:tcBorders>
              <w:bottom w:val="single" w:color="auto" w:sz="4" w:space="0"/>
            </w:tcBorders>
            <w:noWrap w:val="0"/>
            <w:vAlign w:val="center"/>
          </w:tcPr>
          <w:p>
            <w:pPr>
              <w:spacing w:line="500" w:lineRule="exact"/>
              <w:jc w:val="center"/>
              <w:rPr>
                <w:rFonts w:ascii="方正仿宋_GBK" w:eastAsia="方正仿宋_GBK"/>
                <w:sz w:val="24"/>
              </w:rPr>
            </w:pPr>
          </w:p>
        </w:tc>
        <w:tc>
          <w:tcPr>
            <w:tcW w:w="899" w:type="dxa"/>
            <w:tcBorders>
              <w:bottom w:val="single" w:color="auto" w:sz="4" w:space="0"/>
            </w:tcBorders>
            <w:noWrap w:val="0"/>
            <w:vAlign w:val="center"/>
          </w:tcPr>
          <w:p>
            <w:pPr>
              <w:spacing w:line="500" w:lineRule="exact"/>
              <w:jc w:val="center"/>
              <w:rPr>
                <w:rFonts w:ascii="方正仿宋_GBK" w:eastAsia="方正仿宋_GBK"/>
                <w:sz w:val="24"/>
              </w:rPr>
            </w:pPr>
          </w:p>
        </w:tc>
        <w:tc>
          <w:tcPr>
            <w:tcW w:w="1575" w:type="dxa"/>
            <w:tcBorders>
              <w:bottom w:val="single" w:color="auto" w:sz="4" w:space="0"/>
            </w:tcBorders>
            <w:noWrap w:val="0"/>
            <w:vAlign w:val="center"/>
          </w:tcPr>
          <w:p>
            <w:pPr>
              <w:spacing w:line="500" w:lineRule="exact"/>
              <w:jc w:val="center"/>
              <w:rPr>
                <w:rFonts w:ascii="方正仿宋_GBK" w:eastAsia="方正仿宋_GBK"/>
                <w:sz w:val="24"/>
              </w:rPr>
            </w:pPr>
          </w:p>
        </w:tc>
        <w:tc>
          <w:tcPr>
            <w:tcW w:w="2211" w:type="dxa"/>
            <w:tcBorders>
              <w:bottom w:val="single" w:color="auto" w:sz="4" w:space="0"/>
            </w:tcBorders>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ascii="方正仿宋_GBK" w:eastAsia="方正仿宋_GBK"/>
                <w:sz w:val="24"/>
              </w:rPr>
            </w:pPr>
          </w:p>
        </w:tc>
        <w:tc>
          <w:tcPr>
            <w:tcW w:w="1741" w:type="dxa"/>
            <w:noWrap w:val="0"/>
            <w:vAlign w:val="center"/>
          </w:tcPr>
          <w:p>
            <w:pPr>
              <w:spacing w:line="500" w:lineRule="exact"/>
              <w:jc w:val="center"/>
              <w:rPr>
                <w:rFonts w:ascii="方正仿宋_GBK" w:eastAsia="方正仿宋_GBK"/>
                <w:sz w:val="24"/>
              </w:rPr>
            </w:pPr>
          </w:p>
        </w:tc>
        <w:tc>
          <w:tcPr>
            <w:tcW w:w="984" w:type="dxa"/>
            <w:noWrap w:val="0"/>
            <w:vAlign w:val="center"/>
          </w:tcPr>
          <w:p>
            <w:pPr>
              <w:spacing w:line="500" w:lineRule="exact"/>
              <w:jc w:val="center"/>
              <w:rPr>
                <w:rFonts w:ascii="方正仿宋_GBK" w:eastAsia="方正仿宋_GBK"/>
                <w:sz w:val="24"/>
              </w:rPr>
            </w:pPr>
          </w:p>
        </w:tc>
        <w:tc>
          <w:tcPr>
            <w:tcW w:w="873" w:type="dxa"/>
            <w:noWrap w:val="0"/>
            <w:vAlign w:val="center"/>
          </w:tcPr>
          <w:p>
            <w:pPr>
              <w:spacing w:line="500" w:lineRule="exact"/>
              <w:jc w:val="center"/>
              <w:rPr>
                <w:rFonts w:ascii="方正仿宋_GBK" w:eastAsia="方正仿宋_GBK"/>
                <w:sz w:val="24"/>
              </w:rPr>
            </w:pPr>
          </w:p>
        </w:tc>
        <w:tc>
          <w:tcPr>
            <w:tcW w:w="899" w:type="dxa"/>
            <w:noWrap w:val="0"/>
            <w:vAlign w:val="center"/>
          </w:tcPr>
          <w:p>
            <w:pPr>
              <w:spacing w:line="500" w:lineRule="exact"/>
              <w:jc w:val="center"/>
              <w:rPr>
                <w:rFonts w:ascii="方正仿宋_GBK" w:eastAsia="方正仿宋_GBK"/>
                <w:sz w:val="24"/>
              </w:rPr>
            </w:pPr>
          </w:p>
        </w:tc>
        <w:tc>
          <w:tcPr>
            <w:tcW w:w="1575" w:type="dxa"/>
            <w:noWrap w:val="0"/>
            <w:vAlign w:val="center"/>
          </w:tcPr>
          <w:p>
            <w:pPr>
              <w:spacing w:line="500" w:lineRule="exact"/>
              <w:jc w:val="center"/>
              <w:rPr>
                <w:rFonts w:ascii="方正仿宋_GBK" w:eastAsia="方正仿宋_GBK"/>
                <w:sz w:val="24"/>
              </w:rPr>
            </w:pPr>
          </w:p>
        </w:tc>
        <w:tc>
          <w:tcPr>
            <w:tcW w:w="2211" w:type="dxa"/>
            <w:noWrap w:val="0"/>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500" w:lineRule="exact"/>
              <w:rPr>
                <w:rFonts w:ascii="方正仿宋_GBK" w:eastAsia="方正仿宋_GBK"/>
                <w:sz w:val="24"/>
              </w:rPr>
            </w:pPr>
            <w:r>
              <w:rPr>
                <w:rFonts w:hint="eastAsia" w:ascii="方正仿宋_GBK" w:eastAsia="方正仿宋_GBK"/>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500" w:lineRule="exact"/>
              <w:rPr>
                <w:rFonts w:ascii="方正仿宋_GBK" w:eastAsia="方正仿宋_GBK"/>
                <w:sz w:val="24"/>
              </w:rPr>
            </w:pPr>
            <w:r>
              <w:rPr>
                <w:rFonts w:hint="eastAsia" w:ascii="方正仿宋_GBK" w:eastAsia="方正仿宋_GBK"/>
                <w:sz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pPr>
              <w:spacing w:line="500" w:lineRule="exact"/>
              <w:rPr>
                <w:rFonts w:ascii="方正仿宋_GBK" w:eastAsia="方正仿宋_GBK"/>
                <w:sz w:val="24"/>
              </w:rPr>
            </w:pPr>
            <w:r>
              <w:rPr>
                <w:rFonts w:hint="eastAsia" w:ascii="方正仿宋_GBK" w:eastAsia="方正仿宋_GBK"/>
                <w:sz w:val="24"/>
              </w:rPr>
              <w:t>一、质量要求和技术标准。供方提供的商品必须是全新的，完全符合国家有关技术标准，供方的质量保证及售后服务承诺如下：</w:t>
            </w:r>
          </w:p>
          <w:p>
            <w:pPr>
              <w:spacing w:line="500" w:lineRule="exact"/>
              <w:rPr>
                <w:rFonts w:ascii="方正仿宋_GBK" w:eastAsia="方正仿宋_GBK"/>
                <w:sz w:val="24"/>
              </w:rPr>
            </w:pPr>
            <w:r>
              <w:rPr>
                <w:rFonts w:hint="eastAsia" w:ascii="方正仿宋_GBK" w:eastAsia="方正仿宋_GBK"/>
                <w:sz w:val="24"/>
              </w:rPr>
              <w:t>1.质保期限：</w:t>
            </w:r>
          </w:p>
          <w:p>
            <w:pPr>
              <w:spacing w:line="500" w:lineRule="exact"/>
              <w:rPr>
                <w:rFonts w:ascii="方正仿宋_GBK" w:eastAsia="方正仿宋_GBK"/>
                <w:sz w:val="24"/>
              </w:rPr>
            </w:pPr>
            <w:r>
              <w:rPr>
                <w:rFonts w:hint="eastAsia" w:ascii="方正仿宋_GBK" w:eastAsia="方正仿宋_GBK"/>
                <w:sz w:val="24"/>
              </w:rPr>
              <w:t>2.保修范围：</w:t>
            </w:r>
          </w:p>
          <w:p>
            <w:pPr>
              <w:spacing w:line="500" w:lineRule="exact"/>
              <w:rPr>
                <w:rFonts w:ascii="方正仿宋_GBK" w:eastAsia="方正仿宋_GBK"/>
                <w:sz w:val="24"/>
              </w:rPr>
            </w:pPr>
            <w:r>
              <w:rPr>
                <w:rFonts w:hint="eastAsia" w:ascii="方正仿宋_GBK" w:eastAsia="方正仿宋_GBK"/>
                <w:sz w:val="24"/>
              </w:rPr>
              <w:t>3.服务措施：</w:t>
            </w:r>
          </w:p>
          <w:p>
            <w:pPr>
              <w:spacing w:line="500" w:lineRule="exact"/>
              <w:rPr>
                <w:rFonts w:ascii="方正仿宋_GBK" w:eastAsia="方正仿宋_GBK"/>
                <w:sz w:val="24"/>
              </w:rPr>
            </w:pPr>
            <w:r>
              <w:rPr>
                <w:rFonts w:hint="eastAsia" w:ascii="方正仿宋_GBK" w:eastAsia="方正仿宋_GBK"/>
                <w:sz w:val="24"/>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pPr>
              <w:spacing w:line="500" w:lineRule="exact"/>
              <w:rPr>
                <w:rFonts w:ascii="方正仿宋_GBK" w:eastAsia="方正仿宋_GBK"/>
                <w:sz w:val="24"/>
              </w:rPr>
            </w:pPr>
            <w:r>
              <w:rPr>
                <w:rFonts w:hint="eastAsia" w:ascii="方正仿宋_GBK" w:eastAsia="方正仿宋_GBK"/>
                <w:sz w:val="24"/>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pPr>
              <w:spacing w:line="500" w:lineRule="exact"/>
              <w:rPr>
                <w:rFonts w:ascii="方正仿宋_GBK" w:eastAsia="方正仿宋_GBK"/>
                <w:sz w:val="24"/>
              </w:rPr>
            </w:pPr>
            <w:r>
              <w:rPr>
                <w:rFonts w:hint="eastAsia" w:ascii="方正仿宋_GBK" w:eastAsia="方正仿宋_GBK"/>
                <w:sz w:val="24"/>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四、验收标准、方法：</w:t>
            </w:r>
          </w:p>
          <w:p>
            <w:pPr>
              <w:spacing w:line="50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五、付款方式：</w:t>
            </w:r>
          </w:p>
          <w:p>
            <w:pPr>
              <w:pStyle w:val="32"/>
              <w:spacing w:line="500" w:lineRule="exact"/>
              <w:rPr>
                <w:rFonts w:ascii="方正仿宋_GBK" w:eastAsia="方正仿宋_GBK"/>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六、违约责任：</w:t>
            </w:r>
          </w:p>
          <w:p>
            <w:pPr>
              <w:spacing w:line="50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七、其他约定事项：</w:t>
            </w:r>
          </w:p>
          <w:p>
            <w:pPr>
              <w:tabs>
                <w:tab w:val="left" w:pos="360"/>
              </w:tabs>
              <w:spacing w:line="500" w:lineRule="exact"/>
              <w:rPr>
                <w:rFonts w:ascii="方正仿宋_GBK" w:eastAsia="方正仿宋_GBK"/>
                <w:sz w:val="24"/>
              </w:rPr>
            </w:pPr>
            <w:r>
              <w:rPr>
                <w:rFonts w:hint="eastAsia" w:ascii="方正仿宋_GBK" w:eastAsia="方正仿宋_GBK"/>
                <w:sz w:val="24"/>
              </w:rPr>
              <w:t>1.采购文件及其澄清文件、响应文件和承诺是本合同不可分割的部分。</w:t>
            </w:r>
          </w:p>
          <w:p>
            <w:pPr>
              <w:tabs>
                <w:tab w:val="left" w:pos="360"/>
              </w:tabs>
              <w:spacing w:line="500" w:lineRule="exact"/>
              <w:rPr>
                <w:rFonts w:ascii="方正仿宋_GBK" w:eastAsia="方正仿宋_GBK"/>
                <w:sz w:val="24"/>
              </w:rPr>
            </w:pPr>
            <w:r>
              <w:rPr>
                <w:rFonts w:hint="eastAsia" w:ascii="方正仿宋_GBK" w:eastAsia="方正仿宋_GBK"/>
                <w:sz w:val="24"/>
              </w:rPr>
              <w:t>2.本合同如发生争议由双方协商解决，协商不成向需方所在地仲裁机构提请仲裁。</w:t>
            </w:r>
          </w:p>
          <w:p>
            <w:pPr>
              <w:tabs>
                <w:tab w:val="left" w:pos="360"/>
              </w:tabs>
              <w:spacing w:line="500" w:lineRule="exact"/>
              <w:rPr>
                <w:rFonts w:ascii="方正仿宋_GBK" w:eastAsia="方正仿宋_GBK"/>
                <w:sz w:val="24"/>
              </w:rPr>
            </w:pPr>
            <w:r>
              <w:rPr>
                <w:rFonts w:hint="eastAsia" w:ascii="方正仿宋_GBK" w:eastAsia="方正仿宋_GBK"/>
                <w:sz w:val="24"/>
              </w:rPr>
              <w:t>3.本合同一式__份， 需方__份，供方__份，具同等法律效力。</w:t>
            </w:r>
          </w:p>
          <w:p>
            <w:pPr>
              <w:tabs>
                <w:tab w:val="left" w:pos="360"/>
              </w:tabs>
              <w:spacing w:line="500" w:lineRule="exact"/>
              <w:rPr>
                <w:rFonts w:ascii="方正仿宋_GBK" w:eastAsia="方正仿宋_GBK"/>
                <w:sz w:val="24"/>
              </w:rPr>
            </w:pPr>
            <w:r>
              <w:rPr>
                <w:rFonts w:hint="eastAsia" w:ascii="方正仿宋_GBK" w:eastAsia="方正仿宋_GBK"/>
                <w:sz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pPr>
              <w:spacing w:line="500" w:lineRule="exact"/>
              <w:rPr>
                <w:rFonts w:ascii="方正仿宋_GBK" w:eastAsia="方正仿宋_GBK"/>
                <w:sz w:val="24"/>
              </w:rPr>
            </w:pPr>
            <w:r>
              <w:rPr>
                <w:rFonts w:hint="eastAsia" w:ascii="方正仿宋_GBK" w:eastAsia="方正仿宋_GBK"/>
                <w:sz w:val="24"/>
              </w:rPr>
              <w:t>需方：</w:t>
            </w:r>
          </w:p>
          <w:p>
            <w:pPr>
              <w:spacing w:line="500" w:lineRule="exact"/>
              <w:rPr>
                <w:rFonts w:ascii="方正仿宋_GBK" w:eastAsia="方正仿宋_GBK"/>
                <w:sz w:val="24"/>
              </w:rPr>
            </w:pPr>
            <w:r>
              <w:rPr>
                <w:rFonts w:hint="eastAsia" w:ascii="方正仿宋_GBK" w:eastAsia="方正仿宋_GBK"/>
                <w:sz w:val="24"/>
              </w:rPr>
              <w:t>地址：</w:t>
            </w:r>
          </w:p>
          <w:p>
            <w:pPr>
              <w:spacing w:line="500" w:lineRule="exact"/>
              <w:rPr>
                <w:rFonts w:ascii="方正仿宋_GBK" w:eastAsia="方正仿宋_GBK"/>
                <w:sz w:val="24"/>
              </w:rPr>
            </w:pPr>
            <w:r>
              <w:rPr>
                <w:rFonts w:hint="eastAsia" w:ascii="方正仿宋_GBK" w:eastAsia="方正仿宋_GBK"/>
                <w:sz w:val="24"/>
              </w:rPr>
              <w:t>联系电话：</w:t>
            </w:r>
          </w:p>
          <w:p>
            <w:pPr>
              <w:spacing w:line="500" w:lineRule="exact"/>
              <w:rPr>
                <w:rFonts w:ascii="方正仿宋_GBK" w:eastAsia="方正仿宋_GBK"/>
                <w:sz w:val="24"/>
              </w:rPr>
            </w:pPr>
            <w:r>
              <w:rPr>
                <w:rFonts w:hint="eastAsia" w:ascii="方正仿宋_GBK" w:eastAsia="方正仿宋_GBK"/>
                <w:sz w:val="24"/>
              </w:rPr>
              <w:t>授权代表：</w:t>
            </w:r>
          </w:p>
        </w:tc>
        <w:tc>
          <w:tcPr>
            <w:tcW w:w="4700" w:type="dxa"/>
            <w:gridSpan w:val="4"/>
            <w:noWrap w:val="0"/>
            <w:vAlign w:val="top"/>
          </w:tcPr>
          <w:p>
            <w:pPr>
              <w:spacing w:line="500" w:lineRule="exact"/>
              <w:rPr>
                <w:rFonts w:ascii="方正仿宋_GBK" w:eastAsia="方正仿宋_GBK"/>
                <w:sz w:val="24"/>
              </w:rPr>
            </w:pPr>
            <w:r>
              <w:rPr>
                <w:rFonts w:hint="eastAsia" w:ascii="方正仿宋_GBK" w:eastAsia="方正仿宋_GBK"/>
                <w:sz w:val="24"/>
              </w:rPr>
              <w:t>供方：</w:t>
            </w:r>
          </w:p>
          <w:p>
            <w:pPr>
              <w:spacing w:line="500" w:lineRule="exact"/>
              <w:rPr>
                <w:rFonts w:ascii="方正仿宋_GBK" w:eastAsia="方正仿宋_GBK"/>
                <w:sz w:val="24"/>
              </w:rPr>
            </w:pPr>
            <w:r>
              <w:rPr>
                <w:rFonts w:hint="eastAsia" w:ascii="方正仿宋_GBK" w:eastAsia="方正仿宋_GBK"/>
                <w:sz w:val="24"/>
              </w:rPr>
              <w:t>地址：</w:t>
            </w:r>
          </w:p>
          <w:p>
            <w:pPr>
              <w:spacing w:line="500" w:lineRule="exact"/>
              <w:rPr>
                <w:rFonts w:ascii="方正仿宋_GBK" w:eastAsia="方正仿宋_GBK"/>
                <w:sz w:val="24"/>
              </w:rPr>
            </w:pPr>
            <w:r>
              <w:rPr>
                <w:rFonts w:hint="eastAsia" w:ascii="方正仿宋_GBK" w:eastAsia="方正仿宋_GBK"/>
                <w:sz w:val="24"/>
              </w:rPr>
              <w:t>电话：</w:t>
            </w:r>
          </w:p>
          <w:p>
            <w:pPr>
              <w:spacing w:line="500" w:lineRule="exact"/>
              <w:rPr>
                <w:rFonts w:ascii="方正仿宋_GBK" w:eastAsia="方正仿宋_GBK"/>
                <w:sz w:val="24"/>
              </w:rPr>
            </w:pPr>
            <w:r>
              <w:rPr>
                <w:rFonts w:hint="eastAsia" w:ascii="方正仿宋_GBK" w:eastAsia="方正仿宋_GBK"/>
                <w:sz w:val="24"/>
              </w:rPr>
              <w:t>传真：</w:t>
            </w:r>
          </w:p>
          <w:p>
            <w:pPr>
              <w:spacing w:line="500" w:lineRule="exact"/>
              <w:rPr>
                <w:rFonts w:ascii="方正仿宋_GBK" w:eastAsia="方正仿宋_GBK"/>
                <w:sz w:val="24"/>
              </w:rPr>
            </w:pPr>
            <w:r>
              <w:rPr>
                <w:rFonts w:hint="eastAsia" w:ascii="方正仿宋_GBK" w:eastAsia="方正仿宋_GBK"/>
                <w:sz w:val="24"/>
              </w:rPr>
              <w:t>开户银行：</w:t>
            </w:r>
          </w:p>
          <w:p>
            <w:pPr>
              <w:spacing w:line="500" w:lineRule="exact"/>
              <w:rPr>
                <w:rFonts w:ascii="方正仿宋_GBK" w:eastAsia="方正仿宋_GBK"/>
                <w:sz w:val="24"/>
              </w:rPr>
            </w:pPr>
            <w:r>
              <w:rPr>
                <w:rFonts w:hint="eastAsia" w:ascii="方正仿宋_GBK" w:eastAsia="方正仿宋_GBK"/>
                <w:sz w:val="24"/>
              </w:rPr>
              <w:t>账号：</w:t>
            </w:r>
          </w:p>
          <w:p>
            <w:pPr>
              <w:spacing w:line="500" w:lineRule="exact"/>
              <w:rPr>
                <w:rFonts w:ascii="方正仿宋_GBK" w:eastAsia="方正仿宋_GBK"/>
                <w:sz w:val="24"/>
              </w:rPr>
            </w:pPr>
            <w:r>
              <w:rPr>
                <w:rFonts w:hint="eastAsia" w:ascii="方正仿宋_GBK" w:eastAsia="方正仿宋_GBK"/>
                <w:sz w:val="24"/>
              </w:rPr>
              <w:t>授权代表：</w:t>
            </w:r>
          </w:p>
          <w:p>
            <w:pPr>
              <w:spacing w:line="500" w:lineRule="exact"/>
              <w:rPr>
                <w:rFonts w:ascii="方正仿宋_GBK" w:eastAsia="方正仿宋_GBK"/>
                <w:sz w:val="24"/>
              </w:rPr>
            </w:pPr>
            <w:r>
              <w:rPr>
                <w:rFonts w:hint="eastAsia" w:ascii="方正仿宋_GBK" w:eastAsia="方正仿宋_GBK"/>
                <w:sz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pPr>
              <w:spacing w:line="500" w:lineRule="exact"/>
              <w:rPr>
                <w:rFonts w:ascii="方正仿宋_GBK" w:eastAsia="方正仿宋_GBK"/>
                <w:sz w:val="24"/>
              </w:rPr>
            </w:pPr>
            <w:r>
              <w:rPr>
                <w:rFonts w:hint="eastAsia" w:ascii="方正仿宋_GBK" w:eastAsia="方正仿宋_GBK"/>
                <w:sz w:val="24"/>
              </w:rPr>
              <w:t>备注：</w:t>
            </w:r>
          </w:p>
          <w:p>
            <w:pPr>
              <w:spacing w:line="500" w:lineRule="exact"/>
              <w:rPr>
                <w:rFonts w:ascii="方正仿宋_GBK" w:eastAsia="方正仿宋_GBK"/>
                <w:sz w:val="24"/>
              </w:rPr>
            </w:pPr>
          </w:p>
          <w:p>
            <w:pPr>
              <w:spacing w:line="500" w:lineRule="exact"/>
              <w:rPr>
                <w:rFonts w:ascii="方正仿宋_GBK" w:eastAsia="方正仿宋_GBK"/>
                <w:sz w:val="24"/>
              </w:rPr>
            </w:pPr>
          </w:p>
        </w:tc>
      </w:tr>
    </w:tbl>
    <w:p>
      <w:pPr>
        <w:tabs>
          <w:tab w:val="left" w:pos="9000"/>
        </w:tabs>
        <w:spacing w:line="276" w:lineRule="auto"/>
        <w:jc w:val="center"/>
        <w:rPr>
          <w:rFonts w:ascii="方正仿宋_GBK" w:eastAsia="方正仿宋_GBK"/>
          <w:sz w:val="24"/>
        </w:rPr>
      </w:pPr>
      <w:r>
        <w:rPr>
          <w:rFonts w:hint="eastAsia" w:ascii="方正仿宋_GBK" w:eastAsia="方正仿宋_GBK"/>
          <w:sz w:val="24"/>
        </w:rPr>
        <w:t>签约时间：           年   月   日      签约地点：</w:t>
      </w:r>
    </w:p>
    <w:p>
      <w:pPr>
        <w:pStyle w:val="3"/>
        <w:spacing w:before="0" w:after="0" w:line="360" w:lineRule="auto"/>
        <w:jc w:val="center"/>
        <w:rPr>
          <w:rFonts w:hint="eastAsia" w:ascii="方正小标宋_GBK" w:eastAsia="方正小标宋_GBK"/>
          <w:b w:val="0"/>
          <w:sz w:val="36"/>
          <w:szCs w:val="30"/>
        </w:rPr>
      </w:pPr>
      <w:r>
        <w:rPr>
          <w:rFonts w:ascii="方正仿宋_GBK" w:eastAsia="方正仿宋_GBK"/>
          <w:sz w:val="24"/>
        </w:rPr>
        <w:br w:type="page"/>
      </w:r>
      <w:bookmarkStart w:id="196" w:name="_Hlt41879464"/>
      <w:bookmarkEnd w:id="196"/>
      <w:bookmarkStart w:id="197" w:name="_Toc6968"/>
      <w:bookmarkStart w:id="198" w:name="_Toc9538"/>
      <w:bookmarkStart w:id="199" w:name="_Toc12789072"/>
      <w:bookmarkStart w:id="200" w:name="_Toc106034807"/>
      <w:bookmarkStart w:id="201" w:name="_Toc18521"/>
      <w:bookmarkStart w:id="202" w:name="_Toc65660378"/>
      <w:r>
        <w:rPr>
          <w:rFonts w:hint="eastAsia" w:ascii="方正小标宋_GBK" w:eastAsia="方正小标宋_GBK"/>
          <w:b w:val="0"/>
          <w:sz w:val="36"/>
          <w:szCs w:val="30"/>
        </w:rPr>
        <w:t>第七篇  响应文件格式要求</w:t>
      </w:r>
      <w:bookmarkEnd w:id="197"/>
      <w:bookmarkEnd w:id="198"/>
      <w:bookmarkEnd w:id="199"/>
      <w:bookmarkEnd w:id="200"/>
      <w:bookmarkEnd w:id="201"/>
      <w:bookmarkEnd w:id="202"/>
    </w:p>
    <w:p>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一、经济部分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五、其他资料</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一</w:t>
      </w:r>
      <w:r>
        <w:rPr>
          <w:rFonts w:hint="eastAsia" w:ascii="方正仿宋_GBK" w:hAnsi="宋体" w:eastAsia="方正仿宋_GBK"/>
          <w:sz w:val="24"/>
          <w:szCs w:val="24"/>
        </w:rPr>
        <w:t>）其他与项目有关的资料（自附）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203" w:name="_Toc65660379"/>
      <w:bookmarkStart w:id="204" w:name="_Toc106034808"/>
      <w:bookmarkStart w:id="205" w:name="_Toc30982"/>
      <w:bookmarkStart w:id="206" w:name="_Toc14244"/>
      <w:bookmarkStart w:id="207" w:name="_Toc26343"/>
      <w:bookmarkStart w:id="208" w:name="_Toc342913419"/>
      <w:bookmarkStart w:id="209" w:name="_Toc313008356"/>
      <w:bookmarkStart w:id="210" w:name="_Toc313888360"/>
      <w:bookmarkStart w:id="211" w:name="_Toc283382454"/>
      <w:bookmarkStart w:id="212" w:name="_Toc12789073"/>
      <w:r>
        <w:rPr>
          <w:rFonts w:hint="eastAsia" w:ascii="方正仿宋_GBK" w:hAnsi="宋体" w:eastAsia="方正仿宋_GBK"/>
          <w:sz w:val="24"/>
        </w:rPr>
        <w:t>一、经济部分</w:t>
      </w:r>
      <w:bookmarkEnd w:id="203"/>
      <w:bookmarkEnd w:id="204"/>
      <w:bookmarkEnd w:id="205"/>
      <w:bookmarkEnd w:id="206"/>
      <w:bookmarkEnd w:id="207"/>
      <w:bookmarkEnd w:id="208"/>
      <w:bookmarkEnd w:id="209"/>
      <w:bookmarkEnd w:id="210"/>
    </w:p>
    <w:bookmarkEnd w:id="211"/>
    <w:bookmarkEnd w:id="212"/>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562" w:firstLineChars="200"/>
        <w:jc w:val="center"/>
        <w:rPr>
          <w:rFonts w:hint="eastAsia"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1.愿意按照采购文件中的一切要求，提供本项目的交货及技术服务，项目报价（总价）为人民币大写：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4.我方完全理解和接受贵方采购文件的一切规定和要求及评审办法。</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7.如果我方成为成交供应商，保证向采购代理机构缴纳采购文件规定的采购代理服务费。</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hint="eastAsia" w:ascii="方正仿宋_GBK" w:hAnsi="宋体" w:eastAsia="方正仿宋_GBK"/>
          <w:sz w:val="24"/>
          <w:szCs w:val="24"/>
        </w:rPr>
      </w:pP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（二）明细报价表                           </w:t>
      </w:r>
    </w:p>
    <w:p>
      <w:pPr>
        <w:spacing w:line="400" w:lineRule="exact"/>
        <w:rPr>
          <w:rFonts w:hint="eastAsia" w:ascii="方正仿宋_GBK" w:hAnsi="宋体" w:eastAsia="方正仿宋_GBK"/>
          <w:sz w:val="24"/>
          <w:szCs w:val="24"/>
          <w:u w:val="single"/>
        </w:rPr>
      </w:pPr>
      <w:r>
        <w:rPr>
          <w:rFonts w:hint="eastAsia" w:ascii="方正仿宋_GBK" w:hAnsi="宋体" w:eastAsia="方正仿宋_GBK"/>
          <w:sz w:val="24"/>
          <w:szCs w:val="24"/>
        </w:rPr>
        <w:t xml:space="preserve">项目名称（服务类）： </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0"/>
            <w:vAlign w:val="center"/>
          </w:tcPr>
          <w:p>
            <w:pPr>
              <w:jc w:val="center"/>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1557" w:type="dxa"/>
            <w:noWrap w:val="0"/>
            <w:vAlign w:val="center"/>
          </w:tcPr>
          <w:p>
            <w:pPr>
              <w:jc w:val="center"/>
              <w:rPr>
                <w:rFonts w:hint="eastAsia" w:ascii="方正仿宋_GBK" w:hAnsi="宋体" w:eastAsia="方正仿宋_GBK"/>
                <w:b/>
                <w:sz w:val="21"/>
                <w:szCs w:val="21"/>
              </w:rPr>
            </w:pPr>
            <w:r>
              <w:rPr>
                <w:rFonts w:hint="eastAsia" w:ascii="方正仿宋_GBK" w:hAnsi="宋体" w:eastAsia="方正仿宋_GBK"/>
                <w:b/>
                <w:sz w:val="21"/>
                <w:szCs w:val="21"/>
              </w:rPr>
              <w:t>名称</w:t>
            </w:r>
          </w:p>
        </w:tc>
        <w:tc>
          <w:tcPr>
            <w:tcW w:w="3127" w:type="dxa"/>
            <w:noWrap w:val="0"/>
            <w:vAlign w:val="center"/>
          </w:tcPr>
          <w:p>
            <w:pPr>
              <w:jc w:val="center"/>
              <w:rPr>
                <w:rFonts w:hint="eastAsia" w:ascii="方正仿宋_GBK" w:hAnsi="宋体" w:eastAsia="方正仿宋_GBK"/>
                <w:b/>
                <w:sz w:val="21"/>
                <w:szCs w:val="21"/>
              </w:rPr>
            </w:pPr>
            <w:r>
              <w:rPr>
                <w:rFonts w:hint="eastAsia" w:ascii="方正仿宋_GBK" w:hAnsi="宋体" w:eastAsia="方正仿宋_GBK"/>
                <w:b/>
                <w:sz w:val="21"/>
                <w:szCs w:val="21"/>
              </w:rPr>
              <w:t>相关信息</w:t>
            </w:r>
          </w:p>
        </w:tc>
        <w:tc>
          <w:tcPr>
            <w:tcW w:w="1235" w:type="dxa"/>
            <w:noWrap w:val="0"/>
            <w:vAlign w:val="center"/>
          </w:tcPr>
          <w:p>
            <w:pPr>
              <w:jc w:val="center"/>
              <w:rPr>
                <w:rFonts w:hint="eastAsia" w:ascii="方正仿宋_GBK" w:hAnsi="宋体" w:eastAsia="方正仿宋_GBK"/>
                <w:b/>
                <w:sz w:val="21"/>
                <w:szCs w:val="21"/>
              </w:rPr>
            </w:pPr>
            <w:r>
              <w:rPr>
                <w:rFonts w:hint="eastAsia" w:ascii="方正仿宋_GBK" w:hAnsi="宋体" w:eastAsia="方正仿宋_GBK"/>
                <w:b/>
                <w:sz w:val="21"/>
                <w:szCs w:val="21"/>
              </w:rPr>
              <w:t>数量</w:t>
            </w:r>
          </w:p>
        </w:tc>
        <w:tc>
          <w:tcPr>
            <w:tcW w:w="1235" w:type="dxa"/>
            <w:noWrap w:val="0"/>
            <w:vAlign w:val="center"/>
          </w:tcPr>
          <w:p>
            <w:pPr>
              <w:jc w:val="center"/>
              <w:rPr>
                <w:rFonts w:hint="eastAsia" w:ascii="方正仿宋_GBK" w:hAnsi="宋体" w:eastAsia="方正仿宋_GBK"/>
                <w:b/>
                <w:sz w:val="21"/>
                <w:szCs w:val="21"/>
              </w:rPr>
            </w:pPr>
            <w:r>
              <w:rPr>
                <w:rFonts w:hint="eastAsia" w:ascii="方正仿宋_GBK" w:hAnsi="宋体" w:eastAsia="方正仿宋_GBK"/>
                <w:b/>
                <w:sz w:val="21"/>
                <w:szCs w:val="21"/>
              </w:rPr>
              <w:t>单价</w:t>
            </w:r>
          </w:p>
        </w:tc>
        <w:tc>
          <w:tcPr>
            <w:tcW w:w="1235" w:type="dxa"/>
            <w:noWrap w:val="0"/>
            <w:vAlign w:val="center"/>
          </w:tcPr>
          <w:p>
            <w:pPr>
              <w:jc w:val="center"/>
              <w:rPr>
                <w:rFonts w:hint="eastAsia" w:ascii="方正仿宋_GBK" w:hAnsi="宋体" w:eastAsia="方正仿宋_GBK"/>
                <w:b/>
                <w:sz w:val="21"/>
                <w:szCs w:val="21"/>
              </w:rPr>
            </w:pPr>
            <w:r>
              <w:rPr>
                <w:rFonts w:hint="eastAsia" w:ascii="方正仿宋_GBK" w:hAnsi="宋体" w:eastAsia="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1</w:t>
            </w:r>
          </w:p>
        </w:tc>
        <w:tc>
          <w:tcPr>
            <w:tcW w:w="1557" w:type="dxa"/>
            <w:noWrap w:val="0"/>
            <w:vAlign w:val="center"/>
          </w:tcPr>
          <w:p>
            <w:pPr>
              <w:jc w:val="center"/>
              <w:rPr>
                <w:rFonts w:hint="eastAsia" w:ascii="方正仿宋_GBK" w:hAnsi="宋体" w:eastAsia="方正仿宋_GBK"/>
                <w:sz w:val="21"/>
                <w:szCs w:val="21"/>
              </w:rPr>
            </w:pPr>
          </w:p>
        </w:tc>
        <w:tc>
          <w:tcPr>
            <w:tcW w:w="3127" w:type="dxa"/>
            <w:noWrap w:val="0"/>
            <w:vAlign w:val="top"/>
          </w:tcPr>
          <w:p>
            <w:pPr>
              <w:jc w:val="center"/>
              <w:rPr>
                <w:rFonts w:ascii="方正仿宋_GBK" w:hAnsi="宋体" w:eastAsia="方正仿宋_GBK"/>
                <w:sz w:val="21"/>
                <w:szCs w:val="21"/>
              </w:rPr>
            </w:pPr>
          </w:p>
        </w:tc>
        <w:tc>
          <w:tcPr>
            <w:tcW w:w="1235" w:type="dxa"/>
            <w:noWrap w:val="0"/>
            <w:vAlign w:val="center"/>
          </w:tcPr>
          <w:p>
            <w:pPr>
              <w:jc w:val="center"/>
              <w:rPr>
                <w:rFonts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2</w:t>
            </w:r>
          </w:p>
        </w:tc>
        <w:tc>
          <w:tcPr>
            <w:tcW w:w="1557" w:type="dxa"/>
            <w:noWrap w:val="0"/>
            <w:vAlign w:val="center"/>
          </w:tcPr>
          <w:p>
            <w:pPr>
              <w:jc w:val="center"/>
              <w:rPr>
                <w:rFonts w:hint="eastAsia" w:ascii="方正仿宋_GBK" w:hAnsi="宋体" w:eastAsia="方正仿宋_GBK"/>
                <w:sz w:val="21"/>
                <w:szCs w:val="21"/>
              </w:rPr>
            </w:pP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3</w:t>
            </w:r>
          </w:p>
        </w:tc>
        <w:tc>
          <w:tcPr>
            <w:tcW w:w="1557" w:type="dxa"/>
            <w:noWrap w:val="0"/>
            <w:vAlign w:val="center"/>
          </w:tcPr>
          <w:p>
            <w:pPr>
              <w:jc w:val="center"/>
              <w:rPr>
                <w:rFonts w:hint="eastAsia" w:ascii="方正仿宋_GBK" w:hAnsi="宋体" w:eastAsia="方正仿宋_GBK"/>
                <w:sz w:val="21"/>
                <w:szCs w:val="21"/>
              </w:rPr>
            </w:pP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4</w:t>
            </w:r>
          </w:p>
        </w:tc>
        <w:tc>
          <w:tcPr>
            <w:tcW w:w="1557" w:type="dxa"/>
            <w:noWrap w:val="0"/>
            <w:vAlign w:val="center"/>
          </w:tcPr>
          <w:p>
            <w:pPr>
              <w:jc w:val="center"/>
              <w:rPr>
                <w:rFonts w:hint="eastAsia" w:ascii="方正仿宋_GBK" w:hAnsi="宋体" w:eastAsia="方正仿宋_GBK"/>
                <w:sz w:val="21"/>
                <w:szCs w:val="21"/>
              </w:rPr>
            </w:pP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5</w:t>
            </w:r>
          </w:p>
        </w:tc>
        <w:tc>
          <w:tcPr>
            <w:tcW w:w="1557" w:type="dxa"/>
            <w:noWrap w:val="0"/>
            <w:vAlign w:val="center"/>
          </w:tcPr>
          <w:p>
            <w:pPr>
              <w:jc w:val="center"/>
              <w:rPr>
                <w:rFonts w:hint="eastAsia" w:ascii="方正仿宋_GBK" w:hAnsi="宋体" w:eastAsia="方正仿宋_GBK"/>
                <w:sz w:val="21"/>
                <w:szCs w:val="21"/>
              </w:rPr>
            </w:pP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6</w:t>
            </w:r>
          </w:p>
        </w:tc>
        <w:tc>
          <w:tcPr>
            <w:tcW w:w="1557" w:type="dxa"/>
            <w:noWrap w:val="0"/>
            <w:vAlign w:val="center"/>
          </w:tcPr>
          <w:p>
            <w:pPr>
              <w:jc w:val="center"/>
              <w:rPr>
                <w:rFonts w:hint="eastAsia" w:ascii="方正仿宋_GBK" w:hAnsi="宋体" w:eastAsia="方正仿宋_GBK"/>
                <w:sz w:val="21"/>
                <w:szCs w:val="21"/>
              </w:rPr>
            </w:pP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7</w:t>
            </w:r>
          </w:p>
        </w:tc>
        <w:tc>
          <w:tcPr>
            <w:tcW w:w="1557" w:type="dxa"/>
            <w:noWrap w:val="0"/>
            <w:vAlign w:val="center"/>
          </w:tcPr>
          <w:p>
            <w:pPr>
              <w:jc w:val="center"/>
              <w:rPr>
                <w:rFonts w:hint="eastAsia" w:ascii="方正仿宋_GBK" w:hAnsi="宋体" w:eastAsia="方正仿宋_GBK"/>
                <w:sz w:val="21"/>
                <w:szCs w:val="21"/>
              </w:rPr>
            </w:pP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8</w:t>
            </w:r>
          </w:p>
        </w:tc>
        <w:tc>
          <w:tcPr>
            <w:tcW w:w="1557"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人工费</w:t>
            </w: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w:t>
            </w: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9</w:t>
            </w:r>
          </w:p>
        </w:tc>
        <w:tc>
          <w:tcPr>
            <w:tcW w:w="1557"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运输费</w:t>
            </w: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w:t>
            </w: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10</w:t>
            </w:r>
          </w:p>
        </w:tc>
        <w:tc>
          <w:tcPr>
            <w:tcW w:w="1557"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其他费用</w:t>
            </w: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w:t>
            </w: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11</w:t>
            </w:r>
          </w:p>
        </w:tc>
        <w:tc>
          <w:tcPr>
            <w:tcW w:w="1557"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w:t>
            </w:r>
          </w:p>
        </w:tc>
        <w:tc>
          <w:tcPr>
            <w:tcW w:w="3127" w:type="dxa"/>
            <w:noWrap w:val="0"/>
            <w:vAlign w:val="top"/>
          </w:tcPr>
          <w:p>
            <w:pPr>
              <w:jc w:val="center"/>
              <w:rPr>
                <w:rFonts w:hint="eastAsia" w:ascii="方正仿宋_GBK" w:hAnsi="宋体" w:eastAsia="方正仿宋_GBK"/>
                <w:sz w:val="21"/>
                <w:szCs w:val="21"/>
              </w:rPr>
            </w:pPr>
          </w:p>
        </w:tc>
        <w:tc>
          <w:tcPr>
            <w:tcW w:w="1235"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w:t>
            </w:r>
          </w:p>
        </w:tc>
        <w:tc>
          <w:tcPr>
            <w:tcW w:w="1235" w:type="dxa"/>
            <w:noWrap w:val="0"/>
            <w:vAlign w:val="top"/>
          </w:tcPr>
          <w:p>
            <w:pPr>
              <w:jc w:val="center"/>
              <w:rPr>
                <w:rFonts w:hint="eastAsia" w:ascii="方正仿宋_GBK" w:hAnsi="宋体" w:eastAsia="方正仿宋_GBK"/>
                <w:sz w:val="21"/>
                <w:szCs w:val="21"/>
              </w:rPr>
            </w:pPr>
          </w:p>
        </w:tc>
        <w:tc>
          <w:tcPr>
            <w:tcW w:w="1235" w:type="dxa"/>
            <w:noWrap w:val="0"/>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pPr>
              <w:pStyle w:val="23"/>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12</w:t>
            </w:r>
          </w:p>
        </w:tc>
        <w:tc>
          <w:tcPr>
            <w:tcW w:w="1557"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总计</w:t>
            </w:r>
          </w:p>
        </w:tc>
        <w:tc>
          <w:tcPr>
            <w:tcW w:w="6832" w:type="dxa"/>
            <w:gridSpan w:val="4"/>
            <w:noWrap w:val="0"/>
            <w:vAlign w:val="top"/>
          </w:tcPr>
          <w:p>
            <w:pPr>
              <w:rPr>
                <w:rFonts w:hint="eastAsia" w:ascii="方正仿宋_GBK" w:hAnsi="宋体" w:eastAsia="方正仿宋_GBK"/>
                <w:sz w:val="21"/>
                <w:szCs w:val="21"/>
              </w:rPr>
            </w:pPr>
          </w:p>
        </w:tc>
      </w:tr>
    </w:tbl>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p>
    <w:p>
      <w:pPr>
        <w:pStyle w:val="37"/>
        <w:spacing w:line="360" w:lineRule="auto"/>
        <w:rPr>
          <w:rFonts w:hint="eastAsia" w:ascii="方正仿宋_GBK" w:hAnsi="宋体" w:eastAsia="方正仿宋_GBK"/>
          <w:sz w:val="24"/>
          <w:szCs w:val="24"/>
        </w:rPr>
      </w:pPr>
    </w:p>
    <w:p>
      <w:pPr>
        <w:pStyle w:val="37"/>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rPr>
          <w:rFonts w:hint="eastAsia"/>
        </w:rPr>
      </w:pPr>
    </w:p>
    <w:p>
      <w:pPr>
        <w:rPr>
          <w:rFonts w:hint="eastAsia"/>
        </w:rPr>
      </w:pPr>
    </w:p>
    <w:p>
      <w:pPr>
        <w:spacing w:line="360" w:lineRule="auto"/>
        <w:rPr>
          <w:rFonts w:hint="eastAsia"/>
        </w:rPr>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hint="eastAsia"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213" w:name="_Toc313008357"/>
      <w:bookmarkStart w:id="214" w:name="_Toc14073"/>
      <w:bookmarkStart w:id="215" w:name="_Toc22655"/>
      <w:bookmarkStart w:id="216" w:name="_Toc313888361"/>
      <w:bookmarkStart w:id="217" w:name="_Toc26085"/>
      <w:bookmarkStart w:id="218" w:name="_Toc342913420"/>
      <w:bookmarkStart w:id="219" w:name="_Toc65660380"/>
      <w:bookmarkStart w:id="220" w:name="_Toc106034809"/>
      <w:r>
        <w:rPr>
          <w:rFonts w:hint="eastAsia" w:ascii="方正仿宋_GBK" w:hAnsi="宋体" w:eastAsia="方正仿宋_GBK"/>
          <w:sz w:val="24"/>
        </w:rPr>
        <w:t>二、技术（质量）部分</w:t>
      </w:r>
      <w:bookmarkEnd w:id="213"/>
      <w:bookmarkEnd w:id="214"/>
      <w:bookmarkEnd w:id="215"/>
      <w:bookmarkEnd w:id="216"/>
      <w:bookmarkEnd w:id="217"/>
      <w:bookmarkEnd w:id="218"/>
      <w:bookmarkEnd w:id="219"/>
      <w:bookmarkEnd w:id="220"/>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（一）技术（质量）响应偏离表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2844"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noWrap w:val="0"/>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noWrap w:val="0"/>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noWrap w:val="0"/>
            <w:vAlign w:val="center"/>
          </w:tcPr>
          <w:p>
            <w:pPr>
              <w:tabs>
                <w:tab w:val="left" w:pos="6300"/>
              </w:tabs>
              <w:snapToGrid w:val="0"/>
              <w:jc w:val="center"/>
              <w:outlineLvl w:val="0"/>
              <w:rPr>
                <w:rFonts w:hint="eastAsia" w:ascii="方正仿宋_GBK" w:hAnsi="宋体" w:eastAsia="方正仿宋_GBK"/>
                <w:sz w:val="21"/>
                <w:szCs w:val="21"/>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项目技术（质量）需求”中所列条款进行比较和响应；</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hint="eastAsia" w:ascii="方正仿宋_GBK" w:hAnsi="宋体" w:eastAsia="方正仿宋_GBK"/>
          <w:sz w:val="24"/>
          <w:szCs w:val="24"/>
        </w:rPr>
      </w:pPr>
    </w:p>
    <w:p>
      <w:pPr>
        <w:pStyle w:val="3"/>
        <w:adjustRightInd w:val="0"/>
        <w:snapToGrid w:val="0"/>
        <w:spacing w:before="0" w:after="0" w:line="400" w:lineRule="exact"/>
        <w:ind w:firstLine="640" w:firstLineChars="200"/>
        <w:rPr>
          <w:rFonts w:hint="eastAsia" w:ascii="方正仿宋_GBK" w:hAnsi="宋体" w:eastAsia="方正仿宋_GBK"/>
          <w:sz w:val="24"/>
        </w:rPr>
      </w:pPr>
      <w:r>
        <w:rPr>
          <w:rFonts w:ascii="方正仿宋_GBK" w:eastAsia="方正仿宋_GBK"/>
          <w:b w:val="0"/>
        </w:rPr>
        <w:br w:type="page"/>
      </w:r>
      <w:bookmarkStart w:id="221" w:name="_Toc32339"/>
      <w:bookmarkStart w:id="222" w:name="_Toc27717"/>
      <w:bookmarkStart w:id="223" w:name="_Toc106034810"/>
      <w:bookmarkStart w:id="224" w:name="_Toc65660381"/>
      <w:bookmarkStart w:id="225" w:name="_Toc32158"/>
      <w:bookmarkStart w:id="226" w:name="_Toc313888362"/>
      <w:bookmarkStart w:id="227" w:name="_Toc313008358"/>
      <w:bookmarkStart w:id="228" w:name="_Toc342913421"/>
      <w:r>
        <w:rPr>
          <w:rFonts w:hint="eastAsia" w:ascii="方正仿宋_GBK" w:hAnsi="宋体" w:eastAsia="方正仿宋_GBK"/>
          <w:sz w:val="24"/>
        </w:rPr>
        <w:t>三、</w:t>
      </w:r>
      <w:r>
        <w:rPr>
          <w:rFonts w:hint="eastAsia" w:ascii="方正仿宋_GBK" w:hAnsi="宋体" w:eastAsia="方正仿宋_GBK"/>
          <w:sz w:val="24"/>
          <w:lang w:eastAsia="zh-CN"/>
        </w:rPr>
        <w:t>商务</w:t>
      </w:r>
      <w:r>
        <w:rPr>
          <w:rFonts w:hint="eastAsia" w:ascii="方正仿宋_GBK" w:hAnsi="宋体" w:eastAsia="方正仿宋_GBK"/>
          <w:sz w:val="24"/>
        </w:rPr>
        <w:t>服务部分</w:t>
      </w:r>
      <w:bookmarkEnd w:id="221"/>
      <w:bookmarkEnd w:id="222"/>
      <w:bookmarkEnd w:id="223"/>
      <w:bookmarkEnd w:id="224"/>
      <w:bookmarkEnd w:id="225"/>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（一）商务服务响应偏离表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项目商务需求</w:t>
            </w:r>
          </w:p>
        </w:tc>
        <w:tc>
          <w:tcPr>
            <w:tcW w:w="2438"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noWrap w:val="0"/>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noWrap w:val="0"/>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noWrap w:val="0"/>
            <w:vAlign w:val="center"/>
          </w:tcPr>
          <w:p>
            <w:pPr>
              <w:tabs>
                <w:tab w:val="left" w:pos="6300"/>
              </w:tabs>
              <w:snapToGrid w:val="0"/>
              <w:jc w:val="center"/>
              <w:outlineLvl w:val="0"/>
              <w:rPr>
                <w:rFonts w:hint="eastAsia" w:ascii="方正仿宋_GBK" w:hAnsi="宋体" w:eastAsia="方正仿宋_GBK"/>
                <w:sz w:val="21"/>
                <w:szCs w:val="24"/>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hint="eastAsia" w:ascii="方正仿宋_GBK" w:hAnsi="宋体" w:eastAsia="方正仿宋_GBK"/>
          <w:sz w:val="24"/>
          <w:szCs w:val="24"/>
        </w:rPr>
      </w:pP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hint="eastAsia" w:ascii="方正仿宋_GBK" w:hAnsi="宋体" w:eastAsia="方正仿宋_GBK"/>
          <w:sz w:val="24"/>
          <w:szCs w:val="24"/>
        </w:rPr>
      </w:pPr>
    </w:p>
    <w:p>
      <w:pPr>
        <w:pStyle w:val="3"/>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229" w:name="_Toc106034811"/>
      <w:bookmarkStart w:id="230" w:name="_Toc65660382"/>
      <w:bookmarkStart w:id="231" w:name="_Toc2082"/>
      <w:bookmarkStart w:id="232" w:name="_Toc21793"/>
      <w:bookmarkStart w:id="233" w:name="_Toc20162"/>
      <w:r>
        <w:rPr>
          <w:rFonts w:hint="eastAsia" w:ascii="方正仿宋_GBK" w:hAnsi="宋体" w:eastAsia="方正仿宋_GBK"/>
          <w:sz w:val="24"/>
        </w:rPr>
        <w:t>四、</w:t>
      </w:r>
      <w:bookmarkEnd w:id="226"/>
      <w:bookmarkEnd w:id="227"/>
      <w:bookmarkEnd w:id="228"/>
      <w:r>
        <w:rPr>
          <w:rFonts w:hint="eastAsia" w:ascii="方正仿宋_GBK" w:hAnsi="宋体" w:eastAsia="方正仿宋_GBK"/>
          <w:sz w:val="24"/>
        </w:rPr>
        <w:t>资格条件及其他</w:t>
      </w:r>
      <w:bookmarkEnd w:id="229"/>
      <w:bookmarkEnd w:id="230"/>
      <w:bookmarkEnd w:id="231"/>
      <w:bookmarkEnd w:id="232"/>
      <w:bookmarkEnd w:id="233"/>
      <w:bookmarkStart w:id="234" w:name="_Toc313008359"/>
      <w:bookmarkStart w:id="235" w:name="_Toc342913422"/>
      <w:bookmarkStart w:id="236" w:name="_Toc313888363"/>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56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56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hint="eastAsia" w:ascii="方正仿宋_GBK" w:hAnsi="宋体" w:eastAsia="方正仿宋_GBK"/>
          <w:sz w:val="24"/>
          <w:szCs w:val="28"/>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400" w:lineRule="exact"/>
        <w:ind w:firstLine="573"/>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56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（采购人或采购代理机构名称）：</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pPr>
        <w:widowControl/>
        <w:spacing w:line="400" w:lineRule="exact"/>
        <w:ind w:firstLine="7920" w:firstLineChars="3300"/>
        <w:jc w:val="left"/>
        <w:rPr>
          <w:rFonts w:hint="eastAsia" w:ascii="方正仿宋_GBK" w:hAnsi="宋体" w:eastAsia="方正仿宋_GBK"/>
          <w:sz w:val="24"/>
          <w:szCs w:val="24"/>
        </w:rPr>
      </w:pPr>
      <w:r>
        <w:rPr>
          <w:rFonts w:hint="eastAsia" w:ascii="方正仿宋_GBK" w:hAnsi="仿宋" w:eastAsia="方正仿宋_GBK"/>
          <w:sz w:val="24"/>
        </w:rPr>
        <w:t>年   月   日</w:t>
      </w:r>
    </w:p>
    <w:p>
      <w:pPr>
        <w:widowControl/>
        <w:spacing w:line="400" w:lineRule="exact"/>
        <w:ind w:firstLine="56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pPr>
        <w:widowControl/>
        <w:spacing w:line="400" w:lineRule="exact"/>
        <w:ind w:firstLine="480" w:firstLineChars="200"/>
        <w:jc w:val="left"/>
        <w:rPr>
          <w:rFonts w:hint="eastAsia" w:ascii="方正仿宋_GBK" w:hAnsi="宋体" w:eastAsia="方正仿宋_GBK"/>
          <w:sz w:val="24"/>
          <w:szCs w:val="24"/>
        </w:rPr>
      </w:pPr>
    </w:p>
    <w:p>
      <w:pPr>
        <w:pStyle w:val="3"/>
        <w:adjustRightInd w:val="0"/>
        <w:snapToGrid w:val="0"/>
        <w:spacing w:before="0" w:after="0" w:line="400" w:lineRule="exact"/>
        <w:ind w:firstLine="482" w:firstLineChars="200"/>
        <w:rPr>
          <w:rFonts w:hint="eastAsia" w:ascii="方正仿宋_GBK" w:hAnsi="宋体" w:eastAsia="方正仿宋_GBK"/>
          <w:sz w:val="24"/>
          <w:lang w:eastAsia="zh-CN"/>
        </w:rPr>
      </w:pPr>
      <w:r>
        <w:rPr>
          <w:rFonts w:ascii="方正仿宋_GBK" w:hAnsi="宋体" w:eastAsia="方正仿宋_GBK"/>
          <w:sz w:val="24"/>
          <w:szCs w:val="24"/>
        </w:rPr>
        <w:br w:type="page"/>
      </w:r>
      <w:bookmarkStart w:id="237" w:name="_Toc106034812"/>
      <w:bookmarkStart w:id="238" w:name="_Toc17010"/>
      <w:bookmarkStart w:id="239" w:name="_Toc2080"/>
      <w:bookmarkStart w:id="240" w:name="_Toc15815"/>
      <w:bookmarkStart w:id="241" w:name="_Toc65660383"/>
      <w:r>
        <w:rPr>
          <w:rFonts w:hint="eastAsia" w:ascii="方正仿宋_GBK" w:hAnsi="宋体" w:eastAsia="方正仿宋_GBK"/>
          <w:sz w:val="24"/>
        </w:rPr>
        <w:t>五、</w:t>
      </w:r>
      <w:bookmarkEnd w:id="234"/>
      <w:bookmarkEnd w:id="235"/>
      <w:bookmarkEnd w:id="236"/>
      <w:r>
        <w:rPr>
          <w:rFonts w:hint="eastAsia" w:ascii="方正仿宋_GBK" w:hAnsi="宋体" w:eastAsia="方正仿宋_GBK"/>
          <w:sz w:val="24"/>
        </w:rPr>
        <w:t>其他资料</w:t>
      </w:r>
      <w:bookmarkEnd w:id="237"/>
      <w:bookmarkEnd w:id="238"/>
      <w:bookmarkEnd w:id="239"/>
      <w:bookmarkEnd w:id="240"/>
      <w:bookmarkEnd w:id="241"/>
    </w:p>
    <w:p>
      <w:pPr>
        <w:widowControl/>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（一）其他与项目有关的资料（自附）</w:t>
      </w:r>
    </w:p>
    <w:p>
      <w:pPr>
        <w:spacing w:line="360" w:lineRule="auto"/>
        <w:ind w:firstLine="480" w:firstLineChars="200"/>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560" w:firstLineChars="200"/>
        <w:jc w:val="center"/>
        <w:rPr>
          <w:rFonts w:hint="eastAsia" w:ascii="方正仿宋_GBK" w:hAnsi="仿宋" w:eastAsia="方正仿宋_GBK"/>
        </w:rPr>
      </w:pPr>
      <w:r>
        <w:rPr>
          <w:rFonts w:hint="eastAsia" w:ascii="方正仿宋_GBK" w:hAnsi="仿宋" w:eastAsia="方正仿宋_GBK"/>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昆仑楷体">
    <w:altName w:val="宋体"/>
    <w:panose1 w:val="0201060900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文鼎粗黑">
    <w:altName w:val="黑体"/>
    <w:panose1 w:val="020B060901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0"/>
        <w:rFonts w:hint="eastAsia"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- 13 -</w:t>
    </w:r>
    <w:r>
      <w:rPr>
        <w:rFonts w:ascii="宋体"/>
        <w:sz w:val="21"/>
        <w:szCs w:val="21"/>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fldChar w:fldCharType="begin"/>
    </w:r>
    <w:r>
      <w:rPr>
        <w:rStyle w:val="60"/>
      </w:rPr>
      <w:instrText xml:space="preserve">PAGE  </w:instrText>
    </w:r>
    <w:r>
      <w:fldChar w:fldCharType="separate"/>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p>
  <w:p>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hint="eastAsia" w:ascii="宋体" w:hAnsi="宋体"/>
        <w:sz w:val="21"/>
        <w:szCs w:val="21"/>
      </w:rP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- 31 -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0"/>
      </w:rPr>
    </w:pPr>
    <w:r>
      <w:fldChar w:fldCharType="begin"/>
    </w:r>
    <w:r>
      <w:rPr>
        <w:rStyle w:val="60"/>
      </w:rPr>
      <w:instrText xml:space="preserve">PAGE  </w:instrText>
    </w:r>
    <w:r>
      <w:fldChar w:fldCharType="separate"/>
    </w:r>
    <w:r>
      <w:fldChar w:fldCharType="end"/>
    </w:r>
  </w:p>
  <w:p>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hint="eastAsia"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7240CE"/>
    <w:multiLevelType w:val="singleLevel"/>
    <w:tmpl w:val="B17240CE"/>
    <w:lvl w:ilvl="0" w:tentative="0">
      <w:start w:val="1"/>
      <w:numFmt w:val="decimal"/>
      <w:lvlText w:val="(%1)"/>
      <w:lvlJc w:val="left"/>
      <w:pPr>
        <w:tabs>
          <w:tab w:val="left" w:pos="312"/>
        </w:tabs>
      </w:pPr>
    </w:lvl>
  </w:abstractNum>
  <w:abstractNum w:abstractNumId="1">
    <w:nsid w:val="00000009"/>
    <w:multiLevelType w:val="multilevel"/>
    <w:tmpl w:val="00000009"/>
    <w:lvl w:ilvl="0" w:tentative="0">
      <w:start w:val="1"/>
      <w:numFmt w:val="upperLetter"/>
      <w:pStyle w:val="143"/>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9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1"/>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8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223"/>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0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16"/>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00"/>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5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9D7BBA2"/>
    <w:multiLevelType w:val="singleLevel"/>
    <w:tmpl w:val="69D7BBA2"/>
    <w:lvl w:ilvl="0" w:tentative="0">
      <w:start w:val="4"/>
      <w:numFmt w:val="chineseCounting"/>
      <w:suff w:val="nothing"/>
      <w:lvlText w:val="%1、"/>
      <w:lvlJc w:val="left"/>
      <w:rPr>
        <w:rFonts w:hint="eastAsia"/>
      </w:rPr>
    </w:lvl>
  </w:abstractNum>
  <w:num w:numId="1">
    <w:abstractNumId w:val="9"/>
  </w:num>
  <w:num w:numId="2">
    <w:abstractNumId w:val="6"/>
  </w:num>
  <w:num w:numId="3">
    <w:abstractNumId w:val="4"/>
  </w:num>
  <w:num w:numId="4">
    <w:abstractNumId w:val="10"/>
  </w:num>
  <w:num w:numId="5">
    <w:abstractNumId w:val="1"/>
  </w:num>
  <w:num w:numId="6">
    <w:abstractNumId w:val="12"/>
  </w:num>
  <w:num w:numId="7">
    <w:abstractNumId w:val="3"/>
  </w:num>
  <w:num w:numId="8">
    <w:abstractNumId w:val="5"/>
  </w:num>
  <w:num w:numId="9">
    <w:abstractNumId w:val="2"/>
  </w:num>
  <w:num w:numId="10">
    <w:abstractNumId w:val="11"/>
  </w:num>
  <w:num w:numId="11">
    <w:abstractNumId w:val="7"/>
  </w:num>
  <w:num w:numId="12">
    <w:abstractNumId w:val="8"/>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00172A27"/>
    <w:rsid w:val="00002EAF"/>
    <w:rsid w:val="00002ECA"/>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97872"/>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E6418"/>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0E32"/>
    <w:rsid w:val="00124CD0"/>
    <w:rsid w:val="00124CF0"/>
    <w:rsid w:val="001266BF"/>
    <w:rsid w:val="00131054"/>
    <w:rsid w:val="00133D16"/>
    <w:rsid w:val="0013496A"/>
    <w:rsid w:val="00135B50"/>
    <w:rsid w:val="00135E0D"/>
    <w:rsid w:val="001363B2"/>
    <w:rsid w:val="00136457"/>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569"/>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085E"/>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15ED"/>
    <w:rsid w:val="0024359D"/>
    <w:rsid w:val="00244E68"/>
    <w:rsid w:val="002539DF"/>
    <w:rsid w:val="00254ADB"/>
    <w:rsid w:val="00263F49"/>
    <w:rsid w:val="002643C1"/>
    <w:rsid w:val="00265C1F"/>
    <w:rsid w:val="00267DDF"/>
    <w:rsid w:val="00270ED7"/>
    <w:rsid w:val="00271A27"/>
    <w:rsid w:val="00271D47"/>
    <w:rsid w:val="002721EA"/>
    <w:rsid w:val="00275FED"/>
    <w:rsid w:val="00280E8A"/>
    <w:rsid w:val="00281FA5"/>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677F"/>
    <w:rsid w:val="002B7904"/>
    <w:rsid w:val="002C0821"/>
    <w:rsid w:val="002C2507"/>
    <w:rsid w:val="002C2E6E"/>
    <w:rsid w:val="002C69BF"/>
    <w:rsid w:val="002C6DF1"/>
    <w:rsid w:val="002D6522"/>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76A"/>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67A80"/>
    <w:rsid w:val="00371328"/>
    <w:rsid w:val="00371D2F"/>
    <w:rsid w:val="00372D5B"/>
    <w:rsid w:val="0037335E"/>
    <w:rsid w:val="00375E03"/>
    <w:rsid w:val="0038344F"/>
    <w:rsid w:val="00384161"/>
    <w:rsid w:val="00387610"/>
    <w:rsid w:val="00396FFE"/>
    <w:rsid w:val="003973D3"/>
    <w:rsid w:val="003A01BE"/>
    <w:rsid w:val="003A0892"/>
    <w:rsid w:val="003A449E"/>
    <w:rsid w:val="003A501C"/>
    <w:rsid w:val="003A57F1"/>
    <w:rsid w:val="003A71F3"/>
    <w:rsid w:val="003B0EA5"/>
    <w:rsid w:val="003B19F5"/>
    <w:rsid w:val="003B2501"/>
    <w:rsid w:val="003B7725"/>
    <w:rsid w:val="003B7B71"/>
    <w:rsid w:val="003C0A38"/>
    <w:rsid w:val="003C7D3E"/>
    <w:rsid w:val="003D0E0A"/>
    <w:rsid w:val="003D1569"/>
    <w:rsid w:val="003E1F8A"/>
    <w:rsid w:val="003E4727"/>
    <w:rsid w:val="003E5324"/>
    <w:rsid w:val="003E5E67"/>
    <w:rsid w:val="00400D29"/>
    <w:rsid w:val="00402B32"/>
    <w:rsid w:val="00410C93"/>
    <w:rsid w:val="00411B4A"/>
    <w:rsid w:val="00412680"/>
    <w:rsid w:val="00413051"/>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95BF6"/>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C6B57"/>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47452"/>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1F23"/>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078D1"/>
    <w:rsid w:val="00610C5F"/>
    <w:rsid w:val="00613410"/>
    <w:rsid w:val="00615434"/>
    <w:rsid w:val="0061717E"/>
    <w:rsid w:val="00617986"/>
    <w:rsid w:val="006215F4"/>
    <w:rsid w:val="00625262"/>
    <w:rsid w:val="00627DD2"/>
    <w:rsid w:val="00635B4B"/>
    <w:rsid w:val="00640026"/>
    <w:rsid w:val="006414B7"/>
    <w:rsid w:val="00644B72"/>
    <w:rsid w:val="006510C0"/>
    <w:rsid w:val="00654A48"/>
    <w:rsid w:val="006552FD"/>
    <w:rsid w:val="00655374"/>
    <w:rsid w:val="0065651B"/>
    <w:rsid w:val="00664607"/>
    <w:rsid w:val="0066468B"/>
    <w:rsid w:val="00670089"/>
    <w:rsid w:val="00670560"/>
    <w:rsid w:val="00674E28"/>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6DF"/>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7E7"/>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3CF7"/>
    <w:rsid w:val="008B53D8"/>
    <w:rsid w:val="008B63A1"/>
    <w:rsid w:val="008C28C6"/>
    <w:rsid w:val="008C3708"/>
    <w:rsid w:val="008C510F"/>
    <w:rsid w:val="008D264D"/>
    <w:rsid w:val="008D4DD3"/>
    <w:rsid w:val="008D5EB0"/>
    <w:rsid w:val="008D6EBF"/>
    <w:rsid w:val="008E0E94"/>
    <w:rsid w:val="008E34A8"/>
    <w:rsid w:val="008E39CA"/>
    <w:rsid w:val="008E50B8"/>
    <w:rsid w:val="008E5635"/>
    <w:rsid w:val="008E66B8"/>
    <w:rsid w:val="008F00E5"/>
    <w:rsid w:val="008F1988"/>
    <w:rsid w:val="008F1F16"/>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148"/>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7C"/>
    <w:rsid w:val="009821C6"/>
    <w:rsid w:val="00983B43"/>
    <w:rsid w:val="009935C9"/>
    <w:rsid w:val="00996D2C"/>
    <w:rsid w:val="009A070C"/>
    <w:rsid w:val="009A2B07"/>
    <w:rsid w:val="009A33B7"/>
    <w:rsid w:val="009B6CE9"/>
    <w:rsid w:val="009B6D65"/>
    <w:rsid w:val="009C032D"/>
    <w:rsid w:val="009C10B5"/>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375F6"/>
    <w:rsid w:val="00A417D7"/>
    <w:rsid w:val="00A445DC"/>
    <w:rsid w:val="00A44BEA"/>
    <w:rsid w:val="00A527E2"/>
    <w:rsid w:val="00A53472"/>
    <w:rsid w:val="00A553F3"/>
    <w:rsid w:val="00A575D9"/>
    <w:rsid w:val="00A57A7E"/>
    <w:rsid w:val="00A60C8A"/>
    <w:rsid w:val="00A66DEB"/>
    <w:rsid w:val="00A67DFB"/>
    <w:rsid w:val="00A67FC1"/>
    <w:rsid w:val="00A711C6"/>
    <w:rsid w:val="00A71B75"/>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257B2"/>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2B98"/>
    <w:rsid w:val="00BB5D6B"/>
    <w:rsid w:val="00BB7494"/>
    <w:rsid w:val="00BB778C"/>
    <w:rsid w:val="00BC0431"/>
    <w:rsid w:val="00BC19B9"/>
    <w:rsid w:val="00BC1C91"/>
    <w:rsid w:val="00BC4A5C"/>
    <w:rsid w:val="00BD0FBA"/>
    <w:rsid w:val="00BD7B7F"/>
    <w:rsid w:val="00BE07A9"/>
    <w:rsid w:val="00BE0A4E"/>
    <w:rsid w:val="00BE33D1"/>
    <w:rsid w:val="00BF4FCD"/>
    <w:rsid w:val="00BF5230"/>
    <w:rsid w:val="00BF7EE4"/>
    <w:rsid w:val="00C1090C"/>
    <w:rsid w:val="00C1225D"/>
    <w:rsid w:val="00C1550E"/>
    <w:rsid w:val="00C23C73"/>
    <w:rsid w:val="00C240C8"/>
    <w:rsid w:val="00C24112"/>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36C6"/>
    <w:rsid w:val="00D05BAA"/>
    <w:rsid w:val="00D06924"/>
    <w:rsid w:val="00D07FB9"/>
    <w:rsid w:val="00D10112"/>
    <w:rsid w:val="00D121B8"/>
    <w:rsid w:val="00D13B7A"/>
    <w:rsid w:val="00D15F88"/>
    <w:rsid w:val="00D22C4B"/>
    <w:rsid w:val="00D230C7"/>
    <w:rsid w:val="00D23E7D"/>
    <w:rsid w:val="00D2405F"/>
    <w:rsid w:val="00D249AF"/>
    <w:rsid w:val="00D25FE3"/>
    <w:rsid w:val="00D30C7F"/>
    <w:rsid w:val="00D35D2A"/>
    <w:rsid w:val="00D36C73"/>
    <w:rsid w:val="00D41BA9"/>
    <w:rsid w:val="00D41F63"/>
    <w:rsid w:val="00D43888"/>
    <w:rsid w:val="00D456F3"/>
    <w:rsid w:val="00D46250"/>
    <w:rsid w:val="00D46D47"/>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C2AD0"/>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27B5"/>
    <w:rsid w:val="00E64B94"/>
    <w:rsid w:val="00E654A2"/>
    <w:rsid w:val="00E71934"/>
    <w:rsid w:val="00E7342C"/>
    <w:rsid w:val="00E75B15"/>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B729E"/>
    <w:rsid w:val="00EC0215"/>
    <w:rsid w:val="00EC029D"/>
    <w:rsid w:val="00EC0881"/>
    <w:rsid w:val="00EC3AB1"/>
    <w:rsid w:val="00ED05EA"/>
    <w:rsid w:val="00ED0742"/>
    <w:rsid w:val="00ED216E"/>
    <w:rsid w:val="00ED579F"/>
    <w:rsid w:val="00EE061A"/>
    <w:rsid w:val="00EE0F6C"/>
    <w:rsid w:val="00EE30AF"/>
    <w:rsid w:val="00EE67BB"/>
    <w:rsid w:val="00EE68E4"/>
    <w:rsid w:val="00EF2477"/>
    <w:rsid w:val="00F009EC"/>
    <w:rsid w:val="00F03062"/>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56A24"/>
    <w:rsid w:val="00F573CF"/>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3031"/>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37F1AAB"/>
    <w:rsid w:val="04230252"/>
    <w:rsid w:val="0480254A"/>
    <w:rsid w:val="04D46D43"/>
    <w:rsid w:val="06073F39"/>
    <w:rsid w:val="0883059C"/>
    <w:rsid w:val="08C52A1E"/>
    <w:rsid w:val="0DAB64B5"/>
    <w:rsid w:val="10211A16"/>
    <w:rsid w:val="107752B0"/>
    <w:rsid w:val="11A92009"/>
    <w:rsid w:val="12D62551"/>
    <w:rsid w:val="13826190"/>
    <w:rsid w:val="19AC5D43"/>
    <w:rsid w:val="1B6E01C3"/>
    <w:rsid w:val="1BA4182E"/>
    <w:rsid w:val="1C746C70"/>
    <w:rsid w:val="1DF1193F"/>
    <w:rsid w:val="1ED03CC7"/>
    <w:rsid w:val="21E738ED"/>
    <w:rsid w:val="245B32B8"/>
    <w:rsid w:val="25F15DB5"/>
    <w:rsid w:val="266A7FA7"/>
    <w:rsid w:val="26AE396E"/>
    <w:rsid w:val="2B286BC5"/>
    <w:rsid w:val="2C2D2523"/>
    <w:rsid w:val="2F57706B"/>
    <w:rsid w:val="36EA2EF3"/>
    <w:rsid w:val="3A5D4B32"/>
    <w:rsid w:val="3A9E5DDE"/>
    <w:rsid w:val="3AA5205F"/>
    <w:rsid w:val="3B0D2CD2"/>
    <w:rsid w:val="3D396C7C"/>
    <w:rsid w:val="414C48A8"/>
    <w:rsid w:val="4311195E"/>
    <w:rsid w:val="446366DB"/>
    <w:rsid w:val="44637395"/>
    <w:rsid w:val="44D807C9"/>
    <w:rsid w:val="461F6313"/>
    <w:rsid w:val="4A0C2326"/>
    <w:rsid w:val="4AB71F04"/>
    <w:rsid w:val="4AE84DC5"/>
    <w:rsid w:val="4D6F2A8C"/>
    <w:rsid w:val="4E3F2D9E"/>
    <w:rsid w:val="51BB25F2"/>
    <w:rsid w:val="52F460A0"/>
    <w:rsid w:val="531E68CD"/>
    <w:rsid w:val="545C6AF1"/>
    <w:rsid w:val="54BC180C"/>
    <w:rsid w:val="57DA75E4"/>
    <w:rsid w:val="59D9651C"/>
    <w:rsid w:val="5BD75000"/>
    <w:rsid w:val="5D1B313B"/>
    <w:rsid w:val="5E910B3F"/>
    <w:rsid w:val="666A0BEA"/>
    <w:rsid w:val="69E52920"/>
    <w:rsid w:val="6FF64DFB"/>
    <w:rsid w:val="70D1340C"/>
    <w:rsid w:val="717A577F"/>
    <w:rsid w:val="72026C0C"/>
    <w:rsid w:val="721C3F61"/>
    <w:rsid w:val="75123F8E"/>
    <w:rsid w:val="78523929"/>
    <w:rsid w:val="789E5CA1"/>
    <w:rsid w:val="7E547BDF"/>
    <w:rsid w:val="7FA448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6"/>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67"/>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8">
    <w:name w:val="Default Paragraph Font"/>
    <w:qFormat/>
    <w:uiPriority w:val="0"/>
  </w:style>
  <w:style w:type="table" w:default="1" w:styleId="57">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pPr>
    <w:rPr>
      <w:rFonts w:ascii="Arial" w:hAnsi="Arial"/>
      <w:sz w:val="24"/>
    </w:rPr>
  </w:style>
  <w:style w:type="paragraph" w:styleId="19">
    <w:name w:val="annotation text"/>
    <w:basedOn w:val="1"/>
    <w:link w:val="68"/>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afterLines="0" w:afterAutospacing="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69"/>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70"/>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1"/>
    <w:qFormat/>
    <w:uiPriority w:val="0"/>
  </w:style>
  <w:style w:type="paragraph" w:styleId="33">
    <w:name w:val="Body Text Indent 2"/>
    <w:basedOn w:val="1"/>
    <w:link w:val="72"/>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3"/>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afterLines="0" w:afterAutospacing="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0">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1">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4">
    <w:name w:val="annotation subject"/>
    <w:basedOn w:val="19"/>
    <w:next w:val="19"/>
    <w:link w:val="74"/>
    <w:qFormat/>
    <w:uiPriority w:val="0"/>
    <w:pPr>
      <w:adjustRightInd/>
      <w:spacing w:line="240" w:lineRule="auto"/>
      <w:textAlignment w:val="auto"/>
    </w:pPr>
  </w:style>
  <w:style w:type="paragraph" w:styleId="55">
    <w:name w:val="Body Text First Indent"/>
    <w:basedOn w:val="22"/>
    <w:qFormat/>
    <w:uiPriority w:val="0"/>
    <w:pPr>
      <w:spacing w:line="360" w:lineRule="auto"/>
      <w:ind w:firstLine="420"/>
    </w:pPr>
    <w:rPr>
      <w:rFonts w:ascii="宋体" w:hAnsi="宋体"/>
      <w:sz w:val="24"/>
    </w:rPr>
  </w:style>
  <w:style w:type="paragraph" w:styleId="56">
    <w:name w:val="Body Text First Indent 2"/>
    <w:basedOn w:val="23"/>
    <w:link w:val="75"/>
    <w:qFormat/>
    <w:uiPriority w:val="0"/>
    <w:pPr>
      <w:spacing w:after="120" w:afterLines="0" w:line="240" w:lineRule="auto"/>
      <w:ind w:left="420" w:leftChars="200" w:firstLine="420" w:firstLineChars="200"/>
    </w:pPr>
  </w:style>
  <w:style w:type="character" w:styleId="59">
    <w:name w:val="Strong"/>
    <w:qFormat/>
    <w:uiPriority w:val="22"/>
    <w:rPr>
      <w:b/>
    </w:rPr>
  </w:style>
  <w:style w:type="character" w:styleId="60">
    <w:name w:val="page number"/>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character" w:customStyle="1" w:styleId="66">
    <w:name w:val="标题 2 Char"/>
    <w:link w:val="3"/>
    <w:qFormat/>
    <w:uiPriority w:val="0"/>
    <w:rPr>
      <w:rFonts w:ascii="Arial" w:hAnsi="Arial" w:eastAsia="黑体"/>
      <w:b/>
      <w:kern w:val="2"/>
      <w:sz w:val="32"/>
    </w:rPr>
  </w:style>
  <w:style w:type="character" w:customStyle="1" w:styleId="67">
    <w:name w:val="标题 3 Char"/>
    <w:link w:val="4"/>
    <w:qFormat/>
    <w:uiPriority w:val="0"/>
    <w:rPr>
      <w:rFonts w:eastAsia="宋体"/>
      <w:b/>
      <w:kern w:val="2"/>
      <w:sz w:val="32"/>
      <w:lang w:val="en-US" w:eastAsia="zh-CN"/>
    </w:rPr>
  </w:style>
  <w:style w:type="character" w:customStyle="1" w:styleId="68">
    <w:name w:val="批注文字 Char"/>
    <w:link w:val="19"/>
    <w:qFormat/>
    <w:uiPriority w:val="0"/>
    <w:rPr>
      <w:sz w:val="24"/>
    </w:rPr>
  </w:style>
  <w:style w:type="character" w:customStyle="1" w:styleId="69">
    <w:name w:val="正文文本缩进 Char"/>
    <w:link w:val="23"/>
    <w:qFormat/>
    <w:uiPriority w:val="0"/>
    <w:rPr>
      <w:kern w:val="2"/>
      <w:sz w:val="44"/>
    </w:rPr>
  </w:style>
  <w:style w:type="character" w:customStyle="1" w:styleId="70">
    <w:name w:val="纯文本 Char"/>
    <w:link w:val="30"/>
    <w:qFormat/>
    <w:uiPriority w:val="0"/>
    <w:rPr>
      <w:rFonts w:ascii="宋体" w:hAnsi="Courier New"/>
      <w:kern w:val="2"/>
      <w:sz w:val="21"/>
    </w:rPr>
  </w:style>
  <w:style w:type="character" w:customStyle="1" w:styleId="71">
    <w:name w:val="日期 Char"/>
    <w:link w:val="32"/>
    <w:qFormat/>
    <w:uiPriority w:val="0"/>
    <w:rPr>
      <w:kern w:val="2"/>
      <w:sz w:val="28"/>
    </w:rPr>
  </w:style>
  <w:style w:type="character" w:customStyle="1" w:styleId="72">
    <w:name w:val="正文文本缩进 2 Char"/>
    <w:link w:val="33"/>
    <w:qFormat/>
    <w:uiPriority w:val="0"/>
    <w:rPr>
      <w:kern w:val="2"/>
      <w:sz w:val="28"/>
    </w:rPr>
  </w:style>
  <w:style w:type="character" w:customStyle="1" w:styleId="73">
    <w:name w:val="脚注文本 Char"/>
    <w:link w:val="40"/>
    <w:qFormat/>
    <w:uiPriority w:val="0"/>
    <w:rPr>
      <w:kern w:val="2"/>
      <w:sz w:val="18"/>
    </w:rPr>
  </w:style>
  <w:style w:type="character" w:customStyle="1" w:styleId="74">
    <w:name w:val="批注主题 Char"/>
    <w:link w:val="54"/>
    <w:qFormat/>
    <w:uiPriority w:val="0"/>
  </w:style>
  <w:style w:type="character" w:customStyle="1" w:styleId="75">
    <w:name w:val="正文首行缩进 2 Char"/>
    <w:link w:val="56"/>
    <w:qFormat/>
    <w:uiPriority w:val="0"/>
  </w:style>
  <w:style w:type="character" w:customStyle="1" w:styleId="76">
    <w:name w:val="content-white1"/>
    <w:qFormat/>
    <w:uiPriority w:val="0"/>
    <w:rPr>
      <w:rFonts w:ascii="_x000B__x000C_" w:hAnsi="_x000B__x000C_"/>
      <w:color w:val="auto"/>
      <w:sz w:val="18"/>
      <w:u w:val="none"/>
    </w:rPr>
  </w:style>
  <w:style w:type="character" w:customStyle="1" w:styleId="77">
    <w:name w:val=" Char Char3"/>
    <w:qFormat/>
    <w:uiPriority w:val="0"/>
    <w:rPr>
      <w:rFonts w:eastAsia="宋体"/>
      <w:kern w:val="2"/>
      <w:sz w:val="18"/>
      <w:lang w:val="en-US" w:eastAsia="zh-CN"/>
    </w:rPr>
  </w:style>
  <w:style w:type="character" w:customStyle="1" w:styleId="78">
    <w:name w:val="Table Text Char Char Char Char"/>
    <w:link w:val="79"/>
    <w:qFormat/>
    <w:uiPriority w:val="0"/>
    <w:rPr>
      <w:rFonts w:ascii="Arial" w:hAnsi="Arial"/>
      <w:kern w:val="2"/>
      <w:sz w:val="18"/>
      <w:lang w:val="en-US" w:eastAsia="zh-CN" w:bidi="ar-SA"/>
    </w:rPr>
  </w:style>
  <w:style w:type="paragraph" w:customStyle="1" w:styleId="79">
    <w:name w:val="Table Text Char Char Char"/>
    <w:link w:val="78"/>
    <w:qFormat/>
    <w:uiPriority w:val="0"/>
    <w:pPr>
      <w:snapToGrid w:val="0"/>
      <w:spacing w:before="80" w:after="80"/>
    </w:pPr>
    <w:rPr>
      <w:rFonts w:ascii="Arial" w:hAnsi="Arial" w:eastAsia="宋体" w:cs="Times New Roman"/>
      <w:kern w:val="2"/>
      <w:sz w:val="18"/>
      <w:lang w:val="en-US" w:eastAsia="zh-CN" w:bidi="ar-SA"/>
    </w:rPr>
  </w:style>
  <w:style w:type="character" w:customStyle="1" w:styleId="80">
    <w:name w:val=" Char Char7"/>
    <w:qFormat/>
    <w:uiPriority w:val="0"/>
    <w:rPr>
      <w:rFonts w:ascii="宋体" w:hAnsi="宋体" w:eastAsia="宋体"/>
      <w:kern w:val="2"/>
      <w:sz w:val="28"/>
    </w:rPr>
  </w:style>
  <w:style w:type="character" w:customStyle="1" w:styleId="81">
    <w:name w:val="未命名11"/>
    <w:qFormat/>
    <w:uiPriority w:val="0"/>
    <w:rPr>
      <w:color w:val="77FFFF"/>
      <w:sz w:val="24"/>
    </w:rPr>
  </w:style>
  <w:style w:type="character" w:customStyle="1" w:styleId="82">
    <w:name w:val="小 Char"/>
    <w:qFormat/>
    <w:uiPriority w:val="0"/>
    <w:rPr>
      <w:rFonts w:ascii="宋体" w:hAnsi="Courier New" w:eastAsia="宋体"/>
      <w:kern w:val="2"/>
      <w:sz w:val="21"/>
      <w:lang w:val="en-US" w:eastAsia="zh-CN" w:bidi="ar-SA"/>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v151"/>
    <w:qFormat/>
    <w:uiPriority w:val="0"/>
    <w:rPr>
      <w:sz w:val="18"/>
    </w:rPr>
  </w:style>
  <w:style w:type="character" w:customStyle="1" w:styleId="86">
    <w:name w:val=" Char Char2"/>
    <w:qFormat/>
    <w:uiPriority w:val="0"/>
    <w:rPr>
      <w:rFonts w:eastAsia="宋体"/>
      <w:kern w:val="2"/>
      <w:sz w:val="18"/>
      <w:lang w:val="en-US" w:eastAsia="zh-CN"/>
    </w:rPr>
  </w:style>
  <w:style w:type="character" w:customStyle="1" w:styleId="87">
    <w:name w:val="Table Text Char"/>
    <w:link w:val="88"/>
    <w:qFormat/>
    <w:uiPriority w:val="0"/>
    <w:rPr>
      <w:rFonts w:ascii="Arial" w:hAnsi="Arial"/>
      <w:kern w:val="2"/>
      <w:sz w:val="18"/>
      <w:lang w:val="en-US" w:eastAsia="zh-CN" w:bidi="ar-SA"/>
    </w:rPr>
  </w:style>
  <w:style w:type="paragraph" w:customStyle="1" w:styleId="88">
    <w:name w:val="Table Text"/>
    <w:link w:val="87"/>
    <w:qFormat/>
    <w:uiPriority w:val="0"/>
    <w:pPr>
      <w:snapToGrid w:val="0"/>
      <w:spacing w:before="80" w:after="80"/>
    </w:pPr>
    <w:rPr>
      <w:rFonts w:ascii="Arial" w:hAnsi="Arial" w:eastAsia="宋体" w:cs="Times New Roman"/>
      <w:kern w:val="2"/>
      <w:sz w:val="18"/>
      <w:lang w:val="en-US" w:eastAsia="zh-CN" w:bidi="ar-SA"/>
    </w:rPr>
  </w:style>
  <w:style w:type="character" w:customStyle="1" w:styleId="89">
    <w:name w:val="Table Heading Char Char"/>
    <w:qFormat/>
    <w:uiPriority w:val="0"/>
    <w:rPr>
      <w:rFonts w:ascii="Arial" w:hAnsi="Arial" w:eastAsia="黑体"/>
      <w:kern w:val="2"/>
      <w:sz w:val="18"/>
      <w:lang w:val="en-US" w:eastAsia="zh-CN"/>
    </w:rPr>
  </w:style>
  <w:style w:type="character" w:customStyle="1" w:styleId="90">
    <w:name w:val=" Char Char11"/>
    <w:qFormat/>
    <w:uiPriority w:val="0"/>
    <w:rPr>
      <w:rFonts w:ascii="宋体"/>
      <w:kern w:val="2"/>
      <w:sz w:val="28"/>
    </w:rPr>
  </w:style>
  <w:style w:type="character" w:customStyle="1" w:styleId="91">
    <w:name w:val="样式 宋体"/>
    <w:qFormat/>
    <w:uiPriority w:val="0"/>
    <w:rPr>
      <w:rFonts w:ascii="宋体" w:hAnsi="宋体" w:eastAsia="宋体"/>
      <w:sz w:val="28"/>
    </w:rPr>
  </w:style>
  <w:style w:type="character" w:customStyle="1" w:styleId="92">
    <w:name w:val="正文 + 三号 Char"/>
    <w:qFormat/>
    <w:uiPriority w:val="0"/>
    <w:rPr>
      <w:rFonts w:eastAsia="宋体"/>
      <w:kern w:val="2"/>
      <w:sz w:val="21"/>
      <w:lang w:val="en-US" w:eastAsia="zh-CN"/>
    </w:rPr>
  </w:style>
  <w:style w:type="character" w:customStyle="1" w:styleId="93">
    <w:name w:val="crowed11"/>
    <w:qFormat/>
    <w:uiPriority w:val="0"/>
    <w:rPr>
      <w:rFonts w:hint="default" w:ascii="_x000B__x000C_" w:hAnsi="_x000B__x000C_"/>
      <w:sz w:val="24"/>
    </w:rPr>
  </w:style>
  <w:style w:type="character" w:customStyle="1" w:styleId="94">
    <w:name w:val="font1"/>
    <w:qFormat/>
    <w:uiPriority w:val="0"/>
    <w:rPr>
      <w:color w:val="000000"/>
      <w:sz w:val="18"/>
    </w:rPr>
  </w:style>
  <w:style w:type="character" w:customStyle="1" w:styleId="95">
    <w:name w:val="H2 Char"/>
    <w:qFormat/>
    <w:uiPriority w:val="0"/>
    <w:rPr>
      <w:rFonts w:ascii="Arial" w:hAnsi="Arial" w:eastAsia="宋体"/>
      <w:kern w:val="2"/>
      <w:sz w:val="28"/>
      <w:lang w:val="en-US" w:eastAsia="zh-CN"/>
    </w:rPr>
  </w:style>
  <w:style w:type="character" w:customStyle="1" w:styleId="96">
    <w:name w:val=" 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 Char Char6"/>
    <w:qFormat/>
    <w:uiPriority w:val="0"/>
    <w:rPr>
      <w:rFonts w:ascii="仿宋_GB2312" w:eastAsia="仿宋_GB2312"/>
      <w:kern w:val="2"/>
      <w:sz w:val="32"/>
    </w:rPr>
  </w:style>
  <w:style w:type="character" w:customStyle="1" w:styleId="99">
    <w:name w:val="top-det1"/>
    <w:qFormat/>
    <w:uiPriority w:val="0"/>
    <w:rPr>
      <w:b/>
      <w:color w:val="000000"/>
    </w:rPr>
  </w:style>
  <w:style w:type="character" w:customStyle="1" w:styleId="100">
    <w:name w:val=" Char Char5"/>
    <w:qFormat/>
    <w:uiPriority w:val="0"/>
    <w:rPr>
      <w:rFonts w:ascii="Arial" w:hAnsi="Arial" w:eastAsia="宋体"/>
      <w:b/>
      <w:smallCaps/>
      <w:kern w:val="28"/>
      <w:sz w:val="36"/>
      <w:lang w:val="en-US" w:eastAsia="en-US"/>
    </w:rPr>
  </w:style>
  <w:style w:type="character" w:customStyle="1" w:styleId="101">
    <w:name w:val="标书正文:  0.74 厘米 Char1"/>
    <w:qFormat/>
    <w:uiPriority w:val="0"/>
    <w:rPr>
      <w:rFonts w:eastAsia="宋体"/>
      <w:kern w:val="2"/>
      <w:sz w:val="24"/>
      <w:lang w:val="en-US" w:eastAsia="zh-CN"/>
    </w:rPr>
  </w:style>
  <w:style w:type="character" w:customStyle="1" w:styleId="102">
    <w:name w:val="Table Text Char1 Char"/>
    <w:qFormat/>
    <w:uiPriority w:val="0"/>
    <w:rPr>
      <w:rFonts w:ascii="Arial" w:hAnsi="Arial"/>
      <w:kern w:val="2"/>
      <w:sz w:val="18"/>
      <w:lang w:val="en-US" w:eastAsia="zh-CN" w:bidi="ar-SA"/>
    </w:rPr>
  </w:style>
  <w:style w:type="character" w:customStyle="1" w:styleId="103">
    <w:name w:val=" Char Char"/>
    <w:qFormat/>
    <w:uiPriority w:val="0"/>
    <w:rPr>
      <w:rFonts w:ascii="宋体" w:hAnsi="宋体" w:eastAsia="宋体"/>
      <w:kern w:val="2"/>
      <w:sz w:val="24"/>
      <w:lang w:val="en-US" w:eastAsia="zh-CN" w:bidi="ar-SA"/>
    </w:rPr>
  </w:style>
  <w:style w:type="paragraph" w:customStyle="1" w:styleId="104">
    <w:name w:val="IN Feature"/>
    <w:next w:val="105"/>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05">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06">
    <w:name w:val="表文字"/>
    <w:qFormat/>
    <w:uiPriority w:val="0"/>
    <w:rPr>
      <w:rFonts w:ascii="宋体" w:hAnsi="Times New Roman" w:eastAsia="宋体" w:cs="Times New Roman"/>
      <w:kern w:val="2"/>
      <w:lang w:val="en-US" w:eastAsia="zh-CN" w:bidi="ar-SA"/>
    </w:rPr>
  </w:style>
  <w:style w:type="paragraph" w:customStyle="1" w:styleId="107">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0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09">
    <w:name w:val="Char1 Char Char Char"/>
    <w:basedOn w:val="1"/>
    <w:qFormat/>
    <w:uiPriority w:val="0"/>
    <w:rPr>
      <w:rFonts w:ascii="Tahoma" w:hAnsi="Tahoma"/>
      <w:sz w:val="30"/>
    </w:rPr>
  </w:style>
  <w:style w:type="paragraph" w:customStyle="1" w:styleId="110">
    <w:name w:val="二级列表"/>
    <w:basedOn w:val="111"/>
    <w:next w:val="111"/>
    <w:qFormat/>
    <w:uiPriority w:val="0"/>
    <w:pPr>
      <w:tabs>
        <w:tab w:val="left" w:pos="2120"/>
      </w:tabs>
      <w:ind w:firstLine="0" w:firstLineChars="0"/>
    </w:pPr>
    <w:rPr>
      <w:b/>
    </w:rPr>
  </w:style>
  <w:style w:type="paragraph" w:customStyle="1" w:styleId="111">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12">
    <w:name w:val="00"/>
    <w:basedOn w:val="1"/>
    <w:qFormat/>
    <w:uiPriority w:val="0"/>
    <w:pPr>
      <w:autoSpaceDE w:val="0"/>
      <w:autoSpaceDN w:val="0"/>
      <w:adjustRightInd w:val="0"/>
      <w:jc w:val="left"/>
    </w:pPr>
    <w:rPr>
      <w:rFonts w:ascii="黑体" w:eastAsia="黑体"/>
      <w:b/>
      <w:kern w:val="0"/>
      <w:sz w:val="20"/>
    </w:rPr>
  </w:style>
  <w:style w:type="paragraph" w:customStyle="1" w:styleId="113">
    <w:name w:val="1.正文"/>
    <w:basedOn w:val="1"/>
    <w:qFormat/>
    <w:uiPriority w:val="0"/>
    <w:pPr>
      <w:spacing w:line="360" w:lineRule="auto"/>
      <w:ind w:left="540" w:leftChars="225" w:firstLine="540" w:firstLineChars="225"/>
    </w:pPr>
    <w:rPr>
      <w:sz w:val="24"/>
    </w:rPr>
  </w:style>
  <w:style w:type="paragraph" w:customStyle="1" w:styleId="114">
    <w:name w:val="内容标题"/>
    <w:basedOn w:val="17"/>
    <w:qFormat/>
    <w:uiPriority w:val="0"/>
    <w:rPr>
      <w:rFonts w:ascii="Tahoma" w:hAnsi="Tahoma"/>
      <w:sz w:val="24"/>
    </w:rPr>
  </w:style>
  <w:style w:type="paragraph" w:customStyle="1" w:styleId="11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6">
    <w:name w:val="表头"/>
    <w:basedOn w:val="117"/>
    <w:qFormat/>
    <w:uiPriority w:val="0"/>
    <w:pPr>
      <w:jc w:val="center"/>
    </w:pPr>
    <w:rPr>
      <w:b/>
      <w:bCs/>
    </w:rPr>
  </w:style>
  <w:style w:type="paragraph" w:customStyle="1" w:styleId="117">
    <w:name w:val="表格正文"/>
    <w:basedOn w:val="1"/>
    <w:qFormat/>
    <w:uiPriority w:val="0"/>
    <w:rPr>
      <w:rFonts w:ascii="Calibri" w:hAnsi="Calibri" w:eastAsia="仿宋" w:cs="宋体"/>
      <w:sz w:val="24"/>
    </w:rPr>
  </w:style>
  <w:style w:type="paragraph" w:customStyle="1" w:styleId="118">
    <w:name w:val="正文1"/>
    <w:basedOn w:val="1"/>
    <w:qFormat/>
    <w:uiPriority w:val="0"/>
    <w:pPr>
      <w:spacing w:line="300" w:lineRule="auto"/>
      <w:ind w:firstLine="200" w:firstLineChars="200"/>
    </w:pPr>
    <w:rPr>
      <w:sz w:val="24"/>
    </w:rPr>
  </w:style>
  <w:style w:type="paragraph" w:customStyle="1" w:styleId="119">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20">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21">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22">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2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4">
    <w:name w:val="Title - Date"/>
    <w:basedOn w:val="53"/>
    <w:next w:val="1"/>
    <w:qFormat/>
    <w:uiPriority w:val="0"/>
    <w:pPr>
      <w:spacing w:before="240" w:beforeLines="0" w:beforeAutospacing="0" w:after="720" w:afterLines="0" w:afterAutospacing="0"/>
    </w:pPr>
    <w:rPr>
      <w:sz w:val="28"/>
    </w:rPr>
  </w:style>
  <w:style w:type="paragraph" w:customStyle="1" w:styleId="125">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26">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27">
    <w:name w:val=" Char1 Char Char Char"/>
    <w:basedOn w:val="1"/>
    <w:qFormat/>
    <w:uiPriority w:val="0"/>
    <w:rPr>
      <w:rFonts w:ascii="Tahoma" w:hAnsi="Tahoma"/>
      <w:sz w:val="24"/>
    </w:rPr>
  </w:style>
  <w:style w:type="paragraph" w:customStyle="1" w:styleId="128">
    <w:name w:val=" Char1"/>
    <w:basedOn w:val="1"/>
    <w:qFormat/>
    <w:uiPriority w:val="0"/>
    <w:rPr>
      <w:sz w:val="21"/>
    </w:rPr>
  </w:style>
  <w:style w:type="paragraph" w:customStyle="1" w:styleId="129">
    <w:name w:val="表头样式"/>
    <w:basedOn w:val="1"/>
    <w:qFormat/>
    <w:uiPriority w:val="0"/>
    <w:pPr>
      <w:autoSpaceDE w:val="0"/>
      <w:autoSpaceDN w:val="0"/>
      <w:adjustRightInd w:val="0"/>
      <w:spacing w:line="360" w:lineRule="auto"/>
      <w:jc w:val="left"/>
    </w:pPr>
    <w:rPr>
      <w:b/>
      <w:kern w:val="0"/>
      <w:sz w:val="21"/>
    </w:rPr>
  </w:style>
  <w:style w:type="paragraph" w:customStyle="1" w:styleId="130">
    <w:name w:val="样式 正文缩进正文（首行缩进两字）表正文正文非缩进特点标题4段1 + 首行缩进:  2 字符"/>
    <w:basedOn w:val="15"/>
    <w:qFormat/>
    <w:uiPriority w:val="0"/>
    <w:pPr>
      <w:ind w:firstLine="480" w:firstLineChars="200"/>
    </w:pPr>
  </w:style>
  <w:style w:type="paragraph" w:customStyle="1" w:styleId="131">
    <w:name w:val="样式4"/>
    <w:basedOn w:val="5"/>
    <w:qFormat/>
    <w:uiPriority w:val="0"/>
    <w:pPr>
      <w:adjustRightInd w:val="0"/>
      <w:snapToGrid w:val="0"/>
    </w:pPr>
  </w:style>
  <w:style w:type="paragraph" w:customStyle="1" w:styleId="132">
    <w:name w:val="Body Text Indent 2"/>
    <w:basedOn w:val="1"/>
    <w:qFormat/>
    <w:uiPriority w:val="0"/>
    <w:pPr>
      <w:adjustRightInd w:val="0"/>
      <w:spacing w:before="120" w:beforeLines="0" w:beforeAutospacing="0"/>
      <w:ind w:firstLine="420"/>
      <w:textAlignment w:val="baseline"/>
    </w:pPr>
    <w:rPr>
      <w:sz w:val="24"/>
    </w:rPr>
  </w:style>
  <w:style w:type="paragraph" w:customStyle="1" w:styleId="133">
    <w:name w:val="首行缩进 1"/>
    <w:basedOn w:val="1"/>
    <w:qFormat/>
    <w:uiPriority w:val="0"/>
    <w:pPr>
      <w:spacing w:after="120" w:afterLines="0" w:afterAutospacing="0" w:line="360" w:lineRule="auto"/>
      <w:ind w:firstLine="200" w:firstLineChars="200"/>
    </w:pPr>
    <w:rPr>
      <w:sz w:val="24"/>
    </w:rPr>
  </w:style>
  <w:style w:type="paragraph" w:customStyle="1" w:styleId="134">
    <w:name w:val="样式 首行缩进:  0.74 厘米"/>
    <w:basedOn w:val="1"/>
    <w:qFormat/>
    <w:uiPriority w:val="0"/>
    <w:pPr>
      <w:spacing w:line="360" w:lineRule="auto"/>
      <w:ind w:firstLine="420"/>
    </w:pPr>
    <w:rPr>
      <w:sz w:val="24"/>
    </w:rPr>
  </w:style>
  <w:style w:type="paragraph" w:customStyle="1" w:styleId="13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37">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38">
    <w:name w:val="Title - Revision"/>
    <w:basedOn w:val="53"/>
    <w:qFormat/>
    <w:uiPriority w:val="0"/>
    <w:pPr>
      <w:spacing w:before="720" w:beforeLines="0" w:beforeAutospacing="0"/>
    </w:pPr>
  </w:style>
  <w:style w:type="paragraph" w:customStyle="1" w:styleId="139">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40">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1">
    <w:name w:val="1"/>
    <w:basedOn w:val="1"/>
    <w:next w:val="30"/>
    <w:qFormat/>
    <w:uiPriority w:val="0"/>
    <w:rPr>
      <w:rFonts w:ascii="宋体" w:hAnsi="Courier New"/>
      <w:sz w:val="21"/>
    </w:rPr>
  </w:style>
  <w:style w:type="paragraph" w:customStyle="1" w:styleId="142">
    <w:name w:val="Table Contents"/>
    <w:basedOn w:val="22"/>
    <w:qFormat/>
    <w:uiPriority w:val="0"/>
    <w:pPr>
      <w:suppressAutoHyphens/>
      <w:jc w:val="left"/>
    </w:pPr>
    <w:rPr>
      <w:rFonts w:ascii="Times New Roman" w:eastAsia="Times New Roman"/>
      <w:kern w:val="0"/>
      <w:sz w:val="24"/>
    </w:rPr>
  </w:style>
  <w:style w:type="paragraph" w:customStyle="1" w:styleId="143">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44">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45">
    <w:name w:val="Char Char Char Char Char Char Char"/>
    <w:basedOn w:val="17"/>
    <w:qFormat/>
    <w:uiPriority w:val="0"/>
    <w:rPr>
      <w:rFonts w:ascii="宋体" w:hAnsi="Tahoma"/>
    </w:rPr>
  </w:style>
  <w:style w:type="paragraph" w:customStyle="1" w:styleId="146">
    <w:name w:val="默认段落字体 Para Char Char Char Char Char Char Char Char Char1 Char Char Char Char"/>
    <w:basedOn w:val="1"/>
    <w:qFormat/>
    <w:uiPriority w:val="0"/>
    <w:rPr>
      <w:rFonts w:ascii="Tahoma" w:hAnsi="Tahoma"/>
      <w:sz w:val="24"/>
    </w:rPr>
  </w:style>
  <w:style w:type="paragraph" w:customStyle="1" w:styleId="147">
    <w:name w:val="标题无"/>
    <w:basedOn w:val="1"/>
    <w:qFormat/>
    <w:uiPriority w:val="0"/>
    <w:pPr>
      <w:spacing w:line="360" w:lineRule="auto"/>
    </w:pPr>
    <w:rPr>
      <w:sz w:val="24"/>
    </w:rPr>
  </w:style>
  <w:style w:type="paragraph" w:customStyle="1" w:styleId="148">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149">
    <w:name w:val="二级条标题"/>
    <w:basedOn w:val="150"/>
    <w:next w:val="152"/>
    <w:uiPriority w:val="0"/>
    <w:pPr>
      <w:ind w:left="840"/>
      <w:outlineLvl w:val="3"/>
    </w:pPr>
  </w:style>
  <w:style w:type="paragraph" w:customStyle="1" w:styleId="150">
    <w:name w:val="一级条标题"/>
    <w:basedOn w:val="151"/>
    <w:next w:val="152"/>
    <w:qFormat/>
    <w:uiPriority w:val="0"/>
    <w:pPr>
      <w:numPr>
        <w:ilvl w:val="1"/>
        <w:numId w:val="0"/>
      </w:numPr>
      <w:spacing w:before="0" w:beforeLines="0" w:beforeAutospacing="0" w:after="0" w:afterLines="0" w:afterAutospacing="0"/>
      <w:ind w:left="525"/>
      <w:outlineLvl w:val="2"/>
    </w:pPr>
    <w:rPr>
      <w:sz w:val="21"/>
    </w:rPr>
  </w:style>
  <w:style w:type="paragraph" w:customStyle="1" w:styleId="151">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2">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3">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4">
    <w:name w:val="关键词"/>
    <w:basedOn w:val="1"/>
    <w:next w:val="1"/>
    <w:uiPriority w:val="0"/>
    <w:pPr>
      <w:spacing w:line="360" w:lineRule="auto"/>
    </w:pPr>
    <w:rPr>
      <w:rFonts w:eastAsia="黑体"/>
      <w:sz w:val="20"/>
    </w:rPr>
  </w:style>
  <w:style w:type="paragraph" w:customStyle="1" w:styleId="155">
    <w:name w:val="样式2"/>
    <w:basedOn w:val="5"/>
    <w:uiPriority w:val="0"/>
    <w:pPr>
      <w:numPr>
        <w:ilvl w:val="0"/>
        <w:numId w:val="6"/>
      </w:numPr>
      <w:spacing w:before="560" w:beforeLines="0" w:line="400" w:lineRule="exact"/>
      <w:jc w:val="center"/>
      <w:outlineLvl w:val="0"/>
    </w:pPr>
    <w:rPr>
      <w:b w:val="0"/>
      <w:sz w:val="44"/>
    </w:rPr>
  </w:style>
  <w:style w:type="paragraph" w:customStyle="1" w:styleId="156">
    <w:name w:val="表头文本"/>
    <w:qFormat/>
    <w:uiPriority w:val="0"/>
    <w:pPr>
      <w:jc w:val="center"/>
    </w:pPr>
    <w:rPr>
      <w:rFonts w:ascii="Arial" w:hAnsi="Arial" w:eastAsia="宋体" w:cs="Times New Roman"/>
      <w:b/>
      <w:sz w:val="21"/>
      <w:lang w:val="en-US" w:eastAsia="zh-CN" w:bidi="ar-SA"/>
    </w:rPr>
  </w:style>
  <w:style w:type="paragraph" w:customStyle="1" w:styleId="157">
    <w:name w:val="_Style 156"/>
    <w:uiPriority w:val="0"/>
    <w:rPr>
      <w:rFonts w:ascii="Times New Roman" w:hAnsi="Times New Roman" w:eastAsia="宋体" w:cs="Times New Roman"/>
      <w:kern w:val="2"/>
      <w:sz w:val="21"/>
      <w:lang w:val="en-US" w:eastAsia="zh-CN" w:bidi="ar-SA"/>
    </w:rPr>
  </w:style>
  <w:style w:type="paragraph" w:customStyle="1" w:styleId="158">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59">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60">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6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4">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65">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66">
    <w:name w:val="样式1xz"/>
    <w:basedOn w:val="1"/>
    <w:qFormat/>
    <w:uiPriority w:val="0"/>
    <w:pPr>
      <w:tabs>
        <w:tab w:val="left" w:pos="1050"/>
        <w:tab w:val="right" w:leader="dot" w:pos="8296"/>
      </w:tabs>
    </w:pPr>
    <w:rPr>
      <w:caps/>
      <w:spacing w:val="20"/>
      <w:sz w:val="24"/>
    </w:rPr>
  </w:style>
  <w:style w:type="paragraph" w:customStyle="1" w:styleId="167">
    <w:name w:val="样式 宋体 五号 行距: 单倍行距"/>
    <w:basedOn w:val="1"/>
    <w:qFormat/>
    <w:uiPriority w:val="0"/>
    <w:pPr>
      <w:adjustRightInd w:val="0"/>
      <w:jc w:val="left"/>
    </w:pPr>
    <w:rPr>
      <w:rFonts w:ascii="宋体" w:hAnsi="宋体"/>
      <w:kern w:val="0"/>
      <w:sz w:val="21"/>
    </w:rPr>
  </w:style>
  <w:style w:type="paragraph" w:customStyle="1" w:styleId="168">
    <w:name w:val="图片文字"/>
    <w:basedOn w:val="1"/>
    <w:qFormat/>
    <w:uiPriority w:val="0"/>
    <w:pPr>
      <w:spacing w:line="240" w:lineRule="atLeast"/>
      <w:jc w:val="center"/>
    </w:pPr>
    <w:rPr>
      <w:sz w:val="21"/>
    </w:rPr>
  </w:style>
  <w:style w:type="paragraph" w:customStyle="1" w:styleId="169">
    <w:name w:val="Char"/>
    <w:basedOn w:val="1"/>
    <w:qFormat/>
    <w:uiPriority w:val="0"/>
    <w:pPr>
      <w:spacing w:line="240" w:lineRule="atLeast"/>
      <w:ind w:left="420" w:firstLine="420"/>
    </w:pPr>
    <w:rPr>
      <w:kern w:val="0"/>
      <w:sz w:val="21"/>
    </w:rPr>
  </w:style>
  <w:style w:type="paragraph" w:customStyle="1" w:styleId="170">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1">
    <w:name w:val="Note"/>
    <w:basedOn w:val="1"/>
    <w:qFormat/>
    <w:uiPriority w:val="0"/>
    <w:pPr>
      <w:pBdr>
        <w:top w:val="single" w:color="auto" w:sz="12" w:space="3"/>
        <w:bottom w:val="single" w:color="auto" w:sz="12" w:space="3"/>
      </w:pBdr>
      <w:spacing w:line="360" w:lineRule="auto"/>
    </w:pPr>
    <w:rPr>
      <w:sz w:val="24"/>
    </w:rPr>
  </w:style>
  <w:style w:type="paragraph" w:customStyle="1" w:styleId="172">
    <w:name w:val=" Char"/>
    <w:basedOn w:val="1"/>
    <w:qFormat/>
    <w:uiPriority w:val="0"/>
    <w:pPr>
      <w:spacing w:line="240" w:lineRule="atLeast"/>
      <w:ind w:left="420" w:firstLine="420"/>
    </w:pPr>
    <w:rPr>
      <w:kern w:val="0"/>
      <w:sz w:val="21"/>
    </w:rPr>
  </w:style>
  <w:style w:type="paragraph" w:customStyle="1" w:styleId="173">
    <w:name w:val=" Char Char Char"/>
    <w:basedOn w:val="1"/>
    <w:qFormat/>
    <w:uiPriority w:val="0"/>
    <w:rPr>
      <w:rFonts w:ascii="Tahoma" w:hAnsi="Tahoma"/>
      <w:sz w:val="24"/>
    </w:rPr>
  </w:style>
  <w:style w:type="paragraph" w:customStyle="1" w:styleId="174">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75">
    <w:name w:val="标书正文:  0.74 厘米"/>
    <w:basedOn w:val="1"/>
    <w:uiPriority w:val="0"/>
    <w:pPr>
      <w:snapToGrid w:val="0"/>
      <w:spacing w:line="360" w:lineRule="auto"/>
      <w:ind w:firstLine="420"/>
    </w:pPr>
    <w:rPr>
      <w:sz w:val="24"/>
    </w:rPr>
  </w:style>
  <w:style w:type="paragraph" w:customStyle="1" w:styleId="176">
    <w:name w:val=" Char Char 字元 字元 字元 Char Char Char Char"/>
    <w:basedOn w:val="1"/>
    <w:qFormat/>
    <w:uiPriority w:val="0"/>
    <w:pPr>
      <w:adjustRightInd w:val="0"/>
      <w:spacing w:line="360" w:lineRule="auto"/>
    </w:pPr>
    <w:rPr>
      <w:kern w:val="0"/>
      <w:sz w:val="24"/>
    </w:rPr>
  </w:style>
  <w:style w:type="paragraph" w:customStyle="1" w:styleId="177">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78">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79">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80">
    <w:name w:val=" Char Char14 Char Char"/>
    <w:basedOn w:val="1"/>
    <w:qFormat/>
    <w:uiPriority w:val="0"/>
    <w:rPr>
      <w:sz w:val="21"/>
      <w:szCs w:val="24"/>
    </w:rPr>
  </w:style>
  <w:style w:type="paragraph" w:customStyle="1" w:styleId="181">
    <w:name w:val="表号"/>
    <w:basedOn w:val="1"/>
    <w:qFormat/>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82">
    <w:name w:val="可研正文"/>
    <w:basedOn w:val="22"/>
    <w:qFormat/>
    <w:uiPriority w:val="0"/>
    <w:pPr>
      <w:adjustRightInd w:val="0"/>
      <w:snapToGrid w:val="0"/>
      <w:spacing w:line="440" w:lineRule="exact"/>
      <w:ind w:firstLine="567"/>
    </w:pPr>
    <w:rPr>
      <w:sz w:val="28"/>
    </w:rPr>
  </w:style>
  <w:style w:type="paragraph" w:customStyle="1" w:styleId="183">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84">
    <w:name w:val="首行缩进"/>
    <w:basedOn w:val="1"/>
    <w:qFormat/>
    <w:uiPriority w:val="0"/>
    <w:pPr>
      <w:numPr>
        <w:ilvl w:val="0"/>
        <w:numId w:val="8"/>
      </w:numPr>
      <w:spacing w:line="360" w:lineRule="auto"/>
    </w:pPr>
    <w:rPr>
      <w:rFonts w:eastAsia="仿宋_GB2312"/>
    </w:rPr>
  </w:style>
  <w:style w:type="paragraph" w:customStyle="1" w:styleId="18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6">
    <w:name w:val="正文 + 三号"/>
    <w:basedOn w:val="1"/>
    <w:qFormat/>
    <w:uiPriority w:val="0"/>
    <w:rPr>
      <w:sz w:val="21"/>
    </w:rPr>
  </w:style>
  <w:style w:type="paragraph" w:customStyle="1" w:styleId="187">
    <w:name w:val=" Char Char1 Char"/>
    <w:basedOn w:val="1"/>
    <w:qFormat/>
    <w:uiPriority w:val="0"/>
    <w:rPr>
      <w:rFonts w:ascii="Tahoma" w:hAnsi="Tahoma"/>
      <w:sz w:val="24"/>
      <w:szCs w:val="24"/>
    </w:rPr>
  </w:style>
  <w:style w:type="paragraph" w:customStyle="1" w:styleId="188">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8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90">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91">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2">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9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4">
    <w:name w:val="摘要"/>
    <w:basedOn w:val="1"/>
    <w:next w:val="3"/>
    <w:qFormat/>
    <w:uiPriority w:val="0"/>
    <w:pPr>
      <w:spacing w:line="360" w:lineRule="auto"/>
    </w:pPr>
    <w:rPr>
      <w:rFonts w:eastAsia="黑体"/>
      <w:sz w:val="20"/>
    </w:rPr>
  </w:style>
  <w:style w:type="paragraph" w:customStyle="1" w:styleId="19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6">
    <w:name w:val="正文（首行不缩进）"/>
    <w:basedOn w:val="1"/>
    <w:qFormat/>
    <w:uiPriority w:val="0"/>
    <w:pPr>
      <w:autoSpaceDE w:val="0"/>
      <w:autoSpaceDN w:val="0"/>
      <w:adjustRightInd w:val="0"/>
      <w:spacing w:line="360" w:lineRule="auto"/>
      <w:jc w:val="left"/>
    </w:pPr>
    <w:rPr>
      <w:kern w:val="0"/>
      <w:sz w:val="21"/>
    </w:rPr>
  </w:style>
  <w:style w:type="paragraph" w:customStyle="1" w:styleId="19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8">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9">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0">
    <w:name w:val="操作步骤"/>
    <w:basedOn w:val="1"/>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1">
    <w:name w:val=" Char2 Char Char Char Char Char Char"/>
    <w:basedOn w:val="1"/>
    <w:qFormat/>
    <w:uiPriority w:val="0"/>
    <w:rPr>
      <w:rFonts w:ascii="仿宋_GB2312"/>
      <w:b/>
      <w:sz w:val="30"/>
    </w:rPr>
  </w:style>
  <w:style w:type="paragraph" w:customStyle="1" w:styleId="202">
    <w:name w:val="简单回函地址"/>
    <w:basedOn w:val="1"/>
    <w:qFormat/>
    <w:uiPriority w:val="0"/>
    <w:pPr>
      <w:adjustRightInd w:val="0"/>
      <w:snapToGrid w:val="0"/>
      <w:spacing w:line="360" w:lineRule="auto"/>
    </w:pPr>
    <w:rPr>
      <w:sz w:val="24"/>
    </w:rPr>
  </w:style>
  <w:style w:type="paragraph" w:customStyle="1" w:styleId="20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04">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05">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0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7">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08">
    <w:name w:val="Style Heading 3h3Heading 3 - oldLevel 3 HeadH3level_3PIM 3se..."/>
    <w:basedOn w:val="4"/>
    <w:qFormat/>
    <w:uiPriority w:val="0"/>
    <w:pPr>
      <w:numPr>
        <w:ilvl w:val="2"/>
        <w:numId w:val="2"/>
      </w:numPr>
      <w:tabs>
        <w:tab w:val="left" w:pos="709"/>
        <w:tab w:val="left" w:pos="1620"/>
      </w:tabs>
      <w:spacing w:line="413" w:lineRule="auto"/>
    </w:pPr>
  </w:style>
  <w:style w:type="paragraph" w:customStyle="1" w:styleId="209">
    <w:name w:val="文本1"/>
    <w:basedOn w:val="1"/>
    <w:qFormat/>
    <w:uiPriority w:val="0"/>
    <w:pPr>
      <w:adjustRightInd w:val="0"/>
      <w:spacing w:line="312" w:lineRule="atLeast"/>
      <w:jc w:val="center"/>
      <w:textAlignment w:val="baseline"/>
    </w:pPr>
    <w:rPr>
      <w:kern w:val="0"/>
      <w:sz w:val="18"/>
    </w:rPr>
  </w:style>
  <w:style w:type="paragraph" w:customStyle="1" w:styleId="210">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1">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1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3">
    <w:name w:val="标题3——2"/>
    <w:basedOn w:val="4"/>
    <w:next w:val="55"/>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14">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15">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16">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1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8">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219">
    <w:name w:val="af"/>
    <w:basedOn w:val="1"/>
    <w:qFormat/>
    <w:uiPriority w:val="0"/>
    <w:pPr>
      <w:widowControl/>
      <w:spacing w:line="300" w:lineRule="atLeast"/>
      <w:jc w:val="left"/>
    </w:pPr>
    <w:rPr>
      <w:rFonts w:ascii="宋体" w:hAnsi="宋体"/>
      <w:kern w:val="0"/>
      <w:sz w:val="18"/>
    </w:rPr>
  </w:style>
  <w:style w:type="paragraph" w:customStyle="1" w:styleId="220">
    <w:name w:val="文章正文"/>
    <w:basedOn w:val="1"/>
    <w:qFormat/>
    <w:uiPriority w:val="0"/>
    <w:pPr>
      <w:ind w:firstLine="560" w:firstLineChars="200"/>
    </w:pPr>
    <w:rPr>
      <w:rFonts w:ascii="仿宋_GB2312" w:hAnsi="宋体" w:eastAsia="仿宋_GB2312"/>
      <w:color w:val="000000"/>
    </w:rPr>
  </w:style>
  <w:style w:type="paragraph" w:customStyle="1" w:styleId="221">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22">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3">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24">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6">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27">
    <w:name w:val="默认段落字体 Para Char Char Char Char Char Char Char"/>
    <w:basedOn w:val="1"/>
    <w:qFormat/>
    <w:uiPriority w:val="0"/>
    <w:rPr>
      <w:rFonts w:ascii="Tahoma" w:hAnsi="Tahoma"/>
      <w:sz w:val="24"/>
    </w:rPr>
  </w:style>
  <w:style w:type="paragraph" w:customStyle="1" w:styleId="228">
    <w:name w:val="编号正文"/>
    <w:basedOn w:val="197"/>
    <w:qFormat/>
    <w:uiPriority w:val="0"/>
    <w:pPr>
      <w:snapToGrid/>
      <w:spacing w:line="360" w:lineRule="auto"/>
      <w:ind w:left="1407" w:hanging="1047"/>
      <w:jc w:val="left"/>
    </w:pPr>
    <w:rPr>
      <w:rFonts w:eastAsia="仿宋_GB2312"/>
    </w:rPr>
  </w:style>
  <w:style w:type="paragraph" w:customStyle="1" w:styleId="229">
    <w:name w:val="表格内文字"/>
    <w:basedOn w:val="30"/>
    <w:qFormat/>
    <w:uiPriority w:val="0"/>
    <w:pPr>
      <w:adjustRightInd w:val="0"/>
    </w:pPr>
    <w:rPr>
      <w:color w:val="000000"/>
      <w:lang w:val="en-GB"/>
    </w:rPr>
  </w:style>
  <w:style w:type="paragraph" w:customStyle="1" w:styleId="230">
    <w:name w:val="样式 行距: 1.5 倍行距1"/>
    <w:basedOn w:val="1"/>
    <w:qFormat/>
    <w:uiPriority w:val="0"/>
    <w:pPr>
      <w:snapToGrid w:val="0"/>
    </w:pPr>
    <w:rPr>
      <w:sz w:val="21"/>
    </w:rPr>
  </w:style>
  <w:style w:type="paragraph" w:customStyle="1" w:styleId="231">
    <w:name w:val=" Char Char Char Char Char Char Char"/>
    <w:basedOn w:val="1"/>
    <w:qFormat/>
    <w:uiPriority w:val="0"/>
    <w:rPr>
      <w:rFonts w:ascii="Tahoma" w:hAnsi="Tahoma"/>
      <w:sz w:val="24"/>
    </w:rPr>
  </w:style>
  <w:style w:type="paragraph" w:customStyle="1" w:styleId="232">
    <w:name w:val="表格文本"/>
    <w:qFormat/>
    <w:uiPriority w:val="0"/>
    <w:pPr>
      <w:tabs>
        <w:tab w:val="decimal" w:pos="0"/>
      </w:tabs>
    </w:pPr>
    <w:rPr>
      <w:rFonts w:ascii="Arial" w:hAnsi="Arial" w:eastAsia="宋体" w:cs="Times New Roman"/>
      <w:sz w:val="21"/>
      <w:lang w:val="en-US" w:eastAsia="zh-CN" w:bidi="ar-SA"/>
    </w:rPr>
  </w:style>
  <w:style w:type="paragraph" w:customStyle="1" w:styleId="233">
    <w:name w:val="正文表格"/>
    <w:basedOn w:val="1"/>
    <w:qFormat/>
    <w:uiPriority w:val="0"/>
    <w:pPr>
      <w:adjustRightInd w:val="0"/>
      <w:spacing w:before="40" w:beforeLines="0" w:beforeAutospacing="0" w:after="40" w:afterLines="0" w:afterAutospacing="0"/>
    </w:pPr>
    <w:rPr>
      <w:sz w:val="24"/>
    </w:rPr>
  </w:style>
  <w:style w:type="paragraph" w:customStyle="1" w:styleId="234">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35">
    <w:name w:val=" Char Char Char Char Char Char Char Char Char Char Char Char Char Char Char Char"/>
    <w:basedOn w:val="1"/>
    <w:qFormat/>
    <w:uiPriority w:val="0"/>
    <w:pPr>
      <w:tabs>
        <w:tab w:val="left" w:pos="360"/>
      </w:tabs>
    </w:pPr>
    <w:rPr>
      <w:sz w:val="24"/>
    </w:rPr>
  </w:style>
  <w:style w:type="paragraph" w:customStyle="1" w:styleId="23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7">
    <w:name w:val="标准正文"/>
    <w:basedOn w:val="23"/>
    <w:qFormat/>
    <w:uiPriority w:val="0"/>
    <w:pPr>
      <w:spacing w:before="60" w:beforeLines="0" w:after="60" w:afterLines="0" w:line="360" w:lineRule="auto"/>
      <w:ind w:left="0" w:firstLine="482"/>
    </w:pPr>
    <w:rPr>
      <w:rFonts w:ascii="Arial" w:hAnsi="Arial"/>
      <w:sz w:val="24"/>
    </w:rPr>
  </w:style>
  <w:style w:type="character" w:customStyle="1" w:styleId="238">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30</Pages>
  <Words>3008</Words>
  <Characters>3415</Characters>
  <Lines>93</Lines>
  <Paragraphs>26</Paragraphs>
  <TotalTime>0</TotalTime>
  <ScaleCrop>false</ScaleCrop>
  <LinksUpToDate>false</LinksUpToDate>
  <CharactersWithSpaces>3439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2022-06-13T08:39:00Z</dcterms:created>
  <dc:creator>罗成</dc:creator>
  <cp:lastModifiedBy>jtj</cp:lastModifiedBy>
  <cp:lastPrinted>2024-11-12T08:04:00Z</cp:lastPrinted>
  <dcterms:modified xsi:type="dcterms:W3CDTF">2024-11-13T03:18:42Z</dcterms:modified>
  <dc:title>竞争性谈判文件</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21F9E8F767D246EA99C3975DBC56532A_13</vt:lpwstr>
  </property>
</Properties>
</file>