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bookmarkStart w:id="0" w:name="_Toc1552"/>
      <w:bookmarkStart w:id="1" w:name="_Toc65660337"/>
      <w:bookmarkStart w:id="2" w:name="_Toc10415"/>
      <w:bookmarkStart w:id="3" w:name="_Toc525047164"/>
      <w:bookmarkStart w:id="4" w:name="_Toc521053056"/>
      <w:bookmarkStart w:id="5" w:name="_Toc1733"/>
      <w:bookmarkStart w:id="6" w:name="_Toc106034777"/>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jc w:val="center"/>
        <w:rPr>
          <w:rFonts w:ascii="黑体" w:eastAsia="黑体"/>
          <w:sz w:val="32"/>
        </w:rPr>
      </w:pPr>
      <w:r>
        <w:rPr>
          <w:rFonts w:hint="eastAsia" w:ascii="方正黑体_GBK" w:hAnsi="宋体" w:eastAsia="方正黑体_GBK"/>
          <w:sz w:val="72"/>
          <w:szCs w:val="72"/>
        </w:rPr>
        <w:t>限额以下磋商评分采购文件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1440" w:firstLineChars="400"/>
        <w:outlineLvl w:val="0"/>
        <w:rPr>
          <w:rFonts w:ascii="方正小标宋_GBK" w:hAnsi="宋体" w:eastAsia="方正小标宋_GBK"/>
          <w:sz w:val="36"/>
          <w:szCs w:val="36"/>
        </w:rPr>
      </w:pPr>
      <w:r>
        <w:rPr>
          <w:rFonts w:hint="eastAsia" w:ascii="方正小标宋_GBK" w:hAnsi="宋体" w:eastAsia="方正小标宋_GBK"/>
          <w:sz w:val="36"/>
          <w:szCs w:val="36"/>
        </w:rPr>
        <w:t>项目名称：2024年嘉陵江重点滩段汛后观测</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二〇二四年十月</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4"/>
        <w:spacing w:before="0" w:after="0" w:line="360" w:lineRule="auto"/>
        <w:jc w:val="center"/>
        <w:rPr>
          <w:rFonts w:ascii="方正小标宋_GBK" w:eastAsia="方正小标宋_GBK"/>
          <w:b w:val="0"/>
          <w:sz w:val="36"/>
          <w:szCs w:val="30"/>
        </w:rPr>
      </w:pPr>
      <w:bookmarkStart w:id="7" w:name="_Toc12789052"/>
      <w:bookmarkStart w:id="8" w:name="_Toc65660329"/>
      <w:bookmarkStart w:id="9" w:name="_Toc15726"/>
      <w:bookmarkStart w:id="10" w:name="_Toc106034769"/>
      <w:bookmarkStart w:id="11" w:name="_Toc11641050"/>
      <w:bookmarkStart w:id="12" w:name="_Toc24173"/>
      <w:bookmarkStart w:id="13" w:name="_Toc24817"/>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根据工作需要，重庆市嘉陵江航道管理处对2024年嘉陵江重点滩段汛后观测项目进行限额以下磋商评分采购。欢迎有资格的供应商前来参加报价。</w:t>
      </w:r>
    </w:p>
    <w:p>
      <w:pPr>
        <w:pStyle w:val="4"/>
        <w:adjustRightInd w:val="0"/>
        <w:snapToGrid w:val="0"/>
        <w:spacing w:before="0" w:after="0" w:line="400" w:lineRule="exact"/>
        <w:ind w:firstLine="482" w:firstLineChars="200"/>
        <w:rPr>
          <w:rFonts w:ascii="方正仿宋_GBK" w:hAnsi="宋体" w:eastAsia="方正仿宋_GBK"/>
          <w:sz w:val="24"/>
        </w:rPr>
      </w:pPr>
      <w:bookmarkStart w:id="14" w:name="_Toc26091"/>
      <w:bookmarkStart w:id="15" w:name="_Toc317775175"/>
      <w:bookmarkStart w:id="16" w:name="_Toc65660330"/>
      <w:bookmarkStart w:id="17" w:name="_Toc313893526"/>
      <w:bookmarkStart w:id="18" w:name="_Toc7758"/>
      <w:bookmarkStart w:id="19" w:name="_Toc18246"/>
      <w:bookmarkStart w:id="20" w:name="_Toc106034770"/>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4"/>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方正仿宋_GBK" w:hAnsi="宋体" w:eastAsia="方正仿宋_GBK"/>
                <w:sz w:val="24"/>
                <w:szCs w:val="24"/>
              </w:rPr>
            </w:pPr>
            <w:bookmarkStart w:id="21" w:name="_Hlk344477914"/>
            <w:r>
              <w:rPr>
                <w:rFonts w:hint="eastAsia" w:ascii="方正仿宋_GBK" w:hAnsi="宋体" w:eastAsia="方正仿宋_GBK"/>
                <w:sz w:val="24"/>
                <w:szCs w:val="24"/>
              </w:rPr>
              <w:t>2024年嘉陵江重点滩段汛后观测</w:t>
            </w: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方正仿宋_GBK" w:hAnsi="宋体" w:eastAsia="方正仿宋_GBK"/>
                <w:sz w:val="21"/>
                <w:szCs w:val="21"/>
              </w:rPr>
              <w:t>36.4</w:t>
            </w:r>
            <w:r>
              <w:rPr>
                <w:rFonts w:hint="eastAsia" w:ascii="方正仿宋_GBK" w:hAnsi="宋体" w:eastAsia="方正仿宋_GBK"/>
                <w:sz w:val="21"/>
                <w:szCs w:val="21"/>
              </w:rPr>
              <w:t>万元</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21"/>
    </w:tbl>
    <w:p>
      <w:pPr>
        <w:pStyle w:val="4"/>
        <w:adjustRightInd w:val="0"/>
        <w:snapToGrid w:val="0"/>
        <w:spacing w:before="0" w:after="0" w:line="400" w:lineRule="exact"/>
        <w:ind w:firstLine="482" w:firstLineChars="200"/>
        <w:rPr>
          <w:rFonts w:ascii="方正仿宋_GBK" w:hAnsi="宋体" w:eastAsia="方正仿宋_GBK"/>
          <w:sz w:val="24"/>
        </w:rPr>
      </w:pPr>
      <w:bookmarkStart w:id="22" w:name="_Toc65660331"/>
      <w:bookmarkStart w:id="23" w:name="_Toc106034771"/>
      <w:bookmarkStart w:id="24" w:name="_Toc27028"/>
      <w:bookmarkStart w:id="25" w:name="_Toc4424"/>
      <w:bookmarkStart w:id="26" w:name="_Toc3256"/>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4"/>
        <w:adjustRightInd w:val="0"/>
        <w:snapToGrid w:val="0"/>
        <w:spacing w:before="0" w:after="0" w:line="400" w:lineRule="exact"/>
        <w:ind w:firstLine="482" w:firstLineChars="200"/>
        <w:rPr>
          <w:rFonts w:ascii="方正仿宋_GBK" w:hAnsi="宋体" w:eastAsia="方正仿宋_GBK"/>
          <w:sz w:val="24"/>
        </w:rPr>
      </w:pPr>
      <w:bookmarkStart w:id="29" w:name="_Toc13541"/>
      <w:bookmarkStart w:id="30" w:name="_Toc65660332"/>
      <w:bookmarkStart w:id="31" w:name="_Toc20867"/>
      <w:bookmarkStart w:id="32" w:name="_Toc18548"/>
      <w:bookmarkStart w:id="33" w:name="_Toc64731996"/>
      <w:bookmarkStart w:id="34" w:name="_Toc106034772"/>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（二）本项目的特定资格要求：具备测绘主管部门颁发的乙级及以上测绘资质证书，且专业类别包含海洋测绘。</w:t>
      </w:r>
    </w:p>
    <w:p>
      <w:pPr>
        <w:pStyle w:val="4"/>
        <w:adjustRightInd w:val="0"/>
        <w:snapToGrid w:val="0"/>
        <w:spacing w:before="0" w:after="0" w:line="400" w:lineRule="exact"/>
        <w:ind w:firstLine="482" w:firstLineChars="200"/>
        <w:rPr>
          <w:rFonts w:ascii="方正仿宋_GBK" w:hAnsi="宋体" w:eastAsia="方正仿宋_GBK"/>
          <w:sz w:val="24"/>
        </w:rPr>
      </w:pPr>
      <w:bookmarkStart w:id="35" w:name="_Toc106034773"/>
      <w:bookmarkStart w:id="36" w:name="_Toc13903"/>
      <w:bookmarkStart w:id="37" w:name="_Toc1386"/>
      <w:bookmarkStart w:id="38" w:name="_Toc11908"/>
      <w:bookmarkStart w:id="39" w:name="_Toc65660333"/>
      <w:r>
        <w:rPr>
          <w:rFonts w:hint="eastAsia" w:ascii="方正仿宋_GBK" w:hAnsi="宋体" w:eastAsia="方正仿宋_GBK"/>
          <w:sz w:val="24"/>
        </w:rPr>
        <w:t>四、限额以下比价有关说明</w:t>
      </w:r>
      <w:bookmarkEnd w:id="27"/>
      <w:bookmarkEnd w:id="35"/>
      <w:bookmarkEnd w:id="36"/>
      <w:bookmarkEnd w:id="37"/>
      <w:bookmarkEnd w:id="38"/>
      <w:bookmarkEnd w:id="3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（二）采购公告期限：自采购公告发布之日起三个工作日。</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（三）报名方式：在2024年</w:t>
      </w:r>
      <w:r>
        <w:rPr>
          <w:rFonts w:ascii="方正仿宋_GBK" w:hAnsi="宋体" w:eastAsia="方正仿宋_GBK"/>
          <w:sz w:val="24"/>
          <w:szCs w:val="24"/>
        </w:rPr>
        <w:t>10</w:t>
      </w:r>
      <w:r>
        <w:rPr>
          <w:rFonts w:hint="eastAsia" w:ascii="方正仿宋_GBK" w:hAnsi="宋体" w:eastAsia="方正仿宋_GBK"/>
          <w:sz w:val="24"/>
          <w:szCs w:val="24"/>
        </w:rPr>
        <w:t>月</w:t>
      </w:r>
      <w:r>
        <w:rPr>
          <w:rFonts w:ascii="方正仿宋_GBK" w:hAnsi="宋体" w:eastAsia="方正仿宋_GBK"/>
          <w:sz w:val="24"/>
          <w:szCs w:val="24"/>
        </w:rPr>
        <w:t>17</w:t>
      </w:r>
      <w:r>
        <w:rPr>
          <w:rFonts w:hint="eastAsia" w:ascii="方正仿宋_GBK" w:hAnsi="宋体" w:eastAsia="方正仿宋_GBK"/>
          <w:sz w:val="24"/>
          <w:szCs w:val="24"/>
        </w:rPr>
        <w:t>日1</w:t>
      </w:r>
      <w:r>
        <w:rPr>
          <w:rFonts w:ascii="方正仿宋_GBK" w:hAnsi="宋体" w:eastAsia="方正仿宋_GBK"/>
          <w:sz w:val="24"/>
          <w:szCs w:val="24"/>
        </w:rPr>
        <w:t>6</w:t>
      </w:r>
      <w:r>
        <w:rPr>
          <w:rFonts w:hint="eastAsia" w:ascii="方正仿宋_GBK" w:hAnsi="宋体" w:eastAsia="方正仿宋_GBK"/>
          <w:sz w:val="24"/>
          <w:szCs w:val="24"/>
        </w:rPr>
        <w:t>:00时前，将《报名表》（加盖供应商公章）扫描后发送至450601592@qq.com邮箱。邮箱、截止时间按邮箱显示邮件到达时间为准，未按规定提前报名的供应商的响应文件将被拒收。</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（四）递交响应文件地点：重庆市嘉陵江航道管理处4楼会议室（地址：重庆市渝中区华一路17号）</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（五）提交响应文件截止时间：2024年</w:t>
      </w:r>
      <w:r>
        <w:rPr>
          <w:rFonts w:ascii="方正仿宋_GBK" w:hAnsi="宋体" w:eastAsia="方正仿宋_GBK"/>
          <w:sz w:val="24"/>
          <w:szCs w:val="24"/>
        </w:rPr>
        <w:t>10</w:t>
      </w:r>
      <w:r>
        <w:rPr>
          <w:rFonts w:hint="eastAsia" w:ascii="方正仿宋_GBK" w:hAnsi="宋体" w:eastAsia="方正仿宋_GBK"/>
          <w:sz w:val="24"/>
          <w:szCs w:val="24"/>
        </w:rPr>
        <w:t>月</w:t>
      </w:r>
      <w:r>
        <w:rPr>
          <w:rFonts w:ascii="方正仿宋_GBK" w:hAnsi="宋体" w:eastAsia="方正仿宋_GBK"/>
          <w:sz w:val="24"/>
          <w:szCs w:val="24"/>
        </w:rPr>
        <w:t>18</w:t>
      </w:r>
      <w:r>
        <w:rPr>
          <w:rFonts w:hint="eastAsia" w:ascii="方正仿宋_GBK" w:hAnsi="宋体" w:eastAsia="方正仿宋_GBK"/>
          <w:sz w:val="24"/>
          <w:szCs w:val="24"/>
        </w:rPr>
        <w:t>日北京时间</w:t>
      </w:r>
      <w:r>
        <w:rPr>
          <w:rFonts w:ascii="方正仿宋_GBK" w:hAnsi="宋体" w:eastAsia="方正仿宋_GBK"/>
          <w:sz w:val="24"/>
          <w:szCs w:val="24"/>
        </w:rPr>
        <w:t>14</w:t>
      </w:r>
      <w:r>
        <w:rPr>
          <w:rFonts w:hint="eastAsia" w:ascii="方正仿宋_GBK" w:hAnsi="宋体" w:eastAsia="方正仿宋_GBK"/>
          <w:sz w:val="24"/>
          <w:szCs w:val="24"/>
        </w:rPr>
        <w:t>时</w:t>
      </w:r>
      <w:r>
        <w:rPr>
          <w:rFonts w:ascii="方正仿宋_GBK" w:hAnsi="宋体" w:eastAsia="方正仿宋_GBK"/>
          <w:sz w:val="24"/>
          <w:szCs w:val="24"/>
        </w:rPr>
        <w:t>30</w:t>
      </w:r>
      <w:r>
        <w:rPr>
          <w:rFonts w:hint="eastAsia" w:ascii="方正仿宋_GBK" w:hAnsi="宋体" w:eastAsia="方正仿宋_GBK"/>
          <w:sz w:val="24"/>
          <w:szCs w:val="24"/>
        </w:rPr>
        <w:t>分至</w:t>
      </w:r>
      <w:r>
        <w:rPr>
          <w:rFonts w:ascii="方正仿宋_GBK" w:hAnsi="宋体" w:eastAsia="方正仿宋_GBK"/>
          <w:sz w:val="24"/>
          <w:szCs w:val="24"/>
        </w:rPr>
        <w:t>15</w:t>
      </w:r>
      <w:r>
        <w:rPr>
          <w:rFonts w:hint="eastAsia" w:ascii="方正仿宋_GBK" w:hAnsi="宋体" w:eastAsia="方正仿宋_GBK"/>
          <w:sz w:val="24"/>
          <w:szCs w:val="24"/>
        </w:rPr>
        <w:t>时。</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（六）评审开始时间：2024年10月18日北京时间15时00分。</w:t>
      </w:r>
    </w:p>
    <w:bookmarkEnd w:id="28"/>
    <w:p>
      <w:pPr>
        <w:pStyle w:val="4"/>
        <w:adjustRightInd w:val="0"/>
        <w:snapToGrid w:val="0"/>
        <w:spacing w:before="0" w:after="0" w:line="400" w:lineRule="exact"/>
        <w:ind w:firstLine="482" w:firstLineChars="200"/>
        <w:rPr>
          <w:rFonts w:ascii="方正仿宋_GBK" w:hAnsi="宋体" w:eastAsia="方正仿宋_GBK"/>
          <w:sz w:val="24"/>
        </w:rPr>
      </w:pPr>
      <w:bookmarkStart w:id="40" w:name="_Toc106034776"/>
      <w:bookmarkStart w:id="41" w:name="_Toc65660336"/>
      <w:bookmarkStart w:id="42" w:name="_Toc4728"/>
      <w:bookmarkStart w:id="43" w:name="_Toc6563"/>
      <w:bookmarkStart w:id="44" w:name="_Toc521053055"/>
      <w:bookmarkStart w:id="45" w:name="_Toc525047163"/>
      <w:bookmarkStart w:id="46" w:name="_Toc16269"/>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联系人：赖老师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pPr>
        <w:snapToGrid w:val="0"/>
        <w:spacing w:line="380" w:lineRule="exact"/>
        <w:rPr>
          <w:rFonts w:ascii="方正仿宋_GBK" w:hAnsi="宋体" w:eastAsia="方正仿宋_GBK"/>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pStyle w:val="4"/>
        <w:spacing w:before="0" w:after="0" w:line="360" w:lineRule="auto"/>
        <w:jc w:val="center"/>
        <w:rPr>
          <w:rFonts w:ascii="方正小标宋_GBK" w:eastAsia="方正小标宋_GBK"/>
          <w:b w:val="0"/>
          <w:sz w:val="36"/>
          <w:szCs w:val="30"/>
        </w:rPr>
      </w:pPr>
      <w:bookmarkStart w:id="47" w:name="_Toc1292"/>
      <w:bookmarkStart w:id="48" w:name="_Toc11327"/>
      <w:bookmarkStart w:id="49" w:name="_Toc65660338"/>
      <w:bookmarkStart w:id="50" w:name="_Toc14516"/>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4"/>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694"/>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76"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694"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6" w:type="dxa"/>
            <w:vAlign w:val="center"/>
          </w:tcPr>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2024年嘉陵江重点滩段汛后观测</w:t>
            </w:r>
          </w:p>
        </w:tc>
        <w:tc>
          <w:tcPr>
            <w:tcW w:w="1694"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center"/>
          </w:tcPr>
          <w:p>
            <w:pPr>
              <w:spacing w:line="400" w:lineRule="exact"/>
              <w:jc w:val="center"/>
              <w:rPr>
                <w:rFonts w:ascii="方正仿宋_GBK" w:hAnsi="宋体" w:eastAsia="方正仿宋_GBK"/>
                <w:sz w:val="24"/>
                <w:szCs w:val="24"/>
              </w:rPr>
            </w:pPr>
          </w:p>
        </w:tc>
      </w:tr>
    </w:tbl>
    <w:p>
      <w:pPr>
        <w:pStyle w:val="4"/>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二、服务内容和要求</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（一）服务内容要求及标准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1.服务内容：本项目为2024年嘉陵江重点滩段汛后观测服务，项目服务主要内容包含：见下表。</w:t>
      </w:r>
    </w:p>
    <w:tbl>
      <w:tblPr>
        <w:tblStyle w:val="14"/>
        <w:tblW w:w="7950" w:type="dxa"/>
        <w:jc w:val="center"/>
        <w:tblLayout w:type="fixed"/>
        <w:tblCellMar>
          <w:top w:w="0" w:type="dxa"/>
          <w:left w:w="108" w:type="dxa"/>
          <w:bottom w:w="0" w:type="dxa"/>
          <w:right w:w="108" w:type="dxa"/>
        </w:tblCellMar>
      </w:tblPr>
      <w:tblGrid>
        <w:gridCol w:w="1005"/>
        <w:gridCol w:w="3969"/>
        <w:gridCol w:w="1275"/>
        <w:gridCol w:w="1701"/>
      </w:tblGrid>
      <w:tr>
        <w:tblPrEx>
          <w:tblCellMar>
            <w:top w:w="0" w:type="dxa"/>
            <w:left w:w="108" w:type="dxa"/>
            <w:bottom w:w="0" w:type="dxa"/>
            <w:right w:w="108" w:type="dxa"/>
          </w:tblCellMar>
        </w:tblPrEx>
        <w:trPr>
          <w:trHeight w:val="699" w:hRule="atLeast"/>
          <w:jc w:val="center"/>
        </w:trPr>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序号</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费用名称</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参考工作量</w:t>
            </w:r>
          </w:p>
        </w:tc>
        <w:tc>
          <w:tcPr>
            <w:tcW w:w="1701"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备注</w:t>
            </w:r>
          </w:p>
        </w:tc>
      </w:tr>
      <w:tr>
        <w:tblPrEx>
          <w:tblCellMar>
            <w:top w:w="0" w:type="dxa"/>
            <w:left w:w="108" w:type="dxa"/>
            <w:bottom w:w="0" w:type="dxa"/>
            <w:right w:w="108" w:type="dxa"/>
          </w:tblCellMar>
        </w:tblPrEx>
        <w:trPr>
          <w:trHeight w:val="381"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396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cs="仿宋"/>
                <w:color w:val="000000"/>
                <w:kern w:val="0"/>
                <w:sz w:val="21"/>
                <w:szCs w:val="21"/>
                <w:lang w:bidi="ar"/>
              </w:rPr>
            </w:pPr>
            <w:r>
              <w:rPr>
                <w:rFonts w:hint="eastAsia" w:ascii="仿宋" w:hAnsi="仿宋" w:eastAsia="仿宋" w:cs="仿宋"/>
                <w:color w:val="000000"/>
                <w:kern w:val="0"/>
                <w:sz w:val="21"/>
                <w:szCs w:val="21"/>
                <w:lang w:bidi="ar"/>
              </w:rPr>
              <w:t>1:2000全河段地形测量：</w:t>
            </w:r>
            <w:r>
              <w:rPr>
                <w:rFonts w:hint="eastAsia" w:ascii="宋体" w:hAnsi="宋体"/>
                <w:sz w:val="18"/>
                <w:szCs w:val="18"/>
              </w:rPr>
              <w:t>斑鸠背-二郎滩（68.5-64.7km）河段、础石滩-锅铲石（61.5-58.6km）河段、白鹤滩-王家滩至桌子角滩（52.5-46.5km）河段、利滩-响水滩徐家滩（37-29km）河段、黄果碛滩（25.5-22km）河段。</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13km</w:t>
            </w:r>
            <w:r>
              <w:rPr>
                <w:rStyle w:val="25"/>
                <w:rFonts w:hint="default"/>
                <w:lang w:bidi="ar"/>
              </w:rPr>
              <w:t>2</w:t>
            </w:r>
          </w:p>
        </w:tc>
        <w:tc>
          <w:tcPr>
            <w:tcW w:w="1701" w:type="dxa"/>
            <w:vMerge w:val="restart"/>
            <w:tcBorders>
              <w:top w:val="single" w:color="auto" w:sz="4" w:space="0"/>
              <w:left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sz w:val="21"/>
                <w:szCs w:val="21"/>
              </w:rPr>
              <w:t>测量面积、控制点个数及测线长度为测算值，原则实际完成量应大于或等于参考工作量。</w:t>
            </w:r>
          </w:p>
        </w:tc>
      </w:tr>
      <w:tr>
        <w:tblPrEx>
          <w:tblCellMar>
            <w:top w:w="0" w:type="dxa"/>
            <w:left w:w="108" w:type="dxa"/>
            <w:bottom w:w="0" w:type="dxa"/>
            <w:right w:w="108" w:type="dxa"/>
          </w:tblCellMar>
        </w:tblPrEx>
        <w:trPr>
          <w:trHeight w:val="401"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396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1:500 航道局部范围地形测量：桌子角、响水滩-鱼鳅石</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0.3km</w:t>
            </w:r>
            <w:r>
              <w:rPr>
                <w:rStyle w:val="25"/>
                <w:rFonts w:hint="default"/>
                <w:lang w:bidi="ar"/>
              </w:rPr>
              <w:t>2</w:t>
            </w:r>
          </w:p>
        </w:tc>
        <w:tc>
          <w:tcPr>
            <w:tcW w:w="1701" w:type="dxa"/>
            <w:vMerge w:val="continue"/>
            <w:tcBorders>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01"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396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控制测量选点埋石</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5个</w:t>
            </w:r>
          </w:p>
        </w:tc>
        <w:tc>
          <w:tcPr>
            <w:tcW w:w="1701" w:type="dxa"/>
            <w:vMerge w:val="continue"/>
            <w:tcBorders>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397"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96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平面控制测量</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20个</w:t>
            </w:r>
          </w:p>
        </w:tc>
        <w:tc>
          <w:tcPr>
            <w:tcW w:w="1701" w:type="dxa"/>
            <w:vMerge w:val="continue"/>
            <w:tcBorders>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03"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396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高程控制测量</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66Km</w:t>
            </w:r>
          </w:p>
        </w:tc>
        <w:tc>
          <w:tcPr>
            <w:tcW w:w="1701"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p>
        </w:tc>
      </w:tr>
    </w:tbl>
    <w:p>
      <w:pPr>
        <w:spacing w:line="56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2.服务要求：本项目应满足国家及行业相关规范的要求，主要观测依据如下：</w:t>
      </w:r>
    </w:p>
    <w:p>
      <w:pPr>
        <w:ind w:firstLine="480" w:firstLineChars="200"/>
        <w:rPr>
          <w:rFonts w:ascii="方正仿宋_GBK" w:hAnsi="宋体" w:eastAsia="方正仿宋_GBK"/>
          <w:sz w:val="24"/>
          <w:szCs w:val="24"/>
        </w:rPr>
      </w:pPr>
      <w:r>
        <w:rPr>
          <w:rFonts w:ascii="方正仿宋_GBK" w:hAnsi="宋体" w:eastAsia="方正仿宋_GBK"/>
          <w:sz w:val="24"/>
          <w:szCs w:val="24"/>
        </w:rPr>
        <w:t>①</w:t>
      </w:r>
      <w:r>
        <w:rPr>
          <w:rFonts w:hint="eastAsia" w:ascii="方正仿宋_GBK" w:hAnsi="宋体" w:eastAsia="方正仿宋_GBK"/>
          <w:sz w:val="24"/>
          <w:szCs w:val="24"/>
        </w:rPr>
        <w:t>《水运工程测量规范》（JTS 131―2012 ）；</w:t>
      </w:r>
    </w:p>
    <w:p>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《水运工程测量质量检验标准》（JTS 258-2008）；</w:t>
      </w:r>
    </w:p>
    <w:p>
      <w:pPr>
        <w:ind w:firstLine="480" w:firstLineChars="200"/>
        <w:rPr>
          <w:rFonts w:ascii="方正仿宋_GBK" w:hAnsi="宋体" w:eastAsia="方正仿宋_GBK"/>
          <w:sz w:val="24"/>
          <w:szCs w:val="24"/>
        </w:rPr>
      </w:pPr>
      <w:r>
        <w:rPr>
          <w:rFonts w:ascii="方正仿宋_GBK" w:hAnsi="宋体" w:eastAsia="方正仿宋_GBK"/>
          <w:sz w:val="24"/>
          <w:szCs w:val="24"/>
        </w:rPr>
        <w:t>③</w:t>
      </w:r>
      <w:r>
        <w:rPr>
          <w:rFonts w:hint="eastAsia" w:ascii="方正仿宋_GBK" w:hAnsi="宋体" w:eastAsia="方正仿宋_GBK"/>
          <w:sz w:val="24"/>
          <w:szCs w:val="24"/>
        </w:rPr>
        <w:t>《全球定位系统（GPS）测量规范》（GB/T 18314-2009）；</w:t>
      </w:r>
    </w:p>
    <w:p>
      <w:pPr>
        <w:ind w:firstLine="480" w:firstLineChars="200"/>
        <w:rPr>
          <w:rFonts w:ascii="方正仿宋_GBK" w:hAnsi="宋体" w:eastAsia="方正仿宋_GBK"/>
          <w:sz w:val="24"/>
          <w:szCs w:val="24"/>
        </w:rPr>
      </w:pPr>
      <w:r>
        <w:rPr>
          <w:rFonts w:ascii="方正仿宋_GBK" w:hAnsi="宋体" w:eastAsia="方正仿宋_GBK"/>
          <w:sz w:val="24"/>
          <w:szCs w:val="24"/>
        </w:rPr>
        <w:t>④</w:t>
      </w:r>
      <w:r>
        <w:rPr>
          <w:rFonts w:hint="eastAsia" w:ascii="方正仿宋_GBK" w:hAnsi="宋体" w:eastAsia="方正仿宋_GBK"/>
          <w:sz w:val="24"/>
          <w:szCs w:val="24"/>
        </w:rPr>
        <w:t>《国家三、四等水准测量规范》（GB/T 12898-2009）；</w:t>
      </w:r>
    </w:p>
    <w:p>
      <w:pPr>
        <w:ind w:firstLine="480" w:firstLineChars="200"/>
        <w:rPr>
          <w:rFonts w:ascii="方正仿宋_GBK" w:hAnsi="宋体" w:eastAsia="方正仿宋_GBK"/>
          <w:sz w:val="24"/>
          <w:szCs w:val="24"/>
        </w:rPr>
      </w:pPr>
      <w:r>
        <w:rPr>
          <w:rFonts w:ascii="方正仿宋_GBK" w:hAnsi="宋体" w:eastAsia="方正仿宋_GBK"/>
          <w:sz w:val="24"/>
          <w:szCs w:val="24"/>
        </w:rPr>
        <w:t>⑤</w:t>
      </w:r>
      <w:r>
        <w:rPr>
          <w:rFonts w:hint="eastAsia" w:ascii="方正仿宋_GBK" w:hAnsi="宋体" w:eastAsia="方正仿宋_GBK"/>
          <w:sz w:val="24"/>
          <w:szCs w:val="24"/>
        </w:rPr>
        <w:t>《国家三角测量规范》（GB／T17942-2000）。</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3.技术要求</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1、重点滩段地形图测图要求：</w:t>
      </w:r>
    </w:p>
    <w:p>
      <w:pPr>
        <w:ind w:firstLine="480" w:firstLineChars="200"/>
        <w:rPr>
          <w:rFonts w:ascii="方正仿宋_GBK" w:hAnsi="宋体" w:eastAsia="方正仿宋_GBK"/>
          <w:sz w:val="24"/>
          <w:szCs w:val="24"/>
        </w:rPr>
      </w:pPr>
      <w:r>
        <w:rPr>
          <w:rFonts w:ascii="方正仿宋_GBK" w:hAnsi="宋体" w:eastAsia="方正仿宋_GBK"/>
          <w:sz w:val="24"/>
          <w:szCs w:val="24"/>
        </w:rPr>
        <w:t>①测图比例为1：2000</w:t>
      </w:r>
      <w:r>
        <w:rPr>
          <w:rFonts w:hint="eastAsia" w:ascii="方正仿宋_GBK" w:hAnsi="宋体" w:eastAsia="方正仿宋_GBK"/>
          <w:sz w:val="24"/>
          <w:szCs w:val="24"/>
        </w:rPr>
        <w:t>和1：500，按《水运工程测量规范》(JTS 131-2012)及相关规范、标准控制测量精度；</w:t>
      </w:r>
    </w:p>
    <w:p>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 xml:space="preserve">应急抢通滩段水下地形测量平面及高程基准采用2000国家大地坐标系、1985国家高程基准，3 </w:t>
      </w:r>
      <w:r>
        <w:rPr>
          <w:rFonts w:ascii="Cambria" w:hAnsi="Cambria" w:eastAsia="方正仿宋_GBK" w:cs="Cambria"/>
          <w:sz w:val="24"/>
          <w:szCs w:val="24"/>
        </w:rPr>
        <w:t>º</w:t>
      </w:r>
      <w:r>
        <w:rPr>
          <w:rFonts w:hint="eastAsia" w:ascii="方正仿宋_GBK" w:hAnsi="方正仿宋_GBK" w:eastAsia="方正仿宋_GBK" w:cs="方正仿宋_GBK"/>
          <w:sz w:val="24"/>
          <w:szCs w:val="24"/>
        </w:rPr>
        <w:t>分带，中央子午线为</w:t>
      </w:r>
      <w:r>
        <w:rPr>
          <w:rFonts w:hint="eastAsia" w:ascii="方正仿宋_GBK" w:hAnsi="宋体" w:eastAsia="方正仿宋_GBK"/>
          <w:sz w:val="24"/>
          <w:szCs w:val="24"/>
        </w:rPr>
        <w:t>105度，</w:t>
      </w:r>
      <w:r>
        <w:rPr>
          <w:rFonts w:ascii="方正仿宋_GBK" w:hAnsi="宋体" w:eastAsia="方正仿宋_GBK"/>
          <w:sz w:val="24"/>
          <w:szCs w:val="24"/>
        </w:rPr>
        <w:t>以绝对高程成图</w:t>
      </w:r>
      <w:r>
        <w:rPr>
          <w:rFonts w:hint="eastAsia" w:ascii="方正仿宋_GBK" w:hAnsi="宋体" w:eastAsia="方正仿宋_GBK"/>
          <w:sz w:val="24"/>
          <w:szCs w:val="24"/>
        </w:rPr>
        <w:t>；</w:t>
      </w:r>
    </w:p>
    <w:p>
      <w:pPr>
        <w:ind w:firstLine="480" w:firstLineChars="200"/>
        <w:rPr>
          <w:rFonts w:ascii="方正仿宋_GBK" w:hAnsi="宋体" w:eastAsia="方正仿宋_GBK"/>
          <w:sz w:val="24"/>
          <w:szCs w:val="24"/>
        </w:rPr>
      </w:pPr>
      <w:r>
        <w:rPr>
          <w:rFonts w:ascii="方正仿宋_GBK" w:hAnsi="宋体" w:eastAsia="方正仿宋_GBK"/>
          <w:sz w:val="24"/>
          <w:szCs w:val="24"/>
        </w:rPr>
        <w:t>③</w:t>
      </w:r>
      <w:r>
        <w:rPr>
          <w:rFonts w:hint="eastAsia" w:ascii="方正仿宋_GBK" w:hAnsi="宋体" w:eastAsia="方正仿宋_GBK"/>
          <w:sz w:val="24"/>
          <w:szCs w:val="24"/>
        </w:rPr>
        <w:t>地形图应准确标注测量范围内所有涉河工程和设施的位置、尺度、高程等；清楚标识地名、陡岸坡、礁石、水边以及各种石盘、石梁、碛坝、洲滩等地物地貌名称等；</w:t>
      </w:r>
    </w:p>
    <w:p>
      <w:pPr>
        <w:ind w:firstLine="480" w:firstLineChars="200"/>
        <w:rPr>
          <w:rFonts w:ascii="方正仿宋_GBK" w:hAnsi="宋体" w:eastAsia="方正仿宋_GBK"/>
          <w:sz w:val="24"/>
          <w:szCs w:val="24"/>
        </w:rPr>
      </w:pPr>
      <w:r>
        <w:rPr>
          <w:rFonts w:ascii="方正仿宋_GBK" w:hAnsi="宋体" w:eastAsia="方正仿宋_GBK"/>
          <w:sz w:val="24"/>
          <w:szCs w:val="24"/>
        </w:rPr>
        <w:t>④</w:t>
      </w:r>
      <w:r>
        <w:rPr>
          <w:rFonts w:hint="eastAsia" w:ascii="方正仿宋_GBK" w:hAnsi="宋体" w:eastAsia="方正仿宋_GBK"/>
          <w:sz w:val="24"/>
          <w:szCs w:val="24"/>
        </w:rPr>
        <w:t>上限高程测至最高</w:t>
      </w:r>
      <w:r>
        <w:rPr>
          <w:rFonts w:ascii="方正仿宋_GBK" w:hAnsi="宋体" w:eastAsia="方正仿宋_GBK"/>
          <w:sz w:val="24"/>
          <w:szCs w:val="24"/>
        </w:rPr>
        <w:t>洪水位</w:t>
      </w:r>
      <w:r>
        <w:rPr>
          <w:rFonts w:hint="eastAsia" w:ascii="方正仿宋_GBK" w:hAnsi="宋体" w:eastAsia="方正仿宋_GBK"/>
          <w:sz w:val="24"/>
          <w:szCs w:val="24"/>
        </w:rPr>
        <w:t>；码头地形测图应包括趸船、跳船、跳板等位置的测图；</w:t>
      </w:r>
    </w:p>
    <w:p>
      <w:pPr>
        <w:ind w:firstLine="480" w:firstLineChars="200"/>
        <w:rPr>
          <w:rFonts w:ascii="方正仿宋_GBK" w:hAnsi="宋体" w:eastAsia="方正仿宋_GBK"/>
          <w:sz w:val="24"/>
          <w:szCs w:val="24"/>
        </w:rPr>
      </w:pPr>
      <w:r>
        <w:rPr>
          <w:rFonts w:ascii="方正仿宋_GBK" w:hAnsi="宋体" w:eastAsia="方正仿宋_GBK"/>
          <w:sz w:val="24"/>
          <w:szCs w:val="24"/>
        </w:rPr>
        <w:t>⑤</w:t>
      </w:r>
      <w:r>
        <w:rPr>
          <w:rFonts w:hint="eastAsia" w:ascii="方正仿宋_GBK" w:hAnsi="宋体" w:eastAsia="方正仿宋_GBK"/>
          <w:sz w:val="24"/>
          <w:szCs w:val="24"/>
        </w:rPr>
        <w:t>观测范围以里程作为参考；</w:t>
      </w:r>
    </w:p>
    <w:p>
      <w:pPr>
        <w:ind w:firstLine="480" w:firstLineChars="200"/>
        <w:rPr>
          <w:rFonts w:ascii="方正仿宋_GBK" w:hAnsi="宋体" w:eastAsia="方正仿宋_GBK"/>
          <w:sz w:val="24"/>
          <w:szCs w:val="24"/>
        </w:rPr>
      </w:pPr>
      <w:r>
        <w:rPr>
          <w:rFonts w:ascii="方正仿宋_GBK" w:hAnsi="宋体" w:eastAsia="方正仿宋_GBK"/>
          <w:sz w:val="24"/>
          <w:szCs w:val="24"/>
        </w:rPr>
        <w:t>⑥</w:t>
      </w:r>
      <w:r>
        <w:rPr>
          <w:rFonts w:hint="eastAsia" w:ascii="方正仿宋_GBK" w:hAnsi="宋体" w:eastAsia="方正仿宋_GBK"/>
          <w:sz w:val="24"/>
          <w:szCs w:val="24"/>
        </w:rPr>
        <w:t>测图中应标示测绘时间、测图水位等；</w:t>
      </w:r>
    </w:p>
    <w:p>
      <w:pPr>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、控制测量技术要求</w:t>
      </w:r>
    </w:p>
    <w:p>
      <w:pPr>
        <w:ind w:firstLine="480" w:firstLineChars="200"/>
        <w:rPr>
          <w:rFonts w:ascii="方正仿宋_GBK" w:hAnsi="宋体" w:eastAsia="方正仿宋_GBK"/>
          <w:sz w:val="24"/>
          <w:szCs w:val="24"/>
        </w:rPr>
      </w:pPr>
      <w:r>
        <w:rPr>
          <w:rFonts w:ascii="方正仿宋_GBK" w:hAnsi="宋体" w:eastAsia="方正仿宋_GBK"/>
          <w:sz w:val="24"/>
          <w:szCs w:val="24"/>
        </w:rPr>
        <w:t>①</w:t>
      </w:r>
      <w:bookmarkStart w:id="55" w:name="_Toc347824297"/>
      <w:r>
        <w:rPr>
          <w:rFonts w:hint="eastAsia" w:ascii="方正仿宋_GBK" w:hAnsi="宋体" w:eastAsia="方正仿宋_GBK"/>
          <w:sz w:val="24"/>
          <w:szCs w:val="24"/>
        </w:rPr>
        <w:t xml:space="preserve">控制测量平面及高程基准采用2000国家大地坐标系、1985国家高程基准，3 </w:t>
      </w:r>
      <w:r>
        <w:rPr>
          <w:rFonts w:ascii="Cambria" w:hAnsi="Cambria" w:eastAsia="方正仿宋_GBK" w:cs="Cambria"/>
          <w:sz w:val="24"/>
          <w:szCs w:val="24"/>
        </w:rPr>
        <w:t>º</w:t>
      </w:r>
      <w:r>
        <w:rPr>
          <w:rFonts w:hint="eastAsia" w:ascii="方正仿宋_GBK" w:hAnsi="方正仿宋_GBK" w:eastAsia="方正仿宋_GBK" w:cs="方正仿宋_GBK"/>
          <w:sz w:val="24"/>
          <w:szCs w:val="24"/>
        </w:rPr>
        <w:t>分带，中央子午线为</w:t>
      </w:r>
      <w:r>
        <w:rPr>
          <w:rFonts w:hint="eastAsia" w:ascii="方正仿宋_GBK" w:hAnsi="宋体" w:eastAsia="方正仿宋_GBK"/>
          <w:sz w:val="24"/>
          <w:szCs w:val="24"/>
        </w:rPr>
        <w:t>105度；</w:t>
      </w:r>
    </w:p>
    <w:p>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平面控制按照GPS测量E级网测量，高程达到四等高程水准。按《全球定位系统（GPS）测量规范》（GB/T18314-2009）执行；高程控制按《国家三、四等水准测量规范》（GB/T 12898-2009）及《水运工程测量规范》（JTS131-2012）执行，起算点精度应满足相关规范及本项目技术要求；</w:t>
      </w:r>
    </w:p>
    <w:p>
      <w:pPr>
        <w:ind w:firstLine="480" w:firstLineChars="200"/>
        <w:rPr>
          <w:rFonts w:ascii="方正仿宋_GBK" w:hAnsi="宋体" w:eastAsia="方正仿宋_GBK"/>
          <w:sz w:val="24"/>
          <w:szCs w:val="24"/>
        </w:rPr>
      </w:pPr>
      <w:r>
        <w:rPr>
          <w:rFonts w:ascii="方正仿宋_GBK" w:hAnsi="宋体" w:eastAsia="方正仿宋_GBK"/>
          <w:sz w:val="24"/>
          <w:szCs w:val="24"/>
        </w:rPr>
        <w:t>③</w:t>
      </w:r>
      <w:r>
        <w:rPr>
          <w:rFonts w:hint="eastAsia" w:ascii="方正仿宋_GBK" w:hAnsi="宋体" w:eastAsia="方正仿宋_GBK"/>
          <w:sz w:val="24"/>
          <w:szCs w:val="24"/>
        </w:rPr>
        <w:t>对嘉陵江河口-草街航道范围内控制点进行观测。测量仪器必须具备计量检定部门或计量检定部门授权的检定站出具近期的检定证书，并在每个测区使用前进行有关检验和校正，并作好检验和校正记录。测量仪器鉴定证书和检验校正记录报业主审核。</w:t>
      </w:r>
      <w:bookmarkEnd w:id="55"/>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szCs w:val="24"/>
        </w:rPr>
        <w:t>.</w:t>
      </w:r>
      <w:r>
        <w:rPr>
          <w:rFonts w:hint="eastAsia" w:ascii="方正仿宋_GBK" w:hAnsi="宋体" w:eastAsia="方正仿宋_GBK"/>
          <w:sz w:val="24"/>
          <w:szCs w:val="24"/>
        </w:rPr>
        <w:t>资料成果提交</w:t>
      </w:r>
    </w:p>
    <w:p>
      <w:pPr>
        <w:ind w:firstLine="480" w:firstLineChars="200"/>
        <w:rPr>
          <w:rFonts w:ascii="方正仿宋_GBK" w:hAnsi="宋体" w:eastAsia="方正仿宋_GBK"/>
          <w:sz w:val="24"/>
          <w:szCs w:val="24"/>
        </w:rPr>
      </w:pPr>
      <w:bookmarkStart w:id="56" w:name="_Toc313536013"/>
      <w:bookmarkStart w:id="57" w:name="_Toc344475116"/>
      <w:bookmarkStart w:id="58" w:name="_Toc76462326"/>
      <w:bookmarkStart w:id="59" w:name="_Toc106030881"/>
      <w:r>
        <w:rPr>
          <w:rFonts w:ascii="方正仿宋_GBK" w:hAnsi="宋体" w:eastAsia="方正仿宋_GBK"/>
          <w:sz w:val="24"/>
          <w:szCs w:val="24"/>
        </w:rPr>
        <w:t>①</w:t>
      </w:r>
      <w:r>
        <w:rPr>
          <w:rFonts w:hint="eastAsia" w:ascii="方正仿宋_GBK" w:hAnsi="宋体" w:eastAsia="方正仿宋_GBK"/>
          <w:sz w:val="24"/>
          <w:szCs w:val="24"/>
        </w:rPr>
        <w:t>重点滩段水下地形测量成果</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提供水下地形测量成果电子版1套，蓝图纸质版1套（1</w:t>
      </w:r>
      <w:r>
        <w:rPr>
          <w:rFonts w:ascii="方正仿宋_GBK" w:hAnsi="宋体" w:eastAsia="方正仿宋_GBK"/>
          <w:sz w:val="24"/>
          <w:szCs w:val="24"/>
        </w:rPr>
        <w:t>985</w:t>
      </w:r>
      <w:r>
        <w:rPr>
          <w:rFonts w:hint="eastAsia" w:ascii="方正仿宋_GBK" w:hAnsi="宋体" w:eastAsia="方正仿宋_GBK"/>
          <w:sz w:val="24"/>
          <w:szCs w:val="24"/>
        </w:rPr>
        <w:t>国家高程基准，绝对高程成图，2000国家大地坐标系）。</w:t>
      </w:r>
    </w:p>
    <w:p>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控制测量成果</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测量技术总结报告、原始测量数据、控制测量平差分析报告、四等水准测量或三角高程测量原始测量数据及平差分析报告、嘉陵江河口-草街（三段）七参数成果。上述成果均需提供电子和纸质档各一份。</w:t>
      </w:r>
    </w:p>
    <w:p>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三、服务及质量</w:t>
      </w:r>
      <w:bookmarkEnd w:id="56"/>
      <w:bookmarkEnd w:id="57"/>
      <w:r>
        <w:rPr>
          <w:rFonts w:hint="eastAsia" w:ascii="方正仿宋_GBK" w:hAnsi="宋体" w:eastAsia="方正仿宋_GBK"/>
          <w:sz w:val="24"/>
        </w:rPr>
        <w:t>需求</w:t>
      </w:r>
      <w:bookmarkEnd w:id="58"/>
      <w:bookmarkEnd w:id="59"/>
    </w:p>
    <w:p>
      <w:pPr>
        <w:adjustRightInd w:val="0"/>
        <w:snapToGrid w:val="0"/>
        <w:spacing w:line="400" w:lineRule="exact"/>
        <w:ind w:firstLine="480" w:firstLineChars="200"/>
        <w:jc w:val="left"/>
        <w:rPr>
          <w:rFonts w:ascii="方正仿宋_GBK" w:hAnsi="宋体" w:eastAsia="方正仿宋_GBK"/>
          <w:sz w:val="24"/>
          <w:szCs w:val="24"/>
        </w:rPr>
      </w:pPr>
      <w:bookmarkStart w:id="60" w:name="_Toc480558624"/>
      <w:r>
        <w:rPr>
          <w:rFonts w:hint="eastAsia" w:ascii="方正仿宋_GBK" w:hAnsi="宋体" w:eastAsia="方正仿宋_GBK"/>
          <w:sz w:val="24"/>
          <w:szCs w:val="24"/>
        </w:rPr>
        <w:t>1.质量要求：满足国家相关法律法规和技术规范要求。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bookmarkEnd w:id="60"/>
    </w:p>
    <w:p>
      <w:pPr>
        <w:pStyle w:val="4"/>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1" w:name="_Toc65660341"/>
      <w:bookmarkStart w:id="62" w:name="_Toc13356"/>
      <w:bookmarkStart w:id="63" w:name="_Toc523"/>
      <w:bookmarkStart w:id="64" w:name="_Toc15492"/>
      <w:bookmarkStart w:id="65"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1"/>
      <w:bookmarkEnd w:id="62"/>
      <w:bookmarkEnd w:id="63"/>
      <w:bookmarkEnd w:id="64"/>
      <w:r>
        <w:rPr>
          <w:rFonts w:hint="eastAsia" w:ascii="方正小标宋_GBK" w:eastAsia="方正小标宋_GBK"/>
          <w:b w:val="0"/>
          <w:sz w:val="36"/>
          <w:szCs w:val="30"/>
        </w:rPr>
        <w:t>商务需求</w:t>
      </w:r>
      <w:bookmarkEnd w:id="65"/>
    </w:p>
    <w:p>
      <w:pPr>
        <w:pStyle w:val="4"/>
        <w:adjustRightInd w:val="0"/>
        <w:snapToGrid w:val="0"/>
        <w:spacing w:before="0" w:after="0" w:line="400" w:lineRule="exact"/>
        <w:ind w:firstLine="482" w:firstLineChars="200"/>
        <w:rPr>
          <w:rFonts w:ascii="方正仿宋_GBK" w:hAnsi="宋体" w:eastAsia="方正仿宋_GBK"/>
          <w:sz w:val="24"/>
        </w:rPr>
      </w:pPr>
      <w:bookmarkStart w:id="66" w:name="_Toc65660342"/>
      <w:bookmarkStart w:id="67" w:name="_Toc17750"/>
      <w:bookmarkStart w:id="68" w:name="_Toc12935"/>
      <w:bookmarkStart w:id="69" w:name="_Toc106034782"/>
      <w:bookmarkStart w:id="70" w:name="_Toc13555"/>
      <w:bookmarkStart w:id="71" w:name="_Toc342913389"/>
      <w:r>
        <w:rPr>
          <w:rFonts w:hint="eastAsia" w:ascii="方正仿宋_GBK" w:hAnsi="宋体" w:eastAsia="方正仿宋_GBK"/>
          <w:sz w:val="24"/>
        </w:rPr>
        <w:t>一、交货时间/服务期、地点及验收方式</w:t>
      </w:r>
      <w:bookmarkEnd w:id="66"/>
      <w:bookmarkEnd w:id="67"/>
      <w:bookmarkEnd w:id="68"/>
      <w:bookmarkEnd w:id="69"/>
      <w:bookmarkEnd w:id="70"/>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（一）服务期：自合同签订之日起45日历日内完成。</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（二）服务地点：嘉陵江沿线。</w:t>
      </w:r>
    </w:p>
    <w:p>
      <w:pPr>
        <w:pStyle w:val="4"/>
        <w:adjustRightInd w:val="0"/>
        <w:snapToGrid w:val="0"/>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（三）验收方式：</w:t>
      </w:r>
    </w:p>
    <w:p>
      <w:pPr>
        <w:pStyle w:val="4"/>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1、本项目为总价承包，供应商须负责完成2024年嘉陵江重点滩段汛后观测服务的相关项目，采购人参照询价项目内容及要求组织验收。</w:t>
      </w:r>
    </w:p>
    <w:p>
      <w:pPr>
        <w:pStyle w:val="4"/>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2、项目验收程序：采购人收到项目资料成果后15天内组织验收，并在验收后15天内给予认可或提出整改意见。承包人按要求整改，并承担由自身原因造成整改的费用。</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bCs/>
          <w:sz w:val="24"/>
        </w:rPr>
        <w:t>3</w:t>
      </w:r>
      <w:r>
        <w:rPr>
          <w:rFonts w:hint="eastAsia" w:ascii="方正仿宋_GBK" w:hAnsi="宋体" w:eastAsia="方正仿宋_GBK"/>
          <w:bCs/>
          <w:sz w:val="24"/>
        </w:rPr>
        <w:t>、质量要求：达到服务要求部分及其它国家相关标准、要求，并达到合格标准。</w:t>
      </w:r>
    </w:p>
    <w:p>
      <w:pPr>
        <w:pStyle w:val="4"/>
        <w:adjustRightInd w:val="0"/>
        <w:snapToGrid w:val="0"/>
        <w:spacing w:before="0" w:after="0" w:line="400" w:lineRule="exact"/>
        <w:ind w:firstLine="482" w:firstLineChars="200"/>
        <w:rPr>
          <w:rFonts w:ascii="方正仿宋_GBK" w:hAnsi="宋体" w:eastAsia="方正仿宋_GBK"/>
          <w:sz w:val="24"/>
        </w:rPr>
      </w:pPr>
      <w:bookmarkStart w:id="72" w:name="_Toc1838"/>
      <w:bookmarkStart w:id="73" w:name="_Toc8103"/>
      <w:bookmarkStart w:id="74" w:name="_Toc65660343"/>
      <w:bookmarkStart w:id="75" w:name="_Toc106034783"/>
      <w:bookmarkStart w:id="76" w:name="_Toc24110"/>
      <w:r>
        <w:rPr>
          <w:rFonts w:hint="eastAsia" w:ascii="方正仿宋_GBK" w:hAnsi="宋体" w:eastAsia="方正仿宋_GBK"/>
          <w:sz w:val="24"/>
        </w:rPr>
        <w:t>二、质量保证</w:t>
      </w:r>
      <w:bookmarkEnd w:id="72"/>
      <w:bookmarkEnd w:id="73"/>
      <w:bookmarkEnd w:id="74"/>
      <w:bookmarkEnd w:id="75"/>
      <w:bookmarkEnd w:id="7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pPr>
        <w:pStyle w:val="4"/>
        <w:adjustRightInd w:val="0"/>
        <w:snapToGrid w:val="0"/>
        <w:spacing w:before="0" w:after="0" w:line="400" w:lineRule="exact"/>
        <w:ind w:firstLine="482" w:firstLineChars="200"/>
        <w:rPr>
          <w:rFonts w:ascii="方正仿宋_GBK" w:hAnsi="宋体" w:eastAsia="方正仿宋_GBK"/>
          <w:sz w:val="24"/>
        </w:rPr>
      </w:pPr>
      <w:bookmarkStart w:id="77" w:name="_Toc16974"/>
      <w:bookmarkStart w:id="78" w:name="_Toc106034784"/>
      <w:bookmarkStart w:id="79" w:name="_Toc122"/>
      <w:bookmarkStart w:id="80" w:name="_Toc65660344"/>
      <w:bookmarkStart w:id="81" w:name="_Toc12184"/>
      <w:r>
        <w:rPr>
          <w:rFonts w:hint="eastAsia" w:ascii="方正仿宋_GBK" w:hAnsi="宋体" w:eastAsia="方正仿宋_GBK"/>
          <w:sz w:val="24"/>
        </w:rPr>
        <w:t>三、报价要求</w:t>
      </w:r>
      <w:bookmarkEnd w:id="77"/>
      <w:bookmarkEnd w:id="78"/>
      <w:bookmarkEnd w:id="79"/>
      <w:bookmarkEnd w:id="80"/>
      <w:bookmarkEnd w:id="81"/>
    </w:p>
    <w:p>
      <w:pPr>
        <w:snapToGrid w:val="0"/>
        <w:spacing w:line="400" w:lineRule="exact"/>
        <w:ind w:firstLine="540"/>
      </w:pPr>
      <w:bookmarkStart w:id="82" w:name="_Toc9192"/>
      <w:bookmarkStart w:id="83" w:name="_Toc7562"/>
      <w:bookmarkStart w:id="84" w:name="_Toc65660345"/>
      <w:bookmarkStart w:id="85" w:name="_Toc106034785"/>
      <w:bookmarkStart w:id="86" w:name="_Toc11000"/>
      <w:r>
        <w:rPr>
          <w:rFonts w:hint="eastAsia" w:ascii="方正仿宋_GBK" w:hAnsi="宋体" w:eastAsia="方正仿宋_GBK"/>
          <w:sz w:val="24"/>
          <w:szCs w:val="24"/>
        </w:rPr>
        <w:t>本次项目为总价包干，供应商应充分考虑项目的实施条件、测量难度、设备转运等因素对工程费用的影响，供应商的报价应包括本项目的直接费、间接费、测量设备、劳务、管理、材料、水、电、二次转运、利润、税金及政策性文件规定的完成本项目所需的全部费用。未明列需求的，由供应商自行计算。因供应商自身原因造成漏报、少报皆由其自行承担责任，采购人不再补偿。</w:t>
      </w:r>
    </w:p>
    <w:p>
      <w:pPr>
        <w:pStyle w:val="4"/>
        <w:adjustRightInd w:val="0"/>
        <w:snapToGrid w:val="0"/>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2"/>
      <w:bookmarkEnd w:id="83"/>
      <w:bookmarkEnd w:id="84"/>
      <w:bookmarkEnd w:id="85"/>
      <w:bookmarkEnd w:id="86"/>
    </w:p>
    <w:p>
      <w:pPr>
        <w:snapToGrid w:val="0"/>
        <w:spacing w:line="400" w:lineRule="exact"/>
        <w:ind w:firstLine="480" w:firstLineChars="200"/>
        <w:rPr>
          <w:rFonts w:ascii="方正仿宋_GBK" w:hAnsi="宋体" w:eastAsia="方正仿宋_GBK" w:cs="宋体"/>
          <w:kern w:val="0"/>
          <w:sz w:val="24"/>
          <w:szCs w:val="24"/>
        </w:rPr>
      </w:pPr>
      <w:bookmarkStart w:id="87" w:name="_Toc106030886"/>
      <w:bookmarkStart w:id="88" w:name="_Toc76462331"/>
      <w:bookmarkStart w:id="89" w:name="_Toc344475124"/>
      <w:bookmarkStart w:id="90" w:name="_Toc65660346"/>
      <w:bookmarkStart w:id="91" w:name="_Toc24751"/>
      <w:bookmarkStart w:id="92" w:name="_Toc7228"/>
      <w:bookmarkStart w:id="93" w:name="_Toc3786"/>
      <w:bookmarkStart w:id="94" w:name="_Toc106034786"/>
      <w:r>
        <w:rPr>
          <w:rFonts w:hint="eastAsia" w:ascii="方正仿宋_GBK" w:hAnsi="宋体" w:eastAsia="方正仿宋_GBK" w:cs="宋体"/>
          <w:kern w:val="0"/>
          <w:sz w:val="24"/>
          <w:szCs w:val="24"/>
        </w:rPr>
        <w:t>测量成果验收合格并提交后，成交供应商提供正式发票，采购人于10个工作日内一次付清所有费用</w:t>
      </w:r>
      <w:r>
        <w:rPr>
          <w:rFonts w:ascii="方正仿宋_GBK" w:hAnsi="宋体" w:eastAsia="方正仿宋_GBK" w:cs="宋体"/>
          <w:kern w:val="0"/>
          <w:sz w:val="24"/>
          <w:szCs w:val="24"/>
        </w:rPr>
        <w:t>。</w:t>
      </w:r>
    </w:p>
    <w:bookmarkEnd w:id="87"/>
    <w:bookmarkEnd w:id="88"/>
    <w:bookmarkEnd w:id="89"/>
    <w:p>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五、知识产权</w:t>
      </w:r>
      <w:bookmarkEnd w:id="90"/>
      <w:bookmarkEnd w:id="91"/>
      <w:bookmarkEnd w:id="92"/>
      <w:bookmarkEnd w:id="93"/>
      <w:bookmarkEnd w:id="9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adjustRightInd w:val="0"/>
        <w:snapToGrid w:val="0"/>
        <w:spacing w:before="0" w:after="0" w:line="400" w:lineRule="exact"/>
        <w:ind w:firstLine="482" w:firstLineChars="200"/>
        <w:rPr>
          <w:rFonts w:ascii="方正仿宋_GBK" w:hAnsi="宋体" w:eastAsia="方正仿宋_GBK"/>
          <w:sz w:val="24"/>
        </w:rPr>
      </w:pPr>
      <w:bookmarkStart w:id="95" w:name="_Toc106034787"/>
      <w:bookmarkStart w:id="96" w:name="_Toc65660347"/>
      <w:bookmarkStart w:id="97" w:name="_Toc5555"/>
      <w:bookmarkStart w:id="98" w:name="_Toc6869"/>
      <w:bookmarkStart w:id="99" w:name="_Toc6565"/>
      <w:r>
        <w:rPr>
          <w:rFonts w:hint="eastAsia" w:ascii="方正仿宋_GBK" w:hAnsi="宋体" w:eastAsia="方正仿宋_GBK"/>
          <w:sz w:val="24"/>
        </w:rPr>
        <w:t>六、培训</w:t>
      </w:r>
      <w:bookmarkEnd w:id="95"/>
      <w:bookmarkEnd w:id="96"/>
      <w:bookmarkEnd w:id="97"/>
      <w:bookmarkEnd w:id="98"/>
      <w:bookmarkEnd w:id="99"/>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pStyle w:val="4"/>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100" w:name="_Toc947"/>
      <w:bookmarkStart w:id="101" w:name="_Toc31910"/>
      <w:bookmarkStart w:id="102" w:name="_Toc19427"/>
      <w:bookmarkStart w:id="103" w:name="_Toc18104"/>
      <w:bookmarkStart w:id="104" w:name="_Toc25707"/>
      <w:bookmarkStart w:id="105" w:name="_Toc108013105"/>
      <w:bookmarkStart w:id="106" w:name="_Toc466546918"/>
      <w:bookmarkStart w:id="107" w:name="_Toc2954"/>
      <w:bookmarkStart w:id="108" w:name="_Toc65660348"/>
      <w:bookmarkStart w:id="109" w:name="_Toc21248"/>
      <w:bookmarkStart w:id="110" w:name="_Toc106034788"/>
      <w:bookmarkStart w:id="111" w:name="_Toc31659"/>
      <w:bookmarkStart w:id="112" w:name="_Toc23902"/>
      <w:r>
        <w:rPr>
          <w:rFonts w:hint="eastAsia" w:ascii="方正仿宋_GBK" w:hAnsi="方正仿宋_GBK" w:eastAsia="方正仿宋_GBK" w:cs="方正仿宋_GBK"/>
          <w:sz w:val="24"/>
        </w:rPr>
        <w:t>七、项目风险管控</w:t>
      </w:r>
      <w:bookmarkEnd w:id="100"/>
      <w:bookmarkEnd w:id="101"/>
      <w:bookmarkEnd w:id="102"/>
      <w:bookmarkEnd w:id="103"/>
      <w:bookmarkEnd w:id="104"/>
      <w:bookmarkEnd w:id="105"/>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3"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6"/>
      <w:bookmarkEnd w:id="107"/>
      <w:bookmarkEnd w:id="113"/>
    </w:p>
    <w:p>
      <w:pPr>
        <w:pStyle w:val="4"/>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8"/>
      <w:bookmarkEnd w:id="109"/>
      <w:bookmarkEnd w:id="110"/>
      <w:bookmarkEnd w:id="111"/>
      <w:bookmarkEnd w:id="112"/>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bookmarkEnd w:id="71"/>
    <w:p>
      <w:pPr>
        <w:pStyle w:val="4"/>
        <w:pageBreakBefore/>
        <w:spacing w:before="0" w:after="0" w:line="360" w:lineRule="auto"/>
        <w:rPr>
          <w:rFonts w:ascii="方正小标宋_GBK" w:hAnsi="宋体" w:eastAsia="方正小标宋_GBK"/>
          <w:b w:val="0"/>
          <w:sz w:val="36"/>
          <w:szCs w:val="30"/>
        </w:rPr>
      </w:pPr>
      <w:bookmarkStart w:id="114" w:name="_Toc76462332"/>
      <w:bookmarkStart w:id="115" w:name="_Toc106030887"/>
      <w:bookmarkStart w:id="116" w:name="_Toc12789059"/>
      <w:bookmarkStart w:id="117" w:name="_Toc11641055"/>
      <w:bookmarkStart w:id="118" w:name="_Toc10599"/>
      <w:bookmarkStart w:id="119" w:name="_Toc65660365"/>
      <w:bookmarkStart w:id="120" w:name="_Toc106034806"/>
      <w:bookmarkStart w:id="121" w:name="_Toc28162"/>
      <w:bookmarkStart w:id="122" w:name="_Toc14861"/>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14"/>
      <w:bookmarkEnd w:id="115"/>
    </w:p>
    <w:p>
      <w:pPr>
        <w:pStyle w:val="4"/>
        <w:adjustRightInd w:val="0"/>
        <w:snapToGrid w:val="0"/>
        <w:spacing w:before="0" w:after="0" w:line="400" w:lineRule="exact"/>
        <w:ind w:firstLine="482" w:firstLineChars="200"/>
        <w:rPr>
          <w:rFonts w:ascii="方正仿宋_GBK" w:hAnsi="宋体" w:eastAsia="方正仿宋_GBK"/>
          <w:sz w:val="24"/>
        </w:rPr>
      </w:pPr>
      <w:bookmarkStart w:id="123" w:name="_Toc106030888"/>
      <w:bookmarkStart w:id="124" w:name="_Toc76462333"/>
      <w:r>
        <w:rPr>
          <w:rFonts w:hint="eastAsia" w:ascii="方正仿宋_GBK" w:hAnsi="宋体" w:eastAsia="方正仿宋_GBK"/>
          <w:sz w:val="24"/>
        </w:rPr>
        <w:t>一、评分程序及方法</w:t>
      </w:r>
      <w:bookmarkEnd w:id="123"/>
      <w:bookmarkEnd w:id="1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pPr>
              <w:pStyle w:val="8"/>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仿宋_GB2312"/>
                <w:sz w:val="21"/>
                <w:szCs w:val="21"/>
                <w:lang w:val="zh-CN"/>
              </w:rPr>
            </w:pP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pPr>
        <w:pStyle w:val="4"/>
        <w:adjustRightInd w:val="0"/>
        <w:snapToGrid w:val="0"/>
        <w:spacing w:before="0" w:after="0" w:line="400" w:lineRule="exact"/>
        <w:ind w:firstLine="482" w:firstLineChars="200"/>
        <w:rPr>
          <w:rFonts w:ascii="方正仿宋_GBK" w:hAnsi="宋体" w:eastAsia="方正仿宋_GBK"/>
          <w:sz w:val="24"/>
        </w:rPr>
      </w:pPr>
      <w:bookmarkStart w:id="125" w:name="_Toc106030889"/>
      <w:bookmarkStart w:id="126" w:name="_Toc76462334"/>
      <w:r>
        <w:rPr>
          <w:rFonts w:hint="eastAsia" w:ascii="方正仿宋_GBK" w:hAnsi="宋体" w:eastAsia="方正仿宋_GBK"/>
          <w:sz w:val="24"/>
        </w:rPr>
        <w:t>二、</w:t>
      </w:r>
      <w:bookmarkStart w:id="127" w:name="_Toc342913394"/>
      <w:bookmarkStart w:id="128" w:name="_Toc102227320"/>
      <w:r>
        <w:rPr>
          <w:rFonts w:hint="eastAsia" w:ascii="方正仿宋_GBK" w:hAnsi="宋体" w:eastAsia="方正仿宋_GBK"/>
          <w:sz w:val="24"/>
        </w:rPr>
        <w:t>评审标准</w:t>
      </w:r>
      <w:bookmarkEnd w:id="125"/>
      <w:bookmarkEnd w:id="126"/>
    </w:p>
    <w:tbl>
      <w:tblPr>
        <w:tblStyle w:val="14"/>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39"/>
        <w:gridCol w:w="824"/>
        <w:gridCol w:w="482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240" w:lineRule="atLeast"/>
              <w:ind w:firstLine="28"/>
              <w:jc w:val="center"/>
              <w:rPr>
                <w:rFonts w:ascii="仿宋" w:hAnsi="仿宋" w:eastAsia="仿宋" w:cs="仿宋"/>
                <w:b/>
                <w:sz w:val="21"/>
                <w:szCs w:val="21"/>
              </w:rPr>
            </w:pPr>
            <w:bookmarkStart w:id="129" w:name="_Toc76462335"/>
            <w:bookmarkStart w:id="130" w:name="_Toc106030890"/>
            <w:r>
              <w:rPr>
                <w:rFonts w:hint="eastAsia" w:ascii="仿宋" w:hAnsi="仿宋" w:eastAsia="仿宋" w:cs="仿宋"/>
                <w:b/>
                <w:sz w:val="21"/>
                <w:szCs w:val="21"/>
              </w:rPr>
              <w:t>序号</w:t>
            </w:r>
          </w:p>
        </w:tc>
        <w:tc>
          <w:tcPr>
            <w:tcW w:w="1339" w:type="dxa"/>
            <w:vAlign w:val="center"/>
          </w:tcPr>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评分因素</w:t>
            </w:r>
          </w:p>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及权重</w:t>
            </w:r>
          </w:p>
        </w:tc>
        <w:tc>
          <w:tcPr>
            <w:tcW w:w="824" w:type="dxa"/>
            <w:vAlign w:val="center"/>
          </w:tcPr>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分值</w:t>
            </w:r>
          </w:p>
        </w:tc>
        <w:tc>
          <w:tcPr>
            <w:tcW w:w="4820" w:type="dxa"/>
            <w:vAlign w:val="center"/>
          </w:tcPr>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评分标准</w:t>
            </w:r>
          </w:p>
        </w:tc>
        <w:tc>
          <w:tcPr>
            <w:tcW w:w="2152" w:type="dxa"/>
            <w:vAlign w:val="center"/>
          </w:tcPr>
          <w:p>
            <w:pPr>
              <w:spacing w:line="240" w:lineRule="atLeast"/>
              <w:jc w:val="center"/>
              <w:rPr>
                <w:rFonts w:ascii="仿宋" w:hAnsi="仿宋" w:eastAsia="仿宋" w:cs="仿宋"/>
                <w:b/>
                <w:sz w:val="21"/>
                <w:szCs w:val="21"/>
              </w:rPr>
            </w:pPr>
            <w:r>
              <w:rPr>
                <w:rFonts w:hint="eastAsia" w:ascii="仿宋" w:hAnsi="仿宋" w:eastAsia="仿宋" w:cs="仿宋"/>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Align w:val="center"/>
          </w:tcPr>
          <w:p>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1</w:t>
            </w:r>
          </w:p>
        </w:tc>
        <w:tc>
          <w:tcPr>
            <w:tcW w:w="1339" w:type="dxa"/>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磋商报价</w:t>
            </w:r>
          </w:p>
          <w:p>
            <w:pPr>
              <w:spacing w:line="240" w:lineRule="atLeast"/>
              <w:ind w:firstLine="28"/>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0%）</w:t>
            </w:r>
          </w:p>
        </w:tc>
        <w:tc>
          <w:tcPr>
            <w:tcW w:w="824" w:type="dxa"/>
            <w:vAlign w:val="center"/>
          </w:tcPr>
          <w:p>
            <w:pPr>
              <w:spacing w:line="240" w:lineRule="atLeast"/>
              <w:ind w:firstLine="28"/>
              <w:jc w:val="center"/>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0分</w:t>
            </w:r>
          </w:p>
        </w:tc>
        <w:tc>
          <w:tcPr>
            <w:tcW w:w="4820" w:type="dxa"/>
            <w:vAlign w:val="center"/>
          </w:tcPr>
          <w:p>
            <w:pPr>
              <w:pStyle w:val="13"/>
              <w:shd w:val="clear" w:color="auto" w:fill="FFFFFF"/>
              <w:spacing w:before="0" w:beforeAutospacing="0" w:after="0" w:afterAutospacing="0"/>
              <w:rPr>
                <w:rFonts w:ascii="仿宋" w:hAnsi="仿宋" w:eastAsia="仿宋"/>
                <w:sz w:val="21"/>
                <w:szCs w:val="21"/>
              </w:rPr>
            </w:pPr>
            <w:r>
              <w:rPr>
                <w:rFonts w:hint="eastAsia" w:ascii="仿宋" w:hAnsi="仿宋" w:eastAsia="仿宋" w:cs="Times New Roman"/>
                <w:kern w:val="2"/>
                <w:sz w:val="21"/>
                <w:szCs w:val="21"/>
              </w:rPr>
              <w:t>满足资格审查要求且最后报价最低的供应商的报价为基准价，其价格分为满分。其他供应商的价格分统一按照下列公式计算：报价得分＝（评标基准价/最后报价）×价格权值×100。</w:t>
            </w:r>
          </w:p>
        </w:tc>
        <w:tc>
          <w:tcPr>
            <w:tcW w:w="2152" w:type="dxa"/>
            <w:vAlign w:val="center"/>
          </w:tcPr>
          <w:p>
            <w:pPr>
              <w:spacing w:line="240" w:lineRule="exact"/>
              <w:ind w:left="-39" w:leftChars="-14"/>
              <w:rPr>
                <w:rFonts w:ascii="仿宋" w:hAns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restart"/>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2</w:t>
            </w:r>
          </w:p>
        </w:tc>
        <w:tc>
          <w:tcPr>
            <w:tcW w:w="1339" w:type="dxa"/>
            <w:vMerge w:val="restart"/>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服务部分（</w:t>
            </w:r>
            <w:r>
              <w:rPr>
                <w:rFonts w:ascii="仿宋" w:hAnsi="仿宋" w:eastAsia="仿宋"/>
                <w:sz w:val="21"/>
                <w:szCs w:val="21"/>
              </w:rPr>
              <w:t>4</w:t>
            </w:r>
            <w:r>
              <w:rPr>
                <w:rFonts w:hint="eastAsia" w:ascii="仿宋" w:hAnsi="仿宋" w:eastAsia="仿宋"/>
                <w:sz w:val="21"/>
                <w:szCs w:val="21"/>
              </w:rPr>
              <w:t>0%）</w:t>
            </w:r>
          </w:p>
        </w:tc>
        <w:tc>
          <w:tcPr>
            <w:tcW w:w="824" w:type="dxa"/>
            <w:vAlign w:val="center"/>
          </w:tcPr>
          <w:p>
            <w:pPr>
              <w:spacing w:line="240" w:lineRule="atLeast"/>
              <w:ind w:firstLine="28"/>
              <w:jc w:val="center"/>
              <w:rPr>
                <w:rFonts w:ascii="仿宋" w:hAnsi="仿宋" w:eastAsia="仿宋" w:cs="宋体"/>
                <w:sz w:val="21"/>
                <w:szCs w:val="21"/>
              </w:rPr>
            </w:pPr>
            <w:r>
              <w:rPr>
                <w:rFonts w:ascii="仿宋" w:hAnsi="仿宋" w:eastAsia="仿宋" w:cs="宋体"/>
                <w:sz w:val="21"/>
                <w:szCs w:val="21"/>
              </w:rPr>
              <w:t>需求分析</w:t>
            </w:r>
          </w:p>
          <w:p>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vAlign w:val="center"/>
          </w:tcPr>
          <w:p>
            <w:pPr>
              <w:ind w:firstLine="28"/>
              <w:jc w:val="left"/>
              <w:rPr>
                <w:rFonts w:ascii="仿宋" w:hAnsi="仿宋" w:eastAsia="仿宋"/>
                <w:sz w:val="21"/>
                <w:szCs w:val="21"/>
              </w:rPr>
            </w:pPr>
            <w:r>
              <w:rPr>
                <w:rFonts w:hint="eastAsia" w:ascii="仿宋" w:hAnsi="仿宋" w:eastAsia="仿宋"/>
                <w:sz w:val="21"/>
                <w:szCs w:val="21"/>
              </w:rPr>
              <w:t xml:space="preserve">根据投标人针对本项目提供的需求分析(应包含①对本项目实施需求的理解； ②对支持服务利用后续观测成果进行分析工作的理解； ③对本项目实施目标和工作内容的理解等内容)进行综合评分。 </w:t>
            </w:r>
          </w:p>
          <w:p>
            <w:pPr>
              <w:ind w:firstLine="28"/>
              <w:jc w:val="left"/>
              <w:rPr>
                <w:rFonts w:ascii="仿宋" w:hAnsi="仿宋" w:eastAsia="仿宋"/>
                <w:sz w:val="21"/>
                <w:szCs w:val="21"/>
              </w:rPr>
            </w:pPr>
            <w:r>
              <w:rPr>
                <w:rFonts w:hint="eastAsia" w:ascii="仿宋" w:hAnsi="仿宋" w:eastAsia="仿宋"/>
                <w:sz w:val="21"/>
                <w:szCs w:val="21"/>
              </w:rPr>
              <w:t>内容不存在瑕疵，得8分；</w:t>
            </w:r>
          </w:p>
          <w:p>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restart"/>
            <w:vAlign w:val="center"/>
          </w:tcPr>
          <w:p>
            <w:pPr>
              <w:spacing w:line="240" w:lineRule="atLeast"/>
              <w:jc w:val="center"/>
              <w:rPr>
                <w:rFonts w:ascii="仿宋" w:hAnsi="仿宋" w:eastAsia="仿宋"/>
                <w:sz w:val="21"/>
                <w:szCs w:val="21"/>
              </w:rPr>
            </w:pPr>
            <w:r>
              <w:rPr>
                <w:rFonts w:hint="eastAsia" w:ascii="仿宋" w:hAnsi="仿宋" w:eastAsia="仿宋"/>
                <w:sz w:val="21"/>
                <w:szCs w:val="21"/>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pPr>
              <w:spacing w:line="240" w:lineRule="atLeast"/>
              <w:ind w:firstLine="28"/>
              <w:jc w:val="center"/>
              <w:rPr>
                <w:rFonts w:ascii="仿宋" w:hAnsi="仿宋" w:eastAsia="仿宋"/>
                <w:sz w:val="21"/>
                <w:szCs w:val="21"/>
              </w:rPr>
            </w:pPr>
          </w:p>
        </w:tc>
        <w:tc>
          <w:tcPr>
            <w:tcW w:w="1339" w:type="dxa"/>
            <w:vMerge w:val="continue"/>
            <w:vAlign w:val="center"/>
          </w:tcPr>
          <w:p>
            <w:pPr>
              <w:spacing w:line="240" w:lineRule="atLeast"/>
              <w:ind w:firstLine="28"/>
              <w:jc w:val="center"/>
              <w:rPr>
                <w:rFonts w:ascii="仿宋" w:hAnsi="仿宋" w:eastAsia="仿宋"/>
                <w:sz w:val="21"/>
                <w:szCs w:val="21"/>
              </w:rPr>
            </w:pPr>
          </w:p>
        </w:tc>
        <w:tc>
          <w:tcPr>
            <w:tcW w:w="824" w:type="dxa"/>
            <w:vAlign w:val="center"/>
          </w:tcPr>
          <w:p>
            <w:pPr>
              <w:spacing w:line="240" w:lineRule="atLeast"/>
              <w:ind w:firstLine="28"/>
              <w:jc w:val="center"/>
              <w:rPr>
                <w:rFonts w:ascii="仿宋" w:hAnsi="仿宋" w:eastAsia="仿宋" w:cs="宋体"/>
                <w:sz w:val="21"/>
                <w:szCs w:val="21"/>
              </w:rPr>
            </w:pPr>
            <w:r>
              <w:rPr>
                <w:rFonts w:ascii="仿宋" w:hAnsi="仿宋" w:eastAsia="仿宋" w:cs="宋体"/>
                <w:sz w:val="21"/>
                <w:szCs w:val="21"/>
              </w:rPr>
              <w:t>服务方案</w:t>
            </w:r>
          </w:p>
          <w:p>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vAlign w:val="center"/>
          </w:tcPr>
          <w:p>
            <w:pPr>
              <w:outlineLvl w:val="2"/>
              <w:rPr>
                <w:rFonts w:ascii="仿宋" w:hAnsi="仿宋" w:eastAsia="仿宋"/>
                <w:sz w:val="21"/>
                <w:szCs w:val="21"/>
              </w:rPr>
            </w:pPr>
            <w:r>
              <w:rPr>
                <w:rFonts w:hint="eastAsia" w:ascii="仿宋" w:hAnsi="仿宋" w:eastAsia="仿宋"/>
                <w:sz w:val="21"/>
                <w:szCs w:val="21"/>
              </w:rPr>
              <w:t>根据投标人针对本项目制定的服务方案(应包含①对本观测项目实施的组织保障； ②对本观测项目实施的技术保障； ③对本观测项目实施的设备和后勤保障等内容进行综合评分。</w:t>
            </w:r>
          </w:p>
          <w:p>
            <w:pPr>
              <w:ind w:firstLine="28"/>
              <w:jc w:val="left"/>
              <w:rPr>
                <w:rFonts w:ascii="仿宋" w:hAnsi="仿宋" w:eastAsia="仿宋"/>
                <w:sz w:val="21"/>
                <w:szCs w:val="21"/>
              </w:rPr>
            </w:pPr>
            <w:r>
              <w:rPr>
                <w:rFonts w:hint="eastAsia" w:ascii="仿宋" w:hAnsi="仿宋" w:eastAsia="仿宋"/>
                <w:sz w:val="21"/>
                <w:szCs w:val="21"/>
              </w:rPr>
              <w:t>内容不存在瑕疵，得8分；</w:t>
            </w:r>
          </w:p>
          <w:p>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pPr>
              <w:outlineLvl w:val="2"/>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pPr>
              <w:spacing w:line="240" w:lineRule="atLeast"/>
              <w:jc w:val="center"/>
              <w:rPr>
                <w:rFonts w:ascii="仿宋" w:hAnsi="仿宋" w:eastAsia="仿宋"/>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pPr>
              <w:spacing w:line="240" w:lineRule="atLeast"/>
              <w:ind w:firstLine="28"/>
              <w:jc w:val="center"/>
              <w:rPr>
                <w:rFonts w:ascii="仿宋" w:hAnsi="仿宋" w:eastAsia="仿宋"/>
                <w:sz w:val="21"/>
                <w:szCs w:val="21"/>
              </w:rPr>
            </w:pPr>
          </w:p>
        </w:tc>
        <w:tc>
          <w:tcPr>
            <w:tcW w:w="1339" w:type="dxa"/>
            <w:vMerge w:val="continue"/>
            <w:vAlign w:val="center"/>
          </w:tcPr>
          <w:p>
            <w:pPr>
              <w:spacing w:line="240" w:lineRule="atLeast"/>
              <w:ind w:firstLine="28"/>
              <w:jc w:val="center"/>
              <w:rPr>
                <w:rFonts w:ascii="仿宋" w:hAnsi="仿宋" w:eastAsia="仿宋"/>
                <w:sz w:val="21"/>
                <w:szCs w:val="21"/>
              </w:rPr>
            </w:pPr>
          </w:p>
        </w:tc>
        <w:tc>
          <w:tcPr>
            <w:tcW w:w="824" w:type="dxa"/>
            <w:vAlign w:val="center"/>
          </w:tcPr>
          <w:p>
            <w:pPr>
              <w:spacing w:line="240" w:lineRule="atLeast"/>
              <w:ind w:firstLine="28"/>
              <w:jc w:val="center"/>
              <w:rPr>
                <w:rFonts w:ascii="仿宋" w:hAnsi="仿宋" w:eastAsia="仿宋" w:cs="宋体"/>
                <w:sz w:val="21"/>
                <w:szCs w:val="21"/>
              </w:rPr>
            </w:pPr>
            <w:r>
              <w:rPr>
                <w:rFonts w:ascii="仿宋" w:hAnsi="仿宋" w:eastAsia="仿宋" w:cs="宋体"/>
                <w:sz w:val="21"/>
                <w:szCs w:val="21"/>
              </w:rPr>
              <w:t>管理方案</w:t>
            </w:r>
          </w:p>
          <w:p>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vAlign w:val="center"/>
          </w:tcPr>
          <w:p>
            <w:pPr>
              <w:pStyle w:val="5"/>
              <w:spacing w:line="240" w:lineRule="auto"/>
              <w:ind w:firstLine="0"/>
              <w:rPr>
                <w:rFonts w:ascii="仿宋" w:hAnsi="仿宋" w:eastAsia="仿宋"/>
                <w:sz w:val="21"/>
                <w:szCs w:val="21"/>
              </w:rPr>
            </w:pPr>
            <w:r>
              <w:rPr>
                <w:rFonts w:hint="eastAsia" w:ascii="仿宋" w:hAnsi="仿宋" w:eastAsia="仿宋"/>
                <w:sz w:val="21"/>
                <w:szCs w:val="21"/>
              </w:rPr>
              <w:t>根据投标人针对本项目制定的管理方案(应包含①项目实施计划能够与采购人工期要求及后续分析工作要求紧密的贴合； ②安全管理等内容)进行综合评分。</w:t>
            </w:r>
          </w:p>
          <w:p>
            <w:pPr>
              <w:ind w:firstLine="28"/>
              <w:jc w:val="left"/>
              <w:rPr>
                <w:rFonts w:ascii="仿宋" w:hAnsi="仿宋" w:eastAsia="仿宋"/>
                <w:sz w:val="21"/>
                <w:szCs w:val="21"/>
              </w:rPr>
            </w:pPr>
            <w:r>
              <w:rPr>
                <w:rFonts w:hint="eastAsia" w:ascii="仿宋" w:hAnsi="仿宋" w:eastAsia="仿宋"/>
                <w:sz w:val="21"/>
                <w:szCs w:val="21"/>
              </w:rPr>
              <w:t>内容不存在瑕疵，得8分；</w:t>
            </w:r>
          </w:p>
          <w:p>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pPr>
              <w:pStyle w:val="5"/>
              <w:spacing w:line="240" w:lineRule="auto"/>
              <w:ind w:firstLine="0"/>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pPr>
              <w:spacing w:line="240" w:lineRule="atLeast"/>
              <w:jc w:val="center"/>
              <w:rPr>
                <w:rFonts w:ascii="仿宋" w:hAnsi="仿宋" w:eastAsia="仿宋"/>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pPr>
              <w:spacing w:line="240" w:lineRule="atLeast"/>
              <w:ind w:firstLine="28"/>
              <w:jc w:val="center"/>
              <w:rPr>
                <w:rFonts w:ascii="仿宋" w:hAnsi="仿宋" w:eastAsia="仿宋"/>
                <w:sz w:val="21"/>
                <w:szCs w:val="21"/>
              </w:rPr>
            </w:pPr>
          </w:p>
        </w:tc>
        <w:tc>
          <w:tcPr>
            <w:tcW w:w="1339" w:type="dxa"/>
            <w:vMerge w:val="continue"/>
            <w:vAlign w:val="center"/>
          </w:tcPr>
          <w:p>
            <w:pPr>
              <w:spacing w:line="240" w:lineRule="atLeast"/>
              <w:ind w:firstLine="28"/>
              <w:jc w:val="center"/>
              <w:rPr>
                <w:rFonts w:ascii="仿宋" w:hAnsi="仿宋" w:eastAsia="仿宋"/>
                <w:sz w:val="21"/>
                <w:szCs w:val="21"/>
              </w:rPr>
            </w:pPr>
          </w:p>
        </w:tc>
        <w:tc>
          <w:tcPr>
            <w:tcW w:w="824" w:type="dxa"/>
            <w:shd w:val="clear" w:color="auto" w:fill="auto"/>
            <w:vAlign w:val="center"/>
          </w:tcPr>
          <w:p>
            <w:pPr>
              <w:spacing w:line="240" w:lineRule="atLeast"/>
              <w:ind w:firstLine="28"/>
              <w:jc w:val="center"/>
              <w:rPr>
                <w:rFonts w:ascii="仿宋" w:hAnsi="仿宋" w:eastAsia="仿宋" w:cs="宋体"/>
                <w:sz w:val="21"/>
                <w:szCs w:val="21"/>
              </w:rPr>
            </w:pPr>
            <w:r>
              <w:rPr>
                <w:rFonts w:hint="eastAsia" w:ascii="仿宋" w:hAnsi="仿宋" w:eastAsia="仿宋" w:cs="宋体"/>
                <w:sz w:val="21"/>
                <w:szCs w:val="21"/>
              </w:rPr>
              <w:t>质量</w:t>
            </w:r>
            <w:r>
              <w:rPr>
                <w:rFonts w:ascii="仿宋" w:hAnsi="仿宋" w:eastAsia="仿宋" w:cs="宋体"/>
                <w:sz w:val="21"/>
                <w:szCs w:val="21"/>
              </w:rPr>
              <w:t>方案</w:t>
            </w:r>
          </w:p>
          <w:p>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shd w:val="clear" w:color="auto" w:fill="auto"/>
            <w:vAlign w:val="center"/>
          </w:tcPr>
          <w:p>
            <w:pPr>
              <w:pStyle w:val="5"/>
              <w:spacing w:line="240" w:lineRule="auto"/>
              <w:ind w:firstLine="0"/>
              <w:rPr>
                <w:rFonts w:ascii="仿宋" w:hAnsi="仿宋" w:eastAsia="仿宋"/>
                <w:sz w:val="21"/>
                <w:szCs w:val="21"/>
              </w:rPr>
            </w:pPr>
            <w:r>
              <w:rPr>
                <w:rFonts w:hint="eastAsia" w:ascii="仿宋" w:hAnsi="仿宋" w:eastAsia="仿宋"/>
                <w:sz w:val="21"/>
                <w:szCs w:val="21"/>
              </w:rPr>
              <w:t>根据投标人针对本项目制定的质量方案(应包含①观测工作质量保障体系、计划和措施； ②依照相关规范进行项目质量评定的方式)进行综合评分。</w:t>
            </w:r>
          </w:p>
          <w:p>
            <w:pPr>
              <w:ind w:firstLine="28"/>
              <w:jc w:val="left"/>
              <w:rPr>
                <w:rFonts w:ascii="仿宋" w:hAnsi="仿宋" w:eastAsia="仿宋"/>
                <w:sz w:val="21"/>
                <w:szCs w:val="21"/>
              </w:rPr>
            </w:pPr>
            <w:r>
              <w:rPr>
                <w:rFonts w:hint="eastAsia" w:ascii="仿宋" w:hAnsi="仿宋" w:eastAsia="仿宋"/>
                <w:sz w:val="21"/>
                <w:szCs w:val="21"/>
              </w:rPr>
              <w:t>内容不存在瑕疵，得8分；</w:t>
            </w:r>
          </w:p>
          <w:p>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pPr>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pPr>
              <w:spacing w:line="240" w:lineRule="atLeas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pPr>
              <w:spacing w:line="240" w:lineRule="atLeast"/>
              <w:ind w:firstLine="28"/>
              <w:jc w:val="center"/>
              <w:rPr>
                <w:rFonts w:ascii="仿宋" w:hAnsi="仿宋" w:eastAsia="仿宋"/>
                <w:sz w:val="21"/>
                <w:szCs w:val="21"/>
              </w:rPr>
            </w:pPr>
          </w:p>
        </w:tc>
        <w:tc>
          <w:tcPr>
            <w:tcW w:w="1339" w:type="dxa"/>
            <w:vMerge w:val="continue"/>
            <w:vAlign w:val="center"/>
          </w:tcPr>
          <w:p>
            <w:pPr>
              <w:spacing w:line="240" w:lineRule="atLeast"/>
              <w:ind w:firstLine="28"/>
              <w:jc w:val="center"/>
              <w:rPr>
                <w:rFonts w:ascii="仿宋" w:hAnsi="仿宋" w:eastAsia="仿宋"/>
                <w:sz w:val="21"/>
                <w:szCs w:val="21"/>
              </w:rPr>
            </w:pPr>
          </w:p>
        </w:tc>
        <w:tc>
          <w:tcPr>
            <w:tcW w:w="824" w:type="dxa"/>
            <w:shd w:val="clear" w:color="auto" w:fill="auto"/>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安全环保方案</w:t>
            </w:r>
          </w:p>
          <w:p>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shd w:val="clear" w:color="auto" w:fill="auto"/>
            <w:vAlign w:val="center"/>
          </w:tcPr>
          <w:p>
            <w:pPr>
              <w:rPr>
                <w:rFonts w:ascii="仿宋" w:hAnsi="仿宋" w:eastAsia="仿宋"/>
                <w:sz w:val="21"/>
                <w:szCs w:val="21"/>
              </w:rPr>
            </w:pPr>
            <w:r>
              <w:rPr>
                <w:rFonts w:hint="eastAsia" w:ascii="仿宋" w:hAnsi="仿宋" w:eastAsia="仿宋"/>
                <w:sz w:val="21"/>
                <w:szCs w:val="21"/>
              </w:rPr>
              <w:t>根据投标人针对本项目制定的安全及环保措施方案(应包含①安全保障措施②环境保护保障措施)进行综合评分。</w:t>
            </w:r>
          </w:p>
          <w:p>
            <w:pPr>
              <w:ind w:firstLine="28"/>
              <w:jc w:val="left"/>
              <w:rPr>
                <w:rFonts w:ascii="仿宋" w:hAnsi="仿宋" w:eastAsia="仿宋"/>
                <w:sz w:val="21"/>
                <w:szCs w:val="21"/>
              </w:rPr>
            </w:pPr>
            <w:r>
              <w:rPr>
                <w:rFonts w:hint="eastAsia" w:ascii="仿宋" w:hAnsi="仿宋" w:eastAsia="仿宋"/>
                <w:sz w:val="21"/>
                <w:szCs w:val="21"/>
              </w:rPr>
              <w:t>内容不存在瑕疵，得8分；</w:t>
            </w:r>
          </w:p>
          <w:p>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pPr>
              <w:outlineLvl w:val="2"/>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pPr>
              <w:spacing w:line="240" w:lineRule="atLeas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restart"/>
            <w:vAlign w:val="center"/>
          </w:tcPr>
          <w:p>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3</w:t>
            </w:r>
          </w:p>
        </w:tc>
        <w:tc>
          <w:tcPr>
            <w:tcW w:w="1339" w:type="dxa"/>
            <w:vMerge w:val="restart"/>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商务部分</w:t>
            </w:r>
          </w:p>
          <w:p>
            <w:pPr>
              <w:spacing w:line="240" w:lineRule="exact"/>
              <w:jc w:val="center"/>
              <w:rPr>
                <w:rFonts w:ascii="仿宋" w:hAnsi="仿宋" w:eastAsia="仿宋" w:cs="仿宋"/>
                <w:sz w:val="21"/>
                <w:szCs w:val="21"/>
              </w:rPr>
            </w:pPr>
            <w:r>
              <w:rPr>
                <w:rFonts w:hint="eastAsia" w:ascii="仿宋" w:hAnsi="仿宋" w:eastAsia="仿宋" w:cs="仿宋"/>
                <w:sz w:val="21"/>
                <w:szCs w:val="21"/>
              </w:rPr>
              <w:t>（30%）</w:t>
            </w:r>
          </w:p>
        </w:tc>
        <w:tc>
          <w:tcPr>
            <w:tcW w:w="824" w:type="dxa"/>
            <w:shd w:val="clear" w:color="auto" w:fill="auto"/>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业绩</w:t>
            </w:r>
          </w:p>
          <w:p>
            <w:pPr>
              <w:spacing w:line="240" w:lineRule="atLeast"/>
              <w:jc w:val="center"/>
              <w:rPr>
                <w:rFonts w:ascii="仿宋" w:hAnsi="仿宋" w:eastAsia="仿宋" w:cs="仿宋"/>
                <w:sz w:val="21"/>
                <w:szCs w:val="21"/>
              </w:rPr>
            </w:pPr>
            <w:r>
              <w:rPr>
                <w:rFonts w:hint="eastAsia" w:ascii="仿宋" w:hAnsi="仿宋" w:eastAsia="仿宋" w:cs="仿宋"/>
                <w:sz w:val="21"/>
                <w:szCs w:val="21"/>
              </w:rPr>
              <w:t>8分</w:t>
            </w:r>
          </w:p>
        </w:tc>
        <w:tc>
          <w:tcPr>
            <w:tcW w:w="4820" w:type="dxa"/>
            <w:shd w:val="clear" w:color="auto" w:fill="auto"/>
            <w:vAlign w:val="center"/>
          </w:tcPr>
          <w:p>
            <w:pPr>
              <w:spacing w:line="240" w:lineRule="atLeast"/>
              <w:ind w:firstLine="420" w:firstLineChars="200"/>
              <w:rPr>
                <w:rFonts w:ascii="仿宋" w:hAnsi="仿宋" w:eastAsia="仿宋" w:cs="仿宋"/>
                <w:sz w:val="21"/>
                <w:szCs w:val="21"/>
              </w:rPr>
            </w:pPr>
            <w:r>
              <w:rPr>
                <w:rFonts w:hint="eastAsia" w:ascii="仿宋" w:hAnsi="仿宋" w:eastAsia="仿宋" w:cs="仿宋"/>
                <w:sz w:val="21"/>
                <w:szCs w:val="21"/>
              </w:rPr>
              <w:t>近3年（2021年</w:t>
            </w:r>
            <w:r>
              <w:rPr>
                <w:rFonts w:ascii="仿宋" w:hAnsi="仿宋" w:eastAsia="仿宋" w:cs="仿宋"/>
                <w:sz w:val="21"/>
                <w:szCs w:val="21"/>
              </w:rPr>
              <w:t>10</w:t>
            </w:r>
            <w:r>
              <w:rPr>
                <w:rFonts w:hint="eastAsia" w:ascii="仿宋" w:hAnsi="仿宋" w:eastAsia="仿宋" w:cs="仿宋"/>
                <w:sz w:val="21"/>
                <w:szCs w:val="21"/>
              </w:rPr>
              <w:t>月1日至今，以合同签订时间为准）供应商承担过水下地形测量项目</w:t>
            </w:r>
            <w:r>
              <w:rPr>
                <w:rFonts w:hint="eastAsia" w:ascii="仿宋" w:hAnsi="仿宋" w:eastAsia="仿宋"/>
                <w:sz w:val="21"/>
                <w:szCs w:val="21"/>
              </w:rPr>
              <w:t>的</w:t>
            </w:r>
            <w:r>
              <w:rPr>
                <w:rFonts w:hint="eastAsia" w:ascii="仿宋" w:hAnsi="仿宋" w:eastAsia="仿宋" w:cs="仿宋"/>
                <w:sz w:val="21"/>
                <w:szCs w:val="21"/>
              </w:rPr>
              <w:t>，</w:t>
            </w:r>
            <w:r>
              <w:rPr>
                <w:rFonts w:ascii="仿宋" w:hAnsi="仿宋" w:eastAsia="仿宋" w:cs="方正仿宋_GBK"/>
                <w:sz w:val="21"/>
                <w:szCs w:val="21"/>
              </w:rPr>
              <w:t>每一项</w:t>
            </w:r>
            <w:r>
              <w:rPr>
                <w:rFonts w:hint="eastAsia" w:ascii="仿宋" w:hAnsi="仿宋" w:eastAsia="仿宋" w:cs="方正仿宋_GBK"/>
                <w:sz w:val="21"/>
                <w:szCs w:val="21"/>
              </w:rPr>
              <w:t>业绩</w:t>
            </w:r>
            <w:r>
              <w:rPr>
                <w:rFonts w:hint="eastAsia" w:ascii="仿宋" w:hAnsi="仿宋" w:eastAsia="仿宋" w:cs="仿宋"/>
                <w:sz w:val="21"/>
                <w:szCs w:val="21"/>
              </w:rPr>
              <w:t>得2分</w:t>
            </w:r>
            <w:r>
              <w:rPr>
                <w:rFonts w:ascii="仿宋" w:hAnsi="仿宋" w:eastAsia="仿宋" w:cs="仿宋"/>
                <w:sz w:val="21"/>
                <w:szCs w:val="21"/>
              </w:rPr>
              <w:t>，</w:t>
            </w:r>
            <w:r>
              <w:rPr>
                <w:rFonts w:hint="eastAsia" w:ascii="仿宋" w:hAnsi="仿宋" w:eastAsia="仿宋" w:cs="仿宋"/>
                <w:sz w:val="21"/>
                <w:szCs w:val="21"/>
              </w:rPr>
              <w:t>最多得8分。</w:t>
            </w:r>
          </w:p>
        </w:tc>
        <w:tc>
          <w:tcPr>
            <w:tcW w:w="2152" w:type="dxa"/>
            <w:shd w:val="clear" w:color="auto" w:fill="auto"/>
            <w:vAlign w:val="center"/>
          </w:tcPr>
          <w:p>
            <w:pPr>
              <w:spacing w:line="240" w:lineRule="exact"/>
              <w:ind w:left="-39" w:leftChars="-14"/>
              <w:rPr>
                <w:rFonts w:ascii="仿宋" w:hAnsi="仿宋" w:eastAsia="仿宋" w:cs="仿宋"/>
                <w:sz w:val="21"/>
                <w:szCs w:val="21"/>
              </w:rPr>
            </w:pPr>
            <w:r>
              <w:rPr>
                <w:rFonts w:hint="eastAsia" w:ascii="仿宋" w:hAnsi="仿宋" w:eastAsia="仿宋"/>
                <w:sz w:val="21"/>
                <w:szCs w:val="21"/>
              </w:rPr>
              <w:t>须在响应文件中提供项目合同复印件加盖供应商公章。（合同需包含项目名称，内容，双方签章清晰。因内容不完整或不清晰导致磋商小组无法判定的，单个合同不得分。未提供的不得分）注：每个业绩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9" w:hRule="atLeast"/>
        </w:trPr>
        <w:tc>
          <w:tcPr>
            <w:tcW w:w="493" w:type="dxa"/>
            <w:vMerge w:val="continue"/>
            <w:vAlign w:val="center"/>
          </w:tcPr>
          <w:p>
            <w:pPr>
              <w:spacing w:line="240" w:lineRule="atLeast"/>
              <w:ind w:firstLine="28"/>
              <w:jc w:val="center"/>
              <w:rPr>
                <w:rFonts w:ascii="仿宋" w:hAnsi="仿宋" w:eastAsia="仿宋" w:cs="仿宋"/>
                <w:sz w:val="21"/>
                <w:szCs w:val="21"/>
              </w:rPr>
            </w:pPr>
          </w:p>
        </w:tc>
        <w:tc>
          <w:tcPr>
            <w:tcW w:w="1339" w:type="dxa"/>
            <w:vMerge w:val="continue"/>
            <w:vAlign w:val="center"/>
          </w:tcPr>
          <w:p>
            <w:pPr>
              <w:spacing w:line="240" w:lineRule="exact"/>
              <w:jc w:val="center"/>
              <w:rPr>
                <w:rFonts w:ascii="仿宋" w:hAnsi="仿宋" w:eastAsia="仿宋" w:cs="仿宋"/>
                <w:sz w:val="21"/>
                <w:szCs w:val="21"/>
              </w:rPr>
            </w:pPr>
          </w:p>
        </w:tc>
        <w:tc>
          <w:tcPr>
            <w:tcW w:w="824"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团队</w:t>
            </w:r>
          </w:p>
          <w:p>
            <w:pPr>
              <w:spacing w:line="240" w:lineRule="atLeast"/>
              <w:jc w:val="center"/>
              <w:rPr>
                <w:rFonts w:ascii="仿宋" w:hAnsi="仿宋" w:eastAsia="仿宋" w:cs="仿宋"/>
                <w:sz w:val="21"/>
                <w:szCs w:val="21"/>
              </w:rPr>
            </w:pPr>
            <w:r>
              <w:rPr>
                <w:rFonts w:hint="eastAsia" w:ascii="仿宋" w:hAnsi="仿宋" w:eastAsia="仿宋" w:cs="仿宋"/>
                <w:sz w:val="21"/>
                <w:szCs w:val="21"/>
              </w:rPr>
              <w:t>12分</w:t>
            </w:r>
          </w:p>
        </w:tc>
        <w:tc>
          <w:tcPr>
            <w:tcW w:w="4820" w:type="dxa"/>
            <w:vAlign w:val="center"/>
          </w:tcPr>
          <w:p>
            <w:pPr>
              <w:spacing w:line="240" w:lineRule="atLeast"/>
              <w:ind w:firstLine="420" w:firstLineChars="200"/>
              <w:rPr>
                <w:rFonts w:ascii="仿宋" w:hAnsi="仿宋" w:eastAsia="仿宋" w:cs="仿宋"/>
                <w:sz w:val="21"/>
                <w:szCs w:val="21"/>
              </w:rPr>
            </w:pPr>
            <w:r>
              <w:rPr>
                <w:rFonts w:hint="eastAsia" w:ascii="仿宋" w:hAnsi="仿宋" w:eastAsia="仿宋" w:cs="仿宋"/>
                <w:sz w:val="21"/>
                <w:szCs w:val="21"/>
              </w:rPr>
              <w:t xml:space="preserve">投入本项目的人员须为本单位人员。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p>
          <w:p>
            <w:pPr>
              <w:spacing w:line="240" w:lineRule="atLeast"/>
              <w:ind w:firstLine="420" w:firstLineChars="200"/>
              <w:rPr>
                <w:rFonts w:ascii="仿宋" w:hAnsi="仿宋" w:eastAsia="仿宋" w:cs="仿宋"/>
                <w:sz w:val="21"/>
                <w:szCs w:val="21"/>
              </w:rPr>
            </w:pPr>
            <w:r>
              <w:rPr>
                <w:rFonts w:hint="eastAsia" w:ascii="仿宋" w:hAnsi="仿宋" w:eastAsia="仿宋" w:cs="仿宋"/>
                <w:sz w:val="21"/>
                <w:szCs w:val="21"/>
              </w:rPr>
              <w:t>拟派项目负责人同时具有高级工程师职称及注册测绘师证书的得4分；拟派项目负责人近3年内（2021年1</w:t>
            </w:r>
            <w:r>
              <w:rPr>
                <w:rFonts w:ascii="仿宋" w:hAnsi="仿宋" w:eastAsia="仿宋" w:cs="仿宋"/>
                <w:sz w:val="21"/>
                <w:szCs w:val="21"/>
              </w:rPr>
              <w:t>0</w:t>
            </w:r>
            <w:r>
              <w:rPr>
                <w:rFonts w:hint="eastAsia" w:ascii="仿宋" w:hAnsi="仿宋" w:eastAsia="仿宋" w:cs="仿宋"/>
                <w:sz w:val="21"/>
                <w:szCs w:val="21"/>
              </w:rPr>
              <w:t>月1日至今，以签订合同时间为准）以来作为项目负责人参加过水下地形测量项目的一个得</w:t>
            </w:r>
            <w:r>
              <w:rPr>
                <w:rFonts w:ascii="仿宋" w:hAnsi="仿宋" w:eastAsia="仿宋" w:cs="仿宋"/>
                <w:sz w:val="21"/>
                <w:szCs w:val="21"/>
              </w:rPr>
              <w:t>1</w:t>
            </w:r>
            <w:r>
              <w:rPr>
                <w:rFonts w:hint="eastAsia" w:ascii="仿宋" w:hAnsi="仿宋" w:eastAsia="仿宋" w:cs="仿宋"/>
                <w:sz w:val="21"/>
                <w:szCs w:val="21"/>
              </w:rPr>
              <w:t xml:space="preserve">分，最多4分；拟派测量船舶驾驶人员，应适任供应商自有测量船舶，满足一名得2分，最多4分，未提供自有测量船舶此项不得分。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p>
        </w:tc>
        <w:tc>
          <w:tcPr>
            <w:tcW w:w="2152" w:type="dxa"/>
            <w:vAlign w:val="center"/>
          </w:tcPr>
          <w:p>
            <w:pPr>
              <w:jc w:val="left"/>
              <w:rPr>
                <w:rFonts w:hint="eastAsia" w:ascii="仿宋" w:hAnsi="仿宋" w:eastAsia="仿宋" w:cs="仿宋"/>
                <w:sz w:val="21"/>
                <w:szCs w:val="21"/>
                <w:lang w:val="zh-CN"/>
              </w:rPr>
            </w:pPr>
            <w:r>
              <w:rPr>
                <w:rFonts w:hint="eastAsia" w:ascii="仿宋" w:hAnsi="仿宋" w:eastAsia="仿宋"/>
                <w:sz w:val="21"/>
                <w:szCs w:val="21"/>
              </w:rPr>
              <w:t>需提供资格证书、服务合同（或相关证明材料）、</w:t>
            </w:r>
            <w:r>
              <w:rPr>
                <w:rFonts w:hint="eastAsia" w:ascii="仿宋" w:hAnsi="仿宋" w:eastAsia="仿宋" w:cs="仿宋"/>
                <w:sz w:val="21"/>
                <w:szCs w:val="21"/>
                <w:lang w:val="zh-CN"/>
              </w:rPr>
              <w:t>投标人在开标前六个月（2024年</w:t>
            </w:r>
            <w:r>
              <w:rPr>
                <w:rFonts w:ascii="仿宋" w:hAnsi="仿宋" w:eastAsia="仿宋" w:cs="仿宋"/>
                <w:sz w:val="21"/>
                <w:szCs w:val="21"/>
                <w:lang w:val="zh-CN"/>
              </w:rPr>
              <w:t>5</w:t>
            </w:r>
            <w:r>
              <w:rPr>
                <w:rFonts w:hint="eastAsia" w:ascii="仿宋" w:hAnsi="仿宋" w:eastAsia="仿宋" w:cs="仿宋"/>
                <w:sz w:val="21"/>
                <w:szCs w:val="21"/>
                <w:lang w:val="zh-CN"/>
              </w:rPr>
              <w:t>月至2024年</w:t>
            </w:r>
            <w:r>
              <w:rPr>
                <w:rFonts w:ascii="仿宋" w:hAnsi="仿宋" w:eastAsia="仿宋" w:cs="仿宋"/>
                <w:sz w:val="21"/>
                <w:szCs w:val="21"/>
                <w:lang w:val="zh-CN"/>
              </w:rPr>
              <w:t>10</w:t>
            </w:r>
            <w:r>
              <w:rPr>
                <w:rFonts w:hint="eastAsia" w:ascii="仿宋" w:hAnsi="仿宋" w:eastAsia="仿宋" w:cs="仿宋"/>
                <w:sz w:val="21"/>
                <w:szCs w:val="21"/>
                <w:lang w:val="zh-CN"/>
              </w:rPr>
              <w:t>月）为其缴纳任意一月社保的证明材料扫描件。上述材料均须加盖投标人公章。</w:t>
            </w:r>
          </w:p>
          <w:p>
            <w:pPr>
              <w:jc w:val="left"/>
              <w:rPr>
                <w:rFonts w:hint="eastAsia" w:ascii="仿宋" w:hAnsi="仿宋" w:eastAsia="仿宋"/>
                <w:sz w:val="21"/>
                <w:szCs w:val="21"/>
              </w:rPr>
            </w:pPr>
            <w:r>
              <w:rPr>
                <w:rFonts w:hint="eastAsia" w:ascii="仿宋" w:hAnsi="仿宋" w:eastAsia="仿宋"/>
                <w:sz w:val="21"/>
                <w:szCs w:val="21"/>
                <w:lang w:val="zh-CN"/>
              </w:rPr>
              <w:t>注：依法免税或不需要缴纳社会保障资金的投标人，应提供相应文件证明其依法免税或不需要缴纳社会保障资金。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493" w:type="dxa"/>
            <w:vMerge w:val="continue"/>
            <w:vAlign w:val="center"/>
          </w:tcPr>
          <w:p>
            <w:pPr>
              <w:spacing w:line="240" w:lineRule="atLeast"/>
              <w:ind w:firstLine="28"/>
              <w:jc w:val="center"/>
              <w:rPr>
                <w:rFonts w:ascii="仿宋" w:hAnsi="仿宋" w:eastAsia="仿宋" w:cs="仿宋"/>
                <w:sz w:val="21"/>
                <w:szCs w:val="21"/>
              </w:rPr>
            </w:pPr>
          </w:p>
        </w:tc>
        <w:tc>
          <w:tcPr>
            <w:tcW w:w="1339" w:type="dxa"/>
            <w:vMerge w:val="continue"/>
            <w:vAlign w:val="center"/>
          </w:tcPr>
          <w:p>
            <w:pPr>
              <w:spacing w:line="240" w:lineRule="exact"/>
              <w:jc w:val="center"/>
              <w:rPr>
                <w:rFonts w:ascii="仿宋" w:hAnsi="仿宋" w:eastAsia="仿宋" w:cs="仿宋"/>
                <w:sz w:val="21"/>
                <w:szCs w:val="21"/>
              </w:rPr>
            </w:pPr>
          </w:p>
        </w:tc>
        <w:tc>
          <w:tcPr>
            <w:tcW w:w="824"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 xml:space="preserve">设备情况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p>
          <w:p>
            <w:pPr>
              <w:spacing w:line="240" w:lineRule="atLeast"/>
              <w:jc w:val="center"/>
              <w:rPr>
                <w:rFonts w:ascii="仿宋" w:hAnsi="仿宋" w:eastAsia="仿宋" w:cs="仿宋"/>
                <w:sz w:val="21"/>
                <w:szCs w:val="21"/>
              </w:rPr>
            </w:pPr>
            <w:r>
              <w:rPr>
                <w:rFonts w:ascii="仿宋" w:hAnsi="仿宋" w:eastAsia="仿宋" w:cs="仿宋"/>
                <w:sz w:val="21"/>
                <w:szCs w:val="21"/>
              </w:rPr>
              <w:t>10</w:t>
            </w:r>
            <w:r>
              <w:rPr>
                <w:rFonts w:hint="eastAsia" w:ascii="仿宋" w:hAnsi="仿宋" w:eastAsia="仿宋" w:cs="仿宋"/>
                <w:sz w:val="21"/>
                <w:szCs w:val="21"/>
              </w:rPr>
              <w:t>分</w:t>
            </w:r>
          </w:p>
        </w:tc>
        <w:tc>
          <w:tcPr>
            <w:tcW w:w="4820" w:type="dxa"/>
            <w:vAlign w:val="center"/>
          </w:tcPr>
          <w:p>
            <w:pPr>
              <w:spacing w:line="240" w:lineRule="atLeast"/>
              <w:jc w:val="left"/>
              <w:rPr>
                <w:rFonts w:ascii="仿宋" w:hAnsi="仿宋" w:eastAsia="仿宋"/>
                <w:sz w:val="21"/>
                <w:szCs w:val="21"/>
              </w:rPr>
            </w:pPr>
            <w:r>
              <w:rPr>
                <w:rFonts w:ascii="仿宋" w:hAnsi="仿宋" w:eastAsia="仿宋" w:cs="仿宋"/>
                <w:sz w:val="21"/>
                <w:szCs w:val="21"/>
              </w:rPr>
              <w:t>自</w:t>
            </w:r>
            <w:r>
              <w:rPr>
                <w:rFonts w:hint="eastAsia" w:ascii="仿宋" w:hAnsi="仿宋" w:eastAsia="仿宋" w:cs="仿宋"/>
                <w:sz w:val="21"/>
                <w:szCs w:val="21"/>
              </w:rPr>
              <w:t>有测量船舶达到适航条件，且</w:t>
            </w:r>
            <w:r>
              <w:rPr>
                <w:rFonts w:ascii="仿宋" w:hAnsi="仿宋" w:eastAsia="仿宋" w:cs="仿宋"/>
                <w:sz w:val="21"/>
                <w:szCs w:val="21"/>
              </w:rPr>
              <w:t>满足C级航区，J2航段，</w:t>
            </w:r>
            <w:r>
              <w:rPr>
                <w:rFonts w:hint="eastAsia" w:ascii="仿宋" w:hAnsi="仿宋" w:eastAsia="仿宋" w:cs="仿宋"/>
                <w:sz w:val="21"/>
                <w:szCs w:val="21"/>
              </w:rPr>
              <w:t>1艘得5分</w:t>
            </w:r>
            <w:r>
              <w:rPr>
                <w:rFonts w:ascii="仿宋" w:hAnsi="仿宋" w:eastAsia="仿宋" w:cs="仿宋"/>
                <w:sz w:val="21"/>
                <w:szCs w:val="21"/>
              </w:rPr>
              <w:t>，最多得10分</w:t>
            </w:r>
            <w:r>
              <w:rPr>
                <w:rFonts w:hint="eastAsia" w:ascii="仿宋" w:hAnsi="仿宋" w:eastAsia="仿宋" w:cs="仿宋"/>
                <w:sz w:val="21"/>
                <w:szCs w:val="21"/>
              </w:rPr>
              <w:t>，未提供拟派测量船舶驾驶人员此项不得分。</w:t>
            </w:r>
          </w:p>
        </w:tc>
        <w:tc>
          <w:tcPr>
            <w:tcW w:w="2152" w:type="dxa"/>
            <w:vAlign w:val="center"/>
          </w:tcPr>
          <w:p>
            <w:pPr>
              <w:spacing w:line="240" w:lineRule="exact"/>
              <w:ind w:left="-39" w:leftChars="-14"/>
              <w:jc w:val="center"/>
              <w:rPr>
                <w:rFonts w:ascii="仿宋" w:hAnsi="仿宋" w:eastAsia="仿宋"/>
                <w:sz w:val="21"/>
                <w:szCs w:val="21"/>
              </w:rPr>
            </w:pPr>
            <w:r>
              <w:rPr>
                <w:rFonts w:hint="eastAsia" w:ascii="仿宋" w:hAnsi="仿宋" w:eastAsia="仿宋"/>
                <w:sz w:val="21"/>
                <w:szCs w:val="21"/>
              </w:rPr>
              <w:t>须提供</w:t>
            </w:r>
            <w:r>
              <w:rPr>
                <w:rFonts w:ascii="仿宋" w:hAnsi="仿宋" w:eastAsia="仿宋"/>
                <w:sz w:val="21"/>
                <w:szCs w:val="21"/>
              </w:rPr>
              <w:t>有效船舶证书</w:t>
            </w:r>
            <w:r>
              <w:rPr>
                <w:rFonts w:hint="eastAsia" w:ascii="仿宋" w:hAnsi="仿宋" w:eastAsia="仿宋"/>
                <w:sz w:val="21"/>
                <w:szCs w:val="21"/>
              </w:rPr>
              <w:t xml:space="preserve">，加盖供应商公章。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p>
        </w:tc>
      </w:tr>
    </w:tbl>
    <w:p>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三、无效响应</w:t>
      </w:r>
      <w:bookmarkEnd w:id="129"/>
      <w:bookmarkEnd w:id="130"/>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pPr>
        <w:pStyle w:val="4"/>
        <w:adjustRightInd w:val="0"/>
        <w:snapToGrid w:val="0"/>
        <w:spacing w:before="0" w:after="0" w:line="400" w:lineRule="exact"/>
        <w:ind w:firstLine="482" w:firstLineChars="200"/>
        <w:rPr>
          <w:rFonts w:ascii="方正仿宋_GBK" w:hAnsi="宋体" w:eastAsia="方正仿宋_GBK"/>
          <w:sz w:val="24"/>
        </w:rPr>
      </w:pPr>
      <w:bookmarkStart w:id="131" w:name="_Toc76462336"/>
      <w:bookmarkStart w:id="132" w:name="_Toc106030891"/>
      <w:r>
        <w:rPr>
          <w:rFonts w:hint="eastAsia" w:ascii="方正仿宋_GBK" w:hAnsi="宋体" w:eastAsia="方正仿宋_GBK"/>
          <w:sz w:val="24"/>
        </w:rPr>
        <w:t>四、</w:t>
      </w:r>
      <w:bookmarkEnd w:id="127"/>
      <w:bookmarkEnd w:id="128"/>
      <w:r>
        <w:rPr>
          <w:rFonts w:hint="eastAsia" w:ascii="方正仿宋_GBK" w:hAnsi="宋体" w:eastAsia="方正仿宋_GBK"/>
          <w:sz w:val="24"/>
        </w:rPr>
        <w:t>采购终止</w:t>
      </w:r>
      <w:bookmarkEnd w:id="131"/>
      <w:bookmarkEnd w:id="132"/>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pPr>
        <w:pStyle w:val="4"/>
        <w:pageBreakBefore/>
        <w:spacing w:before="0" w:after="0" w:line="360" w:lineRule="auto"/>
        <w:jc w:val="center"/>
        <w:rPr>
          <w:rFonts w:ascii="方正小标宋_GBK" w:hAnsi="宋体" w:eastAsia="方正小标宋_GBK"/>
          <w:b w:val="0"/>
          <w:bCs/>
          <w:sz w:val="36"/>
          <w:szCs w:val="30"/>
        </w:rPr>
      </w:pPr>
      <w:bookmarkStart w:id="133" w:name="_Toc76462337"/>
      <w:bookmarkStart w:id="134" w:name="_Toc106030892"/>
      <w:r>
        <w:rPr>
          <w:rFonts w:hint="eastAsia" w:ascii="方正小标宋_GBK" w:hAnsi="宋体" w:eastAsia="方正小标宋_GBK"/>
          <w:b w:val="0"/>
          <w:bCs/>
          <w:sz w:val="36"/>
          <w:szCs w:val="30"/>
        </w:rPr>
        <w:t>第五篇  供应商须知</w:t>
      </w:r>
      <w:bookmarkEnd w:id="133"/>
      <w:bookmarkEnd w:id="134"/>
    </w:p>
    <w:p>
      <w:pPr>
        <w:pStyle w:val="4"/>
        <w:adjustRightInd w:val="0"/>
        <w:snapToGrid w:val="0"/>
        <w:spacing w:before="0" w:after="0" w:line="400" w:lineRule="exact"/>
        <w:ind w:firstLine="482" w:firstLineChars="200"/>
        <w:rPr>
          <w:rFonts w:ascii="方正仿宋_GBK" w:hAnsi="宋体" w:eastAsia="方正仿宋_GBK"/>
          <w:sz w:val="24"/>
        </w:rPr>
      </w:pPr>
      <w:bookmarkStart w:id="135" w:name="_Toc106030893"/>
      <w:bookmarkStart w:id="136" w:name="_Toc76462338"/>
      <w:r>
        <w:rPr>
          <w:rFonts w:hint="eastAsia" w:ascii="方正仿宋_GBK" w:hAnsi="宋体" w:eastAsia="方正仿宋_GBK"/>
          <w:sz w:val="24"/>
        </w:rPr>
        <w:t>一、限额以下磋商评分费用</w:t>
      </w:r>
      <w:bookmarkEnd w:id="135"/>
      <w:bookmarkEnd w:id="136"/>
    </w:p>
    <w:p>
      <w:pPr>
        <w:pStyle w:val="2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pPr>
        <w:pStyle w:val="4"/>
        <w:adjustRightInd w:val="0"/>
        <w:snapToGrid w:val="0"/>
        <w:spacing w:before="0" w:after="0" w:line="400" w:lineRule="exact"/>
        <w:ind w:firstLine="482" w:firstLineChars="200"/>
        <w:rPr>
          <w:rFonts w:ascii="方正仿宋_GBK" w:hAnsi="宋体" w:eastAsia="方正仿宋_GBK"/>
          <w:sz w:val="24"/>
        </w:rPr>
      </w:pPr>
      <w:bookmarkStart w:id="137" w:name="_Toc342913391"/>
      <w:bookmarkStart w:id="138" w:name="_Toc106030894"/>
      <w:bookmarkStart w:id="139" w:name="_Toc76462339"/>
      <w:r>
        <w:rPr>
          <w:rFonts w:hint="eastAsia" w:ascii="方正仿宋_GBK" w:hAnsi="宋体" w:eastAsia="方正仿宋_GBK"/>
          <w:sz w:val="24"/>
        </w:rPr>
        <w:t>二、限额以下磋商评分文件</w:t>
      </w:r>
      <w:bookmarkEnd w:id="137"/>
      <w:bookmarkEnd w:id="138"/>
      <w:bookmarkEnd w:id="1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40" w:name="_Toc318166429"/>
      <w:bookmarkStart w:id="141" w:name="_Toc318159160"/>
      <w:bookmarkStart w:id="142" w:name="_Toc318159780"/>
      <w:bookmarkStart w:id="143" w:name="_Toc31815934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40"/>
    <w:bookmarkEnd w:id="141"/>
    <w:bookmarkEnd w:id="142"/>
    <w:bookmarkEnd w:id="143"/>
    <w:p>
      <w:pPr>
        <w:pStyle w:val="4"/>
        <w:adjustRightInd w:val="0"/>
        <w:snapToGrid w:val="0"/>
        <w:spacing w:before="0" w:after="0" w:line="400" w:lineRule="exact"/>
        <w:ind w:firstLine="482" w:firstLineChars="200"/>
        <w:rPr>
          <w:rFonts w:ascii="方正仿宋_GBK" w:hAnsi="宋体" w:eastAsia="方正仿宋_GBK"/>
          <w:sz w:val="24"/>
        </w:rPr>
      </w:pPr>
      <w:bookmarkStart w:id="144" w:name="_Toc102227318"/>
      <w:bookmarkStart w:id="145" w:name="_Toc106030895"/>
      <w:bookmarkStart w:id="146" w:name="_Toc342913392"/>
      <w:bookmarkStart w:id="147" w:name="_Toc179714297"/>
      <w:bookmarkStart w:id="148" w:name="_Toc76462340"/>
      <w:r>
        <w:rPr>
          <w:rFonts w:hint="eastAsia" w:ascii="方正仿宋_GBK" w:hAnsi="宋体" w:eastAsia="方正仿宋_GBK"/>
          <w:sz w:val="24"/>
        </w:rPr>
        <w:t>三、限额以下磋商评分要求</w:t>
      </w:r>
      <w:bookmarkEnd w:id="144"/>
      <w:bookmarkEnd w:id="145"/>
      <w:bookmarkEnd w:id="146"/>
      <w:bookmarkEnd w:id="147"/>
      <w:bookmarkEnd w:id="148"/>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pPr>
        <w:pStyle w:val="4"/>
        <w:adjustRightInd w:val="0"/>
        <w:snapToGrid w:val="0"/>
        <w:spacing w:before="0" w:after="0" w:line="400" w:lineRule="exact"/>
        <w:ind w:firstLine="482" w:firstLineChars="200"/>
        <w:rPr>
          <w:rFonts w:ascii="方正仿宋_GBK" w:hAnsi="宋体" w:eastAsia="方正仿宋_GBK"/>
          <w:sz w:val="24"/>
        </w:rPr>
      </w:pPr>
      <w:bookmarkStart w:id="149" w:name="_Toc76462341"/>
      <w:bookmarkStart w:id="150" w:name="_Toc106030896"/>
      <w:r>
        <w:rPr>
          <w:rFonts w:hint="eastAsia" w:ascii="方正仿宋_GBK" w:hAnsi="宋体" w:eastAsia="方正仿宋_GBK"/>
          <w:sz w:val="24"/>
        </w:rPr>
        <w:t>四、成交供应商的确认和变更</w:t>
      </w:r>
      <w:bookmarkEnd w:id="149"/>
      <w:bookmarkEnd w:id="150"/>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pPr>
        <w:pStyle w:val="4"/>
        <w:adjustRightInd w:val="0"/>
        <w:snapToGrid w:val="0"/>
        <w:spacing w:before="0" w:after="0" w:line="400" w:lineRule="exact"/>
        <w:ind w:firstLine="482" w:firstLineChars="200"/>
        <w:rPr>
          <w:rFonts w:ascii="方正仿宋_GBK" w:hAnsi="宋体" w:eastAsia="方正仿宋_GBK"/>
          <w:sz w:val="24"/>
        </w:rPr>
      </w:pPr>
      <w:bookmarkStart w:id="151" w:name="_Toc342913395"/>
      <w:bookmarkStart w:id="152" w:name="_Toc102227321"/>
      <w:bookmarkStart w:id="153" w:name="_Toc106030897"/>
      <w:bookmarkStart w:id="154" w:name="_Toc76462342"/>
      <w:r>
        <w:rPr>
          <w:rFonts w:hint="eastAsia" w:ascii="方正仿宋_GBK" w:hAnsi="宋体" w:eastAsia="方正仿宋_GBK"/>
          <w:sz w:val="24"/>
        </w:rPr>
        <w:t>五、成交通知</w:t>
      </w:r>
      <w:bookmarkEnd w:id="151"/>
      <w:bookmarkEnd w:id="152"/>
      <w:bookmarkEnd w:id="153"/>
      <w:bookmarkEnd w:id="15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（一）成交供应商确定后，采购代理机构将在重庆市交通局官网上发布成交结果公告。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pPr>
        <w:pStyle w:val="4"/>
        <w:adjustRightInd w:val="0"/>
        <w:snapToGrid w:val="0"/>
        <w:spacing w:before="0" w:after="0" w:line="400" w:lineRule="exact"/>
        <w:ind w:firstLine="482" w:firstLineChars="200"/>
        <w:rPr>
          <w:rFonts w:ascii="方正仿宋_GBK" w:hAnsi="宋体" w:eastAsia="方正仿宋_GBK"/>
          <w:sz w:val="24"/>
        </w:rPr>
      </w:pPr>
      <w:bookmarkStart w:id="155" w:name="_Toc106030898"/>
      <w:bookmarkStart w:id="156" w:name="_Toc76462343"/>
      <w:r>
        <w:rPr>
          <w:rFonts w:hint="eastAsia" w:ascii="方正仿宋_GBK" w:hAnsi="宋体" w:eastAsia="方正仿宋_GBK"/>
          <w:sz w:val="24"/>
        </w:rPr>
        <w:t>六、关于质疑和投诉</w:t>
      </w:r>
      <w:bookmarkEnd w:id="155"/>
      <w:bookmarkEnd w:id="156"/>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w:t>
      </w:r>
      <w:r>
        <w:rPr>
          <w:rFonts w:hint="eastAsia" w:ascii="方正仿宋_GBK" w:hAnsi="宋体" w:eastAsia="方正仿宋_GBK"/>
          <w:sz w:val="24"/>
          <w:szCs w:val="24"/>
          <w:lang w:eastAsia="zh-CN"/>
        </w:rPr>
        <w:t>受到</w:t>
      </w:r>
      <w:bookmarkStart w:id="195" w:name="_GoBack"/>
      <w:bookmarkEnd w:id="195"/>
      <w:r>
        <w:rPr>
          <w:rFonts w:hint="eastAsia" w:ascii="方正仿宋_GBK" w:hAnsi="宋体" w:eastAsia="方正仿宋_GBK"/>
          <w:sz w:val="24"/>
          <w:szCs w:val="24"/>
        </w:rPr>
        <w:t>伤害的，可向采购人或采购代理机构以书面形式提出质疑。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4"/>
        <w:adjustRightInd w:val="0"/>
        <w:snapToGrid w:val="0"/>
        <w:spacing w:before="0" w:after="0" w:line="400" w:lineRule="exact"/>
        <w:ind w:firstLine="482" w:firstLineChars="200"/>
        <w:rPr>
          <w:rFonts w:ascii="方正仿宋_GBK" w:hAnsi="宋体" w:eastAsia="方正仿宋_GBK"/>
          <w:sz w:val="24"/>
        </w:rPr>
      </w:pPr>
      <w:bookmarkStart w:id="157" w:name="_Toc102227322"/>
      <w:bookmarkStart w:id="158" w:name="_Toc106030901"/>
      <w:bookmarkStart w:id="159" w:name="_Toc342913396"/>
      <w:bookmarkStart w:id="160" w:name="_Toc76462346"/>
      <w:r>
        <w:rPr>
          <w:rFonts w:hint="eastAsia" w:ascii="方正仿宋_GBK" w:hAnsi="宋体" w:eastAsia="方正仿宋_GBK"/>
          <w:sz w:val="24"/>
        </w:rPr>
        <w:t>七、签订</w:t>
      </w:r>
      <w:bookmarkEnd w:id="157"/>
      <w:r>
        <w:rPr>
          <w:rFonts w:hint="eastAsia" w:ascii="方正仿宋_GBK" w:hAnsi="宋体" w:eastAsia="方正仿宋_GBK"/>
          <w:sz w:val="24"/>
        </w:rPr>
        <w:t>合同</w:t>
      </w:r>
      <w:bookmarkEnd w:id="158"/>
      <w:bookmarkEnd w:id="159"/>
      <w:bookmarkEnd w:id="160"/>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4"/>
        <w:adjustRightInd w:val="0"/>
        <w:snapToGrid w:val="0"/>
        <w:spacing w:before="0" w:after="0" w:line="400" w:lineRule="exact"/>
        <w:ind w:firstLine="482" w:firstLineChars="200"/>
        <w:rPr>
          <w:rFonts w:ascii="方正仿宋_GBK" w:hAnsi="宋体" w:eastAsia="方正仿宋_GBK"/>
          <w:sz w:val="24"/>
        </w:rPr>
      </w:pPr>
      <w:bookmarkStart w:id="161" w:name="_Toc106030902"/>
      <w:r>
        <w:rPr>
          <w:rFonts w:hint="eastAsia" w:ascii="方正仿宋_GBK" w:hAnsi="宋体" w:eastAsia="方正仿宋_GBK"/>
          <w:sz w:val="24"/>
        </w:rPr>
        <w:t>八、项目验收</w:t>
      </w:r>
      <w:bookmarkEnd w:id="161"/>
    </w:p>
    <w:p>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ascii="方正仿宋_GBK" w:hAnsi="宋体" w:eastAsia="方正仿宋_GBK"/>
          <w:sz w:val="24"/>
        </w:rPr>
      </w:pPr>
      <w:bookmarkStart w:id="162" w:name="_Toc106030899"/>
      <w:bookmarkStart w:id="163" w:name="_Toc76462344"/>
      <w:r>
        <w:rPr>
          <w:rFonts w:hint="eastAsia" w:ascii="方正仿宋_GBK" w:hAnsi="宋体" w:eastAsia="方正仿宋_GBK"/>
          <w:sz w:val="24"/>
        </w:rPr>
        <w:t>九、采购代理服务费</w:t>
      </w:r>
      <w:bookmarkEnd w:id="162"/>
      <w:bookmarkEnd w:id="163"/>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元。</w:t>
      </w:r>
    </w:p>
    <w:p>
      <w:pPr>
        <w:rPr>
          <w:rFonts w:ascii="方正小标宋_GBK" w:eastAsia="方正小标宋_GBK"/>
          <w:sz w:val="36"/>
          <w:szCs w:val="30"/>
        </w:rPr>
      </w:pPr>
      <w:r>
        <w:rPr>
          <w:rFonts w:hint="eastAsia" w:ascii="方正小标宋_GBK" w:eastAsia="方正小标宋_GBK"/>
          <w:sz w:val="36"/>
          <w:szCs w:val="30"/>
        </w:rPr>
        <w:br w:type="page"/>
      </w:r>
    </w:p>
    <w:p>
      <w:pPr>
        <w:pStyle w:val="4"/>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16"/>
      <w:bookmarkEnd w:id="117"/>
      <w:r>
        <w:rPr>
          <w:rFonts w:hint="eastAsia" w:ascii="方正小标宋_GBK" w:eastAsia="方正小标宋_GBK"/>
          <w:b w:val="0"/>
          <w:sz w:val="36"/>
          <w:szCs w:val="30"/>
        </w:rPr>
        <w:t>合同草案条款</w:t>
      </w:r>
      <w:bookmarkEnd w:id="118"/>
      <w:bookmarkEnd w:id="119"/>
      <w:bookmarkEnd w:id="120"/>
      <w:bookmarkEnd w:id="121"/>
      <w:bookmarkEnd w:id="122"/>
    </w:p>
    <w:p>
      <w:pPr>
        <w:rPr>
          <w:rFonts w:ascii="方正仿宋_GBK" w:eastAsia="方正仿宋_GBK"/>
          <w:sz w:val="24"/>
        </w:rPr>
      </w:pPr>
      <w:bookmarkStart w:id="164" w:name="_Toc303945820"/>
      <w:bookmarkStart w:id="165" w:name="_Toc148265480"/>
      <w:r>
        <w:rPr>
          <w:rFonts w:hint="eastAsia" w:ascii="方正仿宋_GBK" w:eastAsia="方正仿宋_GBK"/>
          <w:sz w:val="24"/>
        </w:rPr>
        <w:t>附页：合同格式</w:t>
      </w:r>
      <w:bookmarkEnd w:id="164"/>
      <w:bookmarkEnd w:id="165"/>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pStyle w:val="4"/>
        <w:spacing w:before="0" w:after="0" w:line="360" w:lineRule="auto"/>
        <w:jc w:val="center"/>
        <w:rPr>
          <w:rFonts w:ascii="方正小标宋_GBK" w:hAnsi="宋体" w:eastAsia="方正小标宋_GBK"/>
          <w:b w:val="0"/>
          <w:sz w:val="36"/>
          <w:szCs w:val="30"/>
        </w:rPr>
      </w:pPr>
      <w:bookmarkStart w:id="166" w:name="_Hlt41879464"/>
      <w:bookmarkEnd w:id="166"/>
      <w:bookmarkStart w:id="167" w:name="_Toc106030905"/>
      <w:bookmarkStart w:id="168" w:name="_Toc76462349"/>
      <w:r>
        <w:rPr>
          <w:rFonts w:hint="eastAsia" w:ascii="方正小标宋_GBK" w:hAnsi="宋体" w:eastAsia="方正小标宋_GBK"/>
          <w:b w:val="0"/>
          <w:sz w:val="36"/>
          <w:szCs w:val="30"/>
        </w:rPr>
        <w:t>第七篇  响应文件编制要求</w:t>
      </w:r>
      <w:bookmarkEnd w:id="167"/>
      <w:bookmarkEnd w:id="168"/>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ascii="方正仿宋_GBK" w:hAnsi="宋体" w:eastAsia="方正仿宋_GBK"/>
          <w:sz w:val="24"/>
        </w:rPr>
      </w:pPr>
      <w:bookmarkStart w:id="169" w:name="_Toc76462350"/>
      <w:bookmarkStart w:id="170" w:name="_Toc313888360"/>
      <w:bookmarkStart w:id="171" w:name="_Toc106030906"/>
      <w:bookmarkStart w:id="172" w:name="_Toc342913419"/>
      <w:bookmarkStart w:id="173" w:name="_Toc313008356"/>
      <w:bookmarkStart w:id="174" w:name="_Toc12789073"/>
      <w:bookmarkStart w:id="175" w:name="_Toc283382454"/>
      <w:r>
        <w:rPr>
          <w:rFonts w:hint="eastAsia" w:ascii="方正仿宋_GBK" w:hAnsi="宋体" w:eastAsia="方正仿宋_GBK"/>
          <w:sz w:val="24"/>
        </w:rPr>
        <w:t>一、经济部分</w:t>
      </w:r>
      <w:bookmarkEnd w:id="169"/>
      <w:bookmarkEnd w:id="170"/>
      <w:bookmarkEnd w:id="171"/>
      <w:bookmarkEnd w:id="172"/>
      <w:bookmarkEnd w:id="173"/>
    </w:p>
    <w:bookmarkEnd w:id="174"/>
    <w:bookmarkEnd w:id="175"/>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jc w:val="center"/>
        <w:rPr>
          <w:rFonts w:ascii="方正仿宋_GBK" w:eastAsia="方正仿宋_GBK"/>
          <w:b/>
          <w:szCs w:val="28"/>
        </w:rPr>
      </w:pPr>
      <w:r>
        <w:rPr>
          <w:rFonts w:hint="eastAsia" w:ascii="方正仿宋_GBK"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pPr>
        <w:pStyle w:val="4"/>
        <w:adjustRightInd w:val="0"/>
        <w:snapToGrid w:val="0"/>
        <w:spacing w:before="0" w:after="0" w:line="400" w:lineRule="exact"/>
        <w:ind w:firstLine="482" w:firstLineChars="200"/>
        <w:rPr>
          <w:rFonts w:ascii="方正仿宋_GBK" w:hAnsi="宋体" w:eastAsia="方正仿宋_GBK"/>
          <w:sz w:val="24"/>
        </w:rPr>
      </w:pPr>
      <w:bookmarkStart w:id="176" w:name="_Toc313008357"/>
      <w:bookmarkStart w:id="177" w:name="_Toc106030907"/>
      <w:bookmarkStart w:id="178" w:name="_Toc342913420"/>
      <w:bookmarkStart w:id="179" w:name="_Toc313888361"/>
      <w:bookmarkStart w:id="180" w:name="_Toc76462351"/>
      <w:r>
        <w:rPr>
          <w:rFonts w:hint="eastAsia" w:ascii="方正仿宋_GBK" w:hAnsi="宋体" w:eastAsia="方正仿宋_GBK"/>
          <w:sz w:val="24"/>
        </w:rPr>
        <w:t>二、服务部分</w:t>
      </w:r>
      <w:bookmarkEnd w:id="176"/>
      <w:bookmarkEnd w:id="177"/>
      <w:bookmarkEnd w:id="178"/>
      <w:bookmarkEnd w:id="179"/>
      <w:bookmarkEnd w:id="180"/>
    </w:p>
    <w:p>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pPr>
        <w:pStyle w:val="4"/>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81" w:name="_Toc313008358"/>
      <w:bookmarkStart w:id="182" w:name="_Toc76462352"/>
      <w:bookmarkStart w:id="183" w:name="_Toc106030908"/>
      <w:bookmarkStart w:id="184" w:name="_Toc342913421"/>
      <w:bookmarkStart w:id="185" w:name="_Toc313888362"/>
      <w:r>
        <w:rPr>
          <w:rFonts w:hint="eastAsia" w:ascii="方正仿宋_GBK" w:hAnsi="宋体" w:eastAsia="方正仿宋_GBK"/>
          <w:sz w:val="24"/>
        </w:rPr>
        <w:t>三、商务部分</w:t>
      </w:r>
      <w:bookmarkEnd w:id="181"/>
      <w:bookmarkEnd w:id="182"/>
      <w:bookmarkEnd w:id="183"/>
      <w:bookmarkEnd w:id="184"/>
      <w:bookmarkEnd w:id="185"/>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4"/>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snapToGrid w:val="0"/>
        <w:spacing w:line="400" w:lineRule="exact"/>
        <w:ind w:firstLine="480" w:firstLineChars="200"/>
        <w:rPr>
          <w:rFonts w:ascii="方正仿宋_GBK" w:eastAsia="方正仿宋_GBK"/>
          <w:b/>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pPr>
        <w:snapToGrid w:val="0"/>
        <w:spacing w:line="400" w:lineRule="exact"/>
        <w:ind w:firstLine="480" w:firstLineChars="200"/>
        <w:rPr>
          <w:rFonts w:ascii="方正仿宋_GBK" w:hAnsi="宋体" w:eastAsia="方正仿宋_GBK"/>
          <w:sz w:val="24"/>
          <w:szCs w:val="24"/>
        </w:rPr>
      </w:pPr>
      <w:bookmarkStart w:id="186" w:name="_Toc283382459"/>
      <w:r>
        <w:rPr>
          <w:rFonts w:hint="eastAsia" w:ascii="方正仿宋_GBK" w:hAnsi="宋体" w:eastAsia="方正仿宋_GBK"/>
          <w:sz w:val="24"/>
          <w:szCs w:val="24"/>
        </w:rPr>
        <w:t>（二）其它优惠承诺（格式自定）</w:t>
      </w:r>
    </w:p>
    <w:p>
      <w:pPr>
        <w:snapToGrid w:val="0"/>
        <w:spacing w:line="400" w:lineRule="exact"/>
        <w:ind w:firstLine="480" w:firstLineChars="200"/>
        <w:rPr>
          <w:rFonts w:ascii="方正仿宋_GBK" w:hAnsi="宋体" w:eastAsia="方正仿宋_GBK"/>
          <w:sz w:val="24"/>
          <w:szCs w:val="24"/>
        </w:rPr>
      </w:pPr>
    </w:p>
    <w:p>
      <w:pPr>
        <w:pStyle w:val="4"/>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End w:id="186"/>
      <w:bookmarkStart w:id="187" w:name="_Toc313888363"/>
      <w:bookmarkStart w:id="188" w:name="_Toc76462353"/>
      <w:bookmarkStart w:id="189" w:name="_Toc342913422"/>
      <w:bookmarkStart w:id="190" w:name="_Toc106030909"/>
      <w:bookmarkStart w:id="191" w:name="_Toc313008359"/>
      <w:r>
        <w:rPr>
          <w:rFonts w:hint="eastAsia" w:ascii="方正仿宋_GBK" w:hAnsi="宋体" w:eastAsia="方正仿宋_GBK"/>
          <w:sz w:val="24"/>
        </w:rPr>
        <w:t>四、资格条件</w:t>
      </w:r>
      <w:bookmarkEnd w:id="187"/>
      <w:bookmarkEnd w:id="188"/>
      <w:bookmarkEnd w:id="189"/>
      <w:bookmarkEnd w:id="190"/>
      <w:bookmarkEnd w:id="191"/>
    </w:p>
    <w:p>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pPr>
        <w:tabs>
          <w:tab w:val="left" w:pos="6300"/>
        </w:tabs>
        <w:snapToGrid w:val="0"/>
        <w:spacing w:line="400" w:lineRule="exact"/>
        <w:ind w:firstLine="480" w:firstLineChars="200"/>
        <w:rPr>
          <w:rFonts w:ascii="方正仿宋_GBK" w:hAnsi="宋体" w:eastAsia="方正仿宋_GBK"/>
          <w:sz w:val="24"/>
          <w:szCs w:val="24"/>
        </w:rPr>
      </w:pPr>
    </w:p>
    <w:p>
      <w:pPr>
        <w:pStyle w:val="4"/>
        <w:adjustRightInd w:val="0"/>
        <w:snapToGrid w:val="0"/>
        <w:spacing w:before="0" w:after="0" w:line="400" w:lineRule="exact"/>
        <w:ind w:firstLine="560" w:firstLineChars="200"/>
        <w:rPr>
          <w:rFonts w:ascii="方正仿宋_GBK" w:hAnsi="宋体" w:eastAsia="方正仿宋_GBK"/>
          <w:sz w:val="24"/>
        </w:rPr>
      </w:pPr>
      <w:bookmarkStart w:id="192" w:name="_Toc14422"/>
      <w:r>
        <w:rPr>
          <w:rFonts w:ascii="方正仿宋_GBK" w:hAnsi="宋体" w:eastAsia="方正仿宋_GBK"/>
          <w:b w:val="0"/>
          <w:sz w:val="28"/>
        </w:rPr>
        <w:br w:type="page"/>
      </w:r>
      <w:bookmarkStart w:id="193" w:name="_Toc76462354"/>
      <w:bookmarkStart w:id="194" w:name="_Toc106030910"/>
      <w:r>
        <w:rPr>
          <w:rFonts w:hint="eastAsia" w:ascii="方正仿宋_GBK" w:hAnsi="宋体" w:eastAsia="方正仿宋_GBK"/>
          <w:sz w:val="24"/>
        </w:rPr>
        <w:t>五、其他资料</w:t>
      </w:r>
      <w:bookmarkEnd w:id="192"/>
      <w:bookmarkEnd w:id="193"/>
      <w:bookmarkEnd w:id="19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- 4 -</w:t>
    </w:r>
    <w:r>
      <w:rPr>
        <w:rFonts w:asci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p>
  <w:p>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- 12 -</w:t>
    </w:r>
    <w:r>
      <w:rPr>
        <w:rFonts w:ascii="宋体"/>
        <w:sz w:val="21"/>
        <w:szCs w:val="21"/>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- 14 -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lNDFlNWI5OGY4MjQ4MTdlNjFlOWI0ZDY1NzAyMDMifQ=="/>
  </w:docVars>
  <w:rsids>
    <w:rsidRoot w:val="009D030A"/>
    <w:rsid w:val="000954B0"/>
    <w:rsid w:val="00101101"/>
    <w:rsid w:val="00107B54"/>
    <w:rsid w:val="00113D73"/>
    <w:rsid w:val="0012531E"/>
    <w:rsid w:val="00135866"/>
    <w:rsid w:val="0015439A"/>
    <w:rsid w:val="001F0A67"/>
    <w:rsid w:val="002D5223"/>
    <w:rsid w:val="003607C8"/>
    <w:rsid w:val="003718A8"/>
    <w:rsid w:val="00400CC0"/>
    <w:rsid w:val="00445DFA"/>
    <w:rsid w:val="00457161"/>
    <w:rsid w:val="00475F08"/>
    <w:rsid w:val="0048463E"/>
    <w:rsid w:val="00706EC0"/>
    <w:rsid w:val="00713809"/>
    <w:rsid w:val="00733A0C"/>
    <w:rsid w:val="007E4B6E"/>
    <w:rsid w:val="00857091"/>
    <w:rsid w:val="008E3212"/>
    <w:rsid w:val="00946455"/>
    <w:rsid w:val="009D030A"/>
    <w:rsid w:val="00A24978"/>
    <w:rsid w:val="00A3340B"/>
    <w:rsid w:val="00A6559D"/>
    <w:rsid w:val="00B062C3"/>
    <w:rsid w:val="00B54F18"/>
    <w:rsid w:val="00BC6E48"/>
    <w:rsid w:val="00BF1FA7"/>
    <w:rsid w:val="00C23EEA"/>
    <w:rsid w:val="00C27F91"/>
    <w:rsid w:val="00CE6292"/>
    <w:rsid w:val="00D014A6"/>
    <w:rsid w:val="00D5775B"/>
    <w:rsid w:val="00D920C2"/>
    <w:rsid w:val="00DF464A"/>
    <w:rsid w:val="00DF69F5"/>
    <w:rsid w:val="00E75F55"/>
    <w:rsid w:val="00EC3326"/>
    <w:rsid w:val="00ED4E41"/>
    <w:rsid w:val="00F105D4"/>
    <w:rsid w:val="00F30616"/>
    <w:rsid w:val="00F4213C"/>
    <w:rsid w:val="00FB6191"/>
    <w:rsid w:val="023A506E"/>
    <w:rsid w:val="0A7B0F4F"/>
    <w:rsid w:val="0C6B3101"/>
    <w:rsid w:val="0E887706"/>
    <w:rsid w:val="27952750"/>
    <w:rsid w:val="2CAB0353"/>
    <w:rsid w:val="2EB846F2"/>
    <w:rsid w:val="2F5FD015"/>
    <w:rsid w:val="2FA87F15"/>
    <w:rsid w:val="33686F6B"/>
    <w:rsid w:val="34137846"/>
    <w:rsid w:val="3ABFDB2D"/>
    <w:rsid w:val="457A3FD9"/>
    <w:rsid w:val="52A872F0"/>
    <w:rsid w:val="581F2BFE"/>
    <w:rsid w:val="5FF40563"/>
    <w:rsid w:val="66AE46A0"/>
    <w:rsid w:val="71DE17BB"/>
    <w:rsid w:val="7AC17951"/>
    <w:rsid w:val="7BC77B74"/>
    <w:rsid w:val="7EFB5E94"/>
    <w:rsid w:val="7FDB56F5"/>
    <w:rsid w:val="7FFD4030"/>
    <w:rsid w:val="ADAE7369"/>
    <w:rsid w:val="DEFF6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link w:val="19"/>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1200" w:leftChars="1200"/>
    </w:p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link w:val="20"/>
    <w:qFormat/>
    <w:uiPriority w:val="0"/>
    <w:pPr>
      <w:spacing w:line="700" w:lineRule="exact"/>
      <w:ind w:left="960"/>
    </w:pPr>
    <w:rPr>
      <w:sz w:val="44"/>
    </w:rPr>
  </w:style>
  <w:style w:type="paragraph" w:styleId="7">
    <w:name w:val="Plain Text"/>
    <w:basedOn w:val="1"/>
    <w:link w:val="21"/>
    <w:qFormat/>
    <w:uiPriority w:val="0"/>
    <w:rPr>
      <w:rFonts w:ascii="宋体" w:hAnsi="Courier New"/>
      <w:sz w:val="21"/>
    </w:rPr>
  </w:style>
  <w:style w:type="paragraph" w:styleId="8">
    <w:name w:val="Date"/>
    <w:basedOn w:val="1"/>
    <w:next w:val="1"/>
    <w:link w:val="22"/>
    <w:qFormat/>
    <w:uiPriority w:val="0"/>
  </w:style>
  <w:style w:type="paragraph" w:styleId="9">
    <w:name w:val="Body Text Indent 2"/>
    <w:basedOn w:val="1"/>
    <w:link w:val="23"/>
    <w:qFormat/>
    <w:uiPriority w:val="0"/>
    <w:pPr>
      <w:snapToGrid w:val="0"/>
      <w:spacing w:line="560" w:lineRule="atLeast"/>
      <w:ind w:firstLine="540"/>
    </w:pPr>
  </w:style>
  <w:style w:type="paragraph" w:styleId="10">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0"/>
    <w:pPr>
      <w:spacing w:line="180" w:lineRule="auto"/>
      <w:jc w:val="center"/>
    </w:pPr>
    <w:rPr>
      <w:sz w:val="3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qFormat/>
    <w:uiPriority w:val="0"/>
  </w:style>
  <w:style w:type="character" w:customStyle="1" w:styleId="17">
    <w:name w:val="页眉 字符"/>
    <w:basedOn w:val="15"/>
    <w:link w:val="11"/>
    <w:semiHidden/>
    <w:qFormat/>
    <w:uiPriority w:val="99"/>
    <w:rPr>
      <w:sz w:val="18"/>
      <w:szCs w:val="18"/>
    </w:rPr>
  </w:style>
  <w:style w:type="character" w:customStyle="1" w:styleId="18">
    <w:name w:val="页脚 字符"/>
    <w:basedOn w:val="15"/>
    <w:link w:val="10"/>
    <w:semiHidden/>
    <w:qFormat/>
    <w:uiPriority w:val="99"/>
    <w:rPr>
      <w:sz w:val="18"/>
      <w:szCs w:val="18"/>
    </w:rPr>
  </w:style>
  <w:style w:type="character" w:customStyle="1" w:styleId="19">
    <w:name w:val="标题 2 字符"/>
    <w:basedOn w:val="15"/>
    <w:link w:val="4"/>
    <w:qFormat/>
    <w:uiPriority w:val="0"/>
    <w:rPr>
      <w:rFonts w:ascii="Arial" w:hAnsi="Arial" w:eastAsia="黑体" w:cs="Times New Roman"/>
      <w:b/>
      <w:sz w:val="32"/>
      <w:szCs w:val="20"/>
    </w:rPr>
  </w:style>
  <w:style w:type="character" w:customStyle="1" w:styleId="20">
    <w:name w:val="正文文本缩进 字符"/>
    <w:basedOn w:val="15"/>
    <w:link w:val="6"/>
    <w:qFormat/>
    <w:uiPriority w:val="0"/>
    <w:rPr>
      <w:rFonts w:ascii="Times New Roman" w:hAnsi="Times New Roman" w:eastAsia="宋体" w:cs="Times New Roman"/>
      <w:sz w:val="44"/>
      <w:szCs w:val="20"/>
    </w:rPr>
  </w:style>
  <w:style w:type="character" w:customStyle="1" w:styleId="21">
    <w:name w:val="纯文本 字符"/>
    <w:basedOn w:val="15"/>
    <w:link w:val="7"/>
    <w:qFormat/>
    <w:uiPriority w:val="0"/>
    <w:rPr>
      <w:rFonts w:ascii="宋体" w:hAnsi="Courier New" w:eastAsia="宋体" w:cs="Times New Roman"/>
      <w:szCs w:val="20"/>
    </w:rPr>
  </w:style>
  <w:style w:type="character" w:customStyle="1" w:styleId="22">
    <w:name w:val="日期 字符"/>
    <w:basedOn w:val="15"/>
    <w:link w:val="8"/>
    <w:qFormat/>
    <w:uiPriority w:val="0"/>
    <w:rPr>
      <w:rFonts w:ascii="Times New Roman" w:hAnsi="Times New Roman" w:eastAsia="宋体" w:cs="Times New Roman"/>
      <w:sz w:val="28"/>
      <w:szCs w:val="20"/>
    </w:rPr>
  </w:style>
  <w:style w:type="character" w:customStyle="1" w:styleId="23">
    <w:name w:val="正文文本缩进 2 字符"/>
    <w:basedOn w:val="15"/>
    <w:link w:val="9"/>
    <w:qFormat/>
    <w:uiPriority w:val="0"/>
    <w:rPr>
      <w:rFonts w:ascii="Times New Roman" w:hAnsi="Times New Roman" w:eastAsia="宋体" w:cs="Times New Roman"/>
      <w:sz w:val="28"/>
      <w:szCs w:val="20"/>
    </w:rPr>
  </w:style>
  <w:style w:type="paragraph" w:customStyle="1" w:styleId="24">
    <w:name w:val="1"/>
    <w:basedOn w:val="1"/>
    <w:next w:val="7"/>
    <w:qFormat/>
    <w:uiPriority w:val="0"/>
    <w:rPr>
      <w:rFonts w:ascii="宋体" w:hAnsi="Courier New"/>
      <w:sz w:val="21"/>
    </w:rPr>
  </w:style>
  <w:style w:type="character" w:customStyle="1" w:styleId="25">
    <w:name w:val="font31"/>
    <w:basedOn w:val="15"/>
    <w:qFormat/>
    <w:uiPriority w:val="0"/>
    <w:rPr>
      <w:rFonts w:hint="eastAsia" w:ascii="仿宋" w:hAnsi="仿宋" w:eastAsia="仿宋" w:cs="仿宋"/>
      <w:color w:val="000000"/>
      <w:sz w:val="21"/>
      <w:szCs w:val="21"/>
      <w:u w:val="none"/>
      <w:vertAlign w:val="superscript"/>
    </w:rPr>
  </w:style>
  <w:style w:type="paragraph" w:styleId="2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2349</Words>
  <Characters>13395</Characters>
  <Lines>111</Lines>
  <Paragraphs>31</Paragraphs>
  <TotalTime>171</TotalTime>
  <ScaleCrop>false</ScaleCrop>
  <LinksUpToDate>false</LinksUpToDate>
  <CharactersWithSpaces>15713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2023-11-11T13:34:00Z</dcterms:created>
  <dc:creator>微软用户</dc:creator>
  <cp:lastModifiedBy>jtj</cp:lastModifiedBy>
  <cp:lastPrinted>2024-10-11T07:29:00Z</cp:lastPrinted>
  <dcterms:modified xsi:type="dcterms:W3CDTF">2024-12-03T08:32:26Z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058319C8B81B42DEA2D0D79BF621594B_12</vt:lpwstr>
  </property>
</Properties>
</file>