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F3D39">
      <w:pPr>
        <w:spacing w:line="1600" w:lineRule="exact"/>
        <w:jc w:val="center"/>
        <w:outlineLvl w:val="0"/>
        <w:rPr>
          <w:rFonts w:ascii="方正黑体_GBK" w:eastAsia="方正黑体_GBK"/>
          <w:sz w:val="84"/>
          <w:szCs w:val="84"/>
        </w:rPr>
      </w:pPr>
      <w:bookmarkStart w:id="0" w:name="_Toc106034777"/>
      <w:bookmarkStart w:id="1" w:name="_Toc65660337"/>
      <w:bookmarkStart w:id="2" w:name="_Toc1733"/>
      <w:bookmarkStart w:id="3" w:name="_Toc10415"/>
      <w:bookmarkStart w:id="4" w:name="_Toc1552"/>
      <w:bookmarkStart w:id="5" w:name="_Toc525047164"/>
      <w:bookmarkStart w:id="6" w:name="_Toc521053056"/>
    </w:p>
    <w:p w14:paraId="16A2BC47">
      <w:pPr>
        <w:spacing w:line="1600" w:lineRule="exact"/>
        <w:jc w:val="center"/>
        <w:outlineLvl w:val="0"/>
        <w:rPr>
          <w:rFonts w:ascii="方正黑体_GBK" w:eastAsia="方正黑体_GBK"/>
          <w:sz w:val="84"/>
          <w:szCs w:val="84"/>
        </w:rPr>
      </w:pPr>
      <w:r>
        <w:rPr>
          <w:rFonts w:hint="eastAsia" w:ascii="方正黑体_GBK" w:eastAsia="方正黑体_GBK"/>
          <w:sz w:val="84"/>
          <w:szCs w:val="84"/>
        </w:rPr>
        <w:t>重庆市嘉陵江航道管理处</w:t>
      </w:r>
    </w:p>
    <w:p w14:paraId="53E5B74C">
      <w:pPr>
        <w:spacing w:line="1600" w:lineRule="exact"/>
        <w:jc w:val="center"/>
        <w:outlineLvl w:val="0"/>
        <w:rPr>
          <w:rFonts w:ascii="方正黑体_GBK" w:eastAsia="方正黑体_GBK"/>
          <w:sz w:val="84"/>
          <w:szCs w:val="84"/>
        </w:rPr>
      </w:pPr>
      <w:r>
        <w:rPr>
          <w:rFonts w:hint="eastAsia" w:ascii="方正黑体_GBK" w:eastAsia="方正黑体_GBK"/>
          <w:sz w:val="84"/>
          <w:szCs w:val="84"/>
        </w:rPr>
        <w:t>政府采购</w:t>
      </w:r>
    </w:p>
    <w:p w14:paraId="690C1A1C">
      <w:pPr>
        <w:jc w:val="center"/>
        <w:rPr>
          <w:rFonts w:ascii="宋体" w:hAnsi="宋体"/>
          <w:sz w:val="84"/>
          <w:szCs w:val="84"/>
        </w:rPr>
      </w:pPr>
    </w:p>
    <w:p w14:paraId="476FB373">
      <w:pPr>
        <w:jc w:val="center"/>
        <w:rPr>
          <w:rFonts w:ascii="黑体" w:eastAsia="黑体"/>
          <w:sz w:val="32"/>
        </w:rPr>
      </w:pPr>
      <w:r>
        <w:rPr>
          <w:rFonts w:hint="eastAsia" w:ascii="方正黑体_GBK" w:hAnsi="宋体" w:eastAsia="方正黑体_GBK"/>
          <w:sz w:val="72"/>
          <w:szCs w:val="72"/>
        </w:rPr>
        <w:t>限额以下磋商评分采购文件</w:t>
      </w:r>
    </w:p>
    <w:p w14:paraId="3095976A">
      <w:pPr>
        <w:spacing w:line="700" w:lineRule="exact"/>
        <w:jc w:val="center"/>
        <w:rPr>
          <w:rFonts w:ascii="黑体" w:eastAsia="黑体"/>
          <w:sz w:val="32"/>
        </w:rPr>
      </w:pPr>
    </w:p>
    <w:p w14:paraId="14AA1824">
      <w:pPr>
        <w:spacing w:line="700" w:lineRule="exact"/>
        <w:jc w:val="center"/>
        <w:rPr>
          <w:rFonts w:ascii="黑体" w:eastAsia="黑体"/>
          <w:sz w:val="32"/>
        </w:rPr>
      </w:pPr>
    </w:p>
    <w:p w14:paraId="7437CFD0">
      <w:pPr>
        <w:spacing w:line="500" w:lineRule="exact"/>
        <w:ind w:firstLine="1440" w:firstLineChars="400"/>
        <w:outlineLvl w:val="0"/>
        <w:rPr>
          <w:rFonts w:hint="eastAsia" w:ascii="方正小标宋_GBK" w:hAnsi="宋体" w:eastAsia="方正小标宋_GBK"/>
          <w:sz w:val="36"/>
          <w:szCs w:val="36"/>
        </w:rPr>
      </w:pPr>
      <w:r>
        <w:rPr>
          <w:rFonts w:hint="eastAsia" w:ascii="方正小标宋_GBK" w:hAnsi="宋体" w:eastAsia="方正小标宋_GBK"/>
          <w:sz w:val="36"/>
          <w:szCs w:val="36"/>
        </w:rPr>
        <w:t>项目名称：</w:t>
      </w:r>
      <w:r>
        <w:rPr>
          <w:rFonts w:hint="eastAsia" w:ascii="方正小标宋_GBK" w:hAnsi="宋体" w:eastAsia="方正小标宋_GBK"/>
          <w:sz w:val="36"/>
          <w:szCs w:val="36"/>
          <w:lang w:eastAsia="zh-CN"/>
        </w:rPr>
        <w:t>嘉陵江电子航道图编制</w:t>
      </w:r>
    </w:p>
    <w:p w14:paraId="6BB00838">
      <w:pPr>
        <w:spacing w:line="500" w:lineRule="exact"/>
        <w:ind w:firstLine="1440" w:firstLineChars="400"/>
        <w:jc w:val="left"/>
        <w:outlineLvl w:val="0"/>
        <w:rPr>
          <w:rFonts w:ascii="方正小标宋_GBK" w:eastAsia="方正小标宋_GBK"/>
          <w:sz w:val="36"/>
          <w:szCs w:val="36"/>
        </w:rPr>
      </w:pPr>
      <w:r>
        <w:rPr>
          <w:rFonts w:hint="eastAsia" w:ascii="方正小标宋_GBK" w:eastAsia="方正小标宋_GBK"/>
          <w:sz w:val="36"/>
          <w:szCs w:val="36"/>
        </w:rPr>
        <w:t>采购人：重庆市嘉陵江航道管理处</w:t>
      </w:r>
    </w:p>
    <w:p w14:paraId="5929A992">
      <w:pPr>
        <w:spacing w:line="500" w:lineRule="exact"/>
        <w:outlineLvl w:val="0"/>
        <w:rPr>
          <w:rFonts w:ascii="方正小标宋_GBK" w:eastAsia="方正小标宋_GBK"/>
          <w:sz w:val="36"/>
          <w:szCs w:val="36"/>
        </w:rPr>
      </w:pPr>
    </w:p>
    <w:p w14:paraId="28AFCB78">
      <w:pPr>
        <w:spacing w:line="500" w:lineRule="exact"/>
        <w:outlineLvl w:val="0"/>
        <w:rPr>
          <w:rFonts w:ascii="方正小标宋_GBK" w:eastAsia="方正小标宋_GBK"/>
          <w:sz w:val="36"/>
          <w:szCs w:val="36"/>
        </w:rPr>
      </w:pPr>
    </w:p>
    <w:p w14:paraId="5F283412">
      <w:pPr>
        <w:spacing w:line="500" w:lineRule="exact"/>
        <w:outlineLvl w:val="0"/>
        <w:rPr>
          <w:rFonts w:ascii="方正小标宋_GBK" w:eastAsia="方正小标宋_GBK"/>
          <w:sz w:val="36"/>
          <w:szCs w:val="36"/>
        </w:rPr>
      </w:pPr>
    </w:p>
    <w:p w14:paraId="1B2392CC">
      <w:pPr>
        <w:spacing w:line="500" w:lineRule="exact"/>
        <w:outlineLvl w:val="0"/>
        <w:rPr>
          <w:rFonts w:ascii="方正小标宋_GBK" w:eastAsia="方正小标宋_GBK"/>
          <w:sz w:val="36"/>
          <w:szCs w:val="36"/>
        </w:rPr>
      </w:pPr>
    </w:p>
    <w:p w14:paraId="1555C020">
      <w:pPr>
        <w:spacing w:line="500" w:lineRule="exact"/>
        <w:outlineLvl w:val="0"/>
        <w:rPr>
          <w:rFonts w:ascii="方正小标宋_GBK" w:eastAsia="方正小标宋_GBK"/>
          <w:sz w:val="36"/>
          <w:szCs w:val="36"/>
        </w:rPr>
      </w:pPr>
    </w:p>
    <w:p w14:paraId="33352731">
      <w:pPr>
        <w:spacing w:line="720" w:lineRule="exact"/>
        <w:jc w:val="center"/>
        <w:outlineLvl w:val="0"/>
        <w:rPr>
          <w:rFonts w:ascii="方正黑体_GBK" w:eastAsia="方正黑体_GBK"/>
          <w:sz w:val="44"/>
          <w:szCs w:val="28"/>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r>
        <w:rPr>
          <w:rFonts w:hint="eastAsia" w:ascii="方正小标宋_GBK" w:hAnsi="宋体" w:eastAsia="方正小标宋_GBK"/>
          <w:sz w:val="36"/>
          <w:szCs w:val="36"/>
        </w:rPr>
        <w:t>二〇二四年</w:t>
      </w:r>
      <w:r>
        <w:rPr>
          <w:rFonts w:hint="eastAsia" w:ascii="方正小标宋_GBK" w:hAnsi="宋体" w:eastAsia="方正小标宋_GBK"/>
          <w:sz w:val="36"/>
          <w:szCs w:val="36"/>
          <w:lang w:eastAsia="zh-CN"/>
        </w:rPr>
        <w:t>十</w:t>
      </w:r>
      <w:r>
        <w:rPr>
          <w:rFonts w:hint="eastAsia" w:ascii="方正小标宋_GBK" w:hAnsi="宋体" w:eastAsia="方正小标宋_GBK"/>
          <w:sz w:val="36"/>
          <w:szCs w:val="36"/>
        </w:rPr>
        <w:t>月</w:t>
      </w:r>
    </w:p>
    <w:p w14:paraId="6FF56FB9">
      <w:pPr>
        <w:pStyle w:val="2"/>
        <w:spacing w:before="0" w:after="0" w:line="360" w:lineRule="auto"/>
        <w:jc w:val="center"/>
        <w:rPr>
          <w:rFonts w:ascii="方正小标宋_GBK" w:eastAsia="方正小标宋_GBK"/>
          <w:b w:val="0"/>
          <w:sz w:val="36"/>
          <w:szCs w:val="30"/>
        </w:rPr>
      </w:pPr>
      <w:bookmarkStart w:id="7" w:name="_Toc65660329"/>
      <w:bookmarkStart w:id="8" w:name="_Toc15726"/>
      <w:bookmarkStart w:id="9" w:name="_Toc12789052"/>
      <w:bookmarkStart w:id="10" w:name="_Toc24817"/>
      <w:bookmarkStart w:id="11" w:name="_Toc11641050"/>
      <w:bookmarkStart w:id="12" w:name="_Toc106034769"/>
      <w:bookmarkStart w:id="13" w:name="_Toc24173"/>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限额以下磋商评分采购邀请书</w:t>
      </w:r>
      <w:bookmarkEnd w:id="7"/>
      <w:bookmarkEnd w:id="8"/>
      <w:bookmarkEnd w:id="9"/>
      <w:bookmarkEnd w:id="10"/>
      <w:bookmarkEnd w:id="11"/>
      <w:bookmarkEnd w:id="12"/>
      <w:bookmarkEnd w:id="13"/>
    </w:p>
    <w:p w14:paraId="1713C9B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根据工作需要，重庆市嘉陵江航道管理处对</w:t>
      </w:r>
      <w:r>
        <w:rPr>
          <w:rFonts w:hint="eastAsia" w:ascii="方正仿宋_GBK" w:hAnsi="宋体" w:eastAsia="方正仿宋_GBK"/>
          <w:sz w:val="24"/>
          <w:szCs w:val="24"/>
          <w:lang w:eastAsia="zh-CN"/>
        </w:rPr>
        <w:t>嘉陵江电子航道图编制</w:t>
      </w:r>
      <w:r>
        <w:rPr>
          <w:rFonts w:hint="eastAsia" w:ascii="方正仿宋_GBK" w:hAnsi="宋体" w:eastAsia="方正仿宋_GBK"/>
          <w:sz w:val="24"/>
          <w:szCs w:val="24"/>
        </w:rPr>
        <w:t>项目进行限额以下磋商评分采购。欢迎有资格的供应商前来参加报价。</w:t>
      </w:r>
    </w:p>
    <w:p w14:paraId="172E8DEB">
      <w:pPr>
        <w:pStyle w:val="2"/>
        <w:adjustRightInd w:val="0"/>
        <w:snapToGrid w:val="0"/>
        <w:spacing w:before="0" w:after="0" w:line="400" w:lineRule="exact"/>
        <w:ind w:firstLine="480" w:firstLineChars="200"/>
        <w:rPr>
          <w:rFonts w:ascii="方正仿宋_GBK" w:hAnsi="宋体" w:eastAsia="方正仿宋_GBK"/>
          <w:sz w:val="24"/>
        </w:rPr>
      </w:pPr>
      <w:bookmarkStart w:id="14" w:name="_Toc317775175"/>
      <w:bookmarkStart w:id="15" w:name="_Toc313893526"/>
      <w:bookmarkStart w:id="16" w:name="_Toc65660330"/>
      <w:bookmarkStart w:id="17" w:name="_Toc106034770"/>
      <w:bookmarkStart w:id="18" w:name="_Toc7758"/>
      <w:bookmarkStart w:id="19" w:name="_Toc26091"/>
      <w:bookmarkStart w:id="20" w:name="_Toc18246"/>
      <w:r>
        <w:rPr>
          <w:rFonts w:hint="eastAsia" w:ascii="方正仿宋_GBK" w:hAnsi="宋体" w:eastAsia="方正仿宋_GBK"/>
          <w:sz w:val="24"/>
        </w:rPr>
        <w:t>一、比价内容</w:t>
      </w:r>
      <w:bookmarkEnd w:id="14"/>
      <w:bookmarkEnd w:id="15"/>
      <w:bookmarkEnd w:id="16"/>
      <w:bookmarkEnd w:id="17"/>
      <w:bookmarkEnd w:id="18"/>
      <w:bookmarkEnd w:id="19"/>
      <w:bookmarkEnd w:id="20"/>
    </w:p>
    <w:tbl>
      <w:tblPr>
        <w:tblStyle w:val="15"/>
        <w:tblW w:w="7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6"/>
        <w:gridCol w:w="1325"/>
        <w:gridCol w:w="1464"/>
        <w:gridCol w:w="1494"/>
      </w:tblGrid>
      <w:tr w14:paraId="5605B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3446" w:type="dxa"/>
            <w:tcBorders>
              <w:top w:val="single" w:color="auto" w:sz="4" w:space="0"/>
              <w:left w:val="single" w:color="auto" w:sz="4" w:space="0"/>
              <w:right w:val="single" w:color="auto" w:sz="4" w:space="0"/>
            </w:tcBorders>
            <w:vAlign w:val="center"/>
          </w:tcPr>
          <w:p w14:paraId="128DA60C">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1325" w:type="dxa"/>
            <w:tcBorders>
              <w:top w:val="single" w:color="auto" w:sz="4" w:space="0"/>
              <w:left w:val="single" w:color="auto" w:sz="4" w:space="0"/>
              <w:right w:val="single" w:color="auto" w:sz="4" w:space="0"/>
            </w:tcBorders>
            <w:vAlign w:val="center"/>
          </w:tcPr>
          <w:p w14:paraId="4465B558">
            <w:pPr>
              <w:widowControl/>
              <w:jc w:val="center"/>
              <w:rPr>
                <w:rFonts w:hint="eastAsia" w:ascii="方正仿宋_GBK" w:hAnsi="宋体" w:eastAsia="方正仿宋_GBK" w:cs="宋体"/>
                <w:b/>
                <w:bCs/>
                <w:kern w:val="0"/>
                <w:sz w:val="21"/>
                <w:szCs w:val="24"/>
                <w:lang w:eastAsia="zh-CN"/>
              </w:rPr>
            </w:pPr>
            <w:r>
              <w:rPr>
                <w:rFonts w:hint="eastAsia" w:ascii="方正仿宋_GBK" w:hAnsi="宋体" w:eastAsia="方正仿宋_GBK" w:cs="宋体"/>
                <w:b/>
                <w:bCs/>
                <w:kern w:val="0"/>
                <w:sz w:val="21"/>
                <w:szCs w:val="24"/>
                <w:lang w:eastAsia="zh-CN"/>
              </w:rPr>
              <w:t>最高限价</w:t>
            </w:r>
          </w:p>
        </w:tc>
        <w:tc>
          <w:tcPr>
            <w:tcW w:w="1464" w:type="dxa"/>
            <w:tcBorders>
              <w:top w:val="single" w:color="auto" w:sz="4" w:space="0"/>
              <w:left w:val="single" w:color="auto" w:sz="4" w:space="0"/>
              <w:right w:val="single" w:color="auto" w:sz="4" w:space="0"/>
            </w:tcBorders>
            <w:vAlign w:val="center"/>
          </w:tcPr>
          <w:p w14:paraId="7B94EAF3">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1494" w:type="dxa"/>
            <w:tcBorders>
              <w:top w:val="single" w:color="auto" w:sz="4" w:space="0"/>
              <w:left w:val="single" w:color="auto" w:sz="4" w:space="0"/>
              <w:right w:val="single" w:color="auto" w:sz="4" w:space="0"/>
            </w:tcBorders>
            <w:vAlign w:val="center"/>
          </w:tcPr>
          <w:p w14:paraId="04F1C3E5">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14:paraId="74C54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446" w:type="dxa"/>
            <w:tcBorders>
              <w:top w:val="single" w:color="auto" w:sz="4" w:space="0"/>
              <w:left w:val="single" w:color="auto" w:sz="4" w:space="0"/>
              <w:bottom w:val="single" w:color="auto" w:sz="4" w:space="0"/>
              <w:right w:val="single" w:color="auto" w:sz="4" w:space="0"/>
            </w:tcBorders>
            <w:vAlign w:val="center"/>
          </w:tcPr>
          <w:p w14:paraId="51B6753B">
            <w:pPr>
              <w:widowControl/>
              <w:jc w:val="center"/>
              <w:rPr>
                <w:rFonts w:ascii="方正仿宋_GBK" w:hAnsi="宋体" w:eastAsia="方正仿宋_GBK" w:cs="宋体"/>
                <w:color w:val="FF0000"/>
                <w:kern w:val="0"/>
                <w:sz w:val="21"/>
                <w:szCs w:val="24"/>
              </w:rPr>
            </w:pPr>
            <w:bookmarkStart w:id="21" w:name="_Hlk344477914"/>
            <w:r>
              <w:rPr>
                <w:rFonts w:hint="eastAsia" w:ascii="方正仿宋_GBK" w:hAnsi="宋体" w:eastAsia="方正仿宋_GBK"/>
                <w:sz w:val="24"/>
                <w:szCs w:val="24"/>
                <w:lang w:eastAsia="zh-CN"/>
              </w:rPr>
              <w:t>嘉陵江电子航道图编制</w:t>
            </w:r>
          </w:p>
        </w:tc>
        <w:tc>
          <w:tcPr>
            <w:tcW w:w="1325" w:type="dxa"/>
            <w:tcBorders>
              <w:top w:val="single" w:color="auto" w:sz="4" w:space="0"/>
              <w:left w:val="single" w:color="auto" w:sz="4" w:space="0"/>
              <w:bottom w:val="single" w:color="auto" w:sz="4" w:space="0"/>
              <w:right w:val="single" w:color="auto" w:sz="4" w:space="0"/>
            </w:tcBorders>
            <w:vAlign w:val="center"/>
          </w:tcPr>
          <w:p w14:paraId="1FEDD21A">
            <w:pPr>
              <w:jc w:val="center"/>
              <w:rPr>
                <w:rFonts w:hint="default" w:ascii="方正仿宋_GBK" w:hAnsi="宋体" w:eastAsia="方正仿宋_GBK"/>
                <w:color w:val="auto"/>
                <w:sz w:val="21"/>
                <w:szCs w:val="21"/>
                <w:lang w:val="en-US" w:eastAsia="zh-CN"/>
              </w:rPr>
            </w:pPr>
            <w:r>
              <w:rPr>
                <w:rFonts w:hint="eastAsia" w:ascii="方正仿宋_GBK" w:hAnsi="宋体" w:eastAsia="方正仿宋_GBK"/>
                <w:color w:val="auto"/>
                <w:sz w:val="24"/>
                <w:lang w:val="en-US" w:eastAsia="zh-CN"/>
              </w:rPr>
              <w:t>44万</w:t>
            </w:r>
          </w:p>
        </w:tc>
        <w:tc>
          <w:tcPr>
            <w:tcW w:w="1464" w:type="dxa"/>
            <w:tcBorders>
              <w:top w:val="single" w:color="auto" w:sz="4" w:space="0"/>
              <w:left w:val="single" w:color="auto" w:sz="4" w:space="0"/>
              <w:bottom w:val="single" w:color="auto" w:sz="4" w:space="0"/>
              <w:right w:val="single" w:color="auto" w:sz="4" w:space="0"/>
            </w:tcBorders>
            <w:vAlign w:val="center"/>
          </w:tcPr>
          <w:p w14:paraId="41B9EB68">
            <w:pPr>
              <w:jc w:val="center"/>
              <w:rPr>
                <w:rFonts w:ascii="方正仿宋_GBK" w:hAnsi="宋体" w:eastAsia="方正仿宋_GBK"/>
                <w:color w:val="auto"/>
                <w:sz w:val="21"/>
                <w:szCs w:val="21"/>
              </w:rPr>
            </w:pPr>
            <w:r>
              <w:rPr>
                <w:rFonts w:hint="eastAsia" w:ascii="方正仿宋_GBK" w:hAnsi="宋体" w:eastAsia="方正仿宋_GBK"/>
                <w:color w:val="auto"/>
                <w:sz w:val="21"/>
                <w:szCs w:val="21"/>
              </w:rPr>
              <w:t>1</w:t>
            </w:r>
          </w:p>
        </w:tc>
        <w:tc>
          <w:tcPr>
            <w:tcW w:w="1494" w:type="dxa"/>
            <w:tcBorders>
              <w:top w:val="single" w:color="auto" w:sz="4" w:space="0"/>
              <w:left w:val="single" w:color="auto" w:sz="4" w:space="0"/>
              <w:bottom w:val="single" w:color="auto" w:sz="4" w:space="0"/>
              <w:right w:val="single" w:color="auto" w:sz="4" w:space="0"/>
            </w:tcBorders>
            <w:vAlign w:val="center"/>
          </w:tcPr>
          <w:p w14:paraId="6E86AFCB">
            <w:pPr>
              <w:jc w:val="center"/>
              <w:rPr>
                <w:rFonts w:ascii="方正仿宋_GBK" w:hAnsi="宋体" w:eastAsia="方正仿宋_GBK"/>
                <w:b/>
                <w:color w:val="FF0000"/>
                <w:sz w:val="21"/>
                <w:szCs w:val="21"/>
              </w:rPr>
            </w:pPr>
            <w:r>
              <w:rPr>
                <w:rFonts w:hint="eastAsia" w:ascii="方正仿宋_GBK" w:hAnsi="宋体" w:eastAsia="方正仿宋_GBK"/>
                <w:sz w:val="24"/>
                <w:szCs w:val="24"/>
                <w:lang w:val="en-US" w:eastAsia="zh-CN"/>
              </w:rPr>
              <w:t>嘉陵江豆腐石至嘉悦大桥段40公里</w:t>
            </w:r>
          </w:p>
        </w:tc>
      </w:tr>
      <w:bookmarkEnd w:id="21"/>
    </w:tbl>
    <w:p w14:paraId="382DAC71">
      <w:pPr>
        <w:pStyle w:val="2"/>
        <w:adjustRightInd w:val="0"/>
        <w:snapToGrid w:val="0"/>
        <w:spacing w:before="0" w:after="0" w:line="400" w:lineRule="exact"/>
        <w:ind w:firstLine="480" w:firstLineChars="200"/>
        <w:rPr>
          <w:rFonts w:ascii="方正仿宋_GBK" w:hAnsi="宋体" w:eastAsia="方正仿宋_GBK"/>
          <w:sz w:val="24"/>
        </w:rPr>
      </w:pPr>
      <w:bookmarkStart w:id="22" w:name="_Toc3256"/>
      <w:bookmarkStart w:id="23" w:name="_Toc65660331"/>
      <w:bookmarkStart w:id="24" w:name="_Toc27028"/>
      <w:bookmarkStart w:id="25" w:name="_Toc106034771"/>
      <w:bookmarkStart w:id="26" w:name="_Toc4424"/>
      <w:bookmarkStart w:id="27" w:name="_Toc373860293"/>
      <w:bookmarkStart w:id="28" w:name="_Toc317775178"/>
      <w:r>
        <w:rPr>
          <w:rFonts w:hint="eastAsia" w:ascii="方正仿宋_GBK" w:hAnsi="宋体" w:eastAsia="方正仿宋_GBK"/>
          <w:sz w:val="24"/>
        </w:rPr>
        <w:t>二、资金来源</w:t>
      </w:r>
      <w:bookmarkEnd w:id="22"/>
      <w:bookmarkEnd w:id="23"/>
      <w:bookmarkEnd w:id="24"/>
      <w:bookmarkEnd w:id="25"/>
      <w:bookmarkEnd w:id="26"/>
    </w:p>
    <w:p w14:paraId="6555F9C7">
      <w:pPr>
        <w:spacing w:line="40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财政预算资金（或单位自筹资金）。</w:t>
      </w:r>
    </w:p>
    <w:p w14:paraId="26418DBD">
      <w:pPr>
        <w:pStyle w:val="2"/>
        <w:adjustRightInd w:val="0"/>
        <w:snapToGrid w:val="0"/>
        <w:spacing w:before="0" w:after="0" w:line="400" w:lineRule="exact"/>
        <w:ind w:firstLine="480" w:firstLineChars="200"/>
        <w:rPr>
          <w:rFonts w:ascii="方正仿宋_GBK" w:hAnsi="宋体" w:eastAsia="方正仿宋_GBK"/>
          <w:sz w:val="24"/>
        </w:rPr>
      </w:pPr>
      <w:bookmarkStart w:id="29" w:name="_Toc18548"/>
      <w:bookmarkStart w:id="30" w:name="_Toc13541"/>
      <w:bookmarkStart w:id="31" w:name="_Toc106034772"/>
      <w:bookmarkStart w:id="32" w:name="_Toc20867"/>
      <w:bookmarkStart w:id="33" w:name="_Toc64731996"/>
      <w:bookmarkStart w:id="34" w:name="_Toc65660332"/>
      <w:r>
        <w:rPr>
          <w:rFonts w:hint="eastAsia" w:ascii="方正仿宋_GBK" w:hAnsi="宋体" w:eastAsia="方正仿宋_GBK"/>
          <w:sz w:val="24"/>
        </w:rPr>
        <w:t>三、供应商资格条件</w:t>
      </w:r>
      <w:bookmarkEnd w:id="29"/>
      <w:bookmarkEnd w:id="30"/>
      <w:bookmarkEnd w:id="31"/>
      <w:bookmarkEnd w:id="32"/>
      <w:bookmarkEnd w:id="33"/>
      <w:bookmarkEnd w:id="34"/>
    </w:p>
    <w:p w14:paraId="5D36D95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（一）满足《中华人民共和国政府采购法》第二十二条规定；</w:t>
      </w:r>
    </w:p>
    <w:p w14:paraId="6A021993">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sz w:val="24"/>
          <w:szCs w:val="24"/>
        </w:rPr>
        <w:t>（二）本项目的特定资格要求</w:t>
      </w: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rPr>
        <w:t>供应商需具备持有国家测绘地理信息局（自然资源部）颁发的甲级测绘资质，且甲级业务范围至少具备互联网地图服务</w:t>
      </w:r>
      <w:r>
        <w:rPr>
          <w:rFonts w:hint="eastAsia" w:ascii="方正仿宋_GBK" w:hAnsi="宋体" w:eastAsia="方正仿宋_GBK"/>
          <w:color w:val="auto"/>
          <w:sz w:val="24"/>
          <w:szCs w:val="24"/>
          <w:lang w:eastAsia="zh-CN"/>
        </w:rPr>
        <w:t>或</w:t>
      </w:r>
      <w:r>
        <w:rPr>
          <w:rFonts w:hint="eastAsia" w:ascii="方正仿宋_GBK" w:hAnsi="宋体" w:eastAsia="方正仿宋_GBK"/>
          <w:color w:val="auto"/>
          <w:sz w:val="24"/>
          <w:szCs w:val="24"/>
        </w:rPr>
        <w:t>海图编制两者中</w:t>
      </w:r>
      <w:r>
        <w:rPr>
          <w:rFonts w:hint="eastAsia" w:ascii="方正仿宋_GBK" w:hAnsi="宋体" w:eastAsia="方正仿宋_GBK"/>
          <w:color w:val="auto"/>
          <w:sz w:val="24"/>
          <w:szCs w:val="24"/>
          <w:lang w:eastAsia="zh-CN"/>
        </w:rPr>
        <w:t>的</w:t>
      </w:r>
      <w:r>
        <w:rPr>
          <w:rFonts w:hint="eastAsia" w:ascii="方正仿宋_GBK" w:hAnsi="宋体" w:eastAsia="方正仿宋_GBK"/>
          <w:color w:val="auto"/>
          <w:sz w:val="24"/>
          <w:szCs w:val="24"/>
        </w:rPr>
        <w:t>其中一项。</w:t>
      </w:r>
    </w:p>
    <w:p w14:paraId="48D22856">
      <w:pPr>
        <w:pStyle w:val="2"/>
        <w:adjustRightInd w:val="0"/>
        <w:snapToGrid w:val="0"/>
        <w:spacing w:before="0" w:after="0" w:line="400" w:lineRule="exact"/>
        <w:ind w:firstLine="480" w:firstLineChars="200"/>
        <w:rPr>
          <w:rFonts w:ascii="方正仿宋_GBK" w:hAnsi="宋体" w:eastAsia="方正仿宋_GBK"/>
          <w:sz w:val="24"/>
        </w:rPr>
      </w:pPr>
      <w:bookmarkStart w:id="35" w:name="_Toc106034773"/>
      <w:bookmarkStart w:id="36" w:name="_Toc1386"/>
      <w:bookmarkStart w:id="37" w:name="_Toc65660333"/>
      <w:bookmarkStart w:id="38" w:name="_Toc13903"/>
      <w:bookmarkStart w:id="39" w:name="_Toc11908"/>
      <w:r>
        <w:rPr>
          <w:rFonts w:hint="eastAsia" w:ascii="方正仿宋_GBK" w:hAnsi="宋体" w:eastAsia="方正仿宋_GBK"/>
          <w:sz w:val="24"/>
        </w:rPr>
        <w:t>四、限额以下比价有关说明</w:t>
      </w:r>
      <w:bookmarkEnd w:id="27"/>
      <w:bookmarkEnd w:id="35"/>
      <w:bookmarkEnd w:id="36"/>
      <w:bookmarkEnd w:id="37"/>
      <w:bookmarkEnd w:id="38"/>
      <w:bookmarkEnd w:id="39"/>
    </w:p>
    <w:p w14:paraId="7CCB2C0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（一）凡有意参加比价的供应商，请在重庆市交通运输委员会官网上下载本项目采购文件以及澄清等报价前公布的所有项目资料，无论供应商下载与否，均视为已知晓所有实质性要求内容。</w:t>
      </w:r>
    </w:p>
    <w:p w14:paraId="6397F79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（二）采购公告期限：自采购公告发布之日起三个工作日。</w:t>
      </w:r>
    </w:p>
    <w:p w14:paraId="0B67E186">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（三）报名方式：在2024年</w:t>
      </w:r>
      <w:r>
        <w:rPr>
          <w:rFonts w:hint="eastAsia" w:ascii="方正仿宋_GBK" w:hAnsi="宋体" w:eastAsia="方正仿宋_GBK"/>
          <w:sz w:val="24"/>
          <w:szCs w:val="24"/>
          <w:lang w:val="en-US" w:eastAsia="zh-CN"/>
        </w:rPr>
        <w:t>10</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25</w:t>
      </w:r>
      <w:r>
        <w:rPr>
          <w:rFonts w:hint="eastAsia" w:ascii="方正仿宋_GBK" w:hAnsi="宋体" w:eastAsia="方正仿宋_GBK"/>
          <w:sz w:val="24"/>
          <w:szCs w:val="24"/>
        </w:rPr>
        <w:t>日</w:t>
      </w:r>
      <w:r>
        <w:rPr>
          <w:rFonts w:hint="eastAsia" w:ascii="方正仿宋_GBK" w:hAnsi="宋体" w:eastAsia="方正仿宋_GBK"/>
          <w:sz w:val="24"/>
          <w:szCs w:val="24"/>
          <w:lang w:val="en-US" w:eastAsia="zh-CN"/>
        </w:rPr>
        <w:t>16</w:t>
      </w:r>
      <w:r>
        <w:rPr>
          <w:rFonts w:hint="eastAsia" w:ascii="方正仿宋_GBK" w:hAnsi="宋体" w:eastAsia="方正仿宋_GBK"/>
          <w:sz w:val="24"/>
          <w:szCs w:val="24"/>
        </w:rPr>
        <w:t>:00时前，将《报名表》（加盖供应商公章）</w:t>
      </w:r>
      <w:r>
        <w:rPr>
          <w:rFonts w:hint="eastAsia" w:ascii="方正仿宋_GBK" w:hAnsi="宋体" w:eastAsia="方正仿宋_GBK"/>
          <w:sz w:val="24"/>
          <w:szCs w:val="24"/>
        </w:rPr>
        <w:fldChar w:fldCharType="begin"/>
      </w:r>
      <w:r>
        <w:rPr>
          <w:rFonts w:hint="eastAsia" w:ascii="方正仿宋_GBK" w:hAnsi="宋体" w:eastAsia="方正仿宋_GBK"/>
          <w:sz w:val="24"/>
          <w:szCs w:val="24"/>
        </w:rPr>
        <w:instrText xml:space="preserve">HYPERLINK "mailto:扫描后发送至ghjzbc@163.com"</w:instrText>
      </w:r>
      <w:r>
        <w:rPr>
          <w:rFonts w:hint="eastAsia" w:ascii="方正仿宋_GBK" w:hAnsi="宋体" w:eastAsia="方正仿宋_GBK"/>
          <w:sz w:val="24"/>
          <w:szCs w:val="24"/>
        </w:rPr>
        <w:fldChar w:fldCharType="separate"/>
      </w:r>
      <w:r>
        <w:rPr>
          <w:rFonts w:hint="eastAsia" w:ascii="方正仿宋_GBK" w:hAnsi="宋体" w:eastAsia="方正仿宋_GBK"/>
          <w:sz w:val="24"/>
          <w:szCs w:val="24"/>
        </w:rPr>
        <w:t>扫描后发送至</w:t>
      </w:r>
      <w:r>
        <w:rPr>
          <w:rFonts w:hint="eastAsia" w:ascii="方正仿宋_GBK" w:hAnsi="宋体" w:eastAsia="方正仿宋_GBK"/>
          <w:sz w:val="24"/>
          <w:szCs w:val="24"/>
          <w:lang w:val="en-US" w:eastAsia="zh-CN"/>
        </w:rPr>
        <w:t>450601592</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qq</w:t>
      </w:r>
      <w:r>
        <w:rPr>
          <w:rFonts w:hint="eastAsia" w:ascii="方正仿宋_GBK" w:hAnsi="宋体" w:eastAsia="方正仿宋_GBK"/>
          <w:sz w:val="24"/>
          <w:szCs w:val="24"/>
        </w:rPr>
        <w:t>.com</w:t>
      </w:r>
      <w:r>
        <w:rPr>
          <w:rFonts w:hint="eastAsia" w:ascii="方正仿宋_GBK" w:hAnsi="宋体" w:eastAsia="方正仿宋_GBK"/>
          <w:sz w:val="24"/>
          <w:szCs w:val="24"/>
        </w:rPr>
        <w:fldChar w:fldCharType="end"/>
      </w:r>
      <w:r>
        <w:rPr>
          <w:rFonts w:hint="eastAsia" w:ascii="方正仿宋_GBK" w:hAnsi="宋体" w:eastAsia="方正仿宋_GBK"/>
          <w:sz w:val="24"/>
          <w:szCs w:val="24"/>
        </w:rPr>
        <w:t>邮箱。邮箱、截止时间按邮箱显示邮件到达时间为准，未按规定提前报名的供应商的响应文件将被拒收。</w:t>
      </w:r>
    </w:p>
    <w:p w14:paraId="2C13AD1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（四）递交响应文件地点：重庆市嘉陵江航道管理处4楼会议室（地址：重庆市渝中区华一路17号）</w:t>
      </w:r>
    </w:p>
    <w:p w14:paraId="545CCC13">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五</w:t>
      </w:r>
      <w:r>
        <w:rPr>
          <w:rFonts w:hint="eastAsia" w:ascii="方正仿宋_GBK" w:hAnsi="宋体" w:eastAsia="方正仿宋_GBK"/>
          <w:sz w:val="24"/>
          <w:szCs w:val="24"/>
        </w:rPr>
        <w:t>）提交响应文件截止时间</w:t>
      </w:r>
      <w:r>
        <w:rPr>
          <w:rFonts w:hint="eastAsia" w:ascii="方正仿宋_GBK" w:hAnsi="宋体" w:eastAsia="方正仿宋_GBK"/>
          <w:color w:val="auto"/>
          <w:sz w:val="24"/>
          <w:szCs w:val="24"/>
        </w:rPr>
        <w:t>：2024年</w:t>
      </w:r>
      <w:r>
        <w:rPr>
          <w:rFonts w:hint="eastAsia" w:ascii="方正仿宋_GBK" w:hAnsi="宋体" w:eastAsia="方正仿宋_GBK"/>
          <w:color w:val="auto"/>
          <w:sz w:val="24"/>
          <w:szCs w:val="24"/>
          <w:lang w:val="en-US" w:eastAsia="zh-CN"/>
        </w:rPr>
        <w:t>10</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28</w:t>
      </w:r>
      <w:r>
        <w:rPr>
          <w:rFonts w:hint="eastAsia" w:ascii="方正仿宋_GBK" w:hAnsi="宋体" w:eastAsia="方正仿宋_GBK"/>
          <w:color w:val="auto"/>
          <w:sz w:val="24"/>
          <w:szCs w:val="24"/>
        </w:rPr>
        <w:t>日北京时间</w:t>
      </w:r>
      <w:r>
        <w:rPr>
          <w:rFonts w:hint="eastAsia" w:ascii="方正仿宋_GBK" w:hAnsi="宋体" w:eastAsia="方正仿宋_GBK"/>
          <w:color w:val="auto"/>
          <w:sz w:val="24"/>
          <w:szCs w:val="24"/>
          <w:lang w:val="en-US" w:eastAsia="zh-CN"/>
        </w:rPr>
        <w:t>14</w:t>
      </w:r>
      <w:r>
        <w:rPr>
          <w:rFonts w:hint="eastAsia" w:ascii="方正仿宋_GBK" w:hAnsi="宋体" w:eastAsia="方正仿宋_GBK"/>
          <w:color w:val="auto"/>
          <w:sz w:val="24"/>
          <w:szCs w:val="24"/>
        </w:rPr>
        <w:t>时30分至1</w:t>
      </w:r>
      <w:r>
        <w:rPr>
          <w:rFonts w:hint="eastAsia" w:ascii="方正仿宋_GBK" w:hAnsi="宋体" w:eastAsia="方正仿宋_GBK"/>
          <w:color w:val="auto"/>
          <w:sz w:val="24"/>
          <w:szCs w:val="24"/>
          <w:lang w:val="en-US" w:eastAsia="zh-CN"/>
        </w:rPr>
        <w:t>5</w:t>
      </w:r>
      <w:r>
        <w:rPr>
          <w:rFonts w:hint="eastAsia" w:ascii="方正仿宋_GBK" w:hAnsi="宋体" w:eastAsia="方正仿宋_GBK"/>
          <w:color w:val="auto"/>
          <w:sz w:val="24"/>
          <w:szCs w:val="24"/>
        </w:rPr>
        <w:t>时00分。</w:t>
      </w:r>
    </w:p>
    <w:p w14:paraId="42921C9D">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eastAsia="zh-CN"/>
        </w:rPr>
        <w:t>六</w:t>
      </w:r>
      <w:r>
        <w:rPr>
          <w:rFonts w:hint="eastAsia" w:ascii="方正仿宋_GBK" w:hAnsi="宋体" w:eastAsia="方正仿宋_GBK"/>
          <w:color w:val="auto"/>
          <w:sz w:val="24"/>
          <w:szCs w:val="24"/>
        </w:rPr>
        <w:t>）评审开始时间：2024年</w:t>
      </w:r>
      <w:r>
        <w:rPr>
          <w:rFonts w:hint="eastAsia" w:ascii="方正仿宋_GBK" w:hAnsi="宋体" w:eastAsia="方正仿宋_GBK"/>
          <w:color w:val="auto"/>
          <w:sz w:val="24"/>
          <w:szCs w:val="24"/>
          <w:lang w:val="en-US" w:eastAsia="zh-CN"/>
        </w:rPr>
        <w:t>10</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28</w:t>
      </w:r>
      <w:r>
        <w:rPr>
          <w:rFonts w:hint="eastAsia" w:ascii="方正仿宋_GBK" w:hAnsi="宋体" w:eastAsia="方正仿宋_GBK"/>
          <w:color w:val="auto"/>
          <w:sz w:val="24"/>
          <w:szCs w:val="24"/>
        </w:rPr>
        <w:t>日北京时间1</w:t>
      </w:r>
      <w:r>
        <w:rPr>
          <w:rFonts w:hint="eastAsia" w:ascii="方正仿宋_GBK" w:hAnsi="宋体" w:eastAsia="方正仿宋_GBK"/>
          <w:color w:val="auto"/>
          <w:sz w:val="24"/>
          <w:szCs w:val="24"/>
          <w:lang w:val="en-US" w:eastAsia="zh-CN"/>
        </w:rPr>
        <w:t>5</w:t>
      </w:r>
      <w:r>
        <w:rPr>
          <w:rFonts w:hint="eastAsia" w:ascii="方正仿宋_GBK" w:hAnsi="宋体" w:eastAsia="方正仿宋_GBK"/>
          <w:color w:val="auto"/>
          <w:sz w:val="24"/>
          <w:szCs w:val="24"/>
        </w:rPr>
        <w:t>时00分。</w:t>
      </w:r>
    </w:p>
    <w:bookmarkEnd w:id="28"/>
    <w:p w14:paraId="054D14C1">
      <w:pPr>
        <w:pStyle w:val="2"/>
        <w:adjustRightInd w:val="0"/>
        <w:snapToGrid w:val="0"/>
        <w:spacing w:before="0" w:after="0" w:line="400" w:lineRule="exact"/>
        <w:ind w:firstLine="480" w:firstLineChars="200"/>
        <w:rPr>
          <w:rFonts w:ascii="方正仿宋_GBK" w:hAnsi="宋体" w:eastAsia="方正仿宋_GBK"/>
          <w:sz w:val="24"/>
        </w:rPr>
      </w:pPr>
      <w:bookmarkStart w:id="40" w:name="_Toc16269"/>
      <w:bookmarkStart w:id="41" w:name="_Toc65660336"/>
      <w:bookmarkStart w:id="42" w:name="_Toc521053055"/>
      <w:bookmarkStart w:id="43" w:name="_Toc106034776"/>
      <w:bookmarkStart w:id="44" w:name="_Toc525047163"/>
      <w:bookmarkStart w:id="45" w:name="_Toc6563"/>
      <w:bookmarkStart w:id="46" w:name="_Toc4728"/>
      <w:r>
        <w:rPr>
          <w:rFonts w:hint="eastAsia" w:ascii="方正仿宋_GBK" w:hAnsi="宋体" w:eastAsia="方正仿宋_GBK"/>
          <w:sz w:val="24"/>
        </w:rPr>
        <w:t>五、其它有关规定</w:t>
      </w:r>
      <w:bookmarkEnd w:id="40"/>
      <w:bookmarkEnd w:id="41"/>
      <w:bookmarkEnd w:id="42"/>
      <w:bookmarkEnd w:id="43"/>
      <w:bookmarkEnd w:id="44"/>
      <w:bookmarkEnd w:id="45"/>
      <w:bookmarkEnd w:id="46"/>
    </w:p>
    <w:p w14:paraId="70B7C408">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，否则均为无效报价。</w:t>
      </w:r>
    </w:p>
    <w:p w14:paraId="7EF97EF1">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14:paraId="6B6FACFC">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（三）同一合同项（包）下为单一品目的货物采购中，同一品牌同一型号产品有多家供应商参加谈判，只能按照一家供应商计算。</w:t>
      </w:r>
    </w:p>
    <w:p w14:paraId="7B932CA9">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（四）同一合同项（包）下的货物，制造商参与报价的，不得再委托代理商参与报价。</w:t>
      </w:r>
    </w:p>
    <w:p w14:paraId="21E61ED1">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（五）本项目的澄清文件（如果有）一律在重庆市交通运输委员会官网上发布，请各供应商注意下载；无论供应商下载或领取与否，均视同供应商已知晓本项目澄清文件（如果有）的内容。</w:t>
      </w:r>
    </w:p>
    <w:p w14:paraId="0C1A2ECC">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14:paraId="1C812D65">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（七）限额以下比价费用：无论采购结果如何，供应商参与本项目比价的所有费用均应由供应商自行承担。</w:t>
      </w:r>
    </w:p>
    <w:p w14:paraId="7785EC40">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（八）本项目不接受联合体参与报价，否则按无效处理。</w:t>
      </w:r>
    </w:p>
    <w:p w14:paraId="26727498">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（九）本项目不接受合同分包，否则按无效处理。</w:t>
      </w:r>
    </w:p>
    <w:p w14:paraId="28FF8C24">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十）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14:paraId="512CC462">
      <w:pPr>
        <w:snapToGrid w:val="0"/>
        <w:spacing w:line="400" w:lineRule="exact"/>
        <w:ind w:firstLine="360" w:firstLineChars="150"/>
        <w:rPr>
          <w:rFonts w:ascii="方正仿宋_GBK" w:hAnsi="宋体" w:eastAsia="方正仿宋_GBK"/>
          <w:b/>
          <w:sz w:val="24"/>
          <w:szCs w:val="24"/>
        </w:rPr>
      </w:pPr>
      <w:r>
        <w:rPr>
          <w:rFonts w:hint="eastAsia" w:ascii="方正仿宋_GBK" w:hAnsi="宋体" w:eastAsia="方正仿宋_GBK"/>
          <w:b/>
          <w:sz w:val="24"/>
          <w:szCs w:val="24"/>
        </w:rPr>
        <w:t>六、联系方式</w:t>
      </w:r>
      <w:bookmarkEnd w:id="0"/>
      <w:bookmarkEnd w:id="1"/>
      <w:bookmarkEnd w:id="2"/>
      <w:bookmarkEnd w:id="3"/>
      <w:bookmarkEnd w:id="4"/>
      <w:bookmarkEnd w:id="5"/>
      <w:bookmarkEnd w:id="6"/>
    </w:p>
    <w:p w14:paraId="037B6DCE">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采购人：重庆市嘉陵江航道管理处</w:t>
      </w:r>
    </w:p>
    <w:p w14:paraId="5036CC0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w:t>
      </w:r>
      <w:r>
        <w:rPr>
          <w:rFonts w:hint="eastAsia" w:ascii="方正仿宋_GBK" w:hAnsi="宋体" w:eastAsia="方正仿宋_GBK"/>
          <w:sz w:val="24"/>
          <w:szCs w:val="24"/>
          <w:lang w:val="en-US" w:eastAsia="zh-CN"/>
        </w:rPr>
        <w:t>陈</w:t>
      </w:r>
      <w:r>
        <w:rPr>
          <w:rFonts w:hint="eastAsia" w:ascii="方正仿宋_GBK" w:hAnsi="宋体" w:eastAsia="方正仿宋_GBK"/>
          <w:sz w:val="24"/>
          <w:szCs w:val="24"/>
        </w:rPr>
        <w:t>老师</w:t>
      </w:r>
    </w:p>
    <w:p w14:paraId="23E944A4">
      <w:p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电  话：023-</w:t>
      </w:r>
      <w:r>
        <w:rPr>
          <w:rFonts w:hint="eastAsia" w:ascii="方正仿宋_GBK" w:hAnsi="宋体" w:eastAsia="方正仿宋_GBK"/>
          <w:sz w:val="24"/>
          <w:szCs w:val="24"/>
          <w:lang w:val="en-US" w:eastAsia="zh-CN"/>
        </w:rPr>
        <w:t>63322505</w:t>
      </w:r>
    </w:p>
    <w:p w14:paraId="667E5FF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传  真：023-</w:t>
      </w:r>
      <w:r>
        <w:rPr>
          <w:rFonts w:ascii="方正仿宋_GBK" w:hAnsi="宋体" w:eastAsia="方正仿宋_GBK"/>
          <w:sz w:val="24"/>
          <w:szCs w:val="24"/>
        </w:rPr>
        <w:t>63504672</w:t>
      </w:r>
    </w:p>
    <w:p w14:paraId="15853C4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址：重庆市渝中区华一路17号</w:t>
      </w:r>
    </w:p>
    <w:p w14:paraId="269A6CAC">
      <w:pPr>
        <w:snapToGrid w:val="0"/>
        <w:spacing w:line="380" w:lineRule="exact"/>
        <w:ind w:firstLine="480" w:firstLineChars="200"/>
        <w:rPr>
          <w:rFonts w:ascii="方正仿宋_GBK" w:hAnsi="宋体" w:eastAsia="方正仿宋_GBK"/>
          <w:sz w:val="24"/>
          <w:szCs w:val="24"/>
        </w:rPr>
        <w:sectPr>
          <w:headerReference r:id="rId9" w:type="default"/>
          <w:footerReference r:id="rId10" w:type="default"/>
          <w:pgSz w:w="11907" w:h="16840"/>
          <w:pgMar w:top="1134" w:right="1418" w:bottom="1134" w:left="1418" w:header="964" w:footer="992" w:gutter="0"/>
          <w:pgNumType w:fmt="numberInDash"/>
          <w:cols w:space="720" w:num="1"/>
          <w:docGrid w:linePitch="312" w:charSpace="0"/>
        </w:sectPr>
      </w:pPr>
    </w:p>
    <w:p w14:paraId="117292A3">
      <w:pPr>
        <w:pStyle w:val="2"/>
        <w:spacing w:before="0" w:after="0" w:line="360" w:lineRule="auto"/>
        <w:jc w:val="center"/>
        <w:rPr>
          <w:rFonts w:ascii="方正小标宋_GBK" w:eastAsia="方正小标宋_GBK"/>
          <w:b w:val="0"/>
          <w:sz w:val="36"/>
          <w:szCs w:val="30"/>
        </w:rPr>
      </w:pPr>
      <w:bookmarkStart w:id="47" w:name="_Toc11327"/>
      <w:bookmarkStart w:id="48" w:name="_Toc1292"/>
      <w:bookmarkStart w:id="49" w:name="_Toc106034778"/>
      <w:bookmarkStart w:id="50" w:name="_Toc65660338"/>
      <w:bookmarkStart w:id="51" w:name="_Toc14516"/>
      <w:bookmarkStart w:id="52" w:name="_Toc102227313"/>
      <w:r>
        <w:rPr>
          <w:rFonts w:hint="eastAsia" w:ascii="方正小标宋_GBK" w:eastAsia="方正小标宋_GBK"/>
          <w:b w:val="0"/>
          <w:sz w:val="36"/>
          <w:szCs w:val="30"/>
        </w:rPr>
        <w:t>第二篇  项目技术（质量）需求</w:t>
      </w:r>
      <w:bookmarkEnd w:id="47"/>
      <w:bookmarkEnd w:id="48"/>
      <w:bookmarkEnd w:id="49"/>
      <w:bookmarkEnd w:id="50"/>
      <w:bookmarkEnd w:id="51"/>
    </w:p>
    <w:p w14:paraId="5ACACB85">
      <w:pPr>
        <w:jc w:val="center"/>
        <w:rPr>
          <w:b/>
        </w:rPr>
      </w:pPr>
    </w:p>
    <w:p w14:paraId="41F737F4">
      <w:pPr>
        <w:pStyle w:val="2"/>
        <w:adjustRightInd w:val="0"/>
        <w:snapToGrid w:val="0"/>
        <w:spacing w:before="0" w:after="0" w:line="400" w:lineRule="exact"/>
        <w:ind w:firstLine="480" w:firstLineChars="200"/>
        <w:rPr>
          <w:rFonts w:ascii="方正仿宋_GBK" w:hAnsi="宋体" w:eastAsia="方正仿宋_GBK"/>
          <w:sz w:val="24"/>
        </w:rPr>
      </w:pPr>
      <w:bookmarkStart w:id="53" w:name="_Toc106030879"/>
      <w:r>
        <w:rPr>
          <w:rFonts w:hint="eastAsia" w:ascii="方正仿宋_GBK" w:hAnsi="宋体" w:eastAsia="方正仿宋_GBK"/>
          <w:sz w:val="24"/>
        </w:rPr>
        <w:t>一、项目基本概况介绍</w:t>
      </w:r>
      <w:bookmarkEnd w:id="53"/>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6"/>
        <w:gridCol w:w="1694"/>
        <w:gridCol w:w="4558"/>
      </w:tblGrid>
      <w:tr w14:paraId="22747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376" w:type="dxa"/>
            <w:vAlign w:val="center"/>
          </w:tcPr>
          <w:p w14:paraId="67352BA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_GBK" w:hAnsi="宋体" w:eastAsia="方正仿宋_GBK"/>
                <w:sz w:val="24"/>
                <w:szCs w:val="24"/>
              </w:rPr>
            </w:pPr>
            <w:r>
              <w:rPr>
                <w:rFonts w:hint="eastAsia" w:ascii="方正仿宋_GBK" w:hAnsi="宋体" w:eastAsia="方正仿宋_GBK"/>
                <w:sz w:val="24"/>
                <w:szCs w:val="24"/>
              </w:rPr>
              <w:t>包号及名称</w:t>
            </w:r>
          </w:p>
        </w:tc>
        <w:tc>
          <w:tcPr>
            <w:tcW w:w="1694" w:type="dxa"/>
            <w:vAlign w:val="center"/>
          </w:tcPr>
          <w:p w14:paraId="38C3B92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_GBK" w:hAnsi="宋体" w:eastAsia="方正仿宋_GBK"/>
                <w:sz w:val="24"/>
                <w:szCs w:val="24"/>
              </w:rPr>
            </w:pPr>
            <w:r>
              <w:rPr>
                <w:rFonts w:hint="eastAsia" w:ascii="方正仿宋_GBK" w:hAnsi="宋体" w:eastAsia="方正仿宋_GBK"/>
                <w:sz w:val="24"/>
                <w:szCs w:val="24"/>
              </w:rPr>
              <w:t>数量/单位</w:t>
            </w:r>
          </w:p>
        </w:tc>
        <w:tc>
          <w:tcPr>
            <w:tcW w:w="4558" w:type="dxa"/>
            <w:vAlign w:val="center"/>
          </w:tcPr>
          <w:p w14:paraId="79C0800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方正仿宋_GBK" w:hAnsi="宋体" w:eastAsia="方正仿宋_GBK"/>
                <w:sz w:val="24"/>
                <w:szCs w:val="24"/>
              </w:rPr>
            </w:pPr>
            <w:r>
              <w:rPr>
                <w:rFonts w:hint="eastAsia" w:ascii="方正仿宋_GBK" w:hAnsi="宋体" w:eastAsia="方正仿宋_GBK"/>
                <w:sz w:val="24"/>
                <w:szCs w:val="24"/>
              </w:rPr>
              <w:t>备注</w:t>
            </w:r>
          </w:p>
        </w:tc>
      </w:tr>
      <w:tr w14:paraId="27612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6" w:type="dxa"/>
            <w:vAlign w:val="center"/>
          </w:tcPr>
          <w:p w14:paraId="62A93294">
            <w:pPr>
              <w:snapToGrid w:val="0"/>
              <w:spacing w:line="400" w:lineRule="exact"/>
              <w:ind w:firstLine="480" w:firstLineChars="200"/>
              <w:jc w:val="center"/>
              <w:rPr>
                <w:rFonts w:hint="eastAsia" w:ascii="方正仿宋_GBK" w:hAnsi="宋体" w:eastAsia="方正仿宋_GBK"/>
                <w:sz w:val="24"/>
                <w:szCs w:val="24"/>
                <w:lang w:eastAsia="zh-CN"/>
              </w:rPr>
            </w:pPr>
            <w:r>
              <w:rPr>
                <w:rFonts w:hint="eastAsia" w:ascii="方正仿宋_GBK" w:hAnsi="宋体" w:eastAsia="方正仿宋_GBK"/>
                <w:sz w:val="24"/>
                <w:szCs w:val="24"/>
                <w:lang w:eastAsia="zh-CN"/>
              </w:rPr>
              <w:t>嘉陵江电子航道图编制</w:t>
            </w:r>
          </w:p>
        </w:tc>
        <w:tc>
          <w:tcPr>
            <w:tcW w:w="1694" w:type="dxa"/>
            <w:vAlign w:val="center"/>
          </w:tcPr>
          <w:p w14:paraId="0655E47F">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1项</w:t>
            </w:r>
          </w:p>
        </w:tc>
        <w:tc>
          <w:tcPr>
            <w:tcW w:w="4558" w:type="dxa"/>
            <w:vAlign w:val="center"/>
          </w:tcPr>
          <w:p w14:paraId="72CEC10D">
            <w:pPr>
              <w:spacing w:line="400" w:lineRule="exact"/>
              <w:jc w:val="left"/>
              <w:rPr>
                <w:rFonts w:ascii="方正仿宋_GBK" w:hAnsi="宋体" w:eastAsia="方正仿宋_GBK"/>
                <w:sz w:val="24"/>
                <w:szCs w:val="24"/>
              </w:rPr>
            </w:pPr>
            <w:r>
              <w:rPr>
                <w:rFonts w:hint="eastAsia" w:ascii="方正仿宋_GBK" w:hAnsi="宋体" w:eastAsia="方正仿宋_GBK"/>
                <w:sz w:val="24"/>
                <w:szCs w:val="24"/>
                <w:lang w:val="en-US" w:eastAsia="zh-CN"/>
              </w:rPr>
              <w:t>根据交通运输部《关于上海市等地开展国家综合交通运输信息平台部省联动试点工作的通知》（交办科技函[2024]379号）文件要求，拟实施嘉陵江豆腐石至嘉悦大桥段40公里嘉陵江电子航道图编制，并具备内河电子航道图发布条件。</w:t>
            </w:r>
          </w:p>
        </w:tc>
      </w:tr>
    </w:tbl>
    <w:p w14:paraId="451A8A03">
      <w:pPr>
        <w:pStyle w:val="2"/>
        <w:adjustRightInd w:val="0"/>
        <w:snapToGrid w:val="0"/>
        <w:spacing w:before="0" w:after="0" w:line="400" w:lineRule="exact"/>
        <w:ind w:firstLine="480" w:firstLineChars="200"/>
        <w:rPr>
          <w:rFonts w:ascii="方正仿宋_GBK" w:hAnsi="宋体" w:eastAsia="方正仿宋_GBK"/>
          <w:sz w:val="24"/>
        </w:rPr>
      </w:pPr>
      <w:bookmarkStart w:id="54" w:name="_Toc106030880"/>
      <w:r>
        <w:rPr>
          <w:rFonts w:hint="eastAsia" w:ascii="方正仿宋_GBK" w:hAnsi="宋体" w:eastAsia="方正仿宋_GBK"/>
          <w:sz w:val="24"/>
        </w:rPr>
        <w:t>二、服务内容、要求及标准</w:t>
      </w:r>
      <w:bookmarkEnd w:id="54"/>
    </w:p>
    <w:p w14:paraId="0D114BDA">
      <w:pPr>
        <w:spacing w:line="600" w:lineRule="exact"/>
        <w:ind w:firstLine="480" w:firstLineChars="200"/>
        <w:outlineLvl w:val="1"/>
        <w:rPr>
          <w:rFonts w:hint="default" w:ascii="方正仿宋_GBK" w:hAnsi="宋体" w:eastAsia="方正仿宋_GBK" w:cs="Times New Roman"/>
          <w:b/>
          <w:kern w:val="2"/>
          <w:sz w:val="24"/>
          <w:lang w:val="en-US" w:eastAsia="zh-CN" w:bidi="ar-SA"/>
        </w:rPr>
      </w:pPr>
      <w:bookmarkStart w:id="55" w:name="_Toc344475116"/>
      <w:bookmarkStart w:id="56" w:name="_Toc313536013"/>
      <w:bookmarkStart w:id="57" w:name="_Toc106030881"/>
      <w:bookmarkStart w:id="58" w:name="_Toc76462326"/>
      <w:r>
        <w:rPr>
          <w:rFonts w:hint="eastAsia" w:ascii="方正仿宋_GBK" w:hAnsi="宋体" w:eastAsia="方正仿宋_GBK" w:cs="Times New Roman"/>
          <w:b/>
          <w:kern w:val="2"/>
          <w:sz w:val="24"/>
          <w:lang w:val="en-US" w:eastAsia="zh-CN" w:bidi="ar-SA"/>
        </w:rPr>
        <w:t>（一）服务内容</w:t>
      </w:r>
    </w:p>
    <w:p w14:paraId="71CFD77C">
      <w:pPr>
        <w:spacing w:line="360" w:lineRule="auto"/>
        <w:ind w:firstLine="480" w:firstLineChars="200"/>
        <w:jc w:val="left"/>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完成嘉陵江豆腐石至嘉悦大桥段40公里嘉陵江电子航道图编制，涉及1:5000图幅13幅，并具备内河电子航道图发布条件。详细服务内容如下表</w:t>
      </w:r>
    </w:p>
    <w:tbl>
      <w:tblPr>
        <w:tblStyle w:val="15"/>
        <w:tblW w:w="4764" w:type="pct"/>
        <w:jc w:val="center"/>
        <w:tblLayout w:type="autofit"/>
        <w:tblCellMar>
          <w:top w:w="0" w:type="dxa"/>
          <w:left w:w="108" w:type="dxa"/>
          <w:bottom w:w="0" w:type="dxa"/>
          <w:right w:w="108" w:type="dxa"/>
        </w:tblCellMar>
      </w:tblPr>
      <w:tblGrid>
        <w:gridCol w:w="649"/>
        <w:gridCol w:w="2034"/>
        <w:gridCol w:w="6491"/>
      </w:tblGrid>
      <w:tr w14:paraId="041C4BF4">
        <w:tblPrEx>
          <w:tblCellMar>
            <w:top w:w="0" w:type="dxa"/>
            <w:left w:w="108" w:type="dxa"/>
            <w:bottom w:w="0" w:type="dxa"/>
            <w:right w:w="108" w:type="dxa"/>
          </w:tblCellMar>
        </w:tblPrEx>
        <w:trPr>
          <w:trHeight w:val="312" w:hRule="atLeast"/>
          <w:jc w:val="center"/>
        </w:trPr>
        <w:tc>
          <w:tcPr>
            <w:tcW w:w="354" w:type="pct"/>
            <w:vMerge w:val="restart"/>
            <w:tcBorders>
              <w:top w:val="single" w:color="000000" w:sz="4" w:space="0"/>
              <w:left w:val="single" w:color="000000" w:sz="4" w:space="0"/>
              <w:bottom w:val="single" w:color="000000" w:sz="4" w:space="0"/>
              <w:right w:val="single" w:color="000000" w:sz="4" w:space="0"/>
            </w:tcBorders>
            <w:noWrap w:val="0"/>
            <w:vAlign w:val="center"/>
          </w:tcPr>
          <w:p w14:paraId="69B7EBA8">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rPr>
              <w:t>序号</w:t>
            </w:r>
          </w:p>
        </w:tc>
        <w:tc>
          <w:tcPr>
            <w:tcW w:w="1108" w:type="pct"/>
            <w:vMerge w:val="restart"/>
            <w:tcBorders>
              <w:top w:val="single" w:color="000000" w:sz="4" w:space="0"/>
              <w:left w:val="single" w:color="000000" w:sz="4" w:space="0"/>
              <w:bottom w:val="single" w:color="000000" w:sz="4" w:space="0"/>
              <w:right w:val="single" w:color="000000" w:sz="4" w:space="0"/>
            </w:tcBorders>
            <w:noWrap w:val="0"/>
            <w:vAlign w:val="center"/>
          </w:tcPr>
          <w:p w14:paraId="778ACC77">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rPr>
              <w:t>名称</w:t>
            </w:r>
          </w:p>
        </w:tc>
        <w:tc>
          <w:tcPr>
            <w:tcW w:w="3536" w:type="pct"/>
            <w:vMerge w:val="restart"/>
            <w:tcBorders>
              <w:top w:val="single" w:color="000000" w:sz="4" w:space="0"/>
              <w:left w:val="single" w:color="000000" w:sz="4" w:space="0"/>
              <w:bottom w:val="single" w:color="000000" w:sz="4" w:space="0"/>
              <w:right w:val="single" w:color="000000" w:sz="4" w:space="0"/>
            </w:tcBorders>
            <w:noWrap w:val="0"/>
            <w:vAlign w:val="center"/>
          </w:tcPr>
          <w:p w14:paraId="4C20E885">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val="en-US" w:eastAsia="zh-CN"/>
              </w:rPr>
              <w:t>工作</w:t>
            </w:r>
            <w:r>
              <w:rPr>
                <w:rFonts w:hint="eastAsia" w:ascii="仿宋" w:hAnsi="仿宋" w:eastAsia="仿宋" w:cs="仿宋"/>
                <w:b/>
                <w:bCs/>
                <w:color w:val="000000"/>
                <w:kern w:val="0"/>
                <w:sz w:val="20"/>
                <w:szCs w:val="20"/>
              </w:rPr>
              <w:t>描述</w:t>
            </w:r>
          </w:p>
        </w:tc>
      </w:tr>
      <w:tr w14:paraId="0BA09768">
        <w:tblPrEx>
          <w:tblCellMar>
            <w:top w:w="0" w:type="dxa"/>
            <w:left w:w="108" w:type="dxa"/>
            <w:bottom w:w="0" w:type="dxa"/>
            <w:right w:w="108" w:type="dxa"/>
          </w:tblCellMar>
        </w:tblPrEx>
        <w:trPr>
          <w:trHeight w:val="312" w:hRule="atLeast"/>
          <w:jc w:val="center"/>
        </w:trPr>
        <w:tc>
          <w:tcPr>
            <w:tcW w:w="35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4D315D">
            <w:pPr>
              <w:jc w:val="center"/>
              <w:rPr>
                <w:rFonts w:hint="eastAsia" w:ascii="仿宋" w:hAnsi="仿宋" w:eastAsia="仿宋" w:cs="仿宋"/>
                <w:b/>
                <w:bCs/>
                <w:color w:val="000000"/>
                <w:sz w:val="20"/>
                <w:szCs w:val="20"/>
              </w:rPr>
            </w:pPr>
          </w:p>
        </w:tc>
        <w:tc>
          <w:tcPr>
            <w:tcW w:w="110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845298">
            <w:pPr>
              <w:jc w:val="center"/>
              <w:rPr>
                <w:rFonts w:hint="eastAsia" w:ascii="仿宋" w:hAnsi="仿宋" w:eastAsia="仿宋" w:cs="仿宋"/>
                <w:b/>
                <w:bCs/>
                <w:color w:val="000000"/>
                <w:sz w:val="20"/>
                <w:szCs w:val="20"/>
              </w:rPr>
            </w:pPr>
          </w:p>
        </w:tc>
        <w:tc>
          <w:tcPr>
            <w:tcW w:w="353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80A289">
            <w:pPr>
              <w:jc w:val="center"/>
              <w:rPr>
                <w:rFonts w:hint="eastAsia" w:ascii="仿宋" w:hAnsi="仿宋" w:eastAsia="仿宋" w:cs="仿宋"/>
                <w:b/>
                <w:bCs/>
                <w:color w:val="000000"/>
                <w:sz w:val="20"/>
                <w:szCs w:val="20"/>
              </w:rPr>
            </w:pPr>
          </w:p>
        </w:tc>
      </w:tr>
      <w:tr w14:paraId="097A89B7">
        <w:tblPrEx>
          <w:tblCellMar>
            <w:top w:w="0" w:type="dxa"/>
            <w:left w:w="108" w:type="dxa"/>
            <w:bottom w:w="0" w:type="dxa"/>
            <w:right w:w="108" w:type="dxa"/>
          </w:tblCellMar>
        </w:tblPrEx>
        <w:trPr>
          <w:trHeight w:val="270" w:hRule="atLeast"/>
          <w:jc w:val="center"/>
        </w:trPr>
        <w:tc>
          <w:tcPr>
            <w:tcW w:w="354" w:type="pct"/>
            <w:tcBorders>
              <w:top w:val="single" w:color="000000" w:sz="4" w:space="0"/>
              <w:left w:val="single" w:color="000000" w:sz="4" w:space="0"/>
              <w:bottom w:val="single" w:color="000000" w:sz="4" w:space="0"/>
              <w:right w:val="single" w:color="000000" w:sz="4" w:space="0"/>
            </w:tcBorders>
            <w:noWrap w:val="0"/>
            <w:vAlign w:val="center"/>
          </w:tcPr>
          <w:p w14:paraId="4F61B212">
            <w:pPr>
              <w:widowControl/>
              <w:jc w:val="center"/>
              <w:textAlignment w:val="center"/>
              <w:rPr>
                <w:rFonts w:hint="eastAsia" w:ascii="仿宋" w:hAnsi="仿宋" w:eastAsia="仿宋" w:cs="仿宋"/>
                <w:b w:val="0"/>
                <w:bCs w:val="0"/>
                <w:color w:val="000000"/>
                <w:kern w:val="0"/>
                <w:sz w:val="20"/>
                <w:szCs w:val="20"/>
                <w:lang w:val="en-US" w:eastAsia="zh-CN"/>
              </w:rPr>
            </w:pPr>
            <w:r>
              <w:rPr>
                <w:rFonts w:hint="eastAsia" w:ascii="仿宋" w:hAnsi="仿宋" w:eastAsia="仿宋" w:cs="仿宋"/>
                <w:b w:val="0"/>
                <w:bCs w:val="0"/>
                <w:color w:val="000000"/>
                <w:kern w:val="0"/>
                <w:sz w:val="20"/>
                <w:szCs w:val="20"/>
                <w:lang w:val="en-US" w:eastAsia="zh-CN"/>
              </w:rPr>
              <w:t>1</w:t>
            </w:r>
          </w:p>
        </w:tc>
        <w:tc>
          <w:tcPr>
            <w:tcW w:w="1108" w:type="pct"/>
            <w:tcBorders>
              <w:top w:val="single" w:color="000000" w:sz="4" w:space="0"/>
              <w:left w:val="single" w:color="000000" w:sz="4" w:space="0"/>
              <w:bottom w:val="single" w:color="000000" w:sz="4" w:space="0"/>
              <w:right w:val="single" w:color="000000" w:sz="4" w:space="0"/>
            </w:tcBorders>
            <w:noWrap w:val="0"/>
            <w:vAlign w:val="center"/>
          </w:tcPr>
          <w:p w14:paraId="7D3936FF">
            <w:pPr>
              <w:widowControl/>
              <w:jc w:val="center"/>
              <w:textAlignment w:val="center"/>
              <w:rPr>
                <w:rFonts w:hint="eastAsia" w:ascii="仿宋" w:hAnsi="仿宋" w:eastAsia="仿宋" w:cs="仿宋"/>
                <w:b/>
                <w:bCs/>
                <w:color w:val="000000"/>
                <w:kern w:val="0"/>
                <w:sz w:val="20"/>
                <w:szCs w:val="20"/>
                <w:lang w:val="en-US" w:eastAsia="zh-CN"/>
              </w:rPr>
            </w:pPr>
            <w:r>
              <w:rPr>
                <w:rFonts w:hint="eastAsia" w:ascii="仿宋" w:hAnsi="仿宋" w:eastAsia="仿宋" w:cs="仿宋"/>
                <w:b/>
                <w:bCs/>
                <w:color w:val="000000"/>
                <w:kern w:val="0"/>
                <w:sz w:val="20"/>
                <w:szCs w:val="20"/>
                <w:lang w:val="en-US" w:eastAsia="zh-CN"/>
              </w:rPr>
              <w:t>工作方案编制</w:t>
            </w:r>
          </w:p>
        </w:tc>
        <w:tc>
          <w:tcPr>
            <w:tcW w:w="3536" w:type="pct"/>
            <w:tcBorders>
              <w:top w:val="single" w:color="000000" w:sz="4" w:space="0"/>
              <w:left w:val="single" w:color="000000" w:sz="4" w:space="0"/>
              <w:bottom w:val="single" w:color="000000" w:sz="4" w:space="0"/>
              <w:right w:val="single" w:color="000000" w:sz="4" w:space="0"/>
            </w:tcBorders>
            <w:noWrap w:val="0"/>
            <w:vAlign w:val="center"/>
          </w:tcPr>
          <w:p w14:paraId="469BCF66">
            <w:pPr>
              <w:jc w:val="center"/>
              <w:rPr>
                <w:rFonts w:hint="eastAsia" w:ascii="仿宋" w:hAnsi="仿宋" w:eastAsia="仿宋" w:cs="仿宋"/>
                <w:b/>
                <w:bCs/>
                <w:color w:val="000000"/>
                <w:sz w:val="20"/>
                <w:szCs w:val="20"/>
              </w:rPr>
            </w:pPr>
          </w:p>
        </w:tc>
      </w:tr>
      <w:tr w14:paraId="00B72DC6">
        <w:tblPrEx>
          <w:tblCellMar>
            <w:top w:w="0" w:type="dxa"/>
            <w:left w:w="108" w:type="dxa"/>
            <w:bottom w:w="0" w:type="dxa"/>
            <w:right w:w="108" w:type="dxa"/>
          </w:tblCellMar>
        </w:tblPrEx>
        <w:trPr>
          <w:trHeight w:val="270" w:hRule="atLeast"/>
          <w:jc w:val="center"/>
        </w:trPr>
        <w:tc>
          <w:tcPr>
            <w:tcW w:w="354" w:type="pct"/>
            <w:tcBorders>
              <w:top w:val="single" w:color="000000" w:sz="4" w:space="0"/>
              <w:left w:val="single" w:color="000000" w:sz="4" w:space="0"/>
              <w:bottom w:val="single" w:color="000000" w:sz="4" w:space="0"/>
              <w:right w:val="single" w:color="000000" w:sz="4" w:space="0"/>
            </w:tcBorders>
            <w:noWrap w:val="0"/>
            <w:vAlign w:val="center"/>
          </w:tcPr>
          <w:p w14:paraId="49A5C94B">
            <w:pPr>
              <w:widowControl/>
              <w:jc w:val="center"/>
              <w:textAlignment w:val="center"/>
              <w:rPr>
                <w:rFonts w:hint="eastAsia" w:ascii="仿宋" w:hAnsi="仿宋" w:eastAsia="仿宋" w:cs="仿宋"/>
                <w:b w:val="0"/>
                <w:bCs w:val="0"/>
                <w:color w:val="000000"/>
                <w:kern w:val="0"/>
                <w:sz w:val="20"/>
                <w:szCs w:val="20"/>
                <w:lang w:val="en-US" w:eastAsia="zh-CN"/>
              </w:rPr>
            </w:pPr>
            <w:r>
              <w:rPr>
                <w:rFonts w:hint="eastAsia" w:ascii="仿宋" w:hAnsi="仿宋" w:eastAsia="仿宋" w:cs="仿宋"/>
                <w:b w:val="0"/>
                <w:bCs w:val="0"/>
                <w:color w:val="000000"/>
                <w:kern w:val="0"/>
                <w:sz w:val="20"/>
                <w:szCs w:val="20"/>
                <w:lang w:val="en-US" w:eastAsia="zh-CN"/>
              </w:rPr>
              <w:t>1.1</w:t>
            </w:r>
          </w:p>
        </w:tc>
        <w:tc>
          <w:tcPr>
            <w:tcW w:w="1108" w:type="pct"/>
            <w:tcBorders>
              <w:top w:val="single" w:color="000000" w:sz="4" w:space="0"/>
              <w:left w:val="single" w:color="000000" w:sz="4" w:space="0"/>
              <w:bottom w:val="single" w:color="000000" w:sz="4" w:space="0"/>
              <w:right w:val="single" w:color="000000" w:sz="4" w:space="0"/>
            </w:tcBorders>
            <w:noWrap w:val="0"/>
            <w:vAlign w:val="center"/>
          </w:tcPr>
          <w:p w14:paraId="2A38B5CF">
            <w:pPr>
              <w:widowControl/>
              <w:jc w:val="center"/>
              <w:textAlignment w:val="center"/>
              <w:rPr>
                <w:rFonts w:hint="eastAsia" w:ascii="仿宋" w:hAnsi="仿宋" w:eastAsia="仿宋" w:cs="仿宋"/>
                <w:b/>
                <w:bCs/>
                <w:color w:val="000000"/>
                <w:kern w:val="0"/>
                <w:sz w:val="20"/>
                <w:szCs w:val="20"/>
              </w:rPr>
            </w:pPr>
            <w:r>
              <w:rPr>
                <w:rFonts w:hint="eastAsia" w:ascii="仿宋" w:hAnsi="仿宋" w:eastAsia="仿宋" w:cs="仿宋"/>
                <w:color w:val="000000"/>
                <w:kern w:val="0"/>
                <w:sz w:val="20"/>
                <w:szCs w:val="20"/>
                <w:lang w:val="en-US" w:eastAsia="zh-CN"/>
              </w:rPr>
              <w:t>编制工作方案</w:t>
            </w:r>
          </w:p>
        </w:tc>
        <w:tc>
          <w:tcPr>
            <w:tcW w:w="3536" w:type="pct"/>
            <w:tcBorders>
              <w:top w:val="single" w:color="000000" w:sz="4" w:space="0"/>
              <w:left w:val="single" w:color="000000" w:sz="4" w:space="0"/>
              <w:bottom w:val="single" w:color="000000" w:sz="4" w:space="0"/>
              <w:right w:val="single" w:color="000000" w:sz="4" w:space="0"/>
            </w:tcBorders>
            <w:noWrap w:val="0"/>
            <w:vAlign w:val="center"/>
          </w:tcPr>
          <w:p w14:paraId="6C49C1DF">
            <w:pPr>
              <w:jc w:val="left"/>
              <w:rPr>
                <w:rFonts w:hint="eastAsia" w:ascii="仿宋" w:hAnsi="仿宋" w:eastAsia="仿宋" w:cs="仿宋"/>
                <w:b/>
                <w:bCs/>
                <w:color w:val="000000"/>
                <w:sz w:val="20"/>
                <w:szCs w:val="20"/>
                <w:lang w:val="en-US" w:eastAsia="zh-CN"/>
              </w:rPr>
            </w:pPr>
            <w:r>
              <w:rPr>
                <w:rFonts w:hint="eastAsia" w:ascii="仿宋" w:hAnsi="仿宋" w:eastAsia="仿宋" w:cs="仿宋"/>
                <w:color w:val="000000"/>
                <w:kern w:val="0"/>
                <w:sz w:val="20"/>
                <w:szCs w:val="20"/>
                <w:lang w:val="en-US" w:eastAsia="zh-CN"/>
              </w:rPr>
              <w:t>对项目实际工作内容及实施进度进行方案编制，并通过方案审查，完成方案报告工作。</w:t>
            </w:r>
          </w:p>
        </w:tc>
      </w:tr>
      <w:tr w14:paraId="4D409D81">
        <w:tblPrEx>
          <w:tblCellMar>
            <w:top w:w="0" w:type="dxa"/>
            <w:left w:w="108" w:type="dxa"/>
            <w:bottom w:w="0" w:type="dxa"/>
            <w:right w:w="108" w:type="dxa"/>
          </w:tblCellMar>
        </w:tblPrEx>
        <w:trPr>
          <w:trHeight w:val="270" w:hRule="atLeast"/>
          <w:jc w:val="center"/>
        </w:trPr>
        <w:tc>
          <w:tcPr>
            <w:tcW w:w="354" w:type="pct"/>
            <w:tcBorders>
              <w:top w:val="single" w:color="000000" w:sz="4" w:space="0"/>
              <w:left w:val="single" w:color="000000" w:sz="4" w:space="0"/>
              <w:bottom w:val="single" w:color="000000" w:sz="4" w:space="0"/>
              <w:right w:val="single" w:color="000000" w:sz="4" w:space="0"/>
            </w:tcBorders>
            <w:noWrap w:val="0"/>
            <w:vAlign w:val="center"/>
          </w:tcPr>
          <w:p w14:paraId="7599367E">
            <w:pPr>
              <w:widowControl/>
              <w:jc w:val="center"/>
              <w:textAlignment w:val="center"/>
              <w:rPr>
                <w:rFonts w:hint="eastAsia" w:ascii="仿宋" w:hAnsi="仿宋" w:eastAsia="仿宋" w:cs="仿宋"/>
                <w:b w:val="0"/>
                <w:bCs w:val="0"/>
                <w:color w:val="000000"/>
                <w:sz w:val="20"/>
                <w:szCs w:val="20"/>
                <w:lang w:eastAsia="zh-CN"/>
              </w:rPr>
            </w:pPr>
            <w:r>
              <w:rPr>
                <w:rFonts w:hint="eastAsia" w:ascii="仿宋" w:hAnsi="仿宋" w:eastAsia="仿宋" w:cs="仿宋"/>
                <w:b w:val="0"/>
                <w:bCs w:val="0"/>
                <w:color w:val="000000"/>
                <w:kern w:val="0"/>
                <w:sz w:val="20"/>
                <w:szCs w:val="20"/>
                <w:lang w:val="en-US" w:eastAsia="zh-CN"/>
              </w:rPr>
              <w:t>2</w:t>
            </w:r>
          </w:p>
        </w:tc>
        <w:tc>
          <w:tcPr>
            <w:tcW w:w="1108" w:type="pct"/>
            <w:tcBorders>
              <w:top w:val="single" w:color="000000" w:sz="4" w:space="0"/>
              <w:left w:val="single" w:color="000000" w:sz="4" w:space="0"/>
              <w:bottom w:val="single" w:color="000000" w:sz="4" w:space="0"/>
              <w:right w:val="single" w:color="000000" w:sz="4" w:space="0"/>
            </w:tcBorders>
            <w:noWrap w:val="0"/>
            <w:vAlign w:val="center"/>
          </w:tcPr>
          <w:p w14:paraId="622F8CF0">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rPr>
              <w:t>数据补测</w:t>
            </w:r>
          </w:p>
        </w:tc>
        <w:tc>
          <w:tcPr>
            <w:tcW w:w="3536" w:type="pct"/>
            <w:tcBorders>
              <w:top w:val="single" w:color="000000" w:sz="4" w:space="0"/>
              <w:left w:val="single" w:color="000000" w:sz="4" w:space="0"/>
              <w:bottom w:val="single" w:color="000000" w:sz="4" w:space="0"/>
              <w:right w:val="single" w:color="000000" w:sz="4" w:space="0"/>
            </w:tcBorders>
            <w:noWrap w:val="0"/>
            <w:vAlign w:val="center"/>
          </w:tcPr>
          <w:p w14:paraId="4A85880F">
            <w:pPr>
              <w:jc w:val="center"/>
              <w:rPr>
                <w:rFonts w:hint="eastAsia" w:ascii="仿宋" w:hAnsi="仿宋" w:eastAsia="仿宋" w:cs="仿宋"/>
                <w:b/>
                <w:bCs/>
                <w:color w:val="000000"/>
                <w:sz w:val="20"/>
                <w:szCs w:val="20"/>
              </w:rPr>
            </w:pPr>
          </w:p>
        </w:tc>
      </w:tr>
      <w:tr w14:paraId="554DF3D9">
        <w:tblPrEx>
          <w:tblCellMar>
            <w:top w:w="0" w:type="dxa"/>
            <w:left w:w="108" w:type="dxa"/>
            <w:bottom w:w="0" w:type="dxa"/>
            <w:right w:w="108" w:type="dxa"/>
          </w:tblCellMar>
        </w:tblPrEx>
        <w:trPr>
          <w:trHeight w:val="90" w:hRule="atLeast"/>
          <w:jc w:val="center"/>
        </w:trPr>
        <w:tc>
          <w:tcPr>
            <w:tcW w:w="354" w:type="pct"/>
            <w:tcBorders>
              <w:top w:val="single" w:color="000000" w:sz="4" w:space="0"/>
              <w:left w:val="single" w:color="000000" w:sz="4" w:space="0"/>
              <w:bottom w:val="single" w:color="000000" w:sz="4" w:space="0"/>
              <w:right w:val="single" w:color="000000" w:sz="4" w:space="0"/>
            </w:tcBorders>
            <w:noWrap w:val="0"/>
            <w:vAlign w:val="center"/>
          </w:tcPr>
          <w:p w14:paraId="02BC2C39">
            <w:pPr>
              <w:widowControl/>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kern w:val="0"/>
                <w:sz w:val="20"/>
                <w:szCs w:val="20"/>
                <w:lang w:val="en-US" w:eastAsia="zh-CN"/>
              </w:rPr>
              <w:t>2</w:t>
            </w:r>
            <w:r>
              <w:rPr>
                <w:rFonts w:hint="eastAsia" w:ascii="仿宋" w:hAnsi="仿宋" w:eastAsia="仿宋" w:cs="仿宋"/>
                <w:b w:val="0"/>
                <w:bCs w:val="0"/>
                <w:color w:val="000000"/>
                <w:kern w:val="0"/>
                <w:sz w:val="20"/>
                <w:szCs w:val="20"/>
              </w:rPr>
              <w:t>.1</w:t>
            </w:r>
          </w:p>
        </w:tc>
        <w:tc>
          <w:tcPr>
            <w:tcW w:w="1108" w:type="pct"/>
            <w:tcBorders>
              <w:top w:val="single" w:color="000000" w:sz="4" w:space="0"/>
              <w:left w:val="single" w:color="000000" w:sz="4" w:space="0"/>
              <w:bottom w:val="single" w:color="000000" w:sz="4" w:space="0"/>
              <w:right w:val="single" w:color="000000" w:sz="4" w:space="0"/>
            </w:tcBorders>
            <w:noWrap w:val="0"/>
            <w:vAlign w:val="center"/>
          </w:tcPr>
          <w:p w14:paraId="24176BD4">
            <w:pPr>
              <w:widowControl/>
              <w:jc w:val="center"/>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rPr>
              <w:t>水深数据预处理</w:t>
            </w:r>
          </w:p>
        </w:tc>
        <w:tc>
          <w:tcPr>
            <w:tcW w:w="3536" w:type="pct"/>
            <w:tcBorders>
              <w:top w:val="single" w:color="000000" w:sz="4" w:space="0"/>
              <w:left w:val="single" w:color="000000" w:sz="4" w:space="0"/>
              <w:bottom w:val="single" w:color="000000" w:sz="4" w:space="0"/>
              <w:right w:val="single" w:color="000000" w:sz="4" w:space="0"/>
            </w:tcBorders>
            <w:noWrap w:val="0"/>
            <w:vAlign w:val="center"/>
          </w:tcPr>
          <w:p w14:paraId="40845C4A">
            <w:pPr>
              <w:widowControl/>
              <w:jc w:val="left"/>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rPr>
              <w:t>水深数据预处理，主要进行等深线勾绘等，</w:t>
            </w:r>
            <w:r>
              <w:rPr>
                <w:rFonts w:hint="eastAsia" w:ascii="仿宋" w:hAnsi="仿宋" w:eastAsia="仿宋" w:cs="仿宋"/>
                <w:color w:val="000000"/>
                <w:kern w:val="0"/>
                <w:sz w:val="20"/>
                <w:szCs w:val="20"/>
                <w:lang w:val="en-US" w:eastAsia="zh-CN"/>
              </w:rPr>
              <w:t>包含0米、2米、3米、5米、10米、20米、50米等深线勾绘</w:t>
            </w:r>
            <w:r>
              <w:rPr>
                <w:rFonts w:hint="eastAsia" w:ascii="仿宋" w:hAnsi="仿宋" w:eastAsia="仿宋" w:cs="仿宋"/>
                <w:color w:val="000000"/>
                <w:kern w:val="0"/>
                <w:sz w:val="20"/>
                <w:szCs w:val="20"/>
              </w:rPr>
              <w:t>。</w:t>
            </w:r>
          </w:p>
        </w:tc>
      </w:tr>
      <w:tr w14:paraId="6C48BBC6">
        <w:tblPrEx>
          <w:tblCellMar>
            <w:top w:w="0" w:type="dxa"/>
            <w:left w:w="108" w:type="dxa"/>
            <w:bottom w:w="0" w:type="dxa"/>
            <w:right w:w="108" w:type="dxa"/>
          </w:tblCellMar>
        </w:tblPrEx>
        <w:trPr>
          <w:trHeight w:val="90" w:hRule="atLeast"/>
          <w:jc w:val="center"/>
        </w:trPr>
        <w:tc>
          <w:tcPr>
            <w:tcW w:w="354" w:type="pct"/>
            <w:tcBorders>
              <w:top w:val="single" w:color="000000" w:sz="4" w:space="0"/>
              <w:left w:val="single" w:color="000000" w:sz="4" w:space="0"/>
              <w:bottom w:val="single" w:color="000000" w:sz="4" w:space="0"/>
              <w:right w:val="single" w:color="000000" w:sz="4" w:space="0"/>
            </w:tcBorders>
            <w:noWrap w:val="0"/>
            <w:vAlign w:val="center"/>
          </w:tcPr>
          <w:p w14:paraId="2BB87EC6">
            <w:pPr>
              <w:widowControl/>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kern w:val="0"/>
                <w:sz w:val="20"/>
                <w:szCs w:val="20"/>
                <w:lang w:val="en-US" w:eastAsia="zh-CN"/>
              </w:rPr>
              <w:t>2</w:t>
            </w:r>
            <w:r>
              <w:rPr>
                <w:rFonts w:hint="eastAsia" w:ascii="仿宋" w:hAnsi="仿宋" w:eastAsia="仿宋" w:cs="仿宋"/>
                <w:b w:val="0"/>
                <w:bCs w:val="0"/>
                <w:color w:val="000000"/>
                <w:kern w:val="0"/>
                <w:sz w:val="20"/>
                <w:szCs w:val="20"/>
              </w:rPr>
              <w:t>.2</w:t>
            </w:r>
          </w:p>
        </w:tc>
        <w:tc>
          <w:tcPr>
            <w:tcW w:w="1108" w:type="pct"/>
            <w:tcBorders>
              <w:top w:val="single" w:color="000000" w:sz="4" w:space="0"/>
              <w:left w:val="single" w:color="000000" w:sz="4" w:space="0"/>
              <w:bottom w:val="single" w:color="000000" w:sz="4" w:space="0"/>
              <w:right w:val="single" w:color="000000" w:sz="4" w:space="0"/>
            </w:tcBorders>
            <w:noWrap w:val="0"/>
            <w:vAlign w:val="center"/>
          </w:tcPr>
          <w:p w14:paraId="64B848A4">
            <w:pPr>
              <w:widowControl/>
              <w:jc w:val="center"/>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rPr>
              <w:t>要素预处理</w:t>
            </w:r>
          </w:p>
        </w:tc>
        <w:tc>
          <w:tcPr>
            <w:tcW w:w="3536" w:type="pct"/>
            <w:tcBorders>
              <w:top w:val="single" w:color="000000" w:sz="4" w:space="0"/>
              <w:left w:val="single" w:color="000000" w:sz="4" w:space="0"/>
              <w:bottom w:val="single" w:color="000000" w:sz="4" w:space="0"/>
              <w:right w:val="single" w:color="000000" w:sz="4" w:space="0"/>
            </w:tcBorders>
            <w:noWrap w:val="0"/>
            <w:vAlign w:val="center"/>
          </w:tcPr>
          <w:p w14:paraId="1FE70F20">
            <w:pPr>
              <w:widowControl/>
              <w:jc w:val="left"/>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rPr>
              <w:t>航标与其他要素数据预处理，主要进行陆域数据处理、映射关系建立与模型转换等。</w:t>
            </w:r>
          </w:p>
        </w:tc>
      </w:tr>
      <w:tr w14:paraId="0BC6FDCF">
        <w:tblPrEx>
          <w:tblCellMar>
            <w:top w:w="0" w:type="dxa"/>
            <w:left w:w="108" w:type="dxa"/>
            <w:bottom w:w="0" w:type="dxa"/>
            <w:right w:w="108" w:type="dxa"/>
          </w:tblCellMar>
        </w:tblPrEx>
        <w:trPr>
          <w:trHeight w:val="90" w:hRule="atLeast"/>
          <w:jc w:val="center"/>
        </w:trPr>
        <w:tc>
          <w:tcPr>
            <w:tcW w:w="354" w:type="pct"/>
            <w:tcBorders>
              <w:top w:val="single" w:color="000000" w:sz="4" w:space="0"/>
              <w:left w:val="single" w:color="000000" w:sz="4" w:space="0"/>
              <w:bottom w:val="single" w:color="000000" w:sz="4" w:space="0"/>
              <w:right w:val="single" w:color="000000" w:sz="4" w:space="0"/>
            </w:tcBorders>
            <w:noWrap w:val="0"/>
            <w:vAlign w:val="center"/>
          </w:tcPr>
          <w:p w14:paraId="551DEF2F">
            <w:pPr>
              <w:widowControl/>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kern w:val="0"/>
                <w:sz w:val="20"/>
                <w:szCs w:val="20"/>
                <w:lang w:val="en-US" w:eastAsia="zh-CN"/>
              </w:rPr>
              <w:t>2</w:t>
            </w:r>
            <w:r>
              <w:rPr>
                <w:rFonts w:hint="eastAsia" w:ascii="仿宋" w:hAnsi="仿宋" w:eastAsia="仿宋" w:cs="仿宋"/>
                <w:b w:val="0"/>
                <w:bCs w:val="0"/>
                <w:color w:val="000000"/>
                <w:kern w:val="0"/>
                <w:sz w:val="20"/>
                <w:szCs w:val="20"/>
              </w:rPr>
              <w:t>.3</w:t>
            </w:r>
          </w:p>
        </w:tc>
        <w:tc>
          <w:tcPr>
            <w:tcW w:w="1108" w:type="pct"/>
            <w:tcBorders>
              <w:top w:val="single" w:color="000000" w:sz="4" w:space="0"/>
              <w:left w:val="single" w:color="000000" w:sz="4" w:space="0"/>
              <w:bottom w:val="single" w:color="000000" w:sz="4" w:space="0"/>
              <w:right w:val="single" w:color="000000" w:sz="4" w:space="0"/>
            </w:tcBorders>
            <w:noWrap/>
            <w:vAlign w:val="center"/>
          </w:tcPr>
          <w:p w14:paraId="5E2CD49B">
            <w:pPr>
              <w:widowControl/>
              <w:jc w:val="center"/>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rPr>
              <w:t>预处理数据质检</w:t>
            </w:r>
          </w:p>
        </w:tc>
        <w:tc>
          <w:tcPr>
            <w:tcW w:w="3536" w:type="pct"/>
            <w:tcBorders>
              <w:top w:val="single" w:color="000000" w:sz="4" w:space="0"/>
              <w:left w:val="single" w:color="000000" w:sz="4" w:space="0"/>
              <w:bottom w:val="single" w:color="000000" w:sz="4" w:space="0"/>
              <w:right w:val="single" w:color="000000" w:sz="4" w:space="0"/>
            </w:tcBorders>
            <w:noWrap w:val="0"/>
            <w:vAlign w:val="center"/>
          </w:tcPr>
          <w:p w14:paraId="5CF54291">
            <w:pPr>
              <w:widowControl/>
              <w:jc w:val="left"/>
              <w:textAlignment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rPr>
              <w:t>预处理数据质检，</w:t>
            </w:r>
            <w:r>
              <w:rPr>
                <w:rFonts w:hint="eastAsia" w:ascii="仿宋" w:hAnsi="仿宋" w:eastAsia="仿宋" w:cs="仿宋"/>
                <w:color w:val="000000"/>
                <w:kern w:val="0"/>
                <w:sz w:val="20"/>
                <w:szCs w:val="20"/>
                <w:lang w:val="en-US" w:eastAsia="zh-CN"/>
              </w:rPr>
              <w:t>提交图件履历表</w:t>
            </w:r>
            <w:r>
              <w:rPr>
                <w:rFonts w:hint="eastAsia" w:ascii="仿宋" w:hAnsi="仿宋" w:eastAsia="仿宋" w:cs="仿宋"/>
                <w:color w:val="000000"/>
                <w:kern w:val="0"/>
                <w:sz w:val="20"/>
                <w:szCs w:val="20"/>
              </w:rPr>
              <w:t>。</w:t>
            </w:r>
          </w:p>
        </w:tc>
      </w:tr>
      <w:tr w14:paraId="26EBFDDD">
        <w:tblPrEx>
          <w:tblCellMar>
            <w:top w:w="0" w:type="dxa"/>
            <w:left w:w="108" w:type="dxa"/>
            <w:bottom w:w="0" w:type="dxa"/>
            <w:right w:w="108" w:type="dxa"/>
          </w:tblCellMar>
        </w:tblPrEx>
        <w:trPr>
          <w:trHeight w:val="270" w:hRule="atLeast"/>
          <w:jc w:val="center"/>
        </w:trPr>
        <w:tc>
          <w:tcPr>
            <w:tcW w:w="354" w:type="pct"/>
            <w:tcBorders>
              <w:top w:val="single" w:color="000000" w:sz="4" w:space="0"/>
              <w:left w:val="single" w:color="000000" w:sz="4" w:space="0"/>
              <w:bottom w:val="single" w:color="000000" w:sz="4" w:space="0"/>
              <w:right w:val="single" w:color="000000" w:sz="4" w:space="0"/>
            </w:tcBorders>
            <w:noWrap w:val="0"/>
            <w:vAlign w:val="center"/>
          </w:tcPr>
          <w:p w14:paraId="28D8A05F">
            <w:pPr>
              <w:widowControl/>
              <w:jc w:val="center"/>
              <w:textAlignment w:val="center"/>
              <w:rPr>
                <w:rFonts w:hint="eastAsia" w:ascii="仿宋" w:hAnsi="仿宋" w:eastAsia="仿宋" w:cs="仿宋"/>
                <w:b w:val="0"/>
                <w:bCs w:val="0"/>
                <w:color w:val="000000"/>
                <w:sz w:val="20"/>
                <w:szCs w:val="20"/>
                <w:lang w:eastAsia="zh-CN"/>
              </w:rPr>
            </w:pPr>
            <w:r>
              <w:rPr>
                <w:rFonts w:hint="eastAsia" w:ascii="仿宋" w:hAnsi="仿宋" w:eastAsia="仿宋" w:cs="仿宋"/>
                <w:b w:val="0"/>
                <w:bCs w:val="0"/>
                <w:color w:val="000000"/>
                <w:kern w:val="0"/>
                <w:sz w:val="20"/>
                <w:szCs w:val="20"/>
                <w:lang w:val="en-US" w:eastAsia="zh-CN"/>
              </w:rPr>
              <w:t>3</w:t>
            </w:r>
          </w:p>
        </w:tc>
        <w:tc>
          <w:tcPr>
            <w:tcW w:w="1108" w:type="pct"/>
            <w:tcBorders>
              <w:top w:val="single" w:color="000000" w:sz="4" w:space="0"/>
              <w:left w:val="single" w:color="000000" w:sz="4" w:space="0"/>
              <w:bottom w:val="single" w:color="000000" w:sz="4" w:space="0"/>
              <w:right w:val="single" w:color="000000" w:sz="4" w:space="0"/>
            </w:tcBorders>
            <w:noWrap/>
            <w:vAlign w:val="center"/>
          </w:tcPr>
          <w:p w14:paraId="6E67B3E3">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rPr>
              <w:t>电子航道图制作</w:t>
            </w:r>
          </w:p>
        </w:tc>
        <w:tc>
          <w:tcPr>
            <w:tcW w:w="3536" w:type="pct"/>
            <w:tcBorders>
              <w:top w:val="single" w:color="000000" w:sz="4" w:space="0"/>
              <w:left w:val="single" w:color="000000" w:sz="4" w:space="0"/>
              <w:bottom w:val="single" w:color="000000" w:sz="4" w:space="0"/>
              <w:right w:val="single" w:color="000000" w:sz="4" w:space="0"/>
            </w:tcBorders>
            <w:noWrap w:val="0"/>
            <w:vAlign w:val="center"/>
          </w:tcPr>
          <w:p w14:paraId="3B8E304E">
            <w:pPr>
              <w:rPr>
                <w:rFonts w:hint="eastAsia" w:ascii="仿宋" w:hAnsi="仿宋" w:eastAsia="仿宋" w:cs="仿宋"/>
                <w:b/>
                <w:bCs/>
                <w:color w:val="000000"/>
                <w:sz w:val="20"/>
                <w:szCs w:val="20"/>
              </w:rPr>
            </w:pPr>
          </w:p>
        </w:tc>
      </w:tr>
      <w:tr w14:paraId="2D63A4AA">
        <w:tblPrEx>
          <w:tblCellMar>
            <w:top w:w="0" w:type="dxa"/>
            <w:left w:w="108" w:type="dxa"/>
            <w:bottom w:w="0" w:type="dxa"/>
            <w:right w:w="108" w:type="dxa"/>
          </w:tblCellMar>
        </w:tblPrEx>
        <w:trPr>
          <w:trHeight w:val="90" w:hRule="atLeast"/>
          <w:jc w:val="center"/>
        </w:trPr>
        <w:tc>
          <w:tcPr>
            <w:tcW w:w="354" w:type="pct"/>
            <w:tcBorders>
              <w:top w:val="single" w:color="000000" w:sz="4" w:space="0"/>
              <w:left w:val="single" w:color="000000" w:sz="4" w:space="0"/>
              <w:bottom w:val="single" w:color="000000" w:sz="4" w:space="0"/>
              <w:right w:val="single" w:color="000000" w:sz="4" w:space="0"/>
            </w:tcBorders>
            <w:noWrap w:val="0"/>
            <w:vAlign w:val="center"/>
          </w:tcPr>
          <w:p w14:paraId="285C3F9F">
            <w:pPr>
              <w:widowControl/>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kern w:val="0"/>
                <w:sz w:val="20"/>
                <w:szCs w:val="20"/>
                <w:lang w:val="en-US" w:eastAsia="zh-CN"/>
              </w:rPr>
              <w:t>3</w:t>
            </w:r>
            <w:r>
              <w:rPr>
                <w:rFonts w:hint="eastAsia" w:ascii="仿宋" w:hAnsi="仿宋" w:eastAsia="仿宋" w:cs="仿宋"/>
                <w:b w:val="0"/>
                <w:bCs w:val="0"/>
                <w:color w:val="000000"/>
                <w:kern w:val="0"/>
                <w:sz w:val="20"/>
                <w:szCs w:val="20"/>
              </w:rPr>
              <w:t>.1</w:t>
            </w:r>
          </w:p>
        </w:tc>
        <w:tc>
          <w:tcPr>
            <w:tcW w:w="1108" w:type="pct"/>
            <w:tcBorders>
              <w:top w:val="single" w:color="000000" w:sz="4" w:space="0"/>
              <w:left w:val="single" w:color="000000" w:sz="4" w:space="0"/>
              <w:bottom w:val="single" w:color="000000" w:sz="4" w:space="0"/>
              <w:right w:val="single" w:color="000000" w:sz="4" w:space="0"/>
            </w:tcBorders>
            <w:noWrap/>
            <w:vAlign w:val="center"/>
          </w:tcPr>
          <w:p w14:paraId="40FC0EC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数据预处理</w:t>
            </w:r>
          </w:p>
        </w:tc>
        <w:tc>
          <w:tcPr>
            <w:tcW w:w="3536" w:type="pct"/>
            <w:tcBorders>
              <w:top w:val="single" w:color="000000" w:sz="4" w:space="0"/>
              <w:left w:val="single" w:color="000000" w:sz="4" w:space="0"/>
              <w:bottom w:val="single" w:color="000000" w:sz="4" w:space="0"/>
              <w:right w:val="single" w:color="000000" w:sz="4" w:space="0"/>
            </w:tcBorders>
            <w:noWrap w:val="0"/>
            <w:vAlign w:val="center"/>
          </w:tcPr>
          <w:p w14:paraId="43429D6A">
            <w:pPr>
              <w:widowControl/>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对外业采集经内业处理后入库的数据进行质检、清洗，而后进行电子航道图源数据编辑、质检，产品数据生产与质检的操作，生成符合行业标准的电子航道图文件；同时保证数据连贯性。</w:t>
            </w:r>
          </w:p>
        </w:tc>
      </w:tr>
      <w:tr w14:paraId="43DDDE7C">
        <w:tblPrEx>
          <w:tblCellMar>
            <w:top w:w="0" w:type="dxa"/>
            <w:left w:w="108" w:type="dxa"/>
            <w:bottom w:w="0" w:type="dxa"/>
            <w:right w:w="108" w:type="dxa"/>
          </w:tblCellMar>
        </w:tblPrEx>
        <w:trPr>
          <w:trHeight w:val="509" w:hRule="atLeast"/>
          <w:jc w:val="center"/>
        </w:trPr>
        <w:tc>
          <w:tcPr>
            <w:tcW w:w="354" w:type="pct"/>
            <w:tcBorders>
              <w:top w:val="single" w:color="000000" w:sz="4" w:space="0"/>
              <w:left w:val="single" w:color="000000" w:sz="4" w:space="0"/>
              <w:bottom w:val="single" w:color="000000" w:sz="4" w:space="0"/>
              <w:right w:val="single" w:color="000000" w:sz="4" w:space="0"/>
            </w:tcBorders>
            <w:noWrap w:val="0"/>
            <w:vAlign w:val="center"/>
          </w:tcPr>
          <w:p w14:paraId="46EE73A4">
            <w:pPr>
              <w:widowControl/>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kern w:val="0"/>
                <w:sz w:val="20"/>
                <w:szCs w:val="20"/>
                <w:lang w:val="en-US" w:eastAsia="zh-CN"/>
              </w:rPr>
              <w:t>3</w:t>
            </w:r>
            <w:r>
              <w:rPr>
                <w:rFonts w:hint="eastAsia" w:ascii="仿宋" w:hAnsi="仿宋" w:eastAsia="仿宋" w:cs="仿宋"/>
                <w:b w:val="0"/>
                <w:bCs w:val="0"/>
                <w:color w:val="000000"/>
                <w:kern w:val="0"/>
                <w:sz w:val="20"/>
                <w:szCs w:val="20"/>
              </w:rPr>
              <w:t>.2</w:t>
            </w:r>
          </w:p>
        </w:tc>
        <w:tc>
          <w:tcPr>
            <w:tcW w:w="1108" w:type="pct"/>
            <w:tcBorders>
              <w:top w:val="single" w:color="000000" w:sz="4" w:space="0"/>
              <w:left w:val="single" w:color="000000" w:sz="4" w:space="0"/>
              <w:bottom w:val="single" w:color="000000" w:sz="4" w:space="0"/>
              <w:right w:val="single" w:color="000000" w:sz="4" w:space="0"/>
            </w:tcBorders>
            <w:noWrap w:val="0"/>
            <w:vAlign w:val="center"/>
          </w:tcPr>
          <w:p w14:paraId="0B06D14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电子航道图数据生产</w:t>
            </w:r>
          </w:p>
        </w:tc>
        <w:tc>
          <w:tcPr>
            <w:tcW w:w="3536" w:type="pct"/>
            <w:tcBorders>
              <w:top w:val="single" w:color="000000" w:sz="4" w:space="0"/>
              <w:left w:val="single" w:color="000000" w:sz="4" w:space="0"/>
              <w:bottom w:val="single" w:color="000000" w:sz="4" w:space="0"/>
              <w:right w:val="single" w:color="000000" w:sz="4" w:space="0"/>
            </w:tcBorders>
            <w:noWrap w:val="0"/>
            <w:vAlign w:val="center"/>
          </w:tcPr>
          <w:p w14:paraId="0473E155">
            <w:pPr>
              <w:widowControl/>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以预处理后数据为生产资料的进行电子航道图源数据检查、入库、编辑、质检，进行产品数据生产与质检，制作符合《内河电子航道图技术规范》（JTS 195-3-2019）电子航道图GDB或.000文件。</w:t>
            </w:r>
          </w:p>
        </w:tc>
      </w:tr>
      <w:tr w14:paraId="2412F849">
        <w:tblPrEx>
          <w:tblCellMar>
            <w:top w:w="0" w:type="dxa"/>
            <w:left w:w="108" w:type="dxa"/>
            <w:bottom w:w="0" w:type="dxa"/>
            <w:right w:w="108" w:type="dxa"/>
          </w:tblCellMar>
        </w:tblPrEx>
        <w:trPr>
          <w:trHeight w:val="90" w:hRule="atLeast"/>
          <w:jc w:val="center"/>
        </w:trPr>
        <w:tc>
          <w:tcPr>
            <w:tcW w:w="354" w:type="pct"/>
            <w:tcBorders>
              <w:top w:val="single" w:color="000000" w:sz="4" w:space="0"/>
              <w:left w:val="single" w:color="000000" w:sz="4" w:space="0"/>
              <w:bottom w:val="single" w:color="000000" w:sz="4" w:space="0"/>
              <w:right w:val="single" w:color="000000" w:sz="4" w:space="0"/>
            </w:tcBorders>
            <w:noWrap w:val="0"/>
            <w:vAlign w:val="center"/>
          </w:tcPr>
          <w:p w14:paraId="742AC00A">
            <w:pPr>
              <w:widowControl/>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kern w:val="0"/>
                <w:sz w:val="20"/>
                <w:szCs w:val="20"/>
                <w:lang w:val="en-US" w:eastAsia="zh-CN"/>
              </w:rPr>
              <w:t>3</w:t>
            </w:r>
            <w:r>
              <w:rPr>
                <w:rFonts w:hint="eastAsia" w:ascii="仿宋" w:hAnsi="仿宋" w:eastAsia="仿宋" w:cs="仿宋"/>
                <w:b w:val="0"/>
                <w:bCs w:val="0"/>
                <w:color w:val="000000"/>
                <w:kern w:val="0"/>
                <w:sz w:val="20"/>
                <w:szCs w:val="20"/>
              </w:rPr>
              <w:t>.3</w:t>
            </w:r>
          </w:p>
        </w:tc>
        <w:tc>
          <w:tcPr>
            <w:tcW w:w="1108" w:type="pct"/>
            <w:tcBorders>
              <w:top w:val="single" w:color="000000" w:sz="4" w:space="0"/>
              <w:left w:val="single" w:color="000000" w:sz="4" w:space="0"/>
              <w:bottom w:val="single" w:color="000000" w:sz="4" w:space="0"/>
              <w:right w:val="single" w:color="000000" w:sz="4" w:space="0"/>
            </w:tcBorders>
            <w:noWrap/>
            <w:vAlign w:val="center"/>
          </w:tcPr>
          <w:p w14:paraId="194B0DC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保密技术处理</w:t>
            </w:r>
          </w:p>
        </w:tc>
        <w:tc>
          <w:tcPr>
            <w:tcW w:w="3536" w:type="pct"/>
            <w:tcBorders>
              <w:top w:val="single" w:color="000000" w:sz="4" w:space="0"/>
              <w:left w:val="single" w:color="000000" w:sz="4" w:space="0"/>
              <w:bottom w:val="single" w:color="000000" w:sz="4" w:space="0"/>
              <w:right w:val="single" w:color="000000" w:sz="4" w:space="0"/>
            </w:tcBorders>
            <w:noWrap w:val="0"/>
            <w:vAlign w:val="center"/>
          </w:tcPr>
          <w:p w14:paraId="1B51B069">
            <w:pPr>
              <w:widowControl/>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按照国测办字[2003]17号文件《测绘管理工作国家秘密范围的规定》，结合实际管理需要，根据航道要素内容的不同对电子航道图数据进行分类分级，制定合理的电子航道图要素及其属性取舍方案并进行技术处理，完成电子航道图脱密的同时满足应用需要。</w:t>
            </w:r>
          </w:p>
        </w:tc>
      </w:tr>
      <w:tr w14:paraId="50681C3E">
        <w:tblPrEx>
          <w:tblCellMar>
            <w:top w:w="0" w:type="dxa"/>
            <w:left w:w="108" w:type="dxa"/>
            <w:bottom w:w="0" w:type="dxa"/>
            <w:right w:w="108" w:type="dxa"/>
          </w:tblCellMar>
        </w:tblPrEx>
        <w:trPr>
          <w:trHeight w:val="90" w:hRule="atLeast"/>
          <w:jc w:val="center"/>
        </w:trPr>
        <w:tc>
          <w:tcPr>
            <w:tcW w:w="354" w:type="pct"/>
            <w:tcBorders>
              <w:top w:val="single" w:color="000000" w:sz="4" w:space="0"/>
              <w:left w:val="single" w:color="000000" w:sz="4" w:space="0"/>
              <w:bottom w:val="single" w:color="000000" w:sz="4" w:space="0"/>
              <w:right w:val="single" w:color="000000" w:sz="4" w:space="0"/>
            </w:tcBorders>
            <w:noWrap w:val="0"/>
            <w:vAlign w:val="center"/>
          </w:tcPr>
          <w:p w14:paraId="264CB6E0">
            <w:pPr>
              <w:widowControl/>
              <w:jc w:val="center"/>
              <w:textAlignment w:val="center"/>
              <w:rPr>
                <w:rFonts w:hint="eastAsia" w:ascii="仿宋" w:hAnsi="仿宋" w:eastAsia="仿宋" w:cs="仿宋"/>
                <w:b w:val="0"/>
                <w:bCs w:val="0"/>
                <w:color w:val="000000"/>
                <w:sz w:val="20"/>
                <w:szCs w:val="20"/>
                <w:lang w:eastAsia="zh-CN"/>
              </w:rPr>
            </w:pPr>
            <w:r>
              <w:rPr>
                <w:rFonts w:hint="eastAsia" w:ascii="仿宋" w:hAnsi="仿宋" w:eastAsia="仿宋" w:cs="仿宋"/>
                <w:b w:val="0"/>
                <w:bCs w:val="0"/>
                <w:color w:val="000000"/>
                <w:kern w:val="0"/>
                <w:sz w:val="20"/>
                <w:szCs w:val="20"/>
                <w:lang w:val="en-US" w:eastAsia="zh-CN"/>
              </w:rPr>
              <w:t>4</w:t>
            </w:r>
          </w:p>
        </w:tc>
        <w:tc>
          <w:tcPr>
            <w:tcW w:w="1108" w:type="pct"/>
            <w:tcBorders>
              <w:top w:val="single" w:color="000000" w:sz="4" w:space="0"/>
              <w:left w:val="single" w:color="000000" w:sz="4" w:space="0"/>
              <w:bottom w:val="single" w:color="000000" w:sz="4" w:space="0"/>
              <w:right w:val="single" w:color="000000" w:sz="4" w:space="0"/>
            </w:tcBorders>
            <w:noWrap/>
            <w:vAlign w:val="center"/>
          </w:tcPr>
          <w:p w14:paraId="777829D0">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rPr>
              <w:t>电子航道图联通</w:t>
            </w:r>
          </w:p>
        </w:tc>
        <w:tc>
          <w:tcPr>
            <w:tcW w:w="3536" w:type="pct"/>
            <w:tcBorders>
              <w:top w:val="single" w:color="000000" w:sz="4" w:space="0"/>
              <w:left w:val="single" w:color="000000" w:sz="4" w:space="0"/>
              <w:bottom w:val="single" w:color="000000" w:sz="4" w:space="0"/>
              <w:right w:val="single" w:color="000000" w:sz="4" w:space="0"/>
            </w:tcBorders>
            <w:noWrap w:val="0"/>
            <w:vAlign w:val="center"/>
          </w:tcPr>
          <w:p w14:paraId="77E1667E">
            <w:pPr>
              <w:rPr>
                <w:rFonts w:hint="eastAsia" w:ascii="仿宋" w:hAnsi="仿宋" w:eastAsia="仿宋" w:cs="仿宋"/>
                <w:b/>
                <w:bCs/>
                <w:color w:val="000000"/>
                <w:sz w:val="20"/>
                <w:szCs w:val="20"/>
              </w:rPr>
            </w:pPr>
          </w:p>
        </w:tc>
      </w:tr>
      <w:tr w14:paraId="151E45D1">
        <w:tblPrEx>
          <w:tblCellMar>
            <w:top w:w="0" w:type="dxa"/>
            <w:left w:w="108" w:type="dxa"/>
            <w:bottom w:w="0" w:type="dxa"/>
            <w:right w:w="108" w:type="dxa"/>
          </w:tblCellMar>
        </w:tblPrEx>
        <w:trPr>
          <w:trHeight w:val="90" w:hRule="atLeast"/>
          <w:jc w:val="center"/>
        </w:trPr>
        <w:tc>
          <w:tcPr>
            <w:tcW w:w="354" w:type="pct"/>
            <w:tcBorders>
              <w:top w:val="single" w:color="000000" w:sz="4" w:space="0"/>
              <w:left w:val="single" w:color="000000" w:sz="4" w:space="0"/>
              <w:bottom w:val="single" w:color="000000" w:sz="4" w:space="0"/>
              <w:right w:val="single" w:color="000000" w:sz="4" w:space="0"/>
            </w:tcBorders>
            <w:noWrap w:val="0"/>
            <w:vAlign w:val="center"/>
          </w:tcPr>
          <w:p w14:paraId="3405F469">
            <w:pPr>
              <w:widowControl/>
              <w:jc w:val="center"/>
              <w:textAlignment w:val="center"/>
              <w:rPr>
                <w:rFonts w:hint="eastAsia" w:ascii="仿宋" w:hAnsi="仿宋" w:eastAsia="仿宋" w:cs="仿宋"/>
                <w:b w:val="0"/>
                <w:bCs w:val="0"/>
                <w:color w:val="000000"/>
                <w:sz w:val="20"/>
                <w:szCs w:val="20"/>
              </w:rPr>
            </w:pPr>
            <w:r>
              <w:rPr>
                <w:rFonts w:hint="eastAsia" w:ascii="仿宋" w:hAnsi="仿宋" w:eastAsia="仿宋" w:cs="仿宋"/>
                <w:b w:val="0"/>
                <w:bCs w:val="0"/>
                <w:color w:val="000000"/>
                <w:kern w:val="0"/>
                <w:sz w:val="20"/>
                <w:szCs w:val="20"/>
                <w:lang w:val="en-US" w:eastAsia="zh-CN"/>
              </w:rPr>
              <w:t>4</w:t>
            </w:r>
            <w:r>
              <w:rPr>
                <w:rFonts w:hint="eastAsia" w:ascii="仿宋" w:hAnsi="仿宋" w:eastAsia="仿宋" w:cs="仿宋"/>
                <w:b w:val="0"/>
                <w:bCs w:val="0"/>
                <w:color w:val="000000"/>
                <w:kern w:val="0"/>
                <w:sz w:val="20"/>
                <w:szCs w:val="20"/>
              </w:rPr>
              <w:t>.1</w:t>
            </w:r>
          </w:p>
        </w:tc>
        <w:tc>
          <w:tcPr>
            <w:tcW w:w="1108" w:type="pct"/>
            <w:tcBorders>
              <w:top w:val="single" w:color="000000" w:sz="4" w:space="0"/>
              <w:left w:val="single" w:color="000000" w:sz="4" w:space="0"/>
              <w:bottom w:val="single" w:color="000000" w:sz="4" w:space="0"/>
              <w:right w:val="single" w:color="000000" w:sz="4" w:space="0"/>
            </w:tcBorders>
            <w:noWrap/>
            <w:vAlign w:val="center"/>
          </w:tcPr>
          <w:p w14:paraId="735051A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电子航道图联通</w:t>
            </w:r>
          </w:p>
        </w:tc>
        <w:tc>
          <w:tcPr>
            <w:tcW w:w="3536" w:type="pct"/>
            <w:tcBorders>
              <w:top w:val="single" w:color="000000" w:sz="4" w:space="0"/>
              <w:left w:val="single" w:color="000000" w:sz="4" w:space="0"/>
              <w:bottom w:val="single" w:color="000000" w:sz="4" w:space="0"/>
              <w:right w:val="single" w:color="000000" w:sz="4" w:space="0"/>
            </w:tcBorders>
            <w:noWrap w:val="0"/>
            <w:vAlign w:val="center"/>
          </w:tcPr>
          <w:p w14:paraId="6F613081">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rPr>
              <w:t>实现</w:t>
            </w:r>
            <w:r>
              <w:rPr>
                <w:rFonts w:hint="eastAsia" w:ascii="仿宋" w:hAnsi="仿宋" w:eastAsia="仿宋" w:cs="仿宋"/>
                <w:color w:val="000000"/>
                <w:kern w:val="0"/>
                <w:sz w:val="20"/>
                <w:szCs w:val="20"/>
                <w:lang w:val="en-US" w:eastAsia="zh-CN"/>
              </w:rPr>
              <w:t>嘉陵江</w:t>
            </w:r>
            <w:r>
              <w:rPr>
                <w:rFonts w:hint="eastAsia" w:ascii="仿宋" w:hAnsi="仿宋" w:eastAsia="仿宋" w:cs="仿宋"/>
                <w:color w:val="000000"/>
                <w:kern w:val="0"/>
                <w:sz w:val="20"/>
                <w:szCs w:val="20"/>
              </w:rPr>
              <w:t>电子航道图</w:t>
            </w:r>
            <w:r>
              <w:rPr>
                <w:rFonts w:hint="eastAsia" w:ascii="仿宋" w:hAnsi="仿宋" w:eastAsia="仿宋" w:cs="仿宋"/>
                <w:color w:val="000000"/>
                <w:kern w:val="0"/>
                <w:sz w:val="20"/>
                <w:szCs w:val="20"/>
                <w:lang w:val="en-US" w:eastAsia="zh-CN"/>
              </w:rPr>
              <w:t>与长江干线重庆段</w:t>
            </w:r>
            <w:r>
              <w:rPr>
                <w:rFonts w:hint="eastAsia" w:ascii="仿宋" w:hAnsi="仿宋" w:eastAsia="仿宋" w:cs="仿宋"/>
                <w:color w:val="000000"/>
                <w:kern w:val="0"/>
                <w:sz w:val="20"/>
                <w:szCs w:val="20"/>
              </w:rPr>
              <w:t>干支</w:t>
            </w:r>
            <w:r>
              <w:rPr>
                <w:rFonts w:hint="eastAsia" w:ascii="仿宋" w:hAnsi="仿宋" w:eastAsia="仿宋" w:cs="仿宋"/>
                <w:color w:val="000000"/>
                <w:kern w:val="0"/>
                <w:sz w:val="20"/>
                <w:szCs w:val="20"/>
                <w:lang w:val="en-US" w:eastAsia="zh-CN"/>
              </w:rPr>
              <w:t>数据</w:t>
            </w:r>
            <w:r>
              <w:rPr>
                <w:rFonts w:hint="eastAsia" w:ascii="仿宋" w:hAnsi="仿宋" w:eastAsia="仿宋" w:cs="仿宋"/>
                <w:color w:val="000000"/>
                <w:kern w:val="0"/>
                <w:sz w:val="20"/>
                <w:szCs w:val="20"/>
              </w:rPr>
              <w:t>联通。</w:t>
            </w:r>
          </w:p>
        </w:tc>
      </w:tr>
    </w:tbl>
    <w:p w14:paraId="6F0E0D8A">
      <w:pPr>
        <w:spacing w:line="360" w:lineRule="auto"/>
        <w:ind w:firstLine="480" w:firstLineChars="200"/>
        <w:jc w:val="left"/>
        <w:rPr>
          <w:rFonts w:hint="eastAsia" w:ascii="方正仿宋_GBK" w:hAnsi="宋体" w:eastAsia="方正仿宋_GBK"/>
          <w:sz w:val="24"/>
          <w:szCs w:val="24"/>
          <w:lang w:val="en-US" w:eastAsia="zh-CN"/>
        </w:rPr>
      </w:pPr>
    </w:p>
    <w:p w14:paraId="101A0D22">
      <w:pPr>
        <w:spacing w:line="600" w:lineRule="exact"/>
        <w:ind w:firstLine="480" w:firstLineChars="200"/>
        <w:outlineLvl w:val="1"/>
        <w:rPr>
          <w:rFonts w:hint="eastAsia" w:ascii="方正仿宋_GBK" w:hAnsi="宋体" w:eastAsia="方正仿宋_GBK" w:cs="Times New Roman"/>
          <w:b/>
          <w:kern w:val="2"/>
          <w:sz w:val="24"/>
          <w:lang w:val="en-US" w:eastAsia="zh-CN" w:bidi="ar-SA"/>
        </w:rPr>
      </w:pPr>
      <w:r>
        <w:rPr>
          <w:rFonts w:hint="eastAsia" w:ascii="方正仿宋_GBK" w:hAnsi="宋体" w:eastAsia="方正仿宋_GBK" w:cs="Times New Roman"/>
          <w:b/>
          <w:kern w:val="2"/>
          <w:sz w:val="24"/>
          <w:lang w:val="en-US" w:eastAsia="zh-CN" w:bidi="ar-SA"/>
        </w:rPr>
        <w:t>（二）服务要求</w:t>
      </w:r>
    </w:p>
    <w:p w14:paraId="4EDB5D5B">
      <w:pPr>
        <w:spacing w:line="360" w:lineRule="auto"/>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依托《内河电子航道图技术规范》《内河数字航道工程建设技术规范》《内河航道信息交换标准》等行业标准和长江干线电子航道图建设等经验，统一完善电子航道图图例，完成嘉陵江电子航道图试点建设，形成重庆市地方航道电子航道图数据库。</w:t>
      </w:r>
    </w:p>
    <w:p w14:paraId="092EDF3E">
      <w:pPr>
        <w:spacing w:line="600" w:lineRule="exact"/>
        <w:ind w:firstLine="480" w:firstLineChars="200"/>
        <w:outlineLvl w:val="1"/>
        <w:rPr>
          <w:rFonts w:hint="eastAsia" w:ascii="方正仿宋_GBK" w:hAnsi="宋体" w:eastAsia="方正仿宋_GBK" w:cs="Times New Roman"/>
          <w:b/>
          <w:kern w:val="2"/>
          <w:sz w:val="24"/>
          <w:lang w:val="en-US" w:eastAsia="zh-CN" w:bidi="ar-SA"/>
        </w:rPr>
      </w:pPr>
      <w:r>
        <w:rPr>
          <w:rFonts w:hint="eastAsia" w:ascii="方正仿宋_GBK" w:hAnsi="宋体" w:eastAsia="方正仿宋_GBK" w:cs="Times New Roman"/>
          <w:b/>
          <w:kern w:val="2"/>
          <w:sz w:val="24"/>
          <w:lang w:val="en-US" w:eastAsia="zh-CN" w:bidi="ar-SA"/>
        </w:rPr>
        <w:t>（三）工作标准</w:t>
      </w:r>
    </w:p>
    <w:p w14:paraId="058398B8">
      <w:pPr>
        <w:spacing w:line="240" w:lineRule="auto"/>
        <w:ind w:firstLine="480" w:firstLineChars="200"/>
        <w:outlineLvl w:val="1"/>
        <w:rPr>
          <w:rStyle w:val="26"/>
          <w:rFonts w:hint="eastAsia" w:ascii="方正仿宋_GBK" w:hAnsi="仿宋" w:eastAsia="方正仿宋_GBK"/>
          <w:b w:val="0"/>
          <w:sz w:val="24"/>
          <w:szCs w:val="24"/>
        </w:rPr>
      </w:pPr>
      <w:r>
        <w:rPr>
          <w:rStyle w:val="26"/>
          <w:rFonts w:hint="eastAsia" w:ascii="方正仿宋_GBK" w:hAnsi="仿宋" w:eastAsia="方正仿宋_GBK"/>
          <w:b w:val="0"/>
          <w:sz w:val="24"/>
          <w:szCs w:val="24"/>
        </w:rPr>
        <w:t>1、《水运工程测量规范》(JTS 131－2012)；</w:t>
      </w:r>
    </w:p>
    <w:p w14:paraId="36C36221">
      <w:pPr>
        <w:spacing w:line="240" w:lineRule="auto"/>
        <w:ind w:firstLine="480" w:firstLineChars="200"/>
        <w:outlineLvl w:val="1"/>
        <w:rPr>
          <w:rStyle w:val="26"/>
          <w:rFonts w:hint="eastAsia" w:ascii="方正仿宋_GBK" w:hAnsi="仿宋" w:eastAsia="方正仿宋_GBK"/>
          <w:b w:val="0"/>
          <w:sz w:val="24"/>
          <w:szCs w:val="24"/>
        </w:rPr>
      </w:pPr>
      <w:r>
        <w:rPr>
          <w:rStyle w:val="26"/>
          <w:rFonts w:hint="eastAsia" w:ascii="方正仿宋_GBK" w:hAnsi="仿宋" w:eastAsia="方正仿宋_GBK"/>
          <w:b w:val="0"/>
          <w:sz w:val="24"/>
          <w:szCs w:val="24"/>
        </w:rPr>
        <w:t>2、《水运工程测量质量检验标准》（JTS 258-2008）；</w:t>
      </w:r>
    </w:p>
    <w:p w14:paraId="76673239">
      <w:pPr>
        <w:spacing w:line="240" w:lineRule="auto"/>
        <w:ind w:firstLine="480" w:firstLineChars="200"/>
        <w:outlineLvl w:val="1"/>
        <w:rPr>
          <w:rStyle w:val="26"/>
          <w:rFonts w:hint="eastAsia" w:ascii="方正仿宋_GBK" w:hAnsi="仿宋" w:eastAsia="方正仿宋_GBK"/>
          <w:b w:val="0"/>
          <w:sz w:val="24"/>
          <w:szCs w:val="24"/>
        </w:rPr>
      </w:pPr>
      <w:r>
        <w:rPr>
          <w:rStyle w:val="26"/>
          <w:rFonts w:hint="eastAsia" w:ascii="方正仿宋_GBK" w:hAnsi="仿宋" w:eastAsia="方正仿宋_GBK"/>
          <w:b w:val="0"/>
          <w:sz w:val="24"/>
          <w:szCs w:val="24"/>
        </w:rPr>
        <w:t>3、《国家基本比例尺地形图分幅与编号》(GB/T 13989－92)；</w:t>
      </w:r>
    </w:p>
    <w:p w14:paraId="388D6F68">
      <w:pPr>
        <w:spacing w:line="240" w:lineRule="auto"/>
        <w:ind w:firstLine="480" w:firstLineChars="200"/>
        <w:outlineLvl w:val="1"/>
        <w:rPr>
          <w:rStyle w:val="26"/>
          <w:rFonts w:hint="eastAsia" w:ascii="方正仿宋_GBK" w:hAnsi="仿宋" w:eastAsia="方正仿宋_GBK"/>
          <w:b w:val="0"/>
          <w:sz w:val="24"/>
          <w:szCs w:val="24"/>
        </w:rPr>
      </w:pPr>
      <w:r>
        <w:rPr>
          <w:rStyle w:val="26"/>
          <w:rFonts w:hint="eastAsia" w:ascii="方正仿宋_GBK" w:hAnsi="仿宋" w:eastAsia="方正仿宋_GBK"/>
          <w:b w:val="0"/>
          <w:sz w:val="24"/>
          <w:szCs w:val="24"/>
        </w:rPr>
        <w:t>4、《国家三、四等水准测量规范》(GB 12898－2009)；</w:t>
      </w:r>
    </w:p>
    <w:p w14:paraId="49075F2A">
      <w:pPr>
        <w:spacing w:line="240" w:lineRule="auto"/>
        <w:ind w:firstLine="480" w:firstLineChars="200"/>
        <w:outlineLvl w:val="1"/>
        <w:rPr>
          <w:rStyle w:val="26"/>
          <w:rFonts w:hint="eastAsia" w:ascii="方正仿宋_GBK" w:hAnsi="仿宋" w:eastAsia="方正仿宋_GBK"/>
          <w:b w:val="0"/>
          <w:sz w:val="24"/>
          <w:szCs w:val="24"/>
        </w:rPr>
      </w:pPr>
      <w:r>
        <w:rPr>
          <w:rStyle w:val="26"/>
          <w:rFonts w:hint="eastAsia" w:ascii="方正仿宋_GBK" w:hAnsi="仿宋" w:eastAsia="方正仿宋_GBK"/>
          <w:b w:val="0"/>
          <w:sz w:val="24"/>
          <w:szCs w:val="24"/>
        </w:rPr>
        <w:t xml:space="preserve">5、《内河助航标志》（GB 5863-93）； </w:t>
      </w:r>
    </w:p>
    <w:p w14:paraId="1F9932EA">
      <w:pPr>
        <w:spacing w:line="240" w:lineRule="auto"/>
        <w:ind w:firstLine="480" w:firstLineChars="200"/>
        <w:outlineLvl w:val="1"/>
        <w:rPr>
          <w:rStyle w:val="26"/>
          <w:rFonts w:hint="eastAsia" w:ascii="方正仿宋_GBK" w:hAnsi="仿宋" w:eastAsia="方正仿宋_GBK"/>
          <w:b w:val="0"/>
          <w:sz w:val="24"/>
          <w:szCs w:val="24"/>
        </w:rPr>
      </w:pPr>
      <w:r>
        <w:rPr>
          <w:rStyle w:val="26"/>
          <w:rFonts w:hint="eastAsia" w:ascii="方正仿宋_GBK" w:hAnsi="仿宋" w:eastAsia="方正仿宋_GBK"/>
          <w:b w:val="0"/>
          <w:sz w:val="24"/>
          <w:szCs w:val="24"/>
        </w:rPr>
        <w:t>6、《内河电子航道图技术规范》（JTS-195-3-2019）；</w:t>
      </w:r>
    </w:p>
    <w:p w14:paraId="1DE08B82">
      <w:pPr>
        <w:spacing w:line="240" w:lineRule="auto"/>
        <w:ind w:firstLine="480" w:firstLineChars="200"/>
        <w:outlineLvl w:val="1"/>
        <w:rPr>
          <w:rStyle w:val="26"/>
          <w:rFonts w:hint="eastAsia" w:ascii="方正仿宋_GBK" w:hAnsi="仿宋" w:eastAsia="方正仿宋_GBK"/>
          <w:b w:val="0"/>
          <w:sz w:val="24"/>
          <w:szCs w:val="24"/>
        </w:rPr>
      </w:pPr>
      <w:r>
        <w:rPr>
          <w:rStyle w:val="26"/>
          <w:rFonts w:hint="eastAsia" w:ascii="方正仿宋_GBK" w:hAnsi="仿宋" w:eastAsia="方正仿宋_GBK"/>
          <w:b w:val="0"/>
          <w:sz w:val="24"/>
          <w:szCs w:val="24"/>
        </w:rPr>
        <w:t xml:space="preserve">7、《长江电子航道图制作规范》（JT/T765—2016）； </w:t>
      </w:r>
    </w:p>
    <w:p w14:paraId="45BEB946">
      <w:pPr>
        <w:spacing w:line="240" w:lineRule="auto"/>
        <w:ind w:firstLine="480" w:firstLineChars="200"/>
        <w:outlineLvl w:val="1"/>
        <w:rPr>
          <w:rStyle w:val="26"/>
          <w:rFonts w:hint="eastAsia" w:ascii="方正仿宋_GBK" w:hAnsi="仿宋" w:eastAsia="方正仿宋_GBK"/>
          <w:b w:val="0"/>
          <w:sz w:val="24"/>
          <w:szCs w:val="24"/>
        </w:rPr>
      </w:pPr>
      <w:r>
        <w:rPr>
          <w:rStyle w:val="26"/>
          <w:rFonts w:hint="eastAsia" w:ascii="方正仿宋_GBK" w:hAnsi="仿宋" w:eastAsia="方正仿宋_GBK"/>
          <w:b w:val="0"/>
          <w:sz w:val="24"/>
          <w:szCs w:val="24"/>
        </w:rPr>
        <w:t>8、《公开地图内容表示若干规定》（国测法字〔2003〕1号）；</w:t>
      </w:r>
    </w:p>
    <w:p w14:paraId="5C44C431">
      <w:pPr>
        <w:spacing w:line="240" w:lineRule="auto"/>
        <w:ind w:firstLine="480" w:firstLineChars="200"/>
        <w:outlineLvl w:val="1"/>
        <w:rPr>
          <w:rStyle w:val="26"/>
          <w:rFonts w:hint="eastAsia" w:ascii="方正仿宋_GBK" w:hAnsi="仿宋" w:eastAsia="方正仿宋_GBK"/>
          <w:b w:val="0"/>
          <w:sz w:val="24"/>
          <w:szCs w:val="24"/>
        </w:rPr>
      </w:pPr>
      <w:r>
        <w:rPr>
          <w:rStyle w:val="26"/>
          <w:rFonts w:hint="eastAsia" w:ascii="方正仿宋_GBK" w:hAnsi="仿宋" w:eastAsia="方正仿宋_GBK"/>
          <w:b w:val="0"/>
          <w:sz w:val="24"/>
          <w:szCs w:val="24"/>
        </w:rPr>
        <w:t>9、《公开地图内容表示补充规定（试行）》（国测图字〔2009〕2号）。</w:t>
      </w:r>
    </w:p>
    <w:p w14:paraId="09C85436">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三、服务及质量</w:t>
      </w:r>
      <w:bookmarkEnd w:id="55"/>
      <w:bookmarkEnd w:id="56"/>
      <w:r>
        <w:rPr>
          <w:rFonts w:hint="eastAsia" w:ascii="方正仿宋_GBK" w:hAnsi="宋体" w:eastAsia="方正仿宋_GBK"/>
          <w:sz w:val="24"/>
        </w:rPr>
        <w:t>需求</w:t>
      </w:r>
      <w:bookmarkEnd w:id="57"/>
      <w:bookmarkEnd w:id="58"/>
    </w:p>
    <w:p w14:paraId="7453BC66">
      <w:pPr>
        <w:pStyle w:val="27"/>
        <w:keepNext w:val="0"/>
        <w:widowControl/>
        <w:snapToGrid w:val="0"/>
        <w:spacing w:before="0" w:after="0" w:line="240" w:lineRule="auto"/>
        <w:ind w:firstLine="480" w:firstLineChars="200"/>
        <w:rPr>
          <w:rFonts w:hint="default" w:ascii="方正仿宋_GBK" w:hAnsi="宋体" w:eastAsia="方正仿宋_GBK"/>
          <w:sz w:val="24"/>
          <w:szCs w:val="24"/>
          <w:lang w:val="en-US" w:eastAsia="zh-CN"/>
        </w:rPr>
      </w:pPr>
      <w:bookmarkStart w:id="59" w:name="_Toc480558624"/>
      <w:r>
        <w:rPr>
          <w:rFonts w:hint="eastAsia" w:ascii="方正仿宋_GBK" w:hAnsi="宋体" w:eastAsia="方正仿宋_GBK"/>
          <w:b w:val="0"/>
          <w:bCs/>
          <w:sz w:val="24"/>
          <w:szCs w:val="24"/>
          <w:lang w:eastAsia="zh-CN"/>
        </w:rPr>
        <w:t>（一）</w:t>
      </w:r>
      <w:r>
        <w:rPr>
          <w:rFonts w:hint="eastAsia" w:ascii="方正仿宋_GBK" w:hAnsi="宋体" w:eastAsia="方正仿宋_GBK"/>
          <w:b w:val="0"/>
          <w:bCs/>
          <w:sz w:val="24"/>
          <w:szCs w:val="24"/>
        </w:rPr>
        <w:t>质量要求：</w:t>
      </w:r>
      <w:r>
        <w:rPr>
          <w:rFonts w:hint="eastAsia" w:ascii="方正仿宋_GBK" w:hAnsi="宋体" w:eastAsia="方正仿宋_GBK"/>
          <w:b w:val="0"/>
          <w:bCs/>
          <w:sz w:val="24"/>
          <w:szCs w:val="24"/>
          <w:lang w:val="en-US" w:eastAsia="zh-CN"/>
        </w:rPr>
        <w:t>1、</w:t>
      </w:r>
      <w:r>
        <w:rPr>
          <w:rStyle w:val="26"/>
          <w:rFonts w:hint="eastAsia" w:ascii="方正仿宋_GBK" w:hAnsi="仿宋" w:eastAsia="方正仿宋_GBK"/>
          <w:b w:val="0"/>
          <w:sz w:val="24"/>
          <w:szCs w:val="24"/>
        </w:rPr>
        <w:t xml:space="preserve">供应商所提供的服务应当符合国家法律、法规的相关规定； </w:t>
      </w:r>
      <w:r>
        <w:rPr>
          <w:rStyle w:val="26"/>
          <w:rFonts w:hint="eastAsia" w:ascii="方正仿宋_GBK" w:hAnsi="仿宋" w:eastAsia="方正仿宋_GBK"/>
          <w:b w:val="0"/>
          <w:sz w:val="24"/>
          <w:szCs w:val="24"/>
          <w:lang w:val="en-US"/>
        </w:rPr>
        <w:t>2、</w:t>
      </w:r>
      <w:r>
        <w:rPr>
          <w:rStyle w:val="26"/>
          <w:rFonts w:hint="eastAsia" w:ascii="方正仿宋_GBK" w:hAnsi="仿宋" w:eastAsia="方正仿宋_GBK"/>
          <w:b w:val="0"/>
          <w:sz w:val="24"/>
          <w:szCs w:val="24"/>
        </w:rPr>
        <w:t>供应商所提供的服务应当符合国家及行业的相关标准。</w:t>
      </w:r>
    </w:p>
    <w:p w14:paraId="7005B60E">
      <w:pPr>
        <w:adjustRightInd w:val="0"/>
        <w:snapToGrid w:val="0"/>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lang w:eastAsia="zh-CN"/>
        </w:rPr>
        <w:t>（二）</w:t>
      </w:r>
      <w:r>
        <w:rPr>
          <w:rFonts w:hint="eastAsia" w:ascii="方正仿宋_GBK" w:hAnsi="宋体" w:eastAsia="方正仿宋_GBK"/>
          <w:sz w:val="24"/>
          <w:szCs w:val="24"/>
        </w:rPr>
        <w:t>质量保修期：</w:t>
      </w:r>
      <w:r>
        <w:rPr>
          <w:rFonts w:hint="eastAsia" w:ascii="方正仿宋_GBK" w:hAnsi="宋体" w:eastAsia="方正仿宋_GBK"/>
          <w:sz w:val="24"/>
          <w:szCs w:val="24"/>
          <w:lang w:val="en-US" w:eastAsia="zh-CN"/>
        </w:rPr>
        <w:t>1年。</w:t>
      </w:r>
    </w:p>
    <w:p w14:paraId="61F3D020">
      <w:pPr>
        <w:pStyle w:val="2"/>
        <w:adjustRightInd w:val="0"/>
        <w:snapToGrid w:val="0"/>
        <w:spacing w:before="0" w:after="0" w:line="400" w:lineRule="exact"/>
        <w:ind w:firstLine="480" w:firstLineChars="200"/>
        <w:rPr>
          <w:rFonts w:hint="default" w:ascii="方正仿宋_GBK" w:hAnsi="宋体" w:eastAsia="方正仿宋_GBK"/>
          <w:sz w:val="24"/>
          <w:lang w:val="en-US" w:eastAsia="zh-CN"/>
        </w:rPr>
      </w:pPr>
      <w:r>
        <w:rPr>
          <w:rFonts w:hint="eastAsia" w:ascii="方正仿宋_GBK" w:hAnsi="宋体" w:eastAsia="方正仿宋_GBK"/>
          <w:sz w:val="24"/>
          <w:lang w:val="en-US" w:eastAsia="zh-CN"/>
        </w:rPr>
        <w:t>四、提交成果</w:t>
      </w:r>
    </w:p>
    <w:bookmarkEnd w:id="59"/>
    <w:p w14:paraId="40CD3C67">
      <w:pPr>
        <w:spacing w:line="240" w:lineRule="auto"/>
        <w:ind w:firstLine="480" w:firstLineChars="200"/>
        <w:outlineLvl w:val="0"/>
        <w:rPr>
          <w:rFonts w:hint="default" w:ascii="方正仿宋_GBK" w:hAnsi="宋体" w:eastAsia="方正仿宋_GBK" w:cs="Times New Roman"/>
          <w:b w:val="0"/>
          <w:bCs/>
          <w:kern w:val="2"/>
          <w:sz w:val="24"/>
          <w:szCs w:val="24"/>
          <w:lang w:val="en-US" w:eastAsia="zh-CN" w:bidi="ar-SA"/>
        </w:rPr>
      </w:pPr>
      <w:r>
        <w:rPr>
          <w:rFonts w:hint="eastAsia" w:ascii="方正仿宋_GBK" w:hAnsi="宋体" w:eastAsia="方正仿宋_GBK" w:cs="Times New Roman"/>
          <w:b w:val="0"/>
          <w:bCs/>
          <w:kern w:val="2"/>
          <w:sz w:val="24"/>
          <w:szCs w:val="24"/>
          <w:lang w:val="en-US" w:eastAsia="zh-CN" w:bidi="ar-SA"/>
        </w:rPr>
        <w:t>1、嘉陵江电子航道图制作与应用方案（审定版）</w:t>
      </w:r>
    </w:p>
    <w:p w14:paraId="3F50D776">
      <w:pPr>
        <w:spacing w:line="240" w:lineRule="auto"/>
        <w:ind w:firstLine="480" w:firstLineChars="200"/>
        <w:rPr>
          <w:rFonts w:hint="eastAsia" w:ascii="方正仿宋_GBK" w:hAnsi="宋体" w:eastAsia="方正仿宋_GBK" w:cs="Times New Roman"/>
          <w:b w:val="0"/>
          <w:bCs/>
          <w:kern w:val="2"/>
          <w:sz w:val="24"/>
          <w:szCs w:val="24"/>
          <w:lang w:val="en-US" w:eastAsia="zh-CN" w:bidi="ar-SA"/>
        </w:rPr>
      </w:pPr>
      <w:r>
        <w:rPr>
          <w:rFonts w:hint="eastAsia" w:ascii="方正仿宋_GBK" w:hAnsi="宋体" w:eastAsia="方正仿宋_GBK" w:cs="Times New Roman"/>
          <w:b w:val="0"/>
          <w:bCs/>
          <w:kern w:val="2"/>
          <w:sz w:val="24"/>
          <w:szCs w:val="24"/>
          <w:lang w:val="en-US" w:eastAsia="zh-CN" w:bidi="ar-SA"/>
        </w:rPr>
        <w:t>2、电子航道图制作与应用工作报告；</w:t>
      </w:r>
    </w:p>
    <w:p w14:paraId="3FB9358B">
      <w:pPr>
        <w:spacing w:line="240" w:lineRule="auto"/>
        <w:ind w:firstLine="480" w:firstLineChars="200"/>
        <w:rPr>
          <w:rFonts w:hint="eastAsia" w:ascii="方正仿宋_GBK" w:hAnsi="宋体" w:eastAsia="方正仿宋_GBK" w:cs="Times New Roman"/>
          <w:b w:val="0"/>
          <w:bCs/>
          <w:kern w:val="2"/>
          <w:sz w:val="24"/>
          <w:szCs w:val="24"/>
          <w:lang w:val="en-US" w:eastAsia="zh-CN" w:bidi="ar-SA"/>
        </w:rPr>
      </w:pPr>
      <w:r>
        <w:rPr>
          <w:rFonts w:hint="eastAsia" w:ascii="方正仿宋_GBK" w:hAnsi="宋体" w:eastAsia="方正仿宋_GBK" w:cs="Times New Roman"/>
          <w:b w:val="0"/>
          <w:bCs/>
          <w:kern w:val="2"/>
          <w:sz w:val="24"/>
          <w:szCs w:val="24"/>
          <w:lang w:val="en-US" w:eastAsia="zh-CN" w:bidi="ar-SA"/>
        </w:rPr>
        <w:t>3、电子航道图制作与应用技术报告；</w:t>
      </w:r>
    </w:p>
    <w:p w14:paraId="6D0BCECB">
      <w:pPr>
        <w:spacing w:line="240" w:lineRule="auto"/>
        <w:ind w:firstLine="480" w:firstLineChars="200"/>
        <w:rPr>
          <w:rFonts w:hint="eastAsia" w:ascii="方正仿宋_GBK" w:hAnsi="宋体" w:eastAsia="方正仿宋_GBK" w:cs="Times New Roman"/>
          <w:b w:val="0"/>
          <w:bCs/>
          <w:kern w:val="2"/>
          <w:sz w:val="24"/>
          <w:szCs w:val="24"/>
          <w:lang w:val="en-US" w:eastAsia="zh-CN" w:bidi="ar-SA"/>
        </w:rPr>
      </w:pPr>
      <w:r>
        <w:rPr>
          <w:rFonts w:hint="eastAsia" w:ascii="方正仿宋_GBK" w:hAnsi="宋体" w:eastAsia="方正仿宋_GBK" w:cs="Times New Roman"/>
          <w:b w:val="0"/>
          <w:bCs/>
          <w:kern w:val="2"/>
          <w:sz w:val="24"/>
          <w:szCs w:val="24"/>
          <w:lang w:val="en-US" w:eastAsia="zh-CN" w:bidi="ar-SA"/>
        </w:rPr>
        <w:t>4、电子航道图产品文件（000格式）；</w:t>
      </w:r>
    </w:p>
    <w:p w14:paraId="7AD1CC15">
      <w:pPr>
        <w:spacing w:line="240" w:lineRule="auto"/>
        <w:ind w:firstLine="480" w:firstLineChars="200"/>
        <w:rPr>
          <w:rFonts w:hint="eastAsia" w:ascii="方正仿宋_GBK" w:hAnsi="宋体" w:eastAsia="方正仿宋_GBK" w:cs="Times New Roman"/>
          <w:b w:val="0"/>
          <w:bCs/>
          <w:kern w:val="2"/>
          <w:sz w:val="24"/>
          <w:szCs w:val="24"/>
          <w:lang w:val="en-US" w:eastAsia="zh-CN" w:bidi="ar-SA"/>
        </w:rPr>
      </w:pPr>
      <w:r>
        <w:rPr>
          <w:rFonts w:hint="eastAsia" w:ascii="方正仿宋_GBK" w:hAnsi="宋体" w:eastAsia="方正仿宋_GBK" w:cs="Times New Roman"/>
          <w:b w:val="0"/>
          <w:bCs/>
          <w:kern w:val="2"/>
          <w:sz w:val="24"/>
          <w:szCs w:val="24"/>
          <w:lang w:val="en-US" w:eastAsia="zh-CN" w:bidi="ar-SA"/>
        </w:rPr>
        <w:t>5、提交符合重庆市航道数据库准入标准电子航道图GDB。</w:t>
      </w:r>
    </w:p>
    <w:p w14:paraId="7B468EC9">
      <w:pPr>
        <w:spacing w:line="400" w:lineRule="exact"/>
        <w:ind w:firstLine="480" w:firstLineChars="200"/>
        <w:rPr>
          <w:rFonts w:ascii="方正仿宋_GBK" w:hAnsi="宋体" w:eastAsia="方正仿宋_GBK"/>
          <w:sz w:val="24"/>
          <w:szCs w:val="24"/>
        </w:rPr>
      </w:pPr>
    </w:p>
    <w:p w14:paraId="1A45A3F0">
      <w:pPr>
        <w:spacing w:line="400" w:lineRule="exact"/>
        <w:ind w:firstLine="480" w:firstLineChars="200"/>
        <w:rPr>
          <w:rFonts w:ascii="方正仿宋_GBK" w:hAnsi="宋体" w:eastAsia="方正仿宋_GBK"/>
          <w:sz w:val="24"/>
          <w:szCs w:val="24"/>
        </w:rPr>
      </w:pPr>
    </w:p>
    <w:p w14:paraId="3289603B">
      <w:pPr>
        <w:pStyle w:val="2"/>
        <w:spacing w:before="0" w:after="0" w:line="360" w:lineRule="auto"/>
        <w:jc w:val="center"/>
        <w:rPr>
          <w:rFonts w:ascii="方正小标宋_GBK" w:eastAsia="方正小标宋_GBK"/>
          <w:b w:val="0"/>
          <w:sz w:val="36"/>
          <w:szCs w:val="30"/>
        </w:rPr>
      </w:pPr>
      <w:r>
        <w:rPr>
          <w:rFonts w:ascii="方正小标宋_GBK" w:hAnsi="宋体" w:eastAsia="方正小标宋_GBK"/>
          <w:b w:val="0"/>
          <w:sz w:val="36"/>
          <w:szCs w:val="30"/>
        </w:rPr>
        <w:br w:type="page"/>
      </w:r>
      <w:bookmarkStart w:id="60" w:name="_Toc15492"/>
      <w:bookmarkStart w:id="61" w:name="_Toc13356"/>
      <w:bookmarkStart w:id="62" w:name="_Toc523"/>
      <w:bookmarkStart w:id="63" w:name="_Toc65660341"/>
      <w:bookmarkStart w:id="64" w:name="_Toc106034781"/>
      <w:r>
        <w:rPr>
          <w:rFonts w:hint="eastAsia" w:ascii="方正小标宋_GBK" w:eastAsia="方正小标宋_GBK"/>
          <w:b w:val="0"/>
          <w:sz w:val="36"/>
          <w:szCs w:val="30"/>
        </w:rPr>
        <w:t xml:space="preserve">第三篇  </w:t>
      </w:r>
      <w:bookmarkEnd w:id="52"/>
      <w:r>
        <w:rPr>
          <w:rFonts w:hint="eastAsia" w:ascii="方正小标宋_GBK" w:eastAsia="方正小标宋_GBK"/>
          <w:b w:val="0"/>
          <w:sz w:val="36"/>
          <w:szCs w:val="30"/>
        </w:rPr>
        <w:t>项目</w:t>
      </w:r>
      <w:bookmarkEnd w:id="60"/>
      <w:bookmarkEnd w:id="61"/>
      <w:bookmarkEnd w:id="62"/>
      <w:bookmarkEnd w:id="63"/>
      <w:r>
        <w:rPr>
          <w:rFonts w:hint="eastAsia" w:ascii="方正小标宋_GBK" w:eastAsia="方正小标宋_GBK"/>
          <w:b w:val="0"/>
          <w:sz w:val="36"/>
          <w:szCs w:val="30"/>
        </w:rPr>
        <w:t>商务需求</w:t>
      </w:r>
      <w:bookmarkEnd w:id="64"/>
    </w:p>
    <w:p w14:paraId="1EF5C409">
      <w:pPr>
        <w:pStyle w:val="2"/>
        <w:adjustRightInd w:val="0"/>
        <w:snapToGrid w:val="0"/>
        <w:spacing w:before="0" w:after="0" w:line="400" w:lineRule="exact"/>
        <w:ind w:firstLine="480" w:firstLineChars="200"/>
        <w:rPr>
          <w:rFonts w:ascii="方正仿宋_GBK" w:hAnsi="宋体" w:eastAsia="方正仿宋_GBK"/>
          <w:sz w:val="24"/>
        </w:rPr>
      </w:pPr>
      <w:bookmarkStart w:id="65" w:name="_Toc17750"/>
      <w:bookmarkStart w:id="66" w:name="_Toc65660342"/>
      <w:bookmarkStart w:id="67" w:name="_Toc12935"/>
      <w:bookmarkStart w:id="68" w:name="_Toc106034782"/>
      <w:bookmarkStart w:id="69" w:name="_Toc13555"/>
      <w:bookmarkStart w:id="70" w:name="_Toc342913389"/>
      <w:r>
        <w:rPr>
          <w:rFonts w:hint="eastAsia" w:ascii="方正仿宋_GBK" w:hAnsi="宋体" w:eastAsia="方正仿宋_GBK"/>
          <w:sz w:val="24"/>
        </w:rPr>
        <w:t>一、交货时间/服务期、地点及验收方式</w:t>
      </w:r>
      <w:bookmarkEnd w:id="65"/>
      <w:bookmarkEnd w:id="66"/>
      <w:bookmarkEnd w:id="67"/>
      <w:bookmarkEnd w:id="68"/>
      <w:bookmarkEnd w:id="69"/>
    </w:p>
    <w:p w14:paraId="287B44E4">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（一）服务期：合同签订后</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0个日历日内完成全部</w:t>
      </w:r>
      <w:r>
        <w:rPr>
          <w:rFonts w:hint="eastAsia" w:ascii="方正仿宋_GBK" w:hAnsi="宋体" w:eastAsia="方正仿宋_GBK"/>
          <w:sz w:val="24"/>
          <w:szCs w:val="24"/>
          <w:lang w:val="en-US" w:eastAsia="zh-CN"/>
        </w:rPr>
        <w:t>编制</w:t>
      </w:r>
      <w:r>
        <w:rPr>
          <w:rFonts w:hint="eastAsia" w:ascii="宋体" w:hAnsi="宋体" w:cs="宋体"/>
          <w:color w:val="auto"/>
          <w:sz w:val="24"/>
          <w:szCs w:val="24"/>
        </w:rPr>
        <w:t>。</w:t>
      </w:r>
    </w:p>
    <w:p w14:paraId="0529C226">
      <w:pPr>
        <w:adjustRightInd w:val="0"/>
        <w:snapToGrid w:val="0"/>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（二）服务地点：重庆市嘉陵江航道管理处。</w:t>
      </w:r>
    </w:p>
    <w:p w14:paraId="1998EA8D">
      <w:pPr>
        <w:pStyle w:val="2"/>
        <w:adjustRightInd w:val="0"/>
        <w:snapToGrid w:val="0"/>
        <w:spacing w:before="0" w:after="0"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（三）验收方式</w:t>
      </w:r>
      <w:r>
        <w:rPr>
          <w:rFonts w:hint="eastAsia" w:ascii="方正仿宋_GBK" w:hAnsi="宋体" w:eastAsia="方正仿宋_GBK"/>
          <w:sz w:val="24"/>
          <w:szCs w:val="24"/>
          <w:lang w:eastAsia="zh-CN"/>
        </w:rPr>
        <w:t>及验收标准</w:t>
      </w:r>
    </w:p>
    <w:p w14:paraId="37EB27B3">
      <w:pPr>
        <w:snapToGrid w:val="0"/>
        <w:spacing w:line="400" w:lineRule="exact"/>
        <w:ind w:firstLine="480" w:firstLineChars="200"/>
        <w:rPr>
          <w:rFonts w:hint="eastAsia" w:ascii="方正仿宋_GBK" w:hAnsi="宋体" w:eastAsia="方正仿宋_GBK"/>
          <w:color w:val="auto"/>
          <w:sz w:val="24"/>
          <w:szCs w:val="24"/>
        </w:rPr>
      </w:pPr>
      <w:bookmarkStart w:id="71" w:name="_Toc1838"/>
      <w:bookmarkStart w:id="72" w:name="_Toc65660343"/>
      <w:bookmarkStart w:id="73" w:name="_Toc24110"/>
      <w:bookmarkStart w:id="74" w:name="_Toc8103"/>
      <w:bookmarkStart w:id="75" w:name="_Toc106034783"/>
      <w:r>
        <w:rPr>
          <w:rFonts w:hint="eastAsia" w:ascii="方正仿宋_GBK" w:hAnsi="宋体" w:eastAsia="方正仿宋_GBK"/>
          <w:color w:val="auto"/>
          <w:sz w:val="24"/>
          <w:szCs w:val="24"/>
        </w:rPr>
        <w:t>1、成交单位应有完善的质量检测手段和质量保证体系，</w:t>
      </w:r>
      <w:r>
        <w:rPr>
          <w:rFonts w:hint="eastAsia" w:ascii="方正仿宋_GBK" w:hAnsi="宋体" w:eastAsia="方正仿宋_GBK"/>
          <w:color w:val="auto"/>
          <w:sz w:val="24"/>
          <w:szCs w:val="24"/>
          <w:lang w:val="en-US" w:eastAsia="zh-CN"/>
        </w:rPr>
        <w:t>提交的编制成果</w:t>
      </w:r>
      <w:r>
        <w:rPr>
          <w:rFonts w:hint="eastAsia" w:ascii="方正仿宋_GBK" w:hAnsi="宋体" w:eastAsia="方正仿宋_GBK"/>
          <w:color w:val="auto"/>
          <w:sz w:val="24"/>
          <w:szCs w:val="24"/>
        </w:rPr>
        <w:t>必须符合国家标准和行业标准；</w:t>
      </w:r>
    </w:p>
    <w:p w14:paraId="61F6AE84">
      <w:pPr>
        <w:snapToGrid w:val="0"/>
        <w:spacing w:line="400" w:lineRule="exact"/>
        <w:ind w:firstLine="480" w:firstLineChars="200"/>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rPr>
        <w:t>2、</w:t>
      </w:r>
      <w:r>
        <w:rPr>
          <w:rFonts w:hint="eastAsia" w:ascii="方正仿宋_GBK" w:hAnsi="宋体" w:eastAsia="方正仿宋_GBK"/>
          <w:color w:val="auto"/>
          <w:sz w:val="24"/>
          <w:szCs w:val="24"/>
          <w:lang w:val="en-US" w:eastAsia="zh-CN"/>
        </w:rPr>
        <w:t>项目全部完工并自检合格后，供应商向采购人提交完整的竣工资料和验收申请，采购人在收到经交通部相关电子航道图接收部门审查合格编制成果资料和验收申请之日起15日内对资料进行审核并组织验收，若提交成果资料不满足相关要求，供应商需整改并重新申请验收；</w:t>
      </w:r>
    </w:p>
    <w:p w14:paraId="6CC35EF4">
      <w:pPr>
        <w:pStyle w:val="2"/>
        <w:adjustRightInd w:val="0"/>
        <w:snapToGrid w:val="0"/>
        <w:spacing w:before="0" w:after="0" w:line="400" w:lineRule="exact"/>
        <w:ind w:firstLine="480" w:firstLineChars="200"/>
        <w:rPr>
          <w:rFonts w:hint="eastAsia" w:ascii="方正仿宋_GBK" w:hAnsi="宋体" w:eastAsia="方正仿宋_GBK"/>
          <w:sz w:val="24"/>
          <w:lang w:eastAsia="zh-CN"/>
        </w:rPr>
      </w:pPr>
      <w:r>
        <w:rPr>
          <w:rFonts w:hint="eastAsia" w:ascii="方正仿宋_GBK" w:hAnsi="宋体" w:eastAsia="方正仿宋_GBK"/>
          <w:sz w:val="24"/>
        </w:rPr>
        <w:t>二、质量保证</w:t>
      </w:r>
      <w:bookmarkEnd w:id="71"/>
      <w:bookmarkEnd w:id="72"/>
      <w:bookmarkEnd w:id="73"/>
      <w:bookmarkEnd w:id="74"/>
      <w:bookmarkEnd w:id="75"/>
      <w:r>
        <w:rPr>
          <w:rFonts w:hint="eastAsia" w:ascii="方正仿宋_GBK" w:hAnsi="宋体" w:eastAsia="方正仿宋_GBK"/>
          <w:sz w:val="24"/>
          <w:lang w:eastAsia="zh-CN"/>
        </w:rPr>
        <w:t>及售后</w:t>
      </w:r>
    </w:p>
    <w:p w14:paraId="13DF003D">
      <w:pPr>
        <w:snapToGrid w:val="0"/>
        <w:spacing w:line="400" w:lineRule="exact"/>
        <w:ind w:firstLine="480" w:firstLineChars="200"/>
        <w:rPr>
          <w:rFonts w:hint="eastAsia" w:ascii="方正仿宋_GBK" w:hAnsi="宋体" w:eastAsia="方正仿宋_GBK"/>
          <w:color w:val="auto"/>
          <w:sz w:val="24"/>
          <w:szCs w:val="24"/>
        </w:rPr>
      </w:pPr>
      <w:bookmarkStart w:id="76" w:name="_Toc12184"/>
      <w:bookmarkStart w:id="77" w:name="_Toc65660344"/>
      <w:bookmarkStart w:id="78" w:name="_Toc16974"/>
      <w:bookmarkStart w:id="79" w:name="_Toc106034784"/>
      <w:bookmarkStart w:id="80" w:name="_Toc122"/>
      <w:r>
        <w:rPr>
          <w:rFonts w:hint="eastAsia" w:ascii="方正仿宋_GBK" w:hAnsi="宋体" w:eastAsia="方正仿宋_GBK"/>
          <w:color w:val="auto"/>
          <w:sz w:val="24"/>
          <w:szCs w:val="24"/>
          <w:lang w:val="en-US" w:eastAsia="zh-CN"/>
        </w:rPr>
        <w:t>1、提交的*.000成果文件</w:t>
      </w:r>
      <w:r>
        <w:rPr>
          <w:rFonts w:hint="eastAsia" w:ascii="方正仿宋_GBK" w:hAnsi="宋体" w:eastAsia="方正仿宋_GBK"/>
          <w:color w:val="auto"/>
          <w:sz w:val="24"/>
          <w:szCs w:val="24"/>
        </w:rPr>
        <w:t>满足《</w:t>
      </w:r>
      <w:r>
        <w:rPr>
          <w:rFonts w:hint="eastAsia" w:ascii="方正仿宋_GBK" w:hAnsi="宋体" w:eastAsia="方正仿宋_GBK"/>
          <w:color w:val="auto"/>
          <w:sz w:val="24"/>
          <w:szCs w:val="24"/>
          <w:lang w:val="en-US" w:eastAsia="zh-CN"/>
        </w:rPr>
        <w:t>内河电子航道图技术规范</w:t>
      </w:r>
      <w:r>
        <w:rPr>
          <w:rFonts w:hint="eastAsia" w:ascii="方正仿宋_GBK" w:hAnsi="宋体" w:eastAsia="方正仿宋_GBK"/>
          <w:color w:val="auto"/>
          <w:sz w:val="24"/>
          <w:szCs w:val="24"/>
        </w:rPr>
        <w:t>》相关要求。</w:t>
      </w:r>
    </w:p>
    <w:p w14:paraId="54A09EC8">
      <w:pPr>
        <w:snapToGrid w:val="0"/>
        <w:spacing w:line="400" w:lineRule="exact"/>
        <w:ind w:firstLine="480" w:firstLineChars="200"/>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2、</w:t>
      </w:r>
      <w:r>
        <w:rPr>
          <w:rFonts w:hint="eastAsia" w:ascii="方正仿宋_GBK" w:hAnsi="宋体" w:eastAsia="方正仿宋_GBK"/>
          <w:color w:val="auto"/>
          <w:sz w:val="24"/>
          <w:szCs w:val="24"/>
        </w:rPr>
        <w:t>正常</w:t>
      </w:r>
      <w:r>
        <w:rPr>
          <w:rFonts w:hint="eastAsia" w:ascii="方正仿宋_GBK" w:hAnsi="宋体" w:eastAsia="方正仿宋_GBK"/>
          <w:color w:val="auto"/>
          <w:sz w:val="24"/>
          <w:szCs w:val="24"/>
          <w:lang w:val="en-US" w:eastAsia="zh-CN"/>
        </w:rPr>
        <w:t>水文</w:t>
      </w:r>
      <w:r>
        <w:rPr>
          <w:rFonts w:hint="eastAsia" w:ascii="方正仿宋_GBK" w:hAnsi="宋体" w:eastAsia="方正仿宋_GBK"/>
          <w:color w:val="auto"/>
          <w:sz w:val="24"/>
          <w:szCs w:val="24"/>
        </w:rPr>
        <w:t>条件下，</w:t>
      </w:r>
      <w:r>
        <w:rPr>
          <w:rFonts w:hint="eastAsia" w:ascii="方正仿宋_GBK" w:hAnsi="宋体" w:eastAsia="方正仿宋_GBK"/>
          <w:color w:val="auto"/>
          <w:sz w:val="24"/>
          <w:szCs w:val="24"/>
          <w:lang w:val="en-US" w:eastAsia="zh-CN"/>
        </w:rPr>
        <w:t>嘉陵江电子航道图更新</w:t>
      </w:r>
      <w:r>
        <w:rPr>
          <w:rFonts w:hint="eastAsia" w:ascii="方正仿宋_GBK" w:hAnsi="宋体" w:eastAsia="方正仿宋_GBK"/>
          <w:color w:val="auto"/>
          <w:sz w:val="24"/>
          <w:szCs w:val="24"/>
        </w:rPr>
        <w:t>为5年；</w:t>
      </w:r>
      <w:r>
        <w:rPr>
          <w:rFonts w:hint="eastAsia" w:ascii="方正仿宋_GBK" w:hAnsi="宋体" w:eastAsia="方正仿宋_GBK"/>
          <w:color w:val="auto"/>
          <w:sz w:val="24"/>
          <w:szCs w:val="24"/>
          <w:lang w:val="en-US" w:eastAsia="zh-CN"/>
        </w:rPr>
        <w:t>开发完成后第1年根据业主提供1:2000全河段地形图，免费更新一次水深点、等深线及新建桥梁和过江线缆等新增地物。</w:t>
      </w:r>
    </w:p>
    <w:p w14:paraId="142DB9E8">
      <w:pPr>
        <w:snapToGrid w:val="0"/>
        <w:spacing w:line="400" w:lineRule="exact"/>
        <w:ind w:firstLine="480" w:firstLineChars="200"/>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3、对招标人技术人员进行2次共计2周的技术培训，培训内容包含不限于内河电子航道图更新。</w:t>
      </w:r>
    </w:p>
    <w:p w14:paraId="213BE8BD">
      <w:pPr>
        <w:pStyle w:val="2"/>
        <w:adjustRightInd w:val="0"/>
        <w:snapToGrid w:val="0"/>
        <w:spacing w:before="0" w:after="0" w:line="240" w:lineRule="auto"/>
        <w:ind w:firstLine="480" w:firstLineChars="200"/>
        <w:rPr>
          <w:rFonts w:ascii="方正仿宋_GBK" w:hAnsi="宋体" w:eastAsia="方正仿宋_GBK"/>
          <w:sz w:val="24"/>
        </w:rPr>
      </w:pPr>
      <w:r>
        <w:rPr>
          <w:rFonts w:hint="eastAsia" w:ascii="方正仿宋_GBK" w:hAnsi="宋体" w:eastAsia="方正仿宋_GBK"/>
          <w:sz w:val="24"/>
        </w:rPr>
        <w:t>三、报价要求</w:t>
      </w:r>
      <w:bookmarkEnd w:id="76"/>
      <w:bookmarkEnd w:id="77"/>
      <w:bookmarkEnd w:id="78"/>
      <w:bookmarkEnd w:id="79"/>
      <w:bookmarkEnd w:id="80"/>
    </w:p>
    <w:p w14:paraId="6AB0BF4B">
      <w:pPr>
        <w:snapToGrid w:val="0"/>
        <w:spacing w:line="400" w:lineRule="exact"/>
        <w:ind w:firstLine="480" w:firstLineChars="200"/>
        <w:rPr>
          <w:rFonts w:hint="eastAsia" w:ascii="方正仿宋_GBK" w:hAnsi="宋体" w:eastAsia="方正仿宋_GBK"/>
          <w:color w:val="auto"/>
          <w:sz w:val="24"/>
          <w:szCs w:val="24"/>
          <w:lang w:val="en-US" w:eastAsia="zh-CN"/>
        </w:rPr>
      </w:pPr>
      <w:bookmarkStart w:id="81" w:name="_Toc7562"/>
      <w:bookmarkStart w:id="82" w:name="_Toc11000"/>
      <w:bookmarkStart w:id="83" w:name="_Toc106034785"/>
      <w:bookmarkStart w:id="84" w:name="_Toc9192"/>
      <w:bookmarkStart w:id="85" w:name="_Toc65660345"/>
      <w:r>
        <w:rPr>
          <w:rFonts w:hint="eastAsia" w:ascii="方正仿宋_GBK" w:hAnsi="宋体" w:eastAsia="方正仿宋_GBK"/>
          <w:color w:val="auto"/>
          <w:sz w:val="24"/>
          <w:szCs w:val="24"/>
          <w:lang w:val="en-US" w:eastAsia="zh-CN"/>
        </w:rPr>
        <w:t>本项目实行固定总价包干，投标人应根据本项目自行考虑投标总报价，中标价即为合同价。</w:t>
      </w:r>
    </w:p>
    <w:p w14:paraId="3A44545B">
      <w:pPr>
        <w:snapToGrid w:val="0"/>
        <w:spacing w:line="400" w:lineRule="exact"/>
        <w:ind w:firstLine="480" w:firstLineChars="200"/>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1、本招标项目报价以人民币报价。</w:t>
      </w:r>
    </w:p>
    <w:p w14:paraId="6D6093A8">
      <w:pPr>
        <w:snapToGrid w:val="0"/>
        <w:spacing w:line="400" w:lineRule="exact"/>
        <w:ind w:firstLine="480" w:firstLineChars="200"/>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2、投标报价：本项目</w:t>
      </w:r>
      <w:r>
        <w:rPr>
          <w:rFonts w:hint="eastAsia" w:ascii="方正仿宋_GBK" w:hAnsi="宋体" w:eastAsia="方正仿宋_GBK"/>
          <w:color w:val="auto"/>
          <w:sz w:val="24"/>
          <w:szCs w:val="24"/>
          <w:lang w:val="zh-CN" w:eastAsia="zh-CN"/>
        </w:rPr>
        <w:t>超过最高限价的报价无效，</w:t>
      </w:r>
      <w:r>
        <w:rPr>
          <w:rFonts w:hint="eastAsia" w:ascii="方正仿宋_GBK" w:hAnsi="宋体" w:eastAsia="方正仿宋_GBK"/>
          <w:color w:val="auto"/>
          <w:sz w:val="24"/>
          <w:szCs w:val="24"/>
          <w:lang w:val="en-US" w:eastAsia="zh-CN"/>
        </w:rPr>
        <w:t>投标人根据自身条件自行分项报价，报价应包括人工费、材料费、软件授权费、管理费、安全文明专项措施费、环境保护专项措施费、利润、承包商承担的风险综合单价以及政府有关部门收取的规费等全部费用。因投标人自身原因造成漏报、少报皆由其自行承担责任，采购人不再补偿。</w:t>
      </w:r>
    </w:p>
    <w:p w14:paraId="3DC509BE">
      <w:pPr>
        <w:snapToGrid w:val="0"/>
        <w:spacing w:line="400" w:lineRule="exact"/>
        <w:ind w:firstLine="480" w:firstLineChars="200"/>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3、报价范围：本项目按照工作方案编制、数据补测、电子航道图制作、电子航道图联通四个分项，由供应商根据分项工作内容自行完成项目组价。</w:t>
      </w:r>
    </w:p>
    <w:p w14:paraId="0DB2254D">
      <w:pPr>
        <w:snapToGrid w:val="0"/>
        <w:spacing w:line="400" w:lineRule="exact"/>
        <w:ind w:firstLine="480" w:firstLineChars="200"/>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4、报价依据：投标人依据《中华人民共和国交通运输部》2024年发布的JTS/T 273-2024《水运工程测量定额》和JTS/T 116-4-2024《水运工程测量费用计算规则》。及相关配套文件结合市场行情自主报价；</w:t>
      </w:r>
    </w:p>
    <w:p w14:paraId="08ECCC43">
      <w:pPr>
        <w:snapToGrid w:val="0"/>
        <w:spacing w:line="400" w:lineRule="exact"/>
        <w:ind w:firstLine="480" w:firstLineChars="200"/>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 xml:space="preserve">5、取费标准：按相应困难类别执行； </w:t>
      </w:r>
    </w:p>
    <w:p w14:paraId="6EA4D747">
      <w:pPr>
        <w:snapToGrid w:val="0"/>
        <w:spacing w:line="400" w:lineRule="exact"/>
        <w:ind w:firstLine="480" w:firstLineChars="200"/>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6、人工费：由企业结合市场行情自主报价，中标后，人工费不作调整；</w:t>
      </w:r>
    </w:p>
    <w:p w14:paraId="2334F51A">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7、安全文明施工费按</w:t>
      </w:r>
      <w:r>
        <w:rPr>
          <w:rFonts w:hint="eastAsia" w:ascii="方正仿宋_GBK" w:hAnsi="宋体" w:eastAsia="方正仿宋_GBK"/>
          <w:color w:val="auto"/>
          <w:sz w:val="24"/>
          <w:szCs w:val="24"/>
          <w:lang w:val="en-US" w:eastAsia="zh-CN"/>
        </w:rPr>
        <w:t>相关</w:t>
      </w:r>
      <w:r>
        <w:rPr>
          <w:rFonts w:hint="eastAsia" w:ascii="方正仿宋_GBK" w:hAnsi="宋体" w:eastAsia="方正仿宋_GBK"/>
          <w:color w:val="auto"/>
          <w:sz w:val="24"/>
          <w:szCs w:val="24"/>
        </w:rPr>
        <w:t>文件规定计取。</w:t>
      </w:r>
    </w:p>
    <w:p w14:paraId="2E5496BD">
      <w:pPr>
        <w:snapToGrid w:val="0"/>
        <w:spacing w:line="400" w:lineRule="exact"/>
        <w:ind w:firstLine="480" w:firstLineChars="200"/>
        <w:rPr>
          <w:rFonts w:hint="eastAsia"/>
          <w:color w:val="auto"/>
        </w:rPr>
      </w:pPr>
      <w:r>
        <w:rPr>
          <w:rFonts w:hint="eastAsia" w:ascii="方正仿宋_GBK" w:hAnsi="宋体" w:eastAsia="方正仿宋_GBK"/>
          <w:color w:val="auto"/>
          <w:sz w:val="24"/>
          <w:szCs w:val="24"/>
          <w:lang w:val="en-US" w:eastAsia="zh-CN"/>
        </w:rPr>
        <w:t>8、</w:t>
      </w:r>
      <w:r>
        <w:rPr>
          <w:rFonts w:hint="eastAsia" w:ascii="方正仿宋_GBK" w:hAnsi="宋体" w:eastAsia="方正仿宋_GBK"/>
          <w:color w:val="auto"/>
          <w:sz w:val="24"/>
          <w:szCs w:val="24"/>
        </w:rPr>
        <w:t>投标人应先到现场踏勘以充分了解</w:t>
      </w:r>
      <w:r>
        <w:rPr>
          <w:rFonts w:hint="eastAsia" w:ascii="方正仿宋_GBK" w:hAnsi="宋体" w:eastAsia="方正仿宋_GBK"/>
          <w:color w:val="auto"/>
          <w:sz w:val="24"/>
          <w:szCs w:val="24"/>
          <w:lang w:val="en-US" w:eastAsia="zh-CN"/>
        </w:rPr>
        <w:t>项目</w:t>
      </w:r>
      <w:r>
        <w:rPr>
          <w:rFonts w:hint="eastAsia" w:ascii="方正仿宋_GBK" w:hAnsi="宋体" w:eastAsia="方正仿宋_GBK"/>
          <w:color w:val="auto"/>
          <w:sz w:val="24"/>
          <w:szCs w:val="24"/>
        </w:rPr>
        <w:t>位置情况、道路及任何其它足以影响报价的情况，任何因忽视或误解工况而导致的索赔或工期延长申请将不获批准。</w:t>
      </w:r>
    </w:p>
    <w:p w14:paraId="6A1BF06E">
      <w:pPr>
        <w:pStyle w:val="2"/>
        <w:adjustRightInd w:val="0"/>
        <w:snapToGrid w:val="0"/>
        <w:spacing w:before="0" w:after="0" w:line="240" w:lineRule="auto"/>
        <w:ind w:firstLine="480" w:firstLineChars="200"/>
        <w:rPr>
          <w:rFonts w:hint="eastAsia" w:ascii="方正仿宋_GBK" w:hAnsi="宋体" w:eastAsia="方正仿宋_GBK"/>
          <w:sz w:val="24"/>
        </w:rPr>
      </w:pPr>
      <w:r>
        <w:rPr>
          <w:rFonts w:hint="eastAsia" w:ascii="方正仿宋_GBK" w:hAnsi="宋体" w:eastAsia="方正仿宋_GBK"/>
          <w:sz w:val="24"/>
        </w:rPr>
        <w:t>四、付款方式</w:t>
      </w:r>
      <w:bookmarkEnd w:id="81"/>
      <w:bookmarkEnd w:id="82"/>
      <w:bookmarkEnd w:id="83"/>
      <w:bookmarkEnd w:id="84"/>
      <w:bookmarkEnd w:id="85"/>
    </w:p>
    <w:p w14:paraId="12374334">
      <w:pPr>
        <w:pStyle w:val="2"/>
        <w:adjustRightInd w:val="0"/>
        <w:snapToGrid w:val="0"/>
        <w:spacing w:before="0" w:after="0" w:line="400" w:lineRule="exact"/>
        <w:ind w:firstLine="480" w:firstLineChars="200"/>
        <w:rPr>
          <w:rStyle w:val="26"/>
          <w:rFonts w:hint="eastAsia" w:ascii="方正仿宋_GBK" w:hAnsi="仿宋" w:eastAsia="方正仿宋_GBK"/>
          <w:b w:val="0"/>
          <w:sz w:val="24"/>
          <w:szCs w:val="24"/>
        </w:rPr>
      </w:pPr>
      <w:bookmarkStart w:id="86" w:name="_Toc65660346"/>
      <w:bookmarkStart w:id="87" w:name="_Toc106034786"/>
      <w:bookmarkStart w:id="88" w:name="_Toc3786"/>
      <w:bookmarkStart w:id="89" w:name="_Toc7228"/>
      <w:bookmarkStart w:id="90" w:name="_Toc24751"/>
      <w:r>
        <w:rPr>
          <w:rStyle w:val="26"/>
          <w:rFonts w:hint="eastAsia" w:ascii="方正仿宋_GBK" w:hAnsi="仿宋" w:eastAsia="方正仿宋_GBK"/>
          <w:b w:val="0"/>
          <w:sz w:val="24"/>
          <w:szCs w:val="24"/>
        </w:rPr>
        <w:t>本项目分</w:t>
      </w:r>
      <w:r>
        <w:rPr>
          <w:rStyle w:val="26"/>
          <w:rFonts w:hint="eastAsia" w:ascii="方正仿宋_GBK" w:hAnsi="仿宋" w:eastAsia="方正仿宋_GBK"/>
          <w:b w:val="0"/>
          <w:sz w:val="24"/>
          <w:szCs w:val="24"/>
          <w:lang w:val="en-US"/>
        </w:rPr>
        <w:t>三</w:t>
      </w:r>
      <w:r>
        <w:rPr>
          <w:rStyle w:val="26"/>
          <w:rFonts w:hint="eastAsia" w:ascii="方正仿宋_GBK" w:hAnsi="仿宋" w:eastAsia="方正仿宋_GBK"/>
          <w:b w:val="0"/>
          <w:sz w:val="24"/>
          <w:szCs w:val="24"/>
        </w:rPr>
        <w:t>次付款，签订合同之后供应商提供正式发票,采购人支付合同金额的</w:t>
      </w:r>
      <w:r>
        <w:rPr>
          <w:rStyle w:val="26"/>
          <w:rFonts w:hint="eastAsia" w:ascii="方正仿宋_GBK" w:hAnsi="仿宋" w:eastAsia="方正仿宋_GBK"/>
          <w:b w:val="0"/>
          <w:sz w:val="24"/>
          <w:szCs w:val="24"/>
          <w:lang w:val="en-US"/>
        </w:rPr>
        <w:t>3</w:t>
      </w:r>
      <w:r>
        <w:rPr>
          <w:rStyle w:val="26"/>
          <w:rFonts w:hint="eastAsia" w:ascii="方正仿宋_GBK" w:hAnsi="仿宋" w:eastAsia="方正仿宋_GBK"/>
          <w:b w:val="0"/>
          <w:sz w:val="24"/>
          <w:szCs w:val="24"/>
        </w:rPr>
        <w:t>0%；成交供应商完成服务，</w:t>
      </w:r>
      <w:r>
        <w:rPr>
          <w:rStyle w:val="26"/>
          <w:rFonts w:hint="eastAsia" w:ascii="方正仿宋_GBK" w:hAnsi="仿宋" w:eastAsia="方正仿宋_GBK"/>
          <w:b w:val="0"/>
          <w:sz w:val="24"/>
          <w:szCs w:val="24"/>
          <w:lang w:val="en-US" w:eastAsia="zh-CN"/>
        </w:rPr>
        <w:t>项目全部完工且验收合格后</w:t>
      </w:r>
      <w:r>
        <w:rPr>
          <w:rStyle w:val="26"/>
          <w:rFonts w:hint="eastAsia" w:ascii="方正仿宋_GBK" w:hAnsi="仿宋" w:eastAsia="方正仿宋_GBK"/>
          <w:b w:val="0"/>
          <w:sz w:val="24"/>
          <w:szCs w:val="24"/>
        </w:rPr>
        <w:t>，供应商提供正式发票,采购人支付合同金额的</w:t>
      </w:r>
      <w:r>
        <w:rPr>
          <w:rStyle w:val="26"/>
          <w:rFonts w:hint="eastAsia" w:ascii="方正仿宋_GBK" w:hAnsi="仿宋" w:eastAsia="方正仿宋_GBK"/>
          <w:b w:val="0"/>
          <w:sz w:val="24"/>
          <w:szCs w:val="24"/>
          <w:lang w:val="en-US"/>
        </w:rPr>
        <w:t>5</w:t>
      </w:r>
      <w:r>
        <w:rPr>
          <w:rStyle w:val="26"/>
          <w:rFonts w:hint="eastAsia" w:ascii="方正仿宋_GBK" w:hAnsi="仿宋" w:eastAsia="方正仿宋_GBK"/>
          <w:b w:val="0"/>
          <w:sz w:val="24"/>
          <w:szCs w:val="24"/>
        </w:rPr>
        <w:t>0%；</w:t>
      </w:r>
      <w:r>
        <w:rPr>
          <w:rStyle w:val="26"/>
          <w:rFonts w:hint="eastAsia" w:ascii="方正仿宋_GBK" w:hAnsi="仿宋" w:eastAsia="方正仿宋_GBK"/>
          <w:b w:val="0"/>
          <w:sz w:val="24"/>
          <w:szCs w:val="24"/>
          <w:lang w:val="en-US"/>
        </w:rPr>
        <w:t>结算审查后支付剩余合同款项</w:t>
      </w:r>
      <w:r>
        <w:rPr>
          <w:rStyle w:val="26"/>
          <w:rFonts w:hint="eastAsia" w:ascii="方正仿宋_GBK" w:hAnsi="仿宋" w:eastAsia="方正仿宋_GBK"/>
          <w:b w:val="0"/>
          <w:sz w:val="24"/>
          <w:szCs w:val="24"/>
        </w:rPr>
        <w:t>。</w:t>
      </w:r>
    </w:p>
    <w:p w14:paraId="732B4249">
      <w:pPr>
        <w:pStyle w:val="2"/>
        <w:adjustRightInd w:val="0"/>
        <w:snapToGrid w:val="0"/>
        <w:spacing w:before="0" w:after="0" w:line="400" w:lineRule="exact"/>
        <w:ind w:firstLine="480" w:firstLineChars="200"/>
        <w:rPr>
          <w:rFonts w:hint="eastAsia" w:ascii="方正仿宋_GBK" w:hAnsi="宋体" w:eastAsia="方正仿宋_GBK"/>
          <w:sz w:val="24"/>
          <w:szCs w:val="24"/>
          <w:lang w:val="en-US" w:eastAsia="zh-CN"/>
        </w:rPr>
      </w:pPr>
      <w:bookmarkStart w:id="91" w:name="_Toc27729"/>
      <w:r>
        <w:rPr>
          <w:rFonts w:hint="eastAsia" w:ascii="方正仿宋_GBK" w:hAnsi="宋体" w:eastAsia="方正仿宋_GBK"/>
          <w:sz w:val="24"/>
          <w:szCs w:val="24"/>
          <w:lang w:val="en-US" w:eastAsia="zh-CN"/>
        </w:rPr>
        <w:t>五、项目人员要求</w:t>
      </w:r>
      <w:bookmarkEnd w:id="91"/>
    </w:p>
    <w:p w14:paraId="67DEA663">
      <w:pPr>
        <w:pStyle w:val="2"/>
        <w:adjustRightInd w:val="0"/>
        <w:snapToGrid w:val="0"/>
        <w:spacing w:before="0" w:after="0" w:line="400" w:lineRule="exact"/>
        <w:ind w:firstLine="480" w:firstLineChars="200"/>
        <w:rPr>
          <w:rStyle w:val="26"/>
          <w:rFonts w:hint="eastAsia" w:ascii="方正仿宋_GBK" w:hAnsi="仿宋" w:eastAsia="方正仿宋_GBK"/>
          <w:b w:val="0"/>
          <w:sz w:val="24"/>
          <w:szCs w:val="24"/>
        </w:rPr>
      </w:pPr>
      <w:r>
        <w:rPr>
          <w:rStyle w:val="26"/>
          <w:rFonts w:hint="eastAsia" w:ascii="方正仿宋_GBK" w:hAnsi="仿宋" w:eastAsia="方正仿宋_GBK"/>
          <w:b w:val="0"/>
          <w:sz w:val="24"/>
          <w:szCs w:val="24"/>
        </w:rPr>
        <w:t>1、投标人为本项目拟派1名项目经理具</w:t>
      </w:r>
      <w:r>
        <w:rPr>
          <w:rStyle w:val="26"/>
          <w:rFonts w:hint="eastAsia" w:ascii="方正仿宋_GBK" w:hAnsi="仿宋" w:eastAsia="方正仿宋_GBK"/>
          <w:b w:val="0"/>
          <w:color w:val="auto"/>
          <w:sz w:val="24"/>
          <w:szCs w:val="24"/>
        </w:rPr>
        <w:t>有</w:t>
      </w:r>
      <w:r>
        <w:rPr>
          <w:rFonts w:hAnsi="宋体" w:cs="宋体"/>
          <w:color w:val="auto"/>
          <w:sz w:val="24"/>
          <w:szCs w:val="24"/>
        </w:rPr>
        <w:t>高级及以上技术职称</w:t>
      </w:r>
      <w:r>
        <w:rPr>
          <w:rFonts w:hint="eastAsia" w:hAnsi="宋体" w:cs="宋体"/>
          <w:color w:val="auto"/>
          <w:sz w:val="24"/>
          <w:szCs w:val="24"/>
          <w:lang w:eastAsia="zh-CN"/>
        </w:rPr>
        <w:t>（</w:t>
      </w:r>
      <w:r>
        <w:rPr>
          <w:rFonts w:hint="eastAsia" w:hAnsi="宋体" w:cs="宋体"/>
          <w:color w:val="auto"/>
          <w:sz w:val="24"/>
          <w:szCs w:val="24"/>
          <w:lang w:val="en-US" w:eastAsia="zh-CN"/>
        </w:rPr>
        <w:t>测绘相关专业）</w:t>
      </w:r>
      <w:r>
        <w:rPr>
          <w:rStyle w:val="26"/>
          <w:rFonts w:hint="eastAsia" w:ascii="方正仿宋_GBK" w:hAnsi="仿宋" w:eastAsia="方正仿宋_GBK"/>
          <w:b w:val="0"/>
          <w:sz w:val="24"/>
          <w:szCs w:val="24"/>
        </w:rPr>
        <w:t>；</w:t>
      </w:r>
    </w:p>
    <w:p w14:paraId="331E36F5">
      <w:pPr>
        <w:spacing w:line="500" w:lineRule="exact"/>
        <w:ind w:firstLine="480" w:firstLineChars="200"/>
        <w:rPr>
          <w:rStyle w:val="26"/>
          <w:rFonts w:hint="eastAsia" w:ascii="方正仿宋_GBK" w:hAnsi="仿宋" w:eastAsia="方正仿宋_GBK"/>
          <w:b w:val="0"/>
          <w:sz w:val="24"/>
          <w:szCs w:val="24"/>
          <w:lang w:val="en-US" w:eastAsia="zh-CN"/>
        </w:rPr>
      </w:pPr>
      <w:r>
        <w:rPr>
          <w:rStyle w:val="26"/>
          <w:rFonts w:hint="eastAsia" w:ascii="方正仿宋_GBK" w:hAnsi="仿宋" w:eastAsia="方正仿宋_GBK"/>
          <w:b w:val="0"/>
          <w:sz w:val="24"/>
          <w:szCs w:val="24"/>
        </w:rPr>
        <w:t>2、投标人为本项目至少拟派2名具备地理信息或电子信息相关专业中级及以上职称的人员；</w:t>
      </w:r>
    </w:p>
    <w:p w14:paraId="5B55B2D4">
      <w:pPr>
        <w:spacing w:line="500" w:lineRule="exact"/>
        <w:ind w:firstLine="480" w:firstLineChars="200"/>
        <w:rPr>
          <w:rStyle w:val="26"/>
          <w:rFonts w:hint="eastAsia" w:ascii="方正仿宋_GBK" w:hAnsi="仿宋" w:eastAsia="方正仿宋_GBK"/>
          <w:b w:val="0"/>
          <w:sz w:val="24"/>
          <w:szCs w:val="24"/>
          <w:lang w:val="en-US" w:eastAsia="zh-CN"/>
        </w:rPr>
      </w:pPr>
      <w:r>
        <w:rPr>
          <w:rStyle w:val="26"/>
          <w:rFonts w:hint="eastAsia" w:ascii="方正仿宋_GBK" w:hAnsi="仿宋" w:eastAsia="方正仿宋_GBK"/>
          <w:b w:val="0"/>
          <w:sz w:val="24"/>
          <w:szCs w:val="24"/>
        </w:rPr>
        <w:t>注：需在投标文件中提供以上对应人员证书扫描件及投标人在开标前六个月（2024年</w:t>
      </w:r>
      <w:r>
        <w:rPr>
          <w:rStyle w:val="26"/>
          <w:rFonts w:hint="eastAsia" w:ascii="方正仿宋_GBK" w:hAnsi="仿宋" w:eastAsia="方正仿宋_GBK"/>
          <w:b w:val="0"/>
          <w:sz w:val="24"/>
          <w:szCs w:val="24"/>
          <w:lang w:val="en-US"/>
        </w:rPr>
        <w:t>4</w:t>
      </w:r>
      <w:r>
        <w:rPr>
          <w:rStyle w:val="26"/>
          <w:rFonts w:hint="eastAsia" w:ascii="方正仿宋_GBK" w:hAnsi="仿宋" w:eastAsia="方正仿宋_GBK"/>
          <w:b w:val="0"/>
          <w:sz w:val="24"/>
          <w:szCs w:val="24"/>
        </w:rPr>
        <w:t>月至2024年</w:t>
      </w:r>
      <w:r>
        <w:rPr>
          <w:rStyle w:val="26"/>
          <w:rFonts w:hint="eastAsia" w:ascii="方正仿宋_GBK" w:hAnsi="仿宋" w:eastAsia="方正仿宋_GBK"/>
          <w:b w:val="0"/>
          <w:sz w:val="24"/>
          <w:szCs w:val="24"/>
          <w:lang w:val="en-US"/>
        </w:rPr>
        <w:t>9</w:t>
      </w:r>
      <w:r>
        <w:rPr>
          <w:rStyle w:val="26"/>
          <w:rFonts w:hint="eastAsia" w:ascii="方正仿宋_GBK" w:hAnsi="仿宋" w:eastAsia="方正仿宋_GBK"/>
          <w:b w:val="0"/>
          <w:sz w:val="24"/>
          <w:szCs w:val="24"/>
        </w:rPr>
        <w:t>月）任意一月为其缴纳社保的证明材料扫描件并加盖投标人公章。</w:t>
      </w:r>
    </w:p>
    <w:p w14:paraId="4188BD0D">
      <w:pPr>
        <w:pStyle w:val="2"/>
        <w:adjustRightInd w:val="0"/>
        <w:snapToGrid w:val="0"/>
        <w:spacing w:before="0" w:after="0" w:line="400" w:lineRule="exact"/>
        <w:ind w:firstLine="480" w:firstLineChars="200"/>
        <w:rPr>
          <w:rFonts w:hint="eastAsia" w:ascii="方正仿宋_GBK" w:hAnsi="宋体" w:eastAsia="方正仿宋_GBK"/>
          <w:sz w:val="24"/>
          <w:szCs w:val="24"/>
          <w:lang w:val="en-US" w:eastAsia="zh-CN"/>
        </w:rPr>
      </w:pPr>
      <w:bookmarkStart w:id="92" w:name="_Toc11728"/>
      <w:r>
        <w:rPr>
          <w:rFonts w:hint="eastAsia" w:ascii="方正仿宋_GBK" w:hAnsi="宋体" w:eastAsia="方正仿宋_GBK"/>
          <w:sz w:val="24"/>
          <w:szCs w:val="24"/>
          <w:lang w:val="en-US" w:eastAsia="zh-CN"/>
        </w:rPr>
        <w:t>六、质量保证及保修服务</w:t>
      </w:r>
      <w:bookmarkEnd w:id="92"/>
    </w:p>
    <w:p w14:paraId="78AA2100">
      <w:pPr>
        <w:pStyle w:val="2"/>
        <w:adjustRightInd w:val="0"/>
        <w:snapToGrid w:val="0"/>
        <w:spacing w:before="0" w:after="0" w:line="400" w:lineRule="exact"/>
        <w:ind w:firstLine="480" w:firstLineChars="200"/>
        <w:rPr>
          <w:rStyle w:val="26"/>
          <w:rFonts w:hint="eastAsia" w:ascii="方正仿宋_GBK" w:hAnsi="仿宋" w:eastAsia="方正仿宋_GBK"/>
          <w:b w:val="0"/>
          <w:color w:val="auto"/>
          <w:sz w:val="24"/>
          <w:szCs w:val="24"/>
        </w:rPr>
      </w:pPr>
      <w:r>
        <w:rPr>
          <w:rStyle w:val="26"/>
          <w:rFonts w:hint="eastAsia" w:ascii="方正仿宋_GBK" w:hAnsi="仿宋" w:eastAsia="方正仿宋_GBK"/>
          <w:b w:val="0"/>
          <w:sz w:val="24"/>
          <w:szCs w:val="24"/>
        </w:rPr>
        <w:t>1、</w:t>
      </w:r>
      <w:r>
        <w:rPr>
          <w:rFonts w:hint="eastAsia" w:ascii="方正仿宋_GBK" w:hAnsi="宋体" w:eastAsia="方正仿宋_GBK"/>
          <w:color w:val="auto"/>
          <w:sz w:val="24"/>
          <w:szCs w:val="24"/>
          <w:lang w:val="en-US" w:eastAsia="zh-CN"/>
        </w:rPr>
        <w:t>提交的*.000成果文件</w:t>
      </w:r>
      <w:r>
        <w:rPr>
          <w:rFonts w:hint="eastAsia" w:ascii="方正仿宋_GBK" w:hAnsi="宋体" w:eastAsia="方正仿宋_GBK"/>
          <w:color w:val="auto"/>
          <w:sz w:val="24"/>
          <w:szCs w:val="24"/>
        </w:rPr>
        <w:t>满足《</w:t>
      </w:r>
      <w:r>
        <w:rPr>
          <w:rFonts w:hint="eastAsia" w:ascii="方正仿宋_GBK" w:hAnsi="宋体" w:eastAsia="方正仿宋_GBK"/>
          <w:color w:val="auto"/>
          <w:sz w:val="24"/>
          <w:szCs w:val="24"/>
          <w:lang w:val="en-US" w:eastAsia="zh-CN"/>
        </w:rPr>
        <w:t>内河电子航道图技术规范</w:t>
      </w:r>
      <w:r>
        <w:rPr>
          <w:rFonts w:hint="eastAsia" w:ascii="方正仿宋_GBK" w:hAnsi="宋体" w:eastAsia="方正仿宋_GBK"/>
          <w:color w:val="auto"/>
          <w:sz w:val="24"/>
          <w:szCs w:val="24"/>
        </w:rPr>
        <w:t>》相关要求</w:t>
      </w:r>
      <w:r>
        <w:rPr>
          <w:rStyle w:val="26"/>
          <w:rFonts w:hint="eastAsia" w:ascii="方正仿宋_GBK" w:hAnsi="仿宋" w:eastAsia="方正仿宋_GBK"/>
          <w:b w:val="0"/>
          <w:color w:val="auto"/>
          <w:sz w:val="24"/>
          <w:szCs w:val="24"/>
        </w:rPr>
        <w:t xml:space="preserve">； </w:t>
      </w:r>
    </w:p>
    <w:p w14:paraId="4B34F511">
      <w:pPr>
        <w:pStyle w:val="2"/>
        <w:adjustRightInd w:val="0"/>
        <w:snapToGrid w:val="0"/>
        <w:spacing w:before="0" w:after="0" w:line="400" w:lineRule="exact"/>
        <w:ind w:firstLine="480" w:firstLineChars="200"/>
        <w:rPr>
          <w:rStyle w:val="26"/>
          <w:rFonts w:hint="default" w:ascii="方正仿宋_GBK" w:hAnsi="仿宋" w:eastAsia="方正仿宋_GBK"/>
          <w:b w:val="0"/>
          <w:sz w:val="24"/>
          <w:szCs w:val="24"/>
          <w:lang w:val="en-US"/>
        </w:rPr>
      </w:pPr>
      <w:r>
        <w:rPr>
          <w:rStyle w:val="26"/>
          <w:rFonts w:hint="eastAsia" w:ascii="方正仿宋_GBK" w:hAnsi="仿宋" w:eastAsia="方正仿宋_GBK"/>
          <w:b w:val="0"/>
          <w:sz w:val="24"/>
          <w:szCs w:val="24"/>
        </w:rPr>
        <w:t>2、质保期：</w:t>
      </w:r>
      <w:r>
        <w:rPr>
          <w:rStyle w:val="26"/>
          <w:rFonts w:hint="eastAsia" w:ascii="方正仿宋_GBK" w:hAnsi="仿宋" w:eastAsia="方正仿宋_GBK"/>
          <w:b w:val="0"/>
          <w:sz w:val="24"/>
          <w:szCs w:val="24"/>
          <w:lang w:val="en-US"/>
        </w:rPr>
        <w:t>1年。</w:t>
      </w:r>
    </w:p>
    <w:bookmarkEnd w:id="86"/>
    <w:bookmarkEnd w:id="87"/>
    <w:bookmarkEnd w:id="88"/>
    <w:bookmarkEnd w:id="89"/>
    <w:bookmarkEnd w:id="90"/>
    <w:p w14:paraId="0016DF7C">
      <w:pPr>
        <w:pStyle w:val="2"/>
        <w:adjustRightInd w:val="0"/>
        <w:snapToGrid w:val="0"/>
        <w:spacing w:before="0" w:after="0" w:line="240" w:lineRule="auto"/>
        <w:ind w:firstLine="480" w:firstLineChars="200"/>
        <w:jc w:val="left"/>
        <w:rPr>
          <w:rFonts w:ascii="方正仿宋_GBK" w:hAnsi="方正仿宋_GBK" w:eastAsia="方正仿宋_GBK" w:cs="方正仿宋_GBK"/>
          <w:sz w:val="24"/>
        </w:rPr>
      </w:pPr>
      <w:bookmarkStart w:id="93" w:name="_Toc108013105"/>
      <w:bookmarkStart w:id="94" w:name="_Toc947"/>
      <w:bookmarkStart w:id="95" w:name="_Toc25707"/>
      <w:bookmarkStart w:id="96" w:name="_Toc31910"/>
      <w:bookmarkStart w:id="97" w:name="_Toc19427"/>
      <w:bookmarkStart w:id="98" w:name="_Toc18104"/>
      <w:bookmarkStart w:id="99" w:name="_Toc2954"/>
      <w:bookmarkStart w:id="100" w:name="_Toc466546918"/>
      <w:bookmarkStart w:id="101" w:name="_Toc31659"/>
      <w:bookmarkStart w:id="102" w:name="_Toc21248"/>
      <w:bookmarkStart w:id="103" w:name="_Toc106034788"/>
      <w:bookmarkStart w:id="104" w:name="_Toc65660348"/>
      <w:bookmarkStart w:id="105" w:name="_Toc23902"/>
      <w:r>
        <w:rPr>
          <w:rFonts w:hint="eastAsia" w:ascii="方正仿宋_GBK" w:hAnsi="方正仿宋_GBK" w:eastAsia="方正仿宋_GBK" w:cs="方正仿宋_GBK"/>
          <w:sz w:val="24"/>
        </w:rPr>
        <w:t>七、项目风险管控</w:t>
      </w:r>
      <w:bookmarkEnd w:id="93"/>
      <w:bookmarkEnd w:id="94"/>
      <w:bookmarkEnd w:id="95"/>
      <w:bookmarkEnd w:id="96"/>
      <w:bookmarkEnd w:id="97"/>
      <w:bookmarkEnd w:id="98"/>
    </w:p>
    <w:p w14:paraId="11C73824">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本项目采购过程和合同履行过程中，如遇国家政策变化、实施环境变化、重大技术变化、预算项目调整等情况，按下列方式处置：</w:t>
      </w:r>
    </w:p>
    <w:p w14:paraId="6657A53E">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1.处于采购过程中的，如果相关变化将导致采购任务取消的，应当按照《中华人民共和国政府采购法》第三十六条规定，取消采购任务，作废标处理；</w:t>
      </w:r>
    </w:p>
    <w:p w14:paraId="561521B6">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2.采购已经完成，尚未签订合同的，如果相关变化导致不能实现合同目的，按不可抗力事件处理，取消采购任务，采购人与供应商不再签订合同；</w:t>
      </w:r>
    </w:p>
    <w:p w14:paraId="1F17F061">
      <w:pPr>
        <w:adjustRightInd w:val="0"/>
        <w:snapToGrid w:val="0"/>
        <w:spacing w:line="400" w:lineRule="exact"/>
        <w:ind w:firstLine="480" w:firstLineChars="200"/>
        <w:jc w:val="left"/>
        <w:rPr>
          <w:rFonts w:ascii="方正仿宋_GBK" w:hAnsi="方正仿宋_GBK" w:eastAsia="方正仿宋_GBK" w:cs="方正仿宋_GBK"/>
          <w:sz w:val="24"/>
          <w:szCs w:val="24"/>
        </w:rPr>
      </w:pPr>
      <w:bookmarkStart w:id="106" w:name="_Toc6830"/>
      <w:r>
        <w:rPr>
          <w:rFonts w:hint="eastAsia" w:ascii="方正仿宋_GBK" w:hAnsi="方正仿宋_GBK" w:eastAsia="方正仿宋_GBK" w:cs="方正仿宋_GBK"/>
          <w:sz w:val="24"/>
          <w:szCs w:val="24"/>
        </w:rPr>
        <w:t>3.合同已签订的，如果相关变化导致不能实现合同目的或合同价款等实质性条款变化，针对变化部分按不可抗力事件处理，采购人与供应商协商后解除合同或签订补充协议。</w:t>
      </w:r>
      <w:bookmarkEnd w:id="99"/>
      <w:bookmarkEnd w:id="100"/>
      <w:bookmarkEnd w:id="106"/>
    </w:p>
    <w:p w14:paraId="3645219C">
      <w:pPr>
        <w:pStyle w:val="2"/>
        <w:adjustRightInd w:val="0"/>
        <w:snapToGrid w:val="0"/>
        <w:spacing w:before="0" w:after="0" w:line="400" w:lineRule="exact"/>
        <w:ind w:firstLine="480" w:firstLineChars="200"/>
        <w:rPr>
          <w:rFonts w:ascii="方正仿宋_GBK" w:hAnsi="方正仿宋_GBK" w:eastAsia="方正仿宋_GBK" w:cs="方正仿宋_GBK"/>
          <w:sz w:val="24"/>
        </w:rPr>
      </w:pPr>
      <w:r>
        <w:rPr>
          <w:rFonts w:hint="eastAsia" w:ascii="方正仿宋_GBK" w:hAnsi="宋体" w:eastAsia="方正仿宋_GBK"/>
          <w:sz w:val="24"/>
        </w:rPr>
        <w:t>八、</w:t>
      </w:r>
      <w:r>
        <w:rPr>
          <w:rFonts w:hint="eastAsia" w:ascii="方正仿宋_GBK" w:hAnsi="方正仿宋_GBK" w:eastAsia="方正仿宋_GBK" w:cs="方正仿宋_GBK"/>
          <w:sz w:val="24"/>
        </w:rPr>
        <w:t>违约责任</w:t>
      </w:r>
    </w:p>
    <w:p w14:paraId="54EAE07D">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就当事人一方不履行合同义务或者履行合同义务不符合约定应当承担的责任进行约定。</w:t>
      </w:r>
    </w:p>
    <w:p w14:paraId="49B23B73">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九、合同争议</w:t>
      </w:r>
    </w:p>
    <w:p w14:paraId="3CFBA091">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项目执行中，如发生争议由双方协商解决，协商不成向甲方所在地具有管辖权人民法院提请诉讼。</w:t>
      </w:r>
    </w:p>
    <w:p w14:paraId="763CA286">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十、其他</w:t>
      </w:r>
      <w:bookmarkEnd w:id="101"/>
      <w:bookmarkEnd w:id="102"/>
      <w:bookmarkEnd w:id="103"/>
      <w:bookmarkEnd w:id="104"/>
      <w:bookmarkEnd w:id="105"/>
    </w:p>
    <w:p w14:paraId="6EF51ACC">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其他未尽事宜由供需双方在采购合同中详细约定。</w:t>
      </w:r>
    </w:p>
    <w:p w14:paraId="0E2020B3">
      <w:pPr>
        <w:snapToGrid w:val="0"/>
        <w:spacing w:line="400" w:lineRule="exact"/>
        <w:ind w:firstLine="540"/>
        <w:rPr>
          <w:rFonts w:ascii="方正仿宋_GBK" w:eastAsia="方正仿宋_GBK"/>
          <w:sz w:val="24"/>
          <w:szCs w:val="24"/>
        </w:rPr>
      </w:pPr>
    </w:p>
    <w:bookmarkEnd w:id="70"/>
    <w:p w14:paraId="2DD09E89">
      <w:pPr>
        <w:pStyle w:val="2"/>
        <w:pageBreakBefore/>
        <w:spacing w:before="0" w:after="0" w:line="360" w:lineRule="auto"/>
        <w:rPr>
          <w:rFonts w:ascii="方正小标宋_GBK" w:hAnsi="宋体" w:eastAsia="方正小标宋_GBK"/>
          <w:b w:val="0"/>
          <w:sz w:val="36"/>
          <w:szCs w:val="30"/>
        </w:rPr>
      </w:pPr>
      <w:bookmarkStart w:id="107" w:name="_Toc106030887"/>
      <w:bookmarkStart w:id="108" w:name="_Toc76462332"/>
      <w:bookmarkStart w:id="109" w:name="_Toc12789059"/>
      <w:bookmarkStart w:id="110" w:name="_Toc11641055"/>
      <w:bookmarkStart w:id="111" w:name="_Toc65660365"/>
      <w:bookmarkStart w:id="112" w:name="_Toc14861"/>
      <w:bookmarkStart w:id="113" w:name="_Toc106034806"/>
      <w:bookmarkStart w:id="114" w:name="_Toc28162"/>
      <w:bookmarkStart w:id="115" w:name="_Toc10599"/>
      <w:r>
        <w:rPr>
          <w:rFonts w:hint="eastAsia" w:ascii="方正小标宋_GBK" w:hAnsi="宋体" w:eastAsia="方正小标宋_GBK"/>
          <w:b w:val="0"/>
          <w:sz w:val="36"/>
          <w:szCs w:val="30"/>
        </w:rPr>
        <w:t>第四篇  评分程序及方法、评审标准、无效响应和</w:t>
      </w:r>
      <w:r>
        <w:rPr>
          <w:rFonts w:hint="eastAsia" w:ascii="方正小标宋_GBK" w:eastAsia="方正小标宋_GBK"/>
          <w:b w:val="0"/>
          <w:sz w:val="36"/>
          <w:szCs w:val="36"/>
        </w:rPr>
        <w:t>采购终止</w:t>
      </w:r>
      <w:bookmarkEnd w:id="107"/>
      <w:bookmarkEnd w:id="108"/>
    </w:p>
    <w:p w14:paraId="7636BFD5">
      <w:pPr>
        <w:pStyle w:val="2"/>
        <w:adjustRightInd w:val="0"/>
        <w:snapToGrid w:val="0"/>
        <w:spacing w:before="0" w:after="0" w:line="400" w:lineRule="exact"/>
        <w:ind w:firstLine="480" w:firstLineChars="200"/>
        <w:rPr>
          <w:rFonts w:ascii="方正仿宋_GBK" w:hAnsi="宋体" w:eastAsia="方正仿宋_GBK"/>
          <w:sz w:val="24"/>
        </w:rPr>
      </w:pPr>
      <w:bookmarkStart w:id="116" w:name="_Toc106030888"/>
      <w:bookmarkStart w:id="117" w:name="_Toc76462333"/>
      <w:r>
        <w:rPr>
          <w:rFonts w:hint="eastAsia" w:ascii="方正仿宋_GBK" w:hAnsi="宋体" w:eastAsia="方正仿宋_GBK"/>
          <w:sz w:val="24"/>
        </w:rPr>
        <w:t>一、评分程序及方法</w:t>
      </w:r>
      <w:bookmarkEnd w:id="116"/>
      <w:bookmarkEnd w:id="117"/>
    </w:p>
    <w:p w14:paraId="3665F27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（一）评分按采购文件规定的时间和地点进行，供应商须有法定代表人（或其授权代表）或自然人参加并签到。限额以下磋商评分以抽签的形式确定磋商顺序，由本项目评审小组分别与各供应商进行磋商。</w:t>
      </w:r>
    </w:p>
    <w:p w14:paraId="09A0CC9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（二）评审小组对各供应商的资格条件、响应文件的有效性、完整性和响应程度进行审查。各供应商只有在完全符合要求的前提下，才能参与正式磋商。</w:t>
      </w:r>
    </w:p>
    <w:p w14:paraId="4DABB877">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w:t>
      </w:r>
      <w:r>
        <w:rPr>
          <w:rFonts w:hint="eastAsia" w:ascii="方正仿宋_GBK" w:hAnsi="宋体" w:eastAsia="方正仿宋_GBK" w:cs="宋体"/>
          <w:kern w:val="0"/>
          <w:sz w:val="24"/>
          <w:szCs w:val="24"/>
        </w:rPr>
        <w:t>资格性审查。依据法律法规和采购文件的规定，对响应文件中的资格证明、等进行审查，以确定供应商是否具备磋商资格。资格性审查资料表如下：</w:t>
      </w: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7EAD4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691A9C6B">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47C1549A">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2D96F728">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14:paraId="3989D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5172C53A">
            <w:pPr>
              <w:jc w:val="center"/>
              <w:rPr>
                <w:rFonts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14:paraId="42258ABA">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3118" w:type="dxa"/>
            <w:vAlign w:val="center"/>
          </w:tcPr>
          <w:p w14:paraId="05C91F41">
            <w:pPr>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4984" w:type="dxa"/>
            <w:vAlign w:val="center"/>
          </w:tcPr>
          <w:p w14:paraId="0ABCDB89">
            <w:pPr>
              <w:rPr>
                <w:rFonts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14:paraId="570498B7">
            <w:pPr>
              <w:rPr>
                <w:rFonts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14:paraId="5A9E7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F935317">
            <w:pPr>
              <w:jc w:val="center"/>
              <w:rPr>
                <w:rFonts w:ascii="方正仿宋_GBK" w:hAnsi="仿宋" w:eastAsia="方正仿宋_GBK"/>
                <w:sz w:val="21"/>
                <w:szCs w:val="21"/>
              </w:rPr>
            </w:pPr>
          </w:p>
        </w:tc>
        <w:tc>
          <w:tcPr>
            <w:tcW w:w="709" w:type="dxa"/>
            <w:vMerge w:val="continue"/>
            <w:vAlign w:val="center"/>
          </w:tcPr>
          <w:p w14:paraId="746652C6">
            <w:pPr>
              <w:rPr>
                <w:rFonts w:ascii="方正仿宋_GBK" w:hAnsi="仿宋" w:eastAsia="方正仿宋_GBK" w:cs="仿宋_GB2312"/>
                <w:sz w:val="21"/>
                <w:szCs w:val="21"/>
                <w:lang w:val="zh-CN"/>
              </w:rPr>
            </w:pPr>
          </w:p>
        </w:tc>
        <w:tc>
          <w:tcPr>
            <w:tcW w:w="3118" w:type="dxa"/>
            <w:vAlign w:val="center"/>
          </w:tcPr>
          <w:p w14:paraId="46155922">
            <w:pPr>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4984" w:type="dxa"/>
            <w:vMerge w:val="restart"/>
            <w:vAlign w:val="center"/>
          </w:tcPr>
          <w:p w14:paraId="474CD433">
            <w:pPr>
              <w:rPr>
                <w:rFonts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14:paraId="24744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792B614">
            <w:pPr>
              <w:jc w:val="center"/>
              <w:rPr>
                <w:rFonts w:ascii="方正仿宋_GBK" w:hAnsi="仿宋" w:eastAsia="方正仿宋_GBK"/>
                <w:sz w:val="21"/>
                <w:szCs w:val="21"/>
              </w:rPr>
            </w:pPr>
          </w:p>
        </w:tc>
        <w:tc>
          <w:tcPr>
            <w:tcW w:w="709" w:type="dxa"/>
            <w:vMerge w:val="continue"/>
            <w:vAlign w:val="center"/>
          </w:tcPr>
          <w:p w14:paraId="60C980C6">
            <w:pPr>
              <w:rPr>
                <w:rFonts w:ascii="方正仿宋_GBK" w:hAnsi="仿宋" w:eastAsia="方正仿宋_GBK" w:cs="仿宋_GB2312"/>
                <w:sz w:val="21"/>
                <w:szCs w:val="21"/>
                <w:lang w:val="zh-CN"/>
              </w:rPr>
            </w:pPr>
          </w:p>
        </w:tc>
        <w:tc>
          <w:tcPr>
            <w:tcW w:w="3118" w:type="dxa"/>
            <w:vAlign w:val="center"/>
          </w:tcPr>
          <w:p w14:paraId="1A7C4953">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4984" w:type="dxa"/>
            <w:vMerge w:val="continue"/>
            <w:vAlign w:val="center"/>
          </w:tcPr>
          <w:p w14:paraId="47C02047">
            <w:pPr>
              <w:rPr>
                <w:rFonts w:ascii="方正仿宋_GBK" w:hAnsi="仿宋" w:eastAsia="方正仿宋_GBK"/>
                <w:sz w:val="21"/>
                <w:szCs w:val="21"/>
              </w:rPr>
            </w:pPr>
          </w:p>
        </w:tc>
      </w:tr>
      <w:tr w14:paraId="6F7B5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DB36764">
            <w:pPr>
              <w:jc w:val="center"/>
              <w:rPr>
                <w:rFonts w:ascii="方正仿宋_GBK" w:hAnsi="仿宋" w:eastAsia="方正仿宋_GBK"/>
                <w:sz w:val="21"/>
                <w:szCs w:val="21"/>
              </w:rPr>
            </w:pPr>
          </w:p>
        </w:tc>
        <w:tc>
          <w:tcPr>
            <w:tcW w:w="709" w:type="dxa"/>
            <w:vMerge w:val="continue"/>
            <w:vAlign w:val="center"/>
          </w:tcPr>
          <w:p w14:paraId="1DB32A8E">
            <w:pPr>
              <w:rPr>
                <w:rFonts w:ascii="方正仿宋_GBK" w:hAnsi="仿宋" w:eastAsia="方正仿宋_GBK" w:cs="仿宋_GB2312"/>
                <w:sz w:val="21"/>
                <w:szCs w:val="21"/>
                <w:lang w:val="zh-CN"/>
              </w:rPr>
            </w:pPr>
          </w:p>
        </w:tc>
        <w:tc>
          <w:tcPr>
            <w:tcW w:w="3118" w:type="dxa"/>
            <w:vAlign w:val="center"/>
          </w:tcPr>
          <w:p w14:paraId="6D505C74">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4984" w:type="dxa"/>
            <w:vMerge w:val="continue"/>
            <w:vAlign w:val="center"/>
          </w:tcPr>
          <w:p w14:paraId="67E7FE7D">
            <w:pPr>
              <w:rPr>
                <w:rFonts w:ascii="方正仿宋_GBK" w:hAnsi="仿宋" w:eastAsia="方正仿宋_GBK"/>
                <w:sz w:val="21"/>
                <w:szCs w:val="21"/>
              </w:rPr>
            </w:pPr>
          </w:p>
        </w:tc>
      </w:tr>
      <w:tr w14:paraId="14D0B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BF64F88">
            <w:pPr>
              <w:jc w:val="center"/>
              <w:rPr>
                <w:rFonts w:ascii="方正仿宋_GBK" w:hAnsi="仿宋" w:eastAsia="方正仿宋_GBK"/>
                <w:sz w:val="21"/>
                <w:szCs w:val="21"/>
              </w:rPr>
            </w:pPr>
          </w:p>
        </w:tc>
        <w:tc>
          <w:tcPr>
            <w:tcW w:w="709" w:type="dxa"/>
            <w:vMerge w:val="continue"/>
            <w:vAlign w:val="center"/>
          </w:tcPr>
          <w:p w14:paraId="1724C35A">
            <w:pPr>
              <w:rPr>
                <w:rFonts w:ascii="方正仿宋_GBK" w:hAnsi="仿宋" w:eastAsia="方正仿宋_GBK" w:cs="仿宋_GB2312"/>
                <w:sz w:val="21"/>
                <w:szCs w:val="21"/>
                <w:lang w:val="zh-CN"/>
              </w:rPr>
            </w:pPr>
          </w:p>
        </w:tc>
        <w:tc>
          <w:tcPr>
            <w:tcW w:w="3118" w:type="dxa"/>
            <w:vAlign w:val="center"/>
          </w:tcPr>
          <w:p w14:paraId="1C47E5BF">
            <w:pPr>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4984" w:type="dxa"/>
            <w:vMerge w:val="continue"/>
            <w:vAlign w:val="center"/>
          </w:tcPr>
          <w:p w14:paraId="5F17FC9C">
            <w:pPr>
              <w:rPr>
                <w:rFonts w:ascii="方正仿宋_GBK" w:hAnsi="仿宋" w:eastAsia="方正仿宋_GBK"/>
                <w:b/>
                <w:sz w:val="21"/>
                <w:szCs w:val="21"/>
              </w:rPr>
            </w:pPr>
          </w:p>
        </w:tc>
      </w:tr>
      <w:tr w14:paraId="43E59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78F036BE">
            <w:pPr>
              <w:jc w:val="center"/>
              <w:rPr>
                <w:rFonts w:ascii="方正仿宋_GBK" w:hAnsi="仿宋" w:eastAsia="方正仿宋_GBK"/>
                <w:sz w:val="21"/>
                <w:szCs w:val="21"/>
              </w:rPr>
            </w:pPr>
          </w:p>
        </w:tc>
        <w:tc>
          <w:tcPr>
            <w:tcW w:w="709" w:type="dxa"/>
            <w:vMerge w:val="continue"/>
            <w:vAlign w:val="center"/>
          </w:tcPr>
          <w:p w14:paraId="4300D857">
            <w:pPr>
              <w:rPr>
                <w:rFonts w:ascii="方正仿宋_GBK" w:hAnsi="仿宋" w:eastAsia="方正仿宋_GBK" w:cs="仿宋_GB2312"/>
                <w:sz w:val="21"/>
                <w:szCs w:val="21"/>
              </w:rPr>
            </w:pPr>
          </w:p>
        </w:tc>
        <w:tc>
          <w:tcPr>
            <w:tcW w:w="3118" w:type="dxa"/>
            <w:vAlign w:val="center"/>
          </w:tcPr>
          <w:p w14:paraId="0DE7C49A">
            <w:pPr>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4984" w:type="dxa"/>
            <w:vAlign w:val="center"/>
          </w:tcPr>
          <w:p w14:paraId="211A4A81">
            <w:pPr>
              <w:rPr>
                <w:rFonts w:ascii="方正仿宋_GBK" w:hAnsi="仿宋" w:eastAsia="方正仿宋_GBK"/>
                <w:sz w:val="21"/>
                <w:szCs w:val="21"/>
              </w:rPr>
            </w:pPr>
          </w:p>
        </w:tc>
      </w:tr>
      <w:tr w14:paraId="0A534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3438C03B">
            <w:pPr>
              <w:jc w:val="center"/>
              <w:rPr>
                <w:rFonts w:ascii="方正仿宋_GBK" w:hAnsi="仿宋" w:eastAsia="方正仿宋_GBK"/>
                <w:sz w:val="21"/>
                <w:szCs w:val="21"/>
              </w:rPr>
            </w:pPr>
          </w:p>
        </w:tc>
        <w:tc>
          <w:tcPr>
            <w:tcW w:w="709" w:type="dxa"/>
            <w:vMerge w:val="continue"/>
            <w:vAlign w:val="center"/>
          </w:tcPr>
          <w:p w14:paraId="7D7CA075">
            <w:pPr>
              <w:rPr>
                <w:rFonts w:ascii="方正仿宋_GBK" w:hAnsi="仿宋" w:eastAsia="方正仿宋_GBK" w:cs="仿宋_GB2312"/>
                <w:sz w:val="21"/>
                <w:szCs w:val="21"/>
              </w:rPr>
            </w:pPr>
          </w:p>
        </w:tc>
        <w:tc>
          <w:tcPr>
            <w:tcW w:w="3118" w:type="dxa"/>
            <w:vAlign w:val="center"/>
          </w:tcPr>
          <w:p w14:paraId="446D6F1D">
            <w:pPr>
              <w:rPr>
                <w:rFonts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4984" w:type="dxa"/>
            <w:vAlign w:val="center"/>
          </w:tcPr>
          <w:p w14:paraId="173A30CA">
            <w:pPr>
              <w:rPr>
                <w:rFonts w:ascii="方正仿宋_GBK" w:hAnsi="仿宋" w:eastAsia="方正仿宋_GBK"/>
                <w:sz w:val="21"/>
                <w:szCs w:val="21"/>
              </w:rPr>
            </w:pPr>
            <w:r>
              <w:rPr>
                <w:rFonts w:hint="eastAsia" w:ascii="方正仿宋_GBK" w:hAnsi="仿宋" w:eastAsia="方正仿宋_GBK"/>
                <w:sz w:val="21"/>
                <w:szCs w:val="21"/>
              </w:rPr>
              <w:t>按“第一篇三、供应商资格要求（二）本项目的特定资格要求”的要求提交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14:paraId="1888BAC8">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14:paraId="21CBD117">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14:paraId="75FBBFE1">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以联合体形式参与评分的，共同联合协议中应确定主办方（主体），</w:t>
      </w:r>
      <w:r>
        <w:rPr>
          <w:rFonts w:hint="eastAsia" w:ascii="方正仿宋_GBK" w:hAnsi="宋体" w:eastAsia="方正仿宋_GBK"/>
          <w:sz w:val="24"/>
        </w:rPr>
        <w:t>代表联合体进行磋商和澄清。</w:t>
      </w:r>
      <w:r>
        <w:rPr>
          <w:rFonts w:hint="eastAsia" w:ascii="方正仿宋_GBK" w:hAnsi="宋体" w:eastAsia="方正仿宋_GBK" w:cs="宋体"/>
          <w:kern w:val="0"/>
          <w:sz w:val="24"/>
          <w:szCs w:val="24"/>
        </w:rPr>
        <w:t>联合体各方均应满足供应商资格要求（详见“第一篇”）。</w:t>
      </w:r>
    </w:p>
    <w:p w14:paraId="5E880670">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cs="宋体"/>
          <w:kern w:val="0"/>
          <w:sz w:val="24"/>
          <w:szCs w:val="24"/>
        </w:rPr>
        <w:t>2.符合性审查。依据采购文件的规定，从响应文件的有效性、完整性和对采购文件的响应程度进行审查，以确定是否对采购文件的实质性要求作出响应。</w:t>
      </w:r>
      <w:r>
        <w:rPr>
          <w:rFonts w:hint="eastAsia" w:ascii="方正仿宋_GBK" w:eastAsia="方正仿宋_GBK"/>
          <w:kern w:val="0"/>
          <w:sz w:val="24"/>
          <w:szCs w:val="24"/>
        </w:rPr>
        <w:t>符合性审查资料表如下：</w:t>
      </w: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631A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484DF00B">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vAlign w:val="center"/>
          </w:tcPr>
          <w:p w14:paraId="787B05A1">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409" w:type="dxa"/>
            <w:vAlign w:val="center"/>
          </w:tcPr>
          <w:p w14:paraId="5A25C482">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14:paraId="69816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5012141A">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60" w:type="dxa"/>
            <w:vMerge w:val="restart"/>
            <w:vAlign w:val="center"/>
          </w:tcPr>
          <w:p w14:paraId="687030C3">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984" w:type="dxa"/>
            <w:vAlign w:val="center"/>
          </w:tcPr>
          <w:p w14:paraId="2FAAEA44">
            <w:pPr>
              <w:rPr>
                <w:rFonts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5409" w:type="dxa"/>
            <w:vAlign w:val="center"/>
          </w:tcPr>
          <w:p w14:paraId="2373D76F">
            <w:pPr>
              <w:rPr>
                <w:rFonts w:ascii="方正仿宋_GBK" w:hAnsi="宋体" w:eastAsia="方正仿宋_GBK" w:cs="宋体"/>
                <w:kern w:val="0"/>
                <w:sz w:val="21"/>
                <w:szCs w:val="21"/>
              </w:rPr>
            </w:pPr>
            <w:r>
              <w:rPr>
                <w:rFonts w:hint="eastAsia" w:ascii="方正仿宋_GBK" w:hAnsi="宋体" w:eastAsia="方正仿宋_GBK"/>
                <w:sz w:val="21"/>
                <w:szCs w:val="21"/>
              </w:rPr>
              <w:t>按限额以下磋商评分文件“第七篇响应文件编制要求”要求签署或盖章。</w:t>
            </w:r>
          </w:p>
        </w:tc>
      </w:tr>
      <w:tr w14:paraId="7685C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6634F9BD">
            <w:pPr>
              <w:jc w:val="center"/>
              <w:rPr>
                <w:rFonts w:ascii="方正仿宋_GBK" w:hAnsi="宋体" w:eastAsia="方正仿宋_GBK" w:cs="宋体"/>
                <w:kern w:val="0"/>
                <w:sz w:val="21"/>
                <w:szCs w:val="21"/>
              </w:rPr>
            </w:pPr>
          </w:p>
        </w:tc>
        <w:tc>
          <w:tcPr>
            <w:tcW w:w="1560" w:type="dxa"/>
            <w:vMerge w:val="continue"/>
            <w:vAlign w:val="center"/>
          </w:tcPr>
          <w:p w14:paraId="6C2FFBB3">
            <w:pPr>
              <w:rPr>
                <w:rFonts w:ascii="方正仿宋_GBK" w:hAnsi="宋体" w:eastAsia="方正仿宋_GBK" w:cs="宋体"/>
                <w:kern w:val="0"/>
                <w:sz w:val="21"/>
                <w:szCs w:val="21"/>
              </w:rPr>
            </w:pPr>
          </w:p>
        </w:tc>
        <w:tc>
          <w:tcPr>
            <w:tcW w:w="1984" w:type="dxa"/>
            <w:vAlign w:val="center"/>
          </w:tcPr>
          <w:p w14:paraId="72BB36F7">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5409" w:type="dxa"/>
            <w:vAlign w:val="center"/>
          </w:tcPr>
          <w:p w14:paraId="04294579">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法定代表人身份证明及授权委托书有效，符合采购文件规定的格式，签署或盖章齐全。</w:t>
            </w:r>
          </w:p>
        </w:tc>
      </w:tr>
      <w:tr w14:paraId="38B96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7CD92A6A">
            <w:pPr>
              <w:jc w:val="center"/>
              <w:rPr>
                <w:rFonts w:ascii="方正仿宋_GBK" w:hAnsi="宋体" w:eastAsia="方正仿宋_GBK" w:cs="宋体"/>
                <w:kern w:val="0"/>
                <w:sz w:val="21"/>
                <w:szCs w:val="21"/>
              </w:rPr>
            </w:pPr>
          </w:p>
        </w:tc>
        <w:tc>
          <w:tcPr>
            <w:tcW w:w="1560" w:type="dxa"/>
            <w:vMerge w:val="continue"/>
            <w:vAlign w:val="center"/>
          </w:tcPr>
          <w:p w14:paraId="028F5B5F">
            <w:pPr>
              <w:rPr>
                <w:rFonts w:ascii="方正仿宋_GBK" w:hAnsi="宋体" w:eastAsia="方正仿宋_GBK" w:cs="宋体"/>
                <w:kern w:val="0"/>
                <w:sz w:val="21"/>
                <w:szCs w:val="21"/>
              </w:rPr>
            </w:pPr>
          </w:p>
        </w:tc>
        <w:tc>
          <w:tcPr>
            <w:tcW w:w="1984" w:type="dxa"/>
            <w:vAlign w:val="center"/>
          </w:tcPr>
          <w:p w14:paraId="6D516D81">
            <w:pPr>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5409" w:type="dxa"/>
            <w:vAlign w:val="center"/>
          </w:tcPr>
          <w:p w14:paraId="6EA919EE">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每个包只能有一个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14:paraId="3C9CE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6F976B1B">
            <w:pPr>
              <w:jc w:val="center"/>
              <w:rPr>
                <w:rFonts w:ascii="方正仿宋_GBK" w:hAnsi="宋体" w:eastAsia="方正仿宋_GBK" w:cs="宋体"/>
                <w:kern w:val="0"/>
                <w:sz w:val="21"/>
                <w:szCs w:val="21"/>
              </w:rPr>
            </w:pPr>
          </w:p>
        </w:tc>
        <w:tc>
          <w:tcPr>
            <w:tcW w:w="1560" w:type="dxa"/>
            <w:vMerge w:val="continue"/>
            <w:vAlign w:val="center"/>
          </w:tcPr>
          <w:p w14:paraId="6D69A6AE">
            <w:pPr>
              <w:rPr>
                <w:rFonts w:ascii="方正仿宋_GBK" w:hAnsi="宋体" w:eastAsia="方正仿宋_GBK" w:cs="宋体"/>
                <w:kern w:val="0"/>
                <w:sz w:val="21"/>
                <w:szCs w:val="21"/>
              </w:rPr>
            </w:pPr>
          </w:p>
        </w:tc>
        <w:tc>
          <w:tcPr>
            <w:tcW w:w="1984" w:type="dxa"/>
            <w:vAlign w:val="center"/>
          </w:tcPr>
          <w:p w14:paraId="311BCDA3">
            <w:pPr>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409" w:type="dxa"/>
            <w:vAlign w:val="center"/>
          </w:tcPr>
          <w:p w14:paraId="6CA96230">
            <w:pPr>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14:paraId="44762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00EFF3C9">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60" w:type="dxa"/>
            <w:vAlign w:val="center"/>
          </w:tcPr>
          <w:p w14:paraId="45678BAC">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984" w:type="dxa"/>
            <w:vAlign w:val="center"/>
          </w:tcPr>
          <w:p w14:paraId="73670223">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5409" w:type="dxa"/>
            <w:vAlign w:val="center"/>
          </w:tcPr>
          <w:p w14:paraId="5A1B4144">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文件正、副本数量符合</w:t>
            </w:r>
            <w:r>
              <w:rPr>
                <w:rFonts w:hint="eastAsia" w:ascii="方正仿宋_GBK" w:hAnsi="宋体" w:eastAsia="方正仿宋_GBK" w:cs="仿宋_GB2312"/>
                <w:sz w:val="21"/>
                <w:szCs w:val="21"/>
              </w:rPr>
              <w:t>竞采购</w:t>
            </w:r>
            <w:r>
              <w:rPr>
                <w:rFonts w:hint="eastAsia" w:ascii="方正仿宋_GBK" w:hAnsi="宋体" w:eastAsia="方正仿宋_GBK" w:cs="仿宋_GB2312"/>
                <w:sz w:val="21"/>
                <w:szCs w:val="21"/>
                <w:lang w:val="zh-CN"/>
              </w:rPr>
              <w:t>文件要求。</w:t>
            </w:r>
          </w:p>
        </w:tc>
      </w:tr>
      <w:tr w14:paraId="4EC2E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3C938BA0">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60" w:type="dxa"/>
            <w:vMerge w:val="restart"/>
            <w:vAlign w:val="center"/>
          </w:tcPr>
          <w:p w14:paraId="7D93706F">
            <w:pPr>
              <w:rPr>
                <w:rFonts w:ascii="方正仿宋_GBK" w:hAnsi="宋体" w:eastAsia="方正仿宋_GBK" w:cs="仿宋_GB2312"/>
                <w:sz w:val="21"/>
                <w:szCs w:val="21"/>
                <w:lang w:val="zh-CN"/>
              </w:rPr>
            </w:pPr>
            <w:r>
              <w:rPr>
                <w:rFonts w:hint="eastAsia" w:ascii="方正仿宋_GBK" w:hAnsi="宋体" w:eastAsia="方正仿宋_GBK" w:cs="宋体"/>
                <w:kern w:val="0"/>
                <w:sz w:val="21"/>
                <w:szCs w:val="21"/>
              </w:rPr>
              <w:t>响应程度审查</w:t>
            </w:r>
          </w:p>
        </w:tc>
        <w:tc>
          <w:tcPr>
            <w:tcW w:w="1984" w:type="dxa"/>
            <w:vAlign w:val="center"/>
          </w:tcPr>
          <w:p w14:paraId="756337F4">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实质性响应</w:t>
            </w:r>
          </w:p>
        </w:tc>
        <w:tc>
          <w:tcPr>
            <w:tcW w:w="5409" w:type="dxa"/>
            <w:vAlign w:val="center"/>
          </w:tcPr>
          <w:p w14:paraId="1EB5EB92">
            <w:pPr>
              <w:pStyle w:val="7"/>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对采购文件第二篇、第三篇规定的内容进行实质性响应。</w:t>
            </w:r>
          </w:p>
        </w:tc>
      </w:tr>
      <w:tr w14:paraId="4A5D4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7C4574FC">
            <w:pPr>
              <w:jc w:val="center"/>
              <w:rPr>
                <w:rFonts w:ascii="方正仿宋_GBK" w:hAnsi="宋体" w:eastAsia="方正仿宋_GBK" w:cs="宋体"/>
                <w:kern w:val="0"/>
                <w:sz w:val="21"/>
                <w:szCs w:val="21"/>
              </w:rPr>
            </w:pPr>
          </w:p>
        </w:tc>
        <w:tc>
          <w:tcPr>
            <w:tcW w:w="1560" w:type="dxa"/>
            <w:vMerge w:val="continue"/>
            <w:vAlign w:val="center"/>
          </w:tcPr>
          <w:p w14:paraId="60861308">
            <w:pPr>
              <w:rPr>
                <w:rFonts w:ascii="方正仿宋_GBK" w:hAnsi="宋体" w:eastAsia="方正仿宋_GBK" w:cs="仿宋_GB2312"/>
                <w:sz w:val="21"/>
                <w:szCs w:val="21"/>
                <w:lang w:val="zh-CN"/>
              </w:rPr>
            </w:pPr>
          </w:p>
        </w:tc>
        <w:tc>
          <w:tcPr>
            <w:tcW w:w="1984" w:type="dxa"/>
            <w:vAlign w:val="center"/>
          </w:tcPr>
          <w:p w14:paraId="49BFE0B2">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响应文件有效期</w:t>
            </w:r>
          </w:p>
        </w:tc>
        <w:tc>
          <w:tcPr>
            <w:tcW w:w="5409" w:type="dxa"/>
            <w:vAlign w:val="center"/>
          </w:tcPr>
          <w:p w14:paraId="58B0BD65">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14:paraId="74B6EA7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830EBB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0D4BBA2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（五）在评审过程中磋商的任何一方不得向他人透露与磋商有关的服务资料、价格或其他信息。</w:t>
      </w:r>
    </w:p>
    <w:p w14:paraId="2259FA7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在评审过程中，评审小组可以根据采购文件和磋商情况实质性变动采购需求中的服务、商务要求以及合同草案条款，但不得变动采购文件中的其他内容。实质性变动的内容，须经采购人代表确认。对采购文件作出的实质性变动是采购文件的有效组成部分，评审小组应当及时以书面形式同时通知所有参加的供应商。</w:t>
      </w:r>
    </w:p>
    <w:p w14:paraId="7E62353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（七）供应商在磋商时作出的所有书面承诺须由法定代表人（或其授权代表）或自然人（供应商为自然人）签署。</w:t>
      </w:r>
    </w:p>
    <w:p w14:paraId="610DE2A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经磋商确定最终采购需求且磋商结束后，供应商应当按照采购文件的变动情况和评审小组的要求重新提交响应文件或重新做出相关的书面承诺，最后书面提交最后报价及有关承诺（《最后报价表》在磋商现场向供应商提供）。</w:t>
      </w:r>
      <w:r>
        <w:rPr>
          <w:rFonts w:ascii="方正仿宋_GBK" w:hAnsi="宋体" w:eastAsia="方正仿宋_GBK"/>
          <w:sz w:val="24"/>
          <w:szCs w:val="24"/>
        </w:rPr>
        <w:t>已提交响应文件</w:t>
      </w:r>
      <w:r>
        <w:rPr>
          <w:rFonts w:hint="eastAsia" w:ascii="方正仿宋_GBK" w:hAnsi="宋体" w:eastAsia="方正仿宋_GBK"/>
          <w:sz w:val="24"/>
          <w:szCs w:val="24"/>
        </w:rPr>
        <w:t>但未在规定时间内进行最后报价</w:t>
      </w:r>
      <w:r>
        <w:rPr>
          <w:rFonts w:ascii="方正仿宋_GBK" w:hAnsi="宋体" w:eastAsia="方正仿宋_GBK"/>
          <w:sz w:val="24"/>
          <w:szCs w:val="24"/>
        </w:rPr>
        <w:t>的供应商，</w:t>
      </w:r>
      <w:r>
        <w:rPr>
          <w:rFonts w:hint="eastAsia" w:ascii="方正仿宋_GBK" w:hAnsi="宋体" w:eastAsia="方正仿宋_GBK"/>
          <w:sz w:val="24"/>
          <w:szCs w:val="24"/>
        </w:rPr>
        <w:t>视为放弃最后报价，以供应商响应文件中的报价为准。</w:t>
      </w:r>
    </w:p>
    <w:p w14:paraId="1983BED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（九）评审小组采用综合评分法对提交最后报价的供应商的响应文件和最后报价（含有效书面承诺）进行综合评分。</w:t>
      </w:r>
      <w:r>
        <w:rPr>
          <w:rFonts w:hint="eastAsia" w:ascii="方正仿宋_GBK" w:hAnsi="宋体" w:eastAsia="方正仿宋_GBK" w:cs="宋体"/>
          <w:kern w:val="0"/>
          <w:sz w:val="24"/>
          <w:szCs w:val="24"/>
        </w:rPr>
        <w:t>综合评分法，是指响应</w:t>
      </w:r>
      <w:r>
        <w:rPr>
          <w:rFonts w:ascii="方正仿宋_GBK" w:hAnsi="宋体" w:eastAsia="方正仿宋_GBK" w:cs="宋体"/>
          <w:kern w:val="0"/>
          <w:sz w:val="24"/>
          <w:szCs w:val="24"/>
        </w:rPr>
        <w:t>文件满足</w:t>
      </w:r>
      <w:r>
        <w:rPr>
          <w:rFonts w:hint="eastAsia" w:ascii="方正仿宋_GBK" w:hAnsi="宋体" w:eastAsia="方正仿宋_GBK" w:cs="宋体"/>
          <w:kern w:val="0"/>
          <w:sz w:val="24"/>
          <w:szCs w:val="24"/>
        </w:rPr>
        <w:t>竞采购</w:t>
      </w:r>
      <w:r>
        <w:rPr>
          <w:rFonts w:ascii="方正仿宋_GBK" w:hAnsi="宋体" w:eastAsia="方正仿宋_GBK" w:cs="宋体"/>
          <w:kern w:val="0"/>
          <w:sz w:val="24"/>
          <w:szCs w:val="24"/>
        </w:rPr>
        <w:t>文件全部实质性要求且按照评审因素的量化指标评审得分最高的供应商为</w:t>
      </w:r>
      <w:r>
        <w:rPr>
          <w:rFonts w:hint="eastAsia" w:ascii="方正仿宋_GBK" w:hAnsi="宋体" w:eastAsia="方正仿宋_GBK" w:cs="宋体"/>
          <w:kern w:val="0"/>
          <w:sz w:val="24"/>
          <w:szCs w:val="24"/>
        </w:rPr>
        <w:t>成交</w:t>
      </w:r>
      <w:r>
        <w:rPr>
          <w:rFonts w:ascii="方正仿宋_GBK" w:hAnsi="宋体" w:eastAsia="方正仿宋_GBK" w:cs="宋体"/>
          <w:kern w:val="0"/>
          <w:sz w:val="24"/>
          <w:szCs w:val="24"/>
        </w:rPr>
        <w:t>候选</w:t>
      </w:r>
      <w:r>
        <w:rPr>
          <w:rFonts w:hint="eastAsia" w:ascii="方正仿宋_GBK" w:hAnsi="宋体" w:eastAsia="方正仿宋_GBK" w:cs="宋体"/>
          <w:kern w:val="0"/>
          <w:sz w:val="24"/>
          <w:szCs w:val="24"/>
        </w:rPr>
        <w:t>供应商</w:t>
      </w:r>
      <w:r>
        <w:rPr>
          <w:rFonts w:ascii="方正仿宋_GBK" w:hAnsi="宋体" w:eastAsia="方正仿宋_GBK" w:cs="宋体"/>
          <w:kern w:val="0"/>
          <w:sz w:val="24"/>
          <w:szCs w:val="24"/>
        </w:rPr>
        <w:t>的</w:t>
      </w:r>
      <w:r>
        <w:rPr>
          <w:rFonts w:hint="eastAsia" w:ascii="方正仿宋_GBK" w:hAnsi="宋体" w:eastAsia="方正仿宋_GBK" w:cs="宋体"/>
          <w:kern w:val="0"/>
          <w:sz w:val="24"/>
          <w:szCs w:val="24"/>
        </w:rPr>
        <w:t>评审</w:t>
      </w:r>
      <w:r>
        <w:rPr>
          <w:rFonts w:ascii="方正仿宋_GBK" w:hAnsi="宋体" w:eastAsia="方正仿宋_GBK" w:cs="宋体"/>
          <w:kern w:val="0"/>
          <w:sz w:val="24"/>
          <w:szCs w:val="24"/>
        </w:rPr>
        <w:t>方法</w:t>
      </w:r>
      <w:r>
        <w:rPr>
          <w:rFonts w:hint="eastAsia" w:ascii="方正仿宋_GBK" w:hAnsi="宋体" w:eastAsia="方正仿宋_GBK" w:cs="宋体"/>
          <w:kern w:val="0"/>
          <w:sz w:val="24"/>
          <w:szCs w:val="24"/>
        </w:rPr>
        <w:t>。供应商总得分为价格、服务、商务等评定因素分别按照相应权重值计算分项得分后相加，满分为100分</w:t>
      </w:r>
      <w:r>
        <w:rPr>
          <w:rFonts w:hint="eastAsia" w:ascii="方正仿宋_GBK" w:hAnsi="宋体" w:eastAsia="方正仿宋_GBK"/>
          <w:sz w:val="24"/>
          <w:szCs w:val="24"/>
        </w:rPr>
        <w:t>。</w:t>
      </w:r>
    </w:p>
    <w:p w14:paraId="545177B7">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（十）评审小组各成员独立对每个有效响应（通过资格性审查、</w:t>
      </w:r>
      <w:r>
        <w:rPr>
          <w:rFonts w:hint="eastAsia" w:ascii="方正仿宋_GBK" w:hAnsi="宋体" w:eastAsia="方正仿宋_GBK" w:cs="宋体"/>
          <w:kern w:val="0"/>
          <w:sz w:val="24"/>
          <w:szCs w:val="24"/>
        </w:rPr>
        <w:t>符合性审查的供应商</w:t>
      </w:r>
      <w:r>
        <w:rPr>
          <w:rFonts w:hint="eastAsia" w:ascii="方正仿宋_GBK" w:hAnsi="宋体" w:eastAsia="方正仿宋_GBK"/>
          <w:sz w:val="24"/>
          <w:szCs w:val="24"/>
        </w:rPr>
        <w:t>）的文件进行评价、打分，然后汇总每个供应商每项评分因素的得分，并根据综合评分情况按照评审得分由高到低顺序推荐3名以上成交候选供应商，并编写结论意见。若供应商的评审得分相同的，按照最后报价由低到高的顺序排列推荐。评审得分且最后报价相同的，按现场随机抽取的方式确定顺序排列。</w:t>
      </w:r>
      <w:r>
        <w:rPr>
          <w:rFonts w:hint="eastAsia" w:ascii="方正仿宋_GBK" w:hAnsi="宋体" w:eastAsia="方正仿宋_GBK"/>
          <w:b/>
          <w:sz w:val="24"/>
          <w:szCs w:val="24"/>
        </w:rPr>
        <w:t>服务部分</w:t>
      </w:r>
      <w:r>
        <w:rPr>
          <w:rFonts w:ascii="方正仿宋_GBK" w:hAnsi="宋体" w:eastAsia="方正仿宋_GBK"/>
          <w:b/>
          <w:sz w:val="24"/>
          <w:szCs w:val="24"/>
        </w:rPr>
        <w:t>得分为</w:t>
      </w:r>
      <w:r>
        <w:rPr>
          <w:rFonts w:hint="eastAsia" w:ascii="方正仿宋_GBK" w:hAnsi="宋体" w:eastAsia="方正仿宋_GBK"/>
          <w:b/>
          <w:sz w:val="24"/>
          <w:szCs w:val="24"/>
        </w:rPr>
        <w:t>0分</w:t>
      </w:r>
      <w:r>
        <w:rPr>
          <w:rFonts w:ascii="方正仿宋_GBK" w:hAnsi="宋体" w:eastAsia="方正仿宋_GBK"/>
          <w:b/>
          <w:sz w:val="24"/>
          <w:szCs w:val="24"/>
        </w:rPr>
        <w:t>的</w:t>
      </w:r>
      <w:r>
        <w:rPr>
          <w:rFonts w:hint="eastAsia" w:ascii="方正仿宋_GBK" w:hAnsi="宋体" w:eastAsia="方正仿宋_GBK"/>
          <w:b/>
          <w:sz w:val="24"/>
          <w:szCs w:val="24"/>
        </w:rPr>
        <w:t>供应商不得推荐</w:t>
      </w:r>
      <w:r>
        <w:rPr>
          <w:rFonts w:ascii="方正仿宋_GBK" w:hAnsi="宋体" w:eastAsia="方正仿宋_GBK"/>
          <w:b/>
          <w:sz w:val="24"/>
          <w:szCs w:val="24"/>
        </w:rPr>
        <w:t>成为</w:t>
      </w:r>
      <w:r>
        <w:rPr>
          <w:rFonts w:hint="eastAsia" w:ascii="方正仿宋_GBK" w:hAnsi="宋体" w:eastAsia="方正仿宋_GBK"/>
          <w:b/>
          <w:sz w:val="24"/>
          <w:szCs w:val="24"/>
        </w:rPr>
        <w:t>成交候选供应商</w:t>
      </w:r>
      <w:r>
        <w:rPr>
          <w:rFonts w:ascii="方正仿宋_GBK" w:hAnsi="宋体" w:eastAsia="方正仿宋_GBK"/>
          <w:b/>
          <w:sz w:val="24"/>
          <w:szCs w:val="24"/>
        </w:rPr>
        <w:t>。</w:t>
      </w:r>
    </w:p>
    <w:p w14:paraId="2408C596">
      <w:pPr>
        <w:pStyle w:val="2"/>
        <w:adjustRightInd w:val="0"/>
        <w:snapToGrid w:val="0"/>
        <w:spacing w:before="0" w:after="0" w:line="400" w:lineRule="exact"/>
        <w:ind w:firstLine="480" w:firstLineChars="200"/>
        <w:rPr>
          <w:rFonts w:ascii="方正仿宋_GBK" w:hAnsi="宋体" w:eastAsia="方正仿宋_GBK"/>
          <w:sz w:val="24"/>
        </w:rPr>
      </w:pPr>
      <w:bookmarkStart w:id="118" w:name="_Toc106030889"/>
      <w:bookmarkStart w:id="119" w:name="_Toc76462334"/>
      <w:r>
        <w:rPr>
          <w:rFonts w:hint="eastAsia" w:ascii="方正仿宋_GBK" w:hAnsi="宋体" w:eastAsia="方正仿宋_GBK"/>
          <w:sz w:val="24"/>
        </w:rPr>
        <w:t>二、</w:t>
      </w:r>
      <w:bookmarkStart w:id="120" w:name="_Toc102227320"/>
      <w:bookmarkStart w:id="121" w:name="_Toc342913394"/>
      <w:r>
        <w:rPr>
          <w:rFonts w:hint="eastAsia" w:ascii="方正仿宋_GBK" w:hAnsi="宋体" w:eastAsia="方正仿宋_GBK"/>
          <w:sz w:val="24"/>
        </w:rPr>
        <w:t>评审标准</w:t>
      </w:r>
      <w:bookmarkEnd w:id="118"/>
      <w:bookmarkEnd w:id="119"/>
    </w:p>
    <w:tbl>
      <w:tblPr>
        <w:tblStyle w:val="15"/>
        <w:tblW w:w="962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1339"/>
        <w:gridCol w:w="824"/>
        <w:gridCol w:w="4820"/>
        <w:gridCol w:w="2152"/>
      </w:tblGrid>
      <w:tr w14:paraId="28E3F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14:paraId="57FB727E">
            <w:pPr>
              <w:spacing w:line="240" w:lineRule="atLeast"/>
              <w:ind w:firstLine="28"/>
              <w:jc w:val="center"/>
              <w:rPr>
                <w:rFonts w:ascii="仿宋" w:hAnsi="仿宋" w:eastAsia="仿宋" w:cs="仿宋"/>
                <w:b/>
                <w:sz w:val="21"/>
                <w:szCs w:val="21"/>
              </w:rPr>
            </w:pPr>
            <w:bookmarkStart w:id="122" w:name="_Toc76462335"/>
            <w:bookmarkStart w:id="123" w:name="_Toc106030890"/>
            <w:r>
              <w:rPr>
                <w:rFonts w:hint="eastAsia" w:ascii="仿宋" w:hAnsi="仿宋" w:eastAsia="仿宋" w:cs="仿宋"/>
                <w:b/>
                <w:sz w:val="21"/>
                <w:szCs w:val="21"/>
              </w:rPr>
              <w:t>序号</w:t>
            </w:r>
          </w:p>
        </w:tc>
        <w:tc>
          <w:tcPr>
            <w:tcW w:w="1339" w:type="dxa"/>
            <w:vAlign w:val="center"/>
          </w:tcPr>
          <w:p w14:paraId="3AA79630">
            <w:pPr>
              <w:spacing w:line="240" w:lineRule="atLeast"/>
              <w:ind w:firstLine="28"/>
              <w:jc w:val="center"/>
              <w:rPr>
                <w:rFonts w:ascii="仿宋" w:hAnsi="仿宋" w:eastAsia="仿宋" w:cs="仿宋"/>
                <w:b/>
                <w:sz w:val="21"/>
                <w:szCs w:val="21"/>
              </w:rPr>
            </w:pPr>
            <w:r>
              <w:rPr>
                <w:rFonts w:hint="eastAsia" w:ascii="仿宋" w:hAnsi="仿宋" w:eastAsia="仿宋" w:cs="仿宋"/>
                <w:b/>
                <w:sz w:val="21"/>
                <w:szCs w:val="21"/>
              </w:rPr>
              <w:t>评分因素</w:t>
            </w:r>
          </w:p>
          <w:p w14:paraId="4F940630">
            <w:pPr>
              <w:spacing w:line="240" w:lineRule="atLeast"/>
              <w:ind w:firstLine="28"/>
              <w:jc w:val="center"/>
              <w:rPr>
                <w:rFonts w:ascii="仿宋" w:hAnsi="仿宋" w:eastAsia="仿宋" w:cs="仿宋"/>
                <w:b/>
                <w:sz w:val="21"/>
                <w:szCs w:val="21"/>
              </w:rPr>
            </w:pPr>
            <w:r>
              <w:rPr>
                <w:rFonts w:hint="eastAsia" w:ascii="仿宋" w:hAnsi="仿宋" w:eastAsia="仿宋" w:cs="仿宋"/>
                <w:b/>
                <w:sz w:val="21"/>
                <w:szCs w:val="21"/>
              </w:rPr>
              <w:t>及权重</w:t>
            </w:r>
          </w:p>
        </w:tc>
        <w:tc>
          <w:tcPr>
            <w:tcW w:w="824" w:type="dxa"/>
            <w:vAlign w:val="center"/>
          </w:tcPr>
          <w:p w14:paraId="184FD74C">
            <w:pPr>
              <w:spacing w:line="240" w:lineRule="atLeast"/>
              <w:ind w:firstLine="28"/>
              <w:jc w:val="center"/>
              <w:rPr>
                <w:rFonts w:ascii="仿宋" w:hAnsi="仿宋" w:eastAsia="仿宋" w:cs="仿宋"/>
                <w:b/>
                <w:sz w:val="21"/>
                <w:szCs w:val="21"/>
              </w:rPr>
            </w:pPr>
            <w:r>
              <w:rPr>
                <w:rFonts w:hint="eastAsia" w:ascii="仿宋" w:hAnsi="仿宋" w:eastAsia="仿宋" w:cs="仿宋"/>
                <w:b/>
                <w:sz w:val="21"/>
                <w:szCs w:val="21"/>
              </w:rPr>
              <w:t>分值</w:t>
            </w:r>
          </w:p>
        </w:tc>
        <w:tc>
          <w:tcPr>
            <w:tcW w:w="4820" w:type="dxa"/>
            <w:vAlign w:val="center"/>
          </w:tcPr>
          <w:p w14:paraId="472819CF">
            <w:pPr>
              <w:spacing w:line="240" w:lineRule="atLeast"/>
              <w:ind w:firstLine="28"/>
              <w:jc w:val="center"/>
              <w:rPr>
                <w:rFonts w:ascii="仿宋" w:hAnsi="仿宋" w:eastAsia="仿宋" w:cs="仿宋"/>
                <w:b/>
                <w:sz w:val="21"/>
                <w:szCs w:val="21"/>
              </w:rPr>
            </w:pPr>
            <w:r>
              <w:rPr>
                <w:rFonts w:hint="eastAsia" w:ascii="仿宋" w:hAnsi="仿宋" w:eastAsia="仿宋" w:cs="仿宋"/>
                <w:b/>
                <w:sz w:val="21"/>
                <w:szCs w:val="21"/>
              </w:rPr>
              <w:t>评分标准</w:t>
            </w:r>
          </w:p>
        </w:tc>
        <w:tc>
          <w:tcPr>
            <w:tcW w:w="2152" w:type="dxa"/>
            <w:vAlign w:val="center"/>
          </w:tcPr>
          <w:p w14:paraId="2F6D5D0C">
            <w:pPr>
              <w:spacing w:line="240" w:lineRule="atLeast"/>
              <w:jc w:val="center"/>
              <w:rPr>
                <w:rFonts w:ascii="仿宋" w:hAnsi="仿宋" w:eastAsia="仿宋" w:cs="仿宋"/>
                <w:b/>
                <w:sz w:val="21"/>
                <w:szCs w:val="21"/>
              </w:rPr>
            </w:pPr>
            <w:r>
              <w:rPr>
                <w:rFonts w:hint="eastAsia" w:ascii="仿宋" w:hAnsi="仿宋" w:eastAsia="仿宋" w:cs="仿宋"/>
                <w:b/>
                <w:sz w:val="21"/>
                <w:szCs w:val="21"/>
              </w:rPr>
              <w:t>说明</w:t>
            </w:r>
          </w:p>
        </w:tc>
      </w:tr>
      <w:tr w14:paraId="59FAD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493" w:type="dxa"/>
            <w:vAlign w:val="center"/>
          </w:tcPr>
          <w:p w14:paraId="2C39FDF8">
            <w:pPr>
              <w:spacing w:line="240" w:lineRule="atLeast"/>
              <w:ind w:firstLine="28"/>
              <w:jc w:val="center"/>
              <w:rPr>
                <w:rFonts w:ascii="仿宋" w:hAnsi="仿宋" w:eastAsia="仿宋" w:cs="仿宋"/>
                <w:sz w:val="21"/>
                <w:szCs w:val="21"/>
              </w:rPr>
            </w:pPr>
            <w:r>
              <w:rPr>
                <w:rFonts w:hint="eastAsia" w:ascii="仿宋" w:hAnsi="仿宋" w:eastAsia="仿宋" w:cs="仿宋"/>
                <w:sz w:val="21"/>
                <w:szCs w:val="21"/>
              </w:rPr>
              <w:t>1</w:t>
            </w:r>
          </w:p>
        </w:tc>
        <w:tc>
          <w:tcPr>
            <w:tcW w:w="1339" w:type="dxa"/>
            <w:vAlign w:val="center"/>
          </w:tcPr>
          <w:p w14:paraId="534E9AB1">
            <w:pPr>
              <w:spacing w:line="240" w:lineRule="atLeast"/>
              <w:ind w:firstLine="28"/>
              <w:jc w:val="center"/>
              <w:rPr>
                <w:rFonts w:ascii="仿宋" w:hAnsi="仿宋" w:eastAsia="仿宋"/>
                <w:sz w:val="21"/>
                <w:szCs w:val="21"/>
              </w:rPr>
            </w:pPr>
            <w:r>
              <w:rPr>
                <w:rFonts w:hint="eastAsia" w:ascii="仿宋" w:hAnsi="仿宋" w:eastAsia="仿宋"/>
                <w:sz w:val="21"/>
                <w:szCs w:val="21"/>
              </w:rPr>
              <w:t>磋商报价</w:t>
            </w:r>
          </w:p>
          <w:p w14:paraId="58FEDE5D">
            <w:pPr>
              <w:spacing w:line="240" w:lineRule="atLeast"/>
              <w:ind w:firstLine="28"/>
              <w:jc w:val="center"/>
              <w:rPr>
                <w:rFonts w:ascii="仿宋" w:hAnsi="仿宋" w:eastAsia="仿宋"/>
                <w:sz w:val="21"/>
                <w:szCs w:val="21"/>
              </w:rPr>
            </w:pPr>
            <w:r>
              <w:rPr>
                <w:rFonts w:hint="eastAsia" w:ascii="仿宋" w:hAnsi="仿宋" w:eastAsia="仿宋"/>
                <w:sz w:val="21"/>
                <w:szCs w:val="21"/>
              </w:rPr>
              <w:t>（20%）</w:t>
            </w:r>
          </w:p>
        </w:tc>
        <w:tc>
          <w:tcPr>
            <w:tcW w:w="824" w:type="dxa"/>
            <w:vAlign w:val="center"/>
          </w:tcPr>
          <w:p w14:paraId="23D646E0">
            <w:pPr>
              <w:spacing w:line="240" w:lineRule="atLeast"/>
              <w:ind w:firstLine="28"/>
              <w:jc w:val="center"/>
              <w:rPr>
                <w:rFonts w:ascii="仿宋" w:hAnsi="仿宋" w:eastAsia="仿宋"/>
                <w:sz w:val="21"/>
                <w:szCs w:val="21"/>
              </w:rPr>
            </w:pPr>
            <w:r>
              <w:rPr>
                <w:rFonts w:hint="eastAsia" w:ascii="仿宋" w:hAnsi="仿宋" w:eastAsia="仿宋"/>
                <w:sz w:val="21"/>
                <w:szCs w:val="21"/>
              </w:rPr>
              <w:t>20分</w:t>
            </w:r>
          </w:p>
        </w:tc>
        <w:tc>
          <w:tcPr>
            <w:tcW w:w="4820" w:type="dxa"/>
            <w:vAlign w:val="center"/>
          </w:tcPr>
          <w:p w14:paraId="54407000">
            <w:pPr>
              <w:pStyle w:val="13"/>
              <w:shd w:val="clear" w:color="auto" w:fill="FFFFFF"/>
              <w:spacing w:before="0" w:beforeAutospacing="0" w:after="0" w:afterAutospacing="0"/>
              <w:rPr>
                <w:rFonts w:ascii="仿宋" w:hAnsi="仿宋" w:eastAsia="仿宋"/>
                <w:sz w:val="21"/>
                <w:szCs w:val="21"/>
              </w:rPr>
            </w:pPr>
            <w:r>
              <w:rPr>
                <w:rFonts w:hint="eastAsia" w:ascii="仿宋" w:hAnsi="仿宋" w:eastAsia="仿宋" w:cs="Times New Roman"/>
                <w:kern w:val="2"/>
                <w:sz w:val="21"/>
                <w:szCs w:val="21"/>
                <w:lang w:val="en-US" w:eastAsia="zh-CN" w:bidi="ar-SA"/>
              </w:rPr>
              <w:t>满足资格审查要求且最后报价最低的供应商的报价为基准价，其价格分为满分。其他供应商的价格分统一按照下列公式计算：报价得分＝（评标基准价/最后报价）×价格权值×100。</w:t>
            </w:r>
          </w:p>
        </w:tc>
        <w:tc>
          <w:tcPr>
            <w:tcW w:w="2152" w:type="dxa"/>
            <w:vAlign w:val="center"/>
          </w:tcPr>
          <w:p w14:paraId="6C1CF924">
            <w:pPr>
              <w:spacing w:line="240" w:lineRule="exact"/>
              <w:ind w:left="-39" w:leftChars="-14"/>
              <w:rPr>
                <w:rFonts w:ascii="仿宋" w:hAnsi="仿宋" w:eastAsia="仿宋" w:cs="宋体"/>
                <w:sz w:val="21"/>
                <w:szCs w:val="21"/>
              </w:rPr>
            </w:pPr>
          </w:p>
        </w:tc>
      </w:tr>
      <w:tr w14:paraId="766C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493" w:type="dxa"/>
            <w:vMerge w:val="restart"/>
            <w:vAlign w:val="center"/>
          </w:tcPr>
          <w:p w14:paraId="6CCE90FC">
            <w:pPr>
              <w:spacing w:line="240" w:lineRule="atLeast"/>
              <w:ind w:firstLine="28"/>
              <w:jc w:val="center"/>
              <w:rPr>
                <w:rFonts w:ascii="仿宋" w:hAnsi="仿宋" w:eastAsia="仿宋"/>
                <w:sz w:val="21"/>
                <w:szCs w:val="21"/>
              </w:rPr>
            </w:pPr>
            <w:r>
              <w:rPr>
                <w:rFonts w:hint="eastAsia" w:ascii="仿宋" w:hAnsi="仿宋" w:eastAsia="仿宋"/>
                <w:sz w:val="21"/>
                <w:szCs w:val="21"/>
              </w:rPr>
              <w:t>2</w:t>
            </w:r>
          </w:p>
        </w:tc>
        <w:tc>
          <w:tcPr>
            <w:tcW w:w="1339" w:type="dxa"/>
            <w:vMerge w:val="restart"/>
            <w:vAlign w:val="center"/>
          </w:tcPr>
          <w:p w14:paraId="61A7E6B1">
            <w:pPr>
              <w:spacing w:line="240" w:lineRule="atLeast"/>
              <w:ind w:firstLine="28"/>
              <w:jc w:val="center"/>
              <w:rPr>
                <w:rFonts w:ascii="仿宋" w:hAnsi="仿宋" w:eastAsia="仿宋"/>
                <w:sz w:val="21"/>
                <w:szCs w:val="21"/>
              </w:rPr>
            </w:pPr>
            <w:r>
              <w:rPr>
                <w:rFonts w:hint="eastAsia" w:ascii="仿宋" w:hAnsi="仿宋" w:eastAsia="仿宋"/>
                <w:sz w:val="21"/>
                <w:szCs w:val="21"/>
              </w:rPr>
              <w:t>服务部分（</w:t>
            </w:r>
            <w:r>
              <w:rPr>
                <w:rFonts w:hint="eastAsia" w:ascii="仿宋" w:hAnsi="仿宋" w:eastAsia="仿宋"/>
                <w:sz w:val="21"/>
                <w:szCs w:val="21"/>
                <w:lang w:val="en-US" w:eastAsia="zh-CN"/>
              </w:rPr>
              <w:t>5</w:t>
            </w:r>
            <w:r>
              <w:rPr>
                <w:rFonts w:hint="eastAsia" w:ascii="仿宋" w:hAnsi="仿宋" w:eastAsia="仿宋"/>
                <w:sz w:val="21"/>
                <w:szCs w:val="21"/>
              </w:rPr>
              <w:t>0%）</w:t>
            </w:r>
          </w:p>
        </w:tc>
        <w:tc>
          <w:tcPr>
            <w:tcW w:w="824" w:type="dxa"/>
            <w:vAlign w:val="center"/>
          </w:tcPr>
          <w:p w14:paraId="34B966A0">
            <w:pPr>
              <w:spacing w:line="240" w:lineRule="exact"/>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需求分析</w:t>
            </w:r>
            <w:r>
              <w:rPr>
                <w:rFonts w:hint="eastAsia" w:ascii="仿宋" w:hAnsi="仿宋" w:eastAsia="仿宋" w:cs="仿宋"/>
                <w:sz w:val="21"/>
                <w:szCs w:val="21"/>
                <w:lang w:val="en-US" w:eastAsia="zh-CN"/>
              </w:rPr>
              <w:t>10</w:t>
            </w:r>
            <w:r>
              <w:rPr>
                <w:rFonts w:hint="eastAsia" w:ascii="仿宋" w:hAnsi="仿宋" w:eastAsia="仿宋" w:cs="仿宋"/>
                <w:sz w:val="21"/>
                <w:szCs w:val="21"/>
                <w:lang w:eastAsia="zh-CN"/>
              </w:rPr>
              <w:t>分</w:t>
            </w:r>
          </w:p>
        </w:tc>
        <w:tc>
          <w:tcPr>
            <w:tcW w:w="4820" w:type="dxa"/>
            <w:vAlign w:val="center"/>
          </w:tcPr>
          <w:p w14:paraId="37E4CB23">
            <w:pPr>
              <w:ind w:firstLine="28"/>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 xml:space="preserve">根据投标人针对本项目提供的需求分析(应包含①对航道业务现状的理解； ②对内电子航道图现状及发展趋势的理解； ③对本项目建设目标和建设内容的理解等内容)进行综合评分。 </w:t>
            </w:r>
          </w:p>
          <w:p w14:paraId="0EDAD0E6">
            <w:pPr>
              <w:ind w:firstLine="28"/>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内容不存在瑕疵，得10分；</w:t>
            </w:r>
          </w:p>
          <w:p w14:paraId="0EE59081">
            <w:pPr>
              <w:ind w:firstLine="28"/>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内容存在1处瑕疵，得8分；</w:t>
            </w:r>
          </w:p>
          <w:p w14:paraId="71A6A669">
            <w:pPr>
              <w:ind w:firstLine="28"/>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内容存在2处瑕疵得6分；</w:t>
            </w:r>
          </w:p>
          <w:p w14:paraId="4A9C4C29">
            <w:pPr>
              <w:ind w:firstLine="28"/>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内容存在3处瑕疵得4分；</w:t>
            </w:r>
          </w:p>
          <w:p w14:paraId="09A84856">
            <w:pPr>
              <w:ind w:firstLine="28"/>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内容存在4处及以上瑕疵得2分；</w:t>
            </w:r>
          </w:p>
          <w:p w14:paraId="3587A749">
            <w:pPr>
              <w:ind w:firstLine="28"/>
              <w:jc w:val="left"/>
            </w:pPr>
            <w:r>
              <w:rPr>
                <w:rFonts w:hint="eastAsia" w:ascii="仿宋" w:hAnsi="仿宋" w:eastAsia="仿宋" w:cs="Times New Roman"/>
                <w:kern w:val="2"/>
                <w:sz w:val="21"/>
                <w:szCs w:val="21"/>
                <w:lang w:val="en-US" w:eastAsia="zh-CN" w:bidi="ar-SA"/>
              </w:rPr>
              <w:t>内容和项目实际不符或未提供的不得分。</w:t>
            </w:r>
          </w:p>
        </w:tc>
        <w:tc>
          <w:tcPr>
            <w:tcW w:w="2152" w:type="dxa"/>
            <w:vMerge w:val="restart"/>
            <w:vAlign w:val="center"/>
          </w:tcPr>
          <w:p w14:paraId="50ABBE2C">
            <w:pPr>
              <w:spacing w:line="240" w:lineRule="atLeast"/>
              <w:jc w:val="center"/>
              <w:rPr>
                <w:rFonts w:ascii="仿宋" w:hAnsi="仿宋" w:eastAsia="仿宋"/>
                <w:sz w:val="21"/>
                <w:szCs w:val="21"/>
              </w:rPr>
            </w:pPr>
            <w:r>
              <w:rPr>
                <w:rFonts w:hint="eastAsia" w:ascii="仿宋" w:hAnsi="仿宋" w:eastAsia="仿宋" w:cs="Times New Roman"/>
                <w:kern w:val="2"/>
                <w:sz w:val="21"/>
                <w:szCs w:val="21"/>
                <w:lang w:val="zh-CN" w:eastAsia="zh-CN" w:bidi="ar-SA"/>
              </w:rPr>
              <w:t>本项内容中所称的“瑕疵”指方案内容缺项、内容表述不完整、缺少任意一项内容的针对性描述分析或缺少关键分析点，方案内容表述前后矛盾、无连贯性，内容存在逻辑漏洞、常识错误、科学原理错误、措施保障安排并不适用本项目特性或非专门针对本项目制定、方案中提出的措施举措不利于本项目目标的实现、现有技术条件下不可能出现的情形等任意一种情形。</w:t>
            </w:r>
          </w:p>
        </w:tc>
      </w:tr>
      <w:tr w14:paraId="344F3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493" w:type="dxa"/>
            <w:vMerge w:val="continue"/>
            <w:vAlign w:val="center"/>
          </w:tcPr>
          <w:p w14:paraId="1B83C8B7">
            <w:pPr>
              <w:spacing w:line="240" w:lineRule="atLeast"/>
              <w:ind w:firstLine="28"/>
              <w:jc w:val="center"/>
              <w:rPr>
                <w:rFonts w:hint="eastAsia" w:ascii="仿宋" w:hAnsi="仿宋" w:eastAsia="仿宋"/>
                <w:sz w:val="21"/>
                <w:szCs w:val="21"/>
              </w:rPr>
            </w:pPr>
          </w:p>
        </w:tc>
        <w:tc>
          <w:tcPr>
            <w:tcW w:w="1339" w:type="dxa"/>
            <w:vMerge w:val="continue"/>
            <w:vAlign w:val="center"/>
          </w:tcPr>
          <w:p w14:paraId="6744E377">
            <w:pPr>
              <w:spacing w:line="240" w:lineRule="atLeast"/>
              <w:ind w:firstLine="28"/>
              <w:jc w:val="center"/>
              <w:rPr>
                <w:rFonts w:hint="eastAsia" w:ascii="仿宋" w:hAnsi="仿宋" w:eastAsia="仿宋"/>
                <w:sz w:val="21"/>
                <w:szCs w:val="21"/>
              </w:rPr>
            </w:pPr>
          </w:p>
        </w:tc>
        <w:tc>
          <w:tcPr>
            <w:tcW w:w="824" w:type="dxa"/>
            <w:vAlign w:val="center"/>
          </w:tcPr>
          <w:p w14:paraId="087EFCEB">
            <w:pPr>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eastAsia="zh-CN"/>
              </w:rPr>
              <w:t>服务方案</w:t>
            </w:r>
            <w:r>
              <w:rPr>
                <w:rFonts w:hint="eastAsia" w:ascii="仿宋" w:hAnsi="仿宋" w:eastAsia="仿宋" w:cs="仿宋"/>
                <w:sz w:val="21"/>
                <w:szCs w:val="21"/>
                <w:lang w:val="en-US" w:eastAsia="zh-CN"/>
              </w:rPr>
              <w:t>15分</w:t>
            </w:r>
          </w:p>
        </w:tc>
        <w:tc>
          <w:tcPr>
            <w:tcW w:w="4820" w:type="dxa"/>
            <w:vAlign w:val="center"/>
          </w:tcPr>
          <w:p w14:paraId="1C7B2E74">
            <w:pPr>
              <w:outlineLvl w:val="2"/>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根据投标人针对本项目制定的服务方案(应包含①电子航道图总体制作方案的先进性； ②对数据制作的规范性、完整性、安全保密性以及易用性有深刻的理解； ③电子航道图数据采集与制作等内容进行综合评分。</w:t>
            </w:r>
          </w:p>
          <w:p w14:paraId="1A00AAB4">
            <w:pPr>
              <w:ind w:firstLine="28"/>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内容不存在瑕疵，得15分；</w:t>
            </w:r>
          </w:p>
          <w:p w14:paraId="10118157">
            <w:pPr>
              <w:ind w:firstLine="28"/>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内容存在1处瑕疵，得12分；</w:t>
            </w:r>
          </w:p>
          <w:p w14:paraId="664F7D99">
            <w:pPr>
              <w:ind w:firstLine="28"/>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内容存在2处瑕疵得9分；</w:t>
            </w:r>
          </w:p>
          <w:p w14:paraId="45AA90DB">
            <w:pPr>
              <w:ind w:firstLine="28"/>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内容存在3处瑕疵得6分；</w:t>
            </w:r>
          </w:p>
          <w:p w14:paraId="46860281">
            <w:pPr>
              <w:ind w:firstLine="28"/>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内容存在4处及以上瑕疵得3分；</w:t>
            </w:r>
          </w:p>
          <w:p w14:paraId="53571144">
            <w:pPr>
              <w:outlineLvl w:val="2"/>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内容和项目实际不符或未提供的不得分。</w:t>
            </w:r>
          </w:p>
        </w:tc>
        <w:tc>
          <w:tcPr>
            <w:tcW w:w="2152" w:type="dxa"/>
            <w:vMerge w:val="continue"/>
            <w:vAlign w:val="center"/>
          </w:tcPr>
          <w:p w14:paraId="23577D86">
            <w:pPr>
              <w:spacing w:line="240" w:lineRule="atLeast"/>
              <w:jc w:val="center"/>
              <w:rPr>
                <w:rFonts w:hint="eastAsia" w:ascii="仿宋" w:hAnsi="仿宋" w:eastAsia="仿宋" w:cs="Times New Roman"/>
                <w:kern w:val="2"/>
                <w:sz w:val="21"/>
                <w:szCs w:val="21"/>
                <w:lang w:val="zh-CN" w:eastAsia="zh-CN" w:bidi="ar-SA"/>
              </w:rPr>
            </w:pPr>
          </w:p>
        </w:tc>
      </w:tr>
      <w:tr w14:paraId="19D9A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493" w:type="dxa"/>
            <w:vMerge w:val="continue"/>
            <w:vAlign w:val="center"/>
          </w:tcPr>
          <w:p w14:paraId="717666B7">
            <w:pPr>
              <w:spacing w:line="240" w:lineRule="atLeast"/>
              <w:ind w:firstLine="28"/>
              <w:jc w:val="center"/>
              <w:rPr>
                <w:rFonts w:hint="eastAsia" w:ascii="仿宋" w:hAnsi="仿宋" w:eastAsia="仿宋"/>
                <w:sz w:val="21"/>
                <w:szCs w:val="21"/>
              </w:rPr>
            </w:pPr>
          </w:p>
        </w:tc>
        <w:tc>
          <w:tcPr>
            <w:tcW w:w="1339" w:type="dxa"/>
            <w:vMerge w:val="continue"/>
            <w:vAlign w:val="center"/>
          </w:tcPr>
          <w:p w14:paraId="7FBE232F">
            <w:pPr>
              <w:spacing w:line="240" w:lineRule="atLeast"/>
              <w:ind w:firstLine="28"/>
              <w:jc w:val="center"/>
              <w:rPr>
                <w:rFonts w:hint="eastAsia" w:ascii="仿宋" w:hAnsi="仿宋" w:eastAsia="仿宋"/>
                <w:sz w:val="21"/>
                <w:szCs w:val="21"/>
              </w:rPr>
            </w:pPr>
          </w:p>
        </w:tc>
        <w:tc>
          <w:tcPr>
            <w:tcW w:w="824" w:type="dxa"/>
            <w:vAlign w:val="center"/>
          </w:tcPr>
          <w:p w14:paraId="0868FB77">
            <w:pPr>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eastAsia="zh-CN"/>
              </w:rPr>
              <w:t>管理方案</w:t>
            </w:r>
            <w:r>
              <w:rPr>
                <w:rFonts w:hint="eastAsia" w:ascii="仿宋" w:hAnsi="仿宋" w:eastAsia="仿宋" w:cs="仿宋"/>
                <w:sz w:val="21"/>
                <w:szCs w:val="21"/>
                <w:lang w:val="en-US" w:eastAsia="zh-CN"/>
              </w:rPr>
              <w:t>10分</w:t>
            </w:r>
          </w:p>
        </w:tc>
        <w:tc>
          <w:tcPr>
            <w:tcW w:w="4820" w:type="dxa"/>
            <w:vAlign w:val="center"/>
          </w:tcPr>
          <w:p w14:paraId="1071CAF0">
            <w:pPr>
              <w:pStyle w:val="3"/>
              <w:keepNext w:val="0"/>
              <w:keepLines w:val="0"/>
              <w:pageBreakBefore w:val="0"/>
              <w:widowControl w:val="0"/>
              <w:kinsoku/>
              <w:wordWrap/>
              <w:overflowPunct/>
              <w:topLinePunct w:val="0"/>
              <w:autoSpaceDE/>
              <w:autoSpaceDN/>
              <w:bidi w:val="0"/>
              <w:adjustRightInd w:val="0"/>
              <w:snapToGrid w:val="0"/>
              <w:spacing w:line="240" w:lineRule="auto"/>
              <w:ind w:firstLine="420"/>
              <w:textAlignment w:val="auto"/>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根据投标人针对本项目制定的管理方案(应包含①项目实施计划能够与电子航道图制作和应用进度紧密的贴合； ②质量管理等内容)进行综合评分。</w:t>
            </w:r>
          </w:p>
          <w:p w14:paraId="4909544E">
            <w:pPr>
              <w:ind w:firstLine="28"/>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内容不存在瑕疵，得10分；</w:t>
            </w:r>
          </w:p>
          <w:p w14:paraId="35EED6D2">
            <w:pPr>
              <w:ind w:firstLine="28"/>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内容存在1处瑕疵，得8分；</w:t>
            </w:r>
          </w:p>
          <w:p w14:paraId="25CCF3B7">
            <w:pPr>
              <w:ind w:firstLine="28"/>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内容存在2处瑕疵得6分；</w:t>
            </w:r>
          </w:p>
          <w:p w14:paraId="73433279">
            <w:pPr>
              <w:ind w:firstLine="28"/>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内容存在3处瑕疵得4分；</w:t>
            </w:r>
          </w:p>
          <w:p w14:paraId="68452596">
            <w:pPr>
              <w:ind w:firstLine="28"/>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内容存在4处及以上瑕疵得2分；</w:t>
            </w:r>
          </w:p>
          <w:p w14:paraId="7F04490F">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内容和项目实际不符或未提供的不得分。</w:t>
            </w:r>
          </w:p>
        </w:tc>
        <w:tc>
          <w:tcPr>
            <w:tcW w:w="2152" w:type="dxa"/>
            <w:vMerge w:val="continue"/>
            <w:vAlign w:val="center"/>
          </w:tcPr>
          <w:p w14:paraId="3CF47BA8">
            <w:pPr>
              <w:spacing w:line="240" w:lineRule="atLeast"/>
              <w:jc w:val="center"/>
              <w:rPr>
                <w:rFonts w:hint="eastAsia" w:ascii="仿宋" w:hAnsi="仿宋" w:eastAsia="仿宋" w:cs="Times New Roman"/>
                <w:kern w:val="2"/>
                <w:sz w:val="21"/>
                <w:szCs w:val="21"/>
                <w:lang w:val="zh-CN" w:eastAsia="zh-CN" w:bidi="ar-SA"/>
              </w:rPr>
            </w:pPr>
          </w:p>
        </w:tc>
      </w:tr>
      <w:tr w14:paraId="2FFBE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493" w:type="dxa"/>
            <w:vMerge w:val="continue"/>
            <w:vAlign w:val="center"/>
          </w:tcPr>
          <w:p w14:paraId="255A257E">
            <w:pPr>
              <w:spacing w:line="240" w:lineRule="atLeast"/>
              <w:ind w:firstLine="28"/>
              <w:jc w:val="center"/>
              <w:rPr>
                <w:rFonts w:ascii="仿宋" w:hAnsi="仿宋" w:eastAsia="仿宋"/>
                <w:sz w:val="21"/>
                <w:szCs w:val="21"/>
              </w:rPr>
            </w:pPr>
          </w:p>
        </w:tc>
        <w:tc>
          <w:tcPr>
            <w:tcW w:w="1339" w:type="dxa"/>
            <w:vMerge w:val="continue"/>
            <w:vAlign w:val="center"/>
          </w:tcPr>
          <w:p w14:paraId="2B358936">
            <w:pPr>
              <w:spacing w:line="240" w:lineRule="atLeast"/>
              <w:ind w:firstLine="28"/>
              <w:jc w:val="center"/>
              <w:rPr>
                <w:rFonts w:ascii="仿宋" w:hAnsi="仿宋" w:eastAsia="仿宋"/>
                <w:sz w:val="21"/>
                <w:szCs w:val="21"/>
              </w:rPr>
            </w:pPr>
          </w:p>
        </w:tc>
        <w:tc>
          <w:tcPr>
            <w:tcW w:w="824" w:type="dxa"/>
            <w:shd w:val="clear" w:color="auto" w:fill="auto"/>
            <w:vAlign w:val="center"/>
          </w:tcPr>
          <w:p w14:paraId="6237C837">
            <w:pPr>
              <w:spacing w:line="240" w:lineRule="atLeast"/>
              <w:ind w:firstLine="28" w:firstLineChars="0"/>
              <w:jc w:val="center"/>
              <w:rPr>
                <w:rFonts w:hint="eastAsia" w:ascii="仿宋" w:hAnsi="仿宋" w:eastAsia="仿宋" w:cs="Times New Roman"/>
                <w:color w:val="auto"/>
                <w:kern w:val="2"/>
                <w:sz w:val="21"/>
                <w:szCs w:val="21"/>
                <w:lang w:val="en-US" w:eastAsia="zh-CN" w:bidi="ar-SA"/>
              </w:rPr>
            </w:pPr>
            <w:r>
              <w:rPr>
                <w:rFonts w:hint="eastAsia" w:ascii="仿宋" w:hAnsi="仿宋" w:eastAsia="仿宋" w:cs="仿宋"/>
                <w:sz w:val="21"/>
                <w:szCs w:val="21"/>
                <w:lang w:val="en-US" w:eastAsia="zh-CN"/>
              </w:rPr>
              <w:t>售后服务15分</w:t>
            </w:r>
          </w:p>
        </w:tc>
        <w:tc>
          <w:tcPr>
            <w:tcW w:w="4820" w:type="dxa"/>
            <w:shd w:val="clear" w:color="auto" w:fill="auto"/>
            <w:vAlign w:val="center"/>
          </w:tcPr>
          <w:p w14:paraId="16348FC9">
            <w:pP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根据投标人针对本项目制定的售后服务方案(应包含①响应时间②售后服务人员情况③后续跟踪服务措施④售后服务承诺等内容)进行综合评分。</w:t>
            </w:r>
          </w:p>
          <w:p w14:paraId="3F1E1C41">
            <w:pPr>
              <w:ind w:firstLine="28"/>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内容不存在瑕疵，得15分；</w:t>
            </w:r>
          </w:p>
          <w:p w14:paraId="063A561D">
            <w:pPr>
              <w:ind w:firstLine="28"/>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内容存在1处瑕疵，得12分；</w:t>
            </w:r>
          </w:p>
          <w:p w14:paraId="424DC9D2">
            <w:pPr>
              <w:ind w:firstLine="28"/>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内容存在2处瑕疵得9分；</w:t>
            </w:r>
          </w:p>
          <w:p w14:paraId="4F47314E">
            <w:pPr>
              <w:ind w:firstLine="28"/>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内容存在3处瑕疵得6分；</w:t>
            </w:r>
          </w:p>
          <w:p w14:paraId="6A27B450">
            <w:pPr>
              <w:ind w:firstLine="28"/>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内容存在4处及以上瑕疵得3分；</w:t>
            </w:r>
          </w:p>
          <w:p w14:paraId="6584CF8E">
            <w:pPr>
              <w:outlineLvl w:val="2"/>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内容和项目实际不符或未提供的不得分。</w:t>
            </w:r>
          </w:p>
        </w:tc>
        <w:tc>
          <w:tcPr>
            <w:tcW w:w="2152" w:type="dxa"/>
            <w:vMerge w:val="continue"/>
            <w:vAlign w:val="center"/>
          </w:tcPr>
          <w:p w14:paraId="40FC4EE0">
            <w:pPr>
              <w:spacing w:line="240" w:lineRule="atLeast"/>
              <w:rPr>
                <w:rFonts w:ascii="仿宋" w:hAnsi="仿宋" w:eastAsia="仿宋"/>
                <w:sz w:val="21"/>
                <w:szCs w:val="21"/>
              </w:rPr>
            </w:pPr>
          </w:p>
        </w:tc>
      </w:tr>
      <w:tr w14:paraId="69BE2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93" w:type="dxa"/>
            <w:vMerge w:val="restart"/>
            <w:vAlign w:val="center"/>
          </w:tcPr>
          <w:p w14:paraId="63B56444">
            <w:pPr>
              <w:spacing w:line="240" w:lineRule="atLeast"/>
              <w:ind w:firstLine="28"/>
              <w:jc w:val="center"/>
              <w:rPr>
                <w:rFonts w:ascii="仿宋" w:hAnsi="仿宋" w:eastAsia="仿宋" w:cs="仿宋"/>
                <w:sz w:val="21"/>
                <w:szCs w:val="21"/>
              </w:rPr>
            </w:pPr>
            <w:r>
              <w:rPr>
                <w:rFonts w:hint="eastAsia" w:ascii="仿宋" w:hAnsi="仿宋" w:eastAsia="仿宋" w:cs="仿宋"/>
                <w:sz w:val="21"/>
                <w:szCs w:val="21"/>
              </w:rPr>
              <w:t>3</w:t>
            </w:r>
          </w:p>
        </w:tc>
        <w:tc>
          <w:tcPr>
            <w:tcW w:w="1339" w:type="dxa"/>
            <w:vMerge w:val="restart"/>
            <w:vAlign w:val="center"/>
          </w:tcPr>
          <w:p w14:paraId="7249F563">
            <w:pPr>
              <w:spacing w:line="240" w:lineRule="exact"/>
              <w:jc w:val="center"/>
              <w:rPr>
                <w:rFonts w:ascii="仿宋" w:hAnsi="仿宋" w:eastAsia="仿宋" w:cs="仿宋"/>
                <w:sz w:val="21"/>
                <w:szCs w:val="21"/>
              </w:rPr>
            </w:pPr>
            <w:r>
              <w:rPr>
                <w:rFonts w:hint="eastAsia" w:ascii="仿宋" w:hAnsi="仿宋" w:eastAsia="仿宋" w:cs="仿宋"/>
                <w:sz w:val="21"/>
                <w:szCs w:val="21"/>
              </w:rPr>
              <w:t>商务部分</w:t>
            </w:r>
          </w:p>
          <w:p w14:paraId="617B5E46">
            <w:pPr>
              <w:spacing w:line="240" w:lineRule="exact"/>
              <w:jc w:val="center"/>
              <w:rPr>
                <w:rFonts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3</w:t>
            </w:r>
            <w:r>
              <w:rPr>
                <w:rFonts w:hint="eastAsia" w:ascii="仿宋" w:hAnsi="仿宋" w:eastAsia="仿宋" w:cs="仿宋"/>
                <w:sz w:val="21"/>
                <w:szCs w:val="21"/>
              </w:rPr>
              <w:t>0%）</w:t>
            </w:r>
          </w:p>
        </w:tc>
        <w:tc>
          <w:tcPr>
            <w:tcW w:w="824" w:type="dxa"/>
            <w:shd w:val="clear" w:color="auto" w:fill="auto"/>
            <w:vAlign w:val="center"/>
          </w:tcPr>
          <w:p w14:paraId="1F6BC8EC">
            <w:pPr>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rPr>
              <w:t>业绩</w:t>
            </w:r>
            <w:r>
              <w:rPr>
                <w:rFonts w:hint="eastAsia" w:ascii="仿宋" w:hAnsi="仿宋" w:eastAsia="仿宋" w:cs="仿宋"/>
                <w:sz w:val="21"/>
                <w:szCs w:val="21"/>
                <w:lang w:val="en-US" w:eastAsia="zh-CN"/>
              </w:rPr>
              <w:t>15分</w:t>
            </w:r>
          </w:p>
        </w:tc>
        <w:tc>
          <w:tcPr>
            <w:tcW w:w="4820" w:type="dxa"/>
            <w:shd w:val="clear" w:color="auto" w:fill="auto"/>
            <w:vAlign w:val="center"/>
          </w:tcPr>
          <w:p w14:paraId="62AB0C8E">
            <w:pPr>
              <w:rPr>
                <w:rFonts w:hint="eastAsia" w:ascii="Times New Roman" w:hAnsi="宋体" w:eastAsia="宋体" w:cs="宋体"/>
                <w:color w:val="FF0000"/>
                <w:kern w:val="2"/>
                <w:sz w:val="24"/>
                <w:szCs w:val="24"/>
                <w:lang w:val="en-US" w:eastAsia="zh-CN" w:bidi="ar-SA"/>
              </w:rPr>
            </w:pPr>
            <w:r>
              <w:rPr>
                <w:rFonts w:hint="eastAsia" w:ascii="仿宋" w:hAnsi="仿宋" w:eastAsia="仿宋" w:cs="Times New Roman"/>
                <w:kern w:val="2"/>
                <w:sz w:val="21"/>
                <w:szCs w:val="21"/>
                <w:lang w:val="en-US" w:eastAsia="zh-CN" w:bidi="ar-SA"/>
              </w:rPr>
              <w:t>投标人近三年具有一个类似项目业绩的得5分，每增加一个加5分，本项最多得15分。类似业绩指:数字航道建设、电子航道图等航道信息化建设项目。</w:t>
            </w:r>
          </w:p>
        </w:tc>
        <w:tc>
          <w:tcPr>
            <w:tcW w:w="2152" w:type="dxa"/>
            <w:shd w:val="clear" w:color="auto" w:fill="auto"/>
            <w:vAlign w:val="center"/>
          </w:tcPr>
          <w:p w14:paraId="4B41DDEF">
            <w:pPr>
              <w:spacing w:line="240" w:lineRule="exact"/>
              <w:ind w:left="-39" w:leftChars="-14"/>
              <w:jc w:val="left"/>
              <w:rPr>
                <w:rFonts w:hint="eastAsia" w:ascii="仿宋" w:hAnsi="仿宋" w:eastAsia="仿宋" w:cs="Times New Roman"/>
                <w:kern w:val="2"/>
                <w:sz w:val="21"/>
                <w:szCs w:val="21"/>
                <w:lang w:val="zh-CN" w:eastAsia="zh-CN" w:bidi="ar-SA"/>
              </w:rPr>
            </w:pPr>
            <w:r>
              <w:rPr>
                <w:rFonts w:hint="eastAsia" w:ascii="仿宋" w:hAnsi="仿宋" w:eastAsia="仿宋" w:cs="Times New Roman"/>
                <w:kern w:val="2"/>
                <w:sz w:val="21"/>
                <w:szCs w:val="21"/>
                <w:lang w:val="zh-CN" w:eastAsia="zh-CN" w:bidi="ar-SA"/>
              </w:rPr>
              <w:t>提供证明材料，加盖供应商公章。</w:t>
            </w:r>
          </w:p>
        </w:tc>
      </w:tr>
      <w:tr w14:paraId="63B7A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93" w:type="dxa"/>
            <w:vMerge w:val="continue"/>
            <w:vAlign w:val="center"/>
          </w:tcPr>
          <w:p w14:paraId="75AC0B78">
            <w:pPr>
              <w:spacing w:line="240" w:lineRule="atLeast"/>
              <w:ind w:firstLine="28"/>
              <w:jc w:val="center"/>
              <w:rPr>
                <w:rFonts w:hint="eastAsia" w:ascii="仿宋" w:hAnsi="仿宋" w:eastAsia="仿宋" w:cs="仿宋"/>
                <w:sz w:val="21"/>
                <w:szCs w:val="21"/>
              </w:rPr>
            </w:pPr>
          </w:p>
        </w:tc>
        <w:tc>
          <w:tcPr>
            <w:tcW w:w="1339" w:type="dxa"/>
            <w:vMerge w:val="continue"/>
            <w:vAlign w:val="center"/>
          </w:tcPr>
          <w:p w14:paraId="6C52F1FA">
            <w:pPr>
              <w:spacing w:line="240" w:lineRule="exact"/>
              <w:jc w:val="center"/>
              <w:rPr>
                <w:rFonts w:hint="eastAsia" w:ascii="仿宋" w:hAnsi="仿宋" w:eastAsia="仿宋" w:cs="仿宋"/>
                <w:sz w:val="21"/>
                <w:szCs w:val="21"/>
              </w:rPr>
            </w:pPr>
          </w:p>
        </w:tc>
        <w:tc>
          <w:tcPr>
            <w:tcW w:w="824" w:type="dxa"/>
            <w:vAlign w:val="center"/>
          </w:tcPr>
          <w:p w14:paraId="6D0C189B">
            <w:pPr>
              <w:spacing w:line="240" w:lineRule="exact"/>
              <w:jc w:val="center"/>
              <w:rPr>
                <w:rFonts w:hint="default" w:ascii="仿宋" w:hAnsi="仿宋" w:eastAsia="仿宋" w:cs="仿宋"/>
                <w:sz w:val="21"/>
                <w:szCs w:val="21"/>
                <w:lang w:val="en-US" w:eastAsia="zh-CN"/>
              </w:rPr>
            </w:pPr>
            <w:r>
              <w:rPr>
                <w:rFonts w:hint="eastAsia" w:ascii="仿宋" w:hAnsi="仿宋" w:eastAsia="仿宋" w:cs="仿宋"/>
                <w:sz w:val="21"/>
                <w:szCs w:val="21"/>
                <w:lang w:eastAsia="zh-CN"/>
              </w:rPr>
              <w:t>参</w:t>
            </w:r>
            <w:r>
              <w:rPr>
                <w:rFonts w:hint="eastAsia" w:ascii="仿宋" w:hAnsi="仿宋" w:eastAsia="仿宋" w:cs="仿宋"/>
                <w:sz w:val="21"/>
                <w:szCs w:val="21"/>
                <w:lang w:val="en-US" w:eastAsia="zh-CN"/>
              </w:rPr>
              <w:t>与</w:t>
            </w:r>
            <w:r>
              <w:rPr>
                <w:rFonts w:hint="eastAsia" w:ascii="仿宋" w:hAnsi="仿宋" w:eastAsia="仿宋" w:cs="仿宋"/>
                <w:sz w:val="21"/>
                <w:szCs w:val="21"/>
                <w:lang w:eastAsia="zh-CN"/>
              </w:rPr>
              <w:t>人员</w:t>
            </w:r>
            <w:r>
              <w:rPr>
                <w:rFonts w:hint="eastAsia" w:ascii="仿宋" w:hAnsi="仿宋" w:eastAsia="仿宋" w:cs="仿宋"/>
                <w:sz w:val="21"/>
                <w:szCs w:val="21"/>
                <w:lang w:val="en-US" w:eastAsia="zh-CN"/>
              </w:rPr>
              <w:t>15分</w:t>
            </w:r>
          </w:p>
        </w:tc>
        <w:tc>
          <w:tcPr>
            <w:tcW w:w="4820" w:type="dxa"/>
            <w:vAlign w:val="center"/>
          </w:tcPr>
          <w:p w14:paraId="7498B1FB">
            <w:pP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1、项目负责人： 具有中级技术职称得2分；具有高级及以上技术职称得5分； 本项最多得5分。</w:t>
            </w:r>
          </w:p>
          <w:p w14:paraId="3DA5ADC0">
            <w:pP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2、技术负责人： 具备地理信息或信息管理或电子信息或计算科学类专业中级职称得2分； 具备地理信息或信息管理或电子信息或计算科学类专业高级及以上职称得5分； 本项最多得5分。</w:t>
            </w:r>
          </w:p>
          <w:p w14:paraId="78D4B4F9">
            <w:pP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3、项目其他人员：</w:t>
            </w:r>
          </w:p>
          <w:p w14:paraId="4FB1EC1C">
            <w:pP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①每有1人具有中级及以上系统架构师或信息系统项目管理师专业人员资格认证的得 2分， 本项最多得6分。</w:t>
            </w:r>
          </w:p>
          <w:p w14:paraId="33A77F99">
            <w:pP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②每有1人具有测绘或信息化相关专业的中级及以上工程师职称的得2分， 本项最多得6分。</w:t>
            </w:r>
          </w:p>
          <w:p w14:paraId="5C5427B1">
            <w:pP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③每有1人具有注册测绘师认证的得2分，本项最多得4分。</w:t>
            </w:r>
          </w:p>
          <w:p w14:paraId="795F27AF">
            <w:pP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④每有一人具有国际海图制图师认证的得2分， 本项最多得2分。</w:t>
            </w:r>
          </w:p>
          <w:p w14:paraId="275A4180">
            <w:pP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注： ①提供各项证书复印件， 并加盖单位公章， 未提供不得分。</w:t>
            </w:r>
          </w:p>
          <w:p w14:paraId="04F268EA">
            <w:pP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②以上人员不得重复提供。</w:t>
            </w:r>
          </w:p>
          <w:p w14:paraId="66C2ECAA">
            <w:pPr>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③以上人员需提供社保证明材料或其他相关在职证明(工资发放表和劳务合同):退休返聘人员需提供返聘协议书。</w:t>
            </w:r>
          </w:p>
          <w:p w14:paraId="3B90950C">
            <w:pPr>
              <w:spacing w:line="240" w:lineRule="atLeast"/>
              <w:ind w:firstLine="420" w:firstLineChars="200"/>
              <w:rPr>
                <w:rFonts w:hint="eastAsia" w:ascii="仿宋" w:hAnsi="仿宋" w:eastAsia="仿宋" w:cs="Times New Roman"/>
                <w:kern w:val="2"/>
                <w:sz w:val="21"/>
                <w:szCs w:val="21"/>
                <w:lang w:val="en-US" w:eastAsia="zh-CN" w:bidi="ar-SA"/>
              </w:rPr>
            </w:pPr>
          </w:p>
        </w:tc>
        <w:tc>
          <w:tcPr>
            <w:tcW w:w="2152" w:type="dxa"/>
            <w:vAlign w:val="center"/>
          </w:tcPr>
          <w:p w14:paraId="2BC27B12">
            <w:pPr>
              <w:jc w:val="left"/>
              <w:rPr>
                <w:rFonts w:hint="eastAsia" w:ascii="仿宋" w:hAnsi="仿宋" w:eastAsia="仿宋" w:cs="Times New Roman"/>
                <w:kern w:val="2"/>
                <w:sz w:val="21"/>
                <w:szCs w:val="21"/>
                <w:lang w:val="en-US" w:eastAsia="zh-CN" w:bidi="ar-SA"/>
              </w:rPr>
            </w:pPr>
            <w:r>
              <w:rPr>
                <w:rFonts w:hint="eastAsia" w:ascii="仿宋" w:hAnsi="仿宋" w:eastAsia="仿宋" w:cs="仿宋"/>
                <w:sz w:val="21"/>
                <w:szCs w:val="21"/>
                <w:lang w:val="zh-CN" w:eastAsia="zh-CN"/>
              </w:rPr>
              <w:t>投标人在开标前六个月（2024年</w:t>
            </w:r>
            <w:r>
              <w:rPr>
                <w:rFonts w:hint="eastAsia" w:ascii="仿宋" w:hAnsi="仿宋" w:eastAsia="仿宋" w:cs="仿宋"/>
                <w:sz w:val="21"/>
                <w:szCs w:val="21"/>
                <w:lang w:val="en-US" w:eastAsia="zh-CN"/>
              </w:rPr>
              <w:t>4</w:t>
            </w:r>
            <w:r>
              <w:rPr>
                <w:rFonts w:hint="eastAsia" w:ascii="仿宋" w:hAnsi="仿宋" w:eastAsia="仿宋" w:cs="仿宋"/>
                <w:sz w:val="21"/>
                <w:szCs w:val="21"/>
                <w:lang w:val="zh-CN" w:eastAsia="zh-CN"/>
              </w:rPr>
              <w:t>月至2024年</w:t>
            </w:r>
            <w:r>
              <w:rPr>
                <w:rFonts w:hint="eastAsia" w:ascii="仿宋" w:hAnsi="仿宋" w:eastAsia="仿宋" w:cs="仿宋"/>
                <w:sz w:val="21"/>
                <w:szCs w:val="21"/>
                <w:lang w:val="en-US" w:eastAsia="zh-CN"/>
              </w:rPr>
              <w:t>9</w:t>
            </w:r>
            <w:bookmarkStart w:id="188" w:name="_GoBack"/>
            <w:bookmarkEnd w:id="188"/>
            <w:r>
              <w:rPr>
                <w:rFonts w:hint="eastAsia" w:ascii="仿宋" w:hAnsi="仿宋" w:eastAsia="仿宋" w:cs="仿宋"/>
                <w:sz w:val="21"/>
                <w:szCs w:val="21"/>
                <w:lang w:val="zh-CN" w:eastAsia="zh-CN"/>
              </w:rPr>
              <w:t>月）任意一月为其缴纳社保的证明材料扫描件并加盖投标人公章。</w:t>
            </w:r>
          </w:p>
          <w:p w14:paraId="068FB579">
            <w:pPr>
              <w:spacing w:line="240" w:lineRule="atLeast"/>
              <w:jc w:val="left"/>
              <w:rPr>
                <w:rFonts w:hint="eastAsia" w:ascii="仿宋" w:hAnsi="仿宋" w:eastAsia="仿宋" w:cs="Times New Roman"/>
                <w:kern w:val="2"/>
                <w:sz w:val="21"/>
                <w:szCs w:val="21"/>
                <w:lang w:val="zh-CN" w:eastAsia="zh-CN" w:bidi="ar-SA"/>
              </w:rPr>
            </w:pPr>
            <w:r>
              <w:rPr>
                <w:rFonts w:hint="eastAsia" w:ascii="仿宋" w:hAnsi="仿宋" w:eastAsia="仿宋" w:cs="Times New Roman"/>
                <w:kern w:val="2"/>
                <w:sz w:val="21"/>
                <w:szCs w:val="21"/>
                <w:lang w:val="zh-CN" w:eastAsia="zh-CN" w:bidi="ar-SA"/>
              </w:rPr>
              <w:t>注：依法免税或不需要缴纳社会保障资金的投标人，应提供相应文件证明其依法免税或不需要缴纳社会保障资金。</w:t>
            </w:r>
          </w:p>
          <w:p w14:paraId="1992889B">
            <w:pPr>
              <w:spacing w:line="240" w:lineRule="exact"/>
              <w:ind w:left="-39" w:leftChars="-14"/>
              <w:jc w:val="center"/>
              <w:rPr>
                <w:rFonts w:ascii="仿宋" w:hAnsi="仿宋" w:eastAsia="仿宋" w:cs="仿宋"/>
                <w:sz w:val="21"/>
                <w:szCs w:val="21"/>
              </w:rPr>
            </w:pPr>
          </w:p>
        </w:tc>
      </w:tr>
    </w:tbl>
    <w:p w14:paraId="02FE79AE">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三、无效响应</w:t>
      </w:r>
      <w:bookmarkEnd w:id="122"/>
      <w:bookmarkEnd w:id="123"/>
    </w:p>
    <w:p w14:paraId="3F83A36B">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供应商发生以下条款情况之一者，视为无效响应，其响应文件将被拒绝：</w:t>
      </w:r>
    </w:p>
    <w:p w14:paraId="2A8822DB">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（一）供应商不符合规定的资格条件的；</w:t>
      </w:r>
    </w:p>
    <w:p w14:paraId="6DB23D2B">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（二）供应商的法定代表人（或其授权代表）或自然人未参加磋商；</w:t>
      </w:r>
    </w:p>
    <w:p w14:paraId="4ECC1007">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（三）供应商所提交的响应文件不按“第七篇响应文件编制要求”要求签署或盖章；</w:t>
      </w:r>
    </w:p>
    <w:p w14:paraId="18458260">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（四）供应商的最后报价超过采购预算或最高限价的；</w:t>
      </w:r>
    </w:p>
    <w:p w14:paraId="4B352A47">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（五）法定代表人为同一个人的两个及两个以上法人，母公司、全资子公司及其控股公司，在同一包采购中同时参与竞争；</w:t>
      </w:r>
    </w:p>
    <w:p w14:paraId="397945FF">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（六）单位负责人为同一人或者存在直接控股、管理关系的不同供应商，参加同一合同项下的政府采购活动的；</w:t>
      </w:r>
    </w:p>
    <w:p w14:paraId="4DB204D8">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（七）</w:t>
      </w:r>
      <w:r>
        <w:rPr>
          <w:rFonts w:ascii="方正仿宋_GBK" w:hAnsi="宋体" w:eastAsia="方正仿宋_GBK"/>
          <w:sz w:val="24"/>
          <w:szCs w:val="24"/>
        </w:rPr>
        <w:t>为采购项目提供整体设计、规范编制或者项目管理、监理、检测等服务的供应商，再参加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14:paraId="7947AB88">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（八）供应商限额以下磋商评分有效期不满足采购文件要求的；</w:t>
      </w:r>
    </w:p>
    <w:p w14:paraId="099C756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（九）供应商响应文件内容有与国家现行法律法规相违背的内容，或附有采购人无法接受的条件；</w:t>
      </w:r>
    </w:p>
    <w:p w14:paraId="6455B119">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（十）法律、法规和采购文件规定的其他无效情形。</w:t>
      </w:r>
    </w:p>
    <w:p w14:paraId="4F0E7EFC">
      <w:pPr>
        <w:pStyle w:val="2"/>
        <w:adjustRightInd w:val="0"/>
        <w:snapToGrid w:val="0"/>
        <w:spacing w:before="0" w:after="0" w:line="400" w:lineRule="exact"/>
        <w:ind w:firstLine="480" w:firstLineChars="200"/>
        <w:rPr>
          <w:rFonts w:ascii="方正仿宋_GBK" w:hAnsi="宋体" w:eastAsia="方正仿宋_GBK"/>
          <w:sz w:val="24"/>
        </w:rPr>
      </w:pPr>
      <w:bookmarkStart w:id="124" w:name="_Toc106030891"/>
      <w:bookmarkStart w:id="125" w:name="_Toc76462336"/>
      <w:r>
        <w:rPr>
          <w:rFonts w:hint="eastAsia" w:ascii="方正仿宋_GBK" w:hAnsi="宋体" w:eastAsia="方正仿宋_GBK"/>
          <w:sz w:val="24"/>
        </w:rPr>
        <w:t>四、</w:t>
      </w:r>
      <w:bookmarkEnd w:id="120"/>
      <w:bookmarkEnd w:id="121"/>
      <w:r>
        <w:rPr>
          <w:rFonts w:hint="eastAsia" w:ascii="方正仿宋_GBK" w:hAnsi="宋体" w:eastAsia="方正仿宋_GBK"/>
          <w:sz w:val="24"/>
        </w:rPr>
        <w:t>采购终止</w:t>
      </w:r>
      <w:bookmarkEnd w:id="124"/>
      <w:bookmarkEnd w:id="125"/>
    </w:p>
    <w:p w14:paraId="7F2EBFE3">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出现下列情形之一的，采购人或者采购代理机构应当终止采购活动，发布项目终止公告并说明原因，重新开展采购活动：</w:t>
      </w:r>
    </w:p>
    <w:p w14:paraId="1DA96A25">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（一）因情况变化，不再符合规定的限额以下磋商评分采购方式适用情形的；</w:t>
      </w:r>
    </w:p>
    <w:p w14:paraId="2319E4A6">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14:paraId="23217910">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14:paraId="73D26361">
      <w:pPr>
        <w:spacing w:line="400" w:lineRule="exact"/>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p w14:paraId="31D227B2">
      <w:pPr>
        <w:pStyle w:val="2"/>
        <w:pageBreakBefore/>
        <w:spacing w:before="0" w:after="0" w:line="360" w:lineRule="auto"/>
        <w:jc w:val="center"/>
        <w:rPr>
          <w:rFonts w:ascii="方正小标宋_GBK" w:hAnsi="宋体" w:eastAsia="方正小标宋_GBK"/>
          <w:b w:val="0"/>
          <w:bCs/>
          <w:sz w:val="36"/>
          <w:szCs w:val="30"/>
        </w:rPr>
      </w:pPr>
      <w:bookmarkStart w:id="126" w:name="_Toc76462337"/>
      <w:bookmarkStart w:id="127" w:name="_Toc106030892"/>
      <w:r>
        <w:rPr>
          <w:rFonts w:hint="eastAsia" w:ascii="方正小标宋_GBK" w:hAnsi="宋体" w:eastAsia="方正小标宋_GBK"/>
          <w:b w:val="0"/>
          <w:bCs/>
          <w:sz w:val="36"/>
          <w:szCs w:val="30"/>
        </w:rPr>
        <w:t>第五篇  供应商须知</w:t>
      </w:r>
      <w:bookmarkEnd w:id="126"/>
      <w:bookmarkEnd w:id="127"/>
    </w:p>
    <w:p w14:paraId="3A76DA52">
      <w:pPr>
        <w:pStyle w:val="2"/>
        <w:adjustRightInd w:val="0"/>
        <w:snapToGrid w:val="0"/>
        <w:spacing w:before="0" w:after="0" w:line="400" w:lineRule="exact"/>
        <w:ind w:firstLine="480" w:firstLineChars="200"/>
        <w:rPr>
          <w:rFonts w:ascii="方正仿宋_GBK" w:hAnsi="宋体" w:eastAsia="方正仿宋_GBK"/>
          <w:sz w:val="24"/>
        </w:rPr>
      </w:pPr>
      <w:bookmarkStart w:id="128" w:name="_Toc76462338"/>
      <w:bookmarkStart w:id="129" w:name="_Toc106030893"/>
      <w:r>
        <w:rPr>
          <w:rFonts w:hint="eastAsia" w:ascii="方正仿宋_GBK" w:hAnsi="宋体" w:eastAsia="方正仿宋_GBK"/>
          <w:sz w:val="24"/>
        </w:rPr>
        <w:t>一、限额以下磋商评分费用</w:t>
      </w:r>
      <w:bookmarkEnd w:id="128"/>
      <w:bookmarkEnd w:id="129"/>
    </w:p>
    <w:p w14:paraId="2F83C500">
      <w:pPr>
        <w:pStyle w:val="25"/>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参与竞争的供应商应承担其编制响应文件与递交响应文件所涉及的一切费用，不论结果如何，采购人和采购代理机构在任何情况下无义务也无责任承担这些费用。</w:t>
      </w:r>
    </w:p>
    <w:p w14:paraId="4EA831EE">
      <w:pPr>
        <w:pStyle w:val="2"/>
        <w:adjustRightInd w:val="0"/>
        <w:snapToGrid w:val="0"/>
        <w:spacing w:before="0" w:after="0" w:line="400" w:lineRule="exact"/>
        <w:ind w:firstLine="480" w:firstLineChars="200"/>
        <w:rPr>
          <w:rFonts w:ascii="方正仿宋_GBK" w:hAnsi="宋体" w:eastAsia="方正仿宋_GBK"/>
          <w:sz w:val="24"/>
        </w:rPr>
      </w:pPr>
      <w:bookmarkStart w:id="130" w:name="_Toc342913391"/>
      <w:bookmarkStart w:id="131" w:name="_Toc106030894"/>
      <w:bookmarkStart w:id="132" w:name="_Toc76462339"/>
      <w:r>
        <w:rPr>
          <w:rFonts w:hint="eastAsia" w:ascii="方正仿宋_GBK" w:hAnsi="宋体" w:eastAsia="方正仿宋_GBK"/>
          <w:sz w:val="24"/>
        </w:rPr>
        <w:t>二、限额以下磋商评分文件</w:t>
      </w:r>
      <w:bookmarkEnd w:id="130"/>
      <w:bookmarkEnd w:id="131"/>
      <w:bookmarkEnd w:id="132"/>
    </w:p>
    <w:p w14:paraId="298C31F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（一）限额以下磋商评分文件由采购邀请书、项目服务需求、项目商务需求、评分程序及方法、评审标准、无效响应和采购终止、供应商须知、政府采购合同</w:t>
      </w:r>
      <w:r>
        <w:rPr>
          <w:rFonts w:hint="eastAsia" w:ascii="方正仿宋_GBK" w:hAnsi="宋体" w:eastAsia="方正仿宋_GBK"/>
          <w:b/>
          <w:sz w:val="24"/>
          <w:szCs w:val="24"/>
        </w:rPr>
        <w:t>、</w:t>
      </w:r>
      <w:r>
        <w:rPr>
          <w:rFonts w:hint="eastAsia" w:ascii="方正仿宋_GBK" w:hAnsi="宋体" w:eastAsia="方正仿宋_GBK"/>
          <w:sz w:val="24"/>
          <w:szCs w:val="24"/>
        </w:rPr>
        <w:t>响应文件编制要求七部分组成。</w:t>
      </w:r>
    </w:p>
    <w:p w14:paraId="46F9984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（二）采购人（或采购代理机构）所作的一切有效的书面通知、修改及补充，都是采购文件不可分割的部分。</w:t>
      </w:r>
    </w:p>
    <w:p w14:paraId="29E53D2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（三）限额以下磋商评分文件的解释</w:t>
      </w:r>
    </w:p>
    <w:p w14:paraId="2E5A77D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如对限额以下磋商评分文件有疑问，必须以书面形式在提交响应文件截止时间前向采购人（或采购代理机构）要求澄清，采购人（或采购代理机构）可视具体情况做出处理或答复。如供应商未提出疑问，视为完全理解并同意本限额以下磋商评分文件。一经进入评审程序，即视为供应商已详细阅读全部文件资料，完全理解限额以下磋商评分文件所有条款内容并同意放弃对这方面有不明白及误解的权利。</w:t>
      </w:r>
      <w:bookmarkStart w:id="133" w:name="_Toc318166429"/>
      <w:bookmarkStart w:id="134" w:name="_Toc318159349"/>
      <w:bookmarkStart w:id="135" w:name="_Toc318159160"/>
      <w:bookmarkStart w:id="136" w:name="_Toc318159780"/>
    </w:p>
    <w:p w14:paraId="1DFB8BD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（四）本限额以下磋商评分文件中，评审小组根据与供应商进行磋商可能实质性变动的内容为限额以下磋商评分文件第二、三、六篇全部内容。</w:t>
      </w:r>
    </w:p>
    <w:p w14:paraId="17FB66C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（五）评审的依据为限额以下磋商评分文件和响应文件（含有效的书面承诺）。评审小组判断响应文件对限额以下磋商评分文件的响应，仅基于响应文件本身而不靠外部证据。</w:t>
      </w:r>
    </w:p>
    <w:bookmarkEnd w:id="133"/>
    <w:bookmarkEnd w:id="134"/>
    <w:bookmarkEnd w:id="135"/>
    <w:bookmarkEnd w:id="136"/>
    <w:p w14:paraId="678EF113">
      <w:pPr>
        <w:pStyle w:val="2"/>
        <w:adjustRightInd w:val="0"/>
        <w:snapToGrid w:val="0"/>
        <w:spacing w:before="0" w:after="0" w:line="400" w:lineRule="exact"/>
        <w:ind w:firstLine="480" w:firstLineChars="200"/>
        <w:rPr>
          <w:rFonts w:ascii="方正仿宋_GBK" w:hAnsi="宋体" w:eastAsia="方正仿宋_GBK"/>
          <w:sz w:val="24"/>
        </w:rPr>
      </w:pPr>
      <w:bookmarkStart w:id="137" w:name="_Toc102227318"/>
      <w:bookmarkStart w:id="138" w:name="_Toc76462340"/>
      <w:bookmarkStart w:id="139" w:name="_Toc179714297"/>
      <w:bookmarkStart w:id="140" w:name="_Toc342913392"/>
      <w:bookmarkStart w:id="141" w:name="_Toc106030895"/>
      <w:r>
        <w:rPr>
          <w:rFonts w:hint="eastAsia" w:ascii="方正仿宋_GBK" w:hAnsi="宋体" w:eastAsia="方正仿宋_GBK"/>
          <w:sz w:val="24"/>
        </w:rPr>
        <w:t>三、限额以下磋商评分要求</w:t>
      </w:r>
      <w:bookmarkEnd w:id="137"/>
      <w:bookmarkEnd w:id="138"/>
      <w:bookmarkEnd w:id="139"/>
      <w:bookmarkEnd w:id="140"/>
      <w:bookmarkEnd w:id="141"/>
    </w:p>
    <w:p w14:paraId="621F365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（一）响应文件</w:t>
      </w:r>
    </w:p>
    <w:p w14:paraId="3F7578D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1.供应商应当按照采购文件的要求编制响应文件，并对采购文件提出的要求和条件作出实质性响应，响应文件原则上应装订成册提交，同时应编制完整的页码、目录。</w:t>
      </w:r>
    </w:p>
    <w:p w14:paraId="1ECA7DE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2.响应文件组成</w:t>
      </w:r>
    </w:p>
    <w:p w14:paraId="295F12F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2B8D2FB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（二）联合体</w:t>
      </w:r>
    </w:p>
    <w:p w14:paraId="4BFE1E6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1.两个以上供应商可以组成一个联合体，以一个供应商的身份共同参与竞争。</w:t>
      </w:r>
    </w:p>
    <w:p w14:paraId="5DEB00D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2.以联合体形式参加竞争的，联合体各方均应满足</w:t>
      </w:r>
      <w:r>
        <w:rPr>
          <w:rFonts w:hint="eastAsia" w:ascii="方正仿宋_GBK" w:eastAsia="方正仿宋_GBK"/>
          <w:sz w:val="24"/>
          <w:szCs w:val="24"/>
        </w:rPr>
        <w:t>供应商资格条件</w:t>
      </w:r>
      <w:r>
        <w:rPr>
          <w:rFonts w:hint="eastAsia" w:ascii="方正仿宋_GBK" w:hAnsi="宋体" w:eastAsia="方正仿宋_GBK"/>
          <w:sz w:val="24"/>
          <w:szCs w:val="24"/>
        </w:rPr>
        <w:t>（详见“第一篇”）</w:t>
      </w:r>
      <w:r>
        <w:rPr>
          <w:rFonts w:ascii="方正仿宋_GBK" w:hAnsi="宋体" w:eastAsia="方正仿宋_GBK"/>
          <w:sz w:val="24"/>
        </w:rPr>
        <w:t>联合体中有同类资质的供应商按照联合体分工承担相同工作的，应当按照资质等级较低的供应商确定资质等级。</w:t>
      </w:r>
    </w:p>
    <w:p w14:paraId="7DBF90D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联合体各方之间应当签订共同联合协议，共同联合协议中应确定主办方（主体），代表联合体进行磋商和澄清。共同联合协议应明确约定联合体各方承担的工作和相应的责任及协议合同金额，并将共同联合协议连同响应文件一并提交采购人和采购代理机构。</w:t>
      </w:r>
    </w:p>
    <w:p w14:paraId="57ECF8B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w:t>
      </w:r>
      <w:r>
        <w:rPr>
          <w:rFonts w:ascii="方正仿宋_GBK" w:hAnsi="宋体" w:eastAsia="方正仿宋_GBK"/>
          <w:sz w:val="24"/>
        </w:rPr>
        <w:t>以联合体形式参加政府采购活动的，联合体各方不得再单独参加或者与其他供应商另外组成联合体参加同一合同项下的政府采购活动。</w:t>
      </w:r>
    </w:p>
    <w:p w14:paraId="4FFE57C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5.联合体业绩计算，按照共同联合协议分工认定。</w:t>
      </w:r>
    </w:p>
    <w:p w14:paraId="4427566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w:t>
      </w:r>
      <w:r>
        <w:rPr>
          <w:rFonts w:ascii="方正仿宋_GBK" w:hAnsi="宋体" w:eastAsia="方正仿宋_GBK"/>
          <w:sz w:val="24"/>
          <w:szCs w:val="24"/>
        </w:rPr>
        <w:t>两个以上的自然人、法人或者其他组织组成一个联合体，以一个供应商的身份共同参加政府采购活动的，联合体成员存在不良信用记录的，视同联合体存在不良信用记录</w:t>
      </w:r>
      <w:r>
        <w:rPr>
          <w:rFonts w:hint="eastAsia" w:ascii="方正仿宋_GBK" w:hAnsi="宋体" w:eastAsia="方正仿宋_GBK"/>
          <w:sz w:val="24"/>
          <w:szCs w:val="24"/>
        </w:rPr>
        <w:t>，将</w:t>
      </w:r>
      <w:r>
        <w:rPr>
          <w:rFonts w:ascii="方正仿宋_GBK" w:hAnsi="宋体" w:eastAsia="方正仿宋_GBK"/>
          <w:sz w:val="24"/>
          <w:szCs w:val="24"/>
        </w:rPr>
        <w:t>拒绝</w:t>
      </w:r>
      <w:r>
        <w:rPr>
          <w:rFonts w:hint="eastAsia" w:ascii="方正仿宋_GBK" w:hAnsi="宋体" w:eastAsia="方正仿宋_GBK"/>
          <w:sz w:val="24"/>
          <w:szCs w:val="24"/>
        </w:rPr>
        <w:t>该联合体</w:t>
      </w:r>
      <w:r>
        <w:rPr>
          <w:rFonts w:ascii="方正仿宋_GBK" w:hAnsi="宋体" w:eastAsia="方正仿宋_GBK"/>
          <w:sz w:val="24"/>
          <w:szCs w:val="24"/>
        </w:rPr>
        <w:t>参与政府采购活动。</w:t>
      </w:r>
    </w:p>
    <w:p w14:paraId="1007E7F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（三）限额以下磋商评分有效期：响应文件及有关承诺文件有效期为提交响应文件截止时间起90天。</w:t>
      </w:r>
    </w:p>
    <w:p w14:paraId="143BD01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（四）修正错误</w:t>
      </w:r>
    </w:p>
    <w:p w14:paraId="3AD9F3D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1.若供应商所递交的响应文件或最后报价中的价格出现大写金额和小写金额不一致的错误，以大写金额修正为准。</w:t>
      </w:r>
    </w:p>
    <w:p w14:paraId="46CBF7E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2.评审小组按上述修正错误的原则及方法修正供应商的报价，供应商同意并签字确认后，修正后的报价对供应商具有约束作用。如果供应商不接受修正后的价格，将失去成为成交供应商的资格。</w:t>
      </w:r>
    </w:p>
    <w:p w14:paraId="7D0414E8">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（五）提交响应文件的份数和签署</w:t>
      </w:r>
    </w:p>
    <w:p w14:paraId="433CBBF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1.响应文件一式三份，其中正本一份，副本二份，副本可为正本的复印件，应与正本一致，如出现不一致情况以正本为准。</w:t>
      </w:r>
    </w:p>
    <w:p w14:paraId="323F620D">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rPr>
        <w:t>响应文件按采购文件“第七篇响应文件编制要求”要求签署或盖章。</w:t>
      </w:r>
    </w:p>
    <w:p w14:paraId="1D40122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（六）响应文件的递交</w:t>
      </w:r>
    </w:p>
    <w:p w14:paraId="28E5EF90">
      <w:pPr>
        <w:pStyle w:val="6"/>
        <w:spacing w:line="400" w:lineRule="exact"/>
        <w:ind w:firstLine="480" w:firstLineChars="200"/>
        <w:rPr>
          <w:rFonts w:ascii="方正仿宋_GBK" w:hAnsi="宋体" w:eastAsia="方正仿宋_GBK"/>
          <w:sz w:val="24"/>
        </w:rPr>
      </w:pPr>
      <w:r>
        <w:rPr>
          <w:rFonts w:hint="eastAsia" w:ascii="方正仿宋_GBK" w:hAnsi="宋体" w:eastAsia="方正仿宋_GBK"/>
          <w:sz w:val="24"/>
        </w:rPr>
        <w:t>响应文件的正本、副本均应密封送达限额以下磋商评分地点，应在封套上注明限额以下磋商评分项目名称、供应商名称。若正本、副本分别进行密封的，还应在封套上注明“正本”、“副本”字样。</w:t>
      </w:r>
    </w:p>
    <w:p w14:paraId="32F627A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（七）供应商参与人员</w:t>
      </w:r>
    </w:p>
    <w:p w14:paraId="1C15A4C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各个供应商应当派1-2名代表参与磋商，至少1人应为法定代表人（或其授权代表）或自然人（供应商为自然人）。</w:t>
      </w:r>
    </w:p>
    <w:p w14:paraId="22E95A68">
      <w:pPr>
        <w:pStyle w:val="2"/>
        <w:adjustRightInd w:val="0"/>
        <w:snapToGrid w:val="0"/>
        <w:spacing w:before="0" w:after="0" w:line="400" w:lineRule="exact"/>
        <w:ind w:firstLine="480" w:firstLineChars="200"/>
        <w:rPr>
          <w:rFonts w:ascii="方正仿宋_GBK" w:hAnsi="宋体" w:eastAsia="方正仿宋_GBK"/>
          <w:sz w:val="24"/>
        </w:rPr>
      </w:pPr>
      <w:bookmarkStart w:id="142" w:name="_Toc76462341"/>
      <w:bookmarkStart w:id="143" w:name="_Toc106030896"/>
      <w:r>
        <w:rPr>
          <w:rFonts w:hint="eastAsia" w:ascii="方正仿宋_GBK" w:hAnsi="宋体" w:eastAsia="方正仿宋_GBK"/>
          <w:sz w:val="24"/>
        </w:rPr>
        <w:t>四、成交供应商的确认和变更</w:t>
      </w:r>
      <w:bookmarkEnd w:id="142"/>
      <w:bookmarkEnd w:id="143"/>
    </w:p>
    <w:p w14:paraId="0C871749">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（一）成交供应商的确认</w:t>
      </w:r>
    </w:p>
    <w:p w14:paraId="7380FB5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采购结果</w:t>
      </w:r>
      <w:r>
        <w:rPr>
          <w:rFonts w:ascii="方正仿宋_GBK" w:hAnsi="宋体" w:eastAsia="方正仿宋_GBK"/>
          <w:sz w:val="24"/>
          <w:szCs w:val="24"/>
        </w:rPr>
        <w:t>应当在评审结束后</w:t>
      </w:r>
      <w:r>
        <w:rPr>
          <w:rFonts w:hint="eastAsia" w:ascii="方正仿宋_GBK" w:hAnsi="宋体" w:eastAsia="方正仿宋_GBK"/>
          <w:sz w:val="24"/>
          <w:szCs w:val="24"/>
        </w:rPr>
        <w:t>5</w:t>
      </w:r>
      <w:r>
        <w:rPr>
          <w:rFonts w:ascii="方正仿宋_GBK" w:hAnsi="宋体" w:eastAsia="方正仿宋_GBK"/>
          <w:sz w:val="24"/>
          <w:szCs w:val="24"/>
        </w:rPr>
        <w:t>个工作日内</w:t>
      </w:r>
      <w:r>
        <w:rPr>
          <w:rFonts w:hint="eastAsia" w:ascii="方正仿宋_GBK" w:hAnsi="宋体" w:eastAsia="方正仿宋_GBK"/>
          <w:sz w:val="24"/>
          <w:szCs w:val="24"/>
        </w:rPr>
        <w:t>发布</w:t>
      </w:r>
      <w:r>
        <w:rPr>
          <w:rFonts w:ascii="方正仿宋_GBK" w:hAnsi="宋体" w:eastAsia="方正仿宋_GBK"/>
          <w:sz w:val="24"/>
          <w:szCs w:val="24"/>
        </w:rPr>
        <w:t>。采购人应当</w:t>
      </w:r>
      <w:r>
        <w:rPr>
          <w:rFonts w:hint="eastAsia" w:ascii="方正仿宋_GBK" w:hAnsi="宋体" w:eastAsia="方正仿宋_GBK"/>
          <w:sz w:val="24"/>
          <w:szCs w:val="24"/>
        </w:rPr>
        <w:t>从评审结论意见提出的成交候选供应商中，按照排序由高到低的原则确定成交供应商。采购人逾期未确定成交供应商且不提出异议的，视为确定评审结论意见提出的排序第一的供应商为成交供应商。</w:t>
      </w:r>
    </w:p>
    <w:p w14:paraId="3B62513D">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（二）成交供应商的变更</w:t>
      </w:r>
    </w:p>
    <w:p w14:paraId="1FCFABFF">
      <w:pPr>
        <w:snapToGrid w:val="0"/>
        <w:spacing w:line="400" w:lineRule="exact"/>
        <w:ind w:firstLine="480" w:firstLineChars="200"/>
        <w:rPr>
          <w:rFonts w:ascii="方正仿宋_GBK" w:hAnsi="宋体" w:eastAsia="方正仿宋_GBK"/>
          <w:sz w:val="24"/>
          <w:szCs w:val="24"/>
        </w:rPr>
      </w:pPr>
      <w:r>
        <w:rPr>
          <w:rFonts w:hint="eastAsia" w:ascii="方正仿宋_GBK" w:eastAsia="方正仿宋_GBK"/>
          <w:sz w:val="24"/>
        </w:rPr>
        <w:t>成交供应商拒绝与采购人签订合同的，采购人可以按照评审意见推荐的成交候选供应商顺序，确定排名下一位的候选人为成交供应商，也可以重新开展政府采购活动。</w:t>
      </w:r>
    </w:p>
    <w:p w14:paraId="3C1F37FD">
      <w:pPr>
        <w:pStyle w:val="2"/>
        <w:adjustRightInd w:val="0"/>
        <w:snapToGrid w:val="0"/>
        <w:spacing w:before="0" w:after="0" w:line="400" w:lineRule="exact"/>
        <w:ind w:firstLine="480" w:firstLineChars="200"/>
        <w:rPr>
          <w:rFonts w:ascii="方正仿宋_GBK" w:hAnsi="宋体" w:eastAsia="方正仿宋_GBK"/>
          <w:sz w:val="24"/>
        </w:rPr>
      </w:pPr>
      <w:bookmarkStart w:id="144" w:name="_Toc102227321"/>
      <w:bookmarkStart w:id="145" w:name="_Toc106030897"/>
      <w:bookmarkStart w:id="146" w:name="_Toc76462342"/>
      <w:bookmarkStart w:id="147" w:name="_Toc342913395"/>
      <w:r>
        <w:rPr>
          <w:rFonts w:hint="eastAsia" w:ascii="方正仿宋_GBK" w:hAnsi="宋体" w:eastAsia="方正仿宋_GBK"/>
          <w:sz w:val="24"/>
        </w:rPr>
        <w:t>五、成交通知</w:t>
      </w:r>
      <w:bookmarkEnd w:id="144"/>
      <w:bookmarkEnd w:id="145"/>
      <w:bookmarkEnd w:id="146"/>
      <w:bookmarkEnd w:id="147"/>
    </w:p>
    <w:p w14:paraId="3623D1C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（一）成交供应商确定后，采购人将在重庆市交通运输委员会官网上发布成交结果公告。</w:t>
      </w:r>
    </w:p>
    <w:p w14:paraId="37DE189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（三）成交结果公告将作为签订合同的依据。</w:t>
      </w:r>
    </w:p>
    <w:p w14:paraId="4495D842">
      <w:pPr>
        <w:pStyle w:val="2"/>
        <w:adjustRightInd w:val="0"/>
        <w:snapToGrid w:val="0"/>
        <w:spacing w:before="0" w:after="0" w:line="400" w:lineRule="exact"/>
        <w:ind w:firstLine="480" w:firstLineChars="200"/>
        <w:rPr>
          <w:rFonts w:ascii="方正仿宋_GBK" w:hAnsi="宋体" w:eastAsia="方正仿宋_GBK"/>
          <w:sz w:val="24"/>
        </w:rPr>
      </w:pPr>
      <w:bookmarkStart w:id="148" w:name="_Toc106030898"/>
      <w:bookmarkStart w:id="149" w:name="_Toc76462343"/>
      <w:r>
        <w:rPr>
          <w:rFonts w:hint="eastAsia" w:ascii="方正仿宋_GBK" w:hAnsi="宋体" w:eastAsia="方正仿宋_GBK"/>
          <w:sz w:val="24"/>
        </w:rPr>
        <w:t>六、关于质疑和投诉</w:t>
      </w:r>
      <w:bookmarkEnd w:id="148"/>
      <w:bookmarkEnd w:id="149"/>
    </w:p>
    <w:p w14:paraId="0ECB4229">
      <w:pPr>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（一）质疑</w:t>
      </w:r>
    </w:p>
    <w:p w14:paraId="5D7F0A2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供应商认为采购文件、采购过程和成交结果使自己的权益收到伤害的，可向采购人或采购代理机构以书面形式提出质疑。</w:t>
      </w:r>
    </w:p>
    <w:p w14:paraId="3AB9F91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提出质疑的应当是参与所质疑项目采购活动的供应商。 </w:t>
      </w:r>
    </w:p>
    <w:p w14:paraId="5D03F0C2">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1.质疑时限、内容</w:t>
      </w:r>
    </w:p>
    <w:p w14:paraId="6B869CC3">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供应商认为采购文件、采购过程、成交结果使自己的权益受到损害的，可以在知道或者应知其权益受到损害之日起7个工作日内，以书面形式向采购人、采购代理机构提出质疑。</w:t>
      </w:r>
    </w:p>
    <w:p w14:paraId="39ED1565">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14:paraId="1A8AFEBB">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14:paraId="6E52F99A">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1.2.2质疑项目的名称、项目号以及采购执行编号；</w:t>
      </w:r>
    </w:p>
    <w:p w14:paraId="4BD2E312">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14:paraId="108C277D">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14:paraId="2CE61A97">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14:paraId="6DE6CA03">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14:paraId="1C63E290">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14:paraId="42C55125">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14:paraId="4DB81C5A">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14:paraId="2544491B">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2.质疑答复</w:t>
      </w:r>
    </w:p>
    <w:p w14:paraId="751B5610">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14:paraId="26275A67">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3.其他</w:t>
      </w:r>
    </w:p>
    <w:p w14:paraId="3DA38A83">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14:paraId="4FF35C2A">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14:paraId="6FE5A0C2">
      <w:pPr>
        <w:pStyle w:val="2"/>
        <w:adjustRightInd w:val="0"/>
        <w:snapToGrid w:val="0"/>
        <w:spacing w:before="0" w:after="0" w:line="400" w:lineRule="exact"/>
        <w:ind w:firstLine="480" w:firstLineChars="200"/>
        <w:rPr>
          <w:rFonts w:ascii="方正仿宋_GBK" w:hAnsi="宋体" w:eastAsia="方正仿宋_GBK"/>
          <w:sz w:val="24"/>
        </w:rPr>
      </w:pPr>
      <w:bookmarkStart w:id="150" w:name="_Toc102227322"/>
      <w:bookmarkStart w:id="151" w:name="_Toc106030901"/>
      <w:bookmarkStart w:id="152" w:name="_Toc76462346"/>
      <w:bookmarkStart w:id="153" w:name="_Toc342913396"/>
      <w:r>
        <w:rPr>
          <w:rFonts w:hint="eastAsia" w:ascii="方正仿宋_GBK" w:hAnsi="宋体" w:eastAsia="方正仿宋_GBK"/>
          <w:sz w:val="24"/>
        </w:rPr>
        <w:t>七、签订</w:t>
      </w:r>
      <w:bookmarkEnd w:id="150"/>
      <w:r>
        <w:rPr>
          <w:rFonts w:hint="eastAsia" w:ascii="方正仿宋_GBK" w:hAnsi="宋体" w:eastAsia="方正仿宋_GBK"/>
          <w:sz w:val="24"/>
        </w:rPr>
        <w:t>合同</w:t>
      </w:r>
      <w:bookmarkEnd w:id="151"/>
      <w:bookmarkEnd w:id="152"/>
      <w:bookmarkEnd w:id="153"/>
    </w:p>
    <w:p w14:paraId="084B0E2D">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采购人原则上应在成交结果公告发出之日起二十日内和成交供应商签订政府采购合同，无正当理由不得拒绝或拖延合同签订</w:t>
      </w:r>
      <w:r>
        <w:rPr>
          <w:rFonts w:hint="eastAsia" w:ascii="方正仿宋_GBK" w:hAnsi="宋体" w:eastAsia="方正仿宋_GBK"/>
          <w:sz w:val="24"/>
          <w:szCs w:val="24"/>
        </w:rPr>
        <w:t>。所签订的合同不得对采购文件和供应商的响应文件作实质性修改。其他未尽事宜由采购人和成交供应商在采购合同中详细约定。</w:t>
      </w:r>
    </w:p>
    <w:p w14:paraId="4E7380B9">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（二）采购文件、供应商的响应文件及澄清文件等，均为签订政府采购合同的依据。</w:t>
      </w:r>
    </w:p>
    <w:p w14:paraId="68FB61CB">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14:paraId="717DF808">
      <w:pPr>
        <w:pStyle w:val="2"/>
        <w:adjustRightInd w:val="0"/>
        <w:snapToGrid w:val="0"/>
        <w:spacing w:before="0" w:after="0" w:line="400" w:lineRule="exact"/>
        <w:ind w:firstLine="480" w:firstLineChars="200"/>
        <w:rPr>
          <w:rFonts w:ascii="方正仿宋_GBK" w:hAnsi="宋体" w:eastAsia="方正仿宋_GBK"/>
          <w:sz w:val="24"/>
        </w:rPr>
      </w:pPr>
      <w:bookmarkStart w:id="154" w:name="_Toc106030902"/>
      <w:r>
        <w:rPr>
          <w:rFonts w:hint="eastAsia" w:ascii="方正仿宋_GBK" w:hAnsi="宋体" w:eastAsia="方正仿宋_GBK"/>
          <w:sz w:val="24"/>
        </w:rPr>
        <w:t>八、项目验收</w:t>
      </w:r>
      <w:bookmarkEnd w:id="154"/>
    </w:p>
    <w:p w14:paraId="07DE04D1">
      <w:pPr>
        <w:spacing w:line="400" w:lineRule="exact"/>
        <w:ind w:firstLine="480" w:firstLineChars="200"/>
        <w:rPr>
          <w:rFonts w:ascii="方正仿宋_GBK" w:hAnsi="宋体" w:eastAsia="方正仿宋_GBK"/>
          <w:sz w:val="24"/>
          <w:szCs w:val="24"/>
        </w:rPr>
      </w:pPr>
      <w:r>
        <w:rPr>
          <w:rFonts w:hint="eastAsia" w:ascii="方正仿宋_GBK" w:hAnsi="方正仿宋_GBK" w:eastAsia="方正仿宋_GBK"/>
          <w:sz w:val="24"/>
        </w:rPr>
        <w:t>合同执行完毕，采购人或采购代理机构原则上应在7个工作日内组织履约情况验收，不得无故拖延或附加额外条件。</w:t>
      </w:r>
    </w:p>
    <w:p w14:paraId="43619244">
      <w:pPr>
        <w:pStyle w:val="2"/>
        <w:adjustRightInd w:val="0"/>
        <w:snapToGrid w:val="0"/>
        <w:spacing w:before="0" w:after="0" w:line="400" w:lineRule="exact"/>
        <w:ind w:firstLine="480" w:firstLineChars="200"/>
        <w:rPr>
          <w:rFonts w:ascii="方正仿宋_GBK" w:hAnsi="宋体" w:eastAsia="方正仿宋_GBK"/>
          <w:sz w:val="24"/>
        </w:rPr>
      </w:pPr>
      <w:bookmarkStart w:id="155" w:name="_Toc76462344"/>
      <w:bookmarkStart w:id="156" w:name="_Toc106030899"/>
      <w:r>
        <w:rPr>
          <w:rFonts w:hint="eastAsia" w:ascii="方正仿宋_GBK" w:hAnsi="宋体" w:eastAsia="方正仿宋_GBK"/>
          <w:sz w:val="24"/>
        </w:rPr>
        <w:t>九、采购代理服务费</w:t>
      </w:r>
      <w:bookmarkEnd w:id="155"/>
      <w:bookmarkEnd w:id="156"/>
    </w:p>
    <w:p w14:paraId="7AA667B5">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本项目无</w:t>
      </w:r>
      <w:r>
        <w:rPr>
          <w:rFonts w:hint="eastAsia" w:ascii="方正仿宋_GBK" w:hAnsi="宋体" w:eastAsia="方正仿宋_GBK"/>
          <w:sz w:val="24"/>
        </w:rPr>
        <w:t>采购代理服务</w:t>
      </w:r>
      <w:r>
        <w:rPr>
          <w:rFonts w:hint="eastAsia" w:ascii="方正仿宋_GBK" w:hAnsi="宋体" w:eastAsia="方正仿宋_GBK"/>
          <w:sz w:val="24"/>
          <w:szCs w:val="24"/>
        </w:rPr>
        <w:t>费。</w:t>
      </w:r>
    </w:p>
    <w:p w14:paraId="52BBA632">
      <w:pPr>
        <w:rPr>
          <w:rFonts w:ascii="方正小标宋_GBK" w:eastAsia="方正小标宋_GBK"/>
          <w:sz w:val="36"/>
          <w:szCs w:val="30"/>
        </w:rPr>
      </w:pPr>
      <w:r>
        <w:rPr>
          <w:rFonts w:hint="eastAsia" w:ascii="方正小标宋_GBK" w:eastAsia="方正小标宋_GBK"/>
          <w:sz w:val="36"/>
          <w:szCs w:val="30"/>
        </w:rPr>
        <w:br w:type="page"/>
      </w:r>
    </w:p>
    <w:p w14:paraId="0EE5B65B">
      <w:pPr>
        <w:pStyle w:val="2"/>
        <w:spacing w:before="0" w:after="0" w:line="360" w:lineRule="auto"/>
        <w:jc w:val="center"/>
        <w:rPr>
          <w:rFonts w:ascii="方正小标宋_GBK" w:eastAsia="方正小标宋_GBK"/>
          <w:b w:val="0"/>
          <w:sz w:val="36"/>
          <w:szCs w:val="30"/>
        </w:rPr>
      </w:pPr>
      <w:r>
        <w:rPr>
          <w:rFonts w:hint="eastAsia" w:ascii="方正小标宋_GBK" w:eastAsia="方正小标宋_GBK"/>
          <w:b w:val="0"/>
          <w:sz w:val="36"/>
          <w:szCs w:val="30"/>
        </w:rPr>
        <w:t xml:space="preserve">第六篇  </w:t>
      </w:r>
      <w:bookmarkEnd w:id="109"/>
      <w:bookmarkEnd w:id="110"/>
      <w:r>
        <w:rPr>
          <w:rFonts w:hint="eastAsia" w:ascii="方正小标宋_GBK" w:eastAsia="方正小标宋_GBK"/>
          <w:b w:val="0"/>
          <w:sz w:val="36"/>
          <w:szCs w:val="30"/>
        </w:rPr>
        <w:t>合同草案条款</w:t>
      </w:r>
      <w:bookmarkEnd w:id="111"/>
      <w:bookmarkEnd w:id="112"/>
      <w:bookmarkEnd w:id="113"/>
      <w:bookmarkEnd w:id="114"/>
      <w:bookmarkEnd w:id="115"/>
    </w:p>
    <w:p w14:paraId="5988CFDC">
      <w:pPr>
        <w:rPr>
          <w:rFonts w:ascii="方正仿宋_GBK" w:eastAsia="方正仿宋_GBK"/>
          <w:sz w:val="24"/>
        </w:rPr>
      </w:pPr>
      <w:bookmarkStart w:id="157" w:name="_Toc148265480"/>
      <w:bookmarkStart w:id="158" w:name="_Toc303945820"/>
      <w:r>
        <w:rPr>
          <w:rFonts w:hint="eastAsia" w:ascii="方正仿宋_GBK" w:eastAsia="方正仿宋_GBK"/>
          <w:sz w:val="24"/>
        </w:rPr>
        <w:t>附页：合同格式</w:t>
      </w:r>
      <w:bookmarkEnd w:id="157"/>
      <w:bookmarkEnd w:id="158"/>
    </w:p>
    <w:p w14:paraId="20C247DF">
      <w:pPr>
        <w:spacing w:line="500" w:lineRule="exact"/>
        <w:jc w:val="center"/>
        <w:rPr>
          <w:rFonts w:ascii="方正仿宋_GBK" w:eastAsia="方正仿宋_GBK"/>
          <w:b/>
          <w:sz w:val="44"/>
        </w:rPr>
      </w:pPr>
      <w:r>
        <w:rPr>
          <w:rFonts w:hint="eastAsia" w:ascii="方正仿宋_GBK" w:eastAsia="方正仿宋_GBK"/>
          <w:b/>
          <w:sz w:val="44"/>
        </w:rPr>
        <w:t>重庆市政府采购合同</w:t>
      </w:r>
    </w:p>
    <w:p w14:paraId="257AC497">
      <w:pPr>
        <w:spacing w:line="500" w:lineRule="exact"/>
        <w:jc w:val="center"/>
        <w:outlineLvl w:val="1"/>
        <w:rPr>
          <w:rFonts w:ascii="方正仿宋_GBK" w:eastAsia="方正仿宋_GBK"/>
          <w:b/>
          <w:sz w:val="44"/>
        </w:rPr>
      </w:pPr>
      <w:r>
        <w:rPr>
          <w:rFonts w:hint="eastAsia" w:ascii="方正仿宋_GBK" w:eastAsia="方正仿宋_GBK"/>
          <w:b/>
          <w:sz w:val="44"/>
        </w:rPr>
        <w:t>（服务类）</w:t>
      </w:r>
    </w:p>
    <w:p w14:paraId="2B00FC9A">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14:paraId="121F3A2B">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14:paraId="762F6526">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55F17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345FC13">
            <w:pPr>
              <w:spacing w:line="240" w:lineRule="atLeast"/>
              <w:rPr>
                <w:rFonts w:ascii="方正仿宋_GBK" w:eastAsia="方正仿宋_GBK"/>
                <w:sz w:val="21"/>
                <w:szCs w:val="21"/>
              </w:rPr>
            </w:pPr>
            <w:r>
              <w:rPr>
                <w:rFonts w:hint="eastAsia" w:ascii="方正仿宋_GBK" w:eastAsia="方正仿宋_GBK"/>
                <w:sz w:val="21"/>
                <w:szCs w:val="21"/>
              </w:rPr>
              <w:t>项目名称</w:t>
            </w:r>
          </w:p>
        </w:tc>
        <w:tc>
          <w:tcPr>
            <w:tcW w:w="984" w:type="dxa"/>
            <w:vAlign w:val="center"/>
          </w:tcPr>
          <w:p w14:paraId="553CD62F">
            <w:pPr>
              <w:spacing w:line="240" w:lineRule="atLeast"/>
              <w:rPr>
                <w:rFonts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14:paraId="17DB0760">
            <w:pPr>
              <w:spacing w:line="240" w:lineRule="atLeast"/>
              <w:rPr>
                <w:rFonts w:ascii="方正仿宋_GBK" w:eastAsia="方正仿宋_GBK"/>
                <w:sz w:val="21"/>
                <w:szCs w:val="21"/>
              </w:rPr>
            </w:pPr>
            <w:r>
              <w:rPr>
                <w:rFonts w:hint="eastAsia" w:ascii="方正仿宋_GBK" w:eastAsia="方正仿宋_GBK"/>
                <w:sz w:val="21"/>
                <w:szCs w:val="21"/>
              </w:rPr>
              <w:t>综合单价</w:t>
            </w:r>
          </w:p>
        </w:tc>
        <w:tc>
          <w:tcPr>
            <w:tcW w:w="1134" w:type="dxa"/>
            <w:vAlign w:val="center"/>
          </w:tcPr>
          <w:p w14:paraId="1D219EAA">
            <w:pPr>
              <w:spacing w:line="240" w:lineRule="atLeast"/>
              <w:rPr>
                <w:rFonts w:ascii="方正仿宋_GBK" w:eastAsia="方正仿宋_GBK"/>
                <w:sz w:val="21"/>
                <w:szCs w:val="21"/>
              </w:rPr>
            </w:pPr>
            <w:r>
              <w:rPr>
                <w:rFonts w:hint="eastAsia" w:ascii="方正仿宋_GBK" w:eastAsia="方正仿宋_GBK"/>
                <w:sz w:val="21"/>
                <w:szCs w:val="21"/>
              </w:rPr>
              <w:t>总价</w:t>
            </w:r>
          </w:p>
        </w:tc>
        <w:tc>
          <w:tcPr>
            <w:tcW w:w="1559" w:type="dxa"/>
            <w:vAlign w:val="center"/>
          </w:tcPr>
          <w:p w14:paraId="06BC07C3">
            <w:pPr>
              <w:spacing w:line="240" w:lineRule="atLeast"/>
              <w:rPr>
                <w:rFonts w:ascii="方正仿宋_GBK" w:eastAsia="方正仿宋_GBK"/>
                <w:sz w:val="21"/>
                <w:szCs w:val="21"/>
              </w:rPr>
            </w:pPr>
            <w:r>
              <w:rPr>
                <w:rFonts w:hint="eastAsia" w:ascii="方正仿宋_GBK" w:eastAsia="方正仿宋_GBK"/>
                <w:sz w:val="21"/>
                <w:szCs w:val="21"/>
              </w:rPr>
              <w:t>服务时间/工期</w:t>
            </w:r>
          </w:p>
        </w:tc>
        <w:tc>
          <w:tcPr>
            <w:tcW w:w="1567" w:type="dxa"/>
            <w:vAlign w:val="center"/>
          </w:tcPr>
          <w:p w14:paraId="1DEB1A94">
            <w:pPr>
              <w:spacing w:line="240" w:lineRule="atLeast"/>
              <w:rPr>
                <w:rFonts w:ascii="方正仿宋_GBK" w:eastAsia="方正仿宋_GBK"/>
                <w:sz w:val="21"/>
                <w:szCs w:val="21"/>
              </w:rPr>
            </w:pPr>
            <w:r>
              <w:rPr>
                <w:rFonts w:hint="eastAsia" w:ascii="方正仿宋_GBK" w:eastAsia="方正仿宋_GBK"/>
                <w:sz w:val="21"/>
                <w:szCs w:val="21"/>
              </w:rPr>
              <w:t>服务/工程地点</w:t>
            </w:r>
          </w:p>
        </w:tc>
      </w:tr>
      <w:tr w14:paraId="2030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75F4F68">
            <w:pPr>
              <w:spacing w:line="240" w:lineRule="atLeast"/>
              <w:rPr>
                <w:rFonts w:ascii="方正仿宋_GBK" w:eastAsia="方正仿宋_GBK"/>
                <w:sz w:val="21"/>
                <w:szCs w:val="21"/>
              </w:rPr>
            </w:pPr>
          </w:p>
        </w:tc>
        <w:tc>
          <w:tcPr>
            <w:tcW w:w="984" w:type="dxa"/>
            <w:vAlign w:val="center"/>
          </w:tcPr>
          <w:p w14:paraId="418E82FD">
            <w:pPr>
              <w:spacing w:line="240" w:lineRule="atLeast"/>
              <w:rPr>
                <w:rFonts w:ascii="方正仿宋_GBK" w:eastAsia="方正仿宋_GBK"/>
                <w:sz w:val="21"/>
                <w:szCs w:val="21"/>
              </w:rPr>
            </w:pPr>
          </w:p>
        </w:tc>
        <w:tc>
          <w:tcPr>
            <w:tcW w:w="1298" w:type="dxa"/>
            <w:gridSpan w:val="2"/>
            <w:vAlign w:val="center"/>
          </w:tcPr>
          <w:p w14:paraId="42527D5E">
            <w:pPr>
              <w:spacing w:line="240" w:lineRule="atLeast"/>
              <w:rPr>
                <w:rFonts w:ascii="方正仿宋_GBK" w:eastAsia="方正仿宋_GBK"/>
                <w:sz w:val="21"/>
                <w:szCs w:val="21"/>
              </w:rPr>
            </w:pPr>
          </w:p>
        </w:tc>
        <w:tc>
          <w:tcPr>
            <w:tcW w:w="1134" w:type="dxa"/>
            <w:vAlign w:val="center"/>
          </w:tcPr>
          <w:p w14:paraId="4986B0A5">
            <w:pPr>
              <w:spacing w:line="240" w:lineRule="atLeast"/>
              <w:rPr>
                <w:rFonts w:ascii="方正仿宋_GBK" w:eastAsia="方正仿宋_GBK"/>
                <w:sz w:val="21"/>
                <w:szCs w:val="21"/>
              </w:rPr>
            </w:pPr>
          </w:p>
        </w:tc>
        <w:tc>
          <w:tcPr>
            <w:tcW w:w="1559" w:type="dxa"/>
            <w:vAlign w:val="center"/>
          </w:tcPr>
          <w:p w14:paraId="42865277">
            <w:pPr>
              <w:spacing w:line="240" w:lineRule="atLeast"/>
              <w:rPr>
                <w:rFonts w:ascii="方正仿宋_GBK" w:eastAsia="方正仿宋_GBK"/>
                <w:sz w:val="21"/>
                <w:szCs w:val="21"/>
              </w:rPr>
            </w:pPr>
          </w:p>
        </w:tc>
        <w:tc>
          <w:tcPr>
            <w:tcW w:w="1567" w:type="dxa"/>
            <w:vAlign w:val="center"/>
          </w:tcPr>
          <w:p w14:paraId="0BBCD5EA">
            <w:pPr>
              <w:spacing w:line="240" w:lineRule="atLeast"/>
              <w:rPr>
                <w:rFonts w:ascii="方正仿宋_GBK" w:eastAsia="方正仿宋_GBK"/>
                <w:sz w:val="21"/>
                <w:szCs w:val="21"/>
              </w:rPr>
            </w:pPr>
          </w:p>
        </w:tc>
      </w:tr>
      <w:tr w14:paraId="765BB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AE2E3CB">
            <w:pPr>
              <w:spacing w:line="240" w:lineRule="atLeast"/>
              <w:rPr>
                <w:rFonts w:ascii="方正仿宋_GBK" w:eastAsia="方正仿宋_GBK"/>
                <w:sz w:val="21"/>
                <w:szCs w:val="21"/>
              </w:rPr>
            </w:pPr>
          </w:p>
        </w:tc>
        <w:tc>
          <w:tcPr>
            <w:tcW w:w="984" w:type="dxa"/>
            <w:vAlign w:val="center"/>
          </w:tcPr>
          <w:p w14:paraId="1B0D3F8F">
            <w:pPr>
              <w:spacing w:line="240" w:lineRule="atLeast"/>
              <w:rPr>
                <w:rFonts w:ascii="方正仿宋_GBK" w:eastAsia="方正仿宋_GBK"/>
                <w:sz w:val="21"/>
                <w:szCs w:val="21"/>
              </w:rPr>
            </w:pPr>
          </w:p>
        </w:tc>
        <w:tc>
          <w:tcPr>
            <w:tcW w:w="1298" w:type="dxa"/>
            <w:gridSpan w:val="2"/>
            <w:vAlign w:val="center"/>
          </w:tcPr>
          <w:p w14:paraId="6503581E">
            <w:pPr>
              <w:spacing w:line="240" w:lineRule="atLeast"/>
              <w:rPr>
                <w:rFonts w:ascii="方正仿宋_GBK" w:eastAsia="方正仿宋_GBK"/>
                <w:sz w:val="21"/>
                <w:szCs w:val="21"/>
              </w:rPr>
            </w:pPr>
          </w:p>
        </w:tc>
        <w:tc>
          <w:tcPr>
            <w:tcW w:w="1134" w:type="dxa"/>
            <w:vAlign w:val="center"/>
          </w:tcPr>
          <w:p w14:paraId="3F65922C">
            <w:pPr>
              <w:spacing w:line="240" w:lineRule="atLeast"/>
              <w:rPr>
                <w:rFonts w:ascii="方正仿宋_GBK" w:eastAsia="方正仿宋_GBK"/>
                <w:sz w:val="21"/>
                <w:szCs w:val="21"/>
              </w:rPr>
            </w:pPr>
          </w:p>
        </w:tc>
        <w:tc>
          <w:tcPr>
            <w:tcW w:w="1559" w:type="dxa"/>
            <w:vAlign w:val="center"/>
          </w:tcPr>
          <w:p w14:paraId="3BBE71EF">
            <w:pPr>
              <w:spacing w:line="240" w:lineRule="atLeast"/>
              <w:rPr>
                <w:rFonts w:ascii="方正仿宋_GBK" w:eastAsia="方正仿宋_GBK"/>
                <w:sz w:val="21"/>
                <w:szCs w:val="21"/>
              </w:rPr>
            </w:pPr>
          </w:p>
        </w:tc>
        <w:tc>
          <w:tcPr>
            <w:tcW w:w="1567" w:type="dxa"/>
            <w:vAlign w:val="center"/>
          </w:tcPr>
          <w:p w14:paraId="734534AF">
            <w:pPr>
              <w:spacing w:line="240" w:lineRule="atLeast"/>
              <w:rPr>
                <w:rFonts w:ascii="方正仿宋_GBK" w:eastAsia="方正仿宋_GBK"/>
                <w:sz w:val="21"/>
                <w:szCs w:val="21"/>
              </w:rPr>
            </w:pPr>
          </w:p>
        </w:tc>
      </w:tr>
      <w:tr w14:paraId="0A516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4B6A6BDE">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14:paraId="4C433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3128D754">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14:paraId="4E455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008E3354">
            <w:pPr>
              <w:spacing w:line="240" w:lineRule="atLeast"/>
              <w:rPr>
                <w:rFonts w:ascii="方正仿宋_GBK" w:eastAsia="方正仿宋_GBK"/>
                <w:sz w:val="21"/>
                <w:szCs w:val="21"/>
              </w:rPr>
            </w:pPr>
            <w:r>
              <w:rPr>
                <w:rFonts w:hint="eastAsia" w:ascii="方正仿宋_GBK" w:eastAsia="方正仿宋_GBK"/>
                <w:sz w:val="21"/>
                <w:szCs w:val="21"/>
              </w:rPr>
              <w:t>一、项目内容</w:t>
            </w:r>
          </w:p>
        </w:tc>
      </w:tr>
      <w:tr w14:paraId="53C3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28" w:type="dxa"/>
            <w:gridSpan w:val="8"/>
          </w:tcPr>
          <w:p w14:paraId="5EF11435">
            <w:pPr>
              <w:spacing w:line="240" w:lineRule="atLeast"/>
              <w:rPr>
                <w:rFonts w:ascii="方正仿宋_GBK" w:eastAsia="方正仿宋_GBK"/>
                <w:sz w:val="21"/>
                <w:szCs w:val="21"/>
              </w:rPr>
            </w:pPr>
            <w:r>
              <w:rPr>
                <w:rFonts w:hint="eastAsia" w:ascii="方正仿宋_GBK" w:eastAsia="方正仿宋_GBK"/>
                <w:sz w:val="21"/>
                <w:szCs w:val="21"/>
              </w:rPr>
              <w:t>二、项目要求</w:t>
            </w:r>
          </w:p>
        </w:tc>
      </w:tr>
      <w:tr w14:paraId="011F5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2CE4E291">
            <w:pPr>
              <w:spacing w:line="240" w:lineRule="atLeast"/>
              <w:rPr>
                <w:rFonts w:ascii="方正仿宋_GBK" w:eastAsia="方正仿宋_GBK"/>
                <w:sz w:val="21"/>
                <w:szCs w:val="21"/>
              </w:rPr>
            </w:pPr>
            <w:r>
              <w:rPr>
                <w:rFonts w:hint="eastAsia" w:ascii="方正仿宋_GBK" w:eastAsia="方正仿宋_GBK"/>
                <w:sz w:val="21"/>
                <w:szCs w:val="21"/>
              </w:rPr>
              <w:t>三、验收方式：</w:t>
            </w:r>
          </w:p>
        </w:tc>
      </w:tr>
      <w:tr w14:paraId="34F2A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14:paraId="294BC05A">
            <w:pPr>
              <w:rPr>
                <w:rFonts w:ascii="方正仿宋_GBK" w:eastAsia="方正仿宋_GBK"/>
                <w:sz w:val="21"/>
                <w:szCs w:val="21"/>
              </w:rPr>
            </w:pPr>
            <w:r>
              <w:rPr>
                <w:rFonts w:hint="eastAsia" w:ascii="方正仿宋_GBK" w:eastAsia="方正仿宋_GBK"/>
                <w:sz w:val="21"/>
                <w:szCs w:val="21"/>
              </w:rPr>
              <w:t>四、付款方式</w:t>
            </w:r>
            <w:r>
              <w:rPr>
                <w:rFonts w:ascii="方正仿宋_GBK" w:eastAsia="方正仿宋_GBK"/>
                <w:sz w:val="21"/>
                <w:szCs w:val="21"/>
              </w:rPr>
              <w:t>：</w:t>
            </w:r>
          </w:p>
          <w:p w14:paraId="122A80B4">
            <w:pPr>
              <w:rPr>
                <w:rFonts w:ascii="方正仿宋_GBK" w:eastAsia="方正仿宋_GBK"/>
                <w:sz w:val="21"/>
                <w:szCs w:val="21"/>
              </w:rPr>
            </w:pPr>
          </w:p>
        </w:tc>
      </w:tr>
      <w:tr w14:paraId="14E76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5C6556E7">
            <w:pPr>
              <w:spacing w:line="240" w:lineRule="atLeast"/>
              <w:rPr>
                <w:rFonts w:ascii="方正仿宋_GBK" w:eastAsia="方正仿宋_GBK"/>
                <w:sz w:val="21"/>
                <w:szCs w:val="21"/>
              </w:rPr>
            </w:pPr>
            <w:r>
              <w:rPr>
                <w:rFonts w:hint="eastAsia" w:ascii="方正仿宋_GBK" w:eastAsia="方正仿宋_GBK"/>
                <w:sz w:val="21"/>
                <w:szCs w:val="21"/>
              </w:rPr>
              <w:t>五、违约责任：</w:t>
            </w:r>
          </w:p>
          <w:p w14:paraId="14003045">
            <w:pPr>
              <w:spacing w:line="240" w:lineRule="atLeast"/>
              <w:rPr>
                <w:rFonts w:ascii="方正仿宋_GBK" w:eastAsia="方正仿宋_GBK"/>
                <w:sz w:val="21"/>
                <w:szCs w:val="21"/>
              </w:rPr>
            </w:pPr>
          </w:p>
        </w:tc>
      </w:tr>
      <w:tr w14:paraId="4E6A1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5DC7AA87">
            <w:pPr>
              <w:spacing w:line="240" w:lineRule="atLeast"/>
              <w:rPr>
                <w:rFonts w:ascii="方正仿宋_GBK" w:eastAsia="方正仿宋_GBK"/>
                <w:sz w:val="21"/>
                <w:szCs w:val="21"/>
              </w:rPr>
            </w:pPr>
            <w:r>
              <w:rPr>
                <w:rFonts w:hint="eastAsia" w:ascii="方正仿宋_GBK" w:eastAsia="方正仿宋_GBK"/>
                <w:sz w:val="21"/>
                <w:szCs w:val="21"/>
              </w:rPr>
              <w:t>六、其他约定事项：</w:t>
            </w:r>
          </w:p>
          <w:p w14:paraId="4A7B9A21">
            <w:pPr>
              <w:spacing w:line="240" w:lineRule="atLeast"/>
              <w:rPr>
                <w:rFonts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14:paraId="5354EF79">
            <w:pPr>
              <w:spacing w:line="240" w:lineRule="atLeast"/>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14:paraId="798189FC">
            <w:pPr>
              <w:spacing w:line="240" w:lineRule="atLeast"/>
              <w:rPr>
                <w:rFonts w:ascii="方正仿宋_GBK" w:eastAsia="方正仿宋_GBK"/>
                <w:sz w:val="21"/>
                <w:szCs w:val="21"/>
              </w:rPr>
            </w:pPr>
            <w:r>
              <w:rPr>
                <w:rFonts w:hint="eastAsia" w:ascii="方正仿宋_GBK" w:eastAsia="方正仿宋_GBK"/>
                <w:sz w:val="21"/>
                <w:szCs w:val="21"/>
              </w:rPr>
              <w:t>3.本合同一式__份， 需方__份，供方__份，具同等法律效力。</w:t>
            </w:r>
          </w:p>
          <w:p w14:paraId="24848464">
            <w:pPr>
              <w:spacing w:line="240" w:lineRule="atLeast"/>
              <w:rPr>
                <w:rFonts w:ascii="方正仿宋_GBK" w:eastAsia="方正仿宋_GBK"/>
                <w:sz w:val="21"/>
                <w:szCs w:val="21"/>
              </w:rPr>
            </w:pPr>
            <w:r>
              <w:rPr>
                <w:rFonts w:hint="eastAsia" w:ascii="方正仿宋_GBK" w:eastAsia="方正仿宋_GBK"/>
                <w:sz w:val="21"/>
                <w:szCs w:val="21"/>
              </w:rPr>
              <w:t>4.其他：</w:t>
            </w:r>
          </w:p>
        </w:tc>
      </w:tr>
      <w:tr w14:paraId="2ED0B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25CAEA1A">
            <w:pPr>
              <w:spacing w:line="240" w:lineRule="atLeast"/>
              <w:rPr>
                <w:rFonts w:ascii="方正仿宋_GBK" w:eastAsia="方正仿宋_GBK"/>
                <w:sz w:val="21"/>
                <w:szCs w:val="21"/>
              </w:rPr>
            </w:pPr>
            <w:r>
              <w:rPr>
                <w:rFonts w:hint="eastAsia" w:ascii="方正仿宋_GBK" w:eastAsia="方正仿宋_GBK"/>
                <w:sz w:val="21"/>
                <w:szCs w:val="21"/>
              </w:rPr>
              <w:t>需方：</w:t>
            </w:r>
          </w:p>
          <w:p w14:paraId="32A675F7">
            <w:pPr>
              <w:spacing w:line="240" w:lineRule="atLeast"/>
              <w:rPr>
                <w:rFonts w:ascii="方正仿宋_GBK" w:eastAsia="方正仿宋_GBK"/>
                <w:sz w:val="21"/>
                <w:szCs w:val="21"/>
              </w:rPr>
            </w:pPr>
            <w:r>
              <w:rPr>
                <w:rFonts w:hint="eastAsia" w:ascii="方正仿宋_GBK" w:eastAsia="方正仿宋_GBK"/>
                <w:sz w:val="21"/>
                <w:szCs w:val="21"/>
              </w:rPr>
              <w:t>地址：</w:t>
            </w:r>
          </w:p>
          <w:p w14:paraId="7087C0C7">
            <w:pPr>
              <w:spacing w:line="240" w:lineRule="atLeast"/>
              <w:rPr>
                <w:rFonts w:ascii="方正仿宋_GBK" w:eastAsia="方正仿宋_GBK"/>
                <w:sz w:val="21"/>
                <w:szCs w:val="21"/>
              </w:rPr>
            </w:pPr>
            <w:r>
              <w:rPr>
                <w:rFonts w:hint="eastAsia" w:ascii="方正仿宋_GBK" w:eastAsia="方正仿宋_GBK"/>
                <w:sz w:val="21"/>
                <w:szCs w:val="21"/>
              </w:rPr>
              <w:t>联系电话：</w:t>
            </w:r>
          </w:p>
          <w:p w14:paraId="72E87796">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4984" w:type="dxa"/>
            <w:gridSpan w:val="5"/>
          </w:tcPr>
          <w:p w14:paraId="17673B25">
            <w:pPr>
              <w:spacing w:line="240" w:lineRule="atLeast"/>
              <w:rPr>
                <w:rFonts w:ascii="方正仿宋_GBK" w:eastAsia="方正仿宋_GBK"/>
                <w:sz w:val="21"/>
                <w:szCs w:val="21"/>
              </w:rPr>
            </w:pPr>
            <w:r>
              <w:rPr>
                <w:rFonts w:hint="eastAsia" w:ascii="方正仿宋_GBK" w:eastAsia="方正仿宋_GBK"/>
                <w:sz w:val="21"/>
                <w:szCs w:val="21"/>
              </w:rPr>
              <w:t>供方：</w:t>
            </w:r>
          </w:p>
          <w:p w14:paraId="1C0DB76A">
            <w:pPr>
              <w:spacing w:line="240" w:lineRule="atLeast"/>
              <w:rPr>
                <w:rFonts w:ascii="方正仿宋_GBK" w:eastAsia="方正仿宋_GBK"/>
                <w:sz w:val="21"/>
                <w:szCs w:val="21"/>
              </w:rPr>
            </w:pPr>
            <w:r>
              <w:rPr>
                <w:rFonts w:hint="eastAsia" w:ascii="方正仿宋_GBK" w:eastAsia="方正仿宋_GBK"/>
                <w:sz w:val="21"/>
                <w:szCs w:val="21"/>
              </w:rPr>
              <w:t>地址：</w:t>
            </w:r>
          </w:p>
          <w:p w14:paraId="04296BBC">
            <w:pPr>
              <w:spacing w:line="240" w:lineRule="atLeast"/>
              <w:rPr>
                <w:rFonts w:ascii="方正仿宋_GBK" w:eastAsia="方正仿宋_GBK"/>
                <w:sz w:val="21"/>
                <w:szCs w:val="21"/>
              </w:rPr>
            </w:pPr>
            <w:r>
              <w:rPr>
                <w:rFonts w:hint="eastAsia" w:ascii="方正仿宋_GBK" w:eastAsia="方正仿宋_GBK"/>
                <w:sz w:val="21"/>
                <w:szCs w:val="21"/>
              </w:rPr>
              <w:t>电话：</w:t>
            </w:r>
          </w:p>
          <w:p w14:paraId="3A18CFE5">
            <w:pPr>
              <w:spacing w:line="240" w:lineRule="atLeast"/>
              <w:rPr>
                <w:rFonts w:ascii="方正仿宋_GBK" w:eastAsia="方正仿宋_GBK"/>
                <w:sz w:val="21"/>
                <w:szCs w:val="21"/>
              </w:rPr>
            </w:pPr>
            <w:r>
              <w:rPr>
                <w:rFonts w:hint="eastAsia" w:ascii="方正仿宋_GBK" w:eastAsia="方正仿宋_GBK"/>
                <w:sz w:val="21"/>
                <w:szCs w:val="21"/>
              </w:rPr>
              <w:t>传真：</w:t>
            </w:r>
          </w:p>
          <w:p w14:paraId="73234CF5">
            <w:pPr>
              <w:spacing w:line="240" w:lineRule="atLeast"/>
              <w:rPr>
                <w:rFonts w:ascii="方正仿宋_GBK" w:eastAsia="方正仿宋_GBK"/>
                <w:sz w:val="21"/>
                <w:szCs w:val="21"/>
              </w:rPr>
            </w:pPr>
            <w:r>
              <w:rPr>
                <w:rFonts w:hint="eastAsia" w:ascii="方正仿宋_GBK" w:eastAsia="方正仿宋_GBK"/>
                <w:sz w:val="21"/>
                <w:szCs w:val="21"/>
              </w:rPr>
              <w:t>开户银行：</w:t>
            </w:r>
          </w:p>
          <w:p w14:paraId="1A8B9E44">
            <w:pPr>
              <w:spacing w:line="240" w:lineRule="atLeast"/>
              <w:rPr>
                <w:rFonts w:ascii="方正仿宋_GBK" w:eastAsia="方正仿宋_GBK"/>
                <w:sz w:val="21"/>
                <w:szCs w:val="21"/>
              </w:rPr>
            </w:pPr>
            <w:r>
              <w:rPr>
                <w:rFonts w:hint="eastAsia" w:ascii="方正仿宋_GBK" w:eastAsia="方正仿宋_GBK"/>
                <w:sz w:val="21"/>
                <w:szCs w:val="21"/>
              </w:rPr>
              <w:t>账号：</w:t>
            </w:r>
          </w:p>
          <w:p w14:paraId="15053555">
            <w:pPr>
              <w:spacing w:line="240" w:lineRule="atLeast"/>
              <w:rPr>
                <w:rFonts w:ascii="方正仿宋_GBK" w:eastAsia="方正仿宋_GBK"/>
                <w:sz w:val="21"/>
                <w:szCs w:val="21"/>
              </w:rPr>
            </w:pPr>
            <w:r>
              <w:rPr>
                <w:rFonts w:hint="eastAsia" w:ascii="方正仿宋_GBK" w:eastAsia="方正仿宋_GBK"/>
                <w:sz w:val="21"/>
                <w:szCs w:val="21"/>
              </w:rPr>
              <w:t>授权代表：</w:t>
            </w:r>
          </w:p>
          <w:p w14:paraId="00C8E1B0">
            <w:pPr>
              <w:widowControl/>
              <w:spacing w:line="240" w:lineRule="atLeast"/>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14:paraId="4F3AE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23F51EB1">
            <w:pPr>
              <w:spacing w:line="240" w:lineRule="atLeast"/>
              <w:rPr>
                <w:rFonts w:ascii="方正仿宋_GBK" w:eastAsia="方正仿宋_GBK"/>
                <w:sz w:val="21"/>
                <w:szCs w:val="21"/>
              </w:rPr>
            </w:pPr>
            <w:r>
              <w:rPr>
                <w:rFonts w:hint="eastAsia" w:ascii="方正仿宋_GBK" w:eastAsia="方正仿宋_GBK"/>
                <w:sz w:val="21"/>
                <w:szCs w:val="21"/>
              </w:rPr>
              <w:t>备注：</w:t>
            </w:r>
          </w:p>
          <w:p w14:paraId="1EFC6236">
            <w:pPr>
              <w:spacing w:line="240" w:lineRule="atLeast"/>
              <w:rPr>
                <w:rFonts w:ascii="方正仿宋_GBK" w:eastAsia="方正仿宋_GBK"/>
                <w:sz w:val="21"/>
                <w:szCs w:val="21"/>
              </w:rPr>
            </w:pPr>
          </w:p>
          <w:p w14:paraId="7C09FC2A">
            <w:pPr>
              <w:spacing w:line="240" w:lineRule="atLeast"/>
              <w:rPr>
                <w:rFonts w:ascii="方正仿宋_GBK" w:eastAsia="方正仿宋_GBK"/>
                <w:sz w:val="21"/>
                <w:szCs w:val="21"/>
              </w:rPr>
            </w:pPr>
          </w:p>
        </w:tc>
      </w:tr>
    </w:tbl>
    <w:p w14:paraId="797C27AA">
      <w:pPr>
        <w:rPr>
          <w:rFonts w:ascii="方正仿宋_GBK" w:eastAsia="方正仿宋_GBK"/>
          <w:sz w:val="24"/>
        </w:rPr>
      </w:pPr>
      <w:r>
        <w:rPr>
          <w:rFonts w:hint="eastAsia" w:ascii="方正仿宋_GBK" w:eastAsia="方正仿宋_GBK"/>
          <w:sz w:val="24"/>
        </w:rPr>
        <w:t>签约时间：           年   月   日      签约地点：</w:t>
      </w:r>
    </w:p>
    <w:p w14:paraId="51DB96AA">
      <w:pPr>
        <w:tabs>
          <w:tab w:val="left" w:pos="9000"/>
        </w:tabs>
        <w:spacing w:line="276" w:lineRule="auto"/>
        <w:jc w:val="center"/>
        <w:rPr>
          <w:rFonts w:ascii="方正仿宋_GBK" w:eastAsia="方正仿宋_GBK"/>
          <w:sz w:val="21"/>
          <w:szCs w:val="21"/>
        </w:rPr>
        <w:sectPr>
          <w:footerReference r:id="rId11" w:type="default"/>
          <w:footerReference r:id="rId12" w:type="even"/>
          <w:pgSz w:w="11907" w:h="16840"/>
          <w:pgMar w:top="1134" w:right="1191" w:bottom="1134" w:left="1304" w:header="964" w:footer="992" w:gutter="0"/>
          <w:pgNumType w:fmt="numberInDash"/>
          <w:cols w:space="720" w:num="1"/>
          <w:docGrid w:linePitch="312" w:charSpace="0"/>
        </w:sectPr>
      </w:pPr>
    </w:p>
    <w:p w14:paraId="4CBD260F">
      <w:pPr>
        <w:pStyle w:val="2"/>
        <w:spacing w:before="0" w:after="0" w:line="360" w:lineRule="auto"/>
        <w:jc w:val="center"/>
        <w:rPr>
          <w:rFonts w:ascii="方正小标宋_GBK" w:hAnsi="宋体" w:eastAsia="方正小标宋_GBK"/>
          <w:b w:val="0"/>
          <w:sz w:val="36"/>
          <w:szCs w:val="30"/>
        </w:rPr>
      </w:pPr>
      <w:bookmarkStart w:id="159" w:name="_Hlt41879464"/>
      <w:bookmarkEnd w:id="159"/>
      <w:bookmarkStart w:id="160" w:name="_Toc76462349"/>
      <w:bookmarkStart w:id="161" w:name="_Toc106030905"/>
      <w:r>
        <w:rPr>
          <w:rFonts w:hint="eastAsia" w:ascii="方正小标宋_GBK" w:hAnsi="宋体" w:eastAsia="方正小标宋_GBK"/>
          <w:b w:val="0"/>
          <w:sz w:val="36"/>
          <w:szCs w:val="30"/>
        </w:rPr>
        <w:t>第七篇  响应文件编制要求</w:t>
      </w:r>
      <w:bookmarkEnd w:id="160"/>
      <w:bookmarkEnd w:id="161"/>
    </w:p>
    <w:p w14:paraId="47AF01D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一、经济部分</w:t>
      </w:r>
    </w:p>
    <w:p w14:paraId="6295CBD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14:paraId="3108CE8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（二）明细报价表（格式自定）</w:t>
      </w:r>
    </w:p>
    <w:p w14:paraId="6B032E0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二、服务部分</w:t>
      </w:r>
    </w:p>
    <w:p w14:paraId="3FF199F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14:paraId="666E385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（二）其他资料（格式自定）</w:t>
      </w:r>
    </w:p>
    <w:p w14:paraId="3458BB7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三、商务部分</w:t>
      </w:r>
    </w:p>
    <w:p w14:paraId="3DD9F78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（一）商务响应偏离表</w:t>
      </w:r>
    </w:p>
    <w:p w14:paraId="4C8F260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（二）其它优惠服务承诺（格式自定）</w:t>
      </w:r>
    </w:p>
    <w:p w14:paraId="45A0DDF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四、资格条件及其他</w:t>
      </w:r>
    </w:p>
    <w:p w14:paraId="233F2FC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14:paraId="4D7F725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14:paraId="792080C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14:paraId="52F570F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14:paraId="3201F47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（五）特定资格条件证书或证明文件</w:t>
      </w:r>
    </w:p>
    <w:p w14:paraId="3C6102D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五、其他资料</w:t>
      </w:r>
    </w:p>
    <w:p w14:paraId="17E3D31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（一）其他与项目有关的资料（自附）</w:t>
      </w:r>
    </w:p>
    <w:p w14:paraId="60C14D88">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5B28445C">
      <w:pPr>
        <w:pStyle w:val="2"/>
        <w:adjustRightInd w:val="0"/>
        <w:snapToGrid w:val="0"/>
        <w:spacing w:before="0" w:after="0" w:line="400" w:lineRule="exact"/>
        <w:ind w:firstLine="480" w:firstLineChars="200"/>
        <w:rPr>
          <w:rFonts w:ascii="方正仿宋_GBK" w:hAnsi="宋体" w:eastAsia="方正仿宋_GBK"/>
          <w:sz w:val="24"/>
        </w:rPr>
      </w:pPr>
      <w:bookmarkStart w:id="162" w:name="_Toc313888360"/>
      <w:bookmarkStart w:id="163" w:name="_Toc106030906"/>
      <w:bookmarkStart w:id="164" w:name="_Toc313008356"/>
      <w:bookmarkStart w:id="165" w:name="_Toc76462350"/>
      <w:bookmarkStart w:id="166" w:name="_Toc342913419"/>
      <w:bookmarkStart w:id="167" w:name="_Toc283382454"/>
      <w:bookmarkStart w:id="168" w:name="_Toc12789073"/>
      <w:r>
        <w:rPr>
          <w:rFonts w:hint="eastAsia" w:ascii="方正仿宋_GBK" w:hAnsi="宋体" w:eastAsia="方正仿宋_GBK"/>
          <w:sz w:val="24"/>
        </w:rPr>
        <w:t>一、经济部分</w:t>
      </w:r>
      <w:bookmarkEnd w:id="162"/>
      <w:bookmarkEnd w:id="163"/>
      <w:bookmarkEnd w:id="164"/>
      <w:bookmarkEnd w:id="165"/>
      <w:bookmarkEnd w:id="166"/>
    </w:p>
    <w:bookmarkEnd w:id="167"/>
    <w:bookmarkEnd w:id="168"/>
    <w:p w14:paraId="0BD0FE37">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14:paraId="6BCB9780">
      <w:pPr>
        <w:jc w:val="center"/>
        <w:rPr>
          <w:rFonts w:ascii="方正仿宋_GBK" w:eastAsia="方正仿宋_GBK"/>
          <w:b/>
          <w:szCs w:val="28"/>
        </w:rPr>
      </w:pPr>
      <w:r>
        <w:rPr>
          <w:rFonts w:hint="eastAsia" w:ascii="方正仿宋_GBK" w:eastAsia="方正仿宋_GBK"/>
          <w:b/>
          <w:szCs w:val="28"/>
        </w:rPr>
        <w:t>报价函</w:t>
      </w:r>
    </w:p>
    <w:p w14:paraId="06DBEFEC">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szCs w:val="24"/>
        </w:rPr>
        <w:t>：</w:t>
      </w:r>
    </w:p>
    <w:p w14:paraId="21311254">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我方收到____________________________（项目名称）的限额以下磋商评分文件，经详细研究，决定参加该项目的竞争。</w:t>
      </w:r>
    </w:p>
    <w:p w14:paraId="041EA439">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1.愿意按照限额以下磋商评分文件中的一切要求，提供本项目的服务，初始报价为人民币大写：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元。以我公司最后报价为准。</w:t>
      </w:r>
    </w:p>
    <w:p w14:paraId="683C7D72">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5D4A4B9C">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3.我方承诺：本次限额以下磋商评分的有效期为提交响应文件截止时间起90天。</w:t>
      </w:r>
    </w:p>
    <w:p w14:paraId="58F9C357">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4.我方完全理解和接受贵方限额以下磋商评分文件的一切规定和要求及评审办法。</w:t>
      </w:r>
    </w:p>
    <w:p w14:paraId="5E771515">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5.在整个限额以下磋商评分过程中，我方若有违规行为，接受按照《中华人民共和国政府采购法》和《限额以下磋商评分文件》之规定给予惩罚。</w:t>
      </w:r>
    </w:p>
    <w:p w14:paraId="3A0F1DF4">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6.我方若成为成交供应商，将按照最终磋商结果签订合同，并且严格履行合同义务。本承诺函将成为合同不可分割的一部分，与合同具有同等的法律效力。</w:t>
      </w:r>
    </w:p>
    <w:p w14:paraId="0B8F2D3E">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7.如果我方成为成交供应商，保证在接到成交通知书后，向采购代理机构</w:t>
      </w:r>
      <w:r>
        <w:rPr>
          <w:rFonts w:hint="eastAsia" w:ascii="方正仿宋_GBK" w:hAnsi="宋体" w:eastAsia="方正仿宋_GBK"/>
          <w:sz w:val="24"/>
        </w:rPr>
        <w:t>缴纳</w:t>
      </w:r>
      <w:r>
        <w:rPr>
          <w:rFonts w:hint="eastAsia" w:ascii="方正仿宋_GBK" w:hAnsi="宋体" w:eastAsia="方正仿宋_GBK"/>
          <w:sz w:val="24"/>
          <w:szCs w:val="24"/>
        </w:rPr>
        <w:t>采购文件规定的采购代理服务费。</w:t>
      </w:r>
    </w:p>
    <w:p w14:paraId="2ACBD252">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14:paraId="41CB14DC">
      <w:pPr>
        <w:tabs>
          <w:tab w:val="left" w:pos="6300"/>
        </w:tabs>
        <w:snapToGrid w:val="0"/>
        <w:spacing w:line="312" w:lineRule="auto"/>
        <w:ind w:firstLine="570"/>
        <w:rPr>
          <w:rFonts w:ascii="方正仿宋_GBK" w:hAnsi="宋体" w:eastAsia="方正仿宋_GBK"/>
          <w:sz w:val="24"/>
          <w:szCs w:val="24"/>
        </w:rPr>
      </w:pPr>
    </w:p>
    <w:p w14:paraId="6A120CD4">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14:paraId="1CAD7DF4">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14:paraId="3A0E307B">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14:paraId="0F55CF3E">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14:paraId="34C24211">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14:paraId="2EA79246">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3D242625">
      <w:pPr>
        <w:tabs>
          <w:tab w:val="left" w:pos="2895"/>
        </w:tabs>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（二）明细报价表（格式自定）</w:t>
      </w:r>
    </w:p>
    <w:p w14:paraId="5C47686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w:t>
      </w:r>
    </w:p>
    <w:p w14:paraId="4740920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p>
    <w:p w14:paraId="365B6EA6">
      <w:pPr>
        <w:pStyle w:val="2"/>
        <w:adjustRightInd w:val="0"/>
        <w:snapToGrid w:val="0"/>
        <w:spacing w:before="0" w:after="0" w:line="400" w:lineRule="exact"/>
        <w:ind w:firstLine="480" w:firstLineChars="200"/>
        <w:rPr>
          <w:rFonts w:ascii="方正仿宋_GBK" w:hAnsi="宋体" w:eastAsia="方正仿宋_GBK"/>
          <w:sz w:val="24"/>
        </w:rPr>
      </w:pPr>
      <w:bookmarkStart w:id="169" w:name="_Toc106030907"/>
      <w:bookmarkStart w:id="170" w:name="_Toc313888361"/>
      <w:bookmarkStart w:id="171" w:name="_Toc76462351"/>
      <w:bookmarkStart w:id="172" w:name="_Toc313008357"/>
      <w:bookmarkStart w:id="173" w:name="_Toc342913420"/>
      <w:r>
        <w:rPr>
          <w:rFonts w:hint="eastAsia" w:ascii="方正仿宋_GBK" w:hAnsi="宋体" w:eastAsia="方正仿宋_GBK"/>
          <w:sz w:val="24"/>
        </w:rPr>
        <w:t>二、服务部分</w:t>
      </w:r>
      <w:bookmarkEnd w:id="169"/>
      <w:bookmarkEnd w:id="170"/>
      <w:bookmarkEnd w:id="171"/>
      <w:bookmarkEnd w:id="172"/>
      <w:bookmarkEnd w:id="173"/>
    </w:p>
    <w:p w14:paraId="347986F3">
      <w:pPr>
        <w:tabs>
          <w:tab w:val="left" w:pos="6300"/>
        </w:tabs>
        <w:snapToGrid w:val="0"/>
        <w:spacing w:line="400" w:lineRule="exact"/>
        <w:ind w:firstLine="480" w:firstLineChars="200"/>
        <w:rPr>
          <w:rFonts w:ascii="方正仿宋_GBK" w:hAnsi="宋体" w:eastAsia="方正仿宋_GBK"/>
          <w:szCs w:val="24"/>
        </w:rPr>
      </w:pPr>
      <w:r>
        <w:rPr>
          <w:rFonts w:hint="eastAsia" w:ascii="方正仿宋_GBK" w:hAnsi="宋体" w:eastAsia="方正仿宋_GBK"/>
          <w:sz w:val="24"/>
          <w:szCs w:val="24"/>
        </w:rPr>
        <w:t xml:space="preserve">（一）服务响应偏离表                                </w:t>
      </w:r>
    </w:p>
    <w:p w14:paraId="0EA431F7">
      <w:pPr>
        <w:spacing w:line="400" w:lineRule="exact"/>
        <w:ind w:firstLine="480" w:firstLineChars="200"/>
        <w:rPr>
          <w:rFonts w:ascii="方正仿宋_GBK" w:hAnsi="宋体" w:eastAsia="方正仿宋_GBK"/>
          <w:sz w:val="24"/>
          <w:szCs w:val="24"/>
        </w:rPr>
      </w:pPr>
    </w:p>
    <w:p w14:paraId="6C90883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4E499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77DDBA9A">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序号</w:t>
            </w:r>
          </w:p>
        </w:tc>
        <w:tc>
          <w:tcPr>
            <w:tcW w:w="2967" w:type="dxa"/>
            <w:vAlign w:val="center"/>
          </w:tcPr>
          <w:p w14:paraId="087152AF">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采购需求</w:t>
            </w:r>
          </w:p>
        </w:tc>
        <w:tc>
          <w:tcPr>
            <w:tcW w:w="3081" w:type="dxa"/>
            <w:vAlign w:val="center"/>
          </w:tcPr>
          <w:p w14:paraId="2F8E1DD2">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响应情况</w:t>
            </w:r>
          </w:p>
        </w:tc>
        <w:tc>
          <w:tcPr>
            <w:tcW w:w="2309" w:type="dxa"/>
            <w:vAlign w:val="center"/>
          </w:tcPr>
          <w:p w14:paraId="7828A94D">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差异说明</w:t>
            </w:r>
          </w:p>
        </w:tc>
      </w:tr>
      <w:tr w14:paraId="200A8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C91920B">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236DACF9">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29CD6129">
            <w:pPr>
              <w:tabs>
                <w:tab w:val="left" w:pos="6300"/>
              </w:tabs>
              <w:snapToGrid w:val="0"/>
              <w:spacing w:line="500" w:lineRule="exact"/>
              <w:outlineLvl w:val="0"/>
              <w:rPr>
                <w:rFonts w:ascii="方正仿宋_GBK" w:hAnsi="宋体" w:eastAsia="方正仿宋_GBK"/>
                <w:sz w:val="21"/>
                <w:szCs w:val="21"/>
              </w:rPr>
            </w:pPr>
            <w:r>
              <w:rPr>
                <w:rFonts w:ascii="方正仿宋_GBK" w:hAnsi="仿宋" w:eastAsia="方正仿宋_GBK"/>
                <w:sz w:val="21"/>
                <w:szCs w:val="21"/>
              </w:rPr>
              <w:t>提醒</w:t>
            </w:r>
            <w:r>
              <w:rPr>
                <w:rFonts w:hint="eastAsia" w:ascii="方正仿宋_GBK" w:hAnsi="仿宋" w:eastAsia="方正仿宋_GBK"/>
                <w:sz w:val="21"/>
                <w:szCs w:val="21"/>
              </w:rPr>
              <w:t>：</w:t>
            </w:r>
            <w:r>
              <w:rPr>
                <w:rFonts w:ascii="方正仿宋_GBK" w:hAnsi="仿宋" w:eastAsia="方正仿宋_GBK"/>
                <w:sz w:val="21"/>
                <w:szCs w:val="21"/>
              </w:rPr>
              <w:t>请注明</w:t>
            </w:r>
            <w:r>
              <w:rPr>
                <w:rFonts w:hint="eastAsia" w:ascii="方正仿宋_GBK" w:hAnsi="仿宋" w:eastAsia="方正仿宋_GBK"/>
                <w:sz w:val="21"/>
                <w:szCs w:val="21"/>
              </w:rPr>
              <w:t>技术参数</w:t>
            </w:r>
            <w:r>
              <w:rPr>
                <w:rFonts w:ascii="方正仿宋_GBK" w:hAnsi="仿宋" w:eastAsia="方正仿宋_GBK"/>
                <w:sz w:val="21"/>
                <w:szCs w:val="21"/>
              </w:rPr>
              <w:t>或具体内容以及</w:t>
            </w:r>
            <w:r>
              <w:rPr>
                <w:rFonts w:hint="eastAsia" w:ascii="方正仿宋_GBK" w:hAnsi="仿宋" w:eastAsia="方正仿宋_GBK"/>
                <w:sz w:val="21"/>
                <w:szCs w:val="21"/>
              </w:rPr>
              <w:t>响应文件</w:t>
            </w:r>
            <w:r>
              <w:rPr>
                <w:rFonts w:ascii="方正仿宋_GBK" w:hAnsi="仿宋" w:eastAsia="方正仿宋_GBK"/>
                <w:sz w:val="21"/>
                <w:szCs w:val="21"/>
              </w:rPr>
              <w:t>中</w:t>
            </w:r>
            <w:r>
              <w:rPr>
                <w:rFonts w:hint="eastAsia" w:ascii="方正仿宋_GBK" w:hAnsi="仿宋" w:eastAsia="方正仿宋_GBK"/>
                <w:sz w:val="21"/>
                <w:szCs w:val="21"/>
              </w:rPr>
              <w:t>技术参数</w:t>
            </w:r>
            <w:r>
              <w:rPr>
                <w:rFonts w:ascii="方正仿宋_GBK" w:hAnsi="仿宋" w:eastAsia="方正仿宋_GBK"/>
                <w:sz w:val="21"/>
                <w:szCs w:val="21"/>
              </w:rPr>
              <w:t>或</w:t>
            </w:r>
            <w:r>
              <w:rPr>
                <w:rFonts w:hint="eastAsia" w:ascii="方正仿宋_GBK" w:hAnsi="仿宋" w:eastAsia="方正仿宋_GBK"/>
                <w:sz w:val="21"/>
                <w:szCs w:val="21"/>
              </w:rPr>
              <w:t>具体</w:t>
            </w:r>
            <w:r>
              <w:rPr>
                <w:rFonts w:ascii="方正仿宋_GBK" w:hAnsi="仿宋" w:eastAsia="方正仿宋_GBK"/>
                <w:sz w:val="21"/>
                <w:szCs w:val="21"/>
              </w:rPr>
              <w:t>内容</w:t>
            </w:r>
            <w:r>
              <w:rPr>
                <w:rFonts w:hint="eastAsia" w:ascii="方正仿宋_GBK" w:hAnsi="仿宋" w:eastAsia="方正仿宋_GBK"/>
                <w:sz w:val="21"/>
                <w:szCs w:val="21"/>
              </w:rPr>
              <w:t>的</w:t>
            </w:r>
            <w:r>
              <w:rPr>
                <w:rFonts w:ascii="方正仿宋_GBK" w:hAnsi="仿宋" w:eastAsia="方正仿宋_GBK"/>
                <w:sz w:val="21"/>
                <w:szCs w:val="21"/>
              </w:rPr>
              <w:t>位置（</w:t>
            </w:r>
            <w:r>
              <w:rPr>
                <w:rFonts w:hint="eastAsia" w:ascii="方正仿宋_GBK" w:hAnsi="仿宋" w:eastAsia="方正仿宋_GBK"/>
                <w:sz w:val="21"/>
                <w:szCs w:val="21"/>
              </w:rPr>
              <w:t>页码</w:t>
            </w:r>
            <w:r>
              <w:rPr>
                <w:rFonts w:ascii="方正仿宋_GBK" w:hAnsi="仿宋" w:eastAsia="方正仿宋_GBK"/>
                <w:sz w:val="21"/>
                <w:szCs w:val="21"/>
              </w:rPr>
              <w:t>）</w:t>
            </w:r>
          </w:p>
        </w:tc>
        <w:tc>
          <w:tcPr>
            <w:tcW w:w="2309" w:type="dxa"/>
            <w:vAlign w:val="center"/>
          </w:tcPr>
          <w:p w14:paraId="2A6AB6E2">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仿宋" w:eastAsia="方正仿宋_GBK"/>
                <w:sz w:val="21"/>
                <w:szCs w:val="21"/>
              </w:rPr>
              <w:t>提醒：请注明响应情况与采购需求的差异情况：正偏离、负偏离或者无差异</w:t>
            </w:r>
          </w:p>
        </w:tc>
      </w:tr>
      <w:tr w14:paraId="4EEA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A315094">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5DF9C40D">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1D5494CE">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3F719F4A">
            <w:pPr>
              <w:tabs>
                <w:tab w:val="left" w:pos="6300"/>
              </w:tabs>
              <w:snapToGrid w:val="0"/>
              <w:spacing w:line="500" w:lineRule="exact"/>
              <w:jc w:val="center"/>
              <w:outlineLvl w:val="0"/>
              <w:rPr>
                <w:rFonts w:ascii="方正仿宋_GBK" w:hAnsi="宋体" w:eastAsia="方正仿宋_GBK"/>
                <w:sz w:val="21"/>
                <w:szCs w:val="21"/>
              </w:rPr>
            </w:pPr>
          </w:p>
        </w:tc>
      </w:tr>
      <w:tr w14:paraId="79909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364D958">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11048A9C">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6C551574">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7D73D85B">
            <w:pPr>
              <w:tabs>
                <w:tab w:val="left" w:pos="6300"/>
              </w:tabs>
              <w:snapToGrid w:val="0"/>
              <w:spacing w:line="500" w:lineRule="exact"/>
              <w:jc w:val="center"/>
              <w:outlineLvl w:val="0"/>
              <w:rPr>
                <w:rFonts w:ascii="方正仿宋_GBK" w:hAnsi="宋体" w:eastAsia="方正仿宋_GBK"/>
                <w:sz w:val="21"/>
                <w:szCs w:val="21"/>
              </w:rPr>
            </w:pPr>
          </w:p>
        </w:tc>
      </w:tr>
      <w:tr w14:paraId="1BE02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AAF3C06">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17B0C28C">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5687C065">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538A2B7C">
            <w:pPr>
              <w:tabs>
                <w:tab w:val="left" w:pos="6300"/>
              </w:tabs>
              <w:snapToGrid w:val="0"/>
              <w:spacing w:line="500" w:lineRule="exact"/>
              <w:jc w:val="center"/>
              <w:outlineLvl w:val="0"/>
              <w:rPr>
                <w:rFonts w:ascii="方正仿宋_GBK" w:hAnsi="宋体" w:eastAsia="方正仿宋_GBK"/>
                <w:sz w:val="21"/>
                <w:szCs w:val="21"/>
              </w:rPr>
            </w:pPr>
          </w:p>
        </w:tc>
      </w:tr>
      <w:tr w14:paraId="366E5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C9E1A72">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1727BCFD">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2E3140DF">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7B5039FD">
            <w:pPr>
              <w:tabs>
                <w:tab w:val="left" w:pos="6300"/>
              </w:tabs>
              <w:snapToGrid w:val="0"/>
              <w:spacing w:line="500" w:lineRule="exact"/>
              <w:jc w:val="center"/>
              <w:outlineLvl w:val="0"/>
              <w:rPr>
                <w:rFonts w:ascii="方正仿宋_GBK" w:hAnsi="宋体" w:eastAsia="方正仿宋_GBK"/>
                <w:sz w:val="21"/>
                <w:szCs w:val="21"/>
              </w:rPr>
            </w:pPr>
          </w:p>
        </w:tc>
      </w:tr>
      <w:tr w14:paraId="410B0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480203F">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6C5C916A">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20E04377">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6BBFACA0">
            <w:pPr>
              <w:tabs>
                <w:tab w:val="left" w:pos="6300"/>
              </w:tabs>
              <w:snapToGrid w:val="0"/>
              <w:spacing w:line="500" w:lineRule="exact"/>
              <w:jc w:val="center"/>
              <w:outlineLvl w:val="0"/>
              <w:rPr>
                <w:rFonts w:ascii="方正仿宋_GBK" w:hAnsi="宋体" w:eastAsia="方正仿宋_GBK"/>
                <w:sz w:val="21"/>
                <w:szCs w:val="21"/>
              </w:rPr>
            </w:pPr>
          </w:p>
        </w:tc>
      </w:tr>
      <w:tr w14:paraId="7E591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AD10328">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12BE79C4">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2BA14E07">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7098B23B">
            <w:pPr>
              <w:tabs>
                <w:tab w:val="left" w:pos="6300"/>
              </w:tabs>
              <w:snapToGrid w:val="0"/>
              <w:spacing w:line="500" w:lineRule="exact"/>
              <w:jc w:val="center"/>
              <w:outlineLvl w:val="0"/>
              <w:rPr>
                <w:rFonts w:ascii="方正仿宋_GBK" w:hAnsi="宋体" w:eastAsia="方正仿宋_GBK"/>
                <w:sz w:val="21"/>
                <w:szCs w:val="21"/>
              </w:rPr>
            </w:pPr>
          </w:p>
        </w:tc>
      </w:tr>
      <w:tr w14:paraId="43C2C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822F61F">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254C4A58">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235AAEF7">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7A6771F1">
            <w:pPr>
              <w:tabs>
                <w:tab w:val="left" w:pos="6300"/>
              </w:tabs>
              <w:snapToGrid w:val="0"/>
              <w:spacing w:line="500" w:lineRule="exact"/>
              <w:jc w:val="center"/>
              <w:outlineLvl w:val="0"/>
              <w:rPr>
                <w:rFonts w:ascii="方正仿宋_GBK" w:hAnsi="宋体" w:eastAsia="方正仿宋_GBK"/>
                <w:sz w:val="21"/>
                <w:szCs w:val="21"/>
              </w:rPr>
            </w:pPr>
          </w:p>
        </w:tc>
      </w:tr>
      <w:tr w14:paraId="3D796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5E859BA">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6C38C8DC">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09DA9979">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62151533">
            <w:pPr>
              <w:tabs>
                <w:tab w:val="left" w:pos="6300"/>
              </w:tabs>
              <w:snapToGrid w:val="0"/>
              <w:spacing w:line="500" w:lineRule="exact"/>
              <w:jc w:val="center"/>
              <w:outlineLvl w:val="0"/>
              <w:rPr>
                <w:rFonts w:ascii="方正仿宋_GBK" w:hAnsi="宋体" w:eastAsia="方正仿宋_GBK"/>
                <w:sz w:val="21"/>
                <w:szCs w:val="21"/>
              </w:rPr>
            </w:pPr>
          </w:p>
        </w:tc>
      </w:tr>
      <w:tr w14:paraId="5118C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33DBC95">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483DCB7D">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70949D8F">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4C55B74D">
            <w:pPr>
              <w:tabs>
                <w:tab w:val="left" w:pos="6300"/>
              </w:tabs>
              <w:snapToGrid w:val="0"/>
              <w:spacing w:line="500" w:lineRule="exact"/>
              <w:jc w:val="center"/>
              <w:outlineLvl w:val="0"/>
              <w:rPr>
                <w:rFonts w:ascii="方正仿宋_GBK" w:hAnsi="宋体" w:eastAsia="方正仿宋_GBK"/>
                <w:sz w:val="21"/>
                <w:szCs w:val="21"/>
              </w:rPr>
            </w:pPr>
          </w:p>
        </w:tc>
      </w:tr>
    </w:tbl>
    <w:p w14:paraId="49DDF3DF">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14:paraId="2754A69C">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4EE84EDE">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（签署或盖章）</w:t>
      </w:r>
    </w:p>
    <w:p w14:paraId="19D8BB22">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490B57F5">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7FB3DA86">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项目服务需求”中所列条款进行比较和响应；</w:t>
      </w:r>
    </w:p>
    <w:p w14:paraId="38825D93">
      <w:pPr>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rPr>
        <w:t>2.本表可扩展。</w:t>
      </w:r>
    </w:p>
    <w:p w14:paraId="0DAC537F">
      <w:pPr>
        <w:tabs>
          <w:tab w:val="left" w:pos="6300"/>
        </w:tabs>
        <w:snapToGrid w:val="0"/>
        <w:spacing w:line="400" w:lineRule="exact"/>
        <w:ind w:firstLine="560" w:firstLineChars="200"/>
        <w:rPr>
          <w:rFonts w:ascii="方正仿宋_GBK" w:hAnsi="宋体" w:eastAsia="方正仿宋_GBK"/>
          <w:szCs w:val="24"/>
        </w:rPr>
      </w:pPr>
      <w:r>
        <w:rPr>
          <w:rFonts w:ascii="方正仿宋_GBK" w:hAnsi="宋体" w:eastAsia="方正仿宋_GBK"/>
          <w:szCs w:val="24"/>
        </w:rPr>
        <w:br w:type="page"/>
      </w:r>
      <w:r>
        <w:rPr>
          <w:rFonts w:hint="eastAsia" w:ascii="方正仿宋_GBK" w:hAnsi="宋体" w:eastAsia="方正仿宋_GBK"/>
          <w:sz w:val="24"/>
          <w:szCs w:val="24"/>
        </w:rPr>
        <w:t>（二）其他资料（格式自定）</w:t>
      </w:r>
    </w:p>
    <w:p w14:paraId="12F4CBB0">
      <w:pPr>
        <w:pStyle w:val="2"/>
        <w:adjustRightInd w:val="0"/>
        <w:snapToGrid w:val="0"/>
        <w:spacing w:before="0" w:after="0" w:line="400" w:lineRule="exact"/>
        <w:ind w:firstLine="640" w:firstLineChars="200"/>
        <w:rPr>
          <w:rFonts w:ascii="方正仿宋_GBK" w:hAnsi="宋体" w:eastAsia="方正仿宋_GBK"/>
          <w:sz w:val="24"/>
        </w:rPr>
      </w:pPr>
      <w:r>
        <w:rPr>
          <w:rFonts w:ascii="方正仿宋_GBK" w:eastAsia="方正仿宋_GBK"/>
          <w:b w:val="0"/>
        </w:rPr>
        <w:br w:type="page"/>
      </w:r>
      <w:bookmarkStart w:id="174" w:name="_Toc76462352"/>
      <w:bookmarkStart w:id="175" w:name="_Toc313008358"/>
      <w:bookmarkStart w:id="176" w:name="_Toc106030908"/>
      <w:bookmarkStart w:id="177" w:name="_Toc342913421"/>
      <w:bookmarkStart w:id="178" w:name="_Toc313888362"/>
      <w:r>
        <w:rPr>
          <w:rFonts w:hint="eastAsia" w:ascii="方正仿宋_GBK" w:hAnsi="宋体" w:eastAsia="方正仿宋_GBK"/>
          <w:sz w:val="24"/>
        </w:rPr>
        <w:t>三、商务部分</w:t>
      </w:r>
      <w:bookmarkEnd w:id="174"/>
      <w:bookmarkEnd w:id="175"/>
      <w:bookmarkEnd w:id="176"/>
      <w:bookmarkEnd w:id="177"/>
      <w:bookmarkEnd w:id="178"/>
    </w:p>
    <w:p w14:paraId="26700FA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（一）商务响应偏离表                           </w:t>
      </w:r>
    </w:p>
    <w:p w14:paraId="18857FA5">
      <w:pPr>
        <w:snapToGrid w:val="0"/>
        <w:spacing w:line="400" w:lineRule="exact"/>
        <w:ind w:firstLine="480" w:firstLineChars="200"/>
        <w:rPr>
          <w:rFonts w:ascii="方正仿宋_GBK" w:hAnsi="宋体" w:eastAsia="方正仿宋_GBK"/>
          <w:sz w:val="24"/>
          <w:szCs w:val="24"/>
        </w:rPr>
      </w:pPr>
    </w:p>
    <w:p w14:paraId="7B0F9F3D">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项目名称： </w:t>
      </w:r>
    </w:p>
    <w:tbl>
      <w:tblPr>
        <w:tblStyle w:val="15"/>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6E35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31A3B56B">
            <w:pPr>
              <w:snapToGrid w:val="0"/>
              <w:spacing w:line="360" w:lineRule="auto"/>
              <w:ind w:firstLine="465"/>
              <w:rPr>
                <w:rFonts w:ascii="方正仿宋_GBK" w:hAnsi="宋体" w:eastAsia="方正仿宋_GBK"/>
                <w:sz w:val="21"/>
                <w:szCs w:val="24"/>
              </w:rPr>
            </w:pPr>
            <w:r>
              <w:rPr>
                <w:rFonts w:hint="eastAsia" w:ascii="方正仿宋_GBK" w:hAnsi="宋体" w:eastAsia="方正仿宋_GBK"/>
                <w:sz w:val="21"/>
                <w:szCs w:val="24"/>
              </w:rPr>
              <w:t>序号</w:t>
            </w:r>
          </w:p>
        </w:tc>
        <w:tc>
          <w:tcPr>
            <w:tcW w:w="3179" w:type="dxa"/>
            <w:vAlign w:val="center"/>
          </w:tcPr>
          <w:p w14:paraId="3840A1EB">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项目商务需求</w:t>
            </w:r>
          </w:p>
        </w:tc>
        <w:tc>
          <w:tcPr>
            <w:tcW w:w="2434" w:type="dxa"/>
            <w:vAlign w:val="center"/>
          </w:tcPr>
          <w:p w14:paraId="627D6919">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响应情况</w:t>
            </w:r>
          </w:p>
        </w:tc>
        <w:tc>
          <w:tcPr>
            <w:tcW w:w="2355" w:type="dxa"/>
            <w:vAlign w:val="center"/>
          </w:tcPr>
          <w:p w14:paraId="1BC6DE81">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偏离说明</w:t>
            </w:r>
          </w:p>
        </w:tc>
      </w:tr>
      <w:tr w14:paraId="762D7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E99AEB1">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1E565F80">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52475B23">
            <w:pPr>
              <w:tabs>
                <w:tab w:val="left" w:pos="6300"/>
              </w:tabs>
              <w:snapToGrid w:val="0"/>
              <w:spacing w:line="360" w:lineRule="auto"/>
              <w:outlineLvl w:val="0"/>
              <w:rPr>
                <w:rFonts w:ascii="方正仿宋_GBK" w:hAnsi="宋体" w:eastAsia="方正仿宋_GBK"/>
                <w:sz w:val="21"/>
                <w:szCs w:val="24"/>
              </w:rPr>
            </w:pPr>
            <w:r>
              <w:rPr>
                <w:rFonts w:ascii="方正仿宋_GBK" w:hAnsi="仿宋" w:eastAsia="方正仿宋_GBK"/>
                <w:sz w:val="21"/>
                <w:szCs w:val="21"/>
              </w:rPr>
              <w:t>提醒</w:t>
            </w:r>
            <w:r>
              <w:rPr>
                <w:rFonts w:hint="eastAsia" w:ascii="方正仿宋_GBK" w:hAnsi="仿宋" w:eastAsia="方正仿宋_GBK"/>
                <w:sz w:val="21"/>
                <w:szCs w:val="21"/>
              </w:rPr>
              <w:t>：</w:t>
            </w:r>
            <w:r>
              <w:rPr>
                <w:rFonts w:ascii="方正仿宋_GBK" w:hAnsi="仿宋" w:eastAsia="方正仿宋_GBK"/>
                <w:sz w:val="21"/>
                <w:szCs w:val="21"/>
              </w:rPr>
              <w:t>请注明具体内容以及</w:t>
            </w:r>
            <w:r>
              <w:rPr>
                <w:rFonts w:hint="eastAsia" w:ascii="方正仿宋_GBK" w:hAnsi="仿宋" w:eastAsia="方正仿宋_GBK"/>
                <w:sz w:val="21"/>
                <w:szCs w:val="21"/>
              </w:rPr>
              <w:t>响应文件</w:t>
            </w:r>
            <w:r>
              <w:rPr>
                <w:rFonts w:ascii="方正仿宋_GBK" w:hAnsi="仿宋" w:eastAsia="方正仿宋_GBK"/>
                <w:sz w:val="21"/>
                <w:szCs w:val="21"/>
              </w:rPr>
              <w:t>中</w:t>
            </w:r>
            <w:r>
              <w:rPr>
                <w:rFonts w:hint="eastAsia" w:ascii="方正仿宋_GBK" w:hAnsi="仿宋" w:eastAsia="方正仿宋_GBK"/>
                <w:sz w:val="21"/>
                <w:szCs w:val="21"/>
              </w:rPr>
              <w:t>具体</w:t>
            </w:r>
            <w:r>
              <w:rPr>
                <w:rFonts w:ascii="方正仿宋_GBK" w:hAnsi="仿宋" w:eastAsia="方正仿宋_GBK"/>
                <w:sz w:val="21"/>
                <w:szCs w:val="21"/>
              </w:rPr>
              <w:t>内容</w:t>
            </w:r>
            <w:r>
              <w:rPr>
                <w:rFonts w:hint="eastAsia" w:ascii="方正仿宋_GBK" w:hAnsi="仿宋" w:eastAsia="方正仿宋_GBK"/>
                <w:sz w:val="21"/>
                <w:szCs w:val="21"/>
              </w:rPr>
              <w:t>的</w:t>
            </w:r>
            <w:r>
              <w:rPr>
                <w:rFonts w:ascii="方正仿宋_GBK" w:hAnsi="仿宋" w:eastAsia="方正仿宋_GBK"/>
                <w:sz w:val="21"/>
                <w:szCs w:val="21"/>
              </w:rPr>
              <w:t>位置（</w:t>
            </w:r>
            <w:r>
              <w:rPr>
                <w:rFonts w:hint="eastAsia" w:ascii="方正仿宋_GBK" w:hAnsi="仿宋" w:eastAsia="方正仿宋_GBK"/>
                <w:sz w:val="21"/>
                <w:szCs w:val="21"/>
              </w:rPr>
              <w:t>页码</w:t>
            </w:r>
            <w:r>
              <w:rPr>
                <w:rFonts w:ascii="方正仿宋_GBK" w:hAnsi="仿宋" w:eastAsia="方正仿宋_GBK"/>
                <w:sz w:val="21"/>
                <w:szCs w:val="21"/>
              </w:rPr>
              <w:t>）</w:t>
            </w:r>
          </w:p>
        </w:tc>
        <w:tc>
          <w:tcPr>
            <w:tcW w:w="2355" w:type="dxa"/>
            <w:vAlign w:val="center"/>
          </w:tcPr>
          <w:p w14:paraId="0B59BDBC">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仿宋" w:eastAsia="方正仿宋_GBK"/>
                <w:sz w:val="21"/>
                <w:szCs w:val="21"/>
              </w:rPr>
              <w:t>提醒：请注明响应情况与商务需求的差异情况：正偏离、负偏离或者无差异</w:t>
            </w:r>
          </w:p>
        </w:tc>
      </w:tr>
      <w:tr w14:paraId="7B076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03F4C00">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1BEA598F">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312A815A">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596C23B2">
            <w:pPr>
              <w:tabs>
                <w:tab w:val="left" w:pos="6300"/>
              </w:tabs>
              <w:snapToGrid w:val="0"/>
              <w:spacing w:line="360" w:lineRule="auto"/>
              <w:jc w:val="center"/>
              <w:outlineLvl w:val="0"/>
              <w:rPr>
                <w:rFonts w:ascii="方正仿宋_GBK" w:hAnsi="宋体" w:eastAsia="方正仿宋_GBK"/>
                <w:sz w:val="21"/>
                <w:szCs w:val="24"/>
              </w:rPr>
            </w:pPr>
          </w:p>
        </w:tc>
      </w:tr>
      <w:tr w14:paraId="02D65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769130A">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139930F8">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400819D7">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7EE37A10">
            <w:pPr>
              <w:tabs>
                <w:tab w:val="left" w:pos="6300"/>
              </w:tabs>
              <w:snapToGrid w:val="0"/>
              <w:spacing w:line="360" w:lineRule="auto"/>
              <w:jc w:val="center"/>
              <w:outlineLvl w:val="0"/>
              <w:rPr>
                <w:rFonts w:ascii="方正仿宋_GBK" w:hAnsi="宋体" w:eastAsia="方正仿宋_GBK"/>
                <w:sz w:val="21"/>
                <w:szCs w:val="24"/>
              </w:rPr>
            </w:pPr>
          </w:p>
        </w:tc>
      </w:tr>
      <w:tr w14:paraId="64C86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67EDFF5">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335A7264">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52412195">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299A6ED6">
            <w:pPr>
              <w:tabs>
                <w:tab w:val="left" w:pos="6300"/>
              </w:tabs>
              <w:snapToGrid w:val="0"/>
              <w:spacing w:line="360" w:lineRule="auto"/>
              <w:jc w:val="center"/>
              <w:outlineLvl w:val="0"/>
              <w:rPr>
                <w:rFonts w:ascii="方正仿宋_GBK" w:hAnsi="宋体" w:eastAsia="方正仿宋_GBK"/>
                <w:sz w:val="21"/>
                <w:szCs w:val="24"/>
              </w:rPr>
            </w:pPr>
          </w:p>
        </w:tc>
      </w:tr>
      <w:tr w14:paraId="5A230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92EAE9A">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64CFF60D">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219A478F">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16CB9A1D">
            <w:pPr>
              <w:tabs>
                <w:tab w:val="left" w:pos="6300"/>
              </w:tabs>
              <w:snapToGrid w:val="0"/>
              <w:spacing w:line="360" w:lineRule="auto"/>
              <w:jc w:val="center"/>
              <w:outlineLvl w:val="0"/>
              <w:rPr>
                <w:rFonts w:ascii="方正仿宋_GBK" w:hAnsi="宋体" w:eastAsia="方正仿宋_GBK"/>
                <w:sz w:val="21"/>
                <w:szCs w:val="24"/>
              </w:rPr>
            </w:pPr>
          </w:p>
        </w:tc>
      </w:tr>
      <w:tr w14:paraId="7B423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D5E12FE">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1D0D7814">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38A5ABC5">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3C31548F">
            <w:pPr>
              <w:tabs>
                <w:tab w:val="left" w:pos="6300"/>
              </w:tabs>
              <w:snapToGrid w:val="0"/>
              <w:spacing w:line="360" w:lineRule="auto"/>
              <w:jc w:val="center"/>
              <w:outlineLvl w:val="0"/>
              <w:rPr>
                <w:rFonts w:ascii="方正仿宋_GBK" w:hAnsi="宋体" w:eastAsia="方正仿宋_GBK"/>
                <w:sz w:val="21"/>
                <w:szCs w:val="24"/>
              </w:rPr>
            </w:pPr>
          </w:p>
        </w:tc>
      </w:tr>
    </w:tbl>
    <w:p w14:paraId="74B3FF48">
      <w:pPr>
        <w:snapToGrid w:val="0"/>
        <w:spacing w:line="360" w:lineRule="auto"/>
        <w:ind w:firstLine="465"/>
        <w:rPr>
          <w:rFonts w:ascii="方正仿宋_GBK" w:hAnsi="宋体" w:eastAsia="方正仿宋_GBK"/>
          <w:sz w:val="24"/>
          <w:szCs w:val="24"/>
        </w:rPr>
      </w:pPr>
    </w:p>
    <w:p w14:paraId="6F622330">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14:paraId="7DE4BC6F">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5EDC07C6">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14:paraId="4126534C">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6F0DC2DD">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269ADF93">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14:paraId="4DBC069B">
      <w:pPr>
        <w:snapToGrid w:val="0"/>
        <w:spacing w:line="400" w:lineRule="exact"/>
        <w:ind w:firstLine="480" w:firstLineChars="200"/>
        <w:rPr>
          <w:rFonts w:ascii="方正仿宋_GBK" w:eastAsia="方正仿宋_GBK"/>
          <w:b/>
        </w:rPr>
        <w:sectPr>
          <w:headerReference r:id="rId13" w:type="default"/>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rPr>
        <w:t>2.本表可扩展。</w:t>
      </w:r>
    </w:p>
    <w:p w14:paraId="5C2A6DF6">
      <w:pPr>
        <w:snapToGrid w:val="0"/>
        <w:spacing w:line="400" w:lineRule="exact"/>
        <w:ind w:firstLine="480" w:firstLineChars="200"/>
        <w:rPr>
          <w:rFonts w:ascii="方正仿宋_GBK" w:hAnsi="宋体" w:eastAsia="方正仿宋_GBK"/>
          <w:sz w:val="24"/>
          <w:szCs w:val="24"/>
        </w:rPr>
      </w:pPr>
      <w:bookmarkStart w:id="179" w:name="_Toc283382459"/>
      <w:r>
        <w:rPr>
          <w:rFonts w:hint="eastAsia" w:ascii="方正仿宋_GBK" w:hAnsi="宋体" w:eastAsia="方正仿宋_GBK"/>
          <w:sz w:val="24"/>
          <w:szCs w:val="24"/>
        </w:rPr>
        <w:t>（二）其它优惠承诺（格式自定）</w:t>
      </w:r>
    </w:p>
    <w:p w14:paraId="1FFF9BC2">
      <w:pPr>
        <w:snapToGrid w:val="0"/>
        <w:spacing w:line="400" w:lineRule="exact"/>
        <w:ind w:firstLine="480" w:firstLineChars="200"/>
        <w:rPr>
          <w:rFonts w:ascii="方正仿宋_GBK" w:hAnsi="宋体" w:eastAsia="方正仿宋_GBK"/>
          <w:sz w:val="24"/>
          <w:szCs w:val="24"/>
        </w:rPr>
      </w:pPr>
    </w:p>
    <w:p w14:paraId="0F11149D">
      <w:pPr>
        <w:pStyle w:val="2"/>
        <w:adjustRightInd w:val="0"/>
        <w:snapToGrid w:val="0"/>
        <w:spacing w:before="0" w:after="0" w:line="400" w:lineRule="exact"/>
        <w:ind w:firstLine="480" w:firstLineChars="200"/>
        <w:rPr>
          <w:rFonts w:ascii="方正仿宋_GBK" w:hAnsi="宋体" w:eastAsia="方正仿宋_GBK"/>
          <w:sz w:val="24"/>
        </w:rPr>
      </w:pPr>
      <w:r>
        <w:rPr>
          <w:rFonts w:ascii="方正仿宋_GBK" w:hAnsi="宋体" w:eastAsia="方正仿宋_GBK"/>
          <w:sz w:val="24"/>
          <w:szCs w:val="24"/>
        </w:rPr>
        <w:br w:type="page"/>
      </w:r>
      <w:bookmarkEnd w:id="179"/>
      <w:bookmarkStart w:id="180" w:name="_Toc76462353"/>
      <w:bookmarkStart w:id="181" w:name="_Toc106030909"/>
      <w:bookmarkStart w:id="182" w:name="_Toc313008359"/>
      <w:bookmarkStart w:id="183" w:name="_Toc342913422"/>
      <w:bookmarkStart w:id="184" w:name="_Toc313888363"/>
      <w:r>
        <w:rPr>
          <w:rFonts w:hint="eastAsia" w:ascii="方正仿宋_GBK" w:hAnsi="宋体" w:eastAsia="方正仿宋_GBK"/>
          <w:sz w:val="24"/>
        </w:rPr>
        <w:t>四、资格条件</w:t>
      </w:r>
      <w:bookmarkEnd w:id="180"/>
      <w:bookmarkEnd w:id="181"/>
      <w:bookmarkEnd w:id="182"/>
      <w:bookmarkEnd w:id="183"/>
      <w:bookmarkEnd w:id="184"/>
    </w:p>
    <w:p w14:paraId="251D90BD">
      <w:pPr>
        <w:tabs>
          <w:tab w:val="left" w:pos="6300"/>
        </w:tabs>
        <w:snapToGrid w:val="0"/>
        <w:spacing w:line="400" w:lineRule="exact"/>
        <w:ind w:firstLine="57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14:paraId="3059A45A">
      <w:pPr>
        <w:tabs>
          <w:tab w:val="left" w:pos="6300"/>
        </w:tabs>
        <w:snapToGrid w:val="0"/>
        <w:spacing w:line="400" w:lineRule="exact"/>
        <w:ind w:firstLine="570"/>
        <w:rPr>
          <w:rFonts w:ascii="方正仿宋_GBK" w:hAnsi="宋体" w:eastAsia="方正仿宋_GBK"/>
        </w:rPr>
      </w:pPr>
    </w:p>
    <w:p w14:paraId="7F96BAF8">
      <w:pPr>
        <w:tabs>
          <w:tab w:val="left" w:pos="6300"/>
        </w:tabs>
        <w:snapToGrid w:val="0"/>
        <w:spacing w:line="500" w:lineRule="exact"/>
        <w:ind w:firstLine="570"/>
        <w:rPr>
          <w:rFonts w:ascii="方正仿宋_GBK" w:hAnsi="宋体" w:eastAsia="方正仿宋_GBK"/>
        </w:rPr>
      </w:pPr>
    </w:p>
    <w:p w14:paraId="21F87F87">
      <w:pPr>
        <w:tabs>
          <w:tab w:val="left" w:pos="6300"/>
        </w:tabs>
        <w:snapToGrid w:val="0"/>
        <w:spacing w:line="500" w:lineRule="exact"/>
        <w:ind w:firstLine="570"/>
        <w:rPr>
          <w:rFonts w:ascii="方正仿宋_GBK" w:hAnsi="宋体" w:eastAsia="方正仿宋_GBK"/>
        </w:rPr>
      </w:pPr>
    </w:p>
    <w:p w14:paraId="3553D8C1">
      <w:pPr>
        <w:tabs>
          <w:tab w:val="left" w:pos="6300"/>
        </w:tabs>
        <w:snapToGrid w:val="0"/>
        <w:spacing w:line="500" w:lineRule="exact"/>
        <w:ind w:firstLine="570"/>
        <w:rPr>
          <w:rFonts w:ascii="方正仿宋_GBK" w:hAnsi="宋体" w:eastAsia="方正仿宋_GBK"/>
        </w:rPr>
      </w:pPr>
    </w:p>
    <w:p w14:paraId="6DC4E77D">
      <w:pPr>
        <w:tabs>
          <w:tab w:val="left" w:pos="6300"/>
        </w:tabs>
        <w:snapToGrid w:val="0"/>
        <w:spacing w:line="500" w:lineRule="exact"/>
        <w:ind w:firstLine="570"/>
        <w:rPr>
          <w:rFonts w:ascii="方正仿宋_GBK" w:hAnsi="宋体" w:eastAsia="方正仿宋_GBK"/>
        </w:rPr>
      </w:pPr>
    </w:p>
    <w:p w14:paraId="24BD7669">
      <w:pPr>
        <w:snapToGrid w:val="0"/>
        <w:spacing w:line="400" w:lineRule="exact"/>
        <w:ind w:firstLine="560" w:firstLineChars="200"/>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52437817">
      <w:pPr>
        <w:tabs>
          <w:tab w:val="left" w:pos="6300"/>
        </w:tabs>
        <w:snapToGrid w:val="0"/>
        <w:spacing w:line="500" w:lineRule="exact"/>
        <w:ind w:firstLine="570"/>
        <w:rPr>
          <w:rFonts w:ascii="方正仿宋_GBK" w:hAnsi="宋体" w:eastAsia="方正仿宋_GBK"/>
          <w:sz w:val="24"/>
        </w:rPr>
      </w:pPr>
    </w:p>
    <w:p w14:paraId="5D35025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4733F981">
      <w:pPr>
        <w:tabs>
          <w:tab w:val="left" w:pos="6300"/>
        </w:tabs>
        <w:snapToGrid w:val="0"/>
        <w:spacing w:line="500" w:lineRule="exact"/>
        <w:ind w:firstLine="570"/>
        <w:rPr>
          <w:rFonts w:ascii="方正仿宋_GBK" w:hAnsi="宋体" w:eastAsia="方正仿宋_GBK"/>
          <w:sz w:val="24"/>
        </w:rPr>
      </w:pPr>
    </w:p>
    <w:p w14:paraId="1F57A859">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（采购代理机构名称）：</w:t>
      </w:r>
    </w:p>
    <w:p w14:paraId="485AA9FD">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3520E8EA">
      <w:pPr>
        <w:tabs>
          <w:tab w:val="left" w:pos="6300"/>
        </w:tabs>
        <w:snapToGrid w:val="0"/>
        <w:spacing w:line="500" w:lineRule="exact"/>
        <w:ind w:firstLine="570"/>
        <w:rPr>
          <w:rFonts w:ascii="方正仿宋_GBK" w:hAnsi="宋体" w:eastAsia="方正仿宋_GBK"/>
          <w:sz w:val="24"/>
        </w:rPr>
      </w:pPr>
    </w:p>
    <w:p w14:paraId="4AD93D9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14:paraId="06D87640">
      <w:pPr>
        <w:tabs>
          <w:tab w:val="left" w:pos="6300"/>
        </w:tabs>
        <w:snapToGrid w:val="0"/>
        <w:spacing w:line="500" w:lineRule="exact"/>
        <w:ind w:firstLine="570"/>
        <w:rPr>
          <w:rFonts w:ascii="方正仿宋_GBK" w:hAnsi="宋体" w:eastAsia="方正仿宋_GBK"/>
          <w:sz w:val="24"/>
        </w:rPr>
      </w:pPr>
    </w:p>
    <w:p w14:paraId="7235A075">
      <w:pPr>
        <w:tabs>
          <w:tab w:val="left" w:pos="6300"/>
        </w:tabs>
        <w:snapToGrid w:val="0"/>
        <w:spacing w:line="500" w:lineRule="exact"/>
        <w:ind w:firstLine="570"/>
        <w:rPr>
          <w:rFonts w:ascii="方正仿宋_GBK" w:hAnsi="宋体" w:eastAsia="方正仿宋_GBK"/>
          <w:sz w:val="24"/>
        </w:rPr>
      </w:pPr>
    </w:p>
    <w:p w14:paraId="46548D57">
      <w:pPr>
        <w:tabs>
          <w:tab w:val="left" w:pos="6300"/>
        </w:tabs>
        <w:snapToGrid w:val="0"/>
        <w:spacing w:line="500" w:lineRule="exact"/>
        <w:ind w:firstLine="570"/>
        <w:rPr>
          <w:rFonts w:ascii="方正仿宋_GBK" w:hAnsi="宋体" w:eastAsia="方正仿宋_GBK"/>
          <w:sz w:val="24"/>
        </w:rPr>
      </w:pPr>
    </w:p>
    <w:p w14:paraId="3B3A7A1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14:paraId="265F71B4">
      <w:pPr>
        <w:tabs>
          <w:tab w:val="left" w:pos="6300"/>
        </w:tabs>
        <w:snapToGrid w:val="0"/>
        <w:spacing w:line="500" w:lineRule="exact"/>
        <w:ind w:firstLine="570"/>
        <w:rPr>
          <w:rFonts w:ascii="方正仿宋_GBK" w:hAnsi="宋体" w:eastAsia="方正仿宋_GBK"/>
          <w:sz w:val="24"/>
        </w:rPr>
      </w:pPr>
    </w:p>
    <w:p w14:paraId="63F8A7C5">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14:paraId="1031CAAE">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047BCE42">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14:paraId="32536B0A">
      <w:pPr>
        <w:tabs>
          <w:tab w:val="left" w:pos="6300"/>
        </w:tabs>
        <w:snapToGrid w:val="0"/>
        <w:spacing w:line="500" w:lineRule="exact"/>
        <w:ind w:firstLine="570"/>
        <w:rPr>
          <w:rFonts w:ascii="方正仿宋_GBK" w:hAnsi="宋体" w:eastAsia="方正仿宋_GBK"/>
          <w:sz w:val="24"/>
        </w:rPr>
      </w:pPr>
    </w:p>
    <w:p w14:paraId="764105A8">
      <w:pPr>
        <w:tabs>
          <w:tab w:val="left" w:pos="6300"/>
        </w:tabs>
        <w:snapToGrid w:val="0"/>
        <w:spacing w:line="500" w:lineRule="exact"/>
        <w:ind w:firstLine="570"/>
        <w:rPr>
          <w:rFonts w:ascii="方正仿宋_GBK" w:hAnsi="宋体" w:eastAsia="方正仿宋_GBK"/>
          <w:sz w:val="24"/>
        </w:rPr>
      </w:pPr>
    </w:p>
    <w:p w14:paraId="4C7D0870">
      <w:pPr>
        <w:tabs>
          <w:tab w:val="left" w:pos="6300"/>
        </w:tabs>
        <w:snapToGrid w:val="0"/>
        <w:spacing w:line="500" w:lineRule="exact"/>
        <w:ind w:firstLine="570"/>
        <w:rPr>
          <w:rFonts w:ascii="方正仿宋_GBK" w:hAnsi="宋体" w:eastAsia="方正仿宋_GBK"/>
          <w:sz w:val="24"/>
        </w:rPr>
      </w:pPr>
    </w:p>
    <w:p w14:paraId="056020D4">
      <w:pPr>
        <w:tabs>
          <w:tab w:val="left" w:pos="6300"/>
        </w:tabs>
        <w:snapToGrid w:val="0"/>
        <w:spacing w:line="500" w:lineRule="exact"/>
        <w:ind w:firstLine="570"/>
        <w:rPr>
          <w:rFonts w:ascii="方正仿宋_GBK" w:hAnsi="宋体" w:eastAsia="方正仿宋_GBK"/>
          <w:sz w:val="24"/>
        </w:rPr>
      </w:pPr>
    </w:p>
    <w:p w14:paraId="30B55A92">
      <w:pPr>
        <w:tabs>
          <w:tab w:val="left" w:pos="6300"/>
        </w:tabs>
        <w:snapToGrid w:val="0"/>
        <w:spacing w:line="500" w:lineRule="exact"/>
        <w:ind w:firstLine="570"/>
        <w:rPr>
          <w:rFonts w:ascii="方正仿宋_GBK" w:hAnsi="宋体" w:eastAsia="方正仿宋_GBK"/>
          <w:sz w:val="24"/>
        </w:rPr>
      </w:pPr>
    </w:p>
    <w:p w14:paraId="4DB29255">
      <w:pPr>
        <w:tabs>
          <w:tab w:val="left" w:pos="6300"/>
        </w:tabs>
        <w:snapToGrid w:val="0"/>
        <w:spacing w:line="500" w:lineRule="exact"/>
        <w:ind w:firstLine="570"/>
        <w:rPr>
          <w:rFonts w:ascii="方正仿宋_GBK" w:hAnsi="宋体" w:eastAsia="方正仿宋_GBK"/>
          <w:sz w:val="24"/>
        </w:rPr>
      </w:pPr>
    </w:p>
    <w:p w14:paraId="6FA72146">
      <w:pPr>
        <w:snapToGrid w:val="0"/>
        <w:spacing w:line="400" w:lineRule="exact"/>
        <w:ind w:firstLine="560" w:firstLineChars="200"/>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25640239">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5D959E7F">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5802E105">
      <w:pPr>
        <w:tabs>
          <w:tab w:val="left" w:pos="6300"/>
        </w:tabs>
        <w:snapToGrid w:val="0"/>
        <w:spacing w:line="500" w:lineRule="exact"/>
        <w:ind w:firstLine="570"/>
        <w:rPr>
          <w:rFonts w:ascii="方正仿宋_GBK" w:hAnsi="宋体" w:eastAsia="方正仿宋_GBK"/>
          <w:sz w:val="24"/>
        </w:rPr>
      </w:pPr>
    </w:p>
    <w:p w14:paraId="30839CD7">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14:paraId="318E811C">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（被授权人姓名及身份证代码）代表我单位全权办理上述项目的竞争、签约等具体工作，并签署全部有关文件、协议及合同。</w:t>
      </w:r>
    </w:p>
    <w:p w14:paraId="6440B358">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1A2520E0">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668BCC08">
      <w:pPr>
        <w:tabs>
          <w:tab w:val="left" w:pos="6300"/>
        </w:tabs>
        <w:snapToGrid w:val="0"/>
        <w:spacing w:line="500" w:lineRule="exact"/>
        <w:ind w:firstLine="570"/>
        <w:rPr>
          <w:rFonts w:ascii="方正仿宋_GBK" w:hAnsi="宋体" w:eastAsia="方正仿宋_GBK"/>
          <w:sz w:val="24"/>
        </w:rPr>
      </w:pPr>
    </w:p>
    <w:p w14:paraId="68C0E612">
      <w:pPr>
        <w:tabs>
          <w:tab w:val="left" w:pos="6300"/>
        </w:tabs>
        <w:snapToGrid w:val="0"/>
        <w:spacing w:line="500" w:lineRule="exact"/>
        <w:ind w:firstLine="570"/>
        <w:rPr>
          <w:rFonts w:ascii="方正仿宋_GBK" w:hAnsi="宋体" w:eastAsia="方正仿宋_GBK"/>
          <w:sz w:val="24"/>
        </w:rPr>
      </w:pPr>
    </w:p>
    <w:p w14:paraId="4848946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14:paraId="74DA8F77">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14:paraId="1FFC62AE">
      <w:pPr>
        <w:tabs>
          <w:tab w:val="left" w:pos="6300"/>
        </w:tabs>
        <w:snapToGrid w:val="0"/>
        <w:spacing w:line="500" w:lineRule="exact"/>
        <w:ind w:firstLine="570"/>
        <w:rPr>
          <w:rFonts w:ascii="方正仿宋_GBK" w:hAnsi="宋体" w:eastAsia="方正仿宋_GBK"/>
          <w:sz w:val="24"/>
          <w:szCs w:val="28"/>
        </w:rPr>
      </w:pPr>
    </w:p>
    <w:p w14:paraId="2E27BCCC">
      <w:pPr>
        <w:tabs>
          <w:tab w:val="left" w:pos="6300"/>
        </w:tabs>
        <w:snapToGrid w:val="0"/>
        <w:spacing w:line="500" w:lineRule="exact"/>
        <w:ind w:firstLine="570"/>
        <w:rPr>
          <w:rFonts w:ascii="方正仿宋_GBK" w:hAnsi="宋体" w:eastAsia="方正仿宋_GBK"/>
          <w:sz w:val="24"/>
        </w:rPr>
      </w:pPr>
    </w:p>
    <w:p w14:paraId="51623E91">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3249FC1E">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758676B3">
      <w:pPr>
        <w:tabs>
          <w:tab w:val="left" w:pos="6300"/>
        </w:tabs>
        <w:snapToGrid w:val="0"/>
        <w:spacing w:line="500" w:lineRule="exact"/>
        <w:ind w:firstLine="570"/>
        <w:rPr>
          <w:rFonts w:ascii="方正仿宋_GBK" w:hAnsi="宋体" w:eastAsia="方正仿宋_GBK"/>
          <w:sz w:val="24"/>
        </w:rPr>
      </w:pPr>
    </w:p>
    <w:p w14:paraId="187C2FE8">
      <w:pPr>
        <w:tabs>
          <w:tab w:val="left" w:pos="6300"/>
        </w:tabs>
        <w:snapToGrid w:val="0"/>
        <w:spacing w:line="500" w:lineRule="exact"/>
        <w:ind w:firstLine="570"/>
        <w:rPr>
          <w:rFonts w:ascii="方正仿宋_GBK" w:hAnsi="宋体" w:eastAsia="方正仿宋_GBK"/>
          <w:sz w:val="24"/>
        </w:rPr>
      </w:pPr>
    </w:p>
    <w:p w14:paraId="0F3BC6E3">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14:paraId="44F97D69">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14:paraId="3422E594">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14:paraId="34A9123A">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w:t>
      </w:r>
    </w:p>
    <w:p w14:paraId="3FC77412">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1.若为法定代表人办理并签署响应文件的，不提供此文件。</w:t>
      </w:r>
    </w:p>
    <w:p w14:paraId="0D1ACB24">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14:paraId="1D320389">
      <w:pPr>
        <w:tabs>
          <w:tab w:val="left" w:pos="6300"/>
        </w:tabs>
        <w:snapToGrid w:val="0"/>
        <w:spacing w:line="500" w:lineRule="exact"/>
        <w:ind w:firstLine="570"/>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w:t>
      </w:r>
      <w:r>
        <w:rPr>
          <w:rFonts w:hint="eastAsia" w:ascii="方正仿宋_GBK" w:hAnsi="宋体" w:eastAsia="方正仿宋_GBK"/>
          <w:sz w:val="24"/>
          <w:szCs w:val="28"/>
        </w:rPr>
        <w:t>基本资格条件承诺函</w:t>
      </w:r>
    </w:p>
    <w:p w14:paraId="4C6B96B0">
      <w:pPr>
        <w:tabs>
          <w:tab w:val="left" w:pos="6300"/>
        </w:tabs>
        <w:snapToGrid w:val="0"/>
        <w:spacing w:line="500" w:lineRule="exact"/>
        <w:ind w:firstLine="640"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09CEF68C">
      <w:pPr>
        <w:tabs>
          <w:tab w:val="left" w:pos="6300"/>
        </w:tabs>
        <w:snapToGrid w:val="0"/>
        <w:spacing w:line="530" w:lineRule="exact"/>
        <w:rPr>
          <w:sz w:val="24"/>
        </w:rPr>
      </w:pPr>
    </w:p>
    <w:p w14:paraId="24B815CF">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（采购人或采购代理机构名称）：</w:t>
      </w:r>
    </w:p>
    <w:p w14:paraId="0122ED95">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7A92DDEE">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47F3E20B">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14:paraId="638CF1B1">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14:paraId="164BD726">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14:paraId="6B97F80A">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14:paraId="2E0459E1">
      <w:pPr>
        <w:tabs>
          <w:tab w:val="left" w:pos="6300"/>
        </w:tabs>
        <w:snapToGrid w:val="0"/>
        <w:spacing w:line="500" w:lineRule="exact"/>
        <w:ind w:firstLine="480" w:firstLineChars="200"/>
        <w:rPr>
          <w:rFonts w:ascii="方正仿宋_GBK" w:hAnsi="仿宋" w:eastAsia="方正仿宋_GBK"/>
          <w:sz w:val="24"/>
        </w:rPr>
      </w:pPr>
    </w:p>
    <w:p w14:paraId="0834C653">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14:paraId="334F2F31">
      <w:pPr>
        <w:tabs>
          <w:tab w:val="left" w:pos="6300"/>
        </w:tabs>
        <w:snapToGrid w:val="0"/>
        <w:spacing w:line="500" w:lineRule="exact"/>
        <w:ind w:firstLine="7920" w:firstLineChars="3300"/>
        <w:rPr>
          <w:rFonts w:ascii="方正仿宋_GBK" w:hAnsi="宋体" w:eastAsia="方正仿宋_GBK"/>
          <w:sz w:val="24"/>
          <w:szCs w:val="24"/>
        </w:rPr>
      </w:pPr>
      <w:r>
        <w:rPr>
          <w:rFonts w:hint="eastAsia" w:ascii="方正仿宋_GBK" w:hAnsi="仿宋" w:eastAsia="方正仿宋_GBK"/>
          <w:sz w:val="24"/>
        </w:rPr>
        <w:t>年   月   日</w:t>
      </w:r>
    </w:p>
    <w:p w14:paraId="21087520">
      <w:pPr>
        <w:snapToGrid w:val="0"/>
        <w:spacing w:line="400" w:lineRule="exact"/>
        <w:ind w:firstLine="560" w:firstLineChars="200"/>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（五）特定资格条件证明文件</w:t>
      </w:r>
    </w:p>
    <w:p w14:paraId="1006BD0D">
      <w:pPr>
        <w:tabs>
          <w:tab w:val="left" w:pos="6300"/>
        </w:tabs>
        <w:snapToGrid w:val="0"/>
        <w:spacing w:line="400" w:lineRule="exact"/>
        <w:ind w:firstLine="480" w:firstLineChars="200"/>
        <w:rPr>
          <w:rFonts w:ascii="方正仿宋_GBK" w:hAnsi="宋体" w:eastAsia="方正仿宋_GBK"/>
          <w:sz w:val="24"/>
          <w:szCs w:val="24"/>
        </w:rPr>
      </w:pPr>
    </w:p>
    <w:p w14:paraId="761339C4">
      <w:pPr>
        <w:pStyle w:val="2"/>
        <w:adjustRightInd w:val="0"/>
        <w:snapToGrid w:val="0"/>
        <w:spacing w:before="0" w:after="0" w:line="400" w:lineRule="exact"/>
        <w:ind w:firstLine="560" w:firstLineChars="200"/>
        <w:rPr>
          <w:rFonts w:ascii="方正仿宋_GBK" w:hAnsi="宋体" w:eastAsia="方正仿宋_GBK"/>
          <w:sz w:val="24"/>
        </w:rPr>
      </w:pPr>
      <w:bookmarkStart w:id="185" w:name="_Toc14422"/>
      <w:r>
        <w:rPr>
          <w:rFonts w:ascii="方正仿宋_GBK" w:hAnsi="宋体" w:eastAsia="方正仿宋_GBK"/>
          <w:b w:val="0"/>
          <w:sz w:val="28"/>
        </w:rPr>
        <w:br w:type="page"/>
      </w:r>
      <w:bookmarkStart w:id="186" w:name="_Toc76462354"/>
      <w:bookmarkStart w:id="187" w:name="_Toc106030910"/>
      <w:r>
        <w:rPr>
          <w:rFonts w:hint="eastAsia" w:ascii="方正仿宋_GBK" w:hAnsi="宋体" w:eastAsia="方正仿宋_GBK"/>
          <w:sz w:val="24"/>
        </w:rPr>
        <w:t>五、其他资料</w:t>
      </w:r>
      <w:bookmarkEnd w:id="185"/>
      <w:bookmarkEnd w:id="186"/>
      <w:bookmarkEnd w:id="187"/>
    </w:p>
    <w:p w14:paraId="11E08D7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（一）其他与项目有关的资料（自附） </w:t>
      </w:r>
    </w:p>
    <w:p w14:paraId="573CAE59">
      <w:pPr>
        <w:spacing w:line="360" w:lineRule="auto"/>
        <w:ind w:firstLine="480" w:firstLineChars="200"/>
        <w:rPr>
          <w:rFonts w:ascii="方正仿宋_GBK" w:hAnsi="宋体" w:eastAsia="方正仿宋_GBK"/>
          <w:sz w:val="24"/>
          <w:szCs w:val="24"/>
        </w:rPr>
      </w:pPr>
    </w:p>
    <w:p w14:paraId="31468722">
      <w:pPr>
        <w:spacing w:line="360" w:lineRule="auto"/>
        <w:ind w:firstLine="480" w:firstLineChars="200"/>
        <w:jc w:val="center"/>
        <w:rPr>
          <w:rFonts w:ascii="方正仿宋_GBK" w:hAnsi="宋体" w:eastAsia="方正仿宋_GBK"/>
          <w:sz w:val="24"/>
          <w:szCs w:val="24"/>
        </w:rPr>
      </w:pPr>
    </w:p>
    <w:p w14:paraId="1D6A74E0">
      <w:pPr>
        <w:spacing w:line="360" w:lineRule="auto"/>
        <w:ind w:firstLine="480" w:firstLineChars="200"/>
        <w:jc w:val="center"/>
        <w:rPr>
          <w:rFonts w:ascii="方正仿宋_GBK" w:hAnsi="宋体" w:eastAsia="方正仿宋_GBK"/>
          <w:sz w:val="24"/>
          <w:szCs w:val="24"/>
        </w:rPr>
      </w:pPr>
    </w:p>
    <w:p w14:paraId="42302ED0">
      <w:pPr>
        <w:spacing w:line="360" w:lineRule="auto"/>
        <w:ind w:firstLine="480" w:firstLineChars="200"/>
        <w:jc w:val="center"/>
        <w:rPr>
          <w:rFonts w:ascii="方正仿宋_GBK" w:hAnsi="宋体" w:eastAsia="方正仿宋_GBK"/>
          <w:sz w:val="24"/>
          <w:szCs w:val="24"/>
        </w:rPr>
      </w:pPr>
    </w:p>
    <w:p w14:paraId="03B3B81C">
      <w:pPr>
        <w:spacing w:line="360" w:lineRule="auto"/>
        <w:ind w:firstLine="480" w:firstLineChars="200"/>
        <w:jc w:val="center"/>
        <w:rPr>
          <w:rFonts w:ascii="方正仿宋_GBK" w:hAnsi="宋体" w:eastAsia="方正仿宋_GBK"/>
          <w:sz w:val="24"/>
          <w:szCs w:val="24"/>
        </w:rPr>
      </w:pPr>
    </w:p>
    <w:p w14:paraId="4E38DDD7">
      <w:pPr>
        <w:spacing w:line="360" w:lineRule="auto"/>
        <w:ind w:firstLine="480" w:firstLineChars="200"/>
        <w:jc w:val="center"/>
        <w:rPr>
          <w:rFonts w:ascii="方正仿宋_GBK" w:hAnsi="宋体" w:eastAsia="方正仿宋_GBK"/>
          <w:sz w:val="24"/>
          <w:szCs w:val="24"/>
        </w:rPr>
      </w:pPr>
    </w:p>
    <w:p w14:paraId="43634457">
      <w:pPr>
        <w:spacing w:line="360" w:lineRule="auto"/>
        <w:ind w:firstLine="480" w:firstLineChars="200"/>
        <w:jc w:val="center"/>
        <w:rPr>
          <w:rFonts w:ascii="方正仿宋_GBK" w:hAnsi="宋体" w:eastAsia="方正仿宋_GBK"/>
          <w:sz w:val="24"/>
          <w:szCs w:val="24"/>
        </w:rPr>
      </w:pPr>
    </w:p>
    <w:p w14:paraId="08769848">
      <w:pPr>
        <w:spacing w:line="360" w:lineRule="auto"/>
        <w:ind w:firstLine="480" w:firstLineChars="200"/>
        <w:jc w:val="center"/>
        <w:rPr>
          <w:rFonts w:ascii="方正仿宋_GBK" w:hAnsi="宋体" w:eastAsia="方正仿宋_GBK"/>
          <w:sz w:val="24"/>
          <w:szCs w:val="24"/>
        </w:rPr>
      </w:pPr>
    </w:p>
    <w:p w14:paraId="3372AC1F">
      <w:pPr>
        <w:spacing w:line="360" w:lineRule="auto"/>
        <w:ind w:firstLine="480" w:firstLineChars="200"/>
        <w:jc w:val="center"/>
        <w:rPr>
          <w:rFonts w:ascii="方正仿宋_GBK" w:hAnsi="宋体" w:eastAsia="方正仿宋_GBK"/>
          <w:sz w:val="24"/>
          <w:szCs w:val="24"/>
        </w:rPr>
      </w:pPr>
    </w:p>
    <w:p w14:paraId="6ACC3EC0">
      <w:pPr>
        <w:spacing w:line="360" w:lineRule="auto"/>
        <w:ind w:firstLine="480" w:firstLineChars="200"/>
        <w:jc w:val="center"/>
        <w:rPr>
          <w:rFonts w:ascii="方正仿宋_GBK" w:hAnsi="宋体" w:eastAsia="方正仿宋_GBK"/>
          <w:sz w:val="24"/>
          <w:szCs w:val="24"/>
        </w:rPr>
      </w:pPr>
    </w:p>
    <w:p w14:paraId="2C51DCC0">
      <w:pPr>
        <w:spacing w:line="360" w:lineRule="auto"/>
        <w:ind w:firstLine="480" w:firstLineChars="200"/>
        <w:jc w:val="center"/>
        <w:rPr>
          <w:rFonts w:ascii="方正仿宋_GBK" w:hAnsi="宋体" w:eastAsia="方正仿宋_GBK"/>
          <w:sz w:val="24"/>
          <w:szCs w:val="24"/>
        </w:rPr>
      </w:pPr>
    </w:p>
    <w:p w14:paraId="6FC91052">
      <w:pPr>
        <w:spacing w:line="360" w:lineRule="auto"/>
        <w:ind w:firstLine="480" w:firstLineChars="200"/>
        <w:jc w:val="center"/>
        <w:rPr>
          <w:rFonts w:ascii="方正仿宋_GBK" w:hAnsi="宋体" w:eastAsia="方正仿宋_GBK"/>
          <w:sz w:val="24"/>
          <w:szCs w:val="24"/>
        </w:rPr>
      </w:pPr>
    </w:p>
    <w:p w14:paraId="0A09795D">
      <w:pPr>
        <w:spacing w:line="360" w:lineRule="auto"/>
        <w:ind w:firstLine="480" w:firstLineChars="200"/>
        <w:jc w:val="center"/>
        <w:rPr>
          <w:rFonts w:ascii="方正仿宋_GBK" w:hAnsi="宋体" w:eastAsia="方正仿宋_GBK"/>
          <w:sz w:val="24"/>
          <w:szCs w:val="24"/>
        </w:rPr>
      </w:pPr>
    </w:p>
    <w:p w14:paraId="1E1A5ACB">
      <w:pPr>
        <w:spacing w:line="360" w:lineRule="auto"/>
        <w:ind w:firstLine="480" w:firstLineChars="200"/>
        <w:jc w:val="center"/>
        <w:rPr>
          <w:rFonts w:ascii="方正仿宋_GBK" w:hAnsi="宋体" w:eastAsia="方正仿宋_GBK"/>
          <w:sz w:val="24"/>
          <w:szCs w:val="24"/>
        </w:rPr>
      </w:pPr>
    </w:p>
    <w:p w14:paraId="42721404">
      <w:pPr>
        <w:spacing w:line="360" w:lineRule="auto"/>
        <w:ind w:firstLine="480" w:firstLineChars="200"/>
        <w:jc w:val="center"/>
        <w:rPr>
          <w:rFonts w:ascii="方正仿宋_GBK" w:hAnsi="宋体" w:eastAsia="方正仿宋_GBK"/>
          <w:sz w:val="24"/>
          <w:szCs w:val="24"/>
        </w:rPr>
      </w:pPr>
    </w:p>
    <w:p w14:paraId="26BABBDA">
      <w:pPr>
        <w:spacing w:line="360" w:lineRule="auto"/>
        <w:ind w:firstLine="480" w:firstLineChars="200"/>
        <w:jc w:val="center"/>
        <w:rPr>
          <w:rFonts w:ascii="方正仿宋_GBK" w:hAnsi="宋体" w:eastAsia="方正仿宋_GBK"/>
          <w:sz w:val="24"/>
          <w:szCs w:val="24"/>
        </w:rPr>
      </w:pPr>
    </w:p>
    <w:p w14:paraId="79A9C506">
      <w:pPr>
        <w:spacing w:line="360" w:lineRule="auto"/>
        <w:ind w:firstLine="480" w:firstLineChars="200"/>
        <w:jc w:val="center"/>
        <w:outlineLvl w:val="0"/>
        <w:rPr>
          <w:rFonts w:ascii="方正仿宋_GBK" w:hAnsi="宋体" w:eastAsia="方正仿宋_GBK"/>
        </w:rPr>
      </w:pPr>
      <w:r>
        <w:rPr>
          <w:rFonts w:hint="eastAsia" w:ascii="方正仿宋_GBK" w:hAnsi="宋体" w:eastAsia="方正仿宋_GBK"/>
          <w:sz w:val="24"/>
          <w:szCs w:val="24"/>
        </w:rPr>
        <w:t>（结束）</w:t>
      </w:r>
    </w:p>
    <w:p w14:paraId="6CD4E870"/>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B62FF">
    <w:pPr>
      <w:pStyle w:val="9"/>
      <w:framePr w:wrap="around" w:vAnchor="text" w:hAnchor="margin" w:xAlign="center" w:y="1"/>
      <w:jc w:val="center"/>
      <w:rPr>
        <w:rStyle w:val="17"/>
        <w:rFonts w:ascii="宋体"/>
        <w:sz w:val="21"/>
        <w:szCs w:val="21"/>
      </w:rPr>
    </w:pPr>
    <w:r>
      <w:rPr>
        <w:rFonts w:ascii="宋体"/>
        <w:sz w:val="21"/>
        <w:szCs w:val="21"/>
      </w:rPr>
      <w:fldChar w:fldCharType="begin"/>
    </w:r>
    <w:r>
      <w:rPr>
        <w:rStyle w:val="17"/>
        <w:rFonts w:ascii="宋体"/>
        <w:sz w:val="21"/>
        <w:szCs w:val="21"/>
      </w:rPr>
      <w:instrText xml:space="preserve">PAGE  </w:instrText>
    </w:r>
    <w:r>
      <w:rPr>
        <w:rFonts w:ascii="宋体"/>
        <w:sz w:val="21"/>
        <w:szCs w:val="21"/>
      </w:rPr>
      <w:fldChar w:fldCharType="separate"/>
    </w:r>
    <w:r>
      <w:rPr>
        <w:rStyle w:val="17"/>
        <w:rFonts w:ascii="宋体"/>
        <w:sz w:val="21"/>
        <w:szCs w:val="21"/>
      </w:rPr>
      <w:t>- 4 -</w:t>
    </w:r>
    <w:r>
      <w:rPr>
        <w:rFonts w:ascii="宋体"/>
        <w:sz w:val="21"/>
        <w:szCs w:val="21"/>
      </w:rPr>
      <w:fldChar w:fldCharType="end"/>
    </w:r>
  </w:p>
  <w:p w14:paraId="2E608955">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A0381">
    <w:pPr>
      <w:pStyle w:val="9"/>
      <w:framePr w:wrap="around" w:vAnchor="text" w:hAnchor="margin" w:xAlign="center" w:y="1"/>
      <w:rPr>
        <w:rStyle w:val="17"/>
      </w:rPr>
    </w:pPr>
    <w:r>
      <w:fldChar w:fldCharType="begin"/>
    </w:r>
    <w:r>
      <w:rPr>
        <w:rStyle w:val="17"/>
      </w:rPr>
      <w:instrText xml:space="preserve">PAGE  </w:instrText>
    </w:r>
    <w:r>
      <w:fldChar w:fldCharType="end"/>
    </w:r>
  </w:p>
  <w:p w14:paraId="664E4294">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517DD">
    <w:pPr>
      <w:pStyle w:val="9"/>
      <w:framePr w:wrap="around" w:vAnchor="text" w:hAnchor="margin" w:xAlign="center" w:y="1"/>
      <w:rPr>
        <w:rStyle w:val="17"/>
      </w:rPr>
    </w:pPr>
  </w:p>
  <w:p w14:paraId="389F715C">
    <w:pPr>
      <w:pStyle w:val="9"/>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B849A">
    <w:pPr>
      <w:pStyle w:val="9"/>
      <w:framePr w:wrap="around" w:vAnchor="text" w:hAnchor="margin" w:xAlign="center" w:y="1"/>
      <w:jc w:val="center"/>
      <w:rPr>
        <w:rStyle w:val="17"/>
        <w:rFonts w:ascii="宋体"/>
        <w:sz w:val="21"/>
        <w:szCs w:val="21"/>
      </w:rPr>
    </w:pPr>
    <w:r>
      <w:rPr>
        <w:rFonts w:ascii="宋体"/>
        <w:sz w:val="21"/>
        <w:szCs w:val="21"/>
      </w:rPr>
      <w:fldChar w:fldCharType="begin"/>
    </w:r>
    <w:r>
      <w:rPr>
        <w:rStyle w:val="17"/>
        <w:rFonts w:ascii="宋体"/>
        <w:sz w:val="21"/>
        <w:szCs w:val="21"/>
      </w:rPr>
      <w:instrText xml:space="preserve">PAGE  </w:instrText>
    </w:r>
    <w:r>
      <w:rPr>
        <w:rFonts w:ascii="宋体"/>
        <w:sz w:val="21"/>
        <w:szCs w:val="21"/>
      </w:rPr>
      <w:fldChar w:fldCharType="separate"/>
    </w:r>
    <w:r>
      <w:rPr>
        <w:rStyle w:val="17"/>
        <w:rFonts w:ascii="宋体"/>
        <w:sz w:val="21"/>
        <w:szCs w:val="21"/>
      </w:rPr>
      <w:t>- 4 -</w:t>
    </w:r>
    <w:r>
      <w:rPr>
        <w:rFonts w:ascii="宋体"/>
        <w:sz w:val="21"/>
        <w:szCs w:val="21"/>
      </w:rPr>
      <w:fldChar w:fldCharType="end"/>
    </w:r>
  </w:p>
  <w:p w14:paraId="3DEC7539">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076B0">
    <w:pPr>
      <w:pStyle w:val="9"/>
      <w:jc w:val="center"/>
      <w:rPr>
        <w:rFonts w:ascii="宋体" w:hAnsi="宋体"/>
        <w:sz w:val="21"/>
        <w:szCs w:val="21"/>
      </w:rPr>
    </w:pPr>
    <w:r>
      <w:rPr>
        <w:rFonts w:ascii="宋体" w:hAnsi="宋体"/>
        <w:sz w:val="21"/>
        <w:szCs w:val="21"/>
      </w:rPr>
      <w:fldChar w:fldCharType="begin"/>
    </w:r>
    <w:r>
      <w:rPr>
        <w:rStyle w:val="17"/>
        <w:rFonts w:ascii="宋体" w:hAnsi="宋体"/>
        <w:sz w:val="21"/>
        <w:szCs w:val="21"/>
      </w:rPr>
      <w:instrText xml:space="preserve"> PAGE </w:instrText>
    </w:r>
    <w:r>
      <w:rPr>
        <w:rFonts w:ascii="宋体" w:hAnsi="宋体"/>
        <w:sz w:val="21"/>
        <w:szCs w:val="21"/>
      </w:rPr>
      <w:fldChar w:fldCharType="separate"/>
    </w:r>
    <w:r>
      <w:rPr>
        <w:rStyle w:val="17"/>
        <w:rFonts w:ascii="宋体" w:hAnsi="宋体"/>
        <w:sz w:val="21"/>
        <w:szCs w:val="21"/>
      </w:rPr>
      <w:t>- 13 -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12C93">
    <w:pPr>
      <w:pStyle w:val="9"/>
      <w:framePr w:wrap="around" w:vAnchor="text" w:hAnchor="margin" w:xAlign="center" w:y="1"/>
      <w:rPr>
        <w:rStyle w:val="17"/>
      </w:rPr>
    </w:pPr>
    <w:r>
      <w:fldChar w:fldCharType="begin"/>
    </w:r>
    <w:r>
      <w:rPr>
        <w:rStyle w:val="17"/>
      </w:rPr>
      <w:instrText xml:space="preserve">PAGE  </w:instrText>
    </w:r>
    <w:r>
      <w:fldChar w:fldCharType="end"/>
    </w:r>
  </w:p>
  <w:p w14:paraId="30735DDD">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C9C7D">
    <w:pPr>
      <w:pStyle w:val="10"/>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CD2FF">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E4630">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D8697">
    <w:pPr>
      <w:pStyle w:val="10"/>
      <w:jc w:val="both"/>
      <w:rPr>
        <w:rFonts w:ascii="方正仿宋_GBK" w:eastAsia="方正仿宋_GBK"/>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DC9AA">
    <w:pPr>
      <w:pStyle w:val="10"/>
      <w:jc w:val="both"/>
      <w:rPr>
        <w:rFonts w:ascii="方正仿宋_GBK" w:eastAsia="方正仿宋_GBK"/>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liYjA2YWQ0ZGJiNzFiNmUwNmMzOTUxZDk4ODFkMmIifQ=="/>
  </w:docVars>
  <w:rsids>
    <w:rsidRoot w:val="009D030A"/>
    <w:rsid w:val="0001035A"/>
    <w:rsid w:val="000954B0"/>
    <w:rsid w:val="00265E0F"/>
    <w:rsid w:val="002D5223"/>
    <w:rsid w:val="00365BEA"/>
    <w:rsid w:val="003A6E34"/>
    <w:rsid w:val="0050485B"/>
    <w:rsid w:val="00513C53"/>
    <w:rsid w:val="0055193B"/>
    <w:rsid w:val="00570BD8"/>
    <w:rsid w:val="005D05E4"/>
    <w:rsid w:val="00625733"/>
    <w:rsid w:val="00652457"/>
    <w:rsid w:val="006B01D3"/>
    <w:rsid w:val="006D78C6"/>
    <w:rsid w:val="00713809"/>
    <w:rsid w:val="007F66B6"/>
    <w:rsid w:val="008E7F64"/>
    <w:rsid w:val="008F0CCD"/>
    <w:rsid w:val="00946455"/>
    <w:rsid w:val="00950E9D"/>
    <w:rsid w:val="00965000"/>
    <w:rsid w:val="009D030A"/>
    <w:rsid w:val="00A00FCE"/>
    <w:rsid w:val="00A22886"/>
    <w:rsid w:val="00A661D7"/>
    <w:rsid w:val="00A86BB0"/>
    <w:rsid w:val="00B062C3"/>
    <w:rsid w:val="00B75176"/>
    <w:rsid w:val="00B90020"/>
    <w:rsid w:val="00C42096"/>
    <w:rsid w:val="00C5421F"/>
    <w:rsid w:val="00D4320C"/>
    <w:rsid w:val="00D5775B"/>
    <w:rsid w:val="00D86770"/>
    <w:rsid w:val="00DC1CD5"/>
    <w:rsid w:val="00DF69F5"/>
    <w:rsid w:val="00E718C2"/>
    <w:rsid w:val="00F01609"/>
    <w:rsid w:val="00F105D4"/>
    <w:rsid w:val="00F86CB1"/>
    <w:rsid w:val="01141165"/>
    <w:rsid w:val="023A506E"/>
    <w:rsid w:val="0269322B"/>
    <w:rsid w:val="03F60FF6"/>
    <w:rsid w:val="059C7086"/>
    <w:rsid w:val="0607573C"/>
    <w:rsid w:val="062E0EFD"/>
    <w:rsid w:val="09E8754C"/>
    <w:rsid w:val="0A7B0F4F"/>
    <w:rsid w:val="0AA01CBB"/>
    <w:rsid w:val="0BF202F5"/>
    <w:rsid w:val="0C6B3101"/>
    <w:rsid w:val="0CDF2D8B"/>
    <w:rsid w:val="0E807E3A"/>
    <w:rsid w:val="0E887706"/>
    <w:rsid w:val="0FE16FFE"/>
    <w:rsid w:val="119A24D1"/>
    <w:rsid w:val="126B5BBB"/>
    <w:rsid w:val="128F4AEF"/>
    <w:rsid w:val="14536C2F"/>
    <w:rsid w:val="146D2C0E"/>
    <w:rsid w:val="14A83402"/>
    <w:rsid w:val="15DC65E3"/>
    <w:rsid w:val="18AD09A8"/>
    <w:rsid w:val="19C24E1C"/>
    <w:rsid w:val="1C05536E"/>
    <w:rsid w:val="1DA358F3"/>
    <w:rsid w:val="21921ABE"/>
    <w:rsid w:val="22DE407D"/>
    <w:rsid w:val="22E70030"/>
    <w:rsid w:val="23E95B1B"/>
    <w:rsid w:val="24AC5E3E"/>
    <w:rsid w:val="24AF2DCF"/>
    <w:rsid w:val="25523F4C"/>
    <w:rsid w:val="26FA0C5F"/>
    <w:rsid w:val="27952750"/>
    <w:rsid w:val="285C501C"/>
    <w:rsid w:val="28E16707"/>
    <w:rsid w:val="295B52D4"/>
    <w:rsid w:val="2986070A"/>
    <w:rsid w:val="2BA70CA4"/>
    <w:rsid w:val="2CAB0353"/>
    <w:rsid w:val="2D8C0151"/>
    <w:rsid w:val="2E710B48"/>
    <w:rsid w:val="2EB846F2"/>
    <w:rsid w:val="2F5FD015"/>
    <w:rsid w:val="2FCA4F61"/>
    <w:rsid w:val="31790274"/>
    <w:rsid w:val="33686F6B"/>
    <w:rsid w:val="34137846"/>
    <w:rsid w:val="352140DD"/>
    <w:rsid w:val="35525C73"/>
    <w:rsid w:val="362F3952"/>
    <w:rsid w:val="397A7FA5"/>
    <w:rsid w:val="3A2A7F93"/>
    <w:rsid w:val="3ABFDB2D"/>
    <w:rsid w:val="3B4466DF"/>
    <w:rsid w:val="3BA3093F"/>
    <w:rsid w:val="3CE533DA"/>
    <w:rsid w:val="3E817AEE"/>
    <w:rsid w:val="3F4639D8"/>
    <w:rsid w:val="3FF230F6"/>
    <w:rsid w:val="41E66DAF"/>
    <w:rsid w:val="42A40FC2"/>
    <w:rsid w:val="43F263DD"/>
    <w:rsid w:val="4439584A"/>
    <w:rsid w:val="448E762B"/>
    <w:rsid w:val="45294157"/>
    <w:rsid w:val="457A3FD9"/>
    <w:rsid w:val="48175199"/>
    <w:rsid w:val="4AFA61C9"/>
    <w:rsid w:val="4BCB1C0D"/>
    <w:rsid w:val="4D7E3DCD"/>
    <w:rsid w:val="4DF80A94"/>
    <w:rsid w:val="4F416B96"/>
    <w:rsid w:val="50845B02"/>
    <w:rsid w:val="51DA6E2E"/>
    <w:rsid w:val="52A872F0"/>
    <w:rsid w:val="545A6004"/>
    <w:rsid w:val="57183733"/>
    <w:rsid w:val="57E722A5"/>
    <w:rsid w:val="59E928FC"/>
    <w:rsid w:val="5CD10E2D"/>
    <w:rsid w:val="5DEB5F1F"/>
    <w:rsid w:val="5E7F3B4E"/>
    <w:rsid w:val="5FF40563"/>
    <w:rsid w:val="60AC6262"/>
    <w:rsid w:val="61AF3E33"/>
    <w:rsid w:val="63C0272D"/>
    <w:rsid w:val="673906CF"/>
    <w:rsid w:val="683D6B54"/>
    <w:rsid w:val="69395A73"/>
    <w:rsid w:val="6958090C"/>
    <w:rsid w:val="69F745E3"/>
    <w:rsid w:val="6A6432E1"/>
    <w:rsid w:val="6AF30BEB"/>
    <w:rsid w:val="6B8D6867"/>
    <w:rsid w:val="6D115792"/>
    <w:rsid w:val="6F616041"/>
    <w:rsid w:val="719536BB"/>
    <w:rsid w:val="732A3372"/>
    <w:rsid w:val="74E4574A"/>
    <w:rsid w:val="762E69A6"/>
    <w:rsid w:val="76FF2FF8"/>
    <w:rsid w:val="7AF366E7"/>
    <w:rsid w:val="7BC77B74"/>
    <w:rsid w:val="7BF85D53"/>
    <w:rsid w:val="7C370855"/>
    <w:rsid w:val="7C374259"/>
    <w:rsid w:val="7D360B0D"/>
    <w:rsid w:val="7DAC5273"/>
    <w:rsid w:val="7E843AFA"/>
    <w:rsid w:val="7EFB5E94"/>
    <w:rsid w:val="7F3F4592"/>
    <w:rsid w:val="7FFD4030"/>
    <w:rsid w:val="ADAE7369"/>
    <w:rsid w:val="DEFF6C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link w:val="20"/>
    <w:autoRedefine/>
    <w:qFormat/>
    <w:uiPriority w:val="0"/>
    <w:pPr>
      <w:keepNext/>
      <w:keepLines/>
      <w:spacing w:before="260" w:after="260" w:line="413" w:lineRule="auto"/>
      <w:outlineLvl w:val="1"/>
    </w:pPr>
    <w:rPr>
      <w:rFonts w:ascii="Arial" w:hAnsi="Arial" w:eastAsia="黑体"/>
      <w:b/>
      <w:sz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napToGrid w:val="0"/>
      <w:spacing w:line="360" w:lineRule="auto"/>
      <w:ind w:firstLine="420"/>
    </w:pPr>
    <w:rPr>
      <w:sz w:val="24"/>
    </w:rPr>
  </w:style>
  <w:style w:type="paragraph" w:styleId="4">
    <w:name w:val="Body Text"/>
    <w:basedOn w:val="1"/>
    <w:autoRedefine/>
    <w:qFormat/>
    <w:uiPriority w:val="0"/>
    <w:rPr>
      <w:rFonts w:ascii="仿宋_GB2312" w:eastAsia="仿宋_GB2312"/>
      <w:sz w:val="32"/>
    </w:rPr>
  </w:style>
  <w:style w:type="paragraph" w:styleId="5">
    <w:name w:val="Body Text Indent"/>
    <w:basedOn w:val="1"/>
    <w:link w:val="21"/>
    <w:autoRedefine/>
    <w:qFormat/>
    <w:uiPriority w:val="0"/>
    <w:pPr>
      <w:spacing w:line="700" w:lineRule="exact"/>
      <w:ind w:left="960"/>
    </w:pPr>
    <w:rPr>
      <w:sz w:val="44"/>
    </w:rPr>
  </w:style>
  <w:style w:type="paragraph" w:styleId="6">
    <w:name w:val="Plain Text"/>
    <w:basedOn w:val="1"/>
    <w:next w:val="1"/>
    <w:link w:val="22"/>
    <w:autoRedefine/>
    <w:qFormat/>
    <w:uiPriority w:val="0"/>
    <w:rPr>
      <w:rFonts w:ascii="宋体" w:hAnsi="Courier New"/>
      <w:sz w:val="21"/>
    </w:rPr>
  </w:style>
  <w:style w:type="paragraph" w:styleId="7">
    <w:name w:val="Date"/>
    <w:basedOn w:val="1"/>
    <w:next w:val="1"/>
    <w:link w:val="23"/>
    <w:autoRedefine/>
    <w:qFormat/>
    <w:uiPriority w:val="0"/>
  </w:style>
  <w:style w:type="paragraph" w:styleId="8">
    <w:name w:val="Body Text Indent 2"/>
    <w:basedOn w:val="1"/>
    <w:link w:val="24"/>
    <w:autoRedefine/>
    <w:qFormat/>
    <w:uiPriority w:val="0"/>
    <w:pPr>
      <w:snapToGrid w:val="0"/>
      <w:spacing w:line="560" w:lineRule="atLeast"/>
      <w:ind w:firstLine="540"/>
    </w:pPr>
  </w:style>
  <w:style w:type="paragraph" w:styleId="9">
    <w:name w:val="footer"/>
    <w:basedOn w:val="1"/>
    <w:link w:val="19"/>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8"/>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toc 1"/>
    <w:basedOn w:val="1"/>
    <w:next w:val="1"/>
    <w:autoRedefine/>
    <w:qFormat/>
    <w:uiPriority w:val="0"/>
    <w:pPr>
      <w:spacing w:line="180" w:lineRule="auto"/>
      <w:jc w:val="center"/>
    </w:pPr>
    <w:rPr>
      <w:sz w:val="30"/>
    </w:rPr>
  </w:style>
  <w:style w:type="paragraph" w:styleId="12">
    <w:name w:val="index 7"/>
    <w:basedOn w:val="1"/>
    <w:next w:val="1"/>
    <w:autoRedefine/>
    <w:qFormat/>
    <w:uiPriority w:val="0"/>
    <w:pPr>
      <w:ind w:left="1200" w:leftChars="1200"/>
    </w:p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Body Text First Indent"/>
    <w:basedOn w:val="4"/>
    <w:next w:val="1"/>
    <w:qFormat/>
    <w:uiPriority w:val="99"/>
    <w:pPr>
      <w:spacing w:line="360" w:lineRule="auto"/>
      <w:ind w:firstLine="420"/>
    </w:pPr>
    <w:rPr>
      <w:rFonts w:ascii="宋体" w:hAnsi="宋体"/>
      <w:sz w:val="24"/>
    </w:rPr>
  </w:style>
  <w:style w:type="character" w:styleId="17">
    <w:name w:val="page number"/>
    <w:autoRedefine/>
    <w:qFormat/>
    <w:uiPriority w:val="0"/>
  </w:style>
  <w:style w:type="character" w:customStyle="1" w:styleId="18">
    <w:name w:val="页眉 Char"/>
    <w:basedOn w:val="16"/>
    <w:link w:val="10"/>
    <w:autoRedefine/>
    <w:semiHidden/>
    <w:qFormat/>
    <w:uiPriority w:val="99"/>
    <w:rPr>
      <w:sz w:val="18"/>
      <w:szCs w:val="18"/>
    </w:rPr>
  </w:style>
  <w:style w:type="character" w:customStyle="1" w:styleId="19">
    <w:name w:val="页脚 Char"/>
    <w:basedOn w:val="16"/>
    <w:link w:val="9"/>
    <w:autoRedefine/>
    <w:semiHidden/>
    <w:qFormat/>
    <w:uiPriority w:val="99"/>
    <w:rPr>
      <w:sz w:val="18"/>
      <w:szCs w:val="18"/>
    </w:rPr>
  </w:style>
  <w:style w:type="character" w:customStyle="1" w:styleId="20">
    <w:name w:val="标题 2 Char"/>
    <w:basedOn w:val="16"/>
    <w:link w:val="2"/>
    <w:autoRedefine/>
    <w:qFormat/>
    <w:uiPriority w:val="0"/>
    <w:rPr>
      <w:rFonts w:ascii="Arial" w:hAnsi="Arial" w:eastAsia="黑体" w:cs="Times New Roman"/>
      <w:b/>
      <w:sz w:val="32"/>
      <w:szCs w:val="20"/>
    </w:rPr>
  </w:style>
  <w:style w:type="character" w:customStyle="1" w:styleId="21">
    <w:name w:val="正文文本缩进 Char"/>
    <w:basedOn w:val="16"/>
    <w:link w:val="5"/>
    <w:autoRedefine/>
    <w:qFormat/>
    <w:uiPriority w:val="0"/>
    <w:rPr>
      <w:rFonts w:ascii="Times New Roman" w:hAnsi="Times New Roman" w:eastAsia="宋体" w:cs="Times New Roman"/>
      <w:sz w:val="44"/>
      <w:szCs w:val="20"/>
    </w:rPr>
  </w:style>
  <w:style w:type="character" w:customStyle="1" w:styleId="22">
    <w:name w:val="纯文本 Char"/>
    <w:basedOn w:val="16"/>
    <w:link w:val="6"/>
    <w:autoRedefine/>
    <w:qFormat/>
    <w:uiPriority w:val="0"/>
    <w:rPr>
      <w:rFonts w:ascii="宋体" w:hAnsi="Courier New" w:eastAsia="宋体" w:cs="Times New Roman"/>
      <w:szCs w:val="20"/>
    </w:rPr>
  </w:style>
  <w:style w:type="character" w:customStyle="1" w:styleId="23">
    <w:name w:val="日期 Char"/>
    <w:basedOn w:val="16"/>
    <w:link w:val="7"/>
    <w:autoRedefine/>
    <w:qFormat/>
    <w:uiPriority w:val="0"/>
    <w:rPr>
      <w:rFonts w:ascii="Times New Roman" w:hAnsi="Times New Roman" w:eastAsia="宋体" w:cs="Times New Roman"/>
      <w:sz w:val="28"/>
      <w:szCs w:val="20"/>
    </w:rPr>
  </w:style>
  <w:style w:type="character" w:customStyle="1" w:styleId="24">
    <w:name w:val="正文文本缩进 2 Char"/>
    <w:basedOn w:val="16"/>
    <w:link w:val="8"/>
    <w:autoRedefine/>
    <w:qFormat/>
    <w:uiPriority w:val="0"/>
    <w:rPr>
      <w:rFonts w:ascii="Times New Roman" w:hAnsi="Times New Roman" w:eastAsia="宋体" w:cs="Times New Roman"/>
      <w:sz w:val="28"/>
      <w:szCs w:val="20"/>
    </w:rPr>
  </w:style>
  <w:style w:type="paragraph" w:customStyle="1" w:styleId="25">
    <w:name w:val="1"/>
    <w:basedOn w:val="1"/>
    <w:next w:val="6"/>
    <w:autoRedefine/>
    <w:qFormat/>
    <w:uiPriority w:val="0"/>
    <w:rPr>
      <w:rFonts w:ascii="宋体" w:hAnsi="Courier New"/>
      <w:sz w:val="21"/>
    </w:rPr>
  </w:style>
  <w:style w:type="character" w:customStyle="1" w:styleId="26">
    <w:name w:val="NormalCharacter"/>
    <w:qFormat/>
    <w:uiPriority w:val="0"/>
    <w:rPr>
      <w:rFonts w:ascii="Times New Roman" w:hAnsi="Times New Roman" w:eastAsia="宋体" w:cs="Times New Roman"/>
      <w:kern w:val="2"/>
      <w:sz w:val="28"/>
      <w:lang w:val="en-US" w:eastAsia="zh-CN" w:bidi="ar-SA"/>
    </w:rPr>
  </w:style>
  <w:style w:type="paragraph" w:customStyle="1" w:styleId="27">
    <w:name w:val="Heading3"/>
    <w:basedOn w:val="1"/>
    <w:next w:val="1"/>
    <w:qFormat/>
    <w:uiPriority w:val="0"/>
    <w:pPr>
      <w:keepNext/>
      <w:keepLines/>
      <w:spacing w:before="260" w:after="260" w:line="413" w:lineRule="auto"/>
      <w:textAlignment w:val="baseline"/>
    </w:pPr>
    <w:rPr>
      <w:b/>
      <w:sz w:val="32"/>
      <w:szCs w:val="20"/>
    </w:rPr>
  </w:style>
  <w:style w:type="paragraph" w:customStyle="1" w:styleId="2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30</Pages>
  <Words>10373</Words>
  <Characters>10732</Characters>
  <Lines>100</Lines>
  <Paragraphs>28</Paragraphs>
  <TotalTime>7</TotalTime>
  <ScaleCrop>false</ScaleCrop>
  <LinksUpToDate>false</LinksUpToDate>
  <CharactersWithSpaces>10782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2023-11-11T05:34:00Z</dcterms:created>
  <dc:creator>微软用户</dc:creator>
  <cp:lastModifiedBy>Mr.ko</cp:lastModifiedBy>
  <dcterms:modified xsi:type="dcterms:W3CDTF">2024-10-22T03:22:32Z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058319C8B81B42DEA2D0D79BF621594B_12</vt:lpwstr>
  </property>
</Properties>
</file>