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418F6">
      <w:pPr>
        <w:spacing w:line="1600" w:lineRule="exact"/>
        <w:jc w:val="center"/>
        <w:outlineLvl w:val="0"/>
        <w:rPr>
          <w:rFonts w:ascii="方正黑体_GBK" w:eastAsia="方正黑体_GBK"/>
          <w:sz w:val="84"/>
          <w:szCs w:val="84"/>
        </w:rPr>
      </w:pPr>
      <w:bookmarkStart w:id="0" w:name="_Toc521053056"/>
      <w:bookmarkStart w:id="1" w:name="_Toc525047164"/>
      <w:bookmarkStart w:id="2" w:name="_Toc65660337"/>
      <w:bookmarkStart w:id="3" w:name="_Toc106034777"/>
      <w:bookmarkStart w:id="4" w:name="_Toc1733"/>
      <w:bookmarkStart w:id="5" w:name="_Toc10415"/>
      <w:bookmarkStart w:id="6" w:name="_Toc1552"/>
    </w:p>
    <w:p w14:paraId="4D8D953F">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14:paraId="59CCBF48">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14:paraId="588EBEB2">
      <w:pPr>
        <w:jc w:val="center"/>
        <w:rPr>
          <w:rFonts w:ascii="宋体" w:hAnsi="宋体"/>
          <w:sz w:val="84"/>
          <w:szCs w:val="84"/>
        </w:rPr>
      </w:pPr>
    </w:p>
    <w:p w14:paraId="114ECC53">
      <w:pPr>
        <w:jc w:val="center"/>
        <w:rPr>
          <w:rFonts w:ascii="黑体" w:eastAsia="黑体"/>
          <w:sz w:val="32"/>
        </w:rPr>
      </w:pPr>
      <w:r>
        <w:rPr>
          <w:rFonts w:hint="eastAsia" w:ascii="方正黑体_GBK" w:hAnsi="宋体" w:eastAsia="方正黑体_GBK"/>
          <w:sz w:val="72"/>
          <w:szCs w:val="72"/>
        </w:rPr>
        <w:t>限额以下磋商评分采购文件</w:t>
      </w:r>
    </w:p>
    <w:p w14:paraId="3C1DFC7C">
      <w:pPr>
        <w:spacing w:line="700" w:lineRule="exact"/>
        <w:jc w:val="center"/>
        <w:rPr>
          <w:rFonts w:ascii="黑体" w:eastAsia="黑体"/>
          <w:sz w:val="32"/>
        </w:rPr>
      </w:pPr>
    </w:p>
    <w:p w14:paraId="15121FED">
      <w:pPr>
        <w:spacing w:line="700" w:lineRule="exact"/>
        <w:jc w:val="center"/>
        <w:rPr>
          <w:rFonts w:ascii="黑体" w:eastAsia="黑体"/>
          <w:sz w:val="32"/>
        </w:rPr>
      </w:pPr>
    </w:p>
    <w:p w14:paraId="6246403C">
      <w:pPr>
        <w:spacing w:line="500" w:lineRule="exact"/>
        <w:ind w:firstLine="1440" w:firstLineChars="400"/>
        <w:outlineLvl w:val="0"/>
        <w:rPr>
          <w:rFonts w:ascii="方正小标宋_GBK" w:hAnsi="宋体" w:eastAsia="方正小标宋_GBK"/>
          <w:sz w:val="36"/>
          <w:szCs w:val="36"/>
        </w:rPr>
      </w:pPr>
      <w:r>
        <w:rPr>
          <w:rFonts w:hint="eastAsia" w:ascii="方正小标宋_GBK" w:hAnsi="宋体" w:eastAsia="方正小标宋_GBK"/>
          <w:sz w:val="36"/>
          <w:szCs w:val="36"/>
        </w:rPr>
        <w:t>项目名称：办公值班环境排危服务</w:t>
      </w:r>
    </w:p>
    <w:p w14:paraId="7D35AE8E">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14:paraId="7F02798E">
      <w:pPr>
        <w:spacing w:line="500" w:lineRule="exact"/>
        <w:outlineLvl w:val="0"/>
        <w:rPr>
          <w:rFonts w:ascii="方正小标宋_GBK" w:eastAsia="方正小标宋_GBK"/>
          <w:sz w:val="36"/>
          <w:szCs w:val="36"/>
        </w:rPr>
      </w:pPr>
    </w:p>
    <w:p w14:paraId="4D5075A8">
      <w:pPr>
        <w:spacing w:line="500" w:lineRule="exact"/>
        <w:outlineLvl w:val="0"/>
        <w:rPr>
          <w:rFonts w:ascii="方正小标宋_GBK" w:eastAsia="方正小标宋_GBK"/>
          <w:sz w:val="36"/>
          <w:szCs w:val="36"/>
        </w:rPr>
      </w:pPr>
    </w:p>
    <w:p w14:paraId="2471D60E">
      <w:pPr>
        <w:spacing w:line="500" w:lineRule="exact"/>
        <w:outlineLvl w:val="0"/>
        <w:rPr>
          <w:rFonts w:ascii="方正小标宋_GBK" w:eastAsia="方正小标宋_GBK"/>
          <w:sz w:val="36"/>
          <w:szCs w:val="36"/>
        </w:rPr>
      </w:pPr>
    </w:p>
    <w:p w14:paraId="31EFE53F">
      <w:pPr>
        <w:spacing w:line="500" w:lineRule="exact"/>
        <w:outlineLvl w:val="0"/>
        <w:rPr>
          <w:rFonts w:ascii="方正小标宋_GBK" w:eastAsia="方正小标宋_GBK"/>
          <w:sz w:val="36"/>
          <w:szCs w:val="36"/>
        </w:rPr>
      </w:pPr>
    </w:p>
    <w:p w14:paraId="3592D004">
      <w:pPr>
        <w:spacing w:line="500" w:lineRule="exact"/>
        <w:outlineLvl w:val="0"/>
        <w:rPr>
          <w:rFonts w:ascii="方正小标宋_GBK" w:eastAsia="方正小标宋_GBK"/>
          <w:sz w:val="36"/>
          <w:szCs w:val="36"/>
        </w:rPr>
      </w:pPr>
    </w:p>
    <w:p w14:paraId="3C11DF18">
      <w:pPr>
        <w:spacing w:line="720" w:lineRule="exact"/>
        <w:jc w:val="center"/>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r>
        <w:rPr>
          <w:rFonts w:hint="eastAsia" w:ascii="方正小标宋_GBK" w:hAnsi="宋体" w:eastAsia="方正小标宋_GBK"/>
          <w:sz w:val="36"/>
          <w:szCs w:val="36"/>
        </w:rPr>
        <w:t>二〇二四年十月</w:t>
      </w:r>
    </w:p>
    <w:p w14:paraId="7DEBA496">
      <w:pPr>
        <w:pStyle w:val="3"/>
        <w:spacing w:before="0" w:after="0" w:line="360" w:lineRule="auto"/>
        <w:jc w:val="center"/>
        <w:rPr>
          <w:rFonts w:ascii="方正小标宋_GBK" w:eastAsia="方正小标宋_GBK"/>
          <w:b w:val="0"/>
          <w:sz w:val="36"/>
          <w:szCs w:val="30"/>
        </w:rPr>
      </w:pPr>
      <w:bookmarkStart w:id="7" w:name="_Toc24173"/>
      <w:bookmarkStart w:id="8" w:name="_Toc15726"/>
      <w:bookmarkStart w:id="9" w:name="_Toc11641050"/>
      <w:bookmarkStart w:id="10" w:name="_Toc24817"/>
      <w:bookmarkStart w:id="11" w:name="_Toc12789052"/>
      <w:bookmarkStart w:id="12" w:name="_Toc65660329"/>
      <w:bookmarkStart w:id="13"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限额以下磋商评分采购邀请书</w:t>
      </w:r>
      <w:bookmarkEnd w:id="7"/>
      <w:bookmarkEnd w:id="8"/>
      <w:bookmarkEnd w:id="9"/>
      <w:bookmarkEnd w:id="10"/>
      <w:bookmarkEnd w:id="11"/>
      <w:bookmarkEnd w:id="12"/>
      <w:bookmarkEnd w:id="13"/>
    </w:p>
    <w:p w14:paraId="1421FE0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根据工作需要，重庆市嘉陵江航道管理处对办公值班环境排危服务项目进行限额以下磋商评分采购。欢迎有资格的供应商前来参加报价。</w:t>
      </w:r>
    </w:p>
    <w:p w14:paraId="59336BF6">
      <w:pPr>
        <w:pStyle w:val="3"/>
        <w:adjustRightInd w:val="0"/>
        <w:snapToGrid w:val="0"/>
        <w:spacing w:before="0" w:after="0" w:line="400" w:lineRule="exact"/>
        <w:ind w:firstLine="480" w:firstLineChars="200"/>
        <w:rPr>
          <w:rFonts w:ascii="方正仿宋_GBK" w:hAnsi="宋体" w:eastAsia="方正仿宋_GBK"/>
          <w:sz w:val="24"/>
        </w:rPr>
      </w:pPr>
      <w:bookmarkStart w:id="14" w:name="_Toc7758"/>
      <w:bookmarkStart w:id="15" w:name="_Toc313893526"/>
      <w:bookmarkStart w:id="16" w:name="_Toc317775175"/>
      <w:bookmarkStart w:id="17" w:name="_Toc26091"/>
      <w:bookmarkStart w:id="18" w:name="_Toc65660330"/>
      <w:bookmarkStart w:id="19" w:name="_Toc106034770"/>
      <w:bookmarkStart w:id="20" w:name="_Toc18246"/>
      <w:r>
        <w:rPr>
          <w:rFonts w:hint="eastAsia" w:ascii="方正仿宋_GBK" w:hAnsi="宋体" w:eastAsia="方正仿宋_GBK"/>
          <w:sz w:val="24"/>
        </w:rPr>
        <w:t>一、比价内容</w:t>
      </w:r>
      <w:bookmarkEnd w:id="14"/>
      <w:bookmarkEnd w:id="15"/>
      <w:bookmarkEnd w:id="16"/>
      <w:bookmarkEnd w:id="17"/>
      <w:bookmarkEnd w:id="18"/>
      <w:bookmarkEnd w:id="19"/>
      <w:bookmarkEnd w:id="20"/>
    </w:p>
    <w:tbl>
      <w:tblPr>
        <w:tblStyle w:val="15"/>
        <w:tblW w:w="7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6"/>
        <w:gridCol w:w="1325"/>
        <w:gridCol w:w="1464"/>
        <w:gridCol w:w="1494"/>
      </w:tblGrid>
      <w:tr w14:paraId="25F0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3446" w:type="dxa"/>
            <w:tcBorders>
              <w:top w:val="single" w:color="auto" w:sz="4" w:space="0"/>
              <w:left w:val="single" w:color="auto" w:sz="4" w:space="0"/>
              <w:right w:val="single" w:color="auto" w:sz="4" w:space="0"/>
            </w:tcBorders>
            <w:vAlign w:val="center"/>
          </w:tcPr>
          <w:p w14:paraId="39991278">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1325" w:type="dxa"/>
            <w:tcBorders>
              <w:top w:val="single" w:color="auto" w:sz="4" w:space="0"/>
              <w:left w:val="single" w:color="auto" w:sz="4" w:space="0"/>
              <w:right w:val="single" w:color="auto" w:sz="4" w:space="0"/>
            </w:tcBorders>
            <w:vAlign w:val="center"/>
          </w:tcPr>
          <w:p w14:paraId="310EFBB0">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464" w:type="dxa"/>
            <w:tcBorders>
              <w:top w:val="single" w:color="auto" w:sz="4" w:space="0"/>
              <w:left w:val="single" w:color="auto" w:sz="4" w:space="0"/>
              <w:right w:val="single" w:color="auto" w:sz="4" w:space="0"/>
            </w:tcBorders>
            <w:vAlign w:val="center"/>
          </w:tcPr>
          <w:p w14:paraId="1871C35D">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94" w:type="dxa"/>
            <w:tcBorders>
              <w:top w:val="single" w:color="auto" w:sz="4" w:space="0"/>
              <w:left w:val="single" w:color="auto" w:sz="4" w:space="0"/>
              <w:right w:val="single" w:color="auto" w:sz="4" w:space="0"/>
            </w:tcBorders>
            <w:vAlign w:val="center"/>
          </w:tcPr>
          <w:p w14:paraId="1E0EF310">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14:paraId="239C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446" w:type="dxa"/>
            <w:tcBorders>
              <w:top w:val="single" w:color="auto" w:sz="4" w:space="0"/>
              <w:left w:val="single" w:color="auto" w:sz="4" w:space="0"/>
              <w:bottom w:val="single" w:color="auto" w:sz="4" w:space="0"/>
              <w:right w:val="single" w:color="auto" w:sz="4" w:space="0"/>
            </w:tcBorders>
            <w:vAlign w:val="center"/>
          </w:tcPr>
          <w:p w14:paraId="5C51BB1B">
            <w:pPr>
              <w:widowControl/>
              <w:jc w:val="center"/>
              <w:rPr>
                <w:rFonts w:ascii="方正仿宋_GBK" w:hAnsi="宋体" w:eastAsia="方正仿宋_GBK" w:cs="宋体"/>
                <w:color w:val="auto"/>
                <w:kern w:val="0"/>
                <w:sz w:val="21"/>
                <w:szCs w:val="24"/>
              </w:rPr>
            </w:pPr>
            <w:bookmarkStart w:id="21" w:name="_Hlk344477914"/>
            <w:r>
              <w:rPr>
                <w:rFonts w:hint="eastAsia" w:ascii="方正仿宋_GBK" w:hAnsi="宋体" w:eastAsia="方正仿宋_GBK"/>
                <w:color w:val="auto"/>
                <w:sz w:val="24"/>
              </w:rPr>
              <w:t>办公值班环境排危服务</w:t>
            </w:r>
          </w:p>
        </w:tc>
        <w:tc>
          <w:tcPr>
            <w:tcW w:w="1325" w:type="dxa"/>
            <w:tcBorders>
              <w:top w:val="single" w:color="auto" w:sz="4" w:space="0"/>
              <w:left w:val="single" w:color="auto" w:sz="4" w:space="0"/>
              <w:bottom w:val="single" w:color="auto" w:sz="4" w:space="0"/>
              <w:right w:val="single" w:color="auto" w:sz="4" w:space="0"/>
            </w:tcBorders>
            <w:vAlign w:val="center"/>
          </w:tcPr>
          <w:p w14:paraId="5C1A44C1">
            <w:pPr>
              <w:jc w:val="center"/>
              <w:rPr>
                <w:rFonts w:ascii="方正仿宋_GBK" w:hAnsi="宋体" w:eastAsia="方正仿宋_GBK"/>
                <w:color w:val="auto"/>
                <w:sz w:val="21"/>
                <w:szCs w:val="21"/>
              </w:rPr>
            </w:pPr>
            <w:r>
              <w:rPr>
                <w:rFonts w:hint="eastAsia" w:ascii="方正仿宋_GBK" w:hAnsi="宋体" w:eastAsia="方正仿宋_GBK"/>
                <w:color w:val="auto"/>
                <w:sz w:val="24"/>
              </w:rPr>
              <w:t>49.15万</w:t>
            </w:r>
          </w:p>
        </w:tc>
        <w:tc>
          <w:tcPr>
            <w:tcW w:w="1464" w:type="dxa"/>
            <w:tcBorders>
              <w:top w:val="single" w:color="auto" w:sz="4" w:space="0"/>
              <w:left w:val="single" w:color="auto" w:sz="4" w:space="0"/>
              <w:bottom w:val="single" w:color="auto" w:sz="4" w:space="0"/>
              <w:right w:val="single" w:color="auto" w:sz="4" w:space="0"/>
            </w:tcBorders>
            <w:vAlign w:val="center"/>
          </w:tcPr>
          <w:p w14:paraId="298547D6">
            <w:pPr>
              <w:jc w:val="center"/>
              <w:rPr>
                <w:rFonts w:ascii="方正仿宋_GBK" w:hAnsi="宋体" w:eastAsia="方正仿宋_GBK"/>
                <w:color w:val="auto"/>
                <w:sz w:val="21"/>
                <w:szCs w:val="21"/>
              </w:rPr>
            </w:pPr>
            <w:r>
              <w:rPr>
                <w:rFonts w:hint="eastAsia" w:ascii="方正仿宋_GBK" w:hAnsi="宋体" w:eastAsia="方正仿宋_GBK"/>
                <w:color w:val="auto"/>
                <w:sz w:val="21"/>
                <w:szCs w:val="21"/>
              </w:rPr>
              <w:t>1</w:t>
            </w:r>
          </w:p>
        </w:tc>
        <w:tc>
          <w:tcPr>
            <w:tcW w:w="1494" w:type="dxa"/>
            <w:tcBorders>
              <w:top w:val="single" w:color="auto" w:sz="4" w:space="0"/>
              <w:left w:val="single" w:color="auto" w:sz="4" w:space="0"/>
              <w:bottom w:val="single" w:color="auto" w:sz="4" w:space="0"/>
              <w:right w:val="single" w:color="auto" w:sz="4" w:space="0"/>
            </w:tcBorders>
            <w:vAlign w:val="center"/>
          </w:tcPr>
          <w:p w14:paraId="1453AB2C">
            <w:pPr>
              <w:jc w:val="center"/>
              <w:rPr>
                <w:rFonts w:ascii="方正仿宋_GBK" w:hAnsi="宋体" w:eastAsia="方正仿宋_GBK"/>
                <w:b/>
                <w:color w:val="FF0000"/>
                <w:sz w:val="21"/>
                <w:szCs w:val="21"/>
              </w:rPr>
            </w:pPr>
          </w:p>
        </w:tc>
      </w:tr>
      <w:bookmarkEnd w:id="21"/>
    </w:tbl>
    <w:p w14:paraId="6D644E3F">
      <w:pPr>
        <w:pStyle w:val="3"/>
        <w:adjustRightInd w:val="0"/>
        <w:snapToGrid w:val="0"/>
        <w:spacing w:before="0" w:after="0" w:line="400" w:lineRule="exact"/>
        <w:ind w:firstLine="480" w:firstLineChars="200"/>
        <w:rPr>
          <w:rFonts w:ascii="方正仿宋_GBK" w:hAnsi="宋体" w:eastAsia="方正仿宋_GBK"/>
          <w:sz w:val="24"/>
        </w:rPr>
      </w:pPr>
      <w:bookmarkStart w:id="22" w:name="_Toc65660331"/>
      <w:bookmarkStart w:id="23" w:name="_Toc3256"/>
      <w:bookmarkStart w:id="24" w:name="_Toc106034771"/>
      <w:bookmarkStart w:id="25" w:name="_Toc4424"/>
      <w:bookmarkStart w:id="26" w:name="_Toc27028"/>
      <w:bookmarkStart w:id="27" w:name="_Toc373860293"/>
      <w:bookmarkStart w:id="28" w:name="_Toc317775178"/>
      <w:r>
        <w:rPr>
          <w:rFonts w:hint="eastAsia" w:ascii="方正仿宋_GBK" w:hAnsi="宋体" w:eastAsia="方正仿宋_GBK"/>
          <w:sz w:val="24"/>
        </w:rPr>
        <w:t>二、资金来源</w:t>
      </w:r>
      <w:bookmarkEnd w:id="22"/>
      <w:bookmarkEnd w:id="23"/>
      <w:bookmarkEnd w:id="24"/>
      <w:bookmarkEnd w:id="25"/>
      <w:bookmarkEnd w:id="26"/>
    </w:p>
    <w:p w14:paraId="57A1FACC">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14:paraId="1C829455">
      <w:pPr>
        <w:pStyle w:val="3"/>
        <w:adjustRightInd w:val="0"/>
        <w:snapToGrid w:val="0"/>
        <w:spacing w:before="0" w:after="0" w:line="400" w:lineRule="exact"/>
        <w:ind w:firstLine="480" w:firstLineChars="200"/>
        <w:rPr>
          <w:rFonts w:ascii="方正仿宋_GBK" w:hAnsi="宋体" w:eastAsia="方正仿宋_GBK"/>
          <w:sz w:val="24"/>
        </w:rPr>
      </w:pPr>
      <w:bookmarkStart w:id="29" w:name="_Toc20867"/>
      <w:bookmarkStart w:id="30" w:name="_Toc65660332"/>
      <w:bookmarkStart w:id="31" w:name="_Toc64731996"/>
      <w:bookmarkStart w:id="32" w:name="_Toc13541"/>
      <w:bookmarkStart w:id="33" w:name="_Toc106034772"/>
      <w:bookmarkStart w:id="34" w:name="_Toc18548"/>
      <w:r>
        <w:rPr>
          <w:rFonts w:hint="eastAsia" w:ascii="方正仿宋_GBK" w:hAnsi="宋体" w:eastAsia="方正仿宋_GBK"/>
          <w:sz w:val="24"/>
        </w:rPr>
        <w:t>三、供应商资格条件</w:t>
      </w:r>
      <w:bookmarkEnd w:id="29"/>
      <w:bookmarkEnd w:id="30"/>
      <w:bookmarkEnd w:id="31"/>
      <w:bookmarkEnd w:id="32"/>
      <w:bookmarkEnd w:id="33"/>
      <w:bookmarkEnd w:id="34"/>
    </w:p>
    <w:p w14:paraId="4A3B6E0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14:paraId="191DEF9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r>
        <w:rPr>
          <w:rFonts w:hint="eastAsia" w:ascii="方正仿宋_GBK" w:hAnsi="宋体" w:eastAsia="方正仿宋_GBK"/>
          <w:color w:val="auto"/>
          <w:sz w:val="24"/>
        </w:rPr>
        <w:t>无</w:t>
      </w:r>
      <w:r>
        <w:rPr>
          <w:rFonts w:hint="eastAsia" w:ascii="方正仿宋_GBK" w:hAnsi="宋体" w:eastAsia="方正仿宋_GBK"/>
          <w:color w:val="auto"/>
          <w:sz w:val="24"/>
          <w:szCs w:val="24"/>
        </w:rPr>
        <w:t>。</w:t>
      </w:r>
    </w:p>
    <w:p w14:paraId="2D50D01E">
      <w:pPr>
        <w:pStyle w:val="3"/>
        <w:adjustRightInd w:val="0"/>
        <w:snapToGrid w:val="0"/>
        <w:spacing w:before="0" w:after="0" w:line="400" w:lineRule="exact"/>
        <w:ind w:firstLine="480" w:firstLineChars="200"/>
        <w:rPr>
          <w:rFonts w:ascii="方正仿宋_GBK" w:hAnsi="宋体" w:eastAsia="方正仿宋_GBK"/>
          <w:sz w:val="24"/>
        </w:rPr>
      </w:pPr>
      <w:bookmarkStart w:id="35" w:name="_Toc106034773"/>
      <w:bookmarkStart w:id="36" w:name="_Toc1386"/>
      <w:bookmarkStart w:id="37" w:name="_Toc13903"/>
      <w:bookmarkStart w:id="38" w:name="_Toc65660333"/>
      <w:bookmarkStart w:id="39" w:name="_Toc11908"/>
      <w:r>
        <w:rPr>
          <w:rFonts w:hint="eastAsia" w:ascii="方正仿宋_GBK" w:hAnsi="宋体" w:eastAsia="方正仿宋_GBK"/>
          <w:sz w:val="24"/>
        </w:rPr>
        <w:t>四、限额以下比价有关说明</w:t>
      </w:r>
      <w:bookmarkEnd w:id="27"/>
      <w:bookmarkEnd w:id="35"/>
      <w:bookmarkEnd w:id="36"/>
      <w:bookmarkEnd w:id="37"/>
      <w:bookmarkEnd w:id="38"/>
      <w:bookmarkEnd w:id="39"/>
    </w:p>
    <w:p w14:paraId="7C9F0E8F">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（一）凡有意参加比价的供应商，请在重庆市交通运输委员会官网上下载本项目采购文件以及澄清等报价前公布的所有项目资料，无论供应商下载与否，均视为已知晓所有实质性要求内容。</w:t>
      </w:r>
    </w:p>
    <w:p w14:paraId="1899D9D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14:paraId="7FDBA11E">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（三）报名方式：在2024年10月1</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日1</w:t>
      </w:r>
      <w:r>
        <w:rPr>
          <w:rFonts w:hint="eastAsia" w:ascii="方正仿宋_GBK" w:hAnsi="宋体" w:eastAsia="方正仿宋_GBK"/>
          <w:sz w:val="24"/>
          <w:szCs w:val="24"/>
          <w:lang w:val="en-US" w:eastAsia="zh-CN"/>
        </w:rPr>
        <w:t>6</w:t>
      </w:r>
      <w:r>
        <w:rPr>
          <w:rFonts w:hint="eastAsia" w:ascii="方正仿宋_GBK" w:hAnsi="宋体" w:eastAsia="方正仿宋_GBK"/>
          <w:sz w:val="24"/>
          <w:szCs w:val="24"/>
        </w:rPr>
        <w:t>:00时前，将《报名表》（加盖供应商公章）</w:t>
      </w:r>
      <w:r>
        <w:rPr>
          <w:rFonts w:hint="eastAsia" w:ascii="方正仿宋_GBK" w:hAnsi="宋体" w:eastAsia="方正仿宋_GBK"/>
          <w:sz w:val="24"/>
          <w:szCs w:val="24"/>
        </w:rPr>
        <w:fldChar w:fldCharType="begin"/>
      </w:r>
      <w:r>
        <w:rPr>
          <w:rFonts w:hint="eastAsia" w:ascii="方正仿宋_GBK" w:hAnsi="宋体" w:eastAsia="方正仿宋_GBK"/>
          <w:sz w:val="24"/>
          <w:szCs w:val="24"/>
        </w:rPr>
        <w:instrText xml:space="preserve"> HYPERLINK "mailto:扫描后发送至ghjzbc@163.com" </w:instrText>
      </w:r>
      <w:r>
        <w:rPr>
          <w:rFonts w:hint="eastAsia" w:ascii="方正仿宋_GBK" w:hAnsi="宋体" w:eastAsia="方正仿宋_GBK"/>
          <w:sz w:val="24"/>
          <w:szCs w:val="24"/>
        </w:rPr>
        <w:fldChar w:fldCharType="separate"/>
      </w:r>
      <w:r>
        <w:rPr>
          <w:rFonts w:hint="eastAsia" w:ascii="方正仿宋_GBK" w:hAnsi="宋体" w:eastAsia="方正仿宋_GBK"/>
          <w:sz w:val="24"/>
          <w:szCs w:val="24"/>
        </w:rPr>
        <w:t>扫描后发送至450601592@qq.com</w:t>
      </w:r>
      <w:r>
        <w:rPr>
          <w:rFonts w:hint="eastAsia" w:ascii="方正仿宋_GBK" w:hAnsi="宋体" w:eastAsia="方正仿宋_GBK"/>
          <w:sz w:val="24"/>
          <w:szCs w:val="24"/>
        </w:rPr>
        <w:fldChar w:fldCharType="end"/>
      </w:r>
      <w:r>
        <w:rPr>
          <w:rFonts w:hint="eastAsia" w:ascii="方正仿宋_GBK" w:hAnsi="宋体" w:eastAsia="方正仿宋_GBK"/>
          <w:sz w:val="24"/>
          <w:szCs w:val="24"/>
        </w:rPr>
        <w:t>邮箱。邮箱、截止时间按邮箱显示邮件到达时间为准，未按规定提前报名的供应商的响应文件将被拒收。</w:t>
      </w:r>
    </w:p>
    <w:p w14:paraId="4030046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（四）递交响应文件地点：重庆市嘉陵江航道管理处4楼会议室（地址：重庆市渝中区华一路17号）</w:t>
      </w:r>
    </w:p>
    <w:p w14:paraId="3B7F98D9">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（五）提交响应文件截止时间：2024年10月</w:t>
      </w:r>
      <w:r>
        <w:rPr>
          <w:rFonts w:hint="eastAsia" w:ascii="方正仿宋_GBK" w:hAnsi="宋体" w:eastAsia="方正仿宋_GBK"/>
          <w:sz w:val="24"/>
          <w:szCs w:val="24"/>
          <w:lang w:val="en-US" w:eastAsia="zh-CN"/>
        </w:rPr>
        <w:t>21</w:t>
      </w:r>
      <w:r>
        <w:rPr>
          <w:rFonts w:hint="eastAsia" w:ascii="方正仿宋_GBK" w:hAnsi="宋体" w:eastAsia="方正仿宋_GBK"/>
          <w:sz w:val="24"/>
          <w:szCs w:val="24"/>
        </w:rPr>
        <w:t>日北京时间14时30分至15时00分。</w:t>
      </w:r>
    </w:p>
    <w:p w14:paraId="39468F77">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（六）评审开始时间：2024年10月</w:t>
      </w:r>
      <w:r>
        <w:rPr>
          <w:rFonts w:hint="eastAsia" w:ascii="方正仿宋_GBK" w:hAnsi="宋体" w:eastAsia="方正仿宋_GBK"/>
          <w:sz w:val="24"/>
          <w:szCs w:val="24"/>
          <w:lang w:val="en-US" w:eastAsia="zh-CN"/>
        </w:rPr>
        <w:t>21</w:t>
      </w:r>
      <w:r>
        <w:rPr>
          <w:rFonts w:hint="eastAsia" w:ascii="方正仿宋_GBK" w:hAnsi="宋体" w:eastAsia="方正仿宋_GBK"/>
          <w:sz w:val="24"/>
          <w:szCs w:val="24"/>
        </w:rPr>
        <w:t>日北京时间15时00分。</w:t>
      </w:r>
    </w:p>
    <w:bookmarkEnd w:id="28"/>
    <w:p w14:paraId="00F82E67">
      <w:pPr>
        <w:pStyle w:val="3"/>
        <w:adjustRightInd w:val="0"/>
        <w:snapToGrid w:val="0"/>
        <w:spacing w:before="0" w:after="0" w:line="400" w:lineRule="exact"/>
        <w:ind w:firstLine="480" w:firstLineChars="200"/>
        <w:rPr>
          <w:rFonts w:ascii="方正仿宋_GBK" w:hAnsi="宋体" w:eastAsia="方正仿宋_GBK"/>
          <w:sz w:val="24"/>
        </w:rPr>
      </w:pPr>
      <w:bookmarkStart w:id="40" w:name="_Toc6563"/>
      <w:bookmarkStart w:id="41" w:name="_Toc65660336"/>
      <w:bookmarkStart w:id="42" w:name="_Toc525047163"/>
      <w:bookmarkStart w:id="43" w:name="_Toc4728"/>
      <w:bookmarkStart w:id="44" w:name="_Toc521053055"/>
      <w:bookmarkStart w:id="45" w:name="_Toc106034776"/>
      <w:bookmarkStart w:id="46" w:name="_Toc16269"/>
      <w:r>
        <w:rPr>
          <w:rFonts w:hint="eastAsia" w:ascii="方正仿宋_GBK" w:hAnsi="宋体" w:eastAsia="方正仿宋_GBK"/>
          <w:sz w:val="24"/>
        </w:rPr>
        <w:t>五、其它有关规定</w:t>
      </w:r>
      <w:bookmarkEnd w:id="40"/>
      <w:bookmarkEnd w:id="41"/>
      <w:bookmarkEnd w:id="42"/>
      <w:bookmarkEnd w:id="43"/>
      <w:bookmarkEnd w:id="44"/>
      <w:bookmarkEnd w:id="45"/>
      <w:bookmarkEnd w:id="46"/>
    </w:p>
    <w:p w14:paraId="6B6251C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14:paraId="02EE7DC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5006DA0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14:paraId="22657C2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14:paraId="5B7F051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（五）本项目的澄清文件（如果有）一律在重庆市交通运输委员会官网上发布，请各供应商注意下载；无论供应商下载或领取与否，均视同供应商已知晓本项目澄清文件（如果有）的内容。</w:t>
      </w:r>
    </w:p>
    <w:p w14:paraId="0C165D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14:paraId="236BC72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14:paraId="7D2349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（八）本项目不接受联合体参与报价，否则按无效处理。</w:t>
      </w:r>
    </w:p>
    <w:p w14:paraId="3D48A37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（九）本项目不接受合同分包，否则按无效处理。</w:t>
      </w:r>
    </w:p>
    <w:p w14:paraId="4EEB0E3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14:paraId="0E810136">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b/>
          <w:sz w:val="24"/>
          <w:szCs w:val="24"/>
        </w:rPr>
        <w:t>六、联系方式</w:t>
      </w:r>
      <w:bookmarkEnd w:id="0"/>
      <w:bookmarkEnd w:id="1"/>
      <w:bookmarkEnd w:id="2"/>
      <w:bookmarkEnd w:id="3"/>
      <w:bookmarkEnd w:id="4"/>
      <w:bookmarkEnd w:id="5"/>
      <w:bookmarkEnd w:id="6"/>
    </w:p>
    <w:p w14:paraId="0DFF70EB">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14:paraId="6CF620B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联系人：陈老师</w:t>
      </w:r>
    </w:p>
    <w:p w14:paraId="0ABDA93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话：023-63322505</w:t>
      </w:r>
    </w:p>
    <w:p w14:paraId="7503350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w:t>
      </w:r>
      <w:r>
        <w:rPr>
          <w:rFonts w:ascii="方正仿宋_GBK" w:hAnsi="宋体" w:eastAsia="方正仿宋_GBK"/>
          <w:sz w:val="24"/>
          <w:szCs w:val="24"/>
        </w:rPr>
        <w:t>63504672</w:t>
      </w:r>
    </w:p>
    <w:p w14:paraId="7AFDE42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址：重庆市渝中区华一路17号</w:t>
      </w:r>
    </w:p>
    <w:p w14:paraId="5527294F">
      <w:pPr>
        <w:snapToGrid w:val="0"/>
        <w:spacing w:line="380" w:lineRule="exact"/>
        <w:ind w:firstLine="480" w:firstLineChars="200"/>
        <w:rPr>
          <w:rFonts w:ascii="方正仿宋_GBK" w:hAnsi="宋体" w:eastAsia="方正仿宋_GBK"/>
          <w:sz w:val="24"/>
          <w:szCs w:val="24"/>
        </w:rPr>
        <w:sectPr>
          <w:headerReference r:id="rId9" w:type="default"/>
          <w:footerReference r:id="rId10" w:type="default"/>
          <w:pgSz w:w="11907" w:h="16840"/>
          <w:pgMar w:top="1134" w:right="1418" w:bottom="1134" w:left="1418" w:header="964" w:footer="992" w:gutter="0"/>
          <w:pgNumType w:fmt="numberInDash"/>
          <w:cols w:space="720" w:num="1"/>
          <w:docGrid w:linePitch="312" w:charSpace="0"/>
        </w:sectPr>
      </w:pPr>
    </w:p>
    <w:p w14:paraId="3323A70C">
      <w:pPr>
        <w:pStyle w:val="3"/>
        <w:spacing w:before="0" w:after="0" w:line="360" w:lineRule="auto"/>
        <w:jc w:val="center"/>
        <w:rPr>
          <w:rFonts w:ascii="方正小标宋_GBK" w:eastAsia="方正小标宋_GBK"/>
          <w:b w:val="0"/>
          <w:sz w:val="36"/>
          <w:szCs w:val="30"/>
        </w:rPr>
      </w:pPr>
      <w:bookmarkStart w:id="47" w:name="_Toc65660338"/>
      <w:bookmarkStart w:id="48" w:name="_Toc106034778"/>
      <w:bookmarkStart w:id="49" w:name="_Toc11327"/>
      <w:bookmarkStart w:id="50" w:name="_Toc1292"/>
      <w:bookmarkStart w:id="51" w:name="_Toc14516"/>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14:paraId="11A00611">
      <w:pPr>
        <w:jc w:val="center"/>
        <w:rPr>
          <w:b/>
        </w:rPr>
      </w:pPr>
    </w:p>
    <w:p w14:paraId="42B060DC">
      <w:pPr>
        <w:pStyle w:val="3"/>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6"/>
        <w:gridCol w:w="1694"/>
        <w:gridCol w:w="4558"/>
      </w:tblGrid>
      <w:tr w14:paraId="046C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376" w:type="dxa"/>
            <w:vAlign w:val="center"/>
          </w:tcPr>
          <w:p w14:paraId="4F7E222E">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1694" w:type="dxa"/>
            <w:vAlign w:val="center"/>
          </w:tcPr>
          <w:p w14:paraId="77F4719A">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14:paraId="38B8145B">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备注</w:t>
            </w:r>
          </w:p>
        </w:tc>
      </w:tr>
      <w:tr w14:paraId="50C9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6" w:type="dxa"/>
            <w:vAlign w:val="center"/>
          </w:tcPr>
          <w:p w14:paraId="03CB1E47">
            <w:pPr>
              <w:snapToGrid w:val="0"/>
              <w:spacing w:line="400" w:lineRule="exact"/>
              <w:ind w:firstLine="480" w:firstLineChars="200"/>
              <w:jc w:val="center"/>
              <w:rPr>
                <w:rFonts w:ascii="方正仿宋_GBK" w:hAnsi="宋体" w:eastAsia="方正仿宋_GBK"/>
                <w:sz w:val="24"/>
                <w:szCs w:val="24"/>
              </w:rPr>
            </w:pPr>
            <w:r>
              <w:rPr>
                <w:rFonts w:hint="eastAsia" w:ascii="方正仿宋_GBK" w:hAnsi="宋体" w:eastAsia="方正仿宋_GBK"/>
                <w:sz w:val="24"/>
                <w:szCs w:val="24"/>
              </w:rPr>
              <w:t>办公值班环境排危服务</w:t>
            </w:r>
          </w:p>
        </w:tc>
        <w:tc>
          <w:tcPr>
            <w:tcW w:w="1694" w:type="dxa"/>
            <w:vAlign w:val="center"/>
          </w:tcPr>
          <w:p w14:paraId="7501E0C7">
            <w:pPr>
              <w:spacing w:line="360" w:lineRule="auto"/>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14:paraId="0BDFB1B5">
            <w:pPr>
              <w:spacing w:line="400" w:lineRule="exact"/>
              <w:jc w:val="left"/>
              <w:rPr>
                <w:rFonts w:ascii="方正仿宋_GBK" w:hAnsi="宋体" w:eastAsia="方正仿宋_GBK"/>
                <w:sz w:val="24"/>
                <w:szCs w:val="24"/>
              </w:rPr>
            </w:pPr>
          </w:p>
        </w:tc>
      </w:tr>
    </w:tbl>
    <w:p w14:paraId="0919C43C">
      <w:pPr>
        <w:pStyle w:val="3"/>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二、服务内容、要求及标准</w:t>
      </w:r>
      <w:bookmarkEnd w:id="54"/>
    </w:p>
    <w:p w14:paraId="4704804F">
      <w:pPr>
        <w:pStyle w:val="3"/>
        <w:adjustRightInd w:val="0"/>
        <w:snapToGrid w:val="0"/>
        <w:spacing w:before="0" w:after="0" w:line="400" w:lineRule="exact"/>
        <w:ind w:firstLine="480" w:firstLineChars="200"/>
        <w:rPr>
          <w:rStyle w:val="26"/>
          <w:rFonts w:ascii="方正仿宋_GBK" w:hAnsi="仿宋" w:eastAsia="方正仿宋_GBK"/>
          <w:b w:val="0"/>
          <w:sz w:val="24"/>
          <w:szCs w:val="24"/>
        </w:rPr>
      </w:pPr>
      <w:bookmarkStart w:id="55" w:name="_Toc344475116"/>
      <w:bookmarkStart w:id="56" w:name="_Toc313536013"/>
      <w:bookmarkStart w:id="57" w:name="_Toc76462326"/>
      <w:bookmarkStart w:id="58" w:name="_Toc106030881"/>
      <w:r>
        <w:rPr>
          <w:rStyle w:val="26"/>
          <w:rFonts w:hint="default" w:ascii="方正仿宋_GBK" w:hAnsi="仿宋" w:eastAsia="方正仿宋_GBK"/>
          <w:bCs/>
          <w:sz w:val="24"/>
          <w:szCs w:val="24"/>
          <w:woUserID w:val="1"/>
        </w:rPr>
        <w:t>项目</w:t>
      </w:r>
      <w:r>
        <w:rPr>
          <w:rStyle w:val="26"/>
          <w:rFonts w:hint="eastAsia" w:ascii="方正仿宋_GBK" w:hAnsi="仿宋" w:eastAsia="方正仿宋_GBK"/>
          <w:bCs/>
          <w:sz w:val="24"/>
          <w:szCs w:val="24"/>
        </w:rPr>
        <w:t>相关内容</w:t>
      </w:r>
      <w:r>
        <w:rPr>
          <w:rStyle w:val="26"/>
          <w:rFonts w:hint="eastAsia" w:ascii="方正仿宋_GBK" w:hAnsi="仿宋" w:eastAsia="方正仿宋_GBK"/>
          <w:b w:val="0"/>
          <w:sz w:val="24"/>
          <w:szCs w:val="24"/>
        </w:rPr>
        <w:t>有：绘制处机关电路图，原有不符合规范及要求的配电设备改造更新，原有不符合规范及要求的线路改造更新，原有不符合规范及要求的插座及部分照明改造更新等；三楼漏水损坏区域泡水地板更换、损坏墙面修复、水毁吊顶更换、损坏</w:t>
      </w:r>
      <w:r>
        <w:rPr>
          <w:rStyle w:val="26"/>
          <w:rFonts w:hint="default" w:ascii="方正仿宋_GBK" w:hAnsi="仿宋" w:eastAsia="方正仿宋_GBK"/>
          <w:b w:val="0"/>
          <w:sz w:val="24"/>
          <w:szCs w:val="24"/>
          <w:woUserID w:val="1"/>
        </w:rPr>
        <w:t>设备</w:t>
      </w:r>
      <w:r>
        <w:rPr>
          <w:rStyle w:val="26"/>
          <w:rFonts w:hint="eastAsia" w:ascii="方正仿宋_GBK" w:hAnsi="仿宋" w:eastAsia="方正仿宋_GBK"/>
          <w:b w:val="0"/>
          <w:sz w:val="24"/>
          <w:szCs w:val="24"/>
        </w:rPr>
        <w:t>家电更新等，其他排危相关内容参考工程量清单。整改完成后在三楼排危维护区域设置监控值班大厅1个（原三楼大会议室），办公室5个，会商室1个，休息室2个，机房1个，配电室1个，洗漱间1个，活动室2个、走廊3处。</w:t>
      </w:r>
    </w:p>
    <w:p w14:paraId="3E19486D">
      <w:pPr>
        <w:snapToGrid w:val="0"/>
        <w:spacing w:line="400" w:lineRule="exact"/>
        <w:ind w:firstLine="480" w:firstLineChars="200"/>
        <w:rPr>
          <w:rStyle w:val="26"/>
          <w:rFonts w:ascii="方正仿宋_GBK" w:hAnsi="仿宋" w:eastAsia="方正仿宋_GBK"/>
          <w:sz w:val="24"/>
          <w:szCs w:val="24"/>
        </w:rPr>
      </w:pPr>
      <w:r>
        <w:rPr>
          <w:rStyle w:val="26"/>
          <w:rFonts w:hint="eastAsia" w:ascii="方正仿宋_GBK" w:hAnsi="仿宋" w:eastAsia="方正仿宋_GBK"/>
          <w:sz w:val="24"/>
          <w:szCs w:val="24"/>
        </w:rPr>
        <w:t>以上内容详见本项目设计施工图和设计说明中的所有内容以及招标答疑、补遗书等资料所涉及的全部内容。投标人按采购人提供的施工方案图及相关设计资料制作投标文件。</w:t>
      </w:r>
    </w:p>
    <w:p w14:paraId="2912AE0C">
      <w:pPr>
        <w:snapToGrid w:val="0"/>
        <w:spacing w:line="360" w:lineRule="auto"/>
        <w:ind w:firstLine="480" w:firstLineChars="200"/>
      </w:pPr>
      <w:r>
        <w:rPr>
          <w:rStyle w:val="26"/>
          <w:rFonts w:hint="eastAsia" w:ascii="方正仿宋_GBK" w:hAnsi="仿宋" w:eastAsia="方正仿宋_GBK"/>
          <w:sz w:val="24"/>
          <w:szCs w:val="24"/>
        </w:rPr>
        <w:t>平面布置图、工程量清单详见附件。</w:t>
      </w:r>
    </w:p>
    <w:p w14:paraId="479B9D7A">
      <w:pPr>
        <w:pStyle w:val="3"/>
        <w:adjustRightInd w:val="0"/>
        <w:snapToGrid w:val="0"/>
        <w:spacing w:before="0" w:after="0" w:line="400" w:lineRule="exact"/>
        <w:ind w:left="0" w:leftChars="0" w:firstLine="0" w:firstLineChars="0"/>
        <w:rPr>
          <w:rFonts w:ascii="方正仿宋_GBK" w:hAnsi="宋体" w:eastAsia="方正仿宋_GBK"/>
          <w:sz w:val="24"/>
        </w:rPr>
      </w:pPr>
      <w:r>
        <w:rPr>
          <w:rFonts w:hint="default" w:ascii="方正仿宋_GBK" w:hAnsi="宋体" w:eastAsia="方正仿宋_GBK"/>
          <w:sz w:val="24"/>
          <w:woUserID w:val="1"/>
        </w:rPr>
        <w:t xml:space="preserve">    </w:t>
      </w: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14:paraId="662BB6D0">
      <w:pPr>
        <w:pStyle w:val="27"/>
        <w:keepNext w:val="0"/>
        <w:widowControl/>
        <w:snapToGrid w:val="0"/>
        <w:spacing w:before="0" w:after="0" w:line="240" w:lineRule="auto"/>
        <w:ind w:firstLine="480" w:firstLineChars="200"/>
        <w:rPr>
          <w:rFonts w:ascii="方正仿宋_GBK" w:hAnsi="宋体" w:eastAsia="方正仿宋_GBK"/>
          <w:sz w:val="24"/>
          <w:szCs w:val="24"/>
        </w:rPr>
      </w:pPr>
      <w:bookmarkStart w:id="59" w:name="_Toc480558624"/>
      <w:r>
        <w:rPr>
          <w:rFonts w:hint="eastAsia" w:ascii="方正仿宋_GBK" w:hAnsi="宋体" w:eastAsia="方正仿宋_GBK"/>
          <w:b w:val="0"/>
          <w:bCs/>
          <w:sz w:val="24"/>
          <w:szCs w:val="24"/>
        </w:rPr>
        <w:t>（一）质量要求：1、</w:t>
      </w:r>
      <w:r>
        <w:rPr>
          <w:rStyle w:val="26"/>
          <w:rFonts w:hint="eastAsia" w:ascii="方正仿宋_GBK" w:hAnsi="仿宋" w:eastAsia="方正仿宋_GBK"/>
          <w:b w:val="0"/>
          <w:sz w:val="24"/>
          <w:szCs w:val="24"/>
        </w:rPr>
        <w:t>供应商所提供的服务应当符合国家法律、法规的相关规定； 2、供应商所提供的服务应当符合国家及行业的相关标准。</w:t>
      </w:r>
    </w:p>
    <w:p w14:paraId="52856FCE">
      <w:pPr>
        <w:adjustRightInd w:val="0"/>
        <w:snapToGrid w:val="0"/>
        <w:spacing w:line="400" w:lineRule="exact"/>
        <w:ind w:firstLine="480" w:firstLineChars="200"/>
        <w:jc w:val="left"/>
        <w:rPr>
          <w:rStyle w:val="26"/>
          <w:rFonts w:ascii="方正仿宋_GBK" w:hAnsi="仿宋" w:eastAsia="方正仿宋_GBK"/>
          <w:sz w:val="24"/>
          <w:szCs w:val="24"/>
        </w:rPr>
      </w:pPr>
      <w:r>
        <w:rPr>
          <w:rFonts w:hint="eastAsia" w:ascii="方正仿宋_GBK" w:hAnsi="宋体" w:eastAsia="方正仿宋_GBK"/>
          <w:sz w:val="24"/>
          <w:szCs w:val="24"/>
        </w:rPr>
        <w:t>（二）质量保修期：</w:t>
      </w:r>
      <w:r>
        <w:rPr>
          <w:rStyle w:val="26"/>
          <w:rFonts w:hint="eastAsia" w:ascii="方正仿宋_GBK" w:hAnsi="仿宋" w:eastAsia="方正仿宋_GBK"/>
          <w:sz w:val="24"/>
          <w:szCs w:val="24"/>
        </w:rPr>
        <w:t>国家法律、法规的相关规定。</w:t>
      </w:r>
    </w:p>
    <w:p w14:paraId="5B696778">
      <w:pPr>
        <w:pStyle w:val="3"/>
        <w:adjustRightInd w:val="0"/>
        <w:snapToGrid w:val="0"/>
        <w:spacing w:before="0" w:after="0" w:line="400" w:lineRule="exact"/>
        <w:ind w:left="0" w:leftChars="0" w:firstLine="0" w:firstLineChars="0"/>
        <w:rPr>
          <w:rFonts w:hint="eastAsia" w:ascii="方正仿宋_GBK" w:hAnsi="宋体" w:eastAsia="方正仿宋_GBK"/>
          <w:sz w:val="24"/>
          <w:szCs w:val="22"/>
        </w:rPr>
      </w:pPr>
      <w:r>
        <w:rPr>
          <w:rFonts w:hint="default" w:ascii="方正仿宋_GBK" w:hAnsi="宋体" w:eastAsia="方正仿宋_GBK"/>
          <w:sz w:val="24"/>
          <w:szCs w:val="22"/>
          <w:woUserID w:val="1"/>
        </w:rPr>
        <w:t xml:space="preserve">    </w:t>
      </w:r>
      <w:r>
        <w:rPr>
          <w:rFonts w:hint="eastAsia" w:ascii="方正仿宋_GBK" w:hAnsi="宋体" w:eastAsia="方正仿宋_GBK"/>
          <w:sz w:val="24"/>
          <w:szCs w:val="22"/>
        </w:rPr>
        <w:t>四、项目风险点告知</w:t>
      </w:r>
    </w:p>
    <w:p w14:paraId="33A5498C">
      <w:pPr>
        <w:snapToGrid w:val="0"/>
        <w:spacing w:line="400" w:lineRule="exact"/>
        <w:ind w:firstLine="480" w:firstLineChars="200"/>
        <w:rPr>
          <w:rStyle w:val="26"/>
          <w:rFonts w:hint="eastAsia" w:ascii="方正仿宋_GBK" w:hAnsi="仿宋" w:eastAsia="方正仿宋_GBK"/>
          <w:sz w:val="24"/>
          <w:szCs w:val="24"/>
        </w:rPr>
      </w:pPr>
      <w:r>
        <w:rPr>
          <w:rStyle w:val="26"/>
          <w:rFonts w:hint="eastAsia" w:ascii="方正仿宋_GBK" w:hAnsi="仿宋" w:eastAsia="方正仿宋_GBK"/>
          <w:sz w:val="24"/>
          <w:szCs w:val="24"/>
        </w:rPr>
        <w:t>（一）施工环境为中心城区老旧办公楼，投标人在投标报价时应充分考虑材料楼间转运、昼间施工运输限制等不利因素，并合理安排施工组织。</w:t>
      </w:r>
    </w:p>
    <w:p w14:paraId="7BAB8B8B">
      <w:pPr>
        <w:snapToGrid w:val="0"/>
        <w:spacing w:line="400" w:lineRule="exact"/>
        <w:ind w:firstLine="480" w:firstLineChars="200"/>
        <w:rPr>
          <w:rStyle w:val="26"/>
          <w:rFonts w:hint="eastAsia" w:ascii="方正仿宋_GBK" w:hAnsi="仿宋" w:eastAsia="方正仿宋_GBK"/>
          <w:sz w:val="24"/>
          <w:szCs w:val="24"/>
        </w:rPr>
      </w:pPr>
      <w:r>
        <w:rPr>
          <w:rStyle w:val="26"/>
          <w:rFonts w:hint="eastAsia" w:ascii="方正仿宋_GBK" w:hAnsi="仿宋" w:eastAsia="方正仿宋_GBK"/>
          <w:sz w:val="24"/>
          <w:szCs w:val="24"/>
        </w:rPr>
        <w:t>（二）中标供应商施工期间应采取降噪、抑尘等环保措施和必要的安全防护措施，因环保不达标及安全责任事故造成的后果由中标供应商负责，不得要求增加措施费或者延长施工工期。</w:t>
      </w:r>
    </w:p>
    <w:p w14:paraId="2B3EBB38">
      <w:pPr>
        <w:snapToGrid w:val="0"/>
        <w:spacing w:line="400" w:lineRule="exact"/>
        <w:ind w:firstLine="480" w:firstLineChars="200"/>
        <w:rPr>
          <w:rStyle w:val="26"/>
          <w:rFonts w:hint="eastAsia" w:ascii="方正仿宋_GBK" w:hAnsi="仿宋" w:eastAsia="方正仿宋_GBK"/>
          <w:sz w:val="24"/>
          <w:szCs w:val="24"/>
        </w:rPr>
      </w:pPr>
      <w:r>
        <w:rPr>
          <w:rStyle w:val="26"/>
          <w:rFonts w:hint="eastAsia" w:ascii="方正仿宋_GBK" w:hAnsi="仿宋" w:eastAsia="方正仿宋_GBK"/>
          <w:sz w:val="24"/>
          <w:szCs w:val="24"/>
        </w:rPr>
        <w:t>（三）施工过程中对项目所在物业设施造成破坏，中标供应商须恢复原样并通过华一大楼管理单位的验收认可，如果未恢复，则视为违约处理，同时保留追偿的权利。施工前，中标供应商应向相关部门进行必要施工备案。工程施工期间，噪声、废水、废弃物等处置需制定相关措施，严格遵守国家和重庆市环境保护相关法律法规的要求，保护好施工现场周边生活和生态环境。</w:t>
      </w:r>
    </w:p>
    <w:p w14:paraId="7255156B">
      <w:pPr>
        <w:pStyle w:val="2"/>
      </w:pPr>
    </w:p>
    <w:bookmarkEnd w:id="59"/>
    <w:p w14:paraId="1735068A">
      <w:pPr>
        <w:spacing w:line="400" w:lineRule="exact"/>
        <w:ind w:firstLine="480" w:firstLineChars="200"/>
        <w:rPr>
          <w:rFonts w:ascii="方正仿宋_GBK" w:hAnsi="宋体" w:eastAsia="方正仿宋_GBK"/>
          <w:sz w:val="24"/>
          <w:szCs w:val="24"/>
        </w:rPr>
      </w:pPr>
    </w:p>
    <w:p w14:paraId="7E31E97D">
      <w:pPr>
        <w:pStyle w:val="3"/>
        <w:spacing w:before="0" w:after="0" w:line="360" w:lineRule="auto"/>
        <w:jc w:val="center"/>
        <w:rPr>
          <w:rFonts w:ascii="方正小标宋_GBK" w:eastAsia="方正小标宋_GBK"/>
          <w:b w:val="0"/>
          <w:sz w:val="36"/>
          <w:szCs w:val="30"/>
        </w:rPr>
      </w:pPr>
      <w:bookmarkStart w:id="60" w:name="_Toc65660341"/>
      <w:bookmarkStart w:id="61" w:name="_Toc523"/>
      <w:bookmarkStart w:id="62" w:name="_Toc13356"/>
      <w:bookmarkStart w:id="63" w:name="_Toc15492"/>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14:paraId="08BB7A14">
      <w:pPr>
        <w:pStyle w:val="3"/>
        <w:adjustRightInd w:val="0"/>
        <w:snapToGrid w:val="0"/>
        <w:spacing w:before="0" w:after="0" w:line="400" w:lineRule="exact"/>
        <w:ind w:firstLine="480" w:firstLineChars="200"/>
        <w:rPr>
          <w:rFonts w:ascii="方正仿宋_GBK" w:hAnsi="宋体" w:eastAsia="方正仿宋_GBK"/>
          <w:sz w:val="24"/>
        </w:rPr>
      </w:pPr>
      <w:bookmarkStart w:id="65" w:name="_Toc13555"/>
      <w:bookmarkStart w:id="66" w:name="_Toc17750"/>
      <w:bookmarkStart w:id="67" w:name="_Toc12935"/>
      <w:bookmarkStart w:id="68" w:name="_Toc106034782"/>
      <w:bookmarkStart w:id="69" w:name="_Toc6566034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14:paraId="2B0CECF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（一）服务期：合同签订后</w:t>
      </w:r>
      <w:r>
        <w:rPr>
          <w:rFonts w:ascii="方正仿宋_GBK" w:hAnsi="宋体" w:eastAsia="方正仿宋_GBK"/>
          <w:sz w:val="24"/>
          <w:szCs w:val="24"/>
        </w:rPr>
        <w:t>4</w:t>
      </w:r>
      <w:r>
        <w:rPr>
          <w:rFonts w:hint="eastAsia" w:ascii="方正仿宋_GBK" w:hAnsi="宋体" w:eastAsia="方正仿宋_GBK"/>
          <w:sz w:val="24"/>
          <w:szCs w:val="24"/>
        </w:rPr>
        <w:t>0个日历日内完成全部施工</w:t>
      </w:r>
      <w:r>
        <w:rPr>
          <w:rFonts w:hint="eastAsia" w:ascii="宋体" w:hAnsi="宋体" w:cs="宋体"/>
          <w:sz w:val="24"/>
          <w:szCs w:val="24"/>
        </w:rPr>
        <w:t>。</w:t>
      </w:r>
    </w:p>
    <w:p w14:paraId="136B7CE9">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（二）服务地点：重庆市渝中区华一路1</w:t>
      </w:r>
      <w:r>
        <w:rPr>
          <w:rFonts w:ascii="方正仿宋_GBK" w:hAnsi="宋体" w:eastAsia="方正仿宋_GBK"/>
          <w:sz w:val="24"/>
          <w:szCs w:val="24"/>
        </w:rPr>
        <w:t>7</w:t>
      </w:r>
      <w:r>
        <w:rPr>
          <w:rFonts w:hint="eastAsia" w:ascii="方正仿宋_GBK" w:hAnsi="宋体" w:eastAsia="方正仿宋_GBK"/>
          <w:sz w:val="24"/>
          <w:szCs w:val="24"/>
        </w:rPr>
        <w:t>号重庆市嘉陵江航道管理处。</w:t>
      </w:r>
    </w:p>
    <w:p w14:paraId="312BC734">
      <w:pPr>
        <w:pStyle w:val="3"/>
        <w:adjustRightInd w:val="0"/>
        <w:snapToGrid w:val="0"/>
        <w:spacing w:before="0" w:after="0"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（三）验收方式及验收标准</w:t>
      </w:r>
    </w:p>
    <w:p w14:paraId="54675863">
      <w:pPr>
        <w:snapToGrid w:val="0"/>
        <w:spacing w:line="400" w:lineRule="exact"/>
        <w:ind w:firstLine="480" w:firstLineChars="200"/>
        <w:rPr>
          <w:rFonts w:ascii="方正仿宋_GBK" w:hAnsi="宋体" w:eastAsia="方正仿宋_GBK"/>
          <w:sz w:val="24"/>
          <w:szCs w:val="24"/>
        </w:rPr>
      </w:pPr>
      <w:bookmarkStart w:id="71" w:name="_Toc8103"/>
      <w:bookmarkStart w:id="72" w:name="_Toc1838"/>
      <w:bookmarkStart w:id="73" w:name="_Toc24110"/>
      <w:bookmarkStart w:id="74" w:name="_Toc106034783"/>
      <w:bookmarkStart w:id="75" w:name="_Toc65660343"/>
      <w:r>
        <w:rPr>
          <w:rFonts w:hint="eastAsia" w:ascii="方正仿宋_GBK" w:hAnsi="宋体" w:eastAsia="方正仿宋_GBK"/>
          <w:sz w:val="24"/>
          <w:szCs w:val="24"/>
        </w:rPr>
        <w:t>1</w:t>
      </w:r>
      <w:r>
        <w:rPr>
          <w:rFonts w:hint="default" w:ascii="方正仿宋_GBK" w:hAnsi="宋体" w:eastAsia="方正仿宋_GBK"/>
          <w:sz w:val="24"/>
          <w:szCs w:val="24"/>
          <w:woUserID w:val="1"/>
        </w:rPr>
        <w:t>.</w:t>
      </w:r>
      <w:r>
        <w:rPr>
          <w:rFonts w:hint="eastAsia" w:ascii="方正仿宋_GBK" w:hAnsi="宋体" w:eastAsia="方正仿宋_GBK"/>
          <w:sz w:val="24"/>
          <w:szCs w:val="24"/>
        </w:rPr>
        <w:t>中标供应商在材料进场时应通知采购人对材料进行进场确认，如与中标供应商承诺的要求不一致，采购人有权拒绝材料进场，由此造成的一切损失由中标供应商负责。</w:t>
      </w:r>
    </w:p>
    <w:p w14:paraId="6F7F0BE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default" w:ascii="方正仿宋_GBK" w:hAnsi="宋体" w:eastAsia="方正仿宋_GBK"/>
          <w:sz w:val="24"/>
          <w:szCs w:val="24"/>
          <w:woUserID w:val="1"/>
        </w:rPr>
        <w:t>.</w:t>
      </w:r>
      <w:r>
        <w:rPr>
          <w:rFonts w:hint="eastAsia" w:ascii="方正仿宋_GBK" w:hAnsi="宋体" w:eastAsia="方正仿宋_GBK"/>
          <w:sz w:val="24"/>
          <w:szCs w:val="24"/>
        </w:rPr>
        <w:t>中标供应商在完工并自检合格后，向采购人提交完整的项目完工资料和验收申请，采购人在收到项目完工资料和验收申请之日起15日内对资料进行审核并组织验收，若完工资料不满足相关要求，供应商需整改并重新申请验收。</w:t>
      </w:r>
    </w:p>
    <w:p w14:paraId="76A40AB3">
      <w:pPr>
        <w:snapToGrid w:val="0"/>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3</w:t>
      </w:r>
      <w:r>
        <w:rPr>
          <w:rFonts w:ascii="方正仿宋_GBK" w:hAnsi="宋体" w:eastAsia="方正仿宋_GBK"/>
          <w:sz w:val="24"/>
          <w:szCs w:val="24"/>
          <w:woUserID w:val="1"/>
        </w:rPr>
        <w:t>.</w:t>
      </w:r>
      <w:r>
        <w:rPr>
          <w:rFonts w:hint="eastAsia" w:ascii="方正仿宋_GBK" w:hAnsi="宋体" w:eastAsia="方正仿宋_GBK"/>
          <w:sz w:val="24"/>
          <w:szCs w:val="24"/>
        </w:rPr>
        <w:t>验收小组按照政府采购合同、图纸、国家有关规定标准和政策性文件等进行实地验收。</w:t>
      </w:r>
    </w:p>
    <w:p w14:paraId="345FF385">
      <w:pPr>
        <w:pStyle w:val="3"/>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二、质量保证</w:t>
      </w:r>
      <w:bookmarkEnd w:id="71"/>
      <w:bookmarkEnd w:id="72"/>
      <w:bookmarkEnd w:id="73"/>
      <w:bookmarkEnd w:id="74"/>
      <w:bookmarkEnd w:id="75"/>
      <w:r>
        <w:rPr>
          <w:rFonts w:hint="eastAsia" w:ascii="方正仿宋_GBK" w:hAnsi="宋体" w:eastAsia="方正仿宋_GBK"/>
          <w:sz w:val="24"/>
        </w:rPr>
        <w:t>及售后</w:t>
      </w:r>
    </w:p>
    <w:p w14:paraId="0B87EA18">
      <w:pPr>
        <w:snapToGrid w:val="0"/>
        <w:spacing w:line="400" w:lineRule="exact"/>
        <w:ind w:firstLine="480" w:firstLineChars="200"/>
        <w:rPr>
          <w:rFonts w:ascii="方正仿宋_GBK" w:hAnsi="宋体" w:eastAsia="方正仿宋_GBK"/>
          <w:sz w:val="24"/>
          <w:szCs w:val="24"/>
        </w:rPr>
      </w:pPr>
      <w:bookmarkStart w:id="76" w:name="_Toc106034784"/>
      <w:bookmarkStart w:id="77" w:name="_Toc12184"/>
      <w:bookmarkStart w:id="78" w:name="_Toc65660344"/>
      <w:bookmarkStart w:id="79" w:name="_Toc16974"/>
      <w:bookmarkStart w:id="80" w:name="_Toc122"/>
      <w:r>
        <w:rPr>
          <w:rFonts w:hint="eastAsia" w:ascii="方正仿宋_GBK" w:hAnsi="宋体" w:eastAsia="方正仿宋_GBK"/>
          <w:sz w:val="24"/>
          <w:szCs w:val="24"/>
        </w:rPr>
        <w:t>在正常使用条件下，最低保修期限为：　</w:t>
      </w:r>
    </w:p>
    <w:p w14:paraId="42E5C55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屋面防水、有防水要求的卫生间、房间和外墙面的防渗漏，为5年；</w:t>
      </w:r>
    </w:p>
    <w:p w14:paraId="70F1666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1.项目质保期需满足重庆市建设工程质量监督总站监制《重庆市建设工程质量保修书》相关要求。</w:t>
      </w:r>
    </w:p>
    <w:p w14:paraId="3377A9D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 质保期内，所有设备和施工质量缺陷的维护及维修（非人为损坏）均为免费。</w:t>
      </w:r>
    </w:p>
    <w:p w14:paraId="6541763B">
      <w:pPr>
        <w:pStyle w:val="3"/>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三、报价要求</w:t>
      </w:r>
      <w:bookmarkEnd w:id="76"/>
      <w:bookmarkEnd w:id="77"/>
      <w:bookmarkEnd w:id="78"/>
      <w:bookmarkEnd w:id="79"/>
      <w:bookmarkEnd w:id="80"/>
    </w:p>
    <w:p w14:paraId="4206778E">
      <w:pPr>
        <w:snapToGrid w:val="0"/>
        <w:spacing w:line="400" w:lineRule="exact"/>
        <w:ind w:firstLine="480" w:firstLineChars="200"/>
        <w:rPr>
          <w:rFonts w:ascii="方正仿宋_GBK" w:hAnsi="宋体" w:eastAsia="方正仿宋_GBK"/>
          <w:sz w:val="24"/>
          <w:szCs w:val="24"/>
        </w:rPr>
      </w:pPr>
      <w:bookmarkStart w:id="81" w:name="_Toc106034785"/>
      <w:bookmarkStart w:id="82" w:name="_Toc65660345"/>
      <w:bookmarkStart w:id="83" w:name="_Toc9192"/>
      <w:bookmarkStart w:id="84" w:name="_Toc11000"/>
      <w:bookmarkStart w:id="85" w:name="_Toc7562"/>
      <w:r>
        <w:rPr>
          <w:rFonts w:hint="eastAsia" w:ascii="方正仿宋_GBK" w:hAnsi="宋体" w:eastAsia="方正仿宋_GBK"/>
          <w:sz w:val="24"/>
          <w:szCs w:val="24"/>
        </w:rPr>
        <w:t>本项目实行固定总价包干，投标人应根据本项目自行考虑投标总报价，中标价即为合同价。</w:t>
      </w:r>
    </w:p>
    <w:p w14:paraId="2DBFFF6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default" w:ascii="方正仿宋_GBK" w:hAnsi="宋体" w:eastAsia="方正仿宋_GBK"/>
          <w:sz w:val="24"/>
          <w:szCs w:val="24"/>
          <w:woUserID w:val="1"/>
        </w:rPr>
        <w:t>.</w:t>
      </w:r>
      <w:r>
        <w:rPr>
          <w:rFonts w:hint="eastAsia" w:ascii="方正仿宋_GBK" w:hAnsi="宋体" w:eastAsia="方正仿宋_GBK"/>
          <w:sz w:val="24"/>
          <w:szCs w:val="24"/>
        </w:rPr>
        <w:t>本招标项目报价以人民币报价。</w:t>
      </w:r>
    </w:p>
    <w:p w14:paraId="379AB9C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default" w:ascii="方正仿宋_GBK" w:hAnsi="宋体" w:eastAsia="方正仿宋_GBK"/>
          <w:sz w:val="24"/>
          <w:szCs w:val="24"/>
          <w:woUserID w:val="1"/>
        </w:rPr>
        <w:t>.</w:t>
      </w:r>
      <w:r>
        <w:rPr>
          <w:rFonts w:hint="eastAsia" w:ascii="方正仿宋_GBK" w:hAnsi="宋体" w:eastAsia="方正仿宋_GBK"/>
          <w:sz w:val="24"/>
          <w:szCs w:val="24"/>
        </w:rPr>
        <w:t>投标报价：本项目采用清单计价，综合单价报价应包括人工费、材料费、机械使用费、管理费、安全文明专项措施费、利润、承包商承担的风险综合单价以及政府有关部门收取的规费等全部费用。因投标人自身原因造成漏报、少报皆由其自行承担责任，采购人不再补偿。</w:t>
      </w:r>
    </w:p>
    <w:p w14:paraId="348D2DC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hint="default" w:ascii="方正仿宋_GBK" w:hAnsi="宋体" w:eastAsia="方正仿宋_GBK"/>
          <w:sz w:val="24"/>
          <w:szCs w:val="24"/>
          <w:woUserID w:val="1"/>
        </w:rPr>
        <w:t>.</w:t>
      </w:r>
      <w:r>
        <w:rPr>
          <w:rFonts w:hint="eastAsia" w:ascii="方正仿宋_GBK" w:hAnsi="宋体" w:eastAsia="方正仿宋_GBK"/>
          <w:sz w:val="24"/>
          <w:szCs w:val="24"/>
        </w:rPr>
        <w:t>报价范围：本项目施工图和附件所示范围及本文件第二篇项目服务所要求的全部内容，具体详见采购人提供的施工图、招标文件、答疑、补遗等资料。投标人要复核图纸确定工程量和项目，若施工单位进场后实测的工程量与施工图工程量有误差，因采购人工程量清单内工程量和项目增减带来的风险由投标人自行承担。</w:t>
      </w:r>
    </w:p>
    <w:p w14:paraId="56A9215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hint="default" w:ascii="方正仿宋_GBK" w:hAnsi="宋体" w:eastAsia="方正仿宋_GBK"/>
          <w:sz w:val="24"/>
          <w:szCs w:val="24"/>
          <w:woUserID w:val="1"/>
        </w:rPr>
        <w:t>.</w:t>
      </w:r>
      <w:r>
        <w:rPr>
          <w:rFonts w:hint="eastAsia" w:ascii="方正仿宋_GBK" w:hAnsi="宋体" w:eastAsia="方正仿宋_GBK"/>
          <w:sz w:val="24"/>
          <w:szCs w:val="24"/>
        </w:rPr>
        <w:t>投标人可现场踏勘，自行复核</w:t>
      </w:r>
      <w:r>
        <w:rPr>
          <w:rFonts w:hint="default" w:ascii="方正仿宋_GBK" w:hAnsi="宋体" w:eastAsia="方正仿宋_GBK"/>
          <w:sz w:val="24"/>
          <w:szCs w:val="24"/>
          <w:woUserID w:val="1"/>
        </w:rPr>
        <w:t>工作内容及</w:t>
      </w:r>
      <w:r>
        <w:rPr>
          <w:rFonts w:hint="eastAsia" w:ascii="方正仿宋_GBK" w:hAnsi="宋体" w:eastAsia="方正仿宋_GBK"/>
          <w:sz w:val="24"/>
          <w:szCs w:val="24"/>
        </w:rPr>
        <w:t>工程量，以充分理解项目内容、要求及范围，了解项目位置情况、道路、储存空间、装卸限制及任何其它足以影响报价的情况，任何因忽视或误解项目情况而导致的结果由中标供应商自行承担。</w:t>
      </w:r>
    </w:p>
    <w:p w14:paraId="3FDDEDF5">
      <w:pPr>
        <w:pStyle w:val="2"/>
      </w:pPr>
    </w:p>
    <w:p w14:paraId="3A4DD2E7">
      <w:pPr>
        <w:pStyle w:val="3"/>
        <w:adjustRightInd w:val="0"/>
        <w:snapToGrid w:val="0"/>
        <w:spacing w:before="0" w:after="0" w:line="240" w:lineRule="auto"/>
        <w:ind w:firstLine="480" w:firstLineChars="200"/>
        <w:rPr>
          <w:rFonts w:ascii="方正仿宋_GBK" w:hAnsi="宋体" w:eastAsia="方正仿宋_GBK"/>
          <w:sz w:val="24"/>
        </w:rPr>
      </w:pPr>
      <w:r>
        <w:rPr>
          <w:rFonts w:hint="eastAsia" w:ascii="方正仿宋_GBK" w:hAnsi="宋体" w:eastAsia="方正仿宋_GBK"/>
          <w:sz w:val="24"/>
        </w:rPr>
        <w:t>四、付款方式</w:t>
      </w:r>
      <w:bookmarkEnd w:id="81"/>
      <w:bookmarkEnd w:id="82"/>
      <w:bookmarkEnd w:id="83"/>
      <w:bookmarkEnd w:id="84"/>
      <w:bookmarkEnd w:id="85"/>
    </w:p>
    <w:p w14:paraId="46971A34">
      <w:pPr>
        <w:pStyle w:val="3"/>
        <w:adjustRightInd w:val="0"/>
        <w:snapToGrid w:val="0"/>
        <w:spacing w:before="0" w:after="0" w:line="400" w:lineRule="exact"/>
        <w:ind w:firstLine="480" w:firstLineChars="200"/>
        <w:rPr>
          <w:rStyle w:val="26"/>
          <w:rFonts w:hint="eastAsia" w:ascii="方正仿宋_GBK" w:hAnsi="仿宋" w:eastAsia="方正仿宋_GBK"/>
          <w:b w:val="0"/>
          <w:sz w:val="24"/>
          <w:szCs w:val="24"/>
        </w:rPr>
      </w:pPr>
      <w:bookmarkStart w:id="86" w:name="_Toc7228"/>
      <w:bookmarkStart w:id="87" w:name="_Toc106034786"/>
      <w:bookmarkStart w:id="88" w:name="_Toc65660346"/>
      <w:bookmarkStart w:id="89" w:name="_Toc24751"/>
      <w:bookmarkStart w:id="90" w:name="_Toc3786"/>
      <w:r>
        <w:rPr>
          <w:rStyle w:val="26"/>
          <w:rFonts w:hint="eastAsia" w:ascii="方正仿宋_GBK" w:hAnsi="仿宋" w:eastAsia="方正仿宋_GBK"/>
          <w:b w:val="0"/>
          <w:sz w:val="24"/>
          <w:szCs w:val="24"/>
        </w:rPr>
        <w:t>本项目分三次付款,材料进场后，采购人支付合同金额的</w:t>
      </w:r>
      <w:r>
        <w:rPr>
          <w:rStyle w:val="26"/>
          <w:rFonts w:ascii="方正仿宋_GBK" w:hAnsi="仿宋" w:eastAsia="方正仿宋_GBK"/>
          <w:b w:val="0"/>
          <w:sz w:val="24"/>
          <w:szCs w:val="24"/>
        </w:rPr>
        <w:t>4</w:t>
      </w:r>
      <w:r>
        <w:rPr>
          <w:rStyle w:val="26"/>
          <w:rFonts w:hint="eastAsia" w:ascii="方正仿宋_GBK" w:hAnsi="仿宋" w:eastAsia="方正仿宋_GBK"/>
          <w:b w:val="0"/>
          <w:sz w:val="24"/>
          <w:szCs w:val="24"/>
        </w:rPr>
        <w:t>0%；成交供应商完成服务，项目全部完工且验收合格后，供应商提供正式发票,采购人支付至合同金额的</w:t>
      </w:r>
      <w:r>
        <w:rPr>
          <w:rStyle w:val="26"/>
          <w:rFonts w:ascii="方正仿宋_GBK" w:hAnsi="仿宋" w:eastAsia="方正仿宋_GBK"/>
          <w:b w:val="0"/>
          <w:sz w:val="24"/>
          <w:szCs w:val="24"/>
        </w:rPr>
        <w:t>9</w:t>
      </w:r>
      <w:r>
        <w:rPr>
          <w:rStyle w:val="26"/>
          <w:rFonts w:hint="eastAsia" w:ascii="方正仿宋_GBK" w:hAnsi="仿宋" w:eastAsia="方正仿宋_GBK"/>
          <w:b w:val="0"/>
          <w:sz w:val="24"/>
          <w:szCs w:val="24"/>
        </w:rPr>
        <w:t>0%；结算审查后支付剩余合同款项。因乙方的原因造成工期延误（2024年12月15日前未完工），导致预算资金在支付限期内（2024年12月20日前）未支付被重庆市财政局收回，则乙方剩余工程进度款暂缓支付，甲方不承担逾期付款违约责任，直至达到本合同约定的支付条件后，甲方再予以支付。</w:t>
      </w:r>
    </w:p>
    <w:p w14:paraId="0468C342">
      <w:pPr>
        <w:pStyle w:val="3"/>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五、知识产权</w:t>
      </w:r>
    </w:p>
    <w:p w14:paraId="1EB8A014">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14:paraId="17050C61">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F317166">
      <w:pPr>
        <w:pStyle w:val="3"/>
        <w:adjustRightInd w:val="0"/>
        <w:snapToGrid w:val="0"/>
        <w:spacing w:before="0" w:after="0" w:line="400" w:lineRule="exact"/>
        <w:ind w:firstLine="480" w:firstLineChars="200"/>
        <w:rPr>
          <w:rFonts w:ascii="方正仿宋_GBK" w:hAnsi="宋体" w:eastAsia="方正仿宋_GBK"/>
          <w:sz w:val="24"/>
        </w:rPr>
      </w:pPr>
      <w:bookmarkStart w:id="91" w:name="_Toc6869"/>
      <w:bookmarkStart w:id="92" w:name="_Toc65660347"/>
      <w:bookmarkStart w:id="93" w:name="_Toc5555"/>
      <w:bookmarkStart w:id="94" w:name="_Toc6565"/>
      <w:bookmarkStart w:id="95" w:name="_Toc106034787"/>
      <w:r>
        <w:rPr>
          <w:rFonts w:hint="eastAsia" w:ascii="方正仿宋_GBK" w:hAnsi="宋体" w:eastAsia="方正仿宋_GBK"/>
          <w:sz w:val="24"/>
        </w:rPr>
        <w:t>六、培训</w:t>
      </w:r>
      <w:bookmarkEnd w:id="91"/>
      <w:bookmarkEnd w:id="92"/>
      <w:bookmarkEnd w:id="93"/>
      <w:bookmarkEnd w:id="94"/>
      <w:bookmarkEnd w:id="95"/>
    </w:p>
    <w:p w14:paraId="2E365FB5">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成交供应商须提供对设备的操作培训，使相关使用人员能够正常操作相关设备。</w:t>
      </w:r>
    </w:p>
    <w:p w14:paraId="1C201A5F">
      <w:pPr>
        <w:pStyle w:val="3"/>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96" w:name="_Toc18104"/>
      <w:bookmarkStart w:id="97" w:name="_Toc31910"/>
      <w:bookmarkStart w:id="98" w:name="_Toc19427"/>
      <w:bookmarkStart w:id="99" w:name="_Toc25707"/>
      <w:bookmarkStart w:id="100" w:name="_Toc947"/>
      <w:bookmarkStart w:id="101" w:name="_Toc108013105"/>
      <w:bookmarkStart w:id="102" w:name="_Toc466546918"/>
      <w:bookmarkStart w:id="103" w:name="_Toc2954"/>
      <w:bookmarkStart w:id="104" w:name="_Toc21248"/>
      <w:bookmarkStart w:id="105" w:name="_Toc106034788"/>
      <w:bookmarkStart w:id="106" w:name="_Toc65660348"/>
      <w:bookmarkStart w:id="107" w:name="_Toc31659"/>
      <w:bookmarkStart w:id="108" w:name="_Toc23902"/>
      <w:r>
        <w:rPr>
          <w:rFonts w:hint="eastAsia" w:ascii="方正仿宋_GBK" w:hAnsi="方正仿宋_GBK" w:eastAsia="方正仿宋_GBK" w:cs="方正仿宋_GBK"/>
          <w:sz w:val="24"/>
        </w:rPr>
        <w:t>七、项目风险管控</w:t>
      </w:r>
      <w:bookmarkEnd w:id="96"/>
      <w:bookmarkEnd w:id="97"/>
      <w:bookmarkEnd w:id="98"/>
      <w:bookmarkEnd w:id="99"/>
      <w:bookmarkEnd w:id="100"/>
      <w:bookmarkEnd w:id="101"/>
    </w:p>
    <w:p w14:paraId="71AC420B">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14:paraId="342AA1AA">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14:paraId="47CD785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14:paraId="563CC0AA">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9"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2"/>
      <w:bookmarkEnd w:id="103"/>
      <w:bookmarkEnd w:id="109"/>
    </w:p>
    <w:p w14:paraId="73009A3D">
      <w:pPr>
        <w:pStyle w:val="3"/>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14:paraId="3E548560">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14:paraId="1DA9424D">
      <w:pPr>
        <w:pStyle w:val="3"/>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九、合同争议</w:t>
      </w:r>
    </w:p>
    <w:p w14:paraId="586874F2">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14:paraId="41CAA273">
      <w:pPr>
        <w:pStyle w:val="3"/>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十、其他</w:t>
      </w:r>
      <w:bookmarkEnd w:id="104"/>
      <w:bookmarkEnd w:id="105"/>
      <w:bookmarkEnd w:id="106"/>
      <w:bookmarkEnd w:id="107"/>
      <w:bookmarkEnd w:id="108"/>
    </w:p>
    <w:p w14:paraId="48F5A0C5">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14:paraId="490AFC1B">
      <w:pPr>
        <w:rPr>
          <w:rFonts w:hint="eastAsia"/>
        </w:rPr>
      </w:pPr>
    </w:p>
    <w:bookmarkEnd w:id="86"/>
    <w:bookmarkEnd w:id="87"/>
    <w:bookmarkEnd w:id="88"/>
    <w:bookmarkEnd w:id="89"/>
    <w:bookmarkEnd w:id="90"/>
    <w:p w14:paraId="49C5E397">
      <w:pPr>
        <w:snapToGrid w:val="0"/>
        <w:spacing w:line="400" w:lineRule="exact"/>
        <w:ind w:firstLine="540"/>
        <w:rPr>
          <w:rFonts w:ascii="方正仿宋_GBK" w:eastAsia="方正仿宋_GBK"/>
          <w:sz w:val="24"/>
          <w:szCs w:val="24"/>
        </w:rPr>
      </w:pPr>
    </w:p>
    <w:bookmarkEnd w:id="70"/>
    <w:p w14:paraId="186847F3">
      <w:pPr>
        <w:pStyle w:val="3"/>
        <w:pageBreakBefore/>
        <w:spacing w:before="0" w:after="0" w:line="360" w:lineRule="auto"/>
        <w:rPr>
          <w:rFonts w:ascii="方正小标宋_GBK" w:hAnsi="宋体" w:eastAsia="方正小标宋_GBK"/>
          <w:b w:val="0"/>
          <w:sz w:val="36"/>
          <w:szCs w:val="30"/>
        </w:rPr>
      </w:pPr>
      <w:bookmarkStart w:id="110" w:name="_Toc106030887"/>
      <w:bookmarkStart w:id="111" w:name="_Toc76462332"/>
      <w:bookmarkStart w:id="112" w:name="_Toc11641055"/>
      <w:bookmarkStart w:id="113" w:name="_Toc12789059"/>
      <w:bookmarkStart w:id="114" w:name="_Toc65660365"/>
      <w:bookmarkStart w:id="115" w:name="_Toc28162"/>
      <w:bookmarkStart w:id="116" w:name="_Toc14861"/>
      <w:bookmarkStart w:id="117" w:name="_Toc10599"/>
      <w:bookmarkStart w:id="118" w:name="_Toc106034806"/>
      <w:r>
        <w:rPr>
          <w:rFonts w:hint="eastAsia" w:ascii="方正小标宋_GBK" w:hAnsi="宋体" w:eastAsia="方正小标宋_GBK"/>
          <w:b w:val="0"/>
          <w:sz w:val="36"/>
          <w:szCs w:val="30"/>
        </w:rPr>
        <w:t>第四篇  评分程序及方法、评审标准、无效响应和</w:t>
      </w:r>
      <w:r>
        <w:rPr>
          <w:rFonts w:hint="eastAsia" w:ascii="方正小标宋_GBK" w:eastAsia="方正小标宋_GBK"/>
          <w:b w:val="0"/>
          <w:sz w:val="36"/>
          <w:szCs w:val="36"/>
        </w:rPr>
        <w:t>采购终止</w:t>
      </w:r>
      <w:bookmarkEnd w:id="110"/>
      <w:bookmarkEnd w:id="111"/>
    </w:p>
    <w:p w14:paraId="34DE32F0">
      <w:pPr>
        <w:pStyle w:val="3"/>
        <w:adjustRightInd w:val="0"/>
        <w:snapToGrid w:val="0"/>
        <w:spacing w:before="0" w:after="0" w:line="400" w:lineRule="exact"/>
        <w:ind w:firstLine="480" w:firstLineChars="200"/>
        <w:rPr>
          <w:rFonts w:ascii="方正仿宋_GBK" w:hAnsi="宋体" w:eastAsia="方正仿宋_GBK"/>
          <w:sz w:val="24"/>
        </w:rPr>
      </w:pPr>
      <w:bookmarkStart w:id="119" w:name="_Toc76462333"/>
      <w:bookmarkStart w:id="120" w:name="_Toc106030888"/>
      <w:r>
        <w:rPr>
          <w:rFonts w:hint="eastAsia" w:ascii="方正仿宋_GBK" w:hAnsi="宋体" w:eastAsia="方正仿宋_GBK"/>
          <w:sz w:val="24"/>
        </w:rPr>
        <w:t>一、评分程序及方法</w:t>
      </w:r>
      <w:bookmarkEnd w:id="119"/>
      <w:bookmarkEnd w:id="120"/>
    </w:p>
    <w:p w14:paraId="1E7CFC4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（一）评分按采购文件规定的时间和地点进行，供应商须有法定代表人（或其授权代表）或自然人参加并签到。限额以下磋商评分以抽签的形式确定磋商顺序，由本项目评审小组分别与各供应商进行磋商。</w:t>
      </w:r>
    </w:p>
    <w:p w14:paraId="67D736F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（二）评审小组对各供应商的资格条件、响应文件的有效性、完整性和响应程度进行审查。各供应商只有在完全符合要求的前提下，才能参与正式磋商。</w:t>
      </w:r>
    </w:p>
    <w:p w14:paraId="0F3DE3BE">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资格性审查。依据法律法规和采购文件的规定，对响应文件中的资格证明、等进行审查，以确定供应商是否具备磋商资格。资格性审查资料表如下：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B1C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B927C18">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827" w:type="dxa"/>
            <w:gridSpan w:val="2"/>
            <w:tcBorders>
              <w:top w:val="single" w:color="auto" w:sz="4" w:space="0"/>
              <w:left w:val="single" w:color="auto" w:sz="4" w:space="0"/>
              <w:bottom w:val="single" w:color="auto" w:sz="4" w:space="0"/>
              <w:right w:val="single" w:color="auto" w:sz="4" w:space="0"/>
            </w:tcBorders>
            <w:vAlign w:val="center"/>
          </w:tcPr>
          <w:p w14:paraId="50242D0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4984" w:type="dxa"/>
            <w:tcBorders>
              <w:top w:val="single" w:color="auto" w:sz="4" w:space="0"/>
              <w:left w:val="single" w:color="auto" w:sz="4" w:space="0"/>
              <w:bottom w:val="single" w:color="auto" w:sz="4" w:space="0"/>
              <w:right w:val="single" w:color="auto" w:sz="4" w:space="0"/>
            </w:tcBorders>
            <w:vAlign w:val="center"/>
          </w:tcPr>
          <w:p w14:paraId="297E7E23">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33D1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79DCDAA">
            <w:pPr>
              <w:jc w:val="cente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14:paraId="0463B6AB">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3118" w:type="dxa"/>
            <w:vAlign w:val="center"/>
          </w:tcPr>
          <w:p w14:paraId="30C636E9">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4984" w:type="dxa"/>
            <w:vAlign w:val="center"/>
          </w:tcPr>
          <w:p w14:paraId="63CA08A5">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14:paraId="59B0853F">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14:paraId="11C3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F2194A9">
            <w:pPr>
              <w:jc w:val="center"/>
              <w:rPr>
                <w:rFonts w:ascii="方正仿宋_GBK" w:hAnsi="仿宋" w:eastAsia="方正仿宋_GBK"/>
                <w:sz w:val="21"/>
                <w:szCs w:val="21"/>
              </w:rPr>
            </w:pPr>
          </w:p>
        </w:tc>
        <w:tc>
          <w:tcPr>
            <w:tcW w:w="709" w:type="dxa"/>
            <w:vMerge w:val="continue"/>
            <w:vAlign w:val="center"/>
          </w:tcPr>
          <w:p w14:paraId="43731F76">
            <w:pPr>
              <w:rPr>
                <w:rFonts w:ascii="方正仿宋_GBK" w:hAnsi="仿宋" w:eastAsia="方正仿宋_GBK" w:cs="仿宋_GB2312"/>
                <w:sz w:val="21"/>
                <w:szCs w:val="21"/>
                <w:lang w:val="zh-CN"/>
              </w:rPr>
            </w:pPr>
          </w:p>
        </w:tc>
        <w:tc>
          <w:tcPr>
            <w:tcW w:w="3118" w:type="dxa"/>
            <w:vAlign w:val="center"/>
          </w:tcPr>
          <w:p w14:paraId="23D9C80C">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4984" w:type="dxa"/>
            <w:vMerge w:val="restart"/>
            <w:vAlign w:val="center"/>
          </w:tcPr>
          <w:p w14:paraId="207092E9">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14:paraId="4919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A97584">
            <w:pPr>
              <w:jc w:val="center"/>
              <w:rPr>
                <w:rFonts w:ascii="方正仿宋_GBK" w:hAnsi="仿宋" w:eastAsia="方正仿宋_GBK"/>
                <w:sz w:val="21"/>
                <w:szCs w:val="21"/>
              </w:rPr>
            </w:pPr>
          </w:p>
        </w:tc>
        <w:tc>
          <w:tcPr>
            <w:tcW w:w="709" w:type="dxa"/>
            <w:vMerge w:val="continue"/>
            <w:vAlign w:val="center"/>
          </w:tcPr>
          <w:p w14:paraId="61C9A777">
            <w:pPr>
              <w:rPr>
                <w:rFonts w:ascii="方正仿宋_GBK" w:hAnsi="仿宋" w:eastAsia="方正仿宋_GBK" w:cs="仿宋_GB2312"/>
                <w:sz w:val="21"/>
                <w:szCs w:val="21"/>
                <w:lang w:val="zh-CN"/>
              </w:rPr>
            </w:pPr>
          </w:p>
        </w:tc>
        <w:tc>
          <w:tcPr>
            <w:tcW w:w="3118" w:type="dxa"/>
            <w:vAlign w:val="center"/>
          </w:tcPr>
          <w:p w14:paraId="56D13EEC">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4984" w:type="dxa"/>
            <w:vMerge w:val="continue"/>
            <w:vAlign w:val="center"/>
          </w:tcPr>
          <w:p w14:paraId="755BA852">
            <w:pPr>
              <w:rPr>
                <w:rFonts w:ascii="方正仿宋_GBK" w:hAnsi="仿宋" w:eastAsia="方正仿宋_GBK"/>
                <w:sz w:val="21"/>
                <w:szCs w:val="21"/>
              </w:rPr>
            </w:pPr>
          </w:p>
        </w:tc>
      </w:tr>
      <w:tr w14:paraId="5BF9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AEC2585">
            <w:pPr>
              <w:jc w:val="center"/>
              <w:rPr>
                <w:rFonts w:ascii="方正仿宋_GBK" w:hAnsi="仿宋" w:eastAsia="方正仿宋_GBK"/>
                <w:sz w:val="21"/>
                <w:szCs w:val="21"/>
              </w:rPr>
            </w:pPr>
          </w:p>
        </w:tc>
        <w:tc>
          <w:tcPr>
            <w:tcW w:w="709" w:type="dxa"/>
            <w:vMerge w:val="continue"/>
            <w:vAlign w:val="center"/>
          </w:tcPr>
          <w:p w14:paraId="124DBD0B">
            <w:pPr>
              <w:rPr>
                <w:rFonts w:ascii="方正仿宋_GBK" w:hAnsi="仿宋" w:eastAsia="方正仿宋_GBK" w:cs="仿宋_GB2312"/>
                <w:sz w:val="21"/>
                <w:szCs w:val="21"/>
                <w:lang w:val="zh-CN"/>
              </w:rPr>
            </w:pPr>
          </w:p>
        </w:tc>
        <w:tc>
          <w:tcPr>
            <w:tcW w:w="3118" w:type="dxa"/>
            <w:vAlign w:val="center"/>
          </w:tcPr>
          <w:p w14:paraId="2FF30F0F">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4984" w:type="dxa"/>
            <w:vMerge w:val="continue"/>
            <w:vAlign w:val="center"/>
          </w:tcPr>
          <w:p w14:paraId="3881792D">
            <w:pPr>
              <w:rPr>
                <w:rFonts w:ascii="方正仿宋_GBK" w:hAnsi="仿宋" w:eastAsia="方正仿宋_GBK"/>
                <w:sz w:val="21"/>
                <w:szCs w:val="21"/>
              </w:rPr>
            </w:pPr>
          </w:p>
        </w:tc>
      </w:tr>
      <w:tr w14:paraId="0084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BD1A592">
            <w:pPr>
              <w:jc w:val="center"/>
              <w:rPr>
                <w:rFonts w:ascii="方正仿宋_GBK" w:hAnsi="仿宋" w:eastAsia="方正仿宋_GBK"/>
                <w:sz w:val="21"/>
                <w:szCs w:val="21"/>
              </w:rPr>
            </w:pPr>
          </w:p>
        </w:tc>
        <w:tc>
          <w:tcPr>
            <w:tcW w:w="709" w:type="dxa"/>
            <w:vMerge w:val="continue"/>
            <w:vAlign w:val="center"/>
          </w:tcPr>
          <w:p w14:paraId="474B98CC">
            <w:pPr>
              <w:rPr>
                <w:rFonts w:ascii="方正仿宋_GBK" w:hAnsi="仿宋" w:eastAsia="方正仿宋_GBK" w:cs="仿宋_GB2312"/>
                <w:sz w:val="21"/>
                <w:szCs w:val="21"/>
                <w:lang w:val="zh-CN"/>
              </w:rPr>
            </w:pPr>
          </w:p>
        </w:tc>
        <w:tc>
          <w:tcPr>
            <w:tcW w:w="3118" w:type="dxa"/>
            <w:vAlign w:val="center"/>
          </w:tcPr>
          <w:p w14:paraId="2A117E22">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4984" w:type="dxa"/>
            <w:vMerge w:val="continue"/>
            <w:vAlign w:val="center"/>
          </w:tcPr>
          <w:p w14:paraId="4B9CFC57">
            <w:pPr>
              <w:rPr>
                <w:rFonts w:ascii="方正仿宋_GBK" w:hAnsi="仿宋" w:eastAsia="方正仿宋_GBK"/>
                <w:b/>
                <w:sz w:val="21"/>
                <w:szCs w:val="21"/>
              </w:rPr>
            </w:pPr>
          </w:p>
        </w:tc>
      </w:tr>
      <w:tr w14:paraId="1A5B0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806996E">
            <w:pPr>
              <w:jc w:val="center"/>
              <w:rPr>
                <w:rFonts w:ascii="方正仿宋_GBK" w:hAnsi="仿宋" w:eastAsia="方正仿宋_GBK"/>
                <w:sz w:val="21"/>
                <w:szCs w:val="21"/>
              </w:rPr>
            </w:pPr>
          </w:p>
        </w:tc>
        <w:tc>
          <w:tcPr>
            <w:tcW w:w="709" w:type="dxa"/>
            <w:vMerge w:val="continue"/>
            <w:vAlign w:val="center"/>
          </w:tcPr>
          <w:p w14:paraId="463E8978">
            <w:pPr>
              <w:rPr>
                <w:rFonts w:ascii="方正仿宋_GBK" w:hAnsi="仿宋" w:eastAsia="方正仿宋_GBK" w:cs="仿宋_GB2312"/>
                <w:sz w:val="21"/>
                <w:szCs w:val="21"/>
              </w:rPr>
            </w:pPr>
          </w:p>
        </w:tc>
        <w:tc>
          <w:tcPr>
            <w:tcW w:w="3118" w:type="dxa"/>
            <w:vAlign w:val="center"/>
          </w:tcPr>
          <w:p w14:paraId="19AC356E">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4984" w:type="dxa"/>
            <w:vAlign w:val="center"/>
          </w:tcPr>
          <w:p w14:paraId="4DF46927">
            <w:pPr>
              <w:rPr>
                <w:rFonts w:ascii="方正仿宋_GBK" w:hAnsi="仿宋" w:eastAsia="方正仿宋_GBK"/>
                <w:sz w:val="21"/>
                <w:szCs w:val="21"/>
              </w:rPr>
            </w:pPr>
          </w:p>
        </w:tc>
      </w:tr>
      <w:tr w14:paraId="412B1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3940A5A5">
            <w:pPr>
              <w:jc w:val="center"/>
              <w:rPr>
                <w:rFonts w:ascii="方正仿宋_GBK" w:hAnsi="仿宋" w:eastAsia="方正仿宋_GBK"/>
                <w:sz w:val="21"/>
                <w:szCs w:val="21"/>
              </w:rPr>
            </w:pPr>
          </w:p>
        </w:tc>
        <w:tc>
          <w:tcPr>
            <w:tcW w:w="709" w:type="dxa"/>
            <w:vMerge w:val="continue"/>
            <w:vAlign w:val="center"/>
          </w:tcPr>
          <w:p w14:paraId="045741DE">
            <w:pPr>
              <w:rPr>
                <w:rFonts w:ascii="方正仿宋_GBK" w:hAnsi="仿宋" w:eastAsia="方正仿宋_GBK" w:cs="仿宋_GB2312"/>
                <w:sz w:val="21"/>
                <w:szCs w:val="21"/>
              </w:rPr>
            </w:pPr>
          </w:p>
        </w:tc>
        <w:tc>
          <w:tcPr>
            <w:tcW w:w="3118" w:type="dxa"/>
            <w:vAlign w:val="center"/>
          </w:tcPr>
          <w:p w14:paraId="15999B60">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4984" w:type="dxa"/>
            <w:vAlign w:val="center"/>
          </w:tcPr>
          <w:p w14:paraId="1AB92985">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14:paraId="076961F1">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14:paraId="43F24800">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14:paraId="5A010D3B">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以联合体形式参与评分的，共同联合协议中应确定主办方（主体），</w:t>
      </w:r>
      <w:r>
        <w:rPr>
          <w:rFonts w:hint="eastAsia" w:ascii="方正仿宋_GBK" w:hAnsi="宋体" w:eastAsia="方正仿宋_GBK"/>
          <w:sz w:val="24"/>
        </w:rPr>
        <w:t>代表联合体进行磋商和澄清。</w:t>
      </w:r>
      <w:r>
        <w:rPr>
          <w:rFonts w:hint="eastAsia" w:ascii="方正仿宋_GBK" w:hAnsi="宋体" w:eastAsia="方正仿宋_GBK" w:cs="宋体"/>
          <w:kern w:val="0"/>
          <w:sz w:val="24"/>
          <w:szCs w:val="24"/>
        </w:rPr>
        <w:t>联合体各方均应满足供应商资格要求（详见“第一篇”）。</w:t>
      </w:r>
    </w:p>
    <w:p w14:paraId="146B0B3B">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2.符合性审查。依据采购文件的规定，从响应文件的有效性、完整性和对采购文件的响应程度进行审查，以确定是否对采购文件的实质性要求作出响应。</w:t>
      </w:r>
      <w:r>
        <w:rPr>
          <w:rFonts w:hint="eastAsia" w:ascii="方正仿宋_GBK" w:eastAsia="方正仿宋_GBK"/>
          <w:kern w:val="0"/>
          <w:sz w:val="24"/>
          <w:szCs w:val="24"/>
        </w:rPr>
        <w:t>符合性审查资料表如下：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26ED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5666A492">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14:paraId="75095A0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14:paraId="61EBE425">
            <w:pPr>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306B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0447D067">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14:paraId="7EB2639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14:paraId="21032878">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5409" w:type="dxa"/>
            <w:vAlign w:val="center"/>
          </w:tcPr>
          <w:p w14:paraId="422C6808">
            <w:pPr>
              <w:rPr>
                <w:rFonts w:ascii="方正仿宋_GBK" w:hAnsi="宋体" w:eastAsia="方正仿宋_GBK" w:cs="宋体"/>
                <w:kern w:val="0"/>
                <w:sz w:val="21"/>
                <w:szCs w:val="21"/>
              </w:rPr>
            </w:pPr>
            <w:r>
              <w:rPr>
                <w:rFonts w:hint="eastAsia" w:ascii="方正仿宋_GBK" w:hAnsi="宋体" w:eastAsia="方正仿宋_GBK"/>
                <w:sz w:val="21"/>
                <w:szCs w:val="21"/>
              </w:rPr>
              <w:t>按限额以下磋商评分文件“第七篇响应文件编制要求”要求签署或盖章。</w:t>
            </w:r>
          </w:p>
        </w:tc>
      </w:tr>
      <w:tr w14:paraId="0B0A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18F5ECF">
            <w:pPr>
              <w:jc w:val="center"/>
              <w:rPr>
                <w:rFonts w:ascii="方正仿宋_GBK" w:hAnsi="宋体" w:eastAsia="方正仿宋_GBK" w:cs="宋体"/>
                <w:kern w:val="0"/>
                <w:sz w:val="21"/>
                <w:szCs w:val="21"/>
              </w:rPr>
            </w:pPr>
          </w:p>
        </w:tc>
        <w:tc>
          <w:tcPr>
            <w:tcW w:w="1560" w:type="dxa"/>
            <w:vMerge w:val="continue"/>
            <w:vAlign w:val="center"/>
          </w:tcPr>
          <w:p w14:paraId="33D1BF19">
            <w:pPr>
              <w:rPr>
                <w:rFonts w:ascii="方正仿宋_GBK" w:hAnsi="宋体" w:eastAsia="方正仿宋_GBK" w:cs="宋体"/>
                <w:kern w:val="0"/>
                <w:sz w:val="21"/>
                <w:szCs w:val="21"/>
              </w:rPr>
            </w:pPr>
          </w:p>
        </w:tc>
        <w:tc>
          <w:tcPr>
            <w:tcW w:w="1984" w:type="dxa"/>
            <w:vAlign w:val="center"/>
          </w:tcPr>
          <w:p w14:paraId="443BC08F">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14:paraId="0B3548FF">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14:paraId="0FB2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317D796">
            <w:pPr>
              <w:jc w:val="center"/>
              <w:rPr>
                <w:rFonts w:ascii="方正仿宋_GBK" w:hAnsi="宋体" w:eastAsia="方正仿宋_GBK" w:cs="宋体"/>
                <w:kern w:val="0"/>
                <w:sz w:val="21"/>
                <w:szCs w:val="21"/>
              </w:rPr>
            </w:pPr>
          </w:p>
        </w:tc>
        <w:tc>
          <w:tcPr>
            <w:tcW w:w="1560" w:type="dxa"/>
            <w:vMerge w:val="continue"/>
            <w:vAlign w:val="center"/>
          </w:tcPr>
          <w:p w14:paraId="7B8076DF">
            <w:pPr>
              <w:rPr>
                <w:rFonts w:ascii="方正仿宋_GBK" w:hAnsi="宋体" w:eastAsia="方正仿宋_GBK" w:cs="宋体"/>
                <w:kern w:val="0"/>
                <w:sz w:val="21"/>
                <w:szCs w:val="21"/>
              </w:rPr>
            </w:pPr>
          </w:p>
        </w:tc>
        <w:tc>
          <w:tcPr>
            <w:tcW w:w="1984" w:type="dxa"/>
            <w:vAlign w:val="center"/>
          </w:tcPr>
          <w:p w14:paraId="0F7DFC63">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14:paraId="6B6F5BFE">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每个包只能有一个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14:paraId="76E5C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72237F02">
            <w:pPr>
              <w:jc w:val="center"/>
              <w:rPr>
                <w:rFonts w:ascii="方正仿宋_GBK" w:hAnsi="宋体" w:eastAsia="方正仿宋_GBK" w:cs="宋体"/>
                <w:kern w:val="0"/>
                <w:sz w:val="21"/>
                <w:szCs w:val="21"/>
              </w:rPr>
            </w:pPr>
          </w:p>
        </w:tc>
        <w:tc>
          <w:tcPr>
            <w:tcW w:w="1560" w:type="dxa"/>
            <w:vMerge w:val="continue"/>
            <w:vAlign w:val="center"/>
          </w:tcPr>
          <w:p w14:paraId="193DE1AF">
            <w:pPr>
              <w:rPr>
                <w:rFonts w:ascii="方正仿宋_GBK" w:hAnsi="宋体" w:eastAsia="方正仿宋_GBK" w:cs="宋体"/>
                <w:kern w:val="0"/>
                <w:sz w:val="21"/>
                <w:szCs w:val="21"/>
              </w:rPr>
            </w:pPr>
          </w:p>
        </w:tc>
        <w:tc>
          <w:tcPr>
            <w:tcW w:w="1984" w:type="dxa"/>
            <w:vAlign w:val="center"/>
          </w:tcPr>
          <w:p w14:paraId="388344D9">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14:paraId="53798C87">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14:paraId="0C57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74BBE078">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14:paraId="2CB876F4">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14:paraId="30EFDF9D">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14:paraId="712D27A6">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文件正、副本数量符合</w:t>
            </w:r>
            <w:r>
              <w:rPr>
                <w:rFonts w:hint="eastAsia" w:ascii="方正仿宋_GBK" w:hAnsi="宋体" w:eastAsia="方正仿宋_GBK" w:cs="仿宋_GB2312"/>
                <w:sz w:val="21"/>
                <w:szCs w:val="21"/>
              </w:rPr>
              <w:t>竞采购</w:t>
            </w:r>
            <w:r>
              <w:rPr>
                <w:rFonts w:hint="eastAsia" w:ascii="方正仿宋_GBK" w:hAnsi="宋体" w:eastAsia="方正仿宋_GBK" w:cs="仿宋_GB2312"/>
                <w:sz w:val="21"/>
                <w:szCs w:val="21"/>
                <w:lang w:val="zh-CN"/>
              </w:rPr>
              <w:t>文件要求。</w:t>
            </w:r>
          </w:p>
        </w:tc>
      </w:tr>
      <w:tr w14:paraId="6D53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3005803A">
            <w:pPr>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14:paraId="5AFA5CF0">
            <w:pPr>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响应程度审查</w:t>
            </w:r>
          </w:p>
        </w:tc>
        <w:tc>
          <w:tcPr>
            <w:tcW w:w="1984" w:type="dxa"/>
            <w:vAlign w:val="center"/>
          </w:tcPr>
          <w:p w14:paraId="23B1F4AF">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实质性响应</w:t>
            </w:r>
          </w:p>
        </w:tc>
        <w:tc>
          <w:tcPr>
            <w:tcW w:w="5409" w:type="dxa"/>
            <w:vAlign w:val="center"/>
          </w:tcPr>
          <w:p w14:paraId="3DD3023C">
            <w:pPr>
              <w:pStyle w:val="7"/>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对采购文件第二篇、第三篇规定的内容进行实质性响应。</w:t>
            </w:r>
          </w:p>
        </w:tc>
      </w:tr>
      <w:tr w14:paraId="68E86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75" w:type="dxa"/>
            <w:vMerge w:val="continue"/>
            <w:vAlign w:val="center"/>
          </w:tcPr>
          <w:p w14:paraId="37A497DD">
            <w:pPr>
              <w:jc w:val="center"/>
              <w:rPr>
                <w:rFonts w:ascii="方正仿宋_GBK" w:hAnsi="宋体" w:eastAsia="方正仿宋_GBK" w:cs="宋体"/>
                <w:kern w:val="0"/>
                <w:sz w:val="21"/>
                <w:szCs w:val="21"/>
              </w:rPr>
            </w:pPr>
          </w:p>
        </w:tc>
        <w:tc>
          <w:tcPr>
            <w:tcW w:w="1560" w:type="dxa"/>
            <w:vMerge w:val="continue"/>
            <w:vAlign w:val="center"/>
          </w:tcPr>
          <w:p w14:paraId="7B143DEF">
            <w:pPr>
              <w:rPr>
                <w:rFonts w:ascii="方正仿宋_GBK" w:hAnsi="宋体" w:eastAsia="方正仿宋_GBK" w:cs="仿宋_GB2312"/>
                <w:sz w:val="21"/>
                <w:szCs w:val="21"/>
                <w:lang w:val="zh-CN"/>
              </w:rPr>
            </w:pPr>
          </w:p>
        </w:tc>
        <w:tc>
          <w:tcPr>
            <w:tcW w:w="1984" w:type="dxa"/>
            <w:vAlign w:val="center"/>
          </w:tcPr>
          <w:p w14:paraId="579C2B55">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响应文件有效期</w:t>
            </w:r>
          </w:p>
        </w:tc>
        <w:tc>
          <w:tcPr>
            <w:tcW w:w="5409" w:type="dxa"/>
            <w:vAlign w:val="center"/>
          </w:tcPr>
          <w:p w14:paraId="245704AE">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14:paraId="2D65F82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7819D2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90A4DD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（五）在评审过程中磋商的任何一方不得向他人透露与磋商有关的服务资料、价格或其他信息。</w:t>
      </w:r>
    </w:p>
    <w:p w14:paraId="7B6C0B5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在评审过程中，评审小组可以根据采购文件和磋商情况实质性变动采购需求中的服务、商务要求以及合同草案条款，但不得变动采购文件中的其他内容。实质性变动的内容，须经采购人代表确认。对采购文件作出的实质性变动是采购文件的有效组成部分，评审小组应当及时以书面形式同时通知所有参加的供应商。</w:t>
      </w:r>
    </w:p>
    <w:p w14:paraId="03539C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（七）供应商在磋商时作出的所有书面承诺须由法定代表人（或其授权代表）或自然人（供应商为自然人）签署。</w:t>
      </w:r>
    </w:p>
    <w:p w14:paraId="39807B2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经磋商确定最终采购需求且磋商结束后，供应商应当按照采购文件的变动情况和评审小组的要求重新提交响应文件或重新做出相关的书面承诺，最后书面提交最后报价及有关承诺（《最后报价表》在磋商现场向供应商提供）。</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14:paraId="6739044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（九）评审小组采用综合评分法对提交最后报价的供应商的响应文件和最后报价（含有效书面承诺）进行综合评分。</w:t>
      </w:r>
      <w:r>
        <w:rPr>
          <w:rFonts w:hint="eastAsia" w:ascii="方正仿宋_GBK" w:hAnsi="宋体" w:eastAsia="方正仿宋_GBK" w:cs="宋体"/>
          <w:kern w:val="0"/>
          <w:sz w:val="24"/>
          <w:szCs w:val="24"/>
        </w:rPr>
        <w:t>综合评分法，是指响应</w:t>
      </w:r>
      <w:r>
        <w:rPr>
          <w:rFonts w:ascii="方正仿宋_GBK" w:hAnsi="宋体" w:eastAsia="方正仿宋_GBK" w:cs="宋体"/>
          <w:kern w:val="0"/>
          <w:sz w:val="24"/>
          <w:szCs w:val="24"/>
        </w:rPr>
        <w:t>文件满足</w:t>
      </w:r>
      <w:r>
        <w:rPr>
          <w:rFonts w:hint="eastAsia" w:ascii="方正仿宋_GBK" w:hAnsi="宋体" w:eastAsia="方正仿宋_GBK" w:cs="宋体"/>
          <w:kern w:val="0"/>
          <w:sz w:val="24"/>
          <w:szCs w:val="24"/>
        </w:rPr>
        <w:t>竞采购</w:t>
      </w:r>
      <w:r>
        <w:rPr>
          <w:rFonts w:ascii="方正仿宋_GBK" w:hAnsi="宋体" w:eastAsia="方正仿宋_GBK" w:cs="宋体"/>
          <w:kern w:val="0"/>
          <w:sz w:val="24"/>
          <w:szCs w:val="24"/>
        </w:rPr>
        <w:t>文件全部实质性要求且按照评审因素的量化指标评审得分最高的供应商为</w:t>
      </w:r>
      <w:r>
        <w:rPr>
          <w:rFonts w:hint="eastAsia" w:ascii="方正仿宋_GBK" w:hAnsi="宋体" w:eastAsia="方正仿宋_GBK" w:cs="宋体"/>
          <w:kern w:val="0"/>
          <w:sz w:val="24"/>
          <w:szCs w:val="24"/>
        </w:rPr>
        <w:t>成交</w:t>
      </w:r>
      <w:r>
        <w:rPr>
          <w:rFonts w:ascii="方正仿宋_GBK" w:hAnsi="宋体" w:eastAsia="方正仿宋_GBK" w:cs="宋体"/>
          <w:kern w:val="0"/>
          <w:sz w:val="24"/>
          <w:szCs w:val="24"/>
        </w:rPr>
        <w:t>候选</w:t>
      </w:r>
      <w:r>
        <w:rPr>
          <w:rFonts w:hint="eastAsia" w:ascii="方正仿宋_GBK" w:hAnsi="宋体" w:eastAsia="方正仿宋_GBK" w:cs="宋体"/>
          <w:kern w:val="0"/>
          <w:sz w:val="24"/>
          <w:szCs w:val="24"/>
        </w:rPr>
        <w:t>供应商</w:t>
      </w:r>
      <w:r>
        <w:rPr>
          <w:rFonts w:ascii="方正仿宋_GBK" w:hAnsi="宋体" w:eastAsia="方正仿宋_GBK" w:cs="宋体"/>
          <w:kern w:val="0"/>
          <w:sz w:val="24"/>
          <w:szCs w:val="24"/>
        </w:rPr>
        <w:t>的</w:t>
      </w:r>
      <w:r>
        <w:rPr>
          <w:rFonts w:hint="eastAsia" w:ascii="方正仿宋_GBK" w:hAnsi="宋体" w:eastAsia="方正仿宋_GBK" w:cs="宋体"/>
          <w:kern w:val="0"/>
          <w:sz w:val="24"/>
          <w:szCs w:val="24"/>
        </w:rPr>
        <w:t>评审</w:t>
      </w:r>
      <w:r>
        <w:rPr>
          <w:rFonts w:ascii="方正仿宋_GBK" w:hAnsi="宋体" w:eastAsia="方正仿宋_GBK" w:cs="宋体"/>
          <w:kern w:val="0"/>
          <w:sz w:val="24"/>
          <w:szCs w:val="24"/>
        </w:rPr>
        <w:t>方法</w:t>
      </w:r>
      <w:r>
        <w:rPr>
          <w:rFonts w:hint="eastAsia" w:ascii="方正仿宋_GBK" w:hAnsi="宋体" w:eastAsia="方正仿宋_GBK" w:cs="宋体"/>
          <w:kern w:val="0"/>
          <w:sz w:val="24"/>
          <w:szCs w:val="24"/>
        </w:rPr>
        <w:t>。供应商总得分为价格、服务、商务等评定因素分别按照相应权重值计算分项得分后相加，满分为100分</w:t>
      </w:r>
      <w:r>
        <w:rPr>
          <w:rFonts w:hint="eastAsia" w:ascii="方正仿宋_GBK" w:hAnsi="宋体" w:eastAsia="方正仿宋_GBK"/>
          <w:sz w:val="24"/>
          <w:szCs w:val="24"/>
        </w:rPr>
        <w:t>。</w:t>
      </w:r>
    </w:p>
    <w:p w14:paraId="3B0583A7">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（十）评审小组各成员独立对每个有效响应（通过资格性审查、</w:t>
      </w:r>
      <w:r>
        <w:rPr>
          <w:rFonts w:hint="eastAsia" w:ascii="方正仿宋_GBK" w:hAnsi="宋体" w:eastAsia="方正仿宋_GBK" w:cs="宋体"/>
          <w:kern w:val="0"/>
          <w:sz w:val="24"/>
          <w:szCs w:val="24"/>
        </w:rPr>
        <w:t>符合性审查的供应商</w:t>
      </w:r>
      <w:r>
        <w:rPr>
          <w:rFonts w:hint="eastAsia" w:ascii="方正仿宋_GBK" w:hAnsi="宋体" w:eastAsia="方正仿宋_GBK"/>
          <w:sz w:val="24"/>
          <w:szCs w:val="24"/>
        </w:rPr>
        <w:t>）的文件进行评价、打分，然后汇总每个供应商每项评分因素的得分，并根据综合评分情况按照评审得分由高到低顺序推荐3名以上成交候选供应商，并编写结论意见。若供应商的评审得分相同的，按照最后报价由低到高的顺序排列推荐。评审得分且最后报价相同的，按现场随机抽取的方式确定顺序排列。</w:t>
      </w:r>
      <w:r>
        <w:rPr>
          <w:rFonts w:hint="eastAsia" w:ascii="方正仿宋_GBK" w:hAnsi="宋体" w:eastAsia="方正仿宋_GBK"/>
          <w:b/>
          <w:sz w:val="24"/>
          <w:szCs w:val="24"/>
        </w:rPr>
        <w:t>服务部分</w:t>
      </w:r>
      <w:r>
        <w:rPr>
          <w:rFonts w:ascii="方正仿宋_GBK" w:hAnsi="宋体" w:eastAsia="方正仿宋_GBK"/>
          <w:b/>
          <w:sz w:val="24"/>
          <w:szCs w:val="24"/>
        </w:rPr>
        <w:t>得分为</w:t>
      </w:r>
      <w:r>
        <w:rPr>
          <w:rFonts w:hint="eastAsia" w:ascii="方正仿宋_GBK" w:hAnsi="宋体" w:eastAsia="方正仿宋_GBK"/>
          <w:b/>
          <w:sz w:val="24"/>
          <w:szCs w:val="24"/>
        </w:rPr>
        <w:t>0分</w:t>
      </w:r>
      <w:r>
        <w:rPr>
          <w:rFonts w:ascii="方正仿宋_GBK" w:hAnsi="宋体" w:eastAsia="方正仿宋_GBK"/>
          <w:b/>
          <w:sz w:val="24"/>
          <w:szCs w:val="24"/>
        </w:rPr>
        <w:t>的</w:t>
      </w:r>
      <w:r>
        <w:rPr>
          <w:rFonts w:hint="eastAsia" w:ascii="方正仿宋_GBK" w:hAnsi="宋体" w:eastAsia="方正仿宋_GBK"/>
          <w:b/>
          <w:sz w:val="24"/>
          <w:szCs w:val="24"/>
        </w:rPr>
        <w:t>供应商不得推荐</w:t>
      </w:r>
      <w:r>
        <w:rPr>
          <w:rFonts w:ascii="方正仿宋_GBK" w:hAnsi="宋体" w:eastAsia="方正仿宋_GBK"/>
          <w:b/>
          <w:sz w:val="24"/>
          <w:szCs w:val="24"/>
        </w:rPr>
        <w:t>成为</w:t>
      </w:r>
      <w:r>
        <w:rPr>
          <w:rFonts w:hint="eastAsia" w:ascii="方正仿宋_GBK" w:hAnsi="宋体" w:eastAsia="方正仿宋_GBK"/>
          <w:b/>
          <w:sz w:val="24"/>
          <w:szCs w:val="24"/>
        </w:rPr>
        <w:t>成交候选供应商</w:t>
      </w:r>
      <w:r>
        <w:rPr>
          <w:rFonts w:ascii="方正仿宋_GBK" w:hAnsi="宋体" w:eastAsia="方正仿宋_GBK"/>
          <w:b/>
          <w:sz w:val="24"/>
          <w:szCs w:val="24"/>
        </w:rPr>
        <w:t>。</w:t>
      </w:r>
    </w:p>
    <w:p w14:paraId="17D8EFC1">
      <w:pPr>
        <w:pStyle w:val="3"/>
        <w:adjustRightInd w:val="0"/>
        <w:snapToGrid w:val="0"/>
        <w:spacing w:before="0" w:after="0" w:line="400" w:lineRule="exact"/>
        <w:ind w:firstLine="480" w:firstLineChars="200"/>
        <w:rPr>
          <w:rFonts w:ascii="方正仿宋_GBK" w:hAnsi="宋体" w:eastAsia="方正仿宋_GBK"/>
          <w:sz w:val="24"/>
        </w:rPr>
      </w:pPr>
      <w:bookmarkStart w:id="121" w:name="_Toc106030889"/>
      <w:bookmarkStart w:id="122" w:name="_Toc76462334"/>
      <w:r>
        <w:rPr>
          <w:rFonts w:hint="eastAsia" w:ascii="方正仿宋_GBK" w:hAnsi="宋体" w:eastAsia="方正仿宋_GBK"/>
          <w:sz w:val="24"/>
        </w:rPr>
        <w:t>二、</w:t>
      </w:r>
      <w:bookmarkStart w:id="123" w:name="_Toc342913394"/>
      <w:bookmarkStart w:id="124" w:name="_Toc102227320"/>
      <w:r>
        <w:rPr>
          <w:rFonts w:hint="eastAsia" w:ascii="方正仿宋_GBK" w:hAnsi="宋体" w:eastAsia="方正仿宋_GBK"/>
          <w:sz w:val="24"/>
        </w:rPr>
        <w:t>评审标准</w:t>
      </w:r>
      <w:bookmarkEnd w:id="121"/>
      <w:bookmarkEnd w:id="122"/>
    </w:p>
    <w:tbl>
      <w:tblPr>
        <w:tblStyle w:val="15"/>
        <w:tblW w:w="962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339"/>
        <w:gridCol w:w="824"/>
        <w:gridCol w:w="4820"/>
        <w:gridCol w:w="2152"/>
      </w:tblGrid>
      <w:tr w14:paraId="4F60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14:paraId="4049A5C5">
            <w:pPr>
              <w:spacing w:line="240" w:lineRule="atLeast"/>
              <w:ind w:firstLine="28"/>
              <w:jc w:val="center"/>
              <w:rPr>
                <w:rFonts w:ascii="仿宋" w:hAnsi="仿宋" w:eastAsia="仿宋" w:cs="仿宋"/>
                <w:b/>
                <w:sz w:val="21"/>
                <w:szCs w:val="21"/>
              </w:rPr>
            </w:pPr>
            <w:bookmarkStart w:id="125" w:name="_Toc106030890"/>
            <w:bookmarkStart w:id="126" w:name="_Toc76462335"/>
            <w:r>
              <w:rPr>
                <w:rFonts w:hint="eastAsia" w:ascii="仿宋" w:hAnsi="仿宋" w:eastAsia="仿宋" w:cs="仿宋"/>
                <w:b/>
                <w:sz w:val="21"/>
                <w:szCs w:val="21"/>
              </w:rPr>
              <w:t>序号</w:t>
            </w:r>
          </w:p>
        </w:tc>
        <w:tc>
          <w:tcPr>
            <w:tcW w:w="1339" w:type="dxa"/>
            <w:vAlign w:val="center"/>
          </w:tcPr>
          <w:p w14:paraId="374F263E">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评分因素</w:t>
            </w:r>
          </w:p>
          <w:p w14:paraId="20BFE15F">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及权重</w:t>
            </w:r>
          </w:p>
        </w:tc>
        <w:tc>
          <w:tcPr>
            <w:tcW w:w="824" w:type="dxa"/>
            <w:vAlign w:val="center"/>
          </w:tcPr>
          <w:p w14:paraId="12B3C519">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分值</w:t>
            </w:r>
          </w:p>
        </w:tc>
        <w:tc>
          <w:tcPr>
            <w:tcW w:w="4820" w:type="dxa"/>
            <w:vAlign w:val="center"/>
          </w:tcPr>
          <w:p w14:paraId="54079D3F">
            <w:pPr>
              <w:spacing w:line="240" w:lineRule="atLeast"/>
              <w:ind w:firstLine="28"/>
              <w:jc w:val="center"/>
              <w:rPr>
                <w:rFonts w:ascii="仿宋" w:hAnsi="仿宋" w:eastAsia="仿宋" w:cs="仿宋"/>
                <w:b/>
                <w:sz w:val="21"/>
                <w:szCs w:val="21"/>
              </w:rPr>
            </w:pPr>
            <w:r>
              <w:rPr>
                <w:rFonts w:hint="eastAsia" w:ascii="仿宋" w:hAnsi="仿宋" w:eastAsia="仿宋" w:cs="仿宋"/>
                <w:b/>
                <w:sz w:val="21"/>
                <w:szCs w:val="21"/>
              </w:rPr>
              <w:t>评分标准</w:t>
            </w:r>
          </w:p>
        </w:tc>
        <w:tc>
          <w:tcPr>
            <w:tcW w:w="2152" w:type="dxa"/>
            <w:vAlign w:val="center"/>
          </w:tcPr>
          <w:p w14:paraId="51311FB0">
            <w:pPr>
              <w:spacing w:line="240" w:lineRule="atLeast"/>
              <w:jc w:val="center"/>
              <w:rPr>
                <w:rFonts w:ascii="仿宋" w:hAnsi="仿宋" w:eastAsia="仿宋" w:cs="仿宋"/>
                <w:b/>
                <w:sz w:val="21"/>
                <w:szCs w:val="21"/>
              </w:rPr>
            </w:pPr>
            <w:r>
              <w:rPr>
                <w:rFonts w:hint="eastAsia" w:ascii="仿宋" w:hAnsi="仿宋" w:eastAsia="仿宋" w:cs="仿宋"/>
                <w:b/>
                <w:sz w:val="21"/>
                <w:szCs w:val="21"/>
              </w:rPr>
              <w:t>说明</w:t>
            </w:r>
          </w:p>
        </w:tc>
      </w:tr>
      <w:tr w14:paraId="31E2D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Align w:val="center"/>
          </w:tcPr>
          <w:p w14:paraId="122FCA50">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1</w:t>
            </w:r>
          </w:p>
        </w:tc>
        <w:tc>
          <w:tcPr>
            <w:tcW w:w="1339" w:type="dxa"/>
            <w:vAlign w:val="center"/>
          </w:tcPr>
          <w:p w14:paraId="09E370A0">
            <w:pPr>
              <w:spacing w:line="240" w:lineRule="atLeast"/>
              <w:ind w:firstLine="28"/>
              <w:jc w:val="center"/>
              <w:rPr>
                <w:rFonts w:ascii="仿宋" w:hAnsi="仿宋" w:eastAsia="仿宋"/>
                <w:sz w:val="21"/>
                <w:szCs w:val="21"/>
              </w:rPr>
            </w:pPr>
            <w:r>
              <w:rPr>
                <w:rFonts w:hint="eastAsia" w:ascii="仿宋" w:hAnsi="仿宋" w:eastAsia="仿宋"/>
                <w:sz w:val="21"/>
                <w:szCs w:val="21"/>
              </w:rPr>
              <w:t>磋商报价</w:t>
            </w:r>
          </w:p>
          <w:p w14:paraId="75615C19">
            <w:pPr>
              <w:spacing w:line="240" w:lineRule="atLeast"/>
              <w:ind w:firstLine="28"/>
              <w:jc w:val="center"/>
              <w:rPr>
                <w:rFonts w:ascii="仿宋" w:hAnsi="仿宋" w:eastAsia="仿宋"/>
                <w:sz w:val="21"/>
                <w:szCs w:val="21"/>
              </w:rPr>
            </w:pPr>
            <w:r>
              <w:rPr>
                <w:rFonts w:hint="eastAsia" w:ascii="仿宋" w:hAnsi="仿宋" w:eastAsia="仿宋"/>
                <w:sz w:val="21"/>
                <w:szCs w:val="21"/>
              </w:rPr>
              <w:t>（</w:t>
            </w:r>
            <w:r>
              <w:rPr>
                <w:rFonts w:ascii="仿宋" w:hAnsi="仿宋" w:eastAsia="仿宋"/>
                <w:sz w:val="21"/>
                <w:szCs w:val="21"/>
              </w:rPr>
              <w:t>2</w:t>
            </w:r>
            <w:r>
              <w:rPr>
                <w:rFonts w:hint="eastAsia" w:ascii="仿宋" w:hAnsi="仿宋" w:eastAsia="仿宋"/>
                <w:sz w:val="21"/>
                <w:szCs w:val="21"/>
              </w:rPr>
              <w:t>0%）</w:t>
            </w:r>
          </w:p>
        </w:tc>
        <w:tc>
          <w:tcPr>
            <w:tcW w:w="824" w:type="dxa"/>
            <w:vAlign w:val="center"/>
          </w:tcPr>
          <w:p w14:paraId="0224E80C">
            <w:pPr>
              <w:spacing w:line="240" w:lineRule="atLeast"/>
              <w:ind w:firstLine="28"/>
              <w:jc w:val="center"/>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0分</w:t>
            </w:r>
          </w:p>
        </w:tc>
        <w:tc>
          <w:tcPr>
            <w:tcW w:w="4820" w:type="dxa"/>
            <w:vAlign w:val="center"/>
          </w:tcPr>
          <w:p w14:paraId="2658D03A">
            <w:pPr>
              <w:pStyle w:val="13"/>
              <w:shd w:val="clear" w:color="auto" w:fill="FFFFFF"/>
              <w:spacing w:before="0" w:beforeAutospacing="0" w:after="0" w:afterAutospacing="0"/>
              <w:rPr>
                <w:rFonts w:ascii="仿宋" w:hAnsi="仿宋" w:eastAsia="仿宋"/>
                <w:sz w:val="21"/>
                <w:szCs w:val="21"/>
              </w:rPr>
            </w:pPr>
            <w:r>
              <w:rPr>
                <w:rFonts w:hint="eastAsia" w:ascii="仿宋" w:hAnsi="仿宋" w:eastAsia="仿宋" w:cs="Times New Roman"/>
                <w:kern w:val="2"/>
                <w:sz w:val="21"/>
                <w:szCs w:val="21"/>
              </w:rPr>
              <w:t>满足资格审查要求且最后报价最低的供应商的报价为基准价，其价格分为满分。其他供应商的价格分统一按照下列公式计算：报价得分＝（评标基准价/最后报价）×价格权值×100。</w:t>
            </w:r>
          </w:p>
        </w:tc>
        <w:tc>
          <w:tcPr>
            <w:tcW w:w="2152" w:type="dxa"/>
            <w:vAlign w:val="center"/>
          </w:tcPr>
          <w:p w14:paraId="5A652A04">
            <w:pPr>
              <w:spacing w:line="240" w:lineRule="exact"/>
              <w:ind w:left="-39" w:leftChars="-14"/>
              <w:rPr>
                <w:rFonts w:ascii="仿宋" w:hAnsi="仿宋" w:eastAsia="仿宋" w:cs="宋体"/>
                <w:sz w:val="21"/>
                <w:szCs w:val="21"/>
              </w:rPr>
            </w:pPr>
          </w:p>
        </w:tc>
      </w:tr>
      <w:tr w14:paraId="2864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restart"/>
            <w:vAlign w:val="center"/>
          </w:tcPr>
          <w:p w14:paraId="3C95A5D6">
            <w:pPr>
              <w:spacing w:line="240" w:lineRule="atLeast"/>
              <w:ind w:firstLine="28"/>
              <w:jc w:val="center"/>
              <w:rPr>
                <w:rFonts w:ascii="仿宋" w:hAnsi="仿宋" w:eastAsia="仿宋"/>
                <w:sz w:val="21"/>
                <w:szCs w:val="21"/>
              </w:rPr>
            </w:pPr>
            <w:r>
              <w:rPr>
                <w:rFonts w:hint="eastAsia" w:ascii="仿宋" w:hAnsi="仿宋" w:eastAsia="仿宋"/>
                <w:sz w:val="21"/>
                <w:szCs w:val="21"/>
              </w:rPr>
              <w:t>2</w:t>
            </w:r>
          </w:p>
        </w:tc>
        <w:tc>
          <w:tcPr>
            <w:tcW w:w="1339" w:type="dxa"/>
            <w:vMerge w:val="restart"/>
            <w:vAlign w:val="center"/>
          </w:tcPr>
          <w:p w14:paraId="5C0C46A3">
            <w:pPr>
              <w:spacing w:line="240" w:lineRule="atLeast"/>
              <w:ind w:firstLine="28"/>
              <w:jc w:val="center"/>
              <w:rPr>
                <w:rFonts w:ascii="仿宋" w:hAnsi="仿宋" w:eastAsia="仿宋"/>
                <w:sz w:val="21"/>
                <w:szCs w:val="21"/>
              </w:rPr>
            </w:pPr>
            <w:r>
              <w:rPr>
                <w:rFonts w:hint="eastAsia" w:ascii="仿宋" w:hAnsi="仿宋" w:eastAsia="仿宋"/>
                <w:sz w:val="21"/>
                <w:szCs w:val="21"/>
              </w:rPr>
              <w:t>服务部分（</w:t>
            </w:r>
            <w:r>
              <w:rPr>
                <w:rFonts w:ascii="仿宋" w:hAnsi="仿宋" w:eastAsia="仿宋"/>
                <w:sz w:val="21"/>
                <w:szCs w:val="21"/>
              </w:rPr>
              <w:t>5</w:t>
            </w:r>
            <w:r>
              <w:rPr>
                <w:rFonts w:hint="eastAsia" w:ascii="仿宋" w:hAnsi="仿宋" w:eastAsia="仿宋"/>
                <w:sz w:val="21"/>
                <w:szCs w:val="21"/>
              </w:rPr>
              <w:t>0%）</w:t>
            </w:r>
          </w:p>
        </w:tc>
        <w:tc>
          <w:tcPr>
            <w:tcW w:w="824" w:type="dxa"/>
            <w:vAlign w:val="center"/>
          </w:tcPr>
          <w:p w14:paraId="231A2E0A">
            <w:pPr>
              <w:spacing w:line="240" w:lineRule="atLeast"/>
              <w:ind w:firstLine="28"/>
              <w:jc w:val="center"/>
              <w:rPr>
                <w:rFonts w:ascii="仿宋" w:hAnsi="仿宋" w:eastAsia="仿宋"/>
                <w:sz w:val="21"/>
                <w:szCs w:val="21"/>
              </w:rPr>
            </w:pPr>
            <w:r>
              <w:rPr>
                <w:rFonts w:hint="eastAsia" w:ascii="仿宋" w:hAnsi="仿宋" w:eastAsia="仿宋"/>
                <w:sz w:val="21"/>
                <w:szCs w:val="21"/>
              </w:rPr>
              <w:t>施工组织</w:t>
            </w:r>
            <w:r>
              <w:rPr>
                <w:rFonts w:ascii="仿宋" w:hAnsi="仿宋" w:eastAsia="仿宋"/>
                <w:sz w:val="21"/>
                <w:szCs w:val="21"/>
              </w:rPr>
              <w:t>15</w:t>
            </w:r>
            <w:r>
              <w:rPr>
                <w:rFonts w:hint="eastAsia" w:ascii="仿宋" w:hAnsi="仿宋" w:eastAsia="仿宋"/>
                <w:sz w:val="21"/>
                <w:szCs w:val="21"/>
              </w:rPr>
              <w:t>分</w:t>
            </w:r>
          </w:p>
        </w:tc>
        <w:tc>
          <w:tcPr>
            <w:tcW w:w="4820" w:type="dxa"/>
            <w:vAlign w:val="center"/>
          </w:tcPr>
          <w:p w14:paraId="6460A745">
            <w:pPr>
              <w:outlineLvl w:val="2"/>
            </w:pPr>
            <w:r>
              <w:rPr>
                <w:rFonts w:hint="eastAsia" w:ascii="仿宋" w:hAnsi="仿宋" w:eastAsia="仿宋"/>
                <w:sz w:val="21"/>
                <w:szCs w:val="21"/>
              </w:rPr>
              <w:t>结合对项目的理解，细化项目组织，编制详实可行的施工方案，措施合理，具有针对性，解决方案科学、系统、安全、经济，可操作性强，保障措施得力，对施工关键技术、工艺把握准确，应用到位，阐释清晰。</w:t>
            </w:r>
            <w:r>
              <w:rPr>
                <w:rFonts w:hint="eastAsia" w:ascii="仿宋" w:hAnsi="仿宋" w:eastAsia="仿宋"/>
                <w:sz w:val="21"/>
                <w:szCs w:val="21"/>
                <w:lang w:val="zh-CN"/>
              </w:rPr>
              <w:t>内容存在瑕疵1处</w:t>
            </w:r>
            <w:r>
              <w:rPr>
                <w:rFonts w:hint="eastAsia" w:ascii="仿宋" w:hAnsi="仿宋" w:eastAsia="仿宋"/>
                <w:sz w:val="21"/>
                <w:szCs w:val="21"/>
              </w:rPr>
              <w:t>扣</w:t>
            </w:r>
            <w:r>
              <w:rPr>
                <w:rFonts w:ascii="仿宋" w:hAnsi="仿宋" w:eastAsia="仿宋"/>
                <w:sz w:val="21"/>
                <w:szCs w:val="21"/>
              </w:rPr>
              <w:t>3</w:t>
            </w:r>
            <w:r>
              <w:rPr>
                <w:rFonts w:hint="eastAsia" w:ascii="仿宋" w:hAnsi="仿宋" w:eastAsia="仿宋"/>
                <w:sz w:val="21"/>
                <w:szCs w:val="21"/>
                <w:lang w:val="zh-CN"/>
              </w:rPr>
              <w:t>分，</w:t>
            </w:r>
            <w:r>
              <w:rPr>
                <w:rFonts w:hint="eastAsia" w:ascii="仿宋" w:hAnsi="仿宋" w:eastAsia="仿宋"/>
                <w:sz w:val="21"/>
                <w:szCs w:val="21"/>
              </w:rPr>
              <w:t>总分1</w:t>
            </w:r>
            <w:r>
              <w:rPr>
                <w:rFonts w:ascii="仿宋" w:hAnsi="仿宋" w:eastAsia="仿宋"/>
                <w:sz w:val="21"/>
                <w:szCs w:val="21"/>
              </w:rPr>
              <w:t>5</w:t>
            </w:r>
            <w:r>
              <w:rPr>
                <w:rFonts w:hint="eastAsia" w:ascii="仿宋" w:hAnsi="仿宋" w:eastAsia="仿宋"/>
                <w:sz w:val="21"/>
                <w:szCs w:val="21"/>
              </w:rPr>
              <w:t>分，</w:t>
            </w:r>
            <w:r>
              <w:rPr>
                <w:rFonts w:hint="eastAsia" w:ascii="仿宋" w:hAnsi="仿宋" w:eastAsia="仿宋"/>
                <w:sz w:val="21"/>
                <w:szCs w:val="21"/>
                <w:lang w:val="zh-CN"/>
              </w:rPr>
              <w:t>未提供</w:t>
            </w:r>
            <w:r>
              <w:rPr>
                <w:rFonts w:hint="eastAsia" w:ascii="仿宋" w:hAnsi="仿宋" w:eastAsia="仿宋"/>
                <w:sz w:val="21"/>
                <w:szCs w:val="21"/>
              </w:rPr>
              <w:t>的得</w:t>
            </w:r>
            <w:r>
              <w:rPr>
                <w:rFonts w:hint="eastAsia" w:ascii="仿宋" w:hAnsi="仿宋" w:eastAsia="仿宋"/>
                <w:sz w:val="21"/>
                <w:szCs w:val="21"/>
                <w:lang w:val="zh-CN"/>
              </w:rPr>
              <w:t>0分</w:t>
            </w:r>
            <w:r>
              <w:rPr>
                <w:rFonts w:hint="eastAsia" w:ascii="仿宋" w:hAnsi="仿宋" w:eastAsia="仿宋"/>
                <w:sz w:val="21"/>
                <w:szCs w:val="21"/>
              </w:rPr>
              <w:t>。</w:t>
            </w:r>
          </w:p>
        </w:tc>
        <w:tc>
          <w:tcPr>
            <w:tcW w:w="2152" w:type="dxa"/>
            <w:vMerge w:val="restart"/>
            <w:vAlign w:val="center"/>
          </w:tcPr>
          <w:p w14:paraId="32844C2F">
            <w:pPr>
              <w:spacing w:line="240" w:lineRule="atLeast"/>
              <w:jc w:val="center"/>
              <w:rPr>
                <w:rFonts w:ascii="仿宋" w:hAnsi="仿宋" w:eastAsia="仿宋"/>
                <w:sz w:val="21"/>
                <w:szCs w:val="21"/>
              </w:rPr>
            </w:pPr>
            <w:r>
              <w:rPr>
                <w:rFonts w:hint="eastAsia" w:ascii="仿宋" w:hAnsi="仿宋" w:eastAsia="仿宋"/>
                <w:sz w:val="21"/>
                <w:szCs w:val="21"/>
                <w:lang w:val="zh-CN"/>
              </w:rPr>
              <w:t>本项内容中所称的“瑕疵”指方案内容缺项、内容表述不完整、缺少任意一项内容的针对性描述分析或缺少关键分析点，方案内容表述前后矛盾、无连贯性，内容存在逻辑漏洞、常识错误、科学原理错误、措施保障安排并不适用本项目特性或非专门针对本项目制定、方案中提出的措施举措不利于本项目目标的实现、现有技术条件下不可能出现的情形等任意一种情形。</w:t>
            </w:r>
          </w:p>
        </w:tc>
      </w:tr>
      <w:tr w14:paraId="2411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BDCCD0F">
            <w:pPr>
              <w:spacing w:line="240" w:lineRule="atLeast"/>
              <w:ind w:firstLine="28"/>
              <w:jc w:val="center"/>
              <w:rPr>
                <w:rFonts w:ascii="仿宋" w:hAnsi="仿宋" w:eastAsia="仿宋"/>
                <w:sz w:val="21"/>
                <w:szCs w:val="21"/>
              </w:rPr>
            </w:pPr>
          </w:p>
        </w:tc>
        <w:tc>
          <w:tcPr>
            <w:tcW w:w="1339" w:type="dxa"/>
            <w:vMerge w:val="continue"/>
            <w:vAlign w:val="center"/>
          </w:tcPr>
          <w:p w14:paraId="2E01D019">
            <w:pPr>
              <w:spacing w:line="240" w:lineRule="atLeast"/>
              <w:ind w:firstLine="28"/>
              <w:jc w:val="center"/>
              <w:rPr>
                <w:rFonts w:ascii="仿宋" w:hAnsi="仿宋" w:eastAsia="仿宋"/>
                <w:sz w:val="21"/>
                <w:szCs w:val="21"/>
              </w:rPr>
            </w:pPr>
          </w:p>
        </w:tc>
        <w:tc>
          <w:tcPr>
            <w:tcW w:w="824" w:type="dxa"/>
            <w:vAlign w:val="center"/>
          </w:tcPr>
          <w:p w14:paraId="47504BDF">
            <w:pPr>
              <w:spacing w:line="240" w:lineRule="atLeast"/>
              <w:ind w:firstLine="28"/>
              <w:jc w:val="center"/>
              <w:rPr>
                <w:rFonts w:ascii="仿宋" w:hAnsi="仿宋" w:eastAsia="仿宋"/>
                <w:sz w:val="21"/>
                <w:szCs w:val="21"/>
              </w:rPr>
            </w:pPr>
            <w:r>
              <w:rPr>
                <w:rFonts w:hint="eastAsia" w:ascii="仿宋" w:hAnsi="仿宋" w:eastAsia="仿宋"/>
                <w:sz w:val="21"/>
                <w:szCs w:val="21"/>
              </w:rPr>
              <w:t>质量保证措施1</w:t>
            </w:r>
            <w:r>
              <w:rPr>
                <w:rFonts w:ascii="仿宋" w:hAnsi="仿宋" w:eastAsia="仿宋"/>
                <w:sz w:val="21"/>
                <w:szCs w:val="21"/>
              </w:rPr>
              <w:t>5</w:t>
            </w:r>
            <w:r>
              <w:rPr>
                <w:rFonts w:hint="eastAsia" w:ascii="仿宋" w:hAnsi="仿宋" w:eastAsia="仿宋"/>
                <w:sz w:val="21"/>
                <w:szCs w:val="21"/>
              </w:rPr>
              <w:t>分</w:t>
            </w:r>
          </w:p>
        </w:tc>
        <w:tc>
          <w:tcPr>
            <w:tcW w:w="4820" w:type="dxa"/>
            <w:vAlign w:val="center"/>
          </w:tcPr>
          <w:p w14:paraId="28CB3719">
            <w:pPr>
              <w:outlineLvl w:val="2"/>
              <w:rPr>
                <w:rFonts w:ascii="仿宋" w:hAnsi="仿宋" w:eastAsia="仿宋"/>
                <w:sz w:val="21"/>
                <w:szCs w:val="21"/>
              </w:rPr>
            </w:pPr>
            <w:r>
              <w:rPr>
                <w:rFonts w:hint="eastAsia" w:ascii="仿宋" w:hAnsi="仿宋" w:eastAsia="仿宋"/>
                <w:sz w:val="21"/>
                <w:szCs w:val="21"/>
              </w:rPr>
              <w:t>质量保证体系完整，质量控制层级合理、职责明确，质量保证措施有力，重点环节质量控制与保障措施详尽、针对性强。对项目拟使用的品牌规格，包括：墙漆、地砖、木地板、线管、空调等清单中涉及主要材料。</w:t>
            </w:r>
            <w:r>
              <w:rPr>
                <w:rFonts w:hint="eastAsia" w:ascii="仿宋" w:hAnsi="仿宋" w:eastAsia="仿宋"/>
                <w:sz w:val="21"/>
                <w:szCs w:val="21"/>
                <w:lang w:val="zh-CN"/>
              </w:rPr>
              <w:t>内容存在瑕疵1处</w:t>
            </w:r>
            <w:r>
              <w:rPr>
                <w:rFonts w:hint="eastAsia" w:ascii="仿宋" w:hAnsi="仿宋" w:eastAsia="仿宋"/>
                <w:sz w:val="21"/>
                <w:szCs w:val="21"/>
              </w:rPr>
              <w:t>扣</w:t>
            </w:r>
            <w:r>
              <w:rPr>
                <w:rFonts w:hint="default" w:ascii="仿宋" w:hAnsi="仿宋" w:eastAsia="仿宋"/>
                <w:sz w:val="21"/>
                <w:szCs w:val="21"/>
                <w:woUserID w:val="1"/>
              </w:rPr>
              <w:t>3</w:t>
            </w:r>
            <w:r>
              <w:rPr>
                <w:rFonts w:hint="eastAsia" w:ascii="仿宋" w:hAnsi="仿宋" w:eastAsia="仿宋"/>
                <w:sz w:val="21"/>
                <w:szCs w:val="21"/>
                <w:lang w:val="zh-CN"/>
              </w:rPr>
              <w:t>分</w:t>
            </w:r>
            <w:r>
              <w:rPr>
                <w:rFonts w:hint="eastAsia" w:ascii="仿宋" w:hAnsi="仿宋" w:eastAsia="仿宋"/>
                <w:sz w:val="21"/>
                <w:szCs w:val="21"/>
              </w:rPr>
              <w:t>总分1</w:t>
            </w:r>
            <w:r>
              <w:rPr>
                <w:rFonts w:hint="default" w:ascii="仿宋" w:hAnsi="仿宋" w:eastAsia="仿宋"/>
                <w:sz w:val="21"/>
                <w:szCs w:val="21"/>
                <w:woUserID w:val="1"/>
              </w:rPr>
              <w:t>5</w:t>
            </w:r>
            <w:r>
              <w:rPr>
                <w:rFonts w:hint="eastAsia" w:ascii="仿宋" w:hAnsi="仿宋" w:eastAsia="仿宋"/>
                <w:sz w:val="21"/>
                <w:szCs w:val="21"/>
              </w:rPr>
              <w:t>分，</w:t>
            </w:r>
            <w:r>
              <w:rPr>
                <w:rFonts w:hint="eastAsia" w:ascii="仿宋" w:hAnsi="仿宋" w:eastAsia="仿宋"/>
                <w:sz w:val="21"/>
                <w:szCs w:val="21"/>
                <w:lang w:val="zh-CN"/>
              </w:rPr>
              <w:t>未提供</w:t>
            </w:r>
            <w:r>
              <w:rPr>
                <w:rFonts w:hint="eastAsia" w:ascii="仿宋" w:hAnsi="仿宋" w:eastAsia="仿宋"/>
                <w:sz w:val="21"/>
                <w:szCs w:val="21"/>
              </w:rPr>
              <w:t>的得</w:t>
            </w:r>
            <w:r>
              <w:rPr>
                <w:rFonts w:hint="eastAsia" w:ascii="仿宋" w:hAnsi="仿宋" w:eastAsia="仿宋"/>
                <w:sz w:val="21"/>
                <w:szCs w:val="21"/>
                <w:lang w:val="zh-CN"/>
              </w:rPr>
              <w:t>0分</w:t>
            </w:r>
            <w:r>
              <w:rPr>
                <w:rFonts w:hint="eastAsia" w:ascii="仿宋" w:hAnsi="仿宋" w:eastAsia="仿宋"/>
                <w:sz w:val="21"/>
                <w:szCs w:val="21"/>
              </w:rPr>
              <w:t>。</w:t>
            </w:r>
          </w:p>
        </w:tc>
        <w:tc>
          <w:tcPr>
            <w:tcW w:w="2152" w:type="dxa"/>
            <w:vMerge w:val="continue"/>
            <w:vAlign w:val="center"/>
          </w:tcPr>
          <w:p w14:paraId="3CA2AF71">
            <w:pPr>
              <w:spacing w:line="240" w:lineRule="atLeast"/>
              <w:jc w:val="center"/>
              <w:rPr>
                <w:rFonts w:ascii="仿宋" w:hAnsi="仿宋" w:eastAsia="仿宋"/>
                <w:sz w:val="21"/>
                <w:szCs w:val="21"/>
                <w:lang w:val="zh-CN"/>
              </w:rPr>
            </w:pPr>
          </w:p>
        </w:tc>
      </w:tr>
      <w:tr w14:paraId="1846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7050F480">
            <w:pPr>
              <w:spacing w:line="240" w:lineRule="atLeast"/>
              <w:ind w:firstLine="28"/>
              <w:jc w:val="center"/>
              <w:rPr>
                <w:rFonts w:ascii="仿宋" w:hAnsi="仿宋" w:eastAsia="仿宋"/>
                <w:sz w:val="21"/>
                <w:szCs w:val="21"/>
              </w:rPr>
            </w:pPr>
          </w:p>
        </w:tc>
        <w:tc>
          <w:tcPr>
            <w:tcW w:w="1339" w:type="dxa"/>
            <w:vMerge w:val="continue"/>
            <w:vAlign w:val="center"/>
          </w:tcPr>
          <w:p w14:paraId="6BEF8A43">
            <w:pPr>
              <w:spacing w:line="240" w:lineRule="atLeast"/>
              <w:ind w:firstLine="28"/>
              <w:jc w:val="center"/>
              <w:rPr>
                <w:rFonts w:ascii="仿宋" w:hAnsi="仿宋" w:eastAsia="仿宋"/>
                <w:sz w:val="21"/>
                <w:szCs w:val="21"/>
              </w:rPr>
            </w:pPr>
          </w:p>
        </w:tc>
        <w:tc>
          <w:tcPr>
            <w:tcW w:w="824" w:type="dxa"/>
            <w:vAlign w:val="center"/>
          </w:tcPr>
          <w:p w14:paraId="6A32E8F5">
            <w:pPr>
              <w:spacing w:line="240" w:lineRule="atLeast"/>
              <w:ind w:firstLine="28"/>
              <w:jc w:val="center"/>
              <w:rPr>
                <w:rFonts w:ascii="仿宋" w:hAnsi="仿宋" w:eastAsia="仿宋"/>
                <w:sz w:val="21"/>
                <w:szCs w:val="21"/>
              </w:rPr>
            </w:pPr>
            <w:r>
              <w:rPr>
                <w:rFonts w:hint="eastAsia" w:ascii="仿宋" w:hAnsi="仿宋" w:eastAsia="仿宋"/>
                <w:sz w:val="21"/>
                <w:szCs w:val="21"/>
              </w:rPr>
              <w:t xml:space="preserve">安全环保措施 </w:t>
            </w:r>
            <w:r>
              <w:rPr>
                <w:rFonts w:ascii="仿宋" w:hAnsi="仿宋" w:eastAsia="仿宋"/>
                <w:color w:val="auto"/>
                <w:sz w:val="21"/>
                <w:szCs w:val="21"/>
              </w:rPr>
              <w:t>10</w:t>
            </w:r>
            <w:r>
              <w:rPr>
                <w:rFonts w:hint="eastAsia" w:ascii="仿宋" w:hAnsi="仿宋" w:eastAsia="仿宋"/>
                <w:color w:val="auto"/>
                <w:sz w:val="21"/>
                <w:szCs w:val="21"/>
              </w:rPr>
              <w:t>分</w:t>
            </w:r>
          </w:p>
        </w:tc>
        <w:tc>
          <w:tcPr>
            <w:tcW w:w="4820" w:type="dxa"/>
            <w:vAlign w:val="center"/>
          </w:tcPr>
          <w:p w14:paraId="6ADF26EE">
            <w:pPr>
              <w:outlineLvl w:val="2"/>
              <w:rPr>
                <w:rFonts w:ascii="仿宋" w:hAnsi="仿宋" w:eastAsia="仿宋"/>
                <w:sz w:val="21"/>
                <w:szCs w:val="21"/>
              </w:rPr>
            </w:pPr>
            <w:r>
              <w:rPr>
                <w:rFonts w:hint="eastAsia" w:ascii="仿宋" w:hAnsi="仿宋" w:eastAsia="仿宋"/>
                <w:sz w:val="21"/>
                <w:szCs w:val="21"/>
              </w:rPr>
              <w:t>安全环保防控措施到位，应急预案完备，安全措施合理，具有针对性，</w:t>
            </w:r>
            <w:r>
              <w:rPr>
                <w:rFonts w:hint="eastAsia" w:ascii="仿宋" w:hAnsi="仿宋" w:eastAsia="仿宋"/>
                <w:sz w:val="21"/>
                <w:szCs w:val="21"/>
                <w:lang w:val="zh-CN"/>
              </w:rPr>
              <w:t>内容存在瑕疵1处</w:t>
            </w:r>
            <w:r>
              <w:rPr>
                <w:rFonts w:hint="eastAsia" w:ascii="仿宋" w:hAnsi="仿宋" w:eastAsia="仿宋"/>
                <w:sz w:val="21"/>
                <w:szCs w:val="21"/>
              </w:rPr>
              <w:t>扣2</w:t>
            </w:r>
            <w:r>
              <w:rPr>
                <w:rFonts w:hint="eastAsia" w:ascii="仿宋" w:hAnsi="仿宋" w:eastAsia="仿宋"/>
                <w:sz w:val="21"/>
                <w:szCs w:val="21"/>
                <w:lang w:val="zh-CN"/>
              </w:rPr>
              <w:t>分</w:t>
            </w:r>
            <w:r>
              <w:rPr>
                <w:rFonts w:hint="eastAsia" w:ascii="仿宋" w:hAnsi="仿宋" w:eastAsia="仿宋"/>
                <w:sz w:val="21"/>
                <w:szCs w:val="21"/>
              </w:rPr>
              <w:t>总分10分，</w:t>
            </w:r>
            <w:r>
              <w:rPr>
                <w:rFonts w:hint="eastAsia" w:ascii="仿宋" w:hAnsi="仿宋" w:eastAsia="仿宋"/>
                <w:sz w:val="21"/>
                <w:szCs w:val="21"/>
                <w:lang w:val="zh-CN"/>
              </w:rPr>
              <w:t>未提供</w:t>
            </w:r>
            <w:r>
              <w:rPr>
                <w:rFonts w:hint="eastAsia" w:ascii="仿宋" w:hAnsi="仿宋" w:eastAsia="仿宋"/>
                <w:sz w:val="21"/>
                <w:szCs w:val="21"/>
              </w:rPr>
              <w:t>的得</w:t>
            </w:r>
            <w:r>
              <w:rPr>
                <w:rFonts w:hint="eastAsia" w:ascii="仿宋" w:hAnsi="仿宋" w:eastAsia="仿宋"/>
                <w:sz w:val="21"/>
                <w:szCs w:val="21"/>
                <w:lang w:val="zh-CN"/>
              </w:rPr>
              <w:t>0分</w:t>
            </w:r>
            <w:r>
              <w:rPr>
                <w:rFonts w:hint="eastAsia" w:ascii="仿宋" w:hAnsi="仿宋" w:eastAsia="仿宋"/>
                <w:sz w:val="21"/>
                <w:szCs w:val="21"/>
              </w:rPr>
              <w:t>。</w:t>
            </w:r>
          </w:p>
        </w:tc>
        <w:tc>
          <w:tcPr>
            <w:tcW w:w="2152" w:type="dxa"/>
            <w:vMerge w:val="continue"/>
            <w:vAlign w:val="center"/>
          </w:tcPr>
          <w:p w14:paraId="0A99731D">
            <w:pPr>
              <w:spacing w:line="240" w:lineRule="atLeast"/>
              <w:jc w:val="center"/>
              <w:rPr>
                <w:rFonts w:ascii="仿宋" w:hAnsi="仿宋" w:eastAsia="仿宋"/>
                <w:sz w:val="21"/>
                <w:szCs w:val="21"/>
                <w:lang w:val="zh-CN"/>
              </w:rPr>
            </w:pPr>
          </w:p>
        </w:tc>
      </w:tr>
      <w:tr w14:paraId="2A44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493" w:type="dxa"/>
            <w:vMerge w:val="continue"/>
            <w:vAlign w:val="center"/>
          </w:tcPr>
          <w:p w14:paraId="2CE1BD8C">
            <w:pPr>
              <w:spacing w:line="240" w:lineRule="atLeast"/>
              <w:ind w:firstLine="28"/>
              <w:jc w:val="center"/>
              <w:rPr>
                <w:rFonts w:ascii="仿宋" w:hAnsi="仿宋" w:eastAsia="仿宋"/>
                <w:sz w:val="21"/>
                <w:szCs w:val="21"/>
              </w:rPr>
            </w:pPr>
          </w:p>
        </w:tc>
        <w:tc>
          <w:tcPr>
            <w:tcW w:w="1339" w:type="dxa"/>
            <w:vMerge w:val="continue"/>
            <w:vAlign w:val="center"/>
          </w:tcPr>
          <w:p w14:paraId="0D1AF29F">
            <w:pPr>
              <w:spacing w:line="240" w:lineRule="atLeast"/>
              <w:ind w:firstLine="28"/>
              <w:jc w:val="center"/>
              <w:rPr>
                <w:rFonts w:ascii="仿宋" w:hAnsi="仿宋" w:eastAsia="仿宋"/>
                <w:sz w:val="21"/>
                <w:szCs w:val="21"/>
              </w:rPr>
            </w:pPr>
          </w:p>
        </w:tc>
        <w:tc>
          <w:tcPr>
            <w:tcW w:w="824" w:type="dxa"/>
            <w:vAlign w:val="center"/>
          </w:tcPr>
          <w:p w14:paraId="37E6AFD1">
            <w:pPr>
              <w:spacing w:line="240" w:lineRule="atLeast"/>
              <w:ind w:firstLine="28"/>
              <w:jc w:val="center"/>
              <w:rPr>
                <w:rFonts w:ascii="仿宋" w:hAnsi="仿宋" w:eastAsia="仿宋"/>
                <w:sz w:val="21"/>
                <w:szCs w:val="21"/>
              </w:rPr>
            </w:pPr>
            <w:r>
              <w:rPr>
                <w:rFonts w:hint="eastAsia" w:ascii="仿宋" w:hAnsi="仿宋" w:eastAsia="仿宋"/>
                <w:sz w:val="21"/>
                <w:szCs w:val="21"/>
              </w:rPr>
              <w:t>进度保证措施10分</w:t>
            </w:r>
          </w:p>
        </w:tc>
        <w:tc>
          <w:tcPr>
            <w:tcW w:w="4820" w:type="dxa"/>
            <w:vAlign w:val="center"/>
          </w:tcPr>
          <w:p w14:paraId="551C3A68">
            <w:pPr>
              <w:outlineLvl w:val="2"/>
            </w:pPr>
            <w:r>
              <w:rPr>
                <w:rFonts w:hint="eastAsia" w:ascii="仿宋" w:hAnsi="仿宋" w:eastAsia="仿宋"/>
                <w:sz w:val="21"/>
                <w:szCs w:val="21"/>
              </w:rPr>
              <w:t>施工进度计划合理、可行，关键线路清晰、准确、完整，关键节点控制措施得力、可操作性强，保证措施可靠。内容存在瑕疵1处扣2分总分10分，未提供的得0分。</w:t>
            </w:r>
          </w:p>
        </w:tc>
        <w:tc>
          <w:tcPr>
            <w:tcW w:w="2152" w:type="dxa"/>
            <w:vMerge w:val="continue"/>
            <w:vAlign w:val="center"/>
          </w:tcPr>
          <w:p w14:paraId="464D16E6">
            <w:pPr>
              <w:spacing w:line="240" w:lineRule="atLeast"/>
              <w:jc w:val="center"/>
              <w:rPr>
                <w:rFonts w:ascii="仿宋" w:hAnsi="仿宋" w:eastAsia="仿宋"/>
                <w:sz w:val="21"/>
                <w:szCs w:val="21"/>
                <w:lang w:val="zh-CN"/>
              </w:rPr>
            </w:pPr>
          </w:p>
        </w:tc>
      </w:tr>
      <w:tr w14:paraId="097A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restart"/>
            <w:vAlign w:val="center"/>
          </w:tcPr>
          <w:p w14:paraId="38224D39">
            <w:pPr>
              <w:spacing w:line="240" w:lineRule="atLeast"/>
              <w:ind w:firstLine="28"/>
              <w:jc w:val="center"/>
              <w:rPr>
                <w:rFonts w:ascii="仿宋" w:hAnsi="仿宋" w:eastAsia="仿宋" w:cs="仿宋"/>
                <w:sz w:val="21"/>
                <w:szCs w:val="21"/>
              </w:rPr>
            </w:pPr>
            <w:r>
              <w:rPr>
                <w:rFonts w:hint="eastAsia" w:ascii="仿宋" w:hAnsi="仿宋" w:eastAsia="仿宋" w:cs="仿宋"/>
                <w:sz w:val="21"/>
                <w:szCs w:val="21"/>
              </w:rPr>
              <w:t>3</w:t>
            </w:r>
          </w:p>
        </w:tc>
        <w:tc>
          <w:tcPr>
            <w:tcW w:w="1339" w:type="dxa"/>
            <w:vMerge w:val="restart"/>
            <w:vAlign w:val="center"/>
          </w:tcPr>
          <w:p w14:paraId="7E15ACDC">
            <w:pPr>
              <w:spacing w:line="240" w:lineRule="exact"/>
              <w:jc w:val="center"/>
              <w:rPr>
                <w:rFonts w:ascii="仿宋" w:hAnsi="仿宋" w:eastAsia="仿宋" w:cs="仿宋"/>
                <w:sz w:val="21"/>
                <w:szCs w:val="21"/>
              </w:rPr>
            </w:pPr>
            <w:r>
              <w:rPr>
                <w:rFonts w:hint="eastAsia" w:ascii="仿宋" w:hAnsi="仿宋" w:eastAsia="仿宋" w:cs="仿宋"/>
                <w:sz w:val="21"/>
                <w:szCs w:val="21"/>
              </w:rPr>
              <w:t>商务部分</w:t>
            </w:r>
          </w:p>
          <w:p w14:paraId="73692965">
            <w:pPr>
              <w:spacing w:line="240" w:lineRule="exact"/>
              <w:jc w:val="center"/>
              <w:rPr>
                <w:rFonts w:ascii="仿宋" w:hAnsi="仿宋" w:eastAsia="仿宋" w:cs="仿宋"/>
                <w:sz w:val="21"/>
                <w:szCs w:val="21"/>
              </w:rPr>
            </w:pPr>
            <w:r>
              <w:rPr>
                <w:rFonts w:hint="eastAsia" w:ascii="仿宋" w:hAnsi="仿宋" w:eastAsia="仿宋" w:cs="仿宋"/>
                <w:sz w:val="21"/>
                <w:szCs w:val="21"/>
              </w:rPr>
              <w:t>（30%）</w:t>
            </w:r>
          </w:p>
        </w:tc>
        <w:tc>
          <w:tcPr>
            <w:tcW w:w="824" w:type="dxa"/>
            <w:vAlign w:val="center"/>
          </w:tcPr>
          <w:p w14:paraId="437163BB">
            <w:pPr>
              <w:spacing w:line="240" w:lineRule="atLeas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参与人员</w:t>
            </w:r>
          </w:p>
          <w:p w14:paraId="46363BFE">
            <w:pPr>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5分</w:t>
            </w:r>
          </w:p>
        </w:tc>
        <w:tc>
          <w:tcPr>
            <w:tcW w:w="4820" w:type="dxa"/>
            <w:vAlign w:val="center"/>
          </w:tcPr>
          <w:p w14:paraId="04DBE06D">
            <w:pPr>
              <w:spacing w:line="240" w:lineRule="atLeast"/>
              <w:rPr>
                <w:rFonts w:ascii="仿宋" w:hAnsi="仿宋" w:eastAsia="仿宋" w:cs="仿宋"/>
                <w:sz w:val="21"/>
                <w:szCs w:val="21"/>
              </w:rPr>
            </w:pPr>
            <w:r>
              <w:rPr>
                <w:rFonts w:hint="eastAsia" w:ascii="仿宋" w:hAnsi="仿宋" w:eastAsia="仿宋"/>
                <w:sz w:val="21"/>
                <w:szCs w:val="21"/>
              </w:rPr>
              <w:t>拟投入本项目负责人具有建筑工程专业高级技术职称的得</w:t>
            </w:r>
            <w:r>
              <w:rPr>
                <w:rFonts w:hint="eastAsia" w:ascii="仿宋" w:hAnsi="仿宋" w:eastAsia="仿宋"/>
                <w:sz w:val="21"/>
                <w:szCs w:val="21"/>
                <w:lang w:val="en-US" w:eastAsia="zh-CN"/>
              </w:rPr>
              <w:t>3</w:t>
            </w:r>
            <w:r>
              <w:rPr>
                <w:rFonts w:hint="eastAsia" w:ascii="仿宋" w:hAnsi="仿宋" w:eastAsia="仿宋"/>
                <w:sz w:val="21"/>
                <w:szCs w:val="21"/>
              </w:rPr>
              <w:t>分，具备</w:t>
            </w:r>
            <w:r>
              <w:rPr>
                <w:rFonts w:hint="eastAsia" w:ascii="仿宋" w:hAnsi="仿宋" w:eastAsia="仿宋"/>
                <w:sz w:val="21"/>
                <w:szCs w:val="21"/>
                <w:lang w:eastAsia="zh-CN"/>
              </w:rPr>
              <w:t>二</w:t>
            </w:r>
            <w:r>
              <w:rPr>
                <w:rFonts w:hint="eastAsia" w:ascii="仿宋" w:hAnsi="仿宋" w:eastAsia="仿宋"/>
                <w:sz w:val="21"/>
                <w:szCs w:val="21"/>
              </w:rPr>
              <w:t>级建造师（建筑工程专业）的得</w:t>
            </w:r>
            <w:r>
              <w:rPr>
                <w:rFonts w:hint="eastAsia" w:ascii="仿宋" w:hAnsi="仿宋" w:eastAsia="仿宋"/>
                <w:sz w:val="21"/>
                <w:szCs w:val="21"/>
                <w:lang w:val="en-US" w:eastAsia="zh-CN"/>
              </w:rPr>
              <w:t>2</w:t>
            </w:r>
            <w:r>
              <w:rPr>
                <w:rFonts w:hint="eastAsia" w:ascii="仿宋" w:hAnsi="仿宋" w:eastAsia="仿宋"/>
                <w:sz w:val="21"/>
                <w:szCs w:val="21"/>
              </w:rPr>
              <w:t>分，满分5分。</w:t>
            </w:r>
          </w:p>
        </w:tc>
        <w:tc>
          <w:tcPr>
            <w:tcW w:w="2152" w:type="dxa"/>
            <w:vAlign w:val="center"/>
          </w:tcPr>
          <w:p w14:paraId="7B03896D">
            <w:pPr>
              <w:jc w:val="left"/>
              <w:rPr>
                <w:rFonts w:hint="eastAsia" w:ascii="仿宋" w:hAnsi="仿宋" w:eastAsia="仿宋" w:cs="仿宋"/>
                <w:sz w:val="21"/>
                <w:szCs w:val="21"/>
                <w:lang w:val="zh-CN"/>
              </w:rPr>
            </w:pPr>
            <w:r>
              <w:rPr>
                <w:rFonts w:hint="eastAsia" w:ascii="仿宋" w:hAnsi="仿宋" w:eastAsia="仿宋" w:cs="仿宋"/>
                <w:sz w:val="21"/>
                <w:szCs w:val="21"/>
                <w:lang w:val="zh-CN"/>
              </w:rPr>
              <w:t>提供拟投入负责人响应证书和开标前六个月（2024年</w:t>
            </w:r>
            <w:r>
              <w:rPr>
                <w:rFonts w:ascii="仿宋" w:hAnsi="仿宋" w:eastAsia="仿宋" w:cs="仿宋"/>
                <w:sz w:val="21"/>
                <w:szCs w:val="21"/>
                <w:lang w:val="zh-CN"/>
              </w:rPr>
              <w:t>5</w:t>
            </w:r>
            <w:r>
              <w:rPr>
                <w:rFonts w:hint="eastAsia" w:ascii="仿宋" w:hAnsi="仿宋" w:eastAsia="仿宋" w:cs="仿宋"/>
                <w:sz w:val="21"/>
                <w:szCs w:val="21"/>
                <w:lang w:val="zh-CN"/>
              </w:rPr>
              <w:t>月至2024年</w:t>
            </w:r>
            <w:r>
              <w:rPr>
                <w:rFonts w:ascii="仿宋" w:hAnsi="仿宋" w:eastAsia="仿宋" w:cs="仿宋"/>
                <w:sz w:val="21"/>
                <w:szCs w:val="21"/>
                <w:lang w:val="zh-CN"/>
              </w:rPr>
              <w:t>10</w:t>
            </w:r>
            <w:r>
              <w:rPr>
                <w:rFonts w:hint="eastAsia" w:ascii="仿宋" w:hAnsi="仿宋" w:eastAsia="仿宋" w:cs="仿宋"/>
                <w:sz w:val="21"/>
                <w:szCs w:val="21"/>
                <w:lang w:val="zh-CN"/>
              </w:rPr>
              <w:t>月）任意一月社保证明材料扫描件。上述材料均须加盖投标人公章。</w:t>
            </w:r>
          </w:p>
          <w:p w14:paraId="6D12377E">
            <w:pPr>
              <w:spacing w:line="240" w:lineRule="exact"/>
              <w:ind w:left="-39" w:leftChars="-14"/>
              <w:jc w:val="center"/>
              <w:rPr>
                <w:rFonts w:ascii="仿宋" w:hAnsi="仿宋" w:eastAsia="仿宋" w:cs="仿宋"/>
                <w:sz w:val="21"/>
                <w:szCs w:val="21"/>
              </w:rPr>
            </w:pPr>
          </w:p>
        </w:tc>
      </w:tr>
      <w:tr w14:paraId="4BDA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continue"/>
            <w:vAlign w:val="center"/>
          </w:tcPr>
          <w:p w14:paraId="66334CAB">
            <w:pPr>
              <w:spacing w:line="240" w:lineRule="atLeast"/>
              <w:ind w:firstLine="28"/>
              <w:jc w:val="center"/>
              <w:rPr>
                <w:rFonts w:ascii="仿宋" w:hAnsi="仿宋" w:eastAsia="仿宋" w:cs="仿宋"/>
                <w:sz w:val="21"/>
                <w:szCs w:val="21"/>
              </w:rPr>
            </w:pPr>
          </w:p>
        </w:tc>
        <w:tc>
          <w:tcPr>
            <w:tcW w:w="1339" w:type="dxa"/>
            <w:vMerge w:val="continue"/>
            <w:vAlign w:val="center"/>
          </w:tcPr>
          <w:p w14:paraId="7FBDDFED">
            <w:pPr>
              <w:spacing w:line="240" w:lineRule="exact"/>
              <w:jc w:val="center"/>
              <w:rPr>
                <w:rFonts w:ascii="仿宋" w:hAnsi="仿宋" w:eastAsia="仿宋" w:cs="仿宋"/>
                <w:sz w:val="21"/>
                <w:szCs w:val="21"/>
              </w:rPr>
            </w:pPr>
          </w:p>
        </w:tc>
        <w:tc>
          <w:tcPr>
            <w:tcW w:w="824" w:type="dxa"/>
            <w:vAlign w:val="center"/>
          </w:tcPr>
          <w:p w14:paraId="2351DEC1">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综合业绩1</w:t>
            </w:r>
            <w:r>
              <w:rPr>
                <w:rFonts w:ascii="仿宋" w:hAnsi="仿宋" w:eastAsia="仿宋" w:cs="仿宋"/>
                <w:sz w:val="21"/>
                <w:szCs w:val="21"/>
              </w:rPr>
              <w:t>5</w:t>
            </w:r>
            <w:r>
              <w:rPr>
                <w:rFonts w:hint="eastAsia" w:ascii="仿宋" w:hAnsi="仿宋" w:eastAsia="仿宋" w:cs="仿宋"/>
                <w:sz w:val="21"/>
                <w:szCs w:val="21"/>
              </w:rPr>
              <w:t>分</w:t>
            </w:r>
          </w:p>
        </w:tc>
        <w:tc>
          <w:tcPr>
            <w:tcW w:w="4820" w:type="dxa"/>
            <w:vAlign w:val="center"/>
          </w:tcPr>
          <w:p w14:paraId="566F52F2">
            <w:pPr>
              <w:spacing w:line="240" w:lineRule="atLeast"/>
              <w:rPr>
                <w:rFonts w:hint="eastAsia" w:ascii="仿宋" w:hAnsi="仿宋" w:eastAsia="仿宋"/>
                <w:sz w:val="21"/>
                <w:szCs w:val="21"/>
                <w:lang w:val="zh-CN"/>
              </w:rPr>
            </w:pPr>
            <w:r>
              <w:rPr>
                <w:rFonts w:hint="eastAsia" w:ascii="仿宋" w:hAnsi="仿宋" w:eastAsia="仿宋"/>
                <w:sz w:val="21"/>
                <w:szCs w:val="21"/>
                <w:lang w:val="zh-CN"/>
              </w:rPr>
              <w:t>近三年（202</w:t>
            </w:r>
            <w:r>
              <w:rPr>
                <w:rFonts w:hint="eastAsia" w:ascii="仿宋" w:hAnsi="仿宋" w:eastAsia="仿宋"/>
                <w:sz w:val="21"/>
                <w:szCs w:val="21"/>
              </w:rPr>
              <w:t>1</w:t>
            </w:r>
            <w:r>
              <w:rPr>
                <w:rFonts w:hint="eastAsia" w:ascii="仿宋" w:hAnsi="仿宋" w:eastAsia="仿宋"/>
                <w:sz w:val="21"/>
                <w:szCs w:val="21"/>
                <w:lang w:val="zh-CN"/>
              </w:rPr>
              <w:t>年1月1日至今），具</w:t>
            </w:r>
            <w:r>
              <w:rPr>
                <w:rFonts w:hint="eastAsia" w:ascii="仿宋" w:hAnsi="仿宋" w:eastAsia="仿宋"/>
                <w:sz w:val="21"/>
                <w:szCs w:val="21"/>
              </w:rPr>
              <w:t>有</w:t>
            </w:r>
            <w:r>
              <w:rPr>
                <w:rFonts w:hint="eastAsia" w:ascii="仿宋" w:hAnsi="仿宋" w:eastAsia="仿宋"/>
                <w:sz w:val="21"/>
                <w:szCs w:val="21"/>
                <w:lang w:val="zh-CN"/>
              </w:rPr>
              <w:t>办公环境</w:t>
            </w:r>
            <w:r>
              <w:rPr>
                <w:rFonts w:hint="default" w:ascii="仿宋" w:hAnsi="仿宋" w:eastAsia="仿宋"/>
                <w:sz w:val="21"/>
                <w:szCs w:val="21"/>
                <w:woUserID w:val="1"/>
              </w:rPr>
              <w:t>翻修</w:t>
            </w:r>
            <w:r>
              <w:rPr>
                <w:rFonts w:hint="eastAsia" w:ascii="仿宋" w:hAnsi="仿宋" w:eastAsia="仿宋"/>
                <w:sz w:val="21"/>
                <w:szCs w:val="21"/>
                <w:lang w:val="zh-CN"/>
              </w:rPr>
              <w:t>排危</w:t>
            </w:r>
            <w:r>
              <w:rPr>
                <w:rFonts w:hint="eastAsia" w:ascii="仿宋" w:hAnsi="仿宋" w:eastAsia="仿宋"/>
                <w:sz w:val="21"/>
                <w:szCs w:val="21"/>
                <w:lang w:val="zh-CN"/>
                <w:woUserID w:val="1"/>
              </w:rPr>
              <w:t>类似</w:t>
            </w:r>
            <w:r>
              <w:rPr>
                <w:rFonts w:hint="eastAsia" w:ascii="仿宋" w:hAnsi="仿宋" w:eastAsia="仿宋"/>
                <w:sz w:val="21"/>
                <w:szCs w:val="21"/>
                <w:lang w:val="zh-CN"/>
              </w:rPr>
              <w:t>业绩一个得5分，最多得1</w:t>
            </w:r>
            <w:r>
              <w:rPr>
                <w:rFonts w:ascii="仿宋" w:hAnsi="仿宋" w:eastAsia="仿宋"/>
                <w:sz w:val="21"/>
                <w:szCs w:val="21"/>
                <w:lang w:val="zh-CN"/>
              </w:rPr>
              <w:t>5</w:t>
            </w:r>
            <w:r>
              <w:rPr>
                <w:rFonts w:hint="eastAsia" w:ascii="仿宋" w:hAnsi="仿宋" w:eastAsia="仿宋"/>
                <w:sz w:val="21"/>
                <w:szCs w:val="21"/>
                <w:lang w:val="zh-CN"/>
              </w:rPr>
              <w:t>分。</w:t>
            </w:r>
          </w:p>
        </w:tc>
        <w:tc>
          <w:tcPr>
            <w:tcW w:w="2152" w:type="dxa"/>
            <w:vAlign w:val="center"/>
          </w:tcPr>
          <w:p w14:paraId="0D369A43">
            <w:pPr>
              <w:ind w:firstLine="420" w:firstLineChars="200"/>
              <w:rPr>
                <w:rFonts w:hint="eastAsia" w:ascii="仿宋" w:hAnsi="仿宋" w:eastAsia="仿宋"/>
                <w:sz w:val="21"/>
                <w:szCs w:val="21"/>
                <w:lang w:val="zh-CN"/>
              </w:rPr>
            </w:pPr>
            <w:r>
              <w:rPr>
                <w:rFonts w:hint="eastAsia" w:ascii="仿宋" w:hAnsi="仿宋" w:eastAsia="仿宋"/>
                <w:sz w:val="21"/>
                <w:szCs w:val="21"/>
              </w:rPr>
              <w:t>须在响应文件中提供项目合同复印件加盖供应商公章。（合同需包含项目名称，内容，双方签章清晰。因内容不完整或不清晰导致磋商小组无法判定的，单个合同不得分。未提供的不得分）</w:t>
            </w:r>
          </w:p>
        </w:tc>
      </w:tr>
      <w:tr w14:paraId="3532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93" w:type="dxa"/>
            <w:vMerge w:val="continue"/>
            <w:vAlign w:val="center"/>
          </w:tcPr>
          <w:p w14:paraId="21B9C79E">
            <w:pPr>
              <w:spacing w:line="240" w:lineRule="atLeast"/>
              <w:ind w:firstLine="28"/>
              <w:jc w:val="center"/>
              <w:rPr>
                <w:rFonts w:ascii="仿宋" w:hAnsi="仿宋" w:eastAsia="仿宋" w:cs="仿宋"/>
                <w:sz w:val="21"/>
                <w:szCs w:val="21"/>
              </w:rPr>
            </w:pPr>
          </w:p>
        </w:tc>
        <w:tc>
          <w:tcPr>
            <w:tcW w:w="1339" w:type="dxa"/>
            <w:vMerge w:val="continue"/>
            <w:vAlign w:val="center"/>
          </w:tcPr>
          <w:p w14:paraId="06F2E6AD">
            <w:pPr>
              <w:spacing w:line="240" w:lineRule="exact"/>
              <w:jc w:val="center"/>
              <w:rPr>
                <w:rFonts w:ascii="仿宋" w:hAnsi="仿宋" w:eastAsia="仿宋" w:cs="仿宋"/>
                <w:sz w:val="21"/>
                <w:szCs w:val="21"/>
              </w:rPr>
            </w:pPr>
          </w:p>
        </w:tc>
        <w:tc>
          <w:tcPr>
            <w:tcW w:w="824" w:type="dxa"/>
            <w:vAlign w:val="center"/>
          </w:tcPr>
          <w:p w14:paraId="77400BBB">
            <w:pPr>
              <w:spacing w:line="240" w:lineRule="atLeast"/>
              <w:jc w:val="center"/>
              <w:rPr>
                <w:rFonts w:ascii="仿宋" w:hAnsi="仿宋" w:eastAsia="仿宋" w:cs="仿宋"/>
                <w:sz w:val="21"/>
                <w:szCs w:val="21"/>
              </w:rPr>
            </w:pPr>
            <w:r>
              <w:rPr>
                <w:rFonts w:hint="eastAsia" w:ascii="仿宋" w:hAnsi="仿宋" w:eastAsia="仿宋" w:cs="仿宋"/>
                <w:sz w:val="21"/>
                <w:szCs w:val="21"/>
              </w:rPr>
              <w:t>风险控制1</w:t>
            </w:r>
            <w:r>
              <w:rPr>
                <w:rFonts w:ascii="仿宋" w:hAnsi="仿宋" w:eastAsia="仿宋" w:cs="仿宋"/>
                <w:sz w:val="21"/>
                <w:szCs w:val="21"/>
              </w:rPr>
              <w:t>0</w:t>
            </w:r>
            <w:r>
              <w:rPr>
                <w:rFonts w:hint="eastAsia" w:ascii="仿宋" w:hAnsi="仿宋" w:eastAsia="仿宋" w:cs="仿宋"/>
                <w:sz w:val="21"/>
                <w:szCs w:val="21"/>
              </w:rPr>
              <w:t>分</w:t>
            </w:r>
          </w:p>
        </w:tc>
        <w:tc>
          <w:tcPr>
            <w:tcW w:w="4820" w:type="dxa"/>
            <w:vAlign w:val="center"/>
          </w:tcPr>
          <w:p w14:paraId="1F840969">
            <w:pPr>
              <w:spacing w:line="240" w:lineRule="atLeast"/>
              <w:rPr>
                <w:rFonts w:ascii="仿宋" w:hAnsi="仿宋" w:eastAsia="仿宋"/>
                <w:sz w:val="21"/>
                <w:szCs w:val="21"/>
                <w:lang w:val="zh-CN"/>
              </w:rPr>
            </w:pPr>
            <w:r>
              <w:rPr>
                <w:rFonts w:hint="eastAsia" w:ascii="仿宋" w:hAnsi="仿宋" w:eastAsia="仿宋"/>
                <w:sz w:val="21"/>
                <w:szCs w:val="21"/>
                <w:lang w:val="zh-CN"/>
              </w:rPr>
              <w:t>拟投入本项目的施工人员雇主责任险，1人得</w:t>
            </w:r>
            <w:r>
              <w:rPr>
                <w:rFonts w:ascii="仿宋" w:hAnsi="仿宋" w:eastAsia="仿宋"/>
                <w:sz w:val="21"/>
                <w:szCs w:val="21"/>
                <w:lang w:val="zh-CN"/>
              </w:rPr>
              <w:t>1</w:t>
            </w:r>
            <w:r>
              <w:rPr>
                <w:rFonts w:hint="eastAsia" w:ascii="仿宋" w:hAnsi="仿宋" w:eastAsia="仿宋"/>
                <w:sz w:val="21"/>
                <w:szCs w:val="21"/>
                <w:lang w:val="zh-CN"/>
              </w:rPr>
              <w:t>分。</w:t>
            </w:r>
          </w:p>
          <w:p w14:paraId="14F31B77">
            <w:pPr>
              <w:spacing w:line="240" w:lineRule="atLeast"/>
              <w:ind w:firstLine="420" w:firstLineChars="200"/>
              <w:rPr>
                <w:rFonts w:ascii="仿宋" w:hAnsi="仿宋" w:eastAsia="仿宋"/>
                <w:sz w:val="21"/>
                <w:szCs w:val="21"/>
              </w:rPr>
            </w:pPr>
          </w:p>
        </w:tc>
        <w:tc>
          <w:tcPr>
            <w:tcW w:w="2152" w:type="dxa"/>
            <w:vAlign w:val="center"/>
          </w:tcPr>
          <w:p w14:paraId="20AFBBD1">
            <w:pPr>
              <w:ind w:firstLine="210" w:firstLineChars="100"/>
              <w:rPr>
                <w:rStyle w:val="26"/>
                <w:rFonts w:ascii="方正仿宋_GBK" w:hAnsi="仿宋" w:eastAsia="方正仿宋_GBK"/>
                <w:sz w:val="21"/>
                <w:szCs w:val="21"/>
              </w:rPr>
            </w:pPr>
            <w:r>
              <w:rPr>
                <w:rFonts w:hint="eastAsia" w:ascii="仿宋" w:hAnsi="仿宋" w:eastAsia="仿宋" w:cs="仿宋"/>
                <w:sz w:val="21"/>
                <w:szCs w:val="21"/>
                <w:lang w:val="zh-CN"/>
              </w:rPr>
              <w:t>提供拟投入人员名单、雇主责任险保单和开标前六个月（2024年</w:t>
            </w:r>
            <w:r>
              <w:rPr>
                <w:rFonts w:ascii="仿宋" w:hAnsi="仿宋" w:eastAsia="仿宋" w:cs="仿宋"/>
                <w:sz w:val="21"/>
                <w:szCs w:val="21"/>
                <w:lang w:val="zh-CN"/>
              </w:rPr>
              <w:t>5</w:t>
            </w:r>
            <w:r>
              <w:rPr>
                <w:rFonts w:hint="eastAsia" w:ascii="仿宋" w:hAnsi="仿宋" w:eastAsia="仿宋" w:cs="仿宋"/>
                <w:sz w:val="21"/>
                <w:szCs w:val="21"/>
                <w:lang w:val="zh-CN"/>
              </w:rPr>
              <w:t>月至2024年</w:t>
            </w:r>
            <w:r>
              <w:rPr>
                <w:rFonts w:ascii="仿宋" w:hAnsi="仿宋" w:eastAsia="仿宋" w:cs="仿宋"/>
                <w:sz w:val="21"/>
                <w:szCs w:val="21"/>
                <w:lang w:val="zh-CN"/>
              </w:rPr>
              <w:t>10</w:t>
            </w:r>
            <w:r>
              <w:rPr>
                <w:rFonts w:hint="eastAsia" w:ascii="仿宋" w:hAnsi="仿宋" w:eastAsia="仿宋" w:cs="仿宋"/>
                <w:sz w:val="21"/>
                <w:szCs w:val="21"/>
                <w:lang w:val="zh-CN"/>
              </w:rPr>
              <w:t>月）任意一月社保证明材料扫描件。上述材料均须加盖投标人公章。</w:t>
            </w:r>
          </w:p>
          <w:p w14:paraId="5181C373">
            <w:pPr>
              <w:spacing w:line="240" w:lineRule="exact"/>
              <w:ind w:left="-39" w:leftChars="-14"/>
              <w:jc w:val="center"/>
              <w:rPr>
                <w:rFonts w:ascii="仿宋" w:hAnsi="仿宋" w:eastAsia="仿宋" w:cs="仿宋"/>
                <w:sz w:val="21"/>
                <w:szCs w:val="21"/>
              </w:rPr>
            </w:pPr>
          </w:p>
        </w:tc>
      </w:tr>
    </w:tbl>
    <w:p w14:paraId="69CA7841">
      <w:pPr>
        <w:pStyle w:val="3"/>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三、无效响应</w:t>
      </w:r>
      <w:bookmarkEnd w:id="125"/>
      <w:bookmarkEnd w:id="126"/>
    </w:p>
    <w:p w14:paraId="423A0449">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供应商发生以下条款情况之一者，视为无效响应，其响应文件将被拒绝：</w:t>
      </w:r>
      <w:bookmarkStart w:id="191" w:name="_GoBack"/>
      <w:bookmarkEnd w:id="191"/>
    </w:p>
    <w:p w14:paraId="7079A985">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14:paraId="45C27D8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（二）供应商的法定代表人（或其授权代表）或自然人未参加磋商；</w:t>
      </w:r>
    </w:p>
    <w:p w14:paraId="5EBF634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（三）供应商所提交的响应文件不按“第七篇响应文件编制要求”要求签署或盖章；</w:t>
      </w:r>
    </w:p>
    <w:p w14:paraId="12EB349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（四）供应商的最后报价超过采购预算或最高限价的；</w:t>
      </w:r>
    </w:p>
    <w:p w14:paraId="6F9142B2">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（五）法定代表人为同一个人的两个及两个以上法人，母公司、全资子公司及其控股公司，在同一包采购中同时参与竞争；</w:t>
      </w:r>
    </w:p>
    <w:p w14:paraId="4290F36C">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（六）单位负责人为同一人或者存在直接控股、管理关系的不同供应商，参加同一合同项下的政府采购活动的；</w:t>
      </w:r>
    </w:p>
    <w:p w14:paraId="0EC3CD83">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（七）</w:t>
      </w:r>
      <w:r>
        <w:rPr>
          <w:rFonts w:ascii="方正仿宋_GBK" w:hAnsi="宋体" w:eastAsia="方正仿宋_GBK"/>
          <w:sz w:val="24"/>
          <w:szCs w:val="24"/>
        </w:rPr>
        <w:t>为采购项目提供整体设计、规范编制或者项目管理、监理、检测等服务的供应商，再参加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14:paraId="399115CA">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（八）供应商限额以下磋商评分有效期不满足采购文件要求的；</w:t>
      </w:r>
    </w:p>
    <w:p w14:paraId="2DECFCE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（九）供应商响应文件内容有与国家现行法律法规相违背的内容，或附有采购人无法接受的条件；</w:t>
      </w:r>
    </w:p>
    <w:p w14:paraId="21886B9D">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（十）法律、法规和采购文件规定的其他无效情形。</w:t>
      </w:r>
    </w:p>
    <w:p w14:paraId="10ADC48D">
      <w:pPr>
        <w:pStyle w:val="3"/>
        <w:adjustRightInd w:val="0"/>
        <w:snapToGrid w:val="0"/>
        <w:spacing w:before="0" w:after="0" w:line="400" w:lineRule="exact"/>
        <w:ind w:firstLine="480" w:firstLineChars="200"/>
        <w:rPr>
          <w:rFonts w:ascii="方正仿宋_GBK" w:hAnsi="宋体" w:eastAsia="方正仿宋_GBK"/>
          <w:sz w:val="24"/>
        </w:rPr>
      </w:pPr>
      <w:bookmarkStart w:id="127" w:name="_Toc106030891"/>
      <w:bookmarkStart w:id="128" w:name="_Toc76462336"/>
      <w:r>
        <w:rPr>
          <w:rFonts w:hint="eastAsia" w:ascii="方正仿宋_GBK" w:hAnsi="宋体" w:eastAsia="方正仿宋_GBK"/>
          <w:sz w:val="24"/>
        </w:rPr>
        <w:t>四、</w:t>
      </w:r>
      <w:bookmarkEnd w:id="123"/>
      <w:bookmarkEnd w:id="124"/>
      <w:r>
        <w:rPr>
          <w:rFonts w:hint="eastAsia" w:ascii="方正仿宋_GBK" w:hAnsi="宋体" w:eastAsia="方正仿宋_GBK"/>
          <w:sz w:val="24"/>
        </w:rPr>
        <w:t>采购终止</w:t>
      </w:r>
      <w:bookmarkEnd w:id="127"/>
      <w:bookmarkEnd w:id="128"/>
    </w:p>
    <w:p w14:paraId="71A62300">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出现下列情形之一的，采购人或者采购代理机构应当终止采购活动，发布项目终止公告并说明原因，重新开展采购活动：</w:t>
      </w:r>
    </w:p>
    <w:p w14:paraId="3277D37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（一）因情况变化，不再符合规定的限额以下磋商评分采购方式适用情形的；</w:t>
      </w:r>
    </w:p>
    <w:p w14:paraId="2DBE8CBB">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14:paraId="5145EF27">
      <w:pPr>
        <w:snapToGrid w:val="0"/>
        <w:spacing w:line="400" w:lineRule="exact"/>
        <w:ind w:firstLine="465"/>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14:paraId="4E837775">
      <w:pPr>
        <w:spacing w:line="400" w:lineRule="exact"/>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14:paraId="353C5337">
      <w:pPr>
        <w:pStyle w:val="3"/>
        <w:pageBreakBefore/>
        <w:spacing w:before="0" w:after="0" w:line="360" w:lineRule="auto"/>
        <w:jc w:val="center"/>
        <w:rPr>
          <w:rFonts w:ascii="方正小标宋_GBK" w:hAnsi="宋体" w:eastAsia="方正小标宋_GBK"/>
          <w:b w:val="0"/>
          <w:bCs/>
          <w:sz w:val="36"/>
          <w:szCs w:val="30"/>
        </w:rPr>
      </w:pPr>
      <w:bookmarkStart w:id="129" w:name="_Toc106030892"/>
      <w:bookmarkStart w:id="130" w:name="_Toc76462337"/>
      <w:r>
        <w:rPr>
          <w:rFonts w:hint="eastAsia" w:ascii="方正小标宋_GBK" w:hAnsi="宋体" w:eastAsia="方正小标宋_GBK"/>
          <w:b w:val="0"/>
          <w:bCs/>
          <w:sz w:val="36"/>
          <w:szCs w:val="30"/>
        </w:rPr>
        <w:t>第五篇  供应商须知</w:t>
      </w:r>
      <w:bookmarkEnd w:id="129"/>
      <w:bookmarkEnd w:id="130"/>
    </w:p>
    <w:p w14:paraId="1F223C34">
      <w:pPr>
        <w:pStyle w:val="3"/>
        <w:adjustRightInd w:val="0"/>
        <w:snapToGrid w:val="0"/>
        <w:spacing w:before="0" w:after="0" w:line="400" w:lineRule="exact"/>
        <w:ind w:firstLine="480" w:firstLineChars="200"/>
        <w:rPr>
          <w:rFonts w:ascii="方正仿宋_GBK" w:hAnsi="宋体" w:eastAsia="方正仿宋_GBK"/>
          <w:sz w:val="24"/>
        </w:rPr>
      </w:pPr>
      <w:bookmarkStart w:id="131" w:name="_Toc106030893"/>
      <w:bookmarkStart w:id="132" w:name="_Toc76462338"/>
      <w:r>
        <w:rPr>
          <w:rFonts w:hint="eastAsia" w:ascii="方正仿宋_GBK" w:hAnsi="宋体" w:eastAsia="方正仿宋_GBK"/>
          <w:sz w:val="24"/>
        </w:rPr>
        <w:t>一、限额以下磋商评分费用</w:t>
      </w:r>
      <w:bookmarkEnd w:id="131"/>
      <w:bookmarkEnd w:id="132"/>
    </w:p>
    <w:p w14:paraId="05234EEE">
      <w:pPr>
        <w:pStyle w:val="2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参与竞争的供应商应承担其编制响应文件与递交响应文件所涉及的一切费用，不论结果如何，采购人和采购代理机构在任何情况下无义务也无责任承担这些费用。</w:t>
      </w:r>
    </w:p>
    <w:p w14:paraId="04930711">
      <w:pPr>
        <w:pStyle w:val="3"/>
        <w:adjustRightInd w:val="0"/>
        <w:snapToGrid w:val="0"/>
        <w:spacing w:before="0" w:after="0" w:line="400" w:lineRule="exact"/>
        <w:ind w:firstLine="480" w:firstLineChars="200"/>
        <w:rPr>
          <w:rFonts w:ascii="方正仿宋_GBK" w:hAnsi="宋体" w:eastAsia="方正仿宋_GBK"/>
          <w:sz w:val="24"/>
        </w:rPr>
      </w:pPr>
      <w:bookmarkStart w:id="133" w:name="_Toc106030894"/>
      <w:bookmarkStart w:id="134" w:name="_Toc76462339"/>
      <w:bookmarkStart w:id="135" w:name="_Toc342913391"/>
      <w:r>
        <w:rPr>
          <w:rFonts w:hint="eastAsia" w:ascii="方正仿宋_GBK" w:hAnsi="宋体" w:eastAsia="方正仿宋_GBK"/>
          <w:sz w:val="24"/>
        </w:rPr>
        <w:t>二、限额以下磋商评分文件</w:t>
      </w:r>
      <w:bookmarkEnd w:id="133"/>
      <w:bookmarkEnd w:id="134"/>
      <w:bookmarkEnd w:id="135"/>
    </w:p>
    <w:p w14:paraId="61B5869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（一）限额以下磋商评分文件由采购邀请书、项目服务需求、项目商务需求、评分程序及方法、评审标准、无效响应和采购终止、供应商须知、政府采购合同</w:t>
      </w:r>
      <w:r>
        <w:rPr>
          <w:rFonts w:hint="eastAsia" w:ascii="方正仿宋_GBK" w:hAnsi="宋体" w:eastAsia="方正仿宋_GBK"/>
          <w:b/>
          <w:sz w:val="24"/>
          <w:szCs w:val="24"/>
        </w:rPr>
        <w:t>、</w:t>
      </w:r>
      <w:r>
        <w:rPr>
          <w:rFonts w:hint="eastAsia" w:ascii="方正仿宋_GBK" w:hAnsi="宋体" w:eastAsia="方正仿宋_GBK"/>
          <w:sz w:val="24"/>
          <w:szCs w:val="24"/>
        </w:rPr>
        <w:t>响应文件编制要求七部分组成。</w:t>
      </w:r>
    </w:p>
    <w:p w14:paraId="4C43CA6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14:paraId="4F27AED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（三）限额以下磋商评分文件的解释</w:t>
      </w:r>
    </w:p>
    <w:p w14:paraId="47F41AD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限额以下磋商评分文件有疑问，必须以书面形式在提交响应文件截止时间前向采购人（或采购代理机构）要求澄清，采购人（或采购代理机构）可视具体情况做出处理或答复。如供应商未提出疑问，视为完全理解并同意本限额以下磋商评分文件。一经进入评审程序，即视为供应商已详细阅读全部文件资料，完全理解限额以下磋商评分文件所有条款内容并同意放弃对这方面有不明白及误解的权利。</w:t>
      </w:r>
      <w:bookmarkStart w:id="136" w:name="_Toc318159160"/>
      <w:bookmarkStart w:id="137" w:name="_Toc318159349"/>
      <w:bookmarkStart w:id="138" w:name="_Toc318166429"/>
      <w:bookmarkStart w:id="139" w:name="_Toc318159780"/>
    </w:p>
    <w:p w14:paraId="1382E4B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（四）本限额以下磋商评分文件中，评审小组根据与供应商进行磋商可能实质性变动的内容为限额以下磋商评分文件第二、三、六篇全部内容。</w:t>
      </w:r>
    </w:p>
    <w:p w14:paraId="6457393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（五）评审的依据为限额以下磋商评分文件和响应文件（含有效的书面承诺）。评审小组判断响应文件对限额以下磋商评分文件的响应，仅基于响应文件本身而不靠外部证据。</w:t>
      </w:r>
    </w:p>
    <w:bookmarkEnd w:id="136"/>
    <w:bookmarkEnd w:id="137"/>
    <w:bookmarkEnd w:id="138"/>
    <w:bookmarkEnd w:id="139"/>
    <w:p w14:paraId="77D01E5F">
      <w:pPr>
        <w:pStyle w:val="3"/>
        <w:adjustRightInd w:val="0"/>
        <w:snapToGrid w:val="0"/>
        <w:spacing w:before="0" w:after="0" w:line="400" w:lineRule="exact"/>
        <w:ind w:firstLine="480" w:firstLineChars="200"/>
        <w:rPr>
          <w:rFonts w:ascii="方正仿宋_GBK" w:hAnsi="宋体" w:eastAsia="方正仿宋_GBK"/>
          <w:sz w:val="24"/>
        </w:rPr>
      </w:pPr>
      <w:bookmarkStart w:id="140" w:name="_Toc179714297"/>
      <w:bookmarkStart w:id="141" w:name="_Toc342913392"/>
      <w:bookmarkStart w:id="142" w:name="_Toc76462340"/>
      <w:bookmarkStart w:id="143" w:name="_Toc106030895"/>
      <w:bookmarkStart w:id="144" w:name="_Toc102227318"/>
      <w:r>
        <w:rPr>
          <w:rFonts w:hint="eastAsia" w:ascii="方正仿宋_GBK" w:hAnsi="宋体" w:eastAsia="方正仿宋_GBK"/>
          <w:sz w:val="24"/>
        </w:rPr>
        <w:t>三、限额以下磋商评分要求</w:t>
      </w:r>
      <w:bookmarkEnd w:id="140"/>
      <w:bookmarkEnd w:id="141"/>
      <w:bookmarkEnd w:id="142"/>
      <w:bookmarkEnd w:id="143"/>
      <w:bookmarkEnd w:id="144"/>
    </w:p>
    <w:p w14:paraId="3F79698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44773BD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1.供应商应当按照采购文件的要求编制响应文件，并对采购文件提出的要求和条件作出实质性响应，响应文件原则上应装订成册提交，同时应编制完整的页码、目录。</w:t>
      </w:r>
    </w:p>
    <w:p w14:paraId="5722E26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7A3B5E1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DB2013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3FD4C80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1.两个以上供应商可以组成一个联合体，以一个供应商的身份共同参与竞争。</w:t>
      </w:r>
    </w:p>
    <w:p w14:paraId="7795A46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2.以联合体形式参加竞争的，联合体各方均应满足</w:t>
      </w:r>
      <w:r>
        <w:rPr>
          <w:rFonts w:hint="eastAsia" w:ascii="方正仿宋_GBK" w:eastAsia="方正仿宋_GBK"/>
          <w:sz w:val="24"/>
          <w:szCs w:val="24"/>
        </w:rPr>
        <w:t>供应商资格条件</w:t>
      </w:r>
      <w:r>
        <w:rPr>
          <w:rFonts w:hint="eastAsia" w:ascii="方正仿宋_GBK" w:hAnsi="宋体" w:eastAsia="方正仿宋_GBK"/>
          <w:sz w:val="24"/>
          <w:szCs w:val="24"/>
        </w:rPr>
        <w:t>（详见“第一篇”）</w:t>
      </w:r>
      <w:r>
        <w:rPr>
          <w:rFonts w:ascii="方正仿宋_GBK" w:hAnsi="宋体" w:eastAsia="方正仿宋_GBK"/>
          <w:sz w:val="24"/>
        </w:rPr>
        <w:t>联合体中有同类资质的供应商按照联合体分工承担相同工作的，应当按照资质等级较低的供应商确定资质等级。</w:t>
      </w:r>
    </w:p>
    <w:p w14:paraId="710F19C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联合体各方之间应当签订共同联合协议，共同联合协议中应确定主办方（主体），代表联合体进行磋商和澄清。共同联合协议应明确约定联合体各方承担的工作和相应的责任及协议合同金额，并将共同联合协议连同响应文件一并提交采购人和采购代理机构。</w:t>
      </w:r>
    </w:p>
    <w:p w14:paraId="232B022A">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w:t>
      </w:r>
      <w:r>
        <w:rPr>
          <w:rFonts w:ascii="方正仿宋_GBK" w:hAnsi="宋体" w:eastAsia="方正仿宋_GBK"/>
          <w:sz w:val="24"/>
        </w:rPr>
        <w:t>以联合体形式参加政府采购活动的，联合体各方不得再单独参加或者与其他供应商另外组成联合体参加同一合同项下的政府采购活动。</w:t>
      </w:r>
    </w:p>
    <w:p w14:paraId="494C440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5.联合体业绩计算，按照共同联合协议分工认定。</w:t>
      </w:r>
    </w:p>
    <w:p w14:paraId="4EFE34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ascii="方正仿宋_GBK" w:hAnsi="宋体" w:eastAsia="方正仿宋_GBK"/>
          <w:sz w:val="24"/>
          <w:szCs w:val="24"/>
        </w:rPr>
        <w:t>两个以上的自然人、法人或者其他组织组成一个联合体，以一个供应商的身份共同参加政府采购活动的，联合体成员存在不良信用记录的，视同联合体存在不良信用记录</w:t>
      </w:r>
      <w:r>
        <w:rPr>
          <w:rFonts w:hint="eastAsia" w:ascii="方正仿宋_GBK" w:hAnsi="宋体" w:eastAsia="方正仿宋_GBK"/>
          <w:sz w:val="24"/>
          <w:szCs w:val="24"/>
        </w:rPr>
        <w:t>，将</w:t>
      </w:r>
      <w:r>
        <w:rPr>
          <w:rFonts w:ascii="方正仿宋_GBK" w:hAnsi="宋体" w:eastAsia="方正仿宋_GBK"/>
          <w:sz w:val="24"/>
          <w:szCs w:val="24"/>
        </w:rPr>
        <w:t>拒绝</w:t>
      </w:r>
      <w:r>
        <w:rPr>
          <w:rFonts w:hint="eastAsia" w:ascii="方正仿宋_GBK" w:hAnsi="宋体" w:eastAsia="方正仿宋_GBK"/>
          <w:sz w:val="24"/>
          <w:szCs w:val="24"/>
        </w:rPr>
        <w:t>该联合体</w:t>
      </w:r>
      <w:r>
        <w:rPr>
          <w:rFonts w:ascii="方正仿宋_GBK" w:hAnsi="宋体" w:eastAsia="方正仿宋_GBK"/>
          <w:sz w:val="24"/>
          <w:szCs w:val="24"/>
        </w:rPr>
        <w:t>参与政府采购活动。</w:t>
      </w:r>
    </w:p>
    <w:p w14:paraId="1F754B2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（三）限额以下磋商评分有效期：响应文件及有关承诺文件有效期为提交响应文件截止时间起90天。</w:t>
      </w:r>
    </w:p>
    <w:p w14:paraId="22FB75F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CFF2842">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5363A4F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2.评审小组按上述修正错误的原则及方法修正供应商的报价，供应商同意并签字确认后，修正后的报价对供应商具有约束作用。如果供应商不接受修正后的价格，将失去成为成交供应商的资格。</w:t>
      </w:r>
    </w:p>
    <w:p w14:paraId="3E05E3B7">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5934016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1.响应文件一式三份，其中正本一份，副本二份，副本可为正本的复印件，应与正本一致，如出现不一致情况以正本为准。</w:t>
      </w:r>
    </w:p>
    <w:p w14:paraId="7AC4736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响应文件按采购文件“第七篇响应文件编制要求”要求签署或盖章。</w:t>
      </w:r>
    </w:p>
    <w:p w14:paraId="2215B722">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688F2E11">
      <w:pPr>
        <w:pStyle w:val="6"/>
        <w:spacing w:line="400" w:lineRule="exact"/>
        <w:ind w:firstLine="480" w:firstLineChars="200"/>
        <w:rPr>
          <w:rFonts w:ascii="方正仿宋_GBK" w:hAnsi="宋体" w:eastAsia="方正仿宋_GBK"/>
          <w:sz w:val="24"/>
        </w:rPr>
      </w:pPr>
      <w:r>
        <w:rPr>
          <w:rFonts w:hint="eastAsia" w:ascii="方正仿宋_GBK" w:hAnsi="宋体" w:eastAsia="方正仿宋_GBK"/>
          <w:sz w:val="24"/>
        </w:rPr>
        <w:t>响应文件的正本、副本均应密封送达限额以下磋商评分地点，应在封套上注明限额以下磋商评分项目名称、供应商名称。若正本、副本分别进行密封的，还应在封套上注明“正本”、“副本”字样。</w:t>
      </w:r>
    </w:p>
    <w:p w14:paraId="56E633B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368C770E">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各个供应商应当派1-2名代表参与磋商，至少1人应为法定代表人（或其授权代表）或自然人（供应商为自然人）。</w:t>
      </w:r>
    </w:p>
    <w:p w14:paraId="21E8FE52">
      <w:pPr>
        <w:pStyle w:val="3"/>
        <w:adjustRightInd w:val="0"/>
        <w:snapToGrid w:val="0"/>
        <w:spacing w:before="0" w:after="0" w:line="400" w:lineRule="exact"/>
        <w:ind w:firstLine="480" w:firstLineChars="200"/>
        <w:rPr>
          <w:rFonts w:ascii="方正仿宋_GBK" w:hAnsi="宋体" w:eastAsia="方正仿宋_GBK"/>
          <w:sz w:val="24"/>
        </w:rPr>
      </w:pPr>
      <w:bookmarkStart w:id="145" w:name="_Toc76462341"/>
      <w:bookmarkStart w:id="146" w:name="_Toc106030896"/>
      <w:r>
        <w:rPr>
          <w:rFonts w:hint="eastAsia" w:ascii="方正仿宋_GBK" w:hAnsi="宋体" w:eastAsia="方正仿宋_GBK"/>
          <w:sz w:val="24"/>
        </w:rPr>
        <w:t>四、成交供应商的确认和变更</w:t>
      </w:r>
      <w:bookmarkEnd w:id="145"/>
      <w:bookmarkEnd w:id="146"/>
    </w:p>
    <w:p w14:paraId="09C3494E">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0C7535CF">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采购结果</w:t>
      </w:r>
      <w:r>
        <w:rPr>
          <w:rFonts w:ascii="方正仿宋_GBK" w:hAnsi="宋体" w:eastAsia="方正仿宋_GBK"/>
          <w:sz w:val="24"/>
          <w:szCs w:val="24"/>
        </w:rPr>
        <w:t>应当在评审结束后</w:t>
      </w:r>
      <w:r>
        <w:rPr>
          <w:rFonts w:hint="eastAsia" w:ascii="方正仿宋_GBK" w:hAnsi="宋体" w:eastAsia="方正仿宋_GBK"/>
          <w:sz w:val="24"/>
          <w:szCs w:val="24"/>
        </w:rPr>
        <w:t>5</w:t>
      </w:r>
      <w:r>
        <w:rPr>
          <w:rFonts w:ascii="方正仿宋_GBK" w:hAnsi="宋体" w:eastAsia="方正仿宋_GBK"/>
          <w:sz w:val="24"/>
          <w:szCs w:val="24"/>
        </w:rPr>
        <w:t>个工作日内</w:t>
      </w:r>
      <w:r>
        <w:rPr>
          <w:rFonts w:hint="eastAsia" w:ascii="方正仿宋_GBK" w:hAnsi="宋体" w:eastAsia="方正仿宋_GBK"/>
          <w:sz w:val="24"/>
          <w:szCs w:val="24"/>
        </w:rPr>
        <w:t>发布</w:t>
      </w:r>
      <w:r>
        <w:rPr>
          <w:rFonts w:ascii="方正仿宋_GBK" w:hAnsi="宋体" w:eastAsia="方正仿宋_GBK"/>
          <w:sz w:val="24"/>
          <w:szCs w:val="24"/>
        </w:rPr>
        <w:t>。采购人应当</w:t>
      </w:r>
      <w:r>
        <w:rPr>
          <w:rFonts w:hint="eastAsia" w:ascii="方正仿宋_GBK" w:hAnsi="宋体" w:eastAsia="方正仿宋_GBK"/>
          <w:sz w:val="24"/>
          <w:szCs w:val="24"/>
        </w:rPr>
        <w:t>从评审结论意见提出的成交候选供应商中，按照排序由高到低的原则确定成交供应商。采购人逾期未确定成交供应商且不提出异议的，视为确定评审结论意见提出的排序第一的供应商为成交供应商。</w:t>
      </w:r>
    </w:p>
    <w:p w14:paraId="1CE40FE9">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5D46E759">
      <w:pPr>
        <w:snapToGrid w:val="0"/>
        <w:spacing w:line="400" w:lineRule="exact"/>
        <w:ind w:firstLine="480" w:firstLineChars="200"/>
        <w:rPr>
          <w:rFonts w:ascii="方正仿宋_GBK" w:hAnsi="宋体" w:eastAsia="方正仿宋_GBK"/>
          <w:sz w:val="24"/>
          <w:szCs w:val="24"/>
        </w:rPr>
      </w:pPr>
      <w:r>
        <w:rPr>
          <w:rFonts w:hint="eastAsia" w:ascii="方正仿宋_GBK" w:eastAsia="方正仿宋_GBK"/>
          <w:sz w:val="24"/>
        </w:rPr>
        <w:t>成交供应商拒绝与采购人签订合同的，采购人可以按照评审意见推荐的成交候选供应商顺序，确定排名下一位的候选人为成交供应商，也可以重新开展政府采购活动。</w:t>
      </w:r>
    </w:p>
    <w:p w14:paraId="131355A2">
      <w:pPr>
        <w:pStyle w:val="3"/>
        <w:adjustRightInd w:val="0"/>
        <w:snapToGrid w:val="0"/>
        <w:spacing w:before="0" w:after="0" w:line="400" w:lineRule="exact"/>
        <w:ind w:firstLine="480" w:firstLineChars="200"/>
        <w:rPr>
          <w:rFonts w:ascii="方正仿宋_GBK" w:hAnsi="宋体" w:eastAsia="方正仿宋_GBK"/>
          <w:sz w:val="24"/>
        </w:rPr>
      </w:pPr>
      <w:bookmarkStart w:id="147" w:name="_Toc76462342"/>
      <w:bookmarkStart w:id="148" w:name="_Toc342913395"/>
      <w:bookmarkStart w:id="149" w:name="_Toc106030897"/>
      <w:bookmarkStart w:id="150" w:name="_Toc102227321"/>
      <w:r>
        <w:rPr>
          <w:rFonts w:hint="eastAsia" w:ascii="方正仿宋_GBK" w:hAnsi="宋体" w:eastAsia="方正仿宋_GBK"/>
          <w:sz w:val="24"/>
        </w:rPr>
        <w:t>五、成交通知</w:t>
      </w:r>
      <w:bookmarkEnd w:id="147"/>
      <w:bookmarkEnd w:id="148"/>
      <w:bookmarkEnd w:id="149"/>
      <w:bookmarkEnd w:id="150"/>
    </w:p>
    <w:p w14:paraId="2745F6C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（一）成交供应商确定后，采购人将在重庆市交通运输委员会官网上发布成交结果公告。</w:t>
      </w:r>
    </w:p>
    <w:p w14:paraId="354F664E">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（三）成交结果公告将作为签订合同的依据。</w:t>
      </w:r>
    </w:p>
    <w:p w14:paraId="5B7D0FA8">
      <w:pPr>
        <w:pStyle w:val="3"/>
        <w:adjustRightInd w:val="0"/>
        <w:snapToGrid w:val="0"/>
        <w:spacing w:before="0" w:after="0" w:line="400" w:lineRule="exact"/>
        <w:ind w:firstLine="480" w:firstLineChars="200"/>
        <w:rPr>
          <w:rFonts w:ascii="方正仿宋_GBK" w:hAnsi="宋体" w:eastAsia="方正仿宋_GBK"/>
          <w:sz w:val="24"/>
        </w:rPr>
      </w:pPr>
      <w:bookmarkStart w:id="151" w:name="_Toc106030898"/>
      <w:bookmarkStart w:id="152" w:name="_Toc76462343"/>
      <w:r>
        <w:rPr>
          <w:rFonts w:hint="eastAsia" w:ascii="方正仿宋_GBK" w:hAnsi="宋体" w:eastAsia="方正仿宋_GBK"/>
          <w:sz w:val="24"/>
        </w:rPr>
        <w:t>六、关于质疑和投诉</w:t>
      </w:r>
      <w:bookmarkEnd w:id="151"/>
      <w:bookmarkEnd w:id="152"/>
    </w:p>
    <w:p w14:paraId="0F6DE69D">
      <w:pPr>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（一）质疑</w:t>
      </w:r>
    </w:p>
    <w:p w14:paraId="6F59748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供应商认为采购文件、采购过程和成交结果使自己的权益收到伤害的，可向采购人或采购代理机构以书面形式提出质疑。</w:t>
      </w:r>
    </w:p>
    <w:p w14:paraId="2EBF0F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提出质疑的应当是参与所质疑项目采购活动的供应商。 </w:t>
      </w:r>
    </w:p>
    <w:p w14:paraId="511A0517">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1.质疑时限、内容</w:t>
      </w:r>
    </w:p>
    <w:p w14:paraId="4904805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供应商认为采购文件、采购过程、成交结果使自己的权益受到损害的，可以在知道或者应知其权益受到损害之日起7个工作日内，以书面形式向采购人、采购代理机构提出质疑。</w:t>
      </w:r>
    </w:p>
    <w:p w14:paraId="41DD129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14:paraId="055023F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14:paraId="49AA30EF">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1.2.2质疑项目的名称、项目号以及采购执行编号；</w:t>
      </w:r>
    </w:p>
    <w:p w14:paraId="44FF72B3">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14:paraId="2FBCDA00">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14:paraId="227280F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14:paraId="210F5BD2">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14:paraId="1C474E34">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14:paraId="40503DFB">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14:paraId="10723A06">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14:paraId="485627CE">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2.质疑答复</w:t>
      </w:r>
    </w:p>
    <w:p w14:paraId="6D37EA28">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14:paraId="5A212FB3">
      <w:pPr>
        <w:spacing w:line="400" w:lineRule="exact"/>
        <w:ind w:right="12" w:firstLine="480"/>
        <w:outlineLvl w:val="2"/>
        <w:rPr>
          <w:rFonts w:ascii="方正仿宋_GBK" w:hAnsi="仿宋" w:eastAsia="方正仿宋_GBK" w:cs="仿宋"/>
          <w:sz w:val="24"/>
        </w:rPr>
      </w:pPr>
      <w:r>
        <w:rPr>
          <w:rFonts w:hint="eastAsia" w:ascii="方正仿宋_GBK" w:hAnsi="仿宋" w:eastAsia="方正仿宋_GBK" w:cs="仿宋"/>
          <w:sz w:val="24"/>
        </w:rPr>
        <w:t>3.其他</w:t>
      </w:r>
    </w:p>
    <w:p w14:paraId="5A2ABF6A">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14:paraId="13E45D17">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14:paraId="277CF0C4">
      <w:pPr>
        <w:pStyle w:val="3"/>
        <w:adjustRightInd w:val="0"/>
        <w:snapToGrid w:val="0"/>
        <w:spacing w:before="0" w:after="0" w:line="400" w:lineRule="exact"/>
        <w:ind w:firstLine="480" w:firstLineChars="200"/>
        <w:rPr>
          <w:rFonts w:ascii="方正仿宋_GBK" w:hAnsi="宋体" w:eastAsia="方正仿宋_GBK"/>
          <w:sz w:val="24"/>
        </w:rPr>
      </w:pPr>
      <w:bookmarkStart w:id="153" w:name="_Toc102227322"/>
      <w:bookmarkStart w:id="154" w:name="_Toc106030901"/>
      <w:bookmarkStart w:id="155" w:name="_Toc76462346"/>
      <w:bookmarkStart w:id="156" w:name="_Toc342913396"/>
      <w:r>
        <w:rPr>
          <w:rFonts w:hint="eastAsia" w:ascii="方正仿宋_GBK" w:hAnsi="宋体" w:eastAsia="方正仿宋_GBK"/>
          <w:sz w:val="24"/>
        </w:rPr>
        <w:t>七、签订</w:t>
      </w:r>
      <w:bookmarkEnd w:id="153"/>
      <w:r>
        <w:rPr>
          <w:rFonts w:hint="eastAsia" w:ascii="方正仿宋_GBK" w:hAnsi="宋体" w:eastAsia="方正仿宋_GBK"/>
          <w:sz w:val="24"/>
        </w:rPr>
        <w:t>合同</w:t>
      </w:r>
      <w:bookmarkEnd w:id="154"/>
      <w:bookmarkEnd w:id="155"/>
      <w:bookmarkEnd w:id="156"/>
    </w:p>
    <w:p w14:paraId="1CF4B8C1">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14:paraId="0B9A7CAD">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14:paraId="06C7A96A">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14:paraId="407B83EC">
      <w:pPr>
        <w:pStyle w:val="3"/>
        <w:adjustRightInd w:val="0"/>
        <w:snapToGrid w:val="0"/>
        <w:spacing w:before="0" w:after="0" w:line="400" w:lineRule="exact"/>
        <w:ind w:firstLine="480" w:firstLineChars="200"/>
        <w:rPr>
          <w:rFonts w:ascii="方正仿宋_GBK" w:hAnsi="宋体" w:eastAsia="方正仿宋_GBK"/>
          <w:sz w:val="24"/>
        </w:rPr>
      </w:pPr>
      <w:bookmarkStart w:id="157" w:name="_Toc106030902"/>
      <w:r>
        <w:rPr>
          <w:rFonts w:hint="eastAsia" w:ascii="方正仿宋_GBK" w:hAnsi="宋体" w:eastAsia="方正仿宋_GBK"/>
          <w:sz w:val="24"/>
        </w:rPr>
        <w:t>八、项目验收</w:t>
      </w:r>
      <w:bookmarkEnd w:id="157"/>
    </w:p>
    <w:p w14:paraId="5EE5FFE2">
      <w:pPr>
        <w:spacing w:line="400" w:lineRule="exact"/>
        <w:ind w:firstLine="480" w:firstLineChars="200"/>
        <w:rPr>
          <w:rFonts w:ascii="方正仿宋_GBK" w:hAnsi="宋体" w:eastAsia="方正仿宋_GBK"/>
          <w:sz w:val="24"/>
          <w:szCs w:val="24"/>
        </w:rPr>
      </w:pPr>
      <w:r>
        <w:rPr>
          <w:rFonts w:hint="eastAsia" w:ascii="方正仿宋_GBK" w:hAnsi="方正仿宋_GBK" w:eastAsia="方正仿宋_GBK"/>
          <w:sz w:val="24"/>
        </w:rPr>
        <w:t>合同执行完毕，采购人或采购代理机构原则上应在7个工作日内组织履约情况验收，不得无故拖延或附加额外条件。</w:t>
      </w:r>
    </w:p>
    <w:p w14:paraId="392D9FE5">
      <w:pPr>
        <w:pStyle w:val="3"/>
        <w:adjustRightInd w:val="0"/>
        <w:snapToGrid w:val="0"/>
        <w:spacing w:before="0" w:after="0" w:line="400" w:lineRule="exact"/>
        <w:ind w:firstLine="480" w:firstLineChars="200"/>
        <w:rPr>
          <w:rFonts w:ascii="方正仿宋_GBK" w:hAnsi="宋体" w:eastAsia="方正仿宋_GBK"/>
          <w:sz w:val="24"/>
        </w:rPr>
      </w:pPr>
      <w:bookmarkStart w:id="158" w:name="_Toc76462344"/>
      <w:bookmarkStart w:id="159" w:name="_Toc106030899"/>
      <w:r>
        <w:rPr>
          <w:rFonts w:hint="eastAsia" w:ascii="方正仿宋_GBK" w:hAnsi="宋体" w:eastAsia="方正仿宋_GBK"/>
          <w:sz w:val="24"/>
        </w:rPr>
        <w:t>九、采购代理服务费</w:t>
      </w:r>
      <w:bookmarkEnd w:id="158"/>
      <w:bookmarkEnd w:id="159"/>
    </w:p>
    <w:p w14:paraId="4E8B346E">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本项目无</w:t>
      </w:r>
      <w:r>
        <w:rPr>
          <w:rFonts w:hint="eastAsia" w:ascii="方正仿宋_GBK" w:hAnsi="宋体" w:eastAsia="方正仿宋_GBK"/>
          <w:sz w:val="24"/>
        </w:rPr>
        <w:t>采购代理服务</w:t>
      </w:r>
      <w:r>
        <w:rPr>
          <w:rFonts w:hint="eastAsia" w:ascii="方正仿宋_GBK" w:hAnsi="宋体" w:eastAsia="方正仿宋_GBK"/>
          <w:sz w:val="24"/>
          <w:szCs w:val="24"/>
        </w:rPr>
        <w:t>费。</w:t>
      </w:r>
    </w:p>
    <w:p w14:paraId="202CDF16">
      <w:pPr>
        <w:rPr>
          <w:rFonts w:ascii="方正小标宋_GBK" w:eastAsia="方正小标宋_GBK"/>
          <w:sz w:val="36"/>
          <w:szCs w:val="30"/>
        </w:rPr>
      </w:pPr>
      <w:r>
        <w:rPr>
          <w:rFonts w:hint="eastAsia" w:ascii="方正小标宋_GBK" w:eastAsia="方正小标宋_GBK"/>
          <w:sz w:val="36"/>
          <w:szCs w:val="30"/>
        </w:rPr>
        <w:br w:type="page"/>
      </w:r>
    </w:p>
    <w:p w14:paraId="170BA1CC">
      <w:pPr>
        <w:pStyle w:val="3"/>
        <w:spacing w:before="0" w:after="0" w:line="360" w:lineRule="auto"/>
        <w:jc w:val="center"/>
        <w:rPr>
          <w:rFonts w:ascii="方正小标宋_GBK" w:eastAsia="方正小标宋_GBK"/>
          <w:b w:val="0"/>
          <w:sz w:val="36"/>
          <w:szCs w:val="30"/>
        </w:rPr>
      </w:pPr>
      <w:r>
        <w:rPr>
          <w:rFonts w:hint="eastAsia" w:ascii="方正小标宋_GBK" w:eastAsia="方正小标宋_GBK"/>
          <w:b w:val="0"/>
          <w:sz w:val="36"/>
          <w:szCs w:val="30"/>
        </w:rPr>
        <w:t xml:space="preserve">第六篇  </w:t>
      </w:r>
      <w:bookmarkEnd w:id="112"/>
      <w:bookmarkEnd w:id="113"/>
      <w:r>
        <w:rPr>
          <w:rFonts w:hint="eastAsia" w:ascii="方正小标宋_GBK" w:eastAsia="方正小标宋_GBK"/>
          <w:b w:val="0"/>
          <w:sz w:val="36"/>
          <w:szCs w:val="30"/>
        </w:rPr>
        <w:t>合同草案条款</w:t>
      </w:r>
      <w:bookmarkEnd w:id="114"/>
      <w:bookmarkEnd w:id="115"/>
      <w:bookmarkEnd w:id="116"/>
      <w:bookmarkEnd w:id="117"/>
      <w:bookmarkEnd w:id="118"/>
    </w:p>
    <w:p w14:paraId="332D4256">
      <w:pPr>
        <w:rPr>
          <w:rFonts w:ascii="方正仿宋_GBK" w:eastAsia="方正仿宋_GBK"/>
          <w:sz w:val="24"/>
        </w:rPr>
      </w:pPr>
      <w:bookmarkStart w:id="160" w:name="_Toc148265480"/>
      <w:bookmarkStart w:id="161" w:name="_Toc303945820"/>
      <w:r>
        <w:rPr>
          <w:rFonts w:hint="eastAsia" w:ascii="方正仿宋_GBK" w:eastAsia="方正仿宋_GBK"/>
          <w:sz w:val="24"/>
        </w:rPr>
        <w:t>附页：合同格式</w:t>
      </w:r>
      <w:bookmarkEnd w:id="160"/>
      <w:bookmarkEnd w:id="161"/>
    </w:p>
    <w:p w14:paraId="38AFBFF4">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14:paraId="796057CE">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14:paraId="509F39D6">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14:paraId="488BA849">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14:paraId="5D787DA7">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7096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0C09A3B1">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14:paraId="1B379268">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14:paraId="14B9C266">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14:paraId="28471340">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14:paraId="42ED766D">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14:paraId="5D9C86F1">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14:paraId="70E9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100BA91">
            <w:pPr>
              <w:spacing w:line="240" w:lineRule="atLeast"/>
              <w:rPr>
                <w:rFonts w:ascii="方正仿宋_GBK" w:eastAsia="方正仿宋_GBK"/>
                <w:sz w:val="21"/>
                <w:szCs w:val="21"/>
              </w:rPr>
            </w:pPr>
          </w:p>
        </w:tc>
        <w:tc>
          <w:tcPr>
            <w:tcW w:w="984" w:type="dxa"/>
            <w:vAlign w:val="center"/>
          </w:tcPr>
          <w:p w14:paraId="4D38C453">
            <w:pPr>
              <w:spacing w:line="240" w:lineRule="atLeast"/>
              <w:rPr>
                <w:rFonts w:ascii="方正仿宋_GBK" w:eastAsia="方正仿宋_GBK"/>
                <w:sz w:val="21"/>
                <w:szCs w:val="21"/>
              </w:rPr>
            </w:pPr>
          </w:p>
        </w:tc>
        <w:tc>
          <w:tcPr>
            <w:tcW w:w="1298" w:type="dxa"/>
            <w:gridSpan w:val="2"/>
            <w:vAlign w:val="center"/>
          </w:tcPr>
          <w:p w14:paraId="4874A381">
            <w:pPr>
              <w:spacing w:line="240" w:lineRule="atLeast"/>
              <w:rPr>
                <w:rFonts w:ascii="方正仿宋_GBK" w:eastAsia="方正仿宋_GBK"/>
                <w:sz w:val="21"/>
                <w:szCs w:val="21"/>
              </w:rPr>
            </w:pPr>
          </w:p>
        </w:tc>
        <w:tc>
          <w:tcPr>
            <w:tcW w:w="1134" w:type="dxa"/>
            <w:vAlign w:val="center"/>
          </w:tcPr>
          <w:p w14:paraId="6C3DA34B">
            <w:pPr>
              <w:spacing w:line="240" w:lineRule="atLeast"/>
              <w:rPr>
                <w:rFonts w:ascii="方正仿宋_GBK" w:eastAsia="方正仿宋_GBK"/>
                <w:sz w:val="21"/>
                <w:szCs w:val="21"/>
              </w:rPr>
            </w:pPr>
          </w:p>
        </w:tc>
        <w:tc>
          <w:tcPr>
            <w:tcW w:w="1559" w:type="dxa"/>
            <w:vAlign w:val="center"/>
          </w:tcPr>
          <w:p w14:paraId="6C7B96BB">
            <w:pPr>
              <w:spacing w:line="240" w:lineRule="atLeast"/>
              <w:rPr>
                <w:rFonts w:ascii="方正仿宋_GBK" w:eastAsia="方正仿宋_GBK"/>
                <w:sz w:val="21"/>
                <w:szCs w:val="21"/>
              </w:rPr>
            </w:pPr>
          </w:p>
        </w:tc>
        <w:tc>
          <w:tcPr>
            <w:tcW w:w="1567" w:type="dxa"/>
            <w:vAlign w:val="center"/>
          </w:tcPr>
          <w:p w14:paraId="1FD5B280">
            <w:pPr>
              <w:spacing w:line="240" w:lineRule="atLeast"/>
              <w:rPr>
                <w:rFonts w:ascii="方正仿宋_GBK" w:eastAsia="方正仿宋_GBK"/>
                <w:sz w:val="21"/>
                <w:szCs w:val="21"/>
              </w:rPr>
            </w:pPr>
          </w:p>
        </w:tc>
      </w:tr>
      <w:tr w14:paraId="186BF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706F9D62">
            <w:pPr>
              <w:spacing w:line="240" w:lineRule="atLeast"/>
              <w:rPr>
                <w:rFonts w:ascii="方正仿宋_GBK" w:eastAsia="方正仿宋_GBK"/>
                <w:sz w:val="21"/>
                <w:szCs w:val="21"/>
              </w:rPr>
            </w:pPr>
          </w:p>
        </w:tc>
        <w:tc>
          <w:tcPr>
            <w:tcW w:w="984" w:type="dxa"/>
            <w:vAlign w:val="center"/>
          </w:tcPr>
          <w:p w14:paraId="0BFFB9C4">
            <w:pPr>
              <w:spacing w:line="240" w:lineRule="atLeast"/>
              <w:rPr>
                <w:rFonts w:ascii="方正仿宋_GBK" w:eastAsia="方正仿宋_GBK"/>
                <w:sz w:val="21"/>
                <w:szCs w:val="21"/>
              </w:rPr>
            </w:pPr>
          </w:p>
        </w:tc>
        <w:tc>
          <w:tcPr>
            <w:tcW w:w="1298" w:type="dxa"/>
            <w:gridSpan w:val="2"/>
            <w:vAlign w:val="center"/>
          </w:tcPr>
          <w:p w14:paraId="70380C50">
            <w:pPr>
              <w:spacing w:line="240" w:lineRule="atLeast"/>
              <w:rPr>
                <w:rFonts w:ascii="方正仿宋_GBK" w:eastAsia="方正仿宋_GBK"/>
                <w:sz w:val="21"/>
                <w:szCs w:val="21"/>
              </w:rPr>
            </w:pPr>
          </w:p>
        </w:tc>
        <w:tc>
          <w:tcPr>
            <w:tcW w:w="1134" w:type="dxa"/>
            <w:vAlign w:val="center"/>
          </w:tcPr>
          <w:p w14:paraId="24A2E837">
            <w:pPr>
              <w:spacing w:line="240" w:lineRule="atLeast"/>
              <w:rPr>
                <w:rFonts w:ascii="方正仿宋_GBK" w:eastAsia="方正仿宋_GBK"/>
                <w:sz w:val="21"/>
                <w:szCs w:val="21"/>
              </w:rPr>
            </w:pPr>
          </w:p>
        </w:tc>
        <w:tc>
          <w:tcPr>
            <w:tcW w:w="1559" w:type="dxa"/>
            <w:vAlign w:val="center"/>
          </w:tcPr>
          <w:p w14:paraId="17FB41A0">
            <w:pPr>
              <w:spacing w:line="240" w:lineRule="atLeast"/>
              <w:rPr>
                <w:rFonts w:ascii="方正仿宋_GBK" w:eastAsia="方正仿宋_GBK"/>
                <w:sz w:val="21"/>
                <w:szCs w:val="21"/>
              </w:rPr>
            </w:pPr>
          </w:p>
        </w:tc>
        <w:tc>
          <w:tcPr>
            <w:tcW w:w="1567" w:type="dxa"/>
            <w:vAlign w:val="center"/>
          </w:tcPr>
          <w:p w14:paraId="4B0D0391">
            <w:pPr>
              <w:spacing w:line="240" w:lineRule="atLeast"/>
              <w:rPr>
                <w:rFonts w:ascii="方正仿宋_GBK" w:eastAsia="方正仿宋_GBK"/>
                <w:sz w:val="21"/>
                <w:szCs w:val="21"/>
              </w:rPr>
            </w:pPr>
          </w:p>
        </w:tc>
      </w:tr>
      <w:tr w14:paraId="2EB1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F89A00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14B5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294C1C49">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56B0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1FA65C4E">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14:paraId="1F7C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14:paraId="649BD6CB">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14:paraId="0D44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14:paraId="1EC2A6F1">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14:paraId="631C6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14:paraId="2D3C3475">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14:paraId="29287EFC">
            <w:pPr>
              <w:rPr>
                <w:rFonts w:ascii="方正仿宋_GBK" w:eastAsia="方正仿宋_GBK"/>
                <w:sz w:val="21"/>
                <w:szCs w:val="21"/>
              </w:rPr>
            </w:pPr>
          </w:p>
        </w:tc>
      </w:tr>
      <w:tr w14:paraId="3656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7EBB2355">
            <w:pPr>
              <w:spacing w:line="240" w:lineRule="atLeast"/>
              <w:rPr>
                <w:rFonts w:ascii="方正仿宋_GBK" w:eastAsia="方正仿宋_GBK"/>
                <w:sz w:val="21"/>
                <w:szCs w:val="21"/>
              </w:rPr>
            </w:pPr>
            <w:r>
              <w:rPr>
                <w:rFonts w:hint="eastAsia" w:ascii="方正仿宋_GBK" w:eastAsia="方正仿宋_GBK"/>
                <w:sz w:val="21"/>
                <w:szCs w:val="21"/>
              </w:rPr>
              <w:t>五、违约责任：</w:t>
            </w:r>
          </w:p>
          <w:p w14:paraId="6D8614DD">
            <w:pPr>
              <w:spacing w:line="240" w:lineRule="atLeast"/>
              <w:rPr>
                <w:rFonts w:ascii="方正仿宋_GBK" w:eastAsia="方正仿宋_GBK"/>
                <w:sz w:val="21"/>
                <w:szCs w:val="21"/>
              </w:rPr>
            </w:pPr>
          </w:p>
        </w:tc>
      </w:tr>
      <w:tr w14:paraId="57E1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DA118C4">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14:paraId="38B3FF33">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14:paraId="707DCDDF">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4249DA26">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14:paraId="3CBF9345">
            <w:pPr>
              <w:spacing w:line="240" w:lineRule="atLeast"/>
              <w:rPr>
                <w:rFonts w:ascii="方正仿宋_GBK" w:eastAsia="方正仿宋_GBK"/>
                <w:sz w:val="21"/>
                <w:szCs w:val="21"/>
              </w:rPr>
            </w:pPr>
            <w:r>
              <w:rPr>
                <w:rFonts w:hint="eastAsia" w:ascii="方正仿宋_GBK" w:eastAsia="方正仿宋_GBK"/>
                <w:sz w:val="21"/>
                <w:szCs w:val="21"/>
              </w:rPr>
              <w:t>4.其他：</w:t>
            </w:r>
          </w:p>
        </w:tc>
      </w:tr>
      <w:tr w14:paraId="7D76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371AF38E">
            <w:pPr>
              <w:spacing w:line="240" w:lineRule="atLeast"/>
              <w:rPr>
                <w:rFonts w:ascii="方正仿宋_GBK" w:eastAsia="方正仿宋_GBK"/>
                <w:sz w:val="21"/>
                <w:szCs w:val="21"/>
              </w:rPr>
            </w:pPr>
            <w:r>
              <w:rPr>
                <w:rFonts w:hint="eastAsia" w:ascii="方正仿宋_GBK" w:eastAsia="方正仿宋_GBK"/>
                <w:sz w:val="21"/>
                <w:szCs w:val="21"/>
              </w:rPr>
              <w:t>需方：</w:t>
            </w:r>
          </w:p>
          <w:p w14:paraId="30D1031D">
            <w:pPr>
              <w:spacing w:line="240" w:lineRule="atLeast"/>
              <w:rPr>
                <w:rFonts w:ascii="方正仿宋_GBK" w:eastAsia="方正仿宋_GBK"/>
                <w:sz w:val="21"/>
                <w:szCs w:val="21"/>
              </w:rPr>
            </w:pPr>
            <w:r>
              <w:rPr>
                <w:rFonts w:hint="eastAsia" w:ascii="方正仿宋_GBK" w:eastAsia="方正仿宋_GBK"/>
                <w:sz w:val="21"/>
                <w:szCs w:val="21"/>
              </w:rPr>
              <w:t>地址：</w:t>
            </w:r>
          </w:p>
          <w:p w14:paraId="70253C87">
            <w:pPr>
              <w:spacing w:line="240" w:lineRule="atLeast"/>
              <w:rPr>
                <w:rFonts w:ascii="方正仿宋_GBK" w:eastAsia="方正仿宋_GBK"/>
                <w:sz w:val="21"/>
                <w:szCs w:val="21"/>
              </w:rPr>
            </w:pPr>
            <w:r>
              <w:rPr>
                <w:rFonts w:hint="eastAsia" w:ascii="方正仿宋_GBK" w:eastAsia="方正仿宋_GBK"/>
                <w:sz w:val="21"/>
                <w:szCs w:val="21"/>
              </w:rPr>
              <w:t>联系电话：</w:t>
            </w:r>
          </w:p>
          <w:p w14:paraId="160E0B82">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14:paraId="3501E477">
            <w:pPr>
              <w:spacing w:line="240" w:lineRule="atLeast"/>
              <w:rPr>
                <w:rFonts w:ascii="方正仿宋_GBK" w:eastAsia="方正仿宋_GBK"/>
                <w:sz w:val="21"/>
                <w:szCs w:val="21"/>
              </w:rPr>
            </w:pPr>
            <w:r>
              <w:rPr>
                <w:rFonts w:hint="eastAsia" w:ascii="方正仿宋_GBK" w:eastAsia="方正仿宋_GBK"/>
                <w:sz w:val="21"/>
                <w:szCs w:val="21"/>
              </w:rPr>
              <w:t>供方：</w:t>
            </w:r>
          </w:p>
          <w:p w14:paraId="761CE175">
            <w:pPr>
              <w:spacing w:line="240" w:lineRule="atLeast"/>
              <w:rPr>
                <w:rFonts w:ascii="方正仿宋_GBK" w:eastAsia="方正仿宋_GBK"/>
                <w:sz w:val="21"/>
                <w:szCs w:val="21"/>
              </w:rPr>
            </w:pPr>
            <w:r>
              <w:rPr>
                <w:rFonts w:hint="eastAsia" w:ascii="方正仿宋_GBK" w:eastAsia="方正仿宋_GBK"/>
                <w:sz w:val="21"/>
                <w:szCs w:val="21"/>
              </w:rPr>
              <w:t>地址：</w:t>
            </w:r>
          </w:p>
          <w:p w14:paraId="08BD97C4">
            <w:pPr>
              <w:spacing w:line="240" w:lineRule="atLeast"/>
              <w:rPr>
                <w:rFonts w:ascii="方正仿宋_GBK" w:eastAsia="方正仿宋_GBK"/>
                <w:sz w:val="21"/>
                <w:szCs w:val="21"/>
              </w:rPr>
            </w:pPr>
            <w:r>
              <w:rPr>
                <w:rFonts w:hint="eastAsia" w:ascii="方正仿宋_GBK" w:eastAsia="方正仿宋_GBK"/>
                <w:sz w:val="21"/>
                <w:szCs w:val="21"/>
              </w:rPr>
              <w:t>电话：</w:t>
            </w:r>
          </w:p>
          <w:p w14:paraId="02133579">
            <w:pPr>
              <w:spacing w:line="240" w:lineRule="atLeast"/>
              <w:rPr>
                <w:rFonts w:ascii="方正仿宋_GBK" w:eastAsia="方正仿宋_GBK"/>
                <w:sz w:val="21"/>
                <w:szCs w:val="21"/>
              </w:rPr>
            </w:pPr>
            <w:r>
              <w:rPr>
                <w:rFonts w:hint="eastAsia" w:ascii="方正仿宋_GBK" w:eastAsia="方正仿宋_GBK"/>
                <w:sz w:val="21"/>
                <w:szCs w:val="21"/>
              </w:rPr>
              <w:t>传真：</w:t>
            </w:r>
          </w:p>
          <w:p w14:paraId="419983AC">
            <w:pPr>
              <w:spacing w:line="240" w:lineRule="atLeast"/>
              <w:rPr>
                <w:rFonts w:ascii="方正仿宋_GBK" w:eastAsia="方正仿宋_GBK"/>
                <w:sz w:val="21"/>
                <w:szCs w:val="21"/>
              </w:rPr>
            </w:pPr>
            <w:r>
              <w:rPr>
                <w:rFonts w:hint="eastAsia" w:ascii="方正仿宋_GBK" w:eastAsia="方正仿宋_GBK"/>
                <w:sz w:val="21"/>
                <w:szCs w:val="21"/>
              </w:rPr>
              <w:t>开户银行：</w:t>
            </w:r>
          </w:p>
          <w:p w14:paraId="00FB99A3">
            <w:pPr>
              <w:spacing w:line="240" w:lineRule="atLeast"/>
              <w:rPr>
                <w:rFonts w:ascii="方正仿宋_GBK" w:eastAsia="方正仿宋_GBK"/>
                <w:sz w:val="21"/>
                <w:szCs w:val="21"/>
              </w:rPr>
            </w:pPr>
            <w:r>
              <w:rPr>
                <w:rFonts w:hint="eastAsia" w:ascii="方正仿宋_GBK" w:eastAsia="方正仿宋_GBK"/>
                <w:sz w:val="21"/>
                <w:szCs w:val="21"/>
              </w:rPr>
              <w:t>账号：</w:t>
            </w:r>
          </w:p>
          <w:p w14:paraId="165E42E4">
            <w:pPr>
              <w:spacing w:line="240" w:lineRule="atLeast"/>
              <w:rPr>
                <w:rFonts w:ascii="方正仿宋_GBK" w:eastAsia="方正仿宋_GBK"/>
                <w:sz w:val="21"/>
                <w:szCs w:val="21"/>
              </w:rPr>
            </w:pPr>
            <w:r>
              <w:rPr>
                <w:rFonts w:hint="eastAsia" w:ascii="方正仿宋_GBK" w:eastAsia="方正仿宋_GBK"/>
                <w:sz w:val="21"/>
                <w:szCs w:val="21"/>
              </w:rPr>
              <w:t>授权代表：</w:t>
            </w:r>
          </w:p>
          <w:p w14:paraId="5E7E2313">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1DC8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62979AED">
            <w:pPr>
              <w:spacing w:line="240" w:lineRule="atLeast"/>
              <w:rPr>
                <w:rFonts w:ascii="方正仿宋_GBK" w:eastAsia="方正仿宋_GBK"/>
                <w:sz w:val="21"/>
                <w:szCs w:val="21"/>
              </w:rPr>
            </w:pPr>
            <w:r>
              <w:rPr>
                <w:rFonts w:hint="eastAsia" w:ascii="方正仿宋_GBK" w:eastAsia="方正仿宋_GBK"/>
                <w:sz w:val="21"/>
                <w:szCs w:val="21"/>
              </w:rPr>
              <w:t>备注：</w:t>
            </w:r>
          </w:p>
          <w:p w14:paraId="09654D8E">
            <w:pPr>
              <w:spacing w:line="240" w:lineRule="atLeast"/>
              <w:rPr>
                <w:rFonts w:ascii="方正仿宋_GBK" w:eastAsia="方正仿宋_GBK"/>
                <w:sz w:val="21"/>
                <w:szCs w:val="21"/>
              </w:rPr>
            </w:pPr>
          </w:p>
          <w:p w14:paraId="68011339">
            <w:pPr>
              <w:spacing w:line="240" w:lineRule="atLeast"/>
              <w:rPr>
                <w:rFonts w:ascii="方正仿宋_GBK" w:eastAsia="方正仿宋_GBK"/>
                <w:sz w:val="21"/>
                <w:szCs w:val="21"/>
              </w:rPr>
            </w:pPr>
          </w:p>
        </w:tc>
      </w:tr>
    </w:tbl>
    <w:p w14:paraId="784CD12E">
      <w:pPr>
        <w:rPr>
          <w:rFonts w:ascii="方正仿宋_GBK" w:eastAsia="方正仿宋_GBK"/>
          <w:sz w:val="24"/>
        </w:rPr>
      </w:pPr>
      <w:r>
        <w:rPr>
          <w:rFonts w:hint="eastAsia" w:ascii="方正仿宋_GBK" w:eastAsia="方正仿宋_GBK"/>
          <w:sz w:val="24"/>
        </w:rPr>
        <w:t>签约时间：           年   月   日      签约地点：</w:t>
      </w:r>
    </w:p>
    <w:p w14:paraId="45B83B3E">
      <w:pPr>
        <w:tabs>
          <w:tab w:val="left" w:pos="9000"/>
        </w:tabs>
        <w:spacing w:line="276" w:lineRule="auto"/>
        <w:jc w:val="center"/>
        <w:rPr>
          <w:rFonts w:ascii="方正仿宋_GBK" w:eastAsia="方正仿宋_GBK"/>
          <w:sz w:val="21"/>
          <w:szCs w:val="21"/>
        </w:rPr>
        <w:sectPr>
          <w:footerReference r:id="rId11" w:type="default"/>
          <w:footerReference r:id="rId12" w:type="even"/>
          <w:pgSz w:w="11907" w:h="16840"/>
          <w:pgMar w:top="1134" w:right="1191" w:bottom="1134" w:left="1304" w:header="964" w:footer="992" w:gutter="0"/>
          <w:pgNumType w:fmt="numberInDash"/>
          <w:cols w:space="720" w:num="1"/>
          <w:docGrid w:linePitch="312" w:charSpace="0"/>
        </w:sectPr>
      </w:pPr>
    </w:p>
    <w:p w14:paraId="183B7F50">
      <w:pPr>
        <w:pStyle w:val="3"/>
        <w:spacing w:before="0" w:after="0" w:line="360" w:lineRule="auto"/>
        <w:jc w:val="center"/>
        <w:rPr>
          <w:rFonts w:ascii="方正小标宋_GBK" w:hAnsi="宋体" w:eastAsia="方正小标宋_GBK"/>
          <w:b w:val="0"/>
          <w:sz w:val="36"/>
          <w:szCs w:val="30"/>
        </w:rPr>
      </w:pPr>
      <w:bookmarkStart w:id="162" w:name="_Hlt41879464"/>
      <w:bookmarkEnd w:id="162"/>
      <w:bookmarkStart w:id="163" w:name="_Toc106030905"/>
      <w:bookmarkStart w:id="164" w:name="_Toc76462349"/>
      <w:r>
        <w:rPr>
          <w:rFonts w:hint="eastAsia" w:ascii="方正小标宋_GBK" w:hAnsi="宋体" w:eastAsia="方正小标宋_GBK"/>
          <w:b w:val="0"/>
          <w:sz w:val="36"/>
          <w:szCs w:val="30"/>
        </w:rPr>
        <w:t>第七篇  响应文件编制要求</w:t>
      </w:r>
      <w:bookmarkEnd w:id="163"/>
      <w:bookmarkEnd w:id="164"/>
    </w:p>
    <w:p w14:paraId="450D5DB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一、经济部分</w:t>
      </w:r>
    </w:p>
    <w:p w14:paraId="1419508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41B0DE7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E1AB58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二、服务部分</w:t>
      </w:r>
    </w:p>
    <w:p w14:paraId="1B1A7AF9">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14:paraId="0B3FF08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14:paraId="570DBAB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三、商务部分</w:t>
      </w:r>
    </w:p>
    <w:p w14:paraId="3386F45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（一）商务响应偏离表</w:t>
      </w:r>
    </w:p>
    <w:p w14:paraId="2F475E7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14:paraId="329A12F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四、资格条件及其他</w:t>
      </w:r>
    </w:p>
    <w:p w14:paraId="66B9EC2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5AE20C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1F68EDD8">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0B3DE396">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68D60989">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14:paraId="03E821E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五、其他资料</w:t>
      </w:r>
    </w:p>
    <w:p w14:paraId="569BE16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14:paraId="5B89DCA6">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37AF7C81">
      <w:pPr>
        <w:pStyle w:val="3"/>
        <w:adjustRightInd w:val="0"/>
        <w:snapToGrid w:val="0"/>
        <w:spacing w:before="0" w:after="0" w:line="400" w:lineRule="exact"/>
        <w:ind w:firstLine="480" w:firstLineChars="200"/>
        <w:rPr>
          <w:rFonts w:ascii="方正仿宋_GBK" w:hAnsi="宋体" w:eastAsia="方正仿宋_GBK"/>
          <w:sz w:val="24"/>
        </w:rPr>
      </w:pPr>
      <w:bookmarkStart w:id="165" w:name="_Toc313888360"/>
      <w:bookmarkStart w:id="166" w:name="_Toc313008356"/>
      <w:bookmarkStart w:id="167" w:name="_Toc106030906"/>
      <w:bookmarkStart w:id="168" w:name="_Toc342913419"/>
      <w:bookmarkStart w:id="169" w:name="_Toc76462350"/>
      <w:bookmarkStart w:id="170" w:name="_Toc12789073"/>
      <w:bookmarkStart w:id="171" w:name="_Toc283382454"/>
      <w:r>
        <w:rPr>
          <w:rFonts w:hint="eastAsia" w:ascii="方正仿宋_GBK" w:hAnsi="宋体" w:eastAsia="方正仿宋_GBK"/>
          <w:sz w:val="24"/>
        </w:rPr>
        <w:t>一、经济部分</w:t>
      </w:r>
      <w:bookmarkEnd w:id="165"/>
      <w:bookmarkEnd w:id="166"/>
      <w:bookmarkEnd w:id="167"/>
      <w:bookmarkEnd w:id="168"/>
      <w:bookmarkEnd w:id="169"/>
    </w:p>
    <w:bookmarkEnd w:id="170"/>
    <w:bookmarkEnd w:id="171"/>
    <w:p w14:paraId="2087F877">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14:paraId="38280D6F">
      <w:pPr>
        <w:jc w:val="center"/>
        <w:rPr>
          <w:rFonts w:ascii="方正仿宋_GBK" w:eastAsia="方正仿宋_GBK"/>
          <w:b/>
          <w:szCs w:val="28"/>
        </w:rPr>
      </w:pPr>
      <w:r>
        <w:rPr>
          <w:rFonts w:hint="eastAsia" w:ascii="方正仿宋_GBK" w:eastAsia="方正仿宋_GBK"/>
          <w:b/>
          <w:szCs w:val="28"/>
        </w:rPr>
        <w:t>报价函</w:t>
      </w:r>
    </w:p>
    <w:p w14:paraId="44C57850">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14:paraId="6EA7FB9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我方收到____________________________（项目名称）的限额以下磋商评分文件，经详细研究，决定参加该项目的竞争。</w:t>
      </w:r>
    </w:p>
    <w:p w14:paraId="6B7ECFA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1.愿意按照限额以下磋商评分文件中的一切要求，提供本项目的服务，初始报价为人民币大写：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14:paraId="2E8FCE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51A4B5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3.我方承诺：本次限额以下磋商评分的有效期为提交响应文件截止时间起90天。</w:t>
      </w:r>
    </w:p>
    <w:p w14:paraId="0D51662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4.我方完全理解和接受贵方限额以下磋商评分文件的一切规定和要求及评审办法。</w:t>
      </w:r>
    </w:p>
    <w:p w14:paraId="472A0A4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5.在整个限额以下磋商评分过程中，我方若有违规行为，接受按照《中华人民共和国政府采购法》和《限额以下磋商评分文件》之规定给予惩罚。</w:t>
      </w:r>
    </w:p>
    <w:p w14:paraId="68F29A7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6.我方若成为成交供应商，将按照最终磋商结果签订合同，并且严格履行合同义务。本承诺函将成为合同不可分割的一部分，与合同具有同等的法律效力。</w:t>
      </w:r>
    </w:p>
    <w:p w14:paraId="2545420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7.如果我方成为成交供应商，保证在接到成交通知书后，向采购代理机构</w:t>
      </w:r>
      <w:r>
        <w:rPr>
          <w:rFonts w:hint="eastAsia" w:ascii="方正仿宋_GBK" w:hAnsi="宋体" w:eastAsia="方正仿宋_GBK"/>
          <w:sz w:val="24"/>
        </w:rPr>
        <w:t>缴纳</w:t>
      </w:r>
      <w:r>
        <w:rPr>
          <w:rFonts w:hint="eastAsia" w:ascii="方正仿宋_GBK" w:hAnsi="宋体" w:eastAsia="方正仿宋_GBK"/>
          <w:sz w:val="24"/>
          <w:szCs w:val="24"/>
        </w:rPr>
        <w:t>采购文件规定的采购代理服务费。</w:t>
      </w:r>
    </w:p>
    <w:p w14:paraId="01112F40">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14:paraId="7EF853C3">
      <w:pPr>
        <w:tabs>
          <w:tab w:val="left" w:pos="6300"/>
        </w:tabs>
        <w:snapToGrid w:val="0"/>
        <w:spacing w:line="312" w:lineRule="auto"/>
        <w:ind w:firstLine="570"/>
        <w:rPr>
          <w:rFonts w:ascii="方正仿宋_GBK" w:hAnsi="宋体" w:eastAsia="方正仿宋_GBK"/>
          <w:sz w:val="24"/>
          <w:szCs w:val="24"/>
        </w:rPr>
      </w:pPr>
    </w:p>
    <w:p w14:paraId="498D04F6">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14:paraId="098E50AF">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70B3577">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6833D05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733DFB9C">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3B105B61">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21B2BF11">
      <w:pPr>
        <w:tabs>
          <w:tab w:val="left" w:pos="289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（二）明细报价表（格式自定）</w:t>
      </w:r>
    </w:p>
    <w:p w14:paraId="5C4BACF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3F87674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p>
    <w:p w14:paraId="462BF150">
      <w:pPr>
        <w:pStyle w:val="3"/>
        <w:adjustRightInd w:val="0"/>
        <w:snapToGrid w:val="0"/>
        <w:spacing w:before="0" w:after="0" w:line="400" w:lineRule="exact"/>
        <w:ind w:firstLine="480" w:firstLineChars="200"/>
        <w:rPr>
          <w:rFonts w:ascii="方正仿宋_GBK" w:hAnsi="宋体" w:eastAsia="方正仿宋_GBK"/>
          <w:sz w:val="24"/>
        </w:rPr>
      </w:pPr>
      <w:bookmarkStart w:id="172" w:name="_Toc106030907"/>
      <w:bookmarkStart w:id="173" w:name="_Toc76462351"/>
      <w:bookmarkStart w:id="174" w:name="_Toc342913420"/>
      <w:bookmarkStart w:id="175" w:name="_Toc313888361"/>
      <w:bookmarkStart w:id="176" w:name="_Toc313008357"/>
      <w:r>
        <w:rPr>
          <w:rFonts w:hint="eastAsia" w:ascii="方正仿宋_GBK" w:hAnsi="宋体" w:eastAsia="方正仿宋_GBK"/>
          <w:sz w:val="24"/>
        </w:rPr>
        <w:t>二、服务部分</w:t>
      </w:r>
      <w:bookmarkEnd w:id="172"/>
      <w:bookmarkEnd w:id="173"/>
      <w:bookmarkEnd w:id="174"/>
      <w:bookmarkEnd w:id="175"/>
      <w:bookmarkEnd w:id="176"/>
    </w:p>
    <w:p w14:paraId="77C703DF">
      <w:pPr>
        <w:tabs>
          <w:tab w:val="left" w:pos="6300"/>
        </w:tabs>
        <w:snapToGrid w:val="0"/>
        <w:spacing w:line="400" w:lineRule="exact"/>
        <w:ind w:firstLine="480" w:firstLineChars="200"/>
        <w:rPr>
          <w:rFonts w:ascii="方正仿宋_GBK" w:hAnsi="宋体" w:eastAsia="方正仿宋_GBK"/>
          <w:szCs w:val="24"/>
        </w:rPr>
      </w:pPr>
      <w:r>
        <w:rPr>
          <w:rFonts w:hint="eastAsia" w:ascii="方正仿宋_GBK" w:hAnsi="宋体" w:eastAsia="方正仿宋_GBK"/>
          <w:sz w:val="24"/>
          <w:szCs w:val="24"/>
        </w:rPr>
        <w:t xml:space="preserve">（一）服务响应偏离表                                </w:t>
      </w:r>
    </w:p>
    <w:p w14:paraId="2F8E3BC5">
      <w:pPr>
        <w:spacing w:line="400" w:lineRule="exact"/>
        <w:ind w:firstLine="480" w:firstLineChars="200"/>
        <w:rPr>
          <w:rFonts w:ascii="方正仿宋_GBK" w:hAnsi="宋体" w:eastAsia="方正仿宋_GBK"/>
          <w:sz w:val="24"/>
          <w:szCs w:val="24"/>
        </w:rPr>
      </w:pPr>
    </w:p>
    <w:p w14:paraId="77E243A8">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7"/>
        <w:gridCol w:w="3081"/>
        <w:gridCol w:w="2309"/>
      </w:tblGrid>
      <w:tr w14:paraId="56BD3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71" w:type="dxa"/>
            <w:vAlign w:val="center"/>
          </w:tcPr>
          <w:p w14:paraId="134392E9">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序号</w:t>
            </w:r>
          </w:p>
        </w:tc>
        <w:tc>
          <w:tcPr>
            <w:tcW w:w="2967" w:type="dxa"/>
            <w:vAlign w:val="center"/>
          </w:tcPr>
          <w:p w14:paraId="2D0469E7">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采购需求</w:t>
            </w:r>
          </w:p>
        </w:tc>
        <w:tc>
          <w:tcPr>
            <w:tcW w:w="3081" w:type="dxa"/>
            <w:vAlign w:val="center"/>
          </w:tcPr>
          <w:p w14:paraId="500FA0BC">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响应情况</w:t>
            </w:r>
          </w:p>
        </w:tc>
        <w:tc>
          <w:tcPr>
            <w:tcW w:w="2309" w:type="dxa"/>
            <w:vAlign w:val="center"/>
          </w:tcPr>
          <w:p w14:paraId="5FD7D70E">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宋体" w:eastAsia="方正仿宋_GBK"/>
                <w:sz w:val="21"/>
                <w:szCs w:val="21"/>
              </w:rPr>
              <w:t>差异说明</w:t>
            </w:r>
          </w:p>
        </w:tc>
      </w:tr>
      <w:tr w14:paraId="042E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37F979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D241348">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B90C8EA">
            <w:pPr>
              <w:tabs>
                <w:tab w:val="left" w:pos="6300"/>
              </w:tabs>
              <w:snapToGrid w:val="0"/>
              <w:spacing w:line="500" w:lineRule="exact"/>
              <w:outlineLvl w:val="0"/>
              <w:rPr>
                <w:rFonts w:ascii="方正仿宋_GBK" w:hAnsi="宋体" w:eastAsia="方正仿宋_GBK"/>
                <w:sz w:val="21"/>
                <w:szCs w:val="21"/>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w:t>
            </w:r>
            <w:r>
              <w:rPr>
                <w:rFonts w:hint="eastAsia" w:ascii="方正仿宋_GBK" w:hAnsi="仿宋" w:eastAsia="方正仿宋_GBK"/>
                <w:sz w:val="21"/>
                <w:szCs w:val="21"/>
              </w:rPr>
              <w:t>技术参数</w:t>
            </w:r>
            <w:r>
              <w:rPr>
                <w:rFonts w:ascii="方正仿宋_GBK" w:hAnsi="仿宋" w:eastAsia="方正仿宋_GBK"/>
                <w:sz w:val="21"/>
                <w:szCs w:val="21"/>
              </w:rPr>
              <w:t>或具体内容以及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技术参数</w:t>
            </w:r>
            <w:r>
              <w:rPr>
                <w:rFonts w:ascii="方正仿宋_GBK" w:hAnsi="仿宋" w:eastAsia="方正仿宋_GBK"/>
                <w:sz w:val="21"/>
                <w:szCs w:val="21"/>
              </w:rPr>
              <w:t>或</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09" w:type="dxa"/>
            <w:vAlign w:val="center"/>
          </w:tcPr>
          <w:p w14:paraId="2EBE6DEF">
            <w:pPr>
              <w:tabs>
                <w:tab w:val="left" w:pos="6300"/>
              </w:tabs>
              <w:snapToGrid w:val="0"/>
              <w:spacing w:line="500" w:lineRule="exact"/>
              <w:jc w:val="center"/>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14:paraId="6D09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4ECB2C3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36BE4CE">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0A771258">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81F8F4C">
            <w:pPr>
              <w:tabs>
                <w:tab w:val="left" w:pos="6300"/>
              </w:tabs>
              <w:snapToGrid w:val="0"/>
              <w:spacing w:line="500" w:lineRule="exact"/>
              <w:jc w:val="center"/>
              <w:outlineLvl w:val="0"/>
              <w:rPr>
                <w:rFonts w:ascii="方正仿宋_GBK" w:hAnsi="宋体" w:eastAsia="方正仿宋_GBK"/>
                <w:sz w:val="21"/>
                <w:szCs w:val="21"/>
              </w:rPr>
            </w:pPr>
          </w:p>
        </w:tc>
      </w:tr>
      <w:tr w14:paraId="4AF28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5CB53E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FA7BCA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56BF195D">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C3DC042">
            <w:pPr>
              <w:tabs>
                <w:tab w:val="left" w:pos="6300"/>
              </w:tabs>
              <w:snapToGrid w:val="0"/>
              <w:spacing w:line="500" w:lineRule="exact"/>
              <w:jc w:val="center"/>
              <w:outlineLvl w:val="0"/>
              <w:rPr>
                <w:rFonts w:ascii="方正仿宋_GBK" w:hAnsi="宋体" w:eastAsia="方正仿宋_GBK"/>
                <w:sz w:val="21"/>
                <w:szCs w:val="21"/>
              </w:rPr>
            </w:pPr>
          </w:p>
        </w:tc>
      </w:tr>
      <w:tr w14:paraId="3BE2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9AFD57D">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668E60C5">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7248C1E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DD45ABD">
            <w:pPr>
              <w:tabs>
                <w:tab w:val="left" w:pos="6300"/>
              </w:tabs>
              <w:snapToGrid w:val="0"/>
              <w:spacing w:line="500" w:lineRule="exact"/>
              <w:jc w:val="center"/>
              <w:outlineLvl w:val="0"/>
              <w:rPr>
                <w:rFonts w:ascii="方正仿宋_GBK" w:hAnsi="宋体" w:eastAsia="方正仿宋_GBK"/>
                <w:sz w:val="21"/>
                <w:szCs w:val="21"/>
              </w:rPr>
            </w:pPr>
          </w:p>
        </w:tc>
      </w:tr>
      <w:tr w14:paraId="4E792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98BDC06">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4C418F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29EC2AA2">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798D6E8">
            <w:pPr>
              <w:tabs>
                <w:tab w:val="left" w:pos="6300"/>
              </w:tabs>
              <w:snapToGrid w:val="0"/>
              <w:spacing w:line="500" w:lineRule="exact"/>
              <w:jc w:val="center"/>
              <w:outlineLvl w:val="0"/>
              <w:rPr>
                <w:rFonts w:ascii="方正仿宋_GBK" w:hAnsi="宋体" w:eastAsia="方正仿宋_GBK"/>
                <w:sz w:val="21"/>
                <w:szCs w:val="21"/>
              </w:rPr>
            </w:pPr>
          </w:p>
        </w:tc>
      </w:tr>
      <w:tr w14:paraId="3F49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1D0602B8">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46687CCC">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B0051F6">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45A685E3">
            <w:pPr>
              <w:tabs>
                <w:tab w:val="left" w:pos="6300"/>
              </w:tabs>
              <w:snapToGrid w:val="0"/>
              <w:spacing w:line="500" w:lineRule="exact"/>
              <w:jc w:val="center"/>
              <w:outlineLvl w:val="0"/>
              <w:rPr>
                <w:rFonts w:ascii="方正仿宋_GBK" w:hAnsi="宋体" w:eastAsia="方正仿宋_GBK"/>
                <w:sz w:val="21"/>
                <w:szCs w:val="21"/>
              </w:rPr>
            </w:pPr>
          </w:p>
        </w:tc>
      </w:tr>
      <w:tr w14:paraId="4CCA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0CD1181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1B46231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1F97C35">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22CEA33">
            <w:pPr>
              <w:tabs>
                <w:tab w:val="left" w:pos="6300"/>
              </w:tabs>
              <w:snapToGrid w:val="0"/>
              <w:spacing w:line="500" w:lineRule="exact"/>
              <w:jc w:val="center"/>
              <w:outlineLvl w:val="0"/>
              <w:rPr>
                <w:rFonts w:ascii="方正仿宋_GBK" w:hAnsi="宋体" w:eastAsia="方正仿宋_GBK"/>
                <w:sz w:val="21"/>
                <w:szCs w:val="21"/>
              </w:rPr>
            </w:pPr>
          </w:p>
        </w:tc>
      </w:tr>
      <w:tr w14:paraId="6688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7FBA6891">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0988370B">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1F1A598E">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721EEB9D">
            <w:pPr>
              <w:tabs>
                <w:tab w:val="left" w:pos="6300"/>
              </w:tabs>
              <w:snapToGrid w:val="0"/>
              <w:spacing w:line="500" w:lineRule="exact"/>
              <w:jc w:val="center"/>
              <w:outlineLvl w:val="0"/>
              <w:rPr>
                <w:rFonts w:ascii="方正仿宋_GBK" w:hAnsi="宋体" w:eastAsia="方正仿宋_GBK"/>
                <w:sz w:val="21"/>
                <w:szCs w:val="21"/>
              </w:rPr>
            </w:pPr>
          </w:p>
        </w:tc>
      </w:tr>
      <w:tr w14:paraId="09C4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219BD46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2AD3C810">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66695960">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3A8358F0">
            <w:pPr>
              <w:tabs>
                <w:tab w:val="left" w:pos="6300"/>
              </w:tabs>
              <w:snapToGrid w:val="0"/>
              <w:spacing w:line="500" w:lineRule="exact"/>
              <w:jc w:val="center"/>
              <w:outlineLvl w:val="0"/>
              <w:rPr>
                <w:rFonts w:ascii="方正仿宋_GBK" w:hAnsi="宋体" w:eastAsia="方正仿宋_GBK"/>
                <w:sz w:val="21"/>
                <w:szCs w:val="21"/>
              </w:rPr>
            </w:pPr>
          </w:p>
        </w:tc>
      </w:tr>
      <w:tr w14:paraId="3AC1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271" w:type="dxa"/>
            <w:vAlign w:val="center"/>
          </w:tcPr>
          <w:p w14:paraId="5F7B969A">
            <w:pPr>
              <w:tabs>
                <w:tab w:val="left" w:pos="6300"/>
              </w:tabs>
              <w:snapToGrid w:val="0"/>
              <w:spacing w:line="500" w:lineRule="exact"/>
              <w:jc w:val="center"/>
              <w:outlineLvl w:val="0"/>
              <w:rPr>
                <w:rFonts w:ascii="方正仿宋_GBK" w:hAnsi="宋体" w:eastAsia="方正仿宋_GBK"/>
                <w:sz w:val="21"/>
                <w:szCs w:val="21"/>
              </w:rPr>
            </w:pPr>
          </w:p>
        </w:tc>
        <w:tc>
          <w:tcPr>
            <w:tcW w:w="2967" w:type="dxa"/>
            <w:vAlign w:val="center"/>
          </w:tcPr>
          <w:p w14:paraId="36A9842E">
            <w:pPr>
              <w:tabs>
                <w:tab w:val="left" w:pos="6300"/>
              </w:tabs>
              <w:snapToGrid w:val="0"/>
              <w:spacing w:line="500" w:lineRule="exact"/>
              <w:jc w:val="center"/>
              <w:outlineLvl w:val="0"/>
              <w:rPr>
                <w:rFonts w:ascii="方正仿宋_GBK" w:hAnsi="宋体" w:eastAsia="方正仿宋_GBK"/>
                <w:sz w:val="21"/>
                <w:szCs w:val="21"/>
              </w:rPr>
            </w:pPr>
          </w:p>
        </w:tc>
        <w:tc>
          <w:tcPr>
            <w:tcW w:w="3081" w:type="dxa"/>
            <w:vAlign w:val="center"/>
          </w:tcPr>
          <w:p w14:paraId="3DCB20F7">
            <w:pPr>
              <w:tabs>
                <w:tab w:val="left" w:pos="6300"/>
              </w:tabs>
              <w:snapToGrid w:val="0"/>
              <w:spacing w:line="500" w:lineRule="exact"/>
              <w:jc w:val="center"/>
              <w:outlineLvl w:val="0"/>
              <w:rPr>
                <w:rFonts w:ascii="方正仿宋_GBK" w:hAnsi="宋体" w:eastAsia="方正仿宋_GBK"/>
                <w:sz w:val="21"/>
                <w:szCs w:val="21"/>
              </w:rPr>
            </w:pPr>
          </w:p>
        </w:tc>
        <w:tc>
          <w:tcPr>
            <w:tcW w:w="2309" w:type="dxa"/>
            <w:vAlign w:val="center"/>
          </w:tcPr>
          <w:p w14:paraId="67C27A1B">
            <w:pPr>
              <w:tabs>
                <w:tab w:val="left" w:pos="6300"/>
              </w:tabs>
              <w:snapToGrid w:val="0"/>
              <w:spacing w:line="500" w:lineRule="exact"/>
              <w:jc w:val="center"/>
              <w:outlineLvl w:val="0"/>
              <w:rPr>
                <w:rFonts w:ascii="方正仿宋_GBK" w:hAnsi="宋体" w:eastAsia="方正仿宋_GBK"/>
                <w:sz w:val="21"/>
                <w:szCs w:val="21"/>
              </w:rPr>
            </w:pPr>
          </w:p>
        </w:tc>
      </w:tr>
    </w:tbl>
    <w:p w14:paraId="09492680">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18C03F7C">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44771FE0">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632C0A9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23C65B2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3F8D79C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项目服务需求”中所列条款进行比较和响应；</w:t>
      </w:r>
    </w:p>
    <w:p w14:paraId="03F5FE72">
      <w:pPr>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rPr>
        <w:t>2.本表可扩展。</w:t>
      </w:r>
    </w:p>
    <w:p w14:paraId="23EEB6A9">
      <w:pPr>
        <w:tabs>
          <w:tab w:val="left" w:pos="6300"/>
        </w:tabs>
        <w:snapToGrid w:val="0"/>
        <w:spacing w:line="400" w:lineRule="exact"/>
        <w:ind w:firstLine="560" w:firstLineChars="200"/>
        <w:rPr>
          <w:rFonts w:ascii="方正仿宋_GBK" w:hAnsi="宋体" w:eastAsia="方正仿宋_GBK"/>
          <w:szCs w:val="24"/>
        </w:rPr>
      </w:pPr>
      <w:r>
        <w:rPr>
          <w:rFonts w:ascii="方正仿宋_GBK" w:hAnsi="宋体" w:eastAsia="方正仿宋_GBK"/>
          <w:szCs w:val="24"/>
        </w:rPr>
        <w:br w:type="page"/>
      </w:r>
      <w:r>
        <w:rPr>
          <w:rFonts w:hint="eastAsia" w:ascii="方正仿宋_GBK" w:hAnsi="宋体" w:eastAsia="方正仿宋_GBK"/>
          <w:sz w:val="24"/>
          <w:szCs w:val="24"/>
        </w:rPr>
        <w:t>（二）其他资料（格式自定）</w:t>
      </w:r>
    </w:p>
    <w:p w14:paraId="2EB18786">
      <w:pPr>
        <w:pStyle w:val="3"/>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177" w:name="_Toc313008358"/>
      <w:bookmarkStart w:id="178" w:name="_Toc106030908"/>
      <w:bookmarkStart w:id="179" w:name="_Toc342913421"/>
      <w:bookmarkStart w:id="180" w:name="_Toc76462352"/>
      <w:bookmarkStart w:id="181" w:name="_Toc313888362"/>
      <w:r>
        <w:rPr>
          <w:rFonts w:hint="eastAsia" w:ascii="方正仿宋_GBK" w:hAnsi="宋体" w:eastAsia="方正仿宋_GBK"/>
          <w:sz w:val="24"/>
        </w:rPr>
        <w:t>三、商务部分</w:t>
      </w:r>
      <w:bookmarkEnd w:id="177"/>
      <w:bookmarkEnd w:id="178"/>
      <w:bookmarkEnd w:id="179"/>
      <w:bookmarkEnd w:id="180"/>
      <w:bookmarkEnd w:id="181"/>
    </w:p>
    <w:p w14:paraId="51B52CDD">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（一）商务响应偏离表                           </w:t>
      </w:r>
    </w:p>
    <w:p w14:paraId="63218361">
      <w:pPr>
        <w:snapToGrid w:val="0"/>
        <w:spacing w:line="400" w:lineRule="exact"/>
        <w:ind w:firstLine="480" w:firstLineChars="200"/>
        <w:rPr>
          <w:rFonts w:ascii="方正仿宋_GBK" w:hAnsi="宋体" w:eastAsia="方正仿宋_GBK"/>
          <w:sz w:val="24"/>
          <w:szCs w:val="24"/>
        </w:rPr>
      </w:pPr>
    </w:p>
    <w:p w14:paraId="4D413DA1">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项目名称： </w:t>
      </w:r>
    </w:p>
    <w:tbl>
      <w:tblPr>
        <w:tblStyle w:val="15"/>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6613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944B69F">
            <w:pPr>
              <w:snapToGrid w:val="0"/>
              <w:spacing w:line="360" w:lineRule="auto"/>
              <w:ind w:firstLine="465"/>
              <w:rPr>
                <w:rFonts w:ascii="方正仿宋_GBK" w:hAnsi="宋体" w:eastAsia="方正仿宋_GBK"/>
                <w:sz w:val="21"/>
                <w:szCs w:val="24"/>
              </w:rPr>
            </w:pPr>
            <w:r>
              <w:rPr>
                <w:rFonts w:hint="eastAsia" w:ascii="方正仿宋_GBK" w:hAnsi="宋体" w:eastAsia="方正仿宋_GBK"/>
                <w:sz w:val="21"/>
                <w:szCs w:val="24"/>
              </w:rPr>
              <w:t>序号</w:t>
            </w:r>
          </w:p>
        </w:tc>
        <w:tc>
          <w:tcPr>
            <w:tcW w:w="3179" w:type="dxa"/>
            <w:vAlign w:val="center"/>
          </w:tcPr>
          <w:p w14:paraId="3CAF2215">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项目商务需求</w:t>
            </w:r>
          </w:p>
        </w:tc>
        <w:tc>
          <w:tcPr>
            <w:tcW w:w="2434" w:type="dxa"/>
            <w:vAlign w:val="center"/>
          </w:tcPr>
          <w:p w14:paraId="4D9F4273">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响应情况</w:t>
            </w:r>
          </w:p>
        </w:tc>
        <w:tc>
          <w:tcPr>
            <w:tcW w:w="2355" w:type="dxa"/>
            <w:vAlign w:val="center"/>
          </w:tcPr>
          <w:p w14:paraId="1458DF60">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宋体" w:eastAsia="方正仿宋_GBK"/>
                <w:sz w:val="21"/>
                <w:szCs w:val="24"/>
              </w:rPr>
              <w:t>偏离说明</w:t>
            </w:r>
          </w:p>
        </w:tc>
      </w:tr>
      <w:tr w14:paraId="3671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2B3F278">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2D3AC766">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43154382">
            <w:pPr>
              <w:tabs>
                <w:tab w:val="left" w:pos="6300"/>
              </w:tabs>
              <w:snapToGrid w:val="0"/>
              <w:spacing w:line="360" w:lineRule="auto"/>
              <w:outlineLvl w:val="0"/>
              <w:rPr>
                <w:rFonts w:ascii="方正仿宋_GBK" w:hAnsi="宋体" w:eastAsia="方正仿宋_GBK"/>
                <w:sz w:val="21"/>
                <w:szCs w:val="24"/>
              </w:rPr>
            </w:pPr>
            <w:r>
              <w:rPr>
                <w:rFonts w:ascii="方正仿宋_GBK" w:hAnsi="仿宋" w:eastAsia="方正仿宋_GBK"/>
                <w:sz w:val="21"/>
                <w:szCs w:val="21"/>
              </w:rPr>
              <w:t>提醒</w:t>
            </w:r>
            <w:r>
              <w:rPr>
                <w:rFonts w:hint="eastAsia" w:ascii="方正仿宋_GBK" w:hAnsi="仿宋" w:eastAsia="方正仿宋_GBK"/>
                <w:sz w:val="21"/>
                <w:szCs w:val="21"/>
              </w:rPr>
              <w:t>：</w:t>
            </w:r>
            <w:r>
              <w:rPr>
                <w:rFonts w:ascii="方正仿宋_GBK" w:hAnsi="仿宋" w:eastAsia="方正仿宋_GBK"/>
                <w:sz w:val="21"/>
                <w:szCs w:val="21"/>
              </w:rPr>
              <w:t>请注明具体内容以及</w:t>
            </w:r>
            <w:r>
              <w:rPr>
                <w:rFonts w:hint="eastAsia" w:ascii="方正仿宋_GBK" w:hAnsi="仿宋" w:eastAsia="方正仿宋_GBK"/>
                <w:sz w:val="21"/>
                <w:szCs w:val="21"/>
              </w:rPr>
              <w:t>响应文件</w:t>
            </w:r>
            <w:r>
              <w:rPr>
                <w:rFonts w:ascii="方正仿宋_GBK" w:hAnsi="仿宋" w:eastAsia="方正仿宋_GBK"/>
                <w:sz w:val="21"/>
                <w:szCs w:val="21"/>
              </w:rPr>
              <w:t>中</w:t>
            </w:r>
            <w:r>
              <w:rPr>
                <w:rFonts w:hint="eastAsia" w:ascii="方正仿宋_GBK" w:hAnsi="仿宋" w:eastAsia="方正仿宋_GBK"/>
                <w:sz w:val="21"/>
                <w:szCs w:val="21"/>
              </w:rPr>
              <w:t>具体</w:t>
            </w:r>
            <w:r>
              <w:rPr>
                <w:rFonts w:ascii="方正仿宋_GBK" w:hAnsi="仿宋" w:eastAsia="方正仿宋_GBK"/>
                <w:sz w:val="21"/>
                <w:szCs w:val="21"/>
              </w:rPr>
              <w:t>内容</w:t>
            </w:r>
            <w:r>
              <w:rPr>
                <w:rFonts w:hint="eastAsia" w:ascii="方正仿宋_GBK" w:hAnsi="仿宋" w:eastAsia="方正仿宋_GBK"/>
                <w:sz w:val="21"/>
                <w:szCs w:val="21"/>
              </w:rPr>
              <w:t>的</w:t>
            </w:r>
            <w:r>
              <w:rPr>
                <w:rFonts w:ascii="方正仿宋_GBK" w:hAnsi="仿宋" w:eastAsia="方正仿宋_GBK"/>
                <w:sz w:val="21"/>
                <w:szCs w:val="21"/>
              </w:rPr>
              <w:t>位置（</w:t>
            </w:r>
            <w:r>
              <w:rPr>
                <w:rFonts w:hint="eastAsia" w:ascii="方正仿宋_GBK" w:hAnsi="仿宋" w:eastAsia="方正仿宋_GBK"/>
                <w:sz w:val="21"/>
                <w:szCs w:val="21"/>
              </w:rPr>
              <w:t>页码</w:t>
            </w:r>
            <w:r>
              <w:rPr>
                <w:rFonts w:ascii="方正仿宋_GBK" w:hAnsi="仿宋" w:eastAsia="方正仿宋_GBK"/>
                <w:sz w:val="21"/>
                <w:szCs w:val="21"/>
              </w:rPr>
              <w:t>）</w:t>
            </w:r>
          </w:p>
        </w:tc>
        <w:tc>
          <w:tcPr>
            <w:tcW w:w="2355" w:type="dxa"/>
            <w:vAlign w:val="center"/>
          </w:tcPr>
          <w:p w14:paraId="0D75BACE">
            <w:pPr>
              <w:tabs>
                <w:tab w:val="left" w:pos="6300"/>
              </w:tabs>
              <w:snapToGrid w:val="0"/>
              <w:spacing w:line="360" w:lineRule="auto"/>
              <w:jc w:val="center"/>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14:paraId="596F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32EB27E">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1645928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2B6F4188">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777209E">
            <w:pPr>
              <w:tabs>
                <w:tab w:val="left" w:pos="6300"/>
              </w:tabs>
              <w:snapToGrid w:val="0"/>
              <w:spacing w:line="360" w:lineRule="auto"/>
              <w:jc w:val="center"/>
              <w:outlineLvl w:val="0"/>
              <w:rPr>
                <w:rFonts w:ascii="方正仿宋_GBK" w:hAnsi="宋体" w:eastAsia="方正仿宋_GBK"/>
                <w:sz w:val="21"/>
                <w:szCs w:val="24"/>
              </w:rPr>
            </w:pPr>
          </w:p>
        </w:tc>
      </w:tr>
      <w:tr w14:paraId="5F6B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49DA68EF">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B60C582">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32745501">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3EAED9E8">
            <w:pPr>
              <w:tabs>
                <w:tab w:val="left" w:pos="6300"/>
              </w:tabs>
              <w:snapToGrid w:val="0"/>
              <w:spacing w:line="360" w:lineRule="auto"/>
              <w:jc w:val="center"/>
              <w:outlineLvl w:val="0"/>
              <w:rPr>
                <w:rFonts w:ascii="方正仿宋_GBK" w:hAnsi="宋体" w:eastAsia="方正仿宋_GBK"/>
                <w:sz w:val="21"/>
                <w:szCs w:val="24"/>
              </w:rPr>
            </w:pPr>
          </w:p>
        </w:tc>
      </w:tr>
      <w:tr w14:paraId="7EFE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FAE8201">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68BAF124">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0629982C">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1C16A323">
            <w:pPr>
              <w:tabs>
                <w:tab w:val="left" w:pos="6300"/>
              </w:tabs>
              <w:snapToGrid w:val="0"/>
              <w:spacing w:line="360" w:lineRule="auto"/>
              <w:jc w:val="center"/>
              <w:outlineLvl w:val="0"/>
              <w:rPr>
                <w:rFonts w:ascii="方正仿宋_GBK" w:hAnsi="宋体" w:eastAsia="方正仿宋_GBK"/>
                <w:sz w:val="21"/>
                <w:szCs w:val="24"/>
              </w:rPr>
            </w:pPr>
          </w:p>
        </w:tc>
      </w:tr>
      <w:tr w14:paraId="60A2A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BE42DB2">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0E465330">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88C09B4">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07022E0F">
            <w:pPr>
              <w:tabs>
                <w:tab w:val="left" w:pos="6300"/>
              </w:tabs>
              <w:snapToGrid w:val="0"/>
              <w:spacing w:line="360" w:lineRule="auto"/>
              <w:jc w:val="center"/>
              <w:outlineLvl w:val="0"/>
              <w:rPr>
                <w:rFonts w:ascii="方正仿宋_GBK" w:hAnsi="宋体" w:eastAsia="方正仿宋_GBK"/>
                <w:sz w:val="21"/>
                <w:szCs w:val="24"/>
              </w:rPr>
            </w:pPr>
          </w:p>
        </w:tc>
      </w:tr>
      <w:tr w14:paraId="1965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C41CCE3">
            <w:pPr>
              <w:tabs>
                <w:tab w:val="left" w:pos="6300"/>
              </w:tabs>
              <w:snapToGrid w:val="0"/>
              <w:spacing w:line="360" w:lineRule="auto"/>
              <w:jc w:val="center"/>
              <w:outlineLvl w:val="0"/>
              <w:rPr>
                <w:rFonts w:ascii="方正仿宋_GBK" w:hAnsi="宋体" w:eastAsia="方正仿宋_GBK"/>
                <w:sz w:val="21"/>
                <w:szCs w:val="24"/>
              </w:rPr>
            </w:pPr>
          </w:p>
        </w:tc>
        <w:tc>
          <w:tcPr>
            <w:tcW w:w="3179" w:type="dxa"/>
            <w:vAlign w:val="center"/>
          </w:tcPr>
          <w:p w14:paraId="3FB1B3A3">
            <w:pPr>
              <w:tabs>
                <w:tab w:val="left" w:pos="6300"/>
              </w:tabs>
              <w:snapToGrid w:val="0"/>
              <w:spacing w:line="360" w:lineRule="auto"/>
              <w:jc w:val="center"/>
              <w:outlineLvl w:val="0"/>
              <w:rPr>
                <w:rFonts w:ascii="方正仿宋_GBK" w:hAnsi="宋体" w:eastAsia="方正仿宋_GBK"/>
                <w:sz w:val="21"/>
                <w:szCs w:val="24"/>
              </w:rPr>
            </w:pPr>
          </w:p>
        </w:tc>
        <w:tc>
          <w:tcPr>
            <w:tcW w:w="2434" w:type="dxa"/>
            <w:vAlign w:val="center"/>
          </w:tcPr>
          <w:p w14:paraId="56C5A28E">
            <w:pPr>
              <w:tabs>
                <w:tab w:val="left" w:pos="6300"/>
              </w:tabs>
              <w:snapToGrid w:val="0"/>
              <w:spacing w:line="360" w:lineRule="auto"/>
              <w:jc w:val="center"/>
              <w:outlineLvl w:val="0"/>
              <w:rPr>
                <w:rFonts w:ascii="方正仿宋_GBK" w:hAnsi="宋体" w:eastAsia="方正仿宋_GBK"/>
                <w:sz w:val="21"/>
                <w:szCs w:val="24"/>
              </w:rPr>
            </w:pPr>
          </w:p>
        </w:tc>
        <w:tc>
          <w:tcPr>
            <w:tcW w:w="2355" w:type="dxa"/>
            <w:vAlign w:val="center"/>
          </w:tcPr>
          <w:p w14:paraId="7222D86E">
            <w:pPr>
              <w:tabs>
                <w:tab w:val="left" w:pos="6300"/>
              </w:tabs>
              <w:snapToGrid w:val="0"/>
              <w:spacing w:line="360" w:lineRule="auto"/>
              <w:jc w:val="center"/>
              <w:outlineLvl w:val="0"/>
              <w:rPr>
                <w:rFonts w:ascii="方正仿宋_GBK" w:hAnsi="宋体" w:eastAsia="方正仿宋_GBK"/>
                <w:sz w:val="21"/>
                <w:szCs w:val="24"/>
              </w:rPr>
            </w:pPr>
          </w:p>
        </w:tc>
      </w:tr>
    </w:tbl>
    <w:p w14:paraId="4B9C70C7">
      <w:pPr>
        <w:snapToGrid w:val="0"/>
        <w:spacing w:line="360" w:lineRule="auto"/>
        <w:ind w:firstLine="465"/>
        <w:rPr>
          <w:rFonts w:ascii="方正仿宋_GBK" w:hAnsi="宋体" w:eastAsia="方正仿宋_GBK"/>
          <w:sz w:val="24"/>
          <w:szCs w:val="24"/>
        </w:rPr>
      </w:pPr>
    </w:p>
    <w:p w14:paraId="0ECF7993">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p>
    <w:p w14:paraId="670E0FC8">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14:paraId="19EC5688">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14:paraId="24A2E6B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F981DBF">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14:paraId="69D75C5D">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14:paraId="698D2A5E">
      <w:pPr>
        <w:snapToGrid w:val="0"/>
        <w:spacing w:line="400" w:lineRule="exact"/>
        <w:ind w:firstLine="480" w:firstLineChars="200"/>
        <w:rPr>
          <w:rFonts w:ascii="方正仿宋_GBK" w:eastAsia="方正仿宋_GBK"/>
          <w:b/>
        </w:rPr>
        <w:sectPr>
          <w:headerReference r:id="rId13" w:type="default"/>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2.本表可扩展。</w:t>
      </w:r>
    </w:p>
    <w:p w14:paraId="61D9DB7E">
      <w:pPr>
        <w:snapToGrid w:val="0"/>
        <w:spacing w:line="400" w:lineRule="exact"/>
        <w:ind w:firstLine="480" w:firstLineChars="200"/>
        <w:rPr>
          <w:rFonts w:ascii="方正仿宋_GBK" w:hAnsi="宋体" w:eastAsia="方正仿宋_GBK"/>
          <w:sz w:val="24"/>
          <w:szCs w:val="24"/>
        </w:rPr>
      </w:pPr>
      <w:bookmarkStart w:id="182" w:name="_Toc283382459"/>
      <w:r>
        <w:rPr>
          <w:rFonts w:hint="eastAsia" w:ascii="方正仿宋_GBK" w:hAnsi="宋体" w:eastAsia="方正仿宋_GBK"/>
          <w:sz w:val="24"/>
          <w:szCs w:val="24"/>
        </w:rPr>
        <w:t>（二）其它优惠承诺（格式自定）</w:t>
      </w:r>
    </w:p>
    <w:p w14:paraId="30CFC6E4">
      <w:pPr>
        <w:snapToGrid w:val="0"/>
        <w:spacing w:line="400" w:lineRule="exact"/>
        <w:ind w:firstLine="480" w:firstLineChars="200"/>
        <w:rPr>
          <w:rFonts w:ascii="方正仿宋_GBK" w:hAnsi="宋体" w:eastAsia="方正仿宋_GBK"/>
          <w:sz w:val="24"/>
          <w:szCs w:val="24"/>
        </w:rPr>
      </w:pPr>
    </w:p>
    <w:p w14:paraId="5AC351D2">
      <w:pPr>
        <w:pStyle w:val="3"/>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End w:id="182"/>
      <w:bookmarkStart w:id="183" w:name="_Toc342913422"/>
      <w:bookmarkStart w:id="184" w:name="_Toc106030909"/>
      <w:bookmarkStart w:id="185" w:name="_Toc313008359"/>
      <w:bookmarkStart w:id="186" w:name="_Toc313888363"/>
      <w:bookmarkStart w:id="187" w:name="_Toc76462353"/>
      <w:r>
        <w:rPr>
          <w:rFonts w:hint="eastAsia" w:ascii="方正仿宋_GBK" w:hAnsi="宋体" w:eastAsia="方正仿宋_GBK"/>
          <w:sz w:val="24"/>
        </w:rPr>
        <w:t>四、资格条件</w:t>
      </w:r>
      <w:bookmarkEnd w:id="183"/>
      <w:bookmarkEnd w:id="184"/>
      <w:bookmarkEnd w:id="185"/>
      <w:bookmarkEnd w:id="186"/>
      <w:bookmarkEnd w:id="187"/>
    </w:p>
    <w:p w14:paraId="07C72B4B">
      <w:pPr>
        <w:tabs>
          <w:tab w:val="left" w:pos="6300"/>
        </w:tabs>
        <w:snapToGrid w:val="0"/>
        <w:spacing w:line="400" w:lineRule="exact"/>
        <w:ind w:firstLine="57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5328CDB7">
      <w:pPr>
        <w:tabs>
          <w:tab w:val="left" w:pos="6300"/>
        </w:tabs>
        <w:snapToGrid w:val="0"/>
        <w:spacing w:line="400" w:lineRule="exact"/>
        <w:ind w:firstLine="570"/>
        <w:rPr>
          <w:rFonts w:ascii="方正仿宋_GBK" w:hAnsi="宋体" w:eastAsia="方正仿宋_GBK"/>
        </w:rPr>
      </w:pPr>
    </w:p>
    <w:p w14:paraId="09F886F8">
      <w:pPr>
        <w:tabs>
          <w:tab w:val="left" w:pos="6300"/>
        </w:tabs>
        <w:snapToGrid w:val="0"/>
        <w:spacing w:line="500" w:lineRule="exact"/>
        <w:ind w:firstLine="570"/>
        <w:rPr>
          <w:rFonts w:ascii="方正仿宋_GBK" w:hAnsi="宋体" w:eastAsia="方正仿宋_GBK"/>
        </w:rPr>
      </w:pPr>
    </w:p>
    <w:p w14:paraId="13360B30">
      <w:pPr>
        <w:tabs>
          <w:tab w:val="left" w:pos="6300"/>
        </w:tabs>
        <w:snapToGrid w:val="0"/>
        <w:spacing w:line="500" w:lineRule="exact"/>
        <w:ind w:firstLine="570"/>
        <w:rPr>
          <w:rFonts w:ascii="方正仿宋_GBK" w:hAnsi="宋体" w:eastAsia="方正仿宋_GBK"/>
        </w:rPr>
      </w:pPr>
    </w:p>
    <w:p w14:paraId="67CA0D42">
      <w:pPr>
        <w:tabs>
          <w:tab w:val="left" w:pos="6300"/>
        </w:tabs>
        <w:snapToGrid w:val="0"/>
        <w:spacing w:line="500" w:lineRule="exact"/>
        <w:ind w:firstLine="570"/>
        <w:rPr>
          <w:rFonts w:ascii="方正仿宋_GBK" w:hAnsi="宋体" w:eastAsia="方正仿宋_GBK"/>
        </w:rPr>
      </w:pPr>
    </w:p>
    <w:p w14:paraId="19740964">
      <w:pPr>
        <w:tabs>
          <w:tab w:val="left" w:pos="6300"/>
        </w:tabs>
        <w:snapToGrid w:val="0"/>
        <w:spacing w:line="500" w:lineRule="exact"/>
        <w:ind w:firstLine="570"/>
        <w:rPr>
          <w:rFonts w:ascii="方正仿宋_GBK" w:hAnsi="宋体" w:eastAsia="方正仿宋_GBK"/>
        </w:rPr>
      </w:pPr>
    </w:p>
    <w:p w14:paraId="1001673D">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BFA56A0">
      <w:pPr>
        <w:tabs>
          <w:tab w:val="left" w:pos="6300"/>
        </w:tabs>
        <w:snapToGrid w:val="0"/>
        <w:spacing w:line="500" w:lineRule="exact"/>
        <w:ind w:firstLine="570"/>
        <w:rPr>
          <w:rFonts w:ascii="方正仿宋_GBK" w:hAnsi="宋体" w:eastAsia="方正仿宋_GBK"/>
          <w:sz w:val="24"/>
        </w:rPr>
      </w:pPr>
    </w:p>
    <w:p w14:paraId="19CE16F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0391FD27">
      <w:pPr>
        <w:tabs>
          <w:tab w:val="left" w:pos="6300"/>
        </w:tabs>
        <w:snapToGrid w:val="0"/>
        <w:spacing w:line="500" w:lineRule="exact"/>
        <w:ind w:firstLine="570"/>
        <w:rPr>
          <w:rFonts w:ascii="方正仿宋_GBK" w:hAnsi="宋体" w:eastAsia="方正仿宋_GBK"/>
          <w:sz w:val="24"/>
        </w:rPr>
      </w:pPr>
    </w:p>
    <w:p w14:paraId="34D977CB">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（采购代理机构名称）：</w:t>
      </w:r>
    </w:p>
    <w:p w14:paraId="3CBD32A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A97F2EE">
      <w:pPr>
        <w:tabs>
          <w:tab w:val="left" w:pos="6300"/>
        </w:tabs>
        <w:snapToGrid w:val="0"/>
        <w:spacing w:line="500" w:lineRule="exact"/>
        <w:ind w:firstLine="570"/>
        <w:rPr>
          <w:rFonts w:ascii="方正仿宋_GBK" w:hAnsi="宋体" w:eastAsia="方正仿宋_GBK"/>
          <w:sz w:val="24"/>
        </w:rPr>
      </w:pPr>
    </w:p>
    <w:p w14:paraId="590202A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6284B8CB">
      <w:pPr>
        <w:tabs>
          <w:tab w:val="left" w:pos="6300"/>
        </w:tabs>
        <w:snapToGrid w:val="0"/>
        <w:spacing w:line="500" w:lineRule="exact"/>
        <w:ind w:firstLine="570"/>
        <w:rPr>
          <w:rFonts w:ascii="方正仿宋_GBK" w:hAnsi="宋体" w:eastAsia="方正仿宋_GBK"/>
          <w:sz w:val="24"/>
        </w:rPr>
      </w:pPr>
    </w:p>
    <w:p w14:paraId="4E113451">
      <w:pPr>
        <w:tabs>
          <w:tab w:val="left" w:pos="6300"/>
        </w:tabs>
        <w:snapToGrid w:val="0"/>
        <w:spacing w:line="500" w:lineRule="exact"/>
        <w:ind w:firstLine="570"/>
        <w:rPr>
          <w:rFonts w:ascii="方正仿宋_GBK" w:hAnsi="宋体" w:eastAsia="方正仿宋_GBK"/>
          <w:sz w:val="24"/>
        </w:rPr>
      </w:pPr>
    </w:p>
    <w:p w14:paraId="1CE16F68">
      <w:pPr>
        <w:tabs>
          <w:tab w:val="left" w:pos="6300"/>
        </w:tabs>
        <w:snapToGrid w:val="0"/>
        <w:spacing w:line="500" w:lineRule="exact"/>
        <w:ind w:firstLine="570"/>
        <w:rPr>
          <w:rFonts w:ascii="方正仿宋_GBK" w:hAnsi="宋体" w:eastAsia="方正仿宋_GBK"/>
          <w:sz w:val="24"/>
        </w:rPr>
      </w:pPr>
    </w:p>
    <w:p w14:paraId="4A6446E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08C53D5E">
      <w:pPr>
        <w:tabs>
          <w:tab w:val="left" w:pos="6300"/>
        </w:tabs>
        <w:snapToGrid w:val="0"/>
        <w:spacing w:line="500" w:lineRule="exact"/>
        <w:ind w:firstLine="570"/>
        <w:rPr>
          <w:rFonts w:ascii="方正仿宋_GBK" w:hAnsi="宋体" w:eastAsia="方正仿宋_GBK"/>
          <w:sz w:val="24"/>
        </w:rPr>
      </w:pPr>
    </w:p>
    <w:p w14:paraId="24AF66DD">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669C36BA">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9EF3751">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5B05EF8F">
      <w:pPr>
        <w:tabs>
          <w:tab w:val="left" w:pos="6300"/>
        </w:tabs>
        <w:snapToGrid w:val="0"/>
        <w:spacing w:line="500" w:lineRule="exact"/>
        <w:ind w:firstLine="570"/>
        <w:rPr>
          <w:rFonts w:ascii="方正仿宋_GBK" w:hAnsi="宋体" w:eastAsia="方正仿宋_GBK"/>
          <w:sz w:val="24"/>
        </w:rPr>
      </w:pPr>
    </w:p>
    <w:p w14:paraId="3F3FA037">
      <w:pPr>
        <w:tabs>
          <w:tab w:val="left" w:pos="6300"/>
        </w:tabs>
        <w:snapToGrid w:val="0"/>
        <w:spacing w:line="500" w:lineRule="exact"/>
        <w:ind w:firstLine="570"/>
        <w:rPr>
          <w:rFonts w:ascii="方正仿宋_GBK" w:hAnsi="宋体" w:eastAsia="方正仿宋_GBK"/>
          <w:sz w:val="24"/>
        </w:rPr>
      </w:pPr>
    </w:p>
    <w:p w14:paraId="3A2AEE32">
      <w:pPr>
        <w:tabs>
          <w:tab w:val="left" w:pos="6300"/>
        </w:tabs>
        <w:snapToGrid w:val="0"/>
        <w:spacing w:line="500" w:lineRule="exact"/>
        <w:ind w:firstLine="570"/>
        <w:rPr>
          <w:rFonts w:ascii="方正仿宋_GBK" w:hAnsi="宋体" w:eastAsia="方正仿宋_GBK"/>
          <w:sz w:val="24"/>
        </w:rPr>
      </w:pPr>
    </w:p>
    <w:p w14:paraId="041129F2">
      <w:pPr>
        <w:tabs>
          <w:tab w:val="left" w:pos="6300"/>
        </w:tabs>
        <w:snapToGrid w:val="0"/>
        <w:spacing w:line="500" w:lineRule="exact"/>
        <w:ind w:firstLine="570"/>
        <w:rPr>
          <w:rFonts w:ascii="方正仿宋_GBK" w:hAnsi="宋体" w:eastAsia="方正仿宋_GBK"/>
          <w:sz w:val="24"/>
        </w:rPr>
      </w:pPr>
    </w:p>
    <w:p w14:paraId="1D62B6D7">
      <w:pPr>
        <w:tabs>
          <w:tab w:val="left" w:pos="6300"/>
        </w:tabs>
        <w:snapToGrid w:val="0"/>
        <w:spacing w:line="500" w:lineRule="exact"/>
        <w:ind w:firstLine="570"/>
        <w:rPr>
          <w:rFonts w:ascii="方正仿宋_GBK" w:hAnsi="宋体" w:eastAsia="方正仿宋_GBK"/>
          <w:sz w:val="24"/>
        </w:rPr>
      </w:pPr>
    </w:p>
    <w:p w14:paraId="0460F99B">
      <w:pPr>
        <w:tabs>
          <w:tab w:val="left" w:pos="6300"/>
        </w:tabs>
        <w:snapToGrid w:val="0"/>
        <w:spacing w:line="500" w:lineRule="exact"/>
        <w:ind w:firstLine="570"/>
        <w:rPr>
          <w:rFonts w:ascii="方正仿宋_GBK" w:hAnsi="宋体" w:eastAsia="方正仿宋_GBK"/>
          <w:sz w:val="24"/>
        </w:rPr>
      </w:pPr>
    </w:p>
    <w:p w14:paraId="1B0E2423">
      <w:pPr>
        <w:snapToGrid w:val="0"/>
        <w:spacing w:line="400" w:lineRule="exact"/>
        <w:ind w:firstLine="560" w:firstLineChars="200"/>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53E5631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0ED1C7C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F854DCB">
      <w:pPr>
        <w:tabs>
          <w:tab w:val="left" w:pos="6300"/>
        </w:tabs>
        <w:snapToGrid w:val="0"/>
        <w:spacing w:line="500" w:lineRule="exact"/>
        <w:ind w:firstLine="570"/>
        <w:rPr>
          <w:rFonts w:ascii="方正仿宋_GBK" w:hAnsi="宋体" w:eastAsia="方正仿宋_GBK"/>
          <w:sz w:val="24"/>
        </w:rPr>
      </w:pPr>
    </w:p>
    <w:p w14:paraId="0A7C9A51">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14:paraId="7A5E21A2">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（被授权人姓名及身份证代码）代表我单位全权办理上述项目的竞争、签约等具体工作，并签署全部有关文件、协议及合同。</w:t>
      </w:r>
    </w:p>
    <w:p w14:paraId="0492CF4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123906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D5FEBCB">
      <w:pPr>
        <w:tabs>
          <w:tab w:val="left" w:pos="6300"/>
        </w:tabs>
        <w:snapToGrid w:val="0"/>
        <w:spacing w:line="500" w:lineRule="exact"/>
        <w:ind w:firstLine="570"/>
        <w:rPr>
          <w:rFonts w:ascii="方正仿宋_GBK" w:hAnsi="宋体" w:eastAsia="方正仿宋_GBK"/>
          <w:sz w:val="24"/>
        </w:rPr>
      </w:pPr>
    </w:p>
    <w:p w14:paraId="6CDE6DAA">
      <w:pPr>
        <w:tabs>
          <w:tab w:val="left" w:pos="6300"/>
        </w:tabs>
        <w:snapToGrid w:val="0"/>
        <w:spacing w:line="500" w:lineRule="exact"/>
        <w:ind w:firstLine="570"/>
        <w:rPr>
          <w:rFonts w:ascii="方正仿宋_GBK" w:hAnsi="宋体" w:eastAsia="方正仿宋_GBK"/>
          <w:sz w:val="24"/>
        </w:rPr>
      </w:pPr>
    </w:p>
    <w:p w14:paraId="1D7742B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14:paraId="49FD7D3F">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5404B82C">
      <w:pPr>
        <w:tabs>
          <w:tab w:val="left" w:pos="6300"/>
        </w:tabs>
        <w:snapToGrid w:val="0"/>
        <w:spacing w:line="500" w:lineRule="exact"/>
        <w:ind w:firstLine="570"/>
        <w:rPr>
          <w:rFonts w:ascii="方正仿宋_GBK" w:hAnsi="宋体" w:eastAsia="方正仿宋_GBK"/>
          <w:sz w:val="24"/>
          <w:szCs w:val="28"/>
        </w:rPr>
      </w:pPr>
    </w:p>
    <w:p w14:paraId="4FEA9EE5">
      <w:pPr>
        <w:tabs>
          <w:tab w:val="left" w:pos="6300"/>
        </w:tabs>
        <w:snapToGrid w:val="0"/>
        <w:spacing w:line="500" w:lineRule="exact"/>
        <w:ind w:firstLine="570"/>
        <w:rPr>
          <w:rFonts w:ascii="方正仿宋_GBK" w:hAnsi="宋体" w:eastAsia="方正仿宋_GBK"/>
          <w:sz w:val="24"/>
        </w:rPr>
      </w:pPr>
    </w:p>
    <w:p w14:paraId="5AF62CA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6872454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47AE56C4">
      <w:pPr>
        <w:tabs>
          <w:tab w:val="left" w:pos="6300"/>
        </w:tabs>
        <w:snapToGrid w:val="0"/>
        <w:spacing w:line="500" w:lineRule="exact"/>
        <w:ind w:firstLine="570"/>
        <w:rPr>
          <w:rFonts w:ascii="方正仿宋_GBK" w:hAnsi="宋体" w:eastAsia="方正仿宋_GBK"/>
          <w:sz w:val="24"/>
        </w:rPr>
      </w:pPr>
    </w:p>
    <w:p w14:paraId="7FE3C4F7">
      <w:pPr>
        <w:tabs>
          <w:tab w:val="left" w:pos="6300"/>
        </w:tabs>
        <w:snapToGrid w:val="0"/>
        <w:spacing w:line="500" w:lineRule="exact"/>
        <w:ind w:firstLine="570"/>
        <w:rPr>
          <w:rFonts w:ascii="方正仿宋_GBK" w:hAnsi="宋体" w:eastAsia="方正仿宋_GBK"/>
          <w:sz w:val="24"/>
        </w:rPr>
      </w:pPr>
    </w:p>
    <w:p w14:paraId="42CBC5A1">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35C06293">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109F8832">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14:paraId="44828BF3">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14:paraId="2682ABDC">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14:paraId="0309E49C">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14:paraId="04D455DE">
      <w:pPr>
        <w:tabs>
          <w:tab w:val="left" w:pos="6300"/>
        </w:tabs>
        <w:snapToGrid w:val="0"/>
        <w:spacing w:line="500" w:lineRule="exact"/>
        <w:ind w:firstLine="570"/>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w:t>
      </w:r>
      <w:r>
        <w:rPr>
          <w:rFonts w:hint="eastAsia" w:ascii="方正仿宋_GBK" w:hAnsi="宋体" w:eastAsia="方正仿宋_GBK"/>
          <w:sz w:val="24"/>
          <w:szCs w:val="28"/>
        </w:rPr>
        <w:t>基本资格条件承诺函</w:t>
      </w:r>
    </w:p>
    <w:p w14:paraId="2AFB260E">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05C83014">
      <w:pPr>
        <w:tabs>
          <w:tab w:val="left" w:pos="6300"/>
        </w:tabs>
        <w:snapToGrid w:val="0"/>
        <w:spacing w:line="530" w:lineRule="exact"/>
        <w:rPr>
          <w:sz w:val="24"/>
        </w:rPr>
      </w:pPr>
    </w:p>
    <w:p w14:paraId="479F6B7A">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14:paraId="74F2783F">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3B9BC919">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0FF2DF7E">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7DB0F3F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14:paraId="03B8ADDD">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14:paraId="6294EBC4">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14:paraId="79775101">
      <w:pPr>
        <w:tabs>
          <w:tab w:val="left" w:pos="6300"/>
        </w:tabs>
        <w:snapToGrid w:val="0"/>
        <w:spacing w:line="500" w:lineRule="exact"/>
        <w:ind w:firstLine="480" w:firstLineChars="200"/>
        <w:rPr>
          <w:rFonts w:ascii="方正仿宋_GBK" w:hAnsi="仿宋" w:eastAsia="方正仿宋_GBK"/>
          <w:sz w:val="24"/>
        </w:rPr>
      </w:pPr>
    </w:p>
    <w:p w14:paraId="4EA0A583">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14:paraId="1D29C121">
      <w:pPr>
        <w:tabs>
          <w:tab w:val="left" w:pos="6300"/>
        </w:tabs>
        <w:snapToGrid w:val="0"/>
        <w:spacing w:line="500" w:lineRule="exact"/>
        <w:ind w:firstLine="7920" w:firstLineChars="3300"/>
        <w:rPr>
          <w:rFonts w:ascii="方正仿宋_GBK" w:hAnsi="宋体" w:eastAsia="方正仿宋_GBK"/>
          <w:sz w:val="24"/>
          <w:szCs w:val="24"/>
        </w:rPr>
      </w:pPr>
      <w:r>
        <w:rPr>
          <w:rFonts w:hint="eastAsia" w:ascii="方正仿宋_GBK" w:hAnsi="仿宋" w:eastAsia="方正仿宋_GBK"/>
          <w:sz w:val="24"/>
        </w:rPr>
        <w:t>年   月   日</w:t>
      </w:r>
    </w:p>
    <w:p w14:paraId="64FE75E3">
      <w:pPr>
        <w:snapToGrid w:val="0"/>
        <w:spacing w:line="400" w:lineRule="exact"/>
        <w:ind w:firstLine="560" w:firstLineChars="200"/>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（五）特定资格条件证明文件</w:t>
      </w:r>
    </w:p>
    <w:p w14:paraId="46E85B01">
      <w:pPr>
        <w:tabs>
          <w:tab w:val="left" w:pos="6300"/>
        </w:tabs>
        <w:snapToGrid w:val="0"/>
        <w:spacing w:line="400" w:lineRule="exact"/>
        <w:ind w:firstLine="480" w:firstLineChars="200"/>
        <w:rPr>
          <w:rFonts w:ascii="方正仿宋_GBK" w:hAnsi="宋体" w:eastAsia="方正仿宋_GBK"/>
          <w:sz w:val="24"/>
          <w:szCs w:val="24"/>
        </w:rPr>
      </w:pPr>
    </w:p>
    <w:p w14:paraId="7952C64A">
      <w:pPr>
        <w:pStyle w:val="3"/>
        <w:adjustRightInd w:val="0"/>
        <w:snapToGrid w:val="0"/>
        <w:spacing w:before="0" w:after="0" w:line="400" w:lineRule="exact"/>
        <w:ind w:firstLine="560" w:firstLineChars="200"/>
        <w:rPr>
          <w:rFonts w:ascii="方正仿宋_GBK" w:hAnsi="宋体" w:eastAsia="方正仿宋_GBK"/>
          <w:sz w:val="24"/>
        </w:rPr>
      </w:pPr>
      <w:bookmarkStart w:id="188" w:name="_Toc14422"/>
      <w:r>
        <w:rPr>
          <w:rFonts w:ascii="方正仿宋_GBK" w:hAnsi="宋体" w:eastAsia="方正仿宋_GBK"/>
          <w:b w:val="0"/>
          <w:sz w:val="28"/>
        </w:rPr>
        <w:br w:type="page"/>
      </w:r>
      <w:bookmarkStart w:id="189" w:name="_Toc76462354"/>
      <w:bookmarkStart w:id="190" w:name="_Toc106030910"/>
      <w:r>
        <w:rPr>
          <w:rFonts w:hint="eastAsia" w:ascii="方正仿宋_GBK" w:hAnsi="宋体" w:eastAsia="方正仿宋_GBK"/>
          <w:sz w:val="24"/>
        </w:rPr>
        <w:t>五、其他资料</w:t>
      </w:r>
      <w:bookmarkEnd w:id="188"/>
      <w:bookmarkEnd w:id="189"/>
      <w:bookmarkEnd w:id="190"/>
    </w:p>
    <w:p w14:paraId="77348DB5">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（一）其他与项目有关的资料（自附） </w:t>
      </w:r>
    </w:p>
    <w:p w14:paraId="6314E733">
      <w:pPr>
        <w:spacing w:line="360" w:lineRule="auto"/>
        <w:ind w:firstLine="480" w:firstLineChars="200"/>
        <w:rPr>
          <w:rFonts w:ascii="方正仿宋_GBK" w:hAnsi="宋体" w:eastAsia="方正仿宋_GBK"/>
          <w:sz w:val="24"/>
          <w:szCs w:val="24"/>
        </w:rPr>
      </w:pPr>
    </w:p>
    <w:p w14:paraId="634727D2">
      <w:pPr>
        <w:spacing w:line="360" w:lineRule="auto"/>
        <w:ind w:firstLine="480" w:firstLineChars="200"/>
        <w:jc w:val="center"/>
        <w:rPr>
          <w:rFonts w:ascii="方正仿宋_GBK" w:hAnsi="宋体" w:eastAsia="方正仿宋_GBK"/>
          <w:sz w:val="24"/>
          <w:szCs w:val="24"/>
        </w:rPr>
      </w:pPr>
    </w:p>
    <w:p w14:paraId="07CE31C7">
      <w:pPr>
        <w:spacing w:line="360" w:lineRule="auto"/>
        <w:ind w:firstLine="480" w:firstLineChars="200"/>
        <w:jc w:val="center"/>
        <w:rPr>
          <w:rFonts w:ascii="方正仿宋_GBK" w:hAnsi="宋体" w:eastAsia="方正仿宋_GBK"/>
          <w:sz w:val="24"/>
          <w:szCs w:val="24"/>
        </w:rPr>
      </w:pPr>
    </w:p>
    <w:p w14:paraId="55969847">
      <w:pPr>
        <w:spacing w:line="360" w:lineRule="auto"/>
        <w:ind w:firstLine="480" w:firstLineChars="200"/>
        <w:jc w:val="center"/>
        <w:rPr>
          <w:rFonts w:ascii="方正仿宋_GBK" w:hAnsi="宋体" w:eastAsia="方正仿宋_GBK"/>
          <w:sz w:val="24"/>
          <w:szCs w:val="24"/>
        </w:rPr>
      </w:pPr>
    </w:p>
    <w:p w14:paraId="7E9A31E5">
      <w:pPr>
        <w:spacing w:line="360" w:lineRule="auto"/>
        <w:ind w:firstLine="480" w:firstLineChars="200"/>
        <w:jc w:val="center"/>
        <w:rPr>
          <w:rFonts w:ascii="方正仿宋_GBK" w:hAnsi="宋体" w:eastAsia="方正仿宋_GBK"/>
          <w:sz w:val="24"/>
          <w:szCs w:val="24"/>
        </w:rPr>
      </w:pPr>
    </w:p>
    <w:p w14:paraId="291578A7">
      <w:pPr>
        <w:spacing w:line="360" w:lineRule="auto"/>
        <w:ind w:firstLine="480" w:firstLineChars="200"/>
        <w:jc w:val="center"/>
        <w:rPr>
          <w:rFonts w:ascii="方正仿宋_GBK" w:hAnsi="宋体" w:eastAsia="方正仿宋_GBK"/>
          <w:sz w:val="24"/>
          <w:szCs w:val="24"/>
        </w:rPr>
      </w:pPr>
    </w:p>
    <w:p w14:paraId="4EC95ADE">
      <w:pPr>
        <w:spacing w:line="360" w:lineRule="auto"/>
        <w:ind w:firstLine="480" w:firstLineChars="200"/>
        <w:jc w:val="center"/>
        <w:rPr>
          <w:rFonts w:ascii="方正仿宋_GBK" w:hAnsi="宋体" w:eastAsia="方正仿宋_GBK"/>
          <w:sz w:val="24"/>
          <w:szCs w:val="24"/>
        </w:rPr>
      </w:pPr>
    </w:p>
    <w:p w14:paraId="43832AB3">
      <w:pPr>
        <w:spacing w:line="360" w:lineRule="auto"/>
        <w:ind w:firstLine="480" w:firstLineChars="200"/>
        <w:jc w:val="center"/>
        <w:rPr>
          <w:rFonts w:ascii="方正仿宋_GBK" w:hAnsi="宋体" w:eastAsia="方正仿宋_GBK"/>
          <w:sz w:val="24"/>
          <w:szCs w:val="24"/>
        </w:rPr>
      </w:pPr>
    </w:p>
    <w:p w14:paraId="2798981F">
      <w:pPr>
        <w:spacing w:line="360" w:lineRule="auto"/>
        <w:ind w:firstLine="480" w:firstLineChars="200"/>
        <w:jc w:val="center"/>
        <w:rPr>
          <w:rFonts w:ascii="方正仿宋_GBK" w:hAnsi="宋体" w:eastAsia="方正仿宋_GBK"/>
          <w:sz w:val="24"/>
          <w:szCs w:val="24"/>
        </w:rPr>
      </w:pPr>
    </w:p>
    <w:p w14:paraId="239E0756">
      <w:pPr>
        <w:spacing w:line="360" w:lineRule="auto"/>
        <w:ind w:firstLine="480" w:firstLineChars="200"/>
        <w:jc w:val="center"/>
        <w:rPr>
          <w:rFonts w:ascii="方正仿宋_GBK" w:hAnsi="宋体" w:eastAsia="方正仿宋_GBK"/>
          <w:sz w:val="24"/>
          <w:szCs w:val="24"/>
        </w:rPr>
      </w:pPr>
    </w:p>
    <w:p w14:paraId="21BE6F88">
      <w:pPr>
        <w:spacing w:line="360" w:lineRule="auto"/>
        <w:ind w:firstLine="480" w:firstLineChars="200"/>
        <w:jc w:val="center"/>
        <w:rPr>
          <w:rFonts w:ascii="方正仿宋_GBK" w:hAnsi="宋体" w:eastAsia="方正仿宋_GBK"/>
          <w:sz w:val="24"/>
          <w:szCs w:val="24"/>
        </w:rPr>
      </w:pPr>
    </w:p>
    <w:p w14:paraId="2C314DAE">
      <w:pPr>
        <w:spacing w:line="360" w:lineRule="auto"/>
        <w:ind w:firstLine="480" w:firstLineChars="200"/>
        <w:jc w:val="center"/>
        <w:rPr>
          <w:rFonts w:ascii="方正仿宋_GBK" w:hAnsi="宋体" w:eastAsia="方正仿宋_GBK"/>
          <w:sz w:val="24"/>
          <w:szCs w:val="24"/>
        </w:rPr>
      </w:pPr>
    </w:p>
    <w:p w14:paraId="19F1D163">
      <w:pPr>
        <w:spacing w:line="360" w:lineRule="auto"/>
        <w:ind w:firstLine="480" w:firstLineChars="200"/>
        <w:jc w:val="center"/>
        <w:rPr>
          <w:rFonts w:ascii="方正仿宋_GBK" w:hAnsi="宋体" w:eastAsia="方正仿宋_GBK"/>
          <w:sz w:val="24"/>
          <w:szCs w:val="24"/>
        </w:rPr>
      </w:pPr>
    </w:p>
    <w:p w14:paraId="6B44098C">
      <w:pPr>
        <w:spacing w:line="360" w:lineRule="auto"/>
        <w:ind w:firstLine="480" w:firstLineChars="200"/>
        <w:jc w:val="center"/>
        <w:rPr>
          <w:rFonts w:ascii="方正仿宋_GBK" w:hAnsi="宋体" w:eastAsia="方正仿宋_GBK"/>
          <w:sz w:val="24"/>
          <w:szCs w:val="24"/>
        </w:rPr>
      </w:pPr>
    </w:p>
    <w:p w14:paraId="5C69B9D8">
      <w:pPr>
        <w:spacing w:line="360" w:lineRule="auto"/>
        <w:ind w:firstLine="480" w:firstLineChars="200"/>
        <w:jc w:val="center"/>
        <w:rPr>
          <w:rFonts w:ascii="方正仿宋_GBK" w:hAnsi="宋体" w:eastAsia="方正仿宋_GBK"/>
          <w:sz w:val="24"/>
          <w:szCs w:val="24"/>
        </w:rPr>
      </w:pPr>
    </w:p>
    <w:p w14:paraId="57FF6BF4">
      <w:pPr>
        <w:spacing w:line="360" w:lineRule="auto"/>
        <w:ind w:firstLine="480" w:firstLineChars="200"/>
        <w:jc w:val="center"/>
        <w:rPr>
          <w:rFonts w:ascii="方正仿宋_GBK" w:hAnsi="宋体" w:eastAsia="方正仿宋_GBK"/>
          <w:sz w:val="24"/>
          <w:szCs w:val="24"/>
        </w:rPr>
      </w:pPr>
    </w:p>
    <w:p w14:paraId="51D440FB">
      <w:pPr>
        <w:spacing w:line="360" w:lineRule="auto"/>
        <w:ind w:firstLine="480" w:firstLineChars="200"/>
        <w:jc w:val="center"/>
        <w:outlineLvl w:val="0"/>
        <w:rPr>
          <w:rFonts w:ascii="方正仿宋_GBK" w:hAnsi="宋体" w:eastAsia="方正仿宋_GBK"/>
        </w:rPr>
      </w:pPr>
      <w:r>
        <w:rPr>
          <w:rFonts w:hint="eastAsia" w:ascii="方正仿宋_GBK" w:hAnsi="宋体" w:eastAsia="方正仿宋_GBK"/>
          <w:sz w:val="24"/>
          <w:szCs w:val="24"/>
        </w:rPr>
        <w:t>（结束）</w:t>
      </w:r>
    </w:p>
    <w:p w14:paraId="36279369"/>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EB4A">
    <w:pPr>
      <w:pStyle w:val="9"/>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- 4 -</w:t>
    </w:r>
    <w:r>
      <w:rPr>
        <w:rFonts w:ascii="宋体"/>
        <w:sz w:val="21"/>
        <w:szCs w:val="21"/>
      </w:rPr>
      <w:fldChar w:fldCharType="end"/>
    </w:r>
  </w:p>
  <w:p w14:paraId="1851B86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04E6">
    <w:pPr>
      <w:pStyle w:val="9"/>
      <w:framePr w:wrap="around" w:vAnchor="text" w:hAnchor="margin" w:xAlign="center" w:y="1"/>
      <w:rPr>
        <w:rStyle w:val="17"/>
      </w:rPr>
    </w:pPr>
    <w:r>
      <w:fldChar w:fldCharType="begin"/>
    </w:r>
    <w:r>
      <w:rPr>
        <w:rStyle w:val="17"/>
      </w:rPr>
      <w:instrText xml:space="preserve">PAGE  </w:instrText>
    </w:r>
    <w:r>
      <w:fldChar w:fldCharType="end"/>
    </w:r>
  </w:p>
  <w:p w14:paraId="2D1A4E3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59DCF">
    <w:pPr>
      <w:pStyle w:val="9"/>
      <w:framePr w:wrap="around" w:vAnchor="text" w:hAnchor="margin" w:xAlign="center" w:y="1"/>
      <w:rPr>
        <w:rStyle w:val="17"/>
      </w:rPr>
    </w:pPr>
  </w:p>
  <w:p w14:paraId="4D9CD834">
    <w:pPr>
      <w:pStyle w:val="9"/>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FBA69">
    <w:pPr>
      <w:pStyle w:val="9"/>
      <w:framePr w:wrap="around" w:vAnchor="text" w:hAnchor="margin" w:xAlign="center" w:y="1"/>
      <w:jc w:val="center"/>
      <w:rPr>
        <w:rStyle w:val="17"/>
        <w:rFonts w:ascii="宋体"/>
        <w:sz w:val="21"/>
        <w:szCs w:val="21"/>
      </w:rPr>
    </w:pPr>
    <w:r>
      <w:rPr>
        <w:rFonts w:ascii="宋体"/>
        <w:sz w:val="21"/>
        <w:szCs w:val="21"/>
      </w:rPr>
      <w:fldChar w:fldCharType="begin"/>
    </w:r>
    <w:r>
      <w:rPr>
        <w:rStyle w:val="17"/>
        <w:rFonts w:ascii="宋体"/>
        <w:sz w:val="21"/>
        <w:szCs w:val="21"/>
      </w:rPr>
      <w:instrText xml:space="preserve">PAGE  </w:instrText>
    </w:r>
    <w:r>
      <w:rPr>
        <w:rFonts w:ascii="宋体"/>
        <w:sz w:val="21"/>
        <w:szCs w:val="21"/>
      </w:rPr>
      <w:fldChar w:fldCharType="separate"/>
    </w:r>
    <w:r>
      <w:rPr>
        <w:rStyle w:val="17"/>
        <w:rFonts w:ascii="宋体"/>
        <w:sz w:val="21"/>
        <w:szCs w:val="21"/>
      </w:rPr>
      <w:t>- 10 -</w:t>
    </w:r>
    <w:r>
      <w:rPr>
        <w:rFonts w:ascii="宋体"/>
        <w:sz w:val="21"/>
        <w:szCs w:val="21"/>
      </w:rPr>
      <w:fldChar w:fldCharType="end"/>
    </w:r>
  </w:p>
  <w:p w14:paraId="681C3B10">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38338">
    <w:pPr>
      <w:pStyle w:val="9"/>
      <w:jc w:val="center"/>
      <w:rPr>
        <w:rFonts w:ascii="宋体" w:hAnsi="宋体"/>
        <w:sz w:val="21"/>
        <w:szCs w:val="21"/>
      </w:rPr>
    </w:pPr>
    <w:r>
      <w:rPr>
        <w:rFonts w:ascii="宋体" w:hAnsi="宋体"/>
        <w:sz w:val="21"/>
        <w:szCs w:val="21"/>
      </w:rPr>
      <w:fldChar w:fldCharType="begin"/>
    </w:r>
    <w:r>
      <w:rPr>
        <w:rStyle w:val="17"/>
        <w:rFonts w:ascii="宋体" w:hAnsi="宋体"/>
        <w:sz w:val="21"/>
        <w:szCs w:val="21"/>
      </w:rPr>
      <w:instrText xml:space="preserve"> PAGE </w:instrText>
    </w:r>
    <w:r>
      <w:rPr>
        <w:rFonts w:ascii="宋体" w:hAnsi="宋体"/>
        <w:sz w:val="21"/>
        <w:szCs w:val="21"/>
      </w:rPr>
      <w:fldChar w:fldCharType="separate"/>
    </w:r>
    <w:r>
      <w:rPr>
        <w:rStyle w:val="17"/>
        <w:rFonts w:ascii="宋体" w:hAnsi="宋体"/>
        <w:sz w:val="21"/>
        <w:szCs w:val="21"/>
      </w:rPr>
      <w:t>- 20 -</w:t>
    </w:r>
    <w:r>
      <w:rPr>
        <w:rFonts w:ascii="宋体" w:hAnsi="宋体"/>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A9A61">
    <w:pPr>
      <w:pStyle w:val="9"/>
      <w:framePr w:wrap="around" w:vAnchor="text" w:hAnchor="margin" w:xAlign="center" w:y="1"/>
      <w:rPr>
        <w:rStyle w:val="17"/>
      </w:rPr>
    </w:pPr>
    <w:r>
      <w:fldChar w:fldCharType="begin"/>
    </w:r>
    <w:r>
      <w:rPr>
        <w:rStyle w:val="17"/>
      </w:rPr>
      <w:instrText xml:space="preserve">PAGE  </w:instrText>
    </w:r>
    <w:r>
      <w:fldChar w:fldCharType="end"/>
    </w:r>
  </w:p>
  <w:p w14:paraId="49120A24">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1CD8">
    <w:pPr>
      <w:pStyle w:val="10"/>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7FBF">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CAF5">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CFD0A">
    <w:pPr>
      <w:pStyle w:val="10"/>
      <w:jc w:val="both"/>
      <w:rPr>
        <w:rFonts w:ascii="方正仿宋_GBK" w:eastAsia="方正仿宋_GBK"/>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328A0">
    <w:pPr>
      <w:pStyle w:val="10"/>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YjA2YWQ0ZGJiNzFiNmUwNmMzOTUxZDk4ODFkMmIifQ=="/>
  </w:docVars>
  <w:rsids>
    <w:rsidRoot w:val="009D030A"/>
    <w:rsid w:val="00000EC7"/>
    <w:rsid w:val="0001035A"/>
    <w:rsid w:val="000954B0"/>
    <w:rsid w:val="00096DFA"/>
    <w:rsid w:val="000C5F5F"/>
    <w:rsid w:val="0017396B"/>
    <w:rsid w:val="00191067"/>
    <w:rsid w:val="00265E0F"/>
    <w:rsid w:val="00274CC8"/>
    <w:rsid w:val="00283655"/>
    <w:rsid w:val="002D5223"/>
    <w:rsid w:val="00365BEA"/>
    <w:rsid w:val="003A3F1E"/>
    <w:rsid w:val="003A6E34"/>
    <w:rsid w:val="004700E9"/>
    <w:rsid w:val="00482C11"/>
    <w:rsid w:val="004F54DD"/>
    <w:rsid w:val="0050250F"/>
    <w:rsid w:val="0050485B"/>
    <w:rsid w:val="00513C53"/>
    <w:rsid w:val="0054008B"/>
    <w:rsid w:val="0055193B"/>
    <w:rsid w:val="00570BD8"/>
    <w:rsid w:val="005D05E4"/>
    <w:rsid w:val="00625733"/>
    <w:rsid w:val="00652457"/>
    <w:rsid w:val="006B01D3"/>
    <w:rsid w:val="006D78C6"/>
    <w:rsid w:val="00713809"/>
    <w:rsid w:val="007D0EED"/>
    <w:rsid w:val="007F66B6"/>
    <w:rsid w:val="00870DFD"/>
    <w:rsid w:val="008E7F64"/>
    <w:rsid w:val="008F0CCD"/>
    <w:rsid w:val="008F5E79"/>
    <w:rsid w:val="00907C6C"/>
    <w:rsid w:val="00934B6F"/>
    <w:rsid w:val="00941686"/>
    <w:rsid w:val="00946455"/>
    <w:rsid w:val="00950E9D"/>
    <w:rsid w:val="00965000"/>
    <w:rsid w:val="009C643E"/>
    <w:rsid w:val="009D030A"/>
    <w:rsid w:val="00A00FCE"/>
    <w:rsid w:val="00A21B61"/>
    <w:rsid w:val="00A22886"/>
    <w:rsid w:val="00A661D7"/>
    <w:rsid w:val="00A86BB0"/>
    <w:rsid w:val="00B062C3"/>
    <w:rsid w:val="00B16E49"/>
    <w:rsid w:val="00B52848"/>
    <w:rsid w:val="00B75176"/>
    <w:rsid w:val="00B90020"/>
    <w:rsid w:val="00C42096"/>
    <w:rsid w:val="00C5421F"/>
    <w:rsid w:val="00D5775B"/>
    <w:rsid w:val="00D86770"/>
    <w:rsid w:val="00DC1CD5"/>
    <w:rsid w:val="00DD3968"/>
    <w:rsid w:val="00DF69F5"/>
    <w:rsid w:val="00E718C2"/>
    <w:rsid w:val="00ED1570"/>
    <w:rsid w:val="00F01609"/>
    <w:rsid w:val="00F105D4"/>
    <w:rsid w:val="00F51575"/>
    <w:rsid w:val="00F86CB1"/>
    <w:rsid w:val="023A506E"/>
    <w:rsid w:val="0269322B"/>
    <w:rsid w:val="059C7086"/>
    <w:rsid w:val="062E0EFD"/>
    <w:rsid w:val="09E8754C"/>
    <w:rsid w:val="0A7B0F4F"/>
    <w:rsid w:val="0C6B3101"/>
    <w:rsid w:val="0CDF2D8B"/>
    <w:rsid w:val="0D799301"/>
    <w:rsid w:val="0E887706"/>
    <w:rsid w:val="0FE16FFE"/>
    <w:rsid w:val="126B5BBB"/>
    <w:rsid w:val="14A83402"/>
    <w:rsid w:val="15DC65E3"/>
    <w:rsid w:val="18AD09A8"/>
    <w:rsid w:val="1DA358F3"/>
    <w:rsid w:val="22E70030"/>
    <w:rsid w:val="24AC5E3E"/>
    <w:rsid w:val="25523F4C"/>
    <w:rsid w:val="26555022"/>
    <w:rsid w:val="26FA0C5F"/>
    <w:rsid w:val="27952750"/>
    <w:rsid w:val="28E16707"/>
    <w:rsid w:val="2986070A"/>
    <w:rsid w:val="2CAB0353"/>
    <w:rsid w:val="2E710B48"/>
    <w:rsid w:val="2EB846F2"/>
    <w:rsid w:val="2F5FD015"/>
    <w:rsid w:val="2FCA4F61"/>
    <w:rsid w:val="335D7E9A"/>
    <w:rsid w:val="33686F6B"/>
    <w:rsid w:val="34137846"/>
    <w:rsid w:val="352140DD"/>
    <w:rsid w:val="362F3952"/>
    <w:rsid w:val="3A2A7F93"/>
    <w:rsid w:val="3ABFDB2D"/>
    <w:rsid w:val="3B4466DF"/>
    <w:rsid w:val="3BA3093F"/>
    <w:rsid w:val="3F4639D8"/>
    <w:rsid w:val="41E66DAF"/>
    <w:rsid w:val="4439584A"/>
    <w:rsid w:val="448E762B"/>
    <w:rsid w:val="45294157"/>
    <w:rsid w:val="457A3FD9"/>
    <w:rsid w:val="48175199"/>
    <w:rsid w:val="4AFA61C9"/>
    <w:rsid w:val="4F416B96"/>
    <w:rsid w:val="52A872F0"/>
    <w:rsid w:val="545A6004"/>
    <w:rsid w:val="57183733"/>
    <w:rsid w:val="57642F99"/>
    <w:rsid w:val="59E928FC"/>
    <w:rsid w:val="5E7F3B4E"/>
    <w:rsid w:val="5FF40563"/>
    <w:rsid w:val="63C0272D"/>
    <w:rsid w:val="673906CF"/>
    <w:rsid w:val="683D6B54"/>
    <w:rsid w:val="6958090C"/>
    <w:rsid w:val="69F745E3"/>
    <w:rsid w:val="6AF30BEB"/>
    <w:rsid w:val="6B667A90"/>
    <w:rsid w:val="6B8D6867"/>
    <w:rsid w:val="719536BB"/>
    <w:rsid w:val="762E69A6"/>
    <w:rsid w:val="76FF2FF8"/>
    <w:rsid w:val="77EFA751"/>
    <w:rsid w:val="7A2018B5"/>
    <w:rsid w:val="7BC77B74"/>
    <w:rsid w:val="7BF85D53"/>
    <w:rsid w:val="7C374259"/>
    <w:rsid w:val="7EFB5E94"/>
    <w:rsid w:val="7F3F4592"/>
    <w:rsid w:val="7FFD4030"/>
    <w:rsid w:val="ADAE7369"/>
    <w:rsid w:val="DEFF6C5C"/>
    <w:rsid w:val="F8FD9C0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link w:val="20"/>
    <w:qFormat/>
    <w:uiPriority w:val="0"/>
    <w:pPr>
      <w:keepNext/>
      <w:keepLines/>
      <w:spacing w:before="260" w:after="260" w:line="413" w:lineRule="auto"/>
      <w:outlineLvl w:val="1"/>
    </w:pPr>
    <w:rPr>
      <w:rFonts w:ascii="Arial" w:hAnsi="Arial" w:eastAsia="黑体"/>
      <w:b/>
      <w:sz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4">
    <w:name w:val="Body Text"/>
    <w:basedOn w:val="1"/>
    <w:qFormat/>
    <w:uiPriority w:val="0"/>
    <w:rPr>
      <w:rFonts w:ascii="仿宋_GB2312" w:eastAsia="仿宋_GB2312"/>
      <w:sz w:val="32"/>
    </w:rPr>
  </w:style>
  <w:style w:type="paragraph" w:styleId="5">
    <w:name w:val="Body Text Indent"/>
    <w:basedOn w:val="1"/>
    <w:link w:val="21"/>
    <w:qFormat/>
    <w:uiPriority w:val="0"/>
    <w:pPr>
      <w:spacing w:line="700" w:lineRule="exact"/>
      <w:ind w:left="960"/>
    </w:pPr>
    <w:rPr>
      <w:sz w:val="44"/>
    </w:rPr>
  </w:style>
  <w:style w:type="paragraph" w:styleId="6">
    <w:name w:val="Plain Text"/>
    <w:basedOn w:val="1"/>
    <w:next w:val="1"/>
    <w:link w:val="22"/>
    <w:qFormat/>
    <w:uiPriority w:val="0"/>
    <w:rPr>
      <w:rFonts w:ascii="宋体" w:hAnsi="Courier New"/>
      <w:sz w:val="21"/>
    </w:rPr>
  </w:style>
  <w:style w:type="paragraph" w:styleId="7">
    <w:name w:val="Date"/>
    <w:basedOn w:val="1"/>
    <w:next w:val="1"/>
    <w:link w:val="23"/>
    <w:qFormat/>
    <w:uiPriority w:val="0"/>
  </w:style>
  <w:style w:type="paragraph" w:styleId="8">
    <w:name w:val="Body Text Indent 2"/>
    <w:basedOn w:val="1"/>
    <w:link w:val="24"/>
    <w:qFormat/>
    <w:uiPriority w:val="0"/>
    <w:pPr>
      <w:snapToGrid w:val="0"/>
      <w:spacing w:line="560" w:lineRule="atLeast"/>
      <w:ind w:firstLine="540"/>
    </w:pPr>
  </w:style>
  <w:style w:type="paragraph" w:styleId="9">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qFormat/>
    <w:uiPriority w:val="0"/>
    <w:pPr>
      <w:spacing w:line="180" w:lineRule="auto"/>
      <w:jc w:val="center"/>
    </w:pPr>
    <w:rPr>
      <w:sz w:val="30"/>
    </w:rPr>
  </w:style>
  <w:style w:type="paragraph" w:styleId="12">
    <w:name w:val="index 7"/>
    <w:basedOn w:val="1"/>
    <w:next w:val="1"/>
    <w:qFormat/>
    <w:uiPriority w:val="0"/>
    <w:pPr>
      <w:ind w:left="1200" w:leftChars="1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Body Text First Indent"/>
    <w:basedOn w:val="4"/>
    <w:next w:val="1"/>
    <w:qFormat/>
    <w:uiPriority w:val="99"/>
    <w:pPr>
      <w:spacing w:line="360" w:lineRule="auto"/>
      <w:ind w:firstLine="420"/>
    </w:pPr>
    <w:rPr>
      <w:rFonts w:ascii="宋体" w:hAnsi="宋体"/>
      <w:sz w:val="24"/>
    </w:rPr>
  </w:style>
  <w:style w:type="character" w:styleId="17">
    <w:name w:val="page number"/>
    <w:qFormat/>
    <w:uiPriority w:val="0"/>
  </w:style>
  <w:style w:type="character" w:customStyle="1" w:styleId="18">
    <w:name w:val="页眉 字符"/>
    <w:basedOn w:val="16"/>
    <w:link w:val="10"/>
    <w:semiHidden/>
    <w:qFormat/>
    <w:uiPriority w:val="99"/>
    <w:rPr>
      <w:sz w:val="18"/>
      <w:szCs w:val="18"/>
    </w:rPr>
  </w:style>
  <w:style w:type="character" w:customStyle="1" w:styleId="19">
    <w:name w:val="页脚 字符"/>
    <w:basedOn w:val="16"/>
    <w:link w:val="9"/>
    <w:semiHidden/>
    <w:qFormat/>
    <w:uiPriority w:val="99"/>
    <w:rPr>
      <w:sz w:val="18"/>
      <w:szCs w:val="18"/>
    </w:rPr>
  </w:style>
  <w:style w:type="character" w:customStyle="1" w:styleId="20">
    <w:name w:val="标题 2 字符"/>
    <w:basedOn w:val="16"/>
    <w:link w:val="3"/>
    <w:qFormat/>
    <w:uiPriority w:val="0"/>
    <w:rPr>
      <w:rFonts w:ascii="Arial" w:hAnsi="Arial" w:eastAsia="黑体" w:cs="Times New Roman"/>
      <w:b/>
      <w:sz w:val="32"/>
      <w:szCs w:val="20"/>
    </w:rPr>
  </w:style>
  <w:style w:type="character" w:customStyle="1" w:styleId="21">
    <w:name w:val="正文文本缩进 字符"/>
    <w:basedOn w:val="16"/>
    <w:link w:val="5"/>
    <w:qFormat/>
    <w:uiPriority w:val="0"/>
    <w:rPr>
      <w:rFonts w:ascii="Times New Roman" w:hAnsi="Times New Roman" w:eastAsia="宋体" w:cs="Times New Roman"/>
      <w:sz w:val="44"/>
      <w:szCs w:val="20"/>
    </w:rPr>
  </w:style>
  <w:style w:type="character" w:customStyle="1" w:styleId="22">
    <w:name w:val="纯文本 字符"/>
    <w:basedOn w:val="16"/>
    <w:link w:val="6"/>
    <w:qFormat/>
    <w:uiPriority w:val="0"/>
    <w:rPr>
      <w:rFonts w:ascii="宋体" w:hAnsi="Courier New" w:eastAsia="宋体" w:cs="Times New Roman"/>
      <w:szCs w:val="20"/>
    </w:rPr>
  </w:style>
  <w:style w:type="character" w:customStyle="1" w:styleId="23">
    <w:name w:val="日期 字符"/>
    <w:basedOn w:val="16"/>
    <w:link w:val="7"/>
    <w:qFormat/>
    <w:uiPriority w:val="0"/>
    <w:rPr>
      <w:rFonts w:ascii="Times New Roman" w:hAnsi="Times New Roman" w:eastAsia="宋体" w:cs="Times New Roman"/>
      <w:sz w:val="28"/>
      <w:szCs w:val="20"/>
    </w:rPr>
  </w:style>
  <w:style w:type="character" w:customStyle="1" w:styleId="24">
    <w:name w:val="正文文本缩进 2 字符"/>
    <w:basedOn w:val="16"/>
    <w:link w:val="8"/>
    <w:qFormat/>
    <w:uiPriority w:val="0"/>
    <w:rPr>
      <w:rFonts w:ascii="Times New Roman" w:hAnsi="Times New Roman" w:eastAsia="宋体" w:cs="Times New Roman"/>
      <w:sz w:val="28"/>
      <w:szCs w:val="20"/>
    </w:rPr>
  </w:style>
  <w:style w:type="paragraph" w:customStyle="1" w:styleId="25">
    <w:name w:val="1"/>
    <w:basedOn w:val="1"/>
    <w:next w:val="6"/>
    <w:qFormat/>
    <w:uiPriority w:val="0"/>
    <w:rPr>
      <w:rFonts w:ascii="宋体" w:hAnsi="Courier New"/>
      <w:sz w:val="21"/>
    </w:rPr>
  </w:style>
  <w:style w:type="character" w:customStyle="1" w:styleId="26">
    <w:name w:val="NormalCharacter"/>
    <w:qFormat/>
    <w:uiPriority w:val="0"/>
    <w:rPr>
      <w:rFonts w:ascii="Times New Roman" w:hAnsi="Times New Roman" w:eastAsia="宋体" w:cs="Times New Roman"/>
      <w:kern w:val="2"/>
      <w:sz w:val="28"/>
      <w:lang w:val="en-US" w:eastAsia="zh-CN" w:bidi="ar-SA"/>
    </w:rPr>
  </w:style>
  <w:style w:type="paragraph" w:customStyle="1" w:styleId="27">
    <w:name w:val="Heading3"/>
    <w:basedOn w:val="1"/>
    <w:next w:val="1"/>
    <w:qFormat/>
    <w:uiPriority w:val="0"/>
    <w:pPr>
      <w:keepNext/>
      <w:keepLines/>
      <w:spacing w:before="260" w:after="260" w:line="413" w:lineRule="auto"/>
      <w:textAlignment w:val="baseline"/>
    </w:pPr>
    <w:rPr>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29</Pages>
  <Words>11953</Words>
  <Characters>12387</Characters>
  <Lines>99</Lines>
  <Paragraphs>28</Paragraphs>
  <TotalTime>2</TotalTime>
  <ScaleCrop>false</ScaleCrop>
  <LinksUpToDate>false</LinksUpToDate>
  <CharactersWithSpaces>13451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2024-10-14T22:38:00Z</dcterms:created>
  <dc:creator>微软用户</dc:creator>
  <cp:lastModifiedBy>Mr.ko</cp:lastModifiedBy>
  <dcterms:modified xsi:type="dcterms:W3CDTF">2024-10-15T01:48:16Z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058319C8B81B42DEA2D0D79BF621594B_12</vt:lpwstr>
  </property>
</Properties>
</file>