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left"/>
        <w:rPr>
          <w:rFonts w:ascii="黑体" w:eastAsia="黑体"/>
          <w:sz w:val="32"/>
        </w:rPr>
      </w:pPr>
    </w:p>
    <w:p>
      <w:pPr>
        <w:spacing w:line="500" w:lineRule="exact"/>
        <w:ind w:left="3234" w:leftChars="512" w:hanging="1800" w:hangingChars="5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项目名称：钓鱼城航道基地工程可行性研究报告、港口岸线使用方案编制服务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二〇二四年九月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24817"/>
      <w:bookmarkStart w:id="1" w:name="_Toc15726"/>
      <w:bookmarkStart w:id="2" w:name="_Toc24173"/>
      <w:bookmarkStart w:id="3" w:name="_Toc106034769"/>
      <w:bookmarkStart w:id="4" w:name="_Toc12789052"/>
      <w:bookmarkStart w:id="5" w:name="_Toc65660329"/>
      <w:bookmarkStart w:id="6"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根据工作需要，重庆市合川航道管理处对钓鱼城航道基地工程可行性研究报告、港口岸线使用方案编制服务项目进行限额以下比价采购。欢迎有资格的供应商前来参加报价。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18246"/>
      <w:bookmarkStart w:id="8" w:name="_Toc65660330"/>
      <w:bookmarkStart w:id="9" w:name="_Toc317775175"/>
      <w:bookmarkStart w:id="10" w:name="_Toc106034770"/>
      <w:bookmarkStart w:id="11" w:name="_Toc313893526"/>
      <w:bookmarkStart w:id="12" w:name="_Toc26091"/>
      <w:bookmarkStart w:id="13" w:name="_Toc7758"/>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475"/>
        <w:gridCol w:w="2269"/>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63"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954"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7"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1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钓鱼城航道基地工程可行性研究报告、港口岸线使用方案编制服务</w:t>
            </w:r>
          </w:p>
        </w:tc>
        <w:tc>
          <w:tcPr>
            <w:tcW w:w="95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4"/>
                <w:szCs w:val="24"/>
              </w:rPr>
              <w:t>17.3万元</w:t>
            </w:r>
          </w:p>
        </w:tc>
        <w:tc>
          <w:tcPr>
            <w:tcW w:w="1467"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3541"/>
      <w:bookmarkStart w:id="23" w:name="_Toc64731996"/>
      <w:bookmarkStart w:id="24" w:name="_Toc20867"/>
      <w:bookmarkStart w:id="25" w:name="_Toc18548"/>
      <w:bookmarkStart w:id="26" w:name="_Toc65660332"/>
      <w:bookmarkStart w:id="27" w:name="_Toc106034772"/>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w:t>
      </w:r>
      <w:r>
        <w:rPr>
          <w:rFonts w:hint="eastAsia" w:ascii="方正仿宋_GBK" w:hAnsi="宋体" w:eastAsia="方正仿宋_GBK"/>
          <w:color w:val="000000" w:themeColor="text1"/>
          <w:sz w:val="24"/>
          <w:szCs w:val="24"/>
        </w:rPr>
        <w:t>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386"/>
      <w:bookmarkStart w:id="29" w:name="_Toc65660333"/>
      <w:bookmarkStart w:id="30" w:name="_Toc11908"/>
      <w:bookmarkStart w:id="31" w:name="_Toc1390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（四）提交响应文件截止时间：2024年9月14日北京时间9时至9时30分。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（五）评审开始时间：2024年9月14日北京时间9时30分。</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联系人：曹老师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话：023-42663828</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9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02"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031"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pct"/>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钓鱼城航道基地工程可行性研究报告、港口岸线使用方案编制服务</w:t>
            </w:r>
          </w:p>
        </w:tc>
        <w:tc>
          <w:tcPr>
            <w:tcW w:w="1031"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2367" w:type="pct"/>
            <w:vAlign w:val="center"/>
          </w:tcPr>
          <w:p>
            <w:pPr>
              <w:spacing w:line="400" w:lineRule="exact"/>
              <w:jc w:val="center"/>
              <w:rPr>
                <w:rFonts w:ascii="方正仿宋_GBK" w:hAnsi="宋体" w:eastAsia="方正仿宋_GBK"/>
                <w:sz w:val="24"/>
                <w:szCs w:val="24"/>
              </w:rPr>
            </w:pPr>
          </w:p>
        </w:tc>
      </w:tr>
    </w:tbl>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（一）服务范围、要求及标准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1.服务范围：</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（1）编制钓鱼城航道基地工程可行性研究报告、岸线使用方案。</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（2）成交供应商协助采购人向审批部门报审，并积极跟进审批进程；</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（3）负责筹备相关专家评审会议并承担相关评审和会务费；</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（4）负责报告修改并取得钓鱼城航道基地岸线使用的批复文件。</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2.服务要求：</w:t>
      </w:r>
      <w:r>
        <w:rPr>
          <w:rFonts w:ascii="方正仿宋_GBK" w:hAnsi="方正仿宋_GBK" w:eastAsia="方正仿宋_GBK" w:cs="方正仿宋_GBK"/>
          <w:sz w:val="24"/>
          <w:szCs w:val="24"/>
        </w:rPr>
        <w:t>按《港口岸线使用审批管理办法》（2012年5月22日交通运输部 国家发展改革委令2012年第6号</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2018年5月3日《交通运输部 国家发展改革委关于修改〈港口岸线使用审批管理办法〉的决定》第一次修订</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2021年12月23日《交通运输部 国家发展改革委关于修改〈港口岸线使用审批管理办法〉的决定》第二次修订）等文件内容编制</w:t>
      </w:r>
      <w:r>
        <w:rPr>
          <w:rFonts w:hint="eastAsia" w:ascii="方正仿宋_GBK" w:hAnsi="方正仿宋_GBK" w:eastAsia="方正仿宋_GBK" w:cs="方正仿宋_GBK"/>
          <w:sz w:val="24"/>
          <w:szCs w:val="24"/>
        </w:rPr>
        <w:t>钓鱼城航道基地</w:t>
      </w:r>
      <w:r>
        <w:rPr>
          <w:rFonts w:ascii="方正仿宋_GBK" w:hAnsi="方正仿宋_GBK" w:eastAsia="方正仿宋_GBK" w:cs="方正仿宋_GBK"/>
          <w:sz w:val="24"/>
          <w:szCs w:val="24"/>
        </w:rPr>
        <w:t>港口岸线使用方案，</w:t>
      </w:r>
      <w:r>
        <w:rPr>
          <w:rFonts w:hint="eastAsia" w:ascii="方正仿宋_GBK" w:hAnsi="方正仿宋_GBK" w:eastAsia="方正仿宋_GBK" w:cs="方正仿宋_GBK"/>
          <w:sz w:val="24"/>
          <w:szCs w:val="24"/>
        </w:rPr>
        <w:t>按照工程可行性研究报告编制相关规定编制钓鱼城航道基地工程可行性研究报告，</w:t>
      </w:r>
      <w:r>
        <w:rPr>
          <w:rFonts w:ascii="方正仿宋_GBK" w:hAnsi="方正仿宋_GBK" w:eastAsia="方正仿宋_GBK" w:cs="方正仿宋_GBK"/>
          <w:sz w:val="24"/>
          <w:szCs w:val="24"/>
        </w:rPr>
        <w:t>报</w:t>
      </w:r>
      <w:r>
        <w:rPr>
          <w:rFonts w:hint="eastAsia" w:ascii="方正仿宋_GBK" w:hAnsi="方正仿宋_GBK" w:eastAsia="方正仿宋_GBK" w:cs="方正仿宋_GBK"/>
          <w:sz w:val="24"/>
          <w:szCs w:val="24"/>
        </w:rPr>
        <w:t>相关部门</w:t>
      </w:r>
      <w:r>
        <w:rPr>
          <w:rFonts w:ascii="方正仿宋_GBK" w:hAnsi="方正仿宋_GBK" w:eastAsia="方正仿宋_GBK" w:cs="方正仿宋_GBK"/>
          <w:sz w:val="24"/>
          <w:szCs w:val="24"/>
        </w:rPr>
        <w:t>审批，通过专家评审，并取得岸线批复文件。</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3.服务标准：按照国家相关法律法规、相关部门规定及采购人相关要求编制钓鱼城航道基地工程可行性研究报告、岸线使用方案，通过专家评审，并取得岸线批复文件。</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1.质量要求：达到采购人要求。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7750"/>
      <w:bookmarkStart w:id="66" w:name="_Toc13555"/>
      <w:bookmarkStart w:id="67" w:name="_Toc65660342"/>
      <w:bookmarkStart w:id="68" w:name="_Toc12935"/>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（一）服务期：合同签订之日起30日历日内完成钓鱼城航道基地工程可行性研究报告、岸线使用方案编制，编制完成后协助向审批部门报审，</w:t>
      </w:r>
      <w:r>
        <w:rPr>
          <w:rFonts w:hint="eastAsia" w:ascii="方正仿宋_GBK" w:hAnsi="方正仿宋_GBK" w:eastAsia="方正仿宋_GBK" w:cs="方正仿宋_GBK"/>
          <w:sz w:val="24"/>
          <w:szCs w:val="24"/>
        </w:rPr>
        <w:t>并积极跟进审批进程，直至取得批复文件</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（二）服务地点：重庆合川。</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bCs/>
          <w:sz w:val="24"/>
        </w:rPr>
        <w:t>成交供应商按采购人要求完成相关工作，以取得批复文件为验收</w:t>
      </w:r>
      <w:r>
        <w:rPr>
          <w:rFonts w:hint="eastAsia" w:ascii="方正仿宋_GBK" w:hAnsi="宋体" w:eastAsia="方正仿宋_GBK"/>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24110"/>
      <w:bookmarkStart w:id="72" w:name="_Toc65660343"/>
      <w:bookmarkStart w:id="73" w:name="_Toc1838"/>
      <w:bookmarkStart w:id="74" w:name="_Toc8103"/>
      <w:bookmarkStart w:id="75" w:name="_Toc10603478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6974"/>
      <w:bookmarkStart w:id="77" w:name="_Toc1218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本次项目为总价包干，报价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7562"/>
      <w:bookmarkStart w:id="82" w:name="_Toc65660345"/>
      <w:bookmarkStart w:id="83" w:name="_Toc9192"/>
      <w:bookmarkStart w:id="84" w:name="_Toc11000"/>
      <w:bookmarkStart w:id="85" w:name="_Toc10603478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bookmarkStart w:id="88" w:name="_Toc24751"/>
      <w:bookmarkStart w:id="89" w:name="_Toc7228"/>
      <w:bookmarkStart w:id="90" w:name="_Toc65660346"/>
      <w:bookmarkStart w:id="91" w:name="_Toc3786"/>
      <w:bookmarkStart w:id="92" w:name="_Toc106034786"/>
      <w:r>
        <w:rPr>
          <w:rFonts w:hint="eastAsia" w:ascii="方正仿宋_GBK" w:hAnsi="宋体" w:eastAsia="方正仿宋_GBK"/>
          <w:sz w:val="24"/>
          <w:szCs w:val="24"/>
        </w:rPr>
        <w:t>项目验收合格后供应商开具相应金额发票，采购人凭发票一次性支付全部合同款。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5555"/>
      <w:bookmarkStart w:id="94" w:name="_Toc6565"/>
      <w:bookmarkStart w:id="95" w:name="_Toc65660347"/>
      <w:bookmarkStart w:id="96" w:name="_Toc6869"/>
      <w:bookmarkStart w:id="97" w:name="_Toc106034787"/>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27932"/>
      <w:bookmarkStart w:id="118" w:name="_Toc5167"/>
      <w:bookmarkStart w:id="119" w:name="_Toc64732012"/>
      <w:bookmarkStart w:id="120" w:name="_Toc9361"/>
      <w:bookmarkStart w:id="121" w:name="_Toc65660350"/>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5149"/>
      <w:bookmarkStart w:id="124" w:name="_Toc65660351"/>
      <w:bookmarkStart w:id="125" w:name="_Toc11713"/>
      <w:bookmarkStart w:id="126" w:name="_Toc64732013"/>
      <w:bookmarkStart w:id="127" w:name="_Toc30639"/>
      <w:bookmarkStart w:id="128" w:name="_Toc10603479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29113"/>
      <w:bookmarkStart w:id="130" w:name="_Toc65660352"/>
      <w:bookmarkStart w:id="131" w:name="_Toc12644"/>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22716"/>
      <w:bookmarkStart w:id="136" w:name="_Toc28422"/>
      <w:bookmarkStart w:id="137" w:name="_Toc29298"/>
      <w:bookmarkStart w:id="138" w:name="_Toc106034793"/>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20055"/>
      <w:bookmarkStart w:id="140" w:name="_Toc8916"/>
      <w:bookmarkStart w:id="141" w:name="_Toc10768"/>
      <w:bookmarkStart w:id="142" w:name="_Toc65660354"/>
      <w:bookmarkStart w:id="143" w:name="_Toc106034794"/>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65660355"/>
      <w:bookmarkStart w:id="145" w:name="_Toc16524"/>
      <w:bookmarkStart w:id="146" w:name="_Toc2864"/>
      <w:bookmarkStart w:id="147" w:name="_Toc5290"/>
      <w:bookmarkStart w:id="148" w:name="_Toc106034795"/>
      <w:r>
        <w:rPr>
          <w:rFonts w:hint="eastAsia" w:ascii="方正仿宋_GBK" w:hAnsi="宋体" w:eastAsia="方正仿宋_GBK"/>
          <w:sz w:val="24"/>
        </w:rPr>
        <w:t>一、限额以下比价费用</w:t>
      </w:r>
      <w:bookmarkEnd w:id="144"/>
      <w:bookmarkEnd w:id="145"/>
      <w:bookmarkEnd w:id="146"/>
      <w:bookmarkEnd w:id="147"/>
      <w:bookmarkEnd w:id="14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070"/>
      <w:bookmarkStart w:id="150" w:name="_Toc65660356"/>
      <w:bookmarkStart w:id="151" w:name="_Toc31739"/>
      <w:bookmarkStart w:id="152" w:name="_Toc5915"/>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3061"/>
      <w:bookmarkStart w:id="155" w:name="_Toc9532"/>
      <w:bookmarkStart w:id="156" w:name="_Toc1922"/>
      <w:bookmarkStart w:id="157" w:name="_Toc65660357"/>
      <w:bookmarkStart w:id="158" w:name="_Toc10603479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4702"/>
      <w:bookmarkStart w:id="160" w:name="_Toc10172"/>
      <w:bookmarkStart w:id="161" w:name="_Toc6242"/>
      <w:bookmarkStart w:id="162" w:name="_Toc65660358"/>
      <w:bookmarkStart w:id="163" w:name="_Toc10603479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59"/>
      <w:bookmarkStart w:id="165" w:name="_Toc1092"/>
      <w:bookmarkStart w:id="166" w:name="_Toc29821"/>
      <w:bookmarkStart w:id="167" w:name="_Toc10504"/>
      <w:bookmarkStart w:id="168" w:name="_Toc10603479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10"/>
      <w:bookmarkStart w:id="170" w:name="_Toc30909"/>
      <w:bookmarkStart w:id="171" w:name="_Toc65660360"/>
      <w:bookmarkStart w:id="172" w:name="_Toc31082"/>
      <w:bookmarkStart w:id="173" w:name="_Toc10603480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w:t>
      </w:r>
      <w:r>
        <w:rPr>
          <w:rFonts w:hint="eastAsia" w:ascii="方正仿宋_GBK" w:hAnsi="仿宋" w:eastAsia="方正仿宋_GBK" w:cs="仿宋"/>
          <w:sz w:val="24"/>
          <w:lang w:eastAsia="zh-CN"/>
        </w:rPr>
        <w:t>受到</w:t>
      </w:r>
      <w:bookmarkStart w:id="241" w:name="_GoBack"/>
      <w:bookmarkEnd w:id="241"/>
      <w:r>
        <w:rPr>
          <w:rFonts w:hint="eastAsia" w:ascii="方正仿宋_GBK" w:hAnsi="仿宋" w:eastAsia="方正仿宋_GBK" w:cs="仿宋"/>
          <w:sz w:val="24"/>
        </w:rPr>
        <w:t>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65660361"/>
      <w:bookmarkStart w:id="175" w:name="_Toc23778"/>
      <w:bookmarkStart w:id="176" w:name="_Toc16648"/>
      <w:bookmarkStart w:id="177" w:name="_Toc3127"/>
      <w:bookmarkStart w:id="178" w:name="_Toc106034801"/>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9513"/>
      <w:bookmarkStart w:id="182" w:name="_Toc32594"/>
      <w:bookmarkStart w:id="183" w:name="_Toc65660362"/>
      <w:bookmarkStart w:id="184" w:name="_Toc2438"/>
      <w:bookmarkStart w:id="185" w:name="_Toc10603480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28162"/>
      <w:bookmarkStart w:id="189" w:name="_Toc14861"/>
      <w:bookmarkStart w:id="190" w:name="_Toc65660365"/>
      <w:bookmarkStart w:id="191" w:name="_Toc10599"/>
      <w:bookmarkStart w:id="192" w:name="_Toc106034806"/>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12789072"/>
      <w:bookmarkStart w:id="197" w:name="_Toc65660378"/>
      <w:bookmarkStart w:id="198" w:name="_Toc6968"/>
      <w:bookmarkStart w:id="199" w:name="_Toc18521"/>
      <w:bookmarkStart w:id="200" w:name="_Toc106034807"/>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65660379"/>
      <w:bookmarkStart w:id="203" w:name="_Toc30982"/>
      <w:bookmarkStart w:id="204" w:name="_Toc14244"/>
      <w:bookmarkStart w:id="205" w:name="_Toc313008356"/>
      <w:bookmarkStart w:id="206" w:name="_Toc26343"/>
      <w:bookmarkStart w:id="207" w:name="_Toc342913419"/>
      <w:bookmarkStart w:id="208" w:name="_Toc106034808"/>
      <w:bookmarkStart w:id="209" w:name="_Toc313888360"/>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元每天；人民币小写：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元/天。以我公司报价为准。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82"/>
      <w:bookmarkStart w:id="229" w:name="_Toc65660382"/>
      <w:bookmarkStart w:id="230" w:name="_Toc20162"/>
      <w:bookmarkStart w:id="231" w:name="_Toc21793"/>
      <w:bookmarkStart w:id="232" w:name="_Toc106034811"/>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2080"/>
      <w:bookmarkStart w:id="237" w:name="_Toc17010"/>
      <w:bookmarkStart w:id="238" w:name="_Toc65660383"/>
      <w:bookmarkStart w:id="239" w:name="_Toc15815"/>
      <w:bookmarkStart w:id="240" w:name="_Toc106034812"/>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9D030A"/>
    <w:rsid w:val="000954B0"/>
    <w:rsid w:val="00142430"/>
    <w:rsid w:val="00165654"/>
    <w:rsid w:val="002643AD"/>
    <w:rsid w:val="002D5223"/>
    <w:rsid w:val="004F3122"/>
    <w:rsid w:val="006A572C"/>
    <w:rsid w:val="006F0155"/>
    <w:rsid w:val="00713809"/>
    <w:rsid w:val="00824D4B"/>
    <w:rsid w:val="008A5A5F"/>
    <w:rsid w:val="008B25ED"/>
    <w:rsid w:val="00946455"/>
    <w:rsid w:val="009B36AF"/>
    <w:rsid w:val="009D030A"/>
    <w:rsid w:val="009D1B2B"/>
    <w:rsid w:val="00A5679A"/>
    <w:rsid w:val="00A573C6"/>
    <w:rsid w:val="00B062C3"/>
    <w:rsid w:val="00B55D7C"/>
    <w:rsid w:val="00C07E18"/>
    <w:rsid w:val="00C429D5"/>
    <w:rsid w:val="00C749CB"/>
    <w:rsid w:val="00C771AB"/>
    <w:rsid w:val="00C77B30"/>
    <w:rsid w:val="00CC7A93"/>
    <w:rsid w:val="00D07558"/>
    <w:rsid w:val="00D218D9"/>
    <w:rsid w:val="00D51EFD"/>
    <w:rsid w:val="00D5775B"/>
    <w:rsid w:val="00D74866"/>
    <w:rsid w:val="00DF69F5"/>
    <w:rsid w:val="00E417BA"/>
    <w:rsid w:val="00EA4C3E"/>
    <w:rsid w:val="00EB5875"/>
    <w:rsid w:val="00F105D4"/>
    <w:rsid w:val="00F94C1A"/>
    <w:rsid w:val="00FF758F"/>
    <w:rsid w:val="02716591"/>
    <w:rsid w:val="03321D76"/>
    <w:rsid w:val="08420CAE"/>
    <w:rsid w:val="0DCB0C9B"/>
    <w:rsid w:val="40921BCC"/>
    <w:rsid w:val="4CEC7770"/>
    <w:rsid w:val="7326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2 Char"/>
    <w:basedOn w:val="11"/>
    <w:link w:val="2"/>
    <w:qFormat/>
    <w:uiPriority w:val="0"/>
    <w:rPr>
      <w:rFonts w:ascii="Arial" w:hAnsi="Arial" w:eastAsia="黑体" w:cs="Times New Roman"/>
      <w:b/>
      <w:sz w:val="32"/>
      <w:szCs w:val="20"/>
    </w:rPr>
  </w:style>
  <w:style w:type="character" w:customStyle="1" w:styleId="16">
    <w:name w:val="正文文本缩进 Char"/>
    <w:basedOn w:val="11"/>
    <w:link w:val="3"/>
    <w:qFormat/>
    <w:uiPriority w:val="0"/>
    <w:rPr>
      <w:rFonts w:ascii="Times New Roman" w:hAnsi="Times New Roman" w:eastAsia="宋体" w:cs="Times New Roman"/>
      <w:sz w:val="44"/>
      <w:szCs w:val="20"/>
    </w:rPr>
  </w:style>
  <w:style w:type="character" w:customStyle="1" w:styleId="17">
    <w:name w:val="纯文本 Char"/>
    <w:basedOn w:val="11"/>
    <w:link w:val="4"/>
    <w:qFormat/>
    <w:uiPriority w:val="0"/>
    <w:rPr>
      <w:rFonts w:ascii="宋体" w:hAnsi="Courier New" w:eastAsia="宋体" w:cs="Times New Roman"/>
      <w:szCs w:val="20"/>
    </w:rPr>
  </w:style>
  <w:style w:type="character" w:customStyle="1" w:styleId="18">
    <w:name w:val="日期 Char"/>
    <w:basedOn w:val="11"/>
    <w:link w:val="5"/>
    <w:qFormat/>
    <w:uiPriority w:val="0"/>
    <w:rPr>
      <w:rFonts w:ascii="Times New Roman" w:hAnsi="Times New Roman" w:eastAsia="宋体" w:cs="Times New Roman"/>
      <w:sz w:val="28"/>
      <w:szCs w:val="20"/>
    </w:rPr>
  </w:style>
  <w:style w:type="character" w:customStyle="1" w:styleId="19">
    <w:name w:val="正文文本缩进 2 Char"/>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1804</Words>
  <Characters>10286</Characters>
  <Lines>85</Lines>
  <Paragraphs>24</Paragraphs>
  <TotalTime>63</TotalTime>
  <ScaleCrop>false</ScaleCrop>
  <LinksUpToDate>false</LinksUpToDate>
  <CharactersWithSpaces>12066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2023-11-10T05:34:00Z</dcterms:created>
  <dc:creator>微软用户</dc:creator>
  <cp:lastModifiedBy>jtj</cp:lastModifiedBy>
  <dcterms:modified xsi:type="dcterms:W3CDTF">2024-12-03T08:25:59Z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2D261805838E473DA4B647ABDA850758_12</vt:lpwstr>
  </property>
</Properties>
</file>