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07</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：乌江杨家堡、倒杠碛滩航道维护性疏浚施工图设计</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七</w:t>
      </w:r>
      <w:r>
        <w:rPr>
          <w:rFonts w:hint="eastAsia" w:ascii="方正小标宋_GBK" w:hAnsi="宋体" w:eastAsia="方正小标宋_GBK"/>
          <w:color w:val="auto"/>
          <w:sz w:val="36"/>
          <w:szCs w:val="36"/>
          <w:highlight w:val="none"/>
        </w:rPr>
        <w:t>月</w:t>
      </w:r>
    </w:p>
    <w:p w14:paraId="3D404EFB">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24173"/>
      <w:bookmarkStart w:id="1" w:name="_Toc65660329"/>
      <w:bookmarkStart w:id="2" w:name="_Toc11641050"/>
      <w:bookmarkStart w:id="3" w:name="_Toc24817"/>
      <w:bookmarkStart w:id="4" w:name="_Toc106034769"/>
      <w:bookmarkStart w:id="5" w:name="_Toc12789052"/>
      <w:bookmarkStart w:id="6" w:name="_Toc15726"/>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乌江杨家堡、倒杠碛滩航道维护性疏浚施工图设计</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65660330"/>
      <w:bookmarkStart w:id="8" w:name="_Toc106034770"/>
      <w:bookmarkStart w:id="9" w:name="_Toc7758"/>
      <w:bookmarkStart w:id="10" w:name="_Toc18246"/>
      <w:bookmarkStart w:id="11" w:name="_Toc313893526"/>
      <w:bookmarkStart w:id="12" w:name="_Toc317775175"/>
      <w:bookmarkStart w:id="13" w:name="_Toc26091"/>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乌江杨家堡、倒杠碛滩航道维护性疏浚施工图设计</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10.00</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106034771"/>
      <w:bookmarkStart w:id="16" w:name="_Toc65660331"/>
      <w:bookmarkStart w:id="17" w:name="_Toc3256"/>
      <w:bookmarkStart w:id="18" w:name="_Toc4424"/>
      <w:bookmarkStart w:id="19" w:name="_Toc27028"/>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10.00万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13541"/>
      <w:bookmarkStart w:id="23" w:name="_Toc64731996"/>
      <w:bookmarkStart w:id="24" w:name="_Toc106034772"/>
      <w:bookmarkStart w:id="25" w:name="_Toc18548"/>
      <w:bookmarkStart w:id="26" w:name="_Toc20867"/>
      <w:bookmarkStart w:id="27" w:name="_Toc65660332"/>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供应商具有工程设计综合甲级资质或者水运工程（航道工程）专业乙级及以上资质。</w:t>
      </w:r>
    </w:p>
    <w:p w14:paraId="462CA8A1">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1386"/>
      <w:bookmarkStart w:id="29" w:name="_Toc106034773"/>
      <w:bookmarkStart w:id="30" w:name="_Toc13903"/>
      <w:bookmarkStart w:id="31" w:name="_Toc65660333"/>
      <w:bookmarkStart w:id="32" w:name="_Toc11908"/>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10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15</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A699BF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16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15:00 </w:t>
      </w:r>
      <w:r>
        <w:rPr>
          <w:rFonts w:hint="eastAsia" w:ascii="方正仿宋_GBK" w:hAnsi="宋体" w:eastAsia="方正仿宋_GBK"/>
          <w:color w:val="auto"/>
          <w:sz w:val="24"/>
          <w:szCs w:val="24"/>
          <w:highlight w:val="none"/>
        </w:rPr>
        <w:t>至</w:t>
      </w:r>
      <w:r>
        <w:rPr>
          <w:rFonts w:hint="eastAsia" w:ascii="方正仿宋_GBK" w:hAnsi="宋体" w:eastAsia="方正仿宋_GBK"/>
          <w:color w:val="auto"/>
          <w:sz w:val="24"/>
          <w:szCs w:val="24"/>
          <w:highlight w:val="none"/>
          <w:lang w:val="en-US" w:eastAsia="zh-CN"/>
        </w:rPr>
        <w:t xml:space="preserve"> 15:30 </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16</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15:30 </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4728"/>
      <w:bookmarkStart w:id="34" w:name="_Toc16269"/>
      <w:bookmarkStart w:id="35" w:name="_Toc6563"/>
      <w:bookmarkStart w:id="36" w:name="_Toc65660336"/>
      <w:bookmarkStart w:id="37" w:name="_Toc106034776"/>
      <w:bookmarkStart w:id="38" w:name="_Toc525047163"/>
      <w:bookmarkStart w:id="39" w:name="_Toc521053055"/>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06034777"/>
      <w:bookmarkStart w:id="41" w:name="_Toc525047164"/>
      <w:bookmarkStart w:id="42" w:name="_Toc1552"/>
      <w:bookmarkStart w:id="43" w:name="_Toc10415"/>
      <w:bookmarkStart w:id="44" w:name="_Toc1733"/>
      <w:bookmarkStart w:id="45" w:name="_Toc521053056"/>
      <w:bookmarkStart w:id="46" w:name="_Toc65660337"/>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1DC97172">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有意向参与竞标的潜在投标人自行前往施工现场进行现场踏勘。</w:t>
      </w:r>
    </w:p>
    <w:p w14:paraId="3AC9E9F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14:paraId="4697BDF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036BFCC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潜在投标人踏勘现场发生的费用自理。</w:t>
      </w:r>
    </w:p>
    <w:p w14:paraId="160E2F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除采购人的原因外，潜在投标人自行负责在踏勘现场中所发生的人员伤亡和财产损失。</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对施工现场和对周边情况的了解等工作，踏勘现场所发生的费用由投标单位承担，而无论投标单位是否进行现场踏勘，均视为投标单位对施工现场各种情况及周边情况十分清楚，能对本项工作做出准确的判断。</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2698F73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w:t>
      </w:r>
      <w:bookmarkStart w:id="228" w:name="_GoBack"/>
      <w:bookmarkEnd w:id="228"/>
      <w:r>
        <w:rPr>
          <w:rFonts w:hint="eastAsia" w:ascii="方正仿宋_GBK" w:hAnsi="宋体" w:eastAsia="方正仿宋_GBK"/>
          <w:color w:val="auto"/>
          <w:sz w:val="24"/>
          <w:szCs w:val="24"/>
          <w:highlight w:val="none"/>
        </w:rPr>
        <w:t>建筑业大厦3楼</w:t>
      </w:r>
    </w:p>
    <w:p w14:paraId="1C0144B8">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14:paraId="0F463DBB">
      <w:pPr>
        <w:pStyle w:val="3"/>
        <w:spacing w:before="0" w:after="0" w:line="360" w:lineRule="auto"/>
        <w:jc w:val="center"/>
        <w:rPr>
          <w:rFonts w:hint="eastAsia"/>
          <w:b/>
          <w:color w:val="auto"/>
          <w:highlight w:val="none"/>
        </w:rPr>
      </w:pPr>
      <w:bookmarkStart w:id="47" w:name="_Toc65660338"/>
      <w:bookmarkStart w:id="48" w:name="_Toc1292"/>
      <w:bookmarkStart w:id="49" w:name="_Toc14516"/>
      <w:bookmarkStart w:id="50" w:name="_Toc11327"/>
      <w:bookmarkStart w:id="51" w:name="_Toc106034778"/>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val="0"/>
          <w:bCs/>
          <w:color w:val="auto"/>
          <w:highlight w:val="none"/>
        </w:rPr>
      </w:pPr>
      <w:bookmarkStart w:id="53" w:name="_Toc10723"/>
      <w:bookmarkStart w:id="54" w:name="_Toc11439"/>
      <w:bookmarkStart w:id="55" w:name="_Toc65660340"/>
      <w:bookmarkStart w:id="56" w:name="_Toc2119"/>
      <w:bookmarkStart w:id="57" w:name="_Toc106034780"/>
      <w:r>
        <w:rPr>
          <w:rFonts w:hint="eastAsia" w:ascii="仿宋" w:hAnsi="仿宋" w:eastAsia="仿宋" w:cs="仿宋"/>
          <w:b w:val="0"/>
          <w:bCs/>
          <w:color w:val="auto"/>
          <w:highlight w:val="none"/>
          <w:lang w:eastAsia="zh-CN"/>
        </w:rPr>
        <w:t>一、</w:t>
      </w:r>
      <w:r>
        <w:rPr>
          <w:rFonts w:hint="eastAsia" w:ascii="仿宋" w:hAnsi="仿宋" w:eastAsia="仿宋" w:cs="仿宋"/>
          <w:b w:val="0"/>
          <w:bCs/>
          <w:color w:val="auto"/>
          <w:highlight w:val="none"/>
        </w:rPr>
        <w:t>询价项目内容及要求一览表</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202"/>
        <w:gridCol w:w="4040"/>
        <w:gridCol w:w="1304"/>
      </w:tblGrid>
      <w:tr w14:paraId="2DA7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pct"/>
            <w:noWrap w:val="0"/>
            <w:vAlign w:val="center"/>
          </w:tcPr>
          <w:p w14:paraId="0CD43D37">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序号</w:t>
            </w:r>
          </w:p>
        </w:tc>
        <w:tc>
          <w:tcPr>
            <w:tcW w:w="1663" w:type="pct"/>
            <w:noWrap w:val="0"/>
            <w:vAlign w:val="center"/>
          </w:tcPr>
          <w:p w14:paraId="5B508E9B">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设计阶段</w:t>
            </w:r>
          </w:p>
        </w:tc>
        <w:tc>
          <w:tcPr>
            <w:tcW w:w="2098" w:type="pct"/>
            <w:noWrap w:val="0"/>
            <w:vAlign w:val="center"/>
          </w:tcPr>
          <w:p w14:paraId="562F9006">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工作内容</w:t>
            </w:r>
          </w:p>
        </w:tc>
        <w:tc>
          <w:tcPr>
            <w:tcW w:w="677" w:type="pct"/>
            <w:noWrap w:val="0"/>
            <w:vAlign w:val="center"/>
          </w:tcPr>
          <w:p w14:paraId="1809358F">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备注</w:t>
            </w:r>
          </w:p>
        </w:tc>
      </w:tr>
      <w:tr w14:paraId="6283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2" w:type="pct"/>
            <w:noWrap w:val="0"/>
            <w:vAlign w:val="center"/>
          </w:tcPr>
          <w:p w14:paraId="75EE00B3">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w:t>
            </w:r>
          </w:p>
        </w:tc>
        <w:tc>
          <w:tcPr>
            <w:tcW w:w="1663" w:type="pct"/>
            <w:noWrap w:val="0"/>
            <w:vAlign w:val="center"/>
          </w:tcPr>
          <w:p w14:paraId="6F28B0ED">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乌江杨家堡、倒杠碛滩航道维护性疏浚设计</w:t>
            </w:r>
          </w:p>
        </w:tc>
        <w:tc>
          <w:tcPr>
            <w:tcW w:w="2098" w:type="pct"/>
            <w:noWrap w:val="0"/>
            <w:vAlign w:val="center"/>
          </w:tcPr>
          <w:p w14:paraId="1F6988AB">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施工图设计、工程量清单</w:t>
            </w:r>
          </w:p>
        </w:tc>
        <w:tc>
          <w:tcPr>
            <w:tcW w:w="677" w:type="pct"/>
            <w:noWrap w:val="0"/>
            <w:vAlign w:val="center"/>
          </w:tcPr>
          <w:p w14:paraId="052BAE29">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r>
      <w:tr w14:paraId="3436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2" w:type="pct"/>
            <w:noWrap w:val="0"/>
            <w:vAlign w:val="center"/>
          </w:tcPr>
          <w:p w14:paraId="64FE379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w:t>
            </w:r>
          </w:p>
        </w:tc>
        <w:tc>
          <w:tcPr>
            <w:tcW w:w="1663" w:type="pct"/>
            <w:noWrap w:val="0"/>
            <w:vAlign w:val="center"/>
          </w:tcPr>
          <w:p w14:paraId="030126A9">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预算编制</w:t>
            </w:r>
          </w:p>
        </w:tc>
        <w:tc>
          <w:tcPr>
            <w:tcW w:w="2098" w:type="pct"/>
            <w:noWrap w:val="0"/>
            <w:vAlign w:val="center"/>
          </w:tcPr>
          <w:p w14:paraId="4A7A1D95">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总投资预算</w:t>
            </w:r>
          </w:p>
        </w:tc>
        <w:tc>
          <w:tcPr>
            <w:tcW w:w="677" w:type="pct"/>
            <w:noWrap w:val="0"/>
            <w:vAlign w:val="center"/>
          </w:tcPr>
          <w:p w14:paraId="2D4F2577">
            <w:pPr>
              <w:pageBreakBefore w:val="0"/>
              <w:widowControl w:val="0"/>
              <w:kinsoku/>
              <w:wordWrap/>
              <w:overflowPunct/>
              <w:topLinePunct w:val="0"/>
              <w:autoSpaceDE/>
              <w:autoSpaceDN/>
              <w:bidi w:val="0"/>
              <w:snapToGrid w:val="0"/>
              <w:spacing w:line="380" w:lineRule="exact"/>
              <w:jc w:val="center"/>
              <w:textAlignment w:val="auto"/>
              <w:rPr>
                <w:rFonts w:hint="eastAsia" w:ascii="仿宋_GB2312" w:hAnsi="宋体" w:eastAsia="仿宋_GB2312"/>
                <w:bCs/>
                <w:color w:val="auto"/>
                <w:sz w:val="28"/>
                <w:szCs w:val="28"/>
                <w:highlight w:val="none"/>
              </w:rPr>
            </w:pPr>
          </w:p>
        </w:tc>
      </w:tr>
    </w:tbl>
    <w:p w14:paraId="68BE63E2">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14:paraId="661E8F92">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lang w:eastAsia="zh-CN"/>
        </w:rPr>
      </w:pPr>
      <w:bookmarkStart w:id="58" w:name="_Toc106030880"/>
      <w:r>
        <w:rPr>
          <w:rFonts w:hint="eastAsia" w:ascii="仿宋" w:hAnsi="仿宋" w:eastAsia="仿宋" w:cs="仿宋"/>
          <w:b w:val="0"/>
          <w:bCs/>
          <w:color w:val="auto"/>
          <w:highlight w:val="none"/>
          <w:lang w:eastAsia="zh-CN"/>
        </w:rPr>
        <w:t>二、服务范围、要求</w:t>
      </w:r>
      <w:r>
        <w:rPr>
          <w:rFonts w:hint="eastAsia" w:ascii="仿宋_GB2312" w:hAnsi="宋体" w:eastAsia="仿宋_GB2312"/>
          <w:bCs/>
          <w:color w:val="auto"/>
          <w:sz w:val="28"/>
          <w:szCs w:val="28"/>
          <w:highlight w:val="none"/>
          <w:lang w:eastAsia="zh-CN"/>
        </w:rPr>
        <w:t>及标准</w:t>
      </w:r>
      <w:bookmarkEnd w:id="58"/>
    </w:p>
    <w:p w14:paraId="0C32B58C">
      <w:pPr>
        <w:pageBreakBefore w:val="0"/>
        <w:widowControl w:val="0"/>
        <w:kinsoku/>
        <w:wordWrap/>
        <w:overflowPunct/>
        <w:topLinePunct w:val="0"/>
        <w:autoSpaceDE/>
        <w:autoSpaceDN/>
        <w:bidi w:val="0"/>
        <w:snapToGrid w:val="0"/>
        <w:spacing w:line="380" w:lineRule="exact"/>
        <w:ind w:firstLine="560" w:firstLineChars="200"/>
        <w:textAlignment w:val="auto"/>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lang w:eastAsia="zh-CN"/>
        </w:rPr>
        <w:t>成交供应商</w:t>
      </w:r>
      <w:r>
        <w:rPr>
          <w:rFonts w:hint="eastAsia" w:ascii="仿宋_GB2312" w:hAnsi="宋体" w:eastAsia="仿宋_GB2312"/>
          <w:bCs/>
          <w:color w:val="auto"/>
          <w:sz w:val="28"/>
          <w:szCs w:val="28"/>
          <w:highlight w:val="none"/>
        </w:rPr>
        <w:t>须对项目要求的内容进行设计，</w:t>
      </w:r>
      <w:r>
        <w:rPr>
          <w:rFonts w:hint="eastAsia" w:ascii="仿宋_GB2312" w:hAnsi="宋体" w:eastAsia="仿宋_GB2312"/>
          <w:bCs/>
          <w:color w:val="auto"/>
          <w:sz w:val="28"/>
          <w:szCs w:val="28"/>
          <w:highlight w:val="none"/>
          <w:lang w:eastAsia="zh-CN"/>
        </w:rPr>
        <w:t>并</w:t>
      </w:r>
      <w:r>
        <w:rPr>
          <w:rFonts w:hint="eastAsia" w:ascii="仿宋_GB2312" w:hAnsi="宋体" w:eastAsia="仿宋_GB2312"/>
          <w:color w:val="auto"/>
          <w:sz w:val="28"/>
          <w:szCs w:val="28"/>
          <w:highlight w:val="none"/>
        </w:rPr>
        <w:t>满足相关标准规范的要求</w:t>
      </w:r>
      <w:r>
        <w:rPr>
          <w:rFonts w:hint="eastAsia" w:ascii="仿宋_GB2312" w:hAnsi="宋体" w:eastAsia="仿宋_GB2312"/>
          <w:color w:val="auto"/>
          <w:sz w:val="28"/>
          <w:szCs w:val="28"/>
          <w:highlight w:val="none"/>
          <w:lang w:eastAsia="zh-CN"/>
        </w:rPr>
        <w:t>。</w:t>
      </w:r>
      <w:r>
        <w:rPr>
          <w:rFonts w:hint="eastAsia" w:ascii="仿宋_GB2312" w:hAnsi="宋体" w:eastAsia="仿宋_GB2312"/>
          <w:bCs/>
          <w:color w:val="auto"/>
          <w:sz w:val="28"/>
          <w:szCs w:val="28"/>
          <w:highlight w:val="none"/>
        </w:rPr>
        <w:t>设计成果包括：设计方案、清单、预算等。设计完成后将电子版及纸质版交采购人，后期施工期间成交供应商须进行设计交底，并提供设计答疑等服务</w:t>
      </w:r>
      <w:r>
        <w:rPr>
          <w:rFonts w:hint="eastAsia" w:ascii="仿宋_GB2312" w:hAnsi="宋体" w:eastAsia="仿宋_GB2312"/>
          <w:bCs/>
          <w:color w:val="auto"/>
          <w:sz w:val="28"/>
          <w:szCs w:val="28"/>
          <w:highlight w:val="none"/>
          <w:lang w:eastAsia="zh-CN"/>
        </w:rPr>
        <w:t>。</w:t>
      </w:r>
    </w:p>
    <w:p w14:paraId="414BDF27">
      <w:pPr>
        <w:pageBreakBefore w:val="0"/>
        <w:widowControl w:val="0"/>
        <w:kinsoku/>
        <w:wordWrap/>
        <w:overflowPunct/>
        <w:topLinePunct w:val="0"/>
        <w:autoSpaceDE/>
        <w:autoSpaceDN/>
        <w:bidi w:val="0"/>
        <w:snapToGrid w:val="0"/>
        <w:spacing w:line="380" w:lineRule="exact"/>
        <w:ind w:firstLine="420" w:firstLineChars="150"/>
        <w:textAlignment w:val="auto"/>
        <w:rPr>
          <w:rFonts w:hint="eastAsia" w:ascii="仿宋_GB2312" w:hAnsi="宋体" w:eastAsia="仿宋_GB2312"/>
          <w:bCs/>
          <w:color w:val="auto"/>
          <w:sz w:val="28"/>
          <w:szCs w:val="28"/>
          <w:highlight w:val="none"/>
        </w:rPr>
      </w:pPr>
    </w:p>
    <w:bookmarkEnd w:id="53"/>
    <w:bookmarkEnd w:id="54"/>
    <w:bookmarkEnd w:id="55"/>
    <w:bookmarkEnd w:id="56"/>
    <w:bookmarkEnd w:id="57"/>
    <w:p w14:paraId="7703E419">
      <w:pPr>
        <w:numPr>
          <w:ilvl w:val="0"/>
          <w:numId w:val="13"/>
        </w:numPr>
        <w:rPr>
          <w:rFonts w:hint="eastAsia" w:ascii="方正小标宋_GBK" w:eastAsia="方正小标宋_GBK"/>
          <w:b w:val="0"/>
          <w:color w:val="auto"/>
          <w:sz w:val="36"/>
          <w:szCs w:val="30"/>
          <w:highlight w:val="none"/>
        </w:rPr>
      </w:pPr>
      <w:bookmarkStart w:id="59" w:name="_Toc523"/>
      <w:bookmarkStart w:id="60" w:name="_Toc13356"/>
      <w:bookmarkStart w:id="61" w:name="_Toc65660341"/>
      <w:bookmarkStart w:id="62" w:name="_Toc15492"/>
      <w:bookmarkStart w:id="63" w:name="_Toc106034781"/>
      <w:r>
        <w:rPr>
          <w:rFonts w:hint="eastAsia" w:ascii="方正小标宋_GBK" w:eastAsia="方正小标宋_GBK"/>
          <w:b w:val="0"/>
          <w:color w:val="auto"/>
          <w:sz w:val="36"/>
          <w:szCs w:val="30"/>
          <w:highlight w:val="none"/>
        </w:rPr>
        <w:br w:type="page"/>
      </w:r>
    </w:p>
    <w:p w14:paraId="1E5A24F1">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14:paraId="1CC70962">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4" w:name="_Toc65660342"/>
      <w:bookmarkStart w:id="65" w:name="_Toc13555"/>
      <w:bookmarkStart w:id="66" w:name="_Toc106034782"/>
      <w:bookmarkStart w:id="67" w:name="_Toc17750"/>
      <w:bookmarkStart w:id="68" w:name="_Toc1293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服务期</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服务</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服务时间</w:t>
      </w:r>
      <w:r>
        <w:rPr>
          <w:rFonts w:hint="eastAsia" w:ascii="方正仿宋_GBK" w:hAnsi="宋体" w:eastAsia="方正仿宋_GBK"/>
          <w:color w:val="auto"/>
          <w:sz w:val="24"/>
          <w:szCs w:val="24"/>
          <w:highlight w:val="none"/>
        </w:rPr>
        <w:t>：本项目服务期自合同签订之日起</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0日历日内实施完成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并提交成果资料。</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地点：乌江杨家堡、倒杠碛滩。</w:t>
      </w:r>
      <w:bookmarkStart w:id="70" w:name="_Toc122"/>
      <w:bookmarkStart w:id="71" w:name="_Toc106034784"/>
      <w:bookmarkStart w:id="72" w:name="_Toc65660344"/>
      <w:bookmarkStart w:id="73" w:name="_Toc16974"/>
      <w:bookmarkStart w:id="74" w:name="_Toc12184"/>
    </w:p>
    <w:p w14:paraId="558526F6">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（三）验收方式：项目成果需经专家审查验收通过。</w:t>
      </w:r>
    </w:p>
    <w:p w14:paraId="3E27EDF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本次项目为总价包干，参加报价的单位应根据本项目的工作范围和内容，参照国家有关规定自主报价。报价应包括完成报价文件所确定的范围和工作所需的全部费用。</w:t>
      </w:r>
    </w:p>
    <w:p w14:paraId="77EEEF7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5" w:name="_Toc65660345"/>
      <w:bookmarkStart w:id="76" w:name="_Toc106034785"/>
      <w:bookmarkStart w:id="77" w:name="_Toc11000"/>
      <w:bookmarkStart w:id="78" w:name="_Toc9192"/>
      <w:bookmarkStart w:id="79" w:name="_Toc7562"/>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3786"/>
      <w:bookmarkStart w:id="81" w:name="_Toc106034786"/>
      <w:bookmarkStart w:id="82" w:name="_Toc65660346"/>
      <w:bookmarkStart w:id="83" w:name="_Toc7228"/>
      <w:bookmarkStart w:id="84" w:name="_Toc24751"/>
      <w:r>
        <w:rPr>
          <w:rFonts w:hint="eastAsia" w:ascii="方正仿宋_GBK" w:hAnsi="方正仿宋_GBK" w:eastAsia="方正仿宋_GBK" w:cs="方正仿宋_GBK"/>
          <w:b w:val="0"/>
          <w:color w:val="auto"/>
          <w:kern w:val="0"/>
          <w:sz w:val="24"/>
          <w:szCs w:val="24"/>
          <w:highlight w:val="none"/>
          <w:lang w:val="en-US" w:eastAsia="zh-CN" w:bidi="ar-SA"/>
        </w:rPr>
        <w:t>项目完成经采购人验收合格后，成交供应商提供正式发票，采购人于10个工作日内一次付清所有费用。</w:t>
      </w:r>
    </w:p>
    <w:p w14:paraId="3746984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80"/>
      <w:bookmarkEnd w:id="81"/>
      <w:bookmarkEnd w:id="82"/>
      <w:bookmarkEnd w:id="83"/>
      <w:bookmarkEnd w:id="84"/>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7729EF83">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85" w:name="_Toc18104"/>
      <w:bookmarkStart w:id="86" w:name="_Toc108013105"/>
      <w:bookmarkStart w:id="87" w:name="_Toc31910"/>
      <w:bookmarkStart w:id="88" w:name="_Toc25707"/>
      <w:bookmarkStart w:id="89" w:name="_Toc19427"/>
      <w:bookmarkStart w:id="90" w:name="_Toc947"/>
      <w:bookmarkStart w:id="91" w:name="_Toc466546918"/>
      <w:bookmarkStart w:id="92" w:name="_Toc2954"/>
      <w:bookmarkStart w:id="93" w:name="_Toc31659"/>
      <w:bookmarkStart w:id="94" w:name="_Toc23902"/>
      <w:bookmarkStart w:id="95" w:name="_Toc21248"/>
      <w:bookmarkStart w:id="96" w:name="_Toc65660348"/>
      <w:bookmarkStart w:id="97" w:name="_Toc106034788"/>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14:paraId="7BAC1AC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5AE8EF8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1、由于成交供应商原因导致项目超出约定工期的，每迟交一天,按1000元/日扣除成交供应商违约金。累计违约金上限为签约合同价的10%。</w:t>
      </w:r>
    </w:p>
    <w:p w14:paraId="5D9B1022">
      <w:pPr>
        <w:ind w:firstLine="480" w:firstLineChars="200"/>
        <w:rPr>
          <w:rFonts w:hint="default"/>
          <w:color w:val="auto"/>
          <w:highlight w:val="none"/>
          <w:lang w:val="en-US" w:eastAsia="zh-CN"/>
        </w:rPr>
      </w:pPr>
      <w:r>
        <w:rPr>
          <w:rFonts w:hint="eastAsia" w:ascii="方正仿宋_GBK" w:hAnsi="宋体" w:eastAsia="方正仿宋_GBK"/>
          <w:b w:val="0"/>
          <w:bCs/>
          <w:color w:val="auto"/>
          <w:sz w:val="24"/>
          <w:highlight w:val="none"/>
          <w:lang w:val="en-US" w:eastAsia="zh-CN"/>
        </w:rPr>
        <w:t>2、成交供应商逾期满【30】日仍未完成项目，采购人有权解除合同，成交供应商应赔偿给采购人造成的损失，并自行承担相关费用。</w:t>
      </w:r>
    </w:p>
    <w:p w14:paraId="0FEF9125">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rPr>
        <w:t>、其他</w:t>
      </w:r>
      <w:bookmarkEnd w:id="93"/>
      <w:bookmarkEnd w:id="94"/>
      <w:bookmarkEnd w:id="95"/>
      <w:bookmarkEnd w:id="96"/>
      <w:bookmarkEnd w:id="97"/>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24195"/>
      <w:bookmarkStart w:id="100" w:name="_Toc65660349"/>
      <w:bookmarkStart w:id="101" w:name="_Toc106034789"/>
      <w:bookmarkStart w:id="102" w:name="_Toc16123"/>
      <w:bookmarkStart w:id="103" w:name="_Toc31282"/>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14:paraId="2EF2FE9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5167"/>
      <w:bookmarkStart w:id="105" w:name="_Toc9361"/>
      <w:bookmarkStart w:id="106" w:name="_Toc106034790"/>
      <w:bookmarkStart w:id="107" w:name="_Toc27932"/>
      <w:bookmarkStart w:id="108" w:name="_Toc64732012"/>
      <w:bookmarkStart w:id="109" w:name="_Toc6566035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0" w:name="_Toc11713"/>
      <w:bookmarkStart w:id="111" w:name="_Toc30639"/>
      <w:bookmarkStart w:id="112" w:name="_Toc64732013"/>
      <w:bookmarkStart w:id="113" w:name="_Toc106034791"/>
      <w:bookmarkStart w:id="114" w:name="_Toc5149"/>
      <w:bookmarkStart w:id="115" w:name="_Toc6566035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6" w:name="_Toc12644"/>
      <w:bookmarkStart w:id="117" w:name="_Toc65660352"/>
      <w:bookmarkStart w:id="118" w:name="_Toc29113"/>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1" w:name="_Toc65660353"/>
      <w:bookmarkStart w:id="122" w:name="_Toc28422"/>
      <w:bookmarkStart w:id="123" w:name="_Toc22716"/>
      <w:bookmarkStart w:id="124" w:name="_Toc29298"/>
      <w:bookmarkStart w:id="125" w:name="_Toc106034793"/>
      <w:r>
        <w:rPr>
          <w:rFonts w:hint="eastAsia" w:ascii="方正仿宋_GBK" w:hAnsi="宋体" w:eastAsia="方正仿宋_GBK"/>
          <w:color w:val="auto"/>
          <w:sz w:val="24"/>
          <w:highlight w:val="none"/>
        </w:rPr>
        <w:t>四、采购终止</w:t>
      </w:r>
      <w:bookmarkEnd w:id="121"/>
      <w:bookmarkEnd w:id="122"/>
      <w:bookmarkEnd w:id="123"/>
      <w:bookmarkEnd w:id="124"/>
      <w:bookmarkEnd w:id="125"/>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768"/>
      <w:bookmarkStart w:id="127" w:name="_Toc106034794"/>
      <w:bookmarkStart w:id="128" w:name="_Toc20055"/>
      <w:bookmarkStart w:id="129" w:name="_Toc65660354"/>
      <w:bookmarkStart w:id="130" w:name="_Toc8916"/>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14:paraId="40AA5EF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16524"/>
      <w:bookmarkStart w:id="132" w:name="_Toc2864"/>
      <w:bookmarkStart w:id="133" w:name="_Toc106034795"/>
      <w:bookmarkStart w:id="134" w:name="_Toc65660355"/>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14:paraId="317ACC0C">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6" w:name="_Toc31739"/>
      <w:bookmarkStart w:id="137" w:name="_Toc31070"/>
      <w:bookmarkStart w:id="138" w:name="_Toc65660356"/>
      <w:bookmarkStart w:id="139" w:name="_Toc5915"/>
      <w:bookmarkStart w:id="140" w:name="_Toc106034796"/>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1" w:name="_Toc65660357"/>
      <w:bookmarkStart w:id="142" w:name="_Toc106034797"/>
      <w:bookmarkStart w:id="143" w:name="_Toc3061"/>
      <w:bookmarkStart w:id="144" w:name="_Toc1922"/>
      <w:bookmarkStart w:id="145" w:name="_Toc9532"/>
      <w:r>
        <w:rPr>
          <w:rFonts w:hint="eastAsia" w:ascii="方正仿宋_GBK" w:hAnsi="宋体" w:eastAsia="方正仿宋_GBK"/>
          <w:color w:val="auto"/>
          <w:sz w:val="24"/>
          <w:highlight w:val="none"/>
        </w:rPr>
        <w:t>三、报价要求</w:t>
      </w:r>
      <w:bookmarkEnd w:id="141"/>
      <w:bookmarkEnd w:id="142"/>
      <w:bookmarkEnd w:id="143"/>
      <w:bookmarkEnd w:id="144"/>
      <w:bookmarkEnd w:id="145"/>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6" w:name="_Toc106034798"/>
      <w:bookmarkStart w:id="147" w:name="_Toc14702"/>
      <w:bookmarkStart w:id="148" w:name="_Toc65660358"/>
      <w:bookmarkStart w:id="149" w:name="_Toc10172"/>
      <w:bookmarkStart w:id="150" w:name="_Toc624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1" w:name="_Toc1092"/>
      <w:bookmarkStart w:id="152" w:name="_Toc106034799"/>
      <w:bookmarkStart w:id="153" w:name="_Toc65660359"/>
      <w:bookmarkStart w:id="154" w:name="_Toc10504"/>
      <w:bookmarkStart w:id="155" w:name="_Toc29821"/>
      <w:r>
        <w:rPr>
          <w:rFonts w:hint="eastAsia" w:ascii="方正仿宋_GBK" w:hAnsi="宋体" w:eastAsia="方正仿宋_GBK"/>
          <w:color w:val="auto"/>
          <w:sz w:val="24"/>
          <w:highlight w:val="none"/>
        </w:rPr>
        <w:t>五、成交通知</w:t>
      </w:r>
      <w:bookmarkEnd w:id="151"/>
      <w:bookmarkEnd w:id="152"/>
      <w:bookmarkEnd w:id="153"/>
      <w:bookmarkEnd w:id="154"/>
      <w:bookmarkEnd w:id="155"/>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6" w:name="_Toc31082"/>
      <w:bookmarkStart w:id="157" w:name="_Toc106034800"/>
      <w:bookmarkStart w:id="158" w:name="_Toc1010"/>
      <w:bookmarkStart w:id="159" w:name="_Toc65660360"/>
      <w:bookmarkStart w:id="160" w:name="_Toc30909"/>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1" w:name="_Toc23778"/>
      <w:bookmarkStart w:id="162" w:name="_Toc65660361"/>
      <w:bookmarkStart w:id="163" w:name="_Toc3127"/>
      <w:bookmarkStart w:id="164" w:name="_Toc106034801"/>
      <w:bookmarkStart w:id="165" w:name="_Toc16648"/>
      <w:r>
        <w:rPr>
          <w:rFonts w:hint="eastAsia" w:ascii="方正仿宋_GBK" w:hAnsi="宋体" w:eastAsia="方正仿宋_GBK"/>
          <w:color w:val="auto"/>
          <w:sz w:val="24"/>
          <w:highlight w:val="none"/>
        </w:rPr>
        <w:t>七、签订合同</w:t>
      </w:r>
      <w:bookmarkEnd w:id="161"/>
      <w:bookmarkEnd w:id="162"/>
      <w:bookmarkEnd w:id="163"/>
      <w:bookmarkEnd w:id="164"/>
      <w:bookmarkEnd w:id="165"/>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8" w:name="_Toc2438"/>
      <w:bookmarkStart w:id="169" w:name="_Toc106034803"/>
      <w:bookmarkStart w:id="170" w:name="_Toc32594"/>
      <w:bookmarkStart w:id="171" w:name="_Toc29513"/>
      <w:bookmarkStart w:id="172" w:name="_Toc65660362"/>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0F537BB7">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3" w:name="_Toc12789059"/>
      <w:bookmarkStart w:id="174" w:name="_Toc11641055"/>
      <w:bookmarkStart w:id="175" w:name="_Toc14861"/>
      <w:bookmarkStart w:id="176" w:name="_Toc28162"/>
      <w:bookmarkStart w:id="177" w:name="_Toc65660365"/>
      <w:bookmarkStart w:id="178" w:name="_Toc106034806"/>
      <w:bookmarkStart w:id="179" w:name="_Toc10599"/>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14:paraId="7920E94B">
      <w:pPr>
        <w:spacing w:line="400" w:lineRule="exact"/>
        <w:ind w:right="12" w:firstLine="480"/>
        <w:rPr>
          <w:rFonts w:hint="eastAsia" w:ascii="方正仿宋_GBK" w:hAnsi="仿宋" w:eastAsia="方正仿宋_GBK" w:cs="仿宋"/>
          <w:color w:val="auto"/>
          <w:sz w:val="24"/>
          <w:highlight w:val="none"/>
        </w:rPr>
      </w:pPr>
    </w:p>
    <w:p w14:paraId="7B1C770F">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64B679D4">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2789072"/>
      <w:bookmarkStart w:id="184" w:name="_Toc6968"/>
      <w:bookmarkStart w:id="185" w:name="_Toc65660378"/>
      <w:bookmarkStart w:id="186" w:name="_Toc9538"/>
      <w:bookmarkStart w:id="187" w:name="_Toc106034807"/>
      <w:bookmarkStart w:id="188" w:name="_Toc18521"/>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603E4341">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89" w:name="_Toc106034808"/>
      <w:bookmarkStart w:id="190" w:name="_Toc342913419"/>
      <w:bookmarkStart w:id="191" w:name="_Toc14244"/>
      <w:bookmarkStart w:id="192" w:name="_Toc65660379"/>
      <w:bookmarkStart w:id="193" w:name="_Toc26343"/>
      <w:bookmarkStart w:id="194" w:name="_Toc30982"/>
      <w:bookmarkStart w:id="195" w:name="_Toc313008356"/>
      <w:bookmarkStart w:id="196" w:name="_Toc313888360"/>
      <w:bookmarkStart w:id="197" w:name="_Toc12789073"/>
      <w:bookmarkStart w:id="198" w:name="_Toc283382454"/>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542B2757">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106034809"/>
      <w:bookmarkStart w:id="200" w:name="_Toc313008357"/>
      <w:bookmarkStart w:id="201" w:name="_Toc65660380"/>
      <w:bookmarkStart w:id="202" w:name="_Toc14073"/>
      <w:bookmarkStart w:id="203" w:name="_Toc313888361"/>
      <w:bookmarkStart w:id="204" w:name="_Toc26085"/>
      <w:bookmarkStart w:id="205" w:name="_Toc342913420"/>
      <w:bookmarkStart w:id="206" w:name="_Toc22655"/>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27717"/>
      <w:bookmarkStart w:id="208" w:name="_Toc32158"/>
      <w:bookmarkStart w:id="209" w:name="_Toc65660381"/>
      <w:bookmarkStart w:id="210" w:name="_Toc32339"/>
      <w:bookmarkStart w:id="211" w:name="_Toc106034810"/>
      <w:bookmarkStart w:id="212" w:name="_Toc313888362"/>
      <w:bookmarkStart w:id="213" w:name="_Toc313008358"/>
      <w:bookmarkStart w:id="214"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21793"/>
      <w:bookmarkStart w:id="216" w:name="_Toc2082"/>
      <w:bookmarkStart w:id="217" w:name="_Toc20162"/>
      <w:bookmarkStart w:id="218" w:name="_Toc106034811"/>
      <w:bookmarkStart w:id="219" w:name="_Toc65660382"/>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008359"/>
      <w:bookmarkStart w:id="221" w:name="_Toc313888363"/>
      <w:bookmarkStart w:id="222" w:name="_Toc342913422"/>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15815"/>
      <w:bookmarkStart w:id="224" w:name="_Toc17010"/>
      <w:bookmarkStart w:id="225" w:name="_Toc106034812"/>
      <w:bookmarkStart w:id="226" w:name="_Toc2080"/>
      <w:bookmarkStart w:id="227" w:name="_Toc65660383"/>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0"/>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multilevel"/>
    <w:tmpl w:val="00000010"/>
    <w:lvl w:ilvl="0" w:tentative="0">
      <w:start w:val="1"/>
      <w:numFmt w:val="bullet"/>
      <w:pStyle w:val="224"/>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09"/>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ABC91A8"/>
    <w:multiLevelType w:val="singleLevel"/>
    <w:tmpl w:val="0ABC91A8"/>
    <w:lvl w:ilvl="0" w:tentative="0">
      <w:start w:val="7"/>
      <w:numFmt w:val="chineseCounting"/>
      <w:suff w:val="space"/>
      <w:lvlText w:val="第%1篇"/>
      <w:lvlJc w:val="left"/>
      <w:rPr>
        <w:rFonts w:hint="eastAsia"/>
      </w:rPr>
    </w:lvl>
  </w:abstractNum>
  <w:abstractNum w:abstractNumId="13">
    <w:nsid w:val="1E78CE89"/>
    <w:multiLevelType w:val="singleLevel"/>
    <w:tmpl w:val="1E78CE89"/>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zI2Mjk3ZjU1MGI1MTE5ODVkYTdkYmY2OGQ1NDYifQ=="/>
  </w:docVars>
  <w:rsids>
    <w:rsidRoot w:val="571B0A9E"/>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A92009"/>
    <w:rsid w:val="129675E6"/>
    <w:rsid w:val="12D62551"/>
    <w:rsid w:val="12FD1B01"/>
    <w:rsid w:val="13763F01"/>
    <w:rsid w:val="14F05E88"/>
    <w:rsid w:val="15166C71"/>
    <w:rsid w:val="15C1696D"/>
    <w:rsid w:val="189E1594"/>
    <w:rsid w:val="18CD17F5"/>
    <w:rsid w:val="1A451F15"/>
    <w:rsid w:val="1B586C8A"/>
    <w:rsid w:val="1B6E01C3"/>
    <w:rsid w:val="1B893826"/>
    <w:rsid w:val="1BA4182E"/>
    <w:rsid w:val="1BD27C4D"/>
    <w:rsid w:val="1C746C70"/>
    <w:rsid w:val="1DF1193F"/>
    <w:rsid w:val="1E85324A"/>
    <w:rsid w:val="1ED03CC7"/>
    <w:rsid w:val="1ED8781E"/>
    <w:rsid w:val="21E738ED"/>
    <w:rsid w:val="22511DC1"/>
    <w:rsid w:val="245B32B8"/>
    <w:rsid w:val="25F15DB5"/>
    <w:rsid w:val="266A7FA7"/>
    <w:rsid w:val="27973775"/>
    <w:rsid w:val="28356835"/>
    <w:rsid w:val="29560760"/>
    <w:rsid w:val="2B286BC5"/>
    <w:rsid w:val="2B54022C"/>
    <w:rsid w:val="2B8B67B8"/>
    <w:rsid w:val="2C2D2523"/>
    <w:rsid w:val="2D894CF1"/>
    <w:rsid w:val="2E6A2F43"/>
    <w:rsid w:val="2F57706B"/>
    <w:rsid w:val="3023022E"/>
    <w:rsid w:val="34833930"/>
    <w:rsid w:val="34B2624E"/>
    <w:rsid w:val="35B90999"/>
    <w:rsid w:val="36EA2EF3"/>
    <w:rsid w:val="3A9E5DDE"/>
    <w:rsid w:val="3B0D2CD2"/>
    <w:rsid w:val="3BA164F8"/>
    <w:rsid w:val="3BBF0000"/>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1BB25F2"/>
    <w:rsid w:val="52F460A0"/>
    <w:rsid w:val="52F61984"/>
    <w:rsid w:val="531E68CD"/>
    <w:rsid w:val="534722A1"/>
    <w:rsid w:val="53AB142E"/>
    <w:rsid w:val="54503607"/>
    <w:rsid w:val="545C6AF1"/>
    <w:rsid w:val="571B0A9E"/>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6F965E72"/>
    <w:rsid w:val="70052E70"/>
    <w:rsid w:val="72026C0C"/>
    <w:rsid w:val="721C3F61"/>
    <w:rsid w:val="731A30D6"/>
    <w:rsid w:val="73D2575F"/>
    <w:rsid w:val="741017A0"/>
    <w:rsid w:val="75123F8E"/>
    <w:rsid w:val="776668EA"/>
    <w:rsid w:val="789E5CA1"/>
    <w:rsid w:val="7904192A"/>
    <w:rsid w:val="795F1843"/>
    <w:rsid w:val="79CD4727"/>
    <w:rsid w:val="7A57740B"/>
    <w:rsid w:val="7BDE3C4E"/>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4"/>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76"/>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paragraph" w:customStyle="1" w:styleId="66">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autoRedefine/>
    <w:qFormat/>
    <w:uiPriority w:val="0"/>
    <w:rPr>
      <w:rFonts w:ascii="Arial" w:hAnsi="Arial" w:eastAsia="黑体"/>
      <w:b/>
      <w:kern w:val="2"/>
      <w:sz w:val="32"/>
    </w:rPr>
  </w:style>
  <w:style w:type="character" w:customStyle="1" w:styleId="68">
    <w:name w:val="标题 3 Char"/>
    <w:link w:val="4"/>
    <w:autoRedefine/>
    <w:qFormat/>
    <w:uiPriority w:val="0"/>
    <w:rPr>
      <w:rFonts w:eastAsia="宋体"/>
      <w:b/>
      <w:kern w:val="2"/>
      <w:sz w:val="32"/>
      <w:lang w:val="en-US" w:eastAsia="zh-CN"/>
    </w:rPr>
  </w:style>
  <w:style w:type="character" w:customStyle="1" w:styleId="69">
    <w:name w:val="批注文字 Char"/>
    <w:link w:val="19"/>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纯文本 Char"/>
    <w:link w:val="30"/>
    <w:autoRedefine/>
    <w:qFormat/>
    <w:uiPriority w:val="0"/>
    <w:rPr>
      <w:rFonts w:ascii="宋体" w:hAnsi="Courier New"/>
      <w:kern w:val="2"/>
      <w:sz w:val="21"/>
    </w:rPr>
  </w:style>
  <w:style w:type="character" w:customStyle="1" w:styleId="72">
    <w:name w:val="日期 Char"/>
    <w:link w:val="32"/>
    <w:autoRedefine/>
    <w:qFormat/>
    <w:uiPriority w:val="0"/>
    <w:rPr>
      <w:kern w:val="2"/>
      <w:sz w:val="28"/>
    </w:rPr>
  </w:style>
  <w:style w:type="character" w:customStyle="1" w:styleId="73">
    <w:name w:val="正文文本缩进 2 Char"/>
    <w:link w:val="33"/>
    <w:autoRedefine/>
    <w:qFormat/>
    <w:uiPriority w:val="0"/>
    <w:rPr>
      <w:kern w:val="2"/>
      <w:sz w:val="28"/>
    </w:rPr>
  </w:style>
  <w:style w:type="character" w:customStyle="1" w:styleId="74">
    <w:name w:val="脚注文本 Char"/>
    <w:link w:val="40"/>
    <w:autoRedefine/>
    <w:qFormat/>
    <w:uiPriority w:val="0"/>
    <w:rPr>
      <w:kern w:val="2"/>
      <w:sz w:val="18"/>
    </w:rPr>
  </w:style>
  <w:style w:type="character" w:customStyle="1" w:styleId="75">
    <w:name w:val="批注主题 Char"/>
    <w:link w:val="54"/>
    <w:autoRedefine/>
    <w:qFormat/>
    <w:uiPriority w:val="0"/>
  </w:style>
  <w:style w:type="character" w:customStyle="1" w:styleId="76">
    <w:name w:val="正文首行缩进 2 Char"/>
    <w:link w:val="56"/>
    <w:autoRedefine/>
    <w:qFormat/>
    <w:uiPriority w:val="0"/>
  </w:style>
  <w:style w:type="character" w:customStyle="1" w:styleId="77">
    <w:name w:val="content-white1"/>
    <w:autoRedefine/>
    <w:qFormat/>
    <w:uiPriority w:val="0"/>
    <w:rPr>
      <w:rFonts w:ascii="_x000B__x000C_" w:hAnsi="_x000B__x000C_"/>
      <w:color w:val="auto"/>
      <w:sz w:val="18"/>
      <w:u w:val="none"/>
    </w:rPr>
  </w:style>
  <w:style w:type="character" w:customStyle="1" w:styleId="78">
    <w:name w:val=" Char Char3"/>
    <w:autoRedefine/>
    <w:qFormat/>
    <w:uiPriority w:val="0"/>
    <w:rPr>
      <w:rFonts w:eastAsia="宋体"/>
      <w:kern w:val="2"/>
      <w:sz w:val="18"/>
      <w:lang w:val="en-US" w:eastAsia="zh-CN"/>
    </w:rPr>
  </w:style>
  <w:style w:type="character" w:customStyle="1" w:styleId="79">
    <w:name w:val="Table Text Char Char Char Char"/>
    <w:link w:val="80"/>
    <w:autoRedefine/>
    <w:qFormat/>
    <w:uiPriority w:val="0"/>
    <w:rPr>
      <w:rFonts w:ascii="Arial" w:hAnsi="Arial"/>
      <w:kern w:val="2"/>
      <w:sz w:val="18"/>
      <w:lang w:val="en-US" w:eastAsia="zh-CN" w:bidi="ar-SA"/>
    </w:rPr>
  </w:style>
  <w:style w:type="paragraph" w:customStyle="1" w:styleId="80">
    <w:name w:val="Table Text Char Char Char"/>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未命名11"/>
    <w:autoRedefine/>
    <w:qFormat/>
    <w:uiPriority w:val="0"/>
    <w:rPr>
      <w:color w:val="77FFFF"/>
      <w:sz w:val="24"/>
    </w:rPr>
  </w:style>
  <w:style w:type="character" w:customStyle="1" w:styleId="83">
    <w:name w:val="小 Char"/>
    <w:autoRedefine/>
    <w:qFormat/>
    <w:uiPriority w:val="0"/>
    <w:rPr>
      <w:rFonts w:ascii="宋体" w:hAnsi="Courier New" w:eastAsia="宋体"/>
      <w:kern w:val="2"/>
      <w:sz w:val="21"/>
      <w:lang w:val="en-US" w:eastAsia="zh-CN" w:bidi="ar-SA"/>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v151"/>
    <w:autoRedefine/>
    <w:qFormat/>
    <w:uiPriority w:val="0"/>
    <w:rPr>
      <w:sz w:val="18"/>
    </w:rPr>
  </w:style>
  <w:style w:type="character" w:customStyle="1" w:styleId="87">
    <w:name w:val=" Char Char2"/>
    <w:autoRedefine/>
    <w:qFormat/>
    <w:uiPriority w:val="0"/>
    <w:rPr>
      <w:rFonts w:eastAsia="宋体"/>
      <w:kern w:val="2"/>
      <w:sz w:val="18"/>
      <w:lang w:val="en-US" w:eastAsia="zh-CN"/>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 Char Char11"/>
    <w:autoRedefine/>
    <w:qFormat/>
    <w:uiPriority w:val="0"/>
    <w:rPr>
      <w:rFonts w:ascii="宋体"/>
      <w:kern w:val="2"/>
      <w:sz w:val="28"/>
    </w:rPr>
  </w:style>
  <w:style w:type="character" w:customStyle="1" w:styleId="92">
    <w:name w:val="样式 宋体"/>
    <w:autoRedefine/>
    <w:qFormat/>
    <w:uiPriority w:val="0"/>
    <w:rPr>
      <w:rFonts w:ascii="宋体" w:hAnsi="宋体" w:eastAsia="宋体"/>
      <w:sz w:val="28"/>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rowed11"/>
    <w:autoRedefine/>
    <w:qFormat/>
    <w:uiPriority w:val="0"/>
    <w:rPr>
      <w:rFonts w:hint="default" w:ascii="_x000B__x000C_" w:hAnsi="_x000B__x000C_"/>
      <w:sz w:val="24"/>
    </w:rPr>
  </w:style>
  <w:style w:type="character" w:customStyle="1" w:styleId="95">
    <w:name w:val="font1"/>
    <w:autoRedefine/>
    <w:qFormat/>
    <w:uiPriority w:val="0"/>
    <w:rPr>
      <w:color w:val="000000"/>
      <w:sz w:val="18"/>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 Char Char4"/>
    <w:autoRedefine/>
    <w:qFormat/>
    <w:uiPriority w:val="0"/>
    <w:rPr>
      <w:rFonts w:eastAsia="宋体"/>
      <w:b/>
      <w:kern w:val="2"/>
      <w:sz w:val="21"/>
      <w:lang w:val="en-US" w:eastAsia="zh-CN"/>
    </w:rPr>
  </w:style>
  <w:style w:type="character" w:customStyle="1" w:styleId="98">
    <w:name w:val="title_emph1"/>
    <w:autoRedefine/>
    <w:qFormat/>
    <w:uiPriority w:val="0"/>
    <w:rPr>
      <w:rFonts w:hint="default" w:ascii="Arial" w:hAnsi="Arial"/>
      <w:b/>
      <w:sz w:val="20"/>
    </w:rPr>
  </w:style>
  <w:style w:type="character" w:customStyle="1" w:styleId="99">
    <w:name w:val=" Char Char6"/>
    <w:autoRedefine/>
    <w:qFormat/>
    <w:uiPriority w:val="0"/>
    <w:rPr>
      <w:rFonts w:ascii="仿宋_GB2312" w:eastAsia="仿宋_GB2312"/>
      <w:kern w:val="2"/>
      <w:sz w:val="32"/>
    </w:rPr>
  </w:style>
  <w:style w:type="character" w:customStyle="1" w:styleId="100">
    <w:name w:val="top-det1"/>
    <w:autoRedefine/>
    <w:qFormat/>
    <w:uiPriority w:val="0"/>
    <w:rPr>
      <w:b/>
      <w:color w:val="000000"/>
    </w:rPr>
  </w:style>
  <w:style w:type="character" w:customStyle="1" w:styleId="101">
    <w:name w:val=" 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 Char Char"/>
    <w:autoRedefine/>
    <w:qFormat/>
    <w:uiPriority w:val="0"/>
    <w:rPr>
      <w:rFonts w:ascii="宋体" w:hAnsi="宋体" w:eastAsia="宋体"/>
      <w:kern w:val="2"/>
      <w:sz w:val="24"/>
      <w:lang w:val="en-US" w:eastAsia="zh-CN" w:bidi="ar-SA"/>
    </w:rPr>
  </w:style>
  <w:style w:type="paragraph" w:customStyle="1" w:styleId="105">
    <w:name w:val="IN Feature"/>
    <w:next w:val="10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autoRedefine/>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autoRedefine/>
    <w:qFormat/>
    <w:uiPriority w:val="0"/>
    <w:rPr>
      <w:rFonts w:ascii="Tahoma" w:hAnsi="Tahoma"/>
      <w:sz w:val="30"/>
    </w:rPr>
  </w:style>
  <w:style w:type="paragraph" w:customStyle="1" w:styleId="111">
    <w:name w:val="二级列表"/>
    <w:basedOn w:val="112"/>
    <w:next w:val="112"/>
    <w:autoRedefine/>
    <w:qFormat/>
    <w:uiPriority w:val="0"/>
    <w:pPr>
      <w:tabs>
        <w:tab w:val="left" w:pos="2120"/>
      </w:tabs>
      <w:ind w:firstLine="0" w:firstLineChars="0"/>
    </w:pPr>
    <w:rPr>
      <w:b/>
    </w:rPr>
  </w:style>
  <w:style w:type="paragraph" w:customStyle="1" w:styleId="112">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3">
    <w:name w:val="00"/>
    <w:basedOn w:val="1"/>
    <w:autoRedefine/>
    <w:qFormat/>
    <w:uiPriority w:val="0"/>
    <w:pPr>
      <w:autoSpaceDE w:val="0"/>
      <w:autoSpaceDN w:val="0"/>
      <w:adjustRightInd w:val="0"/>
      <w:jc w:val="left"/>
    </w:pPr>
    <w:rPr>
      <w:rFonts w:ascii="黑体" w:eastAsia="黑体"/>
      <w:b/>
      <w:kern w:val="0"/>
      <w:sz w:val="20"/>
    </w:rPr>
  </w:style>
  <w:style w:type="paragraph" w:customStyle="1" w:styleId="114">
    <w:name w:val="1.正文"/>
    <w:basedOn w:val="1"/>
    <w:autoRedefine/>
    <w:qFormat/>
    <w:uiPriority w:val="0"/>
    <w:pPr>
      <w:spacing w:line="360" w:lineRule="auto"/>
      <w:ind w:left="540" w:leftChars="225" w:firstLine="540" w:firstLineChars="225"/>
    </w:pPr>
    <w:rPr>
      <w:sz w:val="24"/>
    </w:rPr>
  </w:style>
  <w:style w:type="paragraph" w:customStyle="1" w:styleId="115">
    <w:name w:val="内容标题"/>
    <w:basedOn w:val="17"/>
    <w:autoRedefine/>
    <w:qFormat/>
    <w:uiPriority w:val="0"/>
    <w:rPr>
      <w:rFonts w:ascii="Tahoma" w:hAnsi="Tahoma"/>
      <w:sz w:val="24"/>
    </w:rPr>
  </w:style>
  <w:style w:type="paragraph" w:customStyle="1" w:styleId="11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autoRedefine/>
    <w:qFormat/>
    <w:uiPriority w:val="0"/>
    <w:pPr>
      <w:jc w:val="center"/>
    </w:pPr>
    <w:rPr>
      <w:b/>
      <w:bCs/>
    </w:rPr>
  </w:style>
  <w:style w:type="paragraph" w:customStyle="1" w:styleId="118">
    <w:name w:val="表格正文"/>
    <w:basedOn w:val="1"/>
    <w:autoRedefine/>
    <w:qFormat/>
    <w:uiPriority w:val="0"/>
    <w:rPr>
      <w:rFonts w:ascii="Calibri" w:hAnsi="Calibri" w:eastAsia="仿宋" w:cs="宋体"/>
      <w:sz w:val="24"/>
    </w:rPr>
  </w:style>
  <w:style w:type="paragraph" w:customStyle="1" w:styleId="119">
    <w:name w:val="正文1"/>
    <w:basedOn w:val="1"/>
    <w:autoRedefine/>
    <w:qFormat/>
    <w:uiPriority w:val="0"/>
    <w:pPr>
      <w:spacing w:line="300" w:lineRule="auto"/>
      <w:ind w:firstLine="200" w:firstLineChars="200"/>
    </w:pPr>
    <w:rPr>
      <w:sz w:val="24"/>
    </w:rPr>
  </w:style>
  <w:style w:type="paragraph" w:customStyle="1" w:styleId="12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autoRedefine/>
    <w:qFormat/>
    <w:uiPriority w:val="0"/>
    <w:pPr>
      <w:spacing w:before="240" w:beforeLines="0" w:beforeAutospacing="0" w:after="720" w:afterLines="0" w:afterAutospacing="0"/>
    </w:pPr>
    <w:rPr>
      <w:sz w:val="28"/>
    </w:rPr>
  </w:style>
  <w:style w:type="paragraph" w:customStyle="1" w:styleId="126">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autoRedefine/>
    <w:qFormat/>
    <w:uiPriority w:val="0"/>
    <w:rPr>
      <w:rFonts w:ascii="Tahoma" w:hAnsi="Tahoma"/>
      <w:sz w:val="24"/>
    </w:rPr>
  </w:style>
  <w:style w:type="paragraph" w:customStyle="1" w:styleId="129">
    <w:name w:val=" Char1"/>
    <w:basedOn w:val="1"/>
    <w:autoRedefine/>
    <w:qFormat/>
    <w:uiPriority w:val="0"/>
    <w:rPr>
      <w:sz w:val="21"/>
    </w:rPr>
  </w:style>
  <w:style w:type="paragraph" w:customStyle="1" w:styleId="13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autoRedefine/>
    <w:qFormat/>
    <w:uiPriority w:val="0"/>
    <w:pPr>
      <w:ind w:firstLine="480" w:firstLineChars="200"/>
    </w:pPr>
  </w:style>
  <w:style w:type="paragraph" w:customStyle="1" w:styleId="132">
    <w:name w:val="样式4"/>
    <w:basedOn w:val="5"/>
    <w:autoRedefine/>
    <w:qFormat/>
    <w:uiPriority w:val="0"/>
    <w:pPr>
      <w:adjustRightInd w:val="0"/>
      <w:snapToGrid w:val="0"/>
    </w:pPr>
  </w:style>
  <w:style w:type="paragraph" w:customStyle="1" w:styleId="133">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4">
    <w:name w:val="首行缩进 1"/>
    <w:basedOn w:val="1"/>
    <w:autoRedefine/>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autoRedefine/>
    <w:qFormat/>
    <w:uiPriority w:val="0"/>
    <w:pPr>
      <w:spacing w:line="360" w:lineRule="auto"/>
      <w:ind w:firstLine="420"/>
    </w:pPr>
    <w:rPr>
      <w:sz w:val="24"/>
    </w:rPr>
  </w:style>
  <w:style w:type="paragraph" w:customStyle="1" w:styleId="13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autoRedefine/>
    <w:qFormat/>
    <w:uiPriority w:val="0"/>
    <w:pPr>
      <w:spacing w:before="720" w:beforeLines="0" w:beforeAutospacing="0"/>
    </w:pPr>
  </w:style>
  <w:style w:type="paragraph" w:customStyle="1" w:styleId="14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autoRedefine/>
    <w:qFormat/>
    <w:uiPriority w:val="0"/>
    <w:rPr>
      <w:rFonts w:ascii="宋体" w:hAnsi="Courier New"/>
      <w:sz w:val="21"/>
    </w:rPr>
  </w:style>
  <w:style w:type="paragraph" w:customStyle="1" w:styleId="143">
    <w:name w:val="Table Contents"/>
    <w:basedOn w:val="22"/>
    <w:autoRedefine/>
    <w:qFormat/>
    <w:uiPriority w:val="0"/>
    <w:pPr>
      <w:suppressAutoHyphens/>
      <w:jc w:val="left"/>
    </w:pPr>
    <w:rPr>
      <w:rFonts w:ascii="Times New Roman" w:eastAsia="Times New Roman"/>
      <w:kern w:val="0"/>
      <w:sz w:val="24"/>
    </w:rPr>
  </w:style>
  <w:style w:type="paragraph" w:customStyle="1" w:styleId="144">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autoRedefine/>
    <w:qFormat/>
    <w:uiPriority w:val="0"/>
    <w:rPr>
      <w:rFonts w:ascii="宋体" w:hAnsi="Tahoma"/>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autoRedefine/>
    <w:qFormat/>
    <w:uiPriority w:val="0"/>
    <w:pPr>
      <w:ind w:left="840"/>
      <w:outlineLvl w:val="3"/>
    </w:pPr>
  </w:style>
  <w:style w:type="paragraph" w:customStyle="1" w:styleId="151">
    <w:name w:val="一级条标题"/>
    <w:basedOn w:val="152"/>
    <w:next w:val="153"/>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autoRedefine/>
    <w:qFormat/>
    <w:uiPriority w:val="0"/>
    <w:pPr>
      <w:spacing w:line="360" w:lineRule="auto"/>
    </w:pPr>
    <w:rPr>
      <w:rFonts w:eastAsia="黑体"/>
      <w:sz w:val="20"/>
    </w:rPr>
  </w:style>
  <w:style w:type="paragraph" w:customStyle="1" w:styleId="156">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7">
    <w:name w:val="表头文本"/>
    <w:autoRedefine/>
    <w:qFormat/>
    <w:uiPriority w:val="0"/>
    <w:pPr>
      <w:jc w:val="center"/>
    </w:pPr>
    <w:rPr>
      <w:rFonts w:ascii="Arial" w:hAnsi="Arial" w:eastAsia="宋体" w:cs="Times New Roman"/>
      <w:b/>
      <w:sz w:val="21"/>
      <w:lang w:val="en-US" w:eastAsia="zh-CN" w:bidi="ar-SA"/>
    </w:rPr>
  </w:style>
  <w:style w:type="paragraph" w:customStyle="1" w:styleId="158">
    <w:name w:val="_Style 157"/>
    <w:autoRedefine/>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autoRedefine/>
    <w:qFormat/>
    <w:uiPriority w:val="0"/>
    <w:pPr>
      <w:tabs>
        <w:tab w:val="left" w:pos="1050"/>
        <w:tab w:val="right" w:leader="dot" w:pos="8296"/>
      </w:tabs>
    </w:pPr>
    <w:rPr>
      <w:caps/>
      <w:spacing w:val="20"/>
      <w:sz w:val="24"/>
    </w:rPr>
  </w:style>
  <w:style w:type="paragraph" w:customStyle="1" w:styleId="168">
    <w:name w:val="样式 宋体 五号 行距: 单倍行距"/>
    <w:basedOn w:val="1"/>
    <w:autoRedefine/>
    <w:qFormat/>
    <w:uiPriority w:val="0"/>
    <w:pPr>
      <w:adjustRightInd w:val="0"/>
      <w:jc w:val="left"/>
    </w:pPr>
    <w:rPr>
      <w:rFonts w:ascii="宋体" w:hAnsi="宋体"/>
      <w:kern w:val="0"/>
      <w:sz w:val="21"/>
    </w:rPr>
  </w:style>
  <w:style w:type="paragraph" w:customStyle="1" w:styleId="169">
    <w:name w:val="图片文字"/>
    <w:basedOn w:val="1"/>
    <w:autoRedefine/>
    <w:qFormat/>
    <w:uiPriority w:val="0"/>
    <w:pPr>
      <w:spacing w:line="240" w:lineRule="atLeast"/>
      <w:jc w:val="center"/>
    </w:pPr>
    <w:rPr>
      <w:sz w:val="21"/>
    </w:rPr>
  </w:style>
  <w:style w:type="paragraph" w:customStyle="1" w:styleId="170">
    <w:name w:val="Char"/>
    <w:basedOn w:val="1"/>
    <w:autoRedefine/>
    <w:qFormat/>
    <w:uiPriority w:val="0"/>
    <w:pPr>
      <w:spacing w:line="240" w:lineRule="atLeast"/>
      <w:ind w:left="420" w:firstLine="420"/>
    </w:pPr>
    <w:rPr>
      <w:kern w:val="0"/>
      <w:sz w:val="21"/>
    </w:rPr>
  </w:style>
  <w:style w:type="paragraph" w:customStyle="1" w:styleId="171">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3">
    <w:name w:val=" Char"/>
    <w:basedOn w:val="1"/>
    <w:autoRedefine/>
    <w:qFormat/>
    <w:uiPriority w:val="0"/>
    <w:pPr>
      <w:spacing w:line="240" w:lineRule="atLeast"/>
      <w:ind w:left="420" w:firstLine="420"/>
    </w:pPr>
    <w:rPr>
      <w:kern w:val="0"/>
      <w:sz w:val="21"/>
    </w:rPr>
  </w:style>
  <w:style w:type="paragraph" w:customStyle="1" w:styleId="174">
    <w:name w:val=" Char Char Char"/>
    <w:basedOn w:val="1"/>
    <w:autoRedefine/>
    <w:qFormat/>
    <w:uiPriority w:val="0"/>
    <w:rPr>
      <w:rFonts w:ascii="Tahoma" w:hAnsi="Tahoma"/>
      <w:sz w:val="24"/>
    </w:rPr>
  </w:style>
  <w:style w:type="paragraph" w:customStyle="1" w:styleId="175">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autoRedefine/>
    <w:qFormat/>
    <w:uiPriority w:val="0"/>
    <w:pPr>
      <w:snapToGrid w:val="0"/>
      <w:spacing w:line="360" w:lineRule="auto"/>
      <w:ind w:firstLine="420"/>
    </w:pPr>
    <w:rPr>
      <w:sz w:val="24"/>
    </w:rPr>
  </w:style>
  <w:style w:type="paragraph" w:customStyle="1" w:styleId="177">
    <w:name w:val=" Char Char 字元 字元 字元 Char Char Char Char"/>
    <w:basedOn w:val="1"/>
    <w:autoRedefine/>
    <w:qFormat/>
    <w:uiPriority w:val="0"/>
    <w:pPr>
      <w:adjustRightInd w:val="0"/>
      <w:spacing w:line="360" w:lineRule="auto"/>
    </w:pPr>
    <w:rPr>
      <w:kern w:val="0"/>
      <w:sz w:val="24"/>
    </w:rPr>
  </w:style>
  <w:style w:type="paragraph" w:customStyle="1" w:styleId="178">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autoRedefine/>
    <w:qFormat/>
    <w:uiPriority w:val="0"/>
    <w:rPr>
      <w:sz w:val="21"/>
      <w:szCs w:val="24"/>
    </w:rPr>
  </w:style>
  <w:style w:type="paragraph" w:customStyle="1" w:styleId="182">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autoRedefine/>
    <w:qFormat/>
    <w:uiPriority w:val="0"/>
    <w:pPr>
      <w:adjustRightInd w:val="0"/>
      <w:snapToGrid w:val="0"/>
      <w:spacing w:line="440" w:lineRule="exact"/>
      <w:ind w:firstLine="567"/>
    </w:pPr>
    <w:rPr>
      <w:sz w:val="28"/>
    </w:rPr>
  </w:style>
  <w:style w:type="paragraph" w:customStyle="1" w:styleId="184">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autoRedefine/>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7">
    <w:name w:val="正文 + 三号"/>
    <w:basedOn w:val="1"/>
    <w:autoRedefine/>
    <w:qFormat/>
    <w:uiPriority w:val="0"/>
    <w:rPr>
      <w:sz w:val="21"/>
    </w:rPr>
  </w:style>
  <w:style w:type="paragraph" w:customStyle="1" w:styleId="188">
    <w:name w:val=" Char Char1 Char"/>
    <w:basedOn w:val="1"/>
    <w:autoRedefine/>
    <w:qFormat/>
    <w:uiPriority w:val="0"/>
    <w:rPr>
      <w:rFonts w:ascii="Tahoma" w:hAnsi="Tahoma"/>
      <w:sz w:val="24"/>
      <w:szCs w:val="24"/>
    </w:rPr>
  </w:style>
  <w:style w:type="paragraph" w:customStyle="1" w:styleId="189">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autoRedefine/>
    <w:qFormat/>
    <w:uiPriority w:val="0"/>
    <w:pPr>
      <w:spacing w:line="360" w:lineRule="auto"/>
    </w:pPr>
    <w:rPr>
      <w:rFonts w:eastAsia="黑体"/>
      <w:sz w:val="20"/>
    </w:rPr>
  </w:style>
  <w:style w:type="paragraph" w:customStyle="1" w:styleId="19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9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autoRedefine/>
    <w:qFormat/>
    <w:uiPriority w:val="0"/>
    <w:rPr>
      <w:rFonts w:ascii="仿宋_GB2312"/>
      <w:b/>
      <w:sz w:val="30"/>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7">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autoRedefine/>
    <w:qFormat/>
    <w:uiPriority w:val="0"/>
    <w:pPr>
      <w:widowControl/>
      <w:spacing w:line="300" w:lineRule="atLeast"/>
      <w:jc w:val="left"/>
    </w:pPr>
    <w:rPr>
      <w:rFonts w:ascii="宋体" w:hAnsi="宋体"/>
      <w:kern w:val="0"/>
      <w:sz w:val="18"/>
    </w:rPr>
  </w:style>
  <w:style w:type="paragraph" w:customStyle="1" w:styleId="221">
    <w:name w:val="文章正文"/>
    <w:basedOn w:val="1"/>
    <w:autoRedefine/>
    <w:qFormat/>
    <w:uiPriority w:val="0"/>
    <w:pPr>
      <w:ind w:firstLine="560" w:firstLineChars="200"/>
    </w:pPr>
    <w:rPr>
      <w:rFonts w:ascii="仿宋_GB2312" w:hAnsi="宋体" w:eastAsia="仿宋_GB2312"/>
      <w:color w:val="000000"/>
    </w:rPr>
  </w:style>
  <w:style w:type="paragraph" w:customStyle="1" w:styleId="22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autoRedefine/>
    <w:qFormat/>
    <w:uiPriority w:val="0"/>
    <w:rPr>
      <w:rFonts w:ascii="Tahoma" w:hAnsi="Tahoma"/>
      <w:sz w:val="24"/>
    </w:rPr>
  </w:style>
  <w:style w:type="paragraph" w:customStyle="1" w:styleId="229">
    <w:name w:val="编号正文"/>
    <w:basedOn w:val="198"/>
    <w:autoRedefine/>
    <w:qFormat/>
    <w:uiPriority w:val="0"/>
    <w:pPr>
      <w:snapToGrid/>
      <w:spacing w:line="360" w:lineRule="auto"/>
      <w:ind w:left="1407" w:hanging="1047"/>
      <w:jc w:val="left"/>
    </w:pPr>
    <w:rPr>
      <w:rFonts w:eastAsia="仿宋_GB2312"/>
    </w:rPr>
  </w:style>
  <w:style w:type="paragraph" w:customStyle="1" w:styleId="230">
    <w:name w:val="表格内文字"/>
    <w:basedOn w:val="30"/>
    <w:autoRedefine/>
    <w:qFormat/>
    <w:uiPriority w:val="0"/>
    <w:pPr>
      <w:adjustRightInd w:val="0"/>
    </w:pPr>
    <w:rPr>
      <w:color w:val="000000"/>
      <w:lang w:val="en-GB"/>
    </w:rPr>
  </w:style>
  <w:style w:type="paragraph" w:customStyle="1" w:styleId="231">
    <w:name w:val="样式 行距: 1.5 倍行距1"/>
    <w:basedOn w:val="1"/>
    <w:autoRedefine/>
    <w:qFormat/>
    <w:uiPriority w:val="0"/>
    <w:pPr>
      <w:snapToGrid w:val="0"/>
    </w:pPr>
    <w:rPr>
      <w:sz w:val="21"/>
    </w:rPr>
  </w:style>
  <w:style w:type="paragraph" w:customStyle="1" w:styleId="232">
    <w:name w:val=" Char Char Char Char Char Char Char"/>
    <w:basedOn w:val="1"/>
    <w:autoRedefine/>
    <w:qFormat/>
    <w:uiPriority w:val="0"/>
    <w:rPr>
      <w:rFonts w:ascii="Tahoma" w:hAnsi="Tahoma"/>
      <w:sz w:val="24"/>
    </w:rPr>
  </w:style>
  <w:style w:type="paragraph" w:customStyle="1" w:styleId="23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autoRedefine/>
    <w:qFormat/>
    <w:uiPriority w:val="0"/>
    <w:pPr>
      <w:tabs>
        <w:tab w:val="left" w:pos="360"/>
      </w:tabs>
    </w:pPr>
    <w:rPr>
      <w:sz w:val="24"/>
    </w:rPr>
  </w:style>
  <w:style w:type="paragraph" w:customStyle="1" w:styleId="23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39">
    <w:name w:val="无"/>
    <w:autoRedefine/>
    <w:qFormat/>
    <w:uiPriority w:val="0"/>
  </w:style>
  <w:style w:type="character" w:customStyle="1" w:styleId="240">
    <w:name w:val="font21"/>
    <w:basedOn w:val="58"/>
    <w:autoRedefine/>
    <w:qFormat/>
    <w:uiPriority w:val="0"/>
    <w:rPr>
      <w:rFonts w:hint="default" w:ascii="仿宋_GB2312" w:eastAsia="仿宋_GB2312" w:cs="仿宋_GB2312"/>
      <w:color w:val="000000"/>
      <w:sz w:val="22"/>
      <w:szCs w:val="22"/>
      <w:u w:val="none"/>
    </w:rPr>
  </w:style>
  <w:style w:type="character" w:customStyle="1" w:styleId="241">
    <w:name w:val="font31"/>
    <w:basedOn w:val="58"/>
    <w:autoRedefine/>
    <w:qFormat/>
    <w:uiPriority w:val="0"/>
    <w:rPr>
      <w:rFonts w:hint="default" w:ascii="仿宋_GB2312" w:eastAsia="仿宋_GB2312" w:cs="仿宋_GB2312"/>
      <w:b/>
      <w:bCs/>
      <w:color w:val="000000"/>
      <w:sz w:val="22"/>
      <w:szCs w:val="22"/>
      <w:u w:val="none"/>
    </w:rPr>
  </w:style>
  <w:style w:type="character" w:customStyle="1" w:styleId="242">
    <w:name w:val="font51"/>
    <w:basedOn w:val="58"/>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38534;&#25152;2024&#24180;&#33337;&#33334;&#24180;&#24230;&#32500;&#20462;&#20445;&#20859;%20WJ2024006\&#37325;&#24198;&#24066;&#20044;&#27743;&#33322;&#36947;&#31649;&#29702;&#22788;&#20851;&#20110;&#27494;&#38534;&#25152;2024&#24180;&#33337;&#33334;&#24180;&#24230;&#32500;&#20462;&#20445;&#2085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重庆市乌江航道管理处关于武隆所2024年船舶年度维修保养限额以下比价采购文件.docx</Template>
  <Pages>29</Pages>
  <Words>10332</Words>
  <Characters>10872</Characters>
  <Lines>93</Lines>
  <Paragraphs>26</Paragraphs>
  <TotalTime>2</TotalTime>
  <ScaleCrop>false</ScaleCrop>
  <LinksUpToDate>false</LinksUpToDate>
  <CharactersWithSpaces>11890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2024-07-08T02:53:00Z</dcterms:created>
  <dc:creator>剪夏罗</dc:creator>
  <cp:lastModifiedBy>焦洪奇</cp:lastModifiedBy>
  <dcterms:modified xsi:type="dcterms:W3CDTF">2024-07-10T06:19:09Z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DD5A7A933F0D4F21A53FAB9C3A52FF07_11</vt:lpwstr>
  </property>
</Properties>
</file>