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重庆市合川航道管理处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限额以下比价采购公告</w:t>
      </w:r>
    </w:p>
    <w:p>
      <w:pPr>
        <w:spacing w:line="700" w:lineRule="exact"/>
        <w:jc w:val="center"/>
        <w:rPr>
          <w:rFonts w:ascii="黑体" w:eastAsia="黑体"/>
          <w:sz w:val="32"/>
        </w:rPr>
      </w:pPr>
      <w:r>
        <w:rPr>
          <w:rFonts w:hint="eastAsia" w:ascii="黑体" w:eastAsia="黑体"/>
          <w:sz w:val="32"/>
        </w:rPr>
        <w:t>(第二次)</w:t>
      </w:r>
    </w:p>
    <w:p>
      <w:pPr>
        <w:spacing w:line="700" w:lineRule="exact"/>
        <w:jc w:val="center"/>
        <w:rPr>
          <w:rFonts w:ascii="黑体" w:eastAsia="黑体"/>
          <w:sz w:val="32"/>
        </w:rPr>
      </w:pPr>
    </w:p>
    <w:p>
      <w:pPr>
        <w:spacing w:line="500" w:lineRule="exact"/>
        <w:ind w:left="3054" w:leftChars="512" w:hanging="1620" w:hangingChars="450"/>
        <w:jc w:val="left"/>
        <w:outlineLvl w:val="0"/>
        <w:rPr>
          <w:rFonts w:ascii="方正小标宋_GBK" w:hAnsi="宋体" w:eastAsia="方正小标宋_GBK"/>
          <w:sz w:val="36"/>
          <w:szCs w:val="36"/>
        </w:rPr>
      </w:pPr>
      <w:r>
        <w:rPr>
          <w:rFonts w:hint="eastAsia" w:ascii="方正小标宋_GBK" w:hAnsi="宋体" w:eastAsia="方正小标宋_GBK"/>
          <w:sz w:val="36"/>
          <w:szCs w:val="36"/>
        </w:rPr>
        <w:t>项目名称:嘉陵江沿线水位自动测报站建设项目</w:t>
      </w:r>
    </w:p>
    <w:p>
      <w:pPr>
        <w:spacing w:line="500" w:lineRule="exact"/>
        <w:ind w:firstLine="1440" w:firstLineChars="400"/>
        <w:jc w:val="left"/>
        <w:outlineLvl w:val="0"/>
        <w:rPr>
          <w:rFonts w:ascii="方正小标宋_GBK" w:eastAsia="方正小标宋_GBK"/>
          <w:sz w:val="36"/>
          <w:szCs w:val="36"/>
        </w:rPr>
      </w:pPr>
      <w:r>
        <w:rPr>
          <w:rFonts w:hint="eastAsia" w:ascii="方正小标宋_GBK" w:eastAsia="方正小标宋_GBK"/>
          <w:sz w:val="36"/>
          <w:szCs w:val="36"/>
        </w:rPr>
        <w:t>采购人：重庆市合川航道管理处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ascii="方正黑体_GBK" w:hAnsi="宋体" w:eastAsia="方正黑体_GBK"/>
          <w:sz w:val="48"/>
          <w:szCs w:val="32"/>
        </w:rPr>
      </w:pPr>
      <w:r>
        <w:rPr>
          <w:rFonts w:hint="eastAsia" w:ascii="方正小标宋_GBK" w:hAnsi="宋体" w:eastAsia="方正小标宋_GBK"/>
          <w:sz w:val="36"/>
          <w:szCs w:val="36"/>
        </w:rPr>
        <w:t>二〇二四年七月</w:t>
      </w:r>
    </w:p>
    <w:p>
      <w:pPr>
        <w:spacing w:line="480" w:lineRule="exact"/>
        <w:outlineLvl w:val="0"/>
        <w:rPr>
          <w:rFonts w:ascii="方正黑体_GBK" w:eastAsia="方正黑体_GBK"/>
          <w:sz w:val="44"/>
          <w:szCs w:val="28"/>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65660329"/>
      <w:bookmarkStart w:id="1" w:name="_Toc24173"/>
      <w:bookmarkStart w:id="2" w:name="_Toc15726"/>
      <w:bookmarkStart w:id="3" w:name="_Toc24817"/>
      <w:bookmarkStart w:id="4" w:name="_Toc12789052"/>
      <w:bookmarkStart w:id="5" w:name="_Toc11641050"/>
      <w:bookmarkStart w:id="6" w:name="_Toc106034769"/>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根据航道维护工作需要，重庆市合川航道管理处对嘉陵江沿线水位自动测报站建设项目进行限额以下比价采购。欢迎有资格的供应商前来参加报价。</w:t>
      </w:r>
    </w:p>
    <w:p>
      <w:pPr>
        <w:pStyle w:val="2"/>
        <w:adjustRightInd w:val="0"/>
        <w:snapToGrid w:val="0"/>
        <w:spacing w:before="0" w:after="0" w:line="400" w:lineRule="exact"/>
        <w:ind w:firstLine="482" w:firstLineChars="200"/>
        <w:rPr>
          <w:rFonts w:ascii="方正仿宋_GBK" w:hAnsi="宋体" w:eastAsia="方正仿宋_GBK"/>
          <w:sz w:val="24"/>
        </w:rPr>
      </w:pPr>
      <w:bookmarkStart w:id="7" w:name="_Toc26091"/>
      <w:bookmarkStart w:id="8" w:name="_Toc317775175"/>
      <w:bookmarkStart w:id="9" w:name="_Toc7758"/>
      <w:bookmarkStart w:id="10" w:name="_Toc18246"/>
      <w:bookmarkStart w:id="11" w:name="_Toc65660330"/>
      <w:bookmarkStart w:id="12" w:name="_Toc106034770"/>
      <w:bookmarkStart w:id="13" w:name="_Toc313893526"/>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1"/>
        <w:tblW w:w="43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0"/>
        <w:gridCol w:w="1277"/>
        <w:gridCol w:w="1912"/>
        <w:gridCol w:w="2376"/>
      </w:tblGrid>
      <w:tr>
        <w:tblPrEx>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787" w:type="pct"/>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464" w:type="pct"/>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pPr>
              <w:widowControl/>
              <w:rPr>
                <w:rFonts w:ascii="方正仿宋_GBK" w:hAnsi="宋体" w:eastAsia="方正仿宋_GBK" w:cs="宋体"/>
                <w:kern w:val="0"/>
                <w:sz w:val="21"/>
                <w:szCs w:val="24"/>
              </w:rPr>
            </w:pPr>
            <w:bookmarkStart w:id="14" w:name="_Hlk344477914"/>
            <w:r>
              <w:rPr>
                <w:rFonts w:hint="eastAsia" w:ascii="方正仿宋_GBK" w:hAnsi="宋体" w:eastAsia="方正仿宋_GBK"/>
                <w:sz w:val="21"/>
                <w:szCs w:val="21"/>
              </w:rPr>
              <w:t>嘉陵江沿线水位自动测报站建设项目</w:t>
            </w:r>
          </w:p>
        </w:tc>
        <w:tc>
          <w:tcPr>
            <w:tcW w:w="787" w:type="pct"/>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237362元</w:t>
            </w:r>
            <w:r>
              <w:rPr>
                <w:rFonts w:ascii="方正仿宋_GBK" w:hAnsi="宋体" w:eastAsia="方正仿宋_GBK"/>
                <w:sz w:val="21"/>
                <w:szCs w:val="21"/>
              </w:rPr>
              <w:t xml:space="preserve"> </w:t>
            </w:r>
          </w:p>
        </w:tc>
        <w:tc>
          <w:tcPr>
            <w:tcW w:w="1178" w:type="pct"/>
            <w:tcBorders>
              <w:top w:val="single" w:color="auto" w:sz="4" w:space="0"/>
              <w:left w:val="single" w:color="auto" w:sz="4" w:space="0"/>
              <w:right w:val="single" w:color="auto" w:sz="4" w:space="0"/>
            </w:tcBorders>
            <w:vAlign w:val="center"/>
          </w:tcPr>
          <w:p>
            <w:pPr>
              <w:rPr>
                <w:rFonts w:ascii="方正仿宋_GBK" w:hAnsi="宋体" w:eastAsia="方正仿宋_GBK"/>
                <w:sz w:val="21"/>
                <w:szCs w:val="21"/>
              </w:rPr>
            </w:pPr>
            <w:r>
              <w:rPr>
                <w:rFonts w:hint="eastAsia" w:ascii="方正仿宋_GBK" w:hAnsi="宋体" w:eastAsia="方正仿宋_GBK"/>
                <w:sz w:val="21"/>
                <w:szCs w:val="21"/>
              </w:rPr>
              <w:t>1</w:t>
            </w:r>
          </w:p>
        </w:tc>
        <w:tc>
          <w:tcPr>
            <w:tcW w:w="1464" w:type="pct"/>
            <w:tcBorders>
              <w:top w:val="single" w:color="auto" w:sz="4" w:space="0"/>
              <w:left w:val="single" w:color="auto" w:sz="4" w:space="0"/>
              <w:bottom w:val="single" w:color="auto" w:sz="4" w:space="0"/>
              <w:right w:val="single" w:color="auto" w:sz="4" w:space="0"/>
            </w:tcBorders>
            <w:vAlign w:val="center"/>
          </w:tcPr>
          <w:p>
            <w:pPr>
              <w:jc w:val="left"/>
              <w:rPr>
                <w:rFonts w:ascii="方正仿宋_GBK" w:hAnsi="宋体" w:eastAsia="方正仿宋_GBK"/>
                <w:b/>
                <w:sz w:val="21"/>
                <w:szCs w:val="21"/>
              </w:rPr>
            </w:pPr>
          </w:p>
        </w:tc>
      </w:tr>
      <w:bookmarkEnd w:id="14"/>
    </w:tbl>
    <w:p>
      <w:pPr>
        <w:pStyle w:val="2"/>
        <w:adjustRightInd w:val="0"/>
        <w:snapToGrid w:val="0"/>
        <w:spacing w:before="0" w:after="0" w:line="400" w:lineRule="exact"/>
        <w:ind w:firstLine="482" w:firstLineChars="200"/>
        <w:rPr>
          <w:rFonts w:ascii="方正仿宋_GBK" w:hAnsi="宋体" w:eastAsia="方正仿宋_GBK"/>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财政预算资金（或单位自筹资金）。</w:t>
      </w:r>
    </w:p>
    <w:p>
      <w:pPr>
        <w:pStyle w:val="2"/>
        <w:adjustRightInd w:val="0"/>
        <w:snapToGrid w:val="0"/>
        <w:spacing w:before="0" w:after="0" w:line="400" w:lineRule="exact"/>
        <w:ind w:firstLine="482" w:firstLineChars="200"/>
        <w:rPr>
          <w:rFonts w:ascii="方正仿宋_GBK" w:hAnsi="宋体" w:eastAsia="方正仿宋_GBK"/>
          <w:sz w:val="24"/>
        </w:rPr>
      </w:pPr>
      <w:bookmarkStart w:id="22" w:name="_Toc13541"/>
      <w:bookmarkStart w:id="23" w:name="_Toc64731996"/>
      <w:bookmarkStart w:id="24" w:name="_Toc20867"/>
      <w:bookmarkStart w:id="25" w:name="_Toc18548"/>
      <w:bookmarkStart w:id="26" w:name="_Toc65660332"/>
      <w:bookmarkStart w:id="27" w:name="_Toc106034772"/>
      <w:r>
        <w:rPr>
          <w:rFonts w:hint="eastAsia" w:ascii="方正仿宋_GBK" w:hAnsi="宋体" w:eastAsia="方正仿宋_GBK"/>
          <w:sz w:val="24"/>
        </w:rPr>
        <w:t>三、供应商资格条件</w:t>
      </w:r>
      <w:bookmarkEnd w:id="22"/>
      <w:bookmarkEnd w:id="23"/>
      <w:bookmarkEnd w:id="24"/>
      <w:bookmarkEnd w:id="25"/>
      <w:bookmarkEnd w:id="26"/>
      <w:bookmarkEnd w:id="27"/>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（二）本项目的特定资格要求：无。</w:t>
      </w:r>
    </w:p>
    <w:p>
      <w:pPr>
        <w:pStyle w:val="2"/>
        <w:adjustRightInd w:val="0"/>
        <w:snapToGrid w:val="0"/>
        <w:spacing w:before="0" w:after="0" w:line="400" w:lineRule="exact"/>
        <w:ind w:firstLine="482" w:firstLineChars="200"/>
        <w:rPr>
          <w:rFonts w:ascii="方正仿宋_GBK" w:hAnsi="宋体" w:eastAsia="方正仿宋_GBK"/>
          <w:sz w:val="24"/>
        </w:rPr>
      </w:pPr>
      <w:bookmarkStart w:id="28" w:name="_Toc1386"/>
      <w:bookmarkStart w:id="29" w:name="_Toc65660333"/>
      <w:bookmarkStart w:id="30" w:name="_Toc11908"/>
      <w:bookmarkStart w:id="31" w:name="_Toc13903"/>
      <w:bookmarkStart w:id="32" w:name="_Toc10603477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（一）凡有意参加比价的供应商，请在重庆市交通运输委员会网上下载本项目采购文件以及图纸、澄清等报价前公布的所有项目资料，无论供应商下载与否，均视为已知晓所有实质性要求内容。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（三）递交响应文件地点：重庆市合川航道管理处9楼会议室（地址：重庆市合川区合阳办马家沟路36号）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（四）提交响应文件截止时间：2024年7月8日北京时间9时至9时30分。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（五）评审开始时间：2024年7月8日北京时间9时30分。</w:t>
      </w:r>
    </w:p>
    <w:bookmarkEnd w:id="21"/>
    <w:p>
      <w:pPr>
        <w:pStyle w:val="2"/>
        <w:adjustRightInd w:val="0"/>
        <w:snapToGrid w:val="0"/>
        <w:spacing w:before="0" w:after="0" w:line="400" w:lineRule="exact"/>
        <w:ind w:firstLine="482" w:firstLineChars="200"/>
        <w:rPr>
          <w:rFonts w:ascii="方正仿宋_GBK" w:hAnsi="宋体" w:eastAsia="方正仿宋_GBK"/>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（五）本项目的澄清文件（如果有）一律在重庆市交通运输委员会网上发布，请各供应商注意下载；无论供应商下载或领取与否，均视同供应商已知晓本项目澄清文件（如果有）的内容。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1"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1" w:firstLineChars="150"/>
        <w:rPr>
          <w:rFonts w:ascii="方正仿宋_GBK" w:hAnsi="宋体" w:eastAsia="方正仿宋_GBK"/>
          <w:b/>
          <w:sz w:val="24"/>
          <w:szCs w:val="24"/>
        </w:rPr>
      </w:pPr>
      <w:r>
        <w:rPr>
          <w:rFonts w:hint="eastAsia" w:ascii="方正仿宋_GBK" w:hAnsi="宋体" w:eastAsia="方正仿宋_GBK"/>
          <w:b/>
          <w:sz w:val="24"/>
          <w:szCs w:val="24"/>
        </w:rPr>
        <w:t>（九）本项目不接受合同分包，否则按无效处理。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Cs/>
          <w:sz w:val="24"/>
          <w:szCs w:val="24"/>
        </w:rPr>
        <w:t>（十）</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采购人：重庆市合川航道管理处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联系人：赵老师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话：023-42663876</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址：重庆市合川区合阳办马家沟路36号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jc w:val="center"/>
        <w:rPr>
          <w:b/>
        </w:rPr>
      </w:pPr>
    </w:p>
    <w:p>
      <w:pPr>
        <w:pStyle w:val="2"/>
        <w:adjustRightInd w:val="0"/>
        <w:snapToGrid w:val="0"/>
        <w:spacing w:before="0" w:after="0" w:line="400" w:lineRule="exact"/>
        <w:ind w:firstLine="482"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每年6-8月，嘉陵江草街库区按照汛限水位200米以下运行，致使嘉陵江石门滩至利泽约20公里航段变为天然航道，受上游电站不恒定下泄流量影响，各滩险水位变幅较大，采购人航道维护站点距离较远，不能随时掌握各滩险水位情况。为积极响应上级关于数字港航建设要求，推进我处航道养护工作高质量发展，拟在嘉陵江沿线建设4座水位自动测报站。</w:t>
      </w:r>
    </w:p>
    <w:p>
      <w:pPr>
        <w:snapToGrid w:val="0"/>
        <w:spacing w:line="400" w:lineRule="exact"/>
        <w:ind w:firstLine="480" w:firstLineChars="200"/>
        <w:rPr>
          <w:rFonts w:ascii="方正仿宋_GBK" w:hAnsi="宋体" w:eastAsia="方正仿宋_GBK"/>
          <w:sz w:val="24"/>
          <w:szCs w:val="24"/>
        </w:rPr>
      </w:pPr>
      <w:bookmarkStart w:id="54" w:name="_Toc106030880"/>
      <w:r>
        <w:rPr>
          <w:rFonts w:hint="eastAsia" w:ascii="方正仿宋_GBK" w:hAnsi="宋体" w:eastAsia="方正仿宋_GBK"/>
          <w:sz w:val="24"/>
          <w:szCs w:val="24"/>
        </w:rPr>
        <w:t>二、服务范围、要求及标准</w:t>
      </w:r>
      <w:bookmarkEnd w:id="54"/>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（一）服务范围、要求及标准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1.服务范围：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利泽站（距河口139km处），支持实时水位、流速、流量测量, 采用一体化多功能立杆安装，立杆集成雷达水位计、采集终端、太阳能供电等设备</w:t>
      </w:r>
      <w:r>
        <w:rPr>
          <w:rFonts w:hint="eastAsia" w:ascii="方正仿宋_GBK" w:hAnsi="宋体" w:eastAsia="方正仿宋_GBK"/>
          <w:sz w:val="24"/>
          <w:szCs w:val="24"/>
          <w:lang w:eastAsia="zh-CN"/>
        </w:rPr>
        <w:t>，</w:t>
      </w:r>
      <w:bookmarkStart w:id="241" w:name="_GoBack"/>
      <w:bookmarkEnd w:id="241"/>
      <w:r>
        <w:rPr>
          <w:rFonts w:hint="eastAsia" w:ascii="方正仿宋_GBK" w:hAnsi="宋体" w:eastAsia="方正仿宋_GBK"/>
          <w:sz w:val="24"/>
          <w:szCs w:val="24"/>
        </w:rPr>
        <w:t>底座材质为</w:t>
      </w:r>
      <w:r>
        <w:rPr>
          <w:rFonts w:hint="eastAsia" w:ascii="方正仿宋_GBK" w:hAnsi="宋体" w:eastAsia="方正仿宋_GBK"/>
          <w:sz w:val="24"/>
          <w:szCs w:val="24"/>
          <w:lang w:eastAsia="zh-CN"/>
        </w:rPr>
        <w:t>混凝土</w:t>
      </w:r>
      <w:r>
        <w:rPr>
          <w:rFonts w:hint="eastAsia" w:ascii="方正仿宋_GBK" w:hAnsi="宋体" w:eastAsia="方正仿宋_GBK"/>
          <w:sz w:val="24"/>
          <w:szCs w:val="24"/>
        </w:rPr>
        <w:t>加钢筋浇筑而成（详见附件）。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鲨鱼碛站（距河口131km处）、泥溪站（距河口122km处）、钓鱼城站（距河口87km处），支持实时水位测量，采用一体化多功能立杆安装，立杆集成雷达水位计、采集终端、太阳能供电等设备</w:t>
      </w:r>
      <w:r>
        <w:rPr>
          <w:rFonts w:hint="eastAsia" w:ascii="方正仿宋_GBK" w:hAnsi="宋体" w:eastAsia="方正仿宋_GBK"/>
          <w:sz w:val="24"/>
          <w:szCs w:val="24"/>
          <w:lang w:eastAsia="zh-CN"/>
        </w:rPr>
        <w:t>，</w:t>
      </w:r>
      <w:r>
        <w:rPr>
          <w:rFonts w:hint="eastAsia" w:ascii="方正仿宋_GBK" w:hAnsi="宋体" w:eastAsia="方正仿宋_GBK"/>
          <w:sz w:val="24"/>
          <w:szCs w:val="24"/>
        </w:rPr>
        <w:t>底座材质为</w:t>
      </w:r>
      <w:r>
        <w:rPr>
          <w:rFonts w:hint="eastAsia" w:ascii="方正仿宋_GBK" w:hAnsi="宋体" w:eastAsia="方正仿宋_GBK"/>
          <w:sz w:val="24"/>
          <w:szCs w:val="24"/>
          <w:lang w:eastAsia="zh-CN"/>
        </w:rPr>
        <w:t>混凝土</w:t>
      </w:r>
      <w:r>
        <w:rPr>
          <w:rFonts w:hint="eastAsia" w:ascii="方正仿宋_GBK" w:hAnsi="宋体" w:eastAsia="方正仿宋_GBK"/>
          <w:sz w:val="24"/>
          <w:szCs w:val="24"/>
        </w:rPr>
        <w:t>加钢筋浇筑而成（详见附件）。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2.服务要求：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（1）雷达水位计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测量范围：≧40m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测量精度：±3mm</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分辨率：1mm</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天线发射角度：（水平和垂直，3dB）12°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发射频率：24GHz</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原理：调频连续波（FMCW）雷达测距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辐射功率：7-25dBm可调</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供电电源：DC6V-24V，典型值12V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功耗：≤1W</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外壳材质：铝合金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工作温度：-40-80℃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安装方式：支架/抱箍</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数据接口：RS485(Modbus)</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（2）雷达流量计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水位测量准确度：≤3mm，分辨力≤1mm，作用距离0-40米</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流速测量准确度：3%内，分辨力0.001m/s，测量范围0.03m/s-21m/s通信接口支持RS-485，</w:t>
      </w:r>
      <w:r>
        <w:rPr>
          <w:rFonts w:hint="eastAsia" w:ascii="方正仿宋_GBK" w:hAnsi="宋体" w:eastAsia="方正仿宋_GBK"/>
          <w:sz w:val="24"/>
          <w:szCs w:val="24"/>
          <w:lang w:eastAsia="zh-CN"/>
        </w:rPr>
        <w:t>通讯</w:t>
      </w:r>
      <w:r>
        <w:rPr>
          <w:rFonts w:hint="eastAsia" w:ascii="方正仿宋_GBK" w:hAnsi="宋体" w:eastAsia="方正仿宋_GBK"/>
          <w:sz w:val="24"/>
          <w:szCs w:val="24"/>
        </w:rPr>
        <w:t>协议：自定义ASCII/RTU-MODBUS</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天线样式：平面微带阵列天线，水位计角度11°× 11°，流速仪角度：14×32°；</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发射频率：24.005 ~ 24.250GHz（满足ISM带宽250MHz要求）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工作电压：宽电压输入+6~33V DC，内置反相保护和过压保护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工作电流：工作模式，12V供电，工作电流72mA</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防护等级：IP68</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设备要求通过GB/T 15966-2017《水文仪器基本参数及通用技术条件》水位测量重复性、水位测量回差、流速测量误差、工作环境、绝缘、防雷、电源、抗电磁干扰、自由跌落和振动测试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盐雾试验符合G/T9359-2016要求。 </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带蓝牙且具备通过蓝牙升级设备功能；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具备水位分层率定功能；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工作温度：-40 ~85℃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（3）采集终端RTU</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支持与1-4个监控中心进行数据通信；</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采集功能：采集水位、雨量变送器的标准信号；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采集流量计、脉冲表的流量数据；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图片抓拍功能：可外接工业照相机，进行图片抓拍。</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远程管理功能：支持远程参数设置、程序升级。</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报警功能：监测数据越限，立即上报告警信息。</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存储功能：本机循环存储监测数据，掉电不丢失。</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10路IN：模拟量（AI）+开关量(DI)=10路，各自的数量可自由组合。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5路串口（RS232/RS485）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2路VEXT：为模拟量、开关量以及串口仪表变送器供电。</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1路DB9调试串口。</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遥测终端RTU取得以下认证报告</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通过《SLT 426-2021水量计量设备基本技术条件》检测，需要水利部水文仪器及岩土工程仪器质量监督检验测试中心的认证报告复印件加盖厂家公章。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通过《SLT 427-2021水资源监测数据传输规约》检测，需要水利部水文仪器及岩土工程仪器质量监督检验测试中心的认证报告复印件加盖厂家公章。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通过《水资源监控设备基本技术条件》（SL426-2008）检测，需要水利部水文仪器及岩土工程仪器质量监督检验测试中心的认证报告复印件加盖厂家公章。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通过《水资源监测设备质量检验》（SZY205-2016）检测，需要水利部水文仪器及岩土工程仪器质量监督检验测试中心的认证报告复印件加盖厂家公章。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（4）通信模块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4G全网通，含3年数据流量费。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（5）太阳能供电系统</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太阳能电池板：200W。</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蓄电池：锂电池，12V100AH。</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充电控制器：锂电池配套智能充电控制器。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（6）机箱</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野外不锈钢防水机箱，机箱尺寸满足设备安装要求。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（7）一体化立杆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热镀锌喷塑，可360度转动。杆径φ150mm，高2.0～3.0m（根据安装环境确定），雷达水位计安装支臂长3.0～6.0m（根据安装环境确定）；带地笼；地笼尺寸为各站点测算表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（8）防雷接地</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配防雷器；避雷针长0.5m；接地电阻≤10Ω。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工业照相机像素不低于500w</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（9）软件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数据采集及传输软件，将水位数据接入至指定监测平台。</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（10）供应商提供完成本项目所需的所有设施设备、材料等。</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（11）供应商组织专业的施工人员及机具完成本项目。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（12）供应商严格按照项目技术资料要求实施本项目。</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（13）供应商应建立健全安全保证体系，制作安装工作中应遵守《安全生产法》及其它安全法规，并对</w:t>
      </w:r>
      <w:r>
        <w:rPr>
          <w:rFonts w:ascii="方正仿宋_GBK" w:hAnsi="宋体" w:eastAsia="方正仿宋_GBK"/>
          <w:sz w:val="24"/>
          <w:szCs w:val="24"/>
        </w:rPr>
        <w:t>压载作业</w:t>
      </w:r>
      <w:r>
        <w:rPr>
          <w:rFonts w:hint="eastAsia" w:ascii="方正仿宋_GBK" w:hAnsi="宋体" w:eastAsia="方正仿宋_GBK"/>
          <w:sz w:val="24"/>
          <w:szCs w:val="24"/>
        </w:rPr>
        <w:t>过程中的安全生产工作负责。</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（14）针对性的制定相应的环境保护措施，严格控制三废“废气、废水、废渣”的排放，减少对生态环境的不利影响。</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3.服务标准：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（1）达到项目设计要求。</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（2）按相关规范、标准。</w:t>
      </w:r>
    </w:p>
    <w:p>
      <w:pPr>
        <w:pStyle w:val="2"/>
        <w:adjustRightInd w:val="0"/>
        <w:snapToGrid w:val="0"/>
        <w:spacing w:before="0" w:after="0" w:line="400" w:lineRule="exact"/>
        <w:ind w:firstLine="482" w:firstLineChars="200"/>
        <w:rPr>
          <w:rFonts w:ascii="方正仿宋_GBK" w:hAnsi="宋体" w:eastAsia="方正仿宋_GBK"/>
          <w:sz w:val="24"/>
        </w:rPr>
      </w:pPr>
      <w:bookmarkStart w:id="55" w:name="_Toc313536013"/>
      <w:bookmarkStart w:id="56" w:name="_Toc344475116"/>
      <w:bookmarkStart w:id="57" w:name="_Toc76462326"/>
      <w:bookmarkStart w:id="58" w:name="_Toc106030881"/>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1.质量要求：满足国家相关规定及采购人要求。</w:t>
      </w:r>
    </w:p>
    <w:p>
      <w:pPr>
        <w:adjustRightInd w:val="0"/>
        <w:snapToGrid w:val="0"/>
        <w:spacing w:line="400" w:lineRule="exact"/>
        <w:ind w:firstLine="480" w:firstLineChars="200"/>
        <w:jc w:val="left"/>
        <w:rPr>
          <w:rFonts w:ascii="方正仿宋_GBK" w:hAnsi="宋体" w:eastAsia="方正仿宋_GBK"/>
          <w:color w:val="FF0000"/>
          <w:sz w:val="24"/>
          <w:szCs w:val="24"/>
        </w:rPr>
      </w:pPr>
      <w:r>
        <w:rPr>
          <w:rFonts w:hint="eastAsia" w:ascii="方正仿宋_GBK" w:hAnsi="宋体" w:eastAsia="方正仿宋_GBK"/>
          <w:sz w:val="24"/>
          <w:szCs w:val="24"/>
        </w:rPr>
        <w:t>2.质量保修期：</w:t>
      </w:r>
      <w:r>
        <w:rPr>
          <w:rFonts w:hint="eastAsia" w:ascii="方正仿宋_GBK" w:hAnsi="宋体" w:eastAsia="方正仿宋_GBK"/>
          <w:color w:val="000000" w:themeColor="text1"/>
          <w:sz w:val="24"/>
          <w:szCs w:val="24"/>
        </w:rPr>
        <w:t>1年</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四、服务项目清单</w:t>
      </w:r>
    </w:p>
    <w:tbl>
      <w:tblPr>
        <w:tblStyle w:val="11"/>
        <w:tblpPr w:leftFromText="180" w:rightFromText="180" w:vertAnchor="text" w:horzAnchor="page" w:tblpX="1725" w:tblpY="460"/>
        <w:tblOverlap w:val="never"/>
        <w:tblW w:w="8588" w:type="dxa"/>
        <w:tblInd w:w="0" w:type="dxa"/>
        <w:tblLayout w:type="fixed"/>
        <w:tblCellMar>
          <w:top w:w="0" w:type="dxa"/>
          <w:left w:w="108" w:type="dxa"/>
          <w:bottom w:w="0" w:type="dxa"/>
          <w:right w:w="108" w:type="dxa"/>
        </w:tblCellMar>
      </w:tblPr>
      <w:tblGrid>
        <w:gridCol w:w="828"/>
        <w:gridCol w:w="4485"/>
        <w:gridCol w:w="1605"/>
        <w:gridCol w:w="1670"/>
      </w:tblGrid>
      <w:tr>
        <w:tblPrEx>
          <w:tblCellMar>
            <w:top w:w="0" w:type="dxa"/>
            <w:left w:w="108" w:type="dxa"/>
            <w:bottom w:w="0" w:type="dxa"/>
            <w:right w:w="108" w:type="dxa"/>
          </w:tblCellMar>
        </w:tblPrEx>
        <w:trPr>
          <w:trHeight w:val="400" w:hRule="atLeast"/>
        </w:trPr>
        <w:tc>
          <w:tcPr>
            <w:tcW w:w="8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序号</w:t>
            </w:r>
          </w:p>
        </w:tc>
        <w:tc>
          <w:tcPr>
            <w:tcW w:w="448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分部分项工程名称</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单位</w:t>
            </w:r>
          </w:p>
        </w:tc>
        <w:tc>
          <w:tcPr>
            <w:tcW w:w="16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工程数量</w:t>
            </w:r>
          </w:p>
        </w:tc>
      </w:tr>
      <w:tr>
        <w:tblPrEx>
          <w:tblCellMar>
            <w:top w:w="0" w:type="dxa"/>
            <w:left w:w="108" w:type="dxa"/>
            <w:bottom w:w="0" w:type="dxa"/>
            <w:right w:w="108" w:type="dxa"/>
          </w:tblCellMar>
        </w:tblPrEx>
        <w:trPr>
          <w:trHeight w:val="400" w:hRule="atLeast"/>
        </w:trPr>
        <w:tc>
          <w:tcPr>
            <w:tcW w:w="8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p>
        </w:tc>
        <w:tc>
          <w:tcPr>
            <w:tcW w:w="4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p>
        </w:tc>
        <w:tc>
          <w:tcPr>
            <w:tcW w:w="16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利泽水位自动测报站</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2</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鲨鱼碛水位自动测报站</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3</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泥溪水位自动测报站</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r>
      <w:tr>
        <w:tblPrEx>
          <w:tblCellMar>
            <w:top w:w="0" w:type="dxa"/>
            <w:left w:w="108" w:type="dxa"/>
            <w:bottom w:w="0" w:type="dxa"/>
            <w:right w:w="108" w:type="dxa"/>
          </w:tblCellMar>
        </w:tblPrEx>
        <w:trPr>
          <w:trHeight w:val="597"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4</w:t>
            </w:r>
          </w:p>
        </w:tc>
        <w:tc>
          <w:tcPr>
            <w:tcW w:w="44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钓鱼城水位自动测报站</w:t>
            </w:r>
          </w:p>
        </w:tc>
        <w:tc>
          <w:tcPr>
            <w:tcW w:w="1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w:t>
            </w:r>
          </w:p>
        </w:tc>
        <w:tc>
          <w:tcPr>
            <w:tcW w:w="16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spacing w:line="400" w:lineRule="exact"/>
              <w:rPr>
                <w:rFonts w:ascii="方正仿宋_GBK" w:hAnsi="宋体" w:eastAsia="方正仿宋_GBK"/>
                <w:sz w:val="24"/>
                <w:szCs w:val="24"/>
              </w:rPr>
            </w:pPr>
            <w:r>
              <w:rPr>
                <w:rFonts w:hint="eastAsia" w:ascii="方正仿宋_GBK" w:hAnsi="宋体" w:eastAsia="方正仿宋_GBK"/>
                <w:sz w:val="24"/>
                <w:szCs w:val="24"/>
              </w:rPr>
              <w:t>1</w:t>
            </w:r>
          </w:p>
        </w:tc>
      </w:tr>
    </w:tbl>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p>
      <w:pPr>
        <w:adjustRightInd w:val="0"/>
        <w:snapToGrid w:val="0"/>
        <w:spacing w:line="400" w:lineRule="exact"/>
        <w:ind w:firstLine="480" w:firstLineChars="200"/>
        <w:jc w:val="left"/>
        <w:rPr>
          <w:rFonts w:ascii="方正仿宋_GBK" w:hAnsi="宋体" w:eastAsia="方正仿宋_GBK"/>
          <w:sz w:val="24"/>
          <w:szCs w:val="24"/>
        </w:rPr>
      </w:pPr>
    </w:p>
    <w:bookmarkEnd w:id="59"/>
    <w:p>
      <w:pPr>
        <w:pStyle w:val="2"/>
        <w:spacing w:before="0" w:after="0" w:line="360" w:lineRule="auto"/>
        <w:jc w:val="center"/>
        <w:rPr>
          <w:rFonts w:ascii="方正小标宋_GBK" w:eastAsia="方正小标宋_GBK"/>
          <w:b w:val="0"/>
          <w:sz w:val="36"/>
          <w:szCs w:val="30"/>
        </w:rPr>
      </w:pPr>
      <w:bookmarkStart w:id="60" w:name="_Toc15492"/>
      <w:bookmarkStart w:id="61" w:name="_Toc523"/>
      <w:bookmarkStart w:id="62" w:name="_Toc65660341"/>
      <w:bookmarkStart w:id="63" w:name="_Toc13356"/>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2" w:firstLineChars="200"/>
        <w:rPr>
          <w:rFonts w:ascii="方正仿宋_GBK" w:hAnsi="宋体" w:eastAsia="方正仿宋_GBK"/>
          <w:sz w:val="24"/>
        </w:rPr>
      </w:pPr>
      <w:bookmarkStart w:id="65" w:name="_Toc17750"/>
      <w:bookmarkStart w:id="66" w:name="_Toc13555"/>
      <w:bookmarkStart w:id="67" w:name="_Toc65660342"/>
      <w:bookmarkStart w:id="68" w:name="_Toc12935"/>
      <w:bookmarkStart w:id="69" w:name="_Toc106034782"/>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（一）服务期：合同签订之日起40日历日。</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（二）服务地点：嘉陵江沿线。</w:t>
      </w:r>
    </w:p>
    <w:p>
      <w:pPr>
        <w:spacing w:beforeLines="50"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（三）验收方式：供应商按要求完成项目安装调试后，采购人按相关规范进行验收。</w:t>
      </w:r>
    </w:p>
    <w:p>
      <w:pPr>
        <w:pStyle w:val="2"/>
        <w:adjustRightInd w:val="0"/>
        <w:snapToGrid w:val="0"/>
        <w:spacing w:before="0" w:after="0" w:line="400" w:lineRule="exact"/>
        <w:ind w:firstLine="482" w:firstLineChars="200"/>
        <w:rPr>
          <w:rFonts w:ascii="方正仿宋_GBK" w:hAnsi="宋体" w:eastAsia="方正仿宋_GBK"/>
          <w:sz w:val="24"/>
        </w:rPr>
      </w:pPr>
      <w:bookmarkStart w:id="71" w:name="_Toc24110"/>
      <w:bookmarkStart w:id="72" w:name="_Toc65660343"/>
      <w:bookmarkStart w:id="73" w:name="_Toc1838"/>
      <w:bookmarkStart w:id="74" w:name="_Toc8103"/>
      <w:bookmarkStart w:id="75" w:name="_Toc106034783"/>
      <w:r>
        <w:rPr>
          <w:rFonts w:hint="eastAsia" w:ascii="方正仿宋_GBK" w:hAnsi="宋体" w:eastAsia="方正仿宋_GBK"/>
          <w:sz w:val="24"/>
        </w:rPr>
        <w:t>二、质量保证</w:t>
      </w:r>
      <w:bookmarkEnd w:id="71"/>
      <w:bookmarkEnd w:id="72"/>
      <w:bookmarkEnd w:id="73"/>
      <w:bookmarkEnd w:id="74"/>
      <w:bookmarkEnd w:id="75"/>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（一）服务质量保证期：</w:t>
      </w:r>
      <w:r>
        <w:rPr>
          <w:rFonts w:hint="eastAsia" w:ascii="方正仿宋_GBK" w:hAnsi="宋体" w:eastAsia="方正仿宋_GBK"/>
          <w:color w:val="000000" w:themeColor="text1"/>
          <w:sz w:val="24"/>
          <w:szCs w:val="24"/>
        </w:rPr>
        <w:t>1年</w:t>
      </w:r>
    </w:p>
    <w:p>
      <w:pPr>
        <w:pStyle w:val="2"/>
        <w:adjustRightInd w:val="0"/>
        <w:snapToGrid w:val="0"/>
        <w:spacing w:before="0" w:after="0" w:line="400" w:lineRule="exact"/>
        <w:ind w:firstLine="482" w:firstLineChars="200"/>
        <w:rPr>
          <w:rFonts w:ascii="方正仿宋_GBK" w:hAnsi="宋体" w:eastAsia="方正仿宋_GBK"/>
          <w:sz w:val="24"/>
        </w:rPr>
      </w:pPr>
      <w:bookmarkStart w:id="76" w:name="_Toc16974"/>
      <w:bookmarkStart w:id="77" w:name="_Toc12184"/>
      <w:bookmarkStart w:id="78" w:name="_Toc65660344"/>
      <w:bookmarkStart w:id="79" w:name="_Toc122"/>
      <w:bookmarkStart w:id="80" w:name="_Toc106034784"/>
      <w:r>
        <w:rPr>
          <w:rFonts w:hint="eastAsia" w:ascii="方正仿宋_GBK" w:hAnsi="宋体" w:eastAsia="方正仿宋_GBK"/>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本项目采取固定总价的报价方式，报价须为人民币报价，包括完成本项目所需的人工费、材料费、运输费、安全环保费用以及各种应纳的税费</w:t>
      </w:r>
      <w:r>
        <w:rPr>
          <w:rFonts w:ascii="方正仿宋_GBK" w:hAnsi="宋体" w:eastAsia="方正仿宋_GBK"/>
          <w:sz w:val="24"/>
          <w:szCs w:val="24"/>
        </w:rPr>
        <w:t>。</w:t>
      </w:r>
      <w:r>
        <w:rPr>
          <w:rFonts w:hint="eastAsia" w:ascii="方正仿宋_GBK" w:hAnsi="宋体" w:eastAsia="方正仿宋_GBK"/>
          <w:sz w:val="24"/>
          <w:szCs w:val="24"/>
        </w:rPr>
        <w:t>因成交供应商自身原因造成漏报、少报皆由其自行承担责任，采购人不再补偿。</w:t>
      </w:r>
    </w:p>
    <w:p>
      <w:pPr>
        <w:pStyle w:val="2"/>
        <w:adjustRightInd w:val="0"/>
        <w:snapToGrid w:val="0"/>
        <w:spacing w:before="0" w:after="0" w:line="400" w:lineRule="exact"/>
        <w:ind w:firstLine="482" w:firstLineChars="200"/>
        <w:rPr>
          <w:rFonts w:ascii="方正仿宋_GBK" w:hAnsi="宋体" w:eastAsia="方正仿宋_GBK"/>
          <w:sz w:val="24"/>
          <w:szCs w:val="24"/>
        </w:rPr>
      </w:pPr>
      <w:bookmarkStart w:id="81" w:name="_Toc7562"/>
      <w:bookmarkStart w:id="82" w:name="_Toc65660345"/>
      <w:bookmarkStart w:id="83" w:name="_Toc9192"/>
      <w:bookmarkStart w:id="84" w:name="_Toc11000"/>
      <w:bookmarkStart w:id="85" w:name="_Toc106034785"/>
      <w:r>
        <w:rPr>
          <w:rFonts w:hint="eastAsia" w:ascii="方正仿宋_GBK" w:hAnsi="宋体" w:eastAsia="方正仿宋_GBK"/>
          <w:sz w:val="24"/>
          <w:szCs w:val="24"/>
        </w:rPr>
        <w:t>四、付款方式</w:t>
      </w:r>
      <w:bookmarkEnd w:id="81"/>
      <w:bookmarkEnd w:id="82"/>
      <w:bookmarkEnd w:id="83"/>
      <w:bookmarkEnd w:id="84"/>
      <w:bookmarkEnd w:id="85"/>
    </w:p>
    <w:p>
      <w:pPr>
        <w:adjustRightInd w:val="0"/>
        <w:snapToGrid w:val="0"/>
        <w:spacing w:line="400" w:lineRule="exact"/>
        <w:ind w:firstLine="480" w:firstLineChars="200"/>
        <w:jc w:val="left"/>
        <w:rPr>
          <w:rFonts w:ascii="方正仿宋_GBK" w:hAnsi="宋体" w:eastAsia="方正仿宋_GBK"/>
          <w:sz w:val="24"/>
          <w:szCs w:val="24"/>
        </w:rPr>
      </w:pPr>
      <w:bookmarkStart w:id="86" w:name="OLE_LINK3"/>
      <w:bookmarkStart w:id="87" w:name="OLE_LINK4"/>
      <w:bookmarkStart w:id="88" w:name="_Toc24751"/>
      <w:bookmarkStart w:id="89" w:name="_Toc7228"/>
      <w:bookmarkStart w:id="90" w:name="_Toc65660346"/>
      <w:bookmarkStart w:id="91" w:name="_Toc3786"/>
      <w:bookmarkStart w:id="92" w:name="_Toc106034786"/>
      <w:r>
        <w:rPr>
          <w:rFonts w:hint="eastAsia" w:ascii="方正仿宋_GBK" w:hAnsi="方正仿宋_GBK" w:eastAsia="方正仿宋_GBK" w:cs="方正仿宋_GBK"/>
          <w:color w:val="171A1D"/>
          <w:sz w:val="24"/>
          <w:szCs w:val="24"/>
          <w:shd w:val="clear" w:color="auto" w:fill="FFFFFF"/>
        </w:rPr>
        <w:t>（一）合同签订后，采购人向成交供应商支付合同金额50%的预付款，成交供应商须提供与预付款同等额度的预付款保证金（以支票、汇票、本票或者金融机构、担保机构出具的保函等非现金形式提交）。</w:t>
      </w:r>
      <w:r>
        <w:rPr>
          <w:rFonts w:hint="eastAsia" w:ascii="方正仿宋_GBK" w:hAnsi="方正仿宋_GBK" w:eastAsia="方正仿宋_GBK" w:cs="方正仿宋_GBK"/>
          <w:color w:val="171A1D"/>
          <w:sz w:val="24"/>
          <w:szCs w:val="24"/>
          <w:shd w:val="clear" w:color="auto" w:fill="FFFFFF"/>
        </w:rPr>
        <w:br w:type="textWrapping"/>
      </w:r>
      <w:r>
        <w:rPr>
          <w:rFonts w:hint="eastAsia" w:ascii="方正仿宋_GBK" w:hAnsi="方正仿宋_GBK" w:eastAsia="方正仿宋_GBK" w:cs="方正仿宋_GBK"/>
          <w:color w:val="171A1D"/>
          <w:sz w:val="24"/>
          <w:szCs w:val="24"/>
          <w:shd w:val="clear" w:color="auto" w:fill="FFFFFF"/>
        </w:rPr>
        <w:t xml:space="preserve">    （二）项目</w:t>
      </w:r>
      <w:r>
        <w:rPr>
          <w:rFonts w:hint="eastAsia" w:ascii="方正仿宋_GBK" w:hAnsi="方正仿宋_GBK" w:eastAsia="方正仿宋_GBK" w:cs="方正仿宋_GBK"/>
          <w:sz w:val="24"/>
          <w:szCs w:val="24"/>
        </w:rPr>
        <w:t>完工验收合格后，供应商出具正式发票，采购人于10个工作日内一次性支付剩余合同款项。</w:t>
      </w:r>
      <w:r>
        <w:rPr>
          <w:rFonts w:hint="eastAsia" w:ascii="方正仿宋_GBK" w:hAnsi="方正仿宋_GBK" w:eastAsia="方正仿宋_GBK" w:cs="方正仿宋_GBK"/>
          <w:sz w:val="24"/>
          <w:szCs w:val="24"/>
          <w:shd w:val="clear" w:color="auto" w:fill="FFFFFF"/>
        </w:rPr>
        <w:br w:type="textWrapping"/>
      </w:r>
      <w:r>
        <w:rPr>
          <w:rFonts w:hint="eastAsia" w:ascii="方正仿宋_GBK" w:hAnsi="方正仿宋_GBK" w:eastAsia="方正仿宋_GBK" w:cs="方正仿宋_GBK"/>
          <w:color w:val="171A1D"/>
          <w:sz w:val="24"/>
          <w:szCs w:val="24"/>
          <w:shd w:val="clear" w:color="auto" w:fill="FFFFFF"/>
        </w:rPr>
        <w:t xml:space="preserve">    （三）预付款保证金按相关规定退还。</w:t>
      </w:r>
    </w:p>
    <w:bookmarkEnd w:id="86"/>
    <w:bookmarkEnd w:id="87"/>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五、知识产权</w:t>
      </w:r>
      <w:bookmarkEnd w:id="88"/>
      <w:bookmarkEnd w:id="89"/>
      <w:bookmarkEnd w:id="90"/>
      <w:bookmarkEnd w:id="91"/>
      <w:bookmarkEnd w:id="92"/>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本项目知识产权归采购人所有。</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2"/>
        <w:adjustRightInd w:val="0"/>
        <w:snapToGrid w:val="0"/>
        <w:spacing w:before="0" w:after="0" w:line="400" w:lineRule="exact"/>
        <w:ind w:firstLine="482" w:firstLineChars="200"/>
        <w:rPr>
          <w:rFonts w:ascii="方正仿宋_GBK" w:hAnsi="宋体" w:eastAsia="方正仿宋_GBK"/>
          <w:sz w:val="24"/>
        </w:rPr>
      </w:pPr>
      <w:bookmarkStart w:id="93" w:name="_Toc5555"/>
      <w:bookmarkStart w:id="94" w:name="_Toc6565"/>
      <w:bookmarkStart w:id="95" w:name="_Toc65660347"/>
      <w:bookmarkStart w:id="96" w:name="_Toc6869"/>
      <w:bookmarkStart w:id="97" w:name="_Toc106034787"/>
      <w:r>
        <w:rPr>
          <w:rFonts w:hint="eastAsia" w:ascii="方正仿宋_GBK" w:hAnsi="宋体" w:eastAsia="方正仿宋_GBK"/>
          <w:sz w:val="24"/>
        </w:rPr>
        <w:t>六、培训</w:t>
      </w:r>
      <w:bookmarkEnd w:id="93"/>
      <w:bookmarkEnd w:id="94"/>
      <w:bookmarkEnd w:id="95"/>
      <w:bookmarkEnd w:id="96"/>
      <w:bookmarkEnd w:id="97"/>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2" w:firstLineChars="200"/>
        <w:jc w:val="left"/>
        <w:rPr>
          <w:rFonts w:ascii="方正仿宋_GBK" w:hAnsi="方正仿宋_GBK" w:eastAsia="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hint="eastAsia" w:ascii="方正仿宋_GBK" w:hAnsi="方正仿宋_GBK" w:eastAsia="方正仿宋_GBK" w:cs="方正仿宋_GBK"/>
          <w:sz w:val="24"/>
        </w:rPr>
        <w:t>七、项目风险管控</w:t>
      </w:r>
      <w:bookmarkEnd w:id="98"/>
      <w:bookmarkEnd w:id="99"/>
      <w:bookmarkEnd w:id="100"/>
      <w:bookmarkEnd w:id="101"/>
      <w:bookmarkEnd w:id="102"/>
      <w:bookmarkEnd w:id="10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1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pPr>
        <w:pStyle w:val="2"/>
        <w:adjustRightInd w:val="0"/>
        <w:snapToGrid w:val="0"/>
        <w:spacing w:before="0" w:after="0" w:line="400" w:lineRule="exact"/>
        <w:ind w:firstLine="482" w:firstLineChars="200"/>
        <w:rPr>
          <w:rFonts w:ascii="方正仿宋_GBK" w:hAnsi="方正仿宋_GBK" w:eastAsia="方正仿宋_GBK" w:cs="方正仿宋_GBK"/>
          <w:sz w:val="24"/>
        </w:rPr>
      </w:pPr>
      <w:r>
        <w:rPr>
          <w:rFonts w:hint="eastAsia" w:ascii="方正仿宋_GBK" w:hAnsi="宋体" w:eastAsia="方正仿宋_GBK"/>
          <w:sz w:val="24"/>
        </w:rPr>
        <w:t>八、</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九、合同争议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2" w:firstLineChars="200"/>
        <w:rPr>
          <w:rFonts w:ascii="方正仿宋_GBK" w:hAnsi="宋体" w:eastAsia="方正仿宋_GBK"/>
          <w:sz w:val="24"/>
        </w:rPr>
      </w:pPr>
      <w:r>
        <w:rPr>
          <w:rFonts w:hint="eastAsia" w:ascii="方正仿宋_GBK" w:hAnsi="宋体" w:eastAsia="方正仿宋_GBK"/>
          <w:sz w:val="24"/>
        </w:rPr>
        <w:t>十、其他</w:t>
      </w:r>
      <w:bookmarkEnd w:id="106"/>
      <w:bookmarkEnd w:id="107"/>
      <w:bookmarkEnd w:id="108"/>
      <w:bookmarkEnd w:id="109"/>
      <w:bookmarkEnd w:id="11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snapToGrid w:val="0"/>
        <w:spacing w:line="400" w:lineRule="exact"/>
        <w:ind w:firstLine="540"/>
        <w:rPr>
          <w:rFonts w:ascii="方正仿宋_GBK" w:eastAsia="方正仿宋_GBK"/>
          <w:sz w:val="24"/>
          <w:szCs w:val="24"/>
        </w:rPr>
      </w:pPr>
    </w:p>
    <w:p>
      <w:pPr>
        <w:snapToGrid w:val="0"/>
        <w:spacing w:line="400" w:lineRule="exact"/>
        <w:ind w:firstLine="540"/>
        <w:rPr>
          <w:rFonts w:ascii="方正仿宋_GBK"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hint="eastAsia" w:ascii="方正小标宋_GBK" w:eastAsia="方正小标宋_GBK"/>
          <w:b w:val="0"/>
          <w:sz w:val="36"/>
          <w:szCs w:val="30"/>
        </w:rPr>
        <w:t>第四篇  采购程序、评定成交的标准、无效报价及采购终止</w:t>
      </w:r>
      <w:bookmarkEnd w:id="112"/>
      <w:bookmarkEnd w:id="113"/>
      <w:bookmarkEnd w:id="114"/>
      <w:bookmarkEnd w:id="115"/>
      <w:bookmarkEnd w:id="116"/>
    </w:p>
    <w:p>
      <w:pPr>
        <w:pStyle w:val="2"/>
        <w:adjustRightInd w:val="0"/>
        <w:snapToGrid w:val="0"/>
        <w:spacing w:before="0" w:after="0" w:line="400" w:lineRule="exact"/>
        <w:ind w:firstLine="482" w:firstLineChars="200"/>
        <w:rPr>
          <w:rFonts w:ascii="方正仿宋_GBK" w:hAnsi="宋体" w:eastAsia="方正仿宋_GBK"/>
          <w:sz w:val="24"/>
        </w:rPr>
      </w:pPr>
      <w:bookmarkStart w:id="117" w:name="_Toc27932"/>
      <w:bookmarkStart w:id="118" w:name="_Toc5167"/>
      <w:bookmarkStart w:id="119" w:name="_Toc64732012"/>
      <w:bookmarkStart w:id="120" w:name="_Toc9361"/>
      <w:bookmarkStart w:id="121" w:name="_Toc65660350"/>
      <w:bookmarkStart w:id="122" w:name="_Toc106034790"/>
      <w:r>
        <w:rPr>
          <w:rFonts w:hint="eastAsia" w:ascii="方正仿宋_GBK" w:hAnsi="宋体" w:eastAsia="方正仿宋_GBK"/>
          <w:sz w:val="24"/>
        </w:rPr>
        <w:t>一、采购程序</w:t>
      </w:r>
      <w:bookmarkEnd w:id="117"/>
      <w:bookmarkEnd w:id="118"/>
      <w:bookmarkEnd w:id="119"/>
      <w:bookmarkEnd w:id="120"/>
      <w:bookmarkEnd w:id="121"/>
      <w:bookmarkEnd w:id="12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cs="宋体"/>
          <w:kern w:val="0"/>
          <w:sz w:val="24"/>
          <w:szCs w:val="24"/>
        </w:rPr>
      </w:pPr>
      <w:r>
        <w:rPr>
          <w:rFonts w:ascii="方正仿宋_GBK" w:hAnsi="宋体" w:eastAsia="方正仿宋_GBK" w:cs="宋体"/>
          <w:kern w:val="0"/>
          <w:sz w:val="24"/>
          <w:szCs w:val="24"/>
        </w:rPr>
        <w:fldChar w:fldCharType="begin"/>
      </w:r>
      <w:r>
        <w:rPr>
          <w:rFonts w:ascii="方正仿宋_GBK" w:hAnsi="宋体" w:eastAsia="方正仿宋_GBK" w:cs="宋体"/>
          <w:kern w:val="0"/>
          <w:sz w:val="24"/>
          <w:szCs w:val="24"/>
        </w:rPr>
        <w:instrText xml:space="preserve"> </w:instrText>
      </w:r>
      <w:r>
        <w:rPr>
          <w:rFonts w:hint="eastAsia" w:ascii="方正仿宋_GBK" w:hAnsi="宋体" w:eastAsia="方正仿宋_GBK" w:cs="宋体"/>
          <w:kern w:val="0"/>
          <w:sz w:val="24"/>
          <w:szCs w:val="24"/>
        </w:rPr>
        <w:instrText xml:space="preserve">eq \o\ac(○,</w:instrText>
      </w:r>
      <w:r>
        <w:rPr>
          <w:rFonts w:hint="eastAsia" w:ascii="宋体"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以联合体形式参与比价的，共同联合协议中应确定主办方（主体），</w:t>
      </w:r>
      <w:r>
        <w:rPr>
          <w:rFonts w:hint="eastAsia" w:ascii="方正仿宋_GBK" w:hAnsi="宋体" w:eastAsia="方正仿宋_GBK"/>
          <w:sz w:val="24"/>
        </w:rPr>
        <w:t>代表联合体进行报价和澄清。</w:t>
      </w:r>
      <w:r>
        <w:rPr>
          <w:rFonts w:hint="eastAsia" w:ascii="方正仿宋_GBK" w:hAnsi="宋体" w:eastAsia="方正仿宋_GBK" w:cs="宋体"/>
          <w:kern w:val="0"/>
          <w:sz w:val="24"/>
          <w:szCs w:val="24"/>
        </w:rPr>
        <w:t>联合体各方均应满足供应商资格要求（详见“第一篇”）。</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2" w:firstLineChars="200"/>
        <w:rPr>
          <w:rFonts w:ascii="方正仿宋_GBK" w:hAnsi="宋体" w:eastAsia="方正仿宋_GBK"/>
          <w:sz w:val="24"/>
        </w:rPr>
      </w:pPr>
      <w:bookmarkStart w:id="123" w:name="_Toc5149"/>
      <w:bookmarkStart w:id="124" w:name="_Toc65660351"/>
      <w:bookmarkStart w:id="125" w:name="_Toc11713"/>
      <w:bookmarkStart w:id="126" w:name="_Toc64732013"/>
      <w:bookmarkStart w:id="127" w:name="_Toc30639"/>
      <w:bookmarkStart w:id="128" w:name="_Toc106034791"/>
      <w:r>
        <w:rPr>
          <w:rFonts w:hint="eastAsia" w:ascii="方正仿宋_GBK" w:hAnsi="宋体" w:eastAsia="方正仿宋_GBK"/>
          <w:sz w:val="24"/>
        </w:rPr>
        <w:t>二、评定成交的标准</w:t>
      </w:r>
      <w:bookmarkEnd w:id="123"/>
      <w:bookmarkEnd w:id="124"/>
      <w:bookmarkEnd w:id="125"/>
      <w:bookmarkEnd w:id="126"/>
      <w:bookmarkEnd w:id="127"/>
      <w:bookmarkEnd w:id="12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2" w:firstLineChars="200"/>
        <w:rPr>
          <w:rFonts w:ascii="方正仿宋_GBK" w:hAnsi="宋体" w:eastAsia="方正仿宋_GBK"/>
          <w:sz w:val="24"/>
        </w:rPr>
      </w:pPr>
      <w:bookmarkStart w:id="129" w:name="_Toc29113"/>
      <w:bookmarkStart w:id="130" w:name="_Toc65660352"/>
      <w:bookmarkStart w:id="131" w:name="_Toc12644"/>
      <w:bookmarkStart w:id="132" w:name="_Toc19473"/>
      <w:bookmarkStart w:id="133" w:name="_Toc106034792"/>
      <w:r>
        <w:rPr>
          <w:rFonts w:hint="eastAsia" w:ascii="方正仿宋_GBK" w:hAnsi="宋体" w:eastAsia="方正仿宋_GBK"/>
          <w:sz w:val="24"/>
        </w:rPr>
        <w:t>三、无效</w:t>
      </w:r>
      <w:bookmarkEnd w:id="129"/>
      <w:bookmarkEnd w:id="130"/>
      <w:bookmarkEnd w:id="131"/>
      <w:r>
        <w:rPr>
          <w:rFonts w:hint="eastAsia" w:ascii="方正仿宋_GBK" w:hAnsi="宋体" w:eastAsia="方正仿宋_GBK"/>
          <w:sz w:val="24"/>
        </w:rPr>
        <w:t>报价</w:t>
      </w:r>
      <w:bookmarkEnd w:id="132"/>
      <w:bookmarkEnd w:id="13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2" w:firstLineChars="200"/>
        <w:rPr>
          <w:rFonts w:ascii="方正仿宋_GBK" w:hAnsi="宋体" w:eastAsia="方正仿宋_GBK"/>
          <w:sz w:val="24"/>
        </w:rPr>
      </w:pPr>
      <w:bookmarkStart w:id="134" w:name="_Toc65660353"/>
      <w:bookmarkStart w:id="135" w:name="_Toc22716"/>
      <w:bookmarkStart w:id="136" w:name="_Toc28422"/>
      <w:bookmarkStart w:id="137" w:name="_Toc29298"/>
      <w:bookmarkStart w:id="138" w:name="_Toc106034793"/>
      <w:r>
        <w:rPr>
          <w:rFonts w:hint="eastAsia" w:ascii="方正仿宋_GBK" w:hAnsi="宋体" w:eastAsia="方正仿宋_GBK"/>
          <w:sz w:val="24"/>
        </w:rPr>
        <w:t>四、采购终止</w:t>
      </w:r>
      <w:bookmarkEnd w:id="134"/>
      <w:bookmarkEnd w:id="135"/>
      <w:bookmarkEnd w:id="136"/>
      <w:bookmarkEnd w:id="137"/>
      <w:bookmarkEnd w:id="13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snapToGrid w:val="0"/>
        <w:spacing w:line="400" w:lineRule="exact"/>
        <w:ind w:firstLine="480" w:firstLineChars="200"/>
        <w:rPr>
          <w:rFonts w:ascii="方正仿宋_GBK" w:hAnsi="宋体" w:eastAsia="方正仿宋_GBK"/>
          <w:sz w:val="24"/>
          <w:szCs w:val="24"/>
        </w:rPr>
      </w:pP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39" w:name="_Toc20055"/>
      <w:bookmarkStart w:id="140" w:name="_Toc8916"/>
      <w:bookmarkStart w:id="141" w:name="_Toc10768"/>
      <w:bookmarkStart w:id="142" w:name="_Toc65660354"/>
      <w:bookmarkStart w:id="143" w:name="_Toc106034794"/>
      <w:r>
        <w:rPr>
          <w:rFonts w:hint="eastAsia" w:ascii="方正小标宋_GBK" w:eastAsia="方正小标宋_GBK"/>
          <w:b w:val="0"/>
          <w:sz w:val="36"/>
          <w:szCs w:val="30"/>
        </w:rPr>
        <w:t>第五篇  供应商须知</w:t>
      </w:r>
      <w:bookmarkEnd w:id="139"/>
      <w:bookmarkEnd w:id="140"/>
      <w:bookmarkEnd w:id="141"/>
      <w:bookmarkEnd w:id="142"/>
      <w:bookmarkEnd w:id="143"/>
    </w:p>
    <w:p>
      <w:pPr>
        <w:pStyle w:val="2"/>
        <w:adjustRightInd w:val="0"/>
        <w:snapToGrid w:val="0"/>
        <w:spacing w:before="0" w:after="0" w:line="400" w:lineRule="exact"/>
        <w:ind w:firstLine="482" w:firstLineChars="200"/>
        <w:rPr>
          <w:rFonts w:ascii="方正仿宋_GBK" w:hAnsi="宋体" w:eastAsia="方正仿宋_GBK"/>
          <w:sz w:val="24"/>
        </w:rPr>
      </w:pPr>
      <w:bookmarkStart w:id="144" w:name="_Toc65660355"/>
      <w:bookmarkStart w:id="145" w:name="_Toc16524"/>
      <w:bookmarkStart w:id="146" w:name="_Toc2864"/>
      <w:bookmarkStart w:id="147" w:name="_Toc5290"/>
      <w:bookmarkStart w:id="148" w:name="_Toc106034795"/>
      <w:r>
        <w:rPr>
          <w:rFonts w:hint="eastAsia" w:ascii="方正仿宋_GBK" w:hAnsi="宋体" w:eastAsia="方正仿宋_GBK"/>
          <w:sz w:val="24"/>
        </w:rPr>
        <w:t>一、限额以下比价费用</w:t>
      </w:r>
      <w:bookmarkEnd w:id="144"/>
      <w:bookmarkEnd w:id="145"/>
      <w:bookmarkEnd w:id="146"/>
      <w:bookmarkEnd w:id="147"/>
      <w:bookmarkEnd w:id="148"/>
    </w:p>
    <w:p>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参与报价的供应商应承担其编制响应文件与递交响应文件所涉及的一切费用，不论比价结果如何，采购人和采购代理机构在任何情况下无义务也无责任承担这些费用。</w:t>
      </w:r>
    </w:p>
    <w:p>
      <w:pPr>
        <w:pStyle w:val="2"/>
        <w:adjustRightInd w:val="0"/>
        <w:snapToGrid w:val="0"/>
        <w:spacing w:before="0" w:after="0" w:line="400" w:lineRule="exact"/>
        <w:ind w:firstLine="482" w:firstLineChars="200"/>
        <w:rPr>
          <w:rFonts w:ascii="方正仿宋_GBK" w:hAnsi="宋体" w:eastAsia="方正仿宋_GBK"/>
          <w:sz w:val="24"/>
        </w:rPr>
      </w:pPr>
      <w:bookmarkStart w:id="149" w:name="_Toc31070"/>
      <w:bookmarkStart w:id="150" w:name="_Toc65660356"/>
      <w:bookmarkStart w:id="151" w:name="_Toc31739"/>
      <w:bookmarkStart w:id="152" w:name="_Toc5915"/>
      <w:bookmarkStart w:id="153" w:name="_Toc106034796"/>
      <w:r>
        <w:rPr>
          <w:rFonts w:hint="eastAsia" w:ascii="方正仿宋_GBK" w:hAnsi="宋体" w:eastAsia="方正仿宋_GBK"/>
          <w:sz w:val="24"/>
        </w:rPr>
        <w:t>二、限额以下比价</w:t>
      </w:r>
      <w:bookmarkEnd w:id="149"/>
      <w:bookmarkEnd w:id="150"/>
      <w:bookmarkEnd w:id="151"/>
      <w:bookmarkEnd w:id="152"/>
      <w:bookmarkEnd w:id="15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（二）采购人（或采购代理机构）所作的一切有效的书面通知、修改及补充，都是采购文件不可分割的部分。</w:t>
      </w:r>
    </w:p>
    <w:p>
      <w:pPr>
        <w:pStyle w:val="2"/>
        <w:adjustRightInd w:val="0"/>
        <w:snapToGrid w:val="0"/>
        <w:spacing w:before="0" w:after="0" w:line="400" w:lineRule="exact"/>
        <w:ind w:firstLine="482" w:firstLineChars="200"/>
        <w:rPr>
          <w:rFonts w:ascii="方正仿宋_GBK" w:hAnsi="宋体" w:eastAsia="方正仿宋_GBK"/>
          <w:sz w:val="24"/>
        </w:rPr>
      </w:pPr>
      <w:bookmarkStart w:id="154" w:name="_Toc3061"/>
      <w:bookmarkStart w:id="155" w:name="_Toc9532"/>
      <w:bookmarkStart w:id="156" w:name="_Toc1922"/>
      <w:bookmarkStart w:id="157" w:name="_Toc65660357"/>
      <w:bookmarkStart w:id="158" w:name="_Toc106034797"/>
      <w:r>
        <w:rPr>
          <w:rFonts w:hint="eastAsia" w:ascii="方正仿宋_GBK" w:hAnsi="宋体" w:eastAsia="方正仿宋_GBK"/>
          <w:sz w:val="24"/>
        </w:rPr>
        <w:t>三、报价要求</w:t>
      </w:r>
      <w:bookmarkEnd w:id="154"/>
      <w:bookmarkEnd w:id="155"/>
      <w:bookmarkEnd w:id="156"/>
      <w:bookmarkEnd w:id="157"/>
      <w:bookmarkEnd w:id="15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2.联合体</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2.1两个以上供应商可以组成一个联合体，以一个供应商的身份参与报价。</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2.2以联合体形式参加报价的，联合体各方均应</w:t>
      </w:r>
      <w:r>
        <w:rPr>
          <w:rFonts w:hint="eastAsia" w:ascii="方正仿宋_GBK" w:hAnsi="宋体" w:eastAsia="方正仿宋_GBK" w:cs="宋体"/>
          <w:kern w:val="0"/>
          <w:sz w:val="24"/>
          <w:szCs w:val="24"/>
        </w:rPr>
        <w:t>满足供应商资格要求（详见“第一篇”）</w:t>
      </w:r>
      <w:r>
        <w:rPr>
          <w:rFonts w:hint="eastAsia" w:ascii="方正仿宋_GBK" w:hAnsi="宋体" w:eastAsia="方正仿宋_GBK"/>
          <w:sz w:val="24"/>
        </w:rPr>
        <w:t>。联合体中有同类资质的供应商按照联合体分工承担相同工作的，应当按照资质等级较低的供应商确定资质等级。</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2.5联合体业绩计算，按照共同联合协议分工认定。</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2.6两个以上的自然人、法人或者其他组织组成一个联合体，以一个供应商的身份共同参加政府采购活动的，联合体成员存在不良信用记录的，视同联合体存在不良信用记录。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2" w:firstLineChars="200"/>
        <w:rPr>
          <w:rFonts w:ascii="方正仿宋_GBK" w:hAnsi="宋体" w:eastAsia="方正仿宋_GBK"/>
          <w:sz w:val="24"/>
        </w:rPr>
      </w:pPr>
      <w:bookmarkStart w:id="159" w:name="_Toc14702"/>
      <w:bookmarkStart w:id="160" w:name="_Toc10172"/>
      <w:bookmarkStart w:id="161" w:name="_Toc6242"/>
      <w:bookmarkStart w:id="162" w:name="_Toc65660358"/>
      <w:bookmarkStart w:id="163" w:name="_Toc106034798"/>
      <w:r>
        <w:rPr>
          <w:rFonts w:hint="eastAsia" w:ascii="方正仿宋_GBK" w:hAnsi="宋体" w:eastAsia="方正仿宋_GBK"/>
          <w:sz w:val="24"/>
        </w:rPr>
        <w:t>四、成交供应商的确定和变更</w:t>
      </w:r>
      <w:bookmarkEnd w:id="159"/>
      <w:bookmarkEnd w:id="160"/>
      <w:bookmarkEnd w:id="161"/>
      <w:bookmarkEnd w:id="162"/>
      <w:bookmarkEnd w:id="16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2" w:firstLineChars="200"/>
        <w:rPr>
          <w:rFonts w:ascii="方正仿宋_GBK" w:hAnsi="宋体" w:eastAsia="方正仿宋_GBK"/>
          <w:sz w:val="24"/>
        </w:rPr>
      </w:pPr>
      <w:bookmarkStart w:id="164" w:name="_Toc65660359"/>
      <w:bookmarkStart w:id="165" w:name="_Toc1092"/>
      <w:bookmarkStart w:id="166" w:name="_Toc29821"/>
      <w:bookmarkStart w:id="167" w:name="_Toc10504"/>
      <w:bookmarkStart w:id="168" w:name="_Toc106034799"/>
      <w:r>
        <w:rPr>
          <w:rFonts w:hint="eastAsia" w:ascii="方正仿宋_GBK" w:hAnsi="宋体" w:eastAsia="方正仿宋_GBK"/>
          <w:sz w:val="24"/>
        </w:rPr>
        <w:t>五、成交通知</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（一）成交供应商确定后，将在重庆市交通运输委员会官网上发布成交结果公告。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2" w:firstLineChars="200"/>
        <w:rPr>
          <w:rFonts w:ascii="方正仿宋_GBK" w:hAnsi="宋体" w:eastAsia="方正仿宋_GBK"/>
          <w:sz w:val="24"/>
        </w:rPr>
      </w:pPr>
      <w:bookmarkStart w:id="169" w:name="_Toc1010"/>
      <w:bookmarkStart w:id="170" w:name="_Toc30909"/>
      <w:bookmarkStart w:id="171" w:name="_Toc65660360"/>
      <w:bookmarkStart w:id="172" w:name="_Toc31082"/>
      <w:bookmarkStart w:id="173" w:name="_Toc106034800"/>
      <w:r>
        <w:rPr>
          <w:rFonts w:hint="eastAsia" w:ascii="方正仿宋_GBK" w:hAnsi="宋体" w:eastAsia="方正仿宋_GBK"/>
          <w:sz w:val="24"/>
        </w:rPr>
        <w:t>六、关于质疑和投诉</w:t>
      </w:r>
      <w:bookmarkEnd w:id="169"/>
      <w:bookmarkEnd w:id="170"/>
      <w:bookmarkEnd w:id="171"/>
      <w:bookmarkEnd w:id="172"/>
      <w:bookmarkEnd w:id="17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供应商认为采购文件、采购过程和成交结果使自己的权益收到伤害的，可向采购人或采购代理机构以书面形式提出质疑。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采购人、采购代理机构应当在收到供应商的书面质疑后七个工作日内作出答复，并以书面形式通知质疑供应商和其他有关供应商。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2" w:firstLineChars="200"/>
        <w:rPr>
          <w:rFonts w:ascii="方正仿宋_GBK" w:hAnsi="宋体" w:eastAsia="方正仿宋_GBK"/>
          <w:sz w:val="24"/>
        </w:rPr>
      </w:pPr>
      <w:bookmarkStart w:id="174" w:name="_Toc65660361"/>
      <w:bookmarkStart w:id="175" w:name="_Toc23778"/>
      <w:bookmarkStart w:id="176" w:name="_Toc16648"/>
      <w:bookmarkStart w:id="177" w:name="_Toc3127"/>
      <w:bookmarkStart w:id="178" w:name="_Toc106034801"/>
      <w:r>
        <w:rPr>
          <w:rFonts w:hint="eastAsia" w:ascii="方正仿宋_GBK" w:hAnsi="宋体" w:eastAsia="方正仿宋_GBK"/>
          <w:sz w:val="24"/>
        </w:rPr>
        <w:t>七、签订合同</w:t>
      </w:r>
      <w:bookmarkEnd w:id="174"/>
      <w:bookmarkEnd w:id="175"/>
      <w:bookmarkEnd w:id="176"/>
      <w:bookmarkEnd w:id="177"/>
      <w:bookmarkEnd w:id="17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2" w:firstLineChars="200"/>
        <w:rPr>
          <w:rFonts w:ascii="方正仿宋_GBK" w:hAnsi="宋体" w:eastAsia="方正仿宋_GBK"/>
          <w:sz w:val="24"/>
        </w:rPr>
      </w:pPr>
      <w:bookmarkStart w:id="179" w:name="_Toc77"/>
      <w:bookmarkStart w:id="180" w:name="_Toc106034802"/>
      <w:r>
        <w:rPr>
          <w:rFonts w:hint="eastAsia" w:ascii="方正仿宋_GBK" w:hAnsi="宋体" w:eastAsia="方正仿宋_GBK"/>
          <w:sz w:val="24"/>
        </w:rPr>
        <w:t>八、项目验收</w:t>
      </w:r>
      <w:bookmarkEnd w:id="179"/>
      <w:bookmarkEnd w:id="18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pStyle w:val="2"/>
        <w:adjustRightInd w:val="0"/>
        <w:snapToGrid w:val="0"/>
        <w:spacing w:before="0" w:after="0" w:line="400" w:lineRule="exact"/>
        <w:ind w:firstLine="482" w:firstLineChars="200"/>
        <w:rPr>
          <w:rFonts w:ascii="方正仿宋_GBK" w:hAnsi="宋体" w:eastAsia="方正仿宋_GBK"/>
          <w:sz w:val="24"/>
        </w:rPr>
      </w:pPr>
      <w:bookmarkStart w:id="181" w:name="_Toc29513"/>
      <w:bookmarkStart w:id="182" w:name="_Toc32594"/>
      <w:bookmarkStart w:id="183" w:name="_Toc65660362"/>
      <w:bookmarkStart w:id="184" w:name="_Toc2438"/>
      <w:bookmarkStart w:id="185" w:name="_Toc106034803"/>
      <w:r>
        <w:rPr>
          <w:rFonts w:hint="eastAsia" w:ascii="方正仿宋_GBK" w:hAnsi="宋体" w:eastAsia="方正仿宋_GBK"/>
          <w:sz w:val="24"/>
        </w:rPr>
        <w:t>九、采购代理服务费</w:t>
      </w:r>
      <w:bookmarkEnd w:id="181"/>
      <w:bookmarkEnd w:id="182"/>
      <w:bookmarkEnd w:id="183"/>
      <w:bookmarkEnd w:id="184"/>
      <w:bookmarkEnd w:id="185"/>
    </w:p>
    <w:p>
      <w:pPr>
        <w:spacing w:line="400" w:lineRule="exact"/>
        <w:ind w:firstLine="480" w:firstLineChars="200"/>
        <w:rPr>
          <w:rFonts w:ascii="方正仿宋_GBK" w:hAnsi="宋体" w:eastAsia="方正仿宋_GBK"/>
          <w:b/>
          <w:sz w:val="24"/>
        </w:rPr>
      </w:pPr>
      <w:r>
        <w:rPr>
          <w:rFonts w:hint="eastAsia" w:ascii="方正仿宋_GBK" w:hAnsi="宋体" w:eastAsia="方正仿宋_GBK"/>
          <w:sz w:val="24"/>
        </w:rPr>
        <w:t>（一）供应商成交后向采购代理机构缴纳</w:t>
      </w:r>
      <w:r>
        <w:rPr>
          <w:rFonts w:hint="eastAsia" w:ascii="方正仿宋_GBK" w:hAnsi="宋体" w:eastAsia="方正仿宋_GBK"/>
          <w:sz w:val="24"/>
          <w:szCs w:val="24"/>
        </w:rPr>
        <w:t>采购</w:t>
      </w:r>
      <w:r>
        <w:rPr>
          <w:rFonts w:hint="eastAsia" w:ascii="方正仿宋_GBK" w:hAnsi="宋体" w:eastAsia="方正仿宋_GBK"/>
          <w:sz w:val="24"/>
        </w:rPr>
        <w:t>代理服务费，</w:t>
      </w:r>
      <w:r>
        <w:rPr>
          <w:rFonts w:hint="eastAsia" w:ascii="方正仿宋_GBK" w:hAnsi="宋体" w:eastAsia="方正仿宋_GBK"/>
          <w:sz w:val="24"/>
          <w:szCs w:val="24"/>
        </w:rPr>
        <w:t>采购</w:t>
      </w:r>
      <w:r>
        <w:rPr>
          <w:rFonts w:hint="eastAsia" w:ascii="方正仿宋_GBK" w:hAnsi="宋体" w:eastAsia="方正仿宋_GBK"/>
          <w:sz w:val="24"/>
        </w:rPr>
        <w:t>代理服务费的收取标准按照以下标准执行:</w:t>
      </w:r>
    </w:p>
    <w:p>
      <w:pPr>
        <w:snapToGrid w:val="0"/>
        <w:spacing w:line="400" w:lineRule="exact"/>
        <w:ind w:firstLine="360" w:firstLineChars="150"/>
        <w:rPr>
          <w:rFonts w:ascii="方正仿宋_GBK" w:hAnsi="宋体" w:eastAsia="方正仿宋_GBK"/>
          <w:sz w:val="24"/>
        </w:rPr>
      </w:pPr>
      <w:r>
        <w:rPr>
          <w:rFonts w:hint="eastAsia" w:ascii="方正仿宋_GBK" w:hAnsi="宋体" w:eastAsia="方正仿宋_GBK"/>
          <w:sz w:val="24"/>
        </w:rPr>
        <w:t>XXXXXXX</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rPr>
        <w:t>（二）项目无采购代理机构的不收取代理服务费。</w:t>
      </w:r>
    </w:p>
    <w:p>
      <w:pPr>
        <w:spacing w:line="360" w:lineRule="auto"/>
        <w:ind w:firstLine="480" w:firstLineChars="20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r>
        <w:rPr>
          <w:rFonts w:hint="eastAsia" w:ascii="方正小标宋_GBK" w:eastAsia="方正小标宋_GBK"/>
          <w:b w:val="0"/>
          <w:sz w:val="36"/>
          <w:szCs w:val="30"/>
        </w:rPr>
        <w:t xml:space="preserve">第六篇  </w:t>
      </w:r>
      <w:bookmarkEnd w:id="186"/>
      <w:bookmarkEnd w:id="187"/>
      <w:r>
        <w:rPr>
          <w:rFonts w:hint="eastAsia" w:ascii="方正小标宋_GBK" w:eastAsia="方正小标宋_GBK"/>
          <w:b w:val="0"/>
          <w:sz w:val="36"/>
          <w:szCs w:val="30"/>
        </w:rPr>
        <w:t>合同草案条款</w:t>
      </w:r>
      <w:bookmarkEnd w:id="188"/>
      <w:bookmarkEnd w:id="189"/>
      <w:bookmarkEnd w:id="190"/>
      <w:bookmarkEnd w:id="191"/>
      <w:bookmarkEnd w:id="192"/>
    </w:p>
    <w:p>
      <w:pPr>
        <w:rPr>
          <w:rFonts w:ascii="方正仿宋_GBK" w:eastAsia="方正仿宋_GBK"/>
          <w:sz w:val="24"/>
        </w:rPr>
      </w:pPr>
      <w:bookmarkStart w:id="193" w:name="_Toc303945820"/>
      <w:bookmarkStart w:id="194" w:name="_Toc148265480"/>
      <w:r>
        <w:rPr>
          <w:rFonts w:hint="eastAsia" w:ascii="方正仿宋_GBK" w:eastAsia="方正仿宋_GBK"/>
          <w:sz w:val="24"/>
        </w:rPr>
        <w:t>附页：合同格式</w:t>
      </w:r>
      <w:bookmarkEnd w:id="193"/>
      <w:bookmarkEnd w:id="194"/>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1"/>
        <w:tblW w:w="9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8"/>
        <w:gridCol w:w="1009"/>
        <w:gridCol w:w="603"/>
        <w:gridCol w:w="727"/>
        <w:gridCol w:w="1162"/>
        <w:gridCol w:w="1598"/>
        <w:gridCol w:w="1606"/>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7" w:hRule="atLeast"/>
        </w:trPr>
        <w:tc>
          <w:tcPr>
            <w:tcW w:w="3148"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100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330"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62"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98"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606"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3148" w:type="dxa"/>
            <w:vAlign w:val="center"/>
          </w:tcPr>
          <w:p>
            <w:pPr>
              <w:spacing w:line="240" w:lineRule="atLeast"/>
              <w:rPr>
                <w:rFonts w:ascii="方正仿宋_GBK" w:eastAsia="方正仿宋_GBK"/>
                <w:sz w:val="21"/>
                <w:szCs w:val="21"/>
              </w:rPr>
            </w:pPr>
          </w:p>
        </w:tc>
        <w:tc>
          <w:tcPr>
            <w:tcW w:w="1009" w:type="dxa"/>
            <w:vAlign w:val="center"/>
          </w:tcPr>
          <w:p>
            <w:pPr>
              <w:spacing w:line="240" w:lineRule="atLeast"/>
              <w:rPr>
                <w:rFonts w:ascii="方正仿宋_GBK" w:eastAsia="方正仿宋_GBK"/>
                <w:sz w:val="21"/>
                <w:szCs w:val="21"/>
              </w:rPr>
            </w:pPr>
          </w:p>
        </w:tc>
        <w:tc>
          <w:tcPr>
            <w:tcW w:w="1330" w:type="dxa"/>
            <w:gridSpan w:val="2"/>
            <w:vAlign w:val="center"/>
          </w:tcPr>
          <w:p>
            <w:pPr>
              <w:spacing w:line="240" w:lineRule="atLeast"/>
              <w:rPr>
                <w:rFonts w:ascii="方正仿宋_GBK" w:eastAsia="方正仿宋_GBK"/>
                <w:sz w:val="21"/>
                <w:szCs w:val="21"/>
              </w:rPr>
            </w:pPr>
          </w:p>
        </w:tc>
        <w:tc>
          <w:tcPr>
            <w:tcW w:w="1162" w:type="dxa"/>
            <w:vAlign w:val="center"/>
          </w:tcPr>
          <w:p>
            <w:pPr>
              <w:spacing w:line="240" w:lineRule="atLeast"/>
              <w:rPr>
                <w:rFonts w:ascii="方正仿宋_GBK" w:eastAsia="方正仿宋_GBK"/>
                <w:sz w:val="21"/>
                <w:szCs w:val="21"/>
              </w:rPr>
            </w:pPr>
          </w:p>
        </w:tc>
        <w:tc>
          <w:tcPr>
            <w:tcW w:w="1598" w:type="dxa"/>
            <w:vAlign w:val="center"/>
          </w:tcPr>
          <w:p>
            <w:pPr>
              <w:spacing w:line="240" w:lineRule="atLeast"/>
              <w:rPr>
                <w:rFonts w:ascii="方正仿宋_GBK" w:eastAsia="方正仿宋_GBK"/>
                <w:sz w:val="21"/>
                <w:szCs w:val="21"/>
              </w:rPr>
            </w:pPr>
          </w:p>
        </w:tc>
        <w:tc>
          <w:tcPr>
            <w:tcW w:w="1606"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3148" w:type="dxa"/>
            <w:vAlign w:val="center"/>
          </w:tcPr>
          <w:p>
            <w:pPr>
              <w:spacing w:line="240" w:lineRule="atLeast"/>
              <w:rPr>
                <w:rFonts w:ascii="方正仿宋_GBK" w:eastAsia="方正仿宋_GBK"/>
                <w:sz w:val="21"/>
                <w:szCs w:val="21"/>
              </w:rPr>
            </w:pPr>
          </w:p>
        </w:tc>
        <w:tc>
          <w:tcPr>
            <w:tcW w:w="1009" w:type="dxa"/>
            <w:vAlign w:val="center"/>
          </w:tcPr>
          <w:p>
            <w:pPr>
              <w:spacing w:line="240" w:lineRule="atLeast"/>
              <w:rPr>
                <w:rFonts w:ascii="方正仿宋_GBK" w:eastAsia="方正仿宋_GBK"/>
                <w:sz w:val="21"/>
                <w:szCs w:val="21"/>
              </w:rPr>
            </w:pPr>
          </w:p>
        </w:tc>
        <w:tc>
          <w:tcPr>
            <w:tcW w:w="1330" w:type="dxa"/>
            <w:gridSpan w:val="2"/>
            <w:vAlign w:val="center"/>
          </w:tcPr>
          <w:p>
            <w:pPr>
              <w:spacing w:line="240" w:lineRule="atLeast"/>
              <w:rPr>
                <w:rFonts w:ascii="方正仿宋_GBK" w:eastAsia="方正仿宋_GBK"/>
                <w:sz w:val="21"/>
                <w:szCs w:val="21"/>
              </w:rPr>
            </w:pPr>
          </w:p>
        </w:tc>
        <w:tc>
          <w:tcPr>
            <w:tcW w:w="1162" w:type="dxa"/>
            <w:vAlign w:val="center"/>
          </w:tcPr>
          <w:p>
            <w:pPr>
              <w:spacing w:line="240" w:lineRule="atLeast"/>
              <w:rPr>
                <w:rFonts w:ascii="方正仿宋_GBK" w:eastAsia="方正仿宋_GBK"/>
                <w:sz w:val="21"/>
                <w:szCs w:val="21"/>
              </w:rPr>
            </w:pPr>
          </w:p>
        </w:tc>
        <w:tc>
          <w:tcPr>
            <w:tcW w:w="1598" w:type="dxa"/>
            <w:vAlign w:val="center"/>
          </w:tcPr>
          <w:p>
            <w:pPr>
              <w:spacing w:line="240" w:lineRule="atLeast"/>
              <w:rPr>
                <w:rFonts w:ascii="方正仿宋_GBK" w:eastAsia="方正仿宋_GBK"/>
                <w:sz w:val="21"/>
                <w:szCs w:val="21"/>
              </w:rPr>
            </w:pPr>
          </w:p>
        </w:tc>
        <w:tc>
          <w:tcPr>
            <w:tcW w:w="1606"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27" w:hRule="atLeast"/>
        </w:trPr>
        <w:tc>
          <w:tcPr>
            <w:tcW w:w="985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6" w:hRule="atLeast"/>
        </w:trPr>
        <w:tc>
          <w:tcPr>
            <w:tcW w:w="985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82" w:hRule="atLeast"/>
        </w:trPr>
        <w:tc>
          <w:tcPr>
            <w:tcW w:w="985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86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4760"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5108"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986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9" w:type="default"/>
          <w:footerReference r:id="rId10"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95" w:name="_Hlt41879464"/>
      <w:bookmarkEnd w:id="195"/>
      <w:bookmarkStart w:id="196" w:name="_Toc65660378"/>
      <w:bookmarkStart w:id="197" w:name="_Toc6968"/>
      <w:bookmarkStart w:id="198" w:name="_Toc12789072"/>
      <w:bookmarkStart w:id="199" w:name="_Toc18521"/>
      <w:bookmarkStart w:id="200" w:name="_Toc106034807"/>
      <w:bookmarkStart w:id="201" w:name="_Toc9538"/>
      <w:r>
        <w:rPr>
          <w:rFonts w:hint="eastAsia" w:ascii="方正小标宋_GBK" w:eastAsia="方正小标宋_GBK"/>
          <w:b w:val="0"/>
          <w:sz w:val="36"/>
          <w:szCs w:val="30"/>
        </w:rPr>
        <w:t>第七篇  响应文件格式要求</w:t>
      </w:r>
      <w:bookmarkEnd w:id="196"/>
      <w:bookmarkEnd w:id="197"/>
      <w:bookmarkEnd w:id="198"/>
      <w:bookmarkEnd w:id="199"/>
      <w:bookmarkEnd w:id="200"/>
      <w:bookmarkEnd w:id="201"/>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02" w:name="_Toc65660379"/>
      <w:bookmarkStart w:id="203" w:name="_Toc30982"/>
      <w:bookmarkStart w:id="204" w:name="_Toc14244"/>
      <w:bookmarkStart w:id="205" w:name="_Toc342913419"/>
      <w:bookmarkStart w:id="206" w:name="_Toc313008356"/>
      <w:bookmarkStart w:id="207" w:name="_Toc26343"/>
      <w:bookmarkStart w:id="208" w:name="_Toc313888360"/>
      <w:bookmarkStart w:id="209" w:name="_Toc106034808"/>
      <w:bookmarkStart w:id="210" w:name="_Toc283382454"/>
      <w:bookmarkStart w:id="211" w:name="_Toc12789073"/>
      <w:r>
        <w:rPr>
          <w:rFonts w:hint="eastAsia" w:ascii="方正仿宋_GBK" w:hAnsi="宋体" w:eastAsia="方正仿宋_GBK"/>
          <w:sz w:val="24"/>
        </w:rPr>
        <w:t>一、经济部分</w:t>
      </w:r>
      <w:bookmarkEnd w:id="202"/>
      <w:bookmarkEnd w:id="203"/>
      <w:bookmarkEnd w:id="204"/>
      <w:bookmarkEnd w:id="205"/>
      <w:bookmarkEnd w:id="206"/>
      <w:bookmarkEnd w:id="207"/>
      <w:bookmarkEnd w:id="208"/>
      <w:bookmarkEnd w:id="209"/>
    </w:p>
    <w:bookmarkEnd w:id="210"/>
    <w:bookmarkEnd w:id="211"/>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2"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1.愿意按照采购文件中的一切要求，提供本项目服务，项目报价（单价）为人民币大写：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7.如果我方成为成交供应商，保证向采购代理机构缴纳采购文件规定的采购代理服务费。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rPr>
      </w:pPr>
      <w:r>
        <w:rPr>
          <w:rFonts w:hint="eastAsia" w:ascii="方正仿宋_GBK" w:hAnsi="宋体" w:eastAsia="方正仿宋_GBK"/>
          <w:sz w:val="24"/>
          <w:szCs w:val="24"/>
        </w:rPr>
        <w:t xml:space="preserve">项目名称（服务类）： </w:t>
      </w:r>
    </w:p>
    <w:tbl>
      <w:tblPr>
        <w:tblStyle w:val="11"/>
        <w:tblW w:w="9389" w:type="dxa"/>
        <w:tblInd w:w="96" w:type="dxa"/>
        <w:tblLayout w:type="autofit"/>
        <w:tblCellMar>
          <w:top w:w="0" w:type="dxa"/>
          <w:left w:w="108" w:type="dxa"/>
          <w:bottom w:w="0" w:type="dxa"/>
          <w:right w:w="108" w:type="dxa"/>
        </w:tblCellMar>
      </w:tblPr>
      <w:tblGrid>
        <w:gridCol w:w="701"/>
        <w:gridCol w:w="2428"/>
        <w:gridCol w:w="607"/>
        <w:gridCol w:w="705"/>
        <w:gridCol w:w="1140"/>
        <w:gridCol w:w="1137"/>
        <w:gridCol w:w="2672"/>
      </w:tblGrid>
      <w:tr>
        <w:tblPrEx>
          <w:tblCellMar>
            <w:top w:w="0" w:type="dxa"/>
            <w:left w:w="108" w:type="dxa"/>
            <w:bottom w:w="0" w:type="dxa"/>
            <w:right w:w="108" w:type="dxa"/>
          </w:tblCellMar>
        </w:tblPrEx>
        <w:trPr>
          <w:trHeight w:val="470" w:hRule="atLeast"/>
        </w:trPr>
        <w:tc>
          <w:tcPr>
            <w:tcW w:w="9389"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方正仿宋_GBK" w:hAnsi="宋体" w:eastAsia="方正仿宋_GBK"/>
                <w:sz w:val="24"/>
                <w:szCs w:val="24"/>
              </w:rPr>
              <w:t>一、利泽水位自动测报站报价表</w:t>
            </w:r>
          </w:p>
        </w:tc>
      </w:tr>
      <w:tr>
        <w:tblPrEx>
          <w:tblCellMar>
            <w:top w:w="0" w:type="dxa"/>
            <w:left w:w="108" w:type="dxa"/>
            <w:bottom w:w="0" w:type="dxa"/>
            <w:right w:w="108" w:type="dxa"/>
          </w:tblCellMar>
        </w:tblPrEx>
        <w:trPr>
          <w:trHeight w:val="470" w:hRule="atLeast"/>
        </w:trPr>
        <w:tc>
          <w:tcPr>
            <w:tcW w:w="70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2428"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07"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w:t>
            </w:r>
          </w:p>
        </w:tc>
        <w:tc>
          <w:tcPr>
            <w:tcW w:w="705"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数量</w:t>
            </w:r>
          </w:p>
        </w:tc>
        <w:tc>
          <w:tcPr>
            <w:tcW w:w="1139"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137"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2671"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4880"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利泽站仪器设备费</w:t>
            </w: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w:t>
            </w:r>
          </w:p>
        </w:tc>
        <w:tc>
          <w:tcPr>
            <w:tcW w:w="242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雷达流量计</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量程40米、支持流速、流量、液位功能。</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采集终端RTU</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台</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支持一包多发</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1-3</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通信模块</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4G全网通</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1-4</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太阳能电池板</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200W</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1-5</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充电控制器</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智能</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1-6</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蓄电池</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锂电，12V100AH</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1-7</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物联网卡</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3年流量费</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1-8</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机箱</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防水</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1-9</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多功能立杆</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可360度转动，方便后期维护</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1-10</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防雷接地</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接地电阻≤10Ω</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1-11</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工业照相机</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拍照</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1-12</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软件</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数据采集、传输</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1-13</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辅材</w:t>
            </w:r>
          </w:p>
        </w:tc>
        <w:tc>
          <w:tcPr>
            <w:tcW w:w="60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0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3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线缆、管材、配件（螺杆、螺栓、螺帽）等</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w:t>
            </w:r>
          </w:p>
        </w:tc>
        <w:tc>
          <w:tcPr>
            <w:tcW w:w="4880"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利泽站建安费：1*1*1.5（米）</w:t>
            </w: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人工挖地坑土方</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1.30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人工挖基坑石方</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2-3</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人工回填土石方</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1.80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2-4</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填筑碎石垫层</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0.38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2-5</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现浇混凝土独立基础</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1.50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2-6</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人力二次搬运200m（碎石、商品砼）</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2-7</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船舶租赁及燃油费</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天</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0.50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2-8</w:t>
            </w:r>
          </w:p>
        </w:tc>
        <w:tc>
          <w:tcPr>
            <w:tcW w:w="242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设备安装调试</w:t>
            </w:r>
          </w:p>
        </w:tc>
        <w:tc>
          <w:tcPr>
            <w:tcW w:w="60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站</w:t>
            </w:r>
          </w:p>
        </w:tc>
        <w:tc>
          <w:tcPr>
            <w:tcW w:w="70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3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70" w:hRule="atLeast"/>
        </w:trPr>
        <w:tc>
          <w:tcPr>
            <w:tcW w:w="701"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4880" w:type="dxa"/>
            <w:gridSpan w:val="4"/>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总计（1利泽站仪器设备费+2利泽站建安费）：</w:t>
            </w:r>
          </w:p>
        </w:tc>
        <w:tc>
          <w:tcPr>
            <w:tcW w:w="113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7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r>
    </w:tbl>
    <w:p>
      <w:pPr>
        <w:spacing w:line="400" w:lineRule="exact"/>
        <w:rPr>
          <w:rFonts w:ascii="方正仿宋_GBK" w:hAnsi="宋体" w:eastAsia="方正仿宋_GBK"/>
          <w:sz w:val="24"/>
          <w:szCs w:val="24"/>
        </w:rPr>
      </w:pPr>
    </w:p>
    <w:tbl>
      <w:tblPr>
        <w:tblStyle w:val="11"/>
        <w:tblW w:w="9460" w:type="dxa"/>
        <w:tblInd w:w="96" w:type="dxa"/>
        <w:tblLayout w:type="autofit"/>
        <w:tblCellMar>
          <w:top w:w="0" w:type="dxa"/>
          <w:left w:w="108" w:type="dxa"/>
          <w:bottom w:w="0" w:type="dxa"/>
          <w:right w:w="108" w:type="dxa"/>
        </w:tblCellMar>
      </w:tblPr>
      <w:tblGrid>
        <w:gridCol w:w="697"/>
        <w:gridCol w:w="2446"/>
        <w:gridCol w:w="606"/>
        <w:gridCol w:w="823"/>
        <w:gridCol w:w="1115"/>
        <w:gridCol w:w="1133"/>
        <w:gridCol w:w="2640"/>
      </w:tblGrid>
      <w:tr>
        <w:tblPrEx>
          <w:tblCellMar>
            <w:top w:w="0" w:type="dxa"/>
            <w:left w:w="108" w:type="dxa"/>
            <w:bottom w:w="0" w:type="dxa"/>
            <w:right w:w="108" w:type="dxa"/>
          </w:tblCellMar>
        </w:tblPrEx>
        <w:trPr>
          <w:trHeight w:val="447" w:hRule="atLeast"/>
        </w:trPr>
        <w:tc>
          <w:tcPr>
            <w:tcW w:w="9460"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方正仿宋_GBK" w:hAnsi="宋体" w:eastAsia="方正仿宋_GBK"/>
                <w:sz w:val="24"/>
                <w:szCs w:val="24"/>
              </w:rPr>
              <w:t>二、鲨鱼碛水位自动测报站报价表</w:t>
            </w:r>
          </w:p>
        </w:tc>
      </w:tr>
      <w:tr>
        <w:tblPrEx>
          <w:tblCellMar>
            <w:top w:w="0" w:type="dxa"/>
            <w:left w:w="108" w:type="dxa"/>
            <w:bottom w:w="0" w:type="dxa"/>
            <w:right w:w="108" w:type="dxa"/>
          </w:tblCellMar>
        </w:tblPrEx>
        <w:trPr>
          <w:trHeight w:val="447" w:hRule="atLeast"/>
        </w:trPr>
        <w:tc>
          <w:tcPr>
            <w:tcW w:w="69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244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0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w:t>
            </w:r>
          </w:p>
        </w:tc>
        <w:tc>
          <w:tcPr>
            <w:tcW w:w="823"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数量</w:t>
            </w:r>
          </w:p>
        </w:tc>
        <w:tc>
          <w:tcPr>
            <w:tcW w:w="1115"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133"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2640"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4990"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鲨鱼碛站仪器设备费</w:t>
            </w: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w:t>
            </w:r>
          </w:p>
        </w:tc>
        <w:tc>
          <w:tcPr>
            <w:tcW w:w="2446"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雷达水位计</w:t>
            </w:r>
          </w:p>
        </w:tc>
        <w:tc>
          <w:tcPr>
            <w:tcW w:w="6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量程40米</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w:t>
            </w:r>
          </w:p>
        </w:tc>
        <w:tc>
          <w:tcPr>
            <w:tcW w:w="2446"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采集终端RTU</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台</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支持一包多发</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1-3</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通信模块</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4G全网通</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1-4</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太阳能电池板</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200W</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1-5</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充电控制器</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智能</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1-6</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蓄电池</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锂电，12V100AH</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1-7</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物联网卡</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3年流量费</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1-8</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机箱</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防水</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1-9</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多功能立杆</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可360度转动，方便后期维护</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1-10</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防雷接地</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接地电阻≤10Ω</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1-11</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工业照相机</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拍照</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1-12</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软件</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数据采集、传输</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1-13</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辅材</w:t>
            </w:r>
          </w:p>
        </w:tc>
        <w:tc>
          <w:tcPr>
            <w:tcW w:w="60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2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15"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线缆、管材、配件（螺杆、螺栓、螺帽）等</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w:t>
            </w:r>
          </w:p>
        </w:tc>
        <w:tc>
          <w:tcPr>
            <w:tcW w:w="4990"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鲨鱼碛站建安费：2*2*4（米）</w:t>
            </w: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人工挖地坑土方</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9.00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人工挖基坑石方</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4.00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2-3</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人工回填土石方</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7.00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2-4</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填筑碎石垫层</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2.00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2-5</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现浇混凝土独立基础</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13.00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2-6</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现浇混凝土钢筋</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t</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0.05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2-7</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人力二次搬运200m（碎石、商品砼、钢筋）</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2-8</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船舶租赁及燃油费</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天</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2-9</w:t>
            </w:r>
          </w:p>
        </w:tc>
        <w:tc>
          <w:tcPr>
            <w:tcW w:w="244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设备安装调试</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站</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w:t>
            </w:r>
          </w:p>
        </w:tc>
        <w:tc>
          <w:tcPr>
            <w:tcW w:w="244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钢爬梯</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kg</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58.00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2-11</w:t>
            </w:r>
          </w:p>
        </w:tc>
        <w:tc>
          <w:tcPr>
            <w:tcW w:w="244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高强螺栓</w:t>
            </w:r>
          </w:p>
        </w:tc>
        <w:tc>
          <w:tcPr>
            <w:tcW w:w="60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套</w:t>
            </w:r>
          </w:p>
        </w:tc>
        <w:tc>
          <w:tcPr>
            <w:tcW w:w="8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16.00 </w:t>
            </w:r>
          </w:p>
        </w:tc>
        <w:tc>
          <w:tcPr>
            <w:tcW w:w="111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47" w:hRule="atLeast"/>
        </w:trPr>
        <w:tc>
          <w:tcPr>
            <w:tcW w:w="697"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4990" w:type="dxa"/>
            <w:gridSpan w:val="4"/>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总计（1鲨鱼碛站仪器设备费+2鲨鱼碛站建安费）：</w:t>
            </w:r>
          </w:p>
        </w:tc>
        <w:tc>
          <w:tcPr>
            <w:tcW w:w="11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6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400" w:lineRule="exact"/>
        <w:rPr>
          <w:rFonts w:ascii="方正仿宋_GBK" w:hAnsi="宋体" w:eastAsia="方正仿宋_GBK"/>
          <w:sz w:val="24"/>
          <w:szCs w:val="24"/>
        </w:rPr>
      </w:pPr>
    </w:p>
    <w:tbl>
      <w:tblPr>
        <w:tblStyle w:val="11"/>
        <w:tblW w:w="9506" w:type="dxa"/>
        <w:tblInd w:w="96" w:type="dxa"/>
        <w:tblLayout w:type="autofit"/>
        <w:tblCellMar>
          <w:top w:w="0" w:type="dxa"/>
          <w:left w:w="108" w:type="dxa"/>
          <w:bottom w:w="0" w:type="dxa"/>
          <w:right w:w="108" w:type="dxa"/>
        </w:tblCellMar>
      </w:tblPr>
      <w:tblGrid>
        <w:gridCol w:w="706"/>
        <w:gridCol w:w="2551"/>
        <w:gridCol w:w="613"/>
        <w:gridCol w:w="833"/>
        <w:gridCol w:w="1129"/>
        <w:gridCol w:w="1148"/>
        <w:gridCol w:w="2526"/>
      </w:tblGrid>
      <w:tr>
        <w:tblPrEx>
          <w:tblCellMar>
            <w:top w:w="0" w:type="dxa"/>
            <w:left w:w="108" w:type="dxa"/>
            <w:bottom w:w="0" w:type="dxa"/>
            <w:right w:w="108" w:type="dxa"/>
          </w:tblCellMar>
        </w:tblPrEx>
        <w:trPr>
          <w:trHeight w:val="454" w:hRule="atLeast"/>
        </w:trPr>
        <w:tc>
          <w:tcPr>
            <w:tcW w:w="9506"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方正仿宋_GBK" w:hAnsi="宋体" w:eastAsia="方正仿宋_GBK"/>
                <w:sz w:val="24"/>
                <w:szCs w:val="24"/>
              </w:rPr>
              <w:t>三、泥溪水位自动测报站报价表</w:t>
            </w:r>
          </w:p>
        </w:tc>
      </w:tr>
      <w:tr>
        <w:tblPrEx>
          <w:tblCellMar>
            <w:top w:w="0" w:type="dxa"/>
            <w:left w:w="108" w:type="dxa"/>
            <w:bottom w:w="0" w:type="dxa"/>
            <w:right w:w="108" w:type="dxa"/>
          </w:tblCellMar>
        </w:tblPrEx>
        <w:trPr>
          <w:trHeight w:val="454" w:hRule="atLeast"/>
        </w:trPr>
        <w:tc>
          <w:tcPr>
            <w:tcW w:w="70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2551"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13"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w:t>
            </w:r>
          </w:p>
        </w:tc>
        <w:tc>
          <w:tcPr>
            <w:tcW w:w="833"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数量</w:t>
            </w:r>
          </w:p>
        </w:tc>
        <w:tc>
          <w:tcPr>
            <w:tcW w:w="1129"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148"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2526"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5126"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泥溪站仪器设备费</w:t>
            </w: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w:t>
            </w:r>
          </w:p>
        </w:tc>
        <w:tc>
          <w:tcPr>
            <w:tcW w:w="2551"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雷达水位计</w:t>
            </w:r>
          </w:p>
        </w:tc>
        <w:tc>
          <w:tcPr>
            <w:tcW w:w="613"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量程40米</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w:t>
            </w:r>
          </w:p>
        </w:tc>
        <w:tc>
          <w:tcPr>
            <w:tcW w:w="2551" w:type="dxa"/>
            <w:tcBorders>
              <w:top w:val="single" w:color="auto" w:sz="8" w:space="0"/>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采集终端RTU</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台</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支持一包多发</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1-3</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通信模块</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4G全网通</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1-4</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太阳能电池板</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200W</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1-5</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充电控制器</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智能</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1-6</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蓄电池</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锂电，12V100AH</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1-7</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物联网卡</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3年流量费</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1-8</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机箱</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防水</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1-9</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多功能立杆</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可360度转动，方便后期维护</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1-10</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防雷接地</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接地电阻≤10Ω</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1-11</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工业照相机</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拍照</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1-12</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软件</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数据采集、传输</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1-13</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辅材</w:t>
            </w:r>
          </w:p>
        </w:tc>
        <w:tc>
          <w:tcPr>
            <w:tcW w:w="61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83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29"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线缆、管材、配件（螺杆、螺栓、螺帽）等</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w:t>
            </w:r>
          </w:p>
        </w:tc>
        <w:tc>
          <w:tcPr>
            <w:tcW w:w="5126"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泥溪站建安费：2*2*4（米）</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人工挖地坑土方</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9.00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人工挖基坑石方</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4.00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2-3</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人工回填土石方</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7.00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2-4</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填筑碎石垫层</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2.00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2-5</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现浇混凝土独立基础</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13.00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2-6</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现浇混凝土钢筋</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t</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0.05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2-7</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人力二次搬运200m（碎石、商品砼、钢筋）</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2-8</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船舶租赁及燃油费</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天</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2-9</w:t>
            </w:r>
          </w:p>
        </w:tc>
        <w:tc>
          <w:tcPr>
            <w:tcW w:w="2551"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设备安装调试</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站</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2-10</w:t>
            </w:r>
          </w:p>
        </w:tc>
        <w:tc>
          <w:tcPr>
            <w:tcW w:w="255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钢爬梯</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kg</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58.00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2-11</w:t>
            </w:r>
          </w:p>
        </w:tc>
        <w:tc>
          <w:tcPr>
            <w:tcW w:w="2551"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高强螺栓</w:t>
            </w:r>
          </w:p>
        </w:tc>
        <w:tc>
          <w:tcPr>
            <w:tcW w:w="61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套</w:t>
            </w:r>
          </w:p>
        </w:tc>
        <w:tc>
          <w:tcPr>
            <w:tcW w:w="83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16.00 </w:t>
            </w:r>
          </w:p>
        </w:tc>
        <w:tc>
          <w:tcPr>
            <w:tcW w:w="1129"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atLeast"/>
        </w:trPr>
        <w:tc>
          <w:tcPr>
            <w:tcW w:w="706"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5126" w:type="dxa"/>
            <w:gridSpan w:val="4"/>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总计（1泥溪站仪器设备费+2泥溪站建安费）：</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526"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400" w:lineRule="exact"/>
        <w:rPr>
          <w:rFonts w:ascii="方正仿宋_GBK" w:hAnsi="宋体" w:eastAsia="方正仿宋_GBK"/>
          <w:sz w:val="24"/>
          <w:szCs w:val="24"/>
        </w:rPr>
      </w:pPr>
    </w:p>
    <w:tbl>
      <w:tblPr>
        <w:tblStyle w:val="11"/>
        <w:tblW w:w="9297" w:type="dxa"/>
        <w:tblInd w:w="96" w:type="dxa"/>
        <w:tblLayout w:type="autofit"/>
        <w:tblCellMar>
          <w:top w:w="0" w:type="dxa"/>
          <w:left w:w="108" w:type="dxa"/>
          <w:bottom w:w="0" w:type="dxa"/>
          <w:right w:w="108" w:type="dxa"/>
        </w:tblCellMar>
      </w:tblPr>
      <w:tblGrid>
        <w:gridCol w:w="718"/>
        <w:gridCol w:w="2443"/>
        <w:gridCol w:w="623"/>
        <w:gridCol w:w="723"/>
        <w:gridCol w:w="1148"/>
        <w:gridCol w:w="1147"/>
        <w:gridCol w:w="2495"/>
      </w:tblGrid>
      <w:tr>
        <w:tblPrEx>
          <w:tblCellMar>
            <w:top w:w="0" w:type="dxa"/>
            <w:left w:w="108" w:type="dxa"/>
            <w:bottom w:w="0" w:type="dxa"/>
            <w:right w:w="108" w:type="dxa"/>
          </w:tblCellMar>
        </w:tblPrEx>
        <w:trPr>
          <w:trHeight w:val="506" w:hRule="atLeast"/>
        </w:trPr>
        <w:tc>
          <w:tcPr>
            <w:tcW w:w="9297"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方正仿宋_GBK" w:hAnsi="宋体" w:eastAsia="方正仿宋_GBK"/>
                <w:sz w:val="24"/>
                <w:szCs w:val="24"/>
              </w:rPr>
              <w:t>四、钓鱼城水位自动测报站报价表</w:t>
            </w:r>
          </w:p>
        </w:tc>
      </w:tr>
      <w:tr>
        <w:tblPrEx>
          <w:tblCellMar>
            <w:top w:w="0" w:type="dxa"/>
            <w:left w:w="108" w:type="dxa"/>
            <w:bottom w:w="0" w:type="dxa"/>
            <w:right w:w="108" w:type="dxa"/>
          </w:tblCellMar>
        </w:tblPrEx>
        <w:trPr>
          <w:trHeight w:val="506" w:hRule="atLeast"/>
        </w:trPr>
        <w:tc>
          <w:tcPr>
            <w:tcW w:w="7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2443"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23"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w:t>
            </w:r>
          </w:p>
        </w:tc>
        <w:tc>
          <w:tcPr>
            <w:tcW w:w="723"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数量</w:t>
            </w:r>
          </w:p>
        </w:tc>
        <w:tc>
          <w:tcPr>
            <w:tcW w:w="1148"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147"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2495"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4937" w:type="dxa"/>
            <w:gridSpan w:val="4"/>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钓鱼城站仪器设备费</w:t>
            </w: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w:t>
            </w:r>
          </w:p>
        </w:tc>
        <w:tc>
          <w:tcPr>
            <w:tcW w:w="2443"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雷达水位计</w:t>
            </w:r>
          </w:p>
        </w:tc>
        <w:tc>
          <w:tcPr>
            <w:tcW w:w="623"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支</w:t>
            </w:r>
          </w:p>
        </w:tc>
        <w:tc>
          <w:tcPr>
            <w:tcW w:w="723"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量程40米</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采集终端RTU</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台</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支持一包多发</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1-3</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通信模块</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4G全网通</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1-4</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太阳能电池板</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200W</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1-5</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充电控制器</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智能</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1-6</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蓄电池</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锂电，12V100AH</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1-7</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物联网卡</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张</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3年流量费</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1-8</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机箱</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个</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防水</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1-9</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多功能立杆</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根</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可360度转动，方便后期维护</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1-10</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防雷接地</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接地电阻≤10Ω</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1-11</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工业照相机</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拍照</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1-12</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软件</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数据采集、传输</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1-13</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辅材</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点</w:t>
            </w:r>
          </w:p>
        </w:tc>
        <w:tc>
          <w:tcPr>
            <w:tcW w:w="7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11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线缆、管材、配件（螺杆、螺栓、螺帽）等</w:t>
            </w:r>
          </w:p>
        </w:tc>
      </w:tr>
      <w:tr>
        <w:tblPrEx>
          <w:tblCellMar>
            <w:top w:w="0" w:type="dxa"/>
            <w:left w:w="108" w:type="dxa"/>
            <w:bottom w:w="0" w:type="dxa"/>
            <w:right w:w="108" w:type="dxa"/>
          </w:tblCellMar>
        </w:tblPrEx>
        <w:trPr>
          <w:trHeight w:val="454" w:hRule="atLeast"/>
        </w:trPr>
        <w:tc>
          <w:tcPr>
            <w:tcW w:w="718"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w:t>
            </w:r>
          </w:p>
        </w:tc>
        <w:tc>
          <w:tcPr>
            <w:tcW w:w="4937" w:type="dxa"/>
            <w:gridSpan w:val="4"/>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钓鱼城站建安费：1*1*1.5（米）</w:t>
            </w:r>
          </w:p>
        </w:tc>
        <w:tc>
          <w:tcPr>
            <w:tcW w:w="1147"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2-1</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人工挖地坑土方</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1.30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2-2</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人工挖基坑石方</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2-3</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人工回填土石方</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1.80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2-4</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填筑碎石垫层</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0.38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2-5</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现浇混凝土独立基础</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m3</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1.50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2-6</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人力二次搬运200m（碎石、商品砼）</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2-7</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船舶租赁及燃油费</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天</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0.50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2-8</w:t>
            </w:r>
          </w:p>
        </w:tc>
        <w:tc>
          <w:tcPr>
            <w:tcW w:w="2443" w:type="dxa"/>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设备安装调试</w:t>
            </w:r>
          </w:p>
        </w:tc>
        <w:tc>
          <w:tcPr>
            <w:tcW w:w="6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站</w:t>
            </w:r>
          </w:p>
        </w:tc>
        <w:tc>
          <w:tcPr>
            <w:tcW w:w="723"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1.00 </w:t>
            </w:r>
          </w:p>
        </w:tc>
        <w:tc>
          <w:tcPr>
            <w:tcW w:w="1148"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1147"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4932" w:type="dxa"/>
            <w:gridSpan w:val="4"/>
            <w:tcBorders>
              <w:top w:val="nil"/>
              <w:left w:val="nil"/>
              <w:bottom w:val="single" w:color="auto" w:sz="8"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总计（1钓鱼城站仪器设备费+2钓鱼城站建安费）：</w:t>
            </w:r>
          </w:p>
        </w:tc>
        <w:tc>
          <w:tcPr>
            <w:tcW w:w="1152"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r>
    </w:tbl>
    <w:p>
      <w:pPr>
        <w:spacing w:line="400" w:lineRule="exact"/>
        <w:rPr>
          <w:rFonts w:ascii="方正仿宋_GBK" w:hAnsi="宋体" w:eastAsia="方正仿宋_GBK"/>
          <w:sz w:val="24"/>
          <w:szCs w:val="24"/>
        </w:rPr>
      </w:pPr>
    </w:p>
    <w:p>
      <w:pPr>
        <w:spacing w:line="400" w:lineRule="exact"/>
        <w:rPr>
          <w:rFonts w:ascii="方正仿宋_GBK" w:hAnsi="宋体" w:eastAsia="方正仿宋_GBK"/>
          <w:sz w:val="24"/>
          <w:szCs w:val="24"/>
        </w:rPr>
      </w:pPr>
    </w:p>
    <w:tbl>
      <w:tblPr>
        <w:tblStyle w:val="11"/>
        <w:tblW w:w="9297" w:type="dxa"/>
        <w:tblInd w:w="96" w:type="dxa"/>
        <w:tblLayout w:type="autofit"/>
        <w:tblCellMar>
          <w:top w:w="0" w:type="dxa"/>
          <w:left w:w="108" w:type="dxa"/>
          <w:bottom w:w="0" w:type="dxa"/>
          <w:right w:w="108" w:type="dxa"/>
        </w:tblCellMar>
      </w:tblPr>
      <w:tblGrid>
        <w:gridCol w:w="718"/>
        <w:gridCol w:w="2443"/>
        <w:gridCol w:w="623"/>
        <w:gridCol w:w="1048"/>
        <w:gridCol w:w="823"/>
        <w:gridCol w:w="1147"/>
        <w:gridCol w:w="2495"/>
      </w:tblGrid>
      <w:tr>
        <w:tblPrEx>
          <w:tblCellMar>
            <w:top w:w="0" w:type="dxa"/>
            <w:left w:w="108" w:type="dxa"/>
            <w:bottom w:w="0" w:type="dxa"/>
            <w:right w:w="108" w:type="dxa"/>
          </w:tblCellMar>
        </w:tblPrEx>
        <w:trPr>
          <w:trHeight w:val="506" w:hRule="atLeast"/>
        </w:trPr>
        <w:tc>
          <w:tcPr>
            <w:tcW w:w="9297" w:type="dxa"/>
            <w:gridSpan w:val="7"/>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方正仿宋_GBK" w:hAnsi="宋体" w:eastAsia="方正仿宋_GBK"/>
                <w:sz w:val="24"/>
                <w:szCs w:val="24"/>
              </w:rPr>
              <w:t>五、项目总报价表</w:t>
            </w:r>
          </w:p>
        </w:tc>
      </w:tr>
      <w:tr>
        <w:tblPrEx>
          <w:tblCellMar>
            <w:top w:w="0" w:type="dxa"/>
            <w:left w:w="108" w:type="dxa"/>
            <w:bottom w:w="0" w:type="dxa"/>
            <w:right w:w="108" w:type="dxa"/>
          </w:tblCellMar>
        </w:tblPrEx>
        <w:trPr>
          <w:trHeight w:val="506" w:hRule="atLeast"/>
        </w:trPr>
        <w:tc>
          <w:tcPr>
            <w:tcW w:w="71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序号</w:t>
            </w:r>
          </w:p>
        </w:tc>
        <w:tc>
          <w:tcPr>
            <w:tcW w:w="2443"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623"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单位</w:t>
            </w:r>
          </w:p>
        </w:tc>
        <w:tc>
          <w:tcPr>
            <w:tcW w:w="1048" w:type="dxa"/>
            <w:tcBorders>
              <w:top w:val="single" w:color="000000" w:sz="8" w:space="0"/>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数量</w:t>
            </w:r>
          </w:p>
        </w:tc>
        <w:tc>
          <w:tcPr>
            <w:tcW w:w="823"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1147"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合价（元）</w:t>
            </w:r>
          </w:p>
        </w:tc>
        <w:tc>
          <w:tcPr>
            <w:tcW w:w="2495" w:type="dxa"/>
            <w:tcBorders>
              <w:top w:val="single" w:color="000000" w:sz="8" w:space="0"/>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1-1</w:t>
            </w:r>
          </w:p>
        </w:tc>
        <w:tc>
          <w:tcPr>
            <w:tcW w:w="2443"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利泽水位自动测报站</w:t>
            </w:r>
          </w:p>
        </w:tc>
        <w:tc>
          <w:tcPr>
            <w:tcW w:w="623"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1048" w:type="dxa"/>
            <w:tcBorders>
              <w:top w:val="nil"/>
              <w:left w:val="nil"/>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8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1-2</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鲨鱼碛水位自动测报站</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10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8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1-3</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泥溪水位自动测报站</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10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8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506" w:hRule="atLeast"/>
        </w:trPr>
        <w:tc>
          <w:tcPr>
            <w:tcW w:w="718" w:type="dxa"/>
            <w:tcBorders>
              <w:top w:val="nil"/>
              <w:left w:val="single" w:color="000000" w:sz="8" w:space="0"/>
              <w:bottom w:val="single" w:color="000000" w:sz="8" w:space="0"/>
              <w:right w:val="single" w:color="000000" w:sz="8" w:space="0"/>
            </w:tcBorders>
            <w:shd w:val="clear" w:color="auto" w:fill="auto"/>
            <w:noWrap/>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1-4</w:t>
            </w:r>
          </w:p>
        </w:tc>
        <w:tc>
          <w:tcPr>
            <w:tcW w:w="244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钓鱼城水位自动测报站</w:t>
            </w:r>
          </w:p>
        </w:tc>
        <w:tc>
          <w:tcPr>
            <w:tcW w:w="6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项</w:t>
            </w:r>
          </w:p>
        </w:tc>
        <w:tc>
          <w:tcPr>
            <w:tcW w:w="1048"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1</w:t>
            </w:r>
          </w:p>
        </w:tc>
        <w:tc>
          <w:tcPr>
            <w:tcW w:w="823"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1147" w:type="dxa"/>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000000" w:sz="8" w:space="0"/>
              <w:right w:val="single" w:color="000000" w:sz="8"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454" w:hRule="atLeast"/>
        </w:trPr>
        <w:tc>
          <w:tcPr>
            <w:tcW w:w="718"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c>
          <w:tcPr>
            <w:tcW w:w="4937" w:type="dxa"/>
            <w:gridSpan w:val="4"/>
            <w:tcBorders>
              <w:top w:val="nil"/>
              <w:left w:val="nil"/>
              <w:bottom w:val="single" w:color="auto" w:sz="8"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总计：</w:t>
            </w:r>
          </w:p>
        </w:tc>
        <w:tc>
          <w:tcPr>
            <w:tcW w:w="1147" w:type="dxa"/>
            <w:tcBorders>
              <w:top w:val="nil"/>
              <w:left w:val="single" w:color="auto" w:sz="4" w:space="0"/>
              <w:bottom w:val="single" w:color="auto" w:sz="8" w:space="0"/>
              <w:right w:val="single" w:color="auto" w:sz="8" w:space="0"/>
            </w:tcBorders>
            <w:shd w:val="clear" w:color="auto" w:fill="auto"/>
            <w:vAlign w:val="center"/>
          </w:tcPr>
          <w:p>
            <w:pPr>
              <w:widowControl/>
              <w:rPr>
                <w:rFonts w:ascii="宋体" w:hAnsi="宋体" w:cs="宋体"/>
                <w:color w:val="000000"/>
                <w:kern w:val="0"/>
                <w:sz w:val="18"/>
                <w:szCs w:val="18"/>
              </w:rPr>
            </w:pPr>
          </w:p>
        </w:tc>
        <w:tc>
          <w:tcPr>
            <w:tcW w:w="2495" w:type="dxa"/>
            <w:tcBorders>
              <w:top w:val="nil"/>
              <w:left w:val="nil"/>
              <w:bottom w:val="single" w:color="auto" w:sz="8" w:space="0"/>
              <w:right w:val="single" w:color="auto" w:sz="8" w:space="0"/>
            </w:tcBorders>
            <w:shd w:val="clear" w:color="auto" w:fill="auto"/>
            <w:noWrap/>
            <w:vAlign w:val="center"/>
          </w:tcPr>
          <w:p>
            <w:pPr>
              <w:widowControl/>
              <w:rPr>
                <w:rFonts w:ascii="宋体" w:hAnsi="宋体" w:cs="宋体"/>
                <w:color w:val="000000"/>
                <w:kern w:val="0"/>
                <w:sz w:val="18"/>
                <w:szCs w:val="18"/>
              </w:rPr>
            </w:pPr>
          </w:p>
        </w:tc>
      </w:tr>
    </w:tbl>
    <w:p>
      <w:pPr>
        <w:spacing w:line="400" w:lineRule="exact"/>
        <w:rPr>
          <w:rFonts w:ascii="方正仿宋_GBK" w:hAnsi="宋体" w:eastAsia="方正仿宋_GBK"/>
          <w:sz w:val="24"/>
          <w:szCs w:val="24"/>
        </w:rPr>
      </w:pP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1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ascii="方正仿宋_GBK" w:hAnsi="宋体" w:eastAsia="方正仿宋_GBK"/>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hint="eastAsia" w:ascii="方正仿宋_GBK" w:hAnsi="宋体" w:eastAsia="方正仿宋_GBK"/>
          <w:sz w:val="24"/>
        </w:rPr>
        <w:t>二、技术（质量）部分</w:t>
      </w:r>
      <w:bookmarkEnd w:id="212"/>
      <w:bookmarkEnd w:id="213"/>
      <w:bookmarkEnd w:id="214"/>
      <w:bookmarkEnd w:id="215"/>
      <w:bookmarkEnd w:id="216"/>
      <w:bookmarkEnd w:id="217"/>
      <w:bookmarkEnd w:id="218"/>
      <w:bookmarkEnd w:id="21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hint="eastAsia" w:ascii="方正仿宋_GBK" w:hAnsi="宋体" w:eastAsia="方正仿宋_GBK"/>
          <w:sz w:val="24"/>
        </w:rPr>
        <w:t>三、商务服务部分</w:t>
      </w:r>
      <w:bookmarkEnd w:id="220"/>
      <w:bookmarkEnd w:id="221"/>
      <w:bookmarkEnd w:id="222"/>
      <w:bookmarkEnd w:id="223"/>
      <w:bookmarkEnd w:id="22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28" w:name="_Toc2082"/>
      <w:bookmarkStart w:id="229" w:name="_Toc65660382"/>
      <w:bookmarkStart w:id="230" w:name="_Toc20162"/>
      <w:bookmarkStart w:id="231" w:name="_Toc21793"/>
      <w:bookmarkStart w:id="232" w:name="_Toc106034811"/>
      <w:r>
        <w:rPr>
          <w:rFonts w:hint="eastAsia" w:ascii="方正仿宋_GBK" w:hAnsi="宋体" w:eastAsia="方正仿宋_GBK"/>
          <w:sz w:val="24"/>
        </w:rPr>
        <w:t>四、</w:t>
      </w:r>
      <w:bookmarkEnd w:id="225"/>
      <w:bookmarkEnd w:id="226"/>
      <w:bookmarkEnd w:id="227"/>
      <w:r>
        <w:rPr>
          <w:rFonts w:hint="eastAsia" w:ascii="方正仿宋_GBK" w:hAnsi="宋体" w:eastAsia="方正仿宋_GBK"/>
          <w:sz w:val="24"/>
        </w:rPr>
        <w:t>资格条件及其他</w:t>
      </w:r>
      <w:bookmarkEnd w:id="228"/>
      <w:bookmarkEnd w:id="229"/>
      <w:bookmarkEnd w:id="230"/>
      <w:bookmarkEnd w:id="231"/>
      <w:bookmarkEnd w:id="232"/>
      <w:bookmarkStart w:id="233" w:name="_Toc313888363"/>
      <w:bookmarkStart w:id="234" w:name="_Toc342913422"/>
      <w:bookmarkStart w:id="235"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采购人或采购代理机构名称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（采购人或采购代理机构名称）：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2" w:firstLineChars="200"/>
        <w:rPr>
          <w:rFonts w:ascii="方正仿宋_GBK" w:hAnsi="宋体" w:eastAsia="方正仿宋_GBK"/>
          <w:sz w:val="24"/>
        </w:rPr>
      </w:pPr>
      <w:r>
        <w:rPr>
          <w:rFonts w:ascii="方正仿宋_GBK" w:hAnsi="宋体" w:eastAsia="方正仿宋_GBK"/>
          <w:sz w:val="24"/>
          <w:szCs w:val="24"/>
        </w:rPr>
        <w:br w:type="page"/>
      </w:r>
      <w:bookmarkStart w:id="236" w:name="_Toc2080"/>
      <w:bookmarkStart w:id="237" w:name="_Toc17010"/>
      <w:bookmarkStart w:id="238" w:name="_Toc65660383"/>
      <w:bookmarkStart w:id="239" w:name="_Toc15815"/>
      <w:bookmarkStart w:id="240" w:name="_Toc106034812"/>
      <w:r>
        <w:rPr>
          <w:rFonts w:hint="eastAsia" w:ascii="方正仿宋_GBK" w:hAnsi="宋体" w:eastAsia="方正仿宋_GBK"/>
          <w:sz w:val="24"/>
        </w:rPr>
        <w:t>五、</w:t>
      </w:r>
      <w:bookmarkEnd w:id="233"/>
      <w:bookmarkEnd w:id="234"/>
      <w:bookmarkEnd w:id="235"/>
      <w:r>
        <w:rPr>
          <w:rFonts w:hint="eastAsia" w:ascii="方正仿宋_GBK" w:hAnsi="宋体" w:eastAsia="方正仿宋_GBK"/>
          <w:sz w:val="24"/>
        </w:rPr>
        <w:t>其他资料</w:t>
      </w:r>
      <w:bookmarkEnd w:id="236"/>
      <w:bookmarkEnd w:id="237"/>
      <w:bookmarkEnd w:id="238"/>
      <w:bookmarkEnd w:id="239"/>
      <w:bookmarkEnd w:id="240"/>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- 2 -</w:t>
    </w:r>
    <w:r>
      <w:rPr>
        <w:rFonts w:ascii="宋体"/>
        <w:sz w:val="21"/>
        <w:szCs w:val="21"/>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p>
  <w:p>
    <w:pPr>
      <w:pStyle w:val="8"/>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- 36 -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fldChar w:fldCharType="begin"/>
    </w:r>
    <w:r>
      <w:rPr>
        <w:rStyle w:val="13"/>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lNDFlNWI5OGY4MjQ4MTdlNjFlOWI0ZDY1NzAyMDMifQ=="/>
  </w:docVars>
  <w:rsids>
    <w:rsidRoot w:val="009D030A"/>
    <w:rsid w:val="00002C27"/>
    <w:rsid w:val="00005456"/>
    <w:rsid w:val="00016940"/>
    <w:rsid w:val="00024357"/>
    <w:rsid w:val="00030DBA"/>
    <w:rsid w:val="00050434"/>
    <w:rsid w:val="0006356F"/>
    <w:rsid w:val="00065F5E"/>
    <w:rsid w:val="00070D39"/>
    <w:rsid w:val="000954B0"/>
    <w:rsid w:val="000B1C02"/>
    <w:rsid w:val="000B4FAC"/>
    <w:rsid w:val="000B597E"/>
    <w:rsid w:val="000C4F2F"/>
    <w:rsid w:val="000F4D23"/>
    <w:rsid w:val="00111022"/>
    <w:rsid w:val="00113325"/>
    <w:rsid w:val="001143A0"/>
    <w:rsid w:val="001145CD"/>
    <w:rsid w:val="00121E25"/>
    <w:rsid w:val="00122D99"/>
    <w:rsid w:val="0012635C"/>
    <w:rsid w:val="00155771"/>
    <w:rsid w:val="001636E8"/>
    <w:rsid w:val="0017442C"/>
    <w:rsid w:val="00175AFE"/>
    <w:rsid w:val="0019346F"/>
    <w:rsid w:val="001935FD"/>
    <w:rsid w:val="001A54F5"/>
    <w:rsid w:val="001C48F8"/>
    <w:rsid w:val="001D756C"/>
    <w:rsid w:val="00235F71"/>
    <w:rsid w:val="002457A1"/>
    <w:rsid w:val="002874A4"/>
    <w:rsid w:val="00296F7F"/>
    <w:rsid w:val="002A1AE8"/>
    <w:rsid w:val="002B660E"/>
    <w:rsid w:val="002B7C8E"/>
    <w:rsid w:val="002C119F"/>
    <w:rsid w:val="002C3197"/>
    <w:rsid w:val="002C6600"/>
    <w:rsid w:val="002C774A"/>
    <w:rsid w:val="002C7E10"/>
    <w:rsid w:val="002D5223"/>
    <w:rsid w:val="002E0274"/>
    <w:rsid w:val="002F1C11"/>
    <w:rsid w:val="002F677D"/>
    <w:rsid w:val="00304F79"/>
    <w:rsid w:val="003214F8"/>
    <w:rsid w:val="00327183"/>
    <w:rsid w:val="0033397D"/>
    <w:rsid w:val="0033585B"/>
    <w:rsid w:val="00346970"/>
    <w:rsid w:val="003551C9"/>
    <w:rsid w:val="003609C7"/>
    <w:rsid w:val="0036245F"/>
    <w:rsid w:val="00371512"/>
    <w:rsid w:val="00380DC2"/>
    <w:rsid w:val="0039661D"/>
    <w:rsid w:val="003B5E9E"/>
    <w:rsid w:val="003C3382"/>
    <w:rsid w:val="003D0C09"/>
    <w:rsid w:val="003D3F49"/>
    <w:rsid w:val="003E4DF7"/>
    <w:rsid w:val="004112FA"/>
    <w:rsid w:val="004150FB"/>
    <w:rsid w:val="00421B21"/>
    <w:rsid w:val="00444ADC"/>
    <w:rsid w:val="00444B7E"/>
    <w:rsid w:val="00456380"/>
    <w:rsid w:val="0048590F"/>
    <w:rsid w:val="004C7178"/>
    <w:rsid w:val="004F52DD"/>
    <w:rsid w:val="0051335C"/>
    <w:rsid w:val="0051437A"/>
    <w:rsid w:val="005221A7"/>
    <w:rsid w:val="00525683"/>
    <w:rsid w:val="00531D7D"/>
    <w:rsid w:val="00545543"/>
    <w:rsid w:val="0055246B"/>
    <w:rsid w:val="00553328"/>
    <w:rsid w:val="0056014E"/>
    <w:rsid w:val="005757ED"/>
    <w:rsid w:val="005775DE"/>
    <w:rsid w:val="00582360"/>
    <w:rsid w:val="00582904"/>
    <w:rsid w:val="00586BEF"/>
    <w:rsid w:val="00595A04"/>
    <w:rsid w:val="005D28C9"/>
    <w:rsid w:val="005E1B0F"/>
    <w:rsid w:val="005E49FE"/>
    <w:rsid w:val="005F5F4E"/>
    <w:rsid w:val="005F70AD"/>
    <w:rsid w:val="00631502"/>
    <w:rsid w:val="006411C7"/>
    <w:rsid w:val="00652A4C"/>
    <w:rsid w:val="006765AE"/>
    <w:rsid w:val="006822E2"/>
    <w:rsid w:val="006A3AEF"/>
    <w:rsid w:val="006B1519"/>
    <w:rsid w:val="006D0D7A"/>
    <w:rsid w:val="006D69AC"/>
    <w:rsid w:val="006E442D"/>
    <w:rsid w:val="0070073C"/>
    <w:rsid w:val="00700ED4"/>
    <w:rsid w:val="0070782D"/>
    <w:rsid w:val="007100BA"/>
    <w:rsid w:val="00713809"/>
    <w:rsid w:val="00740FEC"/>
    <w:rsid w:val="00742C9D"/>
    <w:rsid w:val="00750B04"/>
    <w:rsid w:val="007555B9"/>
    <w:rsid w:val="00761143"/>
    <w:rsid w:val="0077178A"/>
    <w:rsid w:val="00787782"/>
    <w:rsid w:val="00792872"/>
    <w:rsid w:val="0079658D"/>
    <w:rsid w:val="007A12CD"/>
    <w:rsid w:val="007A6A26"/>
    <w:rsid w:val="007C586A"/>
    <w:rsid w:val="007E425C"/>
    <w:rsid w:val="007E50CC"/>
    <w:rsid w:val="007F285E"/>
    <w:rsid w:val="00804787"/>
    <w:rsid w:val="00804D7E"/>
    <w:rsid w:val="0081151D"/>
    <w:rsid w:val="00834354"/>
    <w:rsid w:val="00844F8A"/>
    <w:rsid w:val="00851063"/>
    <w:rsid w:val="008573FA"/>
    <w:rsid w:val="0086065A"/>
    <w:rsid w:val="0087360B"/>
    <w:rsid w:val="0087608B"/>
    <w:rsid w:val="008A23C4"/>
    <w:rsid w:val="008A2EC1"/>
    <w:rsid w:val="008B23D3"/>
    <w:rsid w:val="008D7CA7"/>
    <w:rsid w:val="008E21C4"/>
    <w:rsid w:val="008F272C"/>
    <w:rsid w:val="00912C19"/>
    <w:rsid w:val="00916D53"/>
    <w:rsid w:val="00924C55"/>
    <w:rsid w:val="00946455"/>
    <w:rsid w:val="009576E2"/>
    <w:rsid w:val="009666ED"/>
    <w:rsid w:val="00972801"/>
    <w:rsid w:val="00993119"/>
    <w:rsid w:val="009941D6"/>
    <w:rsid w:val="009A1E0F"/>
    <w:rsid w:val="009A2797"/>
    <w:rsid w:val="009C23BE"/>
    <w:rsid w:val="009C2668"/>
    <w:rsid w:val="009C300E"/>
    <w:rsid w:val="009D030A"/>
    <w:rsid w:val="009E7BFB"/>
    <w:rsid w:val="009F5ADB"/>
    <w:rsid w:val="00A02053"/>
    <w:rsid w:val="00A0643A"/>
    <w:rsid w:val="00A16B2E"/>
    <w:rsid w:val="00A16D4B"/>
    <w:rsid w:val="00A24E9F"/>
    <w:rsid w:val="00A32F54"/>
    <w:rsid w:val="00A347E9"/>
    <w:rsid w:val="00A716EC"/>
    <w:rsid w:val="00A9659C"/>
    <w:rsid w:val="00AA3D42"/>
    <w:rsid w:val="00AA57B7"/>
    <w:rsid w:val="00AE59C4"/>
    <w:rsid w:val="00B06076"/>
    <w:rsid w:val="00B062C3"/>
    <w:rsid w:val="00B16335"/>
    <w:rsid w:val="00B25A10"/>
    <w:rsid w:val="00B65BC6"/>
    <w:rsid w:val="00B67C21"/>
    <w:rsid w:val="00B718A6"/>
    <w:rsid w:val="00B74261"/>
    <w:rsid w:val="00B82256"/>
    <w:rsid w:val="00B95D93"/>
    <w:rsid w:val="00BB1048"/>
    <w:rsid w:val="00BC2217"/>
    <w:rsid w:val="00BC5A8F"/>
    <w:rsid w:val="00C13332"/>
    <w:rsid w:val="00C256A6"/>
    <w:rsid w:val="00C31006"/>
    <w:rsid w:val="00C3439E"/>
    <w:rsid w:val="00C46489"/>
    <w:rsid w:val="00C478DF"/>
    <w:rsid w:val="00C529C0"/>
    <w:rsid w:val="00CA02D2"/>
    <w:rsid w:val="00CA4006"/>
    <w:rsid w:val="00CB2007"/>
    <w:rsid w:val="00CB2057"/>
    <w:rsid w:val="00CE0529"/>
    <w:rsid w:val="00CE650A"/>
    <w:rsid w:val="00CF4059"/>
    <w:rsid w:val="00CF52FF"/>
    <w:rsid w:val="00D536C9"/>
    <w:rsid w:val="00D5542D"/>
    <w:rsid w:val="00D559EB"/>
    <w:rsid w:val="00D5775B"/>
    <w:rsid w:val="00D63655"/>
    <w:rsid w:val="00D64B42"/>
    <w:rsid w:val="00D7611C"/>
    <w:rsid w:val="00D8465D"/>
    <w:rsid w:val="00DD0585"/>
    <w:rsid w:val="00DD1C2B"/>
    <w:rsid w:val="00DD66EC"/>
    <w:rsid w:val="00DE448F"/>
    <w:rsid w:val="00DE47BD"/>
    <w:rsid w:val="00DE5A84"/>
    <w:rsid w:val="00DF69F5"/>
    <w:rsid w:val="00E00FAA"/>
    <w:rsid w:val="00E22924"/>
    <w:rsid w:val="00E318F2"/>
    <w:rsid w:val="00E31FE1"/>
    <w:rsid w:val="00E53D11"/>
    <w:rsid w:val="00E579AC"/>
    <w:rsid w:val="00E60AF7"/>
    <w:rsid w:val="00E66997"/>
    <w:rsid w:val="00E75C03"/>
    <w:rsid w:val="00E81E94"/>
    <w:rsid w:val="00E83BB3"/>
    <w:rsid w:val="00E94AAE"/>
    <w:rsid w:val="00ED08BE"/>
    <w:rsid w:val="00ED6702"/>
    <w:rsid w:val="00EE7EEE"/>
    <w:rsid w:val="00EF7CBE"/>
    <w:rsid w:val="00F004BA"/>
    <w:rsid w:val="00F105D4"/>
    <w:rsid w:val="00F12829"/>
    <w:rsid w:val="00F157DC"/>
    <w:rsid w:val="00F17C03"/>
    <w:rsid w:val="00F17FE5"/>
    <w:rsid w:val="00F23189"/>
    <w:rsid w:val="00F23D19"/>
    <w:rsid w:val="00F3651F"/>
    <w:rsid w:val="00F52295"/>
    <w:rsid w:val="00F83B21"/>
    <w:rsid w:val="00F83E76"/>
    <w:rsid w:val="00F87525"/>
    <w:rsid w:val="00F90999"/>
    <w:rsid w:val="00F9295A"/>
    <w:rsid w:val="00FA45C8"/>
    <w:rsid w:val="00FB2705"/>
    <w:rsid w:val="00FC0821"/>
    <w:rsid w:val="00FD24D0"/>
    <w:rsid w:val="00FE5D5F"/>
    <w:rsid w:val="1A36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2"/>
    <w:basedOn w:val="1"/>
    <w:next w:val="1"/>
    <w:link w:val="16"/>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7"/>
    <w:uiPriority w:val="0"/>
    <w:pPr>
      <w:spacing w:line="700" w:lineRule="exact"/>
      <w:ind w:left="960"/>
    </w:pPr>
    <w:rPr>
      <w:sz w:val="44"/>
    </w:rPr>
  </w:style>
  <w:style w:type="paragraph" w:styleId="4">
    <w:name w:val="Plain Text"/>
    <w:basedOn w:val="1"/>
    <w:link w:val="18"/>
    <w:uiPriority w:val="0"/>
    <w:rPr>
      <w:rFonts w:ascii="宋体" w:hAnsi="Courier New"/>
      <w:sz w:val="21"/>
    </w:rPr>
  </w:style>
  <w:style w:type="paragraph" w:styleId="5">
    <w:name w:val="Date"/>
    <w:basedOn w:val="1"/>
    <w:next w:val="1"/>
    <w:link w:val="19"/>
    <w:uiPriority w:val="0"/>
  </w:style>
  <w:style w:type="paragraph" w:styleId="6">
    <w:name w:val="Body Text Indent 2"/>
    <w:basedOn w:val="1"/>
    <w:link w:val="20"/>
    <w:uiPriority w:val="0"/>
    <w:pPr>
      <w:snapToGrid w:val="0"/>
      <w:spacing w:line="560" w:lineRule="atLeast"/>
      <w:ind w:firstLine="540"/>
    </w:pPr>
  </w:style>
  <w:style w:type="paragraph" w:styleId="7">
    <w:name w:val="Balloon Text"/>
    <w:basedOn w:val="1"/>
    <w:link w:val="22"/>
    <w:semiHidden/>
    <w:unhideWhenUsed/>
    <w:uiPriority w:val="99"/>
    <w:rPr>
      <w:sz w:val="18"/>
      <w:szCs w:val="18"/>
    </w:rPr>
  </w:style>
  <w:style w:type="paragraph" w:styleId="8">
    <w:name w:val="footer"/>
    <w:basedOn w:val="1"/>
    <w:link w:val="15"/>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toc 1"/>
    <w:basedOn w:val="1"/>
    <w:next w:val="1"/>
    <w:uiPriority w:val="0"/>
    <w:pPr>
      <w:spacing w:line="180" w:lineRule="auto"/>
      <w:jc w:val="center"/>
    </w:pPr>
    <w:rPr>
      <w:sz w:val="30"/>
    </w:rPr>
  </w:style>
  <w:style w:type="character" w:styleId="13">
    <w:name w:val="page number"/>
    <w:uiPriority w:val="0"/>
  </w:style>
  <w:style w:type="character" w:customStyle="1" w:styleId="14">
    <w:name w:val="页眉 Char"/>
    <w:basedOn w:val="12"/>
    <w:link w:val="9"/>
    <w:semiHidden/>
    <w:uiPriority w:val="99"/>
    <w:rPr>
      <w:sz w:val="18"/>
      <w:szCs w:val="18"/>
    </w:rPr>
  </w:style>
  <w:style w:type="character" w:customStyle="1" w:styleId="15">
    <w:name w:val="页脚 Char"/>
    <w:basedOn w:val="12"/>
    <w:link w:val="8"/>
    <w:semiHidden/>
    <w:uiPriority w:val="99"/>
    <w:rPr>
      <w:sz w:val="18"/>
      <w:szCs w:val="18"/>
    </w:rPr>
  </w:style>
  <w:style w:type="character" w:customStyle="1" w:styleId="16">
    <w:name w:val="标题 2 Char"/>
    <w:basedOn w:val="12"/>
    <w:link w:val="2"/>
    <w:uiPriority w:val="0"/>
    <w:rPr>
      <w:rFonts w:ascii="Arial" w:hAnsi="Arial" w:eastAsia="黑体" w:cs="Times New Roman"/>
      <w:b/>
      <w:sz w:val="32"/>
      <w:szCs w:val="20"/>
    </w:rPr>
  </w:style>
  <w:style w:type="character" w:customStyle="1" w:styleId="17">
    <w:name w:val="正文文本缩进 Char"/>
    <w:basedOn w:val="12"/>
    <w:link w:val="3"/>
    <w:uiPriority w:val="0"/>
    <w:rPr>
      <w:rFonts w:ascii="Times New Roman" w:hAnsi="Times New Roman" w:eastAsia="宋体" w:cs="Times New Roman"/>
      <w:sz w:val="44"/>
      <w:szCs w:val="20"/>
    </w:rPr>
  </w:style>
  <w:style w:type="character" w:customStyle="1" w:styleId="18">
    <w:name w:val="纯文本 Char"/>
    <w:basedOn w:val="12"/>
    <w:link w:val="4"/>
    <w:uiPriority w:val="0"/>
    <w:rPr>
      <w:rFonts w:ascii="宋体" w:hAnsi="Courier New" w:eastAsia="宋体" w:cs="Times New Roman"/>
      <w:szCs w:val="20"/>
    </w:rPr>
  </w:style>
  <w:style w:type="character" w:customStyle="1" w:styleId="19">
    <w:name w:val="日期 Char"/>
    <w:basedOn w:val="12"/>
    <w:link w:val="5"/>
    <w:uiPriority w:val="0"/>
    <w:rPr>
      <w:rFonts w:ascii="Times New Roman" w:hAnsi="Times New Roman" w:eastAsia="宋体" w:cs="Times New Roman"/>
      <w:sz w:val="28"/>
      <w:szCs w:val="20"/>
    </w:rPr>
  </w:style>
  <w:style w:type="character" w:customStyle="1" w:styleId="20">
    <w:name w:val="正文文本缩进 2 Char"/>
    <w:basedOn w:val="12"/>
    <w:link w:val="6"/>
    <w:uiPriority w:val="0"/>
    <w:rPr>
      <w:rFonts w:ascii="Times New Roman" w:hAnsi="Times New Roman" w:eastAsia="宋体" w:cs="Times New Roman"/>
      <w:sz w:val="28"/>
      <w:szCs w:val="20"/>
    </w:rPr>
  </w:style>
  <w:style w:type="paragraph" w:customStyle="1" w:styleId="21">
    <w:name w:val="1"/>
    <w:basedOn w:val="1"/>
    <w:next w:val="4"/>
    <w:uiPriority w:val="0"/>
    <w:rPr>
      <w:rFonts w:ascii="宋体" w:hAnsi="Courier New"/>
      <w:sz w:val="21"/>
    </w:rPr>
  </w:style>
  <w:style w:type="character" w:customStyle="1" w:styleId="22">
    <w:name w:val="批注框文本 Char"/>
    <w:basedOn w:val="12"/>
    <w:link w:val="7"/>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1C8E5C-6594-4929-9392-7D4D98F923F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Pages>
  <Words>2480</Words>
  <Characters>14136</Characters>
  <Lines>117</Lines>
  <Paragraphs>33</Paragraphs>
  <TotalTime>1323</TotalTime>
  <ScaleCrop>false</ScaleCrop>
  <LinksUpToDate>false</LinksUpToDate>
  <CharactersWithSpaces>16583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2024-01-09T03:36:00Z</dcterms:created>
  <dc:creator>微软用户</dc:creator>
  <cp:lastModifiedBy>jtj</cp:lastModifiedBy>
  <dcterms:modified xsi:type="dcterms:W3CDTF">2024-07-04T09:25:40Z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F480BE86FCDF4219A2241226EE4464B1_12</vt:lpwstr>
  </property>
</Properties>
</file>