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olor w:val="auto"/>
        </w:rPr>
      </w:pPr>
    </w:p>
    <w:p>
      <w:pPr>
        <w:jc w:val="center"/>
        <w:rPr>
          <w:rFonts w:ascii="仿宋" w:hAnsi="仿宋" w:eastAsia="仿宋"/>
          <w:color w:val="auto"/>
        </w:rPr>
      </w:pPr>
    </w:p>
    <w:p>
      <w:pPr>
        <w:jc w:val="center"/>
        <w:rPr>
          <w:rFonts w:ascii="仿宋" w:hAnsi="仿宋" w:eastAsia="仿宋"/>
          <w:color w:val="auto"/>
        </w:rPr>
      </w:pPr>
    </w:p>
    <w:p>
      <w:pPr>
        <w:jc w:val="center"/>
        <w:outlineLvl w:val="0"/>
        <w:rPr>
          <w:rFonts w:ascii="仿宋" w:hAnsi="仿宋" w:eastAsia="仿宋"/>
          <w:color w:val="auto"/>
          <w:spacing w:val="80"/>
          <w:sz w:val="144"/>
          <w:szCs w:val="144"/>
        </w:rPr>
      </w:pPr>
      <w:r>
        <w:rPr>
          <w:rFonts w:hint="eastAsia" w:ascii="仿宋" w:hAnsi="仿宋" w:eastAsia="仿宋"/>
          <w:color w:val="auto"/>
          <w:spacing w:val="80"/>
          <w:sz w:val="144"/>
          <w:szCs w:val="144"/>
        </w:rPr>
        <w:t>竞争性磋商</w:t>
      </w:r>
    </w:p>
    <w:p>
      <w:pPr>
        <w:jc w:val="center"/>
        <w:outlineLvl w:val="0"/>
        <w:rPr>
          <w:rFonts w:ascii="仿宋" w:hAnsi="仿宋" w:eastAsia="仿宋"/>
          <w:color w:val="auto"/>
          <w:spacing w:val="80"/>
          <w:sz w:val="144"/>
          <w:szCs w:val="144"/>
        </w:rPr>
      </w:pPr>
      <w:r>
        <w:rPr>
          <w:rFonts w:hint="eastAsia" w:ascii="仿宋" w:hAnsi="仿宋" w:eastAsia="仿宋"/>
          <w:color w:val="auto"/>
          <w:spacing w:val="80"/>
          <w:sz w:val="144"/>
          <w:szCs w:val="144"/>
        </w:rPr>
        <w:t>文件</w:t>
      </w:r>
    </w:p>
    <w:p>
      <w:pPr>
        <w:spacing w:line="700" w:lineRule="exact"/>
        <w:jc w:val="center"/>
        <w:rPr>
          <w:rFonts w:ascii="仿宋" w:hAnsi="仿宋" w:eastAsia="仿宋"/>
          <w:color w:val="auto"/>
          <w:sz w:val="32"/>
        </w:rPr>
      </w:pPr>
    </w:p>
    <w:p>
      <w:pPr>
        <w:spacing w:line="700" w:lineRule="exact"/>
        <w:jc w:val="center"/>
        <w:rPr>
          <w:rFonts w:ascii="仿宋" w:hAnsi="仿宋" w:eastAsia="仿宋"/>
          <w:color w:val="auto"/>
          <w:sz w:val="32"/>
        </w:rPr>
      </w:pPr>
    </w:p>
    <w:p>
      <w:pPr>
        <w:spacing w:line="700" w:lineRule="exact"/>
        <w:jc w:val="center"/>
        <w:rPr>
          <w:rFonts w:ascii="仿宋" w:hAnsi="仿宋" w:eastAsia="仿宋"/>
          <w:color w:val="auto"/>
          <w:sz w:val="32"/>
        </w:rPr>
      </w:pPr>
    </w:p>
    <w:p>
      <w:pPr>
        <w:spacing w:line="700" w:lineRule="exact"/>
        <w:ind w:firstLine="1080" w:firstLineChars="300"/>
        <w:rPr>
          <w:rFonts w:hint="default" w:ascii="仿宋" w:hAnsi="仿宋" w:eastAsia="仿宋"/>
          <w:color w:val="auto"/>
          <w:sz w:val="36"/>
          <w:szCs w:val="28"/>
          <w:lang w:val="en-US" w:eastAsia="zh-CN"/>
        </w:rPr>
      </w:pPr>
      <w:r>
        <w:rPr>
          <w:rFonts w:hint="eastAsia" w:ascii="仿宋" w:hAnsi="仿宋" w:eastAsia="仿宋"/>
          <w:color w:val="auto"/>
          <w:sz w:val="36"/>
          <w:szCs w:val="28"/>
        </w:rPr>
        <w:t>项目编号：</w:t>
      </w:r>
    </w:p>
    <w:p>
      <w:pPr>
        <w:spacing w:line="700" w:lineRule="exact"/>
        <w:ind w:left="2875" w:leftChars="384" w:hanging="1800" w:hangingChars="500"/>
        <w:rPr>
          <w:rFonts w:hint="default" w:ascii="仿宋" w:hAnsi="仿宋" w:eastAsia="仿宋"/>
          <w:color w:val="auto"/>
          <w:sz w:val="36"/>
          <w:szCs w:val="28"/>
          <w:lang w:val="en-US" w:eastAsia="zh-CN"/>
        </w:rPr>
      </w:pPr>
      <w:r>
        <w:rPr>
          <w:rFonts w:hint="eastAsia" w:ascii="仿宋" w:hAnsi="仿宋" w:eastAsia="仿宋"/>
          <w:color w:val="auto"/>
          <w:sz w:val="36"/>
          <w:szCs w:val="28"/>
        </w:rPr>
        <w:t>项目名称：2024</w:t>
      </w:r>
      <w:r>
        <w:rPr>
          <w:rFonts w:hint="eastAsia" w:ascii="仿宋" w:hAnsi="仿宋" w:eastAsia="仿宋"/>
          <w:color w:val="auto"/>
          <w:sz w:val="36"/>
          <w:szCs w:val="28"/>
          <w:lang w:eastAsia="zh-CN"/>
        </w:rPr>
        <w:t>年</w:t>
      </w:r>
      <w:r>
        <w:rPr>
          <w:rFonts w:hint="eastAsia" w:ascii="仿宋" w:hAnsi="仿宋" w:eastAsia="仿宋"/>
          <w:color w:val="auto"/>
          <w:sz w:val="36"/>
          <w:szCs w:val="28"/>
        </w:rPr>
        <w:t>交通领域复议诉讼典型案例分析及制度制定采购项目</w:t>
      </w:r>
      <w:r>
        <w:rPr>
          <w:rFonts w:hint="eastAsia" w:ascii="仿宋" w:hAnsi="仿宋" w:eastAsia="仿宋"/>
          <w:color w:val="auto"/>
          <w:sz w:val="36"/>
          <w:szCs w:val="28"/>
          <w:lang w:val="en-US" w:eastAsia="zh-CN"/>
        </w:rPr>
        <w:t xml:space="preserve">  </w:t>
      </w:r>
    </w:p>
    <w:p>
      <w:pPr>
        <w:spacing w:line="700" w:lineRule="exact"/>
        <w:ind w:firstLine="1749" w:firstLineChars="486"/>
        <w:rPr>
          <w:rFonts w:ascii="仿宋" w:hAnsi="仿宋" w:eastAsia="仿宋"/>
          <w:color w:val="auto"/>
          <w:sz w:val="36"/>
          <w:szCs w:val="28"/>
        </w:rPr>
      </w:pPr>
    </w:p>
    <w:p>
      <w:pPr>
        <w:spacing w:line="700" w:lineRule="exact"/>
        <w:ind w:firstLine="1749" w:firstLineChars="486"/>
        <w:rPr>
          <w:rFonts w:ascii="仿宋" w:hAnsi="仿宋" w:eastAsia="仿宋"/>
          <w:color w:val="auto"/>
          <w:sz w:val="36"/>
          <w:szCs w:val="28"/>
        </w:rPr>
      </w:pPr>
    </w:p>
    <w:p>
      <w:pPr>
        <w:spacing w:line="700" w:lineRule="exact"/>
        <w:ind w:firstLine="1749" w:firstLineChars="486"/>
        <w:rPr>
          <w:rFonts w:hint="eastAsia" w:ascii="仿宋" w:hAnsi="仿宋" w:eastAsia="仿宋"/>
          <w:color w:val="auto"/>
          <w:sz w:val="36"/>
          <w:szCs w:val="28"/>
          <w:lang w:eastAsia="zh-CN"/>
        </w:rPr>
      </w:pPr>
      <w:r>
        <w:rPr>
          <w:rFonts w:hint="eastAsia" w:ascii="仿宋" w:hAnsi="仿宋" w:eastAsia="仿宋"/>
          <w:color w:val="auto"/>
          <w:sz w:val="36"/>
          <w:szCs w:val="28"/>
        </w:rPr>
        <w:t>采   购   人：重庆市交通</w:t>
      </w:r>
      <w:r>
        <w:rPr>
          <w:rFonts w:hint="eastAsia" w:ascii="仿宋" w:hAnsi="仿宋" w:eastAsia="仿宋"/>
          <w:color w:val="auto"/>
          <w:sz w:val="36"/>
          <w:szCs w:val="28"/>
          <w:lang w:eastAsia="zh-CN"/>
        </w:rPr>
        <w:t>运输委员会</w:t>
      </w:r>
    </w:p>
    <w:p>
      <w:pPr>
        <w:spacing w:line="700" w:lineRule="exact"/>
        <w:ind w:firstLine="1749" w:firstLineChars="486"/>
        <w:rPr>
          <w:rFonts w:ascii="仿宋" w:hAnsi="仿宋" w:eastAsia="仿宋"/>
          <w:color w:val="auto"/>
          <w:sz w:val="36"/>
          <w:szCs w:val="28"/>
        </w:rPr>
      </w:pPr>
      <w:r>
        <w:rPr>
          <w:rFonts w:hint="eastAsia" w:ascii="仿宋" w:hAnsi="仿宋" w:eastAsia="仿宋"/>
          <w:color w:val="auto"/>
          <w:sz w:val="36"/>
          <w:szCs w:val="28"/>
        </w:rPr>
        <w:t>采购代理机构：重庆道一招标代理有限公司</w:t>
      </w:r>
    </w:p>
    <w:p>
      <w:pPr>
        <w:spacing w:line="700" w:lineRule="exact"/>
        <w:ind w:firstLine="3549" w:firstLineChars="986"/>
        <w:rPr>
          <w:rFonts w:ascii="仿宋" w:hAnsi="仿宋" w:eastAsia="仿宋"/>
          <w:color w:val="auto"/>
          <w:sz w:val="36"/>
          <w:szCs w:val="28"/>
        </w:rPr>
      </w:pPr>
      <w:r>
        <w:rPr>
          <w:rFonts w:hint="eastAsia" w:ascii="仿宋" w:hAnsi="仿宋" w:eastAsia="仿宋"/>
          <w:color w:val="auto"/>
          <w:sz w:val="36"/>
          <w:szCs w:val="28"/>
        </w:rPr>
        <w:t>二〇二</w:t>
      </w:r>
      <w:r>
        <w:rPr>
          <w:rFonts w:hint="eastAsia" w:ascii="仿宋" w:hAnsi="仿宋" w:eastAsia="仿宋"/>
          <w:color w:val="auto"/>
          <w:sz w:val="36"/>
          <w:szCs w:val="28"/>
          <w:lang w:eastAsia="zh-CN"/>
        </w:rPr>
        <w:t>四</w:t>
      </w:r>
      <w:r>
        <w:rPr>
          <w:rFonts w:hint="eastAsia" w:ascii="仿宋" w:hAnsi="仿宋" w:eastAsia="仿宋"/>
          <w:color w:val="auto"/>
          <w:sz w:val="36"/>
          <w:szCs w:val="28"/>
        </w:rPr>
        <w:t>年</w:t>
      </w:r>
      <w:r>
        <w:rPr>
          <w:rFonts w:hint="eastAsia" w:ascii="仿宋" w:hAnsi="仿宋" w:eastAsia="仿宋"/>
          <w:color w:val="auto"/>
          <w:sz w:val="36"/>
          <w:szCs w:val="28"/>
          <w:lang w:eastAsia="zh-CN"/>
        </w:rPr>
        <w:t>五</w:t>
      </w:r>
      <w:r>
        <w:rPr>
          <w:rFonts w:hint="eastAsia" w:ascii="仿宋" w:hAnsi="仿宋" w:eastAsia="仿宋"/>
          <w:color w:val="auto"/>
          <w:sz w:val="36"/>
          <w:szCs w:val="28"/>
        </w:rPr>
        <w:t>月</w:t>
      </w:r>
    </w:p>
    <w:p>
      <w:pPr>
        <w:spacing w:line="700" w:lineRule="exact"/>
        <w:ind w:firstLine="1749" w:firstLineChars="486"/>
        <w:rPr>
          <w:rFonts w:ascii="仿宋" w:hAnsi="仿宋" w:eastAsia="仿宋"/>
          <w:color w:val="auto"/>
          <w:sz w:val="36"/>
          <w:szCs w:val="28"/>
        </w:rPr>
      </w:pPr>
      <w:r>
        <w:rPr>
          <w:rFonts w:ascii="仿宋" w:hAnsi="仿宋" w:eastAsia="仿宋"/>
          <w:color w:val="auto"/>
          <w:sz w:val="36"/>
          <w:szCs w:val="28"/>
        </w:rPr>
        <w:br w:type="page"/>
      </w:r>
    </w:p>
    <w:p>
      <w:pPr>
        <w:spacing w:line="480" w:lineRule="exact"/>
        <w:jc w:val="center"/>
        <w:outlineLvl w:val="0"/>
        <w:rPr>
          <w:rFonts w:ascii="仿宋" w:hAnsi="仿宋" w:eastAsia="仿宋"/>
          <w:color w:val="auto"/>
          <w:sz w:val="44"/>
          <w:szCs w:val="28"/>
        </w:rPr>
      </w:pPr>
      <w:r>
        <w:rPr>
          <w:rFonts w:hint="eastAsia" w:ascii="仿宋" w:hAnsi="仿宋" w:eastAsia="仿宋"/>
          <w:color w:val="auto"/>
          <w:sz w:val="44"/>
          <w:szCs w:val="28"/>
        </w:rPr>
        <w:t>目   录</w:t>
      </w:r>
    </w:p>
    <w:p>
      <w:pPr>
        <w:pStyle w:val="45"/>
        <w:tabs>
          <w:tab w:val="right" w:leader="dot" w:pos="9412"/>
        </w:tabs>
      </w:pPr>
      <w:r>
        <w:rPr>
          <w:rFonts w:hint="eastAsia" w:ascii="仿宋" w:hAnsi="仿宋" w:eastAsia="仿宋"/>
          <w:color w:val="auto"/>
          <w:sz w:val="21"/>
          <w:szCs w:val="21"/>
        </w:rPr>
        <w:fldChar w:fldCharType="begin"/>
      </w:r>
      <w:r>
        <w:rPr>
          <w:rFonts w:hint="eastAsia" w:ascii="仿宋" w:hAnsi="仿宋" w:eastAsia="仿宋"/>
          <w:color w:val="auto"/>
          <w:sz w:val="21"/>
          <w:szCs w:val="21"/>
        </w:rPr>
        <w:instrText xml:space="preserve"> TOC \o "1-3" \h \z </w:instrText>
      </w:r>
      <w:r>
        <w:rPr>
          <w:rFonts w:hint="eastAsia" w:ascii="仿宋" w:hAnsi="仿宋" w:eastAsia="仿宋"/>
          <w:color w:val="auto"/>
          <w:sz w:val="21"/>
          <w:szCs w:val="21"/>
        </w:rPr>
        <w:fldChar w:fldCharType="separate"/>
      </w:r>
      <w:r>
        <w:rPr>
          <w:rFonts w:hint="eastAsia" w:ascii="仿宋" w:hAnsi="仿宋" w:eastAsia="仿宋"/>
          <w:color w:val="auto"/>
          <w:szCs w:val="21"/>
        </w:rPr>
        <w:fldChar w:fldCharType="begin"/>
      </w:r>
      <w:r>
        <w:rPr>
          <w:rFonts w:hint="eastAsia" w:ascii="仿宋" w:hAnsi="仿宋" w:eastAsia="仿宋"/>
          <w:szCs w:val="21"/>
        </w:rPr>
        <w:instrText xml:space="preserve"> HYPERLINK \l _Toc24360 </w:instrText>
      </w:r>
      <w:r>
        <w:rPr>
          <w:rFonts w:hint="eastAsia" w:ascii="仿宋" w:hAnsi="仿宋" w:eastAsia="仿宋"/>
          <w:szCs w:val="21"/>
        </w:rPr>
        <w:fldChar w:fldCharType="separate"/>
      </w:r>
      <w:r>
        <w:rPr>
          <w:rFonts w:hint="eastAsia" w:ascii="仿宋" w:hAnsi="仿宋" w:eastAsia="仿宋"/>
          <w:szCs w:val="28"/>
        </w:rPr>
        <w:t>第一篇  采购邀请书</w:t>
      </w:r>
      <w:r>
        <w:tab/>
      </w:r>
      <w:r>
        <w:fldChar w:fldCharType="begin"/>
      </w:r>
      <w:r>
        <w:instrText xml:space="preserve"> PAGEREF _Toc24360 \h </w:instrText>
      </w:r>
      <w:r>
        <w:fldChar w:fldCharType="separate"/>
      </w:r>
      <w:r>
        <w:t>- 4 -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_Toc5321 </w:instrText>
      </w:r>
      <w:r>
        <w:rPr>
          <w:rFonts w:hint="eastAsia" w:ascii="仿宋" w:hAnsi="仿宋" w:eastAsia="仿宋"/>
          <w:szCs w:val="21"/>
        </w:rPr>
        <w:fldChar w:fldCharType="separate"/>
      </w:r>
      <w:r>
        <w:rPr>
          <w:rFonts w:hint="eastAsia" w:ascii="仿宋" w:hAnsi="仿宋" w:eastAsia="仿宋"/>
          <w:szCs w:val="24"/>
        </w:rPr>
        <w:t>一、竞争性磋商内容</w:t>
      </w:r>
      <w:r>
        <w:tab/>
      </w:r>
      <w:r>
        <w:fldChar w:fldCharType="begin"/>
      </w:r>
      <w:r>
        <w:instrText xml:space="preserve"> PAGEREF _Toc5321 \h </w:instrText>
      </w:r>
      <w:r>
        <w:fldChar w:fldCharType="separate"/>
      </w:r>
      <w:r>
        <w:t>- 4 -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_Toc26860 </w:instrText>
      </w:r>
      <w:r>
        <w:rPr>
          <w:rFonts w:hint="eastAsia" w:ascii="仿宋" w:hAnsi="仿宋" w:eastAsia="仿宋"/>
          <w:szCs w:val="21"/>
        </w:rPr>
        <w:fldChar w:fldCharType="separate"/>
      </w:r>
      <w:r>
        <w:rPr>
          <w:rFonts w:hint="eastAsia" w:ascii="仿宋" w:hAnsi="仿宋" w:eastAsia="仿宋"/>
          <w:szCs w:val="24"/>
        </w:rPr>
        <w:t>二、资金来源</w:t>
      </w:r>
      <w:r>
        <w:tab/>
      </w:r>
      <w:r>
        <w:fldChar w:fldCharType="begin"/>
      </w:r>
      <w:r>
        <w:instrText xml:space="preserve"> PAGEREF _Toc26860 \h </w:instrText>
      </w:r>
      <w:r>
        <w:fldChar w:fldCharType="separate"/>
      </w:r>
      <w:r>
        <w:t>- 4 -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_Toc31650 </w:instrText>
      </w:r>
      <w:r>
        <w:rPr>
          <w:rFonts w:hint="eastAsia" w:ascii="仿宋" w:hAnsi="仿宋" w:eastAsia="仿宋"/>
          <w:szCs w:val="21"/>
        </w:rPr>
        <w:fldChar w:fldCharType="separate"/>
      </w:r>
      <w:r>
        <w:rPr>
          <w:rFonts w:hint="eastAsia" w:ascii="仿宋" w:hAnsi="仿宋" w:eastAsia="仿宋"/>
          <w:szCs w:val="24"/>
        </w:rPr>
        <w:t>三、供应商资格条件</w:t>
      </w:r>
      <w:r>
        <w:tab/>
      </w:r>
      <w:r>
        <w:fldChar w:fldCharType="begin"/>
      </w:r>
      <w:r>
        <w:instrText xml:space="preserve"> PAGEREF _Toc31650 \h </w:instrText>
      </w:r>
      <w:r>
        <w:fldChar w:fldCharType="separate"/>
      </w:r>
      <w:r>
        <w:t>- 4 -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_Toc2962 </w:instrText>
      </w:r>
      <w:r>
        <w:rPr>
          <w:rFonts w:hint="eastAsia" w:ascii="仿宋" w:hAnsi="仿宋" w:eastAsia="仿宋"/>
          <w:szCs w:val="21"/>
        </w:rPr>
        <w:fldChar w:fldCharType="separate"/>
      </w:r>
      <w:r>
        <w:rPr>
          <w:rFonts w:hint="eastAsia" w:ascii="仿宋" w:hAnsi="仿宋" w:eastAsia="仿宋"/>
          <w:szCs w:val="24"/>
        </w:rPr>
        <w:t>四、磋商有关说明</w:t>
      </w:r>
      <w:r>
        <w:tab/>
      </w:r>
      <w:r>
        <w:fldChar w:fldCharType="begin"/>
      </w:r>
      <w:r>
        <w:instrText xml:space="preserve"> PAGEREF _Toc2962 \h </w:instrText>
      </w:r>
      <w:r>
        <w:fldChar w:fldCharType="separate"/>
      </w:r>
      <w:r>
        <w:t>- 4 -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_Toc25398 </w:instrText>
      </w:r>
      <w:r>
        <w:rPr>
          <w:rFonts w:hint="eastAsia" w:ascii="仿宋" w:hAnsi="仿宋" w:eastAsia="仿宋"/>
          <w:szCs w:val="21"/>
        </w:rPr>
        <w:fldChar w:fldCharType="separate"/>
      </w:r>
      <w:r>
        <w:rPr>
          <w:rFonts w:hint="eastAsia" w:ascii="仿宋" w:hAnsi="仿宋" w:eastAsia="仿宋"/>
          <w:szCs w:val="24"/>
        </w:rPr>
        <w:t>五、磋商保证金</w:t>
      </w:r>
      <w:r>
        <w:tab/>
      </w:r>
      <w:r>
        <w:fldChar w:fldCharType="begin"/>
      </w:r>
      <w:r>
        <w:instrText xml:space="preserve"> PAGEREF _Toc25398 \h </w:instrText>
      </w:r>
      <w:r>
        <w:fldChar w:fldCharType="separate"/>
      </w:r>
      <w:r>
        <w:t>- 5 -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_Toc26336 </w:instrText>
      </w:r>
      <w:r>
        <w:rPr>
          <w:rFonts w:hint="eastAsia" w:ascii="仿宋" w:hAnsi="仿宋" w:eastAsia="仿宋"/>
          <w:szCs w:val="21"/>
        </w:rPr>
        <w:fldChar w:fldCharType="separate"/>
      </w:r>
      <w:r>
        <w:rPr>
          <w:rFonts w:hint="eastAsia" w:ascii="仿宋" w:hAnsi="仿宋" w:eastAsia="仿宋"/>
          <w:szCs w:val="24"/>
        </w:rPr>
        <w:t>六、其它有关规定</w:t>
      </w:r>
      <w:r>
        <w:tab/>
      </w:r>
      <w:r>
        <w:fldChar w:fldCharType="begin"/>
      </w:r>
      <w:r>
        <w:instrText xml:space="preserve"> PAGEREF _Toc26336 \h </w:instrText>
      </w:r>
      <w:r>
        <w:fldChar w:fldCharType="separate"/>
      </w:r>
      <w:r>
        <w:t>- 5 -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_Toc6480 </w:instrText>
      </w:r>
      <w:r>
        <w:rPr>
          <w:rFonts w:hint="eastAsia" w:ascii="仿宋" w:hAnsi="仿宋" w:eastAsia="仿宋"/>
          <w:szCs w:val="21"/>
        </w:rPr>
        <w:fldChar w:fldCharType="separate"/>
      </w:r>
      <w:r>
        <w:rPr>
          <w:rFonts w:hint="eastAsia" w:ascii="仿宋" w:hAnsi="仿宋" w:eastAsia="仿宋"/>
          <w:szCs w:val="24"/>
        </w:rPr>
        <w:t>七、联系方式</w:t>
      </w:r>
      <w:r>
        <w:tab/>
      </w:r>
      <w:r>
        <w:fldChar w:fldCharType="begin"/>
      </w:r>
      <w:r>
        <w:instrText xml:space="preserve"> PAGEREF _Toc6480 \h </w:instrText>
      </w:r>
      <w:r>
        <w:fldChar w:fldCharType="separate"/>
      </w:r>
      <w:r>
        <w:t>- 5 -</w:t>
      </w:r>
      <w:r>
        <w:fldChar w:fldCharType="end"/>
      </w:r>
      <w:r>
        <w:rPr>
          <w:rFonts w:hint="eastAsia" w:ascii="仿宋" w:hAnsi="仿宋" w:eastAsia="仿宋"/>
          <w:color w:val="auto"/>
          <w:szCs w:val="21"/>
        </w:rPr>
        <w:fldChar w:fldCharType="end"/>
      </w:r>
    </w:p>
    <w:p>
      <w:pPr>
        <w:pStyle w:val="45"/>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_Toc29218 </w:instrText>
      </w:r>
      <w:r>
        <w:rPr>
          <w:rFonts w:hint="eastAsia" w:ascii="仿宋" w:hAnsi="仿宋" w:eastAsia="仿宋"/>
          <w:szCs w:val="21"/>
        </w:rPr>
        <w:fldChar w:fldCharType="separate"/>
      </w:r>
      <w:r>
        <w:rPr>
          <w:rFonts w:hint="eastAsia" w:ascii="仿宋" w:hAnsi="仿宋" w:eastAsia="仿宋"/>
          <w:szCs w:val="28"/>
        </w:rPr>
        <w:t>第二篇  采购服务需求</w:t>
      </w:r>
      <w:r>
        <w:tab/>
      </w:r>
      <w:r>
        <w:fldChar w:fldCharType="begin"/>
      </w:r>
      <w:r>
        <w:instrText xml:space="preserve"> PAGEREF _Toc29218 \h </w:instrText>
      </w:r>
      <w:r>
        <w:fldChar w:fldCharType="separate"/>
      </w:r>
      <w:r>
        <w:t>- 6 -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_Toc24054 </w:instrText>
      </w:r>
      <w:r>
        <w:rPr>
          <w:rFonts w:hint="eastAsia" w:ascii="仿宋" w:hAnsi="仿宋" w:eastAsia="仿宋"/>
          <w:szCs w:val="21"/>
        </w:rPr>
        <w:fldChar w:fldCharType="separate"/>
      </w:r>
      <w:r>
        <w:rPr>
          <w:rFonts w:hint="eastAsia" w:ascii="仿宋" w:hAnsi="仿宋" w:eastAsia="仿宋"/>
          <w:szCs w:val="24"/>
        </w:rPr>
        <w:t>一、项目基本概况介绍</w:t>
      </w:r>
      <w:r>
        <w:tab/>
      </w:r>
      <w:r>
        <w:fldChar w:fldCharType="begin"/>
      </w:r>
      <w:r>
        <w:instrText xml:space="preserve"> PAGEREF _Toc24054 \h </w:instrText>
      </w:r>
      <w:r>
        <w:fldChar w:fldCharType="separate"/>
      </w:r>
      <w:r>
        <w:t>- 6 -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_Toc9101 </w:instrText>
      </w:r>
      <w:r>
        <w:rPr>
          <w:rFonts w:hint="eastAsia" w:ascii="仿宋" w:hAnsi="仿宋" w:eastAsia="仿宋"/>
          <w:szCs w:val="21"/>
        </w:rPr>
        <w:fldChar w:fldCharType="separate"/>
      </w:r>
      <w:r>
        <w:rPr>
          <w:rFonts w:hint="eastAsia" w:ascii="仿宋" w:hAnsi="仿宋" w:eastAsia="仿宋"/>
          <w:szCs w:val="24"/>
        </w:rPr>
        <w:t>二、 服务及质量要求</w:t>
      </w:r>
      <w:r>
        <w:tab/>
      </w:r>
      <w:r>
        <w:fldChar w:fldCharType="begin"/>
      </w:r>
      <w:r>
        <w:instrText xml:space="preserve"> PAGEREF _Toc9101 \h </w:instrText>
      </w:r>
      <w:r>
        <w:fldChar w:fldCharType="separate"/>
      </w:r>
      <w:r>
        <w:t>- 6 -</w:t>
      </w:r>
      <w:r>
        <w:fldChar w:fldCharType="end"/>
      </w:r>
      <w:r>
        <w:rPr>
          <w:rFonts w:hint="eastAsia" w:ascii="仿宋" w:hAnsi="仿宋" w:eastAsia="仿宋"/>
          <w:color w:val="auto"/>
          <w:szCs w:val="21"/>
        </w:rPr>
        <w:fldChar w:fldCharType="end"/>
      </w:r>
    </w:p>
    <w:p>
      <w:pPr>
        <w:pStyle w:val="45"/>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_Toc13253 </w:instrText>
      </w:r>
      <w:r>
        <w:rPr>
          <w:rFonts w:hint="eastAsia" w:ascii="仿宋" w:hAnsi="仿宋" w:eastAsia="仿宋"/>
          <w:szCs w:val="21"/>
        </w:rPr>
        <w:fldChar w:fldCharType="separate"/>
      </w:r>
      <w:r>
        <w:rPr>
          <w:rFonts w:hint="eastAsia" w:ascii="仿宋" w:hAnsi="仿宋" w:eastAsia="仿宋"/>
          <w:szCs w:val="28"/>
        </w:rPr>
        <w:t>第三篇  采购商务需求</w:t>
      </w:r>
      <w:r>
        <w:tab/>
      </w:r>
      <w:r>
        <w:fldChar w:fldCharType="begin"/>
      </w:r>
      <w:r>
        <w:instrText xml:space="preserve"> PAGEREF _Toc13253 \h </w:instrText>
      </w:r>
      <w:r>
        <w:fldChar w:fldCharType="separate"/>
      </w:r>
      <w:r>
        <w:t>- 7 -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_Toc11159 </w:instrText>
      </w:r>
      <w:r>
        <w:rPr>
          <w:rFonts w:hint="eastAsia" w:ascii="仿宋" w:hAnsi="仿宋" w:eastAsia="仿宋"/>
          <w:szCs w:val="21"/>
        </w:rPr>
        <w:fldChar w:fldCharType="separate"/>
      </w:r>
      <w:r>
        <w:rPr>
          <w:rFonts w:hint="eastAsia" w:ascii="仿宋" w:hAnsi="仿宋" w:eastAsia="仿宋"/>
          <w:szCs w:val="24"/>
        </w:rPr>
        <w:t>一、服务期、地点</w:t>
      </w:r>
      <w:r>
        <w:tab/>
      </w:r>
      <w:r>
        <w:fldChar w:fldCharType="begin"/>
      </w:r>
      <w:r>
        <w:instrText xml:space="preserve"> PAGEREF _Toc11159 \h </w:instrText>
      </w:r>
      <w:r>
        <w:fldChar w:fldCharType="separate"/>
      </w:r>
      <w:r>
        <w:t>- 7 -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_Toc10335 </w:instrText>
      </w:r>
      <w:r>
        <w:rPr>
          <w:rFonts w:hint="eastAsia" w:ascii="仿宋" w:hAnsi="仿宋" w:eastAsia="仿宋"/>
          <w:szCs w:val="21"/>
        </w:rPr>
        <w:fldChar w:fldCharType="separate"/>
      </w:r>
      <w:r>
        <w:rPr>
          <w:rFonts w:hint="eastAsia" w:ascii="仿宋" w:hAnsi="仿宋" w:eastAsia="仿宋"/>
          <w:szCs w:val="24"/>
        </w:rPr>
        <w:t>二、报价要求</w:t>
      </w:r>
      <w:r>
        <w:tab/>
      </w:r>
      <w:r>
        <w:fldChar w:fldCharType="begin"/>
      </w:r>
      <w:r>
        <w:instrText xml:space="preserve"> PAGEREF _Toc10335 \h </w:instrText>
      </w:r>
      <w:r>
        <w:fldChar w:fldCharType="separate"/>
      </w:r>
      <w:r>
        <w:t>- 7 -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_Toc11327 </w:instrText>
      </w:r>
      <w:r>
        <w:rPr>
          <w:rFonts w:hint="eastAsia" w:ascii="仿宋" w:hAnsi="仿宋" w:eastAsia="仿宋"/>
          <w:szCs w:val="21"/>
        </w:rPr>
        <w:fldChar w:fldCharType="separate"/>
      </w:r>
      <w:r>
        <w:rPr>
          <w:rFonts w:hint="eastAsia" w:ascii="仿宋" w:hAnsi="仿宋" w:eastAsia="仿宋"/>
          <w:szCs w:val="24"/>
        </w:rPr>
        <w:t>三、质量保证及售后服务</w:t>
      </w:r>
      <w:r>
        <w:tab/>
      </w:r>
      <w:r>
        <w:fldChar w:fldCharType="begin"/>
      </w:r>
      <w:r>
        <w:instrText xml:space="preserve"> PAGEREF _Toc11327 \h </w:instrText>
      </w:r>
      <w:r>
        <w:fldChar w:fldCharType="separate"/>
      </w:r>
      <w:r>
        <w:t>- 7 -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_Toc32035 </w:instrText>
      </w:r>
      <w:r>
        <w:rPr>
          <w:rFonts w:hint="eastAsia" w:ascii="仿宋" w:hAnsi="仿宋" w:eastAsia="仿宋"/>
          <w:szCs w:val="21"/>
        </w:rPr>
        <w:fldChar w:fldCharType="separate"/>
      </w:r>
      <w:r>
        <w:rPr>
          <w:rFonts w:hint="eastAsia" w:ascii="仿宋" w:hAnsi="仿宋" w:eastAsia="仿宋"/>
          <w:szCs w:val="24"/>
        </w:rPr>
        <w:t>四、付款方式</w:t>
      </w:r>
      <w:r>
        <w:tab/>
      </w:r>
      <w:r>
        <w:fldChar w:fldCharType="begin"/>
      </w:r>
      <w:r>
        <w:instrText xml:space="preserve"> PAGEREF _Toc32035 \h </w:instrText>
      </w:r>
      <w:r>
        <w:fldChar w:fldCharType="separate"/>
      </w:r>
      <w:r>
        <w:t>- 7 -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_Toc21337 </w:instrText>
      </w:r>
      <w:r>
        <w:rPr>
          <w:rFonts w:hint="eastAsia" w:ascii="仿宋" w:hAnsi="仿宋" w:eastAsia="仿宋"/>
          <w:szCs w:val="21"/>
        </w:rPr>
        <w:fldChar w:fldCharType="separate"/>
      </w:r>
      <w:r>
        <w:rPr>
          <w:rFonts w:hint="eastAsia" w:ascii="仿宋" w:hAnsi="仿宋" w:eastAsia="仿宋"/>
          <w:szCs w:val="24"/>
        </w:rPr>
        <w:t>五、知识产权</w:t>
      </w:r>
      <w:r>
        <w:tab/>
      </w:r>
      <w:r>
        <w:fldChar w:fldCharType="begin"/>
      </w:r>
      <w:r>
        <w:instrText xml:space="preserve"> PAGEREF _Toc21337 \h </w:instrText>
      </w:r>
      <w:r>
        <w:fldChar w:fldCharType="separate"/>
      </w:r>
      <w:r>
        <w:t>- 7 -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_Toc6853 </w:instrText>
      </w:r>
      <w:r>
        <w:rPr>
          <w:rFonts w:hint="eastAsia" w:ascii="仿宋" w:hAnsi="仿宋" w:eastAsia="仿宋"/>
          <w:szCs w:val="21"/>
        </w:rPr>
        <w:fldChar w:fldCharType="separate"/>
      </w:r>
      <w:r>
        <w:rPr>
          <w:rFonts w:hint="eastAsia" w:ascii="仿宋" w:hAnsi="仿宋" w:eastAsia="仿宋"/>
          <w:szCs w:val="24"/>
        </w:rPr>
        <w:t>六、其他</w:t>
      </w:r>
      <w:r>
        <w:tab/>
      </w:r>
      <w:r>
        <w:fldChar w:fldCharType="begin"/>
      </w:r>
      <w:r>
        <w:instrText xml:space="preserve"> PAGEREF _Toc6853 \h </w:instrText>
      </w:r>
      <w:r>
        <w:fldChar w:fldCharType="separate"/>
      </w:r>
      <w:r>
        <w:t>- 7 -</w:t>
      </w:r>
      <w:r>
        <w:fldChar w:fldCharType="end"/>
      </w:r>
      <w:r>
        <w:rPr>
          <w:rFonts w:hint="eastAsia" w:ascii="仿宋" w:hAnsi="仿宋" w:eastAsia="仿宋"/>
          <w:color w:val="auto"/>
          <w:szCs w:val="21"/>
        </w:rPr>
        <w:fldChar w:fldCharType="end"/>
      </w:r>
    </w:p>
    <w:p>
      <w:pPr>
        <w:pStyle w:val="45"/>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_Toc14413 </w:instrText>
      </w:r>
      <w:r>
        <w:rPr>
          <w:rFonts w:hint="eastAsia" w:ascii="仿宋" w:hAnsi="仿宋" w:eastAsia="仿宋"/>
          <w:szCs w:val="21"/>
        </w:rPr>
        <w:fldChar w:fldCharType="separate"/>
      </w:r>
      <w:r>
        <w:rPr>
          <w:rFonts w:hint="eastAsia" w:ascii="仿宋" w:hAnsi="仿宋" w:eastAsia="仿宋"/>
          <w:szCs w:val="28"/>
        </w:rPr>
        <w:t>第四篇  磋商程序及方法、评审标准、无效响应和采购终止</w:t>
      </w:r>
      <w:r>
        <w:tab/>
      </w:r>
      <w:r>
        <w:fldChar w:fldCharType="begin"/>
      </w:r>
      <w:r>
        <w:instrText xml:space="preserve"> PAGEREF _Toc14413 \h </w:instrText>
      </w:r>
      <w:r>
        <w:fldChar w:fldCharType="separate"/>
      </w:r>
      <w:r>
        <w:t>- 8 -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_Toc20093 </w:instrText>
      </w:r>
      <w:r>
        <w:rPr>
          <w:rFonts w:hint="eastAsia" w:ascii="仿宋" w:hAnsi="仿宋" w:eastAsia="仿宋"/>
          <w:szCs w:val="21"/>
        </w:rPr>
        <w:fldChar w:fldCharType="separate"/>
      </w:r>
      <w:r>
        <w:rPr>
          <w:rFonts w:hint="eastAsia" w:ascii="仿宋" w:hAnsi="仿宋" w:eastAsia="仿宋"/>
          <w:szCs w:val="24"/>
        </w:rPr>
        <w:t>一、磋商程序及方法</w:t>
      </w:r>
      <w:r>
        <w:tab/>
      </w:r>
      <w:r>
        <w:fldChar w:fldCharType="begin"/>
      </w:r>
      <w:r>
        <w:instrText xml:space="preserve"> PAGEREF _Toc20093 \h </w:instrText>
      </w:r>
      <w:r>
        <w:fldChar w:fldCharType="separate"/>
      </w:r>
      <w:r>
        <w:t>- 8 -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_Toc8449 </w:instrText>
      </w:r>
      <w:r>
        <w:rPr>
          <w:rFonts w:hint="eastAsia" w:ascii="仿宋" w:hAnsi="仿宋" w:eastAsia="仿宋"/>
          <w:szCs w:val="21"/>
        </w:rPr>
        <w:fldChar w:fldCharType="separate"/>
      </w:r>
      <w:r>
        <w:rPr>
          <w:rFonts w:hint="eastAsia" w:ascii="仿宋" w:hAnsi="仿宋" w:eastAsia="仿宋"/>
          <w:szCs w:val="24"/>
        </w:rPr>
        <w:t>二、评审标准</w:t>
      </w:r>
      <w:r>
        <w:tab/>
      </w:r>
      <w:r>
        <w:fldChar w:fldCharType="begin"/>
      </w:r>
      <w:r>
        <w:instrText xml:space="preserve"> PAGEREF _Toc8449 \h </w:instrText>
      </w:r>
      <w:r>
        <w:fldChar w:fldCharType="separate"/>
      </w:r>
      <w:r>
        <w:t>- 9 -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_Toc1517 </w:instrText>
      </w:r>
      <w:r>
        <w:rPr>
          <w:rFonts w:hint="eastAsia" w:ascii="仿宋" w:hAnsi="仿宋" w:eastAsia="仿宋"/>
          <w:szCs w:val="21"/>
        </w:rPr>
        <w:fldChar w:fldCharType="separate"/>
      </w:r>
      <w:r>
        <w:rPr>
          <w:rFonts w:hint="eastAsia" w:ascii="仿宋" w:hAnsi="仿宋" w:eastAsia="仿宋"/>
          <w:szCs w:val="24"/>
        </w:rPr>
        <w:t>三、无效响应</w:t>
      </w:r>
      <w:r>
        <w:tab/>
      </w:r>
      <w:r>
        <w:fldChar w:fldCharType="begin"/>
      </w:r>
      <w:r>
        <w:instrText xml:space="preserve"> PAGEREF _Toc1517 \h </w:instrText>
      </w:r>
      <w:r>
        <w:fldChar w:fldCharType="separate"/>
      </w:r>
      <w:r>
        <w:t>- 10 -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_Toc11956 </w:instrText>
      </w:r>
      <w:r>
        <w:rPr>
          <w:rFonts w:hint="eastAsia" w:ascii="仿宋" w:hAnsi="仿宋" w:eastAsia="仿宋"/>
          <w:szCs w:val="21"/>
        </w:rPr>
        <w:fldChar w:fldCharType="separate"/>
      </w:r>
      <w:r>
        <w:rPr>
          <w:rFonts w:hint="eastAsia" w:ascii="仿宋" w:hAnsi="仿宋" w:eastAsia="仿宋"/>
          <w:szCs w:val="24"/>
        </w:rPr>
        <w:t>四、采购终止</w:t>
      </w:r>
      <w:r>
        <w:tab/>
      </w:r>
      <w:r>
        <w:fldChar w:fldCharType="begin"/>
      </w:r>
      <w:r>
        <w:instrText xml:space="preserve"> PAGEREF _Toc11956 \h </w:instrText>
      </w:r>
      <w:r>
        <w:fldChar w:fldCharType="separate"/>
      </w:r>
      <w:r>
        <w:t>- 11 -</w:t>
      </w:r>
      <w:r>
        <w:fldChar w:fldCharType="end"/>
      </w:r>
      <w:r>
        <w:rPr>
          <w:rFonts w:hint="eastAsia" w:ascii="仿宋" w:hAnsi="仿宋" w:eastAsia="仿宋"/>
          <w:color w:val="auto"/>
          <w:szCs w:val="21"/>
        </w:rPr>
        <w:fldChar w:fldCharType="end"/>
      </w:r>
    </w:p>
    <w:p>
      <w:pPr>
        <w:pStyle w:val="45"/>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_Toc9961 </w:instrText>
      </w:r>
      <w:r>
        <w:rPr>
          <w:rFonts w:hint="eastAsia" w:ascii="仿宋" w:hAnsi="仿宋" w:eastAsia="仿宋"/>
          <w:szCs w:val="21"/>
        </w:rPr>
        <w:fldChar w:fldCharType="separate"/>
      </w:r>
      <w:r>
        <w:rPr>
          <w:rFonts w:hint="eastAsia" w:ascii="仿宋" w:hAnsi="仿宋" w:eastAsia="仿宋"/>
          <w:szCs w:val="28"/>
        </w:rPr>
        <w:t>第五篇  供应商须知</w:t>
      </w:r>
      <w:r>
        <w:tab/>
      </w:r>
      <w:r>
        <w:fldChar w:fldCharType="begin"/>
      </w:r>
      <w:r>
        <w:instrText xml:space="preserve"> PAGEREF _Toc9961 \h </w:instrText>
      </w:r>
      <w:r>
        <w:fldChar w:fldCharType="separate"/>
      </w:r>
      <w:r>
        <w:t>- 12 -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_Toc15130 </w:instrText>
      </w:r>
      <w:r>
        <w:rPr>
          <w:rFonts w:hint="eastAsia" w:ascii="仿宋" w:hAnsi="仿宋" w:eastAsia="仿宋"/>
          <w:szCs w:val="21"/>
        </w:rPr>
        <w:fldChar w:fldCharType="separate"/>
      </w:r>
      <w:r>
        <w:rPr>
          <w:rFonts w:hint="eastAsia" w:ascii="仿宋" w:hAnsi="仿宋" w:eastAsia="仿宋"/>
          <w:szCs w:val="24"/>
        </w:rPr>
        <w:t>一、磋商费用</w:t>
      </w:r>
      <w:r>
        <w:tab/>
      </w:r>
      <w:r>
        <w:fldChar w:fldCharType="begin"/>
      </w:r>
      <w:r>
        <w:instrText xml:space="preserve"> PAGEREF _Toc15130 \h </w:instrText>
      </w:r>
      <w:r>
        <w:fldChar w:fldCharType="separate"/>
      </w:r>
      <w:r>
        <w:t>- 12 -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_Toc19140 </w:instrText>
      </w:r>
      <w:r>
        <w:rPr>
          <w:rFonts w:hint="eastAsia" w:ascii="仿宋" w:hAnsi="仿宋" w:eastAsia="仿宋"/>
          <w:szCs w:val="21"/>
        </w:rPr>
        <w:fldChar w:fldCharType="separate"/>
      </w:r>
      <w:r>
        <w:rPr>
          <w:rFonts w:hint="eastAsia" w:ascii="仿宋" w:hAnsi="仿宋" w:eastAsia="仿宋"/>
          <w:szCs w:val="24"/>
        </w:rPr>
        <w:t>二、竞争性磋商文件</w:t>
      </w:r>
      <w:r>
        <w:tab/>
      </w:r>
      <w:r>
        <w:fldChar w:fldCharType="begin"/>
      </w:r>
      <w:r>
        <w:instrText xml:space="preserve"> PAGEREF _Toc19140 \h </w:instrText>
      </w:r>
      <w:r>
        <w:fldChar w:fldCharType="separate"/>
      </w:r>
      <w:r>
        <w:t>- 12 -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_Toc12031 </w:instrText>
      </w:r>
      <w:r>
        <w:rPr>
          <w:rFonts w:hint="eastAsia" w:ascii="仿宋" w:hAnsi="仿宋" w:eastAsia="仿宋"/>
          <w:szCs w:val="21"/>
        </w:rPr>
        <w:fldChar w:fldCharType="separate"/>
      </w:r>
      <w:r>
        <w:rPr>
          <w:rFonts w:hint="eastAsia" w:ascii="仿宋" w:hAnsi="仿宋" w:eastAsia="仿宋"/>
          <w:szCs w:val="24"/>
        </w:rPr>
        <w:t>三、磋商要求</w:t>
      </w:r>
      <w:r>
        <w:tab/>
      </w:r>
      <w:r>
        <w:fldChar w:fldCharType="begin"/>
      </w:r>
      <w:r>
        <w:instrText xml:space="preserve"> PAGEREF _Toc12031 \h </w:instrText>
      </w:r>
      <w:r>
        <w:fldChar w:fldCharType="separate"/>
      </w:r>
      <w:r>
        <w:t>- 12 -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_Toc8407 </w:instrText>
      </w:r>
      <w:r>
        <w:rPr>
          <w:rFonts w:hint="eastAsia" w:ascii="仿宋" w:hAnsi="仿宋" w:eastAsia="仿宋"/>
          <w:szCs w:val="21"/>
        </w:rPr>
        <w:fldChar w:fldCharType="separate"/>
      </w:r>
      <w:r>
        <w:rPr>
          <w:rFonts w:hint="eastAsia" w:ascii="仿宋" w:hAnsi="仿宋" w:eastAsia="仿宋"/>
          <w:szCs w:val="24"/>
        </w:rPr>
        <w:t>四、成交供应商的确认和变更</w:t>
      </w:r>
      <w:r>
        <w:tab/>
      </w:r>
      <w:r>
        <w:fldChar w:fldCharType="begin"/>
      </w:r>
      <w:r>
        <w:instrText xml:space="preserve"> PAGEREF _Toc8407 \h </w:instrText>
      </w:r>
      <w:r>
        <w:fldChar w:fldCharType="separate"/>
      </w:r>
      <w:r>
        <w:t>- 13 -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_Toc10025 </w:instrText>
      </w:r>
      <w:r>
        <w:rPr>
          <w:rFonts w:hint="eastAsia" w:ascii="仿宋" w:hAnsi="仿宋" w:eastAsia="仿宋"/>
          <w:szCs w:val="21"/>
        </w:rPr>
        <w:fldChar w:fldCharType="separate"/>
      </w:r>
      <w:r>
        <w:rPr>
          <w:rFonts w:hint="eastAsia" w:ascii="仿宋" w:hAnsi="仿宋" w:eastAsia="仿宋"/>
          <w:szCs w:val="24"/>
        </w:rPr>
        <w:t>五、成交通知</w:t>
      </w:r>
      <w:r>
        <w:tab/>
      </w:r>
      <w:r>
        <w:fldChar w:fldCharType="begin"/>
      </w:r>
      <w:r>
        <w:instrText xml:space="preserve"> PAGEREF _Toc10025 \h </w:instrText>
      </w:r>
      <w:r>
        <w:fldChar w:fldCharType="separate"/>
      </w:r>
      <w:r>
        <w:t>- 14 -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_Toc6737 </w:instrText>
      </w:r>
      <w:r>
        <w:rPr>
          <w:rFonts w:hint="eastAsia" w:ascii="仿宋" w:hAnsi="仿宋" w:eastAsia="仿宋"/>
          <w:szCs w:val="21"/>
        </w:rPr>
        <w:fldChar w:fldCharType="separate"/>
      </w:r>
      <w:r>
        <w:rPr>
          <w:rFonts w:hint="eastAsia" w:ascii="仿宋" w:hAnsi="仿宋" w:eastAsia="仿宋"/>
          <w:szCs w:val="24"/>
        </w:rPr>
        <w:t>六、关于质疑和投诉</w:t>
      </w:r>
      <w:r>
        <w:tab/>
      </w:r>
      <w:r>
        <w:fldChar w:fldCharType="begin"/>
      </w:r>
      <w:r>
        <w:instrText xml:space="preserve"> PAGEREF _Toc6737 \h </w:instrText>
      </w:r>
      <w:r>
        <w:fldChar w:fldCharType="separate"/>
      </w:r>
      <w:r>
        <w:t>- 14 -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_Toc8554 </w:instrText>
      </w:r>
      <w:r>
        <w:rPr>
          <w:rFonts w:hint="eastAsia" w:ascii="仿宋" w:hAnsi="仿宋" w:eastAsia="仿宋"/>
          <w:szCs w:val="21"/>
        </w:rPr>
        <w:fldChar w:fldCharType="separate"/>
      </w:r>
      <w:r>
        <w:rPr>
          <w:rFonts w:hint="eastAsia" w:ascii="仿宋" w:hAnsi="仿宋" w:eastAsia="仿宋"/>
          <w:szCs w:val="24"/>
        </w:rPr>
        <w:t>七、采购代理服务费</w:t>
      </w:r>
      <w:r>
        <w:tab/>
      </w:r>
      <w:r>
        <w:fldChar w:fldCharType="begin"/>
      </w:r>
      <w:r>
        <w:instrText xml:space="preserve"> PAGEREF _Toc8554 \h </w:instrText>
      </w:r>
      <w:r>
        <w:fldChar w:fldCharType="separate"/>
      </w:r>
      <w:r>
        <w:t>- 15 -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_Toc20897 </w:instrText>
      </w:r>
      <w:r>
        <w:rPr>
          <w:rFonts w:hint="eastAsia" w:ascii="仿宋" w:hAnsi="仿宋" w:eastAsia="仿宋"/>
          <w:szCs w:val="21"/>
        </w:rPr>
        <w:fldChar w:fldCharType="separate"/>
      </w:r>
      <w:r>
        <w:rPr>
          <w:rFonts w:hint="eastAsia" w:ascii="仿宋" w:hAnsi="仿宋" w:eastAsia="仿宋"/>
          <w:szCs w:val="24"/>
        </w:rPr>
        <w:t>八、签订合同</w:t>
      </w:r>
      <w:r>
        <w:tab/>
      </w:r>
      <w:r>
        <w:fldChar w:fldCharType="begin"/>
      </w:r>
      <w:r>
        <w:instrText xml:space="preserve"> PAGEREF _Toc20897 \h </w:instrText>
      </w:r>
      <w:r>
        <w:fldChar w:fldCharType="separate"/>
      </w:r>
      <w:r>
        <w:t>- 15 -</w:t>
      </w:r>
      <w:r>
        <w:fldChar w:fldCharType="end"/>
      </w:r>
      <w:r>
        <w:rPr>
          <w:rFonts w:hint="eastAsia" w:ascii="仿宋" w:hAnsi="仿宋" w:eastAsia="仿宋"/>
          <w:color w:val="auto"/>
          <w:szCs w:val="21"/>
        </w:rPr>
        <w:fldChar w:fldCharType="end"/>
      </w:r>
    </w:p>
    <w:p>
      <w:pPr>
        <w:pStyle w:val="45"/>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_Toc31468 </w:instrText>
      </w:r>
      <w:r>
        <w:rPr>
          <w:rFonts w:hint="eastAsia" w:ascii="仿宋" w:hAnsi="仿宋" w:eastAsia="仿宋"/>
          <w:szCs w:val="21"/>
        </w:rPr>
        <w:fldChar w:fldCharType="separate"/>
      </w:r>
      <w:r>
        <w:rPr>
          <w:rFonts w:hint="eastAsia" w:ascii="仿宋" w:hAnsi="仿宋" w:eastAsia="仿宋"/>
          <w:szCs w:val="28"/>
        </w:rPr>
        <w:t>第六篇  合同主要条款和格式合同（样本）</w:t>
      </w:r>
      <w:r>
        <w:tab/>
      </w:r>
      <w:r>
        <w:fldChar w:fldCharType="begin"/>
      </w:r>
      <w:r>
        <w:instrText xml:space="preserve"> PAGEREF _Toc31468 \h </w:instrText>
      </w:r>
      <w:r>
        <w:fldChar w:fldCharType="separate"/>
      </w:r>
      <w:r>
        <w:t>- 16 -</w:t>
      </w:r>
      <w:r>
        <w:fldChar w:fldCharType="end"/>
      </w:r>
      <w:r>
        <w:rPr>
          <w:rFonts w:hint="eastAsia" w:ascii="仿宋" w:hAnsi="仿宋" w:eastAsia="仿宋"/>
          <w:color w:val="auto"/>
          <w:szCs w:val="21"/>
        </w:rPr>
        <w:fldChar w:fldCharType="end"/>
      </w:r>
    </w:p>
    <w:p>
      <w:pPr>
        <w:pStyle w:val="45"/>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_Toc29161 </w:instrText>
      </w:r>
      <w:r>
        <w:rPr>
          <w:rFonts w:hint="eastAsia" w:ascii="仿宋" w:hAnsi="仿宋" w:eastAsia="仿宋"/>
          <w:szCs w:val="21"/>
        </w:rPr>
        <w:fldChar w:fldCharType="separate"/>
      </w:r>
      <w:r>
        <w:rPr>
          <w:rFonts w:hint="eastAsia" w:ascii="仿宋" w:hAnsi="仿宋" w:eastAsia="仿宋"/>
          <w:szCs w:val="28"/>
        </w:rPr>
        <w:t>第七篇  响应文件编制要求</w:t>
      </w:r>
      <w:r>
        <w:tab/>
      </w:r>
      <w:r>
        <w:fldChar w:fldCharType="begin"/>
      </w:r>
      <w:r>
        <w:instrText xml:space="preserve"> PAGEREF _Toc29161 \h </w:instrText>
      </w:r>
      <w:r>
        <w:fldChar w:fldCharType="separate"/>
      </w:r>
      <w:r>
        <w:t>- 20 -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_Toc4678 </w:instrText>
      </w:r>
      <w:r>
        <w:rPr>
          <w:rFonts w:hint="eastAsia" w:ascii="仿宋" w:hAnsi="仿宋" w:eastAsia="仿宋"/>
          <w:szCs w:val="21"/>
        </w:rPr>
        <w:fldChar w:fldCharType="separate"/>
      </w:r>
      <w:r>
        <w:rPr>
          <w:rFonts w:hint="eastAsia" w:ascii="仿宋" w:hAnsi="仿宋" w:eastAsia="仿宋"/>
          <w:szCs w:val="24"/>
        </w:rPr>
        <w:t>一、经济部分</w:t>
      </w:r>
      <w:r>
        <w:tab/>
      </w:r>
      <w:r>
        <w:fldChar w:fldCharType="begin"/>
      </w:r>
      <w:r>
        <w:instrText xml:space="preserve"> PAGEREF _Toc4678 \h </w:instrText>
      </w:r>
      <w:r>
        <w:fldChar w:fldCharType="separate"/>
      </w:r>
      <w:r>
        <w:t>- 21 -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_Toc18275 </w:instrText>
      </w:r>
      <w:r>
        <w:rPr>
          <w:rFonts w:hint="eastAsia" w:ascii="仿宋" w:hAnsi="仿宋" w:eastAsia="仿宋"/>
          <w:szCs w:val="21"/>
        </w:rPr>
        <w:fldChar w:fldCharType="separate"/>
      </w:r>
      <w:r>
        <w:rPr>
          <w:rFonts w:hint="eastAsia" w:ascii="仿宋" w:hAnsi="仿宋" w:eastAsia="仿宋"/>
          <w:szCs w:val="24"/>
        </w:rPr>
        <w:t>二、服务部分</w:t>
      </w:r>
      <w:r>
        <w:tab/>
      </w:r>
      <w:r>
        <w:fldChar w:fldCharType="begin"/>
      </w:r>
      <w:r>
        <w:instrText xml:space="preserve"> PAGEREF _Toc18275 \h </w:instrText>
      </w:r>
      <w:r>
        <w:fldChar w:fldCharType="separate"/>
      </w:r>
      <w:r>
        <w:t>- 23 -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_Toc13024 </w:instrText>
      </w:r>
      <w:r>
        <w:rPr>
          <w:rFonts w:hint="eastAsia" w:ascii="仿宋" w:hAnsi="仿宋" w:eastAsia="仿宋"/>
          <w:szCs w:val="21"/>
        </w:rPr>
        <w:fldChar w:fldCharType="separate"/>
      </w:r>
      <w:r>
        <w:rPr>
          <w:rFonts w:hint="eastAsia" w:ascii="仿宋" w:hAnsi="仿宋" w:eastAsia="仿宋"/>
          <w:szCs w:val="24"/>
        </w:rPr>
        <w:t>三、商务部分</w:t>
      </w:r>
      <w:r>
        <w:tab/>
      </w:r>
      <w:r>
        <w:fldChar w:fldCharType="begin"/>
      </w:r>
      <w:r>
        <w:instrText xml:space="preserve"> PAGEREF _Toc13024 \h </w:instrText>
      </w:r>
      <w:r>
        <w:fldChar w:fldCharType="separate"/>
      </w:r>
      <w:r>
        <w:t>- 25 -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_Toc10146 </w:instrText>
      </w:r>
      <w:r>
        <w:rPr>
          <w:rFonts w:hint="eastAsia" w:ascii="仿宋" w:hAnsi="仿宋" w:eastAsia="仿宋"/>
          <w:szCs w:val="21"/>
        </w:rPr>
        <w:fldChar w:fldCharType="separate"/>
      </w:r>
      <w:r>
        <w:rPr>
          <w:rFonts w:hint="eastAsia" w:ascii="仿宋" w:hAnsi="仿宋" w:eastAsia="仿宋"/>
          <w:szCs w:val="24"/>
        </w:rPr>
        <w:t>四、资格条件及其他</w:t>
      </w:r>
      <w:r>
        <w:tab/>
      </w:r>
      <w:r>
        <w:fldChar w:fldCharType="begin"/>
      </w:r>
      <w:r>
        <w:instrText xml:space="preserve"> PAGEREF _Toc10146 \h </w:instrText>
      </w:r>
      <w:r>
        <w:fldChar w:fldCharType="separate"/>
      </w:r>
      <w:r>
        <w:t>- 27 -</w:t>
      </w:r>
      <w:r>
        <w:fldChar w:fldCharType="end"/>
      </w:r>
      <w:r>
        <w:rPr>
          <w:rFonts w:hint="eastAsia" w:ascii="仿宋" w:hAnsi="仿宋" w:eastAsia="仿宋"/>
          <w:color w:val="auto"/>
          <w:szCs w:val="21"/>
        </w:rPr>
        <w:fldChar w:fldCharType="end"/>
      </w:r>
    </w:p>
    <w:p>
      <w:pPr>
        <w:pStyle w:val="29"/>
        <w:tabs>
          <w:tab w:val="right" w:leader="dot" w:pos="9412"/>
        </w:tabs>
      </w:pPr>
      <w:r>
        <w:rPr>
          <w:rFonts w:hint="eastAsia" w:ascii="仿宋" w:hAnsi="仿宋" w:eastAsia="仿宋"/>
          <w:color w:val="auto"/>
          <w:szCs w:val="21"/>
        </w:rPr>
        <w:fldChar w:fldCharType="begin"/>
      </w:r>
      <w:r>
        <w:rPr>
          <w:rFonts w:hint="eastAsia" w:ascii="仿宋" w:hAnsi="仿宋" w:eastAsia="仿宋"/>
          <w:szCs w:val="21"/>
        </w:rPr>
        <w:instrText xml:space="preserve"> HYPERLINK \l _Toc23711 </w:instrText>
      </w:r>
      <w:r>
        <w:rPr>
          <w:rFonts w:hint="eastAsia" w:ascii="仿宋" w:hAnsi="仿宋" w:eastAsia="仿宋"/>
          <w:szCs w:val="21"/>
        </w:rPr>
        <w:fldChar w:fldCharType="separate"/>
      </w:r>
      <w:r>
        <w:rPr>
          <w:rFonts w:hint="eastAsia" w:ascii="仿宋" w:hAnsi="仿宋" w:eastAsia="仿宋"/>
          <w:szCs w:val="24"/>
        </w:rPr>
        <w:t>五、其他资料</w:t>
      </w:r>
      <w:r>
        <w:tab/>
      </w:r>
      <w:r>
        <w:fldChar w:fldCharType="begin"/>
      </w:r>
      <w:r>
        <w:instrText xml:space="preserve"> PAGEREF _Toc23711 \h </w:instrText>
      </w:r>
      <w:r>
        <w:fldChar w:fldCharType="separate"/>
      </w:r>
      <w:r>
        <w:t>- 31 -</w:t>
      </w:r>
      <w:r>
        <w:fldChar w:fldCharType="end"/>
      </w:r>
      <w:r>
        <w:rPr>
          <w:rFonts w:hint="eastAsia" w:ascii="仿宋" w:hAnsi="仿宋" w:eastAsia="仿宋"/>
          <w:color w:val="auto"/>
          <w:szCs w:val="21"/>
        </w:rPr>
        <w:fldChar w:fldCharType="end"/>
      </w:r>
    </w:p>
    <w:p>
      <w:pPr>
        <w:pStyle w:val="45"/>
        <w:tabs>
          <w:tab w:val="right" w:leader="dot" w:pos="9402"/>
        </w:tabs>
        <w:spacing w:line="480" w:lineRule="exact"/>
        <w:ind w:left="560"/>
        <w:jc w:val="center"/>
        <w:rPr>
          <w:rFonts w:ascii="仿宋" w:hAnsi="仿宋" w:eastAsia="仿宋"/>
          <w:color w:val="auto"/>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olor w:val="auto"/>
          <w:szCs w:val="21"/>
        </w:rPr>
        <w:fldChar w:fldCharType="end"/>
      </w:r>
    </w:p>
    <w:p>
      <w:pPr>
        <w:pStyle w:val="4"/>
        <w:spacing w:line="360" w:lineRule="auto"/>
        <w:jc w:val="center"/>
        <w:rPr>
          <w:rFonts w:ascii="仿宋" w:hAnsi="仿宋" w:eastAsia="仿宋"/>
          <w:b w:val="0"/>
          <w:color w:val="auto"/>
          <w:sz w:val="36"/>
          <w:szCs w:val="28"/>
        </w:rPr>
      </w:pPr>
      <w:bookmarkStart w:id="0" w:name="_Toc24360"/>
      <w:bookmarkStart w:id="1" w:name="_Toc11641050"/>
      <w:bookmarkStart w:id="2" w:name="_Toc12789052"/>
      <w:r>
        <w:rPr>
          <w:rFonts w:hint="eastAsia" w:ascii="仿宋" w:hAnsi="仿宋" w:eastAsia="仿宋"/>
          <w:b w:val="0"/>
          <w:color w:val="auto"/>
          <w:sz w:val="36"/>
          <w:szCs w:val="28"/>
        </w:rPr>
        <w:t>第一篇  采购邀请书</w:t>
      </w:r>
      <w:bookmarkEnd w:id="0"/>
      <w:bookmarkEnd w:id="1"/>
      <w:bookmarkEnd w:id="2"/>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重庆道一招标代理有限公司（以下简称：采购代理机构）受</w:t>
      </w:r>
      <w:r>
        <w:rPr>
          <w:rFonts w:hint="eastAsia" w:ascii="仿宋" w:hAnsi="仿宋" w:eastAsia="仿宋"/>
          <w:color w:val="auto"/>
          <w:sz w:val="24"/>
          <w:szCs w:val="24"/>
          <w:u w:val="single"/>
        </w:rPr>
        <w:t>重庆市交通</w:t>
      </w:r>
      <w:r>
        <w:rPr>
          <w:rFonts w:hint="eastAsia" w:ascii="仿宋" w:hAnsi="仿宋" w:eastAsia="仿宋"/>
          <w:color w:val="auto"/>
          <w:sz w:val="24"/>
          <w:szCs w:val="24"/>
          <w:u w:val="single"/>
          <w:lang w:eastAsia="zh-CN"/>
        </w:rPr>
        <w:t>运输委员会</w:t>
      </w:r>
      <w:r>
        <w:rPr>
          <w:rFonts w:hint="eastAsia" w:ascii="仿宋" w:hAnsi="仿宋" w:eastAsia="仿宋"/>
          <w:color w:val="auto"/>
          <w:sz w:val="24"/>
          <w:szCs w:val="24"/>
        </w:rPr>
        <w:t>（以下简称：采购人）的委托，对2024</w:t>
      </w:r>
      <w:r>
        <w:rPr>
          <w:rFonts w:hint="eastAsia" w:ascii="仿宋" w:hAnsi="仿宋" w:eastAsia="仿宋"/>
          <w:color w:val="auto"/>
          <w:sz w:val="24"/>
          <w:szCs w:val="24"/>
          <w:lang w:eastAsia="zh-CN"/>
        </w:rPr>
        <w:t>年</w:t>
      </w:r>
      <w:r>
        <w:rPr>
          <w:rFonts w:hint="eastAsia" w:ascii="仿宋" w:hAnsi="仿宋" w:eastAsia="仿宋"/>
          <w:color w:val="auto"/>
          <w:sz w:val="24"/>
          <w:szCs w:val="24"/>
        </w:rPr>
        <w:t>交通领域复议诉讼典型案例分析及制度制定采购项目进行竞争性磋商采购。欢迎有资格的供应商前来参与磋商。</w:t>
      </w:r>
    </w:p>
    <w:p>
      <w:pPr>
        <w:pStyle w:val="5"/>
        <w:spacing w:before="0" w:after="0" w:line="400" w:lineRule="exact"/>
        <w:rPr>
          <w:rFonts w:ascii="仿宋" w:hAnsi="仿宋" w:eastAsia="仿宋"/>
          <w:color w:val="auto"/>
          <w:sz w:val="24"/>
          <w:szCs w:val="24"/>
        </w:rPr>
      </w:pPr>
      <w:bookmarkStart w:id="3" w:name="_Toc317775175"/>
      <w:bookmarkStart w:id="4" w:name="_Toc5321"/>
      <w:bookmarkStart w:id="5" w:name="_Toc313893526"/>
      <w:r>
        <w:rPr>
          <w:rFonts w:hint="eastAsia" w:ascii="仿宋" w:hAnsi="仿宋" w:eastAsia="仿宋"/>
          <w:color w:val="auto"/>
          <w:sz w:val="24"/>
          <w:szCs w:val="24"/>
        </w:rPr>
        <w:t>一、竞争性磋商内容</w:t>
      </w:r>
      <w:bookmarkEnd w:id="3"/>
      <w:bookmarkEnd w:id="4"/>
      <w:bookmarkEnd w:id="5"/>
    </w:p>
    <w:tbl>
      <w:tblPr>
        <w:tblStyle w:val="5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715"/>
        <w:gridCol w:w="1339"/>
        <w:gridCol w:w="170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分包号</w:t>
            </w:r>
          </w:p>
        </w:tc>
        <w:tc>
          <w:tcPr>
            <w:tcW w:w="371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分包名称</w:t>
            </w:r>
          </w:p>
        </w:tc>
        <w:tc>
          <w:tcPr>
            <w:tcW w:w="133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最高限价（万元）</w:t>
            </w:r>
          </w:p>
        </w:tc>
        <w:tc>
          <w:tcPr>
            <w:tcW w:w="170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成交供应商数量（名）</w:t>
            </w:r>
          </w:p>
        </w:tc>
        <w:tc>
          <w:tcPr>
            <w:tcW w:w="151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b/>
                <w:bCs/>
                <w:color w:val="auto"/>
                <w:sz w:val="24"/>
                <w:szCs w:val="24"/>
              </w:rPr>
            </w:pPr>
            <w:r>
              <w:rPr>
                <w:rFonts w:hint="eastAsia" w:ascii="仿宋" w:hAnsi="仿宋" w:eastAsia="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color w:val="auto"/>
                <w:sz w:val="24"/>
                <w:szCs w:val="24"/>
              </w:rPr>
            </w:pPr>
            <w:r>
              <w:rPr>
                <w:rFonts w:hint="eastAsia" w:ascii="仿宋" w:hAnsi="仿宋" w:eastAsia="仿宋"/>
                <w:color w:val="auto"/>
                <w:sz w:val="24"/>
                <w:szCs w:val="24"/>
              </w:rPr>
              <w:t>1</w:t>
            </w:r>
          </w:p>
        </w:tc>
        <w:tc>
          <w:tcPr>
            <w:tcW w:w="3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color w:val="auto"/>
                <w:sz w:val="24"/>
                <w:szCs w:val="24"/>
              </w:rPr>
            </w:pPr>
            <w:bookmarkStart w:id="6" w:name="_Hlk344477914"/>
            <w:r>
              <w:rPr>
                <w:rFonts w:hint="eastAsia" w:ascii="仿宋" w:hAnsi="仿宋" w:eastAsia="仿宋"/>
                <w:color w:val="auto"/>
                <w:sz w:val="24"/>
                <w:szCs w:val="24"/>
              </w:rPr>
              <w:t>2024</w:t>
            </w:r>
            <w:r>
              <w:rPr>
                <w:rFonts w:hint="eastAsia" w:ascii="仿宋" w:hAnsi="仿宋" w:eastAsia="仿宋"/>
                <w:color w:val="auto"/>
                <w:sz w:val="24"/>
                <w:szCs w:val="24"/>
                <w:lang w:eastAsia="zh-CN"/>
              </w:rPr>
              <w:t>年</w:t>
            </w:r>
            <w:r>
              <w:rPr>
                <w:rFonts w:hint="eastAsia" w:ascii="仿宋" w:hAnsi="仿宋" w:eastAsia="仿宋"/>
                <w:color w:val="auto"/>
                <w:sz w:val="24"/>
                <w:szCs w:val="24"/>
              </w:rPr>
              <w:t>交通领域复议诉讼典型案例分析及制度制定采购项目</w:t>
            </w: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25</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color w:val="auto"/>
                <w:sz w:val="24"/>
                <w:szCs w:val="24"/>
              </w:rPr>
            </w:pPr>
            <w:r>
              <w:rPr>
                <w:rFonts w:ascii="仿宋" w:hAnsi="仿宋" w:eastAsia="仿宋"/>
                <w:color w:val="auto"/>
                <w:sz w:val="24"/>
                <w:szCs w:val="24"/>
              </w:rPr>
              <w:t>1</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rPr>
                <w:rFonts w:ascii="仿宋" w:hAnsi="仿宋" w:eastAsia="仿宋"/>
                <w:color w:val="auto"/>
                <w:sz w:val="24"/>
                <w:szCs w:val="24"/>
              </w:rPr>
            </w:pPr>
          </w:p>
        </w:tc>
      </w:tr>
      <w:bookmarkEnd w:id="6"/>
    </w:tbl>
    <w:p>
      <w:pPr>
        <w:pStyle w:val="5"/>
        <w:spacing w:before="0" w:after="0" w:line="400" w:lineRule="exact"/>
        <w:rPr>
          <w:rFonts w:ascii="仿宋" w:hAnsi="仿宋" w:eastAsia="仿宋"/>
          <w:color w:val="auto"/>
          <w:sz w:val="24"/>
          <w:szCs w:val="24"/>
        </w:rPr>
      </w:pPr>
      <w:bookmarkStart w:id="7" w:name="_Toc26860"/>
      <w:bookmarkStart w:id="8" w:name="_Toc373860293"/>
      <w:bookmarkStart w:id="9" w:name="_Toc317775178"/>
      <w:r>
        <w:rPr>
          <w:rFonts w:hint="eastAsia" w:ascii="仿宋" w:hAnsi="仿宋" w:eastAsia="仿宋"/>
          <w:color w:val="auto"/>
          <w:sz w:val="24"/>
          <w:szCs w:val="24"/>
        </w:rPr>
        <w:t>二、资金来源</w:t>
      </w:r>
      <w:bookmarkEnd w:id="7"/>
    </w:p>
    <w:p>
      <w:pPr>
        <w:spacing w:line="400" w:lineRule="exact"/>
        <w:ind w:firstLine="480" w:firstLineChars="200"/>
        <w:rPr>
          <w:rFonts w:ascii="仿宋" w:hAnsi="仿宋" w:eastAsia="仿宋"/>
          <w:color w:val="auto"/>
          <w:sz w:val="24"/>
          <w:szCs w:val="24"/>
        </w:rPr>
      </w:pPr>
      <w:r>
        <w:rPr>
          <w:rFonts w:hint="eastAsia" w:ascii="仿宋" w:hAnsi="仿宋" w:eastAsia="仿宋" w:cs="仿宋"/>
          <w:color w:val="auto"/>
          <w:kern w:val="0"/>
          <w:sz w:val="24"/>
          <w:szCs w:val="24"/>
        </w:rPr>
        <w:t>财政预算资金，预算金额为</w:t>
      </w:r>
      <w:r>
        <w:rPr>
          <w:rFonts w:hint="eastAsia" w:ascii="仿宋" w:hAnsi="仿宋" w:eastAsia="仿宋" w:cs="仿宋"/>
          <w:color w:val="auto"/>
          <w:kern w:val="0"/>
          <w:sz w:val="24"/>
          <w:szCs w:val="24"/>
          <w:lang w:val="en-US" w:eastAsia="zh-CN"/>
        </w:rPr>
        <w:t>25</w:t>
      </w:r>
      <w:r>
        <w:rPr>
          <w:rFonts w:hint="eastAsia" w:ascii="仿宋" w:hAnsi="仿宋" w:eastAsia="仿宋" w:cs="仿宋"/>
          <w:color w:val="auto"/>
          <w:kern w:val="0"/>
          <w:sz w:val="24"/>
          <w:szCs w:val="24"/>
        </w:rPr>
        <w:t>万元</w:t>
      </w:r>
      <w:r>
        <w:rPr>
          <w:rFonts w:hint="eastAsia" w:ascii="仿宋" w:hAnsi="仿宋" w:eastAsia="仿宋"/>
          <w:color w:val="auto"/>
          <w:sz w:val="24"/>
          <w:szCs w:val="24"/>
        </w:rPr>
        <w:t>。</w:t>
      </w:r>
    </w:p>
    <w:p>
      <w:pPr>
        <w:pStyle w:val="5"/>
        <w:spacing w:before="0" w:after="0" w:line="400" w:lineRule="exact"/>
        <w:rPr>
          <w:rFonts w:ascii="仿宋" w:hAnsi="仿宋" w:eastAsia="仿宋"/>
          <w:color w:val="auto"/>
          <w:sz w:val="24"/>
          <w:szCs w:val="24"/>
        </w:rPr>
      </w:pPr>
      <w:bookmarkStart w:id="10" w:name="_Toc31650"/>
      <w:r>
        <w:rPr>
          <w:rFonts w:hint="eastAsia" w:ascii="仿宋" w:hAnsi="仿宋" w:eastAsia="仿宋"/>
          <w:color w:val="auto"/>
          <w:sz w:val="24"/>
          <w:szCs w:val="24"/>
        </w:rPr>
        <w:t>三、供应商资格条件</w:t>
      </w:r>
      <w:bookmarkEnd w:id="1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供应商是指向采购人提供服务或者货物的法人、其他组织或者自然人。合格的供应商应首先符合政府采购法第二十二条规定的基本资格条件，同时符合本项目特定资格条件。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（一）基本资格条件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1.具有独立承担民事责任的能力；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2.具有良好的商业信誉和健全的财务会计制度；</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3.具有履行合同所必需的设备和专业技术能力；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4.有依法缴纳税收和社会保障资金的良好记录；</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5.参加政府采购活动前三年内，在经营活动中没有重大违法</w:t>
      </w:r>
      <w:r>
        <w:rPr>
          <w:rFonts w:hint="eastAsia" w:ascii="仿宋" w:hAnsi="仿宋" w:eastAsia="仿宋"/>
          <w:color w:val="auto"/>
          <w:sz w:val="24"/>
          <w:szCs w:val="24"/>
          <w:lang w:eastAsia="zh-CN"/>
        </w:rPr>
        <w:t>失信</w:t>
      </w:r>
      <w:r>
        <w:rPr>
          <w:rFonts w:hint="eastAsia" w:ascii="仿宋" w:hAnsi="仿宋" w:eastAsia="仿宋"/>
          <w:color w:val="auto"/>
          <w:sz w:val="24"/>
          <w:szCs w:val="24"/>
        </w:rPr>
        <w:t>记录；</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6.法律、行政法规规定的其他条件。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（二）特定资格条件</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经司法行政主管部门批准成立的律师事务所（</w:t>
      </w:r>
      <w:r>
        <w:rPr>
          <w:rFonts w:hint="eastAsia" w:ascii="仿宋" w:hAnsi="仿宋" w:eastAsia="仿宋" w:cs="仿宋"/>
          <w:color w:val="auto"/>
          <w:sz w:val="24"/>
          <w:szCs w:val="24"/>
          <w:lang w:eastAsia="zh-CN"/>
        </w:rPr>
        <w:t>需</w:t>
      </w:r>
      <w:r>
        <w:rPr>
          <w:rFonts w:hint="eastAsia" w:ascii="仿宋" w:hAnsi="仿宋" w:eastAsia="仿宋" w:cs="仿宋"/>
          <w:color w:val="auto"/>
          <w:sz w:val="24"/>
          <w:szCs w:val="24"/>
        </w:rPr>
        <w:t>提供执业证书复印件加盖供应商公章）。</w:t>
      </w:r>
    </w:p>
    <w:p>
      <w:pPr>
        <w:pStyle w:val="5"/>
        <w:spacing w:before="0" w:after="0" w:line="400" w:lineRule="exact"/>
        <w:ind w:firstLine="482" w:firstLineChars="200"/>
        <w:rPr>
          <w:rFonts w:ascii="仿宋" w:hAnsi="仿宋" w:eastAsia="仿宋"/>
          <w:color w:val="auto"/>
          <w:sz w:val="24"/>
          <w:szCs w:val="24"/>
        </w:rPr>
      </w:pPr>
      <w:bookmarkStart w:id="11" w:name="_Toc2962"/>
      <w:r>
        <w:rPr>
          <w:rFonts w:hint="eastAsia" w:ascii="仿宋" w:hAnsi="仿宋" w:eastAsia="仿宋"/>
          <w:color w:val="auto"/>
          <w:sz w:val="24"/>
          <w:szCs w:val="24"/>
        </w:rPr>
        <w:t>四、磋商有关说明</w:t>
      </w:r>
      <w:bookmarkEnd w:id="8"/>
      <w:bookmarkEnd w:id="11"/>
    </w:p>
    <w:p>
      <w:pPr>
        <w:spacing w:line="400" w:lineRule="exact"/>
        <w:ind w:firstLine="480" w:firstLineChars="200"/>
        <w:rPr>
          <w:rFonts w:ascii="仿宋" w:hAnsi="仿宋" w:eastAsia="仿宋"/>
          <w:color w:val="auto"/>
          <w:sz w:val="24"/>
          <w:szCs w:val="24"/>
        </w:rPr>
      </w:pPr>
      <w:bookmarkStart w:id="12" w:name="_Toc373860294"/>
      <w:r>
        <w:rPr>
          <w:rFonts w:hint="eastAsia" w:ascii="仿宋" w:hAnsi="仿宋" w:eastAsia="仿宋"/>
          <w:color w:val="auto"/>
          <w:sz w:val="24"/>
          <w:szCs w:val="24"/>
        </w:rPr>
        <w:t>（一）凡有意参加谈判的供应商，请于公告发布之日起至提交首次响应文件截止时间之前，在重庆市交通</w:t>
      </w:r>
      <w:r>
        <w:rPr>
          <w:rFonts w:hint="eastAsia" w:ascii="仿宋" w:hAnsi="仿宋" w:eastAsia="仿宋"/>
          <w:color w:val="auto"/>
          <w:sz w:val="24"/>
          <w:szCs w:val="24"/>
          <w:lang w:eastAsia="zh-CN"/>
        </w:rPr>
        <w:t>运输委员会</w:t>
      </w:r>
      <w:r>
        <w:rPr>
          <w:rFonts w:hint="eastAsia" w:ascii="仿宋" w:hAnsi="仿宋" w:eastAsia="仿宋"/>
          <w:color w:val="auto"/>
          <w:sz w:val="24"/>
          <w:szCs w:val="24"/>
        </w:rPr>
        <w:t>官网（http://jtj.cq.gov.cn/）网上下载本项目谈判文件以及图纸、补遗等开标前公布的所有项目资料，无论供应商领取或下载与否，均视为已知晓所有谈判内容。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（二）报名及磋商文件发售</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1.报名及磋商文件发售期：202</w:t>
      </w:r>
      <w:r>
        <w:rPr>
          <w:rFonts w:hint="default" w:ascii="仿宋" w:hAnsi="仿宋" w:eastAsia="仿宋" w:cs="宋体"/>
          <w:color w:val="auto"/>
          <w:sz w:val="24"/>
          <w:szCs w:val="24"/>
          <w:lang w:val="en"/>
        </w:rPr>
        <w:t>4</w:t>
      </w:r>
      <w:r>
        <w:rPr>
          <w:rFonts w:hint="eastAsia" w:ascii="仿宋" w:hAnsi="仿宋" w:eastAsia="仿宋" w:cs="宋体"/>
          <w:color w:val="auto"/>
          <w:sz w:val="24"/>
          <w:szCs w:val="24"/>
        </w:rPr>
        <w:t>年</w:t>
      </w:r>
      <w:r>
        <w:rPr>
          <w:rFonts w:hint="default" w:ascii="仿宋" w:hAnsi="仿宋" w:eastAsia="仿宋" w:cs="宋体"/>
          <w:color w:val="auto"/>
          <w:sz w:val="24"/>
          <w:szCs w:val="24"/>
          <w:lang w:val="en" w:eastAsia="zh-CN"/>
        </w:rPr>
        <w:t>5</w:t>
      </w:r>
      <w:r>
        <w:rPr>
          <w:rFonts w:hint="eastAsia" w:ascii="仿宋" w:hAnsi="仿宋" w:eastAsia="仿宋" w:cs="宋体"/>
          <w:color w:val="auto"/>
          <w:sz w:val="24"/>
          <w:szCs w:val="24"/>
        </w:rPr>
        <w:t>月</w:t>
      </w:r>
      <w:r>
        <w:rPr>
          <w:rFonts w:hint="default" w:ascii="仿宋" w:hAnsi="仿宋" w:eastAsia="仿宋" w:cs="宋体"/>
          <w:color w:val="auto"/>
          <w:sz w:val="24"/>
          <w:szCs w:val="24"/>
          <w:lang w:val="en" w:eastAsia="zh-CN"/>
        </w:rPr>
        <w:t>31</w:t>
      </w:r>
      <w:r>
        <w:rPr>
          <w:rFonts w:hint="eastAsia" w:ascii="仿宋" w:hAnsi="仿宋" w:eastAsia="仿宋" w:cs="宋体"/>
          <w:color w:val="auto"/>
          <w:sz w:val="24"/>
          <w:szCs w:val="24"/>
        </w:rPr>
        <w:t>日-202</w:t>
      </w:r>
      <w:r>
        <w:rPr>
          <w:rFonts w:hint="default" w:ascii="仿宋" w:hAnsi="仿宋" w:eastAsia="仿宋" w:cs="宋体"/>
          <w:color w:val="auto"/>
          <w:sz w:val="24"/>
          <w:szCs w:val="24"/>
          <w:lang w:val="en"/>
        </w:rPr>
        <w:t>4</w:t>
      </w:r>
      <w:r>
        <w:rPr>
          <w:rFonts w:hint="eastAsia" w:ascii="仿宋" w:hAnsi="仿宋" w:eastAsia="仿宋" w:cs="宋体"/>
          <w:color w:val="auto"/>
          <w:sz w:val="24"/>
          <w:szCs w:val="24"/>
        </w:rPr>
        <w:t>年</w:t>
      </w:r>
      <w:r>
        <w:rPr>
          <w:rFonts w:hint="default" w:ascii="仿宋" w:hAnsi="仿宋" w:eastAsia="仿宋" w:cs="宋体"/>
          <w:color w:val="auto"/>
          <w:sz w:val="24"/>
          <w:szCs w:val="24"/>
          <w:lang w:val="en" w:eastAsia="zh-CN"/>
        </w:rPr>
        <w:t>6</w:t>
      </w:r>
      <w:r>
        <w:rPr>
          <w:rFonts w:hint="eastAsia" w:ascii="仿宋" w:hAnsi="仿宋" w:eastAsia="仿宋" w:cs="宋体"/>
          <w:color w:val="auto"/>
          <w:sz w:val="24"/>
          <w:szCs w:val="24"/>
        </w:rPr>
        <w:t>月</w:t>
      </w:r>
      <w:r>
        <w:rPr>
          <w:rFonts w:hint="eastAsia" w:ascii="仿宋" w:hAnsi="仿宋" w:eastAsia="仿宋" w:cs="宋体"/>
          <w:color w:val="auto"/>
          <w:sz w:val="24"/>
          <w:szCs w:val="24"/>
          <w:lang w:val="en-US" w:eastAsia="zh-CN"/>
        </w:rPr>
        <w:t>7</w:t>
      </w:r>
      <w:r>
        <w:rPr>
          <w:rFonts w:hint="eastAsia" w:ascii="仿宋" w:hAnsi="仿宋" w:eastAsia="仿宋" w:cs="宋体"/>
          <w:color w:val="auto"/>
          <w:sz w:val="24"/>
          <w:szCs w:val="24"/>
        </w:rPr>
        <w:t>日17:30</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2.磋商文件售价：人民币0元/份。</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3.报名方式：在报名及磋商文件发售期内，供应商将《采购文件发售登记表》（加盖</w:t>
      </w:r>
      <w:r>
        <w:rPr>
          <w:rFonts w:hint="eastAsia" w:ascii="仿宋" w:hAnsi="仿宋" w:eastAsia="仿宋" w:cs="宋体"/>
          <w:color w:val="auto"/>
          <w:sz w:val="24"/>
          <w:szCs w:val="24"/>
          <w:lang w:eastAsia="zh-CN"/>
        </w:rPr>
        <w:t>供应商</w:t>
      </w:r>
      <w:r>
        <w:rPr>
          <w:rFonts w:hint="eastAsia" w:ascii="仿宋" w:hAnsi="仿宋" w:eastAsia="仿宋" w:cs="宋体"/>
          <w:color w:val="auto"/>
          <w:sz w:val="24"/>
          <w:szCs w:val="24"/>
        </w:rPr>
        <w:t>公章）扫描后发送至76482711@qq.com。</w:t>
      </w:r>
    </w:p>
    <w:p>
      <w:pPr>
        <w:spacing w:line="40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4.各供应商须在报名及磋商文件发售期内按要求发送《采购文件发售登记表》进行报名 ，其响应文件才被接收。</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三</w:t>
      </w:r>
      <w:r>
        <w:rPr>
          <w:rFonts w:ascii="仿宋" w:hAnsi="仿宋" w:eastAsia="仿宋"/>
          <w:color w:val="auto"/>
          <w:sz w:val="24"/>
          <w:szCs w:val="24"/>
        </w:rPr>
        <w:t>）磋商地点：</w:t>
      </w:r>
      <w:r>
        <w:rPr>
          <w:rFonts w:hint="eastAsia" w:ascii="仿宋" w:hAnsi="仿宋" w:eastAsia="仿宋" w:cs="仿宋"/>
          <w:color w:val="auto"/>
          <w:sz w:val="24"/>
          <w:szCs w:val="24"/>
        </w:rPr>
        <w:t>重庆市渝北区中渝都会首站2栋1301室。</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四</w:t>
      </w:r>
      <w:r>
        <w:rPr>
          <w:rFonts w:ascii="仿宋" w:hAnsi="仿宋" w:eastAsia="仿宋"/>
          <w:color w:val="auto"/>
          <w:sz w:val="24"/>
          <w:szCs w:val="24"/>
        </w:rPr>
        <w:t>）提交响应文件开始时间：202</w:t>
      </w:r>
      <w:r>
        <w:rPr>
          <w:rFonts w:hint="default" w:ascii="仿宋" w:hAnsi="仿宋" w:eastAsia="仿宋"/>
          <w:color w:val="auto"/>
          <w:sz w:val="24"/>
          <w:szCs w:val="24"/>
          <w:lang w:val="en"/>
        </w:rPr>
        <w:t>4</w:t>
      </w:r>
      <w:r>
        <w:rPr>
          <w:rFonts w:ascii="仿宋" w:hAnsi="仿宋" w:eastAsia="仿宋"/>
          <w:color w:val="auto"/>
          <w:sz w:val="24"/>
          <w:szCs w:val="24"/>
        </w:rPr>
        <w:t>年</w:t>
      </w:r>
      <w:r>
        <w:rPr>
          <w:rFonts w:hint="default" w:ascii="仿宋" w:hAnsi="仿宋" w:eastAsia="仿宋"/>
          <w:color w:val="auto"/>
          <w:sz w:val="24"/>
          <w:szCs w:val="24"/>
          <w:lang w:val="en" w:eastAsia="zh-CN"/>
        </w:rPr>
        <w:t>6</w:t>
      </w:r>
      <w:r>
        <w:rPr>
          <w:rFonts w:ascii="仿宋" w:hAnsi="仿宋" w:eastAsia="仿宋"/>
          <w:color w:val="auto"/>
          <w:sz w:val="24"/>
          <w:szCs w:val="24"/>
        </w:rPr>
        <w:t>月</w:t>
      </w:r>
      <w:r>
        <w:rPr>
          <w:rFonts w:hint="eastAsia" w:ascii="仿宋" w:hAnsi="仿宋" w:eastAsia="仿宋"/>
          <w:color w:val="auto"/>
          <w:sz w:val="24"/>
          <w:szCs w:val="24"/>
          <w:lang w:val="en-US" w:eastAsia="zh-CN"/>
        </w:rPr>
        <w:t>1</w:t>
      </w:r>
      <w:r>
        <w:rPr>
          <w:rFonts w:hint="default" w:ascii="仿宋" w:hAnsi="仿宋" w:eastAsia="仿宋"/>
          <w:color w:val="auto"/>
          <w:sz w:val="24"/>
          <w:szCs w:val="24"/>
          <w:lang w:val="en" w:eastAsia="zh-CN"/>
        </w:rPr>
        <w:t>1</w:t>
      </w:r>
      <w:r>
        <w:rPr>
          <w:rFonts w:ascii="仿宋" w:hAnsi="仿宋" w:eastAsia="仿宋"/>
          <w:color w:val="auto"/>
          <w:sz w:val="24"/>
          <w:szCs w:val="24"/>
        </w:rPr>
        <w:t>日北京时间</w:t>
      </w:r>
      <w:r>
        <w:rPr>
          <w:rFonts w:hint="default" w:ascii="仿宋" w:hAnsi="仿宋" w:eastAsia="仿宋"/>
          <w:color w:val="auto"/>
          <w:sz w:val="24"/>
          <w:szCs w:val="24"/>
          <w:lang w:val="en" w:eastAsia="zh-CN"/>
        </w:rPr>
        <w:t>14</w:t>
      </w:r>
      <w:r>
        <w:rPr>
          <w:rFonts w:ascii="仿宋" w:hAnsi="仿宋" w:eastAsia="仿宋"/>
          <w:color w:val="auto"/>
          <w:sz w:val="24"/>
          <w:szCs w:val="24"/>
        </w:rPr>
        <w:t>:00。</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五</w:t>
      </w:r>
      <w:r>
        <w:rPr>
          <w:rFonts w:ascii="仿宋" w:hAnsi="仿宋" w:eastAsia="仿宋"/>
          <w:color w:val="auto"/>
          <w:sz w:val="24"/>
          <w:szCs w:val="24"/>
        </w:rPr>
        <w:t>）提交响应文件截止时间：202</w:t>
      </w:r>
      <w:r>
        <w:rPr>
          <w:rFonts w:hint="default" w:ascii="仿宋" w:hAnsi="仿宋" w:eastAsia="仿宋"/>
          <w:color w:val="auto"/>
          <w:sz w:val="24"/>
          <w:szCs w:val="24"/>
          <w:lang w:val="en"/>
        </w:rPr>
        <w:t>4</w:t>
      </w:r>
      <w:r>
        <w:rPr>
          <w:rFonts w:ascii="仿宋" w:hAnsi="仿宋" w:eastAsia="仿宋"/>
          <w:color w:val="auto"/>
          <w:sz w:val="24"/>
          <w:szCs w:val="24"/>
        </w:rPr>
        <w:t>年</w:t>
      </w:r>
      <w:r>
        <w:rPr>
          <w:rFonts w:hint="default" w:ascii="仿宋" w:hAnsi="仿宋" w:eastAsia="仿宋"/>
          <w:color w:val="auto"/>
          <w:sz w:val="24"/>
          <w:szCs w:val="24"/>
          <w:lang w:val="en" w:eastAsia="zh-CN"/>
        </w:rPr>
        <w:t>6</w:t>
      </w:r>
      <w:r>
        <w:rPr>
          <w:rFonts w:ascii="仿宋" w:hAnsi="仿宋" w:eastAsia="仿宋"/>
          <w:color w:val="auto"/>
          <w:sz w:val="24"/>
          <w:szCs w:val="24"/>
        </w:rPr>
        <w:t>月</w:t>
      </w:r>
      <w:r>
        <w:rPr>
          <w:rFonts w:hint="eastAsia" w:ascii="仿宋" w:hAnsi="仿宋" w:eastAsia="仿宋"/>
          <w:color w:val="auto"/>
          <w:sz w:val="24"/>
          <w:szCs w:val="24"/>
          <w:lang w:val="en-US" w:eastAsia="zh-CN"/>
        </w:rPr>
        <w:t>1</w:t>
      </w:r>
      <w:r>
        <w:rPr>
          <w:rFonts w:hint="default" w:ascii="仿宋" w:hAnsi="仿宋" w:eastAsia="仿宋"/>
          <w:color w:val="auto"/>
          <w:sz w:val="24"/>
          <w:szCs w:val="24"/>
          <w:lang w:val="en" w:eastAsia="zh-CN"/>
        </w:rPr>
        <w:t>1</w:t>
      </w:r>
      <w:r>
        <w:rPr>
          <w:rFonts w:hint="eastAsia" w:ascii="仿宋" w:hAnsi="仿宋" w:eastAsia="仿宋"/>
          <w:color w:val="auto"/>
          <w:sz w:val="24"/>
          <w:szCs w:val="24"/>
        </w:rPr>
        <w:t>日</w:t>
      </w:r>
      <w:r>
        <w:rPr>
          <w:rFonts w:ascii="仿宋" w:hAnsi="仿宋" w:eastAsia="仿宋"/>
          <w:color w:val="auto"/>
          <w:sz w:val="24"/>
          <w:szCs w:val="24"/>
        </w:rPr>
        <w:t>北京时间</w:t>
      </w:r>
      <w:r>
        <w:rPr>
          <w:rFonts w:hint="default" w:ascii="仿宋" w:hAnsi="仿宋" w:eastAsia="仿宋"/>
          <w:color w:val="auto"/>
          <w:sz w:val="24"/>
          <w:szCs w:val="24"/>
          <w:lang w:val="en" w:eastAsia="zh-CN"/>
        </w:rPr>
        <w:t>14</w:t>
      </w:r>
      <w:r>
        <w:rPr>
          <w:rFonts w:ascii="仿宋" w:hAnsi="仿宋" w:eastAsia="仿宋"/>
          <w:color w:val="auto"/>
          <w:sz w:val="24"/>
          <w:szCs w:val="24"/>
        </w:rPr>
        <w:t>:30。</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（六）磋商开始时间：20</w:t>
      </w:r>
      <w:r>
        <w:rPr>
          <w:rFonts w:ascii="仿宋" w:hAnsi="仿宋" w:eastAsia="仿宋"/>
          <w:color w:val="auto"/>
          <w:sz w:val="24"/>
          <w:szCs w:val="24"/>
        </w:rPr>
        <w:t>2</w:t>
      </w:r>
      <w:r>
        <w:rPr>
          <w:rFonts w:hint="default" w:ascii="仿宋" w:hAnsi="仿宋" w:eastAsia="仿宋"/>
          <w:color w:val="auto"/>
          <w:sz w:val="24"/>
          <w:szCs w:val="24"/>
          <w:lang w:val="en"/>
        </w:rPr>
        <w:t>4</w:t>
      </w:r>
      <w:r>
        <w:rPr>
          <w:rFonts w:hint="eastAsia" w:ascii="仿宋" w:hAnsi="仿宋" w:eastAsia="仿宋"/>
          <w:color w:val="auto"/>
          <w:sz w:val="24"/>
          <w:szCs w:val="24"/>
        </w:rPr>
        <w:t>年</w:t>
      </w:r>
      <w:r>
        <w:rPr>
          <w:rFonts w:hint="default" w:ascii="仿宋" w:hAnsi="仿宋" w:eastAsia="仿宋"/>
          <w:color w:val="auto"/>
          <w:sz w:val="24"/>
          <w:szCs w:val="24"/>
          <w:lang w:val="en" w:eastAsia="zh-CN"/>
        </w:rPr>
        <w:t>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w:t>
      </w:r>
      <w:r>
        <w:rPr>
          <w:rFonts w:hint="default" w:ascii="仿宋" w:hAnsi="仿宋" w:eastAsia="仿宋"/>
          <w:color w:val="auto"/>
          <w:sz w:val="24"/>
          <w:szCs w:val="24"/>
          <w:lang w:val="en" w:eastAsia="zh-CN"/>
        </w:rPr>
        <w:t>1</w:t>
      </w:r>
      <w:r>
        <w:rPr>
          <w:rFonts w:hint="eastAsia" w:ascii="仿宋" w:hAnsi="仿宋" w:eastAsia="仿宋"/>
          <w:color w:val="auto"/>
          <w:sz w:val="24"/>
          <w:szCs w:val="24"/>
        </w:rPr>
        <w:t>日北京时间</w:t>
      </w:r>
      <w:r>
        <w:rPr>
          <w:rFonts w:hint="default" w:ascii="仿宋" w:hAnsi="仿宋" w:eastAsia="仿宋"/>
          <w:color w:val="auto"/>
          <w:sz w:val="24"/>
          <w:szCs w:val="24"/>
          <w:lang w:val="en" w:eastAsia="zh-CN"/>
        </w:rPr>
        <w:t>14</w:t>
      </w: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rPr>
        <w:t>0。</w:t>
      </w:r>
    </w:p>
    <w:p>
      <w:pPr>
        <w:pStyle w:val="5"/>
        <w:spacing w:before="0" w:after="0" w:line="400" w:lineRule="exact"/>
        <w:rPr>
          <w:rFonts w:ascii="仿宋" w:hAnsi="仿宋" w:eastAsia="仿宋"/>
          <w:color w:val="auto"/>
          <w:sz w:val="24"/>
          <w:szCs w:val="24"/>
        </w:rPr>
      </w:pPr>
      <w:bookmarkStart w:id="13" w:name="_Toc25398"/>
      <w:r>
        <w:rPr>
          <w:rFonts w:hint="eastAsia" w:ascii="仿宋" w:hAnsi="仿宋" w:eastAsia="仿宋"/>
          <w:color w:val="auto"/>
          <w:sz w:val="24"/>
          <w:szCs w:val="24"/>
        </w:rPr>
        <w:t>五、磋商保证金</w:t>
      </w:r>
      <w:bookmarkEnd w:id="12"/>
      <w:bookmarkEnd w:id="13"/>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本项目不收取保证金。</w:t>
      </w:r>
    </w:p>
    <w:p>
      <w:pPr>
        <w:pStyle w:val="5"/>
        <w:spacing w:before="0" w:after="0" w:line="400" w:lineRule="exact"/>
        <w:rPr>
          <w:rFonts w:ascii="仿宋" w:hAnsi="仿宋" w:eastAsia="仿宋"/>
          <w:color w:val="auto"/>
          <w:sz w:val="24"/>
          <w:szCs w:val="24"/>
        </w:rPr>
      </w:pPr>
      <w:bookmarkStart w:id="14" w:name="_Toc26336"/>
      <w:r>
        <w:rPr>
          <w:rFonts w:hint="eastAsia" w:ascii="仿宋" w:hAnsi="仿宋" w:eastAsia="仿宋"/>
          <w:color w:val="auto"/>
          <w:sz w:val="24"/>
          <w:szCs w:val="24"/>
        </w:rPr>
        <w:t>六、</w:t>
      </w:r>
      <w:bookmarkEnd w:id="9"/>
      <w:r>
        <w:rPr>
          <w:rFonts w:hint="eastAsia" w:ascii="仿宋" w:hAnsi="仿宋" w:eastAsia="仿宋"/>
          <w:color w:val="auto"/>
          <w:sz w:val="24"/>
          <w:szCs w:val="24"/>
        </w:rPr>
        <w:t>其它有关规定</w:t>
      </w:r>
      <w:bookmarkEnd w:id="14"/>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（一）单位负责人为同一人或者存在直接控股、管理关系的不同供应商，不得参加同一合同项下的政府采购活动，否则均为无效响应。</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（二）为采购项目提供整体设计、规范编制或者项目管理、监理、检测等服务的供应商，不得再</w:t>
      </w:r>
      <w:r>
        <w:rPr>
          <w:rFonts w:ascii="仿宋" w:hAnsi="仿宋" w:eastAsia="仿宋"/>
          <w:color w:val="auto"/>
          <w:sz w:val="24"/>
          <w:szCs w:val="24"/>
        </w:rPr>
        <w:t>参加</w:t>
      </w:r>
      <w:r>
        <w:rPr>
          <w:rFonts w:hint="eastAsia" w:ascii="仿宋" w:hAnsi="仿宋" w:eastAsia="仿宋"/>
          <w:color w:val="auto"/>
          <w:sz w:val="24"/>
          <w:szCs w:val="24"/>
        </w:rPr>
        <w:t>该采购</w:t>
      </w:r>
      <w:r>
        <w:rPr>
          <w:rFonts w:ascii="仿宋" w:hAnsi="仿宋" w:eastAsia="仿宋"/>
          <w:color w:val="auto"/>
          <w:sz w:val="24"/>
          <w:szCs w:val="24"/>
        </w:rPr>
        <w:t>项目的</w:t>
      </w:r>
      <w:r>
        <w:rPr>
          <w:rFonts w:hint="eastAsia" w:ascii="仿宋" w:hAnsi="仿宋" w:eastAsia="仿宋"/>
          <w:color w:val="auto"/>
          <w:sz w:val="24"/>
          <w:szCs w:val="24"/>
        </w:rPr>
        <w:t>其他</w:t>
      </w:r>
      <w:r>
        <w:rPr>
          <w:rFonts w:ascii="仿宋" w:hAnsi="仿宋" w:eastAsia="仿宋"/>
          <w:color w:val="auto"/>
          <w:sz w:val="24"/>
          <w:szCs w:val="24"/>
        </w:rPr>
        <w:t>采购活动</w:t>
      </w:r>
      <w:r>
        <w:rPr>
          <w:rFonts w:hint="eastAsia" w:ascii="仿宋" w:hAnsi="仿宋" w:eastAsia="仿宋"/>
          <w:color w:val="auto"/>
          <w:sz w:val="24"/>
          <w:szCs w:val="24"/>
        </w:rPr>
        <w:t>，否则均为无效响应。</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（三）本项目的补遗文件（如果有）一律在重庆市交通</w:t>
      </w:r>
      <w:r>
        <w:rPr>
          <w:rFonts w:hint="eastAsia" w:ascii="仿宋" w:hAnsi="仿宋" w:eastAsia="仿宋"/>
          <w:color w:val="auto"/>
          <w:sz w:val="24"/>
          <w:szCs w:val="24"/>
          <w:lang w:eastAsia="zh-CN"/>
        </w:rPr>
        <w:t>运输委员会</w:t>
      </w:r>
      <w:r>
        <w:rPr>
          <w:rFonts w:hint="eastAsia" w:ascii="仿宋" w:hAnsi="仿宋" w:eastAsia="仿宋"/>
          <w:color w:val="auto"/>
          <w:sz w:val="24"/>
          <w:szCs w:val="24"/>
        </w:rPr>
        <w:t>官网（http://jtj.cq.gov.cn/）上发布，请各供应商注意下载或到采购代理机构领取；无论供应商下载或领取与否，均视同供应商已知晓本项目补遗文件（如果有）的内容。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（四）超过响应文件截止时间递交的响应文件，恕不接收。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（五）磋商费用：无论磋商结果如何，供应商参与本项目磋商的所有费用均应由供应商自行承担。</w:t>
      </w:r>
    </w:p>
    <w:p>
      <w:pPr>
        <w:pStyle w:val="5"/>
        <w:spacing w:before="0" w:after="0" w:line="400" w:lineRule="exact"/>
        <w:rPr>
          <w:rFonts w:ascii="仿宋" w:hAnsi="仿宋" w:eastAsia="仿宋"/>
          <w:color w:val="auto"/>
          <w:sz w:val="24"/>
          <w:szCs w:val="24"/>
        </w:rPr>
      </w:pPr>
      <w:bookmarkStart w:id="15" w:name="_Toc6480"/>
      <w:r>
        <w:rPr>
          <w:rFonts w:hint="eastAsia" w:ascii="仿宋" w:hAnsi="仿宋" w:eastAsia="仿宋"/>
          <w:color w:val="auto"/>
          <w:sz w:val="24"/>
          <w:szCs w:val="24"/>
        </w:rPr>
        <w:t>七、联系方式</w:t>
      </w:r>
      <w:bookmarkEnd w:id="15"/>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（一）采购人：重庆市交通</w:t>
      </w:r>
      <w:r>
        <w:rPr>
          <w:rFonts w:hint="eastAsia" w:ascii="仿宋" w:hAnsi="仿宋" w:eastAsia="仿宋"/>
          <w:color w:val="auto"/>
          <w:sz w:val="24"/>
          <w:szCs w:val="24"/>
          <w:lang w:eastAsia="zh-CN"/>
        </w:rPr>
        <w:t>运输委员会</w:t>
      </w:r>
    </w:p>
    <w:p>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李老师</w:t>
      </w:r>
    </w:p>
    <w:p>
      <w:pPr>
        <w:spacing w:line="4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rPr>
        <w:t>电  话：</w:t>
      </w:r>
      <w:r>
        <w:rPr>
          <w:rFonts w:hint="eastAsia" w:ascii="仿宋" w:hAnsi="仿宋" w:eastAsia="仿宋"/>
          <w:color w:val="auto"/>
          <w:sz w:val="24"/>
          <w:szCs w:val="24"/>
          <w:lang w:val="en-US" w:eastAsia="zh-CN"/>
        </w:rPr>
        <w:t>023-89183123</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w:t>
      </w:r>
      <w:r>
        <w:rPr>
          <w:rFonts w:hint="eastAsia" w:ascii="仿宋" w:hAnsi="仿宋" w:eastAsia="仿宋" w:cs="仿宋"/>
          <w:color w:val="auto"/>
          <w:sz w:val="24"/>
          <w:szCs w:val="24"/>
        </w:rPr>
        <w:t>重庆市渝北区龙溪红锦大道20号</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（二）采购代理机构：重庆道一招标代理有限公司</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联系人：韦老师</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电  话：023-63296219</w:t>
      </w:r>
      <w:r>
        <w:rPr>
          <w:rFonts w:ascii="仿宋" w:hAnsi="仿宋" w:eastAsia="仿宋"/>
          <w:color w:val="auto"/>
          <w:sz w:val="24"/>
          <w:szCs w:val="24"/>
        </w:rPr>
        <w:t xml:space="preserve"> </w:t>
      </w:r>
      <w:r>
        <w:rPr>
          <w:rFonts w:hint="eastAsia" w:ascii="仿宋" w:hAnsi="仿宋" w:eastAsia="仿宋" w:cs="仿宋"/>
          <w:color w:val="auto"/>
          <w:sz w:val="24"/>
          <w:szCs w:val="24"/>
        </w:rPr>
        <w:t>15823580987</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址：重庆市渝北区龙溪街道金山路18号</w:t>
      </w:r>
      <w:r>
        <w:rPr>
          <w:rFonts w:ascii="仿宋" w:hAnsi="仿宋" w:eastAsia="仿宋"/>
          <w:color w:val="auto"/>
          <w:sz w:val="24"/>
          <w:szCs w:val="24"/>
        </w:rPr>
        <w:t>2</w:t>
      </w:r>
      <w:r>
        <w:rPr>
          <w:rFonts w:hint="eastAsia" w:ascii="仿宋" w:hAnsi="仿宋" w:eastAsia="仿宋"/>
          <w:color w:val="auto"/>
          <w:sz w:val="24"/>
          <w:szCs w:val="24"/>
        </w:rPr>
        <w:t>幢</w:t>
      </w:r>
      <w:r>
        <w:rPr>
          <w:rFonts w:ascii="仿宋" w:hAnsi="仿宋" w:eastAsia="仿宋"/>
          <w:color w:val="auto"/>
          <w:sz w:val="24"/>
          <w:szCs w:val="24"/>
        </w:rPr>
        <w:t>15</w:t>
      </w:r>
      <w:r>
        <w:rPr>
          <w:rFonts w:hint="eastAsia" w:ascii="仿宋" w:hAnsi="仿宋" w:eastAsia="仿宋"/>
          <w:color w:val="auto"/>
          <w:sz w:val="24"/>
          <w:szCs w:val="24"/>
        </w:rPr>
        <w:t>-</w:t>
      </w:r>
      <w:r>
        <w:rPr>
          <w:rFonts w:ascii="仿宋" w:hAnsi="仿宋" w:eastAsia="仿宋"/>
          <w:color w:val="auto"/>
          <w:sz w:val="24"/>
          <w:szCs w:val="24"/>
        </w:rPr>
        <w:t>04</w:t>
      </w:r>
    </w:p>
    <w:p>
      <w:pPr>
        <w:spacing w:line="400" w:lineRule="exact"/>
        <w:ind w:firstLine="480" w:firstLineChars="200"/>
        <w:rPr>
          <w:rFonts w:ascii="仿宋" w:hAnsi="仿宋" w:eastAsia="仿宋"/>
          <w:color w:val="auto"/>
          <w:sz w:val="24"/>
          <w:szCs w:val="24"/>
        </w:rPr>
      </w:pPr>
    </w:p>
    <w:p>
      <w:pPr>
        <w:snapToGrid w:val="0"/>
        <w:spacing w:line="400" w:lineRule="exact"/>
        <w:ind w:firstLine="480" w:firstLineChars="200"/>
        <w:rPr>
          <w:rFonts w:ascii="仿宋" w:hAnsi="仿宋" w:eastAsia="仿宋"/>
          <w:color w:val="auto"/>
          <w:sz w:val="24"/>
          <w:szCs w:val="24"/>
        </w:rPr>
      </w:pPr>
    </w:p>
    <w:p>
      <w:pPr>
        <w:snapToGrid w:val="0"/>
        <w:spacing w:line="360" w:lineRule="auto"/>
        <w:ind w:firstLine="482" w:firstLineChars="200"/>
        <w:rPr>
          <w:rFonts w:ascii="仿宋" w:hAnsi="仿宋" w:eastAsia="仿宋"/>
          <w:b/>
          <w:color w:val="auto"/>
          <w:sz w:val="24"/>
          <w:szCs w:val="24"/>
        </w:rPr>
        <w:sectPr>
          <w:pgSz w:w="11907" w:h="16840"/>
          <w:pgMar w:top="1134" w:right="1418" w:bottom="1134" w:left="1418" w:header="964" w:footer="992" w:gutter="0"/>
          <w:pgNumType w:fmt="numberInDash"/>
          <w:cols w:space="720" w:num="1"/>
          <w:docGrid w:linePitch="312" w:charSpace="0"/>
        </w:sectPr>
      </w:pPr>
    </w:p>
    <w:p>
      <w:pPr>
        <w:pStyle w:val="4"/>
        <w:spacing w:line="360" w:lineRule="auto"/>
        <w:jc w:val="center"/>
        <w:rPr>
          <w:rFonts w:ascii="仿宋" w:hAnsi="仿宋" w:eastAsia="仿宋"/>
          <w:b w:val="0"/>
          <w:color w:val="auto"/>
          <w:sz w:val="36"/>
          <w:szCs w:val="28"/>
        </w:rPr>
      </w:pPr>
      <w:bookmarkStart w:id="16" w:name="_Toc29218"/>
      <w:r>
        <w:rPr>
          <w:rFonts w:hint="eastAsia" w:ascii="仿宋" w:hAnsi="仿宋" w:eastAsia="仿宋"/>
          <w:b w:val="0"/>
          <w:color w:val="auto"/>
          <w:sz w:val="36"/>
          <w:szCs w:val="28"/>
        </w:rPr>
        <w:t>第二篇  采购服务需求</w:t>
      </w:r>
      <w:bookmarkEnd w:id="16"/>
    </w:p>
    <w:p>
      <w:pPr>
        <w:pStyle w:val="5"/>
        <w:spacing w:before="0" w:after="0" w:line="400" w:lineRule="exact"/>
        <w:rPr>
          <w:rFonts w:hint="eastAsia" w:ascii="仿宋" w:hAnsi="仿宋" w:eastAsia="仿宋"/>
          <w:color w:val="auto"/>
          <w:sz w:val="24"/>
          <w:szCs w:val="24"/>
        </w:rPr>
      </w:pPr>
      <w:bookmarkStart w:id="17" w:name="_Toc1652460757"/>
      <w:bookmarkStart w:id="18" w:name="_Toc24054"/>
      <w:bookmarkStart w:id="19" w:name="_Toc371859119"/>
      <w:bookmarkStart w:id="20" w:name="_Toc23887"/>
      <w:bookmarkStart w:id="21" w:name="_Toc12789058"/>
      <w:r>
        <w:rPr>
          <w:rFonts w:hint="eastAsia" w:ascii="仿宋" w:hAnsi="仿宋" w:eastAsia="仿宋"/>
          <w:color w:val="auto"/>
          <w:sz w:val="24"/>
          <w:szCs w:val="24"/>
        </w:rPr>
        <w:t>一、项目基本概况介绍</w:t>
      </w:r>
      <w:bookmarkEnd w:id="17"/>
      <w:bookmarkEnd w:id="18"/>
      <w:bookmarkEnd w:id="19"/>
      <w:bookmarkEnd w:id="20"/>
    </w:p>
    <w:p>
      <w:pPr>
        <w:snapToGrid w:val="0"/>
        <w:spacing w:line="400" w:lineRule="exact"/>
        <w:ind w:firstLine="540"/>
        <w:rPr>
          <w:rFonts w:hint="eastAsia" w:ascii="仿宋" w:hAnsi="仿宋" w:eastAsia="仿宋" w:cs="仿宋"/>
          <w:color w:val="auto"/>
          <w:sz w:val="24"/>
          <w:lang w:eastAsia="zh-CN"/>
        </w:rPr>
      </w:pPr>
      <w:bookmarkStart w:id="22" w:name="_Toc313536013"/>
      <w:bookmarkStart w:id="23" w:name="_Toc344475116"/>
      <w:r>
        <w:rPr>
          <w:rFonts w:hint="eastAsia" w:ascii="仿宋" w:hAnsi="仿宋" w:eastAsia="仿宋"/>
          <w:color w:val="auto"/>
          <w:sz w:val="24"/>
          <w:szCs w:val="24"/>
        </w:rPr>
        <w:t>2024</w:t>
      </w:r>
      <w:r>
        <w:rPr>
          <w:rFonts w:hint="eastAsia" w:ascii="仿宋" w:hAnsi="仿宋" w:eastAsia="仿宋"/>
          <w:color w:val="auto"/>
          <w:sz w:val="24"/>
          <w:szCs w:val="24"/>
          <w:lang w:eastAsia="zh-CN"/>
        </w:rPr>
        <w:t>年</w:t>
      </w:r>
      <w:r>
        <w:rPr>
          <w:rFonts w:hint="eastAsia" w:ascii="仿宋" w:hAnsi="仿宋" w:eastAsia="仿宋"/>
          <w:color w:val="auto"/>
          <w:sz w:val="24"/>
          <w:szCs w:val="24"/>
        </w:rPr>
        <w:t>交通领域复议诉讼典型案例分析及制度制定采购项目</w:t>
      </w:r>
      <w:r>
        <w:rPr>
          <w:rFonts w:hint="eastAsia" w:ascii="仿宋" w:hAnsi="仿宋" w:eastAsia="仿宋"/>
          <w:color w:val="auto"/>
          <w:sz w:val="24"/>
          <w:szCs w:val="24"/>
          <w:lang w:eastAsia="zh-CN"/>
        </w:rPr>
        <w:t>，主要是分析重庆市交通运输委员会近三年行政复议、行政应诉案件特点，研究形成交通运输行政应诉工作规则、工作指引等材料</w:t>
      </w:r>
      <w:r>
        <w:rPr>
          <w:rFonts w:hint="eastAsia" w:ascii="仿宋" w:hAnsi="仿宋" w:eastAsia="仿宋" w:cs="Times New Roman"/>
          <w:color w:val="auto"/>
          <w:sz w:val="24"/>
          <w:szCs w:val="24"/>
          <w:lang w:eastAsia="zh-CN"/>
        </w:rPr>
        <w:t>。</w:t>
      </w:r>
    </w:p>
    <w:p>
      <w:pPr>
        <w:pStyle w:val="5"/>
        <w:numPr>
          <w:ilvl w:val="0"/>
          <w:numId w:val="12"/>
        </w:numPr>
        <w:spacing w:before="0" w:after="0" w:line="400" w:lineRule="exact"/>
        <w:rPr>
          <w:rFonts w:hint="eastAsia" w:ascii="仿宋" w:hAnsi="仿宋" w:eastAsia="仿宋"/>
          <w:color w:val="auto"/>
          <w:sz w:val="24"/>
          <w:szCs w:val="24"/>
        </w:rPr>
      </w:pPr>
      <w:bookmarkStart w:id="24" w:name="_Toc371859120"/>
      <w:bookmarkStart w:id="25" w:name="_Toc9101"/>
      <w:bookmarkStart w:id="26" w:name="_Toc678764970"/>
      <w:bookmarkStart w:id="27" w:name="_Toc13035"/>
      <w:r>
        <w:rPr>
          <w:rFonts w:hint="eastAsia" w:ascii="仿宋" w:hAnsi="仿宋" w:eastAsia="仿宋"/>
          <w:color w:val="auto"/>
          <w:sz w:val="24"/>
          <w:szCs w:val="24"/>
        </w:rPr>
        <w:t>服务及质量要求</w:t>
      </w:r>
      <w:bookmarkEnd w:id="22"/>
      <w:bookmarkEnd w:id="23"/>
      <w:bookmarkEnd w:id="24"/>
      <w:bookmarkEnd w:id="25"/>
      <w:bookmarkEnd w:id="26"/>
      <w:bookmarkEnd w:id="27"/>
    </w:p>
    <w:p>
      <w:pPr>
        <w:numPr>
          <w:ilvl w:val="-1"/>
          <w:numId w:val="0"/>
        </w:numPr>
        <w:spacing w:line="400" w:lineRule="exact"/>
        <w:ind w:firstLine="480" w:firstLineChars="20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受聘单位充分熟悉交通运输领域的相关法制业务，根据重庆市交通运输委员会行政应诉的案件类型、特点和规律进行充分总结和归纳，从接到法院应诉通知书和原告的起诉状开始，如何着手准备答辩状和证据，如何参加庭审</w:t>
      </w:r>
      <w:r>
        <w:rPr>
          <w:rFonts w:hint="eastAsia" w:ascii="仿宋" w:hAnsi="仿宋" w:eastAsia="仿宋" w:cs="Times New Roman"/>
          <w:color w:val="auto"/>
          <w:sz w:val="24"/>
          <w:szCs w:val="24"/>
          <w:lang w:val="en" w:eastAsia="zh-CN"/>
        </w:rPr>
        <w:t>，如何执行法院判决</w:t>
      </w:r>
      <w:r>
        <w:rPr>
          <w:rFonts w:hint="eastAsia" w:ascii="仿宋" w:hAnsi="仿宋" w:eastAsia="仿宋" w:cs="Times New Roman"/>
          <w:color w:val="auto"/>
          <w:sz w:val="24"/>
          <w:szCs w:val="24"/>
          <w:lang w:val="en-US" w:eastAsia="zh-CN"/>
        </w:rPr>
        <w:t>等应诉工作，有针对性地研究起草全流程的行政应诉工作规则、工作指引，并形成配套的研究报告、起草说明等材料。</w:t>
      </w:r>
      <w:r>
        <w:rPr>
          <w:rFonts w:hint="eastAsia" w:ascii="仿宋" w:hAnsi="仿宋" w:eastAsia="仿宋" w:cs="Times New Roman"/>
          <w:color w:val="auto"/>
          <w:sz w:val="24"/>
          <w:szCs w:val="24"/>
          <w:lang w:val="en-US" w:eastAsia="zh-CN"/>
        </w:rPr>
        <w:br w:type="textWrapping"/>
      </w:r>
      <w:r>
        <w:rPr>
          <w:rFonts w:hint="eastAsia" w:ascii="仿宋" w:hAnsi="仿宋" w:eastAsia="仿宋" w:cs="Times New Roman"/>
          <w:color w:val="auto"/>
          <w:sz w:val="24"/>
          <w:szCs w:val="24"/>
          <w:lang w:val="en-US" w:eastAsia="zh-CN"/>
        </w:rPr>
        <w:t xml:space="preserve">     </w:t>
      </w:r>
      <w:r>
        <w:rPr>
          <w:rFonts w:hint="eastAsia" w:ascii="仿宋" w:hAnsi="仿宋" w:eastAsia="仿宋" w:cs="Times New Roman"/>
          <w:color w:val="auto"/>
          <w:sz w:val="24"/>
          <w:szCs w:val="24"/>
          <w:lang w:eastAsia="zh-CN"/>
        </w:rPr>
        <w:t>具体包括：</w:t>
      </w:r>
    </w:p>
    <w:p>
      <w:pPr>
        <w:snapToGrid w:val="0"/>
        <w:spacing w:line="400" w:lineRule="exact"/>
        <w:ind w:firstLine="480" w:firstLineChars="20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1.对近三年</w:t>
      </w:r>
      <w:r>
        <w:rPr>
          <w:rFonts w:hint="eastAsia" w:ascii="仿宋" w:hAnsi="仿宋" w:eastAsia="仿宋" w:cs="Times New Roman"/>
          <w:color w:val="auto"/>
          <w:sz w:val="24"/>
          <w:szCs w:val="24"/>
        </w:rPr>
        <w:t>重庆市交通</w:t>
      </w:r>
      <w:r>
        <w:rPr>
          <w:rFonts w:hint="eastAsia" w:ascii="仿宋" w:hAnsi="仿宋" w:eastAsia="仿宋" w:cs="Times New Roman"/>
          <w:color w:val="auto"/>
          <w:sz w:val="24"/>
          <w:szCs w:val="24"/>
          <w:lang w:eastAsia="zh-CN"/>
        </w:rPr>
        <w:t>运输委员会承办的行政复议、行政应诉案件等情况进行整理分析，形成研究报告；</w:t>
      </w:r>
    </w:p>
    <w:p>
      <w:pPr>
        <w:snapToGrid w:val="0"/>
        <w:spacing w:line="400" w:lineRule="exact"/>
        <w:ind w:firstLine="480" w:firstLineChars="20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2.全面了解掌握</w:t>
      </w:r>
      <w:r>
        <w:rPr>
          <w:rFonts w:hint="eastAsia" w:ascii="仿宋" w:hAnsi="仿宋" w:eastAsia="仿宋" w:cs="Times New Roman"/>
          <w:color w:val="auto"/>
          <w:sz w:val="24"/>
          <w:szCs w:val="24"/>
        </w:rPr>
        <w:t>重庆市交通</w:t>
      </w:r>
      <w:r>
        <w:rPr>
          <w:rFonts w:hint="eastAsia" w:ascii="仿宋" w:hAnsi="仿宋" w:eastAsia="仿宋" w:cs="Times New Roman"/>
          <w:color w:val="auto"/>
          <w:sz w:val="24"/>
          <w:szCs w:val="24"/>
          <w:lang w:eastAsia="zh-CN"/>
        </w:rPr>
        <w:t>运输委员会办理行政应诉和复议案件的现有制度和具体流程；</w:t>
      </w:r>
    </w:p>
    <w:p>
      <w:pPr>
        <w:keepNext w:val="0"/>
        <w:keepLines w:val="0"/>
        <w:widowControl/>
        <w:numPr>
          <w:ilvl w:val="-1"/>
          <w:numId w:val="0"/>
        </w:numPr>
        <w:suppressLineNumbers w:val="0"/>
        <w:spacing w:line="400" w:lineRule="exact"/>
        <w:ind w:firstLine="480" w:firstLineChars="200"/>
        <w:jc w:val="left"/>
        <w:rPr>
          <w:rFonts w:hint="eastAsia"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3.收集部分外省市人民法院、司法行政部门、交通运输主管部门制定的具有借鉴意义的行政应诉工作制度，结合外省市先进做法，对照人民法院审理行政诉讼案件的有关规定，起草重庆市交通运输行政应诉工作规则、</w:t>
      </w:r>
      <w:r>
        <w:rPr>
          <w:rFonts w:hint="eastAsia" w:ascii="仿宋" w:hAnsi="仿宋" w:eastAsia="仿宋" w:cs="Times New Roman"/>
          <w:color w:val="auto"/>
          <w:sz w:val="24"/>
          <w:szCs w:val="24"/>
          <w:lang w:eastAsia="zh-CN"/>
        </w:rPr>
        <w:t>重庆市</w:t>
      </w:r>
      <w:r>
        <w:rPr>
          <w:rFonts w:hint="eastAsia" w:ascii="仿宋" w:hAnsi="仿宋" w:eastAsia="仿宋" w:cs="Times New Roman"/>
          <w:color w:val="auto"/>
          <w:sz w:val="24"/>
          <w:szCs w:val="24"/>
        </w:rPr>
        <w:t>交通运输</w:t>
      </w:r>
      <w:r>
        <w:rPr>
          <w:rFonts w:hint="eastAsia" w:ascii="仿宋" w:hAnsi="仿宋" w:eastAsia="仿宋" w:cs="Times New Roman"/>
          <w:color w:val="auto"/>
          <w:sz w:val="24"/>
          <w:szCs w:val="24"/>
          <w:lang w:eastAsia="zh-CN"/>
        </w:rPr>
        <w:t>行政应诉工作指引。工作规则内容包括但不限于：重庆市交通运输委员会（机关处室及委属单位）行政应诉（含上诉）内部职责分工，工作程序、各阶段应诉材料要求、工作时限、司法建议办理、案件材料归档等；工作指引内容包括但不限于：</w:t>
      </w:r>
      <w:r>
        <w:rPr>
          <w:rFonts w:hint="eastAsia" w:ascii="仿宋" w:hAnsi="仿宋" w:eastAsia="仿宋" w:cs="Times New Roman"/>
          <w:color w:val="auto"/>
          <w:sz w:val="24"/>
          <w:szCs w:val="24"/>
          <w:lang w:val="en-US" w:eastAsia="zh-CN"/>
        </w:rPr>
        <w:t>如何做好行政诉讼开庭前的准备工作；如何制作、提交答辩状及相关证据材料；分析总结</w:t>
      </w:r>
      <w:r>
        <w:rPr>
          <w:rFonts w:hint="eastAsia" w:ascii="仿宋" w:hAnsi="仿宋" w:eastAsia="仿宋" w:cs="Times New Roman"/>
          <w:color w:val="auto"/>
          <w:sz w:val="24"/>
          <w:szCs w:val="24"/>
          <w:lang w:val="en" w:eastAsia="zh-CN"/>
        </w:rPr>
        <w:t>交通运输行业</w:t>
      </w:r>
      <w:r>
        <w:rPr>
          <w:rFonts w:hint="eastAsia" w:ascii="仿宋" w:hAnsi="仿宋" w:eastAsia="仿宋" w:cs="Times New Roman"/>
          <w:color w:val="auto"/>
          <w:sz w:val="24"/>
          <w:szCs w:val="24"/>
          <w:lang w:val="en-US" w:eastAsia="zh-CN"/>
        </w:rPr>
        <w:t>诉讼案件证据材料的种类及特点并提出</w:t>
      </w:r>
      <w:r>
        <w:rPr>
          <w:rFonts w:hint="eastAsia" w:ascii="仿宋" w:hAnsi="仿宋" w:eastAsia="仿宋" w:cs="Times New Roman"/>
          <w:color w:val="auto"/>
          <w:sz w:val="24"/>
          <w:szCs w:val="24"/>
          <w:lang w:val="en" w:eastAsia="zh-CN"/>
        </w:rPr>
        <w:t>交通运输行业</w:t>
      </w:r>
      <w:r>
        <w:rPr>
          <w:rFonts w:hint="eastAsia" w:ascii="仿宋" w:hAnsi="仿宋" w:eastAsia="仿宋" w:cs="Times New Roman"/>
          <w:color w:val="auto"/>
          <w:sz w:val="24"/>
          <w:szCs w:val="24"/>
          <w:lang w:val="en-US" w:eastAsia="zh-CN"/>
        </w:rPr>
        <w:t>行政应诉案件的庭审答辩策略；如何开展行政诉讼案件调解；如何开展庭审后续工作；针对司法判决的主要结果类型，如何开展上诉、如何履行生效判决；如何处理法院的司法建议；行政机关及其工作人员在庭审活动中应遵守的各种行为准则等等。</w:t>
      </w:r>
    </w:p>
    <w:p>
      <w:pPr>
        <w:snapToGrid/>
        <w:spacing w:line="400" w:lineRule="exact"/>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4.采取专家论证、座谈调研等方式，征求委机关有关处室、委属有关单位以及有关专家意见，进一步修改完善</w:t>
      </w:r>
      <w:r>
        <w:rPr>
          <w:rFonts w:hint="eastAsia" w:ascii="仿宋" w:hAnsi="仿宋" w:eastAsia="仿宋" w:cs="Times New Roman"/>
          <w:color w:val="auto"/>
          <w:sz w:val="24"/>
          <w:szCs w:val="24"/>
          <w:lang w:eastAsia="zh-CN"/>
        </w:rPr>
        <w:t>重庆市</w:t>
      </w:r>
      <w:r>
        <w:rPr>
          <w:rFonts w:hint="eastAsia" w:ascii="仿宋" w:hAnsi="仿宋" w:eastAsia="仿宋" w:cs="Times New Roman"/>
          <w:color w:val="auto"/>
          <w:sz w:val="24"/>
          <w:szCs w:val="24"/>
        </w:rPr>
        <w:t>交通运输</w:t>
      </w:r>
      <w:r>
        <w:rPr>
          <w:rFonts w:hint="eastAsia" w:ascii="仿宋" w:hAnsi="仿宋" w:eastAsia="仿宋" w:cs="Times New Roman"/>
          <w:color w:val="auto"/>
          <w:sz w:val="24"/>
          <w:szCs w:val="24"/>
          <w:lang w:eastAsia="zh-CN"/>
        </w:rPr>
        <w:t>行政应诉工作指引</w:t>
      </w:r>
      <w:r>
        <w:rPr>
          <w:rFonts w:hint="eastAsia" w:ascii="仿宋" w:hAnsi="仿宋" w:eastAsia="仿宋" w:cs="Times New Roman"/>
          <w:color w:val="auto"/>
          <w:sz w:val="24"/>
          <w:szCs w:val="24"/>
          <w:lang w:val="en-US" w:eastAsia="zh-CN"/>
        </w:rPr>
        <w:t>；</w:t>
      </w:r>
    </w:p>
    <w:p>
      <w:pPr>
        <w:snapToGrid/>
        <w:spacing w:line="400" w:lineRule="exact"/>
        <w:ind w:firstLine="480" w:firstLineChars="200"/>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lang w:eastAsia="zh-CN"/>
        </w:rPr>
        <w:t>重庆市</w:t>
      </w:r>
      <w:r>
        <w:rPr>
          <w:rFonts w:hint="eastAsia" w:ascii="仿宋" w:hAnsi="仿宋" w:eastAsia="仿宋" w:cs="Times New Roman"/>
          <w:color w:val="auto"/>
          <w:sz w:val="24"/>
          <w:szCs w:val="24"/>
        </w:rPr>
        <w:t>交通运输</w:t>
      </w:r>
      <w:r>
        <w:rPr>
          <w:rFonts w:hint="eastAsia" w:ascii="仿宋" w:hAnsi="仿宋" w:eastAsia="仿宋" w:cs="Times New Roman"/>
          <w:color w:val="auto"/>
          <w:sz w:val="24"/>
          <w:szCs w:val="24"/>
          <w:lang w:eastAsia="zh-CN"/>
        </w:rPr>
        <w:t>行政应诉工作指引</w:t>
      </w:r>
      <w:r>
        <w:rPr>
          <w:rFonts w:hint="eastAsia" w:ascii="仿宋" w:hAnsi="仿宋" w:eastAsia="仿宋" w:cs="Times New Roman"/>
          <w:color w:val="auto"/>
          <w:sz w:val="24"/>
          <w:szCs w:val="24"/>
          <w:lang w:val="en-US" w:eastAsia="zh-CN"/>
        </w:rPr>
        <w:t>项目通过专家验收。</w:t>
      </w:r>
    </w:p>
    <w:p>
      <w:pPr>
        <w:spacing w:line="400" w:lineRule="exact"/>
        <w:ind w:firstLine="480" w:firstLineChars="200"/>
        <w:rPr>
          <w:rFonts w:ascii="仿宋" w:hAnsi="仿宋" w:eastAsia="仿宋"/>
          <w:color w:val="auto"/>
          <w:sz w:val="24"/>
          <w:szCs w:val="24"/>
        </w:rPr>
      </w:pPr>
    </w:p>
    <w:p>
      <w:pPr>
        <w:spacing w:line="400" w:lineRule="exact"/>
        <w:ind w:firstLine="480" w:firstLineChars="200"/>
        <w:rPr>
          <w:rFonts w:ascii="仿宋" w:hAnsi="仿宋" w:eastAsia="仿宋"/>
          <w:color w:val="auto"/>
          <w:sz w:val="24"/>
          <w:szCs w:val="24"/>
        </w:rPr>
      </w:pPr>
    </w:p>
    <w:p>
      <w:pPr>
        <w:snapToGrid w:val="0"/>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br w:type="page"/>
      </w:r>
    </w:p>
    <w:p>
      <w:pPr>
        <w:pStyle w:val="4"/>
        <w:spacing w:line="360" w:lineRule="auto"/>
        <w:jc w:val="center"/>
        <w:rPr>
          <w:rFonts w:ascii="仿宋" w:hAnsi="仿宋" w:eastAsia="仿宋"/>
          <w:b w:val="0"/>
          <w:color w:val="auto"/>
          <w:sz w:val="36"/>
          <w:szCs w:val="28"/>
        </w:rPr>
      </w:pPr>
      <w:bookmarkStart w:id="28" w:name="_Toc13253"/>
      <w:r>
        <w:rPr>
          <w:rFonts w:hint="eastAsia" w:ascii="仿宋" w:hAnsi="仿宋" w:eastAsia="仿宋"/>
          <w:b w:val="0"/>
          <w:color w:val="auto"/>
          <w:sz w:val="36"/>
          <w:szCs w:val="28"/>
        </w:rPr>
        <w:t>第三篇  采购商务需求</w:t>
      </w:r>
      <w:bookmarkEnd w:id="21"/>
      <w:bookmarkEnd w:id="28"/>
    </w:p>
    <w:p>
      <w:pPr>
        <w:pStyle w:val="5"/>
        <w:spacing w:before="0" w:after="0" w:line="400" w:lineRule="exact"/>
        <w:rPr>
          <w:rFonts w:ascii="仿宋" w:hAnsi="仿宋" w:eastAsia="仿宋"/>
          <w:color w:val="auto"/>
          <w:sz w:val="24"/>
          <w:szCs w:val="24"/>
        </w:rPr>
      </w:pPr>
      <w:bookmarkStart w:id="29" w:name="_Toc11159"/>
      <w:bookmarkStart w:id="30" w:name="_Toc344475120"/>
      <w:r>
        <w:rPr>
          <w:rFonts w:hint="eastAsia" w:ascii="仿宋" w:hAnsi="仿宋" w:eastAsia="仿宋"/>
          <w:color w:val="auto"/>
          <w:sz w:val="24"/>
          <w:szCs w:val="24"/>
        </w:rPr>
        <w:t>一、服务期、地点</w:t>
      </w:r>
      <w:bookmarkEnd w:id="29"/>
      <w:bookmarkEnd w:id="30"/>
    </w:p>
    <w:p>
      <w:pPr>
        <w:snapToGrid w:val="0"/>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（一）服务时间：</w:t>
      </w:r>
      <w:r>
        <w:rPr>
          <w:rFonts w:hint="eastAsia" w:ascii="仿宋" w:hAnsi="仿宋" w:eastAsia="仿宋" w:cs="仿宋"/>
          <w:color w:val="auto"/>
          <w:sz w:val="24"/>
          <w:lang w:eastAsia="zh-CN"/>
        </w:rPr>
        <w:t>合同签订之日起三个月内</w:t>
      </w:r>
      <w:r>
        <w:rPr>
          <w:rFonts w:hint="eastAsia" w:ascii="仿宋" w:hAnsi="仿宋" w:eastAsia="仿宋" w:cs="仿宋"/>
          <w:color w:val="auto"/>
          <w:sz w:val="24"/>
        </w:rPr>
        <w:t>（具体起止日期以最终合同为准）。</w:t>
      </w:r>
    </w:p>
    <w:p>
      <w:pPr>
        <w:snapToGrid w:val="0"/>
        <w:spacing w:line="400" w:lineRule="exact"/>
        <w:ind w:firstLine="540"/>
        <w:rPr>
          <w:rFonts w:hint="eastAsia" w:ascii="仿宋" w:hAnsi="仿宋" w:eastAsia="仿宋" w:cs="仿宋"/>
          <w:color w:val="auto"/>
          <w:sz w:val="24"/>
          <w:lang w:eastAsia="zh-CN"/>
        </w:rPr>
      </w:pPr>
      <w:r>
        <w:rPr>
          <w:rFonts w:hint="eastAsia" w:ascii="仿宋" w:hAnsi="仿宋" w:eastAsia="仿宋" w:cs="仿宋"/>
          <w:color w:val="auto"/>
          <w:sz w:val="24"/>
        </w:rPr>
        <w:t>（二）服务地点：采购人指定地点</w:t>
      </w:r>
      <w:r>
        <w:rPr>
          <w:rFonts w:hint="eastAsia" w:ascii="仿宋" w:hAnsi="仿宋" w:eastAsia="仿宋" w:cs="仿宋"/>
          <w:color w:val="auto"/>
          <w:sz w:val="24"/>
          <w:lang w:eastAsia="zh-CN"/>
        </w:rPr>
        <w:t>。</w:t>
      </w:r>
    </w:p>
    <w:p>
      <w:pPr>
        <w:pStyle w:val="5"/>
        <w:spacing w:before="0" w:after="0" w:line="400" w:lineRule="exact"/>
        <w:rPr>
          <w:rFonts w:hint="eastAsia" w:ascii="仿宋" w:hAnsi="仿宋" w:eastAsia="仿宋"/>
          <w:color w:val="auto"/>
          <w:sz w:val="24"/>
          <w:szCs w:val="24"/>
        </w:rPr>
      </w:pPr>
      <w:bookmarkStart w:id="31" w:name="_Toc344475121"/>
      <w:bookmarkStart w:id="32" w:name="_Toc15661"/>
      <w:bookmarkStart w:id="33" w:name="_Toc1145646103"/>
      <w:bookmarkStart w:id="34" w:name="_Toc41469676"/>
      <w:bookmarkStart w:id="35" w:name="_Toc10335"/>
      <w:r>
        <w:rPr>
          <w:rFonts w:hint="eastAsia" w:ascii="仿宋" w:hAnsi="仿宋" w:eastAsia="仿宋"/>
          <w:color w:val="auto"/>
          <w:sz w:val="24"/>
          <w:szCs w:val="24"/>
        </w:rPr>
        <w:t>二、</w:t>
      </w:r>
      <w:bookmarkEnd w:id="31"/>
      <w:r>
        <w:rPr>
          <w:rFonts w:hint="eastAsia" w:ascii="仿宋" w:hAnsi="仿宋" w:eastAsia="仿宋"/>
          <w:color w:val="auto"/>
          <w:sz w:val="24"/>
          <w:szCs w:val="24"/>
        </w:rPr>
        <w:t>报价要求</w:t>
      </w:r>
      <w:bookmarkEnd w:id="32"/>
      <w:bookmarkEnd w:id="33"/>
      <w:bookmarkEnd w:id="34"/>
      <w:bookmarkEnd w:id="35"/>
    </w:p>
    <w:p>
      <w:pPr>
        <w:snapToGrid w:val="0"/>
        <w:spacing w:line="400" w:lineRule="exact"/>
        <w:ind w:firstLine="540"/>
        <w:rPr>
          <w:rFonts w:hint="eastAsia" w:ascii="仿宋" w:hAnsi="仿宋" w:eastAsia="仿宋" w:cs="仿宋"/>
          <w:color w:val="auto"/>
          <w:sz w:val="24"/>
        </w:rPr>
      </w:pPr>
      <w:bookmarkStart w:id="36" w:name="_Toc495330514"/>
      <w:bookmarkStart w:id="37" w:name="_Toc493506292"/>
      <w:r>
        <w:rPr>
          <w:rFonts w:hint="eastAsia" w:ascii="仿宋" w:hAnsi="仿宋" w:eastAsia="仿宋" w:cs="仿宋"/>
          <w:color w:val="auto"/>
          <w:sz w:val="24"/>
        </w:rPr>
        <w:t>磋商报价包括</w:t>
      </w:r>
      <w:r>
        <w:rPr>
          <w:rFonts w:hint="eastAsia" w:ascii="仿宋" w:hAnsi="仿宋" w:eastAsia="仿宋" w:cs="仿宋"/>
          <w:color w:val="auto"/>
          <w:sz w:val="24"/>
          <w:lang w:eastAsia="zh-CN"/>
        </w:rPr>
        <w:t>服务所有</w:t>
      </w:r>
      <w:r>
        <w:rPr>
          <w:rFonts w:hint="eastAsia" w:ascii="仿宋" w:hAnsi="仿宋" w:eastAsia="仿宋" w:cs="仿宋"/>
          <w:color w:val="auto"/>
          <w:sz w:val="24"/>
        </w:rPr>
        <w:t>费用</w:t>
      </w:r>
      <w:r>
        <w:rPr>
          <w:rFonts w:hint="eastAsia" w:ascii="仿宋" w:hAnsi="仿宋" w:eastAsia="仿宋" w:cs="仿宋"/>
          <w:color w:val="auto"/>
          <w:sz w:val="24"/>
          <w:lang w:eastAsia="zh-CN"/>
        </w:rPr>
        <w:t>，包括代理费、咨询费、</w:t>
      </w:r>
      <w:r>
        <w:rPr>
          <w:rFonts w:hint="eastAsia" w:ascii="仿宋" w:hAnsi="仿宋" w:eastAsia="仿宋" w:cs="仿宋"/>
          <w:color w:val="auto"/>
          <w:sz w:val="24"/>
        </w:rPr>
        <w:t>调查费、印刷费、会议费</w:t>
      </w:r>
      <w:r>
        <w:rPr>
          <w:rFonts w:hint="eastAsia" w:ascii="仿宋" w:hAnsi="仿宋" w:eastAsia="仿宋" w:cs="仿宋"/>
          <w:color w:val="auto"/>
          <w:sz w:val="24"/>
          <w:lang w:eastAsia="zh-CN"/>
        </w:rPr>
        <w:t>、税费</w:t>
      </w:r>
      <w:r>
        <w:rPr>
          <w:rFonts w:hint="eastAsia" w:ascii="仿宋" w:hAnsi="仿宋" w:eastAsia="仿宋" w:cs="仿宋"/>
          <w:color w:val="auto"/>
          <w:sz w:val="24"/>
        </w:rPr>
        <w:t>，以及在重庆市所属行政区域内办理</w:t>
      </w:r>
      <w:r>
        <w:rPr>
          <w:rFonts w:hint="eastAsia" w:ascii="仿宋" w:hAnsi="仿宋" w:eastAsia="仿宋" w:cs="仿宋"/>
          <w:color w:val="auto"/>
          <w:sz w:val="24"/>
          <w:lang w:eastAsia="zh-CN"/>
        </w:rPr>
        <w:t>采购人</w:t>
      </w:r>
      <w:r>
        <w:rPr>
          <w:rFonts w:hint="eastAsia" w:ascii="仿宋" w:hAnsi="仿宋" w:eastAsia="仿宋" w:cs="仿宋"/>
          <w:color w:val="auto"/>
          <w:sz w:val="24"/>
        </w:rPr>
        <w:t>委托的</w:t>
      </w:r>
      <w:r>
        <w:rPr>
          <w:rFonts w:hint="eastAsia" w:ascii="仿宋" w:hAnsi="仿宋" w:eastAsia="仿宋" w:cs="仿宋"/>
          <w:color w:val="auto"/>
          <w:sz w:val="24"/>
          <w:lang w:eastAsia="zh-CN"/>
        </w:rPr>
        <w:t>本项目</w:t>
      </w:r>
      <w:r>
        <w:rPr>
          <w:rFonts w:hint="eastAsia" w:ascii="仿宋" w:hAnsi="仿宋" w:eastAsia="仿宋" w:cs="仿宋"/>
          <w:color w:val="auto"/>
          <w:sz w:val="24"/>
        </w:rPr>
        <w:t>的差旅费等，但不包括重庆市所属行政区域外办理案件相关差旅费（以合同协商为准）。因成交供应商自身原因造成漏报、少报皆由其自行承担责任，采购人不再补偿。</w:t>
      </w:r>
      <w:bookmarkEnd w:id="36"/>
      <w:bookmarkEnd w:id="37"/>
    </w:p>
    <w:p>
      <w:pPr>
        <w:pStyle w:val="5"/>
        <w:spacing w:before="0" w:after="0" w:line="400" w:lineRule="exact"/>
        <w:rPr>
          <w:rFonts w:hint="eastAsia" w:ascii="仿宋" w:hAnsi="仿宋" w:eastAsia="仿宋"/>
          <w:color w:val="auto"/>
          <w:sz w:val="24"/>
          <w:szCs w:val="24"/>
        </w:rPr>
      </w:pPr>
      <w:bookmarkStart w:id="38" w:name="_Toc11327"/>
      <w:bookmarkStart w:id="39" w:name="_Toc822000726"/>
      <w:bookmarkStart w:id="40" w:name="_Toc41469677"/>
      <w:bookmarkStart w:id="41" w:name="_Toc18405"/>
      <w:r>
        <w:rPr>
          <w:rFonts w:hint="eastAsia" w:ascii="仿宋" w:hAnsi="仿宋" w:eastAsia="仿宋"/>
          <w:color w:val="auto"/>
          <w:sz w:val="24"/>
          <w:szCs w:val="24"/>
        </w:rPr>
        <w:t>三、</w:t>
      </w:r>
      <w:bookmarkStart w:id="42" w:name="_Toc398650620"/>
      <w:bookmarkStart w:id="43" w:name="_Toc344475122"/>
      <w:r>
        <w:rPr>
          <w:rFonts w:hint="eastAsia" w:ascii="仿宋" w:hAnsi="仿宋" w:eastAsia="仿宋"/>
          <w:color w:val="auto"/>
          <w:sz w:val="24"/>
          <w:szCs w:val="24"/>
        </w:rPr>
        <w:t>质量保证及售后服务</w:t>
      </w:r>
      <w:bookmarkEnd w:id="38"/>
      <w:bookmarkEnd w:id="39"/>
      <w:bookmarkEnd w:id="40"/>
      <w:bookmarkEnd w:id="41"/>
      <w:bookmarkEnd w:id="42"/>
    </w:p>
    <w:p>
      <w:pPr>
        <w:snapToGrid w:val="0"/>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相关成果需满足重庆市交通</w:t>
      </w:r>
      <w:r>
        <w:rPr>
          <w:rFonts w:hint="eastAsia" w:ascii="仿宋" w:hAnsi="仿宋" w:eastAsia="仿宋" w:cs="仿宋"/>
          <w:color w:val="auto"/>
          <w:sz w:val="24"/>
          <w:lang w:eastAsia="zh-CN"/>
        </w:rPr>
        <w:t>运输委员会</w:t>
      </w:r>
      <w:r>
        <w:rPr>
          <w:rFonts w:hint="eastAsia" w:ascii="仿宋" w:hAnsi="仿宋" w:eastAsia="仿宋" w:cs="仿宋"/>
          <w:color w:val="auto"/>
          <w:sz w:val="24"/>
        </w:rPr>
        <w:t>实际应用，符合国务院和市政府的相关工作要求与标准规范。</w:t>
      </w:r>
    </w:p>
    <w:p>
      <w:pPr>
        <w:pStyle w:val="5"/>
        <w:spacing w:before="0" w:after="0" w:line="400" w:lineRule="exact"/>
        <w:rPr>
          <w:rFonts w:hint="eastAsia" w:ascii="仿宋" w:hAnsi="仿宋" w:eastAsia="仿宋"/>
          <w:color w:val="auto"/>
          <w:sz w:val="24"/>
          <w:szCs w:val="24"/>
        </w:rPr>
      </w:pPr>
      <w:bookmarkStart w:id="44" w:name="_Toc245474252"/>
      <w:bookmarkStart w:id="45" w:name="_Toc32035"/>
      <w:bookmarkStart w:id="46" w:name="_Toc18222"/>
      <w:bookmarkStart w:id="47" w:name="_Toc41469678"/>
      <w:r>
        <w:rPr>
          <w:rFonts w:hint="eastAsia" w:ascii="仿宋" w:hAnsi="仿宋" w:eastAsia="仿宋"/>
          <w:color w:val="auto"/>
          <w:sz w:val="24"/>
          <w:szCs w:val="24"/>
        </w:rPr>
        <w:t>四、付款方式</w:t>
      </w:r>
      <w:bookmarkEnd w:id="43"/>
      <w:bookmarkEnd w:id="44"/>
      <w:bookmarkEnd w:id="45"/>
      <w:bookmarkEnd w:id="46"/>
      <w:bookmarkEnd w:id="47"/>
    </w:p>
    <w:p>
      <w:pPr>
        <w:snapToGrid w:val="0"/>
        <w:spacing w:line="400" w:lineRule="exact"/>
        <w:ind w:firstLine="480" w:firstLineChars="200"/>
        <w:rPr>
          <w:rFonts w:hint="eastAsia" w:ascii="仿宋" w:hAnsi="仿宋" w:eastAsia="仿宋" w:cs="仿宋"/>
          <w:color w:val="auto"/>
          <w:sz w:val="24"/>
        </w:rPr>
      </w:pPr>
      <w:bookmarkStart w:id="48" w:name="_Toc41469679"/>
      <w:bookmarkStart w:id="49" w:name="_Toc344475123"/>
      <w:r>
        <w:rPr>
          <w:rFonts w:hint="eastAsia" w:ascii="仿宋" w:hAnsi="仿宋" w:eastAsia="仿宋" w:cs="仿宋"/>
          <w:color w:val="auto"/>
          <w:sz w:val="24"/>
          <w:lang w:eastAsia="zh-CN"/>
        </w:rPr>
        <w:t>合同签订后</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个月内</w:t>
      </w:r>
      <w:r>
        <w:rPr>
          <w:rFonts w:hint="eastAsia" w:ascii="仿宋" w:hAnsi="仿宋" w:eastAsia="仿宋" w:cs="仿宋"/>
          <w:color w:val="auto"/>
          <w:sz w:val="24"/>
        </w:rPr>
        <w:t>，</w:t>
      </w:r>
      <w:r>
        <w:rPr>
          <w:rFonts w:hint="eastAsia" w:ascii="仿宋" w:hAnsi="仿宋" w:eastAsia="仿宋" w:cs="仿宋"/>
          <w:color w:val="auto"/>
          <w:sz w:val="24"/>
          <w:lang w:eastAsia="zh-CN"/>
        </w:rPr>
        <w:t>采购人</w:t>
      </w:r>
      <w:r>
        <w:rPr>
          <w:rFonts w:hint="eastAsia" w:ascii="仿宋" w:hAnsi="仿宋" w:eastAsia="仿宋" w:cs="仿宋"/>
          <w:color w:val="auto"/>
          <w:sz w:val="24"/>
        </w:rPr>
        <w:t>向成交供应商一次性支付合同总额的50%作为首付款；</w:t>
      </w:r>
      <w:r>
        <w:rPr>
          <w:rFonts w:hint="eastAsia" w:ascii="仿宋" w:hAnsi="仿宋" w:eastAsia="仿宋" w:cs="仿宋"/>
          <w:color w:val="auto"/>
          <w:sz w:val="24"/>
          <w:lang w:eastAsia="zh-CN"/>
        </w:rPr>
        <w:t>项目通过验收后</w:t>
      </w:r>
      <w:r>
        <w:rPr>
          <w:rFonts w:hint="eastAsia" w:ascii="仿宋" w:hAnsi="仿宋" w:eastAsia="仿宋" w:cs="仿宋"/>
          <w:color w:val="auto"/>
          <w:sz w:val="24"/>
          <w:lang w:val="en-US" w:eastAsia="zh-CN"/>
        </w:rPr>
        <w:t>1个月内</w:t>
      </w:r>
      <w:r>
        <w:rPr>
          <w:rFonts w:hint="eastAsia" w:ascii="仿宋" w:hAnsi="仿宋" w:eastAsia="仿宋" w:cs="仿宋"/>
          <w:color w:val="auto"/>
          <w:sz w:val="24"/>
        </w:rPr>
        <w:t>，</w:t>
      </w:r>
      <w:r>
        <w:rPr>
          <w:rFonts w:hint="eastAsia" w:ascii="仿宋" w:hAnsi="仿宋" w:eastAsia="仿宋" w:cs="仿宋"/>
          <w:color w:val="auto"/>
          <w:sz w:val="24"/>
          <w:lang w:eastAsia="zh-CN"/>
        </w:rPr>
        <w:t>采购人</w:t>
      </w:r>
      <w:r>
        <w:rPr>
          <w:rFonts w:hint="eastAsia" w:ascii="仿宋" w:hAnsi="仿宋" w:eastAsia="仿宋" w:cs="仿宋"/>
          <w:color w:val="auto"/>
          <w:sz w:val="24"/>
        </w:rPr>
        <w:t>向成交供应商一次性支付合同尾款。供应商开具正式发票为支付前提。</w:t>
      </w:r>
    </w:p>
    <w:p>
      <w:pPr>
        <w:pStyle w:val="5"/>
        <w:spacing w:before="0" w:after="0" w:line="400" w:lineRule="exact"/>
        <w:rPr>
          <w:rFonts w:hint="eastAsia" w:ascii="仿宋" w:hAnsi="仿宋" w:eastAsia="仿宋"/>
          <w:color w:val="auto"/>
          <w:sz w:val="24"/>
          <w:szCs w:val="24"/>
        </w:rPr>
      </w:pPr>
      <w:bookmarkStart w:id="50" w:name="_Toc23730"/>
      <w:bookmarkStart w:id="51" w:name="_Toc21337"/>
      <w:bookmarkStart w:id="52" w:name="_Toc2121947030"/>
      <w:r>
        <w:rPr>
          <w:rFonts w:hint="eastAsia" w:ascii="仿宋" w:hAnsi="仿宋" w:eastAsia="仿宋"/>
          <w:color w:val="auto"/>
          <w:sz w:val="24"/>
          <w:szCs w:val="24"/>
        </w:rPr>
        <w:t>五、知识产权</w:t>
      </w:r>
      <w:bookmarkEnd w:id="48"/>
      <w:bookmarkEnd w:id="49"/>
      <w:bookmarkEnd w:id="50"/>
      <w:bookmarkEnd w:id="51"/>
      <w:bookmarkEnd w:id="52"/>
    </w:p>
    <w:p>
      <w:pPr>
        <w:snapToGrid w:val="0"/>
        <w:spacing w:line="400" w:lineRule="exact"/>
        <w:ind w:firstLine="540"/>
        <w:rPr>
          <w:rFonts w:hint="eastAsia" w:ascii="仿宋" w:hAnsi="仿宋" w:eastAsia="仿宋" w:cs="仿宋"/>
          <w:color w:val="auto"/>
          <w:sz w:val="24"/>
        </w:rPr>
      </w:pPr>
      <w:r>
        <w:rPr>
          <w:rFonts w:hint="eastAsia" w:ascii="仿宋" w:hAnsi="仿宋" w:eastAsia="仿宋" w:cs="仿宋"/>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hint="eastAsia" w:ascii="仿宋" w:hAnsi="仿宋" w:eastAsia="仿宋" w:cs="仿宋"/>
          <w:color w:val="auto"/>
          <w:sz w:val="24"/>
          <w:szCs w:val="24"/>
        </w:rPr>
      </w:pPr>
      <w:r>
        <w:rPr>
          <w:rFonts w:hint="eastAsia" w:ascii="仿宋" w:hAnsi="仿宋" w:eastAsia="仿宋" w:cs="仿宋"/>
          <w:color w:val="auto"/>
          <w:sz w:val="24"/>
          <w:szCs w:val="24"/>
        </w:rPr>
        <w:t>注：（若涉及软件开发等服务类项目知识产权的，知识产权归采购人所有）。</w:t>
      </w:r>
    </w:p>
    <w:p>
      <w:pPr>
        <w:pStyle w:val="5"/>
        <w:spacing w:before="0" w:after="0" w:line="400" w:lineRule="exact"/>
        <w:rPr>
          <w:rFonts w:hint="eastAsia" w:ascii="仿宋" w:hAnsi="仿宋" w:eastAsia="仿宋"/>
          <w:color w:val="auto"/>
          <w:sz w:val="24"/>
          <w:szCs w:val="24"/>
        </w:rPr>
      </w:pPr>
      <w:bookmarkStart w:id="53" w:name="_Toc344475124"/>
      <w:bookmarkStart w:id="54" w:name="_Toc1321837736"/>
      <w:bookmarkStart w:id="55" w:name="_Toc6853"/>
      <w:bookmarkStart w:id="56" w:name="_Toc41469680"/>
      <w:bookmarkStart w:id="57" w:name="_Toc19710"/>
      <w:r>
        <w:rPr>
          <w:rFonts w:hint="eastAsia" w:ascii="仿宋" w:hAnsi="仿宋" w:eastAsia="仿宋"/>
          <w:color w:val="auto"/>
          <w:sz w:val="24"/>
          <w:szCs w:val="24"/>
        </w:rPr>
        <w:t>六、</w:t>
      </w:r>
      <w:bookmarkEnd w:id="53"/>
      <w:bookmarkStart w:id="58" w:name="_Toc344475125"/>
      <w:r>
        <w:rPr>
          <w:rFonts w:hint="eastAsia" w:ascii="仿宋" w:hAnsi="仿宋" w:eastAsia="仿宋"/>
          <w:color w:val="auto"/>
          <w:sz w:val="24"/>
          <w:szCs w:val="24"/>
        </w:rPr>
        <w:t>其他</w:t>
      </w:r>
      <w:bookmarkEnd w:id="54"/>
      <w:bookmarkEnd w:id="55"/>
      <w:bookmarkEnd w:id="56"/>
      <w:bookmarkEnd w:id="57"/>
    </w:p>
    <w:bookmarkEnd w:id="58"/>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（一）供应商必须在响应文件中对以上条款和服务承诺明确列出，承诺内容必须达到本篇及竞争性磋商文件其他条款的要求。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（二）其他未尽事宜由供需双方在采购合同中详细约定。</w:t>
      </w:r>
    </w:p>
    <w:p>
      <w:pPr>
        <w:spacing w:line="400" w:lineRule="exact"/>
        <w:ind w:firstLine="480" w:firstLineChars="200"/>
        <w:rPr>
          <w:rFonts w:ascii="仿宋" w:hAnsi="仿宋" w:eastAsia="仿宋"/>
          <w:color w:val="auto"/>
          <w:sz w:val="24"/>
          <w:szCs w:val="24"/>
        </w:rPr>
      </w:pPr>
    </w:p>
    <w:p>
      <w:pPr>
        <w:spacing w:line="360" w:lineRule="auto"/>
        <w:ind w:firstLine="560" w:firstLineChars="200"/>
        <w:rPr>
          <w:rFonts w:ascii="仿宋" w:hAnsi="仿宋" w:eastAsia="仿宋"/>
          <w:color w:val="auto"/>
        </w:rPr>
      </w:pPr>
      <w:r>
        <w:rPr>
          <w:rFonts w:ascii="仿宋" w:hAnsi="仿宋" w:eastAsia="仿宋"/>
          <w:color w:val="auto"/>
        </w:rPr>
        <w:br w:type="page"/>
      </w:r>
    </w:p>
    <w:p>
      <w:pPr>
        <w:pStyle w:val="4"/>
        <w:spacing w:line="360" w:lineRule="auto"/>
        <w:jc w:val="center"/>
        <w:rPr>
          <w:rFonts w:ascii="仿宋" w:hAnsi="仿宋" w:eastAsia="仿宋"/>
          <w:b w:val="0"/>
          <w:color w:val="auto"/>
          <w:sz w:val="36"/>
          <w:szCs w:val="28"/>
        </w:rPr>
      </w:pPr>
      <w:bookmarkStart w:id="59" w:name="_Toc14413"/>
      <w:r>
        <w:rPr>
          <w:rFonts w:hint="eastAsia" w:ascii="仿宋" w:hAnsi="仿宋" w:eastAsia="仿宋"/>
          <w:b w:val="0"/>
          <w:color w:val="auto"/>
          <w:sz w:val="36"/>
          <w:szCs w:val="28"/>
        </w:rPr>
        <w:t>第四篇  磋商程序及方法、评审标准、无效响应和采购终止</w:t>
      </w:r>
      <w:bookmarkEnd w:id="59"/>
    </w:p>
    <w:p>
      <w:pPr>
        <w:pStyle w:val="5"/>
        <w:spacing w:before="0" w:after="0" w:line="400" w:lineRule="exact"/>
        <w:rPr>
          <w:rFonts w:ascii="仿宋" w:hAnsi="仿宋" w:eastAsia="仿宋"/>
          <w:color w:val="auto"/>
          <w:sz w:val="24"/>
          <w:szCs w:val="24"/>
        </w:rPr>
      </w:pPr>
      <w:bookmarkStart w:id="60" w:name="_Toc20093"/>
      <w:r>
        <w:rPr>
          <w:rFonts w:hint="eastAsia" w:ascii="仿宋" w:hAnsi="仿宋" w:eastAsia="仿宋"/>
          <w:color w:val="auto"/>
          <w:sz w:val="24"/>
          <w:szCs w:val="24"/>
        </w:rPr>
        <w:t>一、磋商程序及方法</w:t>
      </w:r>
      <w:bookmarkEnd w:id="6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（二）磋商小组对各供应商的资格条件、响应文件的有效性、完整性和响应程度进行审查。各供应商只有在完全符合要求的前提下，才能参与正式磋商。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1.资格性检查。依据法律法规和竞争性磋商文件的规定，对响应文件中的资格证明、磋商保证金等进行审查，以确定供应商是否具备磋商资格。资格性检查资料表如下：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83"/>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5192" w:type="dxa"/>
            <w:gridSpan w:val="2"/>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检查因素</w:t>
            </w:r>
          </w:p>
        </w:tc>
        <w:tc>
          <w:tcPr>
            <w:tcW w:w="3760" w:type="dxa"/>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676" w:type="dxa"/>
            <w:vMerge w:val="restart"/>
            <w:vAlign w:val="center"/>
          </w:tcPr>
          <w:p>
            <w:pPr>
              <w:spacing w:line="240" w:lineRule="exact"/>
              <w:jc w:val="center"/>
              <w:rPr>
                <w:rFonts w:ascii="仿宋" w:hAnsi="仿宋" w:eastAsia="仿宋"/>
                <w:color w:val="auto"/>
                <w:sz w:val="24"/>
                <w:szCs w:val="24"/>
              </w:rPr>
            </w:pPr>
            <w:r>
              <w:rPr>
                <w:rFonts w:hint="eastAsia" w:ascii="仿宋" w:hAnsi="仿宋" w:eastAsia="仿宋"/>
                <w:color w:val="auto"/>
                <w:sz w:val="24"/>
                <w:szCs w:val="24"/>
              </w:rPr>
              <w:t>1</w:t>
            </w:r>
          </w:p>
        </w:tc>
        <w:tc>
          <w:tcPr>
            <w:tcW w:w="709" w:type="dxa"/>
            <w:vMerge w:val="restart"/>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rPr>
              <w:t>供应商</w:t>
            </w:r>
            <w:r>
              <w:rPr>
                <w:rFonts w:hint="eastAsia" w:ascii="仿宋" w:hAnsi="仿宋" w:eastAsia="仿宋" w:cs="仿宋_GB2312"/>
                <w:color w:val="auto"/>
                <w:sz w:val="24"/>
                <w:szCs w:val="24"/>
                <w:lang w:val="zh-CN"/>
              </w:rPr>
              <w:t>应符合的基本资格条件</w:t>
            </w:r>
          </w:p>
        </w:tc>
        <w:tc>
          <w:tcPr>
            <w:tcW w:w="4483"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（1）具有独立承担民事责任的能力</w:t>
            </w:r>
          </w:p>
        </w:tc>
        <w:tc>
          <w:tcPr>
            <w:tcW w:w="3760" w:type="dxa"/>
            <w:vAlign w:val="center"/>
          </w:tcPr>
          <w:p>
            <w:pPr>
              <w:spacing w:line="240" w:lineRule="exact"/>
              <w:rPr>
                <w:rFonts w:ascii="仿宋" w:hAnsi="仿宋" w:eastAsia="仿宋"/>
                <w:color w:val="auto"/>
                <w:sz w:val="24"/>
                <w:szCs w:val="24"/>
                <w:highlight w:val="yellow"/>
              </w:rPr>
            </w:pPr>
            <w:r>
              <w:rPr>
                <w:rFonts w:hint="eastAsia" w:ascii="仿宋" w:hAnsi="仿宋" w:eastAsia="仿宋"/>
                <w:color w:val="auto"/>
                <w:sz w:val="24"/>
                <w:szCs w:val="24"/>
              </w:rPr>
              <w:t>供应商律师事务所执业许可证（或者律师事务所分所执业许可证）复印件；供应商负责人身份证明</w:t>
            </w:r>
            <w:r>
              <w:rPr>
                <w:rFonts w:hint="eastAsia" w:ascii="仿宋" w:hAnsi="仿宋" w:eastAsia="仿宋"/>
                <w:color w:val="auto"/>
                <w:sz w:val="24"/>
                <w:szCs w:val="24"/>
                <w:lang w:eastAsia="zh-CN"/>
              </w:rPr>
              <w:t>，负责人委托代理人参加磋商的，还需要提供</w:t>
            </w:r>
            <w:r>
              <w:rPr>
                <w:rFonts w:hint="eastAsia" w:ascii="仿宋" w:hAnsi="仿宋" w:eastAsia="仿宋"/>
                <w:color w:val="auto"/>
                <w:sz w:val="24"/>
                <w:szCs w:val="24"/>
              </w:rPr>
              <w:t>负责人授权委托书</w:t>
            </w:r>
            <w:r>
              <w:rPr>
                <w:rFonts w:hint="eastAsia" w:ascii="仿宋" w:hAnsi="仿宋" w:eastAsia="仿宋"/>
                <w:color w:val="auto"/>
                <w:sz w:val="24"/>
                <w:szCs w:val="24"/>
                <w:lang w:eastAsia="zh-CN"/>
              </w:rPr>
              <w:t>、委托代理人身份证明</w:t>
            </w:r>
            <w:r>
              <w:rPr>
                <w:rFonts w:hint="eastAsia" w:ascii="仿宋" w:hAnsi="仿宋" w:eastAsia="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olor w:val="auto"/>
                <w:sz w:val="24"/>
                <w:szCs w:val="24"/>
              </w:rPr>
            </w:pPr>
            <w:r>
              <w:rPr>
                <w:rFonts w:hint="eastAsia" w:ascii="仿宋" w:hAnsi="仿宋" w:eastAsia="仿宋" w:cs="仿宋_GB2312"/>
                <w:color w:val="auto"/>
                <w:sz w:val="24"/>
                <w:szCs w:val="24"/>
                <w:lang w:val="zh-CN"/>
              </w:rPr>
              <w:t>（2）</w:t>
            </w:r>
            <w:r>
              <w:rPr>
                <w:rFonts w:hint="eastAsia" w:ascii="仿宋" w:hAnsi="仿宋" w:eastAsia="仿宋"/>
                <w:color w:val="auto"/>
                <w:sz w:val="24"/>
                <w:szCs w:val="24"/>
              </w:rPr>
              <w:t>具有良好的商业信誉和健全的财务会计制度</w:t>
            </w:r>
          </w:p>
        </w:tc>
        <w:tc>
          <w:tcPr>
            <w:tcW w:w="3760" w:type="dxa"/>
            <w:vMerge w:val="restart"/>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（3）具有履行合同所必需的设备和专业技术能力</w:t>
            </w:r>
          </w:p>
        </w:tc>
        <w:tc>
          <w:tcPr>
            <w:tcW w:w="3760" w:type="dxa"/>
            <w:vMerge w:val="continue"/>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s="仿宋_GB2312"/>
                <w:color w:val="auto"/>
                <w:sz w:val="24"/>
                <w:szCs w:val="24"/>
                <w:lang w:val="zh-CN"/>
              </w:rPr>
              <w:t>（4）有依法缴纳税收和社会保障金的良好记录</w:t>
            </w:r>
          </w:p>
        </w:tc>
        <w:tc>
          <w:tcPr>
            <w:tcW w:w="3760" w:type="dxa"/>
            <w:vMerge w:val="continue"/>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s="仿宋_GB2312"/>
                <w:color w:val="auto"/>
                <w:sz w:val="24"/>
                <w:szCs w:val="24"/>
                <w:lang w:val="zh-CN"/>
              </w:rPr>
            </w:pPr>
            <w:r>
              <w:rPr>
                <w:rFonts w:hint="eastAsia" w:ascii="仿宋" w:hAnsi="仿宋" w:eastAsia="仿宋"/>
                <w:color w:val="auto"/>
                <w:sz w:val="24"/>
                <w:szCs w:val="24"/>
              </w:rPr>
              <w:t>（5）参加政府采购活动前三年内，在经营活动中没有重大违法</w:t>
            </w:r>
            <w:r>
              <w:rPr>
                <w:rFonts w:hint="eastAsia" w:ascii="仿宋" w:hAnsi="仿宋" w:eastAsia="仿宋"/>
                <w:color w:val="auto"/>
                <w:sz w:val="24"/>
                <w:szCs w:val="24"/>
                <w:lang w:eastAsia="zh-CN"/>
              </w:rPr>
              <w:t>失信</w:t>
            </w:r>
            <w:r>
              <w:rPr>
                <w:rFonts w:hint="eastAsia" w:ascii="仿宋" w:hAnsi="仿宋" w:eastAsia="仿宋"/>
                <w:color w:val="auto"/>
                <w:sz w:val="24"/>
                <w:szCs w:val="24"/>
              </w:rPr>
              <w:t>记录</w:t>
            </w:r>
          </w:p>
        </w:tc>
        <w:tc>
          <w:tcPr>
            <w:tcW w:w="3760" w:type="dxa"/>
            <w:vMerge w:val="continue"/>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仿宋" w:hAnsi="仿宋" w:eastAsia="仿宋"/>
                <w:color w:val="auto"/>
                <w:sz w:val="24"/>
                <w:szCs w:val="24"/>
              </w:rPr>
            </w:pPr>
          </w:p>
        </w:tc>
        <w:tc>
          <w:tcPr>
            <w:tcW w:w="709" w:type="dxa"/>
            <w:vMerge w:val="continue"/>
            <w:vAlign w:val="center"/>
          </w:tcPr>
          <w:p>
            <w:pPr>
              <w:spacing w:line="240" w:lineRule="exact"/>
              <w:rPr>
                <w:rFonts w:ascii="仿宋" w:hAnsi="仿宋" w:eastAsia="仿宋" w:cs="仿宋_GB2312"/>
                <w:color w:val="auto"/>
                <w:sz w:val="24"/>
                <w:szCs w:val="24"/>
                <w:lang w:val="zh-CN"/>
              </w:rPr>
            </w:pPr>
          </w:p>
        </w:tc>
        <w:tc>
          <w:tcPr>
            <w:tcW w:w="4483"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（6）法律、行政法规规定的其他条件</w:t>
            </w:r>
          </w:p>
        </w:tc>
        <w:tc>
          <w:tcPr>
            <w:tcW w:w="3760" w:type="dxa"/>
            <w:vAlign w:val="center"/>
          </w:tcPr>
          <w:p>
            <w:pPr>
              <w:spacing w:line="24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仿宋" w:hAnsi="仿宋" w:eastAsia="仿宋"/>
                <w:color w:val="auto"/>
                <w:sz w:val="24"/>
                <w:szCs w:val="24"/>
              </w:rPr>
            </w:pPr>
            <w:r>
              <w:rPr>
                <w:rFonts w:hint="eastAsia" w:ascii="仿宋" w:hAnsi="仿宋" w:eastAsia="仿宋"/>
                <w:color w:val="auto"/>
                <w:sz w:val="24"/>
                <w:szCs w:val="24"/>
              </w:rPr>
              <w:t>2</w:t>
            </w:r>
          </w:p>
        </w:tc>
        <w:tc>
          <w:tcPr>
            <w:tcW w:w="5192" w:type="dxa"/>
            <w:gridSpan w:val="2"/>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特定资格条件</w:t>
            </w:r>
          </w:p>
        </w:tc>
        <w:tc>
          <w:tcPr>
            <w:tcW w:w="3760"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按第一篇“（二）特定资格条件”的要求提交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ascii="仿宋" w:hAnsi="仿宋" w:eastAsia="仿宋"/>
                <w:color w:val="auto"/>
                <w:sz w:val="24"/>
                <w:szCs w:val="24"/>
              </w:rPr>
            </w:pPr>
            <w:r>
              <w:rPr>
                <w:rFonts w:hint="eastAsia" w:ascii="仿宋" w:hAnsi="仿宋" w:eastAsia="仿宋"/>
                <w:color w:val="auto"/>
                <w:sz w:val="24"/>
                <w:szCs w:val="24"/>
              </w:rPr>
              <w:t>3</w:t>
            </w:r>
          </w:p>
        </w:tc>
        <w:tc>
          <w:tcPr>
            <w:tcW w:w="5192" w:type="dxa"/>
            <w:gridSpan w:val="2"/>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磋商保证金</w:t>
            </w:r>
          </w:p>
        </w:tc>
        <w:tc>
          <w:tcPr>
            <w:tcW w:w="3760" w:type="dxa"/>
            <w:vAlign w:val="center"/>
          </w:tcPr>
          <w:p>
            <w:pPr>
              <w:spacing w:line="240" w:lineRule="exact"/>
              <w:rPr>
                <w:rFonts w:ascii="仿宋" w:hAnsi="仿宋" w:eastAsia="仿宋"/>
                <w:color w:val="auto"/>
                <w:sz w:val="24"/>
                <w:szCs w:val="24"/>
              </w:rPr>
            </w:pPr>
            <w:r>
              <w:rPr>
                <w:rFonts w:hint="eastAsia" w:ascii="仿宋" w:hAnsi="仿宋" w:eastAsia="仿宋"/>
                <w:color w:val="auto"/>
                <w:sz w:val="24"/>
                <w:szCs w:val="24"/>
              </w:rPr>
              <w:t>无</w:t>
            </w:r>
          </w:p>
        </w:tc>
      </w:tr>
    </w:tbl>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①供应商按“三证合一”登记制度办理营业执照的，组织机构代码证和税务登记证（副本）以供应商所提供的营业执照（副本）复印件为准。</w:t>
      </w:r>
    </w:p>
    <w:p>
      <w:pPr>
        <w:spacing w:line="400" w:lineRule="exact"/>
        <w:ind w:firstLine="480" w:firstLineChars="200"/>
        <w:rPr>
          <w:rFonts w:ascii="仿宋" w:hAnsi="仿宋" w:eastAsia="仿宋"/>
          <w:color w:val="auto"/>
          <w:kern w:val="0"/>
          <w:sz w:val="24"/>
          <w:szCs w:val="24"/>
        </w:rPr>
      </w:pPr>
      <w:r>
        <w:rPr>
          <w:rFonts w:hint="eastAsia" w:ascii="仿宋" w:hAnsi="仿宋" w:eastAsia="仿宋"/>
          <w:color w:val="auto"/>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color w:val="auto"/>
          <w:kern w:val="0"/>
          <w:sz w:val="24"/>
          <w:szCs w:val="24"/>
        </w:rPr>
        <w:t>符</w:t>
      </w:r>
      <w:r>
        <w:rPr>
          <w:rFonts w:hint="eastAsia" w:ascii="仿宋" w:hAnsi="仿宋" w:eastAsia="仿宋"/>
          <w:color w:val="auto"/>
          <w:sz w:val="24"/>
          <w:szCs w:val="24"/>
        </w:rPr>
        <w:t>合性检查资料表如下：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9"/>
        <w:gridCol w:w="198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color w:val="auto"/>
                <w:sz w:val="21"/>
                <w:szCs w:val="21"/>
              </w:rPr>
            </w:pPr>
            <w:r>
              <w:rPr>
                <w:rFonts w:hint="eastAsia" w:ascii="仿宋" w:hAnsi="仿宋" w:eastAsia="仿宋"/>
                <w:b/>
                <w:bCs/>
                <w:color w:val="auto"/>
                <w:sz w:val="21"/>
                <w:szCs w:val="21"/>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bCs/>
                <w:color w:val="auto"/>
                <w:sz w:val="21"/>
                <w:szCs w:val="21"/>
              </w:rPr>
            </w:pPr>
            <w:r>
              <w:rPr>
                <w:rFonts w:hint="eastAsia" w:ascii="仿宋" w:hAnsi="仿宋" w:eastAsia="仿宋"/>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1</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响应文件签署</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响应方案</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2</w:t>
            </w:r>
          </w:p>
        </w:tc>
        <w:tc>
          <w:tcPr>
            <w:tcW w:w="141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响应文件份数</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3</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竞争性磋商文件的响应程度审查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响应文件内容</w:t>
            </w:r>
          </w:p>
        </w:tc>
        <w:tc>
          <w:tcPr>
            <w:tcW w:w="5410" w:type="dxa"/>
            <w:tcBorders>
              <w:top w:val="single" w:color="auto" w:sz="4" w:space="0"/>
              <w:left w:val="single" w:color="auto" w:sz="4" w:space="0"/>
              <w:bottom w:val="single" w:color="auto" w:sz="4" w:space="0"/>
              <w:right w:val="single" w:color="auto" w:sz="4" w:space="0"/>
            </w:tcBorders>
            <w:vAlign w:val="center"/>
          </w:tcPr>
          <w:p>
            <w:pPr>
              <w:pStyle w:val="32"/>
              <w:spacing w:line="240" w:lineRule="exact"/>
              <w:rPr>
                <w:rFonts w:ascii="仿宋" w:hAnsi="仿宋" w:eastAsia="仿宋"/>
                <w:color w:val="auto"/>
                <w:sz w:val="21"/>
                <w:szCs w:val="21"/>
              </w:rPr>
            </w:pPr>
            <w:r>
              <w:rPr>
                <w:rFonts w:hint="eastAsia" w:ascii="仿宋" w:hAnsi="仿宋" w:eastAsia="仿宋"/>
                <w:color w:val="auto"/>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磋商有效期</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1"/>
                <w:szCs w:val="21"/>
              </w:rPr>
            </w:pPr>
            <w:r>
              <w:rPr>
                <w:rFonts w:hint="eastAsia" w:ascii="仿宋" w:hAnsi="仿宋" w:eastAsia="仿宋"/>
                <w:color w:val="auto"/>
                <w:sz w:val="21"/>
                <w:szCs w:val="21"/>
              </w:rPr>
              <w:t>满足磋商文件规定。</w:t>
            </w:r>
          </w:p>
        </w:tc>
      </w:tr>
    </w:tbl>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（五）在磋商过程中磋商的任何一方不得向他人透露与磋商有关的技术资料、价格或其他信息。</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（七）供应商在磋商时作出的所有书面承诺须由法定代表人或其授权代表签字。</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仿宋" w:hAnsi="仿宋" w:eastAsia="仿宋"/>
          <w:color w:val="auto"/>
          <w:sz w:val="24"/>
          <w:szCs w:val="24"/>
        </w:rPr>
        <w:t>已提交响应文件</w:t>
      </w:r>
      <w:r>
        <w:rPr>
          <w:rFonts w:hint="eastAsia" w:ascii="仿宋" w:hAnsi="仿宋" w:eastAsia="仿宋"/>
          <w:color w:val="auto"/>
          <w:sz w:val="24"/>
          <w:szCs w:val="24"/>
        </w:rPr>
        <w:t>但未在规定时间内进行最后报价</w:t>
      </w:r>
      <w:r>
        <w:rPr>
          <w:rFonts w:ascii="仿宋" w:hAnsi="仿宋" w:eastAsia="仿宋"/>
          <w:color w:val="auto"/>
          <w:sz w:val="24"/>
          <w:szCs w:val="24"/>
        </w:rPr>
        <w:t>的供应商，</w:t>
      </w:r>
      <w:r>
        <w:rPr>
          <w:rFonts w:hint="eastAsia" w:ascii="仿宋" w:hAnsi="仿宋" w:eastAsia="仿宋"/>
          <w:color w:val="auto"/>
          <w:sz w:val="24"/>
          <w:szCs w:val="24"/>
        </w:rPr>
        <w:t>视为放弃最后报价，以供应商响应文件中的报价为准。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（九）磋商小组采用综合评分法对提交最后报价的供应商的响应文件和最后报价（含有效书面承诺）进行综合评分。综合评分法，是指响应</w:t>
      </w:r>
      <w:r>
        <w:rPr>
          <w:rFonts w:ascii="仿宋" w:hAnsi="仿宋" w:eastAsia="仿宋"/>
          <w:color w:val="auto"/>
          <w:sz w:val="24"/>
          <w:szCs w:val="24"/>
        </w:rPr>
        <w:t>文件满足</w:t>
      </w:r>
      <w:r>
        <w:rPr>
          <w:rFonts w:hint="eastAsia" w:ascii="仿宋" w:hAnsi="仿宋" w:eastAsia="仿宋"/>
          <w:color w:val="auto"/>
          <w:sz w:val="24"/>
          <w:szCs w:val="24"/>
        </w:rPr>
        <w:t>竞争性磋商</w:t>
      </w:r>
      <w:r>
        <w:rPr>
          <w:rFonts w:ascii="仿宋" w:hAnsi="仿宋" w:eastAsia="仿宋"/>
          <w:color w:val="auto"/>
          <w:sz w:val="24"/>
          <w:szCs w:val="24"/>
        </w:rPr>
        <w:t>文件全部实质性要求且按照评审因素的量化指标评审得分最高的供应商为</w:t>
      </w:r>
      <w:r>
        <w:rPr>
          <w:rFonts w:hint="eastAsia" w:ascii="仿宋" w:hAnsi="仿宋" w:eastAsia="仿宋"/>
          <w:color w:val="auto"/>
          <w:sz w:val="24"/>
          <w:szCs w:val="24"/>
        </w:rPr>
        <w:t>成交</w:t>
      </w:r>
      <w:r>
        <w:rPr>
          <w:rFonts w:ascii="仿宋" w:hAnsi="仿宋" w:eastAsia="仿宋"/>
          <w:color w:val="auto"/>
          <w:sz w:val="24"/>
          <w:szCs w:val="24"/>
        </w:rPr>
        <w:t>候选</w:t>
      </w:r>
      <w:r>
        <w:rPr>
          <w:rFonts w:hint="eastAsia" w:ascii="仿宋" w:hAnsi="仿宋" w:eastAsia="仿宋"/>
          <w:color w:val="auto"/>
          <w:sz w:val="24"/>
          <w:szCs w:val="24"/>
        </w:rPr>
        <w:t>供应商</w:t>
      </w:r>
      <w:r>
        <w:rPr>
          <w:rFonts w:ascii="仿宋" w:hAnsi="仿宋" w:eastAsia="仿宋"/>
          <w:color w:val="auto"/>
          <w:sz w:val="24"/>
          <w:szCs w:val="24"/>
        </w:rPr>
        <w:t>的</w:t>
      </w:r>
      <w:r>
        <w:rPr>
          <w:rFonts w:hint="eastAsia" w:ascii="仿宋" w:hAnsi="仿宋" w:eastAsia="仿宋"/>
          <w:color w:val="auto"/>
          <w:sz w:val="24"/>
          <w:szCs w:val="24"/>
        </w:rPr>
        <w:t>评审</w:t>
      </w:r>
      <w:r>
        <w:rPr>
          <w:rFonts w:ascii="仿宋" w:hAnsi="仿宋" w:eastAsia="仿宋"/>
          <w:color w:val="auto"/>
          <w:sz w:val="24"/>
          <w:szCs w:val="24"/>
        </w:rPr>
        <w:t>方法</w:t>
      </w:r>
      <w:r>
        <w:rPr>
          <w:rFonts w:hint="eastAsia" w:ascii="仿宋" w:hAnsi="仿宋" w:eastAsia="仿宋"/>
          <w:color w:val="auto"/>
          <w:sz w:val="24"/>
          <w:szCs w:val="24"/>
        </w:rPr>
        <w:t>。供应商总得分为价格、商务、技术等评定因素分别按照相应权重值计算分项得分后相加，满分为100分。（详见评审标准）。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（十）磋商小组各成员独立对每个</w:t>
      </w:r>
      <w:r>
        <w:rPr>
          <w:rFonts w:ascii="仿宋" w:hAnsi="仿宋" w:eastAsia="仿宋"/>
          <w:color w:val="auto"/>
          <w:sz w:val="24"/>
          <w:szCs w:val="24"/>
        </w:rPr>
        <w:t>实质性</w:t>
      </w:r>
      <w:r>
        <w:rPr>
          <w:rFonts w:hint="eastAsia" w:ascii="仿宋" w:hAnsi="仿宋" w:eastAsia="仿宋"/>
          <w:color w:val="auto"/>
          <w:sz w:val="24"/>
          <w:szCs w:val="24"/>
        </w:rPr>
        <w:t>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color w:val="auto"/>
          <w:sz w:val="24"/>
          <w:szCs w:val="24"/>
        </w:rPr>
        <w:t>推荐的成交</w:t>
      </w:r>
      <w:r>
        <w:rPr>
          <w:rFonts w:hint="eastAsia" w:ascii="仿宋" w:hAnsi="仿宋" w:eastAsia="仿宋"/>
          <w:color w:val="auto"/>
          <w:sz w:val="24"/>
          <w:szCs w:val="24"/>
        </w:rPr>
        <w:t>供应商的服务部分为0分，将失去成为成交候选供应商的资格。</w:t>
      </w:r>
    </w:p>
    <w:p>
      <w:pPr>
        <w:pStyle w:val="5"/>
        <w:spacing w:before="0" w:after="0" w:line="400" w:lineRule="exact"/>
        <w:rPr>
          <w:rFonts w:ascii="仿宋" w:hAnsi="仿宋" w:eastAsia="仿宋"/>
          <w:color w:val="auto"/>
          <w:sz w:val="24"/>
          <w:szCs w:val="24"/>
        </w:rPr>
      </w:pPr>
      <w:bookmarkStart w:id="61" w:name="_Toc8449"/>
      <w:r>
        <w:rPr>
          <w:rFonts w:hint="eastAsia" w:ascii="仿宋" w:hAnsi="仿宋" w:eastAsia="仿宋"/>
          <w:color w:val="auto"/>
          <w:sz w:val="24"/>
          <w:szCs w:val="24"/>
        </w:rPr>
        <w:t>二、</w:t>
      </w:r>
      <w:bookmarkStart w:id="62" w:name="_Toc342913394"/>
      <w:bookmarkStart w:id="63" w:name="_Toc102227320"/>
      <w:r>
        <w:rPr>
          <w:rFonts w:hint="eastAsia" w:ascii="仿宋" w:hAnsi="仿宋" w:eastAsia="仿宋"/>
          <w:color w:val="auto"/>
          <w:sz w:val="24"/>
          <w:szCs w:val="24"/>
        </w:rPr>
        <w:t>评审标准</w:t>
      </w:r>
      <w:bookmarkEnd w:id="61"/>
    </w:p>
    <w:tbl>
      <w:tblPr>
        <w:tblStyle w:val="57"/>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54"/>
        <w:gridCol w:w="856"/>
        <w:gridCol w:w="5213"/>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2" w:type="dxa"/>
            <w:vAlign w:val="center"/>
          </w:tcPr>
          <w:p>
            <w:pPr>
              <w:spacing w:line="380" w:lineRule="exact"/>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254" w:type="dxa"/>
            <w:vAlign w:val="center"/>
          </w:tcPr>
          <w:p>
            <w:pPr>
              <w:spacing w:line="380" w:lineRule="exact"/>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评分因素及权值</w:t>
            </w:r>
          </w:p>
        </w:tc>
        <w:tc>
          <w:tcPr>
            <w:tcW w:w="856" w:type="dxa"/>
            <w:vAlign w:val="center"/>
          </w:tcPr>
          <w:p>
            <w:pPr>
              <w:spacing w:line="380" w:lineRule="exact"/>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5213" w:type="dxa"/>
            <w:vAlign w:val="center"/>
          </w:tcPr>
          <w:p>
            <w:pPr>
              <w:spacing w:line="380" w:lineRule="exact"/>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1810" w:type="dxa"/>
            <w:vAlign w:val="center"/>
          </w:tcPr>
          <w:p>
            <w:pPr>
              <w:pStyle w:val="144"/>
              <w:spacing w:before="0" w:after="0" w:line="380" w:lineRule="exact"/>
              <w:ind w:hanging="420"/>
              <w:rPr>
                <w:rFonts w:hint="eastAsia" w:ascii="仿宋" w:hAnsi="仿宋" w:eastAsia="仿宋" w:cs="仿宋"/>
                <w:color w:val="auto"/>
                <w:sz w:val="21"/>
                <w:szCs w:val="21"/>
              </w:rPr>
            </w:pPr>
            <w:r>
              <w:rPr>
                <w:rFonts w:hint="eastAsia" w:ascii="仿宋" w:hAnsi="仿宋" w:eastAsia="仿宋" w:cs="仿宋"/>
                <w:color w:val="auto"/>
                <w:sz w:val="21"/>
                <w:szCs w:val="21"/>
              </w:rPr>
              <w:t xml:space="preserve">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482" w:type="dxa"/>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254" w:type="dxa"/>
            <w:vAlign w:val="center"/>
          </w:tcPr>
          <w:p>
            <w:pPr>
              <w:spacing w:line="380" w:lineRule="exact"/>
              <w:ind w:firstLine="28"/>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磋商报价</w:t>
            </w:r>
          </w:p>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56" w:type="dxa"/>
            <w:vAlign w:val="center"/>
          </w:tcPr>
          <w:p>
            <w:pPr>
              <w:spacing w:line="38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磋商报价（</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w:t>
            </w:r>
          </w:p>
        </w:tc>
        <w:tc>
          <w:tcPr>
            <w:tcW w:w="5213" w:type="dxa"/>
            <w:vAlign w:val="center"/>
          </w:tcPr>
          <w:p>
            <w:p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有效的</w:t>
            </w:r>
            <w:r>
              <w:rPr>
                <w:rFonts w:hint="eastAsia" w:ascii="仿宋" w:hAnsi="仿宋" w:eastAsia="仿宋" w:cs="仿宋"/>
                <w:color w:val="auto"/>
                <w:sz w:val="21"/>
                <w:szCs w:val="21"/>
                <w:lang w:eastAsia="zh-CN"/>
              </w:rPr>
              <w:t>磋商最后报价</w:t>
            </w:r>
            <w:r>
              <w:rPr>
                <w:rFonts w:hint="eastAsia" w:ascii="仿宋" w:hAnsi="仿宋" w:eastAsia="仿宋" w:cs="仿宋"/>
                <w:color w:val="auto"/>
                <w:sz w:val="21"/>
                <w:szCs w:val="21"/>
              </w:rPr>
              <w:t>中的最低价为评标基准价，按照下列公式计算每个</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的价格得分。</w:t>
            </w:r>
          </w:p>
          <w:p>
            <w:pPr>
              <w:spacing w:line="380" w:lineRule="exact"/>
              <w:ind w:firstLine="0" w:firstLineChars="0"/>
              <w:jc w:val="left"/>
              <w:rPr>
                <w:rFonts w:hint="eastAsia" w:ascii="仿宋" w:hAnsi="仿宋" w:eastAsia="仿宋" w:cs="仿宋"/>
                <w:b/>
                <w:color w:val="auto"/>
                <w:sz w:val="21"/>
                <w:szCs w:val="21"/>
              </w:rPr>
            </w:pPr>
            <w:r>
              <w:rPr>
                <w:rFonts w:hint="eastAsia" w:ascii="仿宋" w:hAnsi="仿宋" w:eastAsia="仿宋" w:cs="仿宋"/>
                <w:color w:val="auto"/>
                <w:sz w:val="21"/>
                <w:szCs w:val="21"/>
                <w:lang w:eastAsia="zh-CN"/>
              </w:rPr>
              <w:t>磋商报价</w:t>
            </w:r>
            <w:r>
              <w:rPr>
                <w:rFonts w:hint="eastAsia" w:ascii="仿宋" w:hAnsi="仿宋" w:eastAsia="仿宋" w:cs="仿宋"/>
                <w:color w:val="auto"/>
                <w:sz w:val="21"/>
                <w:szCs w:val="21"/>
              </w:rPr>
              <w:t>得分＝（评标基准价/</w:t>
            </w:r>
            <w:r>
              <w:rPr>
                <w:rFonts w:hint="eastAsia" w:ascii="仿宋" w:hAnsi="仿宋" w:eastAsia="仿宋" w:cs="仿宋"/>
                <w:color w:val="auto"/>
                <w:sz w:val="21"/>
                <w:szCs w:val="21"/>
                <w:lang w:eastAsia="zh-CN"/>
              </w:rPr>
              <w:t>磋商报价</w:t>
            </w:r>
            <w:r>
              <w:rPr>
                <w:rFonts w:hint="eastAsia" w:ascii="仿宋" w:hAnsi="仿宋" w:eastAsia="仿宋" w:cs="仿宋"/>
                <w:color w:val="auto"/>
                <w:sz w:val="21"/>
                <w:szCs w:val="21"/>
              </w:rPr>
              <w:t>）×价格权重×100。</w:t>
            </w:r>
          </w:p>
        </w:tc>
        <w:tc>
          <w:tcPr>
            <w:tcW w:w="1810" w:type="dxa"/>
            <w:vAlign w:val="center"/>
          </w:tcPr>
          <w:p>
            <w:pPr>
              <w:pStyle w:val="144"/>
              <w:spacing w:before="0" w:after="0" w:line="380" w:lineRule="exact"/>
              <w:ind w:hanging="42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482" w:type="dxa"/>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254" w:type="dxa"/>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服务部分</w:t>
            </w:r>
          </w:p>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856" w:type="dxa"/>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服务方案（50）</w:t>
            </w:r>
          </w:p>
        </w:tc>
        <w:tc>
          <w:tcPr>
            <w:tcW w:w="5213" w:type="dxa"/>
            <w:vAlign w:val="center"/>
          </w:tcPr>
          <w:p>
            <w:p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根据供应商所提供的针对本项目的服务方案对照采购方服务需求进行评分。</w:t>
            </w:r>
          </w:p>
          <w:p>
            <w:pPr>
              <w:numPr>
                <w:ilvl w:val="0"/>
                <w:numId w:val="13"/>
              </w:numPr>
              <w:spacing w:line="380" w:lineRule="exact"/>
              <w:ind w:firstLine="0" w:firstLineChars="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从</w:t>
            </w:r>
            <w:r>
              <w:rPr>
                <w:rFonts w:hint="eastAsia" w:ascii="仿宋" w:hAnsi="仿宋" w:eastAsia="仿宋" w:cs="仿宋"/>
                <w:color w:val="auto"/>
                <w:sz w:val="21"/>
                <w:szCs w:val="21"/>
                <w:lang w:eastAsia="zh-CN"/>
              </w:rPr>
              <w:t>对交通运输行业的理解（</w:t>
            </w:r>
            <w:r>
              <w:rPr>
                <w:rFonts w:hint="eastAsia" w:ascii="仿宋" w:hAnsi="仿宋" w:eastAsia="仿宋" w:cs="仿宋"/>
                <w:color w:val="auto"/>
                <w:sz w:val="21"/>
                <w:szCs w:val="21"/>
                <w:lang w:val="en-US" w:eastAsia="zh-CN"/>
              </w:rPr>
              <w:t>10分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理解深刻、贴合实际得</w:t>
            </w:r>
            <w:r>
              <w:rPr>
                <w:rFonts w:hint="eastAsia" w:ascii="仿宋" w:hAnsi="仿宋" w:eastAsia="仿宋" w:cs="仿宋"/>
                <w:color w:val="auto"/>
                <w:sz w:val="21"/>
                <w:szCs w:val="21"/>
                <w:lang w:val="en-US" w:eastAsia="zh-CN"/>
              </w:rPr>
              <w:t>10分；理解较为贴合实际得6分；理解不深3分；理解错误或者无相关内容得0分。</w:t>
            </w:r>
          </w:p>
          <w:p>
            <w:pPr>
              <w:numPr>
                <w:ilvl w:val="0"/>
                <w:numId w:val="13"/>
              </w:num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交通行政应诉工作重点、难点的</w:t>
            </w:r>
            <w:r>
              <w:rPr>
                <w:rFonts w:hint="eastAsia" w:ascii="仿宋" w:hAnsi="仿宋" w:eastAsia="仿宋" w:cs="仿宋"/>
                <w:color w:val="auto"/>
                <w:sz w:val="21"/>
                <w:szCs w:val="21"/>
                <w:lang w:val="en-US" w:eastAsia="zh-CN"/>
              </w:rPr>
              <w:t>理解（10分）：</w:t>
            </w:r>
            <w:r>
              <w:rPr>
                <w:rFonts w:hint="eastAsia" w:ascii="仿宋" w:hAnsi="仿宋" w:eastAsia="仿宋" w:cs="仿宋"/>
                <w:color w:val="auto"/>
                <w:sz w:val="21"/>
                <w:szCs w:val="21"/>
                <w:lang w:eastAsia="zh-CN"/>
              </w:rPr>
              <w:t>理解深刻、贴合实际得</w:t>
            </w:r>
            <w:r>
              <w:rPr>
                <w:rFonts w:hint="eastAsia" w:ascii="仿宋" w:hAnsi="仿宋" w:eastAsia="仿宋" w:cs="仿宋"/>
                <w:color w:val="auto"/>
                <w:sz w:val="21"/>
                <w:szCs w:val="21"/>
                <w:lang w:val="en-US" w:eastAsia="zh-CN"/>
              </w:rPr>
              <w:t>10分；理解较为贴合实际得6分；理解不深3分；理解错误或者无相关内容得0分</w:t>
            </w:r>
            <w:r>
              <w:rPr>
                <w:rFonts w:hint="eastAsia" w:ascii="仿宋" w:hAnsi="仿宋" w:eastAsia="仿宋" w:cs="仿宋"/>
                <w:color w:val="auto"/>
                <w:sz w:val="21"/>
                <w:szCs w:val="21"/>
                <w:lang w:eastAsia="zh-CN"/>
              </w:rPr>
              <w:t>。</w:t>
            </w:r>
          </w:p>
          <w:p>
            <w:pPr>
              <w:numPr>
                <w:ilvl w:val="0"/>
                <w:numId w:val="13"/>
              </w:num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研究思路和方法（</w:t>
            </w:r>
            <w:r>
              <w:rPr>
                <w:rFonts w:hint="eastAsia" w:ascii="仿宋" w:hAnsi="仿宋" w:eastAsia="仿宋" w:cs="仿宋"/>
                <w:color w:val="auto"/>
                <w:sz w:val="21"/>
                <w:szCs w:val="21"/>
                <w:lang w:val="en-US" w:eastAsia="zh-CN"/>
              </w:rPr>
              <w:t>10分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思路清晰，方法科学性高得</w:t>
            </w:r>
            <w:r>
              <w:rPr>
                <w:rFonts w:hint="eastAsia" w:ascii="仿宋" w:hAnsi="仿宋" w:eastAsia="仿宋" w:cs="仿宋"/>
                <w:color w:val="auto"/>
                <w:sz w:val="21"/>
                <w:szCs w:val="21"/>
                <w:lang w:val="en-US" w:eastAsia="zh-CN"/>
              </w:rPr>
              <w:t>10分；思路较为清晰，方法</w:t>
            </w:r>
            <w:r>
              <w:rPr>
                <w:rFonts w:hint="eastAsia" w:ascii="仿宋" w:hAnsi="仿宋" w:eastAsia="仿宋" w:cs="仿宋"/>
                <w:color w:val="auto"/>
                <w:sz w:val="21"/>
                <w:szCs w:val="21"/>
                <w:lang w:eastAsia="zh-CN"/>
              </w:rPr>
              <w:t>科学性较高，得</w:t>
            </w:r>
            <w:r>
              <w:rPr>
                <w:rFonts w:hint="eastAsia" w:ascii="仿宋" w:hAnsi="仿宋" w:eastAsia="仿宋" w:cs="仿宋"/>
                <w:color w:val="auto"/>
                <w:sz w:val="21"/>
                <w:szCs w:val="21"/>
                <w:lang w:val="en-US" w:eastAsia="zh-CN"/>
              </w:rPr>
              <w:t>6分；思路一般，方法</w:t>
            </w:r>
            <w:r>
              <w:rPr>
                <w:rFonts w:hint="eastAsia" w:ascii="仿宋" w:hAnsi="仿宋" w:eastAsia="仿宋" w:cs="仿宋"/>
                <w:color w:val="auto"/>
                <w:sz w:val="21"/>
                <w:szCs w:val="21"/>
                <w:lang w:eastAsia="zh-CN"/>
              </w:rPr>
              <w:t>科学性一般，得</w:t>
            </w:r>
            <w:r>
              <w:rPr>
                <w:rFonts w:hint="eastAsia" w:ascii="仿宋" w:hAnsi="仿宋" w:eastAsia="仿宋" w:cs="仿宋"/>
                <w:color w:val="auto"/>
                <w:sz w:val="21"/>
                <w:szCs w:val="21"/>
                <w:lang w:val="en-US" w:eastAsia="zh-CN"/>
              </w:rPr>
              <w:t>3分；思路错误、方法科学性差或者无相关内容得0分</w:t>
            </w:r>
            <w:r>
              <w:rPr>
                <w:rFonts w:hint="eastAsia" w:ascii="仿宋" w:hAnsi="仿宋" w:eastAsia="仿宋" w:cs="仿宋"/>
                <w:color w:val="auto"/>
                <w:sz w:val="21"/>
                <w:szCs w:val="21"/>
                <w:lang w:eastAsia="zh-CN"/>
              </w:rPr>
              <w:t>。</w:t>
            </w:r>
          </w:p>
          <w:p>
            <w:pPr>
              <w:numPr>
                <w:ilvl w:val="0"/>
                <w:numId w:val="13"/>
              </w:num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服务保障措施</w:t>
            </w:r>
            <w:r>
              <w:rPr>
                <w:rFonts w:hint="default" w:ascii="仿宋" w:hAnsi="仿宋" w:eastAsia="仿宋" w:cs="仿宋"/>
                <w:color w:val="auto"/>
                <w:sz w:val="21"/>
                <w:szCs w:val="21"/>
                <w:lang w:val="en"/>
              </w:rPr>
              <w:t>（</w:t>
            </w:r>
            <w:r>
              <w:rPr>
                <w:rFonts w:hint="eastAsia" w:ascii="仿宋" w:hAnsi="仿宋" w:eastAsia="仿宋" w:cs="仿宋"/>
                <w:color w:val="auto"/>
                <w:sz w:val="21"/>
                <w:szCs w:val="21"/>
                <w:lang w:val="en-US" w:eastAsia="zh-CN"/>
              </w:rPr>
              <w:t>10</w:t>
            </w:r>
            <w:r>
              <w:rPr>
                <w:rFonts w:hint="default" w:ascii="仿宋" w:hAnsi="仿宋" w:eastAsia="仿宋" w:cs="仿宋"/>
                <w:color w:val="auto"/>
                <w:sz w:val="21"/>
                <w:szCs w:val="21"/>
                <w:lang w:val="en"/>
              </w:rPr>
              <w:t>分）</w:t>
            </w:r>
            <w:r>
              <w:rPr>
                <w:rFonts w:hint="eastAsia" w:ascii="仿宋" w:hAnsi="仿宋" w:eastAsia="仿宋" w:cs="仿宋"/>
                <w:color w:val="auto"/>
                <w:sz w:val="21"/>
                <w:szCs w:val="21"/>
                <w:lang w:val="en" w:eastAsia="zh-CN"/>
              </w:rPr>
              <w:t>：措施针对性强、可操作性高得</w:t>
            </w:r>
            <w:r>
              <w:rPr>
                <w:rFonts w:hint="eastAsia" w:ascii="仿宋" w:hAnsi="仿宋" w:eastAsia="仿宋" w:cs="仿宋"/>
                <w:color w:val="auto"/>
                <w:sz w:val="21"/>
                <w:szCs w:val="21"/>
                <w:lang w:val="en-US" w:eastAsia="zh-CN"/>
              </w:rPr>
              <w:t>10分；</w:t>
            </w:r>
            <w:r>
              <w:rPr>
                <w:rFonts w:hint="eastAsia" w:ascii="仿宋" w:hAnsi="仿宋" w:eastAsia="仿宋" w:cs="仿宋"/>
                <w:color w:val="auto"/>
                <w:sz w:val="21"/>
                <w:szCs w:val="21"/>
                <w:lang w:val="en" w:eastAsia="zh-CN"/>
              </w:rPr>
              <w:t>措施针对性较强、可操作性较高得</w:t>
            </w:r>
            <w:r>
              <w:rPr>
                <w:rFonts w:hint="eastAsia" w:ascii="仿宋" w:hAnsi="仿宋" w:eastAsia="仿宋" w:cs="仿宋"/>
                <w:color w:val="auto"/>
                <w:sz w:val="21"/>
                <w:szCs w:val="21"/>
                <w:lang w:val="en-US" w:eastAsia="zh-CN"/>
              </w:rPr>
              <w:t>6分；</w:t>
            </w:r>
            <w:r>
              <w:rPr>
                <w:rFonts w:hint="eastAsia" w:ascii="仿宋" w:hAnsi="仿宋" w:eastAsia="仿宋" w:cs="仿宋"/>
                <w:color w:val="auto"/>
                <w:sz w:val="21"/>
                <w:szCs w:val="21"/>
                <w:lang w:val="en" w:eastAsia="zh-CN"/>
              </w:rPr>
              <w:t>措施针对性一般、可操作性一般得</w:t>
            </w:r>
            <w:r>
              <w:rPr>
                <w:rFonts w:hint="eastAsia" w:ascii="仿宋" w:hAnsi="仿宋" w:eastAsia="仿宋" w:cs="仿宋"/>
                <w:color w:val="auto"/>
                <w:sz w:val="21"/>
                <w:szCs w:val="21"/>
                <w:lang w:val="en-US" w:eastAsia="zh-CN"/>
              </w:rPr>
              <w:t>3分；措施无针对性、可操作性差或者无相关内容得0分</w:t>
            </w:r>
            <w:r>
              <w:rPr>
                <w:rFonts w:hint="eastAsia" w:ascii="仿宋" w:hAnsi="仿宋" w:eastAsia="仿宋" w:cs="仿宋"/>
                <w:color w:val="auto"/>
                <w:sz w:val="21"/>
                <w:szCs w:val="21"/>
                <w:lang w:eastAsia="zh-CN"/>
              </w:rPr>
              <w:t>。</w:t>
            </w:r>
          </w:p>
          <w:p>
            <w:pPr>
              <w:numPr>
                <w:ilvl w:val="0"/>
                <w:numId w:val="13"/>
              </w:num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工作保密措施</w:t>
            </w:r>
            <w:r>
              <w:rPr>
                <w:rFonts w:hint="default" w:ascii="仿宋" w:hAnsi="仿宋" w:eastAsia="仿宋" w:cs="仿宋"/>
                <w:color w:val="auto"/>
                <w:sz w:val="21"/>
                <w:szCs w:val="21"/>
                <w:lang w:val="en"/>
              </w:rPr>
              <w:t>（</w:t>
            </w:r>
            <w:r>
              <w:rPr>
                <w:rFonts w:hint="eastAsia" w:ascii="仿宋" w:hAnsi="仿宋" w:eastAsia="仿宋" w:cs="仿宋"/>
                <w:color w:val="auto"/>
                <w:sz w:val="21"/>
                <w:szCs w:val="21"/>
                <w:lang w:val="en-US" w:eastAsia="zh-CN"/>
              </w:rPr>
              <w:t>5</w:t>
            </w:r>
            <w:r>
              <w:rPr>
                <w:rFonts w:hint="default" w:ascii="仿宋" w:hAnsi="仿宋" w:eastAsia="仿宋" w:cs="仿宋"/>
                <w:color w:val="auto"/>
                <w:sz w:val="21"/>
                <w:szCs w:val="21"/>
                <w:lang w:val="en"/>
              </w:rPr>
              <w:t>分）</w:t>
            </w:r>
            <w:r>
              <w:rPr>
                <w:rFonts w:hint="eastAsia" w:ascii="仿宋" w:hAnsi="仿宋" w:eastAsia="仿宋" w:cs="仿宋"/>
                <w:color w:val="auto"/>
                <w:sz w:val="21"/>
                <w:szCs w:val="21"/>
                <w:lang w:val="en" w:eastAsia="zh-CN"/>
              </w:rPr>
              <w:t>措施针对性强、可操作性高得</w:t>
            </w:r>
            <w:r>
              <w:rPr>
                <w:rFonts w:hint="eastAsia" w:ascii="仿宋" w:hAnsi="仿宋" w:eastAsia="仿宋" w:cs="仿宋"/>
                <w:color w:val="auto"/>
                <w:sz w:val="21"/>
                <w:szCs w:val="21"/>
                <w:lang w:val="en-US" w:eastAsia="zh-CN"/>
              </w:rPr>
              <w:t>5分；</w:t>
            </w:r>
            <w:r>
              <w:rPr>
                <w:rFonts w:hint="eastAsia" w:ascii="仿宋" w:hAnsi="仿宋" w:eastAsia="仿宋" w:cs="仿宋"/>
                <w:color w:val="auto"/>
                <w:sz w:val="21"/>
                <w:szCs w:val="21"/>
                <w:lang w:val="en" w:eastAsia="zh-CN"/>
              </w:rPr>
              <w:t>措施针对性较强、可操作性较高得</w:t>
            </w:r>
            <w:r>
              <w:rPr>
                <w:rFonts w:hint="eastAsia" w:ascii="仿宋" w:hAnsi="仿宋" w:eastAsia="仿宋" w:cs="仿宋"/>
                <w:color w:val="auto"/>
                <w:sz w:val="21"/>
                <w:szCs w:val="21"/>
                <w:lang w:val="en-US" w:eastAsia="zh-CN"/>
              </w:rPr>
              <w:t>3分；</w:t>
            </w:r>
            <w:r>
              <w:rPr>
                <w:rFonts w:hint="eastAsia" w:ascii="仿宋" w:hAnsi="仿宋" w:eastAsia="仿宋" w:cs="仿宋"/>
                <w:color w:val="auto"/>
                <w:sz w:val="21"/>
                <w:szCs w:val="21"/>
                <w:lang w:val="en" w:eastAsia="zh-CN"/>
              </w:rPr>
              <w:t>措施针对性一般、可操作性一般得</w:t>
            </w:r>
            <w:r>
              <w:rPr>
                <w:rFonts w:hint="eastAsia" w:ascii="仿宋" w:hAnsi="仿宋" w:eastAsia="仿宋" w:cs="仿宋"/>
                <w:color w:val="auto"/>
                <w:sz w:val="21"/>
                <w:szCs w:val="21"/>
                <w:lang w:val="en-US" w:eastAsia="zh-CN"/>
              </w:rPr>
              <w:t>1分；措施无针对性、可操作性差或者无相关内容得0分</w:t>
            </w:r>
            <w:r>
              <w:rPr>
                <w:rFonts w:hint="eastAsia" w:ascii="仿宋" w:hAnsi="仿宋" w:eastAsia="仿宋" w:cs="仿宋"/>
                <w:color w:val="auto"/>
                <w:sz w:val="21"/>
                <w:szCs w:val="21"/>
                <w:lang w:val="en" w:eastAsia="zh-CN"/>
              </w:rPr>
              <w:t>。</w:t>
            </w:r>
          </w:p>
          <w:p>
            <w:pPr>
              <w:numPr>
                <w:ilvl w:val="0"/>
                <w:numId w:val="13"/>
              </w:numPr>
              <w:spacing w:line="380" w:lineRule="exact"/>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法律服务质量承诺</w:t>
            </w:r>
            <w:r>
              <w:rPr>
                <w:rFonts w:hint="default" w:ascii="仿宋" w:hAnsi="仿宋" w:eastAsia="仿宋" w:cs="仿宋"/>
                <w:color w:val="auto"/>
                <w:sz w:val="21"/>
                <w:szCs w:val="21"/>
                <w:lang w:val="en"/>
              </w:rPr>
              <w:t>（</w:t>
            </w:r>
            <w:r>
              <w:rPr>
                <w:rFonts w:hint="eastAsia" w:ascii="仿宋" w:hAnsi="仿宋" w:eastAsia="仿宋" w:cs="仿宋"/>
                <w:color w:val="auto"/>
                <w:sz w:val="21"/>
                <w:szCs w:val="21"/>
                <w:lang w:val="en-US" w:eastAsia="zh-CN"/>
              </w:rPr>
              <w:t>5</w:t>
            </w:r>
            <w:r>
              <w:rPr>
                <w:rFonts w:hint="default" w:ascii="仿宋" w:hAnsi="仿宋" w:eastAsia="仿宋" w:cs="仿宋"/>
                <w:color w:val="auto"/>
                <w:sz w:val="21"/>
                <w:szCs w:val="21"/>
                <w:lang w:val="en"/>
              </w:rPr>
              <w:t>分）</w:t>
            </w:r>
            <w:r>
              <w:rPr>
                <w:rFonts w:hint="eastAsia" w:ascii="仿宋" w:hAnsi="仿宋" w:eastAsia="仿宋" w:cs="仿宋"/>
                <w:color w:val="auto"/>
                <w:sz w:val="21"/>
                <w:szCs w:val="21"/>
                <w:lang w:val="en" w:eastAsia="zh-CN"/>
              </w:rPr>
              <w:t>：承诺</w:t>
            </w:r>
            <w:r>
              <w:rPr>
                <w:rFonts w:hint="default" w:ascii="仿宋" w:hAnsi="仿宋" w:eastAsia="仿宋" w:cs="仿宋"/>
                <w:color w:val="auto"/>
                <w:sz w:val="21"/>
                <w:szCs w:val="21"/>
                <w:lang w:val="en"/>
              </w:rPr>
              <w:t>服务响应速度</w:t>
            </w:r>
            <w:r>
              <w:rPr>
                <w:rFonts w:hint="eastAsia" w:ascii="仿宋" w:hAnsi="仿宋" w:eastAsia="仿宋" w:cs="仿宋"/>
                <w:color w:val="auto"/>
                <w:sz w:val="21"/>
                <w:szCs w:val="21"/>
                <w:lang w:val="en" w:eastAsia="zh-CN"/>
              </w:rPr>
              <w:t>快</w:t>
            </w:r>
            <w:r>
              <w:rPr>
                <w:rFonts w:hint="default" w:ascii="仿宋" w:hAnsi="仿宋" w:eastAsia="仿宋" w:cs="仿宋"/>
                <w:color w:val="auto"/>
                <w:sz w:val="21"/>
                <w:szCs w:val="21"/>
                <w:lang w:val="en"/>
              </w:rPr>
              <w:t>、解决问题的能力</w:t>
            </w:r>
            <w:r>
              <w:rPr>
                <w:rFonts w:hint="eastAsia" w:ascii="仿宋" w:hAnsi="仿宋" w:eastAsia="仿宋" w:cs="仿宋"/>
                <w:color w:val="auto"/>
                <w:sz w:val="21"/>
                <w:szCs w:val="21"/>
                <w:lang w:val="en" w:eastAsia="zh-CN"/>
              </w:rPr>
              <w:t>高</w:t>
            </w:r>
            <w:r>
              <w:rPr>
                <w:rFonts w:hint="default" w:ascii="仿宋" w:hAnsi="仿宋" w:eastAsia="仿宋" w:cs="仿宋"/>
                <w:color w:val="auto"/>
                <w:sz w:val="21"/>
                <w:szCs w:val="21"/>
                <w:lang w:val="en"/>
              </w:rPr>
              <w:t>、服务态度</w:t>
            </w:r>
            <w:r>
              <w:rPr>
                <w:rFonts w:hint="eastAsia" w:ascii="仿宋" w:hAnsi="仿宋" w:eastAsia="仿宋" w:cs="仿宋"/>
                <w:color w:val="auto"/>
                <w:sz w:val="21"/>
                <w:szCs w:val="21"/>
                <w:lang w:val="en" w:eastAsia="zh-CN"/>
              </w:rPr>
              <w:t>好得</w:t>
            </w:r>
            <w:r>
              <w:rPr>
                <w:rFonts w:hint="eastAsia" w:ascii="仿宋" w:hAnsi="仿宋" w:eastAsia="仿宋" w:cs="仿宋"/>
                <w:color w:val="auto"/>
                <w:sz w:val="21"/>
                <w:szCs w:val="21"/>
                <w:lang w:val="en-US" w:eastAsia="zh-CN"/>
              </w:rPr>
              <w:t>5分；</w:t>
            </w:r>
            <w:r>
              <w:rPr>
                <w:rFonts w:hint="eastAsia" w:ascii="仿宋" w:hAnsi="仿宋" w:eastAsia="仿宋" w:cs="仿宋"/>
                <w:color w:val="auto"/>
                <w:sz w:val="21"/>
                <w:szCs w:val="21"/>
                <w:lang w:val="en" w:eastAsia="zh-CN"/>
              </w:rPr>
              <w:t>承诺</w:t>
            </w:r>
            <w:r>
              <w:rPr>
                <w:rFonts w:hint="default" w:ascii="仿宋" w:hAnsi="仿宋" w:eastAsia="仿宋" w:cs="仿宋"/>
                <w:color w:val="auto"/>
                <w:sz w:val="21"/>
                <w:szCs w:val="21"/>
                <w:lang w:val="en"/>
              </w:rPr>
              <w:t>服务响应速度</w:t>
            </w:r>
            <w:r>
              <w:rPr>
                <w:rFonts w:hint="eastAsia" w:ascii="仿宋" w:hAnsi="仿宋" w:eastAsia="仿宋" w:cs="仿宋"/>
                <w:color w:val="auto"/>
                <w:sz w:val="21"/>
                <w:szCs w:val="21"/>
                <w:lang w:val="en" w:eastAsia="zh-CN"/>
              </w:rPr>
              <w:t>较快</w:t>
            </w:r>
            <w:r>
              <w:rPr>
                <w:rFonts w:hint="default" w:ascii="仿宋" w:hAnsi="仿宋" w:eastAsia="仿宋" w:cs="仿宋"/>
                <w:color w:val="auto"/>
                <w:sz w:val="21"/>
                <w:szCs w:val="21"/>
                <w:lang w:val="en"/>
              </w:rPr>
              <w:t>、解决问题的能力</w:t>
            </w:r>
            <w:r>
              <w:rPr>
                <w:rFonts w:hint="eastAsia" w:ascii="仿宋" w:hAnsi="仿宋" w:eastAsia="仿宋" w:cs="仿宋"/>
                <w:color w:val="auto"/>
                <w:sz w:val="21"/>
                <w:szCs w:val="21"/>
                <w:lang w:val="en" w:eastAsia="zh-CN"/>
              </w:rPr>
              <w:t>较高</w:t>
            </w:r>
            <w:r>
              <w:rPr>
                <w:rFonts w:hint="default" w:ascii="仿宋" w:hAnsi="仿宋" w:eastAsia="仿宋" w:cs="仿宋"/>
                <w:color w:val="auto"/>
                <w:sz w:val="21"/>
                <w:szCs w:val="21"/>
                <w:lang w:val="en"/>
              </w:rPr>
              <w:t>、服务态度</w:t>
            </w:r>
            <w:r>
              <w:rPr>
                <w:rFonts w:hint="eastAsia" w:ascii="仿宋" w:hAnsi="仿宋" w:eastAsia="仿宋" w:cs="仿宋"/>
                <w:color w:val="auto"/>
                <w:sz w:val="21"/>
                <w:szCs w:val="21"/>
                <w:lang w:val="en" w:eastAsia="zh-CN"/>
              </w:rPr>
              <w:t>较好得</w:t>
            </w:r>
            <w:r>
              <w:rPr>
                <w:rFonts w:hint="eastAsia" w:ascii="仿宋" w:hAnsi="仿宋" w:eastAsia="仿宋" w:cs="仿宋"/>
                <w:color w:val="auto"/>
                <w:sz w:val="21"/>
                <w:szCs w:val="21"/>
                <w:lang w:val="en-US" w:eastAsia="zh-CN"/>
              </w:rPr>
              <w:t>3分，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 w:eastAsia="zh-CN"/>
              </w:rPr>
              <w:t>承诺</w:t>
            </w:r>
            <w:r>
              <w:rPr>
                <w:rFonts w:hint="default" w:ascii="仿宋" w:hAnsi="仿宋" w:eastAsia="仿宋" w:cs="仿宋"/>
                <w:color w:val="auto"/>
                <w:sz w:val="21"/>
                <w:szCs w:val="21"/>
                <w:lang w:val="en"/>
              </w:rPr>
              <w:t>服务响应速度</w:t>
            </w:r>
            <w:r>
              <w:rPr>
                <w:rFonts w:hint="eastAsia" w:ascii="仿宋" w:hAnsi="仿宋" w:eastAsia="仿宋" w:cs="仿宋"/>
                <w:color w:val="auto"/>
                <w:sz w:val="21"/>
                <w:szCs w:val="21"/>
                <w:lang w:val="en" w:eastAsia="zh-CN"/>
              </w:rPr>
              <w:t>一般</w:t>
            </w:r>
            <w:r>
              <w:rPr>
                <w:rFonts w:hint="default" w:ascii="仿宋" w:hAnsi="仿宋" w:eastAsia="仿宋" w:cs="仿宋"/>
                <w:color w:val="auto"/>
                <w:sz w:val="21"/>
                <w:szCs w:val="21"/>
                <w:lang w:val="en"/>
              </w:rPr>
              <w:t>、解决问题的能力</w:t>
            </w:r>
            <w:r>
              <w:rPr>
                <w:rFonts w:hint="eastAsia" w:ascii="仿宋" w:hAnsi="仿宋" w:eastAsia="仿宋" w:cs="仿宋"/>
                <w:color w:val="auto"/>
                <w:sz w:val="21"/>
                <w:szCs w:val="21"/>
                <w:lang w:val="en" w:eastAsia="zh-CN"/>
              </w:rPr>
              <w:t>一般</w:t>
            </w:r>
            <w:r>
              <w:rPr>
                <w:rFonts w:hint="default" w:ascii="仿宋" w:hAnsi="仿宋" w:eastAsia="仿宋" w:cs="仿宋"/>
                <w:color w:val="auto"/>
                <w:sz w:val="21"/>
                <w:szCs w:val="21"/>
                <w:lang w:val="en"/>
              </w:rPr>
              <w:t>、服务态度</w:t>
            </w:r>
            <w:r>
              <w:rPr>
                <w:rFonts w:hint="eastAsia" w:ascii="仿宋" w:hAnsi="仿宋" w:eastAsia="仿宋" w:cs="仿宋"/>
                <w:color w:val="auto"/>
                <w:sz w:val="21"/>
                <w:szCs w:val="21"/>
                <w:lang w:val="en" w:eastAsia="zh-CN"/>
              </w:rPr>
              <w:t>一般得</w:t>
            </w:r>
            <w:r>
              <w:rPr>
                <w:rFonts w:hint="eastAsia" w:ascii="仿宋" w:hAnsi="仿宋" w:eastAsia="仿宋" w:cs="仿宋"/>
                <w:color w:val="auto"/>
                <w:sz w:val="21"/>
                <w:szCs w:val="21"/>
                <w:lang w:val="en-US" w:eastAsia="zh-CN"/>
              </w:rPr>
              <w:t>1分；无相关内容得0分</w:t>
            </w:r>
            <w:r>
              <w:rPr>
                <w:rFonts w:hint="eastAsia" w:ascii="仿宋" w:hAnsi="仿宋" w:eastAsia="仿宋" w:cs="仿宋"/>
                <w:color w:val="auto"/>
                <w:sz w:val="21"/>
                <w:szCs w:val="21"/>
              </w:rPr>
              <w:t>。</w:t>
            </w:r>
          </w:p>
        </w:tc>
        <w:tc>
          <w:tcPr>
            <w:tcW w:w="1810" w:type="dxa"/>
            <w:vAlign w:val="center"/>
          </w:tcPr>
          <w:p>
            <w:pPr>
              <w:spacing w:line="38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82" w:type="dxa"/>
            <w:vMerge w:val="restart"/>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254" w:type="dxa"/>
            <w:vMerge w:val="restart"/>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商务部分（</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tc>
        <w:tc>
          <w:tcPr>
            <w:tcW w:w="856" w:type="dxa"/>
            <w:vMerge w:val="restart"/>
            <w:vAlign w:val="center"/>
          </w:tcPr>
          <w:p>
            <w:pPr>
              <w:spacing w:line="380" w:lineRule="exact"/>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供应商、服务团队</w:t>
            </w:r>
            <w:r>
              <w:rPr>
                <w:rFonts w:hint="eastAsia" w:ascii="仿宋" w:hAnsi="仿宋" w:eastAsia="仿宋" w:cs="仿宋"/>
                <w:color w:val="auto"/>
                <w:sz w:val="21"/>
                <w:szCs w:val="21"/>
                <w:lang w:eastAsia="zh-CN"/>
              </w:rPr>
              <w:t>（不少于</w:t>
            </w:r>
            <w:r>
              <w:rPr>
                <w:rFonts w:hint="eastAsia" w:ascii="仿宋" w:hAnsi="仿宋" w:eastAsia="仿宋" w:cs="仿宋"/>
                <w:color w:val="auto"/>
                <w:sz w:val="21"/>
                <w:szCs w:val="21"/>
                <w:lang w:val="en-US" w:eastAsia="zh-CN"/>
              </w:rPr>
              <w:t>2人，不超过5人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和业绩情况（40）</w:t>
            </w:r>
          </w:p>
        </w:tc>
        <w:tc>
          <w:tcPr>
            <w:tcW w:w="5213" w:type="dxa"/>
            <w:vAlign w:val="center"/>
          </w:tcPr>
          <w:p>
            <w:pPr>
              <w:spacing w:line="380" w:lineRule="exact"/>
              <w:ind w:firstLine="0" w:firstLineChars="0"/>
              <w:jc w:val="left"/>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1.团队成员80%及以上为硕士研究生及以上学历的，得10分；团队成员不足80%为硕士研究生及以上学历的，得5分。</w:t>
            </w:r>
          </w:p>
        </w:tc>
        <w:tc>
          <w:tcPr>
            <w:tcW w:w="1810" w:type="dxa"/>
            <w:vAlign w:val="center"/>
          </w:tcPr>
          <w:p>
            <w:pPr>
              <w:spacing w:line="380" w:lineRule="exact"/>
              <w:rPr>
                <w:rFonts w:hint="eastAsia" w:ascii="仿宋" w:hAnsi="仿宋" w:eastAsia="仿宋" w:cs="仿宋"/>
                <w:color w:val="auto"/>
                <w:sz w:val="21"/>
                <w:szCs w:val="21"/>
              </w:rPr>
            </w:pPr>
            <w:r>
              <w:rPr>
                <w:rFonts w:hint="eastAsia" w:ascii="仿宋" w:hAnsi="仿宋" w:eastAsia="仿宋" w:cs="仿宋"/>
                <w:color w:val="auto"/>
                <w:sz w:val="21"/>
                <w:szCs w:val="21"/>
              </w:rPr>
              <w:t>提供</w:t>
            </w:r>
            <w:r>
              <w:rPr>
                <w:rFonts w:hint="eastAsia" w:ascii="仿宋" w:hAnsi="仿宋" w:eastAsia="仿宋" w:cs="仿宋"/>
                <w:color w:val="auto"/>
                <w:sz w:val="21"/>
                <w:szCs w:val="21"/>
                <w:lang w:eastAsia="zh-CN"/>
              </w:rPr>
              <w:t>学位证书复印件并加盖供应商公章</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82" w:type="dxa"/>
            <w:vMerge w:val="continue"/>
            <w:vAlign w:val="center"/>
          </w:tcPr>
          <w:p>
            <w:pPr>
              <w:spacing w:line="380" w:lineRule="exact"/>
              <w:ind w:firstLine="28"/>
              <w:jc w:val="center"/>
              <w:rPr>
                <w:rFonts w:hint="eastAsia" w:ascii="仿宋" w:hAnsi="仿宋" w:eastAsia="仿宋" w:cs="仿宋"/>
                <w:color w:val="auto"/>
                <w:sz w:val="21"/>
                <w:szCs w:val="21"/>
              </w:rPr>
            </w:pPr>
          </w:p>
        </w:tc>
        <w:tc>
          <w:tcPr>
            <w:tcW w:w="1254" w:type="dxa"/>
            <w:vMerge w:val="continue"/>
            <w:vAlign w:val="center"/>
          </w:tcPr>
          <w:p>
            <w:pPr>
              <w:spacing w:line="380" w:lineRule="exact"/>
              <w:ind w:firstLine="28"/>
              <w:jc w:val="center"/>
              <w:rPr>
                <w:rFonts w:hint="eastAsia" w:ascii="仿宋" w:hAnsi="仿宋" w:eastAsia="仿宋" w:cs="仿宋"/>
                <w:color w:val="auto"/>
                <w:sz w:val="21"/>
                <w:szCs w:val="21"/>
              </w:rPr>
            </w:pPr>
          </w:p>
        </w:tc>
        <w:tc>
          <w:tcPr>
            <w:tcW w:w="856" w:type="dxa"/>
            <w:vMerge w:val="continue"/>
            <w:vAlign w:val="center"/>
          </w:tcPr>
          <w:p>
            <w:pPr>
              <w:spacing w:line="380" w:lineRule="exact"/>
              <w:ind w:firstLine="28"/>
              <w:jc w:val="center"/>
              <w:rPr>
                <w:rFonts w:hint="eastAsia" w:ascii="仿宋" w:hAnsi="仿宋" w:eastAsia="仿宋" w:cs="仿宋"/>
                <w:color w:val="auto"/>
                <w:sz w:val="21"/>
                <w:szCs w:val="21"/>
                <w:lang w:val="en-US" w:eastAsia="zh-CN"/>
              </w:rPr>
            </w:pPr>
          </w:p>
        </w:tc>
        <w:tc>
          <w:tcPr>
            <w:tcW w:w="5213" w:type="dxa"/>
            <w:vAlign w:val="center"/>
          </w:tcPr>
          <w:p>
            <w:pPr>
              <w:spacing w:line="380" w:lineRule="exact"/>
              <w:ind w:firstLine="0" w:firstLineChars="0"/>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2.2023年以来，有团队成员获聘为省（自治区、</w:t>
            </w:r>
            <w:bookmarkStart w:id="118" w:name="_GoBack"/>
            <w:bookmarkEnd w:id="118"/>
            <w:r>
              <w:rPr>
                <w:rFonts w:hint="eastAsia" w:ascii="仿宋" w:hAnsi="仿宋" w:eastAsia="仿宋" w:cs="仿宋"/>
                <w:color w:val="auto"/>
                <w:sz w:val="21"/>
                <w:szCs w:val="21"/>
                <w:lang w:val="en-US" w:eastAsia="zh-CN"/>
              </w:rPr>
              <w:t>直辖市）级审判机关、检察机关审判专家、检察专家的，得5分/人；有团队成员获聘为地市（直辖市区县）级审判机关、检察机关审判专家、检察专家的，得3分/人。本项最多得10分。</w:t>
            </w:r>
          </w:p>
        </w:tc>
        <w:tc>
          <w:tcPr>
            <w:tcW w:w="1810" w:type="dxa"/>
            <w:vAlign w:val="center"/>
          </w:tcPr>
          <w:p>
            <w:pPr>
              <w:spacing w:line="380" w:lineRule="exact"/>
              <w:rPr>
                <w:rFonts w:hint="eastAsia" w:ascii="仿宋" w:hAnsi="仿宋" w:eastAsia="仿宋" w:cs="仿宋"/>
                <w:color w:val="auto"/>
                <w:sz w:val="21"/>
                <w:szCs w:val="21"/>
              </w:rPr>
            </w:pPr>
            <w:r>
              <w:rPr>
                <w:rFonts w:hint="eastAsia" w:ascii="仿宋" w:hAnsi="仿宋" w:eastAsia="仿宋" w:cs="仿宋"/>
                <w:color w:val="auto"/>
                <w:sz w:val="21"/>
                <w:szCs w:val="21"/>
              </w:rPr>
              <w:t>提供</w:t>
            </w:r>
            <w:r>
              <w:rPr>
                <w:rFonts w:hint="eastAsia" w:ascii="仿宋" w:hAnsi="仿宋" w:eastAsia="仿宋" w:cs="仿宋"/>
                <w:color w:val="auto"/>
                <w:sz w:val="21"/>
                <w:szCs w:val="21"/>
                <w:lang w:eastAsia="zh-CN"/>
              </w:rPr>
              <w:t>相应聘用证书或文件复印件并加盖供应商公章</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82" w:type="dxa"/>
            <w:vMerge w:val="continue"/>
            <w:vAlign w:val="center"/>
          </w:tcPr>
          <w:p>
            <w:pPr>
              <w:spacing w:line="380" w:lineRule="exact"/>
              <w:ind w:firstLine="28"/>
              <w:jc w:val="center"/>
              <w:rPr>
                <w:rFonts w:hint="eastAsia" w:ascii="仿宋" w:hAnsi="仿宋" w:eastAsia="仿宋" w:cs="仿宋"/>
                <w:color w:val="auto"/>
                <w:sz w:val="21"/>
                <w:szCs w:val="21"/>
              </w:rPr>
            </w:pPr>
          </w:p>
        </w:tc>
        <w:tc>
          <w:tcPr>
            <w:tcW w:w="1254" w:type="dxa"/>
            <w:vMerge w:val="continue"/>
            <w:vAlign w:val="center"/>
          </w:tcPr>
          <w:p>
            <w:pPr>
              <w:spacing w:line="380" w:lineRule="exact"/>
              <w:ind w:firstLine="28"/>
              <w:jc w:val="center"/>
              <w:rPr>
                <w:rFonts w:hint="eastAsia" w:ascii="仿宋" w:hAnsi="仿宋" w:eastAsia="仿宋" w:cs="仿宋"/>
                <w:color w:val="auto"/>
                <w:sz w:val="21"/>
                <w:szCs w:val="21"/>
              </w:rPr>
            </w:pPr>
          </w:p>
        </w:tc>
        <w:tc>
          <w:tcPr>
            <w:tcW w:w="856" w:type="dxa"/>
            <w:vMerge w:val="continue"/>
            <w:vAlign w:val="center"/>
          </w:tcPr>
          <w:p>
            <w:pPr>
              <w:spacing w:line="380" w:lineRule="exact"/>
              <w:ind w:firstLine="28"/>
              <w:jc w:val="center"/>
              <w:rPr>
                <w:rFonts w:hint="eastAsia" w:ascii="仿宋" w:hAnsi="仿宋" w:eastAsia="仿宋" w:cs="仿宋"/>
                <w:color w:val="auto"/>
                <w:sz w:val="21"/>
                <w:szCs w:val="21"/>
              </w:rPr>
            </w:pPr>
          </w:p>
        </w:tc>
        <w:tc>
          <w:tcPr>
            <w:tcW w:w="5213" w:type="dxa"/>
            <w:vAlign w:val="center"/>
          </w:tcPr>
          <w:p>
            <w:pPr>
              <w:spacing w:line="380" w:lineRule="exact"/>
              <w:ind w:firstLine="0" w:firstLineChars="0"/>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20</w:t>
            </w:r>
            <w:r>
              <w:rPr>
                <w:rFonts w:hint="eastAsia" w:ascii="仿宋" w:hAnsi="仿宋" w:eastAsia="仿宋" w:cs="仿宋"/>
                <w:color w:val="auto"/>
                <w:sz w:val="21"/>
                <w:szCs w:val="21"/>
                <w:lang w:val="en"/>
              </w:rPr>
              <w:t>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年以来</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代理</w:t>
            </w:r>
            <w:r>
              <w:rPr>
                <w:rFonts w:hint="eastAsia" w:ascii="仿宋" w:hAnsi="仿宋" w:eastAsia="仿宋" w:cs="仿宋"/>
                <w:color w:val="auto"/>
                <w:sz w:val="21"/>
                <w:szCs w:val="21"/>
                <w:lang w:eastAsia="zh-CN"/>
              </w:rPr>
              <w:t>各级政府、政府组成部门、政府直属机构（直属特设机构、派出机构）、行政执法机构等作为被告</w:t>
            </w:r>
            <w:r>
              <w:rPr>
                <w:rFonts w:hint="eastAsia" w:ascii="仿宋" w:hAnsi="仿宋" w:eastAsia="仿宋" w:cs="仿宋"/>
                <w:color w:val="auto"/>
                <w:sz w:val="21"/>
                <w:szCs w:val="21"/>
              </w:rPr>
              <w:t>的行政诉讼</w:t>
            </w:r>
            <w:r>
              <w:rPr>
                <w:rFonts w:hint="eastAsia" w:ascii="仿宋" w:hAnsi="仿宋" w:eastAsia="仿宋" w:cs="仿宋"/>
                <w:color w:val="auto"/>
                <w:sz w:val="21"/>
                <w:szCs w:val="21"/>
                <w:lang w:eastAsia="zh-CN"/>
              </w:rPr>
              <w:t>案件</w:t>
            </w:r>
            <w:r>
              <w:rPr>
                <w:rFonts w:hint="eastAsia" w:ascii="仿宋" w:hAnsi="仿宋" w:eastAsia="仿宋" w:cs="仿宋"/>
                <w:color w:val="auto"/>
                <w:sz w:val="21"/>
                <w:szCs w:val="21"/>
              </w:rPr>
              <w:t>情况。每代理一件得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分，最多得</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1810" w:type="dxa"/>
            <w:vAlign w:val="center"/>
          </w:tcPr>
          <w:p>
            <w:pPr>
              <w:spacing w:line="380" w:lineRule="exact"/>
              <w:rPr>
                <w:rFonts w:hint="eastAsia" w:ascii="仿宋" w:hAnsi="仿宋" w:eastAsia="仿宋" w:cs="仿宋"/>
                <w:color w:val="auto"/>
                <w:sz w:val="21"/>
                <w:szCs w:val="21"/>
              </w:rPr>
            </w:pPr>
            <w:r>
              <w:rPr>
                <w:rFonts w:hint="eastAsia" w:ascii="仿宋" w:hAnsi="仿宋" w:eastAsia="仿宋" w:cs="仿宋"/>
                <w:color w:val="auto"/>
                <w:sz w:val="21"/>
                <w:szCs w:val="21"/>
              </w:rPr>
              <w:t>提供行政诉讼代理合同</w:t>
            </w:r>
            <w:r>
              <w:rPr>
                <w:rFonts w:hint="eastAsia" w:ascii="仿宋" w:hAnsi="仿宋" w:eastAsia="仿宋" w:cs="仿宋"/>
                <w:color w:val="auto"/>
                <w:sz w:val="21"/>
                <w:szCs w:val="21"/>
                <w:lang w:eastAsia="zh-CN"/>
              </w:rPr>
              <w:t>或其他相关证明材料</w:t>
            </w:r>
            <w:r>
              <w:rPr>
                <w:rFonts w:hint="eastAsia" w:ascii="仿宋" w:hAnsi="仿宋" w:eastAsia="仿宋" w:cs="仿宋"/>
                <w:color w:val="auto"/>
                <w:sz w:val="21"/>
                <w:szCs w:val="21"/>
              </w:rPr>
              <w:t>复印件</w:t>
            </w:r>
            <w:r>
              <w:rPr>
                <w:rFonts w:hint="eastAsia" w:ascii="仿宋" w:hAnsi="仿宋" w:eastAsia="仿宋" w:cs="仿宋"/>
                <w:color w:val="auto"/>
                <w:sz w:val="21"/>
                <w:szCs w:val="21"/>
                <w:lang w:eastAsia="zh-CN"/>
              </w:rPr>
              <w:t>并加盖供应商公章</w:t>
            </w:r>
            <w:r>
              <w:rPr>
                <w:rFonts w:hint="eastAsia" w:ascii="仿宋" w:hAnsi="仿宋" w:eastAsia="仿宋" w:cs="仿宋"/>
                <w:color w:val="auto"/>
                <w:sz w:val="21"/>
                <w:szCs w:val="21"/>
              </w:rPr>
              <w:t>。</w:t>
            </w:r>
          </w:p>
        </w:tc>
      </w:tr>
    </w:tbl>
    <w:p>
      <w:pPr>
        <w:rPr>
          <w:rFonts w:hint="eastAsia"/>
          <w:color w:val="auto"/>
        </w:rPr>
      </w:pPr>
    </w:p>
    <w:p>
      <w:pPr>
        <w:pStyle w:val="5"/>
        <w:spacing w:before="0" w:after="0" w:line="400" w:lineRule="exact"/>
        <w:rPr>
          <w:rFonts w:ascii="仿宋" w:hAnsi="仿宋" w:eastAsia="仿宋"/>
          <w:color w:val="auto"/>
          <w:sz w:val="24"/>
          <w:szCs w:val="24"/>
        </w:rPr>
      </w:pPr>
      <w:bookmarkStart w:id="64" w:name="_Toc1517"/>
      <w:r>
        <w:rPr>
          <w:rFonts w:hint="eastAsia" w:ascii="仿宋" w:hAnsi="仿宋" w:eastAsia="仿宋"/>
          <w:color w:val="auto"/>
          <w:sz w:val="24"/>
          <w:szCs w:val="24"/>
        </w:rPr>
        <w:t>三、无效响应</w:t>
      </w:r>
      <w:bookmarkEnd w:id="64"/>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供应商发生以下条款情况之一者，视为无效响应，其响应文件将被拒绝：</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（一）供应商不符合规定的基本资格条件或特定资格条件的；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（二）供应商的法定代表人或其授权代表未参加磋商；</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（三）供应商未按照竞争性磋商文件的要求缴纳磋商保证金；</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（四）供应商所提交的响应文件不按第六篇“响应文件编制要求”规定签字、盖章；</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（五）供应商的最后报价超过采购预算的；</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仿宋" w:hAnsi="仿宋" w:eastAsia="仿宋"/>
          <w:color w:val="auto"/>
          <w:sz w:val="24"/>
          <w:szCs w:val="24"/>
        </w:rPr>
      </w:pPr>
      <w:r>
        <w:rPr>
          <w:rFonts w:hint="eastAsia" w:ascii="仿宋" w:hAnsi="仿宋" w:eastAsia="仿宋"/>
          <w:color w:val="auto"/>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（八）供应商的服务期、质量保证期及磋商有效期不满足竞争性磋商文件要求的；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（九）供应商响应文件内容有与国家现行法律法规相违背的内容，或附有采购人无法接受的条件。</w:t>
      </w:r>
    </w:p>
    <w:p>
      <w:pPr>
        <w:pStyle w:val="5"/>
        <w:spacing w:before="0" w:after="0" w:line="400" w:lineRule="exact"/>
        <w:rPr>
          <w:rFonts w:ascii="仿宋" w:hAnsi="仿宋" w:eastAsia="仿宋"/>
          <w:color w:val="auto"/>
          <w:sz w:val="24"/>
          <w:szCs w:val="24"/>
        </w:rPr>
      </w:pPr>
      <w:bookmarkStart w:id="65" w:name="_Toc11956"/>
      <w:r>
        <w:rPr>
          <w:rFonts w:hint="eastAsia" w:ascii="仿宋" w:hAnsi="仿宋" w:eastAsia="仿宋"/>
          <w:color w:val="auto"/>
          <w:sz w:val="24"/>
          <w:szCs w:val="24"/>
        </w:rPr>
        <w:t>四、</w:t>
      </w:r>
      <w:bookmarkEnd w:id="62"/>
      <w:bookmarkEnd w:id="63"/>
      <w:r>
        <w:rPr>
          <w:rFonts w:hint="eastAsia" w:ascii="仿宋" w:hAnsi="仿宋" w:eastAsia="仿宋"/>
          <w:color w:val="auto"/>
          <w:sz w:val="24"/>
          <w:szCs w:val="24"/>
        </w:rPr>
        <w:t>采购终止</w:t>
      </w:r>
      <w:bookmarkEnd w:id="65"/>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（一）因情况变化，不再符合规定的竞争性磋商采购方式适用情形的；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（二）出现影响采购公正的违法、违规行为的；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（三）在采购过程中符合要求的供应商或者报价未超过采购预算的供应商不足3家的，但《政府采购竞争性磋商采购方式管理暂行办法》第二十一条第三款规定的情形</w:t>
      </w:r>
      <w:r>
        <w:rPr>
          <w:rFonts w:ascii="仿宋" w:hAnsi="仿宋" w:eastAsia="仿宋"/>
          <w:color w:val="auto"/>
          <w:sz w:val="24"/>
          <w:szCs w:val="24"/>
        </w:rPr>
        <w:t>,</w:t>
      </w:r>
      <w:r>
        <w:rPr>
          <w:rFonts w:hint="eastAsia" w:ascii="仿宋" w:hAnsi="仿宋" w:eastAsia="仿宋"/>
          <w:color w:val="auto"/>
          <w:sz w:val="24"/>
          <w:szCs w:val="24"/>
        </w:rPr>
        <w:t>以及财政部财库[2015]124号文件规定的情形除外。</w:t>
      </w:r>
    </w:p>
    <w:p>
      <w:pPr>
        <w:widowControl/>
        <w:jc w:val="left"/>
        <w:rPr>
          <w:rFonts w:ascii="仿宋" w:hAnsi="仿宋" w:eastAsia="仿宋"/>
          <w:color w:val="auto"/>
          <w:sz w:val="24"/>
          <w:szCs w:val="24"/>
        </w:rPr>
      </w:pPr>
      <w:r>
        <w:rPr>
          <w:rFonts w:ascii="仿宋" w:hAnsi="仿宋" w:eastAsia="仿宋"/>
          <w:color w:val="auto"/>
          <w:sz w:val="24"/>
          <w:szCs w:val="24"/>
        </w:rPr>
        <w:br w:type="page"/>
      </w:r>
    </w:p>
    <w:p>
      <w:pPr>
        <w:spacing w:line="400" w:lineRule="exact"/>
        <w:ind w:firstLine="480" w:firstLineChars="200"/>
        <w:rPr>
          <w:rFonts w:ascii="仿宋" w:hAnsi="仿宋" w:eastAsia="仿宋"/>
          <w:color w:val="auto"/>
          <w:sz w:val="24"/>
          <w:szCs w:val="24"/>
        </w:rPr>
      </w:pPr>
    </w:p>
    <w:p>
      <w:pPr>
        <w:pStyle w:val="4"/>
        <w:spacing w:line="360" w:lineRule="auto"/>
        <w:jc w:val="center"/>
        <w:rPr>
          <w:rFonts w:ascii="仿宋" w:hAnsi="仿宋" w:eastAsia="仿宋"/>
          <w:b w:val="0"/>
          <w:color w:val="auto"/>
          <w:sz w:val="36"/>
          <w:szCs w:val="28"/>
        </w:rPr>
      </w:pPr>
      <w:bookmarkStart w:id="66" w:name="_Toc9961"/>
      <w:bookmarkStart w:id="67" w:name="_Toc102227313"/>
      <w:r>
        <w:rPr>
          <w:rFonts w:hint="eastAsia" w:ascii="仿宋" w:hAnsi="仿宋" w:eastAsia="仿宋"/>
          <w:b w:val="0"/>
          <w:color w:val="auto"/>
          <w:sz w:val="36"/>
          <w:szCs w:val="28"/>
        </w:rPr>
        <w:t>第五篇  供应商须知</w:t>
      </w:r>
      <w:bookmarkEnd w:id="66"/>
      <w:bookmarkEnd w:id="67"/>
    </w:p>
    <w:p>
      <w:pPr>
        <w:pStyle w:val="5"/>
        <w:spacing w:before="0" w:after="0" w:line="400" w:lineRule="exact"/>
        <w:rPr>
          <w:rFonts w:ascii="仿宋" w:hAnsi="仿宋" w:eastAsia="仿宋"/>
          <w:color w:val="auto"/>
          <w:sz w:val="24"/>
          <w:szCs w:val="24"/>
        </w:rPr>
      </w:pPr>
      <w:bookmarkStart w:id="68" w:name="_Toc15130"/>
      <w:bookmarkStart w:id="69" w:name="_Toc342913389"/>
      <w:r>
        <w:rPr>
          <w:rFonts w:hint="eastAsia" w:ascii="仿宋" w:hAnsi="仿宋" w:eastAsia="仿宋"/>
          <w:color w:val="auto"/>
          <w:sz w:val="24"/>
          <w:szCs w:val="24"/>
        </w:rPr>
        <w:t>一、磋商费用</w:t>
      </w:r>
      <w:bookmarkEnd w:id="68"/>
      <w:bookmarkEnd w:id="69"/>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参与磋商的供应商应承担其编制响应文件与递交响应文件所涉及的一切费用，不论磋商结果如何，采购人和采购代理机构在任何情况下无义务也无责任承担这些费用。</w:t>
      </w:r>
    </w:p>
    <w:p>
      <w:pPr>
        <w:pStyle w:val="5"/>
        <w:spacing w:before="0" w:after="0" w:line="400" w:lineRule="exact"/>
        <w:rPr>
          <w:rFonts w:ascii="仿宋" w:hAnsi="仿宋" w:eastAsia="仿宋"/>
          <w:color w:val="auto"/>
          <w:sz w:val="24"/>
          <w:szCs w:val="24"/>
        </w:rPr>
      </w:pPr>
      <w:bookmarkStart w:id="70" w:name="_Toc342913391"/>
      <w:bookmarkStart w:id="71" w:name="_Toc19140"/>
      <w:r>
        <w:rPr>
          <w:rFonts w:hint="eastAsia" w:ascii="仿宋" w:hAnsi="仿宋" w:eastAsia="仿宋"/>
          <w:color w:val="auto"/>
          <w:sz w:val="24"/>
          <w:szCs w:val="24"/>
        </w:rPr>
        <w:t>二、竞争性磋商文件</w:t>
      </w:r>
      <w:bookmarkEnd w:id="70"/>
      <w:bookmarkEnd w:id="71"/>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（一）竞争性磋商文件由采购邀请书、采购服务需求、采购商务需求、磋商程序及方法、评审标准、无效响应和采购终止、供应商须知、合同草案条款、响应文件编制要求七部分组成。</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（二）采购人（或采购代理机构）所作的一切有效的书面通知、修改及补充，都是竞争性磋商文件不可分割的部分。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w:t>
      </w:r>
      <w:bookmarkStart w:id="72" w:name="_Toc318159160"/>
      <w:bookmarkStart w:id="73" w:name="_Toc318159349"/>
      <w:bookmarkStart w:id="74" w:name="_Toc318166429"/>
      <w:bookmarkStart w:id="75" w:name="_Toc318159780"/>
      <w:r>
        <w:rPr>
          <w:rFonts w:hint="eastAsia" w:ascii="仿宋" w:hAnsi="仿宋" w:eastAsia="仿宋"/>
          <w:color w:val="auto"/>
          <w:sz w:val="24"/>
          <w:szCs w:val="24"/>
        </w:rPr>
        <w:t>本竞争性磋商文件中，磋商小组根据与供应商进行磋商可能实质性变动的内容为竞争性磋商文件第二、三篇全部内容。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（四）评审的依据为竞争性磋商文件和响应文件（含有效的书面承诺）。磋商小组判断响应文件对竞争性磋商文件的响应，仅基于响应文件本身而不靠外部证据。</w:t>
      </w:r>
    </w:p>
    <w:bookmarkEnd w:id="72"/>
    <w:bookmarkEnd w:id="73"/>
    <w:bookmarkEnd w:id="74"/>
    <w:bookmarkEnd w:id="75"/>
    <w:p>
      <w:pPr>
        <w:pStyle w:val="5"/>
        <w:spacing w:before="0" w:after="0" w:line="400" w:lineRule="exact"/>
        <w:rPr>
          <w:rFonts w:ascii="仿宋" w:hAnsi="仿宋" w:eastAsia="仿宋"/>
          <w:color w:val="auto"/>
          <w:sz w:val="24"/>
          <w:szCs w:val="24"/>
        </w:rPr>
      </w:pPr>
      <w:bookmarkStart w:id="76" w:name="_Toc342913392"/>
      <w:bookmarkStart w:id="77" w:name="_Toc12031"/>
      <w:bookmarkStart w:id="78" w:name="_Toc102227318"/>
      <w:bookmarkStart w:id="79" w:name="_Toc179714297"/>
      <w:r>
        <w:rPr>
          <w:rFonts w:hint="eastAsia" w:ascii="仿宋" w:hAnsi="仿宋" w:eastAsia="仿宋"/>
          <w:color w:val="auto"/>
          <w:sz w:val="24"/>
          <w:szCs w:val="24"/>
        </w:rPr>
        <w:t>三、磋商要求</w:t>
      </w:r>
      <w:bookmarkEnd w:id="76"/>
      <w:bookmarkEnd w:id="77"/>
      <w:bookmarkEnd w:id="78"/>
      <w:bookmarkEnd w:id="79"/>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（一）响应文件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1.供应商应当按照竞争性磋商文件的要求编制响应文件，并对竞争性磋商文件提出的要求和条件作出实质性响应，响应文件</w:t>
      </w:r>
      <w:r>
        <w:rPr>
          <w:rFonts w:hint="eastAsia" w:ascii="仿宋" w:hAnsi="仿宋" w:eastAsia="仿宋"/>
          <w:color w:val="auto"/>
          <w:sz w:val="24"/>
          <w:szCs w:val="24"/>
          <w:lang w:eastAsia="zh-CN"/>
        </w:rPr>
        <w:t>纸质件</w:t>
      </w:r>
      <w:r>
        <w:rPr>
          <w:rFonts w:hint="eastAsia" w:ascii="仿宋" w:hAnsi="仿宋" w:eastAsia="仿宋"/>
          <w:color w:val="auto"/>
          <w:sz w:val="24"/>
          <w:szCs w:val="24"/>
        </w:rPr>
        <w:t>原则上采用软面订本，同时应编制完整的页码、目录</w:t>
      </w:r>
      <w:r>
        <w:rPr>
          <w:rFonts w:hint="eastAsia" w:ascii="仿宋" w:hAnsi="仿宋" w:eastAsia="仿宋"/>
          <w:color w:val="auto"/>
          <w:sz w:val="24"/>
          <w:szCs w:val="24"/>
          <w:lang w:eastAsia="zh-CN"/>
        </w:rPr>
        <w:t>，响应文件电子文件应当为</w:t>
      </w:r>
      <w:r>
        <w:rPr>
          <w:rFonts w:hint="eastAsia" w:ascii="仿宋" w:hAnsi="仿宋" w:eastAsia="仿宋"/>
          <w:color w:val="auto"/>
          <w:sz w:val="24"/>
          <w:szCs w:val="24"/>
          <w:lang w:val="en-US" w:eastAsia="zh-CN"/>
        </w:rPr>
        <w:t>word文档版本</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2.响应文件组成</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（二）联合体</w:t>
      </w:r>
    </w:p>
    <w:p>
      <w:pPr>
        <w:spacing w:line="4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本项目不接受以联合体形式参与磋商。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（三）磋商有效期：响应文件及有关承诺文件有效期为提交响应文件截止时间起90天。</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（四）磋商保证金：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1.供应商提交保证金金额和方式详见</w:t>
      </w:r>
      <w:r>
        <w:rPr>
          <w:rFonts w:hint="eastAsia" w:ascii="仿宋" w:hAnsi="仿宋" w:eastAsia="仿宋"/>
          <w:b/>
          <w:bCs/>
          <w:color w:val="auto"/>
          <w:sz w:val="24"/>
          <w:szCs w:val="24"/>
        </w:rPr>
        <w:t>“第一篇  五、磋商保证金”</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2.发生以下情况之一者，磋商保证金不予退还：</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2.1供应商在提交响应文件截止时间后撤回响应文件的；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2.2供应商在响应文件中提供虚假材料的；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2.3除因不可抗力或竞争性磋商文件认可的情形以外，成交供应商不与采购人签订合同的；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2.4供应商与采购人、其他供应商或者采购代理机构恶意串通的；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（五）修正错误</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（六）提交响应文件的份数和签署</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1.响应文件一式三份，其中正本一份，副本二份；副本可为正本的复印件，应与正本一致，如出现不一致情况以正本为准。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2.在响应文件正本中，竞争性磋商文件第六篇响应文件编制要求中规定签字、盖章的地方必须按其规定签字、盖章。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（七）响应文件的递交</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 响应文件的密封</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1.1响应文件的</w:t>
      </w:r>
      <w:r>
        <w:rPr>
          <w:rFonts w:hint="eastAsia" w:ascii="仿宋" w:hAnsi="仿宋" w:eastAsia="仿宋"/>
          <w:color w:val="auto"/>
          <w:sz w:val="24"/>
          <w:szCs w:val="24"/>
          <w:lang w:eastAsia="zh-CN"/>
        </w:rPr>
        <w:t>纸质</w:t>
      </w:r>
      <w:r>
        <w:rPr>
          <w:rFonts w:hint="eastAsia" w:ascii="仿宋" w:hAnsi="仿宋" w:eastAsia="仿宋"/>
          <w:color w:val="auto"/>
          <w:sz w:val="24"/>
          <w:szCs w:val="24"/>
        </w:rPr>
        <w:t>正本、副本均应密封送达递交响应文件地点，应在封套上注明项目名称、供应商名称。若</w:t>
      </w:r>
      <w:r>
        <w:rPr>
          <w:rFonts w:hint="eastAsia" w:ascii="仿宋" w:hAnsi="仿宋" w:eastAsia="仿宋"/>
          <w:color w:val="auto"/>
          <w:sz w:val="24"/>
          <w:szCs w:val="24"/>
          <w:lang w:eastAsia="zh-CN"/>
        </w:rPr>
        <w:t>纸质</w:t>
      </w:r>
      <w:r>
        <w:rPr>
          <w:rFonts w:hint="eastAsia" w:ascii="仿宋" w:hAnsi="仿宋" w:eastAsia="仿宋"/>
          <w:color w:val="auto"/>
          <w:sz w:val="24"/>
          <w:szCs w:val="24"/>
        </w:rPr>
        <w:t>正本、副本分别进行密封的，还应在封套上注明“正本”、“副本”字样。</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1.2封套的封口处应加盖供应商公章或由法定代表人</w:t>
      </w:r>
      <w:r>
        <w:rPr>
          <w:rFonts w:hint="eastAsia" w:ascii="仿宋" w:hAnsi="仿宋" w:eastAsia="仿宋"/>
          <w:color w:val="auto"/>
          <w:sz w:val="24"/>
          <w:szCs w:val="24"/>
          <w:lang w:eastAsia="zh-CN"/>
        </w:rPr>
        <w:t>（负责人）</w:t>
      </w:r>
      <w:r>
        <w:rPr>
          <w:rFonts w:hint="eastAsia" w:ascii="仿宋" w:hAnsi="仿宋" w:eastAsia="仿宋"/>
          <w:color w:val="auto"/>
          <w:sz w:val="24"/>
          <w:szCs w:val="24"/>
        </w:rPr>
        <w:t>签字。</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2.如果未按上述规定进行密封，采购代理机构对响应文件误投、丢失或提前拆封不负责任。</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（八）供应商参与人员</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各个供应商应当派1-2名代表参与磋商，至少1人应为法定代表人</w:t>
      </w:r>
      <w:r>
        <w:rPr>
          <w:rFonts w:hint="eastAsia" w:ascii="仿宋" w:hAnsi="仿宋" w:eastAsia="仿宋"/>
          <w:color w:val="auto"/>
          <w:sz w:val="24"/>
          <w:szCs w:val="24"/>
          <w:lang w:eastAsia="zh-CN"/>
        </w:rPr>
        <w:t>（负责人）</w:t>
      </w:r>
      <w:r>
        <w:rPr>
          <w:rFonts w:hint="eastAsia" w:ascii="仿宋" w:hAnsi="仿宋" w:eastAsia="仿宋"/>
          <w:color w:val="auto"/>
          <w:sz w:val="24"/>
          <w:szCs w:val="24"/>
        </w:rPr>
        <w:t>或具有法定代表人</w:t>
      </w:r>
      <w:r>
        <w:rPr>
          <w:rFonts w:hint="eastAsia" w:ascii="仿宋" w:hAnsi="仿宋" w:eastAsia="仿宋"/>
          <w:color w:val="auto"/>
          <w:sz w:val="24"/>
          <w:szCs w:val="24"/>
          <w:lang w:eastAsia="zh-CN"/>
        </w:rPr>
        <w:t>（负责人）</w:t>
      </w:r>
      <w:r>
        <w:rPr>
          <w:rFonts w:hint="eastAsia" w:ascii="仿宋" w:hAnsi="仿宋" w:eastAsia="仿宋"/>
          <w:color w:val="auto"/>
          <w:sz w:val="24"/>
          <w:szCs w:val="24"/>
        </w:rPr>
        <w:t>授权委托书的授权代表。</w:t>
      </w:r>
    </w:p>
    <w:p>
      <w:pPr>
        <w:pStyle w:val="5"/>
        <w:spacing w:before="0" w:after="0" w:line="400" w:lineRule="exact"/>
        <w:rPr>
          <w:rFonts w:ascii="仿宋" w:hAnsi="仿宋" w:eastAsia="仿宋"/>
          <w:color w:val="auto"/>
          <w:sz w:val="24"/>
          <w:szCs w:val="24"/>
        </w:rPr>
      </w:pPr>
      <w:bookmarkStart w:id="80" w:name="_Toc8407"/>
      <w:r>
        <w:rPr>
          <w:rFonts w:hint="eastAsia" w:ascii="仿宋" w:hAnsi="仿宋" w:eastAsia="仿宋"/>
          <w:color w:val="auto"/>
          <w:sz w:val="24"/>
          <w:szCs w:val="24"/>
        </w:rPr>
        <w:t>四、成交供应商的确认和变更</w:t>
      </w:r>
      <w:bookmarkEnd w:id="80"/>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（一）成交供应商的确认</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采购代理机构应当在评审结束后2个工作日内将评审报告送采购人确认。采购人应当在收到评审报告后5个工作日内</w:t>
      </w:r>
      <w:r>
        <w:rPr>
          <w:rFonts w:hint="eastAsia" w:ascii="仿宋" w:hAnsi="仿宋" w:eastAsia="仿宋"/>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（二）成交供应商的变更</w:t>
      </w:r>
    </w:p>
    <w:p>
      <w:pPr>
        <w:spacing w:line="400" w:lineRule="exact"/>
        <w:ind w:firstLine="480" w:firstLineChars="200"/>
        <w:rPr>
          <w:rFonts w:ascii="仿宋" w:hAnsi="仿宋" w:eastAsia="仿宋"/>
          <w:color w:val="auto"/>
          <w:sz w:val="24"/>
          <w:szCs w:val="24"/>
        </w:rPr>
      </w:pPr>
      <w:bookmarkStart w:id="81" w:name="_Toc102227321"/>
      <w:bookmarkStart w:id="82" w:name="_Toc342913395"/>
      <w:r>
        <w:rPr>
          <w:rFonts w:hint="eastAsia" w:ascii="仿宋" w:hAnsi="仿宋" w:eastAsia="仿宋"/>
          <w:color w:val="auto"/>
          <w:sz w:val="24"/>
          <w:szCs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400" w:lineRule="exact"/>
        <w:rPr>
          <w:rFonts w:ascii="仿宋" w:hAnsi="仿宋" w:eastAsia="仿宋"/>
          <w:color w:val="auto"/>
          <w:sz w:val="24"/>
          <w:szCs w:val="24"/>
        </w:rPr>
      </w:pPr>
      <w:bookmarkStart w:id="83" w:name="_Toc10025"/>
      <w:r>
        <w:rPr>
          <w:rFonts w:hint="eastAsia" w:ascii="仿宋" w:hAnsi="仿宋" w:eastAsia="仿宋"/>
          <w:color w:val="auto"/>
          <w:sz w:val="24"/>
          <w:szCs w:val="24"/>
        </w:rPr>
        <w:t>五、成交通知</w:t>
      </w:r>
      <w:bookmarkEnd w:id="81"/>
      <w:bookmarkEnd w:id="82"/>
      <w:bookmarkEnd w:id="83"/>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（一）成交供应商确定后，采购代理机构将重庆市交通</w:t>
      </w:r>
      <w:r>
        <w:rPr>
          <w:rFonts w:hint="eastAsia" w:ascii="仿宋" w:hAnsi="仿宋" w:eastAsia="仿宋"/>
          <w:color w:val="auto"/>
          <w:sz w:val="24"/>
          <w:szCs w:val="24"/>
          <w:lang w:eastAsia="zh-CN"/>
        </w:rPr>
        <w:t>运输委员会</w:t>
      </w:r>
      <w:r>
        <w:rPr>
          <w:rFonts w:hint="eastAsia" w:ascii="仿宋" w:hAnsi="仿宋" w:eastAsia="仿宋"/>
          <w:color w:val="auto"/>
          <w:sz w:val="24"/>
          <w:szCs w:val="24"/>
        </w:rPr>
        <w:t>官网（http://jtj.cq.gov.cn/）上发布成交结果公告。</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（二）结果公告发出同时，采购代理机构将以书面形式发出《成交通知书》。《成交通知书》一经发出即发生法律效力。</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（三）《成交通知书》将作为签订合同的依据。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（四）如有供应商对成交结果提出质疑的，在质疑处理完毕后发出成交通知书。</w:t>
      </w:r>
    </w:p>
    <w:p>
      <w:pPr>
        <w:pStyle w:val="5"/>
        <w:spacing w:before="0" w:after="0" w:line="400" w:lineRule="exact"/>
        <w:rPr>
          <w:rFonts w:ascii="仿宋" w:hAnsi="仿宋" w:eastAsia="仿宋"/>
          <w:color w:val="auto"/>
          <w:sz w:val="24"/>
          <w:szCs w:val="24"/>
        </w:rPr>
      </w:pPr>
      <w:bookmarkStart w:id="84" w:name="_Toc6737"/>
      <w:r>
        <w:rPr>
          <w:rFonts w:hint="eastAsia" w:ascii="仿宋" w:hAnsi="仿宋" w:eastAsia="仿宋"/>
          <w:color w:val="auto"/>
          <w:sz w:val="24"/>
          <w:szCs w:val="24"/>
        </w:rPr>
        <w:t>六、关于质疑和投诉</w:t>
      </w:r>
      <w:bookmarkEnd w:id="84"/>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提出质疑的应当是参与所质疑项目采购活动的供应商。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1.质疑时限、内容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1.2供应商提出质疑应当提交质疑函和必要的证明材料，质疑函应当包括下列内容：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1.2.1供应商的姓名或者名称、地址、邮编、联系人及联系电话；</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1.2.2质疑项目的名称、项目号以及磋商项目编号；</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1.2.3具体、明确的质疑事项和与质疑事项相关的请求；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1.2.4事实依据；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1.2.5必要的法律依据；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1.2.6提出质疑的日期；</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1.2.7营业执照（或事业单位法人证书，或个体工商户营业执照或有效的自然人身份证明、组织机构代码证）复印件；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2.质疑答复</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3.其他</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3.2质疑函范本可在财政部门户网站和中国政府采购网下载。</w:t>
      </w:r>
    </w:p>
    <w:p>
      <w:pPr>
        <w:pStyle w:val="5"/>
        <w:spacing w:before="0" w:after="0" w:line="400" w:lineRule="exact"/>
        <w:rPr>
          <w:rFonts w:ascii="仿宋" w:hAnsi="仿宋" w:eastAsia="仿宋"/>
          <w:color w:val="auto"/>
          <w:sz w:val="24"/>
          <w:szCs w:val="24"/>
        </w:rPr>
      </w:pPr>
      <w:bookmarkStart w:id="85" w:name="_Toc8554"/>
      <w:r>
        <w:rPr>
          <w:rFonts w:hint="eastAsia" w:ascii="仿宋" w:hAnsi="仿宋" w:eastAsia="仿宋"/>
          <w:color w:val="auto"/>
          <w:sz w:val="24"/>
          <w:szCs w:val="24"/>
        </w:rPr>
        <w:t>七、采购代理服务费</w:t>
      </w:r>
      <w:bookmarkEnd w:id="85"/>
    </w:p>
    <w:p>
      <w:pPr>
        <w:spacing w:line="400" w:lineRule="exact"/>
        <w:ind w:firstLine="480" w:firstLineChars="200"/>
        <w:rPr>
          <w:rFonts w:ascii="仿宋" w:hAnsi="仿宋" w:eastAsia="仿宋" w:cs="仿宋"/>
          <w:color w:val="auto"/>
          <w:sz w:val="24"/>
          <w:szCs w:val="22"/>
        </w:rPr>
      </w:pPr>
      <w:bookmarkStart w:id="86" w:name="_Toc102227322"/>
      <w:bookmarkStart w:id="87" w:name="_Toc342913396"/>
      <w:bookmarkStart w:id="88" w:name="_Toc12789059"/>
      <w:bookmarkStart w:id="89" w:name="_Toc11641055"/>
      <w:r>
        <w:rPr>
          <w:rFonts w:hint="eastAsia" w:ascii="仿宋" w:hAnsi="仿宋" w:eastAsia="仿宋" w:cs="仿宋"/>
          <w:color w:val="auto"/>
          <w:sz w:val="24"/>
          <w:szCs w:val="22"/>
        </w:rPr>
        <w:t>（一）供应商成交后向采购代理机构缴纳采购代理服务费（由成交供应商在领取成交通知书之前一次性支付给采购代理机构）</w:t>
      </w:r>
      <w:r>
        <w:rPr>
          <w:rFonts w:hint="eastAsia" w:ascii="仿宋" w:hAnsi="仿宋" w:eastAsia="仿宋" w:cs="仿宋"/>
          <w:color w:val="auto"/>
          <w:sz w:val="24"/>
          <w:szCs w:val="24"/>
        </w:rPr>
        <w:t>本项目招标代理服务费为人民币：4000元整。</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（二）采购代理服务费缴纳账号：</w:t>
      </w:r>
    </w:p>
    <w:p>
      <w:pPr>
        <w:spacing w:line="4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户  名：重庆道一招标代理有限公司</w:t>
      </w:r>
    </w:p>
    <w:p>
      <w:pPr>
        <w:spacing w:line="4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开户行：重庆农村商业银行两江分行</w:t>
      </w:r>
      <w:r>
        <w:rPr>
          <w:rFonts w:hint="eastAsia" w:ascii="仿宋" w:hAnsi="仿宋" w:eastAsia="仿宋"/>
          <w:b/>
          <w:bCs/>
          <w:color w:val="auto"/>
          <w:sz w:val="24"/>
          <w:szCs w:val="24"/>
          <w:lang w:eastAsia="zh-CN"/>
        </w:rPr>
        <w:t>新南路</w:t>
      </w:r>
      <w:r>
        <w:rPr>
          <w:rFonts w:hint="eastAsia" w:ascii="仿宋" w:hAnsi="仿宋" w:eastAsia="仿宋"/>
          <w:b/>
          <w:bCs/>
          <w:color w:val="auto"/>
          <w:sz w:val="24"/>
          <w:szCs w:val="24"/>
        </w:rPr>
        <w:t>分理处</w:t>
      </w:r>
    </w:p>
    <w:p>
      <w:pPr>
        <w:spacing w:line="4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账  号：5104010120010004413</w:t>
      </w:r>
    </w:p>
    <w:p>
      <w:pPr>
        <w:pStyle w:val="5"/>
        <w:spacing w:before="0" w:after="0" w:line="400" w:lineRule="exact"/>
        <w:rPr>
          <w:rFonts w:ascii="仿宋" w:hAnsi="仿宋" w:eastAsia="仿宋"/>
          <w:color w:val="auto"/>
          <w:sz w:val="24"/>
          <w:szCs w:val="24"/>
        </w:rPr>
      </w:pPr>
      <w:bookmarkStart w:id="90" w:name="_Toc20897"/>
      <w:r>
        <w:rPr>
          <w:rFonts w:hint="eastAsia" w:ascii="仿宋" w:hAnsi="仿宋" w:eastAsia="仿宋"/>
          <w:color w:val="auto"/>
          <w:sz w:val="24"/>
          <w:szCs w:val="24"/>
        </w:rPr>
        <w:t>八、签订</w:t>
      </w:r>
      <w:bookmarkEnd w:id="86"/>
      <w:r>
        <w:rPr>
          <w:rFonts w:hint="eastAsia" w:ascii="仿宋" w:hAnsi="仿宋" w:eastAsia="仿宋"/>
          <w:color w:val="auto"/>
          <w:sz w:val="24"/>
          <w:szCs w:val="24"/>
        </w:rPr>
        <w:t>合同</w:t>
      </w:r>
      <w:bookmarkEnd w:id="87"/>
      <w:bookmarkEnd w:id="90"/>
    </w:p>
    <w:p>
      <w:pPr>
        <w:spacing w:line="400" w:lineRule="exact"/>
        <w:ind w:firstLine="480" w:firstLineChars="200"/>
        <w:rPr>
          <w:rFonts w:ascii="仿宋" w:hAnsi="仿宋" w:eastAsia="仿宋"/>
          <w:color w:val="auto"/>
          <w:sz w:val="24"/>
          <w:szCs w:val="24"/>
        </w:rPr>
      </w:pPr>
      <w:bookmarkStart w:id="91" w:name="_Toc14780"/>
      <w:r>
        <w:rPr>
          <w:rFonts w:hint="eastAsia" w:ascii="仿宋" w:hAnsi="仿宋" w:eastAsia="仿宋"/>
          <w:color w:val="auto"/>
          <w:sz w:val="24"/>
          <w:szCs w:val="24"/>
        </w:rPr>
        <w:t>（一）采购人应当自成交通知书发出之日起</w:t>
      </w:r>
      <w:r>
        <w:rPr>
          <w:rFonts w:hint="eastAsia" w:ascii="仿宋" w:hAnsi="仿宋" w:eastAsia="仿宋"/>
          <w:color w:val="auto"/>
          <w:sz w:val="24"/>
          <w:szCs w:val="24"/>
          <w:lang w:val="en-US" w:eastAsia="zh-CN"/>
        </w:rPr>
        <w:t>15</w:t>
      </w:r>
      <w:r>
        <w:rPr>
          <w:rFonts w:hint="eastAsia" w:ascii="仿宋" w:hAnsi="仿宋" w:eastAsia="仿宋"/>
          <w:color w:val="auto"/>
          <w:sz w:val="24"/>
          <w:szCs w:val="24"/>
        </w:rPr>
        <w:t>日内，按照竞争性磋商文件和成交供应商响应文件的约定，与成交供应商签订书面合同。所签订的合同不得对竞争性磋商文件和供应商的响应文件作实质性修改。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（二）竞争性磋商文件、供应商的响应文件及澄清文件等，均为签订采购合同的依据。</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（三）合同生效条款由供需双方约定，法律、行政法规规定应当办理批准、登记等手续后生效的合同，依照其规定。</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（四）合同按照采购人单位要求适用的合同格式版本。</w:t>
      </w:r>
    </w:p>
    <w:bookmarkEnd w:id="88"/>
    <w:bookmarkEnd w:id="89"/>
    <w:bookmarkEnd w:id="91"/>
    <w:p>
      <w:pPr>
        <w:pStyle w:val="4"/>
        <w:spacing w:before="0" w:after="0" w:line="360" w:lineRule="auto"/>
        <w:jc w:val="center"/>
        <w:rPr>
          <w:rFonts w:ascii="仿宋" w:hAnsi="仿宋" w:eastAsia="仿宋"/>
          <w:color w:val="auto"/>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4"/>
        <w:spacing w:line="360" w:lineRule="auto"/>
        <w:jc w:val="center"/>
        <w:rPr>
          <w:rFonts w:ascii="仿宋" w:hAnsi="仿宋" w:eastAsia="仿宋"/>
          <w:b w:val="0"/>
          <w:color w:val="auto"/>
          <w:sz w:val="36"/>
          <w:szCs w:val="28"/>
        </w:rPr>
      </w:pPr>
      <w:bookmarkStart w:id="92" w:name="_Hlt41879464"/>
      <w:bookmarkEnd w:id="92"/>
      <w:bookmarkStart w:id="93" w:name="_Toc31468"/>
      <w:bookmarkStart w:id="94" w:name="_Toc12789072"/>
      <w:r>
        <w:rPr>
          <w:rFonts w:hint="eastAsia" w:ascii="仿宋" w:hAnsi="仿宋" w:eastAsia="仿宋"/>
          <w:b w:val="0"/>
          <w:color w:val="auto"/>
          <w:sz w:val="36"/>
          <w:szCs w:val="28"/>
        </w:rPr>
        <w:t>第六篇  合同主要条款和格式合同（样本）</w:t>
      </w:r>
      <w:bookmarkEnd w:id="93"/>
    </w:p>
    <w:p>
      <w:pPr>
        <w:snapToGrid w:val="0"/>
        <w:spacing w:line="300" w:lineRule="auto"/>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2024年交通领域复议诉讼典型案例分析及制度制定</w:t>
      </w:r>
    </w:p>
    <w:p>
      <w:pPr>
        <w:snapToGrid w:val="0"/>
        <w:spacing w:line="300"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lang w:eastAsia="zh-CN"/>
        </w:rPr>
        <w:t>采购项目合同</w:t>
      </w:r>
    </w:p>
    <w:p>
      <w:pPr>
        <w:snapToGrid w:val="0"/>
        <w:spacing w:line="300" w:lineRule="auto"/>
        <w:ind w:firstLine="360" w:firstLineChars="150"/>
        <w:rPr>
          <w:rFonts w:hint="eastAsia" w:ascii="仿宋" w:hAnsi="仿宋" w:eastAsia="仿宋" w:cs="仿宋"/>
          <w:color w:val="auto"/>
          <w:sz w:val="24"/>
        </w:rPr>
      </w:pPr>
    </w:p>
    <w:p>
      <w:pPr>
        <w:snapToGrid w:val="0"/>
        <w:spacing w:line="300" w:lineRule="auto"/>
        <w:ind w:firstLine="360" w:firstLineChars="150"/>
        <w:rPr>
          <w:rFonts w:hint="eastAsia" w:ascii="仿宋" w:hAnsi="仿宋" w:eastAsia="仿宋" w:cs="仿宋"/>
          <w:color w:val="auto"/>
          <w:sz w:val="24"/>
          <w:lang w:eastAsia="zh-CN"/>
        </w:rPr>
      </w:pPr>
      <w:r>
        <w:rPr>
          <w:rFonts w:hint="eastAsia" w:ascii="仿宋" w:hAnsi="仿宋" w:eastAsia="仿宋" w:cs="仿宋"/>
          <w:color w:val="auto"/>
          <w:sz w:val="24"/>
        </w:rPr>
        <w:t>委托人（以下简称甲方）：重庆市交通</w:t>
      </w:r>
      <w:r>
        <w:rPr>
          <w:rFonts w:hint="eastAsia" w:ascii="仿宋" w:hAnsi="仿宋" w:eastAsia="仿宋" w:cs="仿宋"/>
          <w:color w:val="auto"/>
          <w:sz w:val="24"/>
          <w:lang w:eastAsia="zh-CN"/>
        </w:rPr>
        <w:t>运输委员会</w:t>
      </w:r>
    </w:p>
    <w:p>
      <w:pPr>
        <w:snapToGrid w:val="0"/>
        <w:spacing w:line="300" w:lineRule="auto"/>
        <w:rPr>
          <w:rFonts w:hint="eastAsia" w:ascii="仿宋" w:hAnsi="仿宋" w:eastAsia="仿宋" w:cs="仿宋"/>
          <w:color w:val="auto"/>
          <w:sz w:val="24"/>
        </w:rPr>
      </w:pPr>
    </w:p>
    <w:p>
      <w:pPr>
        <w:snapToGrid w:val="0"/>
        <w:spacing w:line="30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 xml:space="preserve">受托人（以下简称乙方）： </w:t>
      </w:r>
    </w:p>
    <w:p>
      <w:pPr>
        <w:pStyle w:val="43"/>
        <w:spacing w:line="560" w:lineRule="exact"/>
        <w:ind w:firstLine="0"/>
        <w:rPr>
          <w:rFonts w:hint="eastAsia" w:ascii="仿宋" w:hAnsi="仿宋" w:eastAsia="仿宋" w:cs="仿宋"/>
          <w:color w:val="auto"/>
          <w:sz w:val="24"/>
          <w:szCs w:val="24"/>
        </w:rPr>
      </w:pPr>
    </w:p>
    <w:p>
      <w:pPr>
        <w:pStyle w:val="23"/>
        <w:spacing w:line="5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甲方因工作及业务之需要，为维护本单位的合法权益，根据《中华人民共和国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》之有关规定，聘请乙方</w:t>
      </w:r>
      <w:r>
        <w:rPr>
          <w:rFonts w:hint="eastAsia" w:ascii="仿宋" w:hAnsi="仿宋" w:eastAsia="仿宋" w:cs="仿宋"/>
          <w:color w:val="auto"/>
          <w:sz w:val="24"/>
          <w:szCs w:val="24"/>
          <w:lang w:eastAsia="zh-CN"/>
        </w:rPr>
        <w:t>开展</w:t>
      </w:r>
      <w:r>
        <w:rPr>
          <w:rFonts w:hint="eastAsia" w:ascii="仿宋" w:hAnsi="仿宋" w:eastAsia="仿宋"/>
          <w:color w:val="auto"/>
          <w:sz w:val="24"/>
          <w:szCs w:val="24"/>
        </w:rPr>
        <w:t>2024</w:t>
      </w:r>
      <w:r>
        <w:rPr>
          <w:rFonts w:hint="eastAsia" w:ascii="仿宋" w:hAnsi="仿宋" w:eastAsia="仿宋"/>
          <w:color w:val="auto"/>
          <w:sz w:val="24"/>
          <w:szCs w:val="24"/>
          <w:lang w:eastAsia="zh-CN"/>
        </w:rPr>
        <w:t>年</w:t>
      </w:r>
      <w:r>
        <w:rPr>
          <w:rFonts w:hint="eastAsia" w:ascii="仿宋" w:hAnsi="仿宋" w:eastAsia="仿宋"/>
          <w:color w:val="auto"/>
          <w:sz w:val="24"/>
          <w:szCs w:val="24"/>
        </w:rPr>
        <w:t>交通领域复议诉讼典型案例分析及制度制定采购项目</w:t>
      </w:r>
      <w:r>
        <w:rPr>
          <w:rFonts w:hint="eastAsia" w:ascii="仿宋" w:hAnsi="仿宋" w:eastAsia="仿宋" w:cs="仿宋"/>
          <w:color w:val="auto"/>
          <w:sz w:val="24"/>
          <w:szCs w:val="24"/>
          <w:lang w:eastAsia="zh-CN"/>
        </w:rPr>
        <w:t>研究</w:t>
      </w:r>
      <w:r>
        <w:rPr>
          <w:rFonts w:hint="eastAsia" w:ascii="仿宋" w:hAnsi="仿宋" w:eastAsia="仿宋" w:cs="仿宋"/>
          <w:color w:val="auto"/>
          <w:sz w:val="24"/>
          <w:szCs w:val="24"/>
        </w:rPr>
        <w:t>。甲、乙双方经友好协商，订立本合同，以资共同遵守：</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第一条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乙方指派</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sz w:val="24"/>
          <w:u w:val="single"/>
        </w:rPr>
        <w:t xml:space="preserve">  </w:t>
      </w:r>
      <w:r>
        <w:rPr>
          <w:rFonts w:hint="eastAsia" w:ascii="仿宋" w:hAnsi="仿宋" w:eastAsia="仿宋" w:cs="仿宋"/>
          <w:color w:val="auto"/>
          <w:sz w:val="24"/>
        </w:rPr>
        <w:t>律师</w:t>
      </w:r>
      <w:r>
        <w:rPr>
          <w:rFonts w:hint="eastAsia" w:ascii="仿宋" w:hAnsi="仿宋" w:eastAsia="仿宋" w:cs="仿宋"/>
          <w:color w:val="auto"/>
          <w:sz w:val="24"/>
          <w:lang w:eastAsia="zh-CN"/>
        </w:rPr>
        <w:t>牵头负责该项目，项目团队成员名单附后</w:t>
      </w:r>
      <w:r>
        <w:rPr>
          <w:rFonts w:hint="eastAsia" w:ascii="仿宋" w:hAnsi="仿宋" w:eastAsia="仿宋" w:cs="仿宋"/>
          <w:color w:val="auto"/>
          <w:sz w:val="24"/>
        </w:rPr>
        <w:t>。</w:t>
      </w:r>
    </w:p>
    <w:p>
      <w:pPr>
        <w:tabs>
          <w:tab w:val="left" w:pos="1575"/>
        </w:tabs>
        <w:snapToGrid w:val="0"/>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bCs/>
          <w:color w:val="auto"/>
          <w:sz w:val="24"/>
        </w:rPr>
        <w:t xml:space="preserve">第二条  </w:t>
      </w:r>
      <w:r>
        <w:rPr>
          <w:rFonts w:hint="eastAsia" w:ascii="仿宋" w:hAnsi="仿宋" w:eastAsia="仿宋" w:cs="仿宋"/>
          <w:color w:val="auto"/>
          <w:sz w:val="24"/>
        </w:rPr>
        <w:t>本合同</w:t>
      </w:r>
      <w:r>
        <w:rPr>
          <w:rFonts w:hint="eastAsia" w:ascii="仿宋" w:hAnsi="仿宋" w:eastAsia="仿宋" w:cs="仿宋"/>
          <w:color w:val="auto"/>
          <w:sz w:val="24"/>
          <w:lang w:eastAsia="zh-CN"/>
        </w:rPr>
        <w:t>期限为三个月，</w:t>
      </w:r>
      <w:r>
        <w:rPr>
          <w:rFonts w:hint="eastAsia" w:ascii="仿宋" w:hAnsi="仿宋" w:eastAsia="仿宋" w:cs="仿宋"/>
          <w:color w:val="auto"/>
          <w:sz w:val="24"/>
        </w:rPr>
        <w:t>自</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日至</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napToGrid w:val="0"/>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bCs/>
          <w:color w:val="auto"/>
          <w:sz w:val="24"/>
        </w:rPr>
        <w:t xml:space="preserve">第三条  </w:t>
      </w:r>
      <w:r>
        <w:rPr>
          <w:rFonts w:hint="eastAsia" w:ascii="仿宋" w:hAnsi="仿宋" w:eastAsia="仿宋" w:cs="仿宋"/>
          <w:color w:val="auto"/>
          <w:sz w:val="24"/>
        </w:rPr>
        <w:t>甲方选择乙方为甲方</w:t>
      </w:r>
      <w:r>
        <w:rPr>
          <w:rFonts w:hint="eastAsia" w:ascii="仿宋" w:hAnsi="仿宋" w:eastAsia="仿宋" w:cs="仿宋"/>
          <w:color w:val="auto"/>
          <w:sz w:val="24"/>
          <w:lang w:eastAsia="zh-CN"/>
        </w:rPr>
        <w:t>研究、起草、论证行政应诉工作规则和工作指引，具体包括：</w:t>
      </w:r>
    </w:p>
    <w:p>
      <w:pPr>
        <w:snapToGrid w:val="0"/>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1.对近三年</w:t>
      </w:r>
      <w:r>
        <w:rPr>
          <w:rFonts w:hint="eastAsia" w:ascii="仿宋" w:hAnsi="仿宋" w:eastAsia="仿宋" w:cs="仿宋"/>
          <w:color w:val="auto"/>
          <w:sz w:val="24"/>
        </w:rPr>
        <w:t>重庆市交通</w:t>
      </w:r>
      <w:r>
        <w:rPr>
          <w:rFonts w:hint="eastAsia" w:ascii="仿宋" w:hAnsi="仿宋" w:eastAsia="仿宋" w:cs="仿宋"/>
          <w:color w:val="auto"/>
          <w:sz w:val="24"/>
          <w:lang w:eastAsia="zh-CN"/>
        </w:rPr>
        <w:t>运输委员会承办的行政复议、行政应诉案件（</w:t>
      </w:r>
      <w:r>
        <w:rPr>
          <w:rFonts w:hint="eastAsia" w:ascii="仿宋" w:hAnsi="仿宋" w:eastAsia="仿宋" w:cs="仿宋"/>
          <w:color w:val="auto"/>
          <w:sz w:val="24"/>
          <w:lang w:val="en-US" w:eastAsia="zh-CN"/>
        </w:rPr>
        <w:t>20件以上</w:t>
      </w:r>
      <w:r>
        <w:rPr>
          <w:rFonts w:hint="eastAsia" w:ascii="仿宋" w:hAnsi="仿宋" w:eastAsia="仿宋" w:cs="仿宋"/>
          <w:color w:val="auto"/>
          <w:sz w:val="24"/>
          <w:lang w:eastAsia="zh-CN"/>
        </w:rPr>
        <w:t>）等情况进行整理分析，形成研究报告；</w:t>
      </w:r>
    </w:p>
    <w:p>
      <w:pPr>
        <w:snapToGrid w:val="0"/>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2.全面了解掌握</w:t>
      </w:r>
      <w:r>
        <w:rPr>
          <w:rFonts w:hint="eastAsia" w:ascii="仿宋" w:hAnsi="仿宋" w:eastAsia="仿宋" w:cs="仿宋"/>
          <w:color w:val="auto"/>
          <w:sz w:val="24"/>
        </w:rPr>
        <w:t>重庆市交通</w:t>
      </w:r>
      <w:r>
        <w:rPr>
          <w:rFonts w:hint="eastAsia" w:ascii="仿宋" w:hAnsi="仿宋" w:eastAsia="仿宋" w:cs="仿宋"/>
          <w:color w:val="auto"/>
          <w:sz w:val="24"/>
          <w:lang w:eastAsia="zh-CN"/>
        </w:rPr>
        <w:t>运输委员会办理行政应诉和复议案件的现有制度和具体流程；</w:t>
      </w:r>
    </w:p>
    <w:p>
      <w:pPr>
        <w:keepNext w:val="0"/>
        <w:keepLines w:val="0"/>
        <w:widowControl/>
        <w:numPr>
          <w:ilvl w:val="0"/>
          <w:numId w:val="0"/>
        </w:numPr>
        <w:suppressLineNumbers w:val="0"/>
        <w:spacing w:line="560" w:lineRule="exact"/>
        <w:ind w:firstLine="480" w:firstLineChars="200"/>
        <w:jc w:val="left"/>
        <w:rPr>
          <w:rFonts w:hint="default" w:ascii="仿宋" w:hAnsi="仿宋" w:eastAsia="仿宋" w:cs="仿宋"/>
          <w:color w:val="auto"/>
          <w:sz w:val="24"/>
          <w:lang w:val="en-US"/>
        </w:rPr>
      </w:pPr>
      <w:r>
        <w:rPr>
          <w:rFonts w:hint="eastAsia" w:ascii="仿宋" w:hAnsi="仿宋" w:eastAsia="仿宋" w:cs="仿宋"/>
          <w:color w:val="auto"/>
          <w:sz w:val="24"/>
          <w:lang w:val="en-US" w:eastAsia="zh-CN"/>
        </w:rPr>
        <w:t>3.收集部分外省市人民法院、司法行政部门、交通运输主管部门制定的具有借鉴意义的行政应诉工作制度，结合外省市先进做法，对照人民法院审理行政诉讼案件的有关规定，起草重庆市交通运输行政应诉工作规则、</w:t>
      </w:r>
      <w:r>
        <w:rPr>
          <w:rFonts w:hint="eastAsia" w:ascii="仿宋" w:hAnsi="仿宋" w:eastAsia="仿宋" w:cs="仿宋"/>
          <w:color w:val="auto"/>
          <w:sz w:val="24"/>
          <w:lang w:eastAsia="zh-CN"/>
        </w:rPr>
        <w:t>重庆市</w:t>
      </w:r>
      <w:r>
        <w:rPr>
          <w:rFonts w:hint="eastAsia" w:ascii="仿宋" w:hAnsi="仿宋" w:eastAsia="仿宋" w:cs="仿宋"/>
          <w:color w:val="auto"/>
          <w:sz w:val="24"/>
        </w:rPr>
        <w:t>交通运输</w:t>
      </w:r>
      <w:r>
        <w:rPr>
          <w:rFonts w:hint="eastAsia" w:ascii="仿宋" w:hAnsi="仿宋" w:eastAsia="仿宋" w:cs="仿宋"/>
          <w:color w:val="auto"/>
          <w:sz w:val="24"/>
          <w:lang w:eastAsia="zh-CN"/>
        </w:rPr>
        <w:t>行政应诉工作指引及相关起草说明。工作规则内容包括但不限于：重庆市交通运输委员会（机关处室及委属单位）行政应诉（含上诉）内部职责分工，工作程序、各阶段应诉材料要求、工作时限、司法建议办理、案件材料归档等；工作指引内容包括但不限于：</w:t>
      </w:r>
      <w:r>
        <w:rPr>
          <w:rFonts w:hint="eastAsia" w:ascii="仿宋" w:hAnsi="仿宋" w:eastAsia="仿宋" w:cs="仿宋"/>
          <w:color w:val="auto"/>
          <w:sz w:val="24"/>
          <w:lang w:val="en-US" w:eastAsia="zh-CN"/>
        </w:rPr>
        <w:t>如何做好行政诉讼开庭前的准备工作</w:t>
      </w:r>
      <w:r>
        <w:rPr>
          <w:rFonts w:hint="default" w:ascii="仿宋" w:hAnsi="仿宋" w:eastAsia="仿宋" w:cs="仿宋"/>
          <w:color w:val="auto"/>
          <w:sz w:val="24"/>
          <w:lang w:val="en-US" w:eastAsia="zh-CN"/>
        </w:rPr>
        <w:t>；</w:t>
      </w:r>
      <w:r>
        <w:rPr>
          <w:rFonts w:hint="eastAsia" w:ascii="仿宋" w:hAnsi="仿宋" w:eastAsia="仿宋" w:cs="仿宋"/>
          <w:color w:val="auto"/>
          <w:sz w:val="24"/>
          <w:lang w:val="en-US" w:eastAsia="zh-CN"/>
        </w:rPr>
        <w:t>如何制作、提交答辩状及相关证据材料；分析总结</w:t>
      </w:r>
      <w:r>
        <w:rPr>
          <w:rFonts w:hint="default" w:ascii="仿宋" w:hAnsi="仿宋" w:eastAsia="仿宋" w:cs="仿宋"/>
          <w:color w:val="auto"/>
          <w:sz w:val="24"/>
          <w:lang w:val="en" w:eastAsia="zh-CN"/>
        </w:rPr>
        <w:t>交通运输行业</w:t>
      </w:r>
      <w:r>
        <w:rPr>
          <w:rFonts w:hint="eastAsia" w:ascii="仿宋" w:hAnsi="仿宋" w:eastAsia="仿宋" w:cs="仿宋"/>
          <w:color w:val="auto"/>
          <w:sz w:val="24"/>
          <w:lang w:val="en-US" w:eastAsia="zh-CN"/>
        </w:rPr>
        <w:t>不同种类诉讼案件证据材料的种类及特点并提出</w:t>
      </w:r>
      <w:r>
        <w:rPr>
          <w:rFonts w:hint="default" w:ascii="仿宋" w:hAnsi="仿宋" w:eastAsia="仿宋" w:cs="仿宋"/>
          <w:color w:val="auto"/>
          <w:sz w:val="24"/>
          <w:lang w:val="en" w:eastAsia="zh-CN"/>
        </w:rPr>
        <w:t>交通运输行业</w:t>
      </w:r>
      <w:r>
        <w:rPr>
          <w:rFonts w:hint="eastAsia" w:ascii="仿宋" w:hAnsi="仿宋" w:eastAsia="仿宋" w:cs="仿宋"/>
          <w:color w:val="auto"/>
          <w:sz w:val="24"/>
          <w:lang w:val="en-US" w:eastAsia="zh-CN"/>
        </w:rPr>
        <w:t>行政应诉案件若干主要类型的庭审答辩策略</w:t>
      </w:r>
      <w:r>
        <w:rPr>
          <w:rFonts w:hint="default" w:ascii="仿宋" w:hAnsi="仿宋" w:eastAsia="仿宋" w:cs="仿宋"/>
          <w:color w:val="auto"/>
          <w:sz w:val="24"/>
          <w:lang w:val="en-US" w:eastAsia="zh-CN"/>
        </w:rPr>
        <w:t>；</w:t>
      </w:r>
      <w:r>
        <w:rPr>
          <w:rFonts w:hint="eastAsia" w:ascii="仿宋" w:hAnsi="仿宋" w:eastAsia="仿宋" w:cs="仿宋"/>
          <w:color w:val="auto"/>
          <w:sz w:val="24"/>
          <w:lang w:val="en-US" w:eastAsia="zh-CN"/>
        </w:rPr>
        <w:t>如何开展行政诉讼案件调解</w:t>
      </w:r>
      <w:r>
        <w:rPr>
          <w:rFonts w:hint="default" w:ascii="仿宋" w:hAnsi="仿宋" w:eastAsia="仿宋" w:cs="仿宋"/>
          <w:color w:val="auto"/>
          <w:sz w:val="24"/>
          <w:lang w:val="en-US" w:eastAsia="zh-CN"/>
        </w:rPr>
        <w:t>；</w:t>
      </w:r>
      <w:r>
        <w:rPr>
          <w:rFonts w:hint="eastAsia" w:ascii="仿宋" w:hAnsi="仿宋" w:eastAsia="仿宋" w:cs="仿宋"/>
          <w:color w:val="auto"/>
          <w:sz w:val="24"/>
          <w:lang w:val="en-US" w:eastAsia="zh-CN"/>
        </w:rPr>
        <w:t>如何开展庭审后续工作；针对司法判决的主要结果类型，如何开展上诉、如何履行生效判决；如何处理法院的司法建议；行政机关及其工作人员在庭审活动中应遵守的各种行为准则等等。</w:t>
      </w:r>
    </w:p>
    <w:p>
      <w:pPr>
        <w:snapToGrid w:val="0"/>
        <w:spacing w:line="560" w:lineRule="exact"/>
        <w:ind w:firstLine="54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4.采取专家论证、座谈调研等方式，征求委机关有关处室、委属有关单位以及有关专家意见，进一步修改完善</w:t>
      </w:r>
      <w:r>
        <w:rPr>
          <w:rFonts w:hint="eastAsia" w:ascii="仿宋" w:hAnsi="仿宋" w:eastAsia="仿宋" w:cs="仿宋"/>
          <w:color w:val="auto"/>
          <w:sz w:val="24"/>
          <w:lang w:eastAsia="zh-CN"/>
        </w:rPr>
        <w:t>重庆市</w:t>
      </w:r>
      <w:r>
        <w:rPr>
          <w:rFonts w:hint="eastAsia" w:ascii="仿宋" w:hAnsi="仿宋" w:eastAsia="仿宋" w:cs="仿宋"/>
          <w:color w:val="auto"/>
          <w:sz w:val="24"/>
        </w:rPr>
        <w:t>交通运输</w:t>
      </w:r>
      <w:r>
        <w:rPr>
          <w:rFonts w:hint="eastAsia" w:ascii="仿宋" w:hAnsi="仿宋" w:eastAsia="仿宋" w:cs="仿宋"/>
          <w:color w:val="auto"/>
          <w:sz w:val="24"/>
          <w:lang w:eastAsia="zh-CN"/>
        </w:rPr>
        <w:t>行政应诉工作指引</w:t>
      </w:r>
      <w:r>
        <w:rPr>
          <w:rFonts w:hint="eastAsia" w:ascii="仿宋" w:hAnsi="仿宋" w:eastAsia="仿宋" w:cs="仿宋"/>
          <w:color w:val="auto"/>
          <w:sz w:val="24"/>
          <w:lang w:val="en-US" w:eastAsia="zh-CN"/>
        </w:rPr>
        <w:t>；</w:t>
      </w:r>
    </w:p>
    <w:p>
      <w:pPr>
        <w:snapToGrid w:val="0"/>
        <w:spacing w:line="560" w:lineRule="exact"/>
        <w:ind w:firstLine="54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重庆市</w:t>
      </w:r>
      <w:r>
        <w:rPr>
          <w:rFonts w:hint="eastAsia" w:ascii="仿宋" w:hAnsi="仿宋" w:eastAsia="仿宋" w:cs="仿宋"/>
          <w:color w:val="auto"/>
          <w:sz w:val="24"/>
        </w:rPr>
        <w:t>交通运输</w:t>
      </w:r>
      <w:r>
        <w:rPr>
          <w:rFonts w:hint="eastAsia" w:ascii="仿宋" w:hAnsi="仿宋" w:eastAsia="仿宋" w:cs="仿宋"/>
          <w:color w:val="auto"/>
          <w:sz w:val="24"/>
          <w:lang w:eastAsia="zh-CN"/>
        </w:rPr>
        <w:t>行政应诉工作指引</w:t>
      </w:r>
      <w:r>
        <w:rPr>
          <w:rFonts w:hint="eastAsia" w:ascii="仿宋" w:hAnsi="仿宋" w:eastAsia="仿宋" w:cs="仿宋"/>
          <w:color w:val="auto"/>
          <w:sz w:val="24"/>
          <w:lang w:val="en-US" w:eastAsia="zh-CN"/>
        </w:rPr>
        <w:t>项目通过专家验收。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rPr>
        <w:t xml:space="preserve">第四条  </w:t>
      </w:r>
      <w:r>
        <w:rPr>
          <w:rFonts w:hint="eastAsia" w:ascii="仿宋" w:hAnsi="仿宋" w:eastAsia="仿宋" w:cs="仿宋"/>
          <w:color w:val="auto"/>
          <w:sz w:val="24"/>
        </w:rPr>
        <w:t>甲方的权利和义务：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1、甲方应当真实、完整、客观地向</w:t>
      </w:r>
      <w:r>
        <w:rPr>
          <w:rFonts w:hint="eastAsia" w:ascii="仿宋" w:hAnsi="仿宋" w:eastAsia="仿宋" w:cs="仿宋"/>
          <w:color w:val="auto"/>
          <w:sz w:val="24"/>
          <w:lang w:eastAsia="zh-CN"/>
        </w:rPr>
        <w:t>乙方</w:t>
      </w:r>
      <w:r>
        <w:rPr>
          <w:rFonts w:hint="eastAsia" w:ascii="仿宋" w:hAnsi="仿宋" w:eastAsia="仿宋" w:cs="仿宋"/>
          <w:color w:val="auto"/>
          <w:sz w:val="24"/>
        </w:rPr>
        <w:t>介绍有关情况，提供有关的文件材料。</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2、甲方应当按照本合同约定的金额或计费方式和时间向乙方支付全部服务费。</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3、甲方应当为</w:t>
      </w:r>
      <w:r>
        <w:rPr>
          <w:rFonts w:hint="eastAsia" w:ascii="仿宋" w:hAnsi="仿宋" w:eastAsia="仿宋" w:cs="仿宋"/>
          <w:color w:val="auto"/>
          <w:sz w:val="24"/>
          <w:lang w:eastAsia="zh-CN"/>
        </w:rPr>
        <w:t>乙方</w:t>
      </w:r>
      <w:r>
        <w:rPr>
          <w:rFonts w:hint="eastAsia" w:ascii="仿宋" w:hAnsi="仿宋" w:eastAsia="仿宋" w:cs="仿宋"/>
          <w:color w:val="auto"/>
          <w:sz w:val="24"/>
        </w:rPr>
        <w:t>开展工作提供一切必要的便利。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4、甲方有权要求乙方及时更换在服务过程中工作不负责任、或认为不适合服务甲方的律师，但甲方应向乙方说明要求更换律师的具体理由。</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5、不得要求乙方进行违法活动。</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、如乙方无正当理由解除本合同，甲方有权要求乙方退还全部服务费和差旅费。</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、如乙方不能达到甲方服务要求，甲方有权终止合同并要求乙方退还终止合同后的服务费。退还比例同所剩服务时间在全部约定服务时间占比。</w:t>
      </w:r>
    </w:p>
    <w:p>
      <w:pPr>
        <w:spacing w:line="560" w:lineRule="exact"/>
        <w:ind w:left="480"/>
        <w:rPr>
          <w:rFonts w:hint="eastAsia" w:ascii="仿宋" w:hAnsi="仿宋" w:eastAsia="仿宋" w:cs="仿宋"/>
          <w:color w:val="auto"/>
          <w:sz w:val="24"/>
        </w:rPr>
      </w:pPr>
      <w:r>
        <w:rPr>
          <w:rFonts w:hint="eastAsia" w:ascii="仿宋" w:hAnsi="仿宋" w:eastAsia="仿宋" w:cs="仿宋"/>
          <w:bCs/>
          <w:color w:val="auto"/>
          <w:sz w:val="24"/>
        </w:rPr>
        <w:t xml:space="preserve">第五条  </w:t>
      </w:r>
      <w:r>
        <w:rPr>
          <w:rFonts w:hint="eastAsia" w:ascii="仿宋" w:hAnsi="仿宋" w:eastAsia="仿宋" w:cs="仿宋"/>
          <w:color w:val="auto"/>
          <w:sz w:val="24"/>
        </w:rPr>
        <w:t>乙方的权利和义务：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1、乙方应当依法忠实地维护甲方的一切合法权益。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2、乙方应当根据甲方的具体情况适时开展服务工作。</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3、乙方应当按时地为甲方提供相关的服务。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4、乙方不得泄露甲方的国家机密。</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5、除本合同约定或甲乙双方另行协商外，乙方不得向甲方收取费用。</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6、乙方有权根据本合同的约定向甲方收取服务费。</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7、甲方未按时足额向乙方支付服务费及差旅费，乙方有权暂缓履行</w:t>
      </w:r>
      <w:r>
        <w:rPr>
          <w:rFonts w:hint="eastAsia" w:ascii="仿宋" w:hAnsi="仿宋" w:eastAsia="仿宋" w:cs="仿宋"/>
          <w:color w:val="auto"/>
          <w:sz w:val="24"/>
          <w:lang w:eastAsia="zh-CN"/>
        </w:rPr>
        <w:t>服务</w:t>
      </w:r>
      <w:r>
        <w:rPr>
          <w:rFonts w:hint="eastAsia" w:ascii="仿宋" w:hAnsi="仿宋" w:eastAsia="仿宋" w:cs="仿宋"/>
          <w:color w:val="auto"/>
          <w:sz w:val="24"/>
        </w:rPr>
        <w:t>工作。</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8、乙方同意并保证，一旦出现甲方认为乙方指派律师不能胜任或不能完成、服务不尽责或无力发挥应有作用的投诉时，乙方将在收到甲方正式投诉及核实后三个工作日内向甲方另行推荐候选律师，经甲方确认后，立即另行指派律师予以接替，以完成本合同约定的服务事务。</w:t>
      </w:r>
    </w:p>
    <w:p>
      <w:pPr>
        <w:snapToGrid w:val="0"/>
        <w:spacing w:line="560" w:lineRule="exact"/>
        <w:ind w:firstLine="560"/>
        <w:rPr>
          <w:rFonts w:hint="eastAsia" w:ascii="仿宋" w:hAnsi="仿宋" w:eastAsia="仿宋" w:cs="仿宋"/>
          <w:color w:val="auto"/>
          <w:sz w:val="24"/>
        </w:rPr>
      </w:pPr>
      <w:r>
        <w:rPr>
          <w:rFonts w:hint="eastAsia" w:ascii="仿宋" w:hAnsi="仿宋" w:eastAsia="仿宋" w:cs="仿宋"/>
          <w:color w:val="auto"/>
          <w:sz w:val="24"/>
        </w:rPr>
        <w:t>第六条  服务费、差旅费和其他费用的约定：</w:t>
      </w:r>
    </w:p>
    <w:p>
      <w:pPr>
        <w:snapToGrid w:val="0"/>
        <w:spacing w:line="560" w:lineRule="exact"/>
        <w:ind w:firstLine="560"/>
        <w:rPr>
          <w:rFonts w:hint="eastAsia" w:ascii="仿宋" w:hAnsi="仿宋" w:eastAsia="仿宋" w:cs="仿宋"/>
          <w:color w:val="auto"/>
          <w:sz w:val="24"/>
        </w:rPr>
      </w:pPr>
      <w:r>
        <w:rPr>
          <w:rFonts w:hint="eastAsia" w:ascii="仿宋" w:hAnsi="仿宋" w:eastAsia="仿宋" w:cs="仿宋"/>
          <w:color w:val="auto"/>
          <w:sz w:val="24"/>
        </w:rPr>
        <w:t>1、服务费</w:t>
      </w:r>
    </w:p>
    <w:p>
      <w:pPr>
        <w:snapToGrid w:val="0"/>
        <w:spacing w:line="560" w:lineRule="exact"/>
        <w:ind w:firstLine="560"/>
        <w:rPr>
          <w:rFonts w:hint="eastAsia" w:ascii="仿宋" w:hAnsi="仿宋" w:eastAsia="仿宋" w:cs="仿宋"/>
          <w:color w:val="auto"/>
          <w:sz w:val="24"/>
          <w:lang w:eastAsia="zh-CN"/>
        </w:rPr>
      </w:pPr>
      <w:r>
        <w:rPr>
          <w:rFonts w:hint="eastAsia" w:ascii="仿宋" w:hAnsi="仿宋" w:eastAsia="仿宋" w:cs="仿宋"/>
          <w:color w:val="auto"/>
          <w:sz w:val="24"/>
        </w:rPr>
        <w:t>甲方应向乙方支付服务费人民币（大写）</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元</w:t>
      </w:r>
      <w:r>
        <w:rPr>
          <w:rFonts w:hint="eastAsia" w:ascii="仿宋" w:hAnsi="仿宋" w:eastAsia="仿宋" w:cs="仿宋"/>
          <w:color w:val="auto"/>
          <w:sz w:val="24"/>
          <w:u w:val="none"/>
        </w:rPr>
        <w:t>整</w:t>
      </w:r>
      <w:r>
        <w:rPr>
          <w:rFonts w:hint="eastAsia" w:ascii="仿宋" w:hAnsi="仿宋" w:eastAsia="仿宋" w:cs="仿宋"/>
          <w:color w:val="auto"/>
          <w:sz w:val="24"/>
          <w:lang w:eastAsia="zh-CN"/>
        </w:rPr>
        <w:t>。</w:t>
      </w:r>
    </w:p>
    <w:p>
      <w:pPr>
        <w:snapToGrid w:val="0"/>
        <w:spacing w:line="560" w:lineRule="exact"/>
        <w:ind w:firstLine="560"/>
        <w:rPr>
          <w:rFonts w:hint="eastAsia" w:ascii="仿宋" w:hAnsi="仿宋" w:eastAsia="仿宋" w:cs="仿宋"/>
          <w:color w:val="auto"/>
          <w:sz w:val="24"/>
        </w:rPr>
      </w:pPr>
      <w:r>
        <w:rPr>
          <w:rFonts w:hint="eastAsia" w:ascii="仿宋" w:hAnsi="仿宋" w:eastAsia="仿宋" w:cs="仿宋"/>
          <w:color w:val="auto"/>
          <w:sz w:val="24"/>
        </w:rPr>
        <w:t>2、差旅费</w:t>
      </w:r>
    </w:p>
    <w:p>
      <w:pPr>
        <w:snapToGrid w:val="0"/>
        <w:spacing w:line="560" w:lineRule="exact"/>
        <w:ind w:firstLine="560"/>
        <w:rPr>
          <w:rFonts w:hint="eastAsia" w:ascii="仿宋" w:hAnsi="仿宋" w:eastAsia="仿宋" w:cs="仿宋"/>
          <w:color w:val="auto"/>
          <w:sz w:val="24"/>
        </w:rPr>
      </w:pPr>
      <w:r>
        <w:rPr>
          <w:rFonts w:hint="eastAsia" w:ascii="仿宋" w:hAnsi="仿宋" w:eastAsia="仿宋" w:cs="仿宋"/>
          <w:color w:val="auto"/>
          <w:sz w:val="24"/>
        </w:rPr>
        <w:t>在重庆市所属区域内办理甲方委托的事务，乙方不再收取差旅费。</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乙方如需到重庆市所属行政区域外进行与本</w:t>
      </w:r>
      <w:r>
        <w:rPr>
          <w:rFonts w:hint="eastAsia" w:ascii="仿宋" w:hAnsi="仿宋" w:eastAsia="仿宋" w:cs="仿宋"/>
          <w:color w:val="auto"/>
          <w:sz w:val="24"/>
          <w:lang w:eastAsia="zh-CN"/>
        </w:rPr>
        <w:t>项目</w:t>
      </w:r>
      <w:r>
        <w:rPr>
          <w:rFonts w:hint="eastAsia" w:ascii="仿宋" w:hAnsi="仿宋" w:eastAsia="仿宋" w:cs="仿宋"/>
          <w:color w:val="auto"/>
          <w:sz w:val="24"/>
        </w:rPr>
        <w:t>相关的工作，由乙方向甲方提出差旅费预算并经甲方同意后，按甲方相关</w:t>
      </w:r>
      <w:r>
        <w:rPr>
          <w:rFonts w:hint="eastAsia" w:ascii="仿宋" w:hAnsi="仿宋" w:eastAsia="仿宋" w:cs="仿宋"/>
          <w:color w:val="auto"/>
          <w:sz w:val="24"/>
          <w:lang w:eastAsia="zh-CN"/>
        </w:rPr>
        <w:t>要求</w:t>
      </w:r>
      <w:r>
        <w:rPr>
          <w:rFonts w:hint="eastAsia" w:ascii="仿宋" w:hAnsi="仿宋" w:eastAsia="仿宋" w:cs="仿宋"/>
          <w:color w:val="auto"/>
          <w:sz w:val="24"/>
        </w:rPr>
        <w:t>办理出差手续，乙方出差后</w:t>
      </w:r>
      <w:r>
        <w:rPr>
          <w:rFonts w:hint="eastAsia" w:ascii="仿宋" w:hAnsi="仿宋" w:eastAsia="仿宋" w:cs="仿宋"/>
          <w:color w:val="auto"/>
          <w:sz w:val="24"/>
          <w:lang w:eastAsia="zh-CN"/>
        </w:rPr>
        <w:t>向</w:t>
      </w:r>
      <w:r>
        <w:rPr>
          <w:rFonts w:hint="eastAsia" w:ascii="仿宋" w:hAnsi="仿宋" w:eastAsia="仿宋" w:cs="仿宋"/>
          <w:color w:val="auto"/>
          <w:sz w:val="24"/>
        </w:rPr>
        <w:t>甲方及时据实报销。</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3、服务费支付时间和方式</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合同签订后一个月内</w:t>
      </w:r>
      <w:r>
        <w:rPr>
          <w:rFonts w:hint="eastAsia" w:ascii="仿宋" w:hAnsi="仿宋" w:eastAsia="仿宋" w:cs="仿宋"/>
          <w:color w:val="auto"/>
          <w:sz w:val="24"/>
        </w:rPr>
        <w:t>，</w:t>
      </w:r>
      <w:r>
        <w:rPr>
          <w:rFonts w:hint="eastAsia" w:ascii="仿宋" w:hAnsi="仿宋" w:eastAsia="仿宋" w:cs="仿宋"/>
          <w:color w:val="auto"/>
          <w:sz w:val="24"/>
          <w:lang w:eastAsia="zh-CN"/>
        </w:rPr>
        <w:t>甲方</w:t>
      </w:r>
      <w:r>
        <w:rPr>
          <w:rFonts w:hint="eastAsia" w:ascii="仿宋" w:hAnsi="仿宋" w:eastAsia="仿宋" w:cs="仿宋"/>
          <w:color w:val="auto"/>
          <w:sz w:val="24"/>
        </w:rPr>
        <w:t>向</w:t>
      </w:r>
      <w:r>
        <w:rPr>
          <w:rFonts w:hint="eastAsia" w:ascii="仿宋" w:hAnsi="仿宋" w:eastAsia="仿宋" w:cs="仿宋"/>
          <w:color w:val="auto"/>
          <w:sz w:val="24"/>
          <w:lang w:eastAsia="zh-CN"/>
        </w:rPr>
        <w:t>乙方</w:t>
      </w:r>
      <w:r>
        <w:rPr>
          <w:rFonts w:hint="eastAsia" w:ascii="仿宋" w:hAnsi="仿宋" w:eastAsia="仿宋" w:cs="仿宋"/>
          <w:color w:val="auto"/>
          <w:sz w:val="24"/>
        </w:rPr>
        <w:t>一次性支付合同总额的50%作为首付款；</w:t>
      </w:r>
      <w:r>
        <w:rPr>
          <w:rFonts w:hint="eastAsia" w:ascii="仿宋" w:hAnsi="仿宋" w:eastAsia="仿宋" w:cs="仿宋"/>
          <w:color w:val="auto"/>
          <w:sz w:val="24"/>
          <w:lang w:eastAsia="zh-CN"/>
        </w:rPr>
        <w:t>项目通过验收后</w:t>
      </w:r>
      <w:r>
        <w:rPr>
          <w:rFonts w:hint="eastAsia" w:ascii="仿宋" w:hAnsi="仿宋" w:eastAsia="仿宋" w:cs="仿宋"/>
          <w:color w:val="auto"/>
          <w:sz w:val="24"/>
        </w:rPr>
        <w:t>，</w:t>
      </w:r>
      <w:r>
        <w:rPr>
          <w:rFonts w:hint="eastAsia" w:ascii="仿宋" w:hAnsi="仿宋" w:eastAsia="仿宋" w:cs="仿宋"/>
          <w:color w:val="auto"/>
          <w:sz w:val="24"/>
          <w:lang w:eastAsia="zh-CN"/>
        </w:rPr>
        <w:t>甲方</w:t>
      </w:r>
      <w:r>
        <w:rPr>
          <w:rFonts w:hint="eastAsia" w:ascii="仿宋" w:hAnsi="仿宋" w:eastAsia="仿宋" w:cs="仿宋"/>
          <w:color w:val="auto"/>
          <w:sz w:val="24"/>
        </w:rPr>
        <w:t>向</w:t>
      </w:r>
      <w:r>
        <w:rPr>
          <w:rFonts w:hint="eastAsia" w:ascii="仿宋" w:hAnsi="仿宋" w:eastAsia="仿宋" w:cs="仿宋"/>
          <w:color w:val="auto"/>
          <w:sz w:val="24"/>
          <w:lang w:eastAsia="zh-CN"/>
        </w:rPr>
        <w:t>乙方</w:t>
      </w:r>
      <w:r>
        <w:rPr>
          <w:rFonts w:hint="eastAsia" w:ascii="仿宋" w:hAnsi="仿宋" w:eastAsia="仿宋" w:cs="仿宋"/>
          <w:color w:val="auto"/>
          <w:sz w:val="24"/>
        </w:rPr>
        <w:t>一次性支付合同尾款。</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第</w:t>
      </w:r>
      <w:r>
        <w:rPr>
          <w:rFonts w:hint="eastAsia" w:ascii="仿宋" w:hAnsi="仿宋" w:eastAsia="仿宋" w:cs="仿宋"/>
          <w:color w:val="auto"/>
          <w:sz w:val="24"/>
          <w:lang w:eastAsia="zh-CN"/>
        </w:rPr>
        <w:t>七</w:t>
      </w:r>
      <w:r>
        <w:rPr>
          <w:rFonts w:hint="eastAsia" w:ascii="仿宋" w:hAnsi="仿宋" w:eastAsia="仿宋" w:cs="仿宋"/>
          <w:color w:val="auto"/>
          <w:sz w:val="24"/>
        </w:rPr>
        <w:t>条  本合同壹式叁份，甲方持贰份，乙方持壹份，具</w:t>
      </w:r>
      <w:r>
        <w:rPr>
          <w:rFonts w:hint="eastAsia" w:ascii="仿宋" w:hAnsi="仿宋" w:eastAsia="仿宋" w:cs="仿宋"/>
          <w:color w:val="auto"/>
          <w:sz w:val="24"/>
          <w:lang w:eastAsia="zh-CN"/>
        </w:rPr>
        <w:t>有</w:t>
      </w:r>
      <w:r>
        <w:rPr>
          <w:rFonts w:hint="eastAsia" w:ascii="仿宋" w:hAnsi="仿宋" w:eastAsia="仿宋" w:cs="仿宋"/>
          <w:color w:val="auto"/>
          <w:sz w:val="24"/>
        </w:rPr>
        <w:t>同等法律效力。</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第</w:t>
      </w:r>
      <w:r>
        <w:rPr>
          <w:rFonts w:hint="eastAsia" w:ascii="仿宋" w:hAnsi="仿宋" w:eastAsia="仿宋" w:cs="仿宋"/>
          <w:color w:val="auto"/>
          <w:sz w:val="24"/>
          <w:lang w:eastAsia="zh-CN"/>
        </w:rPr>
        <w:t>八</w:t>
      </w:r>
      <w:r>
        <w:rPr>
          <w:rFonts w:hint="eastAsia" w:ascii="仿宋" w:hAnsi="仿宋" w:eastAsia="仿宋" w:cs="仿宋"/>
          <w:color w:val="auto"/>
          <w:sz w:val="24"/>
        </w:rPr>
        <w:t>条  本合同经双方签字或盖章生效。</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第</w:t>
      </w:r>
      <w:r>
        <w:rPr>
          <w:rFonts w:hint="eastAsia" w:ascii="仿宋" w:hAnsi="仿宋" w:eastAsia="仿宋" w:cs="仿宋"/>
          <w:color w:val="auto"/>
          <w:sz w:val="24"/>
          <w:lang w:eastAsia="zh-CN"/>
        </w:rPr>
        <w:t>九</w:t>
      </w:r>
      <w:r>
        <w:rPr>
          <w:rFonts w:hint="eastAsia" w:ascii="仿宋" w:hAnsi="仿宋" w:eastAsia="仿宋" w:cs="仿宋"/>
          <w:color w:val="auto"/>
          <w:sz w:val="24"/>
        </w:rPr>
        <w:t>条  双方发生争议协商不成的，任何一方有权向</w:t>
      </w:r>
      <w:r>
        <w:rPr>
          <w:rFonts w:hint="eastAsia" w:ascii="仿宋" w:hAnsi="仿宋" w:eastAsia="仿宋" w:cs="仿宋"/>
          <w:color w:val="auto"/>
          <w:sz w:val="24"/>
          <w:lang w:val="en"/>
        </w:rPr>
        <w:t>甲方所在地人民法院提起诉讼</w:t>
      </w:r>
      <w:r>
        <w:rPr>
          <w:rFonts w:hint="eastAsia" w:ascii="仿宋" w:hAnsi="仿宋" w:eastAsia="仿宋" w:cs="仿宋"/>
          <w:color w:val="auto"/>
          <w:sz w:val="24"/>
        </w:rPr>
        <w:t>。</w:t>
      </w:r>
    </w:p>
    <w:p>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第十条  双方承诺：已认真审阅本合同所有条款以保证完全了解其详尽内容；本合同所有条款均属甲、乙双方平等且完全协商一致而达成。</w:t>
      </w:r>
    </w:p>
    <w:p>
      <w:pPr>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甲方：                                        乙方：</w:t>
      </w:r>
    </w:p>
    <w:p>
      <w:pPr>
        <w:snapToGrid w:val="0"/>
        <w:spacing w:line="560" w:lineRule="exact"/>
        <w:ind w:firstLine="4320" w:firstLineChars="1800"/>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lang w:eastAsia="zh-CN"/>
        </w:rPr>
        <w:t>执业证书</w:t>
      </w:r>
      <w:r>
        <w:rPr>
          <w:rFonts w:hint="eastAsia" w:ascii="仿宋" w:hAnsi="仿宋" w:eastAsia="仿宋" w:cs="仿宋"/>
          <w:color w:val="auto"/>
          <w:sz w:val="24"/>
        </w:rPr>
        <w:t>注册号）：</w:t>
      </w:r>
    </w:p>
    <w:p>
      <w:pPr>
        <w:snapToGrid w:val="0"/>
        <w:spacing w:line="560" w:lineRule="exact"/>
        <w:rPr>
          <w:rFonts w:hint="eastAsia" w:ascii="仿宋" w:hAnsi="仿宋" w:eastAsia="仿宋" w:cs="仿宋"/>
          <w:color w:val="auto"/>
          <w:sz w:val="24"/>
        </w:rPr>
      </w:pPr>
    </w:p>
    <w:p>
      <w:pPr>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法定代表人（委托代理人）：               法定代表人（委托代理人）：</w:t>
      </w:r>
    </w:p>
    <w:p>
      <w:pPr>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地址：                              地址：</w:t>
      </w:r>
    </w:p>
    <w:p>
      <w:pPr>
        <w:snapToGrid w:val="0"/>
        <w:spacing w:line="560" w:lineRule="exact"/>
        <w:rPr>
          <w:rFonts w:hint="eastAsia" w:ascii="仿宋" w:hAnsi="仿宋" w:eastAsia="仿宋" w:cs="仿宋"/>
          <w:color w:val="auto"/>
          <w:sz w:val="24"/>
        </w:rPr>
      </w:pPr>
      <w:r>
        <w:rPr>
          <w:rFonts w:hint="eastAsia" w:ascii="仿宋" w:hAnsi="仿宋" w:eastAsia="仿宋" w:cs="仿宋"/>
          <w:color w:val="auto"/>
          <w:sz w:val="24"/>
        </w:rPr>
        <w:t>电话：                              电话：</w:t>
      </w:r>
    </w:p>
    <w:p>
      <w:pPr>
        <w:snapToGrid w:val="0"/>
        <w:spacing w:line="560" w:lineRule="exact"/>
        <w:jc w:val="center"/>
        <w:rPr>
          <w:rFonts w:hint="eastAsia"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签约时间：  年  月  日</w:t>
      </w:r>
    </w:p>
    <w:p>
      <w:pPr>
        <w:widowControl/>
        <w:jc w:val="left"/>
        <w:rPr>
          <w:rFonts w:ascii="仿宋" w:hAnsi="仿宋" w:eastAsia="仿宋" w:cs="仿宋"/>
          <w:color w:val="auto"/>
          <w:sz w:val="24"/>
        </w:rPr>
      </w:pPr>
      <w:r>
        <w:rPr>
          <w:rFonts w:ascii="仿宋" w:hAnsi="仿宋" w:eastAsia="仿宋" w:cs="仿宋"/>
          <w:color w:val="auto"/>
          <w:sz w:val="24"/>
        </w:rPr>
        <w:br w:type="page"/>
      </w:r>
    </w:p>
    <w:p>
      <w:pPr>
        <w:rPr>
          <w:rFonts w:hint="eastAsia"/>
          <w:color w:val="auto"/>
        </w:rPr>
      </w:pPr>
    </w:p>
    <w:p>
      <w:pPr>
        <w:pStyle w:val="4"/>
        <w:spacing w:line="360" w:lineRule="auto"/>
        <w:jc w:val="center"/>
        <w:rPr>
          <w:rFonts w:ascii="仿宋" w:hAnsi="仿宋" w:eastAsia="仿宋"/>
          <w:b w:val="0"/>
          <w:color w:val="auto"/>
          <w:sz w:val="36"/>
          <w:szCs w:val="28"/>
        </w:rPr>
      </w:pPr>
      <w:bookmarkStart w:id="95" w:name="_Toc29161"/>
      <w:r>
        <w:rPr>
          <w:rFonts w:hint="eastAsia" w:ascii="仿宋" w:hAnsi="仿宋" w:eastAsia="仿宋"/>
          <w:b w:val="0"/>
          <w:color w:val="auto"/>
          <w:sz w:val="36"/>
          <w:szCs w:val="28"/>
        </w:rPr>
        <w:t xml:space="preserve">第七篇  </w:t>
      </w:r>
      <w:bookmarkEnd w:id="94"/>
      <w:r>
        <w:rPr>
          <w:rFonts w:hint="eastAsia" w:ascii="仿宋" w:hAnsi="仿宋" w:eastAsia="仿宋"/>
          <w:b w:val="0"/>
          <w:color w:val="auto"/>
          <w:sz w:val="36"/>
          <w:szCs w:val="28"/>
        </w:rPr>
        <w:t>响应文件编制要求</w:t>
      </w:r>
      <w:bookmarkEnd w:id="95"/>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一、经济部分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（一）竞争性磋商报价函</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（二）明细报价表</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二、技术部分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（一）技术方案</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（二）技术响应偏离表</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三、商务部分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（一）商务响应偏离表</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（二）其它优惠服务承诺</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四、资格条件及其他</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（二）组织机构代码证复印件</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（三）法定代表人身份证明书（格式）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（四）法定代表人授权委托书（格式）</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（五）基本资格条件承诺函</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（六）特定资格条件证书或证明文件</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五、其他资料</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其他与项目有关的资料</w:t>
      </w:r>
    </w:p>
    <w:p>
      <w:pPr>
        <w:snapToGrid w:val="0"/>
        <w:spacing w:line="360" w:lineRule="auto"/>
        <w:rPr>
          <w:rFonts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400" w:lineRule="exact"/>
        <w:rPr>
          <w:rFonts w:ascii="仿宋" w:hAnsi="仿宋" w:eastAsia="仿宋"/>
          <w:color w:val="auto"/>
          <w:sz w:val="24"/>
          <w:szCs w:val="24"/>
        </w:rPr>
      </w:pPr>
      <w:bookmarkStart w:id="96" w:name="_Toc342913419"/>
      <w:bookmarkStart w:id="97" w:name="_Toc4678"/>
      <w:bookmarkStart w:id="98" w:name="_Toc313888360"/>
      <w:bookmarkStart w:id="99" w:name="_Toc313008356"/>
      <w:bookmarkStart w:id="100" w:name="_Toc12789073"/>
      <w:bookmarkStart w:id="101" w:name="_Toc283382454"/>
      <w:r>
        <w:rPr>
          <w:rFonts w:hint="eastAsia" w:ascii="仿宋" w:hAnsi="仿宋" w:eastAsia="仿宋"/>
          <w:color w:val="auto"/>
          <w:sz w:val="24"/>
          <w:szCs w:val="24"/>
        </w:rPr>
        <w:t>一、经济部分</w:t>
      </w:r>
      <w:bookmarkEnd w:id="96"/>
      <w:bookmarkEnd w:id="97"/>
      <w:bookmarkEnd w:id="98"/>
      <w:bookmarkEnd w:id="99"/>
    </w:p>
    <w:bookmarkEnd w:id="100"/>
    <w:bookmarkEnd w:id="101"/>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（一）竞争性磋商报价函</w:t>
      </w:r>
    </w:p>
    <w:p>
      <w:pPr>
        <w:jc w:val="center"/>
        <w:rPr>
          <w:rFonts w:ascii="仿宋" w:hAnsi="仿宋" w:eastAsia="仿宋"/>
          <w:b/>
          <w:color w:val="auto"/>
          <w:szCs w:val="28"/>
        </w:rPr>
      </w:pPr>
      <w:r>
        <w:rPr>
          <w:rFonts w:hint="eastAsia" w:ascii="仿宋" w:hAnsi="仿宋" w:eastAsia="仿宋"/>
          <w:b/>
          <w:color w:val="auto"/>
          <w:szCs w:val="28"/>
        </w:rPr>
        <w:t>竞争性磋商报价函</w:t>
      </w:r>
    </w:p>
    <w:p>
      <w:pPr>
        <w:tabs>
          <w:tab w:val="left" w:pos="6300"/>
        </w:tabs>
        <w:snapToGrid w:val="0"/>
        <w:spacing w:line="312" w:lineRule="auto"/>
        <w:rPr>
          <w:rFonts w:ascii="仿宋" w:hAnsi="仿宋" w:eastAsia="仿宋"/>
          <w:color w:val="auto"/>
          <w:sz w:val="24"/>
          <w:szCs w:val="24"/>
          <w:u w:val="single"/>
        </w:rPr>
      </w:pPr>
      <w:r>
        <w:rPr>
          <w:rFonts w:hint="eastAsia" w:ascii="仿宋" w:hAnsi="仿宋" w:eastAsia="仿宋"/>
          <w:color w:val="auto"/>
          <w:sz w:val="24"/>
          <w:szCs w:val="24"/>
          <w:u w:val="single"/>
        </w:rPr>
        <w:t>（采购代理机构名称）：</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我方收到____________________________（项目名称）及_____________（项目号）的竞争性磋商文件，经详细研究，决定参加该项目的磋商。</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1.愿意按照竞争性磋商文件中的一切要求，提供本项目的技术服务，初始报价为人民币大写：</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元整；人民币小写：</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元。以我公司最后报价为准。</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2.我方现提交的响应文件为：响应文件正本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份，副本</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份。</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3.我方承诺：本次磋商的有效期为90天。</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5.在整个竞争性磋商过程中，我方若有违规行为，接受按照《中华人民共和国政府采购法》及其实施条例等规定给予惩罚。</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7.我方理解，最低报价不是成交的唯一条件。</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9.我方未</w:t>
      </w:r>
      <w:r>
        <w:rPr>
          <w:rFonts w:ascii="仿宋" w:hAnsi="仿宋" w:eastAsia="仿宋"/>
          <w:color w:val="auto"/>
          <w:sz w:val="24"/>
          <w:szCs w:val="24"/>
        </w:rPr>
        <w:t>为采购项目提供整体设计、规范编制或者项目管理、监理、检测等服务。</w:t>
      </w: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p>
    <w:p>
      <w:pPr>
        <w:tabs>
          <w:tab w:val="left" w:pos="6300"/>
        </w:tabs>
        <w:snapToGrid w:val="0"/>
        <w:spacing w:line="312"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供应商（公章）：</w:t>
      </w:r>
    </w:p>
    <w:p>
      <w:pPr>
        <w:tabs>
          <w:tab w:val="left" w:pos="6300"/>
        </w:tabs>
        <w:snapToGrid w:val="0"/>
        <w:spacing w:line="312" w:lineRule="auto"/>
        <w:ind w:firstLine="480" w:firstLineChars="200"/>
        <w:rPr>
          <w:rFonts w:ascii="仿宋" w:hAnsi="仿宋" w:eastAsia="仿宋"/>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rPr>
        <w:t xml:space="preserve">                                                  年   月   日</w:t>
      </w:r>
    </w:p>
    <w:p>
      <w:pPr>
        <w:tabs>
          <w:tab w:val="left" w:pos="2895"/>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（二）明细报价表</w:t>
      </w:r>
    </w:p>
    <w:p>
      <w:pPr>
        <w:jc w:val="center"/>
        <w:rPr>
          <w:rFonts w:ascii="仿宋" w:hAnsi="仿宋" w:eastAsia="仿宋"/>
          <w:b/>
          <w:color w:val="auto"/>
          <w:szCs w:val="28"/>
        </w:rPr>
      </w:pPr>
      <w:r>
        <w:rPr>
          <w:rFonts w:hint="eastAsia" w:ascii="仿宋" w:hAnsi="仿宋" w:eastAsia="仿宋"/>
          <w:b/>
          <w:color w:val="auto"/>
          <w:szCs w:val="28"/>
        </w:rPr>
        <w:t>明细报价表</w:t>
      </w:r>
    </w:p>
    <w:p>
      <w:pPr>
        <w:spacing w:line="360" w:lineRule="auto"/>
        <w:rPr>
          <w:rFonts w:ascii="仿宋" w:hAnsi="仿宋" w:eastAsia="仿宋"/>
          <w:color w:val="auto"/>
          <w:sz w:val="24"/>
          <w:szCs w:val="24"/>
        </w:rPr>
      </w:pPr>
      <w:r>
        <w:rPr>
          <w:rFonts w:hint="eastAsia" w:ascii="仿宋" w:hAnsi="仿宋" w:eastAsia="仿宋"/>
          <w:color w:val="auto"/>
          <w:sz w:val="24"/>
          <w:szCs w:val="24"/>
        </w:rPr>
        <w:t>项目编号：</w:t>
      </w:r>
    </w:p>
    <w:p>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p>
    <w:tbl>
      <w:tblPr>
        <w:tblStyle w:val="57"/>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序号</w:t>
            </w:r>
          </w:p>
        </w:tc>
        <w:tc>
          <w:tcPr>
            <w:tcW w:w="1695"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名称</w:t>
            </w:r>
          </w:p>
        </w:tc>
        <w:tc>
          <w:tcPr>
            <w:tcW w:w="340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相关信息</w:t>
            </w:r>
          </w:p>
        </w:tc>
        <w:tc>
          <w:tcPr>
            <w:tcW w:w="134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数量</w:t>
            </w:r>
          </w:p>
        </w:tc>
        <w:tc>
          <w:tcPr>
            <w:tcW w:w="134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单价</w:t>
            </w:r>
          </w:p>
        </w:tc>
        <w:tc>
          <w:tcPr>
            <w:tcW w:w="1344" w:type="dxa"/>
            <w:vAlign w:val="center"/>
          </w:tcPr>
          <w:p>
            <w:pPr>
              <w:jc w:val="center"/>
              <w:rPr>
                <w:rFonts w:ascii="仿宋" w:hAnsi="仿宋" w:eastAsia="仿宋"/>
                <w:b/>
                <w:color w:val="auto"/>
                <w:sz w:val="21"/>
                <w:szCs w:val="21"/>
              </w:rPr>
            </w:pPr>
            <w:r>
              <w:rPr>
                <w:rFonts w:hint="eastAsia" w:ascii="仿宋" w:hAnsi="仿宋" w:eastAsia="仿宋"/>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2</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3</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4</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5</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6</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7</w:t>
            </w:r>
          </w:p>
        </w:tc>
        <w:tc>
          <w:tcPr>
            <w:tcW w:w="1695" w:type="dxa"/>
            <w:vAlign w:val="center"/>
          </w:tcPr>
          <w:p>
            <w:pPr>
              <w:jc w:val="center"/>
              <w:rPr>
                <w:rFonts w:ascii="仿宋" w:hAnsi="仿宋" w:eastAsia="仿宋"/>
                <w:color w:val="auto"/>
                <w:sz w:val="24"/>
                <w:szCs w:val="24"/>
              </w:rPr>
            </w:pP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8</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lang w:eastAsia="zh-CN"/>
              </w:rPr>
              <w:t>诉讼代理</w:t>
            </w:r>
            <w:r>
              <w:rPr>
                <w:rFonts w:hint="eastAsia" w:ascii="仿宋" w:hAnsi="仿宋" w:eastAsia="仿宋"/>
                <w:color w:val="auto"/>
                <w:sz w:val="21"/>
                <w:szCs w:val="21"/>
              </w:rPr>
              <w:t>费</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9</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lang w:eastAsia="zh-CN"/>
              </w:rPr>
              <w:t>法律咨询</w:t>
            </w:r>
            <w:r>
              <w:rPr>
                <w:rFonts w:hint="eastAsia" w:ascii="仿宋" w:hAnsi="仿宋" w:eastAsia="仿宋"/>
                <w:color w:val="auto"/>
                <w:sz w:val="21"/>
                <w:szCs w:val="21"/>
              </w:rPr>
              <w:t>费</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10</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其他费用</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11</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w:t>
            </w:r>
          </w:p>
        </w:tc>
        <w:tc>
          <w:tcPr>
            <w:tcW w:w="3404" w:type="dxa"/>
          </w:tcPr>
          <w:p>
            <w:pPr>
              <w:jc w:val="center"/>
              <w:rPr>
                <w:rFonts w:ascii="仿宋" w:hAnsi="仿宋" w:eastAsia="仿宋"/>
                <w:color w:val="auto"/>
                <w:sz w:val="24"/>
                <w:szCs w:val="24"/>
              </w:rPr>
            </w:pPr>
          </w:p>
        </w:tc>
        <w:tc>
          <w:tcPr>
            <w:tcW w:w="1344"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344" w:type="dxa"/>
          </w:tcPr>
          <w:p>
            <w:pPr>
              <w:jc w:val="center"/>
              <w:rPr>
                <w:rFonts w:ascii="仿宋" w:hAnsi="仿宋" w:eastAsia="仿宋"/>
                <w:color w:val="auto"/>
                <w:sz w:val="24"/>
                <w:szCs w:val="24"/>
              </w:rPr>
            </w:pPr>
          </w:p>
        </w:tc>
        <w:tc>
          <w:tcPr>
            <w:tcW w:w="1344" w:type="dxa"/>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23"/>
              <w:spacing w:line="240" w:lineRule="atLeast"/>
              <w:ind w:left="3920"/>
              <w:jc w:val="center"/>
              <w:outlineLvl w:val="0"/>
              <w:rPr>
                <w:rFonts w:ascii="仿宋" w:hAnsi="仿宋" w:eastAsia="仿宋"/>
                <w:color w:val="auto"/>
                <w:sz w:val="24"/>
                <w:szCs w:val="24"/>
              </w:rPr>
            </w:pPr>
            <w:r>
              <w:rPr>
                <w:rFonts w:hint="eastAsia" w:ascii="仿宋" w:hAnsi="仿宋" w:eastAsia="仿宋"/>
                <w:color w:val="auto"/>
                <w:sz w:val="24"/>
                <w:szCs w:val="24"/>
              </w:rPr>
              <w:t>12</w:t>
            </w:r>
          </w:p>
        </w:tc>
        <w:tc>
          <w:tcPr>
            <w:tcW w:w="1695" w:type="dxa"/>
            <w:vAlign w:val="center"/>
          </w:tcPr>
          <w:p>
            <w:pPr>
              <w:jc w:val="center"/>
              <w:rPr>
                <w:rFonts w:ascii="仿宋" w:hAnsi="仿宋" w:eastAsia="仿宋"/>
                <w:color w:val="auto"/>
                <w:sz w:val="21"/>
                <w:szCs w:val="21"/>
              </w:rPr>
            </w:pPr>
            <w:r>
              <w:rPr>
                <w:rFonts w:hint="eastAsia" w:ascii="仿宋" w:hAnsi="仿宋" w:eastAsia="仿宋"/>
                <w:color w:val="auto"/>
                <w:sz w:val="21"/>
                <w:szCs w:val="21"/>
              </w:rPr>
              <w:t>总计</w:t>
            </w:r>
          </w:p>
        </w:tc>
        <w:tc>
          <w:tcPr>
            <w:tcW w:w="7436" w:type="dxa"/>
            <w:gridSpan w:val="4"/>
          </w:tcPr>
          <w:p>
            <w:pPr>
              <w:rPr>
                <w:rFonts w:ascii="仿宋" w:hAnsi="仿宋" w:eastAsia="仿宋"/>
                <w:color w:val="auto"/>
                <w:sz w:val="24"/>
                <w:szCs w:val="24"/>
              </w:rPr>
            </w:pPr>
          </w:p>
        </w:tc>
      </w:tr>
    </w:tbl>
    <w:p>
      <w:pPr>
        <w:snapToGrid w:val="0"/>
        <w:spacing w:line="500" w:lineRule="exact"/>
        <w:ind w:firstLine="480" w:firstLineChars="200"/>
        <w:rPr>
          <w:rFonts w:ascii="仿宋" w:hAnsi="仿宋" w:eastAsia="仿宋"/>
          <w:color w:val="auto"/>
          <w:sz w:val="24"/>
          <w:szCs w:val="24"/>
        </w:rPr>
      </w:pP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注：1.请供应商完整填写本表。</w:t>
      </w: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 xml:space="preserve">    2.该表可扩展</w:t>
      </w:r>
      <w:bookmarkStart w:id="102" w:name="OLE_LINK1"/>
      <w:bookmarkStart w:id="103" w:name="OLE_LINK2"/>
      <w:r>
        <w:rPr>
          <w:rFonts w:hint="eastAsia" w:ascii="仿宋" w:hAnsi="仿宋" w:eastAsia="仿宋"/>
          <w:color w:val="auto"/>
          <w:sz w:val="24"/>
          <w:szCs w:val="28"/>
        </w:rPr>
        <w:t>。</w:t>
      </w:r>
      <w:bookmarkEnd w:id="102"/>
      <w:bookmarkEnd w:id="103"/>
    </w:p>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 xml:space="preserve">                                               供应商名称（公章）：</w:t>
      </w:r>
    </w:p>
    <w:p>
      <w:pPr>
        <w:snapToGrid w:val="0"/>
        <w:spacing w:line="500" w:lineRule="exact"/>
        <w:ind w:firstLine="6240" w:firstLineChars="2600"/>
        <w:rPr>
          <w:rFonts w:ascii="仿宋" w:hAnsi="仿宋" w:eastAsia="仿宋"/>
          <w:color w:val="auto"/>
          <w:sz w:val="24"/>
          <w:szCs w:val="28"/>
        </w:rPr>
      </w:pPr>
      <w:r>
        <w:rPr>
          <w:rFonts w:hint="eastAsia" w:ascii="仿宋" w:hAnsi="仿宋" w:eastAsia="仿宋"/>
          <w:color w:val="auto"/>
          <w:sz w:val="24"/>
          <w:szCs w:val="28"/>
        </w:rPr>
        <w:t>年     月    日</w:t>
      </w:r>
    </w:p>
    <w:p>
      <w:pPr>
        <w:snapToGrid w:val="0"/>
        <w:spacing w:line="360" w:lineRule="auto"/>
        <w:ind w:firstLine="480" w:firstLineChars="200"/>
        <w:rPr>
          <w:rFonts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400" w:lineRule="exact"/>
        <w:rPr>
          <w:rFonts w:ascii="仿宋" w:hAnsi="仿宋" w:eastAsia="仿宋"/>
          <w:color w:val="auto"/>
          <w:sz w:val="24"/>
          <w:szCs w:val="24"/>
        </w:rPr>
      </w:pPr>
      <w:bookmarkStart w:id="104" w:name="_Toc313008357"/>
      <w:bookmarkStart w:id="105" w:name="_Toc18275"/>
      <w:bookmarkStart w:id="106" w:name="_Toc342913420"/>
      <w:bookmarkStart w:id="107" w:name="_Toc313888361"/>
      <w:r>
        <w:rPr>
          <w:rFonts w:hint="eastAsia" w:ascii="仿宋" w:hAnsi="仿宋" w:eastAsia="仿宋"/>
          <w:color w:val="auto"/>
          <w:sz w:val="24"/>
          <w:szCs w:val="24"/>
        </w:rPr>
        <w:t>二、服务部分</w:t>
      </w:r>
      <w:bookmarkEnd w:id="104"/>
      <w:bookmarkEnd w:id="105"/>
      <w:bookmarkEnd w:id="106"/>
      <w:bookmarkEnd w:id="107"/>
    </w:p>
    <w:p>
      <w:pPr>
        <w:snapToGrid w:val="0"/>
        <w:spacing w:line="360" w:lineRule="auto"/>
        <w:jc w:val="center"/>
        <w:rPr>
          <w:rFonts w:ascii="仿宋" w:hAnsi="仿宋" w:eastAsia="仿宋"/>
          <w:color w:val="auto"/>
          <w:sz w:val="24"/>
          <w:szCs w:val="24"/>
        </w:rPr>
      </w:pPr>
      <w:r>
        <w:rPr>
          <w:rFonts w:hint="eastAsia" w:ascii="仿宋" w:hAnsi="仿宋" w:eastAsia="仿宋"/>
          <w:color w:val="auto"/>
          <w:sz w:val="24"/>
          <w:szCs w:val="24"/>
        </w:rPr>
        <w:t>（一）服务方案（格式自定）</w:t>
      </w:r>
    </w:p>
    <w:p>
      <w:pPr>
        <w:tabs>
          <w:tab w:val="left" w:pos="6300"/>
        </w:tabs>
        <w:snapToGrid w:val="0"/>
        <w:spacing w:line="500" w:lineRule="exact"/>
        <w:ind w:firstLine="570"/>
        <w:rPr>
          <w:rFonts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（二）服务响应偏离表</w:t>
      </w:r>
    </w:p>
    <w:p>
      <w:pPr>
        <w:tabs>
          <w:tab w:val="left" w:pos="6300"/>
        </w:tabs>
        <w:snapToGrid w:val="0"/>
        <w:spacing w:line="500" w:lineRule="exact"/>
        <w:ind w:firstLine="482" w:firstLineChars="200"/>
        <w:jc w:val="center"/>
        <w:rPr>
          <w:rFonts w:hint="eastAsia" w:ascii="仿宋" w:hAnsi="仿宋" w:eastAsia="仿宋"/>
          <w:b/>
          <w:bCs/>
          <w:color w:val="auto"/>
          <w:sz w:val="24"/>
          <w:szCs w:val="24"/>
        </w:rPr>
      </w:pPr>
      <w:r>
        <w:rPr>
          <w:rFonts w:hint="eastAsia" w:ascii="仿宋" w:hAnsi="仿宋" w:eastAsia="仿宋"/>
          <w:b/>
          <w:bCs/>
          <w:color w:val="auto"/>
          <w:sz w:val="24"/>
          <w:szCs w:val="24"/>
        </w:rPr>
        <w:t>服务响应偏离表</w:t>
      </w:r>
    </w:p>
    <w:p>
      <w:pPr>
        <w:tabs>
          <w:tab w:val="left" w:pos="6300"/>
        </w:tabs>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项目编号：</w:t>
      </w:r>
    </w:p>
    <w:p>
      <w:pPr>
        <w:tabs>
          <w:tab w:val="left" w:pos="6300"/>
        </w:tabs>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序号</w:t>
            </w:r>
          </w:p>
        </w:tc>
        <w:tc>
          <w:tcPr>
            <w:tcW w:w="2658"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采购需求</w:t>
            </w:r>
          </w:p>
        </w:tc>
        <w:tc>
          <w:tcPr>
            <w:tcW w:w="2759"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响应情况</w:t>
            </w:r>
          </w:p>
        </w:tc>
        <w:tc>
          <w:tcPr>
            <w:tcW w:w="2067"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ascii="仿宋" w:hAnsi="仿宋" w:eastAsia="仿宋"/>
                <w:color w:val="auto"/>
                <w:sz w:val="24"/>
                <w:szCs w:val="24"/>
              </w:rPr>
            </w:pPr>
          </w:p>
        </w:tc>
      </w:tr>
    </w:tbl>
    <w:p>
      <w:pPr>
        <w:spacing w:line="500" w:lineRule="exact"/>
        <w:ind w:firstLine="600" w:firstLineChars="250"/>
        <w:rPr>
          <w:rFonts w:ascii="仿宋" w:hAnsi="仿宋" w:eastAsia="仿宋"/>
          <w:color w:val="auto"/>
          <w:sz w:val="24"/>
          <w:szCs w:val="28"/>
        </w:rPr>
      </w:pPr>
      <w:r>
        <w:rPr>
          <w:rFonts w:hint="eastAsia" w:ascii="仿宋" w:hAnsi="仿宋" w:eastAsia="仿宋"/>
          <w:color w:val="auto"/>
          <w:sz w:val="24"/>
          <w:szCs w:val="28"/>
        </w:rPr>
        <w:t>供应商：                                      法人授权代表：</w:t>
      </w:r>
    </w:p>
    <w:p>
      <w:pPr>
        <w:spacing w:line="500" w:lineRule="exact"/>
        <w:rPr>
          <w:rFonts w:ascii="仿宋" w:hAnsi="仿宋" w:eastAsia="仿宋"/>
          <w:color w:val="auto"/>
          <w:sz w:val="24"/>
          <w:szCs w:val="28"/>
        </w:rPr>
      </w:pPr>
    </w:p>
    <w:p>
      <w:pPr>
        <w:spacing w:line="500" w:lineRule="exact"/>
        <w:ind w:firstLine="720" w:firstLineChars="300"/>
        <w:rPr>
          <w:rFonts w:ascii="仿宋" w:hAnsi="仿宋" w:eastAsia="仿宋"/>
          <w:color w:val="auto"/>
          <w:sz w:val="24"/>
          <w:szCs w:val="28"/>
        </w:rPr>
      </w:pPr>
      <w:r>
        <w:rPr>
          <w:rFonts w:hint="eastAsia" w:ascii="仿宋" w:hAnsi="仿宋" w:eastAsia="仿宋"/>
          <w:color w:val="auto"/>
          <w:sz w:val="24"/>
          <w:szCs w:val="28"/>
        </w:rPr>
        <w:t>（供应商公章）                               （签字或盖章）</w:t>
      </w:r>
    </w:p>
    <w:p>
      <w:pPr>
        <w:tabs>
          <w:tab w:val="left" w:pos="6300"/>
        </w:tabs>
        <w:snapToGrid w:val="0"/>
        <w:spacing w:line="500" w:lineRule="exact"/>
        <w:ind w:firstLine="570"/>
        <w:rPr>
          <w:rFonts w:ascii="仿宋" w:hAnsi="仿宋" w:eastAsia="仿宋"/>
          <w:color w:val="auto"/>
          <w:sz w:val="24"/>
          <w:szCs w:val="28"/>
        </w:rPr>
      </w:pPr>
      <w:r>
        <w:rPr>
          <w:rFonts w:hint="eastAsia" w:ascii="仿宋" w:hAnsi="仿宋" w:eastAsia="仿宋"/>
          <w:color w:val="auto"/>
          <w:sz w:val="24"/>
          <w:szCs w:val="28"/>
        </w:rPr>
        <w:t xml:space="preserve">                                              年     月     日</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1.本表即为对本项目“第二篇  采购服务需求”中所列技术要求进行比较和响应；</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3.该表可扩展。</w:t>
      </w:r>
    </w:p>
    <w:p>
      <w:pPr>
        <w:tabs>
          <w:tab w:val="left" w:pos="6300"/>
        </w:tabs>
        <w:snapToGrid w:val="0"/>
        <w:spacing w:line="500" w:lineRule="exact"/>
        <w:ind w:firstLine="480" w:firstLineChars="200"/>
        <w:rPr>
          <w:rFonts w:ascii="仿宋" w:hAnsi="仿宋" w:eastAsia="仿宋"/>
          <w:color w:val="auto"/>
          <w:sz w:val="24"/>
        </w:rPr>
      </w:pPr>
    </w:p>
    <w:p>
      <w:pPr>
        <w:pStyle w:val="5"/>
        <w:spacing w:before="0" w:after="0" w:line="400" w:lineRule="exact"/>
        <w:rPr>
          <w:rFonts w:ascii="仿宋" w:hAnsi="仿宋" w:eastAsia="仿宋"/>
          <w:color w:val="auto"/>
          <w:sz w:val="24"/>
          <w:szCs w:val="24"/>
        </w:rPr>
      </w:pPr>
      <w:r>
        <w:rPr>
          <w:rFonts w:ascii="仿宋" w:hAnsi="仿宋" w:eastAsia="仿宋"/>
          <w:b w:val="0"/>
          <w:color w:val="auto"/>
          <w:sz w:val="24"/>
          <w:szCs w:val="24"/>
        </w:rPr>
        <w:br w:type="page"/>
      </w:r>
      <w:bookmarkStart w:id="108" w:name="_Toc313888362"/>
      <w:bookmarkStart w:id="109" w:name="_Toc13024"/>
      <w:bookmarkStart w:id="110" w:name="_Toc313008358"/>
      <w:bookmarkStart w:id="111" w:name="_Toc342913421"/>
      <w:r>
        <w:rPr>
          <w:rFonts w:hint="eastAsia" w:ascii="仿宋" w:hAnsi="仿宋" w:eastAsia="仿宋"/>
          <w:color w:val="auto"/>
          <w:sz w:val="24"/>
          <w:szCs w:val="24"/>
        </w:rPr>
        <w:t>三、商务部分</w:t>
      </w:r>
      <w:bookmarkEnd w:id="108"/>
      <w:bookmarkEnd w:id="109"/>
      <w:bookmarkEnd w:id="110"/>
      <w:bookmarkEnd w:id="111"/>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（一）</w:t>
      </w:r>
      <w:bookmarkStart w:id="112" w:name="_Toc283382459"/>
      <w:r>
        <w:rPr>
          <w:rFonts w:hint="eastAsia" w:ascii="仿宋" w:hAnsi="仿宋" w:eastAsia="仿宋"/>
          <w:color w:val="auto"/>
          <w:sz w:val="24"/>
          <w:szCs w:val="24"/>
        </w:rPr>
        <w:t>商务响应偏离表</w:t>
      </w:r>
    </w:p>
    <w:p>
      <w:pPr>
        <w:tabs>
          <w:tab w:val="left" w:pos="6300"/>
        </w:tabs>
        <w:snapToGrid w:val="0"/>
        <w:spacing w:line="500" w:lineRule="exact"/>
        <w:ind w:firstLine="482" w:firstLineChars="200"/>
        <w:jc w:val="center"/>
        <w:rPr>
          <w:rFonts w:ascii="仿宋" w:hAnsi="仿宋" w:eastAsia="仿宋"/>
          <w:b/>
          <w:bCs/>
          <w:color w:val="auto"/>
          <w:sz w:val="24"/>
          <w:szCs w:val="24"/>
        </w:rPr>
      </w:pPr>
      <w:r>
        <w:rPr>
          <w:rFonts w:hint="eastAsia" w:ascii="仿宋" w:hAnsi="仿宋" w:eastAsia="仿宋"/>
          <w:b/>
          <w:bCs/>
          <w:color w:val="auto"/>
          <w:sz w:val="24"/>
          <w:szCs w:val="24"/>
        </w:rPr>
        <w:t>商务响应偏离表</w:t>
      </w:r>
    </w:p>
    <w:p>
      <w:pPr>
        <w:tabs>
          <w:tab w:val="left" w:pos="6300"/>
        </w:tabs>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序号</w:t>
            </w:r>
          </w:p>
        </w:tc>
        <w:tc>
          <w:tcPr>
            <w:tcW w:w="3179"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磋商项目需求</w:t>
            </w:r>
          </w:p>
        </w:tc>
        <w:tc>
          <w:tcPr>
            <w:tcW w:w="2434"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响应情况</w:t>
            </w:r>
          </w:p>
        </w:tc>
        <w:tc>
          <w:tcPr>
            <w:tcW w:w="2355" w:type="dxa"/>
            <w:vAlign w:val="center"/>
          </w:tcPr>
          <w:p>
            <w:pPr>
              <w:tabs>
                <w:tab w:val="left" w:pos="6300"/>
              </w:tabs>
              <w:snapToGrid w:val="0"/>
              <w:spacing w:line="500" w:lineRule="exact"/>
              <w:jc w:val="center"/>
              <w:outlineLvl w:val="0"/>
              <w:rPr>
                <w:rFonts w:ascii="仿宋" w:hAnsi="仿宋" w:eastAsia="仿宋"/>
                <w:color w:val="auto"/>
                <w:sz w:val="21"/>
                <w:szCs w:val="21"/>
              </w:rPr>
            </w:pPr>
            <w:r>
              <w:rPr>
                <w:rFonts w:hint="eastAsia" w:ascii="仿宋" w:hAnsi="仿宋" w:eastAsia="仿宋"/>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ascii="仿宋" w:hAnsi="仿宋" w:eastAsia="仿宋"/>
                <w:color w:val="auto"/>
                <w:sz w:val="24"/>
                <w:szCs w:val="24"/>
              </w:rPr>
            </w:pPr>
          </w:p>
        </w:tc>
      </w:tr>
    </w:tbl>
    <w:p>
      <w:pPr>
        <w:snapToGrid w:val="0"/>
        <w:spacing w:line="360" w:lineRule="auto"/>
        <w:ind w:firstLine="465"/>
        <w:rPr>
          <w:rFonts w:ascii="仿宋" w:hAnsi="仿宋" w:eastAsia="仿宋"/>
          <w:color w:val="auto"/>
          <w:sz w:val="24"/>
          <w:szCs w:val="24"/>
        </w:rPr>
      </w:pP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供应商：                              </w:t>
      </w:r>
      <w:r>
        <w:rPr>
          <w:rFonts w:hint="eastAsia" w:ascii="仿宋" w:hAnsi="仿宋" w:eastAsia="仿宋"/>
          <w:color w:val="auto"/>
          <w:sz w:val="24"/>
          <w:lang w:eastAsia="zh-CN"/>
        </w:rPr>
        <w:t>法定代理人（负责人、或</w:t>
      </w:r>
      <w:r>
        <w:rPr>
          <w:rFonts w:hint="eastAsia" w:ascii="仿宋" w:hAnsi="仿宋" w:eastAsia="仿宋"/>
          <w:color w:val="auto"/>
          <w:sz w:val="24"/>
        </w:rPr>
        <w:t>授权代表</w:t>
      </w:r>
      <w:r>
        <w:rPr>
          <w:rFonts w:hint="eastAsia" w:ascii="仿宋" w:hAnsi="仿宋" w:eastAsia="仿宋"/>
          <w:color w:val="auto"/>
          <w:sz w:val="24"/>
          <w:lang w:eastAsia="zh-CN"/>
        </w:rPr>
        <w:t>）</w:t>
      </w:r>
      <w:r>
        <w:rPr>
          <w:rFonts w:hint="eastAsia" w:ascii="仿宋" w:hAnsi="仿宋" w:eastAsia="仿宋"/>
          <w:color w:val="auto"/>
          <w:sz w:val="24"/>
        </w:rPr>
        <w:t>：</w:t>
      </w:r>
    </w:p>
    <w:p>
      <w:pPr>
        <w:tabs>
          <w:tab w:val="left" w:pos="6300"/>
        </w:tabs>
        <w:snapToGrid w:val="0"/>
        <w:spacing w:line="500" w:lineRule="exact"/>
        <w:ind w:firstLine="480" w:firstLineChars="200"/>
        <w:rPr>
          <w:rFonts w:ascii="仿宋" w:hAnsi="仿宋" w:eastAsia="仿宋"/>
          <w:color w:val="auto"/>
          <w:sz w:val="24"/>
        </w:rPr>
      </w:pP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（供应商公章）                                 （签字或盖章）</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                                            年     月     日</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注：</w:t>
      </w:r>
    </w:p>
    <w:p>
      <w:pPr>
        <w:tabs>
          <w:tab w:val="left" w:pos="6300"/>
        </w:tabs>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1.本表即为对本项目“第三篇 采购商务需求”中所列服务要求进行比较和响应；</w:t>
      </w:r>
    </w:p>
    <w:p>
      <w:pPr>
        <w:tabs>
          <w:tab w:val="left" w:pos="6300"/>
        </w:tabs>
        <w:snapToGrid w:val="0"/>
        <w:spacing w:line="50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.该表可扩展。</w:t>
      </w: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rPr>
        <w:br w:type="page"/>
      </w:r>
      <w:r>
        <w:rPr>
          <w:rFonts w:hint="eastAsia" w:ascii="仿宋" w:hAnsi="仿宋" w:eastAsia="仿宋"/>
          <w:color w:val="auto"/>
          <w:sz w:val="24"/>
          <w:szCs w:val="24"/>
        </w:rPr>
        <w:t>（二）其它优惠承诺（格式自定）</w:t>
      </w:r>
    </w:p>
    <w:p>
      <w:pPr>
        <w:rPr>
          <w:rFonts w:ascii="仿宋" w:hAnsi="仿宋" w:eastAsia="仿宋"/>
          <w:color w:val="auto"/>
        </w:rPr>
      </w:pPr>
      <w:r>
        <w:rPr>
          <w:rFonts w:ascii="仿宋" w:hAnsi="仿宋" w:eastAsia="仿宋"/>
          <w:color w:val="auto"/>
        </w:rPr>
        <w:br w:type="page"/>
      </w:r>
      <w:bookmarkEnd w:id="112"/>
    </w:p>
    <w:p>
      <w:pPr>
        <w:pStyle w:val="5"/>
        <w:spacing w:before="0" w:after="0" w:line="400" w:lineRule="exact"/>
        <w:rPr>
          <w:rFonts w:ascii="仿宋" w:hAnsi="仿宋" w:eastAsia="仿宋"/>
          <w:color w:val="auto"/>
          <w:sz w:val="24"/>
          <w:szCs w:val="24"/>
        </w:rPr>
      </w:pPr>
      <w:bookmarkStart w:id="113" w:name="_Toc313888363"/>
      <w:bookmarkStart w:id="114" w:name="_Toc342913422"/>
      <w:bookmarkStart w:id="115" w:name="_Toc313008359"/>
      <w:bookmarkStart w:id="116" w:name="_Toc10146"/>
      <w:r>
        <w:rPr>
          <w:rFonts w:hint="eastAsia" w:ascii="仿宋" w:hAnsi="仿宋" w:eastAsia="仿宋"/>
          <w:color w:val="auto"/>
          <w:sz w:val="24"/>
          <w:szCs w:val="24"/>
        </w:rPr>
        <w:t>四、资格条件及其他</w:t>
      </w:r>
      <w:bookmarkEnd w:id="113"/>
      <w:bookmarkEnd w:id="114"/>
      <w:bookmarkEnd w:id="115"/>
      <w:bookmarkEnd w:id="116"/>
    </w:p>
    <w:p>
      <w:pPr>
        <w:snapToGrid w:val="0"/>
        <w:spacing w:line="360" w:lineRule="auto"/>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（一）营业执照（副本）或事业单位法人证书（副本）复印件或个体工商户营业执照</w:t>
      </w:r>
      <w:r>
        <w:rPr>
          <w:rFonts w:hint="eastAsia" w:ascii="仿宋" w:hAnsi="仿宋" w:eastAsia="仿宋"/>
          <w:color w:val="auto"/>
          <w:sz w:val="24"/>
          <w:szCs w:val="24"/>
          <w:lang w:eastAsia="zh-CN"/>
        </w:rPr>
        <w:t>或其他具备证明供应商具备独立承担民事责任能力的证件</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（二）组织机构代码证复印件</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（三）法定代表人</w:t>
      </w:r>
      <w:r>
        <w:rPr>
          <w:rFonts w:hint="eastAsia" w:ascii="仿宋" w:hAnsi="仿宋" w:eastAsia="仿宋"/>
          <w:color w:val="auto"/>
          <w:sz w:val="24"/>
          <w:szCs w:val="24"/>
          <w:lang w:eastAsia="zh-CN"/>
        </w:rPr>
        <w:t>（负责人）</w:t>
      </w:r>
      <w:r>
        <w:rPr>
          <w:rFonts w:hint="eastAsia" w:ascii="仿宋" w:hAnsi="仿宋" w:eastAsia="仿宋"/>
          <w:color w:val="auto"/>
          <w:sz w:val="24"/>
          <w:szCs w:val="24"/>
        </w:rPr>
        <w:t>身份证明书（格式）</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u w:val="single"/>
        </w:rPr>
        <w:t>（法定代表人姓名）</w:t>
      </w:r>
      <w:r>
        <w:rPr>
          <w:rFonts w:hint="eastAsia" w:ascii="仿宋" w:hAnsi="仿宋" w:eastAsia="仿宋"/>
          <w:color w:val="auto"/>
          <w:sz w:val="24"/>
          <w:szCs w:val="24"/>
        </w:rPr>
        <w:t>在</w:t>
      </w:r>
      <w:r>
        <w:rPr>
          <w:rFonts w:hint="eastAsia" w:ascii="仿宋" w:hAnsi="仿宋" w:eastAsia="仿宋"/>
          <w:color w:val="auto"/>
          <w:sz w:val="24"/>
          <w:szCs w:val="24"/>
          <w:u w:val="single"/>
        </w:rPr>
        <w:t>（供应商名称）</w:t>
      </w:r>
      <w:r>
        <w:rPr>
          <w:rFonts w:hint="eastAsia" w:ascii="仿宋" w:hAnsi="仿宋" w:eastAsia="仿宋"/>
          <w:color w:val="auto"/>
          <w:sz w:val="24"/>
          <w:szCs w:val="24"/>
        </w:rPr>
        <w:t>任</w:t>
      </w:r>
      <w:r>
        <w:rPr>
          <w:rFonts w:hint="eastAsia" w:ascii="仿宋" w:hAnsi="仿宋" w:eastAsia="仿宋"/>
          <w:color w:val="auto"/>
          <w:sz w:val="24"/>
          <w:szCs w:val="24"/>
          <w:u w:val="single"/>
        </w:rPr>
        <w:t xml:space="preserve"> （职务名称）</w:t>
      </w:r>
      <w:r>
        <w:rPr>
          <w:rFonts w:hint="eastAsia" w:ascii="仿宋" w:hAnsi="仿宋" w:eastAsia="仿宋"/>
          <w:color w:val="auto"/>
          <w:sz w:val="24"/>
          <w:szCs w:val="24"/>
        </w:rPr>
        <w:t>职务，是</w:t>
      </w:r>
      <w:r>
        <w:rPr>
          <w:rFonts w:hint="eastAsia" w:ascii="仿宋" w:hAnsi="仿宋" w:eastAsia="仿宋"/>
          <w:color w:val="auto"/>
          <w:sz w:val="24"/>
          <w:szCs w:val="24"/>
          <w:u w:val="single"/>
        </w:rPr>
        <w:t xml:space="preserve">（供应商名称）              </w:t>
      </w:r>
      <w:r>
        <w:rPr>
          <w:rFonts w:hint="eastAsia" w:ascii="仿宋" w:hAnsi="仿宋" w:eastAsia="仿宋"/>
          <w:color w:val="auto"/>
          <w:sz w:val="24"/>
          <w:szCs w:val="24"/>
        </w:rPr>
        <w:t>的法定代表人</w:t>
      </w:r>
      <w:r>
        <w:rPr>
          <w:rFonts w:hint="eastAsia" w:ascii="仿宋" w:hAnsi="仿宋" w:eastAsia="仿宋"/>
          <w:color w:val="auto"/>
          <w:sz w:val="24"/>
          <w:szCs w:val="24"/>
          <w:lang w:eastAsia="zh-CN"/>
        </w:rPr>
        <w:t>（负责人）</w:t>
      </w:r>
      <w:r>
        <w:rPr>
          <w:rFonts w:hint="eastAsia" w:ascii="仿宋" w:hAnsi="仿宋" w:eastAsia="仿宋"/>
          <w:color w:val="auto"/>
          <w:sz w:val="24"/>
          <w:szCs w:val="24"/>
        </w:rPr>
        <w:t>。</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特此证明。</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（供应商公章）</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                                             年   月   日</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（附：法定代表人身份证正反面复印件）</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br w:type="column"/>
      </w:r>
      <w:r>
        <w:rPr>
          <w:rFonts w:hint="eastAsia" w:ascii="仿宋" w:hAnsi="仿宋" w:eastAsia="仿宋"/>
          <w:color w:val="auto"/>
          <w:sz w:val="24"/>
          <w:szCs w:val="24"/>
        </w:rPr>
        <w:t>（四）法定代表人授权委托书（格式）</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项目名称：</w:t>
      </w: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u w:val="single"/>
        </w:rPr>
        <w:t>（供应商法定代表人名称）</w:t>
      </w:r>
      <w:r>
        <w:rPr>
          <w:rFonts w:hint="eastAsia" w:ascii="仿宋" w:hAnsi="仿宋" w:eastAsia="仿宋"/>
          <w:color w:val="auto"/>
          <w:sz w:val="24"/>
          <w:szCs w:val="24"/>
        </w:rPr>
        <w:t>是</w:t>
      </w:r>
      <w:r>
        <w:rPr>
          <w:rFonts w:hint="eastAsia" w:ascii="仿宋" w:hAnsi="仿宋" w:eastAsia="仿宋"/>
          <w:color w:val="auto"/>
          <w:sz w:val="24"/>
          <w:szCs w:val="24"/>
          <w:u w:val="single"/>
        </w:rPr>
        <w:t>（供应商名称）</w:t>
      </w:r>
      <w:r>
        <w:rPr>
          <w:rFonts w:hint="eastAsia" w:ascii="仿宋" w:hAnsi="仿宋" w:eastAsia="仿宋"/>
          <w:color w:val="auto"/>
          <w:sz w:val="24"/>
          <w:szCs w:val="24"/>
        </w:rPr>
        <w:t>的法定代表人，特授权</w:t>
      </w:r>
      <w:r>
        <w:rPr>
          <w:rFonts w:hint="eastAsia" w:ascii="仿宋" w:hAnsi="仿宋" w:eastAsia="仿宋"/>
          <w:color w:val="auto"/>
          <w:sz w:val="24"/>
          <w:szCs w:val="24"/>
          <w:u w:val="single"/>
        </w:rPr>
        <w:t>（被授权人姓名及身份证代码）</w:t>
      </w:r>
      <w:r>
        <w:rPr>
          <w:rFonts w:hint="eastAsia" w:ascii="仿宋" w:hAnsi="仿宋" w:eastAsia="仿宋"/>
          <w:color w:val="auto"/>
          <w:sz w:val="24"/>
          <w:szCs w:val="24"/>
        </w:rPr>
        <w:t>代表我单位全权办理上述项目的磋商、签约等具体工作，并签署全部有关文件、协议及合同。</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我单位对被授权人的签字负全部责任。</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被授权人：                                 供应商法定代表人：</w:t>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（签字或盖章）                                （签字或盖章）</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（附：被授权人身份证正反面复印件）</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snapToGrid w:val="0"/>
        <w:spacing w:line="360" w:lineRule="auto"/>
        <w:ind w:firstLine="7370" w:firstLineChars="3071"/>
        <w:rPr>
          <w:rFonts w:ascii="仿宋" w:hAnsi="仿宋" w:eastAsia="仿宋"/>
          <w:color w:val="auto"/>
          <w:sz w:val="24"/>
          <w:szCs w:val="24"/>
        </w:rPr>
      </w:pPr>
      <w:r>
        <w:rPr>
          <w:rFonts w:hint="eastAsia" w:ascii="仿宋" w:hAnsi="仿宋" w:eastAsia="仿宋"/>
          <w:color w:val="auto"/>
          <w:sz w:val="24"/>
          <w:szCs w:val="24"/>
        </w:rPr>
        <w:t>（供应商公章）</w:t>
      </w:r>
    </w:p>
    <w:p>
      <w:pPr>
        <w:snapToGrid w:val="0"/>
        <w:spacing w:line="360" w:lineRule="auto"/>
        <w:ind w:firstLine="7370" w:firstLineChars="3071"/>
        <w:rPr>
          <w:rFonts w:ascii="仿宋" w:hAnsi="仿宋" w:eastAsia="仿宋"/>
          <w:color w:val="auto"/>
          <w:sz w:val="24"/>
          <w:szCs w:val="24"/>
        </w:rPr>
      </w:pPr>
      <w:r>
        <w:rPr>
          <w:rFonts w:hint="eastAsia" w:ascii="仿宋" w:hAnsi="仿宋" w:eastAsia="仿宋"/>
          <w:color w:val="auto"/>
          <w:sz w:val="24"/>
          <w:szCs w:val="24"/>
        </w:rPr>
        <w:t>年   月   日</w:t>
      </w:r>
    </w:p>
    <w:p>
      <w:pPr>
        <w:tabs>
          <w:tab w:val="left" w:pos="6300"/>
        </w:tabs>
        <w:snapToGrid w:val="0"/>
        <w:spacing w:line="500" w:lineRule="exact"/>
        <w:ind w:right="480" w:firstLine="570"/>
        <w:jc w:val="right"/>
        <w:rPr>
          <w:rFonts w:ascii="仿宋" w:hAnsi="仿宋" w:eastAsia="仿宋"/>
          <w:color w:val="auto"/>
          <w:sz w:val="24"/>
          <w:szCs w:val="24"/>
        </w:rPr>
      </w:pPr>
    </w:p>
    <w:p>
      <w:pPr>
        <w:snapToGrid w:val="0"/>
        <w:spacing w:line="360" w:lineRule="auto"/>
        <w:ind w:firstLine="480" w:firstLineChars="200"/>
        <w:rPr>
          <w:rFonts w:ascii="仿宋" w:hAnsi="仿宋" w:eastAsia="仿宋"/>
          <w:color w:val="auto"/>
        </w:rPr>
      </w:pPr>
      <w:r>
        <w:rPr>
          <w:rFonts w:ascii="仿宋" w:hAnsi="仿宋" w:eastAsia="仿宋"/>
          <w:color w:val="auto"/>
          <w:sz w:val="24"/>
          <w:szCs w:val="24"/>
        </w:rPr>
        <w:br w:type="column"/>
      </w:r>
      <w:r>
        <w:rPr>
          <w:rFonts w:hint="eastAsia" w:ascii="仿宋" w:hAnsi="仿宋" w:eastAsia="仿宋"/>
          <w:color w:val="auto"/>
          <w:sz w:val="24"/>
          <w:szCs w:val="24"/>
        </w:rPr>
        <w:t>（五）</w:t>
      </w:r>
      <w:r>
        <w:rPr>
          <w:rFonts w:hint="eastAsia" w:ascii="仿宋" w:hAnsi="仿宋" w:eastAsia="仿宋"/>
          <w:color w:val="auto"/>
        </w:rPr>
        <w:t>基本资格条件承诺函</w:t>
      </w:r>
    </w:p>
    <w:p>
      <w:pPr>
        <w:tabs>
          <w:tab w:val="left" w:pos="6300"/>
        </w:tabs>
        <w:snapToGrid w:val="0"/>
        <w:spacing w:line="530" w:lineRule="exact"/>
        <w:jc w:val="center"/>
        <w:rPr>
          <w:rFonts w:ascii="仿宋" w:hAnsi="仿宋" w:eastAsia="仿宋" w:cs="仿宋"/>
          <w:color w:val="auto"/>
          <w:sz w:val="24"/>
          <w:szCs w:val="24"/>
        </w:rPr>
      </w:pPr>
      <w:r>
        <w:rPr>
          <w:rFonts w:hint="eastAsia" w:ascii="仿宋" w:hAnsi="仿宋" w:eastAsia="仿宋" w:cs="仿宋"/>
          <w:color w:val="auto"/>
          <w:sz w:val="24"/>
          <w:szCs w:val="24"/>
        </w:rPr>
        <w:t>基本资格条件承诺函</w:t>
      </w:r>
    </w:p>
    <w:p>
      <w:pPr>
        <w:tabs>
          <w:tab w:val="left" w:pos="6300"/>
        </w:tabs>
        <w:snapToGrid w:val="0"/>
        <w:spacing w:line="530" w:lineRule="exact"/>
        <w:rPr>
          <w:rFonts w:ascii="仿宋" w:hAnsi="仿宋" w:eastAsia="仿宋" w:cs="仿宋"/>
          <w:color w:val="auto"/>
          <w:sz w:val="24"/>
          <w:szCs w:val="24"/>
        </w:rPr>
      </w:pPr>
    </w:p>
    <w:p>
      <w:pPr>
        <w:tabs>
          <w:tab w:val="left" w:pos="6300"/>
        </w:tabs>
        <w:snapToGrid w:val="0"/>
        <w:spacing w:line="530" w:lineRule="exact"/>
        <w:rPr>
          <w:rFonts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pPr>
        <w:tabs>
          <w:tab w:val="left" w:pos="6300"/>
        </w:tabs>
        <w:snapToGrid w:val="0"/>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（供应商名称）郑重承诺：</w:t>
      </w:r>
    </w:p>
    <w:p>
      <w:pPr>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pPr>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pPr>
        <w:tabs>
          <w:tab w:val="left" w:pos="6300"/>
        </w:tabs>
        <w:snapToGrid w:val="0"/>
        <w:spacing w:line="53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特此承诺。</w:t>
      </w:r>
    </w:p>
    <w:p>
      <w:pPr>
        <w:tabs>
          <w:tab w:val="left" w:pos="6300"/>
        </w:tabs>
        <w:snapToGrid w:val="0"/>
        <w:spacing w:line="530" w:lineRule="exact"/>
        <w:rPr>
          <w:rFonts w:ascii="仿宋" w:hAnsi="仿宋" w:eastAsia="仿宋" w:cs="仿宋"/>
          <w:color w:val="auto"/>
          <w:sz w:val="24"/>
          <w:szCs w:val="24"/>
        </w:rPr>
      </w:pPr>
    </w:p>
    <w:p>
      <w:pPr>
        <w:tabs>
          <w:tab w:val="left" w:pos="6300"/>
        </w:tabs>
        <w:snapToGrid w:val="0"/>
        <w:spacing w:line="530" w:lineRule="exact"/>
        <w:ind w:right="424" w:firstLine="570"/>
        <w:jc w:val="right"/>
        <w:rPr>
          <w:rFonts w:ascii="仿宋" w:hAnsi="仿宋" w:eastAsia="仿宋" w:cs="仿宋"/>
          <w:color w:val="auto"/>
          <w:sz w:val="24"/>
          <w:szCs w:val="24"/>
        </w:rPr>
      </w:pPr>
      <w:r>
        <w:rPr>
          <w:rFonts w:hint="eastAsia" w:ascii="仿宋" w:hAnsi="仿宋" w:eastAsia="仿宋" w:cs="仿宋"/>
          <w:color w:val="auto"/>
          <w:sz w:val="24"/>
          <w:szCs w:val="24"/>
        </w:rPr>
        <w:t>（供应商公章）</w:t>
      </w:r>
    </w:p>
    <w:p>
      <w:pPr>
        <w:snapToGrid w:val="0"/>
        <w:spacing w:line="360" w:lineRule="auto"/>
        <w:ind w:firstLine="7440" w:firstLineChars="3100"/>
        <w:rPr>
          <w:rFonts w:ascii="仿宋" w:hAnsi="仿宋" w:eastAsia="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p>
    <w:p>
      <w:pPr>
        <w:tabs>
          <w:tab w:val="left" w:pos="6300"/>
        </w:tabs>
        <w:snapToGrid w:val="0"/>
        <w:spacing w:line="500" w:lineRule="exact"/>
        <w:ind w:firstLine="570"/>
        <w:jc w:val="center"/>
        <w:rPr>
          <w:rFonts w:ascii="仿宋" w:hAnsi="仿宋" w:eastAsia="仿宋"/>
          <w:color w:val="auto"/>
          <w:sz w:val="24"/>
          <w:szCs w:val="24"/>
        </w:rPr>
      </w:pPr>
      <w:r>
        <w:rPr>
          <w:rFonts w:ascii="仿宋" w:hAnsi="仿宋" w:eastAsia="仿宋"/>
          <w:color w:val="auto"/>
          <w:sz w:val="24"/>
          <w:szCs w:val="24"/>
        </w:rPr>
        <w:br w:type="page"/>
      </w: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（六）特定资格条件证书或证明文件</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说明：供应商按“三证合一”登记制度办理营业执照的，组织机构代码证和税务登记证以供应商所提供的营业执照（副本）复印件为准。</w:t>
      </w:r>
    </w:p>
    <w:p>
      <w:pPr>
        <w:pStyle w:val="5"/>
        <w:spacing w:before="0" w:after="0" w:line="400" w:lineRule="exact"/>
        <w:rPr>
          <w:rFonts w:ascii="仿宋" w:hAnsi="仿宋" w:eastAsia="仿宋"/>
          <w:color w:val="auto"/>
          <w:sz w:val="24"/>
          <w:szCs w:val="24"/>
        </w:rPr>
      </w:pPr>
      <w:bookmarkStart w:id="117" w:name="_Toc23711"/>
      <w:r>
        <w:rPr>
          <w:rFonts w:hint="eastAsia" w:ascii="仿宋" w:hAnsi="仿宋" w:eastAsia="仿宋"/>
          <w:color w:val="auto"/>
          <w:sz w:val="24"/>
          <w:szCs w:val="24"/>
        </w:rPr>
        <w:t>五、其他资料</w:t>
      </w:r>
      <w:bookmarkEnd w:id="117"/>
    </w:p>
    <w:p>
      <w:pPr>
        <w:snapToGri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其他与项目有关的资料</w:t>
      </w: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rPr>
          <w:rFonts w:ascii="仿宋" w:hAnsi="仿宋" w:eastAsia="仿宋"/>
          <w:color w:val="auto"/>
          <w:sz w:val="24"/>
          <w:szCs w:val="24"/>
        </w:rPr>
      </w:pPr>
    </w:p>
    <w:p>
      <w:pPr>
        <w:snapToGrid w:val="0"/>
        <w:spacing w:line="360" w:lineRule="auto"/>
        <w:ind w:firstLine="480" w:firstLineChars="200"/>
        <w:jc w:val="center"/>
        <w:rPr>
          <w:rFonts w:ascii="仿宋" w:hAnsi="仿宋" w:eastAsia="仿宋"/>
          <w:color w:val="auto"/>
          <w:sz w:val="24"/>
          <w:szCs w:val="24"/>
        </w:rPr>
      </w:pPr>
      <w:r>
        <w:rPr>
          <w:rFonts w:hint="eastAsia" w:ascii="仿宋" w:hAnsi="仿宋" w:eastAsia="仿宋"/>
          <w:color w:val="auto"/>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方正楷体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方正黑体_GBK"/>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- 7 -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4"/>
        <w:szCs w:val="24"/>
      </w:rPr>
    </w:pPr>
    <w:r>
      <w:rPr>
        <w:rFonts w:hint="eastAsia" w:ascii="仿宋" w:hAnsi="仿宋" w:eastAsia="仿宋"/>
        <w:sz w:val="24"/>
        <w:szCs w:val="24"/>
      </w:rPr>
      <w:t xml:space="preserve">重庆道一招标代理有限公司 </w:t>
    </w:r>
    <w:r>
      <w:rPr>
        <w:rFonts w:ascii="仿宋" w:hAnsi="仿宋" w:eastAsia="仿宋"/>
        <w:sz w:val="24"/>
        <w:szCs w:val="24"/>
      </w:rPr>
      <w:t xml:space="preserve">                                  </w:t>
    </w:r>
    <w:r>
      <w:rPr>
        <w:rFonts w:hint="eastAsia" w:ascii="仿宋" w:hAnsi="仿宋" w:eastAsia="仿宋"/>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FAA4"/>
    <w:multiLevelType w:val="singleLevel"/>
    <w:tmpl w:val="EEFDFAA4"/>
    <w:lvl w:ilvl="0" w:tentative="0">
      <w:start w:val="1"/>
      <w:numFmt w:val="decimal"/>
      <w:lvlText w:val="%1."/>
      <w:lvlJc w:val="left"/>
      <w:pPr>
        <w:tabs>
          <w:tab w:val="left" w:pos="312"/>
        </w:tabs>
      </w:pPr>
    </w:lvl>
  </w:abstractNum>
  <w:abstractNum w:abstractNumId="1">
    <w:nsid w:val="EF79CD10"/>
    <w:multiLevelType w:val="singleLevel"/>
    <w:tmpl w:val="EF79CD10"/>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2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201"/>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10"/>
  </w:num>
  <w:num w:numId="4">
    <w:abstractNumId w:val="2"/>
  </w:num>
  <w:num w:numId="5">
    <w:abstractNumId w:val="6"/>
  </w:num>
  <w:num w:numId="6">
    <w:abstractNumId w:val="8"/>
  </w:num>
  <w:num w:numId="7">
    <w:abstractNumId w:val="3"/>
  </w:num>
  <w:num w:numId="8">
    <w:abstractNumId w:val="7"/>
  </w:num>
  <w:num w:numId="9">
    <w:abstractNumId w:val="11"/>
  </w:num>
  <w:num w:numId="10">
    <w:abstractNumId w:val="4"/>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s>
  <w:rsids>
    <w:rsidRoot w:val="00172A27"/>
    <w:rsid w:val="000040DE"/>
    <w:rsid w:val="00005010"/>
    <w:rsid w:val="00005551"/>
    <w:rsid w:val="000075E8"/>
    <w:rsid w:val="00011B4B"/>
    <w:rsid w:val="000121F4"/>
    <w:rsid w:val="00015708"/>
    <w:rsid w:val="00016B79"/>
    <w:rsid w:val="000176C2"/>
    <w:rsid w:val="00017816"/>
    <w:rsid w:val="00017E54"/>
    <w:rsid w:val="0002104A"/>
    <w:rsid w:val="00022F8B"/>
    <w:rsid w:val="0002439B"/>
    <w:rsid w:val="000257C0"/>
    <w:rsid w:val="00025B2E"/>
    <w:rsid w:val="00031DB4"/>
    <w:rsid w:val="000344ED"/>
    <w:rsid w:val="0003632F"/>
    <w:rsid w:val="00041440"/>
    <w:rsid w:val="00041F47"/>
    <w:rsid w:val="000434B7"/>
    <w:rsid w:val="00046065"/>
    <w:rsid w:val="000462E9"/>
    <w:rsid w:val="0004789B"/>
    <w:rsid w:val="0005298B"/>
    <w:rsid w:val="000534BC"/>
    <w:rsid w:val="0005417C"/>
    <w:rsid w:val="000576E1"/>
    <w:rsid w:val="00057DAB"/>
    <w:rsid w:val="00061961"/>
    <w:rsid w:val="00062F35"/>
    <w:rsid w:val="00063981"/>
    <w:rsid w:val="00067465"/>
    <w:rsid w:val="000719B4"/>
    <w:rsid w:val="00071FB3"/>
    <w:rsid w:val="000734F3"/>
    <w:rsid w:val="000740B3"/>
    <w:rsid w:val="000745E1"/>
    <w:rsid w:val="0007619B"/>
    <w:rsid w:val="000811E5"/>
    <w:rsid w:val="00081875"/>
    <w:rsid w:val="00090C5A"/>
    <w:rsid w:val="00091B1C"/>
    <w:rsid w:val="0009534C"/>
    <w:rsid w:val="000960F8"/>
    <w:rsid w:val="000A13C9"/>
    <w:rsid w:val="000A1638"/>
    <w:rsid w:val="000A164E"/>
    <w:rsid w:val="000A2A58"/>
    <w:rsid w:val="000A6407"/>
    <w:rsid w:val="000A6A3C"/>
    <w:rsid w:val="000A6FAC"/>
    <w:rsid w:val="000A7957"/>
    <w:rsid w:val="000A7A1B"/>
    <w:rsid w:val="000B1347"/>
    <w:rsid w:val="000B42F4"/>
    <w:rsid w:val="000B7377"/>
    <w:rsid w:val="000B7F42"/>
    <w:rsid w:val="000B7F54"/>
    <w:rsid w:val="000C00EA"/>
    <w:rsid w:val="000C58C9"/>
    <w:rsid w:val="000C6A03"/>
    <w:rsid w:val="000D5914"/>
    <w:rsid w:val="000E01C9"/>
    <w:rsid w:val="000E3259"/>
    <w:rsid w:val="000E6553"/>
    <w:rsid w:val="000F0181"/>
    <w:rsid w:val="000F1C3E"/>
    <w:rsid w:val="000F3CD3"/>
    <w:rsid w:val="000F7DBF"/>
    <w:rsid w:val="0010014A"/>
    <w:rsid w:val="00100639"/>
    <w:rsid w:val="00105174"/>
    <w:rsid w:val="001052B4"/>
    <w:rsid w:val="0010750E"/>
    <w:rsid w:val="001101AE"/>
    <w:rsid w:val="00111BC6"/>
    <w:rsid w:val="00116856"/>
    <w:rsid w:val="00120003"/>
    <w:rsid w:val="00120259"/>
    <w:rsid w:val="00120463"/>
    <w:rsid w:val="001218AA"/>
    <w:rsid w:val="00122F7E"/>
    <w:rsid w:val="00123679"/>
    <w:rsid w:val="00124BB1"/>
    <w:rsid w:val="001266BF"/>
    <w:rsid w:val="0012795A"/>
    <w:rsid w:val="00133D16"/>
    <w:rsid w:val="00134D29"/>
    <w:rsid w:val="001415D5"/>
    <w:rsid w:val="00144004"/>
    <w:rsid w:val="00147FB4"/>
    <w:rsid w:val="0015011C"/>
    <w:rsid w:val="00150429"/>
    <w:rsid w:val="00151AB9"/>
    <w:rsid w:val="001572BD"/>
    <w:rsid w:val="001606CE"/>
    <w:rsid w:val="001629DB"/>
    <w:rsid w:val="00163B02"/>
    <w:rsid w:val="00164F9D"/>
    <w:rsid w:val="0016545E"/>
    <w:rsid w:val="001670F0"/>
    <w:rsid w:val="00171FE3"/>
    <w:rsid w:val="00172A27"/>
    <w:rsid w:val="001731DD"/>
    <w:rsid w:val="00175802"/>
    <w:rsid w:val="00175C32"/>
    <w:rsid w:val="00177975"/>
    <w:rsid w:val="00177DE8"/>
    <w:rsid w:val="00180ACB"/>
    <w:rsid w:val="00184B2B"/>
    <w:rsid w:val="00186623"/>
    <w:rsid w:val="001879FD"/>
    <w:rsid w:val="00192AD1"/>
    <w:rsid w:val="00195252"/>
    <w:rsid w:val="001973A8"/>
    <w:rsid w:val="001A2EC7"/>
    <w:rsid w:val="001A6DCC"/>
    <w:rsid w:val="001B3DBD"/>
    <w:rsid w:val="001B4377"/>
    <w:rsid w:val="001B4709"/>
    <w:rsid w:val="001B69E1"/>
    <w:rsid w:val="001C0E97"/>
    <w:rsid w:val="001C100F"/>
    <w:rsid w:val="001C1C8D"/>
    <w:rsid w:val="001C3AD7"/>
    <w:rsid w:val="001C565C"/>
    <w:rsid w:val="001D2321"/>
    <w:rsid w:val="001D2DCD"/>
    <w:rsid w:val="001D38C6"/>
    <w:rsid w:val="001D5055"/>
    <w:rsid w:val="001D630C"/>
    <w:rsid w:val="001D7AFF"/>
    <w:rsid w:val="001E14D1"/>
    <w:rsid w:val="001E201B"/>
    <w:rsid w:val="001E5CAC"/>
    <w:rsid w:val="001E6005"/>
    <w:rsid w:val="001E725F"/>
    <w:rsid w:val="001F06A3"/>
    <w:rsid w:val="001F0F99"/>
    <w:rsid w:val="001F17D0"/>
    <w:rsid w:val="001F1AF7"/>
    <w:rsid w:val="001F4964"/>
    <w:rsid w:val="001F5A3B"/>
    <w:rsid w:val="001F7063"/>
    <w:rsid w:val="001F7189"/>
    <w:rsid w:val="002019EC"/>
    <w:rsid w:val="00202B04"/>
    <w:rsid w:val="00204936"/>
    <w:rsid w:val="002100EE"/>
    <w:rsid w:val="00211BE1"/>
    <w:rsid w:val="00214249"/>
    <w:rsid w:val="002145B7"/>
    <w:rsid w:val="0021704D"/>
    <w:rsid w:val="00222097"/>
    <w:rsid w:val="00222574"/>
    <w:rsid w:val="00226EB2"/>
    <w:rsid w:val="00226F87"/>
    <w:rsid w:val="002302DB"/>
    <w:rsid w:val="00230449"/>
    <w:rsid w:val="002348E0"/>
    <w:rsid w:val="00236359"/>
    <w:rsid w:val="0023705D"/>
    <w:rsid w:val="00242F23"/>
    <w:rsid w:val="00243EF9"/>
    <w:rsid w:val="0024410D"/>
    <w:rsid w:val="002443B2"/>
    <w:rsid w:val="00250B3B"/>
    <w:rsid w:val="00250E69"/>
    <w:rsid w:val="00253617"/>
    <w:rsid w:val="0025635E"/>
    <w:rsid w:val="002630A6"/>
    <w:rsid w:val="002643C1"/>
    <w:rsid w:val="00265203"/>
    <w:rsid w:val="00271D47"/>
    <w:rsid w:val="002721EA"/>
    <w:rsid w:val="00273F0E"/>
    <w:rsid w:val="00274D32"/>
    <w:rsid w:val="00276BAA"/>
    <w:rsid w:val="0028054E"/>
    <w:rsid w:val="00280E8A"/>
    <w:rsid w:val="0028215A"/>
    <w:rsid w:val="00285164"/>
    <w:rsid w:val="00290EDE"/>
    <w:rsid w:val="002969C3"/>
    <w:rsid w:val="002A002D"/>
    <w:rsid w:val="002A25E4"/>
    <w:rsid w:val="002A487F"/>
    <w:rsid w:val="002A4956"/>
    <w:rsid w:val="002A6710"/>
    <w:rsid w:val="002A7019"/>
    <w:rsid w:val="002A7892"/>
    <w:rsid w:val="002B1A44"/>
    <w:rsid w:val="002B67B9"/>
    <w:rsid w:val="002B7904"/>
    <w:rsid w:val="002C2507"/>
    <w:rsid w:val="002C2766"/>
    <w:rsid w:val="002C2E6E"/>
    <w:rsid w:val="002C3735"/>
    <w:rsid w:val="002C38ED"/>
    <w:rsid w:val="002C45CE"/>
    <w:rsid w:val="002D0D79"/>
    <w:rsid w:val="002D7725"/>
    <w:rsid w:val="002D799E"/>
    <w:rsid w:val="002E1CF8"/>
    <w:rsid w:val="002E6F8D"/>
    <w:rsid w:val="002E7616"/>
    <w:rsid w:val="002F324F"/>
    <w:rsid w:val="002F3DE3"/>
    <w:rsid w:val="002F55A1"/>
    <w:rsid w:val="002F632E"/>
    <w:rsid w:val="002F7FB9"/>
    <w:rsid w:val="00300989"/>
    <w:rsid w:val="003011F6"/>
    <w:rsid w:val="00302FB8"/>
    <w:rsid w:val="00310AF9"/>
    <w:rsid w:val="003110C7"/>
    <w:rsid w:val="00312C54"/>
    <w:rsid w:val="0031465E"/>
    <w:rsid w:val="0031552D"/>
    <w:rsid w:val="00315742"/>
    <w:rsid w:val="003163B3"/>
    <w:rsid w:val="003166E9"/>
    <w:rsid w:val="003175B7"/>
    <w:rsid w:val="00320B96"/>
    <w:rsid w:val="00321335"/>
    <w:rsid w:val="00322A7A"/>
    <w:rsid w:val="003233EC"/>
    <w:rsid w:val="00325123"/>
    <w:rsid w:val="0032722E"/>
    <w:rsid w:val="003276FC"/>
    <w:rsid w:val="00334A1E"/>
    <w:rsid w:val="00336626"/>
    <w:rsid w:val="0033785D"/>
    <w:rsid w:val="00337BD5"/>
    <w:rsid w:val="00341DEB"/>
    <w:rsid w:val="003434CB"/>
    <w:rsid w:val="00345342"/>
    <w:rsid w:val="00346A3D"/>
    <w:rsid w:val="00347F74"/>
    <w:rsid w:val="00350C20"/>
    <w:rsid w:val="003548FA"/>
    <w:rsid w:val="003549FE"/>
    <w:rsid w:val="00354DF9"/>
    <w:rsid w:val="00355A74"/>
    <w:rsid w:val="00355F8E"/>
    <w:rsid w:val="00361427"/>
    <w:rsid w:val="0036458B"/>
    <w:rsid w:val="003679DE"/>
    <w:rsid w:val="00371D2F"/>
    <w:rsid w:val="00375A18"/>
    <w:rsid w:val="0038033A"/>
    <w:rsid w:val="00383024"/>
    <w:rsid w:val="00384161"/>
    <w:rsid w:val="00387610"/>
    <w:rsid w:val="00387CB6"/>
    <w:rsid w:val="003948D9"/>
    <w:rsid w:val="0039513E"/>
    <w:rsid w:val="00395C2F"/>
    <w:rsid w:val="003970F2"/>
    <w:rsid w:val="003973D3"/>
    <w:rsid w:val="003A0892"/>
    <w:rsid w:val="003A0CC3"/>
    <w:rsid w:val="003A449E"/>
    <w:rsid w:val="003A71F3"/>
    <w:rsid w:val="003B19F5"/>
    <w:rsid w:val="003B5EAF"/>
    <w:rsid w:val="003C4138"/>
    <w:rsid w:val="003C484C"/>
    <w:rsid w:val="003C4B53"/>
    <w:rsid w:val="003C5807"/>
    <w:rsid w:val="003C59BE"/>
    <w:rsid w:val="003D0E0A"/>
    <w:rsid w:val="003D3B22"/>
    <w:rsid w:val="003E315A"/>
    <w:rsid w:val="003F0F56"/>
    <w:rsid w:val="003F357B"/>
    <w:rsid w:val="003F3DEB"/>
    <w:rsid w:val="004016AA"/>
    <w:rsid w:val="00402B32"/>
    <w:rsid w:val="0040307B"/>
    <w:rsid w:val="004064A9"/>
    <w:rsid w:val="00406C9C"/>
    <w:rsid w:val="00410C93"/>
    <w:rsid w:val="00411B4A"/>
    <w:rsid w:val="0041300A"/>
    <w:rsid w:val="00413E96"/>
    <w:rsid w:val="00417E99"/>
    <w:rsid w:val="00420063"/>
    <w:rsid w:val="00421166"/>
    <w:rsid w:val="00423014"/>
    <w:rsid w:val="00427935"/>
    <w:rsid w:val="00427D21"/>
    <w:rsid w:val="004324EB"/>
    <w:rsid w:val="00433D94"/>
    <w:rsid w:val="00434340"/>
    <w:rsid w:val="00436D61"/>
    <w:rsid w:val="004421B7"/>
    <w:rsid w:val="00443662"/>
    <w:rsid w:val="00445237"/>
    <w:rsid w:val="0044695E"/>
    <w:rsid w:val="00446B49"/>
    <w:rsid w:val="004540B5"/>
    <w:rsid w:val="004545B0"/>
    <w:rsid w:val="004568FE"/>
    <w:rsid w:val="00460DBE"/>
    <w:rsid w:val="00462878"/>
    <w:rsid w:val="00462D18"/>
    <w:rsid w:val="00465B7A"/>
    <w:rsid w:val="00466F62"/>
    <w:rsid w:val="00472285"/>
    <w:rsid w:val="004725F6"/>
    <w:rsid w:val="00472AA2"/>
    <w:rsid w:val="004769D2"/>
    <w:rsid w:val="00480686"/>
    <w:rsid w:val="00481FB3"/>
    <w:rsid w:val="00484448"/>
    <w:rsid w:val="0048493C"/>
    <w:rsid w:val="00486A92"/>
    <w:rsid w:val="00492BEA"/>
    <w:rsid w:val="004953EC"/>
    <w:rsid w:val="00495813"/>
    <w:rsid w:val="00496F75"/>
    <w:rsid w:val="004A039A"/>
    <w:rsid w:val="004A0D29"/>
    <w:rsid w:val="004A0DE1"/>
    <w:rsid w:val="004A1650"/>
    <w:rsid w:val="004A2410"/>
    <w:rsid w:val="004A27AC"/>
    <w:rsid w:val="004A6795"/>
    <w:rsid w:val="004A7DFE"/>
    <w:rsid w:val="004A7F78"/>
    <w:rsid w:val="004B176E"/>
    <w:rsid w:val="004B4599"/>
    <w:rsid w:val="004B5B97"/>
    <w:rsid w:val="004C0B17"/>
    <w:rsid w:val="004C1DD0"/>
    <w:rsid w:val="004C2425"/>
    <w:rsid w:val="004C64E4"/>
    <w:rsid w:val="004D1C13"/>
    <w:rsid w:val="004D7749"/>
    <w:rsid w:val="004E156F"/>
    <w:rsid w:val="004E2102"/>
    <w:rsid w:val="004E4561"/>
    <w:rsid w:val="004E4806"/>
    <w:rsid w:val="004E55DB"/>
    <w:rsid w:val="004E7A58"/>
    <w:rsid w:val="004F161C"/>
    <w:rsid w:val="004F27E0"/>
    <w:rsid w:val="004F2A6B"/>
    <w:rsid w:val="004F342A"/>
    <w:rsid w:val="004F4F7F"/>
    <w:rsid w:val="005017D9"/>
    <w:rsid w:val="00502B2F"/>
    <w:rsid w:val="00502CAD"/>
    <w:rsid w:val="00502CB6"/>
    <w:rsid w:val="0051227F"/>
    <w:rsid w:val="00512D00"/>
    <w:rsid w:val="00514179"/>
    <w:rsid w:val="0051425E"/>
    <w:rsid w:val="00517114"/>
    <w:rsid w:val="00522E65"/>
    <w:rsid w:val="00527971"/>
    <w:rsid w:val="00527B14"/>
    <w:rsid w:val="005344A5"/>
    <w:rsid w:val="00543E97"/>
    <w:rsid w:val="00544BEA"/>
    <w:rsid w:val="005460D5"/>
    <w:rsid w:val="00546AAD"/>
    <w:rsid w:val="0054714B"/>
    <w:rsid w:val="00554B95"/>
    <w:rsid w:val="005568A8"/>
    <w:rsid w:val="00563B3F"/>
    <w:rsid w:val="00565F40"/>
    <w:rsid w:val="00566A85"/>
    <w:rsid w:val="00567F0E"/>
    <w:rsid w:val="00572CDF"/>
    <w:rsid w:val="00573A7B"/>
    <w:rsid w:val="00573AE3"/>
    <w:rsid w:val="00574E73"/>
    <w:rsid w:val="00575B40"/>
    <w:rsid w:val="0057608D"/>
    <w:rsid w:val="00576D7C"/>
    <w:rsid w:val="00583BA1"/>
    <w:rsid w:val="005841CB"/>
    <w:rsid w:val="00586747"/>
    <w:rsid w:val="005902D9"/>
    <w:rsid w:val="005920A1"/>
    <w:rsid w:val="0059225F"/>
    <w:rsid w:val="0059339D"/>
    <w:rsid w:val="00596AB7"/>
    <w:rsid w:val="005A000D"/>
    <w:rsid w:val="005A1DA2"/>
    <w:rsid w:val="005A1EA7"/>
    <w:rsid w:val="005A5FAF"/>
    <w:rsid w:val="005B0724"/>
    <w:rsid w:val="005B1BB3"/>
    <w:rsid w:val="005B1E46"/>
    <w:rsid w:val="005B25D2"/>
    <w:rsid w:val="005C0483"/>
    <w:rsid w:val="005C1B86"/>
    <w:rsid w:val="005C2BA3"/>
    <w:rsid w:val="005C42AC"/>
    <w:rsid w:val="005C4F84"/>
    <w:rsid w:val="005C7129"/>
    <w:rsid w:val="005C7CE6"/>
    <w:rsid w:val="005D3333"/>
    <w:rsid w:val="005D37D0"/>
    <w:rsid w:val="005D703E"/>
    <w:rsid w:val="005D7C87"/>
    <w:rsid w:val="005E20B4"/>
    <w:rsid w:val="005E2A88"/>
    <w:rsid w:val="005E4771"/>
    <w:rsid w:val="005E5525"/>
    <w:rsid w:val="005E5CB9"/>
    <w:rsid w:val="005E775A"/>
    <w:rsid w:val="005F193C"/>
    <w:rsid w:val="005F337D"/>
    <w:rsid w:val="00604D5B"/>
    <w:rsid w:val="00613410"/>
    <w:rsid w:val="0061455A"/>
    <w:rsid w:val="00617986"/>
    <w:rsid w:val="00623215"/>
    <w:rsid w:val="0062729B"/>
    <w:rsid w:val="006273AE"/>
    <w:rsid w:val="006275E2"/>
    <w:rsid w:val="00627FA8"/>
    <w:rsid w:val="00631C06"/>
    <w:rsid w:val="00632A48"/>
    <w:rsid w:val="00640125"/>
    <w:rsid w:val="0064298D"/>
    <w:rsid w:val="0064583B"/>
    <w:rsid w:val="00646EE2"/>
    <w:rsid w:val="00650A26"/>
    <w:rsid w:val="00652954"/>
    <w:rsid w:val="006548CE"/>
    <w:rsid w:val="00654A48"/>
    <w:rsid w:val="0065651B"/>
    <w:rsid w:val="0065673C"/>
    <w:rsid w:val="0065703A"/>
    <w:rsid w:val="00660629"/>
    <w:rsid w:val="00664607"/>
    <w:rsid w:val="0066620E"/>
    <w:rsid w:val="00666676"/>
    <w:rsid w:val="00670089"/>
    <w:rsid w:val="00672058"/>
    <w:rsid w:val="0067571A"/>
    <w:rsid w:val="00677751"/>
    <w:rsid w:val="00680AE4"/>
    <w:rsid w:val="00682760"/>
    <w:rsid w:val="00684E51"/>
    <w:rsid w:val="00685C04"/>
    <w:rsid w:val="0068794C"/>
    <w:rsid w:val="00692205"/>
    <w:rsid w:val="00693AA1"/>
    <w:rsid w:val="006949ED"/>
    <w:rsid w:val="00696F4A"/>
    <w:rsid w:val="006A100B"/>
    <w:rsid w:val="006A143A"/>
    <w:rsid w:val="006A3285"/>
    <w:rsid w:val="006A481F"/>
    <w:rsid w:val="006B148A"/>
    <w:rsid w:val="006B3F55"/>
    <w:rsid w:val="006B4834"/>
    <w:rsid w:val="006B6FBF"/>
    <w:rsid w:val="006B72DE"/>
    <w:rsid w:val="006C088B"/>
    <w:rsid w:val="006C56AB"/>
    <w:rsid w:val="006C5FC1"/>
    <w:rsid w:val="006D1236"/>
    <w:rsid w:val="006D1A55"/>
    <w:rsid w:val="006D44E1"/>
    <w:rsid w:val="006D5150"/>
    <w:rsid w:val="006D6B63"/>
    <w:rsid w:val="006D6FB9"/>
    <w:rsid w:val="006E0735"/>
    <w:rsid w:val="006E21FA"/>
    <w:rsid w:val="006F0D9D"/>
    <w:rsid w:val="006F0FB7"/>
    <w:rsid w:val="006F2498"/>
    <w:rsid w:val="006F7DCF"/>
    <w:rsid w:val="006F7F20"/>
    <w:rsid w:val="0070128E"/>
    <w:rsid w:val="0070170E"/>
    <w:rsid w:val="00702C73"/>
    <w:rsid w:val="00704E5D"/>
    <w:rsid w:val="00705739"/>
    <w:rsid w:val="0071109C"/>
    <w:rsid w:val="00712033"/>
    <w:rsid w:val="00712FC7"/>
    <w:rsid w:val="0071355E"/>
    <w:rsid w:val="00715FB5"/>
    <w:rsid w:val="007171A6"/>
    <w:rsid w:val="007173FC"/>
    <w:rsid w:val="0071799D"/>
    <w:rsid w:val="0072505E"/>
    <w:rsid w:val="00726088"/>
    <w:rsid w:val="007277AA"/>
    <w:rsid w:val="00730032"/>
    <w:rsid w:val="00730B6A"/>
    <w:rsid w:val="00733FD2"/>
    <w:rsid w:val="00736873"/>
    <w:rsid w:val="00736D88"/>
    <w:rsid w:val="00736DD2"/>
    <w:rsid w:val="00737A25"/>
    <w:rsid w:val="00742D0A"/>
    <w:rsid w:val="00745173"/>
    <w:rsid w:val="00745647"/>
    <w:rsid w:val="0074681C"/>
    <w:rsid w:val="00746EC2"/>
    <w:rsid w:val="00750A45"/>
    <w:rsid w:val="00751186"/>
    <w:rsid w:val="00751899"/>
    <w:rsid w:val="00751A68"/>
    <w:rsid w:val="00751C43"/>
    <w:rsid w:val="00753E92"/>
    <w:rsid w:val="00754795"/>
    <w:rsid w:val="007654E2"/>
    <w:rsid w:val="0076555E"/>
    <w:rsid w:val="00770600"/>
    <w:rsid w:val="00771E46"/>
    <w:rsid w:val="00777ADF"/>
    <w:rsid w:val="00782B4C"/>
    <w:rsid w:val="00787224"/>
    <w:rsid w:val="00792A4A"/>
    <w:rsid w:val="007959AC"/>
    <w:rsid w:val="007A20E0"/>
    <w:rsid w:val="007A60B6"/>
    <w:rsid w:val="007B01A4"/>
    <w:rsid w:val="007B1363"/>
    <w:rsid w:val="007B2204"/>
    <w:rsid w:val="007B2CC5"/>
    <w:rsid w:val="007B4B60"/>
    <w:rsid w:val="007C38DC"/>
    <w:rsid w:val="007C4793"/>
    <w:rsid w:val="007C5280"/>
    <w:rsid w:val="007C52BD"/>
    <w:rsid w:val="007C65C1"/>
    <w:rsid w:val="007D39E3"/>
    <w:rsid w:val="007D78D2"/>
    <w:rsid w:val="007D7E65"/>
    <w:rsid w:val="007D7E67"/>
    <w:rsid w:val="007E19E0"/>
    <w:rsid w:val="007F1DB2"/>
    <w:rsid w:val="007F1DF2"/>
    <w:rsid w:val="007F2F1E"/>
    <w:rsid w:val="007F587B"/>
    <w:rsid w:val="008041D4"/>
    <w:rsid w:val="00805933"/>
    <w:rsid w:val="0081156A"/>
    <w:rsid w:val="00811D97"/>
    <w:rsid w:val="008154B2"/>
    <w:rsid w:val="0081724B"/>
    <w:rsid w:val="00820B32"/>
    <w:rsid w:val="008221EB"/>
    <w:rsid w:val="00823548"/>
    <w:rsid w:val="008243B1"/>
    <w:rsid w:val="00827398"/>
    <w:rsid w:val="00837E5C"/>
    <w:rsid w:val="00840566"/>
    <w:rsid w:val="00841AC4"/>
    <w:rsid w:val="00842974"/>
    <w:rsid w:val="008437B8"/>
    <w:rsid w:val="0084560E"/>
    <w:rsid w:val="0084596C"/>
    <w:rsid w:val="00846556"/>
    <w:rsid w:val="00851EF4"/>
    <w:rsid w:val="0085550A"/>
    <w:rsid w:val="008616EF"/>
    <w:rsid w:val="00863C25"/>
    <w:rsid w:val="008641B7"/>
    <w:rsid w:val="00864DC1"/>
    <w:rsid w:val="008662A2"/>
    <w:rsid w:val="008705BC"/>
    <w:rsid w:val="00871D70"/>
    <w:rsid w:val="00874410"/>
    <w:rsid w:val="00875A42"/>
    <w:rsid w:val="00876567"/>
    <w:rsid w:val="00877222"/>
    <w:rsid w:val="008813AF"/>
    <w:rsid w:val="008857CC"/>
    <w:rsid w:val="00885E9B"/>
    <w:rsid w:val="008865A6"/>
    <w:rsid w:val="008904A8"/>
    <w:rsid w:val="008925E7"/>
    <w:rsid w:val="00895152"/>
    <w:rsid w:val="008A1C54"/>
    <w:rsid w:val="008A2CFA"/>
    <w:rsid w:val="008A4544"/>
    <w:rsid w:val="008A4D36"/>
    <w:rsid w:val="008A5C5F"/>
    <w:rsid w:val="008A63D5"/>
    <w:rsid w:val="008A770F"/>
    <w:rsid w:val="008B0C8D"/>
    <w:rsid w:val="008B2B26"/>
    <w:rsid w:val="008B4623"/>
    <w:rsid w:val="008B706E"/>
    <w:rsid w:val="008C0B59"/>
    <w:rsid w:val="008C35B8"/>
    <w:rsid w:val="008C510F"/>
    <w:rsid w:val="008C763E"/>
    <w:rsid w:val="008D46B5"/>
    <w:rsid w:val="008E4D72"/>
    <w:rsid w:val="008E66B8"/>
    <w:rsid w:val="008F1988"/>
    <w:rsid w:val="008F30EE"/>
    <w:rsid w:val="008F372B"/>
    <w:rsid w:val="008F6252"/>
    <w:rsid w:val="00900FE0"/>
    <w:rsid w:val="009023F3"/>
    <w:rsid w:val="00903540"/>
    <w:rsid w:val="0090383C"/>
    <w:rsid w:val="00903B29"/>
    <w:rsid w:val="00905416"/>
    <w:rsid w:val="00907DD4"/>
    <w:rsid w:val="0091193D"/>
    <w:rsid w:val="00912132"/>
    <w:rsid w:val="00915390"/>
    <w:rsid w:val="00920281"/>
    <w:rsid w:val="009211CD"/>
    <w:rsid w:val="00922FAD"/>
    <w:rsid w:val="00923813"/>
    <w:rsid w:val="00924F0A"/>
    <w:rsid w:val="0092708B"/>
    <w:rsid w:val="0093049D"/>
    <w:rsid w:val="009364BA"/>
    <w:rsid w:val="00937713"/>
    <w:rsid w:val="00937B3F"/>
    <w:rsid w:val="00944CC5"/>
    <w:rsid w:val="00945518"/>
    <w:rsid w:val="00946BF3"/>
    <w:rsid w:val="0094759E"/>
    <w:rsid w:val="009524DD"/>
    <w:rsid w:val="00954CD4"/>
    <w:rsid w:val="009559E1"/>
    <w:rsid w:val="00957194"/>
    <w:rsid w:val="00961F77"/>
    <w:rsid w:val="00966820"/>
    <w:rsid w:val="00967A0D"/>
    <w:rsid w:val="009702E8"/>
    <w:rsid w:val="00971E57"/>
    <w:rsid w:val="009723CF"/>
    <w:rsid w:val="00973783"/>
    <w:rsid w:val="009755AB"/>
    <w:rsid w:val="0097596E"/>
    <w:rsid w:val="009762FE"/>
    <w:rsid w:val="0097688E"/>
    <w:rsid w:val="009772D1"/>
    <w:rsid w:val="009778E2"/>
    <w:rsid w:val="00980037"/>
    <w:rsid w:val="0098083E"/>
    <w:rsid w:val="00980987"/>
    <w:rsid w:val="00981962"/>
    <w:rsid w:val="00983B43"/>
    <w:rsid w:val="00991B37"/>
    <w:rsid w:val="009946D6"/>
    <w:rsid w:val="0099563F"/>
    <w:rsid w:val="009A51B2"/>
    <w:rsid w:val="009B08D8"/>
    <w:rsid w:val="009B2123"/>
    <w:rsid w:val="009B3343"/>
    <w:rsid w:val="009B3D4B"/>
    <w:rsid w:val="009B41AE"/>
    <w:rsid w:val="009B5851"/>
    <w:rsid w:val="009B6096"/>
    <w:rsid w:val="009B7A00"/>
    <w:rsid w:val="009C232B"/>
    <w:rsid w:val="009C2908"/>
    <w:rsid w:val="009C3034"/>
    <w:rsid w:val="009C32E5"/>
    <w:rsid w:val="009C3E36"/>
    <w:rsid w:val="009C44B3"/>
    <w:rsid w:val="009C4C75"/>
    <w:rsid w:val="009C5B0C"/>
    <w:rsid w:val="009D1B3A"/>
    <w:rsid w:val="009D3162"/>
    <w:rsid w:val="009D3181"/>
    <w:rsid w:val="009D3FDF"/>
    <w:rsid w:val="009D73E9"/>
    <w:rsid w:val="009E348B"/>
    <w:rsid w:val="009E5F01"/>
    <w:rsid w:val="009E6173"/>
    <w:rsid w:val="009E737D"/>
    <w:rsid w:val="009F2737"/>
    <w:rsid w:val="009F5174"/>
    <w:rsid w:val="00A002B4"/>
    <w:rsid w:val="00A01288"/>
    <w:rsid w:val="00A01BDE"/>
    <w:rsid w:val="00A03977"/>
    <w:rsid w:val="00A103A5"/>
    <w:rsid w:val="00A112A1"/>
    <w:rsid w:val="00A143DA"/>
    <w:rsid w:val="00A15974"/>
    <w:rsid w:val="00A2003B"/>
    <w:rsid w:val="00A201F5"/>
    <w:rsid w:val="00A214D7"/>
    <w:rsid w:val="00A21500"/>
    <w:rsid w:val="00A23289"/>
    <w:rsid w:val="00A26A81"/>
    <w:rsid w:val="00A26FF7"/>
    <w:rsid w:val="00A306C5"/>
    <w:rsid w:val="00A3124D"/>
    <w:rsid w:val="00A31F8E"/>
    <w:rsid w:val="00A4165C"/>
    <w:rsid w:val="00A41AAE"/>
    <w:rsid w:val="00A43272"/>
    <w:rsid w:val="00A43355"/>
    <w:rsid w:val="00A445DC"/>
    <w:rsid w:val="00A44BEA"/>
    <w:rsid w:val="00A45977"/>
    <w:rsid w:val="00A45D90"/>
    <w:rsid w:val="00A47629"/>
    <w:rsid w:val="00A47655"/>
    <w:rsid w:val="00A47B72"/>
    <w:rsid w:val="00A52D1B"/>
    <w:rsid w:val="00A52D78"/>
    <w:rsid w:val="00A52EAC"/>
    <w:rsid w:val="00A5585D"/>
    <w:rsid w:val="00A569E8"/>
    <w:rsid w:val="00A711C6"/>
    <w:rsid w:val="00A71AF4"/>
    <w:rsid w:val="00A72AAB"/>
    <w:rsid w:val="00A72FE9"/>
    <w:rsid w:val="00A73C78"/>
    <w:rsid w:val="00A75A98"/>
    <w:rsid w:val="00A81327"/>
    <w:rsid w:val="00A835A1"/>
    <w:rsid w:val="00A83D0B"/>
    <w:rsid w:val="00A84863"/>
    <w:rsid w:val="00A9044A"/>
    <w:rsid w:val="00A90482"/>
    <w:rsid w:val="00A93BF3"/>
    <w:rsid w:val="00A95D95"/>
    <w:rsid w:val="00A977EC"/>
    <w:rsid w:val="00A9796A"/>
    <w:rsid w:val="00AA3FD1"/>
    <w:rsid w:val="00AA4A0B"/>
    <w:rsid w:val="00AB11B3"/>
    <w:rsid w:val="00AB3A6F"/>
    <w:rsid w:val="00AB3D8F"/>
    <w:rsid w:val="00AB5A74"/>
    <w:rsid w:val="00AB5ED3"/>
    <w:rsid w:val="00AB6B0C"/>
    <w:rsid w:val="00AB70CD"/>
    <w:rsid w:val="00AC2499"/>
    <w:rsid w:val="00AC3F27"/>
    <w:rsid w:val="00AC4898"/>
    <w:rsid w:val="00AC48B3"/>
    <w:rsid w:val="00AC7AC9"/>
    <w:rsid w:val="00AD125D"/>
    <w:rsid w:val="00AD133D"/>
    <w:rsid w:val="00AD1442"/>
    <w:rsid w:val="00AE1423"/>
    <w:rsid w:val="00AE1920"/>
    <w:rsid w:val="00AE6C79"/>
    <w:rsid w:val="00AE7E2F"/>
    <w:rsid w:val="00AF01B3"/>
    <w:rsid w:val="00AF0F13"/>
    <w:rsid w:val="00AF1EBF"/>
    <w:rsid w:val="00AF24B1"/>
    <w:rsid w:val="00AF44E2"/>
    <w:rsid w:val="00AF6B30"/>
    <w:rsid w:val="00AF7992"/>
    <w:rsid w:val="00B007B0"/>
    <w:rsid w:val="00B00AB3"/>
    <w:rsid w:val="00B01040"/>
    <w:rsid w:val="00B10333"/>
    <w:rsid w:val="00B1053C"/>
    <w:rsid w:val="00B10DF3"/>
    <w:rsid w:val="00B14C52"/>
    <w:rsid w:val="00B14DB9"/>
    <w:rsid w:val="00B15D87"/>
    <w:rsid w:val="00B17214"/>
    <w:rsid w:val="00B17541"/>
    <w:rsid w:val="00B200AA"/>
    <w:rsid w:val="00B21702"/>
    <w:rsid w:val="00B25484"/>
    <w:rsid w:val="00B261C8"/>
    <w:rsid w:val="00B30645"/>
    <w:rsid w:val="00B31775"/>
    <w:rsid w:val="00B348F1"/>
    <w:rsid w:val="00B3638C"/>
    <w:rsid w:val="00B36837"/>
    <w:rsid w:val="00B41F3C"/>
    <w:rsid w:val="00B45336"/>
    <w:rsid w:val="00B46F00"/>
    <w:rsid w:val="00B478C3"/>
    <w:rsid w:val="00B50441"/>
    <w:rsid w:val="00B52715"/>
    <w:rsid w:val="00B61348"/>
    <w:rsid w:val="00B621BF"/>
    <w:rsid w:val="00B6263F"/>
    <w:rsid w:val="00B62745"/>
    <w:rsid w:val="00B66A91"/>
    <w:rsid w:val="00B67114"/>
    <w:rsid w:val="00B672C5"/>
    <w:rsid w:val="00B70750"/>
    <w:rsid w:val="00B7366A"/>
    <w:rsid w:val="00B753A0"/>
    <w:rsid w:val="00B75449"/>
    <w:rsid w:val="00B81270"/>
    <w:rsid w:val="00B814C6"/>
    <w:rsid w:val="00B83B02"/>
    <w:rsid w:val="00B95177"/>
    <w:rsid w:val="00BA527C"/>
    <w:rsid w:val="00BA6C2C"/>
    <w:rsid w:val="00BB2C3A"/>
    <w:rsid w:val="00BB5672"/>
    <w:rsid w:val="00BB7494"/>
    <w:rsid w:val="00BB77B3"/>
    <w:rsid w:val="00BC2390"/>
    <w:rsid w:val="00BC7017"/>
    <w:rsid w:val="00BC7D96"/>
    <w:rsid w:val="00BE07A9"/>
    <w:rsid w:val="00BE6AB1"/>
    <w:rsid w:val="00BF46A7"/>
    <w:rsid w:val="00BF5230"/>
    <w:rsid w:val="00C03894"/>
    <w:rsid w:val="00C04BE0"/>
    <w:rsid w:val="00C07CB7"/>
    <w:rsid w:val="00C1090C"/>
    <w:rsid w:val="00C11519"/>
    <w:rsid w:val="00C13509"/>
    <w:rsid w:val="00C15A4A"/>
    <w:rsid w:val="00C15A6F"/>
    <w:rsid w:val="00C20F78"/>
    <w:rsid w:val="00C21B06"/>
    <w:rsid w:val="00C240C8"/>
    <w:rsid w:val="00C2600D"/>
    <w:rsid w:val="00C26513"/>
    <w:rsid w:val="00C27C39"/>
    <w:rsid w:val="00C301A1"/>
    <w:rsid w:val="00C30304"/>
    <w:rsid w:val="00C328C9"/>
    <w:rsid w:val="00C35419"/>
    <w:rsid w:val="00C35778"/>
    <w:rsid w:val="00C37F72"/>
    <w:rsid w:val="00C420C1"/>
    <w:rsid w:val="00C45963"/>
    <w:rsid w:val="00C472B8"/>
    <w:rsid w:val="00C475BC"/>
    <w:rsid w:val="00C53054"/>
    <w:rsid w:val="00C53124"/>
    <w:rsid w:val="00C53AA5"/>
    <w:rsid w:val="00C53B2E"/>
    <w:rsid w:val="00C55280"/>
    <w:rsid w:val="00C55615"/>
    <w:rsid w:val="00C6160A"/>
    <w:rsid w:val="00C62BA0"/>
    <w:rsid w:val="00C65711"/>
    <w:rsid w:val="00C65BF2"/>
    <w:rsid w:val="00C74F5F"/>
    <w:rsid w:val="00C76468"/>
    <w:rsid w:val="00C769BE"/>
    <w:rsid w:val="00C76D12"/>
    <w:rsid w:val="00C76ECD"/>
    <w:rsid w:val="00C772E9"/>
    <w:rsid w:val="00C776F7"/>
    <w:rsid w:val="00C80361"/>
    <w:rsid w:val="00C82F86"/>
    <w:rsid w:val="00C83512"/>
    <w:rsid w:val="00C84CC6"/>
    <w:rsid w:val="00C84E04"/>
    <w:rsid w:val="00C910BE"/>
    <w:rsid w:val="00C91867"/>
    <w:rsid w:val="00C91C7F"/>
    <w:rsid w:val="00C922BE"/>
    <w:rsid w:val="00C95716"/>
    <w:rsid w:val="00C967EE"/>
    <w:rsid w:val="00C972AB"/>
    <w:rsid w:val="00CA3952"/>
    <w:rsid w:val="00CA52A8"/>
    <w:rsid w:val="00CA5844"/>
    <w:rsid w:val="00CA59CE"/>
    <w:rsid w:val="00CA60CB"/>
    <w:rsid w:val="00CA7415"/>
    <w:rsid w:val="00CB265C"/>
    <w:rsid w:val="00CB4540"/>
    <w:rsid w:val="00CB7A07"/>
    <w:rsid w:val="00CC235A"/>
    <w:rsid w:val="00CC2BA0"/>
    <w:rsid w:val="00CC59BB"/>
    <w:rsid w:val="00CC6DE8"/>
    <w:rsid w:val="00CC791C"/>
    <w:rsid w:val="00CC7A8A"/>
    <w:rsid w:val="00CD471E"/>
    <w:rsid w:val="00CD5FF0"/>
    <w:rsid w:val="00CD635D"/>
    <w:rsid w:val="00CD680C"/>
    <w:rsid w:val="00CD6E44"/>
    <w:rsid w:val="00CD7CED"/>
    <w:rsid w:val="00CE04C7"/>
    <w:rsid w:val="00CE50A0"/>
    <w:rsid w:val="00CE66D1"/>
    <w:rsid w:val="00CE78B7"/>
    <w:rsid w:val="00CF156B"/>
    <w:rsid w:val="00CF15EF"/>
    <w:rsid w:val="00CF1C94"/>
    <w:rsid w:val="00CF1E02"/>
    <w:rsid w:val="00CF5856"/>
    <w:rsid w:val="00CF597A"/>
    <w:rsid w:val="00CF6D82"/>
    <w:rsid w:val="00CF735D"/>
    <w:rsid w:val="00D002D4"/>
    <w:rsid w:val="00D005DD"/>
    <w:rsid w:val="00D02D57"/>
    <w:rsid w:val="00D03885"/>
    <w:rsid w:val="00D03B81"/>
    <w:rsid w:val="00D0486C"/>
    <w:rsid w:val="00D05BAA"/>
    <w:rsid w:val="00D06FF7"/>
    <w:rsid w:val="00D11762"/>
    <w:rsid w:val="00D13B7A"/>
    <w:rsid w:val="00D15B2C"/>
    <w:rsid w:val="00D22C4B"/>
    <w:rsid w:val="00D230C7"/>
    <w:rsid w:val="00D231FD"/>
    <w:rsid w:val="00D23E7D"/>
    <w:rsid w:val="00D2405F"/>
    <w:rsid w:val="00D24FFA"/>
    <w:rsid w:val="00D309EC"/>
    <w:rsid w:val="00D30B23"/>
    <w:rsid w:val="00D30BAB"/>
    <w:rsid w:val="00D30C7F"/>
    <w:rsid w:val="00D3399A"/>
    <w:rsid w:val="00D34501"/>
    <w:rsid w:val="00D41BA9"/>
    <w:rsid w:val="00D43EB4"/>
    <w:rsid w:val="00D45D67"/>
    <w:rsid w:val="00D50E09"/>
    <w:rsid w:val="00D52376"/>
    <w:rsid w:val="00D57213"/>
    <w:rsid w:val="00D61015"/>
    <w:rsid w:val="00D612C2"/>
    <w:rsid w:val="00D63738"/>
    <w:rsid w:val="00D641D4"/>
    <w:rsid w:val="00D6449B"/>
    <w:rsid w:val="00D67353"/>
    <w:rsid w:val="00D67A1E"/>
    <w:rsid w:val="00D7091E"/>
    <w:rsid w:val="00D73C4F"/>
    <w:rsid w:val="00D745E0"/>
    <w:rsid w:val="00D76AA3"/>
    <w:rsid w:val="00D76D9D"/>
    <w:rsid w:val="00D80604"/>
    <w:rsid w:val="00D81AE5"/>
    <w:rsid w:val="00D84E3B"/>
    <w:rsid w:val="00D86604"/>
    <w:rsid w:val="00D93191"/>
    <w:rsid w:val="00D94264"/>
    <w:rsid w:val="00DA086B"/>
    <w:rsid w:val="00DA1D7A"/>
    <w:rsid w:val="00DA3384"/>
    <w:rsid w:val="00DA5925"/>
    <w:rsid w:val="00DA6834"/>
    <w:rsid w:val="00DA7E05"/>
    <w:rsid w:val="00DB1470"/>
    <w:rsid w:val="00DB2AD2"/>
    <w:rsid w:val="00DB45BB"/>
    <w:rsid w:val="00DB4794"/>
    <w:rsid w:val="00DB52EC"/>
    <w:rsid w:val="00DB5C3E"/>
    <w:rsid w:val="00DB628E"/>
    <w:rsid w:val="00DC48D2"/>
    <w:rsid w:val="00DD0F47"/>
    <w:rsid w:val="00DD497C"/>
    <w:rsid w:val="00DE1E39"/>
    <w:rsid w:val="00DE3F93"/>
    <w:rsid w:val="00DE4376"/>
    <w:rsid w:val="00DE546F"/>
    <w:rsid w:val="00DE647B"/>
    <w:rsid w:val="00DF0513"/>
    <w:rsid w:val="00DF47D6"/>
    <w:rsid w:val="00DF5425"/>
    <w:rsid w:val="00DF642B"/>
    <w:rsid w:val="00DF782C"/>
    <w:rsid w:val="00E030A0"/>
    <w:rsid w:val="00E0425A"/>
    <w:rsid w:val="00E075A1"/>
    <w:rsid w:val="00E10E9F"/>
    <w:rsid w:val="00E124E3"/>
    <w:rsid w:val="00E14812"/>
    <w:rsid w:val="00E15DDE"/>
    <w:rsid w:val="00E20AFA"/>
    <w:rsid w:val="00E2106B"/>
    <w:rsid w:val="00E22E93"/>
    <w:rsid w:val="00E2339E"/>
    <w:rsid w:val="00E233B0"/>
    <w:rsid w:val="00E3245B"/>
    <w:rsid w:val="00E32DCD"/>
    <w:rsid w:val="00E350CE"/>
    <w:rsid w:val="00E3584E"/>
    <w:rsid w:val="00E3707B"/>
    <w:rsid w:val="00E379FB"/>
    <w:rsid w:val="00E46C02"/>
    <w:rsid w:val="00E50685"/>
    <w:rsid w:val="00E516CB"/>
    <w:rsid w:val="00E5249B"/>
    <w:rsid w:val="00E57B0D"/>
    <w:rsid w:val="00E57F6B"/>
    <w:rsid w:val="00E63FD7"/>
    <w:rsid w:val="00E64FE3"/>
    <w:rsid w:val="00E65676"/>
    <w:rsid w:val="00E66FD7"/>
    <w:rsid w:val="00E6720C"/>
    <w:rsid w:val="00E67EF4"/>
    <w:rsid w:val="00E707A0"/>
    <w:rsid w:val="00E7312B"/>
    <w:rsid w:val="00E7342C"/>
    <w:rsid w:val="00E76363"/>
    <w:rsid w:val="00E81295"/>
    <w:rsid w:val="00E911F1"/>
    <w:rsid w:val="00E91D81"/>
    <w:rsid w:val="00E92BC2"/>
    <w:rsid w:val="00E95401"/>
    <w:rsid w:val="00EA010E"/>
    <w:rsid w:val="00EA03B2"/>
    <w:rsid w:val="00EA0879"/>
    <w:rsid w:val="00EA20ED"/>
    <w:rsid w:val="00EA3C64"/>
    <w:rsid w:val="00EA66AF"/>
    <w:rsid w:val="00EA7E26"/>
    <w:rsid w:val="00EB19B9"/>
    <w:rsid w:val="00EB1C55"/>
    <w:rsid w:val="00EB1E33"/>
    <w:rsid w:val="00EB7B29"/>
    <w:rsid w:val="00EC0881"/>
    <w:rsid w:val="00EC1B42"/>
    <w:rsid w:val="00EC2D91"/>
    <w:rsid w:val="00EC43DF"/>
    <w:rsid w:val="00ED045B"/>
    <w:rsid w:val="00ED14C6"/>
    <w:rsid w:val="00ED230E"/>
    <w:rsid w:val="00ED59CB"/>
    <w:rsid w:val="00ED678C"/>
    <w:rsid w:val="00ED75DA"/>
    <w:rsid w:val="00ED7BB1"/>
    <w:rsid w:val="00EE02EA"/>
    <w:rsid w:val="00EE0764"/>
    <w:rsid w:val="00EE267F"/>
    <w:rsid w:val="00EE7785"/>
    <w:rsid w:val="00EF13BD"/>
    <w:rsid w:val="00EF5119"/>
    <w:rsid w:val="00F0026F"/>
    <w:rsid w:val="00F00D91"/>
    <w:rsid w:val="00F01D52"/>
    <w:rsid w:val="00F02279"/>
    <w:rsid w:val="00F10A93"/>
    <w:rsid w:val="00F16313"/>
    <w:rsid w:val="00F20FF1"/>
    <w:rsid w:val="00F23456"/>
    <w:rsid w:val="00F26730"/>
    <w:rsid w:val="00F30480"/>
    <w:rsid w:val="00F30526"/>
    <w:rsid w:val="00F31E1A"/>
    <w:rsid w:val="00F35457"/>
    <w:rsid w:val="00F3595B"/>
    <w:rsid w:val="00F35E75"/>
    <w:rsid w:val="00F36D58"/>
    <w:rsid w:val="00F36ED8"/>
    <w:rsid w:val="00F403D0"/>
    <w:rsid w:val="00F4124E"/>
    <w:rsid w:val="00F4230B"/>
    <w:rsid w:val="00F426A6"/>
    <w:rsid w:val="00F427B6"/>
    <w:rsid w:val="00F429FD"/>
    <w:rsid w:val="00F4623C"/>
    <w:rsid w:val="00F46E44"/>
    <w:rsid w:val="00F5063F"/>
    <w:rsid w:val="00F510B2"/>
    <w:rsid w:val="00F51A95"/>
    <w:rsid w:val="00F5248B"/>
    <w:rsid w:val="00F52AB6"/>
    <w:rsid w:val="00F52D28"/>
    <w:rsid w:val="00F537B8"/>
    <w:rsid w:val="00F54A9A"/>
    <w:rsid w:val="00F56399"/>
    <w:rsid w:val="00F62A53"/>
    <w:rsid w:val="00F6317E"/>
    <w:rsid w:val="00F706F3"/>
    <w:rsid w:val="00F73E77"/>
    <w:rsid w:val="00F7750A"/>
    <w:rsid w:val="00F80006"/>
    <w:rsid w:val="00F80084"/>
    <w:rsid w:val="00F82382"/>
    <w:rsid w:val="00F854D9"/>
    <w:rsid w:val="00F85B4D"/>
    <w:rsid w:val="00F87578"/>
    <w:rsid w:val="00F905AF"/>
    <w:rsid w:val="00F95676"/>
    <w:rsid w:val="00FA32C5"/>
    <w:rsid w:val="00FA5C8C"/>
    <w:rsid w:val="00FA6169"/>
    <w:rsid w:val="00FA7AA0"/>
    <w:rsid w:val="00FA7FB8"/>
    <w:rsid w:val="00FB146F"/>
    <w:rsid w:val="00FB1B2D"/>
    <w:rsid w:val="00FB2F78"/>
    <w:rsid w:val="00FB46C2"/>
    <w:rsid w:val="00FC6827"/>
    <w:rsid w:val="00FD0956"/>
    <w:rsid w:val="00FD159B"/>
    <w:rsid w:val="00FD2470"/>
    <w:rsid w:val="00FD26E3"/>
    <w:rsid w:val="00FD45D3"/>
    <w:rsid w:val="00FD5823"/>
    <w:rsid w:val="00FD582D"/>
    <w:rsid w:val="00FD64B0"/>
    <w:rsid w:val="00FE053E"/>
    <w:rsid w:val="00FE1C27"/>
    <w:rsid w:val="00FE5AB5"/>
    <w:rsid w:val="00FE5B76"/>
    <w:rsid w:val="00FE5C31"/>
    <w:rsid w:val="00FE7009"/>
    <w:rsid w:val="00FF01B8"/>
    <w:rsid w:val="00FF0257"/>
    <w:rsid w:val="00FF1B0E"/>
    <w:rsid w:val="00FF54B0"/>
    <w:rsid w:val="00FF680E"/>
    <w:rsid w:val="00FF748B"/>
    <w:rsid w:val="02334749"/>
    <w:rsid w:val="028F2BF9"/>
    <w:rsid w:val="033508A5"/>
    <w:rsid w:val="055C48CE"/>
    <w:rsid w:val="083A1F96"/>
    <w:rsid w:val="087079F3"/>
    <w:rsid w:val="0B027B08"/>
    <w:rsid w:val="0BD97D3D"/>
    <w:rsid w:val="0C004E34"/>
    <w:rsid w:val="0EDA1656"/>
    <w:rsid w:val="0F7F8DA0"/>
    <w:rsid w:val="0F842D38"/>
    <w:rsid w:val="132B29FC"/>
    <w:rsid w:val="146C06FF"/>
    <w:rsid w:val="147A5E14"/>
    <w:rsid w:val="14C45797"/>
    <w:rsid w:val="15F63787"/>
    <w:rsid w:val="17176899"/>
    <w:rsid w:val="18ED7A84"/>
    <w:rsid w:val="1A824F3A"/>
    <w:rsid w:val="1AD86912"/>
    <w:rsid w:val="1B9F1956"/>
    <w:rsid w:val="1BB236B5"/>
    <w:rsid w:val="1D2B7B0B"/>
    <w:rsid w:val="204D781E"/>
    <w:rsid w:val="206F0134"/>
    <w:rsid w:val="20E7714C"/>
    <w:rsid w:val="21825DBD"/>
    <w:rsid w:val="23B2366C"/>
    <w:rsid w:val="23D61658"/>
    <w:rsid w:val="25DA284A"/>
    <w:rsid w:val="26DD5B63"/>
    <w:rsid w:val="2B3573C9"/>
    <w:rsid w:val="2C5041DC"/>
    <w:rsid w:val="2D4F1723"/>
    <w:rsid w:val="2DFF9756"/>
    <w:rsid w:val="2F9FFB7A"/>
    <w:rsid w:val="327F0CFC"/>
    <w:rsid w:val="33D44670"/>
    <w:rsid w:val="36EF49F0"/>
    <w:rsid w:val="39C235AD"/>
    <w:rsid w:val="3A3A7E6A"/>
    <w:rsid w:val="3A766411"/>
    <w:rsid w:val="3AE65930"/>
    <w:rsid w:val="3B776A55"/>
    <w:rsid w:val="3BF710AE"/>
    <w:rsid w:val="3CBE05C4"/>
    <w:rsid w:val="3CE63BF7"/>
    <w:rsid w:val="3D77FEE5"/>
    <w:rsid w:val="3F5356DF"/>
    <w:rsid w:val="3F7F4B43"/>
    <w:rsid w:val="3FAF1333"/>
    <w:rsid w:val="3FBD0DE4"/>
    <w:rsid w:val="406E5401"/>
    <w:rsid w:val="410A4226"/>
    <w:rsid w:val="41CF6E58"/>
    <w:rsid w:val="42D21892"/>
    <w:rsid w:val="43FD67CE"/>
    <w:rsid w:val="45D24D3E"/>
    <w:rsid w:val="467A3B2C"/>
    <w:rsid w:val="47240B7F"/>
    <w:rsid w:val="47451E62"/>
    <w:rsid w:val="4A7F1BCF"/>
    <w:rsid w:val="4BF66B29"/>
    <w:rsid w:val="4CEC5BC9"/>
    <w:rsid w:val="4EE209BD"/>
    <w:rsid w:val="4EEC5922"/>
    <w:rsid w:val="4F0E557B"/>
    <w:rsid w:val="4F681132"/>
    <w:rsid w:val="4FF66E35"/>
    <w:rsid w:val="506C1A52"/>
    <w:rsid w:val="52D92ACB"/>
    <w:rsid w:val="533D0957"/>
    <w:rsid w:val="554B065B"/>
    <w:rsid w:val="56F7024D"/>
    <w:rsid w:val="577971D7"/>
    <w:rsid w:val="584E40D2"/>
    <w:rsid w:val="596A53FD"/>
    <w:rsid w:val="5BF5F8BC"/>
    <w:rsid w:val="5CFBF9F4"/>
    <w:rsid w:val="5D3F1A6F"/>
    <w:rsid w:val="5DB76FB8"/>
    <w:rsid w:val="5F575619"/>
    <w:rsid w:val="5F5D582A"/>
    <w:rsid w:val="5F7F7285"/>
    <w:rsid w:val="5FD5030E"/>
    <w:rsid w:val="61435B59"/>
    <w:rsid w:val="627A7938"/>
    <w:rsid w:val="62A62B1D"/>
    <w:rsid w:val="62E36D18"/>
    <w:rsid w:val="631A31C2"/>
    <w:rsid w:val="63DC102C"/>
    <w:rsid w:val="64BC23C3"/>
    <w:rsid w:val="64D532F2"/>
    <w:rsid w:val="65F81D23"/>
    <w:rsid w:val="67052B7A"/>
    <w:rsid w:val="677D1D6E"/>
    <w:rsid w:val="686C38CB"/>
    <w:rsid w:val="691A1EA4"/>
    <w:rsid w:val="6940079D"/>
    <w:rsid w:val="699B5C7D"/>
    <w:rsid w:val="69D73A0E"/>
    <w:rsid w:val="6A9326B5"/>
    <w:rsid w:val="6AFDBFF4"/>
    <w:rsid w:val="6B555362"/>
    <w:rsid w:val="6CF0DC8E"/>
    <w:rsid w:val="6D4F7C52"/>
    <w:rsid w:val="6D8D7458"/>
    <w:rsid w:val="6DFD462B"/>
    <w:rsid w:val="6EFE01B5"/>
    <w:rsid w:val="6F0BC0A8"/>
    <w:rsid w:val="6FE969BF"/>
    <w:rsid w:val="6FF6F8FA"/>
    <w:rsid w:val="73EFC6A0"/>
    <w:rsid w:val="73FF2BE9"/>
    <w:rsid w:val="74C628CE"/>
    <w:rsid w:val="76F908C8"/>
    <w:rsid w:val="777913CF"/>
    <w:rsid w:val="77ED14D7"/>
    <w:rsid w:val="77FB8680"/>
    <w:rsid w:val="77FD4E30"/>
    <w:rsid w:val="78E7519A"/>
    <w:rsid w:val="79EF7E87"/>
    <w:rsid w:val="79FA416E"/>
    <w:rsid w:val="7AE71062"/>
    <w:rsid w:val="7B325F75"/>
    <w:rsid w:val="7BB7DD3C"/>
    <w:rsid w:val="7BC9D226"/>
    <w:rsid w:val="7BED4531"/>
    <w:rsid w:val="7BF53B6C"/>
    <w:rsid w:val="7BFD1B5B"/>
    <w:rsid w:val="7BFE79FD"/>
    <w:rsid w:val="7CF7E4A0"/>
    <w:rsid w:val="7D7D35B2"/>
    <w:rsid w:val="7D93920C"/>
    <w:rsid w:val="7DAD1D96"/>
    <w:rsid w:val="7ED77D4C"/>
    <w:rsid w:val="7F79E6A4"/>
    <w:rsid w:val="7F7F95A5"/>
    <w:rsid w:val="7FF38991"/>
    <w:rsid w:val="7FFFEBE9"/>
    <w:rsid w:val="924F0864"/>
    <w:rsid w:val="954E0980"/>
    <w:rsid w:val="9D6D7599"/>
    <w:rsid w:val="9FCFD6A9"/>
    <w:rsid w:val="A77C2647"/>
    <w:rsid w:val="AABFC647"/>
    <w:rsid w:val="AF57AECE"/>
    <w:rsid w:val="B1EFF0A5"/>
    <w:rsid w:val="B4B1B996"/>
    <w:rsid w:val="B7AAD032"/>
    <w:rsid w:val="B7F608A6"/>
    <w:rsid w:val="BB7DF78F"/>
    <w:rsid w:val="BDFC145F"/>
    <w:rsid w:val="BDFF9EFF"/>
    <w:rsid w:val="BFD10D04"/>
    <w:rsid w:val="BFD7AC47"/>
    <w:rsid w:val="BFFB3D7A"/>
    <w:rsid w:val="BFFD762E"/>
    <w:rsid w:val="CDDFADBB"/>
    <w:rsid w:val="D37FF3B1"/>
    <w:rsid w:val="D567259E"/>
    <w:rsid w:val="D9DDE09E"/>
    <w:rsid w:val="DD79CB3A"/>
    <w:rsid w:val="DDAB64C8"/>
    <w:rsid w:val="DDCFF3F7"/>
    <w:rsid w:val="DDDFD907"/>
    <w:rsid w:val="DED780C8"/>
    <w:rsid w:val="DF3F001A"/>
    <w:rsid w:val="DFFC2048"/>
    <w:rsid w:val="DFFD21A8"/>
    <w:rsid w:val="E17AC028"/>
    <w:rsid w:val="E7BCFD8B"/>
    <w:rsid w:val="E7CF16C4"/>
    <w:rsid w:val="E7FDFDA5"/>
    <w:rsid w:val="E92F642D"/>
    <w:rsid w:val="EA63A645"/>
    <w:rsid w:val="EDBAE9A8"/>
    <w:rsid w:val="EDBB611D"/>
    <w:rsid w:val="EDDFEF1F"/>
    <w:rsid w:val="EE6702C2"/>
    <w:rsid w:val="EF2D17E1"/>
    <w:rsid w:val="EF7FA887"/>
    <w:rsid w:val="EFDA226E"/>
    <w:rsid w:val="EFDB75D2"/>
    <w:rsid w:val="EFDF6C28"/>
    <w:rsid w:val="EFED35F5"/>
    <w:rsid w:val="F2E72016"/>
    <w:rsid w:val="F78D279C"/>
    <w:rsid w:val="F7F81B4B"/>
    <w:rsid w:val="F9E30361"/>
    <w:rsid w:val="FAFFF96F"/>
    <w:rsid w:val="FB7FD1A8"/>
    <w:rsid w:val="FD7FB4F9"/>
    <w:rsid w:val="FD7FE949"/>
    <w:rsid w:val="FDCEB22B"/>
    <w:rsid w:val="FDDDA4E4"/>
    <w:rsid w:val="FDEACDCE"/>
    <w:rsid w:val="FDFD8C9D"/>
    <w:rsid w:val="FE4F052B"/>
    <w:rsid w:val="FE76D704"/>
    <w:rsid w:val="FF7710EE"/>
    <w:rsid w:val="FF77D1C7"/>
    <w:rsid w:val="FFAF7127"/>
    <w:rsid w:val="FFCE93BB"/>
    <w:rsid w:val="FFDD0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8"/>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2"/>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92"/>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10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7"/>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字符"/>
    <w:link w:val="5"/>
    <w:qFormat/>
    <w:uiPriority w:val="0"/>
    <w:rPr>
      <w:rFonts w:eastAsia="宋体"/>
      <w:b/>
      <w:kern w:val="2"/>
      <w:sz w:val="32"/>
      <w:lang w:val="en-US" w:eastAsia="zh-CN"/>
    </w:rPr>
  </w:style>
  <w:style w:type="character" w:customStyle="1" w:styleId="67">
    <w:name w:val="样式 宋体"/>
    <w:qFormat/>
    <w:uiPriority w:val="0"/>
    <w:rPr>
      <w:rFonts w:ascii="宋体" w:hAnsi="宋体" w:eastAsia="宋体"/>
      <w:sz w:val="28"/>
    </w:rPr>
  </w:style>
  <w:style w:type="character" w:customStyle="1" w:styleId="68">
    <w:name w:val="Char Char3"/>
    <w:qFormat/>
    <w:uiPriority w:val="0"/>
    <w:rPr>
      <w:rFonts w:eastAsia="宋体"/>
      <w:kern w:val="2"/>
      <w:sz w:val="18"/>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正文 + 三号 Char"/>
    <w:qFormat/>
    <w:uiPriority w:val="0"/>
    <w:rPr>
      <w:rFonts w:eastAsia="宋体"/>
      <w:kern w:val="2"/>
      <w:sz w:val="21"/>
      <w:lang w:val="en-US" w:eastAsia="zh-CN"/>
    </w:rPr>
  </w:style>
  <w:style w:type="character" w:customStyle="1" w:styleId="71">
    <w:name w:val="content-white1"/>
    <w:qFormat/>
    <w:uiPriority w:val="0"/>
    <w:rPr>
      <w:color w:val="auto"/>
      <w:sz w:val="18"/>
      <w:u w:val="none"/>
    </w:rPr>
  </w:style>
  <w:style w:type="character" w:customStyle="1" w:styleId="72">
    <w:name w:val="Char Char4"/>
    <w:qFormat/>
    <w:uiPriority w:val="0"/>
    <w:rPr>
      <w:rFonts w:eastAsia="宋体"/>
      <w:b/>
      <w:kern w:val="2"/>
      <w:sz w:val="21"/>
      <w:lang w:val="en-US" w:eastAsia="zh-CN"/>
    </w:rPr>
  </w:style>
  <w:style w:type="character" w:customStyle="1" w:styleId="73">
    <w:name w:val="标题 3 Char"/>
    <w:qFormat/>
    <w:uiPriority w:val="0"/>
    <w:rPr>
      <w:rFonts w:eastAsia="宋体"/>
      <w:b/>
      <w:kern w:val="2"/>
      <w:sz w:val="32"/>
      <w:lang w:val="en-US" w:eastAsia="zh-CN"/>
    </w:rPr>
  </w:style>
  <w:style w:type="character" w:customStyle="1" w:styleId="74">
    <w:name w:val="批注文字 字符"/>
    <w:link w:val="20"/>
    <w:qFormat/>
    <w:uiPriority w:val="0"/>
    <w:rPr>
      <w:sz w:val="24"/>
    </w:rPr>
  </w:style>
  <w:style w:type="character" w:customStyle="1" w:styleId="75">
    <w:name w:val="Char Char7"/>
    <w:qFormat/>
    <w:uiPriority w:val="0"/>
    <w:rPr>
      <w:rFonts w:ascii="宋体" w:hAnsi="宋体" w:eastAsia="宋体"/>
      <w:kern w:val="2"/>
      <w:sz w:val="28"/>
    </w:rPr>
  </w:style>
  <w:style w:type="character" w:customStyle="1" w:styleId="76">
    <w:name w:val="正文文本缩进 2 字符"/>
    <w:link w:val="33"/>
    <w:qFormat/>
    <w:uiPriority w:val="0"/>
    <w:rPr>
      <w:kern w:val="2"/>
      <w:sz w:val="28"/>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未命名11"/>
    <w:qFormat/>
    <w:uiPriority w:val="0"/>
    <w:rPr>
      <w:color w:val="77FFFF"/>
      <w:sz w:val="24"/>
    </w:rPr>
  </w:style>
  <w:style w:type="character" w:customStyle="1" w:styleId="80">
    <w:name w:val="Char Char2"/>
    <w:qFormat/>
    <w:uiPriority w:val="0"/>
    <w:rPr>
      <w:rFonts w:eastAsia="宋体"/>
      <w:kern w:val="2"/>
      <w:sz w:val="18"/>
      <w:lang w:val="en-US" w:eastAsia="zh-CN"/>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crowed11"/>
    <w:qFormat/>
    <w:uiPriority w:val="0"/>
    <w:rPr>
      <w:rFonts w:hint="default"/>
      <w:sz w:val="24"/>
    </w:rPr>
  </w:style>
  <w:style w:type="character" w:customStyle="1" w:styleId="83">
    <w:name w:val="top-det1"/>
    <w:qFormat/>
    <w:uiPriority w:val="0"/>
    <w:rPr>
      <w:b/>
      <w:color w:val="000000"/>
    </w:rPr>
  </w:style>
  <w:style w:type="character" w:customStyle="1" w:styleId="84">
    <w:name w:val="标书正文:  0.74 厘米 Char1"/>
    <w:qFormat/>
    <w:uiPriority w:val="0"/>
    <w:rPr>
      <w:rFonts w:eastAsia="宋体"/>
      <w:kern w:val="2"/>
      <w:sz w:val="24"/>
      <w:lang w:val="en-US" w:eastAsia="zh-CN"/>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正文文本首行缩进 2 字符"/>
    <w:basedOn w:val="88"/>
    <w:link w:val="56"/>
    <w:qFormat/>
    <w:uiPriority w:val="0"/>
    <w:rPr>
      <w:kern w:val="2"/>
      <w:sz w:val="44"/>
    </w:rPr>
  </w:style>
  <w:style w:type="character" w:customStyle="1" w:styleId="88">
    <w:name w:val="正文文本缩进 字符"/>
    <w:link w:val="23"/>
    <w:qFormat/>
    <w:uiPriority w:val="0"/>
    <w:rPr>
      <w:kern w:val="2"/>
      <w:sz w:val="44"/>
    </w:rPr>
  </w:style>
  <w:style w:type="character" w:customStyle="1" w:styleId="89">
    <w:name w:val="Char Char6"/>
    <w:qFormat/>
    <w:uiPriority w:val="0"/>
    <w:rPr>
      <w:rFonts w:ascii="仿宋_GB2312" w:eastAsia="仿宋_GB2312"/>
      <w:kern w:val="2"/>
      <w:sz w:val="32"/>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font1"/>
    <w:qFormat/>
    <w:uiPriority w:val="0"/>
    <w:rPr>
      <w:color w:val="000000"/>
      <w:sz w:val="18"/>
    </w:rPr>
  </w:style>
  <w:style w:type="character" w:customStyle="1" w:styleId="92">
    <w:name w:val="脚注文本 字符"/>
    <w:link w:val="40"/>
    <w:qFormat/>
    <w:uiPriority w:val="0"/>
    <w:rPr>
      <w:kern w:val="2"/>
      <w:sz w:val="18"/>
    </w:rPr>
  </w:style>
  <w:style w:type="character" w:customStyle="1" w:styleId="93">
    <w:name w:val="Char Char11"/>
    <w:qFormat/>
    <w:uiPriority w:val="0"/>
    <w:rPr>
      <w:rFonts w:ascii="宋体"/>
      <w:kern w:val="2"/>
      <w:sz w:val="28"/>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小 Char"/>
    <w:qFormat/>
    <w:uiPriority w:val="0"/>
    <w:rPr>
      <w:rFonts w:ascii="宋体" w:hAnsi="Courier New" w:eastAsia="宋体"/>
      <w:kern w:val="2"/>
      <w:sz w:val="21"/>
      <w:lang w:val="en-US" w:eastAsia="zh-CN" w:bidi="ar-SA"/>
    </w:rPr>
  </w:style>
  <w:style w:type="character" w:customStyle="1" w:styleId="97">
    <w:name w:val="标题 2 字符"/>
    <w:link w:val="4"/>
    <w:qFormat/>
    <w:uiPriority w:val="0"/>
    <w:rPr>
      <w:rFonts w:ascii="Arial" w:hAnsi="Arial" w:eastAsia="黑体"/>
      <w:b/>
      <w:kern w:val="2"/>
      <w:sz w:val="32"/>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har Char"/>
    <w:qFormat/>
    <w:uiPriority w:val="0"/>
    <w:rPr>
      <w:rFonts w:ascii="宋体" w:hAnsi="宋体" w:eastAsia="宋体"/>
      <w:kern w:val="2"/>
      <w:sz w:val="24"/>
      <w:lang w:val="en-US" w:eastAsia="zh-CN" w:bidi="ar-SA"/>
    </w:rPr>
  </w:style>
  <w:style w:type="character" w:customStyle="1" w:styleId="100">
    <w:name w:val="v151"/>
    <w:qFormat/>
    <w:uiPriority w:val="0"/>
    <w:rPr>
      <w:sz w:val="18"/>
    </w:rPr>
  </w:style>
  <w:style w:type="character" w:customStyle="1" w:styleId="101">
    <w:name w:val="title_emph1"/>
    <w:qFormat/>
    <w:uiPriority w:val="0"/>
    <w:rPr>
      <w:rFonts w:hint="default" w:ascii="Arial" w:hAnsi="Arial"/>
      <w:b/>
      <w:sz w:val="20"/>
    </w:rPr>
  </w:style>
  <w:style w:type="character" w:customStyle="1" w:styleId="102">
    <w:name w:val="日期 字符"/>
    <w:link w:val="32"/>
    <w:qFormat/>
    <w:uiPriority w:val="0"/>
    <w:rPr>
      <w:kern w:val="2"/>
      <w:sz w:val="28"/>
    </w:rPr>
  </w:style>
  <w:style w:type="character" w:customStyle="1" w:styleId="103">
    <w:name w:val="批注主题 字符"/>
    <w:basedOn w:val="74"/>
    <w:link w:val="54"/>
    <w:qFormat/>
    <w:uiPriority w:val="0"/>
    <w:rPr>
      <w:sz w:val="24"/>
    </w:rPr>
  </w:style>
  <w:style w:type="paragraph" w:customStyle="1" w:styleId="10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05">
    <w:name w:val="Char1 Char Char Char"/>
    <w:basedOn w:val="1"/>
    <w:qFormat/>
    <w:uiPriority w:val="0"/>
    <w:rPr>
      <w:rFonts w:ascii="Tahoma" w:hAnsi="Tahoma"/>
      <w:sz w:val="24"/>
    </w:rPr>
  </w:style>
  <w:style w:type="paragraph" w:customStyle="1" w:styleId="10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7">
    <w:name w:val="正文4"/>
    <w:basedOn w:val="1"/>
    <w:qFormat/>
    <w:uiPriority w:val="0"/>
    <w:pPr>
      <w:tabs>
        <w:tab w:val="left" w:pos="1275"/>
      </w:tabs>
      <w:spacing w:before="60" w:after="60" w:line="360" w:lineRule="auto"/>
      <w:ind w:left="820" w:leftChars="400" w:hanging="705"/>
    </w:pPr>
    <w:rPr>
      <w:sz w:val="24"/>
    </w:rPr>
  </w:style>
  <w:style w:type="paragraph" w:customStyle="1" w:styleId="108">
    <w:name w:val="文本1"/>
    <w:basedOn w:val="1"/>
    <w:qFormat/>
    <w:uiPriority w:val="0"/>
    <w:pPr>
      <w:adjustRightInd w:val="0"/>
      <w:spacing w:line="312" w:lineRule="atLeast"/>
      <w:jc w:val="center"/>
      <w:textAlignment w:val="baseline"/>
    </w:pPr>
    <w:rPr>
      <w:kern w:val="0"/>
      <w:sz w:val="18"/>
    </w:rPr>
  </w:style>
  <w:style w:type="paragraph" w:customStyle="1" w:styleId="1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12">
    <w:name w:val="样式 行距: 1.5 倍行距1"/>
    <w:basedOn w:val="1"/>
    <w:qFormat/>
    <w:uiPriority w:val="0"/>
    <w:pPr>
      <w:snapToGrid w:val="0"/>
    </w:pPr>
    <w:rPr>
      <w:sz w:val="21"/>
    </w:rPr>
  </w:style>
  <w:style w:type="paragraph" w:customStyle="1" w:styleId="11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4">
    <w:name w:val="Title - Date"/>
    <w:basedOn w:val="53"/>
    <w:next w:val="1"/>
    <w:qFormat/>
    <w:uiPriority w:val="0"/>
    <w:pPr>
      <w:spacing w:before="240" w:after="720"/>
    </w:pPr>
    <w:rPr>
      <w:sz w:val="28"/>
    </w:rPr>
  </w:style>
  <w:style w:type="paragraph" w:customStyle="1" w:styleId="115">
    <w:name w:val="Char Char Char Char Char"/>
    <w:basedOn w:val="1"/>
    <w:qFormat/>
    <w:uiPriority w:val="0"/>
    <w:pPr>
      <w:tabs>
        <w:tab w:val="left" w:pos="425"/>
      </w:tabs>
      <w:ind w:left="1620" w:hanging="360"/>
    </w:pPr>
    <w:rPr>
      <w:rFonts w:ascii="Tahoma" w:hAnsi="Tahoma"/>
      <w:sz w:val="24"/>
    </w:rPr>
  </w:style>
  <w:style w:type="paragraph" w:customStyle="1" w:styleId="1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7">
    <w:name w:val="列表项目"/>
    <w:basedOn w:val="1"/>
    <w:qFormat/>
    <w:uiPriority w:val="0"/>
    <w:pPr>
      <w:tabs>
        <w:tab w:val="left" w:pos="420"/>
      </w:tabs>
      <w:spacing w:line="288" w:lineRule="auto"/>
      <w:ind w:left="840" w:leftChars="200" w:hanging="420" w:hangingChars="200"/>
    </w:pPr>
    <w:rPr>
      <w:sz w:val="21"/>
    </w:rPr>
  </w:style>
  <w:style w:type="paragraph" w:customStyle="1" w:styleId="11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二级条标题"/>
    <w:basedOn w:val="124"/>
    <w:next w:val="126"/>
    <w:qFormat/>
    <w:uiPriority w:val="0"/>
    <w:pPr>
      <w:ind w:left="840"/>
      <w:outlineLvl w:val="3"/>
    </w:pPr>
  </w:style>
  <w:style w:type="paragraph" w:customStyle="1" w:styleId="124">
    <w:name w:val="一级条标题"/>
    <w:basedOn w:val="125"/>
    <w:next w:val="126"/>
    <w:qFormat/>
    <w:uiPriority w:val="0"/>
    <w:pPr>
      <w:numPr>
        <w:numId w:val="0"/>
      </w:numPr>
      <w:spacing w:beforeLines="0" w:afterLines="0"/>
      <w:ind w:left="525"/>
      <w:outlineLvl w:val="2"/>
    </w:pPr>
    <w:rPr>
      <w:sz w:val="21"/>
    </w:rPr>
  </w:style>
  <w:style w:type="paragraph" w:customStyle="1" w:styleId="125">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9">
    <w:name w:val="正文（首行不缩进）"/>
    <w:basedOn w:val="1"/>
    <w:qFormat/>
    <w:uiPriority w:val="0"/>
    <w:pPr>
      <w:autoSpaceDE w:val="0"/>
      <w:autoSpaceDN w:val="0"/>
      <w:adjustRightInd w:val="0"/>
      <w:spacing w:line="360" w:lineRule="auto"/>
      <w:jc w:val="left"/>
    </w:pPr>
    <w:rPr>
      <w:kern w:val="0"/>
      <w:sz w:val="21"/>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1">
    <w:name w:val="正文1"/>
    <w:basedOn w:val="1"/>
    <w:qFormat/>
    <w:uiPriority w:val="0"/>
    <w:pPr>
      <w:spacing w:line="300" w:lineRule="auto"/>
      <w:ind w:firstLine="200" w:firstLineChars="200"/>
    </w:pPr>
    <w:rPr>
      <w:sz w:val="24"/>
    </w:rPr>
  </w:style>
  <w:style w:type="paragraph" w:customStyle="1" w:styleId="132">
    <w:name w:val="表格内文字"/>
    <w:basedOn w:val="30"/>
    <w:qFormat/>
    <w:uiPriority w:val="0"/>
    <w:pPr>
      <w:adjustRightInd w:val="0"/>
    </w:pPr>
    <w:rPr>
      <w:color w:val="000000"/>
      <w:lang w:val="en-GB"/>
    </w:rPr>
  </w:style>
  <w:style w:type="paragraph" w:customStyle="1" w:styleId="133">
    <w:name w:val="1.正文"/>
    <w:basedOn w:val="1"/>
    <w:qFormat/>
    <w:uiPriority w:val="0"/>
    <w:pPr>
      <w:spacing w:line="360" w:lineRule="auto"/>
      <w:ind w:left="540" w:leftChars="225" w:firstLine="540" w:firstLineChars="225"/>
    </w:pPr>
    <w:rPr>
      <w:sz w:val="24"/>
    </w:rPr>
  </w:style>
  <w:style w:type="paragraph" w:customStyle="1" w:styleId="134">
    <w:name w:val="首行缩进"/>
    <w:basedOn w:val="1"/>
    <w:qFormat/>
    <w:uiPriority w:val="0"/>
    <w:pPr>
      <w:numPr>
        <w:ilvl w:val="0"/>
        <w:numId w:val="5"/>
      </w:numPr>
      <w:spacing w:line="360" w:lineRule="auto"/>
    </w:pPr>
    <w:rPr>
      <w:rFonts w:eastAsia="仿宋_GB2312"/>
    </w:rPr>
  </w:style>
  <w:style w:type="paragraph" w:customStyle="1" w:styleId="135">
    <w:name w:val="Char1"/>
    <w:basedOn w:val="1"/>
    <w:qFormat/>
    <w:uiPriority w:val="0"/>
    <w:rPr>
      <w:sz w:val="21"/>
    </w:rPr>
  </w:style>
  <w:style w:type="paragraph" w:customStyle="1" w:styleId="136">
    <w:name w:val="首行缩进 1"/>
    <w:basedOn w:val="1"/>
    <w:qFormat/>
    <w:uiPriority w:val="0"/>
    <w:pPr>
      <w:spacing w:after="120" w:line="360" w:lineRule="auto"/>
      <w:ind w:firstLine="200" w:firstLineChars="200"/>
    </w:pPr>
    <w:rPr>
      <w:sz w:val="24"/>
    </w:rPr>
  </w:style>
  <w:style w:type="paragraph" w:customStyle="1" w:styleId="137">
    <w:name w:val="简单回函地址"/>
    <w:basedOn w:val="1"/>
    <w:qFormat/>
    <w:uiPriority w:val="0"/>
    <w:pPr>
      <w:adjustRightInd w:val="0"/>
      <w:snapToGrid w:val="0"/>
      <w:spacing w:line="360" w:lineRule="auto"/>
    </w:pPr>
    <w:rPr>
      <w:sz w:val="24"/>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af"/>
    <w:basedOn w:val="1"/>
    <w:qFormat/>
    <w:uiPriority w:val="0"/>
    <w:pPr>
      <w:widowControl/>
      <w:spacing w:line="300" w:lineRule="atLeast"/>
      <w:jc w:val="left"/>
    </w:pPr>
    <w:rPr>
      <w:rFonts w:ascii="宋体" w:hAnsi="宋体"/>
      <w:kern w:val="0"/>
      <w:sz w:val="18"/>
    </w:rPr>
  </w:style>
  <w:style w:type="paragraph" w:customStyle="1" w:styleId="140">
    <w:name w:val="Char"/>
    <w:basedOn w:val="1"/>
    <w:qFormat/>
    <w:uiPriority w:val="0"/>
    <w:pPr>
      <w:spacing w:line="240" w:lineRule="atLeast"/>
      <w:ind w:left="420" w:firstLine="420"/>
    </w:pPr>
    <w:rPr>
      <w:kern w:val="0"/>
      <w:sz w:val="21"/>
    </w:rPr>
  </w:style>
  <w:style w:type="paragraph" w:customStyle="1" w:styleId="14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2">
    <w:name w:val="Char Char1 Char"/>
    <w:basedOn w:val="1"/>
    <w:qFormat/>
    <w:uiPriority w:val="0"/>
    <w:rPr>
      <w:rFonts w:ascii="Tahoma" w:hAnsi="Tahoma"/>
      <w:sz w:val="24"/>
      <w:szCs w:val="24"/>
    </w:rPr>
  </w:style>
  <w:style w:type="paragraph" w:customStyle="1" w:styleId="14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4">
    <w:name w:val="图例"/>
    <w:basedOn w:val="1"/>
    <w:qFormat/>
    <w:uiPriority w:val="0"/>
    <w:pPr>
      <w:spacing w:before="120" w:after="120" w:line="360" w:lineRule="auto"/>
      <w:jc w:val="center"/>
    </w:pPr>
    <w:rPr>
      <w:rFonts w:eastAsia="仿宋_GB2312"/>
      <w:b/>
      <w:sz w:val="24"/>
    </w:rPr>
  </w:style>
  <w:style w:type="paragraph" w:customStyle="1" w:styleId="145">
    <w:name w:val="Title - Revision"/>
    <w:basedOn w:val="53"/>
    <w:qFormat/>
    <w:uiPriority w:val="0"/>
    <w:pPr>
      <w:spacing w:before="720"/>
    </w:pPr>
  </w:style>
  <w:style w:type="paragraph" w:customStyle="1" w:styleId="14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8">
    <w:name w:val="样式1xz"/>
    <w:basedOn w:val="1"/>
    <w:qFormat/>
    <w:uiPriority w:val="0"/>
    <w:pPr>
      <w:tabs>
        <w:tab w:val="left" w:pos="1050"/>
        <w:tab w:val="right" w:leader="dot" w:pos="8296"/>
      </w:tabs>
    </w:pPr>
    <w:rPr>
      <w:caps/>
      <w:spacing w:val="20"/>
      <w:sz w:val="24"/>
    </w:rPr>
  </w:style>
  <w:style w:type="paragraph" w:customStyle="1" w:styleId="149">
    <w:name w:val="Note"/>
    <w:basedOn w:val="1"/>
    <w:qFormat/>
    <w:uiPriority w:val="0"/>
    <w:pPr>
      <w:pBdr>
        <w:top w:val="single" w:color="auto" w:sz="12" w:space="3"/>
        <w:bottom w:val="single" w:color="auto" w:sz="12" w:space="3"/>
      </w:pBdr>
      <w:spacing w:line="360" w:lineRule="auto"/>
    </w:pPr>
    <w:rPr>
      <w:sz w:val="24"/>
    </w:rPr>
  </w:style>
  <w:style w:type="paragraph" w:customStyle="1" w:styleId="150">
    <w:name w:val="正文文本 21"/>
    <w:basedOn w:val="1"/>
    <w:qFormat/>
    <w:uiPriority w:val="0"/>
    <w:pPr>
      <w:adjustRightInd w:val="0"/>
      <w:spacing w:before="120" w:line="360" w:lineRule="auto"/>
      <w:ind w:firstLine="480"/>
      <w:textAlignment w:val="baseline"/>
    </w:pPr>
    <w:rPr>
      <w:sz w:val="24"/>
    </w:rPr>
  </w:style>
  <w:style w:type="paragraph" w:customStyle="1" w:styleId="15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3">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5">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6">
    <w:name w:val="摘要"/>
    <w:basedOn w:val="1"/>
    <w:next w:val="4"/>
    <w:qFormat/>
    <w:uiPriority w:val="0"/>
    <w:pPr>
      <w:spacing w:line="360" w:lineRule="auto"/>
    </w:pPr>
    <w:rPr>
      <w:rFonts w:eastAsia="黑体"/>
      <w:sz w:val="20"/>
    </w:rPr>
  </w:style>
  <w:style w:type="paragraph" w:customStyle="1" w:styleId="15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8">
    <w:name w:val="样式 宋体 五号 行距: 单倍行距"/>
    <w:basedOn w:val="1"/>
    <w:qFormat/>
    <w:uiPriority w:val="0"/>
    <w:pPr>
      <w:adjustRightInd w:val="0"/>
      <w:jc w:val="left"/>
    </w:pPr>
    <w:rPr>
      <w:rFonts w:ascii="宋体" w:hAnsi="宋体"/>
      <w:kern w:val="0"/>
      <w:sz w:val="21"/>
    </w:rPr>
  </w:style>
  <w:style w:type="paragraph" w:customStyle="1" w:styleId="159">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0">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62">
    <w:name w:val="正文表格"/>
    <w:basedOn w:val="1"/>
    <w:qFormat/>
    <w:uiPriority w:val="0"/>
    <w:pPr>
      <w:adjustRightInd w:val="0"/>
      <w:spacing w:before="40" w:after="40"/>
    </w:pPr>
    <w:rPr>
      <w:sz w:val="24"/>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图片文字"/>
    <w:basedOn w:val="1"/>
    <w:qFormat/>
    <w:uiPriority w:val="0"/>
    <w:pPr>
      <w:spacing w:line="240" w:lineRule="atLeast"/>
      <w:jc w:val="center"/>
    </w:pPr>
    <w:rPr>
      <w:sz w:val="21"/>
    </w:rPr>
  </w:style>
  <w:style w:type="paragraph" w:customStyle="1" w:styleId="16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样式 首行缩进:  0.74 厘米"/>
    <w:basedOn w:val="1"/>
    <w:qFormat/>
    <w:uiPriority w:val="0"/>
    <w:pPr>
      <w:spacing w:line="360" w:lineRule="auto"/>
      <w:ind w:firstLine="420"/>
    </w:pPr>
    <w:rPr>
      <w:sz w:val="24"/>
    </w:rPr>
  </w:style>
  <w:style w:type="paragraph" w:customStyle="1" w:styleId="1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8">
    <w:name w:val="Char2 Char Char Char Char Char Char"/>
    <w:basedOn w:val="1"/>
    <w:qFormat/>
    <w:uiPriority w:val="0"/>
    <w:rPr>
      <w:rFonts w:ascii="仿宋_GB2312"/>
      <w:b/>
      <w:sz w:val="30"/>
    </w:rPr>
  </w:style>
  <w:style w:type="paragraph" w:customStyle="1" w:styleId="169">
    <w:name w:val="二级列表"/>
    <w:basedOn w:val="170"/>
    <w:next w:val="170"/>
    <w:qFormat/>
    <w:uiPriority w:val="0"/>
    <w:pPr>
      <w:tabs>
        <w:tab w:val="left" w:pos="2120"/>
      </w:tabs>
      <w:ind w:firstLine="0" w:firstLineChars="0"/>
    </w:pPr>
    <w:rPr>
      <w:b/>
    </w:rPr>
  </w:style>
  <w:style w:type="paragraph" w:customStyle="1" w:styleId="170">
    <w:name w:val="段落正文"/>
    <w:basedOn w:val="1"/>
    <w:qFormat/>
    <w:uiPriority w:val="0"/>
    <w:pPr>
      <w:spacing w:beforeLines="50" w:line="360" w:lineRule="auto"/>
      <w:ind w:firstLine="200" w:firstLineChars="200"/>
    </w:pPr>
    <w:rPr>
      <w:spacing w:val="2"/>
      <w:sz w:val="24"/>
    </w:rPr>
  </w:style>
  <w:style w:type="paragraph" w:customStyle="1" w:styleId="17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3">
    <w:name w:val="Table Contents"/>
    <w:basedOn w:val="2"/>
    <w:qFormat/>
    <w:uiPriority w:val="0"/>
    <w:pPr>
      <w:suppressAutoHyphens/>
      <w:jc w:val="left"/>
    </w:pPr>
    <w:rPr>
      <w:rFonts w:ascii="Times New Roman" w:eastAsia="Times New Roman"/>
      <w:kern w:val="0"/>
      <w:sz w:val="24"/>
    </w:rPr>
  </w:style>
  <w:style w:type="paragraph" w:customStyle="1" w:styleId="1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5">
    <w:name w:val="IN Feature"/>
    <w:next w:val="17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78">
    <w:name w:val="编号正文"/>
    <w:basedOn w:val="110"/>
    <w:qFormat/>
    <w:uiPriority w:val="0"/>
    <w:pPr>
      <w:snapToGrid/>
      <w:spacing w:line="360" w:lineRule="auto"/>
      <w:ind w:left="1407" w:hanging="1047"/>
      <w:jc w:val="left"/>
    </w:pPr>
    <w:rPr>
      <w:rFonts w:eastAsia="仿宋_GB2312"/>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8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2">
    <w:name w:val="关键词"/>
    <w:basedOn w:val="1"/>
    <w:next w:val="1"/>
    <w:qFormat/>
    <w:uiPriority w:val="0"/>
    <w:pPr>
      <w:spacing w:line="360" w:lineRule="auto"/>
    </w:pPr>
    <w:rPr>
      <w:rFonts w:eastAsia="黑体"/>
      <w:sz w:val="20"/>
    </w:rPr>
  </w:style>
  <w:style w:type="paragraph" w:customStyle="1" w:styleId="18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4">
    <w:name w:val="Style Heading 3h3Heading 3 - oldLevel 3 HeadH3level_3PIM 3se..."/>
    <w:basedOn w:val="5"/>
    <w:qFormat/>
    <w:uiPriority w:val="0"/>
    <w:pPr>
      <w:tabs>
        <w:tab w:val="left" w:pos="709"/>
        <w:tab w:val="left" w:pos="1620"/>
      </w:tabs>
      <w:ind w:left="1620" w:hanging="360"/>
    </w:pPr>
  </w:style>
  <w:style w:type="paragraph" w:customStyle="1" w:styleId="185">
    <w:name w:val="00"/>
    <w:basedOn w:val="1"/>
    <w:qFormat/>
    <w:uiPriority w:val="0"/>
    <w:pPr>
      <w:autoSpaceDE w:val="0"/>
      <w:autoSpaceDN w:val="0"/>
      <w:adjustRightInd w:val="0"/>
      <w:jc w:val="left"/>
    </w:pPr>
    <w:rPr>
      <w:rFonts w:ascii="黑体" w:eastAsia="黑体"/>
      <w:b/>
      <w:kern w:val="0"/>
      <w:sz w:val="20"/>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8">
    <w:name w:val="样式 正文缩进正文（首行缩进两字）表正文正文非缩进特点标题4段1 + 首行缩进:  2 字符"/>
    <w:basedOn w:val="16"/>
    <w:qFormat/>
    <w:uiPriority w:val="0"/>
    <w:pPr>
      <w:ind w:firstLine="480" w:firstLineChars="200"/>
    </w:pPr>
  </w:style>
  <w:style w:type="paragraph" w:customStyle="1" w:styleId="189">
    <w:name w:val="1"/>
    <w:basedOn w:val="1"/>
    <w:next w:val="30"/>
    <w:qFormat/>
    <w:uiPriority w:val="0"/>
    <w:rPr>
      <w:rFonts w:ascii="宋体" w:hAnsi="Courier New"/>
      <w:sz w:val="21"/>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正文 + 三号"/>
    <w:basedOn w:val="1"/>
    <w:qFormat/>
    <w:uiPriority w:val="0"/>
    <w:rPr>
      <w:sz w:val="21"/>
    </w:rPr>
  </w:style>
  <w:style w:type="paragraph" w:customStyle="1" w:styleId="19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3">
    <w:name w:val="正文文本缩进 21"/>
    <w:basedOn w:val="1"/>
    <w:qFormat/>
    <w:uiPriority w:val="0"/>
    <w:pPr>
      <w:adjustRightInd w:val="0"/>
      <w:spacing w:before="120"/>
      <w:ind w:firstLine="420"/>
      <w:textAlignment w:val="baseline"/>
    </w:pPr>
    <w:rPr>
      <w:sz w:val="24"/>
    </w:rPr>
  </w:style>
  <w:style w:type="paragraph" w:customStyle="1" w:styleId="1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6">
    <w:name w:val="Char1 Char Char Char1"/>
    <w:basedOn w:val="1"/>
    <w:qFormat/>
    <w:uiPriority w:val="0"/>
    <w:rPr>
      <w:rFonts w:ascii="Tahoma" w:hAnsi="Tahoma"/>
      <w:sz w:val="30"/>
    </w:rPr>
  </w:style>
  <w:style w:type="paragraph" w:customStyle="1" w:styleId="19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Char Char Char"/>
    <w:basedOn w:val="1"/>
    <w:qFormat/>
    <w:uiPriority w:val="0"/>
    <w:rPr>
      <w:rFonts w:ascii="Tahoma" w:hAnsi="Tahoma"/>
      <w:sz w:val="24"/>
    </w:rPr>
  </w:style>
  <w:style w:type="paragraph" w:customStyle="1" w:styleId="200">
    <w:name w:val="Char Char Char Char Char Char Char"/>
    <w:basedOn w:val="1"/>
    <w:qFormat/>
    <w:uiPriority w:val="0"/>
    <w:rPr>
      <w:rFonts w:ascii="Tahoma" w:hAnsi="Tahoma"/>
      <w:sz w:val="24"/>
    </w:rPr>
  </w:style>
  <w:style w:type="paragraph" w:customStyle="1" w:styleId="201">
    <w:name w:val="表号"/>
    <w:basedOn w:val="1"/>
    <w:qFormat/>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02">
    <w:name w:val="Char2"/>
    <w:basedOn w:val="1"/>
    <w:qFormat/>
    <w:uiPriority w:val="0"/>
    <w:pPr>
      <w:spacing w:line="240" w:lineRule="atLeast"/>
      <w:ind w:left="420" w:firstLine="420"/>
    </w:pPr>
    <w:rPr>
      <w:kern w:val="0"/>
      <w:sz w:val="21"/>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05">
    <w:name w:val="Char Char Char Char Char Char Char1"/>
    <w:basedOn w:val="18"/>
    <w:qFormat/>
    <w:uiPriority w:val="0"/>
    <w:rPr>
      <w:rFonts w:ascii="宋体" w:hAnsi="Tahoma"/>
    </w:rPr>
  </w:style>
  <w:style w:type="paragraph" w:customStyle="1" w:styleId="206">
    <w:name w:val="_Style 191"/>
    <w:basedOn w:val="1"/>
    <w:next w:val="55"/>
    <w:qFormat/>
    <w:uiPriority w:val="0"/>
    <w:pPr>
      <w:spacing w:line="360" w:lineRule="auto"/>
      <w:ind w:firstLine="420"/>
    </w:pPr>
    <w:rPr>
      <w:rFonts w:ascii="宋体" w:hAnsi="宋体"/>
      <w:sz w:val="24"/>
    </w:rPr>
  </w:style>
  <w:style w:type="paragraph" w:customStyle="1" w:styleId="20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9">
    <w:name w:val="文本框样式1"/>
    <w:basedOn w:val="1"/>
    <w:qFormat/>
    <w:uiPriority w:val="0"/>
    <w:pPr>
      <w:adjustRightInd w:val="0"/>
      <w:snapToGrid w:val="0"/>
      <w:spacing w:before="60" w:line="180" w:lineRule="exact"/>
      <w:jc w:val="center"/>
    </w:pPr>
    <w:rPr>
      <w:sz w:val="21"/>
    </w:rPr>
  </w:style>
  <w:style w:type="paragraph" w:customStyle="1" w:styleId="210">
    <w:name w:val="默认段落字体 Para Char Char Char Char Char Char Char"/>
    <w:basedOn w:val="1"/>
    <w:qFormat/>
    <w:uiPriority w:val="0"/>
    <w:rPr>
      <w:rFonts w:ascii="Tahoma" w:hAnsi="Tahoma"/>
      <w:sz w:val="24"/>
    </w:rPr>
  </w:style>
  <w:style w:type="paragraph" w:customStyle="1" w:styleId="211">
    <w:name w:val="修订1"/>
    <w:qFormat/>
    <w:uiPriority w:val="0"/>
    <w:rPr>
      <w:rFonts w:ascii="Times New Roman" w:hAnsi="Times New Roman" w:eastAsia="宋体" w:cs="Times New Roman"/>
      <w:kern w:val="2"/>
      <w:sz w:val="21"/>
      <w:lang w:val="en-US" w:eastAsia="zh-CN" w:bidi="ar-SA"/>
    </w:rPr>
  </w:style>
  <w:style w:type="paragraph" w:customStyle="1" w:styleId="21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表头样式"/>
    <w:basedOn w:val="1"/>
    <w:qFormat/>
    <w:uiPriority w:val="0"/>
    <w:pPr>
      <w:autoSpaceDE w:val="0"/>
      <w:autoSpaceDN w:val="0"/>
      <w:adjustRightInd w:val="0"/>
      <w:spacing w:line="360" w:lineRule="auto"/>
      <w:jc w:val="left"/>
    </w:pPr>
    <w:rPr>
      <w:b/>
      <w:kern w:val="0"/>
      <w:sz w:val="21"/>
    </w:rPr>
  </w:style>
  <w:style w:type="paragraph" w:customStyle="1" w:styleId="214">
    <w:name w:val="文章正文"/>
    <w:basedOn w:val="1"/>
    <w:qFormat/>
    <w:uiPriority w:val="0"/>
    <w:pPr>
      <w:ind w:firstLine="560" w:firstLineChars="200"/>
    </w:pPr>
    <w:rPr>
      <w:rFonts w:ascii="仿宋_GB2312" w:hAnsi="宋体" w:eastAsia="仿宋_GB2312"/>
      <w:color w:val="000000"/>
    </w:rPr>
  </w:style>
  <w:style w:type="paragraph" w:customStyle="1" w:styleId="215">
    <w:name w:val="内容标题"/>
    <w:basedOn w:val="18"/>
    <w:qFormat/>
    <w:uiPriority w:val="0"/>
    <w:rPr>
      <w:rFonts w:ascii="Tahoma" w:hAnsi="Tahoma"/>
      <w:sz w:val="24"/>
    </w:rPr>
  </w:style>
  <w:style w:type="paragraph" w:customStyle="1" w:styleId="21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7">
    <w:name w:val="正文字缩2字"/>
    <w:basedOn w:val="1"/>
    <w:qFormat/>
    <w:uiPriority w:val="0"/>
    <w:pPr>
      <w:spacing w:before="60" w:after="60" w:line="360" w:lineRule="auto"/>
      <w:ind w:left="200" w:leftChars="200" w:firstLine="200" w:firstLineChars="200"/>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标准正文"/>
    <w:basedOn w:val="23"/>
    <w:qFormat/>
    <w:uiPriority w:val="0"/>
    <w:pPr>
      <w:spacing w:before="60" w:after="60" w:line="360" w:lineRule="auto"/>
      <w:ind w:left="0" w:firstLine="482"/>
    </w:pPr>
    <w:rPr>
      <w:rFonts w:ascii="Arial" w:hAnsi="Arial"/>
      <w:sz w:val="24"/>
    </w:rPr>
  </w:style>
  <w:style w:type="paragraph" w:customStyle="1" w:styleId="220">
    <w:name w:val="样式4"/>
    <w:basedOn w:val="6"/>
    <w:qFormat/>
    <w:uiPriority w:val="0"/>
    <w:pPr>
      <w:adjustRightInd w:val="0"/>
      <w:snapToGrid w:val="0"/>
    </w:pPr>
  </w:style>
  <w:style w:type="paragraph" w:customStyle="1" w:styleId="22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2">
    <w:name w:val="样式2"/>
    <w:basedOn w:val="6"/>
    <w:qFormat/>
    <w:uiPriority w:val="0"/>
    <w:pPr>
      <w:numPr>
        <w:ilvl w:val="0"/>
        <w:numId w:val="11"/>
      </w:numPr>
      <w:spacing w:before="560" w:line="400" w:lineRule="exact"/>
      <w:jc w:val="center"/>
      <w:outlineLvl w:val="0"/>
    </w:pPr>
    <w:rPr>
      <w:b w:val="0"/>
      <w:sz w:val="44"/>
    </w:rPr>
  </w:style>
  <w:style w:type="paragraph" w:customStyle="1" w:styleId="223">
    <w:name w:val="样式1"/>
    <w:basedOn w:val="6"/>
    <w:qFormat/>
    <w:uiPriority w:val="0"/>
    <w:pPr>
      <w:tabs>
        <w:tab w:val="left" w:pos="720"/>
      </w:tabs>
      <w:spacing w:before="500" w:after="260" w:line="560" w:lineRule="atLeast"/>
      <w:ind w:left="420" w:hanging="420"/>
    </w:pPr>
  </w:style>
  <w:style w:type="paragraph" w:customStyle="1" w:styleId="224">
    <w:name w:val="标题无"/>
    <w:basedOn w:val="1"/>
    <w:qFormat/>
    <w:uiPriority w:val="0"/>
    <w:pPr>
      <w:spacing w:line="360" w:lineRule="auto"/>
    </w:pPr>
    <w:rPr>
      <w:sz w:val="24"/>
    </w:rPr>
  </w:style>
  <w:style w:type="paragraph" w:customStyle="1" w:styleId="22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8">
    <w:name w:val="没有缩进（为图形使用）"/>
    <w:basedOn w:val="1"/>
    <w:qFormat/>
    <w:uiPriority w:val="0"/>
    <w:pPr>
      <w:spacing w:before="120" w:after="120" w:line="360" w:lineRule="auto"/>
    </w:pPr>
    <w:rPr>
      <w:sz w:val="24"/>
    </w:rPr>
  </w:style>
  <w:style w:type="paragraph" w:customStyle="1" w:styleId="229">
    <w:name w:val="可研正文"/>
    <w:basedOn w:val="2"/>
    <w:qFormat/>
    <w:uiPriority w:val="0"/>
    <w:pPr>
      <w:adjustRightInd w:val="0"/>
      <w:snapToGrid w:val="0"/>
      <w:spacing w:line="440" w:lineRule="exact"/>
      <w:ind w:firstLine="567"/>
    </w:pPr>
    <w:rPr>
      <w:sz w:val="28"/>
    </w:rPr>
  </w:style>
  <w:style w:type="paragraph" w:customStyle="1" w:styleId="230">
    <w:name w:val="默认段落字体 Para Char Char Char Char Char Char Char Char Char1 Char Char Char Char"/>
    <w:basedOn w:val="1"/>
    <w:qFormat/>
    <w:uiPriority w:val="0"/>
    <w:rPr>
      <w:rFonts w:ascii="Tahoma" w:hAnsi="Tahoma"/>
      <w:sz w:val="24"/>
    </w:rPr>
  </w:style>
  <w:style w:type="paragraph" w:customStyle="1" w:styleId="2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232">
    <w:name w:val="表头文本"/>
    <w:qFormat/>
    <w:uiPriority w:val="0"/>
    <w:pPr>
      <w:jc w:val="center"/>
    </w:pPr>
    <w:rPr>
      <w:rFonts w:ascii="Arial" w:hAnsi="Arial" w:eastAsia="宋体" w:cs="Times New Roman"/>
      <w:b/>
      <w:sz w:val="21"/>
      <w:lang w:val="en-US" w:eastAsia="zh-CN" w:bidi="ar-SA"/>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Char Char14 Char Char"/>
    <w:basedOn w:val="1"/>
    <w:qFormat/>
    <w:uiPriority w:val="0"/>
    <w:rPr>
      <w:sz w:val="21"/>
      <w:szCs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character" w:customStyle="1" w:styleId="237">
    <w:name w:val="标题 2 Char"/>
    <w:qFormat/>
    <w:uiPriority w:val="0"/>
    <w:rPr>
      <w:rFonts w:ascii="Arial" w:hAnsi="Arial" w:eastAsia="黑体"/>
      <w:b/>
      <w:kern w:val="2"/>
      <w:sz w:val="32"/>
    </w:rPr>
  </w:style>
  <w:style w:type="paragraph" w:styleId="238">
    <w:name w:val="List Paragraph"/>
    <w:basedOn w:val="1"/>
    <w:qFormat/>
    <w:uiPriority w:val="99"/>
    <w:pPr>
      <w:ind w:firstLine="420" w:firstLineChars="200"/>
    </w:pPr>
  </w:style>
  <w:style w:type="character" w:customStyle="1" w:styleId="239">
    <w:name w:val="正文文本缩进 Char"/>
    <w:qFormat/>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31</Pages>
  <Words>12947</Words>
  <Characters>13409</Characters>
  <Lines>122</Lines>
  <Paragraphs>34</Paragraphs>
  <TotalTime>0</TotalTime>
  <ScaleCrop>false</ScaleCrop>
  <LinksUpToDate>false</LinksUpToDate>
  <CharactersWithSpaces>14391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2022-12-31T04:43:00Z</dcterms:created>
  <dc:creator>cwj</dc:creator>
  <cp:lastModifiedBy>jtj</cp:lastModifiedBy>
  <cp:lastPrinted>2024-04-26T11:07:00Z</cp:lastPrinted>
  <dcterms:modified xsi:type="dcterms:W3CDTF">2024-12-05T09:34:09Z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DEAED7010BB44FA18C75707BD294BD7E_13</vt:lpwstr>
  </property>
</Properties>
</file>