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olor w:val="auto"/>
          <w:sz w:val="84"/>
          <w:szCs w:val="84"/>
        </w:rPr>
      </w:pPr>
    </w:p>
    <w:p>
      <w:pPr>
        <w:spacing w:line="1600" w:lineRule="exact"/>
        <w:jc w:val="center"/>
        <w:outlineLvl w:val="0"/>
        <w:rPr>
          <w:rFonts w:hint="eastAsia" w:ascii="方正黑体_GBK" w:eastAsia="方正黑体_GBK"/>
          <w:color w:val="auto"/>
          <w:sz w:val="84"/>
          <w:szCs w:val="84"/>
          <w:lang w:eastAsia="zh-CN"/>
        </w:rPr>
      </w:pPr>
      <w:r>
        <w:rPr>
          <w:rFonts w:hint="eastAsia" w:ascii="方正黑体_GBK" w:eastAsia="方正黑体_GBK"/>
          <w:color w:val="auto"/>
          <w:sz w:val="84"/>
          <w:szCs w:val="84"/>
        </w:rPr>
        <w:t>重庆市</w:t>
      </w:r>
      <w:r>
        <w:rPr>
          <w:rFonts w:hint="eastAsia" w:ascii="方正黑体_GBK" w:eastAsia="方正黑体_GBK"/>
          <w:color w:val="auto"/>
          <w:sz w:val="84"/>
          <w:szCs w:val="84"/>
          <w:lang w:eastAsia="zh-CN"/>
        </w:rPr>
        <w:t>乌江航道管理处</w:t>
      </w:r>
    </w:p>
    <w:p>
      <w:pPr>
        <w:spacing w:line="1600" w:lineRule="exact"/>
        <w:jc w:val="center"/>
        <w:outlineLvl w:val="0"/>
        <w:rPr>
          <w:rFonts w:hint="eastAsia" w:ascii="方正黑体_GBK" w:eastAsia="方正黑体_GBK"/>
          <w:color w:val="auto"/>
          <w:sz w:val="84"/>
          <w:szCs w:val="84"/>
        </w:rPr>
      </w:pPr>
      <w:r>
        <w:rPr>
          <w:rFonts w:hint="eastAsia" w:ascii="方正黑体_GBK" w:eastAsia="方正黑体_GBK"/>
          <w:color w:val="auto"/>
          <w:sz w:val="84"/>
          <w:szCs w:val="84"/>
        </w:rPr>
        <w:t>政府采购</w:t>
      </w:r>
    </w:p>
    <w:p>
      <w:pPr>
        <w:jc w:val="center"/>
        <w:rPr>
          <w:rFonts w:hint="eastAsia" w:ascii="宋体" w:hAnsi="宋体"/>
          <w:color w:val="auto"/>
          <w:sz w:val="84"/>
          <w:szCs w:val="84"/>
        </w:rPr>
      </w:pPr>
    </w:p>
    <w:p>
      <w:pPr>
        <w:spacing w:line="1600" w:lineRule="exact"/>
        <w:jc w:val="center"/>
        <w:outlineLvl w:val="0"/>
        <w:rPr>
          <w:rFonts w:hint="eastAsia" w:ascii="方正黑体_GBK" w:hAnsi="宋体" w:eastAsia="方正黑体_GBK"/>
          <w:color w:val="auto"/>
          <w:sz w:val="84"/>
          <w:szCs w:val="84"/>
        </w:rPr>
      </w:pPr>
      <w:r>
        <w:rPr>
          <w:rFonts w:hint="eastAsia" w:ascii="方正黑体_GBK" w:hAnsi="宋体" w:eastAsia="方正黑体_GBK"/>
          <w:color w:val="auto"/>
          <w:sz w:val="84"/>
          <w:szCs w:val="84"/>
        </w:rPr>
        <w:t>限额以下比价采购文件</w:t>
      </w: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500" w:lineRule="exact"/>
        <w:ind w:firstLine="1440" w:firstLineChars="400"/>
        <w:jc w:val="left"/>
        <w:outlineLvl w:val="0"/>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rPr>
        <w:t>采购执行编号：WJ202</w:t>
      </w:r>
      <w:r>
        <w:rPr>
          <w:rFonts w:hint="eastAsia" w:ascii="方正小标宋_GBK" w:hAnsi="宋体" w:eastAsia="方正小标宋_GBK"/>
          <w:color w:val="auto"/>
          <w:sz w:val="36"/>
          <w:szCs w:val="36"/>
          <w:lang w:val="en-US" w:eastAsia="zh-CN"/>
        </w:rPr>
        <w:t>4</w:t>
      </w:r>
      <w:r>
        <w:rPr>
          <w:rFonts w:hint="eastAsia" w:ascii="方正小标宋_GBK" w:hAnsi="宋体" w:eastAsia="方正小标宋_GBK"/>
          <w:color w:val="auto"/>
          <w:sz w:val="36"/>
          <w:szCs w:val="36"/>
        </w:rPr>
        <w:t>0</w:t>
      </w:r>
      <w:r>
        <w:rPr>
          <w:rFonts w:hint="eastAsia" w:ascii="方正小标宋_GBK" w:hAnsi="宋体" w:eastAsia="方正小标宋_GBK"/>
          <w:color w:val="auto"/>
          <w:sz w:val="36"/>
          <w:szCs w:val="36"/>
          <w:lang w:val="en-US" w:eastAsia="zh-CN"/>
        </w:rPr>
        <w:t>01</w:t>
      </w:r>
    </w:p>
    <w:p>
      <w:pPr>
        <w:spacing w:line="500" w:lineRule="exact"/>
        <w:ind w:firstLine="1440" w:firstLineChars="400"/>
        <w:jc w:val="left"/>
        <w:outlineLvl w:val="0"/>
        <w:rPr>
          <w:rFonts w:hint="eastAsia" w:ascii="方正小标宋_GBK" w:hAnsi="宋体" w:eastAsia="方正小标宋_GBK"/>
          <w:color w:val="auto"/>
          <w:sz w:val="36"/>
          <w:szCs w:val="36"/>
          <w:lang w:eastAsia="zh-CN"/>
        </w:rPr>
      </w:pPr>
      <w:r>
        <w:rPr>
          <w:rFonts w:hint="eastAsia" w:ascii="方正小标宋_GBK" w:hAnsi="宋体" w:eastAsia="方正小标宋_GBK"/>
          <w:color w:val="auto"/>
          <w:sz w:val="36"/>
          <w:szCs w:val="36"/>
        </w:rPr>
        <w:t>项目名称</w:t>
      </w:r>
      <w:r>
        <w:rPr>
          <w:rFonts w:hint="eastAsia" w:ascii="方正小标宋_GBK" w:hAnsi="宋体" w:eastAsia="方正小标宋_GBK"/>
          <w:color w:val="auto"/>
          <w:sz w:val="36"/>
          <w:szCs w:val="36"/>
          <w:lang w:eastAsia="zh-CN"/>
        </w:rPr>
        <w:t>：2024年度船舶保险项目（第二次）</w:t>
      </w:r>
    </w:p>
    <w:p>
      <w:pPr>
        <w:spacing w:line="500" w:lineRule="exact"/>
        <w:ind w:firstLine="1440" w:firstLineChars="400"/>
        <w:jc w:val="left"/>
        <w:outlineLvl w:val="0"/>
        <w:rPr>
          <w:rFonts w:hint="eastAsia" w:ascii="方正小标宋_GBK" w:eastAsia="方正小标宋_GBK"/>
          <w:color w:val="auto"/>
          <w:sz w:val="36"/>
          <w:szCs w:val="36"/>
        </w:rPr>
      </w:pPr>
      <w:r>
        <w:rPr>
          <w:rFonts w:hint="eastAsia" w:ascii="方正小标宋_GBK" w:eastAsia="方正小标宋_GBK"/>
          <w:color w:val="auto"/>
          <w:sz w:val="36"/>
          <w:szCs w:val="36"/>
        </w:rPr>
        <w:t>采购人：重庆市乌江航道管理处</w:t>
      </w:r>
    </w:p>
    <w:p>
      <w:pPr>
        <w:spacing w:line="500" w:lineRule="exact"/>
        <w:ind w:firstLine="1440" w:firstLineChars="400"/>
        <w:jc w:val="left"/>
        <w:outlineLvl w:val="0"/>
        <w:rPr>
          <w:rFonts w:hint="eastAsia" w:ascii="方正小标宋_GBK" w:eastAsia="方正小标宋_GBK"/>
          <w:color w:val="auto"/>
          <w:sz w:val="36"/>
          <w:szCs w:val="36"/>
        </w:rPr>
      </w:pPr>
      <w:r>
        <w:rPr>
          <w:rFonts w:hint="eastAsia" w:ascii="方正小标宋_GBK" w:eastAsia="方正小标宋_GBK"/>
          <w:color w:val="auto"/>
          <w:sz w:val="36"/>
          <w:szCs w:val="36"/>
        </w:rPr>
        <w:t>采购代理机构：重庆华大工程管理有限公司</w:t>
      </w:r>
    </w:p>
    <w:p>
      <w:pPr>
        <w:spacing w:line="500" w:lineRule="exact"/>
        <w:outlineLvl w:val="0"/>
        <w:rPr>
          <w:rFonts w:hint="eastAsia" w:ascii="方正小标宋_GBK" w:eastAsia="方正小标宋_GBK"/>
          <w:color w:val="auto"/>
          <w:sz w:val="36"/>
          <w:szCs w:val="36"/>
        </w:rPr>
      </w:pPr>
    </w:p>
    <w:p>
      <w:pPr>
        <w:spacing w:line="500" w:lineRule="exact"/>
        <w:outlineLvl w:val="0"/>
        <w:rPr>
          <w:rFonts w:hint="eastAsia" w:ascii="方正小标宋_GBK" w:eastAsia="方正小标宋_GBK"/>
          <w:color w:val="auto"/>
          <w:sz w:val="36"/>
          <w:szCs w:val="36"/>
        </w:rPr>
      </w:pPr>
    </w:p>
    <w:p>
      <w:pPr>
        <w:spacing w:line="720" w:lineRule="exact"/>
        <w:jc w:val="center"/>
        <w:outlineLvl w:val="0"/>
        <w:rPr>
          <w:rFonts w:hint="eastAsia" w:ascii="方正黑体_GBK" w:hAnsi="宋体" w:eastAsia="方正黑体_GBK"/>
          <w:color w:val="auto"/>
          <w:sz w:val="48"/>
          <w:szCs w:val="32"/>
        </w:r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eastAsia="zh-CN"/>
        </w:rPr>
        <w:t>四</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eastAsia="zh-CN"/>
        </w:rPr>
        <w:t>三</w:t>
      </w:r>
      <w:r>
        <w:rPr>
          <w:rFonts w:hint="eastAsia" w:ascii="方正小标宋_GBK" w:hAnsi="宋体" w:eastAsia="方正小标宋_GBK"/>
          <w:color w:val="auto"/>
          <w:sz w:val="36"/>
          <w:szCs w:val="36"/>
        </w:rPr>
        <w:t>月</w:t>
      </w:r>
    </w:p>
    <w:p>
      <w:pPr>
        <w:spacing w:line="480" w:lineRule="exact"/>
        <w:outlineLvl w:val="0"/>
        <w:rPr>
          <w:rFonts w:ascii="方正黑体_GBK" w:eastAsia="方正黑体_GBK"/>
          <w:color w:val="auto"/>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3"/>
        <w:spacing w:before="0" w:after="0" w:line="360" w:lineRule="auto"/>
        <w:jc w:val="center"/>
        <w:rPr>
          <w:rFonts w:hint="eastAsia" w:ascii="方正小标宋_GBK" w:eastAsia="方正小标宋_GBK"/>
          <w:b w:val="0"/>
          <w:color w:val="auto"/>
          <w:sz w:val="36"/>
          <w:szCs w:val="30"/>
        </w:rPr>
      </w:pPr>
      <w:bookmarkStart w:id="0" w:name="_Toc65660329"/>
      <w:bookmarkStart w:id="1" w:name="_Toc15726"/>
      <w:bookmarkStart w:id="2" w:name="_Toc106034769"/>
      <w:bookmarkStart w:id="3" w:name="_Toc11641050"/>
      <w:bookmarkStart w:id="4" w:name="_Toc24817"/>
      <w:bookmarkStart w:id="5" w:name="_Toc12789052"/>
      <w:bookmarkStart w:id="6" w:name="_Toc24173"/>
      <w:r>
        <w:rPr>
          <w:rFonts w:hint="eastAsia" w:ascii="方正小标宋_GBK" w:eastAsia="方正小标宋_GBK"/>
          <w:b w:val="0"/>
          <w:color w:val="auto"/>
          <w:sz w:val="36"/>
          <w:szCs w:val="30"/>
        </w:rPr>
        <w:t xml:space="preserve">第一篇  </w:t>
      </w:r>
      <w:r>
        <w:rPr>
          <w:rFonts w:hint="eastAsia" w:ascii="方正小标宋_GBK" w:eastAsia="方正小标宋_GBK" w:cs="Arial"/>
          <w:b w:val="0"/>
          <w:color w:val="auto"/>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lang w:eastAsia="zh-CN"/>
        </w:rPr>
        <w:t>2024年度船舶保险项目（第二次）</w:t>
      </w:r>
      <w:r>
        <w:rPr>
          <w:rFonts w:hint="eastAsia" w:ascii="方正仿宋_GBK" w:hAnsi="宋体" w:eastAsia="方正仿宋_GBK"/>
          <w:color w:val="auto"/>
          <w:sz w:val="24"/>
          <w:szCs w:val="24"/>
        </w:rPr>
        <w:t>进行限额以下比价采购。欢迎有资格的供应商前来参加报价。</w:t>
      </w:r>
    </w:p>
    <w:p>
      <w:pPr>
        <w:pStyle w:val="3"/>
        <w:adjustRightInd w:val="0"/>
        <w:snapToGrid w:val="0"/>
        <w:spacing w:before="0" w:after="0" w:line="400" w:lineRule="exact"/>
        <w:ind w:firstLine="480" w:firstLineChars="200"/>
        <w:rPr>
          <w:rFonts w:ascii="方正仿宋_GBK" w:hAnsi="宋体" w:eastAsia="方正仿宋_GBK"/>
          <w:color w:val="auto"/>
          <w:sz w:val="24"/>
        </w:rPr>
      </w:pPr>
      <w:bookmarkStart w:id="7" w:name="_Toc26091"/>
      <w:bookmarkStart w:id="8" w:name="_Toc7758"/>
      <w:bookmarkStart w:id="9" w:name="_Toc317775175"/>
      <w:bookmarkStart w:id="10" w:name="_Toc313893526"/>
      <w:bookmarkStart w:id="11" w:name="_Toc65660330"/>
      <w:bookmarkStart w:id="12" w:name="_Toc106034770"/>
      <w:bookmarkStart w:id="13" w:name="_Toc18246"/>
      <w:r>
        <w:rPr>
          <w:rFonts w:hint="eastAsia" w:ascii="方正仿宋_GBK" w:hAnsi="宋体" w:eastAsia="方正仿宋_GBK"/>
          <w:color w:val="auto"/>
          <w:sz w:val="24"/>
        </w:rPr>
        <w:t>一、比价内容</w:t>
      </w:r>
      <w:bookmarkEnd w:id="7"/>
      <w:bookmarkEnd w:id="8"/>
      <w:bookmarkEnd w:id="9"/>
      <w:bookmarkEnd w:id="10"/>
      <w:bookmarkEnd w:id="11"/>
      <w:bookmarkEnd w:id="12"/>
      <w:bookmarkEnd w:id="13"/>
    </w:p>
    <w:tbl>
      <w:tblPr>
        <w:tblStyle w:val="57"/>
        <w:tblW w:w="4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1215"/>
        <w:gridCol w:w="1721"/>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84"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包号及名称</w:t>
            </w:r>
          </w:p>
        </w:tc>
        <w:tc>
          <w:tcPr>
            <w:tcW w:w="776"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最高限价（万元）</w:t>
            </w:r>
          </w:p>
        </w:tc>
        <w:tc>
          <w:tcPr>
            <w:tcW w:w="1099"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成交供应商数量（名）</w:t>
            </w:r>
          </w:p>
        </w:tc>
        <w:tc>
          <w:tcPr>
            <w:tcW w:w="1538"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color w:val="auto"/>
                <w:kern w:val="0"/>
                <w:sz w:val="21"/>
                <w:szCs w:val="24"/>
                <w:lang w:eastAsia="zh-CN"/>
              </w:rPr>
            </w:pPr>
            <w:bookmarkStart w:id="14" w:name="_Hlk344477914"/>
            <w:r>
              <w:rPr>
                <w:rFonts w:hint="eastAsia" w:ascii="方正仿宋_GBK" w:hAnsi="宋体" w:eastAsia="方正仿宋_GBK" w:cs="宋体"/>
                <w:color w:val="auto"/>
                <w:kern w:val="0"/>
                <w:sz w:val="21"/>
                <w:szCs w:val="24"/>
                <w:lang w:eastAsia="zh-CN"/>
              </w:rPr>
              <w:t>2024年度船舶保险项目（第二次）</w:t>
            </w:r>
          </w:p>
        </w:tc>
        <w:tc>
          <w:tcPr>
            <w:tcW w:w="7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w:t>
            </w:r>
            <w:r>
              <w:rPr>
                <w:rFonts w:hint="eastAsia" w:ascii="方正仿宋_GBK" w:hAnsi="宋体" w:eastAsia="方正仿宋_GBK"/>
                <w:color w:val="auto"/>
                <w:sz w:val="21"/>
                <w:szCs w:val="21"/>
                <w:lang w:val="en-US" w:eastAsia="zh-CN"/>
              </w:rPr>
              <w:t>7.6621</w:t>
            </w:r>
          </w:p>
        </w:tc>
        <w:tc>
          <w:tcPr>
            <w:tcW w:w="10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1</w:t>
            </w:r>
          </w:p>
        </w:tc>
        <w:tc>
          <w:tcPr>
            <w:tcW w:w="1538"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宋体" w:eastAsia="方正仿宋_GBK"/>
                <w:b/>
                <w:color w:val="auto"/>
                <w:sz w:val="21"/>
                <w:szCs w:val="21"/>
              </w:rPr>
            </w:pPr>
          </w:p>
        </w:tc>
      </w:tr>
      <w:bookmarkEnd w:id="14"/>
    </w:tbl>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15" w:name="_Toc106034771"/>
      <w:bookmarkStart w:id="16" w:name="_Toc65660331"/>
      <w:bookmarkStart w:id="17" w:name="_Toc4424"/>
      <w:bookmarkStart w:id="18" w:name="_Toc3256"/>
      <w:bookmarkStart w:id="19" w:name="_Toc27028"/>
      <w:bookmarkStart w:id="20" w:name="_Toc373860293"/>
      <w:bookmarkStart w:id="21" w:name="_Toc317775178"/>
      <w:r>
        <w:rPr>
          <w:rFonts w:hint="eastAsia" w:ascii="方正仿宋_GBK" w:hAnsi="宋体" w:eastAsia="方正仿宋_GBK"/>
          <w:color w:val="auto"/>
          <w:sz w:val="24"/>
        </w:rPr>
        <w:t>二、资金来源</w:t>
      </w:r>
      <w:bookmarkEnd w:id="15"/>
      <w:bookmarkEnd w:id="16"/>
      <w:bookmarkEnd w:id="17"/>
      <w:bookmarkEnd w:id="18"/>
      <w:bookmarkEnd w:id="19"/>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仿宋" w:eastAsia="方正仿宋_GBK"/>
          <w:color w:val="auto"/>
          <w:sz w:val="24"/>
          <w:szCs w:val="24"/>
        </w:rPr>
        <w:t>财政预算资金，采购预算2</w:t>
      </w:r>
      <w:r>
        <w:rPr>
          <w:rFonts w:hint="eastAsia" w:ascii="方正仿宋_GBK" w:hAnsi="仿宋" w:eastAsia="方正仿宋_GBK"/>
          <w:color w:val="auto"/>
          <w:sz w:val="24"/>
          <w:szCs w:val="24"/>
          <w:lang w:val="en-US" w:eastAsia="zh-CN"/>
        </w:rPr>
        <w:t>7.6621</w:t>
      </w:r>
      <w:r>
        <w:rPr>
          <w:rFonts w:hint="eastAsia" w:ascii="方正仿宋_GBK" w:hAnsi="仿宋" w:eastAsia="方正仿宋_GBK"/>
          <w:color w:val="auto"/>
          <w:sz w:val="24"/>
          <w:szCs w:val="24"/>
        </w:rPr>
        <w:t>万元。</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22" w:name="_Toc18548"/>
      <w:bookmarkStart w:id="23" w:name="_Toc20867"/>
      <w:bookmarkStart w:id="24" w:name="_Toc64731996"/>
      <w:bookmarkStart w:id="25" w:name="_Toc13541"/>
      <w:bookmarkStart w:id="26" w:name="_Toc106034772"/>
      <w:bookmarkStart w:id="27" w:name="_Toc65660332"/>
      <w:r>
        <w:rPr>
          <w:rFonts w:hint="eastAsia" w:ascii="方正仿宋_GBK" w:hAnsi="宋体" w:eastAsia="方正仿宋_GBK"/>
          <w:color w:val="auto"/>
          <w:sz w:val="24"/>
        </w:rPr>
        <w:t>三、供应商资格条件</w:t>
      </w:r>
      <w:bookmarkEnd w:id="22"/>
      <w:bookmarkEnd w:id="23"/>
      <w:bookmarkEnd w:id="24"/>
      <w:bookmarkEnd w:id="25"/>
      <w:bookmarkEnd w:id="26"/>
      <w:bookmarkEnd w:id="27"/>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（二）本项目的特定资格要求：1</w:t>
      </w:r>
      <w:r>
        <w:rPr>
          <w:rFonts w:hint="eastAsia" w:ascii="方正仿宋_GBK" w:hAnsi="宋体" w:eastAsia="方正仿宋_GBK"/>
          <w:color w:val="auto"/>
          <w:sz w:val="24"/>
          <w:szCs w:val="24"/>
          <w:lang w:val="en-US" w:eastAsia="zh-CN"/>
        </w:rPr>
        <w:t>.</w:t>
      </w:r>
      <w:r>
        <w:rPr>
          <w:rFonts w:hint="eastAsia" w:ascii="方正仿宋_GBK" w:hAnsi="宋体" w:eastAsia="方正仿宋_GBK"/>
          <w:color w:val="auto"/>
          <w:sz w:val="24"/>
          <w:szCs w:val="24"/>
        </w:rPr>
        <w:t>投标人必须是依照《中华人民共和国保险法》设立的保险公司，营业执照经营范围涵盖承保财产险、责任险。</w:t>
      </w:r>
    </w:p>
    <w:p>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2</w:t>
      </w:r>
      <w:r>
        <w:rPr>
          <w:rFonts w:hint="eastAsia" w:ascii="方正仿宋_GBK" w:hAnsi="宋体" w:eastAsia="方正仿宋_GBK"/>
          <w:color w:val="auto"/>
          <w:sz w:val="24"/>
          <w:szCs w:val="24"/>
          <w:lang w:val="en-US" w:eastAsia="zh-CN"/>
        </w:rPr>
        <w:t>.</w:t>
      </w:r>
      <w:r>
        <w:rPr>
          <w:rFonts w:hint="eastAsia" w:ascii="方正仿宋_GBK" w:hAnsi="宋体" w:eastAsia="方正仿宋_GBK"/>
          <w:color w:val="auto"/>
          <w:sz w:val="24"/>
          <w:szCs w:val="24"/>
        </w:rPr>
        <w:t>具有独立承担民事责任的能力，分公司参与投标的，应具有总公司的授权。</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28" w:name="_Toc13903"/>
      <w:bookmarkStart w:id="29" w:name="_Toc106034773"/>
      <w:bookmarkStart w:id="30" w:name="_Toc65660333"/>
      <w:bookmarkStart w:id="31" w:name="_Toc1386"/>
      <w:bookmarkStart w:id="32" w:name="_Toc11908"/>
      <w:r>
        <w:rPr>
          <w:rFonts w:hint="eastAsia" w:ascii="方正仿宋_GBK" w:hAnsi="宋体" w:eastAsia="方正仿宋_GBK"/>
          <w:color w:val="auto"/>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（一）凡有意参加比价的供应商，请在重庆市交通</w:t>
      </w:r>
      <w:r>
        <w:rPr>
          <w:rFonts w:hint="eastAsia" w:ascii="方正仿宋_GBK" w:hAnsi="宋体" w:eastAsia="方正仿宋_GBK"/>
          <w:color w:val="auto"/>
          <w:sz w:val="24"/>
          <w:szCs w:val="24"/>
          <w:lang w:eastAsia="zh-CN"/>
        </w:rPr>
        <w:t>运输委员会</w:t>
      </w:r>
      <w:r>
        <w:rPr>
          <w:rFonts w:hint="eastAsia" w:ascii="宋体" w:hAnsi="宋体" w:cs="宋体"/>
          <w:color w:val="auto"/>
          <w:sz w:val="24"/>
          <w:szCs w:val="24"/>
        </w:rPr>
        <w:t>（https://jtj.cq.gov.cn）</w:t>
      </w:r>
      <w:r>
        <w:rPr>
          <w:rFonts w:hint="eastAsia" w:ascii="方正仿宋_GBK" w:hAnsi="宋体" w:eastAsia="方正仿宋_GBK"/>
          <w:color w:val="auto"/>
          <w:sz w:val="24"/>
          <w:szCs w:val="24"/>
        </w:rPr>
        <w:t>上下载本项目采购文件以及图纸、澄清等报价前公布的所有项目资料，无论供应商下载与否，均视为已知晓所有实质性要求内容。</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（二）采购公告期限：</w:t>
      </w:r>
    </w:p>
    <w:p>
      <w:pPr>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自采购公告发布之日起三个工作日</w:t>
      </w:r>
      <w:r>
        <w:rPr>
          <w:rFonts w:hint="eastAsia" w:ascii="方正仿宋_GBK" w:hAnsi="宋体" w:eastAsia="方正仿宋_GBK" w:cs="Times New Roman"/>
          <w:color w:val="auto"/>
          <w:sz w:val="24"/>
          <w:szCs w:val="24"/>
        </w:rPr>
        <w:t>（202</w:t>
      </w:r>
      <w:r>
        <w:rPr>
          <w:rFonts w:hint="eastAsia" w:ascii="方正仿宋_GBK" w:hAnsi="宋体" w:eastAsia="方正仿宋_GBK" w:cs="Times New Roman"/>
          <w:color w:val="auto"/>
          <w:sz w:val="24"/>
          <w:szCs w:val="24"/>
          <w:lang w:val="en-US" w:eastAsia="zh-CN"/>
        </w:rPr>
        <w:t>4</w:t>
      </w:r>
      <w:r>
        <w:rPr>
          <w:rFonts w:hint="eastAsia" w:ascii="方正仿宋_GBK" w:hAnsi="宋体" w:eastAsia="方正仿宋_GBK" w:cs="Times New Roman"/>
          <w:color w:val="auto"/>
          <w:sz w:val="24"/>
          <w:szCs w:val="24"/>
        </w:rPr>
        <w:t>年</w:t>
      </w:r>
      <w:r>
        <w:rPr>
          <w:rFonts w:hint="eastAsia" w:ascii="方正仿宋_GBK" w:hAnsi="宋体" w:eastAsia="方正仿宋_GBK" w:cs="Times New Roman"/>
          <w:color w:val="auto"/>
          <w:sz w:val="24"/>
          <w:szCs w:val="24"/>
          <w:lang w:val="en-US" w:eastAsia="zh-CN"/>
        </w:rPr>
        <w:t>3</w:t>
      </w:r>
      <w:r>
        <w:rPr>
          <w:rFonts w:hint="eastAsia" w:ascii="方正仿宋_GBK" w:hAnsi="宋体" w:eastAsia="方正仿宋_GBK" w:cs="Times New Roman"/>
          <w:color w:val="auto"/>
          <w:sz w:val="24"/>
          <w:szCs w:val="24"/>
        </w:rPr>
        <w:t>月</w:t>
      </w:r>
      <w:r>
        <w:rPr>
          <w:rFonts w:hint="eastAsia" w:ascii="方正仿宋_GBK" w:hAnsi="宋体" w:eastAsia="方正仿宋_GBK" w:cs="Times New Roman"/>
          <w:color w:val="auto"/>
          <w:sz w:val="24"/>
          <w:szCs w:val="24"/>
          <w:lang w:val="en-US" w:eastAsia="zh-CN"/>
        </w:rPr>
        <w:t>5</w:t>
      </w:r>
      <w:r>
        <w:rPr>
          <w:rFonts w:hint="eastAsia" w:ascii="方正仿宋_GBK" w:hAnsi="宋体" w:eastAsia="方正仿宋_GBK" w:cs="Times New Roman"/>
          <w:color w:val="auto"/>
          <w:sz w:val="24"/>
          <w:szCs w:val="24"/>
        </w:rPr>
        <w:t>日-</w:t>
      </w:r>
      <w:r>
        <w:rPr>
          <w:rFonts w:hint="eastAsia" w:ascii="方正仿宋_GBK" w:hAnsi="宋体" w:eastAsia="方正仿宋_GBK" w:cs="Times New Roman"/>
          <w:color w:val="auto"/>
          <w:sz w:val="24"/>
          <w:szCs w:val="24"/>
          <w:lang w:val="en-US" w:eastAsia="zh-CN"/>
        </w:rPr>
        <w:t>3</w:t>
      </w:r>
      <w:r>
        <w:rPr>
          <w:rFonts w:hint="eastAsia" w:ascii="方正仿宋_GBK" w:hAnsi="宋体" w:eastAsia="方正仿宋_GBK" w:cs="Times New Roman"/>
          <w:color w:val="auto"/>
          <w:sz w:val="24"/>
          <w:szCs w:val="24"/>
        </w:rPr>
        <w:t>月</w:t>
      </w:r>
      <w:r>
        <w:rPr>
          <w:rFonts w:hint="eastAsia" w:ascii="方正仿宋_GBK" w:hAnsi="宋体" w:eastAsia="方正仿宋_GBK" w:cs="Times New Roman"/>
          <w:color w:val="auto"/>
          <w:sz w:val="24"/>
          <w:szCs w:val="24"/>
          <w:lang w:val="en-US" w:eastAsia="zh-CN"/>
        </w:rPr>
        <w:t>7</w:t>
      </w:r>
      <w:r>
        <w:rPr>
          <w:rFonts w:hint="eastAsia" w:ascii="方正仿宋_GBK" w:hAnsi="宋体" w:eastAsia="方正仿宋_GBK" w:cs="Times New Roman"/>
          <w:color w:val="auto"/>
          <w:sz w:val="24"/>
          <w:szCs w:val="24"/>
        </w:rPr>
        <w:t>日17:30）。</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2.报名方式：</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（1）在</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公告期限内到重庆华大工程管理有限公司报名并领取采购文件。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方式一：将《发售登记表》递交现场报名。</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方式二：将《发售登记表》盖章后发送至</w:t>
      </w:r>
      <w:r>
        <w:rPr>
          <w:rFonts w:hint="eastAsia" w:ascii="方正仿宋_GBK" w:hAnsi="宋体" w:eastAsia="方正仿宋_GBK"/>
          <w:color w:val="auto"/>
          <w:sz w:val="24"/>
          <w:szCs w:val="24"/>
          <w:lang w:val="en-US" w:eastAsia="zh-CN"/>
        </w:rPr>
        <w:t>114735376</w:t>
      </w:r>
      <w:r>
        <w:rPr>
          <w:rFonts w:hint="eastAsia" w:ascii="方正仿宋_GBK" w:hAnsi="宋体" w:eastAsia="方正仿宋_GBK"/>
          <w:color w:val="auto"/>
          <w:sz w:val="24"/>
          <w:szCs w:val="24"/>
        </w:rPr>
        <w:t>@qq.com。</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（2）供应商须满足以下两种要求，其响应文件才被接受：</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1、按时递交了响应文件；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2、按时报名签到；</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（3）本</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文件规定的时间为北京时间。</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（4）超过</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截止时间、不按本</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文件规定密封的响应文件，或不按</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文件规定提交有效足额</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保证金的供应商，均视为不响应</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文件要求，为无效响应。</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w:t>
      </w:r>
      <w:r>
        <w:rPr>
          <w:rFonts w:hint="eastAsia" w:ascii="方正仿宋_GBK" w:hAnsi="宋体" w:eastAsia="方正仿宋_GBK"/>
          <w:color w:val="auto"/>
          <w:sz w:val="24"/>
          <w:szCs w:val="24"/>
          <w:lang w:eastAsia="zh-CN"/>
        </w:rPr>
        <w:t>采购文件</w:t>
      </w:r>
      <w:r>
        <w:rPr>
          <w:rFonts w:hint="eastAsia" w:ascii="方正仿宋_GBK" w:hAnsi="宋体" w:eastAsia="方正仿宋_GBK"/>
          <w:color w:val="auto"/>
          <w:sz w:val="24"/>
          <w:szCs w:val="24"/>
        </w:rPr>
        <w:t>售价：人民币500元/包。</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提交方式：现金或微信或转账。</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转账信息：</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1、单位名称：重庆华大工程管理有限公司</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2、单位开户行及账号：中国工商银行股份有限公司重庆枳城支行      3100234409000002238</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（三）递交响应文件地点：重庆华大工程管理有限公司（涪陵区新城区建筑大厦3楼）</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（四）提交响应文件截止时间：202</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3</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10:30</w:t>
      </w:r>
      <w:r>
        <w:rPr>
          <w:rFonts w:hint="eastAsia" w:ascii="方正仿宋_GBK" w:hAnsi="宋体" w:eastAsia="方正仿宋_GBK"/>
          <w:color w:val="auto"/>
          <w:sz w:val="24"/>
          <w:szCs w:val="24"/>
        </w:rPr>
        <w:t>时至</w:t>
      </w:r>
      <w:r>
        <w:rPr>
          <w:rFonts w:hint="eastAsia" w:ascii="方正仿宋_GBK" w:hAnsi="宋体" w:eastAsia="方正仿宋_GBK"/>
          <w:color w:val="auto"/>
          <w:sz w:val="24"/>
          <w:szCs w:val="24"/>
          <w:lang w:val="en-US" w:eastAsia="zh-CN"/>
        </w:rPr>
        <w:t>11:00</w:t>
      </w:r>
      <w:r>
        <w:rPr>
          <w:rFonts w:hint="eastAsia" w:ascii="方正仿宋_GBK" w:hAnsi="宋体" w:eastAsia="方正仿宋_GBK"/>
          <w:color w:val="auto"/>
          <w:sz w:val="24"/>
          <w:szCs w:val="24"/>
        </w:rPr>
        <w:t>时</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（五）评审开始时间：202</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3</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11:00</w:t>
      </w:r>
      <w:r>
        <w:rPr>
          <w:rFonts w:hint="eastAsia" w:ascii="方正仿宋_GBK" w:hAnsi="宋体" w:eastAsia="方正仿宋_GBK"/>
          <w:color w:val="auto"/>
          <w:sz w:val="24"/>
          <w:szCs w:val="24"/>
        </w:rPr>
        <w:t>时</w:t>
      </w:r>
      <w:bookmarkStart w:id="242" w:name="_GoBack"/>
      <w:bookmarkEnd w:id="242"/>
    </w:p>
    <w:bookmarkEnd w:id="21"/>
    <w:p>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rPr>
      </w:pPr>
      <w:bookmarkStart w:id="33" w:name="_Toc521053055"/>
      <w:bookmarkStart w:id="34" w:name="_Toc65660336"/>
      <w:bookmarkStart w:id="35" w:name="_Toc525047163"/>
      <w:bookmarkStart w:id="36" w:name="_Toc16269"/>
      <w:bookmarkStart w:id="37" w:name="_Toc106034776"/>
      <w:bookmarkStart w:id="38" w:name="_Toc6563"/>
      <w:bookmarkStart w:id="39" w:name="_Toc4728"/>
      <w:r>
        <w:rPr>
          <w:rFonts w:hint="eastAsia" w:ascii="方正仿宋_GBK" w:hAnsi="宋体" w:eastAsia="方正仿宋_GBK"/>
          <w:color w:val="auto"/>
          <w:sz w:val="24"/>
        </w:rPr>
        <w:t>五、其它有关规定</w:t>
      </w:r>
      <w:bookmarkEnd w:id="33"/>
      <w:bookmarkEnd w:id="34"/>
      <w:bookmarkEnd w:id="35"/>
      <w:bookmarkEnd w:id="36"/>
      <w:bookmarkEnd w:id="37"/>
      <w:bookmarkEnd w:id="38"/>
      <w:bookmarkEnd w:id="39"/>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下的政府采购活动</w:t>
      </w:r>
      <w:r>
        <w:rPr>
          <w:rFonts w:hint="eastAsia" w:ascii="方正仿宋_GBK" w:hAnsi="宋体" w:eastAsia="方正仿宋_GBK"/>
          <w:color w:val="auto"/>
          <w:sz w:val="24"/>
          <w:szCs w:val="24"/>
        </w:rPr>
        <w:t>，否则均为无效报价。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w:t>
      </w:r>
      <w:r>
        <w:rPr>
          <w:rFonts w:ascii="方正仿宋_GBK" w:hAnsi="宋体" w:eastAsia="方正仿宋_GBK"/>
          <w:color w:val="auto"/>
          <w:sz w:val="24"/>
          <w:szCs w:val="24"/>
        </w:rPr>
        <w:t>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（三）同一合同项（包）下为单一品目的货物采购中，同一品牌同一型号产品有多家供应商参加谈判，只能按照一家供应商计算。</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（四）同一合同项（包）下的货物，制造商参与报价的，不得再委托代理商参与报价。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（五）本项目的澄清文件（如果有）一律在重庆市交通</w:t>
      </w:r>
      <w:r>
        <w:rPr>
          <w:rFonts w:hint="eastAsia" w:ascii="方正仿宋_GBK" w:hAnsi="宋体" w:eastAsia="方正仿宋_GBK"/>
          <w:color w:val="auto"/>
          <w:sz w:val="24"/>
          <w:szCs w:val="24"/>
          <w:lang w:eastAsia="zh-CN"/>
        </w:rPr>
        <w:t>运输委员会官</w:t>
      </w:r>
      <w:r>
        <w:rPr>
          <w:rFonts w:hint="eastAsia" w:ascii="方正仿宋_GBK" w:hAnsi="宋体" w:eastAsia="方正仿宋_GBK"/>
          <w:color w:val="auto"/>
          <w:sz w:val="24"/>
          <w:szCs w:val="24"/>
        </w:rPr>
        <w:t>网</w:t>
      </w:r>
      <w:r>
        <w:rPr>
          <w:rFonts w:hint="eastAsia" w:ascii="方正仿宋_GBK" w:hAnsi="宋体" w:eastAsia="方正仿宋_GBK"/>
          <w:color w:val="auto"/>
          <w:sz w:val="24"/>
          <w:szCs w:val="24"/>
          <w:lang w:eastAsia="zh-CN"/>
        </w:rPr>
        <w:t>（https://jtj.cq.gov.cn/）</w:t>
      </w:r>
      <w:r>
        <w:rPr>
          <w:rFonts w:hint="eastAsia" w:ascii="方正仿宋_GBK" w:hAnsi="宋体" w:eastAsia="方正仿宋_GBK"/>
          <w:color w:val="auto"/>
          <w:sz w:val="24"/>
          <w:szCs w:val="24"/>
        </w:rPr>
        <w:t>上发布，请各供应商注意下载；无论供应商下载或领取与否，均视同供应商已知晓本项目澄清文件（如果有）的内容。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（六）超过响应文件截止时间递交的响应文件，恕不接收。</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（七）限额以下比价费用：无论采购结果如何，供应商参与本项目比价的所有费用均应由供应商自行承担。</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（八）本项目不接受联合体参与报价，否则按无效处理。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（九）本项目不接受合同分包，否则按无效处理。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bCs/>
          <w:color w:val="auto"/>
          <w:sz w:val="24"/>
          <w:szCs w:val="24"/>
        </w:rPr>
        <w:t>（十）</w:t>
      </w:r>
      <w:r>
        <w:rPr>
          <w:rFonts w:hint="eastAsia" w:ascii="方正仿宋_GBK" w:hAnsi="宋体" w:eastAsia="方正仿宋_GBK"/>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525047164"/>
      <w:bookmarkStart w:id="41" w:name="_Toc521053056"/>
      <w:bookmarkStart w:id="42" w:name="_Toc10415"/>
      <w:bookmarkStart w:id="43" w:name="_Toc65660337"/>
      <w:bookmarkStart w:id="44" w:name="_Toc1733"/>
      <w:bookmarkStart w:id="45" w:name="_Toc106034777"/>
      <w:bookmarkStart w:id="46" w:name="_Toc1552"/>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b/>
          <w:color w:val="auto"/>
          <w:sz w:val="24"/>
        </w:rPr>
      </w:pPr>
      <w:r>
        <w:rPr>
          <w:rFonts w:hint="eastAsia" w:ascii="方正仿宋_GBK" w:hAnsi="宋体" w:eastAsia="方正仿宋_GBK" w:cs="Times New Roman"/>
          <w:b/>
          <w:color w:val="auto"/>
          <w:sz w:val="24"/>
        </w:rPr>
        <w:t>六、现场踏勘</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eastAsia="zh-CN"/>
        </w:rPr>
        <w:t>本次项目内容为船舶保险，有意向参与竞标的潜在供应商可在开标前自行踏勘现场，了解船舶情况。</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eastAsia="zh-CN"/>
        </w:rPr>
        <w:t>踏勘地点：乌江沿线航道基地。</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eastAsia="zh-CN"/>
        </w:rPr>
        <w:t>联系人及联系电话：王老师 023-72300403。</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eastAsia="zh-CN"/>
        </w:rPr>
        <w:t>踏勘注意事项：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eastAsia="zh-CN"/>
        </w:rPr>
        <w:t>(1)潜在供应商踏勘现场发生的费用自理，无论供应商是否进行现场踏勘，均视为供应商对该项目情况十分清楚，能对投标及后来的实施做出准确的判断。</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eastAsia="zh-CN"/>
        </w:rPr>
        <w:t>(2)除采购人的原因外，潜在供应商自行负责在踏勘现场中所发生的人员伤亡和财产损失。</w:t>
      </w:r>
    </w:p>
    <w:p>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七</w:t>
      </w:r>
      <w:r>
        <w:rPr>
          <w:rFonts w:hint="eastAsia" w:ascii="方正仿宋_GBK" w:hAnsi="宋体" w:eastAsia="方正仿宋_GBK"/>
          <w:color w:val="auto"/>
          <w:sz w:val="24"/>
        </w:rPr>
        <w:t>、联系方式</w:t>
      </w:r>
      <w:bookmarkEnd w:id="40"/>
      <w:bookmarkEnd w:id="41"/>
      <w:bookmarkEnd w:id="42"/>
      <w:bookmarkEnd w:id="43"/>
      <w:bookmarkEnd w:id="44"/>
      <w:bookmarkEnd w:id="45"/>
      <w:bookmarkEnd w:id="46"/>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（一）采购人：重庆市乌江航道管理处</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lang w:eastAsia="zh-CN"/>
        </w:rPr>
        <w:t>廖</w:t>
      </w:r>
      <w:r>
        <w:rPr>
          <w:rFonts w:hint="eastAsia" w:ascii="方正仿宋_GBK" w:hAnsi="宋体" w:eastAsia="方正仿宋_GBK"/>
          <w:color w:val="auto"/>
          <w:sz w:val="24"/>
          <w:szCs w:val="24"/>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电  话：</w:t>
      </w:r>
      <w:r>
        <w:rPr>
          <w:rFonts w:hint="eastAsia" w:ascii="方正仿宋_GBK" w:hAnsi="宋体" w:eastAsia="方正仿宋_GBK"/>
          <w:color w:val="auto"/>
          <w:sz w:val="24"/>
          <w:szCs w:val="24"/>
          <w:lang w:val="en-US" w:eastAsia="zh-CN"/>
        </w:rPr>
        <w:t>13752911815</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地  址：重庆市涪陵区顺江大道望江路99号</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（二）采购代理机构：重庆华大工程管理有限公司</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lang w:eastAsia="zh-CN"/>
        </w:rPr>
        <w:t>刘</w:t>
      </w:r>
      <w:r>
        <w:rPr>
          <w:rFonts w:hint="eastAsia" w:ascii="方正仿宋_GBK" w:hAnsi="宋体" w:eastAsia="方正仿宋_GBK"/>
          <w:color w:val="auto"/>
          <w:sz w:val="24"/>
          <w:szCs w:val="24"/>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电  话：</w:t>
      </w:r>
      <w:r>
        <w:rPr>
          <w:rFonts w:hint="eastAsia" w:ascii="方正仿宋_GBK" w:hAnsi="宋体" w:eastAsia="方正仿宋_GBK"/>
          <w:color w:val="auto"/>
          <w:sz w:val="24"/>
          <w:szCs w:val="24"/>
          <w:lang w:val="en-US" w:eastAsia="zh-CN"/>
        </w:rPr>
        <w:t>18325055102</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地  址：重庆市涪陵区新城区建筑业大厦3楼</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sectPr>
          <w:pgSz w:w="11907" w:h="16840"/>
          <w:pgMar w:top="1134" w:right="1361" w:bottom="1134" w:left="1361" w:header="964" w:footer="992" w:gutter="0"/>
          <w:pgNumType w:fmt="numberInDash"/>
          <w:cols w:space="720" w:num="1"/>
          <w:docGrid w:linePitch="312" w:charSpace="0"/>
        </w:sectPr>
      </w:pPr>
    </w:p>
    <w:p>
      <w:pPr>
        <w:pStyle w:val="3"/>
        <w:spacing w:before="0" w:after="0" w:line="360" w:lineRule="auto"/>
        <w:jc w:val="center"/>
        <w:rPr>
          <w:rFonts w:hint="eastAsia" w:ascii="方正小标宋_GBK" w:eastAsia="方正小标宋_GBK"/>
          <w:b w:val="0"/>
          <w:color w:val="auto"/>
          <w:sz w:val="36"/>
          <w:szCs w:val="30"/>
        </w:rPr>
      </w:pPr>
      <w:bookmarkStart w:id="47" w:name="_Toc65660338"/>
      <w:bookmarkStart w:id="48" w:name="_Toc11327"/>
      <w:bookmarkStart w:id="49" w:name="_Toc14516"/>
      <w:bookmarkStart w:id="50" w:name="_Toc106034778"/>
      <w:bookmarkStart w:id="51" w:name="_Toc1292"/>
      <w:bookmarkStart w:id="52" w:name="_Toc102227313"/>
      <w:r>
        <w:rPr>
          <w:rFonts w:hint="eastAsia" w:ascii="方正小标宋_GBK" w:eastAsia="方正小标宋_GBK"/>
          <w:b w:val="0"/>
          <w:color w:val="auto"/>
          <w:sz w:val="36"/>
          <w:szCs w:val="30"/>
        </w:rPr>
        <w:t>第二篇  项目技术（质量）需求</w:t>
      </w:r>
      <w:bookmarkEnd w:id="47"/>
      <w:bookmarkEnd w:id="48"/>
      <w:bookmarkEnd w:id="49"/>
      <w:bookmarkEnd w:id="50"/>
      <w:bookmarkEnd w:id="51"/>
    </w:p>
    <w:p>
      <w:pPr>
        <w:jc w:val="both"/>
        <w:rPr>
          <w:rFonts w:hint="eastAsia"/>
          <w:b/>
          <w:color w:val="auto"/>
        </w:rPr>
      </w:pPr>
    </w:p>
    <w:p>
      <w:pPr>
        <w:pStyle w:val="3"/>
        <w:adjustRightInd w:val="0"/>
        <w:snapToGrid w:val="0"/>
        <w:spacing w:before="0" w:after="0" w:line="400" w:lineRule="exact"/>
        <w:ind w:firstLine="560" w:firstLineChars="200"/>
        <w:rPr>
          <w:rFonts w:hint="eastAsia" w:ascii="方正仿宋_GBK" w:hAnsi="宋体" w:eastAsia="方正仿宋_GBK"/>
          <w:color w:val="auto"/>
          <w:sz w:val="28"/>
          <w:szCs w:val="21"/>
        </w:rPr>
      </w:pPr>
      <w:bookmarkStart w:id="53" w:name="_Toc65660339"/>
      <w:bookmarkStart w:id="54" w:name="_Toc106034779"/>
      <w:bookmarkStart w:id="55" w:name="_Toc24129"/>
      <w:bookmarkStart w:id="56" w:name="_Toc26971"/>
      <w:bookmarkStart w:id="57" w:name="_Toc446"/>
      <w:r>
        <w:rPr>
          <w:rFonts w:hint="eastAsia" w:ascii="方正仿宋_GBK" w:hAnsi="宋体" w:eastAsia="方正仿宋_GBK"/>
          <w:color w:val="auto"/>
          <w:sz w:val="28"/>
          <w:szCs w:val="21"/>
        </w:rPr>
        <w:t>一、项目一览表</w:t>
      </w:r>
      <w:bookmarkEnd w:id="53"/>
      <w:bookmarkEnd w:id="54"/>
      <w:bookmarkEnd w:id="55"/>
      <w:bookmarkEnd w:id="56"/>
      <w:bookmarkEnd w:id="57"/>
    </w:p>
    <w:p>
      <w:pPr>
        <w:pStyle w:val="3"/>
        <w:adjustRightInd w:val="0"/>
        <w:snapToGrid w:val="0"/>
        <w:spacing w:before="0" w:after="0" w:line="400" w:lineRule="exact"/>
        <w:ind w:firstLine="480" w:firstLineChars="200"/>
        <w:rPr>
          <w:rFonts w:hint="eastAsia" w:ascii="方正仿宋_GBK" w:hAnsi="宋体" w:eastAsia="方正仿宋_GBK"/>
          <w:b/>
          <w:bCs w:val="0"/>
          <w:color w:val="auto"/>
          <w:sz w:val="24"/>
        </w:rPr>
      </w:pPr>
      <w:bookmarkStart w:id="58" w:name="_Toc106034780"/>
      <w:bookmarkStart w:id="59" w:name="_Toc2119"/>
      <w:bookmarkStart w:id="60" w:name="_Toc10723"/>
      <w:bookmarkStart w:id="61" w:name="_Toc11439"/>
      <w:bookmarkStart w:id="62" w:name="_Toc65660340"/>
      <w:r>
        <w:rPr>
          <w:rFonts w:hint="eastAsia" w:ascii="方正仿宋_GBK" w:hAnsi="宋体" w:eastAsia="方正仿宋_GBK"/>
          <w:b/>
          <w:bCs w:val="0"/>
          <w:color w:val="auto"/>
          <w:sz w:val="24"/>
          <w:lang w:val="en-US" w:eastAsia="zh-CN"/>
        </w:rPr>
        <w:t>1、</w:t>
      </w:r>
      <w:r>
        <w:rPr>
          <w:rFonts w:hint="eastAsia" w:ascii="方正仿宋_GBK" w:hAnsi="宋体" w:eastAsia="方正仿宋_GBK"/>
          <w:b/>
          <w:bCs w:val="0"/>
          <w:color w:val="auto"/>
          <w:sz w:val="24"/>
        </w:rPr>
        <w:t>船舶情况：内河船舶2</w:t>
      </w:r>
      <w:r>
        <w:rPr>
          <w:rFonts w:hint="eastAsia" w:ascii="方正仿宋_GBK" w:hAnsi="宋体" w:eastAsia="方正仿宋_GBK"/>
          <w:b/>
          <w:bCs w:val="0"/>
          <w:color w:val="auto"/>
          <w:sz w:val="24"/>
          <w:lang w:val="en-US" w:eastAsia="zh-CN"/>
        </w:rPr>
        <w:t>5</w:t>
      </w:r>
      <w:r>
        <w:rPr>
          <w:rFonts w:hint="eastAsia" w:ascii="方正仿宋_GBK" w:hAnsi="宋体" w:eastAsia="方正仿宋_GBK"/>
          <w:b/>
          <w:bCs w:val="0"/>
          <w:color w:val="auto"/>
          <w:sz w:val="24"/>
        </w:rPr>
        <w:t>艘（详见下表）。</w:t>
      </w:r>
    </w:p>
    <w:tbl>
      <w:tblPr>
        <w:tblStyle w:val="57"/>
        <w:tblW w:w="9295" w:type="dxa"/>
        <w:tblInd w:w="93" w:type="dxa"/>
        <w:tblLayout w:type="fixed"/>
        <w:tblCellMar>
          <w:top w:w="0" w:type="dxa"/>
          <w:left w:w="108" w:type="dxa"/>
          <w:bottom w:w="0" w:type="dxa"/>
          <w:right w:w="108" w:type="dxa"/>
        </w:tblCellMar>
      </w:tblPr>
      <w:tblGrid>
        <w:gridCol w:w="698"/>
        <w:gridCol w:w="1793"/>
        <w:gridCol w:w="773"/>
        <w:gridCol w:w="1547"/>
        <w:gridCol w:w="1391"/>
        <w:gridCol w:w="1237"/>
        <w:gridCol w:w="1856"/>
      </w:tblGrid>
      <w:tr>
        <w:tblPrEx>
          <w:tblCellMar>
            <w:top w:w="0" w:type="dxa"/>
            <w:left w:w="108" w:type="dxa"/>
            <w:bottom w:w="0" w:type="dxa"/>
            <w:right w:w="108" w:type="dxa"/>
          </w:tblCellMar>
        </w:tblPrEx>
        <w:trPr>
          <w:trHeight w:val="642"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序号</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船名</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总吨</w:t>
            </w:r>
          </w:p>
        </w:tc>
        <w:tc>
          <w:tcPr>
            <w:tcW w:w="154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建成日期</w:t>
            </w:r>
          </w:p>
        </w:tc>
        <w:tc>
          <w:tcPr>
            <w:tcW w:w="139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船舶类型</w:t>
            </w:r>
          </w:p>
        </w:tc>
        <w:tc>
          <w:tcPr>
            <w:tcW w:w="123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航区</w:t>
            </w:r>
          </w:p>
        </w:tc>
        <w:tc>
          <w:tcPr>
            <w:tcW w:w="185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船舶价值（元）</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1</w:t>
            </w:r>
          </w:p>
        </w:tc>
        <w:tc>
          <w:tcPr>
            <w:tcW w:w="17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渝乌航3号</w:t>
            </w:r>
          </w:p>
        </w:tc>
        <w:tc>
          <w:tcPr>
            <w:tcW w:w="77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48</w:t>
            </w:r>
          </w:p>
        </w:tc>
        <w:tc>
          <w:tcPr>
            <w:tcW w:w="154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2009.6.12</w:t>
            </w:r>
          </w:p>
        </w:tc>
        <w:tc>
          <w:tcPr>
            <w:tcW w:w="139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航标船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B级，J2</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1628000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w:t>
            </w:r>
          </w:p>
        </w:tc>
        <w:tc>
          <w:tcPr>
            <w:tcW w:w="17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渝乌航5号</w:t>
            </w:r>
          </w:p>
        </w:tc>
        <w:tc>
          <w:tcPr>
            <w:tcW w:w="77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80</w:t>
            </w:r>
          </w:p>
        </w:tc>
        <w:tc>
          <w:tcPr>
            <w:tcW w:w="154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2011.6.24</w:t>
            </w:r>
          </w:p>
        </w:tc>
        <w:tc>
          <w:tcPr>
            <w:tcW w:w="139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航标船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B级，J1</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1745200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3</w:t>
            </w:r>
          </w:p>
        </w:tc>
        <w:tc>
          <w:tcPr>
            <w:tcW w:w="17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渝乌航6号</w:t>
            </w:r>
          </w:p>
        </w:tc>
        <w:tc>
          <w:tcPr>
            <w:tcW w:w="77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80</w:t>
            </w:r>
          </w:p>
        </w:tc>
        <w:tc>
          <w:tcPr>
            <w:tcW w:w="154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2011.6.24</w:t>
            </w:r>
          </w:p>
        </w:tc>
        <w:tc>
          <w:tcPr>
            <w:tcW w:w="139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航标船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B级，J1</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1745200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4</w:t>
            </w:r>
          </w:p>
        </w:tc>
        <w:tc>
          <w:tcPr>
            <w:tcW w:w="17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渝乌航7号</w:t>
            </w:r>
          </w:p>
        </w:tc>
        <w:tc>
          <w:tcPr>
            <w:tcW w:w="77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84</w:t>
            </w:r>
          </w:p>
        </w:tc>
        <w:tc>
          <w:tcPr>
            <w:tcW w:w="154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2011.10.31</w:t>
            </w:r>
          </w:p>
        </w:tc>
        <w:tc>
          <w:tcPr>
            <w:tcW w:w="139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航标船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B级，J1</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1600000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6</w:t>
            </w:r>
          </w:p>
        </w:tc>
        <w:tc>
          <w:tcPr>
            <w:tcW w:w="17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渝乌航9号</w:t>
            </w:r>
          </w:p>
        </w:tc>
        <w:tc>
          <w:tcPr>
            <w:tcW w:w="77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80</w:t>
            </w:r>
          </w:p>
        </w:tc>
        <w:tc>
          <w:tcPr>
            <w:tcW w:w="154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2014.8.13</w:t>
            </w:r>
          </w:p>
        </w:tc>
        <w:tc>
          <w:tcPr>
            <w:tcW w:w="139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航标船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B级，J1</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1745200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7</w:t>
            </w:r>
          </w:p>
        </w:tc>
        <w:tc>
          <w:tcPr>
            <w:tcW w:w="17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渝乌航10号</w:t>
            </w:r>
          </w:p>
        </w:tc>
        <w:tc>
          <w:tcPr>
            <w:tcW w:w="77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82</w:t>
            </w:r>
          </w:p>
        </w:tc>
        <w:tc>
          <w:tcPr>
            <w:tcW w:w="154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2014.7.15</w:t>
            </w:r>
          </w:p>
        </w:tc>
        <w:tc>
          <w:tcPr>
            <w:tcW w:w="139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航标船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B级，J1</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1745200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8</w:t>
            </w:r>
          </w:p>
        </w:tc>
        <w:tc>
          <w:tcPr>
            <w:tcW w:w="17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渝乌航11号</w:t>
            </w:r>
          </w:p>
        </w:tc>
        <w:tc>
          <w:tcPr>
            <w:tcW w:w="77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82</w:t>
            </w:r>
          </w:p>
        </w:tc>
        <w:tc>
          <w:tcPr>
            <w:tcW w:w="154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2014.7.15</w:t>
            </w:r>
          </w:p>
        </w:tc>
        <w:tc>
          <w:tcPr>
            <w:tcW w:w="139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航标船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B级，J1</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1745200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p>
        </w:tc>
        <w:tc>
          <w:tcPr>
            <w:tcW w:w="17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渝乌航12号</w:t>
            </w:r>
          </w:p>
        </w:tc>
        <w:tc>
          <w:tcPr>
            <w:tcW w:w="773"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bCs/>
                <w:color w:val="auto"/>
                <w:sz w:val="24"/>
                <w:lang w:val="en-US" w:eastAsia="zh-CN"/>
              </w:rPr>
            </w:pPr>
            <w:r>
              <w:rPr>
                <w:rFonts w:hint="eastAsia" w:ascii="仿宋_GB2312" w:hAnsi="宋体" w:eastAsia="仿宋_GB2312"/>
                <w:bCs/>
                <w:color w:val="auto"/>
                <w:sz w:val="24"/>
                <w:lang w:val="en-US" w:eastAsia="zh-CN"/>
              </w:rPr>
              <w:t>84</w:t>
            </w:r>
          </w:p>
        </w:tc>
        <w:tc>
          <w:tcPr>
            <w:tcW w:w="154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bCs/>
                <w:color w:val="auto"/>
                <w:sz w:val="24"/>
                <w:lang w:val="en-US" w:eastAsia="zh-CN"/>
              </w:rPr>
            </w:pPr>
            <w:r>
              <w:rPr>
                <w:rFonts w:hint="eastAsia" w:ascii="仿宋_GB2312" w:hAnsi="宋体" w:eastAsia="仿宋_GB2312"/>
                <w:bCs/>
                <w:color w:val="auto"/>
                <w:sz w:val="24"/>
                <w:lang w:val="en-US" w:eastAsia="zh-CN"/>
              </w:rPr>
              <w:t>2022.12.15</w:t>
            </w:r>
          </w:p>
        </w:tc>
        <w:tc>
          <w:tcPr>
            <w:tcW w:w="139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航标船</w:t>
            </w:r>
          </w:p>
        </w:tc>
        <w:tc>
          <w:tcPr>
            <w:tcW w:w="123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B级，J1</w:t>
            </w:r>
          </w:p>
        </w:tc>
        <w:tc>
          <w:tcPr>
            <w:tcW w:w="1856"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bCs/>
                <w:color w:val="auto"/>
                <w:sz w:val="24"/>
                <w:lang w:val="en-US" w:eastAsia="zh-CN"/>
              </w:rPr>
            </w:pPr>
            <w:r>
              <w:rPr>
                <w:rFonts w:hint="eastAsia" w:ascii="仿宋_GB2312" w:hAnsi="宋体" w:eastAsia="仿宋_GB2312"/>
                <w:bCs/>
                <w:color w:val="auto"/>
                <w:sz w:val="24"/>
              </w:rPr>
              <w:t>2520387</w:t>
            </w:r>
            <w:r>
              <w:rPr>
                <w:rFonts w:hint="eastAsia" w:ascii="仿宋_GB2312" w:hAnsi="宋体" w:eastAsia="仿宋_GB2312"/>
                <w:bCs/>
                <w:color w:val="auto"/>
                <w:sz w:val="24"/>
                <w:lang w:val="en-US" w:eastAsia="zh-CN"/>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p>
        </w:tc>
        <w:tc>
          <w:tcPr>
            <w:tcW w:w="17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rPr>
              <w:t>渝乌航1</w:t>
            </w:r>
            <w:r>
              <w:rPr>
                <w:rFonts w:hint="eastAsia" w:ascii="仿宋_GB2312" w:hAnsi="宋体" w:eastAsia="仿宋_GB2312"/>
                <w:bCs/>
                <w:color w:val="auto"/>
                <w:sz w:val="24"/>
                <w:lang w:val="en-US" w:eastAsia="zh-CN"/>
              </w:rPr>
              <w:t>3</w:t>
            </w:r>
            <w:r>
              <w:rPr>
                <w:rFonts w:hint="eastAsia" w:ascii="仿宋_GB2312" w:hAnsi="宋体" w:eastAsia="仿宋_GB2312"/>
                <w:bCs/>
                <w:color w:val="auto"/>
                <w:sz w:val="24"/>
              </w:rPr>
              <w:t>号</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lang w:val="en-US" w:eastAsia="zh-CN"/>
              </w:rPr>
              <w:t>84</w:t>
            </w:r>
          </w:p>
        </w:tc>
        <w:tc>
          <w:tcPr>
            <w:tcW w:w="154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lang w:val="en-US" w:eastAsia="zh-CN"/>
              </w:rPr>
              <w:t>2022.12.15</w:t>
            </w:r>
          </w:p>
        </w:tc>
        <w:tc>
          <w:tcPr>
            <w:tcW w:w="139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rPr>
              <w:t>航标船</w:t>
            </w:r>
          </w:p>
        </w:tc>
        <w:tc>
          <w:tcPr>
            <w:tcW w:w="123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rPr>
              <w:t>B级，J1</w:t>
            </w:r>
          </w:p>
        </w:tc>
        <w:tc>
          <w:tcPr>
            <w:tcW w:w="1856"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rPr>
              <w:t>2520387</w:t>
            </w:r>
            <w:r>
              <w:rPr>
                <w:rFonts w:hint="eastAsia" w:ascii="仿宋_GB2312" w:hAnsi="宋体" w:eastAsia="仿宋_GB2312"/>
                <w:bCs/>
                <w:color w:val="auto"/>
                <w:sz w:val="24"/>
                <w:lang w:val="en-US" w:eastAsia="zh-CN"/>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p>
        </w:tc>
        <w:tc>
          <w:tcPr>
            <w:tcW w:w="17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渝乌航1</w:t>
            </w:r>
            <w:r>
              <w:rPr>
                <w:rFonts w:hint="eastAsia" w:ascii="仿宋_GB2312" w:hAnsi="宋体" w:eastAsia="仿宋_GB2312"/>
                <w:bCs/>
                <w:color w:val="auto"/>
                <w:sz w:val="24"/>
                <w:lang w:val="en-US" w:eastAsia="zh-CN"/>
              </w:rPr>
              <w:t>5</w:t>
            </w:r>
            <w:r>
              <w:rPr>
                <w:rFonts w:hint="eastAsia" w:ascii="仿宋_GB2312" w:hAnsi="宋体" w:eastAsia="仿宋_GB2312"/>
                <w:bCs/>
                <w:color w:val="auto"/>
                <w:sz w:val="24"/>
              </w:rPr>
              <w:t>号</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lang w:val="en-US" w:eastAsia="zh-CN"/>
              </w:rPr>
              <w:t>84</w:t>
            </w:r>
          </w:p>
        </w:tc>
        <w:tc>
          <w:tcPr>
            <w:tcW w:w="1547"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bCs/>
                <w:color w:val="auto"/>
                <w:kern w:val="2"/>
                <w:sz w:val="24"/>
                <w:szCs w:val="24"/>
                <w:lang w:val="en-US" w:eastAsia="zh-CN" w:bidi="ar-SA"/>
              </w:rPr>
            </w:pPr>
            <w:r>
              <w:rPr>
                <w:rFonts w:hint="eastAsia" w:ascii="仿宋_GB2312" w:hAnsi="宋体" w:eastAsia="仿宋_GB2312"/>
                <w:bCs/>
                <w:color w:val="auto"/>
                <w:kern w:val="2"/>
                <w:sz w:val="24"/>
                <w:szCs w:val="24"/>
                <w:lang w:val="en-US" w:eastAsia="zh-CN" w:bidi="ar-SA"/>
              </w:rPr>
              <w:t>2023.10.30</w:t>
            </w:r>
          </w:p>
        </w:tc>
        <w:tc>
          <w:tcPr>
            <w:tcW w:w="139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rPr>
              <w:t>航标船</w:t>
            </w:r>
          </w:p>
        </w:tc>
        <w:tc>
          <w:tcPr>
            <w:tcW w:w="123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rPr>
              <w:t>B级，J1</w:t>
            </w:r>
          </w:p>
        </w:tc>
        <w:tc>
          <w:tcPr>
            <w:tcW w:w="1856"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bCs/>
                <w:color w:val="auto"/>
                <w:sz w:val="24"/>
                <w:lang w:val="en-US" w:eastAsia="zh-CN"/>
              </w:rPr>
            </w:pPr>
            <w:r>
              <w:rPr>
                <w:rFonts w:hint="eastAsia" w:ascii="仿宋_GB2312" w:hAnsi="宋体" w:eastAsia="仿宋_GB2312"/>
                <w:bCs/>
                <w:color w:val="auto"/>
                <w:sz w:val="24"/>
              </w:rPr>
              <w:t>2519512</w:t>
            </w:r>
            <w:r>
              <w:rPr>
                <w:rFonts w:hint="eastAsia" w:ascii="仿宋_GB2312" w:hAnsi="宋体" w:eastAsia="仿宋_GB2312"/>
                <w:bCs/>
                <w:color w:val="auto"/>
                <w:sz w:val="24"/>
                <w:lang w:val="en-US" w:eastAsia="zh-CN"/>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p>
        </w:tc>
        <w:tc>
          <w:tcPr>
            <w:tcW w:w="17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rPr>
              <w:t>渝乌航1</w:t>
            </w:r>
            <w:r>
              <w:rPr>
                <w:rFonts w:hint="eastAsia" w:ascii="仿宋_GB2312" w:hAnsi="宋体" w:eastAsia="仿宋_GB2312"/>
                <w:bCs/>
                <w:color w:val="auto"/>
                <w:sz w:val="24"/>
                <w:lang w:val="en-US" w:eastAsia="zh-CN"/>
              </w:rPr>
              <w:t>6</w:t>
            </w:r>
            <w:r>
              <w:rPr>
                <w:rFonts w:hint="eastAsia" w:ascii="仿宋_GB2312" w:hAnsi="宋体" w:eastAsia="仿宋_GB2312"/>
                <w:bCs/>
                <w:color w:val="auto"/>
                <w:sz w:val="24"/>
              </w:rPr>
              <w:t>号</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lang w:val="en-US" w:eastAsia="zh-CN"/>
              </w:rPr>
              <w:t>84</w:t>
            </w:r>
          </w:p>
        </w:tc>
        <w:tc>
          <w:tcPr>
            <w:tcW w:w="154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kern w:val="2"/>
                <w:sz w:val="24"/>
                <w:szCs w:val="24"/>
                <w:lang w:val="en-US" w:eastAsia="zh-CN" w:bidi="ar-SA"/>
              </w:rPr>
              <w:t>2023.10.30</w:t>
            </w:r>
          </w:p>
        </w:tc>
        <w:tc>
          <w:tcPr>
            <w:tcW w:w="139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rPr>
              <w:t>航标船</w:t>
            </w:r>
          </w:p>
        </w:tc>
        <w:tc>
          <w:tcPr>
            <w:tcW w:w="123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rPr>
              <w:t>B级，J1</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rPr>
              <w:t>2519512</w:t>
            </w:r>
            <w:r>
              <w:rPr>
                <w:rFonts w:hint="eastAsia" w:ascii="仿宋_GB2312" w:hAnsi="宋体" w:eastAsia="仿宋_GB2312"/>
                <w:bCs/>
                <w:color w:val="auto"/>
                <w:sz w:val="24"/>
                <w:lang w:val="en-US" w:eastAsia="zh-CN"/>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p>
        </w:tc>
        <w:tc>
          <w:tcPr>
            <w:tcW w:w="17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rPr>
              <w:t>渝乌航1</w:t>
            </w:r>
            <w:r>
              <w:rPr>
                <w:rFonts w:hint="eastAsia" w:ascii="仿宋_GB2312" w:hAnsi="宋体" w:eastAsia="仿宋_GB2312"/>
                <w:bCs/>
                <w:color w:val="auto"/>
                <w:sz w:val="24"/>
                <w:lang w:val="en-US" w:eastAsia="zh-CN"/>
              </w:rPr>
              <w:t>7</w:t>
            </w:r>
            <w:r>
              <w:rPr>
                <w:rFonts w:hint="eastAsia" w:ascii="仿宋_GB2312" w:hAnsi="宋体" w:eastAsia="仿宋_GB2312"/>
                <w:bCs/>
                <w:color w:val="auto"/>
                <w:sz w:val="24"/>
              </w:rPr>
              <w:t>号</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lang w:val="en-US" w:eastAsia="zh-CN"/>
              </w:rPr>
              <w:t>84</w:t>
            </w:r>
          </w:p>
        </w:tc>
        <w:tc>
          <w:tcPr>
            <w:tcW w:w="154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kern w:val="2"/>
                <w:sz w:val="24"/>
                <w:szCs w:val="24"/>
                <w:lang w:val="en-US" w:eastAsia="zh-CN" w:bidi="ar-SA"/>
              </w:rPr>
              <w:t>2023.10.30</w:t>
            </w:r>
          </w:p>
        </w:tc>
        <w:tc>
          <w:tcPr>
            <w:tcW w:w="139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rPr>
              <w:t>航标船</w:t>
            </w:r>
          </w:p>
        </w:tc>
        <w:tc>
          <w:tcPr>
            <w:tcW w:w="123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rPr>
              <w:t>B级，J1</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kern w:val="2"/>
                <w:sz w:val="24"/>
                <w:szCs w:val="24"/>
                <w:lang w:val="en-US" w:eastAsia="zh-CN" w:bidi="ar-SA"/>
              </w:rPr>
            </w:pPr>
            <w:r>
              <w:rPr>
                <w:rFonts w:hint="eastAsia" w:ascii="仿宋_GB2312" w:hAnsi="宋体" w:eastAsia="仿宋_GB2312"/>
                <w:bCs/>
                <w:color w:val="auto"/>
                <w:sz w:val="24"/>
              </w:rPr>
              <w:t>2519512</w:t>
            </w:r>
            <w:r>
              <w:rPr>
                <w:rFonts w:hint="eastAsia" w:ascii="仿宋_GB2312" w:hAnsi="宋体" w:eastAsia="仿宋_GB2312"/>
                <w:bCs/>
                <w:color w:val="auto"/>
                <w:sz w:val="24"/>
                <w:lang w:val="en-US" w:eastAsia="zh-CN"/>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9</w:t>
            </w:r>
          </w:p>
        </w:tc>
        <w:tc>
          <w:tcPr>
            <w:tcW w:w="17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渝乌航巡001</w:t>
            </w:r>
          </w:p>
        </w:tc>
        <w:tc>
          <w:tcPr>
            <w:tcW w:w="77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95</w:t>
            </w:r>
          </w:p>
        </w:tc>
        <w:tc>
          <w:tcPr>
            <w:tcW w:w="154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ascii="仿宋_GB2312" w:hAnsi="宋体" w:eastAsia="仿宋_GB2312"/>
                <w:bCs/>
                <w:color w:val="auto"/>
                <w:sz w:val="24"/>
              </w:rPr>
              <w:t>2021.10.28</w:t>
            </w:r>
          </w:p>
        </w:tc>
        <w:tc>
          <w:tcPr>
            <w:tcW w:w="139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巡逻船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B级，J2</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3480</w:t>
            </w:r>
            <w:r>
              <w:rPr>
                <w:rFonts w:ascii="仿宋_GB2312" w:hAnsi="宋体" w:eastAsia="仿宋_GB2312"/>
                <w:bCs/>
                <w:color w:val="auto"/>
                <w:sz w:val="24"/>
              </w:rPr>
              <w:t>000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10</w:t>
            </w:r>
          </w:p>
        </w:tc>
        <w:tc>
          <w:tcPr>
            <w:tcW w:w="17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渝救援320</w:t>
            </w:r>
          </w:p>
        </w:tc>
        <w:tc>
          <w:tcPr>
            <w:tcW w:w="77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13</w:t>
            </w:r>
          </w:p>
        </w:tc>
        <w:tc>
          <w:tcPr>
            <w:tcW w:w="154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2011.8.10</w:t>
            </w:r>
          </w:p>
        </w:tc>
        <w:tc>
          <w:tcPr>
            <w:tcW w:w="139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巡逻船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B级，J2</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359000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11</w:t>
            </w:r>
          </w:p>
        </w:tc>
        <w:tc>
          <w:tcPr>
            <w:tcW w:w="17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渝救援361</w:t>
            </w:r>
          </w:p>
        </w:tc>
        <w:tc>
          <w:tcPr>
            <w:tcW w:w="77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21</w:t>
            </w:r>
          </w:p>
        </w:tc>
        <w:tc>
          <w:tcPr>
            <w:tcW w:w="154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2014.8.10</w:t>
            </w:r>
          </w:p>
        </w:tc>
        <w:tc>
          <w:tcPr>
            <w:tcW w:w="139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巡逻船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B级，J2</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359000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12</w:t>
            </w:r>
          </w:p>
        </w:tc>
        <w:tc>
          <w:tcPr>
            <w:tcW w:w="17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渝救援362</w:t>
            </w:r>
          </w:p>
        </w:tc>
        <w:tc>
          <w:tcPr>
            <w:tcW w:w="77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21</w:t>
            </w:r>
          </w:p>
        </w:tc>
        <w:tc>
          <w:tcPr>
            <w:tcW w:w="154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2014.8.10</w:t>
            </w:r>
          </w:p>
        </w:tc>
        <w:tc>
          <w:tcPr>
            <w:tcW w:w="139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巡逻船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B级，J2</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359000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13</w:t>
            </w:r>
          </w:p>
        </w:tc>
        <w:tc>
          <w:tcPr>
            <w:tcW w:w="17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渝救援363</w:t>
            </w:r>
          </w:p>
        </w:tc>
        <w:tc>
          <w:tcPr>
            <w:tcW w:w="77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21</w:t>
            </w:r>
          </w:p>
        </w:tc>
        <w:tc>
          <w:tcPr>
            <w:tcW w:w="154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2014.10.21</w:t>
            </w:r>
          </w:p>
        </w:tc>
        <w:tc>
          <w:tcPr>
            <w:tcW w:w="139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巡逻船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B级，J2</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359000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14</w:t>
            </w:r>
          </w:p>
        </w:tc>
        <w:tc>
          <w:tcPr>
            <w:tcW w:w="17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渝救援364</w:t>
            </w:r>
          </w:p>
        </w:tc>
        <w:tc>
          <w:tcPr>
            <w:tcW w:w="77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21</w:t>
            </w:r>
          </w:p>
        </w:tc>
        <w:tc>
          <w:tcPr>
            <w:tcW w:w="154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2014.10.22</w:t>
            </w:r>
          </w:p>
        </w:tc>
        <w:tc>
          <w:tcPr>
            <w:tcW w:w="139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巡逻船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B级，J2</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359000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15</w:t>
            </w:r>
          </w:p>
        </w:tc>
        <w:tc>
          <w:tcPr>
            <w:tcW w:w="17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渝救援365</w:t>
            </w:r>
          </w:p>
        </w:tc>
        <w:tc>
          <w:tcPr>
            <w:tcW w:w="77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21</w:t>
            </w:r>
          </w:p>
        </w:tc>
        <w:tc>
          <w:tcPr>
            <w:tcW w:w="154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2014.12.5</w:t>
            </w:r>
          </w:p>
        </w:tc>
        <w:tc>
          <w:tcPr>
            <w:tcW w:w="139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巡逻船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B级，J2</w:t>
            </w:r>
          </w:p>
        </w:tc>
        <w:tc>
          <w:tcPr>
            <w:tcW w:w="185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359000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16</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渝救援366</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21</w:t>
            </w:r>
          </w:p>
        </w:tc>
        <w:tc>
          <w:tcPr>
            <w:tcW w:w="154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2014.12.5</w:t>
            </w:r>
          </w:p>
        </w:tc>
        <w:tc>
          <w:tcPr>
            <w:tcW w:w="139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巡逻船</w:t>
            </w:r>
          </w:p>
        </w:tc>
        <w:tc>
          <w:tcPr>
            <w:tcW w:w="123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B级，J2</w:t>
            </w:r>
          </w:p>
        </w:tc>
        <w:tc>
          <w:tcPr>
            <w:tcW w:w="185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359000</w:t>
            </w:r>
            <w:r>
              <w:rPr>
                <w:rFonts w:hint="eastAsia" w:ascii="仿宋_GB2312" w:hAnsi="宋体" w:eastAsia="仿宋_GB2312"/>
                <w:bCs/>
                <w:color w:val="auto"/>
                <w:sz w:val="24"/>
              </w:rPr>
              <w:t>.00</w:t>
            </w:r>
          </w:p>
        </w:tc>
      </w:tr>
      <w:tr>
        <w:tblPrEx>
          <w:tblCellMar>
            <w:top w:w="0" w:type="dxa"/>
            <w:left w:w="108" w:type="dxa"/>
            <w:bottom w:w="0" w:type="dxa"/>
            <w:right w:w="108" w:type="dxa"/>
          </w:tblCellMar>
        </w:tblPrEx>
        <w:trPr>
          <w:trHeight w:val="619"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17</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渝救援370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20</w:t>
            </w:r>
          </w:p>
        </w:tc>
        <w:tc>
          <w:tcPr>
            <w:tcW w:w="15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2021.9.16</w:t>
            </w:r>
          </w:p>
        </w:tc>
        <w:tc>
          <w:tcPr>
            <w:tcW w:w="13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巡逻船</w:t>
            </w:r>
          </w:p>
        </w:tc>
        <w:tc>
          <w:tcPr>
            <w:tcW w:w="12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B级，J2</w:t>
            </w:r>
          </w:p>
        </w:tc>
        <w:tc>
          <w:tcPr>
            <w:tcW w:w="185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128800.00</w:t>
            </w:r>
          </w:p>
        </w:tc>
      </w:tr>
      <w:tr>
        <w:tblPrEx>
          <w:tblCellMar>
            <w:top w:w="0" w:type="dxa"/>
            <w:left w:w="108" w:type="dxa"/>
            <w:bottom w:w="0" w:type="dxa"/>
            <w:right w:w="108" w:type="dxa"/>
          </w:tblCellMar>
        </w:tblPrEx>
        <w:trPr>
          <w:trHeight w:val="619"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18</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渝救援371</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20</w:t>
            </w:r>
          </w:p>
        </w:tc>
        <w:tc>
          <w:tcPr>
            <w:tcW w:w="15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2021.9.16</w:t>
            </w:r>
          </w:p>
        </w:tc>
        <w:tc>
          <w:tcPr>
            <w:tcW w:w="13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巡逻船</w:t>
            </w:r>
          </w:p>
        </w:tc>
        <w:tc>
          <w:tcPr>
            <w:tcW w:w="12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B级，J2</w:t>
            </w:r>
          </w:p>
        </w:tc>
        <w:tc>
          <w:tcPr>
            <w:tcW w:w="185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128800.00</w:t>
            </w:r>
          </w:p>
        </w:tc>
      </w:tr>
      <w:tr>
        <w:tblPrEx>
          <w:tblCellMar>
            <w:top w:w="0" w:type="dxa"/>
            <w:left w:w="108" w:type="dxa"/>
            <w:bottom w:w="0" w:type="dxa"/>
            <w:right w:w="108" w:type="dxa"/>
          </w:tblCellMar>
        </w:tblPrEx>
        <w:trPr>
          <w:trHeight w:val="619"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19</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渝救援372</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20</w:t>
            </w:r>
          </w:p>
        </w:tc>
        <w:tc>
          <w:tcPr>
            <w:tcW w:w="15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2021.9.16</w:t>
            </w:r>
          </w:p>
        </w:tc>
        <w:tc>
          <w:tcPr>
            <w:tcW w:w="13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巡逻船</w:t>
            </w:r>
          </w:p>
        </w:tc>
        <w:tc>
          <w:tcPr>
            <w:tcW w:w="12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B级，J2</w:t>
            </w:r>
          </w:p>
        </w:tc>
        <w:tc>
          <w:tcPr>
            <w:tcW w:w="185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128800.00</w:t>
            </w:r>
          </w:p>
        </w:tc>
      </w:tr>
      <w:tr>
        <w:tblPrEx>
          <w:tblCellMar>
            <w:top w:w="0" w:type="dxa"/>
            <w:left w:w="108" w:type="dxa"/>
            <w:bottom w:w="0" w:type="dxa"/>
            <w:right w:w="108" w:type="dxa"/>
          </w:tblCellMar>
        </w:tblPrEx>
        <w:trPr>
          <w:trHeight w:val="619"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20</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渝救援373</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20</w:t>
            </w:r>
          </w:p>
        </w:tc>
        <w:tc>
          <w:tcPr>
            <w:tcW w:w="15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2021.9.16</w:t>
            </w:r>
          </w:p>
        </w:tc>
        <w:tc>
          <w:tcPr>
            <w:tcW w:w="13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巡逻船</w:t>
            </w:r>
          </w:p>
        </w:tc>
        <w:tc>
          <w:tcPr>
            <w:tcW w:w="12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B级，J2</w:t>
            </w:r>
          </w:p>
        </w:tc>
        <w:tc>
          <w:tcPr>
            <w:tcW w:w="185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128800.00</w:t>
            </w:r>
          </w:p>
        </w:tc>
      </w:tr>
      <w:tr>
        <w:tblPrEx>
          <w:tblCellMar>
            <w:top w:w="0" w:type="dxa"/>
            <w:left w:w="108" w:type="dxa"/>
            <w:bottom w:w="0" w:type="dxa"/>
            <w:right w:w="108" w:type="dxa"/>
          </w:tblCellMar>
        </w:tblPrEx>
        <w:trPr>
          <w:trHeight w:val="630"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21</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渝救援374</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20</w:t>
            </w:r>
          </w:p>
        </w:tc>
        <w:tc>
          <w:tcPr>
            <w:tcW w:w="15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ascii="仿宋_GB2312" w:hAnsi="宋体" w:eastAsia="仿宋_GB2312"/>
                <w:bCs/>
                <w:color w:val="auto"/>
                <w:sz w:val="24"/>
              </w:rPr>
              <w:t>2021.9.16</w:t>
            </w:r>
          </w:p>
        </w:tc>
        <w:tc>
          <w:tcPr>
            <w:tcW w:w="13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巡逻船</w:t>
            </w:r>
          </w:p>
        </w:tc>
        <w:tc>
          <w:tcPr>
            <w:tcW w:w="12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bCs/>
                <w:color w:val="auto"/>
                <w:sz w:val="24"/>
              </w:rPr>
            </w:pPr>
            <w:r>
              <w:rPr>
                <w:rFonts w:hint="eastAsia" w:ascii="仿宋_GB2312" w:hAnsi="宋体" w:eastAsia="仿宋_GB2312"/>
                <w:bCs/>
                <w:color w:val="auto"/>
                <w:sz w:val="24"/>
              </w:rPr>
              <w:t>B级，J2</w:t>
            </w:r>
          </w:p>
        </w:tc>
        <w:tc>
          <w:tcPr>
            <w:tcW w:w="185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bCs/>
                <w:color w:val="auto"/>
                <w:sz w:val="24"/>
              </w:rPr>
            </w:pPr>
            <w:r>
              <w:rPr>
                <w:rFonts w:hint="eastAsia" w:ascii="仿宋_GB2312" w:hAnsi="宋体" w:eastAsia="仿宋_GB2312"/>
                <w:bCs/>
                <w:color w:val="auto"/>
                <w:sz w:val="24"/>
              </w:rPr>
              <w:t>128800.00</w:t>
            </w:r>
          </w:p>
        </w:tc>
      </w:tr>
    </w:tbl>
    <w:p>
      <w:pPr>
        <w:pStyle w:val="3"/>
        <w:adjustRightInd w:val="0"/>
        <w:snapToGrid w:val="0"/>
        <w:spacing w:before="0" w:after="0" w:line="400" w:lineRule="exact"/>
        <w:ind w:firstLine="480" w:firstLineChars="200"/>
        <w:rPr>
          <w:rFonts w:hint="eastAsia" w:ascii="方正仿宋_GBK" w:hAnsi="宋体" w:eastAsia="方正仿宋_GBK"/>
          <w:b/>
          <w:bCs w:val="0"/>
          <w:color w:val="auto"/>
          <w:sz w:val="24"/>
        </w:rPr>
      </w:pPr>
    </w:p>
    <w:p>
      <w:pPr>
        <w:pStyle w:val="3"/>
        <w:adjustRightInd w:val="0"/>
        <w:snapToGrid w:val="0"/>
        <w:spacing w:before="0" w:after="0" w:line="400" w:lineRule="exact"/>
        <w:ind w:firstLine="480" w:firstLineChars="200"/>
        <w:rPr>
          <w:rFonts w:hint="eastAsia" w:ascii="方正仿宋_GBK" w:hAnsi="宋体" w:eastAsia="方正仿宋_GBK"/>
          <w:b/>
          <w:bCs w:val="0"/>
          <w:color w:val="auto"/>
          <w:sz w:val="24"/>
        </w:rPr>
      </w:pPr>
      <w:r>
        <w:rPr>
          <w:rFonts w:hint="eastAsia" w:ascii="方正仿宋_GBK" w:hAnsi="宋体" w:eastAsia="方正仿宋_GBK"/>
          <w:b/>
          <w:bCs w:val="0"/>
          <w:color w:val="auto"/>
          <w:sz w:val="24"/>
        </w:rPr>
        <w:t>2</w:t>
      </w:r>
      <w:r>
        <w:rPr>
          <w:rFonts w:hint="eastAsia" w:ascii="方正仿宋_GBK" w:hAnsi="宋体" w:eastAsia="方正仿宋_GBK"/>
          <w:b/>
          <w:bCs w:val="0"/>
          <w:color w:val="auto"/>
          <w:sz w:val="24"/>
          <w:lang w:eastAsia="zh-CN"/>
        </w:rPr>
        <w:t>、</w:t>
      </w:r>
      <w:r>
        <w:rPr>
          <w:rFonts w:hint="eastAsia" w:ascii="方正仿宋_GBK" w:hAnsi="宋体" w:eastAsia="方正仿宋_GBK"/>
          <w:b/>
          <w:bCs w:val="0"/>
          <w:color w:val="auto"/>
          <w:sz w:val="24"/>
        </w:rPr>
        <w:t>员工情况：拟投保员工共计</w:t>
      </w:r>
      <w:r>
        <w:rPr>
          <w:rFonts w:hint="eastAsia" w:ascii="方正仿宋_GBK" w:hAnsi="宋体" w:eastAsia="方正仿宋_GBK"/>
          <w:b/>
          <w:bCs w:val="0"/>
          <w:color w:val="auto"/>
          <w:sz w:val="24"/>
          <w:lang w:val="en-US" w:eastAsia="zh-CN"/>
        </w:rPr>
        <w:t>7</w:t>
      </w:r>
      <w:r>
        <w:rPr>
          <w:rFonts w:hint="eastAsia" w:ascii="方正仿宋_GBK" w:hAnsi="宋体" w:eastAsia="方正仿宋_GBK"/>
          <w:b/>
          <w:bCs w:val="0"/>
          <w:color w:val="auto"/>
          <w:sz w:val="24"/>
        </w:rPr>
        <w:t>5人。</w:t>
      </w:r>
    </w:p>
    <w:p>
      <w:pPr>
        <w:pStyle w:val="3"/>
        <w:adjustRightInd w:val="0"/>
        <w:snapToGrid w:val="0"/>
        <w:spacing w:before="0" w:after="0" w:line="400" w:lineRule="exact"/>
        <w:ind w:firstLine="480" w:firstLineChars="200"/>
        <w:rPr>
          <w:rFonts w:hint="eastAsia" w:ascii="方正仿宋_GBK" w:hAnsi="宋体" w:eastAsia="方正仿宋_GBK"/>
          <w:b/>
          <w:bCs w:val="0"/>
          <w:color w:val="auto"/>
          <w:sz w:val="24"/>
        </w:rPr>
      </w:pPr>
      <w:r>
        <w:rPr>
          <w:rFonts w:hint="eastAsia" w:ascii="方正仿宋_GBK" w:hAnsi="宋体" w:eastAsia="方正仿宋_GBK"/>
          <w:b/>
          <w:bCs w:val="0"/>
          <w:color w:val="auto"/>
          <w:sz w:val="24"/>
        </w:rPr>
        <w:t>3</w:t>
      </w:r>
      <w:r>
        <w:rPr>
          <w:rFonts w:hint="eastAsia" w:ascii="方正仿宋_GBK" w:hAnsi="宋体" w:eastAsia="方正仿宋_GBK"/>
          <w:b/>
          <w:bCs w:val="0"/>
          <w:color w:val="auto"/>
          <w:sz w:val="24"/>
          <w:lang w:eastAsia="zh-CN"/>
        </w:rPr>
        <w:t>、</w:t>
      </w:r>
      <w:r>
        <w:rPr>
          <w:rFonts w:hint="eastAsia" w:ascii="方正仿宋_GBK" w:hAnsi="宋体" w:eastAsia="方正仿宋_GBK"/>
          <w:b/>
          <w:bCs w:val="0"/>
          <w:color w:val="auto"/>
          <w:sz w:val="24"/>
        </w:rPr>
        <w:t>拟投保险别</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rPr>
      </w:pPr>
      <w:r>
        <w:rPr>
          <w:rFonts w:hint="eastAsia" w:ascii="方正仿宋_GBK" w:hAnsi="宋体" w:eastAsia="方正仿宋_GBK"/>
          <w:b w:val="0"/>
          <w:bCs/>
          <w:color w:val="auto"/>
          <w:sz w:val="24"/>
        </w:rPr>
        <w:t>3.1主险为财产险（船舶）一切险，附加四分之一碰撞及触碰责任保险，附加螺旋桨、舵、锚、锚链及子船单独损失保险，附加第三者人身伤亡责任保险；</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rPr>
      </w:pPr>
      <w:r>
        <w:rPr>
          <w:rFonts w:hint="eastAsia" w:ascii="方正仿宋_GBK" w:hAnsi="宋体" w:eastAsia="方正仿宋_GBK"/>
          <w:b w:val="0"/>
          <w:bCs/>
          <w:color w:val="auto"/>
          <w:sz w:val="24"/>
        </w:rPr>
        <w:t>3.2员工：雇主责任保险。</w:t>
      </w:r>
    </w:p>
    <w:p>
      <w:pPr>
        <w:pStyle w:val="3"/>
        <w:adjustRightInd w:val="0"/>
        <w:snapToGrid w:val="0"/>
        <w:spacing w:before="0" w:after="0" w:line="400" w:lineRule="exact"/>
        <w:ind w:firstLine="480" w:firstLineChars="200"/>
        <w:rPr>
          <w:rFonts w:hint="eastAsia" w:ascii="方正仿宋_GBK" w:hAnsi="宋体" w:eastAsia="方正仿宋_GBK"/>
          <w:b/>
          <w:bCs w:val="0"/>
          <w:color w:val="auto"/>
          <w:sz w:val="24"/>
        </w:rPr>
      </w:pPr>
      <w:r>
        <w:rPr>
          <w:rFonts w:hint="eastAsia" w:ascii="方正仿宋_GBK" w:hAnsi="宋体" w:eastAsia="方正仿宋_GBK"/>
          <w:b/>
          <w:bCs w:val="0"/>
          <w:color w:val="auto"/>
          <w:sz w:val="24"/>
        </w:rPr>
        <w:t>4</w:t>
      </w:r>
      <w:r>
        <w:rPr>
          <w:rFonts w:hint="eastAsia" w:ascii="方正仿宋_GBK" w:hAnsi="宋体" w:eastAsia="方正仿宋_GBK"/>
          <w:b/>
          <w:bCs w:val="0"/>
          <w:color w:val="auto"/>
          <w:sz w:val="24"/>
          <w:lang w:eastAsia="zh-CN"/>
        </w:rPr>
        <w:t>、</w:t>
      </w:r>
      <w:r>
        <w:rPr>
          <w:rFonts w:hint="eastAsia" w:ascii="方正仿宋_GBK" w:hAnsi="宋体" w:eastAsia="方正仿宋_GBK"/>
          <w:b/>
          <w:bCs w:val="0"/>
          <w:color w:val="auto"/>
          <w:sz w:val="24"/>
        </w:rPr>
        <w:t>投保金额</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rPr>
      </w:pPr>
      <w:r>
        <w:rPr>
          <w:rFonts w:hint="eastAsia" w:ascii="方正仿宋_GBK" w:hAnsi="宋体" w:eastAsia="方正仿宋_GBK"/>
          <w:b w:val="0"/>
          <w:bCs/>
          <w:color w:val="auto"/>
          <w:sz w:val="24"/>
        </w:rPr>
        <w:t>4.1财产险（船舶）一切险以及附加螺旋桨、舵、锚、锚链及子船单独损失保险：按船舶价值，详见船舶情况表；</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rPr>
      </w:pPr>
      <w:r>
        <w:rPr>
          <w:rFonts w:hint="eastAsia" w:ascii="方正仿宋_GBK" w:hAnsi="宋体" w:eastAsia="方正仿宋_GBK"/>
          <w:b w:val="0"/>
          <w:bCs/>
          <w:color w:val="auto"/>
          <w:sz w:val="24"/>
        </w:rPr>
        <w:t>4.2附加第三者人身伤亡责任保险：累计赔偿限额200万元，每次事故赔偿限额100万元，每人每次赔偿限额50万元，含医疗费用3万；</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rPr>
      </w:pPr>
      <w:r>
        <w:rPr>
          <w:rFonts w:hint="eastAsia" w:ascii="方正仿宋_GBK" w:hAnsi="宋体" w:eastAsia="方正仿宋_GBK"/>
          <w:b w:val="0"/>
          <w:bCs/>
          <w:color w:val="auto"/>
          <w:sz w:val="24"/>
        </w:rPr>
        <w:t>4.3员工：死亡伤残60万元，含医疗费用6万元，投保人数</w:t>
      </w:r>
      <w:r>
        <w:rPr>
          <w:rFonts w:hint="eastAsia" w:ascii="方正仿宋_GBK" w:hAnsi="宋体" w:eastAsia="方正仿宋_GBK"/>
          <w:b w:val="0"/>
          <w:bCs/>
          <w:color w:val="auto"/>
          <w:sz w:val="24"/>
          <w:lang w:val="en-US" w:eastAsia="zh-CN"/>
        </w:rPr>
        <w:t>7</w:t>
      </w:r>
      <w:r>
        <w:rPr>
          <w:rFonts w:hint="eastAsia" w:ascii="方正仿宋_GBK" w:hAnsi="宋体" w:eastAsia="方正仿宋_GBK"/>
          <w:b w:val="0"/>
          <w:bCs/>
          <w:color w:val="auto"/>
          <w:sz w:val="24"/>
        </w:rPr>
        <w:t>5人。</w:t>
      </w:r>
    </w:p>
    <w:p>
      <w:pPr>
        <w:pStyle w:val="3"/>
        <w:adjustRightInd w:val="0"/>
        <w:snapToGrid w:val="0"/>
        <w:spacing w:before="0" w:after="0" w:line="400" w:lineRule="exact"/>
        <w:ind w:firstLine="480" w:firstLineChars="200"/>
        <w:rPr>
          <w:rFonts w:hint="eastAsia" w:ascii="方正仿宋_GBK" w:hAnsi="宋体" w:eastAsia="方正仿宋_GBK"/>
          <w:b/>
          <w:bCs w:val="0"/>
          <w:color w:val="auto"/>
          <w:sz w:val="24"/>
        </w:rPr>
      </w:pPr>
      <w:r>
        <w:rPr>
          <w:rFonts w:hint="eastAsia" w:ascii="方正仿宋_GBK" w:hAnsi="宋体" w:eastAsia="方正仿宋_GBK"/>
          <w:b/>
          <w:bCs w:val="0"/>
          <w:color w:val="auto"/>
          <w:sz w:val="24"/>
        </w:rPr>
        <w:t>5</w:t>
      </w:r>
      <w:r>
        <w:rPr>
          <w:rFonts w:hint="eastAsia" w:ascii="方正仿宋_GBK" w:hAnsi="宋体" w:eastAsia="方正仿宋_GBK"/>
          <w:b/>
          <w:bCs w:val="0"/>
          <w:color w:val="auto"/>
          <w:sz w:val="24"/>
          <w:lang w:eastAsia="zh-CN"/>
        </w:rPr>
        <w:t>、</w:t>
      </w:r>
      <w:r>
        <w:rPr>
          <w:rFonts w:hint="eastAsia" w:ascii="方正仿宋_GBK" w:hAnsi="宋体" w:eastAsia="方正仿宋_GBK"/>
          <w:b/>
          <w:bCs w:val="0"/>
          <w:color w:val="auto"/>
          <w:sz w:val="24"/>
        </w:rPr>
        <w:t>免赔条件</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rPr>
      </w:pPr>
      <w:r>
        <w:rPr>
          <w:rFonts w:hint="eastAsia" w:ascii="方正仿宋_GBK" w:hAnsi="宋体" w:eastAsia="方正仿宋_GBK"/>
          <w:b w:val="0"/>
          <w:bCs/>
          <w:color w:val="auto"/>
          <w:sz w:val="24"/>
        </w:rPr>
        <w:t>5.1财产（船舶）一切险：每次事故绝对免赔额为人民币5000元或核定损失金额的10%，以高者为准，全损及推定全损免赔保险金额的10%；</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rPr>
      </w:pPr>
      <w:r>
        <w:rPr>
          <w:rFonts w:hint="eastAsia" w:ascii="方正仿宋_GBK" w:hAnsi="宋体" w:eastAsia="方正仿宋_GBK"/>
          <w:b w:val="0"/>
          <w:bCs/>
          <w:color w:val="auto"/>
          <w:sz w:val="24"/>
        </w:rPr>
        <w:t xml:space="preserve">5.2附加螺旋桨等单独损失险：每次事故绝对免赔额为人民币5000元或核定损失金额的10%，以高者为准； </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rPr>
      </w:pPr>
      <w:r>
        <w:rPr>
          <w:rFonts w:hint="eastAsia" w:ascii="方正仿宋_GBK" w:hAnsi="宋体" w:eastAsia="方正仿宋_GBK"/>
          <w:b w:val="0"/>
          <w:bCs/>
          <w:color w:val="auto"/>
          <w:sz w:val="24"/>
        </w:rPr>
        <w:t>5.3船舶对第三者人身伤害险：每人免赔额1000元；</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rPr>
      </w:pPr>
      <w:r>
        <w:rPr>
          <w:rFonts w:hint="eastAsia" w:ascii="方正仿宋_GBK" w:hAnsi="宋体" w:eastAsia="方正仿宋_GBK"/>
          <w:b w:val="0"/>
          <w:bCs/>
          <w:color w:val="auto"/>
          <w:sz w:val="24"/>
        </w:rPr>
        <w:t>5.4雇主责任险：医疗费用每次事故绝对免赔额为人民币500元或核定损失金额的10%，以高者为准。死亡伤残无免赔。</w:t>
      </w:r>
    </w:p>
    <w:p>
      <w:pPr>
        <w:spacing w:line="500" w:lineRule="exact"/>
        <w:ind w:left="241" w:leftChars="86" w:firstLine="413" w:firstLineChars="147"/>
        <w:rPr>
          <w:rFonts w:hint="eastAsia" w:ascii="仿宋_GB2312" w:hAnsi="宋体" w:eastAsia="仿宋_GB2312"/>
          <w:b/>
          <w:bCs/>
          <w:color w:val="auto"/>
          <w:sz w:val="28"/>
          <w:szCs w:val="28"/>
        </w:rPr>
      </w:pPr>
      <w:r>
        <w:rPr>
          <w:rFonts w:hint="eastAsia" w:ascii="仿宋_GB2312" w:hAnsi="宋体" w:eastAsia="仿宋_GB2312"/>
          <w:b/>
          <w:bCs/>
          <w:color w:val="auto"/>
          <w:sz w:val="28"/>
          <w:szCs w:val="28"/>
          <w:lang w:val="en-US" w:eastAsia="zh-CN"/>
        </w:rPr>
        <w:t>6</w:t>
      </w:r>
      <w:r>
        <w:rPr>
          <w:rFonts w:hint="eastAsia" w:ascii="仿宋_GB2312" w:hAnsi="宋体" w:eastAsia="仿宋_GB2312"/>
          <w:b/>
          <w:bCs/>
          <w:color w:val="auto"/>
          <w:sz w:val="28"/>
          <w:szCs w:val="28"/>
        </w:rPr>
        <w:t>、服务要求</w:t>
      </w:r>
    </w:p>
    <w:p>
      <w:pPr>
        <w:spacing w:line="500" w:lineRule="exact"/>
        <w:ind w:left="241" w:leftChars="86" w:firstLine="352" w:firstLineChars="147"/>
        <w:rPr>
          <w:rFonts w:hint="eastAsia" w:ascii="方正仿宋_GBK" w:hAnsi="宋体" w:eastAsia="方正仿宋_GBK" w:cs="Times New Roman"/>
          <w:b w:val="0"/>
          <w:bCs/>
          <w:color w:val="auto"/>
          <w:kern w:val="2"/>
          <w:sz w:val="24"/>
          <w:lang w:val="en-US" w:eastAsia="zh-CN" w:bidi="ar-SA"/>
        </w:rPr>
      </w:pPr>
      <w:r>
        <w:rPr>
          <w:rFonts w:hint="eastAsia" w:ascii="方正仿宋_GBK" w:hAnsi="宋体" w:eastAsia="方正仿宋_GBK" w:cs="Times New Roman"/>
          <w:b w:val="0"/>
          <w:bCs/>
          <w:color w:val="auto"/>
          <w:kern w:val="2"/>
          <w:sz w:val="24"/>
          <w:lang w:val="en-US" w:eastAsia="zh-CN" w:bidi="ar-SA"/>
        </w:rPr>
        <w:t>6.1理赔服务</w:t>
      </w:r>
    </w:p>
    <w:p>
      <w:pPr>
        <w:spacing w:line="500" w:lineRule="exact"/>
        <w:ind w:left="241" w:leftChars="86" w:firstLine="352" w:firstLineChars="147"/>
        <w:rPr>
          <w:rFonts w:hint="eastAsia" w:ascii="方正仿宋_GBK" w:hAnsi="宋体" w:eastAsia="方正仿宋_GBK" w:cs="Times New Roman"/>
          <w:b w:val="0"/>
          <w:bCs/>
          <w:color w:val="auto"/>
          <w:kern w:val="2"/>
          <w:sz w:val="24"/>
          <w:lang w:val="en-US" w:eastAsia="zh-CN" w:bidi="ar-SA"/>
        </w:rPr>
      </w:pPr>
      <w:r>
        <w:rPr>
          <w:rFonts w:hint="eastAsia" w:ascii="方正仿宋_GBK" w:hAnsi="宋体" w:eastAsia="方正仿宋_GBK" w:cs="Times New Roman"/>
          <w:b w:val="0"/>
          <w:bCs/>
          <w:color w:val="auto"/>
          <w:kern w:val="2"/>
          <w:sz w:val="24"/>
          <w:lang w:val="en-US" w:eastAsia="zh-CN" w:bidi="ar-SA"/>
        </w:rPr>
        <w:t>保险人应严格执行365天、24小时的全天候接报案制度，接到被保险人的报案通知后，必须立即答复是否需要保留现场。如需要，专责理赔人员须在1个时内赶到现场， 2个小时内进行现场查勘。</w:t>
      </w:r>
    </w:p>
    <w:p>
      <w:pPr>
        <w:spacing w:line="500" w:lineRule="exact"/>
        <w:ind w:left="241" w:leftChars="86" w:firstLine="352" w:firstLineChars="147"/>
        <w:rPr>
          <w:rFonts w:hint="eastAsia" w:ascii="方正仿宋_GBK" w:hAnsi="宋体" w:eastAsia="方正仿宋_GBK" w:cs="Times New Roman"/>
          <w:b w:val="0"/>
          <w:bCs/>
          <w:color w:val="auto"/>
          <w:kern w:val="2"/>
          <w:sz w:val="24"/>
          <w:lang w:val="en-US" w:eastAsia="zh-CN" w:bidi="ar-SA"/>
        </w:rPr>
      </w:pPr>
      <w:r>
        <w:rPr>
          <w:rFonts w:hint="eastAsia" w:ascii="方正仿宋_GBK" w:hAnsi="宋体" w:eastAsia="方正仿宋_GBK" w:cs="Times New Roman"/>
          <w:b w:val="0"/>
          <w:bCs/>
          <w:color w:val="auto"/>
          <w:kern w:val="2"/>
          <w:sz w:val="24"/>
          <w:lang w:val="en-US" w:eastAsia="zh-CN" w:bidi="ar-SA"/>
        </w:rPr>
        <w:t>若因抢险需要，或安全要求，或查勘人员未按上述规定时间及时到达出险现场，被保险人可以自行处理事故现场，恢复工程。保险人同意根据被保险人拍摄的事故现场的有关照片、录像及受损财产实物等处理保险理赔事宜。</w:t>
      </w:r>
    </w:p>
    <w:p>
      <w:pPr>
        <w:spacing w:line="500" w:lineRule="exact"/>
        <w:ind w:left="241" w:leftChars="86" w:firstLine="352" w:firstLineChars="147"/>
        <w:rPr>
          <w:rFonts w:hint="eastAsia" w:ascii="方正仿宋_GBK" w:hAnsi="宋体" w:eastAsia="方正仿宋_GBK" w:cs="Times New Roman"/>
          <w:b w:val="0"/>
          <w:bCs/>
          <w:color w:val="auto"/>
          <w:kern w:val="2"/>
          <w:sz w:val="24"/>
          <w:lang w:val="en-US" w:eastAsia="zh-CN" w:bidi="ar-SA"/>
        </w:rPr>
      </w:pPr>
      <w:r>
        <w:rPr>
          <w:rFonts w:hint="eastAsia" w:ascii="方正仿宋_GBK" w:hAnsi="宋体" w:eastAsia="方正仿宋_GBK" w:cs="Times New Roman"/>
          <w:b w:val="0"/>
          <w:bCs/>
          <w:color w:val="auto"/>
          <w:kern w:val="2"/>
          <w:sz w:val="24"/>
          <w:lang w:val="en-US" w:eastAsia="zh-CN" w:bidi="ar-SA"/>
        </w:rPr>
        <w:t>6.2理赔处理</w:t>
      </w:r>
    </w:p>
    <w:p>
      <w:pPr>
        <w:spacing w:line="500" w:lineRule="exact"/>
        <w:ind w:left="241" w:leftChars="86" w:firstLine="352" w:firstLineChars="147"/>
        <w:rPr>
          <w:rFonts w:hint="eastAsia" w:ascii="方正仿宋_GBK" w:hAnsi="宋体" w:eastAsia="方正仿宋_GBK" w:cs="Times New Roman"/>
          <w:b w:val="0"/>
          <w:bCs/>
          <w:color w:val="auto"/>
          <w:kern w:val="2"/>
          <w:sz w:val="24"/>
          <w:lang w:val="en-US" w:eastAsia="zh-CN" w:bidi="ar-SA"/>
        </w:rPr>
      </w:pPr>
      <w:r>
        <w:rPr>
          <w:rFonts w:hint="eastAsia" w:ascii="方正仿宋_GBK" w:hAnsi="宋体" w:eastAsia="方正仿宋_GBK" w:cs="Times New Roman"/>
          <w:b w:val="0"/>
          <w:bCs/>
          <w:color w:val="auto"/>
          <w:kern w:val="2"/>
          <w:sz w:val="24"/>
          <w:lang w:val="en-US" w:eastAsia="zh-CN" w:bidi="ar-SA"/>
        </w:rPr>
        <w:t>对于被保险人的报案及索赔申请，保险人在收到被保险人的赔偿或者给付保险金的请求且相应索赔资料齐全后，应当在15个日历日作出初步核定并通知被保险人。</w:t>
      </w:r>
    </w:p>
    <w:p>
      <w:pPr>
        <w:spacing w:line="500" w:lineRule="exact"/>
        <w:ind w:left="241" w:leftChars="86" w:firstLine="352" w:firstLineChars="147"/>
        <w:rPr>
          <w:rFonts w:hint="eastAsia" w:ascii="方正仿宋_GBK" w:hAnsi="宋体" w:eastAsia="方正仿宋_GBK" w:cs="Times New Roman"/>
          <w:b w:val="0"/>
          <w:bCs/>
          <w:color w:val="auto"/>
          <w:kern w:val="2"/>
          <w:sz w:val="24"/>
          <w:lang w:val="en-US" w:eastAsia="zh-CN" w:bidi="ar-SA"/>
        </w:rPr>
      </w:pPr>
      <w:r>
        <w:rPr>
          <w:rFonts w:hint="eastAsia" w:ascii="方正仿宋_GBK" w:hAnsi="宋体" w:eastAsia="方正仿宋_GBK" w:cs="Times New Roman"/>
          <w:b w:val="0"/>
          <w:bCs/>
          <w:color w:val="auto"/>
          <w:kern w:val="2"/>
          <w:sz w:val="24"/>
          <w:lang w:val="en-US" w:eastAsia="zh-CN" w:bidi="ar-SA"/>
        </w:rPr>
        <w:t>（1）对属于保险责任的，在与被保险人达成赔偿协议后按第（2）条时效规定履行赔偿义务；若保险人未及时履行前款规定的义务，除支付保险金外，应当赔偿被保险人因此受到的损失。</w:t>
      </w:r>
    </w:p>
    <w:p>
      <w:pPr>
        <w:spacing w:line="500" w:lineRule="exact"/>
        <w:ind w:left="241" w:leftChars="86" w:firstLine="352" w:firstLineChars="147"/>
        <w:rPr>
          <w:rFonts w:hint="eastAsia" w:ascii="方正仿宋_GBK" w:hAnsi="宋体" w:eastAsia="方正仿宋_GBK" w:cs="Times New Roman"/>
          <w:b w:val="0"/>
          <w:bCs/>
          <w:color w:val="auto"/>
          <w:kern w:val="2"/>
          <w:sz w:val="24"/>
          <w:lang w:val="en-US" w:eastAsia="zh-CN" w:bidi="ar-SA"/>
        </w:rPr>
      </w:pPr>
      <w:r>
        <w:rPr>
          <w:rFonts w:hint="eastAsia" w:ascii="方正仿宋_GBK" w:hAnsi="宋体" w:eastAsia="方正仿宋_GBK" w:cs="Times New Roman"/>
          <w:b w:val="0"/>
          <w:bCs/>
          <w:color w:val="auto"/>
          <w:kern w:val="2"/>
          <w:sz w:val="24"/>
          <w:lang w:val="en-US" w:eastAsia="zh-CN" w:bidi="ar-SA"/>
        </w:rPr>
        <w:t>（2）赔付时限要求：保险人在接到被保险人的索赔报告（包括单证和资料）或检验理算人出具的最终理算报告后，就保险责任、赔偿金额达成一致的赔案，保险人在以下规定的时限内向被保险人先行支付赔款。</w:t>
      </w:r>
    </w:p>
    <w:p>
      <w:pPr>
        <w:spacing w:line="500" w:lineRule="exact"/>
        <w:ind w:left="241" w:leftChars="86" w:firstLine="352" w:firstLineChars="147"/>
        <w:rPr>
          <w:rFonts w:hint="eastAsia" w:ascii="方正仿宋_GBK" w:hAnsi="宋体" w:eastAsia="方正仿宋_GBK" w:cs="Times New Roman"/>
          <w:b w:val="0"/>
          <w:bCs/>
          <w:color w:val="auto"/>
          <w:kern w:val="2"/>
          <w:sz w:val="24"/>
          <w:lang w:val="en-US" w:eastAsia="zh-CN" w:bidi="ar-SA"/>
        </w:rPr>
      </w:pPr>
      <w:r>
        <w:rPr>
          <w:rFonts w:hint="eastAsia" w:ascii="方正仿宋_GBK" w:hAnsi="宋体" w:eastAsia="方正仿宋_GBK" w:cs="Times New Roman"/>
          <w:b w:val="0"/>
          <w:bCs/>
          <w:color w:val="auto"/>
          <w:kern w:val="2"/>
          <w:sz w:val="24"/>
          <w:lang w:val="en-US" w:eastAsia="zh-CN" w:bidi="ar-SA"/>
        </w:rPr>
        <w:t xml:space="preserve">6.3赔款数额支付时限 </w:t>
      </w:r>
    </w:p>
    <w:p>
      <w:pPr>
        <w:spacing w:line="500" w:lineRule="exact"/>
        <w:ind w:left="241" w:leftChars="86" w:firstLine="352" w:firstLineChars="147"/>
        <w:rPr>
          <w:rFonts w:hint="eastAsia" w:ascii="方正仿宋_GBK" w:hAnsi="宋体" w:eastAsia="方正仿宋_GBK" w:cs="Times New Roman"/>
          <w:b w:val="0"/>
          <w:bCs/>
          <w:color w:val="auto"/>
          <w:kern w:val="2"/>
          <w:sz w:val="24"/>
          <w:lang w:val="en-US" w:eastAsia="zh-CN" w:bidi="ar-SA"/>
        </w:rPr>
      </w:pPr>
      <w:r>
        <w:rPr>
          <w:rFonts w:hint="eastAsia" w:ascii="方正仿宋_GBK" w:hAnsi="宋体" w:eastAsia="方正仿宋_GBK" w:cs="Times New Roman"/>
          <w:b w:val="0"/>
          <w:bCs/>
          <w:color w:val="auto"/>
          <w:kern w:val="2"/>
          <w:sz w:val="24"/>
          <w:lang w:val="en-US" w:eastAsia="zh-CN" w:bidi="ar-SA"/>
        </w:rPr>
        <w:t xml:space="preserve">RMB  10万元以内（含）；7个日历日 </w:t>
      </w:r>
    </w:p>
    <w:p>
      <w:pPr>
        <w:spacing w:line="500" w:lineRule="exact"/>
        <w:ind w:left="241" w:leftChars="86" w:firstLine="352" w:firstLineChars="147"/>
        <w:rPr>
          <w:rFonts w:hint="eastAsia" w:ascii="方正仿宋_GBK" w:hAnsi="宋体" w:eastAsia="方正仿宋_GBK" w:cs="Times New Roman"/>
          <w:b w:val="0"/>
          <w:bCs/>
          <w:color w:val="auto"/>
          <w:kern w:val="2"/>
          <w:sz w:val="24"/>
          <w:lang w:val="en-US" w:eastAsia="zh-CN" w:bidi="ar-SA"/>
        </w:rPr>
      </w:pPr>
      <w:r>
        <w:rPr>
          <w:rFonts w:hint="eastAsia" w:ascii="方正仿宋_GBK" w:hAnsi="宋体" w:eastAsia="方正仿宋_GBK" w:cs="Times New Roman"/>
          <w:b w:val="0"/>
          <w:bCs/>
          <w:color w:val="auto"/>
          <w:kern w:val="2"/>
          <w:sz w:val="24"/>
          <w:lang w:val="en-US" w:eastAsia="zh-CN" w:bidi="ar-SA"/>
        </w:rPr>
        <w:t xml:space="preserve">RMB  10万元- RMB50万元（含）；15个日历日 </w:t>
      </w:r>
    </w:p>
    <w:p>
      <w:pPr>
        <w:spacing w:line="500" w:lineRule="exact"/>
        <w:ind w:left="241" w:leftChars="86" w:firstLine="352" w:firstLineChars="147"/>
        <w:rPr>
          <w:rFonts w:hint="eastAsia" w:ascii="方正仿宋_GBK" w:hAnsi="宋体" w:eastAsia="方正仿宋_GBK" w:cs="Times New Roman"/>
          <w:b w:val="0"/>
          <w:bCs/>
          <w:color w:val="auto"/>
          <w:kern w:val="2"/>
          <w:sz w:val="24"/>
          <w:lang w:val="en-US" w:eastAsia="zh-CN" w:bidi="ar-SA"/>
        </w:rPr>
      </w:pPr>
      <w:r>
        <w:rPr>
          <w:rFonts w:hint="eastAsia" w:ascii="方正仿宋_GBK" w:hAnsi="宋体" w:eastAsia="方正仿宋_GBK" w:cs="Times New Roman"/>
          <w:b w:val="0"/>
          <w:bCs/>
          <w:color w:val="auto"/>
          <w:kern w:val="2"/>
          <w:sz w:val="24"/>
          <w:lang w:val="en-US" w:eastAsia="zh-CN" w:bidi="ar-SA"/>
        </w:rPr>
        <w:t>RMB  50 万元以上；20个日历日</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rPr>
      </w:pPr>
    </w:p>
    <w:p>
      <w:pPr>
        <w:rPr>
          <w:rFonts w:hint="eastAsia"/>
          <w:b w:val="0"/>
          <w:bCs/>
          <w:color w:val="auto"/>
        </w:rPr>
      </w:pPr>
    </w:p>
    <w:bookmarkEnd w:id="58"/>
    <w:bookmarkEnd w:id="59"/>
    <w:bookmarkEnd w:id="60"/>
    <w:bookmarkEnd w:id="61"/>
    <w:bookmarkEnd w:id="62"/>
    <w:p>
      <w:pPr>
        <w:spacing w:line="400" w:lineRule="exact"/>
        <w:ind w:firstLine="480" w:firstLineChars="200"/>
        <w:rPr>
          <w:rFonts w:hint="eastAsia" w:ascii="方正仿宋_GBK" w:hAnsi="宋体" w:eastAsia="方正仿宋_GBK"/>
          <w:b w:val="0"/>
          <w:bCs/>
          <w:color w:val="auto"/>
          <w:sz w:val="24"/>
          <w:szCs w:val="24"/>
        </w:rPr>
      </w:pPr>
    </w:p>
    <w:p>
      <w:pPr>
        <w:spacing w:line="400" w:lineRule="exact"/>
        <w:ind w:firstLine="480" w:firstLineChars="200"/>
        <w:rPr>
          <w:rFonts w:hint="eastAsia" w:ascii="方正仿宋_GBK" w:hAnsi="宋体" w:eastAsia="方正仿宋_GBK"/>
          <w:b w:val="0"/>
          <w:bCs/>
          <w:color w:val="auto"/>
          <w:sz w:val="24"/>
          <w:szCs w:val="24"/>
        </w:rPr>
      </w:pPr>
    </w:p>
    <w:p>
      <w:pPr>
        <w:pStyle w:val="3"/>
        <w:spacing w:before="0" w:after="0" w:line="360" w:lineRule="auto"/>
        <w:jc w:val="center"/>
        <w:rPr>
          <w:rFonts w:hint="eastAsia" w:ascii="方正小标宋_GBK" w:eastAsia="方正小标宋_GBK"/>
          <w:b w:val="0"/>
          <w:color w:val="auto"/>
          <w:sz w:val="36"/>
          <w:szCs w:val="30"/>
        </w:rPr>
      </w:pPr>
      <w:r>
        <w:rPr>
          <w:rFonts w:ascii="方正小标宋_GBK" w:hAnsi="宋体" w:eastAsia="方正小标宋_GBK"/>
          <w:b w:val="0"/>
          <w:color w:val="auto"/>
          <w:sz w:val="36"/>
          <w:szCs w:val="30"/>
        </w:rPr>
        <w:br w:type="page"/>
      </w:r>
      <w:bookmarkStart w:id="63" w:name="_Toc13356"/>
      <w:bookmarkStart w:id="64" w:name="_Toc523"/>
      <w:bookmarkStart w:id="65" w:name="_Toc65660341"/>
      <w:bookmarkStart w:id="66" w:name="_Toc15492"/>
      <w:bookmarkStart w:id="67" w:name="_Toc106034781"/>
      <w:r>
        <w:rPr>
          <w:rFonts w:hint="eastAsia" w:ascii="方正小标宋_GBK" w:eastAsia="方正小标宋_GBK"/>
          <w:b w:val="0"/>
          <w:color w:val="auto"/>
          <w:sz w:val="36"/>
          <w:szCs w:val="30"/>
        </w:rPr>
        <w:t xml:space="preserve">第三篇  </w:t>
      </w:r>
      <w:bookmarkEnd w:id="52"/>
      <w:r>
        <w:rPr>
          <w:rFonts w:hint="eastAsia" w:ascii="方正小标宋_GBK" w:eastAsia="方正小标宋_GBK"/>
          <w:b w:val="0"/>
          <w:color w:val="auto"/>
          <w:sz w:val="36"/>
          <w:szCs w:val="30"/>
        </w:rPr>
        <w:t>项目</w:t>
      </w:r>
      <w:bookmarkEnd w:id="63"/>
      <w:bookmarkEnd w:id="64"/>
      <w:bookmarkEnd w:id="65"/>
      <w:bookmarkEnd w:id="66"/>
      <w:r>
        <w:rPr>
          <w:rFonts w:hint="eastAsia" w:ascii="方正小标宋_GBK" w:eastAsia="方正小标宋_GBK"/>
          <w:b w:val="0"/>
          <w:color w:val="auto"/>
          <w:sz w:val="36"/>
          <w:szCs w:val="30"/>
        </w:rPr>
        <w:t>商务需求</w:t>
      </w:r>
      <w:bookmarkEnd w:id="67"/>
    </w:p>
    <w:p>
      <w:pPr>
        <w:pStyle w:val="3"/>
        <w:adjustRightInd w:val="0"/>
        <w:snapToGrid w:val="0"/>
        <w:spacing w:before="0" w:after="0" w:line="400" w:lineRule="exact"/>
        <w:ind w:firstLine="480" w:firstLineChars="200"/>
        <w:rPr>
          <w:rFonts w:ascii="方正仿宋_GBK" w:hAnsi="宋体" w:eastAsia="方正仿宋_GBK"/>
          <w:color w:val="auto"/>
          <w:sz w:val="24"/>
        </w:rPr>
      </w:pPr>
      <w:bookmarkStart w:id="68" w:name="_Toc65660342"/>
      <w:bookmarkStart w:id="69" w:name="_Toc17750"/>
      <w:bookmarkStart w:id="70" w:name="_Toc13555"/>
      <w:bookmarkStart w:id="71" w:name="_Toc106034782"/>
      <w:bookmarkStart w:id="72" w:name="_Toc12935"/>
      <w:bookmarkStart w:id="73" w:name="_Toc342913389"/>
      <w:r>
        <w:rPr>
          <w:rFonts w:hint="eastAsia" w:ascii="方正仿宋_GBK" w:hAnsi="宋体" w:eastAsia="方正仿宋_GBK"/>
          <w:color w:val="auto"/>
          <w:sz w:val="24"/>
        </w:rPr>
        <w:t>一、</w:t>
      </w:r>
      <w:r>
        <w:rPr>
          <w:rFonts w:hint="eastAsia" w:ascii="方正仿宋_GBK" w:hAnsi="宋体" w:eastAsia="方正仿宋_GBK"/>
          <w:color w:val="auto"/>
          <w:sz w:val="24"/>
          <w:lang w:eastAsia="zh-CN"/>
        </w:rPr>
        <w:t>服务时间</w:t>
      </w:r>
      <w:r>
        <w:rPr>
          <w:rFonts w:hint="eastAsia" w:ascii="方正仿宋_GBK" w:hAnsi="宋体" w:eastAsia="方正仿宋_GBK"/>
          <w:color w:val="auto"/>
          <w:sz w:val="24"/>
        </w:rPr>
        <w:t>、地点及验收方式</w:t>
      </w:r>
      <w:bookmarkEnd w:id="68"/>
      <w:bookmarkEnd w:id="69"/>
      <w:bookmarkEnd w:id="70"/>
      <w:bookmarkEnd w:id="71"/>
      <w:bookmarkEnd w:id="72"/>
    </w:p>
    <w:p>
      <w:pPr>
        <w:pStyle w:val="33"/>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服务时间</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一年</w:t>
      </w:r>
      <w:r>
        <w:rPr>
          <w:rFonts w:hint="eastAsia" w:ascii="方正仿宋_GBK" w:hAnsi="宋体" w:eastAsia="方正仿宋_GBK"/>
          <w:color w:val="auto"/>
          <w:sz w:val="24"/>
          <w:szCs w:val="24"/>
        </w:rPr>
        <w:t>。</w:t>
      </w:r>
    </w:p>
    <w:p>
      <w:pPr>
        <w:pStyle w:val="33"/>
        <w:spacing w:line="400" w:lineRule="exact"/>
        <w:ind w:firstLine="360" w:firstLineChars="150"/>
        <w:outlineLvl w:val="2"/>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（二）</w:t>
      </w:r>
      <w:r>
        <w:rPr>
          <w:rFonts w:hint="eastAsia" w:ascii="方正仿宋_GBK" w:hAnsi="宋体" w:eastAsia="方正仿宋_GBK"/>
          <w:color w:val="auto"/>
          <w:sz w:val="24"/>
          <w:szCs w:val="24"/>
          <w:lang w:eastAsia="zh-CN"/>
        </w:rPr>
        <w:t>服务</w:t>
      </w:r>
      <w:r>
        <w:rPr>
          <w:rFonts w:hint="eastAsia" w:ascii="方正仿宋_GBK" w:hAnsi="宋体" w:eastAsia="方正仿宋_GBK"/>
          <w:color w:val="auto"/>
          <w:sz w:val="24"/>
          <w:szCs w:val="24"/>
        </w:rPr>
        <w:t>地点：重庆市乌江航道管理处或其指定的地点</w:t>
      </w:r>
      <w:r>
        <w:rPr>
          <w:rFonts w:hint="eastAsia" w:ascii="方正仿宋_GBK" w:hAnsi="宋体" w:eastAsia="方正仿宋_GBK"/>
          <w:color w:val="auto"/>
          <w:sz w:val="24"/>
          <w:szCs w:val="24"/>
          <w:lang w:eastAsia="zh-CN"/>
        </w:rPr>
        <w:t>。</w:t>
      </w:r>
    </w:p>
    <w:p>
      <w:pPr>
        <w:pStyle w:val="33"/>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（三）验收方式：</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lang w:eastAsia="zh-CN"/>
        </w:rPr>
      </w:pPr>
      <w:bookmarkStart w:id="74" w:name="_Toc24110"/>
      <w:bookmarkStart w:id="75" w:name="_Toc106034783"/>
      <w:bookmarkStart w:id="76" w:name="_Toc1838"/>
      <w:bookmarkStart w:id="77" w:name="_Toc8103"/>
      <w:bookmarkStart w:id="78" w:name="_Toc65660343"/>
      <w:r>
        <w:rPr>
          <w:rFonts w:hint="eastAsia" w:ascii="方正仿宋_GBK" w:hAnsi="宋体" w:eastAsia="方正仿宋_GBK"/>
          <w:b w:val="0"/>
          <w:bCs/>
          <w:color w:val="auto"/>
          <w:sz w:val="24"/>
        </w:rPr>
        <w:t>在服务期内能够按照工作要求和服务要求的内容完成采购人所需的保险服务</w:t>
      </w:r>
      <w:r>
        <w:rPr>
          <w:rFonts w:hint="eastAsia" w:ascii="方正仿宋_GBK" w:hAnsi="宋体" w:eastAsia="方正仿宋_GBK"/>
          <w:b w:val="0"/>
          <w:bCs/>
          <w:color w:val="auto"/>
          <w:sz w:val="24"/>
          <w:lang w:eastAsia="zh-CN"/>
        </w:rPr>
        <w:t>。</w:t>
      </w:r>
    </w:p>
    <w:bookmarkEnd w:id="74"/>
    <w:bookmarkEnd w:id="75"/>
    <w:bookmarkEnd w:id="76"/>
    <w:bookmarkEnd w:id="77"/>
    <w:bookmarkEnd w:id="78"/>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79" w:name="_Toc12184"/>
      <w:bookmarkStart w:id="80" w:name="_Toc122"/>
      <w:bookmarkStart w:id="81" w:name="_Toc106034784"/>
      <w:bookmarkStart w:id="82" w:name="_Toc16974"/>
      <w:bookmarkStart w:id="83" w:name="_Toc65660344"/>
      <w:r>
        <w:rPr>
          <w:rFonts w:hint="eastAsia" w:ascii="方正仿宋_GBK" w:hAnsi="宋体" w:eastAsia="方正仿宋_GBK"/>
          <w:color w:val="auto"/>
          <w:sz w:val="24"/>
          <w:lang w:eastAsia="zh-CN"/>
        </w:rPr>
        <w:t>二</w:t>
      </w:r>
      <w:r>
        <w:rPr>
          <w:rFonts w:hint="eastAsia" w:ascii="方正仿宋_GBK" w:hAnsi="宋体" w:eastAsia="方正仿宋_GBK"/>
          <w:color w:val="auto"/>
          <w:sz w:val="24"/>
        </w:rPr>
        <w:t>、报价要求</w:t>
      </w:r>
      <w:bookmarkEnd w:id="79"/>
      <w:bookmarkEnd w:id="80"/>
      <w:bookmarkEnd w:id="81"/>
      <w:bookmarkEnd w:id="82"/>
      <w:bookmarkEnd w:id="83"/>
    </w:p>
    <w:p>
      <w:pPr>
        <w:adjustRightInd w:val="0"/>
        <w:snapToGrid w:val="0"/>
        <w:spacing w:line="400" w:lineRule="exact"/>
        <w:ind w:firstLine="480" w:firstLineChars="200"/>
        <w:jc w:val="left"/>
        <w:rPr>
          <w:rFonts w:hint="eastAsia" w:ascii="方正仿宋_GBK" w:hAnsi="方正仿宋_GBK" w:eastAsia="方正仿宋_GBK" w:cs="方正仿宋_GBK"/>
          <w:color w:val="auto"/>
          <w:kern w:val="0"/>
          <w:sz w:val="24"/>
          <w:szCs w:val="24"/>
          <w:lang w:val="zh-TW"/>
        </w:rPr>
      </w:pPr>
      <w:r>
        <w:rPr>
          <w:rFonts w:hint="eastAsia" w:ascii="方正仿宋_GBK" w:hAnsi="方正仿宋_GBK" w:eastAsia="方正仿宋_GBK" w:cs="方正仿宋_GBK"/>
          <w:color w:val="auto"/>
          <w:kern w:val="0"/>
          <w:sz w:val="24"/>
          <w:szCs w:val="24"/>
          <w:lang w:val="zh-TW"/>
        </w:rPr>
        <w:t>本次项目为总价包干，报价应包括本项目所需的服务费、人工费等提供服务所需要的其他一切相关费用，未明列需求的，由供应商自行计算。因供应商自身原因造成漏报、少报皆由其自行承担责任，招标人不再补偿。</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84" w:name="_Toc7562"/>
      <w:bookmarkStart w:id="85" w:name="_Toc11000"/>
      <w:bookmarkStart w:id="86" w:name="_Toc106034785"/>
      <w:bookmarkStart w:id="87" w:name="_Toc65660345"/>
      <w:bookmarkStart w:id="88" w:name="_Toc9192"/>
      <w:r>
        <w:rPr>
          <w:rFonts w:hint="eastAsia" w:ascii="方正仿宋_GBK" w:hAnsi="宋体" w:eastAsia="方正仿宋_GBK"/>
          <w:color w:val="auto"/>
          <w:sz w:val="24"/>
          <w:lang w:val="en-US" w:eastAsia="zh-CN"/>
        </w:rPr>
        <w:t>三</w:t>
      </w:r>
      <w:r>
        <w:rPr>
          <w:rFonts w:hint="eastAsia" w:ascii="方正仿宋_GBK" w:hAnsi="宋体" w:eastAsia="方正仿宋_GBK"/>
          <w:color w:val="auto"/>
          <w:sz w:val="24"/>
        </w:rPr>
        <w:t>、付款方式</w:t>
      </w:r>
      <w:bookmarkEnd w:id="84"/>
      <w:bookmarkEnd w:id="85"/>
      <w:bookmarkEnd w:id="86"/>
      <w:bookmarkEnd w:id="87"/>
      <w:bookmarkEnd w:id="88"/>
    </w:p>
    <w:p>
      <w:pPr>
        <w:snapToGrid w:val="0"/>
        <w:spacing w:line="400" w:lineRule="exact"/>
        <w:ind w:firstLine="480" w:firstLineChars="200"/>
        <w:rPr>
          <w:rFonts w:hint="eastAsia" w:ascii="方正仿宋_GBK" w:hAnsi="宋体" w:eastAsia="方正仿宋_GBK" w:cs="宋体"/>
          <w:color w:val="auto"/>
          <w:kern w:val="0"/>
          <w:sz w:val="24"/>
          <w:szCs w:val="24"/>
        </w:rPr>
      </w:pPr>
      <w:bookmarkStart w:id="89" w:name="_Toc106034786"/>
      <w:bookmarkStart w:id="90" w:name="_Toc3786"/>
      <w:bookmarkStart w:id="91" w:name="_Toc24751"/>
      <w:bookmarkStart w:id="92" w:name="_Toc7228"/>
      <w:bookmarkStart w:id="93" w:name="_Toc65660346"/>
      <w:r>
        <w:rPr>
          <w:rFonts w:hint="eastAsia" w:ascii="方正仿宋_GBK" w:hAnsi="宋体" w:eastAsia="方正仿宋_GBK" w:cs="宋体"/>
          <w:color w:val="auto"/>
          <w:kern w:val="0"/>
          <w:sz w:val="24"/>
          <w:szCs w:val="24"/>
        </w:rPr>
        <w:t>双方合同约定。</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四</w:t>
      </w:r>
      <w:r>
        <w:rPr>
          <w:rFonts w:hint="eastAsia" w:ascii="方正仿宋_GBK" w:hAnsi="宋体" w:eastAsia="方正仿宋_GBK"/>
          <w:color w:val="auto"/>
          <w:sz w:val="24"/>
        </w:rPr>
        <w:t>、知识产权</w:t>
      </w:r>
      <w:bookmarkEnd w:id="89"/>
      <w:bookmarkEnd w:id="90"/>
      <w:bookmarkEnd w:id="91"/>
      <w:bookmarkEnd w:id="92"/>
      <w:bookmarkEnd w:id="93"/>
    </w:p>
    <w:p>
      <w:pPr>
        <w:snapToGrid w:val="0"/>
        <w:spacing w:line="400" w:lineRule="exact"/>
        <w:ind w:firstLine="54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本项目知识产权归采购人所有。</w:t>
      </w:r>
    </w:p>
    <w:p>
      <w:pPr>
        <w:snapToGrid w:val="0"/>
        <w:spacing w:line="400" w:lineRule="exact"/>
        <w:ind w:firstLine="54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94" w:name="_Toc6565"/>
      <w:bookmarkStart w:id="95" w:name="_Toc65660347"/>
      <w:bookmarkStart w:id="96" w:name="_Toc106034787"/>
      <w:bookmarkStart w:id="97" w:name="_Toc6869"/>
      <w:bookmarkStart w:id="98" w:name="_Toc5555"/>
      <w:r>
        <w:rPr>
          <w:rFonts w:hint="eastAsia" w:ascii="方正仿宋_GBK" w:hAnsi="宋体" w:eastAsia="方正仿宋_GBK"/>
          <w:color w:val="auto"/>
          <w:sz w:val="24"/>
          <w:lang w:val="en-US" w:eastAsia="zh-CN"/>
        </w:rPr>
        <w:t>五</w:t>
      </w:r>
      <w:r>
        <w:rPr>
          <w:rFonts w:hint="eastAsia" w:ascii="方正仿宋_GBK" w:hAnsi="宋体" w:eastAsia="方正仿宋_GBK"/>
          <w:color w:val="auto"/>
          <w:sz w:val="24"/>
        </w:rPr>
        <w:t>、培训</w:t>
      </w:r>
      <w:bookmarkEnd w:id="94"/>
      <w:bookmarkEnd w:id="95"/>
      <w:bookmarkEnd w:id="96"/>
      <w:bookmarkEnd w:id="97"/>
      <w:bookmarkEnd w:id="98"/>
    </w:p>
    <w:p>
      <w:pPr>
        <w:snapToGrid w:val="0"/>
        <w:spacing w:line="400" w:lineRule="exact"/>
        <w:ind w:firstLine="54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成交供应商须提供对设备的操作培训，使相关使用人员能够正常操作相关设备。</w:t>
      </w:r>
    </w:p>
    <w:p>
      <w:pPr>
        <w:pStyle w:val="3"/>
        <w:adjustRightInd w:val="0"/>
        <w:snapToGrid w:val="0"/>
        <w:spacing w:before="0" w:after="0" w:line="400" w:lineRule="exact"/>
        <w:ind w:firstLine="480" w:firstLineChars="200"/>
        <w:jc w:val="left"/>
        <w:rPr>
          <w:rFonts w:hint="eastAsia" w:ascii="方正仿宋_GBK" w:hAnsi="方正仿宋_GBK" w:eastAsia="方正仿宋_GBK" w:cs="方正仿宋_GBK"/>
          <w:color w:val="auto"/>
          <w:sz w:val="24"/>
        </w:rPr>
      </w:pPr>
      <w:bookmarkStart w:id="99" w:name="_Toc18104"/>
      <w:bookmarkStart w:id="100" w:name="_Toc947"/>
      <w:bookmarkStart w:id="101" w:name="_Toc108013105"/>
      <w:bookmarkStart w:id="102" w:name="_Toc25707"/>
      <w:bookmarkStart w:id="103" w:name="_Toc19427"/>
      <w:bookmarkStart w:id="104" w:name="_Toc31910"/>
      <w:bookmarkStart w:id="105" w:name="_Toc2954"/>
      <w:bookmarkStart w:id="106" w:name="_Toc466546918"/>
      <w:bookmarkStart w:id="107" w:name="_Toc31659"/>
      <w:bookmarkStart w:id="108" w:name="_Toc106034788"/>
      <w:bookmarkStart w:id="109" w:name="_Toc21248"/>
      <w:bookmarkStart w:id="110" w:name="_Toc65660348"/>
      <w:bookmarkStart w:id="111" w:name="_Toc23902"/>
      <w:r>
        <w:rPr>
          <w:rFonts w:hint="eastAsia" w:ascii="方正仿宋_GBK" w:hAnsi="方正仿宋_GBK" w:eastAsia="方正仿宋_GBK" w:cs="方正仿宋_GBK"/>
          <w:color w:val="auto"/>
          <w:sz w:val="24"/>
          <w:lang w:val="en-US" w:eastAsia="zh-CN"/>
        </w:rPr>
        <w:t>六</w:t>
      </w:r>
      <w:r>
        <w:rPr>
          <w:rFonts w:hint="eastAsia" w:ascii="方正仿宋_GBK" w:hAnsi="方正仿宋_GBK" w:eastAsia="方正仿宋_GBK" w:cs="方正仿宋_GBK"/>
          <w:color w:val="auto"/>
          <w:sz w:val="24"/>
        </w:rPr>
        <w:t>、项目风险管控</w:t>
      </w:r>
      <w:bookmarkEnd w:id="99"/>
      <w:bookmarkEnd w:id="100"/>
      <w:bookmarkEnd w:id="101"/>
      <w:bookmarkEnd w:id="102"/>
      <w:bookmarkEnd w:id="103"/>
      <w:bookmarkEnd w:id="104"/>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bookmarkStart w:id="112" w:name="_Toc6830"/>
      <w:r>
        <w:rPr>
          <w:rFonts w:hint="eastAsia" w:ascii="方正仿宋_GBK" w:hAnsi="方正仿宋_GBK" w:eastAsia="方正仿宋_GBK" w:cs="方正仿宋_GBK"/>
          <w:color w:val="auto"/>
          <w:sz w:val="24"/>
          <w:szCs w:val="24"/>
        </w:rPr>
        <w:t>3.合同已签订的，如果相关变化导致不能实现合同目的或合同价款等实质性条款变化，针对变化部分按不可抗力事件处理，采购人与供应商协商后解除合同或签订补充协议。</w:t>
      </w:r>
      <w:bookmarkEnd w:id="105"/>
      <w:bookmarkEnd w:id="106"/>
      <w:bookmarkEnd w:id="112"/>
    </w:p>
    <w:p>
      <w:pPr>
        <w:pStyle w:val="3"/>
        <w:adjustRightInd w:val="0"/>
        <w:snapToGrid w:val="0"/>
        <w:spacing w:before="0" w:after="0" w:line="400" w:lineRule="exact"/>
        <w:ind w:firstLine="480" w:firstLineChars="200"/>
        <w:rPr>
          <w:rFonts w:hint="eastAsia" w:ascii="方正仿宋_GBK" w:hAnsi="宋体" w:eastAsia="方正仿宋_GBK"/>
          <w:color w:val="auto"/>
          <w:sz w:val="24"/>
          <w:lang w:eastAsia="zh-CN"/>
        </w:rPr>
      </w:pPr>
      <w:r>
        <w:rPr>
          <w:rFonts w:hint="eastAsia" w:ascii="方正仿宋_GBK" w:hAnsi="宋体" w:eastAsia="方正仿宋_GBK"/>
          <w:color w:val="auto"/>
          <w:sz w:val="24"/>
          <w:lang w:val="en-US" w:eastAsia="zh-CN"/>
        </w:rPr>
        <w:t>七</w:t>
      </w:r>
      <w:r>
        <w:rPr>
          <w:rFonts w:hint="eastAsia" w:ascii="方正仿宋_GBK" w:hAnsi="宋体" w:eastAsia="方正仿宋_GBK"/>
          <w:color w:val="auto"/>
          <w:sz w:val="24"/>
          <w:lang w:eastAsia="zh-CN"/>
        </w:rPr>
        <w:t>、合同争议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项目执行中，如发生争议由双方协商解决，协商不成向甲方所在地具有管辖权人民法院提请诉讼。</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八</w:t>
      </w:r>
      <w:r>
        <w:rPr>
          <w:rFonts w:hint="eastAsia" w:ascii="方正仿宋_GBK" w:hAnsi="宋体" w:eastAsia="方正仿宋_GBK"/>
          <w:color w:val="auto"/>
          <w:sz w:val="24"/>
        </w:rPr>
        <w:t>、其他</w:t>
      </w:r>
      <w:bookmarkEnd w:id="107"/>
      <w:bookmarkEnd w:id="108"/>
      <w:bookmarkEnd w:id="109"/>
      <w:bookmarkEnd w:id="110"/>
      <w:bookmarkEnd w:id="111"/>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其他未尽事宜由供需双方在采购合同中详细约定。</w:t>
      </w:r>
    </w:p>
    <w:p>
      <w:pPr>
        <w:snapToGrid w:val="0"/>
        <w:spacing w:line="400" w:lineRule="exact"/>
        <w:ind w:firstLine="540"/>
        <w:rPr>
          <w:rFonts w:hint="eastAsia" w:ascii="方正仿宋_GBK" w:eastAsia="方正仿宋_GBK"/>
          <w:color w:val="auto"/>
          <w:sz w:val="24"/>
          <w:szCs w:val="24"/>
        </w:rPr>
      </w:pPr>
    </w:p>
    <w:p>
      <w:pPr>
        <w:pStyle w:val="3"/>
        <w:spacing w:before="0" w:after="0" w:line="360" w:lineRule="auto"/>
        <w:jc w:val="center"/>
        <w:rPr>
          <w:rFonts w:hint="eastAsia" w:ascii="方正小标宋_GBK" w:eastAsia="方正小标宋_GBK"/>
          <w:b w:val="0"/>
          <w:color w:val="auto"/>
          <w:sz w:val="36"/>
          <w:szCs w:val="30"/>
        </w:rPr>
      </w:pPr>
      <w:r>
        <w:rPr>
          <w:rFonts w:ascii="方正小标宋_GBK" w:eastAsia="方正小标宋_GBK"/>
          <w:b w:val="0"/>
          <w:color w:val="auto"/>
          <w:sz w:val="36"/>
          <w:szCs w:val="30"/>
        </w:rPr>
        <w:br w:type="page"/>
      </w:r>
      <w:bookmarkStart w:id="113" w:name="_Toc31282"/>
      <w:bookmarkStart w:id="114" w:name="_Toc106034789"/>
      <w:bookmarkStart w:id="115" w:name="_Toc16123"/>
      <w:bookmarkStart w:id="116" w:name="_Toc24195"/>
      <w:bookmarkStart w:id="117" w:name="_Toc65660349"/>
      <w:r>
        <w:rPr>
          <w:rFonts w:hint="eastAsia" w:ascii="方正小标宋_GBK" w:eastAsia="方正小标宋_GBK"/>
          <w:b w:val="0"/>
          <w:color w:val="auto"/>
          <w:sz w:val="36"/>
          <w:szCs w:val="30"/>
        </w:rPr>
        <w:t>第四篇  采购程序、评定成交的标准、无效报价及采购终止</w:t>
      </w:r>
      <w:bookmarkEnd w:id="113"/>
      <w:bookmarkEnd w:id="114"/>
      <w:bookmarkEnd w:id="115"/>
      <w:bookmarkEnd w:id="116"/>
      <w:bookmarkEnd w:id="117"/>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118" w:name="_Toc5167"/>
      <w:bookmarkStart w:id="119" w:name="_Toc64732012"/>
      <w:bookmarkStart w:id="120" w:name="_Toc65660350"/>
      <w:bookmarkStart w:id="121" w:name="_Toc27932"/>
      <w:bookmarkStart w:id="122" w:name="_Toc9361"/>
      <w:bookmarkStart w:id="123" w:name="_Toc106034790"/>
      <w:r>
        <w:rPr>
          <w:rFonts w:hint="eastAsia" w:ascii="方正仿宋_GBK" w:hAnsi="宋体" w:eastAsia="方正仿宋_GBK"/>
          <w:color w:val="auto"/>
          <w:sz w:val="24"/>
        </w:rPr>
        <w:t>一、采购程序</w:t>
      </w:r>
      <w:bookmarkEnd w:id="118"/>
      <w:bookmarkEnd w:id="119"/>
      <w:bookmarkEnd w:id="120"/>
      <w:bookmarkEnd w:id="121"/>
      <w:bookmarkEnd w:id="122"/>
      <w:bookmarkEnd w:id="123"/>
    </w:p>
    <w:p>
      <w:pPr>
        <w:pStyle w:val="33"/>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比价</w:t>
      </w:r>
      <w:r>
        <w:rPr>
          <w:rFonts w:hint="eastAsia" w:ascii="方正仿宋_GBK" w:hAnsi="宋体" w:eastAsia="方正仿宋_GBK"/>
          <w:color w:val="auto"/>
          <w:sz w:val="24"/>
          <w:szCs w:val="24"/>
        </w:rPr>
        <w:t>按</w:t>
      </w:r>
      <w:r>
        <w:rPr>
          <w:rFonts w:hint="eastAsia" w:ascii="方正仿宋_GBK" w:hAnsi="宋体" w:eastAsia="方正仿宋_GBK"/>
          <w:color w:val="auto"/>
          <w:sz w:val="24"/>
          <w:szCs w:val="24"/>
          <w:lang w:eastAsia="zh-CN"/>
        </w:rPr>
        <w:t>采购文件</w:t>
      </w:r>
      <w:r>
        <w:rPr>
          <w:rFonts w:hint="eastAsia" w:ascii="方正仿宋_GBK" w:hAnsi="宋体" w:eastAsia="方正仿宋_GBK"/>
          <w:color w:val="auto"/>
          <w:sz w:val="24"/>
          <w:szCs w:val="24"/>
        </w:rPr>
        <w:t>规定的时间和地点进行。供应商须有法定代表人（或其授权代表）或自然人参加并签到。</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（二）由本项目</w:t>
      </w:r>
      <w:r>
        <w:rPr>
          <w:rFonts w:hint="eastAsia" w:ascii="方正仿宋_GBK" w:hAnsi="宋体" w:eastAsia="方正仿宋_GBK"/>
          <w:color w:val="auto"/>
          <w:sz w:val="24"/>
          <w:szCs w:val="24"/>
          <w:lang w:eastAsia="zh-CN"/>
        </w:rPr>
        <w:t>评审</w:t>
      </w:r>
      <w:r>
        <w:rPr>
          <w:rFonts w:hint="eastAsia" w:ascii="方正仿宋_GBK" w:hAnsi="宋体" w:eastAsia="方正仿宋_GBK"/>
          <w:color w:val="auto"/>
          <w:sz w:val="24"/>
          <w:szCs w:val="24"/>
        </w:rPr>
        <w:t xml:space="preserve">小组对各供应商的资格条件、实质性响应等进行审查。 </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1.资格性审查。依据法律法规和采购文件的规定，对响应文件中的资格证明材料等进行审查。资格性审查内容如下：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（一）</w:t>
            </w:r>
          </w:p>
        </w:tc>
        <w:tc>
          <w:tcPr>
            <w:tcW w:w="709" w:type="dxa"/>
            <w:vMerge w:val="restart"/>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1.具有独立承担民事责任的能力</w:t>
            </w:r>
          </w:p>
        </w:tc>
        <w:tc>
          <w:tcPr>
            <w:tcW w:w="5267"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2835"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s="仿宋_GB2312"/>
                <w:color w:val="auto"/>
                <w:sz w:val="21"/>
                <w:szCs w:val="21"/>
                <w:lang w:val="zh-CN"/>
              </w:rPr>
              <w:t>2.</w:t>
            </w:r>
            <w:r>
              <w:rPr>
                <w:rFonts w:hint="eastAsia" w:ascii="方正仿宋_GBK" w:hAnsi="仿宋" w:eastAsia="方正仿宋_GBK"/>
                <w:color w:val="auto"/>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color w:val="auto"/>
                <w:sz w:val="21"/>
                <w:szCs w:val="21"/>
              </w:rPr>
            </w:pPr>
            <w:r>
              <w:rPr>
                <w:rFonts w:hint="eastAsia" w:ascii="方正仿宋_GBK" w:hAnsi="仿宋" w:eastAsia="方正仿宋_GBK"/>
                <w:color w:val="auto"/>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2835" w:type="dxa"/>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2835" w:type="dxa"/>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2835" w:type="dxa"/>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olor w:val="auto"/>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rPr>
            </w:pPr>
          </w:p>
        </w:tc>
        <w:tc>
          <w:tcPr>
            <w:tcW w:w="2835"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6.法律、行政法规规定的其他条件</w:t>
            </w:r>
          </w:p>
        </w:tc>
        <w:tc>
          <w:tcPr>
            <w:tcW w:w="5267" w:type="dxa"/>
            <w:noWrap w:val="0"/>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rPr>
            </w:pPr>
          </w:p>
        </w:tc>
        <w:tc>
          <w:tcPr>
            <w:tcW w:w="2835"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5267"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按“第一篇三、供应商资格要求（二）本项目的特定资格要求”的要求提交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bl>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注：</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1</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根据《</w:t>
      </w:r>
      <w:r>
        <w:rPr>
          <w:rFonts w:ascii="方正仿宋_GBK" w:hAnsi="宋体" w:eastAsia="方正仿宋_GBK" w:cs="宋体"/>
          <w:color w:val="auto"/>
          <w:kern w:val="0"/>
          <w:sz w:val="24"/>
          <w:szCs w:val="24"/>
        </w:rPr>
        <w:t>中华人民共和国政府采购法实施条例</w:t>
      </w:r>
      <w:r>
        <w:rPr>
          <w:rFonts w:hint="eastAsia" w:ascii="方正仿宋_GBK" w:hAnsi="宋体" w:eastAsia="方正仿宋_GBK" w:cs="宋体"/>
          <w:color w:val="auto"/>
          <w:kern w:val="0"/>
          <w:sz w:val="24"/>
          <w:szCs w:val="24"/>
        </w:rPr>
        <w:t>》第十九条“参加政府采购活动前三年内，在经营活动中没有重大违法记录”中“重大违法记录”</w:t>
      </w:r>
      <w:r>
        <w:rPr>
          <w:rFonts w:ascii="方正仿宋_GBK" w:hAnsi="宋体" w:eastAsia="方正仿宋_GBK" w:cs="宋体"/>
          <w:color w:val="auto"/>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rPr>
        <w:t>行政处罚中“较大数额”的认定标准，按照“</w:t>
      </w:r>
      <w:r>
        <w:rPr>
          <w:rFonts w:ascii="方正仿宋_GBK" w:hAnsi="宋体" w:eastAsia="方正仿宋_GBK" w:cs="宋体"/>
          <w:color w:val="auto"/>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2</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以联合体形式参与比价的，共同联合协议中应确定主办方（主体），</w:t>
      </w:r>
      <w:r>
        <w:rPr>
          <w:rFonts w:hint="eastAsia" w:ascii="方正仿宋_GBK" w:hAnsi="宋体" w:eastAsia="方正仿宋_GBK"/>
          <w:color w:val="auto"/>
          <w:sz w:val="24"/>
        </w:rPr>
        <w:t>代表联合体进行报价和澄清。</w:t>
      </w:r>
      <w:r>
        <w:rPr>
          <w:rFonts w:hint="eastAsia" w:ascii="方正仿宋_GBK" w:hAnsi="宋体" w:eastAsia="方正仿宋_GBK" w:cs="宋体"/>
          <w:color w:val="auto"/>
          <w:kern w:val="0"/>
          <w:sz w:val="24"/>
          <w:szCs w:val="24"/>
        </w:rPr>
        <w:t>联合体各方均应满足供应商资格要求（详见“第一篇”）。</w:t>
      </w:r>
    </w:p>
    <w:p>
      <w:pPr>
        <w:snapToGrid w:val="0"/>
        <w:spacing w:line="400" w:lineRule="exact"/>
        <w:ind w:firstLine="480" w:firstLineChars="200"/>
        <w:rPr>
          <w:rFonts w:hint="eastAsia" w:ascii="方正仿宋_GBK" w:eastAsia="方正仿宋_GBK"/>
          <w:color w:val="auto"/>
          <w:kern w:val="0"/>
          <w:sz w:val="24"/>
          <w:szCs w:val="24"/>
        </w:rPr>
      </w:pPr>
      <w:r>
        <w:rPr>
          <w:rFonts w:hint="eastAsia" w:ascii="方正仿宋_GBK" w:hAnsi="宋体" w:eastAsia="方正仿宋_GBK"/>
          <w:color w:val="auto"/>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2694" w:type="dxa"/>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审查因素</w:t>
            </w:r>
          </w:p>
        </w:tc>
        <w:tc>
          <w:tcPr>
            <w:tcW w:w="6259" w:type="dxa"/>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269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响应文件签署或盖章</w:t>
            </w:r>
          </w:p>
        </w:tc>
        <w:tc>
          <w:tcPr>
            <w:tcW w:w="625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2694" w:type="dxa"/>
            <w:noWrap w:val="0"/>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w:t>
            </w:r>
          </w:p>
        </w:tc>
        <w:tc>
          <w:tcPr>
            <w:tcW w:w="6259" w:type="dxa"/>
            <w:noWrap w:val="0"/>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2694" w:type="dxa"/>
            <w:noWrap w:val="0"/>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c>
          <w:tcPr>
            <w:tcW w:w="625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只能有一个</w:t>
            </w: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2694" w:type="dxa"/>
            <w:noWrap w:val="0"/>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625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269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份数</w:t>
            </w:r>
          </w:p>
        </w:tc>
        <w:tc>
          <w:tcPr>
            <w:tcW w:w="625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269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响应文件内容</w:t>
            </w:r>
          </w:p>
        </w:tc>
        <w:tc>
          <w:tcPr>
            <w:tcW w:w="6259" w:type="dxa"/>
            <w:noWrap w:val="0"/>
            <w:vAlign w:val="center"/>
          </w:tcPr>
          <w:p>
            <w:pPr>
              <w:pStyle w:val="32"/>
              <w:rPr>
                <w:rFonts w:hint="eastAsia" w:ascii="方正仿宋_GBK" w:hAnsi="宋体" w:eastAsia="方正仿宋_GBK" w:cs="宋体"/>
                <w:color w:val="auto"/>
                <w:kern w:val="0"/>
                <w:sz w:val="21"/>
                <w:szCs w:val="21"/>
                <w:lang w:val="en-US" w:eastAsia="zh-CN"/>
              </w:rPr>
            </w:pPr>
            <w:r>
              <w:rPr>
                <w:rFonts w:hint="eastAsia" w:ascii="方正仿宋_GBK" w:hAnsi="宋体" w:eastAsia="方正仿宋_GBK" w:cs="宋体"/>
                <w:color w:val="auto"/>
                <w:kern w:val="0"/>
                <w:sz w:val="21"/>
                <w:szCs w:val="21"/>
                <w:lang w:val="en-US" w:eastAsia="zh-CN"/>
              </w:rPr>
              <w:t>对</w:t>
            </w:r>
            <w:r>
              <w:rPr>
                <w:rFonts w:hint="eastAsia" w:ascii="方正仿宋_GBK" w:hAnsi="宋体" w:eastAsia="方正仿宋_GBK" w:cs="仿宋_GB2312"/>
                <w:color w:val="auto"/>
                <w:sz w:val="21"/>
                <w:szCs w:val="21"/>
                <w:lang w:val="zh-CN" w:eastAsia="zh-CN"/>
              </w:rPr>
              <w:t>采购文件</w:t>
            </w:r>
            <w:r>
              <w:rPr>
                <w:rFonts w:hint="eastAsia" w:ascii="方正仿宋_GBK" w:hAnsi="宋体" w:eastAsia="方正仿宋_GBK" w:cs="宋体"/>
                <w:color w:val="auto"/>
                <w:kern w:val="0"/>
                <w:sz w:val="21"/>
                <w:szCs w:val="21"/>
                <w:lang w:val="en-US" w:eastAsia="zh-CN"/>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269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比价有效期</w:t>
            </w:r>
          </w:p>
        </w:tc>
        <w:tc>
          <w:tcPr>
            <w:tcW w:w="625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响应文件及有关承诺文件有效期为提交响应文件截止时间起90天。</w:t>
            </w:r>
          </w:p>
        </w:tc>
      </w:tr>
    </w:tbl>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w:t>
      </w:r>
      <w:r>
        <w:rPr>
          <w:rFonts w:hint="eastAsia" w:ascii="方正仿宋_GBK" w:hAnsi="宋体" w:eastAsia="方正仿宋_GBK"/>
          <w:color w:val="auto"/>
          <w:sz w:val="24"/>
          <w:szCs w:val="24"/>
          <w:lang w:eastAsia="zh-CN"/>
        </w:rPr>
        <w:t>评审</w:t>
      </w:r>
      <w:r>
        <w:rPr>
          <w:rFonts w:hint="eastAsia" w:ascii="方正仿宋_GBK" w:hAnsi="宋体" w:eastAsia="方正仿宋_GBK"/>
          <w:color w:val="auto"/>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eastAsia="zh-CN"/>
        </w:rPr>
        <w:t>评审</w:t>
      </w:r>
      <w:r>
        <w:rPr>
          <w:rFonts w:hint="eastAsia" w:ascii="方正仿宋_GBK" w:hAnsi="宋体" w:eastAsia="方正仿宋_GBK"/>
          <w:color w:val="auto"/>
          <w:sz w:val="24"/>
          <w:szCs w:val="24"/>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（四）评审的依据为采购文件和响应文件（含有效的补充文件）。评审小组判断响应文件对采购文件的响应，仅基于响应文件本身而不靠外部证据。</w:t>
      </w:r>
    </w:p>
    <w:p>
      <w:pPr>
        <w:pStyle w:val="3"/>
        <w:adjustRightInd w:val="0"/>
        <w:snapToGrid w:val="0"/>
        <w:spacing w:before="0" w:after="0" w:line="400" w:lineRule="exact"/>
        <w:ind w:firstLine="480" w:firstLineChars="200"/>
        <w:rPr>
          <w:rFonts w:hint="eastAsia" w:ascii="方正仿宋_GBK" w:hAnsi="宋体" w:eastAsia="方正仿宋_GBK"/>
          <w:color w:val="auto"/>
          <w:sz w:val="24"/>
          <w:lang w:eastAsia="zh-CN"/>
        </w:rPr>
      </w:pPr>
      <w:bookmarkStart w:id="124" w:name="_Toc65660351"/>
      <w:bookmarkStart w:id="125" w:name="_Toc5149"/>
      <w:bookmarkStart w:id="126" w:name="_Toc11713"/>
      <w:bookmarkStart w:id="127" w:name="_Toc30639"/>
      <w:bookmarkStart w:id="128" w:name="_Toc64732013"/>
      <w:bookmarkStart w:id="129" w:name="_Toc106034791"/>
      <w:r>
        <w:rPr>
          <w:rFonts w:hint="eastAsia" w:ascii="方正仿宋_GBK" w:hAnsi="宋体" w:eastAsia="方正仿宋_GBK"/>
          <w:color w:val="auto"/>
          <w:sz w:val="24"/>
        </w:rPr>
        <w:t>二、评定成交的标准</w:t>
      </w:r>
      <w:bookmarkEnd w:id="124"/>
      <w:bookmarkEnd w:id="125"/>
      <w:bookmarkEnd w:id="126"/>
      <w:bookmarkEnd w:id="127"/>
      <w:bookmarkEnd w:id="128"/>
      <w:bookmarkEnd w:id="129"/>
    </w:p>
    <w:p>
      <w:pPr>
        <w:pStyle w:val="33"/>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评审</w:t>
      </w:r>
      <w:r>
        <w:rPr>
          <w:rFonts w:hint="eastAsia" w:ascii="方正仿宋_GBK" w:hAnsi="宋体" w:eastAsia="方正仿宋_GBK"/>
          <w:color w:val="auto"/>
          <w:sz w:val="24"/>
          <w:szCs w:val="24"/>
        </w:rPr>
        <w:t>小组将依照本</w:t>
      </w:r>
      <w:r>
        <w:rPr>
          <w:rFonts w:hint="eastAsia" w:ascii="方正仿宋_GBK" w:hAnsi="宋体" w:eastAsia="方正仿宋_GBK"/>
          <w:color w:val="auto"/>
          <w:sz w:val="24"/>
          <w:szCs w:val="24"/>
          <w:lang w:val="en-US" w:eastAsia="zh-CN"/>
        </w:rPr>
        <w:t>采购文件</w:t>
      </w:r>
      <w:r>
        <w:rPr>
          <w:rFonts w:hint="eastAsia" w:ascii="方正仿宋_GBK" w:hAnsi="宋体" w:eastAsia="方正仿宋_GBK"/>
          <w:color w:val="auto"/>
          <w:sz w:val="24"/>
          <w:szCs w:val="24"/>
        </w:rPr>
        <w:t>相关规定对技术（质量）和服务均能满足实质性响应要求的供应商所提交的报价按照由低到高的顺序提出3名以上成交候选人，并编写</w:t>
      </w:r>
      <w:r>
        <w:rPr>
          <w:rFonts w:hint="eastAsia" w:ascii="方正仿宋_GBK" w:hAnsi="宋体" w:eastAsia="方正仿宋_GBK"/>
          <w:color w:val="auto"/>
          <w:sz w:val="24"/>
          <w:szCs w:val="24"/>
          <w:lang w:eastAsia="zh-CN"/>
        </w:rPr>
        <w:t>结论意见（原则上由</w:t>
      </w:r>
      <w:r>
        <w:rPr>
          <w:rFonts w:hint="eastAsia" w:ascii="方正仿宋_GBK" w:hAnsi="宋体" w:eastAsia="方正仿宋_GBK"/>
          <w:color w:val="auto"/>
          <w:sz w:val="24"/>
          <w:szCs w:val="24"/>
        </w:rPr>
        <w:t>报价最低的供应商为成交供应商</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（二）若供应商的报价价格相同，</w:t>
      </w:r>
      <w:r>
        <w:rPr>
          <w:rFonts w:hint="eastAsia" w:ascii="方正仿宋_GBK" w:hAnsi="宋体" w:eastAsia="方正仿宋_GBK"/>
          <w:color w:val="auto"/>
          <w:sz w:val="24"/>
          <w:szCs w:val="24"/>
          <w:lang w:eastAsia="zh-CN"/>
        </w:rPr>
        <w:t>按现场随机抽取的方式确定顺序排列</w:t>
      </w:r>
      <w:r>
        <w:rPr>
          <w:rFonts w:hint="eastAsia" w:ascii="方正仿宋_GBK" w:hAnsi="宋体" w:eastAsia="方正仿宋_GBK"/>
          <w:color w:val="auto"/>
          <w:sz w:val="24"/>
          <w:szCs w:val="24"/>
        </w:rPr>
        <w:t>。</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（三）成交价格=成交供应商的报价。</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130" w:name="_Toc12644"/>
      <w:bookmarkStart w:id="131" w:name="_Toc65660352"/>
      <w:bookmarkStart w:id="132" w:name="_Toc29113"/>
      <w:bookmarkStart w:id="133" w:name="_Toc19473"/>
      <w:bookmarkStart w:id="134" w:name="_Toc106034792"/>
      <w:r>
        <w:rPr>
          <w:rFonts w:hint="eastAsia" w:ascii="方正仿宋_GBK" w:hAnsi="宋体" w:eastAsia="方正仿宋_GBK"/>
          <w:color w:val="auto"/>
          <w:sz w:val="24"/>
        </w:rPr>
        <w:t>三、无效</w:t>
      </w:r>
      <w:bookmarkEnd w:id="130"/>
      <w:bookmarkEnd w:id="131"/>
      <w:bookmarkEnd w:id="132"/>
      <w:r>
        <w:rPr>
          <w:rFonts w:hint="eastAsia" w:ascii="方正仿宋_GBK" w:hAnsi="宋体" w:eastAsia="方正仿宋_GBK"/>
          <w:color w:val="auto"/>
          <w:sz w:val="24"/>
        </w:rPr>
        <w:t>报价</w:t>
      </w:r>
      <w:bookmarkEnd w:id="133"/>
      <w:bookmarkEnd w:id="134"/>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供应商发生以下条款情况之一者，视为无效报价：</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pPr>
        <w:pStyle w:val="33"/>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（二）供应商未通过实质性响应审查的；</w:t>
      </w:r>
    </w:p>
    <w:p>
      <w:pPr>
        <w:pStyle w:val="33"/>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（三）供应商的法定代表人（或其授权代表）或自然人未参加谈判的；</w:t>
      </w:r>
    </w:p>
    <w:p>
      <w:pPr>
        <w:pStyle w:val="33"/>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四</w:t>
      </w:r>
      <w:r>
        <w:rPr>
          <w:rFonts w:hint="eastAsia" w:ascii="方正仿宋_GBK" w:hAnsi="宋体" w:eastAsia="方正仿宋_GBK"/>
          <w:color w:val="auto"/>
          <w:sz w:val="24"/>
          <w:szCs w:val="24"/>
        </w:rPr>
        <w:t>）供应商所提交的响应文件未按“第七篇响应文件格式要求”要求签署或盖章的；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五</w:t>
      </w:r>
      <w:r>
        <w:rPr>
          <w:rFonts w:hint="eastAsia" w:ascii="方正仿宋_GBK" w:hAnsi="宋体" w:eastAsia="方正仿宋_GBK"/>
          <w:color w:val="auto"/>
          <w:sz w:val="24"/>
          <w:szCs w:val="24"/>
        </w:rPr>
        <w:t>）供应商的报价超过采购预算或最高限价的；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六</w:t>
      </w:r>
      <w:r>
        <w:rPr>
          <w:rFonts w:hint="eastAsia" w:ascii="方正仿宋_GBK" w:hAnsi="宋体" w:eastAsia="方正仿宋_GBK"/>
          <w:color w:val="auto"/>
          <w:sz w:val="24"/>
          <w:szCs w:val="24"/>
        </w:rPr>
        <w:t>）供应商不接受</w:t>
      </w:r>
      <w:r>
        <w:rPr>
          <w:rFonts w:hint="eastAsia" w:ascii="方正仿宋_GBK" w:hAnsi="宋体" w:eastAsia="方正仿宋_GBK"/>
          <w:color w:val="auto"/>
          <w:sz w:val="24"/>
          <w:szCs w:val="24"/>
          <w:lang w:eastAsia="zh-CN"/>
        </w:rPr>
        <w:t>评审</w:t>
      </w:r>
      <w:r>
        <w:rPr>
          <w:rFonts w:hint="eastAsia" w:ascii="方正仿宋_GBK" w:hAnsi="宋体" w:eastAsia="方正仿宋_GBK"/>
          <w:color w:val="auto"/>
          <w:sz w:val="24"/>
          <w:szCs w:val="24"/>
        </w:rPr>
        <w:t>小组修正后的价格的；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七</w:t>
      </w:r>
      <w:r>
        <w:rPr>
          <w:rFonts w:hint="eastAsia" w:ascii="方正仿宋_GBK" w:hAnsi="宋体" w:eastAsia="方正仿宋_GBK"/>
          <w:color w:val="auto"/>
          <w:sz w:val="24"/>
          <w:szCs w:val="24"/>
        </w:rPr>
        <w:t>）单位负责人为同一人或者存在直接控股、管理关系的不同供应商，</w:t>
      </w:r>
      <w:r>
        <w:rPr>
          <w:rFonts w:ascii="方正仿宋_GBK" w:hAnsi="宋体" w:eastAsia="方正仿宋_GBK"/>
          <w:color w:val="auto"/>
          <w:sz w:val="24"/>
          <w:szCs w:val="24"/>
        </w:rPr>
        <w:t>参加同一合同项</w:t>
      </w:r>
      <w:r>
        <w:rPr>
          <w:rFonts w:hint="eastAsia" w:ascii="方正仿宋_GBK" w:hAnsi="宋体" w:eastAsia="方正仿宋_GBK"/>
          <w:color w:val="auto"/>
          <w:sz w:val="24"/>
          <w:szCs w:val="24"/>
        </w:rPr>
        <w:t>（包）报价的；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八</w:t>
      </w:r>
      <w:r>
        <w:rPr>
          <w:rFonts w:hint="eastAsia" w:ascii="方正仿宋_GBK" w:hAnsi="宋体" w:eastAsia="方正仿宋_GBK"/>
          <w:color w:val="auto"/>
          <w:sz w:val="24"/>
          <w:szCs w:val="24"/>
        </w:rPr>
        <w:t>）为采购项目提供整体设计、规范编制或者项目管理、监理、检测等服务的供应商再参加该采购项目的其他采购活动的；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九</w:t>
      </w:r>
      <w:r>
        <w:rPr>
          <w:rFonts w:hint="eastAsia" w:ascii="方正仿宋_GBK" w:hAnsi="宋体" w:eastAsia="方正仿宋_GBK"/>
          <w:color w:val="auto"/>
          <w:sz w:val="24"/>
          <w:szCs w:val="24"/>
        </w:rPr>
        <w:t>）同一</w:t>
      </w:r>
      <w:r>
        <w:rPr>
          <w:rFonts w:ascii="方正仿宋_GBK" w:hAnsi="宋体" w:eastAsia="方正仿宋_GBK"/>
          <w:color w:val="auto"/>
          <w:sz w:val="24"/>
          <w:szCs w:val="24"/>
        </w:rPr>
        <w:t>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w:t>
      </w:r>
      <w:r>
        <w:rPr>
          <w:rFonts w:hint="eastAsia" w:ascii="方正仿宋_GBK" w:hAnsi="宋体" w:eastAsia="方正仿宋_GBK"/>
          <w:color w:val="auto"/>
          <w:sz w:val="24"/>
          <w:szCs w:val="24"/>
        </w:rPr>
        <w:t>的货物，制造商参与报价，再委托代理商参与报价的；</w:t>
      </w:r>
    </w:p>
    <w:p>
      <w:pPr>
        <w:pStyle w:val="33"/>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十</w:t>
      </w:r>
      <w:r>
        <w:rPr>
          <w:rFonts w:hint="eastAsia" w:ascii="方正仿宋_GBK" w:hAnsi="宋体" w:eastAsia="方正仿宋_GBK"/>
          <w:color w:val="auto"/>
          <w:sz w:val="24"/>
          <w:szCs w:val="24"/>
        </w:rPr>
        <w:t>）供应商响应文件内容有与国家现行法律法规相违背的内容，或附有采购人无法接受条件的；</w:t>
      </w:r>
    </w:p>
    <w:p>
      <w:pPr>
        <w:pStyle w:val="33"/>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（十</w:t>
      </w:r>
      <w:r>
        <w:rPr>
          <w:rFonts w:hint="eastAsia" w:ascii="方正仿宋_GBK" w:hAnsi="宋体" w:eastAsia="方正仿宋_GBK"/>
          <w:color w:val="auto"/>
          <w:sz w:val="24"/>
          <w:szCs w:val="24"/>
          <w:lang w:eastAsia="zh-CN"/>
        </w:rPr>
        <w:t>一</w:t>
      </w:r>
      <w:r>
        <w:rPr>
          <w:rFonts w:hint="eastAsia" w:ascii="方正仿宋_GBK" w:hAnsi="宋体" w:eastAsia="方正仿宋_GBK"/>
          <w:color w:val="auto"/>
          <w:sz w:val="24"/>
          <w:szCs w:val="24"/>
        </w:rPr>
        <w:t>）法律、法规和</w:t>
      </w:r>
      <w:r>
        <w:rPr>
          <w:rFonts w:hint="eastAsia" w:ascii="方正仿宋_GBK" w:hAnsi="宋体" w:eastAsia="方正仿宋_GBK"/>
          <w:color w:val="auto"/>
          <w:sz w:val="24"/>
          <w:szCs w:val="24"/>
          <w:lang w:val="en-US" w:eastAsia="zh-CN"/>
        </w:rPr>
        <w:t>采购文件</w:t>
      </w:r>
      <w:r>
        <w:rPr>
          <w:rFonts w:hint="eastAsia" w:ascii="方正仿宋_GBK" w:hAnsi="宋体" w:eastAsia="方正仿宋_GBK"/>
          <w:color w:val="auto"/>
          <w:sz w:val="24"/>
          <w:szCs w:val="24"/>
        </w:rPr>
        <w:t>规定的其他无效情形。</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135" w:name="_Toc106034793"/>
      <w:bookmarkStart w:id="136" w:name="_Toc29298"/>
      <w:bookmarkStart w:id="137" w:name="_Toc22716"/>
      <w:bookmarkStart w:id="138" w:name="_Toc28422"/>
      <w:bookmarkStart w:id="139" w:name="_Toc65660353"/>
      <w:r>
        <w:rPr>
          <w:rFonts w:hint="eastAsia" w:ascii="方正仿宋_GBK" w:hAnsi="宋体" w:eastAsia="方正仿宋_GBK"/>
          <w:color w:val="auto"/>
          <w:sz w:val="24"/>
        </w:rPr>
        <w:t>四、采购终止</w:t>
      </w:r>
      <w:bookmarkEnd w:id="135"/>
      <w:bookmarkEnd w:id="136"/>
      <w:bookmarkEnd w:id="137"/>
      <w:bookmarkEnd w:id="138"/>
      <w:bookmarkEnd w:id="139"/>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（一）因情况变化，不再符合规定的限额以下比价采购方式适用情形的；</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pPr>
        <w:spacing w:line="520" w:lineRule="exact"/>
        <w:ind w:firstLine="480" w:firstLineChars="200"/>
        <w:rPr>
          <w:rFonts w:hint="eastAsia" w:ascii="方正仿宋_GBK" w:hAnsi="宋体" w:eastAsia="方正仿宋_GBK"/>
          <w:color w:val="auto"/>
          <w:szCs w:val="28"/>
        </w:rPr>
      </w:pPr>
      <w:r>
        <w:rPr>
          <w:rFonts w:hint="eastAsia" w:ascii="方正仿宋_GBK" w:hAnsi="宋体" w:eastAsia="方正仿宋_GBK"/>
          <w:color w:val="auto"/>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3"/>
        <w:spacing w:before="0" w:after="0" w:line="360" w:lineRule="auto"/>
        <w:jc w:val="center"/>
        <w:rPr>
          <w:rFonts w:hint="eastAsia" w:ascii="方正小标宋_GBK" w:eastAsia="方正小标宋_GBK"/>
          <w:b w:val="0"/>
          <w:color w:val="auto"/>
          <w:sz w:val="36"/>
          <w:szCs w:val="30"/>
        </w:rPr>
      </w:pPr>
      <w:r>
        <w:rPr>
          <w:rFonts w:ascii="方正仿宋_GBK" w:hAnsi="宋体" w:eastAsia="方正仿宋_GBK"/>
          <w:color w:val="auto"/>
          <w:sz w:val="24"/>
          <w:szCs w:val="24"/>
        </w:rPr>
        <w:br w:type="page"/>
      </w:r>
      <w:bookmarkStart w:id="140" w:name="_Toc106034794"/>
      <w:bookmarkStart w:id="141" w:name="_Toc65660354"/>
      <w:bookmarkStart w:id="142" w:name="_Toc10768"/>
      <w:bookmarkStart w:id="143" w:name="_Toc8916"/>
      <w:bookmarkStart w:id="144" w:name="_Toc20055"/>
      <w:r>
        <w:rPr>
          <w:rFonts w:hint="eastAsia" w:ascii="方正小标宋_GBK" w:eastAsia="方正小标宋_GBK"/>
          <w:b w:val="0"/>
          <w:color w:val="auto"/>
          <w:sz w:val="36"/>
          <w:szCs w:val="30"/>
        </w:rPr>
        <w:t>第五篇  供应商须知</w:t>
      </w:r>
      <w:bookmarkEnd w:id="140"/>
      <w:bookmarkEnd w:id="141"/>
      <w:bookmarkEnd w:id="142"/>
      <w:bookmarkEnd w:id="143"/>
      <w:bookmarkEnd w:id="144"/>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145" w:name="_Toc65660355"/>
      <w:bookmarkStart w:id="146" w:name="_Toc16524"/>
      <w:bookmarkStart w:id="147" w:name="_Toc106034795"/>
      <w:bookmarkStart w:id="148" w:name="_Toc5290"/>
      <w:bookmarkStart w:id="149" w:name="_Toc2864"/>
      <w:r>
        <w:rPr>
          <w:rFonts w:hint="eastAsia" w:ascii="方正仿宋_GBK" w:hAnsi="宋体" w:eastAsia="方正仿宋_GBK"/>
          <w:color w:val="auto"/>
          <w:sz w:val="24"/>
        </w:rPr>
        <w:t>一、</w:t>
      </w:r>
      <w:r>
        <w:rPr>
          <w:rFonts w:hint="eastAsia" w:ascii="方正仿宋_GBK" w:hAnsi="宋体" w:eastAsia="方正仿宋_GBK"/>
          <w:color w:val="auto"/>
          <w:sz w:val="24"/>
          <w:lang w:eastAsia="zh-CN"/>
        </w:rPr>
        <w:t>限额以下比价</w:t>
      </w:r>
      <w:r>
        <w:rPr>
          <w:rFonts w:hint="eastAsia" w:ascii="方正仿宋_GBK" w:hAnsi="宋体" w:eastAsia="方正仿宋_GBK"/>
          <w:color w:val="auto"/>
          <w:sz w:val="24"/>
        </w:rPr>
        <w:t>费用</w:t>
      </w:r>
      <w:bookmarkEnd w:id="145"/>
      <w:bookmarkEnd w:id="146"/>
      <w:bookmarkEnd w:id="147"/>
      <w:bookmarkEnd w:id="148"/>
      <w:bookmarkEnd w:id="149"/>
    </w:p>
    <w:p>
      <w:pPr>
        <w:pStyle w:val="14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参与报价的供应商应承担其编制响应文件与递交响应文件所涉及的一切费用，不论比价结果如何，采购人和采购代理机构在任何情况下无义务也无责任承担这些费用。</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150" w:name="_Toc31739"/>
      <w:bookmarkStart w:id="151" w:name="_Toc5915"/>
      <w:bookmarkStart w:id="152" w:name="_Toc106034796"/>
      <w:bookmarkStart w:id="153" w:name="_Toc65660356"/>
      <w:bookmarkStart w:id="154" w:name="_Toc31070"/>
      <w:r>
        <w:rPr>
          <w:rFonts w:hint="eastAsia" w:ascii="方正仿宋_GBK" w:hAnsi="宋体" w:eastAsia="方正仿宋_GBK"/>
          <w:color w:val="auto"/>
          <w:sz w:val="24"/>
        </w:rPr>
        <w:t>二、</w:t>
      </w:r>
      <w:r>
        <w:rPr>
          <w:rFonts w:hint="eastAsia" w:ascii="方正仿宋_GBK" w:hAnsi="宋体" w:eastAsia="方正仿宋_GBK"/>
          <w:color w:val="auto"/>
          <w:sz w:val="24"/>
          <w:lang w:eastAsia="zh-CN"/>
        </w:rPr>
        <w:t>限额以下比价</w:t>
      </w:r>
      <w:bookmarkEnd w:id="150"/>
      <w:bookmarkEnd w:id="151"/>
      <w:bookmarkEnd w:id="152"/>
      <w:bookmarkEnd w:id="153"/>
      <w:bookmarkEnd w:id="154"/>
      <w:r>
        <w:rPr>
          <w:rFonts w:hint="eastAsia" w:ascii="方正仿宋_GBK" w:hAnsi="宋体" w:eastAsia="方正仿宋_GBK"/>
          <w:color w:val="auto"/>
          <w:sz w:val="24"/>
          <w:lang w:eastAsia="zh-CN"/>
        </w:rPr>
        <w:t>采购文件</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（二）采购人（或采购代理机构）所作的一切有效的书面通知、修改及补充，都是采购文件不可分割的部分。</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155" w:name="_Toc106034797"/>
      <w:bookmarkStart w:id="156" w:name="_Toc65660357"/>
      <w:bookmarkStart w:id="157" w:name="_Toc1922"/>
      <w:bookmarkStart w:id="158" w:name="_Toc9532"/>
      <w:bookmarkStart w:id="159" w:name="_Toc3061"/>
      <w:r>
        <w:rPr>
          <w:rFonts w:hint="eastAsia" w:ascii="方正仿宋_GBK" w:hAnsi="宋体" w:eastAsia="方正仿宋_GBK"/>
          <w:color w:val="auto"/>
          <w:sz w:val="24"/>
        </w:rPr>
        <w:t>三、报价要求</w:t>
      </w:r>
      <w:bookmarkEnd w:id="155"/>
      <w:bookmarkEnd w:id="156"/>
      <w:bookmarkEnd w:id="157"/>
      <w:bookmarkEnd w:id="158"/>
      <w:bookmarkEnd w:id="159"/>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（一）响应文件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1.响应文件组成</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2.联合体</w:t>
      </w:r>
    </w:p>
    <w:p>
      <w:pPr>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2.1两个以上供应商可以组成一个联合体，以一个供应商的身份参与报价。</w:t>
      </w:r>
    </w:p>
    <w:p>
      <w:pPr>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2.2以联合体形式参加报价的，联合体各方均应</w:t>
      </w:r>
      <w:r>
        <w:rPr>
          <w:rFonts w:hint="eastAsia" w:ascii="方正仿宋_GBK" w:hAnsi="宋体" w:eastAsia="方正仿宋_GBK" w:cs="宋体"/>
          <w:color w:val="auto"/>
          <w:kern w:val="0"/>
          <w:sz w:val="24"/>
          <w:szCs w:val="24"/>
        </w:rPr>
        <w:t>满足供应商资格要求（详见“第一篇”）</w:t>
      </w:r>
      <w:r>
        <w:rPr>
          <w:rFonts w:hint="eastAsia" w:ascii="方正仿宋_GBK" w:hAnsi="宋体" w:eastAsia="方正仿宋_GBK"/>
          <w:color w:val="auto"/>
          <w:sz w:val="24"/>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2.5联合体业绩计算，按照共同联合协议分工认定。</w:t>
      </w:r>
    </w:p>
    <w:p>
      <w:pPr>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（二）修正错误</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（三）提交响应文件的份数和签署</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1.响应文件一式</w:t>
      </w:r>
      <w:r>
        <w:rPr>
          <w:rFonts w:hint="eastAsia" w:ascii="方正仿宋_GBK" w:hAnsi="宋体" w:eastAsia="方正仿宋_GBK"/>
          <w:color w:val="auto"/>
          <w:sz w:val="24"/>
          <w:szCs w:val="24"/>
          <w:lang w:eastAsia="zh-CN"/>
        </w:rPr>
        <w:t>三</w:t>
      </w:r>
      <w:r>
        <w:rPr>
          <w:rFonts w:hint="eastAsia" w:ascii="方正仿宋_GBK" w:hAnsi="宋体" w:eastAsia="方正仿宋_GBK"/>
          <w:color w:val="auto"/>
          <w:sz w:val="24"/>
          <w:szCs w:val="24"/>
        </w:rPr>
        <w:t>份，其中正本一份，副本</w:t>
      </w:r>
      <w:r>
        <w:rPr>
          <w:rFonts w:hint="eastAsia" w:ascii="方正仿宋_GBK" w:hAnsi="宋体" w:eastAsia="方正仿宋_GBK"/>
          <w:color w:val="auto"/>
          <w:sz w:val="24"/>
          <w:szCs w:val="24"/>
          <w:lang w:eastAsia="zh-CN"/>
        </w:rPr>
        <w:t>二</w:t>
      </w:r>
      <w:r>
        <w:rPr>
          <w:rFonts w:hint="eastAsia" w:ascii="方正仿宋_GBK" w:hAnsi="宋体" w:eastAsia="方正仿宋_GBK"/>
          <w:color w:val="auto"/>
          <w:sz w:val="24"/>
          <w:szCs w:val="24"/>
        </w:rPr>
        <w:t>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在响应文件正本中，采购文件第七篇响应文件格式中规定签署、盖章的地方必须按其规定签署、盖章。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rPr>
        <w:t>（供应商为自然人）签署</w:t>
      </w:r>
      <w:r>
        <w:rPr>
          <w:rFonts w:hint="eastAsia" w:ascii="方正仿宋_GBK" w:hAnsi="宋体" w:eastAsia="方正仿宋_GBK"/>
          <w:color w:val="auto"/>
          <w:sz w:val="24"/>
        </w:rPr>
        <w:t>确认。</w:t>
      </w:r>
    </w:p>
    <w:p>
      <w:pPr>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（四）响应文件的递交</w:t>
      </w:r>
    </w:p>
    <w:p>
      <w:pPr>
        <w:pStyle w:val="3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响应文件的正本、副本均应密封送达报价地点，应在封套上注明</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项目名称、供应商名称。若正本、副本分别进行密封的，还应在封套上注明“正本”、“副本”字样。</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（五）响应文件语言：简体中文</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（六）供应商参与人员</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各供应商应当派1-2名代表参与报价，至少1人应为法定代表人（或其授权代表）或自然人（供应商为自然人）。</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160" w:name="_Toc65660358"/>
      <w:bookmarkStart w:id="161" w:name="_Toc14702"/>
      <w:bookmarkStart w:id="162" w:name="_Toc106034798"/>
      <w:bookmarkStart w:id="163" w:name="_Toc10172"/>
      <w:bookmarkStart w:id="164" w:name="_Toc6242"/>
      <w:r>
        <w:rPr>
          <w:rFonts w:hint="eastAsia" w:ascii="方正仿宋_GBK" w:hAnsi="宋体" w:eastAsia="方正仿宋_GBK"/>
          <w:color w:val="auto"/>
          <w:sz w:val="24"/>
        </w:rPr>
        <w:t>四、成交供应商的确定和变更</w:t>
      </w:r>
      <w:bookmarkEnd w:id="160"/>
      <w:bookmarkEnd w:id="161"/>
      <w:bookmarkEnd w:id="162"/>
      <w:bookmarkEnd w:id="163"/>
      <w:bookmarkEnd w:id="164"/>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165" w:name="_Toc1092"/>
      <w:bookmarkStart w:id="166" w:name="_Toc65660359"/>
      <w:bookmarkStart w:id="167" w:name="_Toc106034799"/>
      <w:bookmarkStart w:id="168" w:name="_Toc29821"/>
      <w:bookmarkStart w:id="169" w:name="_Toc10504"/>
      <w:r>
        <w:rPr>
          <w:rFonts w:hint="eastAsia" w:ascii="方正仿宋_GBK" w:hAnsi="宋体" w:eastAsia="方正仿宋_GBK"/>
          <w:color w:val="auto"/>
          <w:sz w:val="24"/>
        </w:rPr>
        <w:t>五、成交通知</w:t>
      </w:r>
      <w:bookmarkEnd w:id="165"/>
      <w:bookmarkEnd w:id="166"/>
      <w:bookmarkEnd w:id="167"/>
      <w:bookmarkEnd w:id="168"/>
      <w:bookmarkEnd w:id="169"/>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（一）成交供应商确定后，采购代理机构将在重庆市交通</w:t>
      </w:r>
      <w:r>
        <w:rPr>
          <w:rFonts w:hint="eastAsia" w:ascii="方正仿宋_GBK" w:hAnsi="宋体" w:eastAsia="方正仿宋_GBK"/>
          <w:color w:val="auto"/>
          <w:sz w:val="24"/>
          <w:szCs w:val="24"/>
          <w:lang w:eastAsia="zh-CN"/>
        </w:rPr>
        <w:t>运输委员会</w:t>
      </w:r>
      <w:r>
        <w:rPr>
          <w:rFonts w:hint="eastAsia" w:ascii="方正仿宋_GBK" w:hAnsi="宋体" w:eastAsia="方正仿宋_GBK"/>
          <w:color w:val="auto"/>
          <w:sz w:val="24"/>
          <w:szCs w:val="24"/>
        </w:rPr>
        <w:t>官网</w:t>
      </w:r>
      <w:r>
        <w:rPr>
          <w:rFonts w:hint="eastAsia" w:ascii="方正仿宋_GBK" w:hAnsi="宋体" w:eastAsia="方正仿宋_GBK"/>
          <w:color w:val="auto"/>
          <w:sz w:val="24"/>
          <w:szCs w:val="24"/>
          <w:lang w:eastAsia="zh-CN"/>
        </w:rPr>
        <w:t>（https://jtj.cq.gov.cn/）</w:t>
      </w:r>
      <w:r>
        <w:rPr>
          <w:rFonts w:hint="eastAsia" w:ascii="方正仿宋_GBK" w:hAnsi="宋体" w:eastAsia="方正仿宋_GBK"/>
          <w:color w:val="auto"/>
          <w:sz w:val="24"/>
          <w:szCs w:val="24"/>
        </w:rPr>
        <w:t>上发布成交结果公告。</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（二）成交结果公告将作为签订合同的依据。</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170" w:name="_Toc1010"/>
      <w:bookmarkStart w:id="171" w:name="_Toc106034800"/>
      <w:bookmarkStart w:id="172" w:name="_Toc65660360"/>
      <w:bookmarkStart w:id="173" w:name="_Toc31082"/>
      <w:bookmarkStart w:id="174" w:name="_Toc30909"/>
      <w:r>
        <w:rPr>
          <w:rFonts w:hint="eastAsia" w:ascii="方正仿宋_GBK" w:hAnsi="宋体" w:eastAsia="方正仿宋_GBK"/>
          <w:color w:val="auto"/>
          <w:sz w:val="24"/>
        </w:rPr>
        <w:t>六、关于质疑和投诉</w:t>
      </w:r>
      <w:bookmarkEnd w:id="170"/>
      <w:bookmarkEnd w:id="171"/>
      <w:bookmarkEnd w:id="172"/>
      <w:bookmarkEnd w:id="173"/>
      <w:bookmarkEnd w:id="174"/>
    </w:p>
    <w:p>
      <w:pPr>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（一）质疑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 xml:space="preserve">提出质疑的应当是参与所质疑项目采购活动的供应商。 </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1.质疑时限、内容</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1.2.1供应商的姓名或者名称、地址、邮编、联系人及联系电话；</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1.2.2</w:t>
      </w:r>
      <w:r>
        <w:rPr>
          <w:rFonts w:hint="eastAsia" w:ascii="方正仿宋_GBK" w:hAnsi="宋体" w:eastAsia="方正仿宋_GBK"/>
          <w:color w:val="auto"/>
          <w:sz w:val="24"/>
          <w:szCs w:val="24"/>
        </w:rPr>
        <w:t>质疑项目的项目名称</w:t>
      </w:r>
      <w:r>
        <w:rPr>
          <w:rFonts w:hint="eastAsia" w:ascii="方正仿宋_GBK" w:hAnsi="仿宋" w:eastAsia="方正仿宋_GBK" w:cs="仿宋"/>
          <w:color w:val="auto"/>
          <w:sz w:val="24"/>
        </w:rPr>
        <w:t>；</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1.2.3具体、明确的质疑事项和与质疑事项相关的请求；</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1.2.4事实依据；</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1.2.5必要的法律依据；</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1.2.6提出质疑的日期；</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2.质疑答复</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3.其他</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3.2质疑函范本可在财政部门户网站和中国政府采购网下载。</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175" w:name="_Toc3127"/>
      <w:bookmarkStart w:id="176" w:name="_Toc65660361"/>
      <w:bookmarkStart w:id="177" w:name="_Toc23778"/>
      <w:bookmarkStart w:id="178" w:name="_Toc16648"/>
      <w:bookmarkStart w:id="179" w:name="_Toc106034801"/>
      <w:r>
        <w:rPr>
          <w:rFonts w:hint="eastAsia" w:ascii="方正仿宋_GBK" w:hAnsi="宋体" w:eastAsia="方正仿宋_GBK"/>
          <w:color w:val="auto"/>
          <w:sz w:val="24"/>
        </w:rPr>
        <w:t>七、签订合同</w:t>
      </w:r>
      <w:bookmarkEnd w:id="175"/>
      <w:bookmarkEnd w:id="176"/>
      <w:bookmarkEnd w:id="177"/>
      <w:bookmarkEnd w:id="178"/>
      <w:bookmarkEnd w:id="179"/>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olor w:val="auto"/>
          <w:sz w:val="24"/>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（三）合同生效条款由供需双方约定，法律、行政法规规定应当办理批准、登记等手续后生效的合同，依照其规定。</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180" w:name="_Toc77"/>
      <w:bookmarkStart w:id="181" w:name="_Toc106034802"/>
      <w:r>
        <w:rPr>
          <w:rFonts w:hint="eastAsia" w:ascii="方正仿宋_GBK" w:hAnsi="宋体" w:eastAsia="方正仿宋_GBK"/>
          <w:color w:val="auto"/>
          <w:sz w:val="24"/>
        </w:rPr>
        <w:t>八、项目验收</w:t>
      </w:r>
      <w:bookmarkEnd w:id="180"/>
      <w:bookmarkEnd w:id="181"/>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方正仿宋_GBK" w:eastAsia="方正仿宋_GBK"/>
          <w:color w:val="auto"/>
          <w:sz w:val="24"/>
        </w:rPr>
        <w:t>合同执行完毕，采购人原则上在收到验收申请后，应在7个工作日内组织履约情况验收，不得无故拖延或附加额外条件。</w:t>
      </w: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182" w:name="_Toc32594"/>
      <w:bookmarkStart w:id="183" w:name="_Toc106034803"/>
      <w:bookmarkStart w:id="184" w:name="_Toc65660362"/>
      <w:bookmarkStart w:id="185" w:name="_Toc29513"/>
      <w:bookmarkStart w:id="186" w:name="_Toc2438"/>
      <w:r>
        <w:rPr>
          <w:rFonts w:hint="eastAsia" w:ascii="方正仿宋_GBK" w:hAnsi="宋体" w:eastAsia="方正仿宋_GBK"/>
          <w:color w:val="auto"/>
          <w:sz w:val="24"/>
        </w:rPr>
        <w:t>九、采购代理服务费</w:t>
      </w:r>
      <w:bookmarkEnd w:id="182"/>
      <w:bookmarkEnd w:id="183"/>
      <w:bookmarkEnd w:id="184"/>
      <w:bookmarkEnd w:id="185"/>
      <w:bookmarkEnd w:id="186"/>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供应商成交后向采购代理机构缴纳采购代理服务费，服务费的收取标准为按照计价格[2002]1980号文件规定下浮36%计取，但不低于2700元。</w:t>
      </w:r>
    </w:p>
    <w:p>
      <w:pPr>
        <w:spacing w:line="360" w:lineRule="auto"/>
        <w:ind w:firstLine="480" w:firstLineChars="200"/>
        <w:rPr>
          <w:rFonts w:ascii="宋体" w:hAnsi="宋体"/>
          <w:color w:val="auto"/>
          <w:sz w:val="24"/>
          <w:szCs w:val="24"/>
        </w:rPr>
        <w:sectPr>
          <w:pgSz w:w="11907" w:h="16840"/>
          <w:pgMar w:top="1134" w:right="1191" w:bottom="1134" w:left="1304" w:header="964" w:footer="992" w:gutter="0"/>
          <w:pgNumType w:fmt="numberInDash"/>
          <w:cols w:space="720" w:num="1"/>
          <w:docGrid w:linePitch="312" w:charSpace="0"/>
        </w:sectPr>
      </w:pPr>
    </w:p>
    <w:bookmarkEnd w:id="73"/>
    <w:p>
      <w:pPr>
        <w:pStyle w:val="3"/>
        <w:spacing w:before="0" w:after="0" w:line="360" w:lineRule="auto"/>
        <w:jc w:val="center"/>
        <w:rPr>
          <w:rFonts w:hint="eastAsia" w:ascii="方正小标宋_GBK" w:eastAsia="方正小标宋_GBK"/>
          <w:b w:val="0"/>
          <w:color w:val="auto"/>
          <w:sz w:val="36"/>
          <w:szCs w:val="30"/>
        </w:rPr>
      </w:pPr>
      <w:bookmarkStart w:id="187" w:name="_Toc12789059"/>
      <w:bookmarkStart w:id="188" w:name="_Toc11641055"/>
      <w:bookmarkStart w:id="189" w:name="_Toc65660365"/>
      <w:bookmarkStart w:id="190" w:name="_Toc10599"/>
      <w:bookmarkStart w:id="191" w:name="_Toc106034806"/>
      <w:bookmarkStart w:id="192" w:name="_Toc28162"/>
      <w:bookmarkStart w:id="193" w:name="_Toc14861"/>
      <w:r>
        <w:rPr>
          <w:rFonts w:hint="eastAsia" w:ascii="方正小标宋_GBK" w:eastAsia="方正小标宋_GBK"/>
          <w:b w:val="0"/>
          <w:color w:val="auto"/>
          <w:sz w:val="36"/>
          <w:szCs w:val="30"/>
        </w:rPr>
        <w:t xml:space="preserve">第六篇  </w:t>
      </w:r>
      <w:bookmarkEnd w:id="187"/>
      <w:bookmarkEnd w:id="188"/>
      <w:r>
        <w:rPr>
          <w:rFonts w:hint="eastAsia" w:ascii="方正小标宋_GBK" w:eastAsia="方正小标宋_GBK"/>
          <w:b w:val="0"/>
          <w:color w:val="auto"/>
          <w:sz w:val="36"/>
          <w:szCs w:val="30"/>
        </w:rPr>
        <w:t>合同草案条款</w:t>
      </w:r>
      <w:bookmarkEnd w:id="189"/>
      <w:bookmarkEnd w:id="190"/>
      <w:bookmarkEnd w:id="191"/>
      <w:bookmarkEnd w:id="192"/>
      <w:bookmarkEnd w:id="193"/>
    </w:p>
    <w:p>
      <w:pPr>
        <w:spacing w:line="400" w:lineRule="exact"/>
        <w:ind w:right="12" w:firstLine="480"/>
        <w:rPr>
          <w:rFonts w:hint="eastAsia" w:ascii="方正仿宋_GBK" w:hAnsi="仿宋" w:eastAsia="方正仿宋_GBK" w:cs="仿宋"/>
          <w:color w:val="auto"/>
          <w:sz w:val="24"/>
        </w:rPr>
      </w:pPr>
    </w:p>
    <w:p>
      <w:pPr>
        <w:spacing w:line="400" w:lineRule="exact"/>
        <w:ind w:right="12" w:firstLine="480"/>
        <w:rPr>
          <w:rFonts w:ascii="方正仿宋_GBK" w:hAnsi="仿宋" w:eastAsia="方正仿宋_GBK" w:cs="仿宋"/>
          <w:color w:val="auto"/>
          <w:sz w:val="24"/>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color w:val="auto"/>
          <w:sz w:val="24"/>
        </w:rPr>
      </w:pPr>
      <w:bookmarkStart w:id="194" w:name="_Toc148265480"/>
      <w:bookmarkStart w:id="195" w:name="_Toc303945820"/>
      <w:r>
        <w:rPr>
          <w:rFonts w:hint="eastAsia" w:ascii="方正仿宋_GBK" w:eastAsia="方正仿宋_GBK"/>
          <w:color w:val="auto"/>
          <w:sz w:val="24"/>
        </w:rPr>
        <w:t>附页：合同格式</w:t>
      </w:r>
      <w:bookmarkEnd w:id="194"/>
      <w:bookmarkEnd w:id="195"/>
    </w:p>
    <w:p>
      <w:pPr>
        <w:tabs>
          <w:tab w:val="left" w:pos="9000"/>
        </w:tabs>
        <w:spacing w:line="276" w:lineRule="auto"/>
        <w:jc w:val="center"/>
        <w:rPr>
          <w:color w:val="auto"/>
        </w:rPr>
      </w:pPr>
    </w:p>
    <w:p>
      <w:pPr>
        <w:tabs>
          <w:tab w:val="left" w:pos="9000"/>
        </w:tabs>
        <w:spacing w:line="276" w:lineRule="auto"/>
        <w:jc w:val="center"/>
        <w:rPr>
          <w:color w:val="auto"/>
        </w:rPr>
      </w:pPr>
    </w:p>
    <w:p>
      <w:pPr>
        <w:spacing w:line="500" w:lineRule="exact"/>
        <w:jc w:val="center"/>
        <w:rPr>
          <w:rFonts w:hint="eastAsia" w:ascii="方正仿宋_GBK" w:eastAsia="方正仿宋_GBK"/>
          <w:b/>
          <w:color w:val="auto"/>
          <w:sz w:val="44"/>
        </w:rPr>
      </w:pPr>
      <w:r>
        <w:rPr>
          <w:rFonts w:hint="eastAsia" w:ascii="方正仿宋_GBK" w:eastAsia="方正仿宋_GBK"/>
          <w:b/>
          <w:color w:val="auto"/>
          <w:sz w:val="44"/>
        </w:rPr>
        <w:t>重庆市政府采购合同</w:t>
      </w:r>
    </w:p>
    <w:p>
      <w:pPr>
        <w:spacing w:line="500" w:lineRule="exact"/>
        <w:jc w:val="center"/>
        <w:outlineLvl w:val="1"/>
        <w:rPr>
          <w:rFonts w:hint="eastAsia" w:ascii="方正仿宋_GBK" w:eastAsia="方正仿宋_GBK"/>
          <w:b/>
          <w:color w:val="auto"/>
          <w:sz w:val="44"/>
        </w:rPr>
      </w:pPr>
      <w:r>
        <w:rPr>
          <w:rFonts w:hint="eastAsia" w:ascii="方正仿宋_GBK" w:eastAsia="方正仿宋_GBK"/>
          <w:b/>
          <w:color w:val="auto"/>
          <w:sz w:val="44"/>
        </w:rPr>
        <w:t>（服务类）</w:t>
      </w:r>
    </w:p>
    <w:p>
      <w:pPr>
        <w:spacing w:line="500" w:lineRule="exact"/>
        <w:jc w:val="center"/>
        <w:outlineLvl w:val="1"/>
        <w:rPr>
          <w:rFonts w:hint="eastAsia" w:ascii="方正仿宋_GBK" w:eastAsia="方正仿宋_GBK"/>
          <w:b/>
          <w:color w:val="auto"/>
          <w:sz w:val="44"/>
        </w:rPr>
      </w:pPr>
    </w:p>
    <w:p>
      <w:pPr>
        <w:spacing w:line="500" w:lineRule="exact"/>
        <w:rPr>
          <w:rFonts w:hint="eastAsia" w:ascii="方正仿宋_GBK" w:eastAsia="方正仿宋_GBK"/>
          <w:color w:val="auto"/>
          <w:sz w:val="24"/>
        </w:rPr>
      </w:pPr>
      <w:r>
        <w:rPr>
          <w:rFonts w:hint="eastAsia" w:ascii="方正仿宋_GBK" w:eastAsia="方正仿宋_GBK"/>
          <w:color w:val="auto"/>
          <w:sz w:val="24"/>
        </w:rPr>
        <w:t>甲方（需方）：___________________________      计价单位：____________</w:t>
      </w:r>
    </w:p>
    <w:p>
      <w:pPr>
        <w:spacing w:line="500" w:lineRule="exact"/>
        <w:rPr>
          <w:rFonts w:hint="eastAsia" w:ascii="方正仿宋_GBK" w:eastAsia="方正仿宋_GBK"/>
          <w:color w:val="auto"/>
          <w:sz w:val="24"/>
        </w:rPr>
      </w:pPr>
      <w:r>
        <w:rPr>
          <w:rFonts w:hint="eastAsia" w:ascii="方正仿宋_GBK" w:eastAsia="方正仿宋_GBK"/>
          <w:color w:val="auto"/>
          <w:sz w:val="24"/>
        </w:rPr>
        <w:t>乙方（供方）：___________________________      计量单位：_____________</w:t>
      </w:r>
    </w:p>
    <w:p>
      <w:pPr>
        <w:spacing w:line="500" w:lineRule="exact"/>
        <w:rPr>
          <w:rFonts w:hint="eastAsia" w:ascii="方正仿宋_GBK" w:eastAsia="方正仿宋_GBK"/>
          <w:color w:val="auto"/>
          <w:sz w:val="24"/>
        </w:rPr>
      </w:pPr>
    </w:p>
    <w:p>
      <w:pPr>
        <w:spacing w:line="500" w:lineRule="exact"/>
        <w:rPr>
          <w:rFonts w:hint="eastAsia"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项目名称</w:t>
            </w:r>
          </w:p>
        </w:tc>
        <w:tc>
          <w:tcPr>
            <w:tcW w:w="984"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数量</w:t>
            </w:r>
          </w:p>
        </w:tc>
        <w:tc>
          <w:tcPr>
            <w:tcW w:w="1298" w:type="dxa"/>
            <w:gridSpan w:val="2"/>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综合单价</w:t>
            </w:r>
          </w:p>
        </w:tc>
        <w:tc>
          <w:tcPr>
            <w:tcW w:w="1134"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总价</w:t>
            </w:r>
          </w:p>
        </w:tc>
        <w:tc>
          <w:tcPr>
            <w:tcW w:w="1559"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服务时间/工期</w:t>
            </w:r>
          </w:p>
        </w:tc>
        <w:tc>
          <w:tcPr>
            <w:tcW w:w="1567"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rPr>
            </w:pPr>
          </w:p>
        </w:tc>
        <w:tc>
          <w:tcPr>
            <w:tcW w:w="984" w:type="dxa"/>
            <w:noWrap w:val="0"/>
            <w:vAlign w:val="center"/>
          </w:tcPr>
          <w:p>
            <w:pPr>
              <w:spacing w:line="240" w:lineRule="atLeast"/>
              <w:jc w:val="center"/>
              <w:rPr>
                <w:rFonts w:hint="eastAsia" w:ascii="方正仿宋_GBK" w:eastAsia="方正仿宋_GBK"/>
                <w:color w:val="auto"/>
                <w:sz w:val="21"/>
                <w:szCs w:val="21"/>
              </w:rPr>
            </w:pPr>
          </w:p>
        </w:tc>
        <w:tc>
          <w:tcPr>
            <w:tcW w:w="1298" w:type="dxa"/>
            <w:gridSpan w:val="2"/>
            <w:noWrap w:val="0"/>
            <w:vAlign w:val="center"/>
          </w:tcPr>
          <w:p>
            <w:pPr>
              <w:spacing w:line="240" w:lineRule="atLeast"/>
              <w:jc w:val="center"/>
              <w:rPr>
                <w:rFonts w:hint="eastAsia" w:ascii="方正仿宋_GBK" w:eastAsia="方正仿宋_GBK"/>
                <w:color w:val="auto"/>
                <w:sz w:val="21"/>
                <w:szCs w:val="21"/>
              </w:rPr>
            </w:pPr>
          </w:p>
        </w:tc>
        <w:tc>
          <w:tcPr>
            <w:tcW w:w="1134" w:type="dxa"/>
            <w:noWrap w:val="0"/>
            <w:vAlign w:val="center"/>
          </w:tcPr>
          <w:p>
            <w:pPr>
              <w:spacing w:line="240" w:lineRule="atLeast"/>
              <w:jc w:val="center"/>
              <w:rPr>
                <w:rFonts w:hint="eastAsia" w:ascii="方正仿宋_GBK" w:eastAsia="方正仿宋_GBK"/>
                <w:color w:val="auto"/>
                <w:sz w:val="21"/>
                <w:szCs w:val="21"/>
              </w:rPr>
            </w:pPr>
          </w:p>
        </w:tc>
        <w:tc>
          <w:tcPr>
            <w:tcW w:w="1559" w:type="dxa"/>
            <w:noWrap w:val="0"/>
            <w:vAlign w:val="center"/>
          </w:tcPr>
          <w:p>
            <w:pPr>
              <w:spacing w:line="240" w:lineRule="atLeast"/>
              <w:jc w:val="center"/>
              <w:rPr>
                <w:rFonts w:hint="eastAsia" w:ascii="方正仿宋_GBK" w:eastAsia="方正仿宋_GBK"/>
                <w:color w:val="auto"/>
                <w:sz w:val="21"/>
                <w:szCs w:val="21"/>
              </w:rPr>
            </w:pPr>
          </w:p>
        </w:tc>
        <w:tc>
          <w:tcPr>
            <w:tcW w:w="1567" w:type="dxa"/>
            <w:noWrap w:val="0"/>
            <w:vAlign w:val="center"/>
          </w:tcPr>
          <w:p>
            <w:pPr>
              <w:spacing w:line="240" w:lineRule="atLeast"/>
              <w:jc w:val="center"/>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rPr>
            </w:pPr>
          </w:p>
        </w:tc>
        <w:tc>
          <w:tcPr>
            <w:tcW w:w="984" w:type="dxa"/>
            <w:noWrap w:val="0"/>
            <w:vAlign w:val="center"/>
          </w:tcPr>
          <w:p>
            <w:pPr>
              <w:spacing w:line="240" w:lineRule="atLeast"/>
              <w:jc w:val="center"/>
              <w:rPr>
                <w:rFonts w:hint="eastAsia" w:ascii="方正仿宋_GBK" w:eastAsia="方正仿宋_GBK"/>
                <w:color w:val="auto"/>
                <w:sz w:val="21"/>
                <w:szCs w:val="21"/>
              </w:rPr>
            </w:pPr>
          </w:p>
        </w:tc>
        <w:tc>
          <w:tcPr>
            <w:tcW w:w="1298" w:type="dxa"/>
            <w:gridSpan w:val="2"/>
            <w:noWrap w:val="0"/>
            <w:vAlign w:val="center"/>
          </w:tcPr>
          <w:p>
            <w:pPr>
              <w:spacing w:line="240" w:lineRule="atLeast"/>
              <w:jc w:val="center"/>
              <w:rPr>
                <w:rFonts w:hint="eastAsia" w:ascii="方正仿宋_GBK" w:eastAsia="方正仿宋_GBK"/>
                <w:color w:val="auto"/>
                <w:sz w:val="21"/>
                <w:szCs w:val="21"/>
              </w:rPr>
            </w:pPr>
          </w:p>
        </w:tc>
        <w:tc>
          <w:tcPr>
            <w:tcW w:w="1134" w:type="dxa"/>
            <w:noWrap w:val="0"/>
            <w:vAlign w:val="center"/>
          </w:tcPr>
          <w:p>
            <w:pPr>
              <w:spacing w:line="240" w:lineRule="atLeast"/>
              <w:jc w:val="center"/>
              <w:rPr>
                <w:rFonts w:hint="eastAsia" w:ascii="方正仿宋_GBK" w:eastAsia="方正仿宋_GBK"/>
                <w:color w:val="auto"/>
                <w:sz w:val="21"/>
                <w:szCs w:val="21"/>
              </w:rPr>
            </w:pPr>
          </w:p>
        </w:tc>
        <w:tc>
          <w:tcPr>
            <w:tcW w:w="1559" w:type="dxa"/>
            <w:noWrap w:val="0"/>
            <w:vAlign w:val="center"/>
          </w:tcPr>
          <w:p>
            <w:pPr>
              <w:spacing w:line="240" w:lineRule="atLeast"/>
              <w:jc w:val="center"/>
              <w:rPr>
                <w:rFonts w:hint="eastAsia" w:ascii="方正仿宋_GBK" w:eastAsia="方正仿宋_GBK"/>
                <w:color w:val="auto"/>
                <w:sz w:val="21"/>
                <w:szCs w:val="21"/>
              </w:rPr>
            </w:pPr>
          </w:p>
        </w:tc>
        <w:tc>
          <w:tcPr>
            <w:tcW w:w="1567" w:type="dxa"/>
            <w:noWrap w:val="0"/>
            <w:vAlign w:val="center"/>
          </w:tcPr>
          <w:p>
            <w:pPr>
              <w:spacing w:line="240" w:lineRule="atLeast"/>
              <w:jc w:val="center"/>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pPr>
              <w:rPr>
                <w:rFonts w:hint="eastAsia" w:ascii="方正仿宋_GBK" w:eastAsia="方正仿宋_GBK"/>
                <w:color w:val="auto"/>
                <w:sz w:val="21"/>
                <w:szCs w:val="21"/>
              </w:rPr>
            </w:pPr>
            <w:r>
              <w:rPr>
                <w:rFonts w:hint="eastAsia" w:ascii="方正仿宋_GBK" w:eastAsia="方正仿宋_GBK"/>
                <w:color w:val="auto"/>
                <w:sz w:val="21"/>
                <w:szCs w:val="21"/>
              </w:rPr>
              <w:t>四、付款方式</w:t>
            </w:r>
            <w:r>
              <w:rPr>
                <w:rFonts w:ascii="方正仿宋_GBK" w:eastAsia="方正仿宋_GBK"/>
                <w:color w:val="auto"/>
                <w:sz w:val="21"/>
                <w:szCs w:val="21"/>
              </w:rPr>
              <w:t>：</w:t>
            </w:r>
          </w:p>
          <w:p>
            <w:pPr>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五、违约责任：</w:t>
            </w:r>
          </w:p>
          <w:p>
            <w:pPr>
              <w:spacing w:line="240" w:lineRule="atLeast"/>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六、其他约定事项：</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1.采购文件及其澄清文件、响应文件和承诺是本合同不可分割的部分。</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2.本合同如发生争议由双方协商解决，协商不成向需方所在人民法院提请诉讼。</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3.本合同一式__份， 需方__份，供方__份，具同等法律效力。</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需方：</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地址：</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联系电话：</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授权代表：</w:t>
            </w:r>
          </w:p>
        </w:tc>
        <w:tc>
          <w:tcPr>
            <w:tcW w:w="4984" w:type="dxa"/>
            <w:gridSpan w:val="5"/>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供方：</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地址：</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电话：</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传真：</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开户银行：</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账号：</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授权代表：</w:t>
            </w:r>
          </w:p>
          <w:p>
            <w:pPr>
              <w:widowControl/>
              <w:spacing w:line="240" w:lineRule="atLeast"/>
              <w:jc w:val="left"/>
              <w:rPr>
                <w:rFonts w:hint="eastAsia" w:ascii="方正仿宋_GBK" w:eastAsia="方正仿宋_GBK"/>
                <w:color w:val="auto"/>
                <w:sz w:val="21"/>
                <w:szCs w:val="21"/>
              </w:rPr>
            </w:pPr>
            <w:r>
              <w:rPr>
                <w:rFonts w:hint="eastAsia" w:ascii="方正仿宋_GBK" w:eastAsia="方正仿宋_GBK"/>
                <w:color w:val="auto"/>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备注：</w:t>
            </w:r>
          </w:p>
          <w:p>
            <w:pPr>
              <w:spacing w:line="240" w:lineRule="atLeast"/>
              <w:rPr>
                <w:rFonts w:hint="eastAsia" w:ascii="方正仿宋_GBK" w:eastAsia="方正仿宋_GBK"/>
                <w:color w:val="auto"/>
                <w:sz w:val="21"/>
                <w:szCs w:val="21"/>
              </w:rPr>
            </w:pPr>
          </w:p>
          <w:p>
            <w:pPr>
              <w:spacing w:line="240" w:lineRule="atLeast"/>
              <w:rPr>
                <w:rFonts w:hint="eastAsia" w:ascii="方正仿宋_GBK" w:eastAsia="方正仿宋_GBK"/>
                <w:color w:val="auto"/>
                <w:sz w:val="21"/>
                <w:szCs w:val="21"/>
              </w:rPr>
            </w:pPr>
          </w:p>
        </w:tc>
      </w:tr>
    </w:tbl>
    <w:p>
      <w:pPr>
        <w:rPr>
          <w:rFonts w:hint="eastAsia" w:ascii="方正仿宋_GBK" w:eastAsia="方正仿宋_GBK"/>
          <w:color w:val="auto"/>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rPr>
        <w:t>签约时间：           年   月   日      签约地点：</w:t>
      </w:r>
    </w:p>
    <w:p>
      <w:pPr>
        <w:pStyle w:val="3"/>
        <w:spacing w:before="0" w:after="0" w:line="360" w:lineRule="auto"/>
        <w:jc w:val="center"/>
        <w:rPr>
          <w:rFonts w:hint="eastAsia" w:ascii="方正小标宋_GBK" w:eastAsia="方正小标宋_GBK"/>
          <w:b w:val="0"/>
          <w:color w:val="auto"/>
          <w:sz w:val="36"/>
          <w:szCs w:val="30"/>
        </w:rPr>
      </w:pPr>
      <w:bookmarkStart w:id="196" w:name="_Hlt41879464"/>
      <w:bookmarkEnd w:id="196"/>
      <w:bookmarkStart w:id="197" w:name="_Toc65660378"/>
      <w:bookmarkStart w:id="198" w:name="_Toc9538"/>
      <w:bookmarkStart w:id="199" w:name="_Toc106034807"/>
      <w:bookmarkStart w:id="200" w:name="_Toc12789072"/>
      <w:bookmarkStart w:id="201" w:name="_Toc6968"/>
      <w:bookmarkStart w:id="202" w:name="_Toc18521"/>
      <w:r>
        <w:rPr>
          <w:rFonts w:hint="eastAsia" w:ascii="方正小标宋_GBK" w:eastAsia="方正小标宋_GBK"/>
          <w:b w:val="0"/>
          <w:color w:val="auto"/>
          <w:sz w:val="36"/>
          <w:szCs w:val="30"/>
        </w:rPr>
        <w:t>第七篇  响应文件格式要求</w:t>
      </w:r>
      <w:bookmarkEnd w:id="197"/>
      <w:bookmarkEnd w:id="198"/>
      <w:bookmarkEnd w:id="199"/>
      <w:bookmarkEnd w:id="200"/>
      <w:bookmarkEnd w:id="201"/>
      <w:bookmarkEnd w:id="202"/>
    </w:p>
    <w:p>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二、技术（质量）部分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（一）技术（质量）响应偏离表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三、服务部分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四、资格条件及其他</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五、其他资料</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一</w:t>
      </w:r>
      <w:r>
        <w:rPr>
          <w:rFonts w:hint="eastAsia" w:ascii="方正仿宋_GBK" w:hAnsi="宋体" w:eastAsia="方正仿宋_GBK"/>
          <w:color w:val="auto"/>
          <w:sz w:val="24"/>
          <w:szCs w:val="24"/>
        </w:rPr>
        <w:t>）其他与项目有关的资料（自附）</w:t>
      </w:r>
    </w:p>
    <w:p>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203" w:name="_Toc26343"/>
      <w:bookmarkStart w:id="204" w:name="_Toc14244"/>
      <w:bookmarkStart w:id="205" w:name="_Toc30982"/>
      <w:bookmarkStart w:id="206" w:name="_Toc342913419"/>
      <w:bookmarkStart w:id="207" w:name="_Toc106034808"/>
      <w:bookmarkStart w:id="208" w:name="_Toc65660379"/>
      <w:bookmarkStart w:id="209" w:name="_Toc313888360"/>
      <w:bookmarkStart w:id="210" w:name="_Toc313008356"/>
      <w:bookmarkStart w:id="211" w:name="_Toc283382454"/>
      <w:bookmarkStart w:id="212" w:name="_Toc12789073"/>
      <w:r>
        <w:rPr>
          <w:rFonts w:hint="eastAsia" w:ascii="方正仿宋_GBK" w:hAnsi="宋体" w:eastAsia="方正仿宋_GBK"/>
          <w:color w:val="auto"/>
          <w:sz w:val="24"/>
        </w:rPr>
        <w:t>一、经济部分</w:t>
      </w:r>
      <w:bookmarkEnd w:id="203"/>
      <w:bookmarkEnd w:id="204"/>
      <w:bookmarkEnd w:id="205"/>
      <w:bookmarkEnd w:id="206"/>
      <w:bookmarkEnd w:id="207"/>
      <w:bookmarkEnd w:id="208"/>
      <w:bookmarkEnd w:id="209"/>
      <w:bookmarkEnd w:id="210"/>
    </w:p>
    <w:bookmarkEnd w:id="211"/>
    <w:bookmarkEnd w:id="212"/>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pPr>
        <w:tabs>
          <w:tab w:val="left" w:pos="6300"/>
        </w:tabs>
        <w:snapToGrid w:val="0"/>
        <w:spacing w:line="312" w:lineRule="auto"/>
        <w:ind w:firstLine="560" w:firstLineChars="200"/>
        <w:jc w:val="center"/>
        <w:rPr>
          <w:rFonts w:hint="eastAsia" w:ascii="方正仿宋_GBK" w:hAnsi="宋体" w:eastAsia="方正仿宋_GBK"/>
          <w:b/>
          <w:color w:val="auto"/>
          <w:szCs w:val="28"/>
        </w:rPr>
      </w:pPr>
      <w:r>
        <w:rPr>
          <w:rFonts w:hint="eastAsia" w:ascii="方正仿宋_GBK" w:hAnsi="宋体" w:eastAsia="方正仿宋_GBK"/>
          <w:b/>
          <w:color w:val="auto"/>
          <w:szCs w:val="28"/>
        </w:rPr>
        <w:t>报价函</w:t>
      </w:r>
    </w:p>
    <w:p>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（采购人或采购代理机构名称）</w:t>
      </w:r>
      <w:r>
        <w:rPr>
          <w:rFonts w:hint="eastAsia" w:ascii="方正仿宋_GBK" w:hAnsi="宋体" w:eastAsia="方正仿宋_GBK"/>
          <w:color w:val="auto"/>
          <w:sz w:val="24"/>
          <w:szCs w:val="24"/>
        </w:rPr>
        <w:t>：</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1.愿意按照采购文件中的一切要求，提供本项目的交货及技术服务，项目报价（总价）为人民币大写：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份，副本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color w:val="auto"/>
          <w:sz w:val="24"/>
          <w:szCs w:val="24"/>
        </w:rPr>
      </w:pP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pPr>
        <w:snapToGrid w:val="0"/>
        <w:spacing w:line="312" w:lineRule="auto"/>
        <w:ind w:firstLine="480" w:firstLineChars="200"/>
        <w:rPr>
          <w:rFonts w:hint="eastAsia"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（二）明细报价表（格式自定）                           </w:t>
      </w:r>
    </w:p>
    <w:p>
      <w:pPr>
        <w:snapToGrid w:val="0"/>
        <w:spacing w:line="500" w:lineRule="exact"/>
        <w:rPr>
          <w:rFonts w:hint="eastAsia" w:ascii="方正仿宋_GBK" w:hAnsi="宋体" w:eastAsia="方正仿宋_GBK"/>
          <w:color w:val="auto"/>
          <w:sz w:val="24"/>
          <w:szCs w:val="28"/>
        </w:rPr>
      </w:pP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r>
        <w:rPr>
          <w:rFonts w:ascii="方正仿宋_GBK" w:hAnsi="宋体" w:eastAsia="方正仿宋_GBK"/>
          <w:color w:val="auto"/>
          <w:sz w:val="24"/>
          <w:szCs w:val="24"/>
          <w:bdr w:val="single" w:color="auto" w:sz="4" w:space="0"/>
        </w:rPr>
        <w:br w:type="page"/>
      </w:r>
      <w:bookmarkStart w:id="213" w:name="_Toc22655"/>
      <w:bookmarkStart w:id="214" w:name="_Toc26085"/>
      <w:bookmarkStart w:id="215" w:name="_Toc65660380"/>
      <w:bookmarkStart w:id="216" w:name="_Toc14073"/>
      <w:bookmarkStart w:id="217" w:name="_Toc313008357"/>
      <w:bookmarkStart w:id="218" w:name="_Toc106034809"/>
      <w:bookmarkStart w:id="219" w:name="_Toc342913420"/>
      <w:bookmarkStart w:id="220" w:name="_Toc313888361"/>
      <w:r>
        <w:rPr>
          <w:rFonts w:hint="eastAsia" w:ascii="方正仿宋_GBK" w:hAnsi="宋体" w:eastAsia="方正仿宋_GBK"/>
          <w:color w:val="auto"/>
          <w:sz w:val="24"/>
        </w:rPr>
        <w:t>二、技术（质量）部分</w:t>
      </w:r>
      <w:bookmarkEnd w:id="213"/>
      <w:bookmarkEnd w:id="214"/>
      <w:bookmarkEnd w:id="215"/>
      <w:bookmarkEnd w:id="216"/>
      <w:bookmarkEnd w:id="217"/>
      <w:bookmarkEnd w:id="218"/>
      <w:bookmarkEnd w:id="219"/>
      <w:bookmarkEnd w:id="220"/>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（一）技术（质量）响应偏离表                               </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r>
              <w:rPr>
                <w:rFonts w:hint="eastAsia" w:ascii="方正仿宋_GBK" w:hAnsi="仿宋" w:eastAsia="方正仿宋_GBK"/>
                <w:color w:val="auto"/>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r>
              <w:rPr>
                <w:rFonts w:hint="eastAsia" w:ascii="方正仿宋_GBK" w:hAnsi="仿宋" w:eastAsia="方正仿宋_GBK"/>
                <w:color w:val="auto"/>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rPr>
            </w:pPr>
          </w:p>
        </w:tc>
      </w:tr>
    </w:tbl>
    <w:p>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720" w:firstLineChars="3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w:t>
      </w:r>
      <w:r>
        <w:rPr>
          <w:rFonts w:hint="eastAsia" w:ascii="方正仿宋_GBK" w:hAnsi="宋体" w:eastAsia="方正仿宋_GBK"/>
          <w:color w:val="auto"/>
          <w:sz w:val="24"/>
          <w:szCs w:val="24"/>
        </w:rPr>
        <w:t>签署</w:t>
      </w:r>
      <w:r>
        <w:rPr>
          <w:rFonts w:hint="eastAsia" w:ascii="方正仿宋_GBK" w:hAnsi="宋体" w:eastAsia="方正仿宋_GBK"/>
          <w:color w:val="auto"/>
          <w:sz w:val="24"/>
          <w:szCs w:val="28"/>
        </w:rPr>
        <w:t>或盖章）</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2.本表可扩展。</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br w:type="page"/>
      </w:r>
      <w:r>
        <w:rPr>
          <w:rFonts w:hint="eastAsia" w:ascii="方正仿宋_GBK" w:hAnsi="宋体" w:eastAsia="方正仿宋_GBK"/>
          <w:color w:val="auto"/>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color w:val="auto"/>
          <w:sz w:val="24"/>
          <w:szCs w:val="24"/>
        </w:rPr>
      </w:pPr>
    </w:p>
    <w:p>
      <w:pPr>
        <w:pStyle w:val="3"/>
        <w:adjustRightInd w:val="0"/>
        <w:snapToGrid w:val="0"/>
        <w:spacing w:before="0" w:after="0" w:line="400" w:lineRule="exact"/>
        <w:ind w:firstLine="640" w:firstLineChars="200"/>
        <w:rPr>
          <w:rFonts w:hint="eastAsia" w:ascii="方正仿宋_GBK" w:hAnsi="宋体" w:eastAsia="方正仿宋_GBK"/>
          <w:color w:val="auto"/>
          <w:sz w:val="24"/>
        </w:rPr>
      </w:pPr>
      <w:r>
        <w:rPr>
          <w:rFonts w:ascii="方正仿宋_GBK" w:eastAsia="方正仿宋_GBK"/>
          <w:b w:val="0"/>
          <w:color w:val="auto"/>
        </w:rPr>
        <w:br w:type="page"/>
      </w:r>
      <w:bookmarkStart w:id="221" w:name="_Toc65660381"/>
      <w:bookmarkStart w:id="222" w:name="_Toc32158"/>
      <w:bookmarkStart w:id="223" w:name="_Toc106034810"/>
      <w:bookmarkStart w:id="224" w:name="_Toc27717"/>
      <w:bookmarkStart w:id="225" w:name="_Toc32339"/>
      <w:bookmarkStart w:id="226" w:name="_Toc313008358"/>
      <w:bookmarkStart w:id="227" w:name="_Toc342913421"/>
      <w:bookmarkStart w:id="228" w:name="_Toc313888362"/>
      <w:r>
        <w:rPr>
          <w:rFonts w:hint="eastAsia" w:ascii="方正仿宋_GBK" w:hAnsi="宋体" w:eastAsia="方正仿宋_GBK"/>
          <w:color w:val="auto"/>
          <w:sz w:val="24"/>
        </w:rPr>
        <w:t>三、</w:t>
      </w:r>
      <w:r>
        <w:rPr>
          <w:rFonts w:hint="eastAsia" w:ascii="方正仿宋_GBK" w:hAnsi="宋体" w:eastAsia="方正仿宋_GBK"/>
          <w:color w:val="auto"/>
          <w:sz w:val="24"/>
          <w:lang w:eastAsia="zh-CN"/>
        </w:rPr>
        <w:t>商务</w:t>
      </w:r>
      <w:r>
        <w:rPr>
          <w:rFonts w:hint="eastAsia" w:ascii="方正仿宋_GBK" w:hAnsi="宋体" w:eastAsia="方正仿宋_GBK"/>
          <w:color w:val="auto"/>
          <w:sz w:val="24"/>
        </w:rPr>
        <w:t>服务部分</w:t>
      </w:r>
      <w:bookmarkEnd w:id="221"/>
      <w:bookmarkEnd w:id="222"/>
      <w:bookmarkEnd w:id="223"/>
      <w:bookmarkEnd w:id="224"/>
      <w:bookmarkEnd w:id="225"/>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（一）商务服务响应偏离表                              </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color w:val="auto"/>
                <w:sz w:val="21"/>
                <w:szCs w:val="24"/>
              </w:rPr>
            </w:pPr>
            <w:r>
              <w:rPr>
                <w:rFonts w:hint="eastAsia" w:ascii="方正仿宋_GBK" w:hAnsi="宋体" w:eastAsia="方正仿宋_GBK"/>
                <w:b/>
                <w:color w:val="auto"/>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color w:val="auto"/>
                <w:sz w:val="21"/>
                <w:szCs w:val="24"/>
              </w:rPr>
            </w:pPr>
            <w:r>
              <w:rPr>
                <w:rFonts w:hint="eastAsia" w:ascii="方正仿宋_GBK" w:hAnsi="宋体" w:eastAsia="方正仿宋_GBK"/>
                <w:b/>
                <w:color w:val="auto"/>
                <w:sz w:val="21"/>
                <w:szCs w:val="24"/>
              </w:rPr>
              <w:t>项目商务需求</w:t>
            </w:r>
          </w:p>
        </w:tc>
        <w:tc>
          <w:tcPr>
            <w:tcW w:w="2438" w:type="dxa"/>
            <w:noWrap w:val="0"/>
            <w:vAlign w:val="center"/>
          </w:tcPr>
          <w:p>
            <w:pPr>
              <w:tabs>
                <w:tab w:val="left" w:pos="6300"/>
              </w:tabs>
              <w:snapToGrid w:val="0"/>
              <w:jc w:val="center"/>
              <w:outlineLvl w:val="0"/>
              <w:rPr>
                <w:rFonts w:hint="eastAsia" w:ascii="方正仿宋_GBK" w:hAnsi="宋体" w:eastAsia="方正仿宋_GBK"/>
                <w:b/>
                <w:color w:val="auto"/>
                <w:sz w:val="21"/>
                <w:szCs w:val="24"/>
              </w:rPr>
            </w:pPr>
            <w:r>
              <w:rPr>
                <w:rFonts w:hint="eastAsia" w:ascii="方正仿宋_GBK" w:hAnsi="宋体" w:eastAsia="方正仿宋_GBK"/>
                <w:b/>
                <w:color w:val="auto"/>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color w:val="auto"/>
                <w:sz w:val="21"/>
                <w:szCs w:val="24"/>
              </w:rPr>
            </w:pPr>
            <w:r>
              <w:rPr>
                <w:rFonts w:hint="eastAsia" w:ascii="方正仿宋_GBK" w:hAnsi="宋体" w:eastAsia="方正仿宋_GBK"/>
                <w:b/>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color w:val="auto"/>
                <w:sz w:val="21"/>
                <w:szCs w:val="24"/>
              </w:rPr>
            </w:pPr>
            <w:r>
              <w:rPr>
                <w:rFonts w:hint="eastAsia" w:ascii="方正仿宋_GBK" w:hAnsi="仿宋" w:eastAsia="方正仿宋_GBK"/>
                <w:color w:val="auto"/>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r>
              <w:rPr>
                <w:rFonts w:hint="eastAsia" w:ascii="方正仿宋_GBK" w:hAnsi="仿宋" w:eastAsia="方正仿宋_GBK"/>
                <w:color w:val="auto"/>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rPr>
            </w:pPr>
          </w:p>
        </w:tc>
      </w:tr>
    </w:tbl>
    <w:p>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360" w:firstLineChars="1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本表即为对本项目“第三篇  项目商务需求”中所列条款进行比较和响应；</w:t>
      </w:r>
    </w:p>
    <w:p>
      <w:pPr>
        <w:tabs>
          <w:tab w:val="left" w:pos="6300"/>
        </w:tabs>
        <w:snapToGrid w:val="0"/>
        <w:spacing w:line="48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rPr>
        <w:t>2.本表可扩展</w:t>
      </w:r>
      <w:r>
        <w:rPr>
          <w:rFonts w:hint="eastAsia" w:ascii="方正仿宋_GBK" w:hAnsi="宋体" w:eastAsia="方正仿宋_GBK"/>
          <w:color w:val="auto"/>
          <w:sz w:val="24"/>
          <w:szCs w:val="24"/>
        </w:rPr>
        <w:t>。</w:t>
      </w:r>
    </w:p>
    <w:p>
      <w:pPr>
        <w:tabs>
          <w:tab w:val="left" w:pos="6300"/>
        </w:tabs>
        <w:snapToGrid w:val="0"/>
        <w:spacing w:line="480" w:lineRule="exact"/>
        <w:ind w:firstLine="480" w:firstLineChars="200"/>
        <w:rPr>
          <w:rFonts w:hint="eastAsia" w:ascii="方正仿宋_GBK" w:hAnsi="宋体" w:eastAsia="方正仿宋_GBK"/>
          <w:color w:val="auto"/>
          <w:sz w:val="24"/>
          <w:szCs w:val="24"/>
        </w:rPr>
      </w:pPr>
    </w:p>
    <w:p>
      <w:pPr>
        <w:tabs>
          <w:tab w:val="left" w:pos="6300"/>
        </w:tabs>
        <w:snapToGrid w:val="0"/>
        <w:spacing w:line="48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br w:type="page"/>
      </w:r>
      <w:r>
        <w:rPr>
          <w:rFonts w:hint="eastAsia" w:ascii="方正仿宋_GBK" w:hAnsi="宋体" w:eastAsia="方正仿宋_GBK"/>
          <w:color w:val="auto"/>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color w:val="auto"/>
          <w:sz w:val="24"/>
          <w:szCs w:val="24"/>
        </w:rPr>
      </w:pPr>
    </w:p>
    <w:p>
      <w:pPr>
        <w:pStyle w:val="3"/>
        <w:adjustRightInd w:val="0"/>
        <w:snapToGrid w:val="0"/>
        <w:spacing w:before="0" w:after="0" w:line="400" w:lineRule="exact"/>
        <w:ind w:firstLine="480" w:firstLineChars="200"/>
        <w:rPr>
          <w:rFonts w:hint="eastAsia" w:ascii="方正仿宋_GBK" w:hAnsi="宋体" w:eastAsia="方正仿宋_GBK"/>
          <w:color w:val="auto"/>
          <w:sz w:val="24"/>
        </w:rPr>
      </w:pPr>
      <w:r>
        <w:rPr>
          <w:rFonts w:ascii="方正仿宋_GBK" w:hAnsi="宋体" w:eastAsia="方正仿宋_GBK"/>
          <w:color w:val="auto"/>
          <w:sz w:val="24"/>
          <w:szCs w:val="24"/>
        </w:rPr>
        <w:br w:type="page"/>
      </w:r>
      <w:bookmarkStart w:id="229" w:name="_Toc2082"/>
      <w:bookmarkStart w:id="230" w:name="_Toc65660382"/>
      <w:bookmarkStart w:id="231" w:name="_Toc106034811"/>
      <w:bookmarkStart w:id="232" w:name="_Toc21793"/>
      <w:bookmarkStart w:id="233" w:name="_Toc20162"/>
      <w:r>
        <w:rPr>
          <w:rFonts w:hint="eastAsia" w:ascii="方正仿宋_GBK" w:hAnsi="宋体" w:eastAsia="方正仿宋_GBK"/>
          <w:color w:val="auto"/>
          <w:sz w:val="24"/>
        </w:rPr>
        <w:t>四、</w:t>
      </w:r>
      <w:bookmarkEnd w:id="226"/>
      <w:bookmarkEnd w:id="227"/>
      <w:bookmarkEnd w:id="228"/>
      <w:r>
        <w:rPr>
          <w:rFonts w:hint="eastAsia" w:ascii="方正仿宋_GBK" w:hAnsi="宋体" w:eastAsia="方正仿宋_GBK"/>
          <w:color w:val="auto"/>
          <w:sz w:val="24"/>
        </w:rPr>
        <w:t>资格条件及其他</w:t>
      </w:r>
      <w:bookmarkEnd w:id="229"/>
      <w:bookmarkEnd w:id="230"/>
      <w:bookmarkEnd w:id="231"/>
      <w:bookmarkEnd w:id="232"/>
      <w:bookmarkEnd w:id="233"/>
      <w:bookmarkStart w:id="234" w:name="_Toc313888363"/>
      <w:bookmarkStart w:id="235" w:name="_Toc342913422"/>
      <w:bookmarkStart w:id="236" w:name="_Toc313008359"/>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color w:val="auto"/>
          <w:sz w:val="24"/>
          <w:szCs w:val="24"/>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widowControl/>
        <w:spacing w:line="400" w:lineRule="exact"/>
        <w:ind w:firstLine="560" w:firstLineChars="200"/>
        <w:jc w:val="left"/>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宋体" w:eastAsia="方正仿宋_GBK"/>
          <w:color w:val="auto"/>
          <w:sz w:val="24"/>
          <w:szCs w:val="24"/>
          <w:u w:val="single"/>
        </w:rPr>
        <w:t>采购人或采购代理机构名称</w:t>
      </w:r>
      <w:r>
        <w:rPr>
          <w:rFonts w:hint="eastAsia" w:ascii="方正仿宋_GBK" w:hAnsi="宋体" w:eastAsia="方正仿宋_GBK"/>
          <w:color w:val="auto"/>
          <w:sz w:val="24"/>
        </w:rPr>
        <w:t>）：</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widowControl/>
        <w:spacing w:line="400" w:lineRule="exact"/>
        <w:ind w:firstLine="560" w:firstLineChars="200"/>
        <w:jc w:val="left"/>
        <w:rPr>
          <w:rFonts w:hint="eastAsia"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宋体" w:eastAsia="方正仿宋_GBK"/>
          <w:color w:val="auto"/>
          <w:sz w:val="24"/>
          <w:szCs w:val="24"/>
          <w:u w:val="single"/>
        </w:rPr>
        <w:t>采购人或采购代理机构名称</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供应商法定代表人：</w:t>
      </w:r>
    </w:p>
    <w:p>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pPr>
        <w:tabs>
          <w:tab w:val="left" w:pos="6300"/>
        </w:tabs>
        <w:snapToGrid w:val="0"/>
        <w:spacing w:line="500" w:lineRule="exact"/>
        <w:ind w:firstLine="570"/>
        <w:rPr>
          <w:rFonts w:hint="eastAsia" w:ascii="方正仿宋_GBK" w:hAnsi="宋体" w:eastAsia="方正仿宋_GBK"/>
          <w:color w:val="auto"/>
          <w:sz w:val="24"/>
          <w:szCs w:val="28"/>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注：</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color w:val="auto"/>
          <w:sz w:val="24"/>
        </w:rPr>
      </w:pPr>
      <w:r>
        <w:rPr>
          <w:rFonts w:hint="eastAsia" w:ascii="方正仿宋_GBK" w:hAnsi="仿宋" w:eastAsia="方正仿宋_GBK"/>
          <w:color w:val="auto"/>
          <w:sz w:val="24"/>
        </w:rPr>
        <w:t>2.若为联合体参与的，法定代表人授权委托书由联合体主办方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pPr>
        <w:widowControl/>
        <w:spacing w:line="400" w:lineRule="exact"/>
        <w:ind w:firstLine="560" w:firstLineChars="200"/>
        <w:jc w:val="left"/>
        <w:rPr>
          <w:rFonts w:hint="eastAsia"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pPr>
        <w:tabs>
          <w:tab w:val="left" w:pos="6300"/>
        </w:tabs>
        <w:snapToGrid w:val="0"/>
        <w:spacing w:line="500" w:lineRule="exact"/>
        <w:ind w:firstLine="640" w:firstLineChars="200"/>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pPr>
        <w:tabs>
          <w:tab w:val="left" w:pos="6300"/>
        </w:tabs>
        <w:snapToGrid w:val="0"/>
        <w:spacing w:line="530" w:lineRule="exact"/>
        <w:rPr>
          <w:color w:val="auto"/>
          <w:sz w:val="24"/>
        </w:rPr>
      </w:pP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（采购人或采购代理机构名称）：</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特此承诺。</w:t>
      </w:r>
    </w:p>
    <w:p>
      <w:pPr>
        <w:tabs>
          <w:tab w:val="left" w:pos="6300"/>
        </w:tabs>
        <w:snapToGrid w:val="0"/>
        <w:spacing w:line="500" w:lineRule="exact"/>
        <w:ind w:firstLine="480" w:firstLineChars="200"/>
        <w:rPr>
          <w:rFonts w:hint="eastAsia" w:ascii="方正仿宋_GBK" w:hAnsi="仿宋" w:eastAsia="方正仿宋_GBK"/>
          <w:color w:val="auto"/>
          <w:sz w:val="24"/>
        </w:rPr>
      </w:pPr>
    </w:p>
    <w:p>
      <w:pPr>
        <w:tabs>
          <w:tab w:val="left" w:pos="6300"/>
        </w:tabs>
        <w:snapToGrid w:val="0"/>
        <w:spacing w:line="500" w:lineRule="exact"/>
        <w:ind w:firstLine="480" w:firstLineChars="200"/>
        <w:jc w:val="right"/>
        <w:rPr>
          <w:rFonts w:hint="eastAsia" w:ascii="方正仿宋_GBK" w:hAnsi="仿宋" w:eastAsia="方正仿宋_GBK"/>
          <w:color w:val="auto"/>
          <w:sz w:val="24"/>
        </w:rPr>
      </w:pPr>
      <w:r>
        <w:rPr>
          <w:rFonts w:hint="eastAsia" w:ascii="方正仿宋_GBK" w:hAnsi="仿宋" w:eastAsia="方正仿宋_GBK"/>
          <w:color w:val="auto"/>
          <w:sz w:val="24"/>
        </w:rPr>
        <w:t>（供应商公章）</w:t>
      </w:r>
    </w:p>
    <w:p>
      <w:pPr>
        <w:widowControl/>
        <w:spacing w:line="400" w:lineRule="exact"/>
        <w:ind w:firstLine="7920" w:firstLineChars="3300"/>
        <w:jc w:val="left"/>
        <w:rPr>
          <w:rFonts w:hint="eastAsia" w:ascii="方正仿宋_GBK" w:hAnsi="宋体" w:eastAsia="方正仿宋_GBK"/>
          <w:color w:val="auto"/>
          <w:sz w:val="24"/>
          <w:szCs w:val="24"/>
        </w:rPr>
      </w:pPr>
      <w:r>
        <w:rPr>
          <w:rFonts w:hint="eastAsia" w:ascii="方正仿宋_GBK" w:hAnsi="仿宋" w:eastAsia="方正仿宋_GBK"/>
          <w:color w:val="auto"/>
          <w:sz w:val="24"/>
        </w:rPr>
        <w:t>年   月   日</w:t>
      </w:r>
    </w:p>
    <w:p>
      <w:pPr>
        <w:widowControl/>
        <w:spacing w:line="400" w:lineRule="exact"/>
        <w:ind w:firstLine="560" w:firstLineChars="200"/>
        <w:jc w:val="left"/>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（五）特定资格条件证书或证明文件</w:t>
      </w:r>
    </w:p>
    <w:p>
      <w:pPr>
        <w:widowControl/>
        <w:spacing w:line="400" w:lineRule="exact"/>
        <w:ind w:firstLine="480" w:firstLineChars="200"/>
        <w:jc w:val="left"/>
        <w:rPr>
          <w:rFonts w:hint="eastAsia" w:ascii="方正仿宋_GBK" w:hAnsi="宋体" w:eastAsia="方正仿宋_GBK"/>
          <w:color w:val="auto"/>
          <w:sz w:val="24"/>
          <w:szCs w:val="24"/>
        </w:rPr>
      </w:pPr>
    </w:p>
    <w:p>
      <w:pPr>
        <w:pStyle w:val="3"/>
        <w:adjustRightInd w:val="0"/>
        <w:snapToGrid w:val="0"/>
        <w:spacing w:before="0" w:after="0" w:line="400" w:lineRule="exact"/>
        <w:ind w:firstLine="480" w:firstLineChars="200"/>
        <w:rPr>
          <w:rFonts w:hint="eastAsia" w:ascii="方正仿宋_GBK" w:hAnsi="宋体" w:eastAsia="方正仿宋_GBK"/>
          <w:color w:val="auto"/>
          <w:sz w:val="24"/>
          <w:lang w:eastAsia="zh-CN"/>
        </w:rPr>
      </w:pPr>
      <w:r>
        <w:rPr>
          <w:rFonts w:ascii="方正仿宋_GBK" w:hAnsi="宋体" w:eastAsia="方正仿宋_GBK"/>
          <w:color w:val="auto"/>
          <w:sz w:val="24"/>
          <w:szCs w:val="24"/>
        </w:rPr>
        <w:br w:type="page"/>
      </w:r>
      <w:bookmarkStart w:id="237" w:name="_Toc15815"/>
      <w:bookmarkStart w:id="238" w:name="_Toc17010"/>
      <w:bookmarkStart w:id="239" w:name="_Toc106034812"/>
      <w:bookmarkStart w:id="240" w:name="_Toc2080"/>
      <w:bookmarkStart w:id="241" w:name="_Toc65660383"/>
      <w:r>
        <w:rPr>
          <w:rFonts w:hint="eastAsia" w:ascii="方正仿宋_GBK" w:hAnsi="宋体" w:eastAsia="方正仿宋_GBK"/>
          <w:color w:val="auto"/>
          <w:sz w:val="24"/>
        </w:rPr>
        <w:t>五、</w:t>
      </w:r>
      <w:bookmarkEnd w:id="234"/>
      <w:bookmarkEnd w:id="235"/>
      <w:bookmarkEnd w:id="236"/>
      <w:r>
        <w:rPr>
          <w:rFonts w:hint="eastAsia" w:ascii="方正仿宋_GBK" w:hAnsi="宋体" w:eastAsia="方正仿宋_GBK"/>
          <w:color w:val="auto"/>
          <w:sz w:val="24"/>
        </w:rPr>
        <w:t>其他资料</w:t>
      </w:r>
      <w:bookmarkEnd w:id="237"/>
      <w:bookmarkEnd w:id="238"/>
      <w:bookmarkEnd w:id="239"/>
      <w:bookmarkEnd w:id="240"/>
      <w:bookmarkEnd w:id="241"/>
    </w:p>
    <w:p>
      <w:pPr>
        <w:widowControl/>
        <w:spacing w:line="400" w:lineRule="exact"/>
        <w:ind w:firstLine="480" w:firstLineChars="200"/>
        <w:jc w:val="lef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一</w:t>
      </w:r>
      <w:r>
        <w:rPr>
          <w:rFonts w:hint="eastAsia" w:ascii="方正仿宋_GBK" w:hAnsi="宋体" w:eastAsia="方正仿宋_GBK"/>
          <w:color w:val="auto"/>
          <w:sz w:val="24"/>
          <w:szCs w:val="24"/>
        </w:rPr>
        <w:t>）其他与项目有关的资料（自附）</w:t>
      </w:r>
    </w:p>
    <w:p>
      <w:pPr>
        <w:jc w:val="left"/>
        <w:rPr>
          <w:rFonts w:ascii="宋体" w:hAnsi="宋体" w:cs="宋体"/>
          <w:b/>
          <w:bCs/>
          <w:color w:val="auto"/>
          <w:sz w:val="32"/>
          <w:szCs w:val="32"/>
        </w:rPr>
      </w:pPr>
      <w:r>
        <w:rPr>
          <w:rFonts w:hint="eastAsia" w:ascii="方正仿宋_GBK" w:hAnsi="宋体" w:eastAsia="方正仿宋_GBK"/>
          <w:color w:val="auto"/>
          <w:sz w:val="24"/>
          <w:szCs w:val="24"/>
        </w:rPr>
        <w:br w:type="page"/>
      </w:r>
      <w:r>
        <w:rPr>
          <w:rFonts w:hint="eastAsia" w:ascii="宋体" w:hAnsi="宋体" w:cs="宋体"/>
          <w:b/>
          <w:bCs/>
          <w:color w:val="auto"/>
          <w:sz w:val="32"/>
          <w:szCs w:val="32"/>
        </w:rPr>
        <w:t>附件：重庆华大工程管理有限公司采购文件发售登记表</w:t>
      </w:r>
    </w:p>
    <w:p>
      <w:pPr>
        <w:jc w:val="left"/>
        <w:rPr>
          <w:rFonts w:ascii="宋体" w:hAnsi="宋体" w:cs="宋体"/>
          <w:b/>
          <w:bCs/>
          <w:color w:val="auto"/>
          <w:spacing w:val="40"/>
          <w:sz w:val="32"/>
          <w:szCs w:val="32"/>
        </w:rPr>
      </w:pPr>
    </w:p>
    <w:tbl>
      <w:tblPr>
        <w:tblStyle w:val="57"/>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pPr>
              <w:jc w:val="center"/>
              <w:rPr>
                <w:rFonts w:ascii="宋体" w:hAnsi="宋体" w:cs="宋体"/>
                <w:color w:val="auto"/>
                <w:sz w:val="30"/>
                <w:szCs w:val="30"/>
              </w:rPr>
            </w:pPr>
            <w:r>
              <w:rPr>
                <w:rFonts w:hint="eastAsia" w:ascii="宋体" w:hAnsi="宋体" w:cs="宋体"/>
                <w:color w:val="auto"/>
                <w:sz w:val="30"/>
                <w:szCs w:val="30"/>
              </w:rPr>
              <w:t>项目编号</w:t>
            </w:r>
          </w:p>
        </w:tc>
        <w:tc>
          <w:tcPr>
            <w:tcW w:w="8280" w:type="dxa"/>
            <w:gridSpan w:val="3"/>
            <w:noWrap w:val="0"/>
            <w:vAlign w:val="center"/>
          </w:tcPr>
          <w:p>
            <w:pPr>
              <w:jc w:val="center"/>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pPr>
              <w:jc w:val="center"/>
              <w:rPr>
                <w:rFonts w:ascii="宋体" w:hAnsi="宋体" w:cs="宋体"/>
                <w:color w:val="auto"/>
                <w:sz w:val="30"/>
                <w:szCs w:val="30"/>
              </w:rPr>
            </w:pPr>
            <w:r>
              <w:rPr>
                <w:rFonts w:hint="eastAsia" w:ascii="宋体" w:hAnsi="宋体" w:cs="宋体"/>
                <w:color w:val="auto"/>
                <w:sz w:val="30"/>
                <w:szCs w:val="30"/>
              </w:rPr>
              <w:t>项目名称</w:t>
            </w:r>
          </w:p>
        </w:tc>
        <w:tc>
          <w:tcPr>
            <w:tcW w:w="8280" w:type="dxa"/>
            <w:gridSpan w:val="3"/>
            <w:noWrap w:val="0"/>
            <w:vAlign w:val="center"/>
          </w:tcPr>
          <w:p>
            <w:pPr>
              <w:jc w:val="center"/>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pPr>
              <w:jc w:val="center"/>
              <w:rPr>
                <w:rFonts w:ascii="宋体" w:hAnsi="宋体" w:cs="宋体"/>
                <w:color w:val="auto"/>
                <w:sz w:val="30"/>
                <w:szCs w:val="30"/>
              </w:rPr>
            </w:pPr>
            <w:r>
              <w:rPr>
                <w:rFonts w:hint="eastAsia" w:ascii="宋体" w:hAnsi="宋体" w:cs="宋体"/>
                <w:color w:val="auto"/>
                <w:sz w:val="30"/>
                <w:szCs w:val="30"/>
              </w:rPr>
              <w:t>投标人名称</w:t>
            </w:r>
          </w:p>
        </w:tc>
        <w:tc>
          <w:tcPr>
            <w:tcW w:w="8280" w:type="dxa"/>
            <w:gridSpan w:val="3"/>
            <w:noWrap w:val="0"/>
            <w:vAlign w:val="bottom"/>
          </w:tcPr>
          <w:p>
            <w:pPr>
              <w:jc w:val="right"/>
              <w:rPr>
                <w:rFonts w:ascii="宋体" w:hAnsi="宋体" w:cs="宋体"/>
                <w:color w:val="auto"/>
                <w:sz w:val="30"/>
                <w:szCs w:val="30"/>
              </w:rPr>
            </w:pPr>
            <w:r>
              <w:rPr>
                <w:rFonts w:hint="eastAsia" w:ascii="宋体" w:hAnsi="宋体" w:cs="宋体"/>
                <w:color w:val="auto"/>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rPr>
            </w:pPr>
            <w:r>
              <w:rPr>
                <w:rFonts w:hint="eastAsia" w:ascii="宋体" w:hAnsi="宋体" w:cs="宋体"/>
                <w:color w:val="auto"/>
                <w:sz w:val="30"/>
                <w:szCs w:val="30"/>
              </w:rPr>
              <w:t>联系人</w:t>
            </w:r>
          </w:p>
        </w:tc>
        <w:tc>
          <w:tcPr>
            <w:tcW w:w="1964" w:type="dxa"/>
            <w:noWrap w:val="0"/>
            <w:vAlign w:val="center"/>
          </w:tcPr>
          <w:p>
            <w:pPr>
              <w:jc w:val="left"/>
              <w:rPr>
                <w:rFonts w:ascii="宋体" w:hAnsi="宋体" w:cs="宋体"/>
                <w:color w:val="auto"/>
                <w:sz w:val="30"/>
                <w:szCs w:val="30"/>
              </w:rPr>
            </w:pPr>
          </w:p>
        </w:tc>
        <w:tc>
          <w:tcPr>
            <w:tcW w:w="1305" w:type="dxa"/>
            <w:noWrap w:val="0"/>
            <w:vAlign w:val="center"/>
          </w:tcPr>
          <w:p>
            <w:pPr>
              <w:jc w:val="left"/>
              <w:rPr>
                <w:rFonts w:ascii="宋体" w:hAnsi="宋体" w:cs="宋体"/>
                <w:color w:val="auto"/>
                <w:sz w:val="30"/>
                <w:szCs w:val="30"/>
              </w:rPr>
            </w:pPr>
            <w:r>
              <w:rPr>
                <w:rFonts w:hint="eastAsia" w:ascii="宋体" w:hAnsi="宋体" w:cs="宋体"/>
                <w:color w:val="auto"/>
                <w:sz w:val="30"/>
                <w:szCs w:val="30"/>
              </w:rPr>
              <w:t>手机</w:t>
            </w:r>
          </w:p>
        </w:tc>
        <w:tc>
          <w:tcPr>
            <w:tcW w:w="5011" w:type="dxa"/>
            <w:noWrap w:val="0"/>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rPr>
            </w:pPr>
            <w:r>
              <w:rPr>
                <w:rFonts w:hint="eastAsia" w:ascii="宋体" w:hAnsi="宋体" w:cs="宋体"/>
                <w:color w:val="auto"/>
                <w:sz w:val="30"/>
                <w:szCs w:val="30"/>
              </w:rPr>
              <w:t>办公电话</w:t>
            </w:r>
          </w:p>
        </w:tc>
        <w:tc>
          <w:tcPr>
            <w:tcW w:w="1964" w:type="dxa"/>
            <w:noWrap w:val="0"/>
            <w:vAlign w:val="center"/>
          </w:tcPr>
          <w:p>
            <w:pPr>
              <w:jc w:val="left"/>
              <w:rPr>
                <w:rFonts w:ascii="宋体" w:hAnsi="宋体" w:cs="宋体"/>
                <w:color w:val="auto"/>
                <w:sz w:val="30"/>
                <w:szCs w:val="30"/>
              </w:rPr>
            </w:pPr>
          </w:p>
        </w:tc>
        <w:tc>
          <w:tcPr>
            <w:tcW w:w="1305" w:type="dxa"/>
            <w:noWrap w:val="0"/>
            <w:vAlign w:val="center"/>
          </w:tcPr>
          <w:p>
            <w:pPr>
              <w:jc w:val="left"/>
              <w:rPr>
                <w:rFonts w:ascii="宋体" w:hAnsi="宋体" w:cs="宋体"/>
                <w:color w:val="auto"/>
                <w:sz w:val="30"/>
                <w:szCs w:val="30"/>
              </w:rPr>
            </w:pPr>
            <w:r>
              <w:rPr>
                <w:rFonts w:hint="eastAsia" w:ascii="宋体" w:hAnsi="宋体" w:cs="宋体"/>
                <w:color w:val="auto"/>
                <w:sz w:val="30"/>
                <w:szCs w:val="30"/>
              </w:rPr>
              <w:t>传真</w:t>
            </w:r>
          </w:p>
        </w:tc>
        <w:tc>
          <w:tcPr>
            <w:tcW w:w="5011" w:type="dxa"/>
            <w:noWrap w:val="0"/>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rPr>
            </w:pPr>
            <w:r>
              <w:rPr>
                <w:rFonts w:hint="eastAsia" w:ascii="宋体" w:hAnsi="宋体" w:cs="宋体"/>
                <w:color w:val="auto"/>
                <w:sz w:val="30"/>
                <w:szCs w:val="30"/>
              </w:rPr>
              <w:t>E-mail</w:t>
            </w:r>
          </w:p>
        </w:tc>
        <w:tc>
          <w:tcPr>
            <w:tcW w:w="8280" w:type="dxa"/>
            <w:gridSpan w:val="3"/>
            <w:noWrap w:val="0"/>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rPr>
            </w:pPr>
            <w:r>
              <w:rPr>
                <w:rFonts w:hint="eastAsia" w:ascii="宋体" w:hAnsi="宋体" w:cs="宋体"/>
                <w:color w:val="auto"/>
                <w:sz w:val="30"/>
                <w:szCs w:val="30"/>
              </w:rPr>
              <w:t>单位地址</w:t>
            </w:r>
          </w:p>
        </w:tc>
        <w:tc>
          <w:tcPr>
            <w:tcW w:w="8280" w:type="dxa"/>
            <w:gridSpan w:val="3"/>
            <w:noWrap w:val="0"/>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pPr>
              <w:jc w:val="left"/>
              <w:rPr>
                <w:rFonts w:ascii="宋体" w:hAnsi="宋体" w:cs="宋体"/>
                <w:color w:val="auto"/>
                <w:sz w:val="30"/>
                <w:szCs w:val="30"/>
              </w:rPr>
            </w:pPr>
            <w:r>
              <w:rPr>
                <w:rFonts w:hint="eastAsia" w:ascii="宋体" w:hAnsi="宋体" w:cs="宋体"/>
                <w:color w:val="auto"/>
                <w:sz w:val="30"/>
                <w:szCs w:val="30"/>
              </w:rPr>
              <w:t xml:space="preserve">    日期：</w:t>
            </w:r>
            <w:r>
              <w:rPr>
                <w:rFonts w:hint="eastAsia" w:ascii="宋体" w:hAnsi="宋体" w:cs="宋体"/>
                <w:color w:val="auto"/>
                <w:sz w:val="30"/>
                <w:szCs w:val="30"/>
                <w:u w:val="single"/>
              </w:rPr>
              <w:t xml:space="preserve">     </w:t>
            </w:r>
            <w:r>
              <w:rPr>
                <w:rFonts w:hint="eastAsia" w:ascii="宋体" w:hAnsi="宋体" w:cs="宋体"/>
                <w:color w:val="auto"/>
                <w:sz w:val="30"/>
                <w:szCs w:val="30"/>
              </w:rPr>
              <w:t xml:space="preserve"> 年</w:t>
            </w:r>
            <w:r>
              <w:rPr>
                <w:rFonts w:hint="eastAsia" w:ascii="宋体" w:hAnsi="宋体" w:cs="宋体"/>
                <w:color w:val="auto"/>
                <w:sz w:val="30"/>
                <w:szCs w:val="30"/>
                <w:u w:val="single"/>
              </w:rPr>
              <w:t xml:space="preserve">    </w:t>
            </w:r>
            <w:r>
              <w:rPr>
                <w:rFonts w:hint="eastAsia" w:ascii="宋体" w:hAnsi="宋体" w:cs="宋体"/>
                <w:color w:val="auto"/>
                <w:sz w:val="30"/>
                <w:szCs w:val="30"/>
              </w:rPr>
              <w:t>月</w:t>
            </w:r>
            <w:r>
              <w:rPr>
                <w:rFonts w:hint="eastAsia" w:ascii="宋体" w:hAnsi="宋体" w:cs="宋体"/>
                <w:color w:val="auto"/>
                <w:sz w:val="30"/>
                <w:szCs w:val="30"/>
                <w:u w:val="single"/>
              </w:rPr>
              <w:t xml:space="preserve">    </w:t>
            </w:r>
            <w:r>
              <w:rPr>
                <w:rFonts w:hint="eastAsia" w:ascii="宋体" w:hAnsi="宋体" w:cs="宋体"/>
                <w:color w:val="auto"/>
                <w:sz w:val="30"/>
                <w:szCs w:val="30"/>
              </w:rPr>
              <w:t xml:space="preserve">日    </w:t>
            </w:r>
          </w:p>
        </w:tc>
      </w:tr>
    </w:tbl>
    <w:p>
      <w:pPr>
        <w:widowControl/>
        <w:spacing w:line="400" w:lineRule="exact"/>
        <w:ind w:firstLine="480" w:firstLineChars="200"/>
        <w:jc w:val="left"/>
        <w:rPr>
          <w:rFonts w:hint="eastAsia" w:ascii="方正仿宋_GBK" w:hAnsi="宋体" w:eastAsia="方正仿宋_GBK"/>
          <w:color w:val="auto"/>
          <w:sz w:val="24"/>
          <w:szCs w:val="24"/>
        </w:rPr>
      </w:pPr>
    </w:p>
    <w:p>
      <w:pPr>
        <w:spacing w:line="360" w:lineRule="auto"/>
        <w:ind w:firstLine="480" w:firstLineChars="200"/>
        <w:rPr>
          <w:rFonts w:hint="eastAsia" w:ascii="方正仿宋_GBK" w:hAnsi="宋体" w:eastAsia="方正仿宋_GBK"/>
          <w:color w:val="auto"/>
          <w:sz w:val="24"/>
          <w:szCs w:val="24"/>
        </w:rPr>
      </w:pPr>
    </w:p>
    <w:p>
      <w:pPr>
        <w:spacing w:line="360" w:lineRule="auto"/>
        <w:jc w:val="center"/>
        <w:rPr>
          <w:rFonts w:hint="eastAsia" w:ascii="方正仿宋_GBK" w:hAnsi="仿宋" w:eastAsia="方正仿宋_GBK"/>
          <w:color w:val="auto"/>
        </w:rPr>
      </w:pPr>
    </w:p>
    <w:p>
      <w:pPr>
        <w:spacing w:line="360" w:lineRule="auto"/>
        <w:jc w:val="center"/>
        <w:rPr>
          <w:rFonts w:hint="eastAsia" w:ascii="方正仿宋_GBK" w:hAnsi="仿宋" w:eastAsia="方正仿宋_GBK"/>
          <w:color w:val="auto"/>
        </w:rPr>
      </w:pPr>
      <w:r>
        <w:rPr>
          <w:rFonts w:hint="eastAsia" w:ascii="方正仿宋_GBK" w:hAnsi="仿宋" w:eastAsia="方正仿宋_GBK"/>
          <w:color w:val="auto"/>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- 13 -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24"/>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2"/>
  </w:num>
  <w:num w:numId="8">
    <w:abstractNumId w:val="4"/>
  </w:num>
  <w:num w:numId="9">
    <w:abstractNumId w:val="1"/>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746004AB"/>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1FE17AC"/>
    <w:rsid w:val="037F1AAB"/>
    <w:rsid w:val="0480254A"/>
    <w:rsid w:val="04D46D43"/>
    <w:rsid w:val="08C52A1E"/>
    <w:rsid w:val="0DAB64B5"/>
    <w:rsid w:val="10211A16"/>
    <w:rsid w:val="10766728"/>
    <w:rsid w:val="107752B0"/>
    <w:rsid w:val="11A92009"/>
    <w:rsid w:val="12D62551"/>
    <w:rsid w:val="15C1696D"/>
    <w:rsid w:val="1B6E01C3"/>
    <w:rsid w:val="1BA4182E"/>
    <w:rsid w:val="1BD27C4D"/>
    <w:rsid w:val="1C746C70"/>
    <w:rsid w:val="1DF1193F"/>
    <w:rsid w:val="1ED03CC7"/>
    <w:rsid w:val="21E738ED"/>
    <w:rsid w:val="245B32B8"/>
    <w:rsid w:val="25F15DB5"/>
    <w:rsid w:val="266A7FA7"/>
    <w:rsid w:val="28356835"/>
    <w:rsid w:val="2B286BC5"/>
    <w:rsid w:val="2C2D2523"/>
    <w:rsid w:val="2D894CF1"/>
    <w:rsid w:val="2F57706B"/>
    <w:rsid w:val="35B90999"/>
    <w:rsid w:val="36EA2EF3"/>
    <w:rsid w:val="3A9E5DDE"/>
    <w:rsid w:val="3B0D2CD2"/>
    <w:rsid w:val="3D396C7C"/>
    <w:rsid w:val="3FEE62E8"/>
    <w:rsid w:val="402E2983"/>
    <w:rsid w:val="414C48A8"/>
    <w:rsid w:val="4311195E"/>
    <w:rsid w:val="446366DB"/>
    <w:rsid w:val="44637395"/>
    <w:rsid w:val="45C1250B"/>
    <w:rsid w:val="461F6313"/>
    <w:rsid w:val="4A0C2326"/>
    <w:rsid w:val="4AB71F04"/>
    <w:rsid w:val="4D6F2A8C"/>
    <w:rsid w:val="4E3F2D9E"/>
    <w:rsid w:val="51BB25F2"/>
    <w:rsid w:val="52F460A0"/>
    <w:rsid w:val="531E68CD"/>
    <w:rsid w:val="545C6AF1"/>
    <w:rsid w:val="59D9651C"/>
    <w:rsid w:val="5BD75000"/>
    <w:rsid w:val="5D1B313B"/>
    <w:rsid w:val="5E910B3F"/>
    <w:rsid w:val="659C2B97"/>
    <w:rsid w:val="666A0BEA"/>
    <w:rsid w:val="69E52920"/>
    <w:rsid w:val="72026C0C"/>
    <w:rsid w:val="721C3F61"/>
    <w:rsid w:val="746004AB"/>
    <w:rsid w:val="75123F8E"/>
    <w:rsid w:val="789E5CA1"/>
    <w:rsid w:val="7A5774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4"/>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1"/>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2"/>
    <w:autoRedefine/>
    <w:qFormat/>
    <w:uiPriority w:val="0"/>
  </w:style>
  <w:style w:type="paragraph" w:styleId="33">
    <w:name w:val="Body Text Indent 2"/>
    <w:basedOn w:val="1"/>
    <w:link w:val="73"/>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4"/>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5"/>
    <w:autoRedefine/>
    <w:qFormat/>
    <w:uiPriority w:val="0"/>
    <w:pPr>
      <w:adjustRightInd/>
      <w:spacing w:line="240" w:lineRule="auto"/>
      <w:textAlignment w:val="auto"/>
    </w:pPr>
  </w:style>
  <w:style w:type="paragraph" w:styleId="55">
    <w:name w:val="Body Text First Indent"/>
    <w:basedOn w:val="22"/>
    <w:qFormat/>
    <w:uiPriority w:val="0"/>
    <w:pPr>
      <w:spacing w:line="360" w:lineRule="auto"/>
      <w:ind w:firstLine="420"/>
    </w:pPr>
    <w:rPr>
      <w:rFonts w:ascii="宋体" w:hAnsi="宋体"/>
      <w:sz w:val="24"/>
    </w:rPr>
  </w:style>
  <w:style w:type="paragraph" w:styleId="56">
    <w:name w:val="Body Text First Indent 2"/>
    <w:basedOn w:val="23"/>
    <w:link w:val="76"/>
    <w:autoRedefine/>
    <w:qFormat/>
    <w:uiPriority w:val="0"/>
    <w:pPr>
      <w:spacing w:after="120" w:afterLines="0" w:line="240" w:lineRule="auto"/>
      <w:ind w:left="420" w:leftChars="200" w:firstLine="420" w:firstLineChars="200"/>
    </w:pPr>
  </w:style>
  <w:style w:type="character" w:styleId="59">
    <w:name w:val="Strong"/>
    <w:autoRedefine/>
    <w:qFormat/>
    <w:uiPriority w:val="22"/>
    <w:rPr>
      <w:b/>
    </w:rPr>
  </w:style>
  <w:style w:type="character" w:styleId="60">
    <w:name w:val="page number"/>
    <w:autoRedefine/>
    <w:qFormat/>
    <w:uiPriority w:val="0"/>
  </w:style>
  <w:style w:type="character" w:styleId="61">
    <w:name w:val="FollowedHyperlink"/>
    <w:autoRedefine/>
    <w:qFormat/>
    <w:uiPriority w:val="0"/>
    <w:rPr>
      <w:color w:val="800080"/>
      <w:u w:val="single"/>
    </w:rPr>
  </w:style>
  <w:style w:type="character" w:styleId="62">
    <w:name w:val="Emphasis"/>
    <w:autoRedefine/>
    <w:qFormat/>
    <w:uiPriority w:val="0"/>
    <w:rPr>
      <w:i/>
    </w:rPr>
  </w:style>
  <w:style w:type="character" w:styleId="63">
    <w:name w:val="Hyperlink"/>
    <w:autoRedefine/>
    <w:qFormat/>
    <w:uiPriority w:val="99"/>
    <w:rPr>
      <w:color w:val="0000FF"/>
      <w:u w:val="single"/>
    </w:rPr>
  </w:style>
  <w:style w:type="character" w:styleId="64">
    <w:name w:val="annotation reference"/>
    <w:autoRedefine/>
    <w:qFormat/>
    <w:uiPriority w:val="0"/>
    <w:rPr>
      <w:sz w:val="21"/>
      <w:szCs w:val="21"/>
    </w:rPr>
  </w:style>
  <w:style w:type="character" w:styleId="65">
    <w:name w:val="footnote reference"/>
    <w:autoRedefine/>
    <w:qFormat/>
    <w:uiPriority w:val="0"/>
    <w:rPr>
      <w:position w:val="6"/>
      <w:sz w:val="14"/>
      <w:vertAlign w:val="superscript"/>
    </w:rPr>
  </w:style>
  <w:style w:type="paragraph" w:customStyle="1" w:styleId="66">
    <w:name w:val="列出段落1"/>
    <w:autoRedefine/>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character" w:customStyle="1" w:styleId="67">
    <w:name w:val="标题 2 Char"/>
    <w:link w:val="3"/>
    <w:autoRedefine/>
    <w:qFormat/>
    <w:uiPriority w:val="0"/>
    <w:rPr>
      <w:rFonts w:ascii="Arial" w:hAnsi="Arial" w:eastAsia="黑体"/>
      <w:b/>
      <w:kern w:val="2"/>
      <w:sz w:val="32"/>
    </w:rPr>
  </w:style>
  <w:style w:type="character" w:customStyle="1" w:styleId="68">
    <w:name w:val="标题 3 Char"/>
    <w:link w:val="4"/>
    <w:autoRedefine/>
    <w:qFormat/>
    <w:uiPriority w:val="0"/>
    <w:rPr>
      <w:rFonts w:eastAsia="宋体"/>
      <w:b/>
      <w:kern w:val="2"/>
      <w:sz w:val="32"/>
      <w:lang w:val="en-US" w:eastAsia="zh-CN"/>
    </w:rPr>
  </w:style>
  <w:style w:type="character" w:customStyle="1" w:styleId="69">
    <w:name w:val="批注文字 Char"/>
    <w:link w:val="19"/>
    <w:autoRedefine/>
    <w:qFormat/>
    <w:uiPriority w:val="0"/>
    <w:rPr>
      <w:sz w:val="24"/>
    </w:rPr>
  </w:style>
  <w:style w:type="character" w:customStyle="1" w:styleId="70">
    <w:name w:val="正文文本缩进 Char"/>
    <w:link w:val="23"/>
    <w:autoRedefine/>
    <w:qFormat/>
    <w:uiPriority w:val="0"/>
    <w:rPr>
      <w:kern w:val="2"/>
      <w:sz w:val="44"/>
    </w:rPr>
  </w:style>
  <w:style w:type="character" w:customStyle="1" w:styleId="71">
    <w:name w:val="纯文本 Char"/>
    <w:link w:val="30"/>
    <w:autoRedefine/>
    <w:qFormat/>
    <w:uiPriority w:val="0"/>
    <w:rPr>
      <w:rFonts w:ascii="宋体" w:hAnsi="Courier New"/>
      <w:kern w:val="2"/>
      <w:sz w:val="21"/>
    </w:rPr>
  </w:style>
  <w:style w:type="character" w:customStyle="1" w:styleId="72">
    <w:name w:val="日期 Char"/>
    <w:link w:val="32"/>
    <w:autoRedefine/>
    <w:qFormat/>
    <w:uiPriority w:val="0"/>
    <w:rPr>
      <w:kern w:val="2"/>
      <w:sz w:val="28"/>
    </w:rPr>
  </w:style>
  <w:style w:type="character" w:customStyle="1" w:styleId="73">
    <w:name w:val="正文文本缩进 2 Char"/>
    <w:link w:val="33"/>
    <w:autoRedefine/>
    <w:qFormat/>
    <w:uiPriority w:val="0"/>
    <w:rPr>
      <w:kern w:val="2"/>
      <w:sz w:val="28"/>
    </w:rPr>
  </w:style>
  <w:style w:type="character" w:customStyle="1" w:styleId="74">
    <w:name w:val="脚注文本 Char"/>
    <w:link w:val="40"/>
    <w:autoRedefine/>
    <w:qFormat/>
    <w:uiPriority w:val="0"/>
    <w:rPr>
      <w:kern w:val="2"/>
      <w:sz w:val="18"/>
    </w:rPr>
  </w:style>
  <w:style w:type="character" w:customStyle="1" w:styleId="75">
    <w:name w:val="批注主题 Char"/>
    <w:link w:val="54"/>
    <w:autoRedefine/>
    <w:qFormat/>
    <w:uiPriority w:val="0"/>
  </w:style>
  <w:style w:type="character" w:customStyle="1" w:styleId="76">
    <w:name w:val="正文首行缩进 2 Char"/>
    <w:link w:val="56"/>
    <w:autoRedefine/>
    <w:qFormat/>
    <w:uiPriority w:val="0"/>
  </w:style>
  <w:style w:type="character" w:customStyle="1" w:styleId="77">
    <w:name w:val="content-white1"/>
    <w:autoRedefine/>
    <w:qFormat/>
    <w:uiPriority w:val="0"/>
    <w:rPr>
      <w:rFonts w:ascii="_x000B__x000C_" w:hAnsi="_x000B__x000C_"/>
      <w:color w:val="auto"/>
      <w:sz w:val="18"/>
      <w:u w:val="none"/>
    </w:rPr>
  </w:style>
  <w:style w:type="character" w:customStyle="1" w:styleId="78">
    <w:name w:val=" Char Char3"/>
    <w:autoRedefine/>
    <w:qFormat/>
    <w:uiPriority w:val="0"/>
    <w:rPr>
      <w:rFonts w:eastAsia="宋体"/>
      <w:kern w:val="2"/>
      <w:sz w:val="18"/>
      <w:lang w:val="en-US" w:eastAsia="zh-CN"/>
    </w:rPr>
  </w:style>
  <w:style w:type="character" w:customStyle="1" w:styleId="79">
    <w:name w:val="Table Text Char Char Char Char"/>
    <w:link w:val="80"/>
    <w:autoRedefine/>
    <w:qFormat/>
    <w:uiPriority w:val="0"/>
    <w:rPr>
      <w:rFonts w:ascii="Arial" w:hAnsi="Arial"/>
      <w:kern w:val="2"/>
      <w:sz w:val="18"/>
      <w:lang w:val="en-US" w:eastAsia="zh-CN" w:bidi="ar-SA"/>
    </w:rPr>
  </w:style>
  <w:style w:type="paragraph" w:customStyle="1" w:styleId="80">
    <w:name w:val="Table Text Char Char Char"/>
    <w:link w:val="79"/>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 Char Char7"/>
    <w:autoRedefine/>
    <w:qFormat/>
    <w:uiPriority w:val="0"/>
    <w:rPr>
      <w:rFonts w:ascii="宋体" w:hAnsi="宋体" w:eastAsia="宋体"/>
      <w:kern w:val="2"/>
      <w:sz w:val="28"/>
    </w:rPr>
  </w:style>
  <w:style w:type="character" w:customStyle="1" w:styleId="82">
    <w:name w:val="未命名11"/>
    <w:autoRedefine/>
    <w:qFormat/>
    <w:uiPriority w:val="0"/>
    <w:rPr>
      <w:color w:val="77FFFF"/>
      <w:sz w:val="24"/>
    </w:rPr>
  </w:style>
  <w:style w:type="character" w:customStyle="1" w:styleId="83">
    <w:name w:val="小 Char"/>
    <w:autoRedefine/>
    <w:qFormat/>
    <w:uiPriority w:val="0"/>
    <w:rPr>
      <w:rFonts w:ascii="宋体" w:hAnsi="Courier New" w:eastAsia="宋体"/>
      <w:kern w:val="2"/>
      <w:sz w:val="21"/>
      <w:lang w:val="en-US" w:eastAsia="zh-CN" w:bidi="ar-SA"/>
    </w:rPr>
  </w:style>
  <w:style w:type="character" w:customStyle="1" w:styleId="84">
    <w:name w:val="文字 Char"/>
    <w:link w:val="85"/>
    <w:autoRedefine/>
    <w:qFormat/>
    <w:uiPriority w:val="0"/>
    <w:rPr>
      <w:rFonts w:ascii="宋体"/>
      <w:kern w:val="2"/>
      <w:sz w:val="28"/>
    </w:rPr>
  </w:style>
  <w:style w:type="paragraph" w:customStyle="1" w:styleId="85">
    <w:name w:val="文字"/>
    <w:basedOn w:val="1"/>
    <w:link w:val="84"/>
    <w:autoRedefine/>
    <w:qFormat/>
    <w:uiPriority w:val="0"/>
    <w:pPr>
      <w:tabs>
        <w:tab w:val="left" w:pos="8520"/>
      </w:tabs>
      <w:spacing w:line="312" w:lineRule="auto"/>
      <w:ind w:right="-210" w:firstLine="556"/>
    </w:pPr>
    <w:rPr>
      <w:rFonts w:ascii="宋体"/>
    </w:rPr>
  </w:style>
  <w:style w:type="character" w:customStyle="1" w:styleId="86">
    <w:name w:val="v151"/>
    <w:autoRedefine/>
    <w:qFormat/>
    <w:uiPriority w:val="0"/>
    <w:rPr>
      <w:sz w:val="18"/>
    </w:rPr>
  </w:style>
  <w:style w:type="character" w:customStyle="1" w:styleId="87">
    <w:name w:val=" Char Char2"/>
    <w:autoRedefine/>
    <w:qFormat/>
    <w:uiPriority w:val="0"/>
    <w:rPr>
      <w:rFonts w:eastAsia="宋体"/>
      <w:kern w:val="2"/>
      <w:sz w:val="18"/>
      <w:lang w:val="en-US" w:eastAsia="zh-CN"/>
    </w:rPr>
  </w:style>
  <w:style w:type="character" w:customStyle="1" w:styleId="88">
    <w:name w:val="Table Text Char"/>
    <w:link w:val="89"/>
    <w:autoRedefine/>
    <w:qFormat/>
    <w:uiPriority w:val="0"/>
    <w:rPr>
      <w:rFonts w:ascii="Arial" w:hAnsi="Arial"/>
      <w:kern w:val="2"/>
      <w:sz w:val="18"/>
      <w:lang w:val="en-US" w:eastAsia="zh-CN" w:bidi="ar-SA"/>
    </w:rPr>
  </w:style>
  <w:style w:type="paragraph" w:customStyle="1" w:styleId="89">
    <w:name w:val="Table Text"/>
    <w:link w:val="8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autoRedefine/>
    <w:qFormat/>
    <w:uiPriority w:val="0"/>
    <w:rPr>
      <w:rFonts w:ascii="Arial" w:hAnsi="Arial" w:eastAsia="黑体"/>
      <w:kern w:val="2"/>
      <w:sz w:val="18"/>
      <w:lang w:val="en-US" w:eastAsia="zh-CN"/>
    </w:rPr>
  </w:style>
  <w:style w:type="character" w:customStyle="1" w:styleId="91">
    <w:name w:val=" Char Char11"/>
    <w:autoRedefine/>
    <w:qFormat/>
    <w:uiPriority w:val="0"/>
    <w:rPr>
      <w:rFonts w:ascii="宋体"/>
      <w:kern w:val="2"/>
      <w:sz w:val="28"/>
    </w:rPr>
  </w:style>
  <w:style w:type="character" w:customStyle="1" w:styleId="92">
    <w:name w:val="样式 宋体"/>
    <w:autoRedefine/>
    <w:qFormat/>
    <w:uiPriority w:val="0"/>
    <w:rPr>
      <w:rFonts w:ascii="宋体" w:hAnsi="宋体" w:eastAsia="宋体"/>
      <w:sz w:val="28"/>
    </w:rPr>
  </w:style>
  <w:style w:type="character" w:customStyle="1" w:styleId="93">
    <w:name w:val="正文 + 三号 Char"/>
    <w:autoRedefine/>
    <w:qFormat/>
    <w:uiPriority w:val="0"/>
    <w:rPr>
      <w:rFonts w:eastAsia="宋体"/>
      <w:kern w:val="2"/>
      <w:sz w:val="21"/>
      <w:lang w:val="en-US" w:eastAsia="zh-CN"/>
    </w:rPr>
  </w:style>
  <w:style w:type="character" w:customStyle="1" w:styleId="94">
    <w:name w:val="crowed11"/>
    <w:autoRedefine/>
    <w:qFormat/>
    <w:uiPriority w:val="0"/>
    <w:rPr>
      <w:rFonts w:hint="default" w:ascii="_x000B__x000C_" w:hAnsi="_x000B__x000C_"/>
      <w:sz w:val="24"/>
    </w:rPr>
  </w:style>
  <w:style w:type="character" w:customStyle="1" w:styleId="95">
    <w:name w:val="font1"/>
    <w:uiPriority w:val="0"/>
    <w:rPr>
      <w:color w:val="000000"/>
      <w:sz w:val="18"/>
    </w:rPr>
  </w:style>
  <w:style w:type="character" w:customStyle="1" w:styleId="96">
    <w:name w:val="H2 Char"/>
    <w:qFormat/>
    <w:uiPriority w:val="0"/>
    <w:rPr>
      <w:rFonts w:ascii="Arial" w:hAnsi="Arial" w:eastAsia="宋体"/>
      <w:kern w:val="2"/>
      <w:sz w:val="28"/>
      <w:lang w:val="en-US" w:eastAsia="zh-CN"/>
    </w:rPr>
  </w:style>
  <w:style w:type="character" w:customStyle="1" w:styleId="97">
    <w:name w:val=" Char Char4"/>
    <w:uiPriority w:val="0"/>
    <w:rPr>
      <w:rFonts w:eastAsia="宋体"/>
      <w:b/>
      <w:kern w:val="2"/>
      <w:sz w:val="21"/>
      <w:lang w:val="en-US" w:eastAsia="zh-CN"/>
    </w:rPr>
  </w:style>
  <w:style w:type="character" w:customStyle="1" w:styleId="98">
    <w:name w:val="title_emph1"/>
    <w:uiPriority w:val="0"/>
    <w:rPr>
      <w:rFonts w:hint="default" w:ascii="Arial" w:hAnsi="Arial"/>
      <w:b/>
      <w:sz w:val="20"/>
    </w:rPr>
  </w:style>
  <w:style w:type="character" w:customStyle="1" w:styleId="99">
    <w:name w:val=" Char Char6"/>
    <w:uiPriority w:val="0"/>
    <w:rPr>
      <w:rFonts w:ascii="仿宋_GB2312" w:eastAsia="仿宋_GB2312"/>
      <w:kern w:val="2"/>
      <w:sz w:val="32"/>
    </w:rPr>
  </w:style>
  <w:style w:type="character" w:customStyle="1" w:styleId="100">
    <w:name w:val="top-det1"/>
    <w:qFormat/>
    <w:uiPriority w:val="0"/>
    <w:rPr>
      <w:b/>
      <w:color w:val="000000"/>
    </w:rPr>
  </w:style>
  <w:style w:type="character" w:customStyle="1" w:styleId="101">
    <w:name w:val=" Char Char5"/>
    <w:autoRedefine/>
    <w:qFormat/>
    <w:uiPriority w:val="0"/>
    <w:rPr>
      <w:rFonts w:ascii="Arial" w:hAnsi="Arial" w:eastAsia="宋体"/>
      <w:b/>
      <w:smallCaps/>
      <w:kern w:val="28"/>
      <w:sz w:val="36"/>
      <w:lang w:val="en-US" w:eastAsia="en-US"/>
    </w:rPr>
  </w:style>
  <w:style w:type="character" w:customStyle="1" w:styleId="102">
    <w:name w:val="标书正文:  0.74 厘米 Char1"/>
    <w:autoRedefine/>
    <w:qFormat/>
    <w:uiPriority w:val="0"/>
    <w:rPr>
      <w:rFonts w:eastAsia="宋体"/>
      <w:kern w:val="2"/>
      <w:sz w:val="24"/>
      <w:lang w:val="en-US" w:eastAsia="zh-CN"/>
    </w:rPr>
  </w:style>
  <w:style w:type="character" w:customStyle="1" w:styleId="103">
    <w:name w:val="Table Text Char1 Char"/>
    <w:autoRedefine/>
    <w:qFormat/>
    <w:uiPriority w:val="0"/>
    <w:rPr>
      <w:rFonts w:ascii="Arial" w:hAnsi="Arial"/>
      <w:kern w:val="2"/>
      <w:sz w:val="18"/>
      <w:lang w:val="en-US" w:eastAsia="zh-CN" w:bidi="ar-SA"/>
    </w:rPr>
  </w:style>
  <w:style w:type="character" w:customStyle="1" w:styleId="104">
    <w:name w:val=" Char Char"/>
    <w:qFormat/>
    <w:uiPriority w:val="0"/>
    <w:rPr>
      <w:rFonts w:ascii="宋体" w:hAnsi="宋体" w:eastAsia="宋体"/>
      <w:kern w:val="2"/>
      <w:sz w:val="24"/>
      <w:lang w:val="en-US" w:eastAsia="zh-CN" w:bidi="ar-SA"/>
    </w:rPr>
  </w:style>
  <w:style w:type="paragraph" w:customStyle="1" w:styleId="105">
    <w:name w:val="IN Feature"/>
    <w:next w:val="106"/>
    <w:uiPriority w:val="0"/>
    <w:pPr>
      <w:keepNext/>
      <w:keepLines/>
      <w:spacing w:before="240" w:after="240"/>
      <w:outlineLvl w:val="7"/>
    </w:pPr>
    <w:rPr>
      <w:rFonts w:ascii="Arial" w:hAnsi="Arial" w:eastAsia="黑体" w:cs="Times New Roman"/>
      <w:sz w:val="21"/>
      <w:lang w:val="en-US" w:eastAsia="zh-CN" w:bidi="ar-SA"/>
    </w:rPr>
  </w:style>
  <w:style w:type="paragraph" w:customStyle="1" w:styleId="106">
    <w:name w:val="IN Step"/>
    <w:basedOn w:val="1"/>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7">
    <w:name w:val="表文字"/>
    <w:autoRedefine/>
    <w:qFormat/>
    <w:uiPriority w:val="0"/>
    <w:rPr>
      <w:rFonts w:ascii="宋体" w:hAnsi="Times New Roman" w:eastAsia="宋体" w:cs="Times New Roman"/>
      <w:kern w:val="2"/>
      <w:lang w:val="en-US" w:eastAsia="zh-CN" w:bidi="ar-SA"/>
    </w:rPr>
  </w:style>
  <w:style w:type="paragraph" w:customStyle="1" w:styleId="10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10">
    <w:name w:val="Char1 Char Char Char"/>
    <w:basedOn w:val="1"/>
    <w:qFormat/>
    <w:uiPriority w:val="0"/>
    <w:rPr>
      <w:rFonts w:ascii="Tahoma" w:hAnsi="Tahoma"/>
      <w:sz w:val="30"/>
    </w:rPr>
  </w:style>
  <w:style w:type="paragraph" w:customStyle="1" w:styleId="111">
    <w:name w:val="二级列表"/>
    <w:basedOn w:val="112"/>
    <w:next w:val="112"/>
    <w:uiPriority w:val="0"/>
    <w:pPr>
      <w:tabs>
        <w:tab w:val="left" w:pos="2120"/>
      </w:tabs>
      <w:ind w:firstLine="0" w:firstLineChars="0"/>
    </w:pPr>
    <w:rPr>
      <w:b/>
    </w:rPr>
  </w:style>
  <w:style w:type="paragraph" w:customStyle="1" w:styleId="112">
    <w:name w:val="段落正文"/>
    <w:basedOn w:val="1"/>
    <w:uiPriority w:val="0"/>
    <w:pPr>
      <w:spacing w:before="156" w:beforeLines="50" w:beforeAutospacing="0" w:line="360" w:lineRule="auto"/>
      <w:ind w:firstLine="200" w:firstLineChars="200"/>
    </w:pPr>
    <w:rPr>
      <w:spacing w:val="2"/>
      <w:sz w:val="24"/>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1.正文"/>
    <w:basedOn w:val="1"/>
    <w:qFormat/>
    <w:uiPriority w:val="0"/>
    <w:pPr>
      <w:spacing w:line="360" w:lineRule="auto"/>
      <w:ind w:left="540" w:leftChars="225" w:firstLine="540" w:firstLineChars="225"/>
    </w:pPr>
    <w:rPr>
      <w:sz w:val="24"/>
    </w:rPr>
  </w:style>
  <w:style w:type="paragraph" w:customStyle="1" w:styleId="115">
    <w:name w:val="内容标题"/>
    <w:basedOn w:val="17"/>
    <w:qFormat/>
    <w:uiPriority w:val="0"/>
    <w:rPr>
      <w:rFonts w:ascii="Tahoma" w:hAnsi="Tahoma"/>
      <w:sz w:val="24"/>
    </w:rPr>
  </w:style>
  <w:style w:type="paragraph" w:customStyle="1" w:styleId="116">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7">
    <w:name w:val="表头"/>
    <w:basedOn w:val="118"/>
    <w:uiPriority w:val="0"/>
    <w:pPr>
      <w:jc w:val="center"/>
    </w:pPr>
    <w:rPr>
      <w:b/>
      <w:bCs/>
    </w:rPr>
  </w:style>
  <w:style w:type="paragraph" w:customStyle="1" w:styleId="118">
    <w:name w:val="表格正文"/>
    <w:basedOn w:val="1"/>
    <w:uiPriority w:val="0"/>
    <w:rPr>
      <w:rFonts w:ascii="Calibri" w:hAnsi="Calibri" w:eastAsia="仿宋" w:cs="宋体"/>
      <w:sz w:val="24"/>
    </w:rPr>
  </w:style>
  <w:style w:type="paragraph" w:customStyle="1" w:styleId="119">
    <w:name w:val="正文1"/>
    <w:basedOn w:val="1"/>
    <w:qFormat/>
    <w:uiPriority w:val="0"/>
    <w:pPr>
      <w:spacing w:line="300" w:lineRule="auto"/>
      <w:ind w:firstLine="200" w:firstLineChars="200"/>
    </w:pPr>
    <w:rPr>
      <w:sz w:val="24"/>
    </w:rPr>
  </w:style>
  <w:style w:type="paragraph" w:customStyle="1" w:styleId="120">
    <w:name w:val="附录1"/>
    <w:basedOn w:val="1"/>
    <w:next w:val="1"/>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uiPriority w:val="0"/>
    <w:pPr>
      <w:adjustRightInd w:val="0"/>
      <w:snapToGrid w:val="0"/>
      <w:spacing w:after="120" w:afterLines="0" w:afterAutospacing="0"/>
      <w:ind w:firstLine="540" w:firstLineChars="257"/>
    </w:pPr>
    <w:rPr>
      <w:sz w:val="21"/>
    </w:rPr>
  </w:style>
  <w:style w:type="paragraph" w:customStyle="1" w:styleId="122">
    <w:name w:val="正文字缩2字"/>
    <w:basedOn w:val="1"/>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4">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Title - Date"/>
    <w:basedOn w:val="53"/>
    <w:next w:val="1"/>
    <w:uiPriority w:val="0"/>
    <w:pPr>
      <w:spacing w:before="240" w:beforeLines="0" w:beforeAutospacing="0" w:after="720" w:afterLines="0" w:afterAutospacing="0"/>
    </w:pPr>
    <w:rPr>
      <w:sz w:val="28"/>
    </w:rPr>
  </w:style>
  <w:style w:type="paragraph" w:customStyle="1" w:styleId="126">
    <w:name w:val="xl23"/>
    <w:basedOn w:val="1"/>
    <w:uiPriority w:val="0"/>
    <w:pPr>
      <w:widowControl/>
      <w:spacing w:before="100" w:beforeLines="0" w:beforeAutospacing="1" w:after="100" w:afterLines="0" w:afterAutospacing="1" w:line="360" w:lineRule="auto"/>
      <w:textAlignment w:val="top"/>
    </w:pPr>
    <w:rPr>
      <w:kern w:val="0"/>
      <w:sz w:val="24"/>
    </w:rPr>
  </w:style>
  <w:style w:type="paragraph" w:customStyle="1" w:styleId="127">
    <w:name w:val="没有缩进（为图形使用）"/>
    <w:basedOn w:val="1"/>
    <w:uiPriority w:val="0"/>
    <w:pPr>
      <w:spacing w:before="120" w:beforeLines="0" w:beforeAutospacing="0" w:after="120" w:afterLines="0" w:afterAutospacing="0" w:line="360" w:lineRule="auto"/>
    </w:pPr>
    <w:rPr>
      <w:sz w:val="24"/>
    </w:rPr>
  </w:style>
  <w:style w:type="paragraph" w:customStyle="1" w:styleId="128">
    <w:name w:val=" Char1 Char Char Char"/>
    <w:basedOn w:val="1"/>
    <w:uiPriority w:val="0"/>
    <w:rPr>
      <w:rFonts w:ascii="Tahoma" w:hAnsi="Tahoma"/>
      <w:sz w:val="24"/>
    </w:rPr>
  </w:style>
  <w:style w:type="paragraph" w:customStyle="1" w:styleId="129">
    <w:name w:val=" Char1"/>
    <w:basedOn w:val="1"/>
    <w:qFormat/>
    <w:uiPriority w:val="0"/>
    <w:rPr>
      <w:sz w:val="21"/>
    </w:rPr>
  </w:style>
  <w:style w:type="paragraph" w:customStyle="1" w:styleId="130">
    <w:name w:val="表头样式"/>
    <w:basedOn w:val="1"/>
    <w:qFormat/>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5"/>
    <w:qFormat/>
    <w:uiPriority w:val="0"/>
    <w:pPr>
      <w:ind w:firstLine="480" w:firstLineChars="200"/>
    </w:pPr>
  </w:style>
  <w:style w:type="paragraph" w:customStyle="1" w:styleId="132">
    <w:name w:val="样式4"/>
    <w:basedOn w:val="5"/>
    <w:uiPriority w:val="0"/>
    <w:pPr>
      <w:adjustRightInd w:val="0"/>
      <w:snapToGrid w:val="0"/>
    </w:pPr>
  </w:style>
  <w:style w:type="paragraph" w:customStyle="1" w:styleId="133">
    <w:name w:val="Body Text Indent 2"/>
    <w:basedOn w:val="1"/>
    <w:uiPriority w:val="0"/>
    <w:pPr>
      <w:adjustRightInd w:val="0"/>
      <w:spacing w:before="120" w:beforeLines="0" w:beforeAutospacing="0"/>
      <w:ind w:firstLine="420"/>
      <w:textAlignment w:val="baseline"/>
    </w:pPr>
    <w:rPr>
      <w:sz w:val="24"/>
    </w:rPr>
  </w:style>
  <w:style w:type="paragraph" w:customStyle="1" w:styleId="134">
    <w:name w:val="首行缩进 1"/>
    <w:basedOn w:val="1"/>
    <w:uiPriority w:val="0"/>
    <w:pPr>
      <w:spacing w:after="120" w:afterLines="0" w:afterAutospacing="0" w:line="360" w:lineRule="auto"/>
      <w:ind w:firstLine="200" w:firstLineChars="200"/>
    </w:pPr>
    <w:rPr>
      <w:sz w:val="24"/>
    </w:rPr>
  </w:style>
  <w:style w:type="paragraph" w:customStyle="1" w:styleId="135">
    <w:name w:val="样式 首行缩进:  0.74 厘米"/>
    <w:basedOn w:val="1"/>
    <w:uiPriority w:val="0"/>
    <w:pPr>
      <w:spacing w:line="360" w:lineRule="auto"/>
      <w:ind w:firstLine="420"/>
    </w:pPr>
    <w:rPr>
      <w:sz w:val="24"/>
    </w:rPr>
  </w:style>
  <w:style w:type="paragraph" w:customStyle="1" w:styleId="136">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 Char Char Char Char Char Char1 Char"/>
    <w:basedOn w:val="1"/>
    <w:uiPriority w:val="0"/>
    <w:pPr>
      <w:widowControl/>
      <w:spacing w:after="160" w:afterLines="0" w:afterAutospacing="0" w:line="240" w:lineRule="exact"/>
      <w:jc w:val="left"/>
    </w:pPr>
    <w:rPr>
      <w:rFonts w:ascii="Verdana" w:hAnsi="Verdana"/>
      <w:kern w:val="0"/>
      <w:sz w:val="21"/>
      <w:lang w:eastAsia="en-US"/>
    </w:rPr>
  </w:style>
  <w:style w:type="paragraph" w:customStyle="1" w:styleId="139">
    <w:name w:val="Title - Revision"/>
    <w:basedOn w:val="53"/>
    <w:uiPriority w:val="0"/>
    <w:pPr>
      <w:spacing w:before="720" w:beforeLines="0" w:beforeAutospacing="0"/>
    </w:pPr>
  </w:style>
  <w:style w:type="paragraph" w:customStyle="1" w:styleId="140">
    <w:name w:val="文本框样式1"/>
    <w:basedOn w:val="1"/>
    <w:uiPriority w:val="0"/>
    <w:pPr>
      <w:adjustRightInd w:val="0"/>
      <w:snapToGrid w:val="0"/>
      <w:spacing w:before="60" w:beforeLines="0" w:beforeAutospacing="0" w:line="180" w:lineRule="exact"/>
      <w:jc w:val="center"/>
    </w:pPr>
    <w:rPr>
      <w:sz w:val="21"/>
    </w:rPr>
  </w:style>
  <w:style w:type="paragraph" w:customStyle="1" w:styleId="141">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next w:val="30"/>
    <w:qFormat/>
    <w:uiPriority w:val="0"/>
    <w:rPr>
      <w:rFonts w:ascii="宋体" w:hAnsi="Courier New"/>
      <w:sz w:val="21"/>
    </w:rPr>
  </w:style>
  <w:style w:type="paragraph" w:customStyle="1" w:styleId="143">
    <w:name w:val="Table Contents"/>
    <w:basedOn w:val="22"/>
    <w:uiPriority w:val="0"/>
    <w:pPr>
      <w:suppressAutoHyphens/>
      <w:jc w:val="left"/>
    </w:pPr>
    <w:rPr>
      <w:rFonts w:ascii="Times New Roman" w:eastAsia="Times New Roman"/>
      <w:kern w:val="0"/>
      <w:sz w:val="24"/>
    </w:rPr>
  </w:style>
  <w:style w:type="paragraph" w:customStyle="1" w:styleId="144">
    <w:name w:val="Item Step in Table"/>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5">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6">
    <w:name w:val="Char Char Char Char Char Char Char"/>
    <w:basedOn w:val="17"/>
    <w:uiPriority w:val="0"/>
    <w:rPr>
      <w:rFonts w:ascii="宋体" w:hAnsi="Tahoma"/>
    </w:rPr>
  </w:style>
  <w:style w:type="paragraph" w:customStyle="1" w:styleId="147">
    <w:name w:val="默认段落字体 Para Char Char Char Char Char Char Char Char Char1 Char Char Char Char"/>
    <w:basedOn w:val="1"/>
    <w:autoRedefine/>
    <w:qFormat/>
    <w:uiPriority w:val="0"/>
    <w:rPr>
      <w:rFonts w:ascii="Tahoma" w:hAnsi="Tahoma"/>
      <w:sz w:val="24"/>
    </w:rPr>
  </w:style>
  <w:style w:type="paragraph" w:customStyle="1" w:styleId="148">
    <w:name w:val="标题无"/>
    <w:basedOn w:val="1"/>
    <w:autoRedefine/>
    <w:qFormat/>
    <w:uiPriority w:val="0"/>
    <w:pPr>
      <w:spacing w:line="360" w:lineRule="auto"/>
    </w:pPr>
    <w:rPr>
      <w:sz w:val="24"/>
    </w:rPr>
  </w:style>
  <w:style w:type="paragraph" w:customStyle="1" w:styleId="149">
    <w:name w:val="样式1"/>
    <w:basedOn w:val="5"/>
    <w:uiPriority w:val="0"/>
    <w:pPr>
      <w:tabs>
        <w:tab w:val="left" w:pos="720"/>
      </w:tabs>
      <w:spacing w:before="500" w:beforeLines="0" w:beforeAutospacing="0" w:after="260" w:afterLines="0" w:afterAutospacing="0" w:line="560" w:lineRule="atLeast"/>
      <w:ind w:left="420" w:hanging="420"/>
    </w:pPr>
  </w:style>
  <w:style w:type="paragraph" w:customStyle="1" w:styleId="150">
    <w:name w:val="二级条标题"/>
    <w:basedOn w:val="151"/>
    <w:next w:val="153"/>
    <w:uiPriority w:val="0"/>
    <w:pPr>
      <w:ind w:left="840"/>
      <w:outlineLvl w:val="3"/>
    </w:pPr>
  </w:style>
  <w:style w:type="paragraph" w:customStyle="1" w:styleId="151">
    <w:name w:val="一级条标题"/>
    <w:basedOn w:val="152"/>
    <w:next w:val="153"/>
    <w:uiPriority w:val="0"/>
    <w:pPr>
      <w:numPr>
        <w:ilvl w:val="1"/>
        <w:numId w:val="0"/>
      </w:numPr>
      <w:spacing w:before="0" w:beforeLines="0" w:beforeAutospacing="0" w:after="0" w:afterLines="0" w:afterAutospacing="0"/>
      <w:ind w:left="525"/>
      <w:outlineLvl w:val="2"/>
    </w:pPr>
    <w:rPr>
      <w:sz w:val="21"/>
    </w:rPr>
  </w:style>
  <w:style w:type="paragraph" w:customStyle="1" w:styleId="152">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uiPriority w:val="0"/>
    <w:pPr>
      <w:spacing w:line="360" w:lineRule="auto"/>
    </w:pPr>
    <w:rPr>
      <w:rFonts w:eastAsia="黑体"/>
      <w:sz w:val="20"/>
    </w:rPr>
  </w:style>
  <w:style w:type="paragraph" w:customStyle="1" w:styleId="156">
    <w:name w:val="样式2"/>
    <w:basedOn w:val="5"/>
    <w:uiPriority w:val="0"/>
    <w:pPr>
      <w:numPr>
        <w:ilvl w:val="0"/>
        <w:numId w:val="6"/>
      </w:numPr>
      <w:spacing w:before="560" w:beforeLines="0" w:line="400" w:lineRule="exact"/>
      <w:jc w:val="center"/>
      <w:outlineLvl w:val="0"/>
    </w:pPr>
    <w:rPr>
      <w:b w:val="0"/>
      <w:sz w:val="44"/>
    </w:rPr>
  </w:style>
  <w:style w:type="paragraph" w:customStyle="1" w:styleId="157">
    <w:name w:val="表头文本"/>
    <w:uiPriority w:val="0"/>
    <w:pPr>
      <w:jc w:val="center"/>
    </w:pPr>
    <w:rPr>
      <w:rFonts w:ascii="Arial" w:hAnsi="Arial" w:eastAsia="宋体" w:cs="Times New Roman"/>
      <w:b/>
      <w:sz w:val="21"/>
      <w:lang w:val="en-US" w:eastAsia="zh-CN" w:bidi="ar-SA"/>
    </w:rPr>
  </w:style>
  <w:style w:type="paragraph" w:customStyle="1" w:styleId="158">
    <w:name w:val="_Style 157"/>
    <w:qFormat/>
    <w:uiPriority w:val="0"/>
    <w:rPr>
      <w:rFonts w:ascii="Times New Roman" w:hAnsi="Times New Roman" w:eastAsia="宋体" w:cs="Times New Roman"/>
      <w:kern w:val="2"/>
      <w:sz w:val="21"/>
      <w:lang w:val="en-US" w:eastAsia="zh-CN" w:bidi="ar-SA"/>
    </w:rPr>
  </w:style>
  <w:style w:type="paragraph" w:customStyle="1" w:styleId="15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1">
    <w:name w:val="附录4"/>
    <w:basedOn w:val="1"/>
    <w:next w:val="1"/>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65">
    <w:name w:val=" Char Char1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66">
    <w:name w:val="Char Char Char Char"/>
    <w:basedOn w:val="1"/>
    <w:uiPriority w:val="0"/>
    <w:pPr>
      <w:pageBreakBefore/>
      <w:widowControl/>
      <w:spacing w:after="160" w:afterLines="0" w:line="240" w:lineRule="exact"/>
      <w:jc w:val="left"/>
    </w:pPr>
    <w:rPr>
      <w:rFonts w:ascii="Verdana" w:hAnsi="Verdana"/>
      <w:kern w:val="0"/>
      <w:sz w:val="20"/>
      <w:lang w:eastAsia="en-US"/>
    </w:rPr>
  </w:style>
  <w:style w:type="paragraph" w:customStyle="1" w:styleId="167">
    <w:name w:val="样式1xz"/>
    <w:basedOn w:val="1"/>
    <w:uiPriority w:val="0"/>
    <w:pPr>
      <w:tabs>
        <w:tab w:val="left" w:pos="1050"/>
        <w:tab w:val="right" w:leader="dot" w:pos="8296"/>
      </w:tabs>
    </w:pPr>
    <w:rPr>
      <w:caps/>
      <w:spacing w:val="20"/>
      <w:sz w:val="24"/>
    </w:rPr>
  </w:style>
  <w:style w:type="paragraph" w:customStyle="1" w:styleId="168">
    <w:name w:val="样式 宋体 五号 行距: 单倍行距"/>
    <w:basedOn w:val="1"/>
    <w:qFormat/>
    <w:uiPriority w:val="0"/>
    <w:pPr>
      <w:adjustRightInd w:val="0"/>
      <w:jc w:val="left"/>
    </w:pPr>
    <w:rPr>
      <w:rFonts w:ascii="宋体" w:hAnsi="宋体"/>
      <w:kern w:val="0"/>
      <w:sz w:val="21"/>
    </w:rPr>
  </w:style>
  <w:style w:type="paragraph" w:customStyle="1" w:styleId="169">
    <w:name w:val="图片文字"/>
    <w:basedOn w:val="1"/>
    <w:uiPriority w:val="0"/>
    <w:pPr>
      <w:spacing w:line="240" w:lineRule="atLeast"/>
      <w:jc w:val="center"/>
    </w:pPr>
    <w:rPr>
      <w:sz w:val="21"/>
    </w:rPr>
  </w:style>
  <w:style w:type="paragraph" w:customStyle="1" w:styleId="170">
    <w:name w:val="Char"/>
    <w:basedOn w:val="1"/>
    <w:autoRedefine/>
    <w:qFormat/>
    <w:uiPriority w:val="0"/>
    <w:pPr>
      <w:spacing w:line="240" w:lineRule="atLeast"/>
      <w:ind w:left="420" w:firstLine="420"/>
    </w:pPr>
    <w:rPr>
      <w:kern w:val="0"/>
      <w:sz w:val="21"/>
    </w:rPr>
  </w:style>
  <w:style w:type="paragraph" w:customStyle="1" w:styleId="171">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2">
    <w:name w:val="Note"/>
    <w:basedOn w:val="1"/>
    <w:uiPriority w:val="0"/>
    <w:pPr>
      <w:pBdr>
        <w:top w:val="single" w:color="auto" w:sz="12" w:space="3"/>
        <w:bottom w:val="single" w:color="auto" w:sz="12" w:space="3"/>
      </w:pBdr>
      <w:spacing w:line="360" w:lineRule="auto"/>
    </w:pPr>
    <w:rPr>
      <w:sz w:val="24"/>
    </w:rPr>
  </w:style>
  <w:style w:type="paragraph" w:customStyle="1" w:styleId="173">
    <w:name w:val=" Char"/>
    <w:basedOn w:val="1"/>
    <w:qFormat/>
    <w:uiPriority w:val="0"/>
    <w:pPr>
      <w:spacing w:line="240" w:lineRule="atLeast"/>
      <w:ind w:left="420" w:firstLine="420"/>
    </w:pPr>
    <w:rPr>
      <w:kern w:val="0"/>
      <w:sz w:val="21"/>
    </w:rPr>
  </w:style>
  <w:style w:type="paragraph" w:customStyle="1" w:styleId="174">
    <w:name w:val=" Char Char Char"/>
    <w:basedOn w:val="1"/>
    <w:uiPriority w:val="0"/>
    <w:rPr>
      <w:rFonts w:ascii="Tahoma" w:hAnsi="Tahoma"/>
      <w:sz w:val="24"/>
    </w:rPr>
  </w:style>
  <w:style w:type="paragraph" w:customStyle="1" w:styleId="175">
    <w:name w:val=" Char Char1"/>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76">
    <w:name w:val="标书正文:  0.74 厘米"/>
    <w:basedOn w:val="1"/>
    <w:uiPriority w:val="0"/>
    <w:pPr>
      <w:snapToGrid w:val="0"/>
      <w:spacing w:line="360" w:lineRule="auto"/>
      <w:ind w:firstLine="420"/>
    </w:pPr>
    <w:rPr>
      <w:sz w:val="24"/>
    </w:rPr>
  </w:style>
  <w:style w:type="paragraph" w:customStyle="1" w:styleId="177">
    <w:name w:val=" Char Char 字元 字元 字元 Char Char Char Char"/>
    <w:basedOn w:val="1"/>
    <w:uiPriority w:val="0"/>
    <w:pPr>
      <w:adjustRightInd w:val="0"/>
      <w:spacing w:line="360" w:lineRule="auto"/>
    </w:pPr>
    <w:rPr>
      <w:kern w:val="0"/>
      <w:sz w:val="24"/>
    </w:rPr>
  </w:style>
  <w:style w:type="paragraph" w:customStyle="1" w:styleId="178">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9">
    <w:name w:val="列表项目"/>
    <w:basedOn w:val="1"/>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1">
    <w:name w:val=" Char Char14 Char Char"/>
    <w:basedOn w:val="1"/>
    <w:uiPriority w:val="0"/>
    <w:rPr>
      <w:sz w:val="21"/>
      <w:szCs w:val="24"/>
    </w:rPr>
  </w:style>
  <w:style w:type="paragraph" w:customStyle="1" w:styleId="182">
    <w:name w:val="表号"/>
    <w:basedOn w:val="1"/>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3">
    <w:name w:val="可研正文"/>
    <w:basedOn w:val="22"/>
    <w:qFormat/>
    <w:uiPriority w:val="0"/>
    <w:pPr>
      <w:adjustRightInd w:val="0"/>
      <w:snapToGrid w:val="0"/>
      <w:spacing w:line="440" w:lineRule="exact"/>
      <w:ind w:firstLine="567"/>
    </w:pPr>
    <w:rPr>
      <w:sz w:val="28"/>
    </w:rPr>
  </w:style>
  <w:style w:type="paragraph" w:customStyle="1" w:styleId="184">
    <w:name w:val="标题2"/>
    <w:basedOn w:val="3"/>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5">
    <w:name w:val="首行缩进"/>
    <w:basedOn w:val="1"/>
    <w:uiPriority w:val="0"/>
    <w:pPr>
      <w:numPr>
        <w:ilvl w:val="0"/>
        <w:numId w:val="8"/>
      </w:numPr>
      <w:spacing w:line="360" w:lineRule="auto"/>
    </w:pPr>
    <w:rPr>
      <w:rFonts w:eastAsia="仿宋_GB2312"/>
    </w:rPr>
  </w:style>
  <w:style w:type="paragraph" w:customStyle="1" w:styleId="186">
    <w:name w:val="样式 宋体 五号 两端对齐 行距: 单倍行距"/>
    <w:basedOn w:val="1"/>
    <w:uiPriority w:val="0"/>
    <w:pPr>
      <w:adjustRightInd w:val="0"/>
      <w:textAlignment w:val="baseline"/>
    </w:pPr>
    <w:rPr>
      <w:rFonts w:ascii="宋体" w:hAnsi="宋体"/>
      <w:kern w:val="0"/>
      <w:sz w:val="21"/>
    </w:rPr>
  </w:style>
  <w:style w:type="paragraph" w:customStyle="1" w:styleId="187">
    <w:name w:val="正文 + 三号"/>
    <w:basedOn w:val="1"/>
    <w:qFormat/>
    <w:uiPriority w:val="0"/>
    <w:rPr>
      <w:sz w:val="21"/>
    </w:rPr>
  </w:style>
  <w:style w:type="paragraph" w:customStyle="1" w:styleId="188">
    <w:name w:val=" Char Char1 Char"/>
    <w:basedOn w:val="1"/>
    <w:autoRedefine/>
    <w:qFormat/>
    <w:uiPriority w:val="0"/>
    <w:rPr>
      <w:rFonts w:ascii="Tahoma" w:hAnsi="Tahoma"/>
      <w:sz w:val="24"/>
      <w:szCs w:val="24"/>
    </w:rPr>
  </w:style>
  <w:style w:type="paragraph" w:customStyle="1" w:styleId="189">
    <w:name w:val="style1"/>
    <w:basedOn w:val="1"/>
    <w:autoRedefine/>
    <w:uiPriority w:val="0"/>
    <w:pPr>
      <w:widowControl/>
      <w:spacing w:before="100" w:beforeLines="0" w:beforeAutospacing="1" w:after="100" w:afterLines="0" w:afterAutospacing="1"/>
      <w:jc w:val="left"/>
    </w:pPr>
    <w:rPr>
      <w:rFonts w:ascii="宋体" w:hAnsi="宋体"/>
      <w:kern w:val="0"/>
      <w:sz w:val="21"/>
    </w:rPr>
  </w:style>
  <w:style w:type="paragraph" w:customStyle="1" w:styleId="190">
    <w:name w:val="正文格式 Char"/>
    <w:basedOn w:val="1"/>
    <w:autoRedefine/>
    <w:uiPriority w:val="0"/>
    <w:pPr>
      <w:widowControl/>
      <w:adjustRightInd w:val="0"/>
      <w:spacing w:line="440" w:lineRule="atLeast"/>
      <w:ind w:firstLine="510"/>
      <w:textAlignment w:val="baseline"/>
    </w:pPr>
    <w:rPr>
      <w:kern w:val="0"/>
      <w:sz w:val="24"/>
    </w:rPr>
  </w:style>
  <w:style w:type="paragraph" w:customStyle="1" w:styleId="19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2">
    <w:name w:val="bt"/>
    <w:basedOn w:val="1"/>
    <w:next w:val="22"/>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3">
    <w:name w:val="样式 正文首行缩进 2 + 首行缩进:  2 字符"/>
    <w:basedOn w:val="1"/>
    <w:autoRedefine/>
    <w:qFormat/>
    <w:uiPriority w:val="0"/>
    <w:pPr>
      <w:numPr>
        <w:ilvl w:val="0"/>
        <w:numId w:val="9"/>
      </w:numPr>
      <w:adjustRightInd w:val="0"/>
      <w:snapToGrid w:val="0"/>
      <w:spacing w:line="360" w:lineRule="auto"/>
    </w:pPr>
    <w:rPr>
      <w:rFonts w:ascii="Arial" w:hAnsi="Arial"/>
      <w:b/>
      <w:sz w:val="24"/>
    </w:rPr>
  </w:style>
  <w:style w:type="paragraph" w:customStyle="1" w:styleId="194">
    <w:name w:val="司法正文"/>
    <w:autoRedefine/>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摘要"/>
    <w:basedOn w:val="1"/>
    <w:next w:val="3"/>
    <w:autoRedefine/>
    <w:qFormat/>
    <w:uiPriority w:val="0"/>
    <w:pPr>
      <w:spacing w:line="360" w:lineRule="auto"/>
    </w:pPr>
    <w:rPr>
      <w:rFonts w:eastAsia="黑体"/>
      <w:sz w:val="20"/>
    </w:rPr>
  </w:style>
  <w:style w:type="paragraph" w:customStyle="1" w:styleId="19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qFormat/>
    <w:uiPriority w:val="0"/>
    <w:pPr>
      <w:autoSpaceDE w:val="0"/>
      <w:autoSpaceDN w:val="0"/>
      <w:adjustRightInd w:val="0"/>
      <w:spacing w:line="360" w:lineRule="auto"/>
      <w:jc w:val="left"/>
    </w:pPr>
    <w:rPr>
      <w:kern w:val="0"/>
      <w:sz w:val="21"/>
    </w:rPr>
  </w:style>
  <w:style w:type="paragraph" w:customStyle="1" w:styleId="198">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autoRedefine/>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操作步骤"/>
    <w:basedOn w:val="1"/>
    <w:autoRedefine/>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 Char2 Char Char Char Char Char Char"/>
    <w:basedOn w:val="1"/>
    <w:uiPriority w:val="0"/>
    <w:rPr>
      <w:rFonts w:ascii="仿宋_GB2312"/>
      <w:b/>
      <w:sz w:val="30"/>
    </w:rPr>
  </w:style>
  <w:style w:type="paragraph" w:customStyle="1" w:styleId="203">
    <w:name w:val="简单回函地址"/>
    <w:basedOn w:val="1"/>
    <w:autoRedefine/>
    <w:qFormat/>
    <w:uiPriority w:val="0"/>
    <w:pPr>
      <w:adjustRightInd w:val="0"/>
      <w:snapToGrid w:val="0"/>
      <w:spacing w:line="360" w:lineRule="auto"/>
    </w:pPr>
    <w:rPr>
      <w:sz w:val="24"/>
    </w:rPr>
  </w:style>
  <w:style w:type="paragraph" w:customStyle="1" w:styleId="204">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2"/>
    <w:autoRedefine/>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6">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7">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10">
    <w:name w:val="文本1"/>
    <w:basedOn w:val="1"/>
    <w:autoRedefine/>
    <w:qFormat/>
    <w:uiPriority w:val="0"/>
    <w:pPr>
      <w:adjustRightInd w:val="0"/>
      <w:spacing w:line="312" w:lineRule="atLeast"/>
      <w:jc w:val="center"/>
      <w:textAlignment w:val="baseline"/>
    </w:pPr>
    <w:rPr>
      <w:kern w:val="0"/>
      <w:sz w:val="18"/>
    </w:rPr>
  </w:style>
  <w:style w:type="paragraph" w:customStyle="1" w:styleId="211">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2">
    <w:name w:val="样式3"/>
    <w:basedOn w:val="2"/>
    <w:next w:val="2"/>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3">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4"/>
    <w:next w:val="55"/>
    <w:autoRedefine/>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5">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autoRedefine/>
    <w:qFormat/>
    <w:uiPriority w:val="0"/>
    <w:pPr>
      <w:numPr>
        <w:ilvl w:val="0"/>
        <w:numId w:val="0"/>
      </w:numPr>
      <w:tabs>
        <w:tab w:val="left" w:pos="851"/>
      </w:tabs>
      <w:ind w:left="425" w:hanging="425"/>
      <w:outlineLvl w:val="2"/>
    </w:pPr>
    <w:rPr>
      <w:rFonts w:eastAsia="黑体"/>
      <w:b/>
      <w:sz w:val="32"/>
    </w:rPr>
  </w:style>
  <w:style w:type="paragraph" w:customStyle="1" w:styleId="217">
    <w:name w:val="Item List"/>
    <w:autoRedefine/>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9">
    <w:name w:val=" Char Char Char1 Char Char Char Char Char Char Char Char Char Char Char Char Char"/>
    <w:basedOn w:val="1"/>
    <w:autoRedefine/>
    <w:uiPriority w:val="0"/>
    <w:pPr>
      <w:widowControl/>
      <w:spacing w:after="160" w:afterLines="0" w:line="240" w:lineRule="exact"/>
      <w:jc w:val="left"/>
    </w:pPr>
    <w:rPr>
      <w:rFonts w:ascii="Verdana" w:hAnsi="Verdana"/>
      <w:kern w:val="0"/>
      <w:sz w:val="18"/>
      <w:lang w:eastAsia="en-US"/>
    </w:rPr>
  </w:style>
  <w:style w:type="paragraph" w:customStyle="1" w:styleId="220">
    <w:name w:val="af"/>
    <w:basedOn w:val="1"/>
    <w:autoRedefine/>
    <w:qFormat/>
    <w:uiPriority w:val="0"/>
    <w:pPr>
      <w:widowControl/>
      <w:spacing w:line="300" w:lineRule="atLeast"/>
      <w:jc w:val="left"/>
    </w:pPr>
    <w:rPr>
      <w:rFonts w:ascii="宋体" w:hAnsi="宋体"/>
      <w:kern w:val="0"/>
      <w:sz w:val="18"/>
    </w:rPr>
  </w:style>
  <w:style w:type="paragraph" w:customStyle="1" w:styleId="221">
    <w:name w:val="文章正文"/>
    <w:basedOn w:val="1"/>
    <w:autoRedefine/>
    <w:qFormat/>
    <w:uiPriority w:val="0"/>
    <w:pPr>
      <w:ind w:firstLine="560" w:firstLineChars="200"/>
    </w:pPr>
    <w:rPr>
      <w:rFonts w:ascii="仿宋_GB2312" w:hAnsi="宋体" w:eastAsia="仿宋_GB2312"/>
      <w:color w:val="000000"/>
    </w:rPr>
  </w:style>
  <w:style w:type="paragraph" w:customStyle="1" w:styleId="222">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3">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4">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5">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7">
    <w:name w:val="正文4"/>
    <w:basedOn w:val="1"/>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8">
    <w:name w:val="默认段落字体 Para Char Char Char Char Char Char Char"/>
    <w:basedOn w:val="1"/>
    <w:autoRedefine/>
    <w:qFormat/>
    <w:uiPriority w:val="0"/>
    <w:rPr>
      <w:rFonts w:ascii="Tahoma" w:hAnsi="Tahoma"/>
      <w:sz w:val="24"/>
    </w:rPr>
  </w:style>
  <w:style w:type="paragraph" w:customStyle="1" w:styleId="229">
    <w:name w:val="编号正文"/>
    <w:basedOn w:val="198"/>
    <w:autoRedefine/>
    <w:qFormat/>
    <w:uiPriority w:val="0"/>
    <w:pPr>
      <w:snapToGrid/>
      <w:spacing w:line="360" w:lineRule="auto"/>
      <w:ind w:left="1407" w:hanging="1047"/>
      <w:jc w:val="left"/>
    </w:pPr>
    <w:rPr>
      <w:rFonts w:eastAsia="仿宋_GB2312"/>
    </w:rPr>
  </w:style>
  <w:style w:type="paragraph" w:customStyle="1" w:styleId="230">
    <w:name w:val="表格内文字"/>
    <w:basedOn w:val="30"/>
    <w:autoRedefine/>
    <w:uiPriority w:val="0"/>
    <w:pPr>
      <w:adjustRightInd w:val="0"/>
    </w:pPr>
    <w:rPr>
      <w:color w:val="000000"/>
      <w:lang w:val="en-GB"/>
    </w:rPr>
  </w:style>
  <w:style w:type="paragraph" w:customStyle="1" w:styleId="231">
    <w:name w:val="样式 行距: 1.5 倍行距1"/>
    <w:basedOn w:val="1"/>
    <w:autoRedefine/>
    <w:qFormat/>
    <w:uiPriority w:val="0"/>
    <w:pPr>
      <w:snapToGrid w:val="0"/>
    </w:pPr>
    <w:rPr>
      <w:sz w:val="21"/>
    </w:rPr>
  </w:style>
  <w:style w:type="paragraph" w:customStyle="1" w:styleId="232">
    <w:name w:val=" Char Char Char Char Char Char Char"/>
    <w:basedOn w:val="1"/>
    <w:autoRedefine/>
    <w:qFormat/>
    <w:uiPriority w:val="0"/>
    <w:rPr>
      <w:rFonts w:ascii="Tahoma" w:hAnsi="Tahoma"/>
      <w:sz w:val="24"/>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qFormat/>
    <w:uiPriority w:val="0"/>
    <w:pPr>
      <w:adjustRightInd w:val="0"/>
      <w:spacing w:before="40" w:beforeLines="0" w:beforeAutospacing="0" w:after="40" w:afterLines="0" w:afterAutospacing="0"/>
    </w:pPr>
    <w:rPr>
      <w:sz w:val="24"/>
    </w:rPr>
  </w:style>
  <w:style w:type="paragraph" w:customStyle="1" w:styleId="235">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6">
    <w:name w:val=" Char Char Char Char Char Char Char Char Char Char Char Char Char Char Char Char"/>
    <w:basedOn w:val="1"/>
    <w:uiPriority w:val="0"/>
    <w:pPr>
      <w:tabs>
        <w:tab w:val="left" w:pos="360"/>
      </w:tabs>
    </w:pPr>
    <w:rPr>
      <w:sz w:val="24"/>
    </w:rPr>
  </w:style>
  <w:style w:type="paragraph" w:customStyle="1" w:styleId="237">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3"/>
    <w:autoRedefine/>
    <w:qFormat/>
    <w:uiPriority w:val="0"/>
    <w:pPr>
      <w:spacing w:before="60" w:beforeLines="0" w:after="60" w:afterLines="0" w:line="360" w:lineRule="auto"/>
      <w:ind w:left="0" w:firstLine="482"/>
    </w:pPr>
    <w:rPr>
      <w:rFonts w:ascii="Arial" w:hAnsi="Arial"/>
      <w:sz w:val="24"/>
    </w:rPr>
  </w:style>
  <w:style w:type="character" w:customStyle="1" w:styleId="239">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4&#24180;&#24230;&#33337;&#33334;&#20445;&#38505;WJ2024001\&#37325;&#24198;&#24066;&#20044;&#27743;&#33322;&#36947;&#31649;&#29702;&#22788;&#20851;&#20110;2024&#24180;&#24230;&#33337;&#33334;&#20445;&#38505;&#39033;&#30446;&#38480;&#39069;&#20197;&#19979;&#27604;&#20215;&#37319;&#36141;&#25991;&#20214;(5).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重庆市乌江航道管理处关于2024年度船舶保险项目限额以下比价采购文件(5).docx</Template>
  <Pages>32</Pages>
  <Words>11241</Words>
  <Characters>12371</Characters>
  <Lines>93</Lines>
  <Paragraphs>26</Paragraphs>
  <TotalTime>15</TotalTime>
  <ScaleCrop>false</ScaleCrop>
  <LinksUpToDate>false</LinksUpToDate>
  <CharactersWithSpaces>13415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2024-03-05T06:22:00Z</dcterms:created>
  <dc:creator>剪夏罗</dc:creator>
  <cp:lastModifiedBy>剪夏罗</cp:lastModifiedBy>
  <dcterms:modified xsi:type="dcterms:W3CDTF">2024-03-05T06:25:11Z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629149556FF54CA8A298CBD3045D8DF6_11</vt:lpwstr>
  </property>
</Properties>
</file>