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bookmarkStart w:id="241" w:name="_GoBack"/>
      <w:bookmarkEnd w:id="241"/>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r>
        <w:rPr>
          <w:rFonts w:hint="eastAsia" w:ascii="黑体" w:eastAsia="黑体"/>
          <w:sz w:val="32"/>
        </w:rPr>
        <w:t>(第二次)</w:t>
      </w: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1440" w:firstLineChars="4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项目名称:50米趸船液压跳板建造</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二〇二四年三月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2789052"/>
      <w:bookmarkStart w:id="1" w:name="_Toc11641050"/>
      <w:bookmarkStart w:id="2" w:name="_Toc24817"/>
      <w:bookmarkStart w:id="3" w:name="_Toc15726"/>
      <w:bookmarkStart w:id="4" w:name="_Toc65660329"/>
      <w:bookmarkStart w:id="5" w:name="_Toc24173"/>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根据工作需要，重庆市合川航道管理处对50米趸船液压跳板建造采购项目进行限额以下比价采购。欢迎有资格的供应商前来参加报价。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313893526"/>
      <w:bookmarkStart w:id="8" w:name="_Toc7758"/>
      <w:bookmarkStart w:id="9" w:name="_Toc18246"/>
      <w:bookmarkStart w:id="10" w:name="_Toc26091"/>
      <w:bookmarkStart w:id="11" w:name="_Toc317775175"/>
      <w:bookmarkStart w:id="12" w:name="_Toc106034770"/>
      <w:bookmarkStart w:id="13" w:name="_Toc65660330"/>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1"/>
                <w:szCs w:val="21"/>
              </w:rPr>
              <w:t>50米趸船跳板制作安装</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134366元</w:t>
            </w:r>
            <w:r>
              <w:rPr>
                <w:rFonts w:ascii="方正仿宋_GBK" w:hAnsi="宋体" w:eastAsia="方正仿宋_GBK"/>
                <w:sz w:val="21"/>
                <w:szCs w:val="21"/>
              </w:rPr>
              <w:t xml:space="preserve">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106034771"/>
      <w:bookmarkStart w:id="16" w:name="_Toc3256"/>
      <w:bookmarkStart w:id="17" w:name="_Toc27028"/>
      <w:bookmarkStart w:id="18" w:name="_Toc4424"/>
      <w:bookmarkStart w:id="19" w:name="_Toc6566033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64731996"/>
      <w:bookmarkStart w:id="23" w:name="_Toc20867"/>
      <w:bookmarkStart w:id="24" w:name="_Toc18548"/>
      <w:bookmarkStart w:id="25" w:name="_Toc65660332"/>
      <w:bookmarkStart w:id="26" w:name="_Toc106034772"/>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65660333"/>
      <w:bookmarkStart w:id="29" w:name="_Toc13903"/>
      <w:bookmarkStart w:id="30" w:name="_Toc11908"/>
      <w:bookmarkStart w:id="31" w:name="_Toc106034773"/>
      <w:bookmarkStart w:id="32" w:name="_Toc1386"/>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（四）提交响应文件截止时间：2024年3月8日北京时间09时至09时30分。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（五）评审开始时间：2024年3月8日北京时间09时30分。</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4728"/>
      <w:bookmarkStart w:id="34" w:name="_Toc65660336"/>
      <w:bookmarkStart w:id="35" w:name="_Toc106034776"/>
      <w:bookmarkStart w:id="36" w:name="_Toc16269"/>
      <w:bookmarkStart w:id="37" w:name="_Toc6563"/>
      <w:bookmarkStart w:id="38" w:name="_Toc521053055"/>
      <w:bookmarkStart w:id="39" w:name="_Toc525047163"/>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733"/>
      <w:bookmarkStart w:id="41" w:name="_Toc106034777"/>
      <w:bookmarkStart w:id="42" w:name="_Toc10415"/>
      <w:bookmarkStart w:id="43" w:name="_Toc525047164"/>
      <w:bookmarkStart w:id="44" w:name="_Toc65660337"/>
      <w:bookmarkStart w:id="45" w:name="_Toc1552"/>
      <w:bookmarkStart w:id="46" w:name="_Toc521053056"/>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联系人：赵老师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话：023-42894334</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址：重庆市合川区药市街81号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11327"/>
      <w:bookmarkStart w:id="49" w:name="_Toc14516"/>
      <w:bookmarkStart w:id="50" w:name="_Toc106034778"/>
      <w:bookmarkStart w:id="51" w:name="_Toc6566033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采购人因生产工作需要，50米航道工作趸船制作安装10米铝合金液压跳板一套，跳板结构尺寸及技术材料要求详见附图。</w:t>
      </w:r>
    </w:p>
    <w:p>
      <w:pPr>
        <w:pStyle w:val="2"/>
        <w:adjustRightInd w:val="0"/>
        <w:snapToGrid w:val="0"/>
        <w:spacing w:before="0" w:after="0" w:line="400" w:lineRule="exact"/>
        <w:ind w:firstLine="482"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供应商为采购人提供50米航道工作趸船10米铝合金液压跳板制作安装服务，服务内容包括提供本项目所需的所有设施设备、材料、人工、运输、及船体修复、出渣清洁、税费、管理费、安全文明施工费等。</w:t>
      </w:r>
      <w:r>
        <w:rPr>
          <w:rFonts w:ascii="方正仿宋_GBK" w:hAnsi="宋体" w:eastAsia="方正仿宋_GBK"/>
          <w:sz w:val="24"/>
          <w:szCs w:val="24"/>
        </w:rPr>
        <w:t xml:space="preserve"> </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（1）供应商按图纸要求的技术参数提供材料、设备并按图制作安装跳板。</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（2）供应商制作安装的跳板外形美观整洁，焊缝均匀平顺，毛刺打磨光滑。</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（3）跳板工程完工后需进行负荷试验，试验结果满足技术要求。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（4）跳板整体安装调试完成后满足采购人使用要求。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（5）项目涉及船体部分应按船舶规范施工，施工完成后做好修复工作。</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（5）供应商应建立健全安全保证体系，制作安装工作中应遵守《安全生产法》及其它安全法规，并对安装制作工程中的安全生产工作负责。</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（6）针对性的制定相应的环境保护措施，严格控制三废“废气、废水、废渣”的排放，减少对生态环境的不利影响。</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3.服务标准：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（1）焊接技术规范参照“船舶”规范。</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（2）管系安装符合CB1102.3-85《船用液压系统通用技术条件.配管》。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（3）其它图纸要求的规范标准。</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44475116"/>
      <w:bookmarkStart w:id="56" w:name="_Toc313536013"/>
      <w:bookmarkStart w:id="57" w:name="_Toc106030881"/>
      <w:bookmarkStart w:id="58" w:name="_Toc76462326"/>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1.质量要求：达到施工图纸要求的技术规范。</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四、服务工程量清单</w:t>
      </w:r>
    </w:p>
    <w:p/>
    <w:tbl>
      <w:tblPr>
        <w:tblStyle w:val="11"/>
        <w:tblW w:w="9226" w:type="dxa"/>
        <w:tblInd w:w="96" w:type="dxa"/>
        <w:tblLayout w:type="autofit"/>
        <w:tblCellMar>
          <w:top w:w="0" w:type="dxa"/>
          <w:left w:w="108" w:type="dxa"/>
          <w:bottom w:w="0" w:type="dxa"/>
          <w:right w:w="108" w:type="dxa"/>
        </w:tblCellMar>
      </w:tblPr>
      <w:tblGrid>
        <w:gridCol w:w="824"/>
        <w:gridCol w:w="3016"/>
        <w:gridCol w:w="1417"/>
        <w:gridCol w:w="1418"/>
        <w:gridCol w:w="2551"/>
      </w:tblGrid>
      <w:tr>
        <w:trPr>
          <w:trHeight w:val="402"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序号</w:t>
            </w:r>
          </w:p>
        </w:tc>
        <w:tc>
          <w:tcPr>
            <w:tcW w:w="301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单位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数量</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一、</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材料费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（一）</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板材</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1</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6</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315.4</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2</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8</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623.6</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3</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10</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411.8</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4</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12</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69.2</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（二）</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型材</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扁钢10×100</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179.2</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扁钢14×200</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399.6</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L56×36×5</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108.1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4</w:t>
            </w:r>
          </w:p>
        </w:tc>
        <w:tc>
          <w:tcPr>
            <w:tcW w:w="3016"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L90×56×5</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51.5</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576"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5</w:t>
            </w:r>
          </w:p>
        </w:tc>
        <w:tc>
          <w:tcPr>
            <w:tcW w:w="3016"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φ22×2.5</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30</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船用无缝钢管25米</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（三）</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管材</w:t>
            </w:r>
          </w:p>
        </w:tc>
        <w:tc>
          <w:tcPr>
            <w:tcW w:w="1417"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1</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φ89×5</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69.0</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2</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φ108×8</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92.6</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（四）</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肘板及零星材料</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135.0</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（五）</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焊接材料</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85.9</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（六）</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油漆</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61.4</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船用油漆</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（七）</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玻璃</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m2</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17</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6+6钢化夹胶玻璃</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（八）</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工艺损耗</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563"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（九）</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辅料及耗材</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含电缆、焊接气体，水、电、打磨片，切割片、结构胶等</w:t>
            </w:r>
          </w:p>
        </w:tc>
      </w:tr>
      <w:tr>
        <w:tblPrEx>
          <w:tblCellMar>
            <w:top w:w="0" w:type="dxa"/>
            <w:left w:w="108" w:type="dxa"/>
            <w:bottom w:w="0" w:type="dxa"/>
            <w:right w:w="108" w:type="dxa"/>
          </w:tblCellMar>
        </w:tblPrEx>
        <w:trPr>
          <w:trHeight w:val="415"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（十）</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铝合金跳板</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板</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1.8m×10m</w:t>
            </w:r>
          </w:p>
        </w:tc>
      </w:tr>
      <w:tr>
        <w:tblPrEx>
          <w:tblCellMar>
            <w:top w:w="0" w:type="dxa"/>
            <w:left w:w="108" w:type="dxa"/>
            <w:bottom w:w="0" w:type="dxa"/>
            <w:right w:w="108" w:type="dxa"/>
          </w:tblCellMar>
        </w:tblPrEx>
        <w:trPr>
          <w:trHeight w:val="691"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（十一）</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YT125—2.2/5型跳板提升液压机构（包含液压泵站）</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套</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液压泵站安装于空舱1内（30#-50#）</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二、</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人工费及运输费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708"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钢质结构、涂装，跳板提升机构及液压泵站安装</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玻璃安装人工费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搬运、运输费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三、</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其它费用</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清洁、除渣费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安全、环保施工措施费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立柱包覆装修费</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504"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4</w:t>
            </w:r>
          </w:p>
        </w:tc>
        <w:tc>
          <w:tcPr>
            <w:tcW w:w="301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主甲板舷侧装修拆除、恢复</w:t>
            </w:r>
          </w:p>
        </w:tc>
        <w:tc>
          <w:tcPr>
            <w:tcW w:w="1417"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141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55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bookmarkEnd w:id="59"/>
    </w:tbl>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523"/>
      <w:bookmarkStart w:id="61" w:name="_Toc65660341"/>
      <w:bookmarkStart w:id="62" w:name="_Toc13356"/>
      <w:bookmarkStart w:id="63" w:name="_Toc15492"/>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2935"/>
      <w:bookmarkStart w:id="66" w:name="_Toc106034782"/>
      <w:bookmarkStart w:id="67" w:name="_Toc17750"/>
      <w:bookmarkStart w:id="68" w:name="_Toc13555"/>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（一）服务期：合同签订之日起30日历天。</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（二）服务地点：合川航道管理处中心航道基地。</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（三）验收方式：供应商制作安装调试完成后，采购人现场验收。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65660343"/>
      <w:bookmarkStart w:id="72" w:name="_Toc24110"/>
      <w:bookmarkStart w:id="73" w:name="_Toc1838"/>
      <w:bookmarkStart w:id="74" w:name="_Toc8103"/>
      <w:bookmarkStart w:id="75" w:name="_Toc10603478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6974"/>
      <w:bookmarkStart w:id="77" w:name="_Toc1218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本项目采取固定总价的报价方式，报价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，包括完成本项目所需的人力、材料、运输、安全环保费用以及各种应纳的税</w:t>
      </w:r>
      <w:r>
        <w:rPr>
          <w:rFonts w:hint="eastAsia" w:ascii="方正仿宋_GBK" w:hAnsi="宋体" w:eastAsia="方正仿宋_GBK" w:cs="宋体"/>
          <w:kern w:val="0"/>
          <w:sz w:val="24"/>
          <w:szCs w:val="24"/>
        </w:rPr>
        <w:t>费</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106034785"/>
      <w:bookmarkStart w:id="82" w:name="_Toc65660345"/>
      <w:bookmarkStart w:id="83" w:name="_Toc9192"/>
      <w:bookmarkStart w:id="84" w:name="_Toc11000"/>
      <w:bookmarkStart w:id="85" w:name="_Toc7562"/>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r>
        <w:rPr>
          <w:rFonts w:hint="eastAsia" w:ascii="方正仿宋_GBK" w:hAnsi="宋体" w:eastAsia="方正仿宋_GBK"/>
          <w:sz w:val="24"/>
          <w:szCs w:val="24"/>
        </w:rPr>
        <w:t>项目验收合格后供应商开具相应合同金额发票，采购人凭发票一次性支付全部合同款。</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bookmarkStart w:id="88" w:name="_Toc24751"/>
      <w:bookmarkStart w:id="89" w:name="_Toc7228"/>
      <w:bookmarkStart w:id="90" w:name="_Toc65660346"/>
      <w:bookmarkStart w:id="91" w:name="_Toc3786"/>
      <w:bookmarkStart w:id="92" w:name="_Toc106034786"/>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6565"/>
      <w:bookmarkStart w:id="94" w:name="_Toc106034787"/>
      <w:bookmarkStart w:id="95" w:name="_Toc65660347"/>
      <w:bookmarkStart w:id="96" w:name="_Toc5555"/>
      <w:bookmarkStart w:id="97" w:name="_Toc6869"/>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947"/>
      <w:bookmarkStart w:id="99" w:name="_Toc19427"/>
      <w:bookmarkStart w:id="100" w:name="_Toc31910"/>
      <w:bookmarkStart w:id="101" w:name="_Toc108013105"/>
      <w:bookmarkStart w:id="102" w:name="_Toc18104"/>
      <w:bookmarkStart w:id="103" w:name="_Toc25707"/>
      <w:bookmarkStart w:id="104" w:name="_Toc2954"/>
      <w:bookmarkStart w:id="105" w:name="_Toc466546918"/>
      <w:bookmarkStart w:id="106" w:name="_Toc31659"/>
      <w:bookmarkStart w:id="107" w:name="_Toc65660348"/>
      <w:bookmarkStart w:id="108" w:name="_Toc21248"/>
      <w:bookmarkStart w:id="109" w:name="_Toc106034788"/>
      <w:bookmarkStart w:id="110" w:name="_Toc23902"/>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106034789"/>
      <w:bookmarkStart w:id="113" w:name="_Toc31282"/>
      <w:bookmarkStart w:id="114" w:name="_Toc65660349"/>
      <w:bookmarkStart w:id="115" w:name="_Toc24195"/>
      <w:bookmarkStart w:id="116" w:name="_Toc16123"/>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5167"/>
      <w:bookmarkStart w:id="118" w:name="_Toc9361"/>
      <w:bookmarkStart w:id="119" w:name="_Toc64732012"/>
      <w:bookmarkStart w:id="120" w:name="_Toc106034790"/>
      <w:bookmarkStart w:id="121" w:name="_Toc27932"/>
      <w:bookmarkStart w:id="122" w:name="_Toc6566035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64732013"/>
      <w:bookmarkStart w:id="124" w:name="_Toc30639"/>
      <w:bookmarkStart w:id="125" w:name="_Toc106034791"/>
      <w:bookmarkStart w:id="126" w:name="_Toc5149"/>
      <w:bookmarkStart w:id="127" w:name="_Toc65660351"/>
      <w:bookmarkStart w:id="128" w:name="_Toc11713"/>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65660352"/>
      <w:bookmarkStart w:id="130" w:name="_Toc12644"/>
      <w:bookmarkStart w:id="131" w:name="_Toc29113"/>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22716"/>
      <w:bookmarkStart w:id="136" w:name="_Toc28422"/>
      <w:bookmarkStart w:id="137" w:name="_Toc29298"/>
      <w:bookmarkStart w:id="138" w:name="_Toc106034793"/>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106034794"/>
      <w:bookmarkStart w:id="140" w:name="_Toc10768"/>
      <w:bookmarkStart w:id="141" w:name="_Toc65660354"/>
      <w:bookmarkStart w:id="142" w:name="_Toc20055"/>
      <w:bookmarkStart w:id="143" w:name="_Toc8916"/>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2864"/>
      <w:bookmarkStart w:id="145" w:name="_Toc16524"/>
      <w:bookmarkStart w:id="146" w:name="_Toc5290"/>
      <w:bookmarkStart w:id="147" w:name="_Toc106034795"/>
      <w:bookmarkStart w:id="148" w:name="_Toc65660355"/>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65660356"/>
      <w:bookmarkStart w:id="150" w:name="_Toc31739"/>
      <w:bookmarkStart w:id="151" w:name="_Toc5915"/>
      <w:bookmarkStart w:id="152" w:name="_Toc31070"/>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9532"/>
      <w:bookmarkStart w:id="155" w:name="_Toc1922"/>
      <w:bookmarkStart w:id="156" w:name="_Toc65660357"/>
      <w:bookmarkStart w:id="157" w:name="_Toc3061"/>
      <w:bookmarkStart w:id="158" w:name="_Toc10603479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4702"/>
      <w:bookmarkStart w:id="160" w:name="_Toc65660358"/>
      <w:bookmarkStart w:id="161" w:name="_Toc6242"/>
      <w:bookmarkStart w:id="162" w:name="_Toc106034798"/>
      <w:bookmarkStart w:id="163" w:name="_Toc10172"/>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59"/>
      <w:bookmarkStart w:id="165" w:name="_Toc29821"/>
      <w:bookmarkStart w:id="166" w:name="_Toc10504"/>
      <w:bookmarkStart w:id="167" w:name="_Toc106034799"/>
      <w:bookmarkStart w:id="168" w:name="_Toc1092"/>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10"/>
      <w:bookmarkStart w:id="170" w:name="_Toc30909"/>
      <w:bookmarkStart w:id="171" w:name="_Toc106034800"/>
      <w:bookmarkStart w:id="172" w:name="_Toc31082"/>
      <w:bookmarkStart w:id="173" w:name="_Toc6566036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23778"/>
      <w:bookmarkStart w:id="175" w:name="_Toc3127"/>
      <w:bookmarkStart w:id="176" w:name="_Toc65660361"/>
      <w:bookmarkStart w:id="177" w:name="_Toc106034801"/>
      <w:bookmarkStart w:id="178" w:name="_Toc16648"/>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106034802"/>
      <w:bookmarkStart w:id="180" w:name="_Toc77"/>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9513"/>
      <w:bookmarkStart w:id="182" w:name="_Toc32594"/>
      <w:bookmarkStart w:id="183" w:name="_Toc65660362"/>
      <w:bookmarkStart w:id="184" w:name="_Toc2438"/>
      <w:bookmarkStart w:id="185" w:name="_Toc10603480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1641055"/>
      <w:bookmarkStart w:id="187" w:name="_Toc12789059"/>
      <w:bookmarkStart w:id="188" w:name="_Toc10599"/>
      <w:bookmarkStart w:id="189" w:name="_Toc106034806"/>
      <w:bookmarkStart w:id="190" w:name="_Toc28162"/>
      <w:bookmarkStart w:id="191" w:name="_Toc14861"/>
      <w:bookmarkStart w:id="192" w:name="_Toc65660365"/>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固定总价，合计人民币（小写）：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固定总价，合计人民币（大写）：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12789072"/>
      <w:bookmarkStart w:id="197" w:name="_Toc6968"/>
      <w:bookmarkStart w:id="198" w:name="_Toc106034807"/>
      <w:bookmarkStart w:id="199" w:name="_Toc65660378"/>
      <w:bookmarkStart w:id="200" w:name="_Toc9538"/>
      <w:bookmarkStart w:id="201" w:name="_Toc18521"/>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342913419"/>
      <w:bookmarkStart w:id="203" w:name="_Toc313888360"/>
      <w:bookmarkStart w:id="204" w:name="_Toc313008356"/>
      <w:bookmarkStart w:id="205" w:name="_Toc26343"/>
      <w:bookmarkStart w:id="206" w:name="_Toc14244"/>
      <w:bookmarkStart w:id="207" w:name="_Toc65660379"/>
      <w:bookmarkStart w:id="208" w:name="_Toc106034808"/>
      <w:bookmarkStart w:id="209" w:name="_Toc30982"/>
      <w:bookmarkStart w:id="210" w:name="_Toc283382454"/>
      <w:bookmarkStart w:id="211" w:name="_Toc12789073"/>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8960" w:type="dxa"/>
        <w:tblInd w:w="96" w:type="dxa"/>
        <w:tblLayout w:type="autofit"/>
        <w:tblCellMar>
          <w:top w:w="0" w:type="dxa"/>
          <w:left w:w="108" w:type="dxa"/>
          <w:bottom w:w="0" w:type="dxa"/>
          <w:right w:w="108" w:type="dxa"/>
        </w:tblCellMar>
      </w:tblPr>
      <w:tblGrid>
        <w:gridCol w:w="824"/>
        <w:gridCol w:w="2200"/>
        <w:gridCol w:w="626"/>
        <w:gridCol w:w="812"/>
        <w:gridCol w:w="1360"/>
        <w:gridCol w:w="1380"/>
        <w:gridCol w:w="1758"/>
      </w:tblGrid>
      <w:tr>
        <w:tblPrEx>
          <w:tblCellMar>
            <w:top w:w="0" w:type="dxa"/>
            <w:left w:w="108" w:type="dxa"/>
            <w:bottom w:w="0" w:type="dxa"/>
            <w:right w:w="108" w:type="dxa"/>
          </w:tblCellMar>
        </w:tblPrEx>
        <w:trPr>
          <w:trHeight w:val="402" w:hRule="atLeast"/>
        </w:trPr>
        <w:tc>
          <w:tcPr>
            <w:tcW w:w="8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序号</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名称</w:t>
            </w:r>
          </w:p>
        </w:tc>
        <w:tc>
          <w:tcPr>
            <w:tcW w:w="62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单位</w:t>
            </w:r>
          </w:p>
        </w:tc>
        <w:tc>
          <w:tcPr>
            <w:tcW w:w="81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数量</w:t>
            </w:r>
          </w:p>
        </w:tc>
        <w:tc>
          <w:tcPr>
            <w:tcW w:w="13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单价（元）</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总价（元）</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一、</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材料费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（一）</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板材</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6</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315.4</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2</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8</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623.6</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3</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10</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411.8</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4</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δ</w:t>
            </w:r>
            <w:r>
              <w:rPr>
                <w:rFonts w:hint="eastAsia" w:ascii="仿宋_GB2312" w:hAnsi="宋体" w:eastAsia="仿宋_GB2312" w:cs="宋体"/>
                <w:color w:val="000000"/>
                <w:kern w:val="0"/>
                <w:sz w:val="24"/>
                <w:szCs w:val="24"/>
              </w:rPr>
              <w:t>12</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69.2</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（二）</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型材</w:t>
            </w:r>
          </w:p>
        </w:tc>
        <w:tc>
          <w:tcPr>
            <w:tcW w:w="626"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扁钢10×100</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179.2</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扁钢14×200</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399.6</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L56×36×5</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108.1</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4</w:t>
            </w:r>
          </w:p>
        </w:tc>
        <w:tc>
          <w:tcPr>
            <w:tcW w:w="2200"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L90×56×5</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51.5</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CCS-A</w:t>
            </w:r>
          </w:p>
        </w:tc>
      </w:tr>
      <w:tr>
        <w:tblPrEx>
          <w:tblCellMar>
            <w:top w:w="0" w:type="dxa"/>
            <w:left w:w="108" w:type="dxa"/>
            <w:bottom w:w="0" w:type="dxa"/>
            <w:right w:w="108" w:type="dxa"/>
          </w:tblCellMar>
        </w:tblPrEx>
        <w:trPr>
          <w:trHeight w:val="576"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5</w:t>
            </w:r>
          </w:p>
        </w:tc>
        <w:tc>
          <w:tcPr>
            <w:tcW w:w="2200" w:type="dxa"/>
            <w:tcBorders>
              <w:top w:val="nil"/>
              <w:left w:val="nil"/>
              <w:bottom w:val="single" w:color="auto" w:sz="4" w:space="0"/>
              <w:right w:val="single" w:color="auto" w:sz="4" w:space="0"/>
            </w:tcBorders>
            <w:shd w:val="clear" w:color="000000"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φ22×2.5</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r>
              <w:rPr>
                <w:rFonts w:hint="eastAsia" w:ascii="等线" w:hAnsi="宋体" w:eastAsia="等线" w:cs="宋体"/>
                <w:color w:val="000000"/>
                <w:kern w:val="0"/>
                <w:sz w:val="22"/>
                <w:szCs w:val="22"/>
              </w:rPr>
              <w:t>30</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船用无缝钢管25米</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（三）</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管材</w:t>
            </w:r>
          </w:p>
        </w:tc>
        <w:tc>
          <w:tcPr>
            <w:tcW w:w="626" w:type="dxa"/>
            <w:tcBorders>
              <w:top w:val="nil"/>
              <w:left w:val="nil"/>
              <w:bottom w:val="single" w:color="auto" w:sz="4" w:space="0"/>
              <w:right w:val="single" w:color="auto" w:sz="4" w:space="0"/>
            </w:tcBorders>
            <w:shd w:val="clear" w:color="auto" w:fill="auto"/>
            <w:noWrap/>
            <w:vAlign w:val="center"/>
          </w:tcPr>
          <w:p>
            <w:pPr>
              <w:widowControl/>
              <w:rPr>
                <w:rFonts w:ascii="等线" w:hAnsi="宋体" w:eastAsia="等线" w:cs="宋体"/>
                <w:color w:val="000000"/>
                <w:kern w:val="0"/>
                <w:sz w:val="22"/>
                <w:szCs w:val="22"/>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φ89×5</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69.0</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2</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φ108×8</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92.6</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（四）</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肘板及零星材料</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135.0</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（五）</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焊接材料</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85.9</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（六）</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油漆</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kg</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61.4</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船用油漆</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（七）</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玻璃</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m2</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17</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6+6钢化夹胶玻璃</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（八）</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工艺损耗</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1044"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（九）</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辅料及耗材</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含电缆、焊接气体，水、电、打磨片，切割片、结构胶等</w:t>
            </w:r>
          </w:p>
        </w:tc>
      </w:tr>
      <w:tr>
        <w:tblPrEx>
          <w:tblCellMar>
            <w:top w:w="0" w:type="dxa"/>
            <w:left w:w="108" w:type="dxa"/>
            <w:bottom w:w="0" w:type="dxa"/>
            <w:right w:w="108" w:type="dxa"/>
          </w:tblCellMar>
        </w:tblPrEx>
        <w:trPr>
          <w:trHeight w:val="439"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（十）</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铝合金跳板</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板</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1.8m×10m</w:t>
            </w:r>
          </w:p>
        </w:tc>
      </w:tr>
      <w:tr>
        <w:tblPrEx>
          <w:tblCellMar>
            <w:top w:w="0" w:type="dxa"/>
            <w:left w:w="108" w:type="dxa"/>
            <w:bottom w:w="0" w:type="dxa"/>
            <w:right w:w="108" w:type="dxa"/>
          </w:tblCellMar>
        </w:tblPrEx>
        <w:trPr>
          <w:trHeight w:val="864"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（十一）</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YT125—2.2/5型跳板提升液压机构（包含液压泵站）</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套</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液压泵站安装于空舱1内（30#-50#）</w:t>
            </w: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二、</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人工费及运输费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708"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钢质结构、涂装，跳板提升机构及液压泵站安装</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玻璃安装人工费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搬运、运输费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三、</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其它费用</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清洁、除渣费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2</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安全、环保施工措施费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402"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3</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立柱包覆装修费</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504" w:hRule="atLeast"/>
        </w:trPr>
        <w:tc>
          <w:tcPr>
            <w:tcW w:w="82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4</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主甲板舷侧装修拆除、恢复</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项</w:t>
            </w: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1</w:t>
            </w: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360" w:hRule="atLeast"/>
        </w:trPr>
        <w:tc>
          <w:tcPr>
            <w:tcW w:w="82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cs="宋体"/>
                <w:kern w:val="0"/>
                <w:sz w:val="20"/>
              </w:rPr>
            </w:pPr>
            <w:r>
              <w:rPr>
                <w:rFonts w:hint="eastAsia" w:ascii="宋体" w:hAnsi="宋体" w:cs="宋体"/>
                <w:kern w:val="0"/>
                <w:sz w:val="20"/>
              </w:rPr>
              <w:t>四、</w:t>
            </w:r>
          </w:p>
        </w:tc>
        <w:tc>
          <w:tcPr>
            <w:tcW w:w="220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r>
              <w:rPr>
                <w:rFonts w:hint="eastAsia" w:ascii="宋体" w:hAnsi="宋体" w:cs="宋体"/>
                <w:kern w:val="0"/>
                <w:sz w:val="20"/>
              </w:rPr>
              <w:t>合计</w:t>
            </w:r>
          </w:p>
        </w:tc>
        <w:tc>
          <w:tcPr>
            <w:tcW w:w="626"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81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0"/>
              </w:rPr>
            </w:pPr>
          </w:p>
        </w:tc>
        <w:tc>
          <w:tcPr>
            <w:tcW w:w="13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b/>
                <w:bCs/>
                <w:kern w:val="0"/>
                <w:sz w:val="20"/>
              </w:rPr>
            </w:pPr>
          </w:p>
        </w:tc>
        <w:tc>
          <w:tcPr>
            <w:tcW w:w="175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0"/>
              </w:rPr>
            </w:pPr>
          </w:p>
        </w:tc>
      </w:tr>
    </w:tbl>
    <w:p>
      <w:pPr>
        <w:spacing w:line="400" w:lineRule="exact"/>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22655"/>
      <w:bookmarkStart w:id="213" w:name="_Toc65660380"/>
      <w:bookmarkStart w:id="214" w:name="_Toc313888361"/>
      <w:bookmarkStart w:id="215" w:name="_Toc342913420"/>
      <w:bookmarkStart w:id="216" w:name="_Toc26085"/>
      <w:bookmarkStart w:id="217" w:name="_Toc106034809"/>
      <w:bookmarkStart w:id="218" w:name="_Toc14073"/>
      <w:bookmarkStart w:id="219" w:name="_Toc313008357"/>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106034810"/>
      <w:bookmarkStart w:id="221" w:name="_Toc65660381"/>
      <w:bookmarkStart w:id="222" w:name="_Toc32158"/>
      <w:bookmarkStart w:id="223" w:name="_Toc32339"/>
      <w:bookmarkStart w:id="224" w:name="_Toc27717"/>
      <w:bookmarkStart w:id="225" w:name="_Toc313888362"/>
      <w:bookmarkStart w:id="226" w:name="_Toc313008358"/>
      <w:bookmarkStart w:id="227" w:name="_Toc342913421"/>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162"/>
      <w:bookmarkStart w:id="229" w:name="_Toc65660382"/>
      <w:bookmarkStart w:id="230" w:name="_Toc21793"/>
      <w:bookmarkStart w:id="231" w:name="_Toc106034811"/>
      <w:bookmarkStart w:id="232" w:name="_Toc2082"/>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65660383"/>
      <w:bookmarkStart w:id="237" w:name="_Toc106034812"/>
      <w:bookmarkStart w:id="238" w:name="_Toc2080"/>
      <w:bookmarkStart w:id="239" w:name="_Toc17010"/>
      <w:bookmarkStart w:id="240" w:name="_Toc15815"/>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- 3 -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30A"/>
    <w:rsid w:val="00005456"/>
    <w:rsid w:val="00017145"/>
    <w:rsid w:val="00024357"/>
    <w:rsid w:val="00050434"/>
    <w:rsid w:val="000600E1"/>
    <w:rsid w:val="00065F5E"/>
    <w:rsid w:val="00070D39"/>
    <w:rsid w:val="000954B0"/>
    <w:rsid w:val="000B1C02"/>
    <w:rsid w:val="000F4D23"/>
    <w:rsid w:val="00111022"/>
    <w:rsid w:val="00113325"/>
    <w:rsid w:val="001160F5"/>
    <w:rsid w:val="00121E25"/>
    <w:rsid w:val="00165840"/>
    <w:rsid w:val="001849D2"/>
    <w:rsid w:val="00184ADF"/>
    <w:rsid w:val="0019346F"/>
    <w:rsid w:val="001935FD"/>
    <w:rsid w:val="001C48F8"/>
    <w:rsid w:val="001D756C"/>
    <w:rsid w:val="002457A1"/>
    <w:rsid w:val="002874A4"/>
    <w:rsid w:val="00296F7F"/>
    <w:rsid w:val="002972BC"/>
    <w:rsid w:val="002A0582"/>
    <w:rsid w:val="002A1AE8"/>
    <w:rsid w:val="002C119F"/>
    <w:rsid w:val="002C3197"/>
    <w:rsid w:val="002C7E10"/>
    <w:rsid w:val="002D05F1"/>
    <w:rsid w:val="002D5223"/>
    <w:rsid w:val="002F1C11"/>
    <w:rsid w:val="002F5C0C"/>
    <w:rsid w:val="003214F8"/>
    <w:rsid w:val="0033397D"/>
    <w:rsid w:val="00337AF6"/>
    <w:rsid w:val="003551C9"/>
    <w:rsid w:val="003B5E9E"/>
    <w:rsid w:val="003C3382"/>
    <w:rsid w:val="003D0C09"/>
    <w:rsid w:val="004112FA"/>
    <w:rsid w:val="00444ADC"/>
    <w:rsid w:val="00444B7E"/>
    <w:rsid w:val="004D284D"/>
    <w:rsid w:val="00504116"/>
    <w:rsid w:val="0051335C"/>
    <w:rsid w:val="0051437A"/>
    <w:rsid w:val="005221A7"/>
    <w:rsid w:val="0056014E"/>
    <w:rsid w:val="005757ED"/>
    <w:rsid w:val="00582360"/>
    <w:rsid w:val="00595A04"/>
    <w:rsid w:val="005E1B0F"/>
    <w:rsid w:val="005E49FE"/>
    <w:rsid w:val="00631502"/>
    <w:rsid w:val="006822E2"/>
    <w:rsid w:val="006B1519"/>
    <w:rsid w:val="00700ED4"/>
    <w:rsid w:val="00702CF6"/>
    <w:rsid w:val="0070782D"/>
    <w:rsid w:val="00713809"/>
    <w:rsid w:val="00740FEC"/>
    <w:rsid w:val="00750B04"/>
    <w:rsid w:val="00761143"/>
    <w:rsid w:val="00767C6A"/>
    <w:rsid w:val="0077178A"/>
    <w:rsid w:val="007A12CD"/>
    <w:rsid w:val="007E425C"/>
    <w:rsid w:val="008316AB"/>
    <w:rsid w:val="0086065A"/>
    <w:rsid w:val="008B23D3"/>
    <w:rsid w:val="00924C55"/>
    <w:rsid w:val="00930D3B"/>
    <w:rsid w:val="00946455"/>
    <w:rsid w:val="009723EA"/>
    <w:rsid w:val="00972801"/>
    <w:rsid w:val="009A1E0F"/>
    <w:rsid w:val="009B6B36"/>
    <w:rsid w:val="009C23E7"/>
    <w:rsid w:val="009C2668"/>
    <w:rsid w:val="009C300E"/>
    <w:rsid w:val="009D030A"/>
    <w:rsid w:val="009E7BFB"/>
    <w:rsid w:val="00A02053"/>
    <w:rsid w:val="00A0643A"/>
    <w:rsid w:val="00A9659C"/>
    <w:rsid w:val="00AE59C4"/>
    <w:rsid w:val="00B062C3"/>
    <w:rsid w:val="00B65BC6"/>
    <w:rsid w:val="00B74261"/>
    <w:rsid w:val="00B82256"/>
    <w:rsid w:val="00B95780"/>
    <w:rsid w:val="00BB7461"/>
    <w:rsid w:val="00C37330"/>
    <w:rsid w:val="00C46489"/>
    <w:rsid w:val="00C932CA"/>
    <w:rsid w:val="00CA02D2"/>
    <w:rsid w:val="00CB2007"/>
    <w:rsid w:val="00CF4059"/>
    <w:rsid w:val="00D03E32"/>
    <w:rsid w:val="00D536C9"/>
    <w:rsid w:val="00D559EB"/>
    <w:rsid w:val="00D5775B"/>
    <w:rsid w:val="00D7611C"/>
    <w:rsid w:val="00DD0585"/>
    <w:rsid w:val="00DD1C2B"/>
    <w:rsid w:val="00DE5A84"/>
    <w:rsid w:val="00DF69F5"/>
    <w:rsid w:val="00E24372"/>
    <w:rsid w:val="00E318F2"/>
    <w:rsid w:val="00E31FE1"/>
    <w:rsid w:val="00E44760"/>
    <w:rsid w:val="00E5300C"/>
    <w:rsid w:val="00E53D11"/>
    <w:rsid w:val="00E579AC"/>
    <w:rsid w:val="00E66997"/>
    <w:rsid w:val="00E81E94"/>
    <w:rsid w:val="00ED08BE"/>
    <w:rsid w:val="00EE1A70"/>
    <w:rsid w:val="00F004BA"/>
    <w:rsid w:val="00F105D4"/>
    <w:rsid w:val="00F12829"/>
    <w:rsid w:val="00F157DC"/>
    <w:rsid w:val="00F17FE5"/>
    <w:rsid w:val="00F30CD9"/>
    <w:rsid w:val="00F52295"/>
    <w:rsid w:val="00F6618D"/>
    <w:rsid w:val="00F90999"/>
    <w:rsid w:val="00FA45C8"/>
    <w:rsid w:val="00FB2705"/>
    <w:rsid w:val="00FC0821"/>
    <w:rsid w:val="00FD24D0"/>
    <w:rsid w:val="42711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700" w:lineRule="exact"/>
      <w:ind w:left="960"/>
    </w:pPr>
    <w:rPr>
      <w:sz w:val="44"/>
    </w:rPr>
  </w:style>
  <w:style w:type="paragraph" w:styleId="4">
    <w:name w:val="Plain Text"/>
    <w:basedOn w:val="1"/>
    <w:link w:val="18"/>
    <w:qFormat/>
    <w:uiPriority w:val="0"/>
    <w:rPr>
      <w:rFonts w:ascii="宋体" w:hAnsi="Courier New"/>
      <w:sz w:val="21"/>
    </w:rPr>
  </w:style>
  <w:style w:type="paragraph" w:styleId="5">
    <w:name w:val="Date"/>
    <w:basedOn w:val="1"/>
    <w:next w:val="1"/>
    <w:link w:val="19"/>
    <w:qFormat/>
    <w:uiPriority w:val="0"/>
  </w:style>
  <w:style w:type="paragraph" w:styleId="6">
    <w:name w:val="Body Text Indent 2"/>
    <w:basedOn w:val="1"/>
    <w:link w:val="20"/>
    <w:uiPriority w:val="0"/>
    <w:pPr>
      <w:snapToGrid w:val="0"/>
      <w:spacing w:line="560" w:lineRule="atLeast"/>
      <w:ind w:firstLine="540"/>
    </w:pPr>
  </w:style>
  <w:style w:type="paragraph" w:styleId="7">
    <w:name w:val="Balloon Text"/>
    <w:basedOn w:val="1"/>
    <w:link w:val="22"/>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0"/>
    <w:pPr>
      <w:spacing w:line="180" w:lineRule="auto"/>
      <w:jc w:val="center"/>
    </w:pPr>
    <w:rPr>
      <w:sz w:val="30"/>
    </w:rPr>
  </w:style>
  <w:style w:type="character" w:styleId="13">
    <w:name w:val="page number"/>
    <w:qFormat/>
    <w:uiPriority w:val="0"/>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uiPriority w:val="99"/>
    <w:rPr>
      <w:sz w:val="18"/>
      <w:szCs w:val="18"/>
    </w:rPr>
  </w:style>
  <w:style w:type="character" w:customStyle="1" w:styleId="16">
    <w:name w:val="标题 2 Char"/>
    <w:basedOn w:val="12"/>
    <w:link w:val="2"/>
    <w:qFormat/>
    <w:uiPriority w:val="0"/>
    <w:rPr>
      <w:rFonts w:ascii="Arial" w:hAnsi="Arial" w:eastAsia="黑体" w:cs="Times New Roman"/>
      <w:b/>
      <w:sz w:val="32"/>
      <w:szCs w:val="20"/>
    </w:rPr>
  </w:style>
  <w:style w:type="character" w:customStyle="1" w:styleId="17">
    <w:name w:val="正文文本缩进 Char"/>
    <w:basedOn w:val="12"/>
    <w:link w:val="3"/>
    <w:qFormat/>
    <w:uiPriority w:val="0"/>
    <w:rPr>
      <w:rFonts w:ascii="Times New Roman" w:hAnsi="Times New Roman" w:eastAsia="宋体" w:cs="Times New Roman"/>
      <w:sz w:val="44"/>
      <w:szCs w:val="20"/>
    </w:rPr>
  </w:style>
  <w:style w:type="character" w:customStyle="1" w:styleId="18">
    <w:name w:val="纯文本 Char"/>
    <w:basedOn w:val="12"/>
    <w:link w:val="4"/>
    <w:qFormat/>
    <w:uiPriority w:val="0"/>
    <w:rPr>
      <w:rFonts w:ascii="宋体" w:hAnsi="Courier New" w:eastAsia="宋体" w:cs="Times New Roman"/>
      <w:szCs w:val="20"/>
    </w:rPr>
  </w:style>
  <w:style w:type="character" w:customStyle="1" w:styleId="19">
    <w:name w:val="日期 Char"/>
    <w:basedOn w:val="12"/>
    <w:link w:val="5"/>
    <w:qFormat/>
    <w:uiPriority w:val="0"/>
    <w:rPr>
      <w:rFonts w:ascii="Times New Roman" w:hAnsi="Times New Roman" w:eastAsia="宋体" w:cs="Times New Roman"/>
      <w:sz w:val="28"/>
      <w:szCs w:val="20"/>
    </w:rPr>
  </w:style>
  <w:style w:type="character" w:customStyle="1" w:styleId="20">
    <w:name w:val="正文文本缩进 2 Char"/>
    <w:basedOn w:val="12"/>
    <w:link w:val="6"/>
    <w:qFormat/>
    <w:uiPriority w:val="0"/>
    <w:rPr>
      <w:rFonts w:ascii="Times New Roman" w:hAnsi="Times New Roman" w:eastAsia="宋体" w:cs="Times New Roman"/>
      <w:sz w:val="28"/>
      <w:szCs w:val="20"/>
    </w:rPr>
  </w:style>
  <w:style w:type="paragraph" w:customStyle="1" w:styleId="21">
    <w:name w:val="1"/>
    <w:basedOn w:val="1"/>
    <w:next w:val="4"/>
    <w:qFormat/>
    <w:uiPriority w:val="0"/>
    <w:rPr>
      <w:rFonts w:ascii="宋体" w:hAnsi="Courier New"/>
      <w:sz w:val="21"/>
    </w:rPr>
  </w:style>
  <w:style w:type="character" w:customStyle="1" w:styleId="22">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2003</Words>
  <Characters>11422</Characters>
  <Lines>95</Lines>
  <Paragraphs>26</Paragraphs>
  <TotalTime>1569</TotalTime>
  <ScaleCrop>false</ScaleCrop>
  <LinksUpToDate>false</LinksUpToDate>
  <CharactersWithSpaces>13399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2024-01-09T03:36:00Z</dcterms:created>
  <dc:creator>微软用户</dc:creator>
  <cp:lastModifiedBy>BellaWong博雅</cp:lastModifiedBy>
  <dcterms:modified xsi:type="dcterms:W3CDTF">2024-03-04T08:26:40Z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23F488579F7E423D903B354362C09FBB_13</vt:lpwstr>
  </property>
</Properties>
</file>