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rPr>
      </w:pPr>
    </w:p>
    <w:p>
      <w:pPr>
        <w:jc w:val="center"/>
        <w:rPr>
          <w:color w:val="000000" w:themeColor="text1"/>
        </w:rPr>
      </w:pPr>
    </w:p>
    <w:p>
      <w:pPr>
        <w:jc w:val="center"/>
        <w:rPr>
          <w:color w:val="000000" w:themeColor="text1"/>
        </w:rPr>
      </w:pPr>
    </w:p>
    <w:p>
      <w:pPr>
        <w:jc w:val="center"/>
        <w:outlineLvl w:val="0"/>
        <w:rPr>
          <w:rFonts w:ascii="宋体" w:hAnsi="宋体"/>
          <w:b/>
          <w:color w:val="000000" w:themeColor="text1"/>
          <w:sz w:val="52"/>
          <w:szCs w:val="52"/>
        </w:rPr>
      </w:pPr>
      <w:r>
        <w:rPr>
          <w:rFonts w:hint="eastAsia" w:ascii="宋体" w:hAnsi="宋体"/>
          <w:b/>
          <w:color w:val="000000" w:themeColor="text1"/>
          <w:sz w:val="52"/>
          <w:szCs w:val="52"/>
        </w:rPr>
        <w:t>“政务·渝运安”应用资金计划报告及应用开发方案编制服务</w:t>
      </w:r>
    </w:p>
    <w:p>
      <w:pPr>
        <w:outlineLvl w:val="0"/>
        <w:rPr>
          <w:rFonts w:ascii="宋体" w:hAnsi="宋体"/>
          <w:color w:val="000000" w:themeColor="text1"/>
          <w:spacing w:val="80"/>
          <w:sz w:val="72"/>
          <w:szCs w:val="72"/>
        </w:rPr>
      </w:pPr>
    </w:p>
    <w:p>
      <w:pPr>
        <w:pStyle w:val="2"/>
        <w:rPr>
          <w:color w:val="000000" w:themeColor="text1"/>
        </w:rPr>
      </w:pPr>
    </w:p>
    <w:p>
      <w:pPr>
        <w:pStyle w:val="3"/>
        <w:rPr>
          <w:color w:val="000000" w:themeColor="text1"/>
        </w:rPr>
      </w:pPr>
    </w:p>
    <w:p>
      <w:pPr>
        <w:rPr>
          <w:color w:val="000000" w:themeColor="text1"/>
        </w:rPr>
      </w:pPr>
    </w:p>
    <w:p>
      <w:pPr>
        <w:jc w:val="center"/>
        <w:outlineLvl w:val="0"/>
        <w:rPr>
          <w:rFonts w:ascii="宋体" w:hAnsi="宋体"/>
          <w:color w:val="000000" w:themeColor="text1"/>
          <w:spacing w:val="80"/>
          <w:sz w:val="72"/>
          <w:szCs w:val="72"/>
        </w:rPr>
      </w:pPr>
    </w:p>
    <w:p>
      <w:pPr>
        <w:jc w:val="center"/>
        <w:outlineLvl w:val="0"/>
        <w:rPr>
          <w:color w:val="000000" w:themeColor="text1"/>
          <w:spacing w:val="80"/>
          <w:sz w:val="72"/>
          <w:szCs w:val="72"/>
        </w:rPr>
      </w:pPr>
      <w:r>
        <w:rPr>
          <w:color w:val="000000" w:themeColor="text1"/>
          <w:spacing w:val="80"/>
          <w:sz w:val="72"/>
          <w:szCs w:val="72"/>
        </w:rPr>
        <w:t>竞争性磋商文件</w:t>
      </w:r>
    </w:p>
    <w:p>
      <w:pPr>
        <w:spacing w:line="700" w:lineRule="exact"/>
        <w:jc w:val="center"/>
        <w:rPr>
          <w:color w:val="000000" w:themeColor="text1"/>
          <w:sz w:val="36"/>
          <w:szCs w:val="30"/>
        </w:rPr>
      </w:pPr>
      <w:r>
        <w:rPr>
          <w:color w:val="000000" w:themeColor="text1"/>
          <w:sz w:val="36"/>
          <w:szCs w:val="30"/>
        </w:rPr>
        <w:t>项目号：</w:t>
      </w:r>
      <w:r>
        <w:rPr>
          <w:rFonts w:hint="eastAsia" w:ascii="宋体" w:hAnsi="宋体"/>
          <w:color w:val="000000" w:themeColor="text1"/>
          <w:sz w:val="36"/>
          <w:szCs w:val="30"/>
        </w:rPr>
        <w:t>RYGL-23C1201</w:t>
      </w:r>
    </w:p>
    <w:p>
      <w:pPr>
        <w:spacing w:line="700" w:lineRule="exact"/>
        <w:ind w:firstLine="2700" w:firstLineChars="750"/>
        <w:rPr>
          <w:rFonts w:ascii="宋体" w:hAnsi="宋体"/>
          <w:color w:val="000000" w:themeColor="text1"/>
          <w:sz w:val="36"/>
          <w:szCs w:val="30"/>
        </w:rPr>
      </w:pPr>
    </w:p>
    <w:p>
      <w:pPr>
        <w:spacing w:line="700" w:lineRule="exact"/>
        <w:jc w:val="center"/>
        <w:rPr>
          <w:rFonts w:ascii="宋体" w:hAnsi="宋体"/>
          <w:b/>
          <w:color w:val="000000" w:themeColor="text1"/>
          <w:sz w:val="30"/>
          <w:szCs w:val="30"/>
        </w:rPr>
      </w:pPr>
    </w:p>
    <w:p>
      <w:pPr>
        <w:spacing w:line="700" w:lineRule="exact"/>
        <w:jc w:val="center"/>
        <w:rPr>
          <w:rFonts w:ascii="宋体" w:hAnsi="宋体"/>
          <w:b/>
          <w:color w:val="000000" w:themeColor="text1"/>
          <w:sz w:val="30"/>
          <w:szCs w:val="30"/>
        </w:rPr>
      </w:pPr>
    </w:p>
    <w:p>
      <w:pPr>
        <w:spacing w:line="700" w:lineRule="exact"/>
        <w:jc w:val="center"/>
        <w:rPr>
          <w:rFonts w:ascii="宋体" w:hAnsi="宋体"/>
          <w:b/>
          <w:color w:val="000000" w:themeColor="text1"/>
          <w:sz w:val="30"/>
          <w:szCs w:val="30"/>
        </w:rPr>
      </w:pPr>
    </w:p>
    <w:p>
      <w:pPr>
        <w:pStyle w:val="2"/>
        <w:rPr>
          <w:color w:val="000000" w:themeColor="text1"/>
        </w:rPr>
      </w:pPr>
    </w:p>
    <w:p>
      <w:pPr>
        <w:pStyle w:val="3"/>
        <w:rPr>
          <w:color w:val="000000" w:themeColor="text1"/>
        </w:rPr>
      </w:pPr>
    </w:p>
    <w:p>
      <w:pPr>
        <w:rPr>
          <w:color w:val="000000" w:themeColor="text1"/>
        </w:rPr>
      </w:pPr>
    </w:p>
    <w:p>
      <w:pPr>
        <w:spacing w:line="700" w:lineRule="exact"/>
        <w:jc w:val="center"/>
        <w:rPr>
          <w:rFonts w:ascii="宋体" w:hAnsi="宋体"/>
          <w:b/>
          <w:color w:val="000000" w:themeColor="text1"/>
          <w:sz w:val="30"/>
          <w:szCs w:val="30"/>
        </w:rPr>
      </w:pPr>
    </w:p>
    <w:p>
      <w:pPr>
        <w:spacing w:line="700" w:lineRule="exact"/>
        <w:ind w:firstLine="1440" w:firstLineChars="400"/>
        <w:rPr>
          <w:color w:val="000000" w:themeColor="text1"/>
          <w:sz w:val="36"/>
          <w:szCs w:val="30"/>
        </w:rPr>
      </w:pPr>
      <w:r>
        <w:rPr>
          <w:color w:val="000000" w:themeColor="text1"/>
          <w:sz w:val="36"/>
          <w:szCs w:val="30"/>
        </w:rPr>
        <w:t>采   购   人：</w:t>
      </w:r>
      <w:r>
        <w:rPr>
          <w:rFonts w:hint="eastAsia"/>
          <w:color w:val="000000" w:themeColor="text1"/>
          <w:sz w:val="36"/>
          <w:szCs w:val="30"/>
        </w:rPr>
        <w:t>重庆市交通局</w:t>
      </w:r>
    </w:p>
    <w:p>
      <w:pPr>
        <w:spacing w:line="700" w:lineRule="exact"/>
        <w:ind w:firstLine="1440" w:firstLineChars="400"/>
        <w:rPr>
          <w:color w:val="000000" w:themeColor="text1"/>
          <w:sz w:val="36"/>
          <w:szCs w:val="30"/>
        </w:rPr>
      </w:pPr>
      <w:r>
        <w:rPr>
          <w:color w:val="000000" w:themeColor="text1"/>
          <w:sz w:val="36"/>
          <w:szCs w:val="30"/>
        </w:rPr>
        <w:t>采购代理机构：</w:t>
      </w:r>
      <w:r>
        <w:rPr>
          <w:rFonts w:hint="eastAsia"/>
          <w:color w:val="000000" w:themeColor="text1"/>
          <w:sz w:val="36"/>
          <w:szCs w:val="30"/>
        </w:rPr>
        <w:t>重庆荣奕工程管理有限公司</w:t>
      </w:r>
    </w:p>
    <w:p>
      <w:pPr>
        <w:spacing w:line="700" w:lineRule="exact"/>
        <w:jc w:val="center"/>
        <w:rPr>
          <w:color w:val="000000" w:themeColor="text1"/>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themeColor="text1"/>
          <w:sz w:val="36"/>
          <w:szCs w:val="30"/>
        </w:rPr>
        <w:t>二</w:t>
      </w:r>
      <w:r>
        <w:rPr>
          <w:rFonts w:hint="eastAsia"/>
          <w:color w:val="000000" w:themeColor="text1"/>
          <w:sz w:val="36"/>
          <w:szCs w:val="30"/>
        </w:rPr>
        <w:t>〇</w:t>
      </w:r>
      <w:r>
        <w:rPr>
          <w:color w:val="000000" w:themeColor="text1"/>
          <w:sz w:val="36"/>
          <w:szCs w:val="30"/>
        </w:rPr>
        <w:t>二</w:t>
      </w:r>
      <w:r>
        <w:rPr>
          <w:rFonts w:hint="eastAsia"/>
          <w:color w:val="000000" w:themeColor="text1"/>
          <w:sz w:val="36"/>
          <w:szCs w:val="30"/>
        </w:rPr>
        <w:t>四</w:t>
      </w:r>
      <w:r>
        <w:rPr>
          <w:color w:val="000000" w:themeColor="text1"/>
          <w:sz w:val="36"/>
          <w:szCs w:val="30"/>
        </w:rPr>
        <w:t>年</w:t>
      </w:r>
      <w:r>
        <w:rPr>
          <w:rFonts w:hint="eastAsia"/>
          <w:color w:val="000000" w:themeColor="text1"/>
          <w:sz w:val="36"/>
          <w:szCs w:val="30"/>
        </w:rPr>
        <w:t>一</w:t>
      </w:r>
      <w:r>
        <w:rPr>
          <w:color w:val="000000" w:themeColor="text1"/>
          <w:sz w:val="36"/>
          <w:szCs w:val="30"/>
        </w:rPr>
        <w:t>月</w:t>
      </w:r>
    </w:p>
    <w:p>
      <w:pPr>
        <w:pageBreakBefore/>
        <w:spacing w:line="480" w:lineRule="exact"/>
        <w:jc w:val="center"/>
        <w:outlineLvl w:val="0"/>
        <w:rPr>
          <w:rFonts w:ascii="宋体" w:hAnsi="宋体"/>
          <w:color w:val="000000" w:themeColor="text1"/>
          <w:sz w:val="44"/>
          <w:szCs w:val="28"/>
        </w:rPr>
      </w:pPr>
      <w:r>
        <w:rPr>
          <w:rFonts w:hint="eastAsia" w:ascii="宋体" w:hAnsi="宋体"/>
          <w:color w:val="000000" w:themeColor="text1"/>
          <w:sz w:val="44"/>
          <w:szCs w:val="28"/>
        </w:rPr>
        <w:t>目   录</w:t>
      </w:r>
    </w:p>
    <w:p>
      <w:pPr>
        <w:pStyle w:val="46"/>
        <w:tabs>
          <w:tab w:val="right" w:leader="dot" w:pos="9515"/>
        </w:tabs>
        <w:ind w:left="560"/>
        <w:rPr>
          <w:rFonts w:asciiTheme="minorHAnsi" w:hAnsiTheme="minorHAnsi" w:eastAsiaTheme="minorEastAsia" w:cstheme="minorBidi"/>
          <w:color w:val="000000" w:themeColor="text1"/>
          <w:sz w:val="21"/>
          <w:szCs w:val="22"/>
        </w:rPr>
      </w:pPr>
      <w:r>
        <w:rPr>
          <w:rFonts w:hint="eastAsia" w:ascii="宋体" w:hAnsi="宋体"/>
          <w:color w:val="000000" w:themeColor="text1"/>
          <w:sz w:val="24"/>
          <w:szCs w:val="24"/>
        </w:rPr>
        <w:fldChar w:fldCharType="begin"/>
      </w:r>
      <w:r>
        <w:rPr>
          <w:rFonts w:hint="eastAsia" w:ascii="宋体" w:hAnsi="宋体"/>
          <w:color w:val="000000" w:themeColor="text1"/>
          <w:sz w:val="24"/>
          <w:szCs w:val="24"/>
        </w:rPr>
        <w:instrText xml:space="preserve"> TOC \o "1-3" \h \z </w:instrText>
      </w:r>
      <w:r>
        <w:rPr>
          <w:rFonts w:hint="eastAsia" w:ascii="宋体" w:hAnsi="宋体"/>
          <w:color w:val="000000" w:themeColor="text1"/>
          <w:sz w:val="24"/>
          <w:szCs w:val="24"/>
        </w:rPr>
        <w:fldChar w:fldCharType="separate"/>
      </w:r>
      <w:r>
        <w:fldChar w:fldCharType="begin"/>
      </w:r>
      <w:r>
        <w:instrText xml:space="preserve"> HYPERLINK \l "_Toc148963295" </w:instrText>
      </w:r>
      <w:r>
        <w:fldChar w:fldCharType="separate"/>
      </w:r>
      <w:r>
        <w:rPr>
          <w:rStyle w:val="65"/>
          <w:rFonts w:ascii="宋体" w:hAnsi="宋体"/>
          <w:color w:val="000000" w:themeColor="text1"/>
        </w:rPr>
        <w:t>第一篇  采购邀请书</w:t>
      </w:r>
      <w:r>
        <w:rPr>
          <w:color w:val="000000" w:themeColor="text1"/>
        </w:rPr>
        <w:tab/>
      </w:r>
      <w:r>
        <w:rPr>
          <w:color w:val="000000" w:themeColor="text1"/>
        </w:rPr>
        <w:fldChar w:fldCharType="begin"/>
      </w:r>
      <w:r>
        <w:rPr>
          <w:color w:val="000000" w:themeColor="text1"/>
        </w:rPr>
        <w:instrText xml:space="preserve"> PAGEREF _Toc148963295 \h </w:instrText>
      </w:r>
      <w:r>
        <w:rPr>
          <w:color w:val="000000" w:themeColor="text1"/>
        </w:rPr>
        <w:fldChar w:fldCharType="separate"/>
      </w:r>
      <w:r>
        <w:rPr>
          <w:color w:val="000000" w:themeColor="text1"/>
        </w:rPr>
        <w:t>- 2 -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"_Toc148963296" </w:instrText>
      </w:r>
      <w:r>
        <w:fldChar w:fldCharType="separate"/>
      </w:r>
      <w:r>
        <w:rPr>
          <w:rStyle w:val="65"/>
          <w:rFonts w:ascii="宋体" w:hAnsi="宋体"/>
          <w:color w:val="000000" w:themeColor="text1"/>
        </w:rPr>
        <w:t>一、竞争性磋商内容</w:t>
      </w:r>
      <w:r>
        <w:rPr>
          <w:color w:val="000000" w:themeColor="text1"/>
        </w:rPr>
        <w:tab/>
      </w:r>
      <w:r>
        <w:rPr>
          <w:color w:val="000000" w:themeColor="text1"/>
        </w:rPr>
        <w:fldChar w:fldCharType="begin"/>
      </w:r>
      <w:r>
        <w:rPr>
          <w:color w:val="000000" w:themeColor="text1"/>
        </w:rPr>
        <w:instrText xml:space="preserve"> PAGEREF _Toc148963296 \h </w:instrText>
      </w:r>
      <w:r>
        <w:rPr>
          <w:color w:val="000000" w:themeColor="text1"/>
        </w:rPr>
        <w:fldChar w:fldCharType="separate"/>
      </w:r>
      <w:r>
        <w:rPr>
          <w:color w:val="000000" w:themeColor="text1"/>
        </w:rPr>
        <w:t>- 2 -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"_Toc148963297" </w:instrText>
      </w:r>
      <w:r>
        <w:fldChar w:fldCharType="separate"/>
      </w:r>
      <w:r>
        <w:rPr>
          <w:rStyle w:val="65"/>
          <w:rFonts w:ascii="宋体" w:hAnsi="宋体"/>
          <w:color w:val="000000" w:themeColor="text1"/>
        </w:rPr>
        <w:t>二、供应商资格条件</w:t>
      </w:r>
      <w:r>
        <w:rPr>
          <w:color w:val="000000" w:themeColor="text1"/>
        </w:rPr>
        <w:tab/>
      </w:r>
      <w:r>
        <w:rPr>
          <w:color w:val="000000" w:themeColor="text1"/>
        </w:rPr>
        <w:fldChar w:fldCharType="begin"/>
      </w:r>
      <w:r>
        <w:rPr>
          <w:color w:val="000000" w:themeColor="text1"/>
        </w:rPr>
        <w:instrText xml:space="preserve"> PAGEREF _Toc148963297 \h </w:instrText>
      </w:r>
      <w:r>
        <w:rPr>
          <w:color w:val="000000" w:themeColor="text1"/>
        </w:rPr>
        <w:fldChar w:fldCharType="separate"/>
      </w:r>
      <w:r>
        <w:rPr>
          <w:color w:val="000000" w:themeColor="text1"/>
        </w:rPr>
        <w:t>- 2 -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"_Toc148963298" </w:instrText>
      </w:r>
      <w:r>
        <w:fldChar w:fldCharType="separate"/>
      </w:r>
      <w:r>
        <w:rPr>
          <w:rStyle w:val="65"/>
          <w:rFonts w:ascii="宋体" w:hAnsi="宋体"/>
          <w:color w:val="000000" w:themeColor="text1"/>
        </w:rPr>
        <w:t>三、磋商有关说明</w:t>
      </w:r>
      <w:r>
        <w:rPr>
          <w:color w:val="000000" w:themeColor="text1"/>
        </w:rPr>
        <w:tab/>
      </w:r>
      <w:r>
        <w:rPr>
          <w:color w:val="000000" w:themeColor="text1"/>
        </w:rPr>
        <w:fldChar w:fldCharType="begin"/>
      </w:r>
      <w:r>
        <w:rPr>
          <w:color w:val="000000" w:themeColor="text1"/>
        </w:rPr>
        <w:instrText xml:space="preserve"> PAGEREF _Toc148963298 \h </w:instrText>
      </w:r>
      <w:r>
        <w:rPr>
          <w:color w:val="000000" w:themeColor="text1"/>
        </w:rPr>
        <w:fldChar w:fldCharType="separate"/>
      </w:r>
      <w:r>
        <w:rPr>
          <w:color w:val="000000" w:themeColor="text1"/>
        </w:rPr>
        <w:t>- 2 -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"_Toc148963299" </w:instrText>
      </w:r>
      <w:r>
        <w:fldChar w:fldCharType="separate"/>
      </w:r>
      <w:r>
        <w:rPr>
          <w:rStyle w:val="65"/>
          <w:rFonts w:ascii="宋体" w:hAnsi="宋体"/>
          <w:color w:val="000000" w:themeColor="text1"/>
        </w:rPr>
        <w:t>四、磋商保证金</w:t>
      </w:r>
      <w:r>
        <w:rPr>
          <w:color w:val="000000" w:themeColor="text1"/>
        </w:rPr>
        <w:tab/>
      </w:r>
      <w:r>
        <w:rPr>
          <w:color w:val="000000" w:themeColor="text1"/>
        </w:rPr>
        <w:fldChar w:fldCharType="begin"/>
      </w:r>
      <w:r>
        <w:rPr>
          <w:color w:val="000000" w:themeColor="text1"/>
        </w:rPr>
        <w:instrText xml:space="preserve"> PAGEREF _Toc148963299 \h </w:instrText>
      </w:r>
      <w:r>
        <w:rPr>
          <w:color w:val="000000" w:themeColor="text1"/>
        </w:rPr>
        <w:fldChar w:fldCharType="separate"/>
      </w:r>
      <w:r>
        <w:rPr>
          <w:color w:val="000000" w:themeColor="text1"/>
        </w:rPr>
        <w:t>- 3 -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"_Toc148963300" </w:instrText>
      </w:r>
      <w:r>
        <w:fldChar w:fldCharType="separate"/>
      </w:r>
      <w:r>
        <w:rPr>
          <w:rStyle w:val="65"/>
          <w:rFonts w:ascii="宋体" w:hAnsi="宋体"/>
          <w:color w:val="000000" w:themeColor="text1"/>
        </w:rPr>
        <w:t>五、采购项目需落实的政府采购政策</w:t>
      </w:r>
      <w:r>
        <w:rPr>
          <w:color w:val="000000" w:themeColor="text1"/>
        </w:rPr>
        <w:tab/>
      </w:r>
      <w:r>
        <w:rPr>
          <w:color w:val="000000" w:themeColor="text1"/>
        </w:rPr>
        <w:fldChar w:fldCharType="begin"/>
      </w:r>
      <w:r>
        <w:rPr>
          <w:color w:val="000000" w:themeColor="text1"/>
        </w:rPr>
        <w:instrText xml:space="preserve"> PAGEREF _Toc148963300 \h </w:instrText>
      </w:r>
      <w:r>
        <w:rPr>
          <w:color w:val="000000" w:themeColor="text1"/>
        </w:rPr>
        <w:fldChar w:fldCharType="separate"/>
      </w:r>
      <w:r>
        <w:rPr>
          <w:color w:val="000000" w:themeColor="text1"/>
        </w:rPr>
        <w:t>- 3 -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"_Toc148963301" </w:instrText>
      </w:r>
      <w:r>
        <w:fldChar w:fldCharType="separate"/>
      </w:r>
      <w:r>
        <w:rPr>
          <w:rStyle w:val="65"/>
          <w:rFonts w:ascii="宋体" w:hAnsi="宋体"/>
          <w:color w:val="000000" w:themeColor="text1"/>
        </w:rPr>
        <w:t>六、其它有关规定</w:t>
      </w:r>
      <w:r>
        <w:rPr>
          <w:color w:val="000000" w:themeColor="text1"/>
        </w:rPr>
        <w:tab/>
      </w:r>
      <w:r>
        <w:rPr>
          <w:color w:val="000000" w:themeColor="text1"/>
        </w:rPr>
        <w:fldChar w:fldCharType="begin"/>
      </w:r>
      <w:r>
        <w:rPr>
          <w:color w:val="000000" w:themeColor="text1"/>
        </w:rPr>
        <w:instrText xml:space="preserve"> PAGEREF _Toc148963301 \h </w:instrText>
      </w:r>
      <w:r>
        <w:rPr>
          <w:color w:val="000000" w:themeColor="text1"/>
        </w:rPr>
        <w:fldChar w:fldCharType="separate"/>
      </w:r>
      <w:r>
        <w:rPr>
          <w:color w:val="000000" w:themeColor="text1"/>
        </w:rPr>
        <w:t>- 3 -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"_Toc148963302" </w:instrText>
      </w:r>
      <w:r>
        <w:fldChar w:fldCharType="separate"/>
      </w:r>
      <w:r>
        <w:rPr>
          <w:rStyle w:val="65"/>
          <w:rFonts w:ascii="宋体" w:hAnsi="宋体"/>
          <w:color w:val="000000" w:themeColor="text1"/>
        </w:rPr>
        <w:t>七、联系方式</w:t>
      </w:r>
      <w:r>
        <w:rPr>
          <w:color w:val="000000" w:themeColor="text1"/>
        </w:rPr>
        <w:tab/>
      </w:r>
      <w:r>
        <w:rPr>
          <w:color w:val="000000" w:themeColor="text1"/>
        </w:rPr>
        <w:fldChar w:fldCharType="begin"/>
      </w:r>
      <w:r>
        <w:rPr>
          <w:color w:val="000000" w:themeColor="text1"/>
        </w:rPr>
        <w:instrText xml:space="preserve"> PAGEREF _Toc148963302 \h </w:instrText>
      </w:r>
      <w:r>
        <w:rPr>
          <w:color w:val="000000" w:themeColor="text1"/>
        </w:rPr>
        <w:fldChar w:fldCharType="separate"/>
      </w:r>
      <w:r>
        <w:rPr>
          <w:color w:val="000000" w:themeColor="text1"/>
        </w:rPr>
        <w:t>- 4 -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"_Toc148963303" </w:instrText>
      </w:r>
      <w:r>
        <w:fldChar w:fldCharType="separate"/>
      </w:r>
      <w:r>
        <w:rPr>
          <w:rStyle w:val="65"/>
          <w:rFonts w:ascii="宋体" w:hAnsi="宋体"/>
          <w:color w:val="000000" w:themeColor="text1"/>
        </w:rPr>
        <w:t>第二篇  项目服务需求</w:t>
      </w:r>
      <w:r>
        <w:rPr>
          <w:color w:val="000000" w:themeColor="text1"/>
        </w:rPr>
        <w:tab/>
      </w:r>
      <w:r>
        <w:rPr>
          <w:color w:val="000000" w:themeColor="text1"/>
        </w:rPr>
        <w:fldChar w:fldCharType="begin"/>
      </w:r>
      <w:r>
        <w:rPr>
          <w:color w:val="000000" w:themeColor="text1"/>
        </w:rPr>
        <w:instrText xml:space="preserve"> PAGEREF _Toc148963303 \h </w:instrText>
      </w:r>
      <w:r>
        <w:rPr>
          <w:color w:val="000000" w:themeColor="text1"/>
        </w:rPr>
        <w:fldChar w:fldCharType="separate"/>
      </w:r>
      <w:r>
        <w:rPr>
          <w:color w:val="000000" w:themeColor="text1"/>
        </w:rPr>
        <w:t>- 5 -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"_Toc148963304" </w:instrText>
      </w:r>
      <w:r>
        <w:fldChar w:fldCharType="separate"/>
      </w:r>
      <w:r>
        <w:rPr>
          <w:rStyle w:val="65"/>
          <w:rFonts w:ascii="宋体" w:hAnsi="宋体"/>
          <w:color w:val="000000" w:themeColor="text1"/>
        </w:rPr>
        <w:t>一、采购项目一览表</w:t>
      </w:r>
      <w:r>
        <w:rPr>
          <w:color w:val="000000" w:themeColor="text1"/>
        </w:rPr>
        <w:tab/>
      </w:r>
      <w:r>
        <w:rPr>
          <w:color w:val="000000" w:themeColor="text1"/>
        </w:rPr>
        <w:fldChar w:fldCharType="begin"/>
      </w:r>
      <w:r>
        <w:rPr>
          <w:color w:val="000000" w:themeColor="text1"/>
        </w:rPr>
        <w:instrText xml:space="preserve"> PAGEREF _Toc148963304 \h </w:instrText>
      </w:r>
      <w:r>
        <w:rPr>
          <w:color w:val="000000" w:themeColor="text1"/>
        </w:rPr>
        <w:fldChar w:fldCharType="separate"/>
      </w:r>
      <w:r>
        <w:rPr>
          <w:color w:val="000000" w:themeColor="text1"/>
        </w:rPr>
        <w:t>- 5 -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"_Toc148963305" </w:instrText>
      </w:r>
      <w:r>
        <w:fldChar w:fldCharType="separate"/>
      </w:r>
      <w:r>
        <w:rPr>
          <w:rStyle w:val="65"/>
          <w:rFonts w:ascii="宋体" w:hAnsi="宋体"/>
          <w:color w:val="000000" w:themeColor="text1"/>
        </w:rPr>
        <w:t>第三篇  项目商务需求</w:t>
      </w:r>
      <w:r>
        <w:rPr>
          <w:color w:val="000000" w:themeColor="text1"/>
        </w:rPr>
        <w:tab/>
      </w:r>
      <w:r>
        <w:rPr>
          <w:color w:val="000000" w:themeColor="text1"/>
        </w:rPr>
        <w:fldChar w:fldCharType="begin"/>
      </w:r>
      <w:r>
        <w:rPr>
          <w:color w:val="000000" w:themeColor="text1"/>
        </w:rPr>
        <w:instrText xml:space="preserve"> PAGEREF _Toc148963305 \h </w:instrText>
      </w:r>
      <w:r>
        <w:rPr>
          <w:color w:val="000000" w:themeColor="text1"/>
        </w:rPr>
        <w:fldChar w:fldCharType="separate"/>
      </w:r>
      <w:r>
        <w:rPr>
          <w:color w:val="000000" w:themeColor="text1"/>
        </w:rPr>
        <w:t>- 7 -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"_Toc148963306" </w:instrText>
      </w:r>
      <w:r>
        <w:fldChar w:fldCharType="separate"/>
      </w:r>
      <w:r>
        <w:rPr>
          <w:rStyle w:val="65"/>
          <w:rFonts w:ascii="宋体" w:hAnsi="宋体"/>
          <w:color w:val="000000" w:themeColor="text1"/>
        </w:rPr>
        <w:t>一、服务期、地点及验收方式</w:t>
      </w:r>
      <w:r>
        <w:rPr>
          <w:color w:val="000000" w:themeColor="text1"/>
        </w:rPr>
        <w:tab/>
      </w:r>
      <w:r>
        <w:rPr>
          <w:color w:val="000000" w:themeColor="text1"/>
        </w:rPr>
        <w:fldChar w:fldCharType="begin"/>
      </w:r>
      <w:r>
        <w:rPr>
          <w:color w:val="000000" w:themeColor="text1"/>
        </w:rPr>
        <w:instrText xml:space="preserve"> PAGEREF _Toc148963306 \h </w:instrText>
      </w:r>
      <w:r>
        <w:rPr>
          <w:color w:val="000000" w:themeColor="text1"/>
        </w:rPr>
        <w:fldChar w:fldCharType="separate"/>
      </w:r>
      <w:r>
        <w:rPr>
          <w:color w:val="000000" w:themeColor="text1"/>
        </w:rPr>
        <w:t>- 7 -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"_Toc148963307" </w:instrText>
      </w:r>
      <w:r>
        <w:fldChar w:fldCharType="separate"/>
      </w:r>
      <w:r>
        <w:rPr>
          <w:rStyle w:val="65"/>
          <w:rFonts w:ascii="宋体" w:hAnsi="宋体"/>
          <w:color w:val="000000" w:themeColor="text1"/>
        </w:rPr>
        <w:t>二、报价要求</w:t>
      </w:r>
      <w:r>
        <w:rPr>
          <w:color w:val="000000" w:themeColor="text1"/>
        </w:rPr>
        <w:tab/>
      </w:r>
      <w:r>
        <w:rPr>
          <w:color w:val="000000" w:themeColor="text1"/>
        </w:rPr>
        <w:fldChar w:fldCharType="begin"/>
      </w:r>
      <w:r>
        <w:rPr>
          <w:color w:val="000000" w:themeColor="text1"/>
        </w:rPr>
        <w:instrText xml:space="preserve"> PAGEREF _Toc148963307 \h </w:instrText>
      </w:r>
      <w:r>
        <w:rPr>
          <w:color w:val="000000" w:themeColor="text1"/>
        </w:rPr>
        <w:fldChar w:fldCharType="separate"/>
      </w:r>
      <w:r>
        <w:rPr>
          <w:color w:val="000000" w:themeColor="text1"/>
        </w:rPr>
        <w:t>- 7 -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"_Toc148963308" </w:instrText>
      </w:r>
      <w:r>
        <w:fldChar w:fldCharType="separate"/>
      </w:r>
      <w:r>
        <w:rPr>
          <w:rStyle w:val="65"/>
          <w:rFonts w:hint="eastAsia" w:ascii="宋体" w:hAnsi="宋体" w:cs="宋体"/>
          <w:color w:val="000000" w:themeColor="text1"/>
        </w:rPr>
        <w:t>※</w:t>
      </w:r>
      <w:r>
        <w:rPr>
          <w:rStyle w:val="65"/>
          <w:color w:val="000000" w:themeColor="text1"/>
        </w:rPr>
        <w:t>三、付款方式</w:t>
      </w:r>
      <w:r>
        <w:rPr>
          <w:color w:val="000000" w:themeColor="text1"/>
        </w:rPr>
        <w:tab/>
      </w:r>
      <w:r>
        <w:rPr>
          <w:color w:val="000000" w:themeColor="text1"/>
        </w:rPr>
        <w:fldChar w:fldCharType="begin"/>
      </w:r>
      <w:r>
        <w:rPr>
          <w:color w:val="000000" w:themeColor="text1"/>
        </w:rPr>
        <w:instrText xml:space="preserve"> PAGEREF _Toc148963308 \h </w:instrText>
      </w:r>
      <w:r>
        <w:rPr>
          <w:color w:val="000000" w:themeColor="text1"/>
        </w:rPr>
        <w:fldChar w:fldCharType="separate"/>
      </w:r>
      <w:r>
        <w:rPr>
          <w:color w:val="000000" w:themeColor="text1"/>
        </w:rPr>
        <w:t>- 7 -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"_Toc148963309" </w:instrText>
      </w:r>
      <w:r>
        <w:fldChar w:fldCharType="separate"/>
      </w:r>
      <w:r>
        <w:rPr>
          <w:rStyle w:val="65"/>
          <w:color w:val="000000" w:themeColor="text1"/>
        </w:rPr>
        <w:t>四、知识产权</w:t>
      </w:r>
      <w:r>
        <w:rPr>
          <w:color w:val="000000" w:themeColor="text1"/>
        </w:rPr>
        <w:tab/>
      </w:r>
      <w:r>
        <w:rPr>
          <w:color w:val="000000" w:themeColor="text1"/>
        </w:rPr>
        <w:fldChar w:fldCharType="begin"/>
      </w:r>
      <w:r>
        <w:rPr>
          <w:color w:val="000000" w:themeColor="text1"/>
        </w:rPr>
        <w:instrText xml:space="preserve"> PAGEREF _Toc148963309 \h </w:instrText>
      </w:r>
      <w:r>
        <w:rPr>
          <w:color w:val="000000" w:themeColor="text1"/>
        </w:rPr>
        <w:fldChar w:fldCharType="separate"/>
      </w:r>
      <w:r>
        <w:rPr>
          <w:color w:val="000000" w:themeColor="text1"/>
        </w:rPr>
        <w:t>- 7 -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"_Toc148963310" </w:instrText>
      </w:r>
      <w:r>
        <w:fldChar w:fldCharType="separate"/>
      </w:r>
      <w:r>
        <w:rPr>
          <w:rStyle w:val="65"/>
          <w:color w:val="000000" w:themeColor="text1"/>
        </w:rPr>
        <w:t>五、其他</w:t>
      </w:r>
      <w:r>
        <w:rPr>
          <w:color w:val="000000" w:themeColor="text1"/>
        </w:rPr>
        <w:tab/>
      </w:r>
      <w:r>
        <w:rPr>
          <w:color w:val="000000" w:themeColor="text1"/>
        </w:rPr>
        <w:fldChar w:fldCharType="begin"/>
      </w:r>
      <w:r>
        <w:rPr>
          <w:color w:val="000000" w:themeColor="text1"/>
        </w:rPr>
        <w:instrText xml:space="preserve"> PAGEREF _Toc148963310 \h </w:instrText>
      </w:r>
      <w:r>
        <w:rPr>
          <w:color w:val="000000" w:themeColor="text1"/>
        </w:rPr>
        <w:fldChar w:fldCharType="separate"/>
      </w:r>
      <w:r>
        <w:rPr>
          <w:color w:val="000000" w:themeColor="text1"/>
        </w:rPr>
        <w:t>- 8 -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"_Toc148963311" </w:instrText>
      </w:r>
      <w:r>
        <w:fldChar w:fldCharType="separate"/>
      </w:r>
      <w:r>
        <w:rPr>
          <w:rStyle w:val="65"/>
          <w:rFonts w:ascii="宋体" w:hAnsi="宋体"/>
          <w:color w:val="000000" w:themeColor="text1"/>
        </w:rPr>
        <w:t>第四篇  磋商程序及方法、评审标准、无效响应和采购终止</w:t>
      </w:r>
      <w:r>
        <w:rPr>
          <w:color w:val="000000" w:themeColor="text1"/>
        </w:rPr>
        <w:tab/>
      </w:r>
      <w:r>
        <w:rPr>
          <w:color w:val="000000" w:themeColor="text1"/>
        </w:rPr>
        <w:fldChar w:fldCharType="begin"/>
      </w:r>
      <w:r>
        <w:rPr>
          <w:color w:val="000000" w:themeColor="text1"/>
        </w:rPr>
        <w:instrText xml:space="preserve"> PAGEREF _Toc148963311 \h </w:instrText>
      </w:r>
      <w:r>
        <w:rPr>
          <w:color w:val="000000" w:themeColor="text1"/>
        </w:rPr>
        <w:fldChar w:fldCharType="separate"/>
      </w:r>
      <w:r>
        <w:rPr>
          <w:color w:val="000000" w:themeColor="text1"/>
        </w:rPr>
        <w:t>- 9 -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"_Toc148963312" </w:instrText>
      </w:r>
      <w:r>
        <w:fldChar w:fldCharType="separate"/>
      </w:r>
      <w:r>
        <w:rPr>
          <w:rStyle w:val="65"/>
          <w:rFonts w:ascii="宋体" w:hAnsi="宋体"/>
          <w:color w:val="000000" w:themeColor="text1"/>
        </w:rPr>
        <w:t>一、磋商程序及方法</w:t>
      </w:r>
      <w:r>
        <w:rPr>
          <w:color w:val="000000" w:themeColor="text1"/>
        </w:rPr>
        <w:tab/>
      </w:r>
      <w:r>
        <w:rPr>
          <w:color w:val="000000" w:themeColor="text1"/>
        </w:rPr>
        <w:fldChar w:fldCharType="begin"/>
      </w:r>
      <w:r>
        <w:rPr>
          <w:color w:val="000000" w:themeColor="text1"/>
        </w:rPr>
        <w:instrText xml:space="preserve"> PAGEREF _Toc148963312 \h </w:instrText>
      </w:r>
      <w:r>
        <w:rPr>
          <w:color w:val="000000" w:themeColor="text1"/>
        </w:rPr>
        <w:fldChar w:fldCharType="separate"/>
      </w:r>
      <w:r>
        <w:rPr>
          <w:color w:val="000000" w:themeColor="text1"/>
        </w:rPr>
        <w:t>- 9 -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"_Toc148963313" </w:instrText>
      </w:r>
      <w:r>
        <w:fldChar w:fldCharType="separate"/>
      </w:r>
      <w:r>
        <w:rPr>
          <w:rStyle w:val="65"/>
          <w:rFonts w:ascii="宋体" w:hAnsi="宋体"/>
          <w:color w:val="000000" w:themeColor="text1"/>
        </w:rPr>
        <w:t>二、评审标准</w:t>
      </w:r>
      <w:r>
        <w:rPr>
          <w:color w:val="000000" w:themeColor="text1"/>
        </w:rPr>
        <w:tab/>
      </w:r>
      <w:r>
        <w:rPr>
          <w:color w:val="000000" w:themeColor="text1"/>
        </w:rPr>
        <w:fldChar w:fldCharType="begin"/>
      </w:r>
      <w:r>
        <w:rPr>
          <w:color w:val="000000" w:themeColor="text1"/>
        </w:rPr>
        <w:instrText xml:space="preserve"> PAGEREF _Toc148963313 \h </w:instrText>
      </w:r>
      <w:r>
        <w:rPr>
          <w:color w:val="000000" w:themeColor="text1"/>
        </w:rPr>
        <w:fldChar w:fldCharType="separate"/>
      </w:r>
      <w:r>
        <w:rPr>
          <w:color w:val="000000" w:themeColor="text1"/>
        </w:rPr>
        <w:t>- 11 -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"_Toc148963314" </w:instrText>
      </w:r>
      <w:r>
        <w:fldChar w:fldCharType="separate"/>
      </w:r>
      <w:r>
        <w:rPr>
          <w:rStyle w:val="65"/>
          <w:rFonts w:ascii="宋体" w:hAnsi="宋体"/>
          <w:color w:val="000000" w:themeColor="text1"/>
        </w:rPr>
        <w:t>三、无效响应</w:t>
      </w:r>
      <w:r>
        <w:rPr>
          <w:color w:val="000000" w:themeColor="text1"/>
        </w:rPr>
        <w:tab/>
      </w:r>
      <w:r>
        <w:rPr>
          <w:color w:val="000000" w:themeColor="text1"/>
        </w:rPr>
        <w:fldChar w:fldCharType="begin"/>
      </w:r>
      <w:r>
        <w:rPr>
          <w:color w:val="000000" w:themeColor="text1"/>
        </w:rPr>
        <w:instrText xml:space="preserve"> PAGEREF _Toc148963314 \h </w:instrText>
      </w:r>
      <w:r>
        <w:rPr>
          <w:color w:val="000000" w:themeColor="text1"/>
        </w:rPr>
        <w:fldChar w:fldCharType="separate"/>
      </w:r>
      <w:r>
        <w:rPr>
          <w:color w:val="000000" w:themeColor="text1"/>
        </w:rPr>
        <w:t>- 13 -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"_Toc148963315" </w:instrText>
      </w:r>
      <w:r>
        <w:fldChar w:fldCharType="separate"/>
      </w:r>
      <w:r>
        <w:rPr>
          <w:rStyle w:val="65"/>
          <w:rFonts w:ascii="宋体" w:hAnsi="宋体"/>
          <w:color w:val="000000" w:themeColor="text1"/>
        </w:rPr>
        <w:t>四、采购终止</w:t>
      </w:r>
      <w:r>
        <w:rPr>
          <w:color w:val="000000" w:themeColor="text1"/>
        </w:rPr>
        <w:tab/>
      </w:r>
      <w:r>
        <w:rPr>
          <w:color w:val="000000" w:themeColor="text1"/>
        </w:rPr>
        <w:fldChar w:fldCharType="begin"/>
      </w:r>
      <w:r>
        <w:rPr>
          <w:color w:val="000000" w:themeColor="text1"/>
        </w:rPr>
        <w:instrText xml:space="preserve"> PAGEREF _Toc148963315 \h </w:instrText>
      </w:r>
      <w:r>
        <w:rPr>
          <w:color w:val="000000" w:themeColor="text1"/>
        </w:rPr>
        <w:fldChar w:fldCharType="separate"/>
      </w:r>
      <w:r>
        <w:rPr>
          <w:color w:val="000000" w:themeColor="text1"/>
        </w:rPr>
        <w:t>- 13 -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"_Toc148963316" </w:instrText>
      </w:r>
      <w:r>
        <w:fldChar w:fldCharType="separate"/>
      </w:r>
      <w:r>
        <w:rPr>
          <w:rStyle w:val="65"/>
          <w:rFonts w:ascii="宋体" w:hAnsi="宋体"/>
          <w:color w:val="000000" w:themeColor="text1"/>
        </w:rPr>
        <w:t>第五篇  供应商须知</w:t>
      </w:r>
      <w:r>
        <w:rPr>
          <w:color w:val="000000" w:themeColor="text1"/>
        </w:rPr>
        <w:tab/>
      </w:r>
      <w:r>
        <w:rPr>
          <w:color w:val="000000" w:themeColor="text1"/>
        </w:rPr>
        <w:fldChar w:fldCharType="begin"/>
      </w:r>
      <w:r>
        <w:rPr>
          <w:color w:val="000000" w:themeColor="text1"/>
        </w:rPr>
        <w:instrText xml:space="preserve"> PAGEREF _Toc148963316 \h </w:instrText>
      </w:r>
      <w:r>
        <w:rPr>
          <w:color w:val="000000" w:themeColor="text1"/>
        </w:rPr>
        <w:fldChar w:fldCharType="separate"/>
      </w:r>
      <w:r>
        <w:rPr>
          <w:color w:val="000000" w:themeColor="text1"/>
        </w:rPr>
        <w:t>- 15 -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"_Toc148963317" </w:instrText>
      </w:r>
      <w:r>
        <w:fldChar w:fldCharType="separate"/>
      </w:r>
      <w:r>
        <w:rPr>
          <w:rStyle w:val="65"/>
          <w:rFonts w:ascii="宋体" w:hAnsi="宋体"/>
          <w:color w:val="000000" w:themeColor="text1"/>
        </w:rPr>
        <w:t>一、磋商费用</w:t>
      </w:r>
      <w:r>
        <w:rPr>
          <w:color w:val="000000" w:themeColor="text1"/>
        </w:rPr>
        <w:tab/>
      </w:r>
      <w:r>
        <w:rPr>
          <w:color w:val="000000" w:themeColor="text1"/>
        </w:rPr>
        <w:fldChar w:fldCharType="begin"/>
      </w:r>
      <w:r>
        <w:rPr>
          <w:color w:val="000000" w:themeColor="text1"/>
        </w:rPr>
        <w:instrText xml:space="preserve"> PAGEREF _Toc148963317 \h </w:instrText>
      </w:r>
      <w:r>
        <w:rPr>
          <w:color w:val="000000" w:themeColor="text1"/>
        </w:rPr>
        <w:fldChar w:fldCharType="separate"/>
      </w:r>
      <w:r>
        <w:rPr>
          <w:color w:val="000000" w:themeColor="text1"/>
        </w:rPr>
        <w:t>- 15 -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"_Toc148963318" </w:instrText>
      </w:r>
      <w:r>
        <w:fldChar w:fldCharType="separate"/>
      </w:r>
      <w:r>
        <w:rPr>
          <w:rStyle w:val="65"/>
          <w:rFonts w:ascii="宋体" w:hAnsi="宋体"/>
          <w:color w:val="000000" w:themeColor="text1"/>
        </w:rPr>
        <w:t>二、竞争性磋商文件</w:t>
      </w:r>
      <w:r>
        <w:rPr>
          <w:color w:val="000000" w:themeColor="text1"/>
        </w:rPr>
        <w:tab/>
      </w:r>
      <w:r>
        <w:rPr>
          <w:color w:val="000000" w:themeColor="text1"/>
        </w:rPr>
        <w:fldChar w:fldCharType="begin"/>
      </w:r>
      <w:r>
        <w:rPr>
          <w:color w:val="000000" w:themeColor="text1"/>
        </w:rPr>
        <w:instrText xml:space="preserve"> PAGEREF _Toc148963318 \h </w:instrText>
      </w:r>
      <w:r>
        <w:rPr>
          <w:color w:val="000000" w:themeColor="text1"/>
        </w:rPr>
        <w:fldChar w:fldCharType="separate"/>
      </w:r>
      <w:r>
        <w:rPr>
          <w:color w:val="000000" w:themeColor="text1"/>
        </w:rPr>
        <w:t>- 15 -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"_Toc148963319" </w:instrText>
      </w:r>
      <w:r>
        <w:fldChar w:fldCharType="separate"/>
      </w:r>
      <w:r>
        <w:rPr>
          <w:rStyle w:val="65"/>
          <w:rFonts w:ascii="宋体" w:hAnsi="宋体"/>
          <w:color w:val="000000" w:themeColor="text1"/>
        </w:rPr>
        <w:t>三、磋商要求</w:t>
      </w:r>
      <w:r>
        <w:rPr>
          <w:color w:val="000000" w:themeColor="text1"/>
        </w:rPr>
        <w:tab/>
      </w:r>
      <w:r>
        <w:rPr>
          <w:color w:val="000000" w:themeColor="text1"/>
        </w:rPr>
        <w:fldChar w:fldCharType="begin"/>
      </w:r>
      <w:r>
        <w:rPr>
          <w:color w:val="000000" w:themeColor="text1"/>
        </w:rPr>
        <w:instrText xml:space="preserve"> PAGEREF _Toc148963319 \h </w:instrText>
      </w:r>
      <w:r>
        <w:rPr>
          <w:color w:val="000000" w:themeColor="text1"/>
        </w:rPr>
        <w:fldChar w:fldCharType="separate"/>
      </w:r>
      <w:r>
        <w:rPr>
          <w:color w:val="000000" w:themeColor="text1"/>
        </w:rPr>
        <w:t>- 15 -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"_Toc148963320" </w:instrText>
      </w:r>
      <w:r>
        <w:fldChar w:fldCharType="separate"/>
      </w:r>
      <w:r>
        <w:rPr>
          <w:rStyle w:val="65"/>
          <w:rFonts w:ascii="宋体" w:hAnsi="宋体"/>
          <w:color w:val="000000" w:themeColor="text1"/>
        </w:rPr>
        <w:t>四、成交供应商的确认和变更</w:t>
      </w:r>
      <w:r>
        <w:rPr>
          <w:color w:val="000000" w:themeColor="text1"/>
        </w:rPr>
        <w:tab/>
      </w:r>
      <w:r>
        <w:rPr>
          <w:color w:val="000000" w:themeColor="text1"/>
        </w:rPr>
        <w:fldChar w:fldCharType="begin"/>
      </w:r>
      <w:r>
        <w:rPr>
          <w:color w:val="000000" w:themeColor="text1"/>
        </w:rPr>
        <w:instrText xml:space="preserve"> PAGEREF _Toc148963320 \h </w:instrText>
      </w:r>
      <w:r>
        <w:rPr>
          <w:color w:val="000000" w:themeColor="text1"/>
        </w:rPr>
        <w:fldChar w:fldCharType="separate"/>
      </w:r>
      <w:r>
        <w:rPr>
          <w:color w:val="000000" w:themeColor="text1"/>
        </w:rPr>
        <w:t>- 16 -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"_Toc148963321" </w:instrText>
      </w:r>
      <w:r>
        <w:fldChar w:fldCharType="separate"/>
      </w:r>
      <w:r>
        <w:rPr>
          <w:rStyle w:val="65"/>
          <w:rFonts w:ascii="宋体" w:hAnsi="宋体"/>
          <w:color w:val="000000" w:themeColor="text1"/>
        </w:rPr>
        <w:t>五、成交通知</w:t>
      </w:r>
      <w:r>
        <w:rPr>
          <w:color w:val="000000" w:themeColor="text1"/>
        </w:rPr>
        <w:tab/>
      </w:r>
      <w:r>
        <w:rPr>
          <w:color w:val="000000" w:themeColor="text1"/>
        </w:rPr>
        <w:fldChar w:fldCharType="begin"/>
      </w:r>
      <w:r>
        <w:rPr>
          <w:color w:val="000000" w:themeColor="text1"/>
        </w:rPr>
        <w:instrText xml:space="preserve"> PAGEREF _Toc148963321 \h </w:instrText>
      </w:r>
      <w:r>
        <w:rPr>
          <w:color w:val="000000" w:themeColor="text1"/>
        </w:rPr>
        <w:fldChar w:fldCharType="separate"/>
      </w:r>
      <w:r>
        <w:rPr>
          <w:color w:val="000000" w:themeColor="text1"/>
        </w:rPr>
        <w:t>- 17 -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"_Toc148963322" </w:instrText>
      </w:r>
      <w:r>
        <w:fldChar w:fldCharType="separate"/>
      </w:r>
      <w:r>
        <w:rPr>
          <w:rStyle w:val="65"/>
          <w:rFonts w:ascii="宋体" w:hAnsi="宋体"/>
          <w:color w:val="000000" w:themeColor="text1"/>
        </w:rPr>
        <w:t>六、关于质疑和投诉</w:t>
      </w:r>
      <w:r>
        <w:rPr>
          <w:color w:val="000000" w:themeColor="text1"/>
        </w:rPr>
        <w:tab/>
      </w:r>
      <w:r>
        <w:rPr>
          <w:color w:val="000000" w:themeColor="text1"/>
        </w:rPr>
        <w:fldChar w:fldCharType="begin"/>
      </w:r>
      <w:r>
        <w:rPr>
          <w:color w:val="000000" w:themeColor="text1"/>
        </w:rPr>
        <w:instrText xml:space="preserve"> PAGEREF _Toc148963322 \h </w:instrText>
      </w:r>
      <w:r>
        <w:rPr>
          <w:color w:val="000000" w:themeColor="text1"/>
        </w:rPr>
        <w:fldChar w:fldCharType="separate"/>
      </w:r>
      <w:r>
        <w:rPr>
          <w:color w:val="000000" w:themeColor="text1"/>
        </w:rPr>
        <w:t>- 17 -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"_Toc148963323" </w:instrText>
      </w:r>
      <w:r>
        <w:fldChar w:fldCharType="separate"/>
      </w:r>
      <w:r>
        <w:rPr>
          <w:rStyle w:val="65"/>
          <w:rFonts w:ascii="宋体" w:hAnsi="宋体"/>
          <w:color w:val="000000" w:themeColor="text1"/>
        </w:rPr>
        <w:t>七、采购代理服务费</w:t>
      </w:r>
      <w:r>
        <w:rPr>
          <w:color w:val="000000" w:themeColor="text1"/>
        </w:rPr>
        <w:tab/>
      </w:r>
      <w:r>
        <w:rPr>
          <w:color w:val="000000" w:themeColor="text1"/>
        </w:rPr>
        <w:fldChar w:fldCharType="begin"/>
      </w:r>
      <w:r>
        <w:rPr>
          <w:color w:val="000000" w:themeColor="text1"/>
        </w:rPr>
        <w:instrText xml:space="preserve"> PAGEREF _Toc148963323 \h </w:instrText>
      </w:r>
      <w:r>
        <w:rPr>
          <w:color w:val="000000" w:themeColor="text1"/>
        </w:rPr>
        <w:fldChar w:fldCharType="separate"/>
      </w:r>
      <w:r>
        <w:rPr>
          <w:color w:val="000000" w:themeColor="text1"/>
        </w:rPr>
        <w:t>- 19 -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"_Toc148963324" </w:instrText>
      </w:r>
      <w:r>
        <w:fldChar w:fldCharType="separate"/>
      </w:r>
      <w:r>
        <w:rPr>
          <w:rStyle w:val="65"/>
          <w:rFonts w:ascii="宋体" w:hAnsi="宋体"/>
          <w:color w:val="000000" w:themeColor="text1"/>
        </w:rPr>
        <w:t>八、签订合同</w:t>
      </w:r>
      <w:r>
        <w:rPr>
          <w:color w:val="000000" w:themeColor="text1"/>
        </w:rPr>
        <w:tab/>
      </w:r>
      <w:r>
        <w:rPr>
          <w:color w:val="000000" w:themeColor="text1"/>
        </w:rPr>
        <w:fldChar w:fldCharType="begin"/>
      </w:r>
      <w:r>
        <w:rPr>
          <w:color w:val="000000" w:themeColor="text1"/>
        </w:rPr>
        <w:instrText xml:space="preserve"> PAGEREF _Toc148963324 \h </w:instrText>
      </w:r>
      <w:r>
        <w:rPr>
          <w:color w:val="000000" w:themeColor="text1"/>
        </w:rPr>
        <w:fldChar w:fldCharType="separate"/>
      </w:r>
      <w:r>
        <w:rPr>
          <w:color w:val="000000" w:themeColor="text1"/>
        </w:rPr>
        <w:t>- 19 -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"_Toc148963325" </w:instrText>
      </w:r>
      <w:r>
        <w:fldChar w:fldCharType="separate"/>
      </w:r>
      <w:r>
        <w:rPr>
          <w:rStyle w:val="65"/>
          <w:rFonts w:ascii="宋体" w:hAnsi="宋体"/>
          <w:color w:val="000000" w:themeColor="text1"/>
        </w:rPr>
        <w:t>第六篇  协议草案条款</w:t>
      </w:r>
      <w:r>
        <w:rPr>
          <w:color w:val="000000" w:themeColor="text1"/>
        </w:rPr>
        <w:tab/>
      </w:r>
      <w:r>
        <w:rPr>
          <w:color w:val="000000" w:themeColor="text1"/>
        </w:rPr>
        <w:fldChar w:fldCharType="begin"/>
      </w:r>
      <w:r>
        <w:rPr>
          <w:color w:val="000000" w:themeColor="text1"/>
        </w:rPr>
        <w:instrText xml:space="preserve"> PAGEREF _Toc148963325 \h </w:instrText>
      </w:r>
      <w:r>
        <w:rPr>
          <w:color w:val="000000" w:themeColor="text1"/>
        </w:rPr>
        <w:fldChar w:fldCharType="separate"/>
      </w:r>
      <w:r>
        <w:rPr>
          <w:color w:val="000000" w:themeColor="text1"/>
        </w:rPr>
        <w:t>- 20 -</w:t>
      </w:r>
      <w:r>
        <w:rPr>
          <w:color w:val="000000" w:themeColor="text1"/>
        </w:rPr>
        <w:fldChar w:fldCharType="end"/>
      </w:r>
      <w:r>
        <w:rPr>
          <w:color w:val="000000" w:themeColor="text1"/>
        </w:rPr>
        <w:fldChar w:fldCharType="end"/>
      </w:r>
    </w:p>
    <w:p>
      <w:pPr>
        <w:pStyle w:val="46"/>
        <w:tabs>
          <w:tab w:val="right" w:leader="dot" w:pos="9515"/>
        </w:tabs>
        <w:ind w:left="560"/>
        <w:rPr>
          <w:rFonts w:asciiTheme="minorHAnsi" w:hAnsiTheme="minorHAnsi" w:eastAsiaTheme="minorEastAsia" w:cstheme="minorBidi"/>
          <w:color w:val="000000" w:themeColor="text1"/>
          <w:sz w:val="21"/>
          <w:szCs w:val="22"/>
        </w:rPr>
      </w:pPr>
      <w:r>
        <w:fldChar w:fldCharType="begin"/>
      </w:r>
      <w:r>
        <w:instrText xml:space="preserve"> HYPERLINK \l "_Toc148963326" </w:instrText>
      </w:r>
      <w:r>
        <w:fldChar w:fldCharType="separate"/>
      </w:r>
      <w:r>
        <w:rPr>
          <w:rStyle w:val="65"/>
          <w:rFonts w:ascii="宋体" w:hAnsi="宋体"/>
          <w:color w:val="000000" w:themeColor="text1"/>
        </w:rPr>
        <w:t>第七篇  响应文件编制要求</w:t>
      </w:r>
      <w:r>
        <w:rPr>
          <w:color w:val="000000" w:themeColor="text1"/>
        </w:rPr>
        <w:tab/>
      </w:r>
      <w:r>
        <w:rPr>
          <w:color w:val="000000" w:themeColor="text1"/>
        </w:rPr>
        <w:fldChar w:fldCharType="begin"/>
      </w:r>
      <w:r>
        <w:rPr>
          <w:color w:val="000000" w:themeColor="text1"/>
        </w:rPr>
        <w:instrText xml:space="preserve"> PAGEREF _Toc148963326 \h </w:instrText>
      </w:r>
      <w:r>
        <w:rPr>
          <w:color w:val="000000" w:themeColor="text1"/>
        </w:rPr>
        <w:fldChar w:fldCharType="separate"/>
      </w:r>
      <w:r>
        <w:rPr>
          <w:color w:val="000000" w:themeColor="text1"/>
        </w:rPr>
        <w:t>- 28 -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"_Toc148963327" </w:instrText>
      </w:r>
      <w:r>
        <w:fldChar w:fldCharType="separate"/>
      </w:r>
      <w:r>
        <w:rPr>
          <w:rStyle w:val="65"/>
          <w:rFonts w:ascii="宋体" w:hAnsi="宋体"/>
          <w:color w:val="000000" w:themeColor="text1"/>
        </w:rPr>
        <w:t>一、竞争性磋商报价函</w:t>
      </w:r>
      <w:r>
        <w:rPr>
          <w:color w:val="000000" w:themeColor="text1"/>
        </w:rPr>
        <w:tab/>
      </w:r>
      <w:r>
        <w:rPr>
          <w:color w:val="000000" w:themeColor="text1"/>
        </w:rPr>
        <w:fldChar w:fldCharType="begin"/>
      </w:r>
      <w:r>
        <w:rPr>
          <w:color w:val="000000" w:themeColor="text1"/>
        </w:rPr>
        <w:instrText xml:space="preserve"> PAGEREF _Toc148963327 \h </w:instrText>
      </w:r>
      <w:r>
        <w:rPr>
          <w:color w:val="000000" w:themeColor="text1"/>
        </w:rPr>
        <w:fldChar w:fldCharType="separate"/>
      </w:r>
      <w:r>
        <w:rPr>
          <w:color w:val="000000" w:themeColor="text1"/>
        </w:rPr>
        <w:t>- 28 -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"_Toc148963328" </w:instrText>
      </w:r>
      <w:r>
        <w:fldChar w:fldCharType="separate"/>
      </w:r>
      <w:r>
        <w:rPr>
          <w:rStyle w:val="65"/>
          <w:rFonts w:ascii="宋体" w:hAnsi="宋体"/>
          <w:color w:val="000000" w:themeColor="text1"/>
        </w:rPr>
        <w:t>二、服务部分</w:t>
      </w:r>
      <w:r>
        <w:rPr>
          <w:color w:val="000000" w:themeColor="text1"/>
        </w:rPr>
        <w:tab/>
      </w:r>
      <w:r>
        <w:rPr>
          <w:color w:val="000000" w:themeColor="text1"/>
        </w:rPr>
        <w:fldChar w:fldCharType="begin"/>
      </w:r>
      <w:r>
        <w:rPr>
          <w:color w:val="000000" w:themeColor="text1"/>
        </w:rPr>
        <w:instrText xml:space="preserve"> PAGEREF _Toc148963328 \h </w:instrText>
      </w:r>
      <w:r>
        <w:rPr>
          <w:color w:val="000000" w:themeColor="text1"/>
        </w:rPr>
        <w:fldChar w:fldCharType="separate"/>
      </w:r>
      <w:r>
        <w:rPr>
          <w:color w:val="000000" w:themeColor="text1"/>
        </w:rPr>
        <w:t>- 28 -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"_Toc148963329" </w:instrText>
      </w:r>
      <w:r>
        <w:fldChar w:fldCharType="separate"/>
      </w:r>
      <w:r>
        <w:rPr>
          <w:rStyle w:val="65"/>
          <w:rFonts w:ascii="宋体" w:hAnsi="宋体"/>
          <w:color w:val="000000" w:themeColor="text1"/>
        </w:rPr>
        <w:t>三、商务部分</w:t>
      </w:r>
      <w:r>
        <w:rPr>
          <w:color w:val="000000" w:themeColor="text1"/>
        </w:rPr>
        <w:tab/>
      </w:r>
      <w:r>
        <w:rPr>
          <w:color w:val="000000" w:themeColor="text1"/>
        </w:rPr>
        <w:fldChar w:fldCharType="begin"/>
      </w:r>
      <w:r>
        <w:rPr>
          <w:color w:val="000000" w:themeColor="text1"/>
        </w:rPr>
        <w:instrText xml:space="preserve"> PAGEREF _Toc148963329 \h </w:instrText>
      </w:r>
      <w:r>
        <w:rPr>
          <w:color w:val="000000" w:themeColor="text1"/>
        </w:rPr>
        <w:fldChar w:fldCharType="separate"/>
      </w:r>
      <w:r>
        <w:rPr>
          <w:color w:val="000000" w:themeColor="text1"/>
        </w:rPr>
        <w:t>- 28 -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"_Toc148963330" </w:instrText>
      </w:r>
      <w:r>
        <w:fldChar w:fldCharType="separate"/>
      </w:r>
      <w:r>
        <w:rPr>
          <w:rStyle w:val="65"/>
          <w:rFonts w:ascii="宋体" w:hAnsi="宋体"/>
          <w:color w:val="000000" w:themeColor="text1"/>
        </w:rPr>
        <w:t>四、资格条件及其他</w:t>
      </w:r>
      <w:r>
        <w:rPr>
          <w:color w:val="000000" w:themeColor="text1"/>
        </w:rPr>
        <w:tab/>
      </w:r>
      <w:r>
        <w:rPr>
          <w:color w:val="000000" w:themeColor="text1"/>
        </w:rPr>
        <w:fldChar w:fldCharType="begin"/>
      </w:r>
      <w:r>
        <w:rPr>
          <w:color w:val="000000" w:themeColor="text1"/>
        </w:rPr>
        <w:instrText xml:space="preserve"> PAGEREF _Toc148963330 \h </w:instrText>
      </w:r>
      <w:r>
        <w:rPr>
          <w:color w:val="000000" w:themeColor="text1"/>
        </w:rPr>
        <w:fldChar w:fldCharType="separate"/>
      </w:r>
      <w:r>
        <w:rPr>
          <w:color w:val="000000" w:themeColor="text1"/>
        </w:rPr>
        <w:t>- 28 -</w:t>
      </w:r>
      <w:r>
        <w:rPr>
          <w:color w:val="000000" w:themeColor="text1"/>
        </w:rPr>
        <w:fldChar w:fldCharType="end"/>
      </w:r>
      <w:r>
        <w:rPr>
          <w:color w:val="000000" w:themeColor="text1"/>
        </w:rPr>
        <w:fldChar w:fldCharType="end"/>
      </w:r>
    </w:p>
    <w:p>
      <w:pPr>
        <w:pStyle w:val="30"/>
        <w:tabs>
          <w:tab w:val="right" w:leader="dot" w:pos="9515"/>
        </w:tabs>
        <w:ind w:left="1120"/>
        <w:rPr>
          <w:rFonts w:asciiTheme="minorHAnsi" w:hAnsiTheme="minorHAnsi" w:eastAsiaTheme="minorEastAsia" w:cstheme="minorBidi"/>
          <w:color w:val="000000" w:themeColor="text1"/>
          <w:sz w:val="21"/>
          <w:szCs w:val="22"/>
        </w:rPr>
      </w:pPr>
      <w:r>
        <w:fldChar w:fldCharType="begin"/>
      </w:r>
      <w:r>
        <w:instrText xml:space="preserve"> HYPERLINK \l "_Toc148963331" </w:instrText>
      </w:r>
      <w:r>
        <w:fldChar w:fldCharType="separate"/>
      </w:r>
      <w:r>
        <w:rPr>
          <w:rStyle w:val="65"/>
          <w:color w:val="000000" w:themeColor="text1"/>
        </w:rPr>
        <w:t>五、其他资料</w:t>
      </w:r>
      <w:r>
        <w:rPr>
          <w:color w:val="000000" w:themeColor="text1"/>
        </w:rPr>
        <w:tab/>
      </w:r>
      <w:r>
        <w:rPr>
          <w:color w:val="000000" w:themeColor="text1"/>
        </w:rPr>
        <w:fldChar w:fldCharType="begin"/>
      </w:r>
      <w:r>
        <w:rPr>
          <w:color w:val="000000" w:themeColor="text1"/>
        </w:rPr>
        <w:instrText xml:space="preserve"> PAGEREF _Toc148963331 \h </w:instrText>
      </w:r>
      <w:r>
        <w:rPr>
          <w:color w:val="000000" w:themeColor="text1"/>
        </w:rPr>
        <w:fldChar w:fldCharType="separate"/>
      </w:r>
      <w:r>
        <w:rPr>
          <w:color w:val="000000" w:themeColor="text1"/>
        </w:rPr>
        <w:t>- 35 -</w:t>
      </w:r>
      <w:r>
        <w:rPr>
          <w:color w:val="000000" w:themeColor="text1"/>
        </w:rPr>
        <w:fldChar w:fldCharType="end"/>
      </w:r>
      <w:r>
        <w:rPr>
          <w:color w:val="000000" w:themeColor="text1"/>
        </w:rPr>
        <w:fldChar w:fldCharType="end"/>
      </w:r>
    </w:p>
    <w:p>
      <w:pPr>
        <w:pStyle w:val="46"/>
        <w:tabs>
          <w:tab w:val="right" w:leader="dot" w:pos="9402"/>
        </w:tabs>
        <w:spacing w:line="480" w:lineRule="exact"/>
        <w:ind w:left="560"/>
        <w:jc w:val="center"/>
        <w:rPr>
          <w:rFonts w:ascii="宋体" w:hAnsi="宋体"/>
          <w:color w:val="000000" w:themeColor="text1"/>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themeColor="text1"/>
          <w:sz w:val="24"/>
          <w:szCs w:val="24"/>
        </w:rPr>
        <w:fldChar w:fldCharType="end"/>
      </w:r>
    </w:p>
    <w:p>
      <w:pPr>
        <w:pStyle w:val="5"/>
        <w:snapToGrid w:val="0"/>
        <w:spacing w:line="360" w:lineRule="auto"/>
        <w:jc w:val="center"/>
        <w:rPr>
          <w:rFonts w:ascii="宋体" w:hAnsi="宋体" w:eastAsia="宋体"/>
          <w:color w:val="000000" w:themeColor="text1"/>
          <w:sz w:val="36"/>
          <w:szCs w:val="30"/>
        </w:rPr>
      </w:pPr>
      <w:bookmarkStart w:id="0" w:name="_Toc12789052"/>
      <w:bookmarkStart w:id="1" w:name="_Toc148963295"/>
      <w:bookmarkStart w:id="2" w:name="_Toc11641050"/>
      <w:r>
        <w:rPr>
          <w:rFonts w:hint="eastAsia" w:ascii="宋体" w:hAnsi="宋体" w:eastAsia="宋体"/>
          <w:color w:val="000000" w:themeColor="text1"/>
          <w:sz w:val="36"/>
          <w:szCs w:val="30"/>
        </w:rPr>
        <w:t>第一篇  采购邀请书</w:t>
      </w:r>
      <w:bookmarkEnd w:id="0"/>
      <w:bookmarkEnd w:id="1"/>
      <w:bookmarkEnd w:id="2"/>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重庆荣奕工程管理有限公司（以下简称：采购代理机构）接</w:t>
      </w:r>
      <w:r>
        <w:rPr>
          <w:rFonts w:ascii="宋体" w:hAnsi="宋体"/>
          <w:color w:val="000000" w:themeColor="text1"/>
          <w:sz w:val="24"/>
          <w:szCs w:val="24"/>
        </w:rPr>
        <w:t>受</w:t>
      </w:r>
      <w:r>
        <w:rPr>
          <w:rFonts w:hint="eastAsia" w:ascii="宋体" w:hAnsi="宋体"/>
          <w:color w:val="000000" w:themeColor="text1"/>
          <w:sz w:val="24"/>
          <w:szCs w:val="24"/>
          <w:u w:val="single"/>
        </w:rPr>
        <w:t>重庆市交通局</w:t>
      </w:r>
      <w:r>
        <w:rPr>
          <w:rFonts w:hint="eastAsia" w:ascii="宋体" w:hAnsi="宋体"/>
          <w:color w:val="000000" w:themeColor="text1"/>
          <w:sz w:val="24"/>
          <w:szCs w:val="24"/>
        </w:rPr>
        <w:t>的委托，对</w:t>
      </w:r>
      <w:r>
        <w:rPr>
          <w:rFonts w:hint="eastAsia" w:ascii="宋体" w:hAnsi="宋体"/>
          <w:color w:val="000000" w:themeColor="text1"/>
          <w:sz w:val="24"/>
          <w:szCs w:val="24"/>
          <w:u w:val="single"/>
        </w:rPr>
        <w:t>“政务·渝运安”应用资金计划报告及应用开发方案编制服务</w:t>
      </w:r>
      <w:r>
        <w:rPr>
          <w:rFonts w:hint="eastAsia" w:ascii="宋体" w:hAnsi="宋体"/>
          <w:color w:val="000000" w:themeColor="text1"/>
          <w:sz w:val="24"/>
          <w:szCs w:val="24"/>
        </w:rPr>
        <w:t>（项目号：RYGL-23C1201）进行竞争性磋商采购。欢迎有资格的供应商前来参与磋商。</w:t>
      </w:r>
    </w:p>
    <w:p>
      <w:pPr>
        <w:pStyle w:val="6"/>
        <w:snapToGrid w:val="0"/>
        <w:spacing w:before="0" w:after="0" w:line="360" w:lineRule="auto"/>
        <w:ind w:firstLine="482" w:firstLineChars="200"/>
        <w:rPr>
          <w:rFonts w:ascii="宋体" w:hAnsi="宋体"/>
          <w:color w:val="000000" w:themeColor="text1"/>
          <w:sz w:val="24"/>
          <w:szCs w:val="24"/>
        </w:rPr>
      </w:pPr>
      <w:bookmarkStart w:id="3" w:name="_Toc313893526"/>
      <w:bookmarkStart w:id="4" w:name="_Toc317775175"/>
      <w:bookmarkStart w:id="5" w:name="_Toc148963296"/>
      <w:r>
        <w:rPr>
          <w:rFonts w:hint="eastAsia" w:ascii="宋体" w:hAnsi="宋体"/>
          <w:color w:val="000000" w:themeColor="text1"/>
          <w:sz w:val="24"/>
          <w:szCs w:val="24"/>
        </w:rPr>
        <w:t>一、竞争性磋商内容</w:t>
      </w:r>
      <w:bookmarkEnd w:id="3"/>
      <w:bookmarkEnd w:id="4"/>
      <w:bookmarkEnd w:id="5"/>
    </w:p>
    <w:tbl>
      <w:tblPr>
        <w:tblStyle w:val="58"/>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6"/>
        <w:gridCol w:w="1134"/>
        <w:gridCol w:w="184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81"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hAnsi="宋体" w:cs="宋体"/>
                <w:b/>
                <w:bCs/>
                <w:color w:val="000000" w:themeColor="text1"/>
                <w:kern w:val="0"/>
                <w:sz w:val="21"/>
                <w:szCs w:val="21"/>
              </w:rPr>
            </w:pPr>
            <w:bookmarkStart w:id="6" w:name="_Toc373860293"/>
            <w:bookmarkStart w:id="7" w:name="_Toc317775178"/>
            <w:r>
              <w:rPr>
                <w:rFonts w:hint="eastAsia" w:ascii="宋体" w:hAnsi="宋体" w:cs="宋体"/>
                <w:b/>
                <w:bCs/>
                <w:color w:val="000000" w:themeColor="text1"/>
                <w:kern w:val="0"/>
                <w:sz w:val="21"/>
                <w:szCs w:val="21"/>
              </w:rPr>
              <w:t>项目内容</w:t>
            </w:r>
          </w:p>
        </w:tc>
        <w:tc>
          <w:tcPr>
            <w:tcW w:w="1276"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最高限价</w:t>
            </w:r>
          </w:p>
          <w:p>
            <w:pPr>
              <w:widowControl/>
              <w:snapToGrid w:val="0"/>
              <w:spacing w:line="24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（折扣%）</w:t>
            </w:r>
          </w:p>
        </w:tc>
        <w:tc>
          <w:tcPr>
            <w:tcW w:w="113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成交供应商数量（名）</w:t>
            </w:r>
          </w:p>
        </w:tc>
        <w:tc>
          <w:tcPr>
            <w:tcW w:w="1842"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采购标的对应的中小企业划分标准所属行业</w:t>
            </w:r>
          </w:p>
        </w:tc>
        <w:tc>
          <w:tcPr>
            <w:tcW w:w="2694" w:type="dxa"/>
            <w:tcBorders>
              <w:top w:val="single" w:color="auto" w:sz="4" w:space="0"/>
              <w:left w:val="single" w:color="auto" w:sz="4" w:space="0"/>
              <w:right w:val="single" w:color="auto" w:sz="4" w:space="0"/>
            </w:tcBorders>
            <w:vAlign w:val="center"/>
          </w:tcPr>
          <w:p>
            <w:pPr>
              <w:widowControl/>
              <w:snapToGrid w:val="0"/>
              <w:spacing w:line="240" w:lineRule="exact"/>
              <w:jc w:val="center"/>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ascii="宋体" w:hAnsi="宋体"/>
                <w:color w:val="000000" w:themeColor="text1"/>
                <w:sz w:val="21"/>
                <w:szCs w:val="21"/>
              </w:rPr>
            </w:pPr>
            <w:bookmarkStart w:id="8" w:name="_Hlk344477914"/>
            <w:r>
              <w:rPr>
                <w:rFonts w:hint="eastAsia" w:ascii="宋体" w:hAnsi="宋体"/>
                <w:color w:val="000000" w:themeColor="text1"/>
                <w:sz w:val="21"/>
                <w:szCs w:val="21"/>
              </w:rPr>
              <w:t>“政务·渝运安”应用资金计划报告及应用开发方案编制服务</w:t>
            </w:r>
          </w:p>
        </w:tc>
        <w:tc>
          <w:tcPr>
            <w:tcW w:w="1276"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ascii="宋体" w:hAnsi="宋体"/>
                <w:color w:val="000000" w:themeColor="text1"/>
                <w:sz w:val="21"/>
                <w:szCs w:val="21"/>
              </w:rPr>
            </w:pPr>
            <w:r>
              <w:rPr>
                <w:rFonts w:ascii="宋体" w:hAnsi="宋体"/>
                <w:color w:val="000000" w:themeColor="text1"/>
                <w:sz w:val="21"/>
                <w:szCs w:val="21"/>
              </w:rPr>
              <w:t>100</w:t>
            </w:r>
          </w:p>
        </w:tc>
        <w:tc>
          <w:tcPr>
            <w:tcW w:w="1134"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ascii="宋体" w:hAnsi="宋体"/>
                <w:color w:val="000000" w:themeColor="text1"/>
                <w:sz w:val="21"/>
                <w:szCs w:val="21"/>
              </w:rPr>
            </w:pPr>
            <w:r>
              <w:rPr>
                <w:rFonts w:ascii="宋体" w:hAnsi="宋体"/>
                <w:color w:val="000000" w:themeColor="text1"/>
                <w:sz w:val="21"/>
                <w:szCs w:val="21"/>
              </w:rPr>
              <w:t>1</w:t>
            </w:r>
          </w:p>
        </w:tc>
        <w:tc>
          <w:tcPr>
            <w:tcW w:w="1842" w:type="dxa"/>
            <w:tcBorders>
              <w:top w:val="single" w:color="auto" w:sz="4" w:space="0"/>
              <w:left w:val="single" w:color="auto" w:sz="4" w:space="0"/>
              <w:right w:val="single" w:color="auto" w:sz="4" w:space="0"/>
            </w:tcBorders>
            <w:vAlign w:val="center"/>
          </w:tcPr>
          <w:p>
            <w:pPr>
              <w:pStyle w:val="24"/>
              <w:snapToGrid w:val="0"/>
              <w:spacing w:line="240" w:lineRule="exact"/>
              <w:ind w:left="0"/>
              <w:jc w:val="center"/>
              <w:outlineLvl w:val="0"/>
              <w:rPr>
                <w:rFonts w:ascii="宋体" w:hAnsi="宋体"/>
                <w:color w:val="000000" w:themeColor="text1"/>
                <w:sz w:val="21"/>
                <w:szCs w:val="21"/>
              </w:rPr>
            </w:pPr>
            <w:r>
              <w:rPr>
                <w:rFonts w:hint="eastAsia" w:ascii="宋体" w:hAnsi="宋体"/>
                <w:color w:val="000000" w:themeColor="text1"/>
                <w:sz w:val="21"/>
                <w:szCs w:val="21"/>
              </w:rPr>
              <w:t>软件和信息技术服务业</w:t>
            </w:r>
          </w:p>
        </w:tc>
        <w:tc>
          <w:tcPr>
            <w:tcW w:w="2694" w:type="dxa"/>
            <w:tcBorders>
              <w:top w:val="single" w:color="auto" w:sz="4" w:space="0"/>
              <w:left w:val="single" w:color="auto" w:sz="4" w:space="0"/>
              <w:right w:val="single" w:color="auto" w:sz="4" w:space="0"/>
            </w:tcBorders>
            <w:vAlign w:val="center"/>
          </w:tcPr>
          <w:p>
            <w:pPr>
              <w:pStyle w:val="24"/>
              <w:snapToGrid w:val="0"/>
              <w:spacing w:line="240" w:lineRule="exact"/>
              <w:ind w:left="0"/>
              <w:jc w:val="left"/>
              <w:outlineLvl w:val="0"/>
              <w:rPr>
                <w:rFonts w:ascii="宋体" w:hAnsi="宋体"/>
                <w:color w:val="000000" w:themeColor="text1"/>
                <w:sz w:val="21"/>
                <w:szCs w:val="21"/>
              </w:rPr>
            </w:pPr>
            <w:r>
              <w:rPr>
                <w:rFonts w:hint="eastAsia" w:ascii="宋体" w:hAnsi="宋体"/>
                <w:color w:val="000000" w:themeColor="text1"/>
                <w:sz w:val="21"/>
                <w:szCs w:val="21"/>
              </w:rPr>
              <w:t>合同实际金额：</w:t>
            </w:r>
          </w:p>
          <w:p>
            <w:pPr>
              <w:pStyle w:val="24"/>
              <w:snapToGrid w:val="0"/>
              <w:spacing w:line="240" w:lineRule="exact"/>
              <w:ind w:left="0"/>
              <w:jc w:val="left"/>
              <w:outlineLvl w:val="0"/>
              <w:rPr>
                <w:rFonts w:ascii="宋体" w:hAnsi="宋体"/>
                <w:color w:val="000000" w:themeColor="text1"/>
                <w:sz w:val="21"/>
                <w:szCs w:val="21"/>
              </w:rPr>
            </w:pPr>
            <w:r>
              <w:rPr>
                <w:rFonts w:hint="eastAsia" w:ascii="宋体" w:hAnsi="宋体"/>
                <w:color w:val="000000" w:themeColor="text1"/>
                <w:sz w:val="21"/>
                <w:szCs w:val="21"/>
              </w:rPr>
              <w:t>1.应用资金需求按照《重庆市工程建设中介服务收费管理实施办法》(渝价[2013]430号)规定的（可行性研究报告）收费标准作为合同支付基准价，合同支付金额根据供应商中标折扣计算。</w:t>
            </w:r>
          </w:p>
          <w:p>
            <w:pPr>
              <w:pStyle w:val="24"/>
              <w:snapToGrid w:val="0"/>
              <w:spacing w:line="240" w:lineRule="exact"/>
              <w:ind w:left="0"/>
              <w:jc w:val="left"/>
              <w:outlineLvl w:val="0"/>
              <w:rPr>
                <w:rFonts w:ascii="宋体" w:hAnsi="宋体"/>
                <w:color w:val="000000" w:themeColor="text1"/>
                <w:sz w:val="21"/>
                <w:szCs w:val="21"/>
              </w:rPr>
            </w:pPr>
            <w:r>
              <w:rPr>
                <w:rFonts w:hint="eastAsia" w:ascii="宋体" w:hAnsi="宋体"/>
                <w:color w:val="000000" w:themeColor="text1"/>
                <w:sz w:val="21"/>
                <w:szCs w:val="21"/>
              </w:rPr>
              <w:t>2.应用开发方案按照《工程勘察设计收费管理规定》(计价格[2002]10号)规定的设计费收费标准作为合同支付基准价，合同支付金额根据供应商中标折扣计算。</w:t>
            </w:r>
          </w:p>
          <w:p>
            <w:pPr>
              <w:pStyle w:val="24"/>
              <w:snapToGrid w:val="0"/>
              <w:spacing w:line="240" w:lineRule="exact"/>
              <w:ind w:left="0"/>
              <w:jc w:val="left"/>
              <w:outlineLvl w:val="0"/>
              <w:rPr>
                <w:rFonts w:ascii="宋体" w:hAnsi="宋体"/>
                <w:color w:val="000000" w:themeColor="text1"/>
                <w:sz w:val="21"/>
                <w:szCs w:val="21"/>
              </w:rPr>
            </w:pPr>
            <w:r>
              <w:rPr>
                <w:rFonts w:hint="eastAsia" w:ascii="宋体" w:hAnsi="宋体"/>
                <w:color w:val="000000" w:themeColor="text1"/>
                <w:sz w:val="21"/>
                <w:szCs w:val="21"/>
              </w:rPr>
              <w:t>3.合同计算编制服务费若高于项目批复金额，则编制服务费以批复金额为基准价。</w:t>
            </w:r>
          </w:p>
          <w:p>
            <w:pPr>
              <w:pStyle w:val="24"/>
              <w:snapToGrid w:val="0"/>
              <w:spacing w:line="240" w:lineRule="exact"/>
              <w:ind w:left="0"/>
              <w:jc w:val="left"/>
              <w:outlineLvl w:val="0"/>
              <w:rPr>
                <w:rFonts w:ascii="宋体" w:hAnsi="宋体"/>
                <w:color w:val="000000" w:themeColor="text1"/>
                <w:sz w:val="21"/>
                <w:szCs w:val="21"/>
              </w:rPr>
            </w:pPr>
            <w:r>
              <w:rPr>
                <w:rFonts w:hint="eastAsia" w:ascii="宋体" w:hAnsi="宋体"/>
                <w:color w:val="000000" w:themeColor="text1"/>
                <w:sz w:val="21"/>
                <w:szCs w:val="21"/>
              </w:rPr>
              <w:t>4.实际支付合同金额=基准价*中标折扣报价。</w:t>
            </w:r>
          </w:p>
        </w:tc>
      </w:tr>
      <w:bookmarkEnd w:id="6"/>
      <w:bookmarkEnd w:id="7"/>
      <w:bookmarkEnd w:id="8"/>
    </w:tbl>
    <w:p>
      <w:pPr>
        <w:snapToGrid w:val="0"/>
        <w:spacing w:line="360" w:lineRule="auto"/>
        <w:ind w:firstLine="482" w:firstLineChars="200"/>
        <w:rPr>
          <w:rFonts w:ascii="宋体" w:hAnsi="宋体"/>
          <w:b/>
          <w:bCs/>
          <w:color w:val="000000" w:themeColor="text1"/>
          <w:sz w:val="24"/>
          <w:szCs w:val="24"/>
        </w:rPr>
      </w:pPr>
      <w:bookmarkStart w:id="9" w:name="_Toc75258773"/>
      <w:r>
        <w:rPr>
          <w:rFonts w:hint="eastAsia" w:ascii="宋体" w:hAnsi="宋体"/>
          <w:b/>
          <w:bCs/>
          <w:color w:val="000000" w:themeColor="text1"/>
          <w:sz w:val="24"/>
          <w:szCs w:val="24"/>
        </w:rPr>
        <w:t>供应商的折扣报价不得高于项目折扣最高限价100，否则将作否决投标处理。合同金额为基准价×折扣报价，例：折扣报价为95，合同金额为基准价×95%。</w:t>
      </w:r>
    </w:p>
    <w:p>
      <w:pPr>
        <w:pStyle w:val="6"/>
        <w:snapToGrid w:val="0"/>
        <w:spacing w:before="0" w:after="0" w:line="360" w:lineRule="auto"/>
        <w:ind w:firstLine="482" w:firstLineChars="200"/>
        <w:rPr>
          <w:rFonts w:ascii="宋体" w:hAnsi="宋体"/>
          <w:color w:val="000000" w:themeColor="text1"/>
          <w:sz w:val="24"/>
          <w:szCs w:val="24"/>
        </w:rPr>
      </w:pPr>
      <w:bookmarkStart w:id="10" w:name="_Toc148963297"/>
      <w:r>
        <w:rPr>
          <w:rFonts w:hint="eastAsia" w:ascii="宋体" w:hAnsi="宋体"/>
          <w:color w:val="000000" w:themeColor="text1"/>
          <w:sz w:val="24"/>
          <w:szCs w:val="24"/>
        </w:rPr>
        <w:t>二、供应商资格条件</w:t>
      </w:r>
      <w:bookmarkEnd w:id="9"/>
      <w:bookmarkEnd w:id="10"/>
    </w:p>
    <w:p>
      <w:pPr>
        <w:snapToGrid w:val="0"/>
        <w:spacing w:line="360" w:lineRule="auto"/>
        <w:ind w:firstLine="480" w:firstLineChars="200"/>
        <w:rPr>
          <w:rFonts w:ascii="宋体" w:hAnsi="宋体"/>
          <w:color w:val="000000" w:themeColor="text1"/>
          <w:sz w:val="24"/>
          <w:szCs w:val="24"/>
        </w:rPr>
      </w:pPr>
      <w:bookmarkStart w:id="11" w:name="_Toc75258774"/>
      <w:r>
        <w:rPr>
          <w:rFonts w:hint="eastAsia" w:ascii="宋体" w:hAnsi="宋体"/>
          <w:color w:val="000000" w:themeColor="text1"/>
          <w:sz w:val="24"/>
          <w:szCs w:val="24"/>
        </w:rPr>
        <w:t>（一）合格供应商应满足《中华人民共和国政府采购法》第二十二条规定；</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（二）本项目的特定资格条件：无；</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（三）落实政府采购政策需满足的资格要求：无。</w:t>
      </w:r>
    </w:p>
    <w:p>
      <w:pPr>
        <w:pStyle w:val="6"/>
        <w:snapToGrid w:val="0"/>
        <w:spacing w:before="0" w:after="0" w:line="360" w:lineRule="auto"/>
        <w:ind w:firstLine="482" w:firstLineChars="200"/>
        <w:rPr>
          <w:rFonts w:ascii="宋体" w:hAnsi="宋体"/>
          <w:color w:val="000000" w:themeColor="text1"/>
          <w:sz w:val="24"/>
          <w:szCs w:val="24"/>
        </w:rPr>
      </w:pPr>
      <w:bookmarkStart w:id="12" w:name="_Toc148963298"/>
      <w:r>
        <w:rPr>
          <w:rFonts w:hint="eastAsia" w:ascii="宋体" w:hAnsi="宋体"/>
          <w:color w:val="000000" w:themeColor="text1"/>
          <w:sz w:val="24"/>
          <w:szCs w:val="24"/>
        </w:rPr>
        <w:t>三、磋商有关说明</w:t>
      </w:r>
      <w:bookmarkEnd w:id="11"/>
      <w:bookmarkEnd w:id="12"/>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凡有意参加磋商的供应商，请在重庆市交通局官方网站（http://jtj.cq.gov.cn/）网上下载或代理机构领取本项目磋商文件以及图纸、补遗文件等磋商前公布的所有项目资料，无论供应商下载或领取与否，均视为已知晓所有磋商实质性要求内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（二）竞争性磋商文件公告期限：自采购公告发布之日起三个工作日。</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（三）磋商文件发售：</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1.磋商文件发售期：</w:t>
      </w:r>
      <w:r>
        <w:rPr>
          <w:rFonts w:hint="eastAsia" w:ascii="宋体" w:hAnsi="宋体" w:cs="宋体"/>
          <w:color w:val="000000" w:themeColor="text1"/>
          <w:sz w:val="24"/>
          <w:szCs w:val="24"/>
        </w:rPr>
        <w:t>2024年1月2日-2024年1月9日</w:t>
      </w:r>
      <w:r>
        <w:rPr>
          <w:rFonts w:hint="eastAsia" w:ascii="宋体" w:hAnsi="宋体"/>
          <w:color w:val="000000" w:themeColor="text1"/>
          <w:sz w:val="24"/>
          <w:szCs w:val="24"/>
        </w:rPr>
        <w:t>17:00（工作时间）。</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2.磋商文件售价：人民币300元/包（售后不退）。</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3.磋商文件费在磋商时间前于磋商现场缴纳。</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（四）递交磋商响应文件地点：重庆市交通局（重庆市渝北区龙溪红锦大道20号）10楼会议室。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（五）磋商响应文件递交时间：</w:t>
      </w:r>
      <w:r>
        <w:rPr>
          <w:rFonts w:hint="eastAsia" w:ascii="宋体" w:hAnsi="宋体" w:cs="宋体"/>
          <w:color w:val="000000" w:themeColor="text1"/>
          <w:sz w:val="24"/>
          <w:szCs w:val="24"/>
        </w:rPr>
        <w:t>2024年1月16日</w:t>
      </w:r>
      <w:r>
        <w:rPr>
          <w:rFonts w:hint="eastAsia" w:ascii="宋体" w:hAnsi="宋体"/>
          <w:color w:val="000000" w:themeColor="text1"/>
          <w:sz w:val="24"/>
          <w:szCs w:val="24"/>
        </w:rPr>
        <w:t>北京时间14:00—14:30。</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（六）磋商开始时间：</w:t>
      </w:r>
      <w:r>
        <w:rPr>
          <w:rFonts w:hint="eastAsia" w:ascii="宋体" w:hAnsi="宋体" w:cs="宋体"/>
          <w:color w:val="000000" w:themeColor="text1"/>
          <w:sz w:val="24"/>
          <w:szCs w:val="24"/>
        </w:rPr>
        <w:t>2024年1月16日</w:t>
      </w:r>
      <w:r>
        <w:rPr>
          <w:rFonts w:hint="eastAsia" w:ascii="宋体" w:hAnsi="宋体"/>
          <w:color w:val="000000" w:themeColor="text1"/>
          <w:sz w:val="24"/>
          <w:szCs w:val="24"/>
        </w:rPr>
        <w:t>北京时间14:30。</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（七）磋商地点：同递交响应文件地点。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（八）供应商须满足以下两种要件，其磋商才被接受：</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1.按时递交了磋商响应文件；</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2.按时报名签到。</w:t>
      </w:r>
    </w:p>
    <w:p>
      <w:pPr>
        <w:pStyle w:val="6"/>
        <w:snapToGrid w:val="0"/>
        <w:spacing w:before="0" w:after="0" w:line="360" w:lineRule="auto"/>
        <w:ind w:firstLine="482" w:firstLineChars="200"/>
        <w:rPr>
          <w:rFonts w:ascii="宋体" w:hAnsi="宋体"/>
          <w:color w:val="000000" w:themeColor="text1"/>
          <w:sz w:val="24"/>
          <w:szCs w:val="24"/>
        </w:rPr>
      </w:pPr>
      <w:bookmarkStart w:id="13" w:name="_Toc148963299"/>
      <w:bookmarkStart w:id="14" w:name="_Toc373860294"/>
      <w:bookmarkStart w:id="15" w:name="_Toc75258775"/>
      <w:r>
        <w:rPr>
          <w:rFonts w:hint="eastAsia" w:ascii="宋体" w:hAnsi="宋体"/>
          <w:color w:val="000000" w:themeColor="text1"/>
          <w:sz w:val="24"/>
          <w:szCs w:val="24"/>
        </w:rPr>
        <w:t>四、磋商保证金</w:t>
      </w:r>
      <w:bookmarkEnd w:id="13"/>
      <w:bookmarkEnd w:id="14"/>
      <w:bookmarkEnd w:id="15"/>
    </w:p>
    <w:p>
      <w:pPr>
        <w:snapToGrid w:val="0"/>
        <w:spacing w:line="360" w:lineRule="auto"/>
        <w:ind w:firstLine="480" w:firstLineChars="200"/>
        <w:rPr>
          <w:rFonts w:ascii="宋体" w:hAnsi="宋体"/>
          <w:color w:val="000000" w:themeColor="text1"/>
          <w:sz w:val="24"/>
          <w:szCs w:val="24"/>
        </w:rPr>
      </w:pPr>
      <w:bookmarkStart w:id="16" w:name="_Toc530038692"/>
      <w:r>
        <w:rPr>
          <w:rFonts w:hint="eastAsia" w:ascii="宋体" w:hAnsi="宋体"/>
          <w:color w:val="000000" w:themeColor="text1"/>
          <w:sz w:val="24"/>
          <w:szCs w:val="24"/>
        </w:rPr>
        <w:t>本项目无需递交磋商保证金。</w:t>
      </w:r>
    </w:p>
    <w:p>
      <w:pPr>
        <w:pStyle w:val="6"/>
        <w:snapToGrid w:val="0"/>
        <w:spacing w:before="0" w:after="0" w:line="360" w:lineRule="auto"/>
        <w:ind w:firstLine="482" w:firstLineChars="200"/>
        <w:rPr>
          <w:rFonts w:ascii="宋体" w:hAnsi="宋体"/>
          <w:color w:val="000000" w:themeColor="text1"/>
          <w:sz w:val="24"/>
          <w:szCs w:val="24"/>
        </w:rPr>
      </w:pPr>
      <w:bookmarkStart w:id="17" w:name="_Toc75258776"/>
      <w:bookmarkStart w:id="18" w:name="_Toc148963300"/>
      <w:r>
        <w:rPr>
          <w:rFonts w:hint="eastAsia" w:ascii="宋体" w:hAnsi="宋体"/>
          <w:color w:val="000000" w:themeColor="text1"/>
          <w:sz w:val="24"/>
          <w:szCs w:val="24"/>
        </w:rPr>
        <w:t>五、采购项目需落实的政府采购政策</w:t>
      </w:r>
      <w:bookmarkEnd w:id="16"/>
      <w:bookmarkEnd w:id="17"/>
      <w:bookmarkEnd w:id="18"/>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（一）按照《财政部生态环境部关于印发环境标志产品政府采购品目清单的通知》（财库〔</w:t>
      </w:r>
      <w:r>
        <w:rPr>
          <w:rFonts w:ascii="宋体" w:hAnsi="宋体"/>
          <w:color w:val="000000" w:themeColor="text1"/>
          <w:sz w:val="24"/>
          <w:szCs w:val="24"/>
        </w:rPr>
        <w:t>2019</w:t>
      </w:r>
      <w:r>
        <w:rPr>
          <w:rFonts w:hint="eastAsia" w:ascii="宋体" w:hAnsi="宋体"/>
          <w:color w:val="000000" w:themeColor="text1"/>
          <w:sz w:val="24"/>
          <w:szCs w:val="24"/>
        </w:rPr>
        <w:t>〕</w:t>
      </w:r>
      <w:r>
        <w:rPr>
          <w:rFonts w:ascii="宋体" w:hAnsi="宋体"/>
          <w:color w:val="000000" w:themeColor="text1"/>
          <w:sz w:val="24"/>
          <w:szCs w:val="24"/>
        </w:rPr>
        <w:t>18</w:t>
      </w:r>
      <w:r>
        <w:rPr>
          <w:rFonts w:hint="eastAsia" w:ascii="宋体" w:hAnsi="宋体"/>
          <w:color w:val="000000" w:themeColor="text1"/>
          <w:sz w:val="24"/>
          <w:szCs w:val="24"/>
        </w:rPr>
        <w:t>号）和《财政部发展改革委关于印发节能产品政府采购品目清单的通知》（财库〔</w:t>
      </w:r>
      <w:r>
        <w:rPr>
          <w:rFonts w:ascii="宋体" w:hAnsi="宋体"/>
          <w:color w:val="000000" w:themeColor="text1"/>
          <w:sz w:val="24"/>
          <w:szCs w:val="24"/>
        </w:rPr>
        <w:t>2019</w:t>
      </w:r>
      <w:r>
        <w:rPr>
          <w:rFonts w:hint="eastAsia" w:ascii="宋体" w:hAnsi="宋体"/>
          <w:color w:val="000000" w:themeColor="text1"/>
          <w:sz w:val="24"/>
          <w:szCs w:val="24"/>
        </w:rPr>
        <w:t>〕</w:t>
      </w:r>
      <w:r>
        <w:rPr>
          <w:rFonts w:ascii="宋体" w:hAnsi="宋体"/>
          <w:color w:val="000000" w:themeColor="text1"/>
          <w:sz w:val="24"/>
          <w:szCs w:val="24"/>
        </w:rPr>
        <w:t>19</w:t>
      </w:r>
      <w:r>
        <w:rPr>
          <w:rFonts w:hint="eastAsia" w:ascii="宋体" w:hAnsi="宋体"/>
          <w:color w:val="000000" w:themeColor="text1"/>
          <w:sz w:val="24"/>
          <w:szCs w:val="24"/>
        </w:rPr>
        <w:t>号）的规定，落实国家节能环保政策。</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（三）按照《财政部、司法部关于政府采购支持监狱企业发展有关问题的通知》（财库〔</w:t>
      </w:r>
      <w:r>
        <w:rPr>
          <w:rFonts w:ascii="宋体" w:hAnsi="宋体"/>
          <w:color w:val="000000" w:themeColor="text1"/>
          <w:sz w:val="24"/>
          <w:szCs w:val="24"/>
        </w:rPr>
        <w:t>2014</w:t>
      </w:r>
      <w:r>
        <w:rPr>
          <w:rFonts w:hint="eastAsia" w:ascii="宋体" w:hAnsi="宋体"/>
          <w:color w:val="000000" w:themeColor="text1"/>
          <w:sz w:val="24"/>
          <w:szCs w:val="24"/>
        </w:rPr>
        <w:t>〕</w:t>
      </w:r>
      <w:r>
        <w:rPr>
          <w:rFonts w:ascii="宋体" w:hAnsi="宋体"/>
          <w:color w:val="000000" w:themeColor="text1"/>
          <w:sz w:val="24"/>
          <w:szCs w:val="24"/>
        </w:rPr>
        <w:t>68</w:t>
      </w:r>
      <w:r>
        <w:rPr>
          <w:rFonts w:hint="eastAsia" w:ascii="宋体" w:hAnsi="宋体"/>
          <w:color w:val="000000" w:themeColor="text1"/>
          <w:sz w:val="24"/>
          <w:szCs w:val="24"/>
        </w:rPr>
        <w:t>号）的规定，落实支持监狱企业发展政策。</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（四）按照《三部门联合发布关于促进残疾人就业政府采购政策的通知》（财库〔</w:t>
      </w:r>
      <w:r>
        <w:rPr>
          <w:rFonts w:ascii="宋体" w:hAnsi="宋体"/>
          <w:color w:val="000000" w:themeColor="text1"/>
          <w:sz w:val="24"/>
          <w:szCs w:val="24"/>
        </w:rPr>
        <w:t>2017</w:t>
      </w:r>
      <w:r>
        <w:rPr>
          <w:rFonts w:hint="eastAsia" w:ascii="宋体" w:hAnsi="宋体"/>
          <w:color w:val="000000" w:themeColor="text1"/>
          <w:sz w:val="24"/>
          <w:szCs w:val="24"/>
        </w:rPr>
        <w:t>〕</w:t>
      </w:r>
      <w:r>
        <w:rPr>
          <w:rFonts w:ascii="宋体" w:hAnsi="宋体"/>
          <w:color w:val="000000" w:themeColor="text1"/>
          <w:sz w:val="24"/>
          <w:szCs w:val="24"/>
        </w:rPr>
        <w:t xml:space="preserve"> 141</w:t>
      </w:r>
      <w:r>
        <w:rPr>
          <w:rFonts w:hint="eastAsia" w:ascii="宋体" w:hAnsi="宋体"/>
          <w:color w:val="000000" w:themeColor="text1"/>
          <w:sz w:val="24"/>
          <w:szCs w:val="24"/>
        </w:rPr>
        <w:t>号）的规定，落实支持残疾人福利性单位发展政策。</w:t>
      </w:r>
    </w:p>
    <w:p>
      <w:pPr>
        <w:pStyle w:val="6"/>
        <w:snapToGrid w:val="0"/>
        <w:spacing w:before="0" w:after="0" w:line="360" w:lineRule="auto"/>
        <w:ind w:firstLine="482" w:firstLineChars="200"/>
        <w:rPr>
          <w:rFonts w:ascii="宋体" w:hAnsi="宋体"/>
          <w:color w:val="000000" w:themeColor="text1"/>
          <w:sz w:val="24"/>
          <w:szCs w:val="24"/>
        </w:rPr>
      </w:pPr>
      <w:bookmarkStart w:id="19" w:name="_Toc148963301"/>
      <w:bookmarkStart w:id="20" w:name="_Toc75258777"/>
      <w:r>
        <w:rPr>
          <w:rFonts w:hint="eastAsia" w:ascii="宋体" w:hAnsi="宋体"/>
          <w:color w:val="000000" w:themeColor="text1"/>
          <w:sz w:val="24"/>
          <w:szCs w:val="24"/>
        </w:rPr>
        <w:t>六、其它有关规定</w:t>
      </w:r>
      <w:bookmarkEnd w:id="19"/>
      <w:bookmarkEnd w:id="20"/>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本项目在响应文件提交截止时间前发布的竞争性磋商文件及补遗文件（如果有）一律在重庆市交通局官方网站（http://jtj.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（四）超过响应文件截止时间递交的响应文件为无效文件，恕不接收。</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（五）磋商费用：无论磋商结果如何，供应商参与本项目磋商的所有费用均应由供应商自行承担。</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（六）本项目不接受联合体形式磋商。</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（七）本项目不接受合同分包。</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（八）按照《财政部关于在政府采购活动中查询及使用信用记录有关问题的通知》财库〔</w:t>
      </w:r>
      <w:r>
        <w:rPr>
          <w:rFonts w:ascii="宋体" w:hAnsi="宋体"/>
          <w:color w:val="000000" w:themeColor="text1"/>
          <w:sz w:val="24"/>
          <w:szCs w:val="24"/>
        </w:rPr>
        <w:t>2016</w:t>
      </w:r>
      <w:r>
        <w:rPr>
          <w:rFonts w:hint="eastAsia" w:ascii="宋体" w:hAnsi="宋体"/>
          <w:color w:val="000000" w:themeColor="text1"/>
          <w:sz w:val="24"/>
          <w:szCs w:val="24"/>
        </w:rPr>
        <w:t>〕</w:t>
      </w:r>
      <w:r>
        <w:rPr>
          <w:rFonts w:ascii="宋体" w:hAnsi="宋体"/>
          <w:color w:val="000000" w:themeColor="text1"/>
          <w:sz w:val="24"/>
          <w:szCs w:val="24"/>
        </w:rPr>
        <w:t>125</w:t>
      </w:r>
      <w:r>
        <w:rPr>
          <w:rFonts w:hint="eastAsia" w:ascii="宋体" w:hAnsi="宋体"/>
          <w:color w:val="000000" w:themeColor="text1"/>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napToGrid w:val="0"/>
        <w:spacing w:before="0" w:after="0" w:line="360" w:lineRule="auto"/>
        <w:ind w:firstLine="482" w:firstLineChars="200"/>
        <w:rPr>
          <w:rFonts w:ascii="宋体" w:hAnsi="宋体"/>
          <w:color w:val="000000" w:themeColor="text1"/>
          <w:sz w:val="24"/>
          <w:szCs w:val="24"/>
        </w:rPr>
      </w:pPr>
      <w:bookmarkStart w:id="21" w:name="_Toc148963302"/>
      <w:r>
        <w:rPr>
          <w:rFonts w:hint="eastAsia" w:ascii="宋体" w:hAnsi="宋体"/>
          <w:color w:val="000000" w:themeColor="text1"/>
          <w:sz w:val="24"/>
          <w:szCs w:val="24"/>
        </w:rPr>
        <w:t>七、联系方式</w:t>
      </w:r>
      <w:bookmarkEnd w:id="21"/>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（一）采购人：重庆市交通局</w:t>
      </w:r>
    </w:p>
    <w:p>
      <w:pPr>
        <w:snapToGrid w:val="0"/>
        <w:spacing w:line="360" w:lineRule="auto"/>
        <w:ind w:firstLine="480" w:firstLineChars="200"/>
        <w:rPr>
          <w:rFonts w:ascii="宋体" w:hAnsi="宋体"/>
          <w:color w:val="000000" w:themeColor="text1"/>
          <w:sz w:val="24"/>
          <w:szCs w:val="24"/>
        </w:rPr>
      </w:pPr>
      <w:bookmarkStart w:id="22" w:name="_Toc180051219"/>
      <w:bookmarkStart w:id="23" w:name="_Toc216163282"/>
      <w:bookmarkStart w:id="24" w:name="_Toc178828108"/>
      <w:r>
        <w:rPr>
          <w:rFonts w:hint="eastAsia" w:ascii="宋体" w:hAnsi="宋体"/>
          <w:color w:val="000000" w:themeColor="text1"/>
          <w:sz w:val="24"/>
          <w:szCs w:val="24"/>
        </w:rPr>
        <w:t>联系人：安老师</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电  话：023-89183125</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地  址：重庆市渝北区龙溪红锦大道20号 </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（二）采购代理机构：重庆荣奕工程管理有限公司</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联系人：杨老师</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电  话：023-68581568</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地  址：渝北区新牌坊一路136号</w:t>
      </w:r>
    </w:p>
    <w:p>
      <w:pPr>
        <w:snapToGrid w:val="0"/>
        <w:spacing w:line="360" w:lineRule="auto"/>
        <w:ind w:firstLine="480" w:firstLineChars="200"/>
        <w:rPr>
          <w:rFonts w:ascii="宋体" w:hAnsi="宋体"/>
          <w:color w:val="000000" w:themeColor="text1"/>
          <w:sz w:val="24"/>
          <w:szCs w:val="24"/>
        </w:rPr>
      </w:pPr>
    </w:p>
    <w:p>
      <w:pPr>
        <w:pStyle w:val="3"/>
        <w:rPr>
          <w:color w:val="000000" w:themeColor="text1"/>
        </w:rPr>
      </w:pPr>
    </w:p>
    <w:bookmarkEnd w:id="22"/>
    <w:bookmarkEnd w:id="23"/>
    <w:bookmarkEnd w:id="24"/>
    <w:p>
      <w:pPr>
        <w:pStyle w:val="5"/>
        <w:pageBreakBefore/>
        <w:snapToGrid w:val="0"/>
        <w:spacing w:line="360" w:lineRule="auto"/>
        <w:jc w:val="center"/>
        <w:rPr>
          <w:rFonts w:ascii="宋体" w:hAnsi="宋体" w:eastAsia="宋体"/>
          <w:color w:val="000000" w:themeColor="text1"/>
          <w:sz w:val="36"/>
          <w:szCs w:val="30"/>
        </w:rPr>
      </w:pPr>
      <w:bookmarkStart w:id="25" w:name="_Toc148963303"/>
      <w:r>
        <w:rPr>
          <w:rFonts w:hint="eastAsia" w:ascii="宋体" w:hAnsi="宋体" w:eastAsia="宋体"/>
          <w:color w:val="000000" w:themeColor="text1"/>
          <w:sz w:val="36"/>
          <w:szCs w:val="30"/>
        </w:rPr>
        <w:t>第二篇  项目服务需求</w:t>
      </w:r>
      <w:bookmarkEnd w:id="25"/>
    </w:p>
    <w:p>
      <w:pPr>
        <w:snapToGrid w:val="0"/>
        <w:spacing w:line="360" w:lineRule="auto"/>
        <w:rPr>
          <w:rFonts w:ascii="宋体" w:hAnsi="宋体"/>
          <w:b/>
          <w:color w:val="000000" w:themeColor="text1"/>
          <w:sz w:val="21"/>
          <w:szCs w:val="21"/>
        </w:rPr>
      </w:pPr>
      <w:bookmarkStart w:id="26" w:name="_Toc5006885"/>
      <w:bookmarkStart w:id="27" w:name="_Toc6232092"/>
      <w:bookmarkStart w:id="28" w:name="_Toc12789058"/>
      <w:r>
        <w:rPr>
          <w:rFonts w:hint="eastAsia" w:ascii="宋体" w:hAnsi="宋体"/>
          <w:b/>
          <w:color w:val="000000" w:themeColor="text1"/>
          <w:sz w:val="21"/>
          <w:szCs w:val="21"/>
        </w:rPr>
        <w:t>“※”标注的服务需求为符合性审查中的实质性要求，响应文件若不满足按无效投标处理。</w:t>
      </w:r>
    </w:p>
    <w:bookmarkEnd w:id="26"/>
    <w:bookmarkEnd w:id="27"/>
    <w:p>
      <w:pPr>
        <w:pStyle w:val="6"/>
        <w:snapToGrid w:val="0"/>
        <w:spacing w:before="0" w:after="0" w:line="360" w:lineRule="auto"/>
        <w:ind w:firstLine="482" w:firstLineChars="200"/>
        <w:rPr>
          <w:rFonts w:ascii="宋体" w:hAnsi="宋体"/>
          <w:color w:val="000000" w:themeColor="text1"/>
          <w:sz w:val="24"/>
          <w:szCs w:val="24"/>
        </w:rPr>
      </w:pPr>
      <w:bookmarkStart w:id="29" w:name="_Toc4509"/>
      <w:bookmarkStart w:id="30" w:name="_Toc148963304"/>
      <w:bookmarkStart w:id="31" w:name="_Toc427852462"/>
      <w:bookmarkStart w:id="32" w:name="_Toc345321101"/>
      <w:r>
        <w:rPr>
          <w:rFonts w:hint="eastAsia" w:ascii="宋体" w:hAnsi="宋体"/>
          <w:color w:val="000000" w:themeColor="text1"/>
          <w:sz w:val="24"/>
          <w:szCs w:val="24"/>
        </w:rPr>
        <w:t>一、采购项目一览表</w:t>
      </w:r>
      <w:bookmarkEnd w:id="29"/>
      <w:bookmarkEnd w:id="30"/>
    </w:p>
    <w:tbl>
      <w:tblPr>
        <w:tblStyle w:val="5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601"/>
        <w:gridCol w:w="1433"/>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序号</w:t>
            </w:r>
          </w:p>
        </w:tc>
        <w:tc>
          <w:tcPr>
            <w:tcW w:w="857" w:type="pct"/>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采购内容</w:t>
            </w:r>
          </w:p>
        </w:tc>
        <w:tc>
          <w:tcPr>
            <w:tcW w:w="767" w:type="pct"/>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最高限价（折扣率%）</w:t>
            </w:r>
          </w:p>
        </w:tc>
        <w:tc>
          <w:tcPr>
            <w:tcW w:w="2918" w:type="pct"/>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857" w:type="pct"/>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“政务·渝运安”应用资金计划报告及应用开发方案编制服务</w:t>
            </w:r>
          </w:p>
        </w:tc>
        <w:tc>
          <w:tcPr>
            <w:tcW w:w="767" w:type="pct"/>
            <w:vAlign w:val="center"/>
          </w:tcPr>
          <w:p>
            <w:pPr>
              <w:jc w:val="center"/>
              <w:rPr>
                <w:rFonts w:ascii="宋体" w:hAnsi="宋体" w:cs="宋体"/>
                <w:color w:val="000000" w:themeColor="text1"/>
                <w:sz w:val="21"/>
                <w:szCs w:val="21"/>
              </w:rPr>
            </w:pPr>
            <w:r>
              <w:rPr>
                <w:rFonts w:ascii="宋体" w:hAnsi="宋体" w:cs="宋体"/>
                <w:color w:val="000000" w:themeColor="text1"/>
                <w:sz w:val="21"/>
                <w:szCs w:val="21"/>
              </w:rPr>
              <w:t>100</w:t>
            </w:r>
          </w:p>
        </w:tc>
        <w:tc>
          <w:tcPr>
            <w:tcW w:w="2918" w:type="pct"/>
            <w:vAlign w:val="center"/>
          </w:tcPr>
          <w:p>
            <w:pPr>
              <w:jc w:val="left"/>
              <w:rPr>
                <w:rFonts w:ascii="宋体" w:hAnsi="宋体" w:cs="宋体"/>
                <w:color w:val="000000" w:themeColor="text1"/>
                <w:sz w:val="21"/>
                <w:szCs w:val="21"/>
              </w:rPr>
            </w:pPr>
            <w:r>
              <w:rPr>
                <w:rFonts w:hint="eastAsia" w:ascii="宋体" w:hAnsi="宋体" w:cs="宋体"/>
                <w:color w:val="000000" w:themeColor="text1"/>
                <w:sz w:val="21"/>
                <w:szCs w:val="21"/>
              </w:rPr>
              <w:t>合同实际金额：</w:t>
            </w:r>
          </w:p>
          <w:p>
            <w:pPr>
              <w:jc w:val="left"/>
              <w:rPr>
                <w:rFonts w:ascii="宋体" w:hAnsi="宋体" w:cs="宋体"/>
                <w:color w:val="000000" w:themeColor="text1"/>
                <w:sz w:val="21"/>
                <w:szCs w:val="21"/>
              </w:rPr>
            </w:pPr>
            <w:r>
              <w:rPr>
                <w:rFonts w:hint="eastAsia" w:ascii="宋体" w:hAnsi="宋体" w:cs="宋体"/>
                <w:color w:val="000000" w:themeColor="text1"/>
                <w:sz w:val="21"/>
                <w:szCs w:val="21"/>
              </w:rPr>
              <w:t>1.应用资金需求按照《重庆市工程建设中介服务收费管理实施办法》(渝价[2013]430号)规定的（可行性研究报告）收费标准作为合同支付基准价，合同支付金额根据供应商中标折扣计算。</w:t>
            </w:r>
          </w:p>
          <w:p>
            <w:pPr>
              <w:jc w:val="left"/>
              <w:rPr>
                <w:rFonts w:ascii="宋体" w:hAnsi="宋体" w:cs="宋体"/>
                <w:color w:val="000000" w:themeColor="text1"/>
                <w:sz w:val="21"/>
                <w:szCs w:val="21"/>
              </w:rPr>
            </w:pPr>
            <w:r>
              <w:rPr>
                <w:rFonts w:hint="eastAsia" w:ascii="宋体" w:hAnsi="宋体" w:cs="宋体"/>
                <w:color w:val="000000" w:themeColor="text1"/>
                <w:sz w:val="21"/>
                <w:szCs w:val="21"/>
              </w:rPr>
              <w:t>2.应用开发方案按照《工程勘察设计收费管理规定》(计价格[2002]10号)规定的设计费收费标准作为合同支付基准价，合同支付金额根据供应商中标折扣计算。</w:t>
            </w:r>
          </w:p>
          <w:p>
            <w:pPr>
              <w:jc w:val="left"/>
              <w:rPr>
                <w:rFonts w:ascii="宋体" w:hAnsi="宋体" w:cs="宋体"/>
                <w:color w:val="000000" w:themeColor="text1"/>
                <w:sz w:val="21"/>
                <w:szCs w:val="21"/>
              </w:rPr>
            </w:pPr>
            <w:r>
              <w:rPr>
                <w:rFonts w:hint="eastAsia" w:ascii="宋体" w:hAnsi="宋体" w:cs="宋体"/>
                <w:color w:val="000000" w:themeColor="text1"/>
                <w:sz w:val="21"/>
                <w:szCs w:val="21"/>
              </w:rPr>
              <w:t>3.合同计算编制服务费若高于项目批复金额，则编制服务费以批复金额为基准价。</w:t>
            </w:r>
          </w:p>
          <w:p>
            <w:pPr>
              <w:jc w:val="left"/>
              <w:rPr>
                <w:rFonts w:ascii="宋体" w:hAnsi="宋体" w:cs="宋体"/>
                <w:b/>
                <w:bCs/>
                <w:color w:val="000000" w:themeColor="text1"/>
                <w:sz w:val="21"/>
                <w:szCs w:val="21"/>
              </w:rPr>
            </w:pPr>
            <w:r>
              <w:rPr>
                <w:rFonts w:hint="eastAsia" w:ascii="宋体" w:hAnsi="宋体" w:cs="宋体"/>
                <w:color w:val="000000" w:themeColor="text1"/>
                <w:sz w:val="21"/>
                <w:szCs w:val="21"/>
              </w:rPr>
              <w:t>4.实际支付合同金额=基准价*中标折扣报价。</w:t>
            </w:r>
          </w:p>
        </w:tc>
      </w:tr>
      <w:bookmarkEnd w:id="31"/>
      <w:bookmarkEnd w:id="32"/>
    </w:tbl>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供应商的折扣率报价不得高于项目最高限价折扣率100%，否则将作否决投标处理。合同金额为基准价×折扣率报价，例：折扣率报价为95%，合同金额为基准价×95%。</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（一）编制服务总体要求</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依据数字重庆建设领导小组办公室正式印发的“政务·渝运安”应用“三张清单”，按照《重庆市政务数字化应用开发操作指南》《重庆市政务数字化应用资金计划报告提纲》《重庆市政务数字化应用开发方案（模板）》要求编制。</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2.要求提交成果为《“政务·渝运安”应用资金计划报告》《“政务·渝运安”应用开发方案》，质量标准达到主管部门要求，并通过主管部门应用项目审批。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3.“政务·渝运安”应用开发方案内容达到可实施的深度，能够支撑后续应用开发。</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4.“政务·渝运安”应用开发方案与采购要求相衔接，为应用项目采购工作提供支持。</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（二）重大应用需求说明</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采购人按照数字重庆建设总体要求，从国家所需、重庆所能、群众所盼、未来所向等重大需求出发，找准最紧迫、最现实、最棘手的问题，梳理道路“两客一危一货”运输全链条风险管理核心业务，谋划多跨场景，研究改革事项，形成“政务·渝运安”应用“三张清单”。</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（三）编制服务主要内容及要求</w:t>
      </w:r>
    </w:p>
    <w:p>
      <w:pPr>
        <w:snapToGrid w:val="0"/>
        <w:spacing w:line="360" w:lineRule="auto"/>
        <w:ind w:firstLine="482" w:firstLineChars="200"/>
        <w:rPr>
          <w:rFonts w:ascii="宋体" w:hAnsi="宋体"/>
          <w:b/>
          <w:bCs/>
          <w:color w:val="000000" w:themeColor="text1"/>
          <w:sz w:val="24"/>
          <w:szCs w:val="24"/>
        </w:rPr>
      </w:pPr>
      <w:r>
        <w:rPr>
          <w:rFonts w:hint="eastAsia" w:ascii="宋体" w:hAnsi="宋体"/>
          <w:b/>
          <w:bCs/>
          <w:color w:val="000000" w:themeColor="text1"/>
          <w:sz w:val="24"/>
          <w:szCs w:val="24"/>
        </w:rPr>
        <w:t>1.应用资金计划报告编制主要内容及要求：</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注意事项：</w:t>
      </w:r>
      <w:r>
        <w:rPr>
          <w:rFonts w:hint="eastAsia" w:ascii="宋体" w:hAnsi="宋体"/>
          <w:color w:val="000000" w:themeColor="text1"/>
          <w:sz w:val="24"/>
          <w:szCs w:val="24"/>
        </w:rPr>
        <w:t>根据重庆市主管部门编制要求动态调整，确保应用资金需求通过审核。</w:t>
      </w:r>
    </w:p>
    <w:p>
      <w:pPr>
        <w:snapToGrid w:val="0"/>
        <w:spacing w:line="360" w:lineRule="auto"/>
        <w:ind w:firstLine="482" w:firstLineChars="200"/>
        <w:rPr>
          <w:rFonts w:ascii="宋体" w:hAnsi="宋体"/>
          <w:b/>
          <w:bCs/>
          <w:color w:val="000000" w:themeColor="text1"/>
          <w:sz w:val="24"/>
          <w:szCs w:val="24"/>
        </w:rPr>
      </w:pPr>
      <w:bookmarkStart w:id="33" w:name="_Hlk142037499"/>
      <w:r>
        <w:rPr>
          <w:rFonts w:hint="eastAsia" w:ascii="宋体" w:hAnsi="宋体"/>
          <w:b/>
          <w:bCs/>
          <w:color w:val="000000" w:themeColor="text1"/>
          <w:sz w:val="24"/>
          <w:szCs w:val="24"/>
        </w:rPr>
        <w:t>2</w:t>
      </w:r>
      <w:r>
        <w:rPr>
          <w:rFonts w:ascii="宋体" w:hAnsi="宋体"/>
          <w:b/>
          <w:bCs/>
          <w:color w:val="000000" w:themeColor="text1"/>
          <w:sz w:val="24"/>
          <w:szCs w:val="24"/>
        </w:rPr>
        <w:t>.</w:t>
      </w:r>
      <w:r>
        <w:rPr>
          <w:rFonts w:hint="eastAsia" w:ascii="宋体" w:hAnsi="宋体"/>
          <w:b/>
          <w:bCs/>
          <w:color w:val="000000" w:themeColor="text1"/>
          <w:sz w:val="24"/>
          <w:szCs w:val="24"/>
        </w:rPr>
        <w:t>应用开发方案</w:t>
      </w:r>
      <w:bookmarkEnd w:id="33"/>
      <w:r>
        <w:rPr>
          <w:rFonts w:hint="eastAsia" w:ascii="宋体" w:hAnsi="宋体"/>
          <w:b/>
          <w:bCs/>
          <w:color w:val="000000" w:themeColor="text1"/>
          <w:sz w:val="24"/>
          <w:szCs w:val="24"/>
        </w:rPr>
        <w:t>编制主要内容及要求：</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包括应用开发目标、规模、内容、开发周期等。应用开发的必要性包括：</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（1）从宏观形势、数字化发展、技术进步等发展形势说明本应用对履行单位职能、完成单位政务目标、业务目标的价值。</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napToGrid w:val="0"/>
        <w:spacing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注意事项：</w:t>
      </w:r>
      <w:r>
        <w:rPr>
          <w:rFonts w:hint="eastAsia" w:ascii="宋体" w:hAnsi="宋体"/>
          <w:color w:val="000000" w:themeColor="text1"/>
          <w:sz w:val="24"/>
          <w:szCs w:val="24"/>
        </w:rPr>
        <w:t>根据重庆市主管部门编制要求动态调整，确保应用开发方案通过审核。</w:t>
      </w:r>
    </w:p>
    <w:p>
      <w:pPr>
        <w:snapToGrid w:val="0"/>
        <w:spacing w:line="360" w:lineRule="auto"/>
        <w:ind w:firstLine="480" w:firstLineChars="200"/>
        <w:rPr>
          <w:rFonts w:ascii="宋体" w:hAnsi="宋体"/>
          <w:color w:val="000000" w:themeColor="text1"/>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pPr>
        <w:pStyle w:val="5"/>
        <w:pageBreakBefore/>
        <w:spacing w:line="360" w:lineRule="auto"/>
        <w:jc w:val="center"/>
        <w:rPr>
          <w:rFonts w:ascii="宋体" w:hAnsi="宋体" w:eastAsia="宋体"/>
          <w:color w:val="000000" w:themeColor="text1"/>
          <w:sz w:val="36"/>
          <w:szCs w:val="30"/>
        </w:rPr>
      </w:pPr>
      <w:bookmarkStart w:id="34" w:name="_Toc148963305"/>
      <w:r>
        <w:rPr>
          <w:rFonts w:hint="eastAsia" w:ascii="宋体" w:hAnsi="宋体" w:eastAsia="宋体"/>
          <w:color w:val="000000" w:themeColor="text1"/>
          <w:sz w:val="36"/>
          <w:szCs w:val="30"/>
        </w:rPr>
        <w:t>第三篇  项目商务需求</w:t>
      </w:r>
      <w:bookmarkEnd w:id="28"/>
      <w:bookmarkEnd w:id="34"/>
    </w:p>
    <w:p>
      <w:pPr>
        <w:snapToGrid w:val="0"/>
        <w:spacing w:line="360" w:lineRule="auto"/>
        <w:ind w:firstLine="422" w:firstLineChars="200"/>
        <w:rPr>
          <w:rFonts w:ascii="宋体" w:hAnsi="宋体"/>
          <w:b/>
          <w:color w:val="000000" w:themeColor="text1"/>
          <w:sz w:val="24"/>
          <w:szCs w:val="24"/>
        </w:rPr>
      </w:pPr>
      <w:bookmarkStart w:id="35" w:name="_Toc267320049"/>
      <w:r>
        <w:rPr>
          <w:rFonts w:hint="eastAsia" w:ascii="宋体" w:hAnsi="宋体"/>
          <w:b/>
          <w:color w:val="000000" w:themeColor="text1"/>
          <w:sz w:val="21"/>
          <w:szCs w:val="21"/>
        </w:rPr>
        <w:t>“※”标注的要求为符合性审查中的实质性要求，响应文件若不满足按无效投标处理。</w:t>
      </w:r>
    </w:p>
    <w:bookmarkEnd w:id="35"/>
    <w:p>
      <w:pPr>
        <w:pStyle w:val="6"/>
        <w:snapToGrid w:val="0"/>
        <w:spacing w:before="0" w:after="0" w:line="360" w:lineRule="auto"/>
        <w:ind w:firstLine="482" w:firstLineChars="200"/>
        <w:rPr>
          <w:rFonts w:ascii="宋体" w:hAnsi="宋体"/>
          <w:color w:val="000000" w:themeColor="text1"/>
          <w:sz w:val="24"/>
          <w:szCs w:val="24"/>
        </w:rPr>
      </w:pPr>
      <w:bookmarkStart w:id="36" w:name="_Toc148963306"/>
      <w:bookmarkStart w:id="37" w:name="_Toc532992107"/>
      <w:r>
        <w:rPr>
          <w:rFonts w:ascii="宋体" w:hAnsi="宋体"/>
          <w:color w:val="000000" w:themeColor="text1"/>
          <w:sz w:val="24"/>
          <w:szCs w:val="24"/>
        </w:rPr>
        <w:t>一、</w:t>
      </w:r>
      <w:r>
        <w:rPr>
          <w:rFonts w:hint="eastAsia" w:ascii="宋体" w:hAnsi="宋体"/>
          <w:color w:val="000000" w:themeColor="text1"/>
          <w:sz w:val="24"/>
          <w:szCs w:val="24"/>
        </w:rPr>
        <w:t>服务期、地点及验收方式</w:t>
      </w:r>
      <w:bookmarkEnd w:id="36"/>
      <w:bookmarkEnd w:id="37"/>
    </w:p>
    <w:p>
      <w:pPr>
        <w:snapToGrid w:val="0"/>
        <w:spacing w:line="360" w:lineRule="auto"/>
        <w:ind w:firstLine="480" w:firstLineChars="200"/>
        <w:rPr>
          <w:rStyle w:val="267"/>
          <w:color w:val="000000" w:themeColor="text1"/>
          <w:sz w:val="24"/>
          <w:szCs w:val="24"/>
        </w:rPr>
      </w:pPr>
      <w:r>
        <w:rPr>
          <w:rFonts w:ascii="宋体" w:hAnsi="宋体"/>
          <w:color w:val="000000" w:themeColor="text1"/>
          <w:sz w:val="24"/>
          <w:szCs w:val="24"/>
        </w:rPr>
        <w:t>※</w:t>
      </w:r>
      <w:r>
        <w:rPr>
          <w:rStyle w:val="267"/>
          <w:rFonts w:hint="eastAsia"/>
          <w:color w:val="000000" w:themeColor="text1"/>
          <w:sz w:val="24"/>
          <w:szCs w:val="24"/>
        </w:rPr>
        <w:t>（一）服务期</w:t>
      </w:r>
    </w:p>
    <w:p>
      <w:pPr>
        <w:snapToGrid w:val="0"/>
        <w:spacing w:line="360" w:lineRule="auto"/>
        <w:ind w:firstLine="480" w:firstLineChars="200"/>
        <w:rPr>
          <w:rStyle w:val="267"/>
          <w:color w:val="000000" w:themeColor="text1"/>
          <w:sz w:val="24"/>
          <w:szCs w:val="24"/>
        </w:rPr>
      </w:pPr>
      <w:r>
        <w:rPr>
          <w:rStyle w:val="267"/>
          <w:rFonts w:hint="eastAsia"/>
          <w:color w:val="000000" w:themeColor="text1"/>
          <w:sz w:val="24"/>
          <w:szCs w:val="24"/>
        </w:rPr>
        <w:t>合同签订之日起15个日历天内提交《“政务·渝运安”应用资金计划报告》，60个工作日内完成《“政务·渝运安”应用开发方案》编制工作。</w:t>
      </w:r>
    </w:p>
    <w:p>
      <w:pPr>
        <w:snapToGrid w:val="0"/>
        <w:spacing w:line="360" w:lineRule="auto"/>
        <w:ind w:firstLine="480" w:firstLineChars="200"/>
        <w:rPr>
          <w:rStyle w:val="267"/>
          <w:color w:val="000000" w:themeColor="text1"/>
          <w:sz w:val="24"/>
          <w:szCs w:val="24"/>
        </w:rPr>
      </w:pPr>
      <w:r>
        <w:rPr>
          <w:rStyle w:val="267"/>
          <w:rFonts w:hint="eastAsia"/>
          <w:color w:val="000000" w:themeColor="text1"/>
          <w:sz w:val="24"/>
          <w:szCs w:val="24"/>
        </w:rPr>
        <w:t>（</w:t>
      </w:r>
      <w:r>
        <w:rPr>
          <w:rStyle w:val="267"/>
          <w:color w:val="000000" w:themeColor="text1"/>
          <w:sz w:val="24"/>
          <w:szCs w:val="24"/>
        </w:rPr>
        <w:t>二</w:t>
      </w:r>
      <w:r>
        <w:rPr>
          <w:rStyle w:val="267"/>
          <w:rFonts w:hint="eastAsia"/>
          <w:color w:val="000000" w:themeColor="text1"/>
          <w:sz w:val="24"/>
          <w:szCs w:val="24"/>
        </w:rPr>
        <w:t>）服务地点</w:t>
      </w:r>
    </w:p>
    <w:p>
      <w:pPr>
        <w:snapToGrid w:val="0"/>
        <w:spacing w:line="360" w:lineRule="auto"/>
        <w:ind w:firstLine="480" w:firstLineChars="200"/>
        <w:rPr>
          <w:rStyle w:val="267"/>
          <w:color w:val="000000" w:themeColor="text1"/>
          <w:sz w:val="24"/>
          <w:szCs w:val="24"/>
        </w:rPr>
      </w:pPr>
      <w:r>
        <w:rPr>
          <w:rStyle w:val="267"/>
          <w:rFonts w:hint="eastAsia"/>
          <w:color w:val="000000" w:themeColor="text1"/>
          <w:sz w:val="24"/>
          <w:szCs w:val="24"/>
        </w:rPr>
        <w:t>重庆市交通局同意或指定地点。</w:t>
      </w:r>
    </w:p>
    <w:p>
      <w:pPr>
        <w:snapToGrid w:val="0"/>
        <w:spacing w:line="360" w:lineRule="auto"/>
        <w:ind w:firstLine="480" w:firstLineChars="200"/>
        <w:rPr>
          <w:rStyle w:val="267"/>
          <w:color w:val="000000" w:themeColor="text1"/>
          <w:sz w:val="24"/>
          <w:szCs w:val="24"/>
        </w:rPr>
      </w:pPr>
      <w:r>
        <w:rPr>
          <w:rStyle w:val="267"/>
          <w:rFonts w:hint="eastAsia"/>
          <w:color w:val="000000" w:themeColor="text1"/>
          <w:sz w:val="24"/>
          <w:szCs w:val="24"/>
        </w:rPr>
        <w:t>（三）验收方式</w:t>
      </w:r>
    </w:p>
    <w:p>
      <w:pPr>
        <w:snapToGrid w:val="0"/>
        <w:spacing w:line="360" w:lineRule="auto"/>
        <w:ind w:firstLine="480" w:firstLineChars="200"/>
        <w:rPr>
          <w:rStyle w:val="267"/>
          <w:color w:val="000000" w:themeColor="text1"/>
          <w:sz w:val="24"/>
          <w:szCs w:val="24"/>
        </w:rPr>
      </w:pPr>
      <w:r>
        <w:rPr>
          <w:rStyle w:val="267"/>
          <w:rFonts w:hint="eastAsia"/>
          <w:color w:val="000000" w:themeColor="text1"/>
          <w:sz w:val="24"/>
          <w:szCs w:val="24"/>
        </w:rPr>
        <w:t>供应商提供的《“政务·渝运安”应用开发方案》通过市大数据发展局、市委网信办、市委机要局、市财政局联合评审。</w:t>
      </w:r>
    </w:p>
    <w:p>
      <w:pPr>
        <w:pStyle w:val="6"/>
        <w:snapToGrid w:val="0"/>
        <w:spacing w:before="0" w:after="0" w:line="360" w:lineRule="auto"/>
        <w:ind w:firstLine="482" w:firstLineChars="200"/>
        <w:rPr>
          <w:rFonts w:ascii="宋体" w:hAnsi="宋体"/>
          <w:color w:val="000000" w:themeColor="text1"/>
          <w:sz w:val="24"/>
          <w:szCs w:val="24"/>
        </w:rPr>
      </w:pPr>
      <w:bookmarkStart w:id="38" w:name="_Toc344475121"/>
      <w:bookmarkStart w:id="39" w:name="_Toc532992108"/>
      <w:bookmarkStart w:id="40" w:name="_Toc148963307"/>
      <w:r>
        <w:rPr>
          <w:rFonts w:hint="eastAsia" w:ascii="宋体" w:hAnsi="宋体"/>
          <w:color w:val="000000" w:themeColor="text1"/>
          <w:sz w:val="24"/>
          <w:szCs w:val="24"/>
        </w:rPr>
        <w:t>二</w:t>
      </w:r>
      <w:r>
        <w:rPr>
          <w:rFonts w:ascii="宋体" w:hAnsi="宋体"/>
          <w:color w:val="000000" w:themeColor="text1"/>
          <w:sz w:val="24"/>
          <w:szCs w:val="24"/>
        </w:rPr>
        <w:t>、</w:t>
      </w:r>
      <w:bookmarkEnd w:id="38"/>
      <w:bookmarkEnd w:id="39"/>
      <w:r>
        <w:rPr>
          <w:rFonts w:hint="eastAsia" w:ascii="宋体" w:hAnsi="宋体"/>
          <w:color w:val="000000" w:themeColor="text1"/>
          <w:sz w:val="24"/>
          <w:szCs w:val="24"/>
        </w:rPr>
        <w:t>报价要求</w:t>
      </w:r>
      <w:bookmarkEnd w:id="40"/>
    </w:p>
    <w:p>
      <w:pPr>
        <w:snapToGrid w:val="0"/>
        <w:spacing w:line="360" w:lineRule="auto"/>
        <w:ind w:firstLine="480" w:firstLineChars="200"/>
        <w:rPr>
          <w:color w:val="000000" w:themeColor="text1"/>
          <w:sz w:val="24"/>
          <w:szCs w:val="24"/>
        </w:rPr>
      </w:pPr>
      <w:bookmarkStart w:id="41" w:name="_Toc498094723"/>
      <w:bookmarkStart w:id="42" w:name="_Toc532992111"/>
      <w:r>
        <w:rPr>
          <w:color w:val="000000" w:themeColor="text1"/>
          <w:sz w:val="24"/>
          <w:szCs w:val="24"/>
        </w:rPr>
        <w:t>（一）磋商报价应包括完成采购人提供的技术参数要求的全部费用，包括：调研费、方案制定费、咨询费、人工费、印刷费、复核费、材料消耗、现场督导、数据整理、数据汇总、数据分析及报告撰写等一切与该项目相关的费用。采购人除此以外不支付其它费用。</w:t>
      </w:r>
      <w:bookmarkStart w:id="43" w:name="_Toc451763441"/>
    </w:p>
    <w:p>
      <w:pPr>
        <w:snapToGrid w:val="0"/>
        <w:spacing w:line="360" w:lineRule="auto"/>
        <w:ind w:firstLine="480" w:firstLineChars="200"/>
        <w:rPr>
          <w:color w:val="000000" w:themeColor="text1"/>
          <w:sz w:val="24"/>
          <w:szCs w:val="24"/>
        </w:rPr>
      </w:pPr>
      <w:r>
        <w:rPr>
          <w:color w:val="000000" w:themeColor="text1"/>
          <w:sz w:val="24"/>
          <w:szCs w:val="24"/>
        </w:rPr>
        <w:t>（二）如果成交供应商交付的成果达不到采购人要求需要更改，更改涉及的所有费用由成交供应商自行测算，费用纳入投标报价中，结算时采购人将不再另行支付。</w:t>
      </w:r>
      <w:bookmarkEnd w:id="43"/>
    </w:p>
    <w:bookmarkEnd w:id="41"/>
    <w:bookmarkEnd w:id="42"/>
    <w:p>
      <w:pPr>
        <w:pStyle w:val="6"/>
        <w:spacing w:before="0" w:after="0" w:line="360" w:lineRule="auto"/>
        <w:ind w:firstLine="482" w:firstLineChars="200"/>
        <w:rPr>
          <w:color w:val="000000" w:themeColor="text1"/>
          <w:sz w:val="24"/>
          <w:szCs w:val="24"/>
        </w:rPr>
      </w:pPr>
      <w:bookmarkStart w:id="44" w:name="_Toc22387361"/>
      <w:bookmarkStart w:id="45" w:name="_Toc527033019"/>
      <w:bookmarkStart w:id="46" w:name="_Toc146809876"/>
      <w:bookmarkStart w:id="47" w:name="_Toc344475122"/>
      <w:bookmarkStart w:id="48" w:name="_Toc102721481"/>
      <w:bookmarkStart w:id="49" w:name="_Toc85032492"/>
      <w:bookmarkStart w:id="50" w:name="_Toc148963308"/>
      <w:bookmarkStart w:id="51" w:name="_Toc54772110"/>
      <w:r>
        <w:rPr>
          <w:color w:val="000000" w:themeColor="text1"/>
          <w:sz w:val="24"/>
          <w:szCs w:val="24"/>
        </w:rPr>
        <w:t>※三、付款方式</w:t>
      </w:r>
      <w:bookmarkEnd w:id="44"/>
      <w:bookmarkEnd w:id="45"/>
      <w:bookmarkEnd w:id="46"/>
      <w:bookmarkEnd w:id="47"/>
      <w:bookmarkEnd w:id="48"/>
      <w:bookmarkEnd w:id="49"/>
      <w:bookmarkEnd w:id="50"/>
      <w:bookmarkEnd w:id="51"/>
    </w:p>
    <w:p>
      <w:pPr>
        <w:snapToGrid w:val="0"/>
        <w:spacing w:line="360" w:lineRule="auto"/>
        <w:ind w:firstLine="480" w:firstLineChars="200"/>
        <w:rPr>
          <w:color w:val="000000" w:themeColor="text1"/>
          <w:sz w:val="24"/>
          <w:szCs w:val="24"/>
        </w:rPr>
      </w:pPr>
      <w:bookmarkStart w:id="52" w:name="_Hlk146750857"/>
      <w:bookmarkStart w:id="53" w:name="_Toc344475123"/>
      <w:r>
        <w:rPr>
          <w:rFonts w:hint="eastAsia"/>
          <w:color w:val="000000" w:themeColor="text1"/>
          <w:sz w:val="24"/>
          <w:szCs w:val="24"/>
        </w:rPr>
        <w:t>（一）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napToGrid w:val="0"/>
        <w:spacing w:line="360" w:lineRule="auto"/>
        <w:ind w:firstLine="480" w:firstLineChars="200"/>
        <w:rPr>
          <w:color w:val="000000" w:themeColor="text1"/>
          <w:sz w:val="24"/>
          <w:szCs w:val="24"/>
        </w:rPr>
      </w:pPr>
      <w:r>
        <w:rPr>
          <w:rFonts w:hint="eastAsia"/>
          <w:color w:val="000000" w:themeColor="text1"/>
          <w:sz w:val="24"/>
          <w:szCs w:val="24"/>
        </w:rPr>
        <w:t>（二）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napToGrid w:val="0"/>
        <w:spacing w:line="360" w:lineRule="auto"/>
        <w:ind w:firstLine="480" w:firstLineChars="200"/>
        <w:rPr>
          <w:color w:val="000000" w:themeColor="text1"/>
          <w:sz w:val="24"/>
          <w:szCs w:val="24"/>
        </w:rPr>
      </w:pPr>
      <w:r>
        <w:rPr>
          <w:rFonts w:hint="eastAsia"/>
          <w:color w:val="000000" w:themeColor="text1"/>
          <w:sz w:val="24"/>
          <w:szCs w:val="24"/>
        </w:rPr>
        <w:t>（三）应用开发项目招标采购完成后15个工作日内，采购人凭供应商开具的相应金额的、符合国家规定的发票支付技术咨询报酬，采购人向成交供应商支付合同总金额的30%。</w:t>
      </w:r>
    </w:p>
    <w:bookmarkEnd w:id="52"/>
    <w:p>
      <w:pPr>
        <w:pStyle w:val="6"/>
        <w:spacing w:before="0" w:after="0" w:line="360" w:lineRule="auto"/>
        <w:ind w:firstLine="482" w:firstLineChars="200"/>
        <w:rPr>
          <w:color w:val="000000" w:themeColor="text1"/>
          <w:sz w:val="24"/>
          <w:szCs w:val="24"/>
        </w:rPr>
      </w:pPr>
      <w:bookmarkStart w:id="54" w:name="_Toc22387362"/>
      <w:bookmarkStart w:id="55" w:name="_Toc527033020"/>
      <w:bookmarkStart w:id="56" w:name="_Toc146809877"/>
      <w:bookmarkStart w:id="57" w:name="_Toc102721482"/>
      <w:bookmarkStart w:id="58" w:name="_Toc85032493"/>
      <w:bookmarkStart w:id="59" w:name="_Toc148963309"/>
      <w:bookmarkStart w:id="60" w:name="_Toc54772111"/>
      <w:r>
        <w:rPr>
          <w:color w:val="000000" w:themeColor="text1"/>
          <w:sz w:val="24"/>
          <w:szCs w:val="24"/>
        </w:rPr>
        <w:t>四、知识产权</w:t>
      </w:r>
      <w:bookmarkEnd w:id="53"/>
      <w:bookmarkEnd w:id="54"/>
      <w:bookmarkEnd w:id="55"/>
      <w:bookmarkEnd w:id="56"/>
      <w:bookmarkEnd w:id="57"/>
      <w:bookmarkEnd w:id="58"/>
      <w:bookmarkEnd w:id="59"/>
      <w:bookmarkEnd w:id="60"/>
    </w:p>
    <w:p>
      <w:pPr>
        <w:snapToGrid w:val="0"/>
        <w:spacing w:line="360" w:lineRule="auto"/>
        <w:ind w:firstLine="480" w:firstLineChars="200"/>
        <w:rPr>
          <w:color w:val="000000" w:themeColor="text1"/>
          <w:sz w:val="24"/>
          <w:szCs w:val="24"/>
        </w:rPr>
      </w:pPr>
      <w:r>
        <w:rPr>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b/>
          <w:bCs/>
          <w:color w:val="000000" w:themeColor="text1"/>
          <w:sz w:val="24"/>
          <w:szCs w:val="24"/>
        </w:rPr>
      </w:pPr>
      <w:r>
        <w:rPr>
          <w:b/>
          <w:bCs/>
          <w:color w:val="000000" w:themeColor="text1"/>
          <w:sz w:val="24"/>
          <w:szCs w:val="24"/>
        </w:rPr>
        <w:t>本项目知识产权归采购人所有。</w:t>
      </w:r>
    </w:p>
    <w:p>
      <w:pPr>
        <w:pStyle w:val="6"/>
        <w:spacing w:before="0" w:after="0" w:line="360" w:lineRule="auto"/>
        <w:ind w:firstLine="482" w:firstLineChars="200"/>
        <w:rPr>
          <w:color w:val="000000" w:themeColor="text1"/>
          <w:sz w:val="24"/>
          <w:szCs w:val="24"/>
        </w:rPr>
      </w:pPr>
      <w:bookmarkStart w:id="61" w:name="_Toc146809878"/>
      <w:bookmarkStart w:id="62" w:name="_Toc102721483"/>
      <w:bookmarkStart w:id="63" w:name="_Toc148963310"/>
      <w:bookmarkStart w:id="64" w:name="_Toc85032494"/>
      <w:bookmarkStart w:id="65" w:name="_Toc22387363"/>
      <w:bookmarkStart w:id="66" w:name="_Toc54772112"/>
      <w:bookmarkStart w:id="67" w:name="_Toc527033021"/>
      <w:bookmarkStart w:id="68" w:name="_Toc344475125"/>
      <w:r>
        <w:rPr>
          <w:color w:val="000000" w:themeColor="text1"/>
          <w:sz w:val="24"/>
          <w:szCs w:val="24"/>
        </w:rPr>
        <w:t>五、其他</w:t>
      </w:r>
      <w:bookmarkEnd w:id="61"/>
      <w:bookmarkEnd w:id="62"/>
      <w:bookmarkEnd w:id="63"/>
      <w:bookmarkEnd w:id="64"/>
      <w:bookmarkEnd w:id="65"/>
      <w:bookmarkEnd w:id="66"/>
      <w:bookmarkEnd w:id="67"/>
    </w:p>
    <w:bookmarkEnd w:id="68"/>
    <w:p>
      <w:pPr>
        <w:snapToGrid w:val="0"/>
        <w:spacing w:line="360" w:lineRule="auto"/>
        <w:ind w:firstLine="480" w:firstLineChars="200"/>
        <w:rPr>
          <w:color w:val="000000" w:themeColor="text1"/>
          <w:sz w:val="24"/>
          <w:szCs w:val="24"/>
        </w:rPr>
      </w:pPr>
      <w:r>
        <w:rPr>
          <w:color w:val="000000" w:themeColor="text1"/>
          <w:sz w:val="24"/>
          <w:szCs w:val="24"/>
        </w:rPr>
        <w:t>其他未尽事宜由供需双方在采购合同中详细约定。</w:t>
      </w:r>
    </w:p>
    <w:p>
      <w:pPr>
        <w:snapToGrid w:val="0"/>
        <w:spacing w:line="360" w:lineRule="auto"/>
        <w:ind w:firstLine="480" w:firstLineChars="200"/>
        <w:rPr>
          <w:rStyle w:val="267"/>
          <w:color w:val="000000" w:themeColor="text1"/>
          <w:sz w:val="24"/>
          <w:szCs w:val="24"/>
        </w:rPr>
      </w:pPr>
    </w:p>
    <w:p>
      <w:pPr>
        <w:pStyle w:val="2"/>
        <w:rPr>
          <w:color w:val="000000" w:themeColor="text1"/>
        </w:rPr>
      </w:pPr>
    </w:p>
    <w:p>
      <w:pPr>
        <w:pStyle w:val="5"/>
        <w:pageBreakBefore/>
        <w:spacing w:line="360" w:lineRule="auto"/>
        <w:jc w:val="center"/>
        <w:rPr>
          <w:rFonts w:ascii="宋体" w:hAnsi="宋体" w:eastAsia="宋体"/>
          <w:color w:val="000000" w:themeColor="text1"/>
          <w:sz w:val="36"/>
          <w:szCs w:val="30"/>
        </w:rPr>
      </w:pPr>
      <w:bookmarkStart w:id="69" w:name="_Toc148963311"/>
      <w:r>
        <w:rPr>
          <w:rFonts w:hint="eastAsia" w:ascii="宋体" w:hAnsi="宋体" w:eastAsia="宋体"/>
          <w:color w:val="000000" w:themeColor="text1"/>
          <w:sz w:val="36"/>
          <w:szCs w:val="30"/>
        </w:rPr>
        <w:t>第四篇  磋商程序及方法、评审标准、无效响应和采购终止</w:t>
      </w:r>
      <w:bookmarkEnd w:id="69"/>
    </w:p>
    <w:p>
      <w:pPr>
        <w:pStyle w:val="6"/>
        <w:snapToGrid w:val="0"/>
        <w:spacing w:before="0" w:after="0" w:line="360" w:lineRule="auto"/>
        <w:ind w:firstLine="482" w:firstLineChars="200"/>
        <w:rPr>
          <w:rFonts w:ascii="宋体" w:hAnsi="宋体"/>
          <w:color w:val="000000" w:themeColor="text1"/>
          <w:sz w:val="24"/>
          <w:szCs w:val="24"/>
        </w:rPr>
      </w:pPr>
      <w:bookmarkStart w:id="70" w:name="_Toc148963312"/>
      <w:bookmarkStart w:id="71" w:name="_Toc123721232"/>
      <w:r>
        <w:rPr>
          <w:rFonts w:hint="eastAsia" w:ascii="宋体" w:hAnsi="宋体"/>
          <w:color w:val="000000" w:themeColor="text1"/>
          <w:sz w:val="24"/>
          <w:szCs w:val="24"/>
        </w:rPr>
        <w:t>一、磋商程序及方法</w:t>
      </w:r>
      <w:bookmarkEnd w:id="70"/>
      <w:bookmarkEnd w:id="71"/>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color w:val="000000" w:themeColor="text1"/>
          <w:kern w:val="0"/>
          <w:sz w:val="24"/>
          <w:szCs w:val="24"/>
        </w:rPr>
      </w:pPr>
      <w:r>
        <w:rPr>
          <w:rFonts w:hint="eastAsia" w:ascii="宋体" w:hAnsi="宋体"/>
          <w:color w:val="000000" w:themeColor="text1"/>
          <w:sz w:val="24"/>
          <w:szCs w:val="24"/>
        </w:rPr>
        <w:t>1.</w:t>
      </w:r>
      <w:r>
        <w:rPr>
          <w:rFonts w:hint="eastAsia" w:ascii="宋体" w:hAnsi="宋体" w:cs="宋体"/>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序号</w:t>
            </w:r>
          </w:p>
        </w:tc>
        <w:tc>
          <w:tcPr>
            <w:tcW w:w="5243" w:type="dxa"/>
            <w:gridSpan w:val="2"/>
            <w:vAlign w:val="center"/>
          </w:tcPr>
          <w:p>
            <w:pPr>
              <w:snapToGrid w:val="0"/>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检查因素</w:t>
            </w:r>
          </w:p>
        </w:tc>
        <w:tc>
          <w:tcPr>
            <w:tcW w:w="3579" w:type="dxa"/>
            <w:vAlign w:val="center"/>
          </w:tcPr>
          <w:p>
            <w:pPr>
              <w:snapToGrid w:val="0"/>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ascii="宋体" w:hAnsi="宋体"/>
                <w:color w:val="000000" w:themeColor="text1"/>
                <w:sz w:val="21"/>
                <w:szCs w:val="21"/>
              </w:rPr>
            </w:pPr>
            <w:r>
              <w:rPr>
                <w:rFonts w:hint="eastAsia" w:ascii="宋体" w:hAnsi="宋体"/>
                <w:color w:val="000000" w:themeColor="text1"/>
                <w:sz w:val="21"/>
                <w:szCs w:val="21"/>
              </w:rPr>
              <w:t>（一）</w:t>
            </w:r>
          </w:p>
        </w:tc>
        <w:tc>
          <w:tcPr>
            <w:tcW w:w="822" w:type="dxa"/>
            <w:vMerge w:val="restart"/>
            <w:vAlign w:val="center"/>
          </w:tcPr>
          <w:p>
            <w:pPr>
              <w:snapToGrid w:val="0"/>
              <w:rPr>
                <w:rFonts w:ascii="宋体" w:hAnsi="宋体" w:cs="仿宋_GB2312"/>
                <w:color w:val="000000" w:themeColor="text1"/>
                <w:sz w:val="21"/>
                <w:szCs w:val="21"/>
                <w:lang w:val="zh-CN"/>
              </w:rPr>
            </w:pPr>
            <w:r>
              <w:rPr>
                <w:rFonts w:hint="eastAsia" w:ascii="宋体" w:hAnsi="宋体" w:cs="仿宋_GB2312"/>
                <w:color w:val="000000" w:themeColor="text1"/>
                <w:sz w:val="21"/>
                <w:szCs w:val="21"/>
                <w:lang w:val="zh-CN"/>
              </w:rPr>
              <w:t>《中华人民共和国政府采购法》第二十二条规定</w:t>
            </w:r>
          </w:p>
        </w:tc>
        <w:tc>
          <w:tcPr>
            <w:tcW w:w="4421" w:type="dxa"/>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1.具有独立承担民事责任的能力</w:t>
            </w:r>
          </w:p>
        </w:tc>
        <w:tc>
          <w:tcPr>
            <w:tcW w:w="3579" w:type="dxa"/>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themeColor="text1"/>
                <w:sz w:val="21"/>
                <w:szCs w:val="21"/>
              </w:rPr>
            </w:pPr>
            <w:r>
              <w:rPr>
                <w:rFonts w:hint="eastAsia" w:ascii="宋体" w:hAnsi="宋体"/>
                <w:color w:val="000000" w:themeColor="text1"/>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rPr>
                <w:rFonts w:ascii="宋体" w:hAnsi="宋体"/>
                <w:color w:val="000000" w:themeColor="text1"/>
                <w:sz w:val="21"/>
                <w:szCs w:val="21"/>
              </w:rPr>
            </w:pPr>
          </w:p>
        </w:tc>
        <w:tc>
          <w:tcPr>
            <w:tcW w:w="822" w:type="dxa"/>
            <w:vMerge w:val="continue"/>
            <w:vAlign w:val="center"/>
          </w:tcPr>
          <w:p>
            <w:pPr>
              <w:rPr>
                <w:rFonts w:ascii="宋体" w:hAnsi="宋体"/>
                <w:color w:val="000000" w:themeColor="text1"/>
                <w:sz w:val="21"/>
                <w:szCs w:val="21"/>
              </w:rPr>
            </w:pPr>
          </w:p>
        </w:tc>
        <w:tc>
          <w:tcPr>
            <w:tcW w:w="4421" w:type="dxa"/>
            <w:vAlign w:val="center"/>
          </w:tcPr>
          <w:p>
            <w:pPr>
              <w:snapToGrid w:val="0"/>
              <w:rPr>
                <w:rFonts w:ascii="宋体" w:hAnsi="宋体"/>
                <w:color w:val="000000" w:themeColor="text1"/>
                <w:sz w:val="21"/>
                <w:szCs w:val="21"/>
              </w:rPr>
            </w:pPr>
            <w:r>
              <w:rPr>
                <w:rFonts w:hint="eastAsia" w:ascii="宋体" w:hAnsi="宋体" w:cs="仿宋_GB2312"/>
                <w:color w:val="000000" w:themeColor="text1"/>
                <w:sz w:val="21"/>
                <w:szCs w:val="21"/>
                <w:lang w:val="zh-CN"/>
              </w:rPr>
              <w:t>2.</w:t>
            </w:r>
            <w:r>
              <w:rPr>
                <w:rFonts w:hint="eastAsia" w:ascii="宋体" w:hAnsi="宋体"/>
                <w:color w:val="000000" w:themeColor="text1"/>
                <w:sz w:val="21"/>
                <w:szCs w:val="21"/>
              </w:rPr>
              <w:t>具有良好的商业信誉和健全的财务会计制度</w:t>
            </w:r>
          </w:p>
        </w:tc>
        <w:tc>
          <w:tcPr>
            <w:tcW w:w="3579" w:type="dxa"/>
            <w:vMerge w:val="restart"/>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rPr>
                <w:rFonts w:ascii="宋体" w:hAnsi="宋体"/>
                <w:color w:val="000000" w:themeColor="text1"/>
                <w:sz w:val="21"/>
                <w:szCs w:val="21"/>
              </w:rPr>
            </w:pPr>
          </w:p>
        </w:tc>
        <w:tc>
          <w:tcPr>
            <w:tcW w:w="822" w:type="dxa"/>
            <w:vMerge w:val="continue"/>
            <w:vAlign w:val="center"/>
          </w:tcPr>
          <w:p>
            <w:pPr>
              <w:rPr>
                <w:rFonts w:ascii="宋体" w:hAnsi="宋体"/>
                <w:color w:val="000000" w:themeColor="text1"/>
                <w:sz w:val="21"/>
                <w:szCs w:val="21"/>
              </w:rPr>
            </w:pPr>
          </w:p>
        </w:tc>
        <w:tc>
          <w:tcPr>
            <w:tcW w:w="4421" w:type="dxa"/>
            <w:vAlign w:val="center"/>
          </w:tcPr>
          <w:p>
            <w:pPr>
              <w:snapToGrid w:val="0"/>
              <w:rPr>
                <w:rFonts w:ascii="宋体" w:hAnsi="宋体" w:cs="仿宋_GB2312"/>
                <w:color w:val="000000" w:themeColor="text1"/>
                <w:sz w:val="21"/>
                <w:szCs w:val="21"/>
                <w:lang w:val="zh-CN"/>
              </w:rPr>
            </w:pPr>
            <w:r>
              <w:rPr>
                <w:rFonts w:hint="eastAsia" w:ascii="宋体" w:hAnsi="宋体" w:cs="仿宋_GB2312"/>
                <w:color w:val="000000" w:themeColor="text1"/>
                <w:sz w:val="21"/>
                <w:szCs w:val="21"/>
                <w:lang w:val="zh-CN"/>
              </w:rPr>
              <w:t>3.具有履行合同所必需的设备和专业技术能力</w:t>
            </w:r>
          </w:p>
        </w:tc>
        <w:tc>
          <w:tcPr>
            <w:tcW w:w="3579" w:type="dxa"/>
            <w:vMerge w:val="continue"/>
            <w:vAlign w:val="center"/>
          </w:tcPr>
          <w:p>
            <w:pPr>
              <w:snapToGrid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ascii="宋体" w:hAnsi="宋体"/>
                <w:color w:val="000000" w:themeColor="text1"/>
                <w:sz w:val="21"/>
                <w:szCs w:val="21"/>
              </w:rPr>
            </w:pPr>
          </w:p>
        </w:tc>
        <w:tc>
          <w:tcPr>
            <w:tcW w:w="822" w:type="dxa"/>
            <w:vMerge w:val="continue"/>
            <w:vAlign w:val="center"/>
          </w:tcPr>
          <w:p>
            <w:pPr>
              <w:rPr>
                <w:rFonts w:ascii="宋体" w:hAnsi="宋体"/>
                <w:color w:val="000000" w:themeColor="text1"/>
                <w:sz w:val="21"/>
                <w:szCs w:val="21"/>
              </w:rPr>
            </w:pPr>
          </w:p>
        </w:tc>
        <w:tc>
          <w:tcPr>
            <w:tcW w:w="4421" w:type="dxa"/>
            <w:vAlign w:val="center"/>
          </w:tcPr>
          <w:p>
            <w:pPr>
              <w:snapToGrid w:val="0"/>
              <w:rPr>
                <w:rFonts w:ascii="宋体" w:hAnsi="宋体" w:cs="仿宋_GB2312"/>
                <w:color w:val="000000" w:themeColor="text1"/>
                <w:sz w:val="21"/>
                <w:szCs w:val="21"/>
                <w:lang w:val="zh-CN"/>
              </w:rPr>
            </w:pPr>
            <w:r>
              <w:rPr>
                <w:rFonts w:hint="eastAsia" w:ascii="宋体" w:hAnsi="宋体" w:cs="仿宋_GB2312"/>
                <w:color w:val="000000" w:themeColor="text1"/>
                <w:sz w:val="21"/>
                <w:szCs w:val="21"/>
                <w:lang w:val="zh-CN"/>
              </w:rPr>
              <w:t>4.有依法缴纳税收的良好记录</w:t>
            </w:r>
          </w:p>
        </w:tc>
        <w:tc>
          <w:tcPr>
            <w:tcW w:w="3579" w:type="dxa"/>
            <w:vMerge w:val="continue"/>
            <w:vAlign w:val="center"/>
          </w:tcPr>
          <w:p>
            <w:pPr>
              <w:snapToGrid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46" w:type="dxa"/>
            <w:vMerge w:val="continue"/>
            <w:vAlign w:val="center"/>
          </w:tcPr>
          <w:p>
            <w:pPr>
              <w:rPr>
                <w:rFonts w:ascii="宋体" w:hAnsi="宋体"/>
                <w:color w:val="000000" w:themeColor="text1"/>
                <w:sz w:val="21"/>
                <w:szCs w:val="21"/>
              </w:rPr>
            </w:pPr>
          </w:p>
        </w:tc>
        <w:tc>
          <w:tcPr>
            <w:tcW w:w="822" w:type="dxa"/>
            <w:vMerge w:val="continue"/>
            <w:vAlign w:val="center"/>
          </w:tcPr>
          <w:p>
            <w:pPr>
              <w:rPr>
                <w:rFonts w:ascii="宋体" w:hAnsi="宋体"/>
                <w:color w:val="000000" w:themeColor="text1"/>
                <w:sz w:val="21"/>
                <w:szCs w:val="21"/>
              </w:rPr>
            </w:pPr>
          </w:p>
        </w:tc>
        <w:tc>
          <w:tcPr>
            <w:tcW w:w="4421" w:type="dxa"/>
            <w:vAlign w:val="center"/>
          </w:tcPr>
          <w:p>
            <w:pPr>
              <w:snapToGrid w:val="0"/>
              <w:rPr>
                <w:rFonts w:ascii="宋体" w:hAnsi="宋体" w:cs="仿宋_GB2312"/>
                <w:color w:val="000000" w:themeColor="text1"/>
                <w:sz w:val="21"/>
                <w:szCs w:val="21"/>
                <w:lang w:val="zh-CN"/>
              </w:rPr>
            </w:pPr>
            <w:r>
              <w:rPr>
                <w:rFonts w:hint="eastAsia" w:ascii="宋体" w:hAnsi="宋体"/>
                <w:color w:val="000000" w:themeColor="text1"/>
                <w:sz w:val="21"/>
                <w:szCs w:val="21"/>
              </w:rPr>
              <w:t>5.参加政府采购活动前三年内，在经营活动中没有重大违法记录</w:t>
            </w:r>
          </w:p>
        </w:tc>
        <w:tc>
          <w:tcPr>
            <w:tcW w:w="3579" w:type="dxa"/>
            <w:vMerge w:val="continue"/>
            <w:vAlign w:val="center"/>
          </w:tcPr>
          <w:p>
            <w:pPr>
              <w:snapToGrid w:val="0"/>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rPr>
                <w:rFonts w:ascii="宋体" w:hAnsi="宋体"/>
                <w:color w:val="000000" w:themeColor="text1"/>
                <w:sz w:val="21"/>
                <w:szCs w:val="21"/>
              </w:rPr>
            </w:pPr>
          </w:p>
        </w:tc>
        <w:tc>
          <w:tcPr>
            <w:tcW w:w="822" w:type="dxa"/>
            <w:vMerge w:val="continue"/>
            <w:vAlign w:val="center"/>
          </w:tcPr>
          <w:p>
            <w:pPr>
              <w:rPr>
                <w:rFonts w:ascii="宋体" w:hAnsi="宋体"/>
                <w:color w:val="000000" w:themeColor="text1"/>
                <w:sz w:val="21"/>
                <w:szCs w:val="21"/>
              </w:rPr>
            </w:pPr>
          </w:p>
        </w:tc>
        <w:tc>
          <w:tcPr>
            <w:tcW w:w="4421" w:type="dxa"/>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6.法律、行政法规规定的其他条件</w:t>
            </w:r>
          </w:p>
        </w:tc>
        <w:tc>
          <w:tcPr>
            <w:tcW w:w="3579" w:type="dxa"/>
            <w:vAlign w:val="center"/>
          </w:tcPr>
          <w:p>
            <w:pPr>
              <w:snapToGrid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rPr>
                <w:rFonts w:ascii="宋体" w:hAnsi="宋体"/>
                <w:color w:val="000000" w:themeColor="text1"/>
                <w:sz w:val="21"/>
                <w:szCs w:val="21"/>
              </w:rPr>
            </w:pPr>
            <w:r>
              <w:rPr>
                <w:rFonts w:hint="eastAsia" w:ascii="宋体" w:hAnsi="宋体"/>
                <w:color w:val="000000" w:themeColor="text1"/>
                <w:sz w:val="21"/>
                <w:szCs w:val="21"/>
              </w:rPr>
              <w:t>（二）</w:t>
            </w:r>
          </w:p>
        </w:tc>
        <w:tc>
          <w:tcPr>
            <w:tcW w:w="5243" w:type="dxa"/>
            <w:gridSpan w:val="2"/>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本项目特定资格条件</w:t>
            </w:r>
          </w:p>
        </w:tc>
        <w:tc>
          <w:tcPr>
            <w:tcW w:w="3579" w:type="dxa"/>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按第一篇“三、供应商资格要求（二）本项目的特定资格条件”的要求提交（如果有）。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themeColor="text1"/>
                <w:sz w:val="21"/>
                <w:szCs w:val="21"/>
              </w:rPr>
            </w:pPr>
            <w:r>
              <w:rPr>
                <w:rFonts w:hint="eastAsia" w:ascii="宋体" w:hAnsi="宋体"/>
                <w:color w:val="000000" w:themeColor="text1"/>
                <w:sz w:val="21"/>
                <w:szCs w:val="21"/>
              </w:rPr>
              <w:t>（三）</w:t>
            </w:r>
          </w:p>
        </w:tc>
        <w:tc>
          <w:tcPr>
            <w:tcW w:w="5243" w:type="dxa"/>
            <w:gridSpan w:val="2"/>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落实政府采购政策需满足的资格要求：</w:t>
            </w:r>
          </w:p>
        </w:tc>
        <w:tc>
          <w:tcPr>
            <w:tcW w:w="3579" w:type="dxa"/>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6" w:type="dxa"/>
            <w:vAlign w:val="center"/>
          </w:tcPr>
          <w:p>
            <w:pPr>
              <w:snapToGrid w:val="0"/>
              <w:jc w:val="center"/>
              <w:rPr>
                <w:rFonts w:ascii="宋体" w:hAnsi="宋体"/>
                <w:color w:val="000000" w:themeColor="text1"/>
                <w:sz w:val="21"/>
                <w:szCs w:val="21"/>
              </w:rPr>
            </w:pPr>
            <w:r>
              <w:rPr>
                <w:rFonts w:hint="eastAsia" w:ascii="宋体" w:hAnsi="宋体"/>
                <w:color w:val="000000" w:themeColor="text1"/>
                <w:sz w:val="21"/>
                <w:szCs w:val="21"/>
              </w:rPr>
              <w:t>（四）</w:t>
            </w:r>
          </w:p>
        </w:tc>
        <w:tc>
          <w:tcPr>
            <w:tcW w:w="5243" w:type="dxa"/>
            <w:gridSpan w:val="2"/>
            <w:vAlign w:val="center"/>
          </w:tcPr>
          <w:p>
            <w:pPr>
              <w:snapToGrid w:val="0"/>
              <w:rPr>
                <w:rFonts w:ascii="宋体" w:hAnsi="宋体"/>
                <w:color w:val="000000" w:themeColor="text1"/>
                <w:sz w:val="21"/>
                <w:szCs w:val="21"/>
              </w:rPr>
            </w:pPr>
            <w:r>
              <w:rPr>
                <w:rFonts w:hint="eastAsia" w:ascii="宋体" w:hAnsi="宋体"/>
                <w:color w:val="000000" w:themeColor="text1"/>
                <w:sz w:val="21"/>
                <w:szCs w:val="21"/>
              </w:rPr>
              <w:t>磋商保证金</w:t>
            </w:r>
          </w:p>
        </w:tc>
        <w:tc>
          <w:tcPr>
            <w:tcW w:w="3579" w:type="dxa"/>
            <w:vAlign w:val="center"/>
          </w:tcPr>
          <w:p>
            <w:pPr>
              <w:snapToGrid w:val="0"/>
              <w:rPr>
                <w:rFonts w:ascii="宋体" w:hAnsi="宋体" w:cs="宋体"/>
                <w:color w:val="000000" w:themeColor="text1"/>
                <w:sz w:val="21"/>
                <w:szCs w:val="21"/>
              </w:rPr>
            </w:pPr>
            <w:r>
              <w:rPr>
                <w:rFonts w:hint="eastAsia" w:ascii="宋体" w:hAnsi="宋体"/>
                <w:color w:val="000000" w:themeColor="text1"/>
                <w:sz w:val="21"/>
                <w:szCs w:val="21"/>
              </w:rPr>
              <w:t>按照采购文件的规定提交磋商保证金。</w:t>
            </w:r>
          </w:p>
        </w:tc>
      </w:tr>
    </w:tbl>
    <w:p>
      <w:pPr>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注：</w:t>
      </w:r>
    </w:p>
    <w:p>
      <w:pPr>
        <w:snapToGrid w:val="0"/>
        <w:spacing w:line="360" w:lineRule="auto"/>
        <w:ind w:firstLine="482" w:firstLineChars="200"/>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themeColor="text1"/>
          <w:kern w:val="0"/>
          <w:sz w:val="24"/>
          <w:szCs w:val="24"/>
        </w:rPr>
      </w:pPr>
      <w:r>
        <w:rPr>
          <w:rFonts w:hint="eastAsia" w:ascii="宋体" w:hAnsi="宋体"/>
          <w:color w:val="000000" w:themeColor="text1"/>
          <w:sz w:val="24"/>
          <w:szCs w:val="24"/>
        </w:rPr>
        <w:t>2.</w:t>
      </w:r>
      <w:r>
        <w:rPr>
          <w:rFonts w:hint="eastAsia" w:ascii="宋体" w:hAnsi="宋体" w:cs="宋体"/>
          <w:color w:val="000000" w:themeColor="text1"/>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color w:val="000000" w:themeColor="text1"/>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序号</w:t>
            </w:r>
          </w:p>
        </w:tc>
        <w:tc>
          <w:tcPr>
            <w:tcW w:w="3569" w:type="dxa"/>
            <w:gridSpan w:val="2"/>
            <w:vAlign w:val="center"/>
          </w:tcPr>
          <w:p>
            <w:pPr>
              <w:spacing w:line="2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评审因素</w:t>
            </w:r>
          </w:p>
        </w:tc>
        <w:tc>
          <w:tcPr>
            <w:tcW w:w="5220" w:type="dxa"/>
            <w:vAlign w:val="center"/>
          </w:tcPr>
          <w:p>
            <w:pPr>
              <w:spacing w:line="240" w:lineRule="exact"/>
              <w:jc w:val="center"/>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w:t>
            </w:r>
          </w:p>
        </w:tc>
        <w:tc>
          <w:tcPr>
            <w:tcW w:w="1573" w:type="dxa"/>
            <w:vMerge w:val="restart"/>
            <w:vAlign w:val="center"/>
          </w:tcPr>
          <w:p>
            <w:pPr>
              <w:spacing w:line="2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有效性审查</w:t>
            </w:r>
          </w:p>
        </w:tc>
        <w:tc>
          <w:tcPr>
            <w:tcW w:w="1996" w:type="dxa"/>
            <w:vAlign w:val="center"/>
          </w:tcPr>
          <w:p>
            <w:pPr>
              <w:spacing w:line="240" w:lineRule="exact"/>
              <w:rPr>
                <w:rFonts w:ascii="宋体" w:hAnsi="宋体" w:cs="宋体"/>
                <w:color w:val="000000" w:themeColor="text1"/>
                <w:kern w:val="0"/>
                <w:sz w:val="21"/>
                <w:szCs w:val="21"/>
              </w:rPr>
            </w:pPr>
            <w:r>
              <w:rPr>
                <w:rFonts w:hint="eastAsia" w:ascii="宋体" w:hAnsi="宋体"/>
                <w:color w:val="000000" w:themeColor="text1"/>
                <w:sz w:val="21"/>
                <w:szCs w:val="21"/>
              </w:rPr>
              <w:t>响应文件签署及盖章</w:t>
            </w:r>
          </w:p>
        </w:tc>
        <w:tc>
          <w:tcPr>
            <w:tcW w:w="5220" w:type="dxa"/>
            <w:vAlign w:val="center"/>
          </w:tcPr>
          <w:p>
            <w:pPr>
              <w:spacing w:line="240" w:lineRule="exact"/>
              <w:rPr>
                <w:rFonts w:ascii="宋体" w:hAnsi="宋体" w:cs="宋体"/>
                <w:color w:val="000000" w:themeColor="text1"/>
                <w:kern w:val="0"/>
                <w:sz w:val="21"/>
                <w:szCs w:val="21"/>
              </w:rPr>
            </w:pPr>
            <w:r>
              <w:rPr>
                <w:rFonts w:hint="eastAsia" w:ascii="宋体" w:hAnsi="宋体"/>
                <w:color w:val="000000" w:themeColor="text1"/>
                <w:sz w:val="21"/>
                <w:szCs w:val="21"/>
              </w:rPr>
              <w:t>响应文件上法定代表人或其授权代表人的签字齐全，响应文件盖章齐全。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themeColor="text1"/>
                <w:kern w:val="0"/>
                <w:sz w:val="21"/>
                <w:szCs w:val="21"/>
              </w:rPr>
            </w:pPr>
          </w:p>
        </w:tc>
        <w:tc>
          <w:tcPr>
            <w:tcW w:w="1573" w:type="dxa"/>
            <w:vMerge w:val="continue"/>
            <w:vAlign w:val="center"/>
          </w:tcPr>
          <w:p>
            <w:pPr>
              <w:spacing w:line="240" w:lineRule="exact"/>
              <w:rPr>
                <w:rFonts w:ascii="宋体" w:hAnsi="宋体" w:cs="宋体"/>
                <w:color w:val="000000" w:themeColor="text1"/>
                <w:kern w:val="0"/>
                <w:sz w:val="21"/>
                <w:szCs w:val="21"/>
              </w:rPr>
            </w:pPr>
          </w:p>
        </w:tc>
        <w:tc>
          <w:tcPr>
            <w:tcW w:w="1996" w:type="dxa"/>
            <w:vAlign w:val="center"/>
          </w:tcPr>
          <w:p>
            <w:pPr>
              <w:spacing w:line="240" w:lineRule="exact"/>
              <w:rPr>
                <w:rFonts w:ascii="宋体" w:hAnsi="宋体" w:cs="仿宋_GB2312"/>
                <w:color w:val="000000" w:themeColor="text1"/>
                <w:sz w:val="21"/>
                <w:szCs w:val="21"/>
                <w:lang w:val="zh-CN"/>
              </w:rPr>
            </w:pPr>
            <w:r>
              <w:rPr>
                <w:rFonts w:hint="eastAsia" w:ascii="宋体" w:hAnsi="宋体" w:cs="仿宋_GB2312"/>
                <w:color w:val="000000" w:themeColor="text1"/>
                <w:sz w:val="21"/>
                <w:szCs w:val="21"/>
                <w:lang w:val="zh-CN"/>
              </w:rPr>
              <w:t>磋商方案</w:t>
            </w:r>
          </w:p>
        </w:tc>
        <w:tc>
          <w:tcPr>
            <w:tcW w:w="5220" w:type="dxa"/>
            <w:vAlign w:val="center"/>
          </w:tcPr>
          <w:p>
            <w:pPr>
              <w:spacing w:line="240" w:lineRule="exact"/>
              <w:rPr>
                <w:rFonts w:ascii="宋体" w:hAnsi="宋体" w:cs="宋体"/>
                <w:color w:val="000000" w:themeColor="text1"/>
                <w:kern w:val="0"/>
                <w:sz w:val="21"/>
                <w:szCs w:val="21"/>
              </w:rPr>
            </w:pPr>
            <w:r>
              <w:rPr>
                <w:rFonts w:hint="eastAsia" w:ascii="宋体" w:hAnsi="宋体" w:cs="仿宋_GB2312"/>
                <w:color w:val="000000" w:themeColor="text1"/>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w:t>
            </w:r>
          </w:p>
        </w:tc>
        <w:tc>
          <w:tcPr>
            <w:tcW w:w="1573" w:type="dxa"/>
            <w:vAlign w:val="center"/>
          </w:tcPr>
          <w:p>
            <w:pPr>
              <w:spacing w:line="2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完整性审查</w:t>
            </w:r>
          </w:p>
        </w:tc>
        <w:tc>
          <w:tcPr>
            <w:tcW w:w="1996" w:type="dxa"/>
            <w:vAlign w:val="center"/>
          </w:tcPr>
          <w:p>
            <w:pPr>
              <w:spacing w:line="240" w:lineRule="exact"/>
              <w:rPr>
                <w:rFonts w:ascii="宋体" w:hAnsi="宋体" w:cs="宋体"/>
                <w:color w:val="000000" w:themeColor="text1"/>
                <w:kern w:val="0"/>
                <w:sz w:val="21"/>
                <w:szCs w:val="21"/>
              </w:rPr>
            </w:pPr>
            <w:r>
              <w:rPr>
                <w:rFonts w:hint="eastAsia" w:ascii="宋体" w:hAnsi="宋体" w:cs="仿宋_GB2312"/>
                <w:color w:val="000000" w:themeColor="text1"/>
                <w:sz w:val="21"/>
                <w:szCs w:val="21"/>
                <w:lang w:val="zh-CN"/>
              </w:rPr>
              <w:t>响应文件份数</w:t>
            </w:r>
          </w:p>
        </w:tc>
        <w:tc>
          <w:tcPr>
            <w:tcW w:w="5220" w:type="dxa"/>
            <w:vAlign w:val="center"/>
          </w:tcPr>
          <w:p>
            <w:pPr>
              <w:spacing w:line="240" w:lineRule="exact"/>
              <w:rPr>
                <w:rFonts w:ascii="宋体" w:hAnsi="宋体" w:cs="宋体"/>
                <w:color w:val="000000" w:themeColor="text1"/>
                <w:kern w:val="0"/>
                <w:sz w:val="21"/>
                <w:szCs w:val="21"/>
              </w:rPr>
            </w:pPr>
            <w:r>
              <w:rPr>
                <w:rFonts w:hint="eastAsia" w:ascii="宋体" w:hAnsi="宋体" w:cs="仿宋_GB2312"/>
                <w:color w:val="000000" w:themeColor="text1"/>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p>
        </w:tc>
        <w:tc>
          <w:tcPr>
            <w:tcW w:w="1573" w:type="dxa"/>
            <w:vMerge w:val="restart"/>
            <w:vAlign w:val="center"/>
          </w:tcPr>
          <w:p>
            <w:pPr>
              <w:spacing w:line="240" w:lineRule="exact"/>
              <w:rPr>
                <w:rFonts w:ascii="宋体" w:hAnsi="宋体" w:cs="仿宋_GB2312"/>
                <w:color w:val="000000" w:themeColor="text1"/>
                <w:sz w:val="21"/>
                <w:szCs w:val="21"/>
                <w:lang w:val="zh-CN"/>
              </w:rPr>
            </w:pPr>
            <w:r>
              <w:rPr>
                <w:rFonts w:hint="eastAsia" w:ascii="宋体" w:hAnsi="宋体" w:cs="宋体"/>
                <w:color w:val="000000" w:themeColor="text1"/>
                <w:kern w:val="0"/>
                <w:sz w:val="21"/>
                <w:szCs w:val="21"/>
              </w:rPr>
              <w:t>竞争性磋商文件的响应程度审查</w:t>
            </w:r>
          </w:p>
        </w:tc>
        <w:tc>
          <w:tcPr>
            <w:tcW w:w="1996" w:type="dxa"/>
            <w:vAlign w:val="center"/>
          </w:tcPr>
          <w:p>
            <w:pPr>
              <w:spacing w:line="2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响应文件内容</w:t>
            </w:r>
          </w:p>
        </w:tc>
        <w:tc>
          <w:tcPr>
            <w:tcW w:w="5220" w:type="dxa"/>
            <w:vAlign w:val="center"/>
          </w:tcPr>
          <w:p>
            <w:pPr>
              <w:pStyle w:val="33"/>
              <w:spacing w:line="240" w:lineRule="exact"/>
              <w:rPr>
                <w:rFonts w:ascii="宋体" w:hAnsi="宋体" w:cs="宋体"/>
                <w:color w:val="000000" w:themeColor="text1"/>
                <w:kern w:val="0"/>
                <w:sz w:val="21"/>
                <w:szCs w:val="21"/>
              </w:rPr>
            </w:pPr>
            <w:r>
              <w:rPr>
                <w:rFonts w:hint="eastAsia" w:ascii="宋体" w:hAnsi="宋体" w:cs="仿宋_GB2312"/>
                <w:color w:val="000000" w:themeColor="text1"/>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themeColor="text1"/>
                <w:kern w:val="0"/>
                <w:sz w:val="21"/>
                <w:szCs w:val="21"/>
              </w:rPr>
            </w:pPr>
          </w:p>
        </w:tc>
        <w:tc>
          <w:tcPr>
            <w:tcW w:w="1573" w:type="dxa"/>
            <w:vMerge w:val="continue"/>
            <w:vAlign w:val="center"/>
          </w:tcPr>
          <w:p>
            <w:pPr>
              <w:spacing w:line="240" w:lineRule="exact"/>
              <w:rPr>
                <w:rFonts w:ascii="宋体" w:hAnsi="宋体" w:cs="仿宋_GB2312"/>
                <w:color w:val="000000" w:themeColor="text1"/>
                <w:sz w:val="21"/>
                <w:szCs w:val="21"/>
                <w:lang w:val="zh-CN"/>
              </w:rPr>
            </w:pPr>
          </w:p>
        </w:tc>
        <w:tc>
          <w:tcPr>
            <w:tcW w:w="1996" w:type="dxa"/>
            <w:vAlign w:val="center"/>
          </w:tcPr>
          <w:p>
            <w:pPr>
              <w:spacing w:line="2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磋商有效期</w:t>
            </w:r>
          </w:p>
        </w:tc>
        <w:tc>
          <w:tcPr>
            <w:tcW w:w="5220" w:type="dxa"/>
            <w:vAlign w:val="center"/>
          </w:tcPr>
          <w:p>
            <w:pPr>
              <w:spacing w:line="240" w:lineRule="exact"/>
              <w:rPr>
                <w:rFonts w:ascii="宋体" w:hAnsi="宋体" w:cs="宋体"/>
                <w:color w:val="000000" w:themeColor="text1"/>
                <w:kern w:val="0"/>
                <w:sz w:val="21"/>
                <w:szCs w:val="21"/>
              </w:rPr>
            </w:pPr>
            <w:r>
              <w:rPr>
                <w:rFonts w:hint="eastAsia" w:ascii="宋体" w:hAnsi="宋体" w:cs="宋体"/>
                <w:color w:val="000000" w:themeColor="text1"/>
                <w:kern w:val="0"/>
                <w:sz w:val="21"/>
                <w:szCs w:val="21"/>
              </w:rPr>
              <w:t>满足竞争性磋商文件</w:t>
            </w:r>
            <w:r>
              <w:rPr>
                <w:rFonts w:hint="eastAsia" w:ascii="宋体" w:hAnsi="宋体" w:cs="仿宋_GB2312"/>
                <w:color w:val="000000" w:themeColor="text1"/>
                <w:sz w:val="21"/>
                <w:szCs w:val="21"/>
                <w:lang w:val="zh-CN"/>
              </w:rPr>
              <w:t>规定。</w:t>
            </w:r>
          </w:p>
        </w:tc>
      </w:tr>
    </w:tbl>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5.在磋商过程中磋商的任何一方不得向他人透露与磋商有关的技术资料、价格或其他信息。</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7.供应商在磋商时作出的所有书面承诺须由法定代表人或其授权代表签字。</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8.经磋商确定最终采购需求且磋商结束后，供应商应当按照竞争性磋商文件的变动情况和磋商小组的要求重新提交响应文件或重新做出相关的书面承诺，最后书面提交有关承诺（若有）。</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9.磋商小组采用综合评分法对供应商的响应文件（含有效书面承诺）进行综合评分，综合评分法是指响应文件满足竞争性磋商文件全部实质性要求且按照评审因素的量化指标评审得分最高的供应商为成交候选供应商的评审方法。供应商总得分为商务、技术等评定因素分别按照相应权重值计算分项得分后相加，满分为100分，（详见评审标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服务指标优劣顺序排列推荐。以上都相同的，按服务条款的优劣顺序排列推荐。</w:t>
      </w:r>
    </w:p>
    <w:p>
      <w:pPr>
        <w:pStyle w:val="6"/>
        <w:spacing w:before="0" w:after="0" w:line="440" w:lineRule="exact"/>
        <w:ind w:firstLine="482" w:firstLineChars="200"/>
        <w:rPr>
          <w:rFonts w:ascii="宋体" w:hAnsi="宋体"/>
          <w:color w:val="000000" w:themeColor="text1"/>
          <w:sz w:val="24"/>
          <w:szCs w:val="24"/>
        </w:rPr>
      </w:pPr>
      <w:bookmarkStart w:id="72" w:name="_Toc148963313"/>
      <w:r>
        <w:rPr>
          <w:rFonts w:hint="eastAsia" w:ascii="宋体" w:hAnsi="宋体"/>
          <w:color w:val="000000" w:themeColor="text1"/>
          <w:sz w:val="24"/>
          <w:szCs w:val="24"/>
        </w:rPr>
        <w:t>二、</w:t>
      </w:r>
      <w:bookmarkStart w:id="73" w:name="_Toc342913394"/>
      <w:bookmarkStart w:id="74" w:name="_Toc102227320"/>
      <w:r>
        <w:rPr>
          <w:rFonts w:hint="eastAsia" w:ascii="宋体" w:hAnsi="宋体"/>
          <w:color w:val="000000" w:themeColor="text1"/>
          <w:sz w:val="24"/>
          <w:szCs w:val="24"/>
        </w:rPr>
        <w:t>评审标准</w:t>
      </w:r>
      <w:bookmarkEnd w:id="72"/>
    </w:p>
    <w:bookmarkEnd w:id="73"/>
    <w:bookmarkEnd w:id="74"/>
    <w:tbl>
      <w:tblPr>
        <w:tblStyle w:val="59"/>
        <w:tblW w:w="96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721"/>
        <w:gridCol w:w="808"/>
        <w:gridCol w:w="794"/>
        <w:gridCol w:w="648"/>
        <w:gridCol w:w="423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2" w:hRule="atLeast"/>
        </w:trPr>
        <w:tc>
          <w:tcPr>
            <w:tcW w:w="721" w:type="dxa"/>
            <w:noWrap/>
            <w:vAlign w:val="center"/>
          </w:tcPr>
          <w:p>
            <w:pPr>
              <w:jc w:val="center"/>
              <w:rPr>
                <w:rFonts w:ascii="宋体" w:hAnsi="宋体" w:cs="宋体"/>
                <w:b/>
                <w:color w:val="000000" w:themeColor="text1"/>
                <w:sz w:val="21"/>
                <w:szCs w:val="21"/>
              </w:rPr>
            </w:pPr>
            <w:bookmarkStart w:id="75" w:name="_Toc123721234"/>
            <w:r>
              <w:rPr>
                <w:rFonts w:hint="eastAsia" w:ascii="宋体" w:hAnsi="宋体" w:cs="宋体"/>
                <w:b/>
                <w:color w:val="000000" w:themeColor="text1"/>
                <w:sz w:val="21"/>
                <w:szCs w:val="21"/>
              </w:rPr>
              <w:t>序号</w:t>
            </w:r>
          </w:p>
        </w:tc>
        <w:tc>
          <w:tcPr>
            <w:tcW w:w="2250" w:type="dxa"/>
            <w:gridSpan w:val="3"/>
            <w:noWrap/>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评分因素及权重</w:t>
            </w:r>
          </w:p>
        </w:tc>
        <w:tc>
          <w:tcPr>
            <w:tcW w:w="4237" w:type="dxa"/>
            <w:noWrap/>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评分标准</w:t>
            </w:r>
          </w:p>
        </w:tc>
        <w:tc>
          <w:tcPr>
            <w:tcW w:w="2410" w:type="dxa"/>
            <w:noWrap/>
            <w:vAlign w:val="center"/>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2250" w:type="dxa"/>
            <w:gridSpan w:val="3"/>
            <w:noWrap/>
            <w:vAlign w:val="center"/>
          </w:tcPr>
          <w:p>
            <w:pPr>
              <w:jc w:val="center"/>
              <w:rPr>
                <w:rFonts w:ascii="宋体" w:hAnsi="宋体" w:cs="宋体"/>
                <w:bCs/>
                <w:color w:val="000000" w:themeColor="text1"/>
                <w:sz w:val="21"/>
                <w:szCs w:val="21"/>
              </w:rPr>
            </w:pPr>
            <w:r>
              <w:rPr>
                <w:rFonts w:hint="eastAsia" w:ascii="宋体" w:hAnsi="宋体" w:cs="宋体"/>
                <w:bCs/>
                <w:color w:val="000000" w:themeColor="text1"/>
                <w:sz w:val="21"/>
                <w:szCs w:val="21"/>
              </w:rPr>
              <w:t>磋商报价</w:t>
            </w:r>
          </w:p>
          <w:p>
            <w:pPr>
              <w:jc w:val="center"/>
              <w:rPr>
                <w:rFonts w:ascii="宋体" w:hAnsi="宋体" w:cs="宋体"/>
                <w:color w:val="000000" w:themeColor="text1"/>
                <w:sz w:val="21"/>
                <w:szCs w:val="21"/>
              </w:rPr>
            </w:pPr>
            <w:r>
              <w:rPr>
                <w:rFonts w:hint="eastAsia" w:ascii="宋体" w:hAnsi="宋体" w:cs="宋体"/>
                <w:bCs/>
                <w:color w:val="000000" w:themeColor="text1"/>
                <w:sz w:val="21"/>
                <w:szCs w:val="21"/>
              </w:rPr>
              <w:t>（15%)</w:t>
            </w:r>
          </w:p>
        </w:tc>
        <w:tc>
          <w:tcPr>
            <w:tcW w:w="4237"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以满足资格性、符合性要求且最后报价折扣率最低的供应商的报价为磋商基准价，其价格分为满分。其他供应商的价格分统一按照下列公式计算：</w:t>
            </w:r>
          </w:p>
          <w:p>
            <w:pPr>
              <w:rPr>
                <w:rFonts w:ascii="宋体" w:hAnsi="宋体" w:cs="宋体"/>
                <w:color w:val="000000" w:themeColor="text1"/>
                <w:sz w:val="21"/>
                <w:szCs w:val="21"/>
              </w:rPr>
            </w:pPr>
            <w:r>
              <w:rPr>
                <w:rFonts w:hint="eastAsia" w:ascii="宋体" w:hAnsi="宋体" w:cs="宋体"/>
                <w:color w:val="000000" w:themeColor="text1"/>
                <w:sz w:val="21"/>
                <w:szCs w:val="21"/>
              </w:rPr>
              <w:t>磋商报价得分=（磋商基准价/最后报价折扣率）×价格权重×100</w:t>
            </w:r>
          </w:p>
        </w:tc>
        <w:tc>
          <w:tcPr>
            <w:tcW w:w="2410" w:type="dxa"/>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1.对小微企业的价格用扣除后的价格参与评审，详见“注：关于小微企业报价扣除比例说明”。</w:t>
            </w:r>
          </w:p>
          <w:p>
            <w:pPr>
              <w:rPr>
                <w:rFonts w:ascii="宋体" w:hAnsi="宋体" w:cs="宋体"/>
                <w:color w:val="000000" w:themeColor="text1"/>
                <w:sz w:val="21"/>
                <w:szCs w:val="21"/>
              </w:rPr>
            </w:pPr>
            <w:r>
              <w:rPr>
                <w:rFonts w:hint="eastAsia" w:ascii="宋体" w:hAnsi="宋体" w:cs="宋体"/>
                <w:bCs/>
                <w:color w:val="000000" w:themeColor="text1"/>
                <w:sz w:val="21"/>
                <w:szCs w:val="21"/>
              </w:rPr>
              <w:t>2.供应商报价为</w:t>
            </w:r>
            <w:r>
              <w:rPr>
                <w:rFonts w:hint="eastAsia" w:ascii="宋体" w:hAnsi="宋体" w:cs="宋体"/>
                <w:color w:val="000000" w:themeColor="text1"/>
                <w:sz w:val="21"/>
                <w:szCs w:val="21"/>
              </w:rPr>
              <w:t>折扣率，折扣率无限接近0%的为最低，折扣率100%的为最高（例：折扣率10%比20%低，20%比30%低，以此类推）</w:t>
            </w:r>
            <w:r>
              <w:rPr>
                <w:rFonts w:hint="eastAsia" w:ascii="宋体" w:hAnsi="宋体" w:cs="宋体"/>
                <w:bCs/>
                <w:color w:val="000000" w:themeColor="text1"/>
                <w:sz w:val="21"/>
                <w:szCs w:val="21"/>
              </w:rPr>
              <w:t>。</w:t>
            </w:r>
            <w:r>
              <w:rPr>
                <w:rFonts w:hint="eastAsia" w:ascii="宋体" w:hAnsi="宋体" w:cs="宋体"/>
                <w:color w:val="000000" w:themeColor="text1"/>
                <w:sz w:val="21"/>
                <w:szCs w:val="21"/>
              </w:rPr>
              <w:t>磋商报价得分</w:t>
            </w:r>
            <w:r>
              <w:rPr>
                <w:rFonts w:hint="eastAsia" w:ascii="宋体" w:hAnsi="宋体" w:cs="宋体"/>
                <w:bCs/>
                <w:color w:val="000000" w:themeColor="text1"/>
                <w:sz w:val="21"/>
                <w:szCs w:val="21"/>
              </w:rPr>
              <w:t>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restart"/>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2</w:t>
            </w:r>
          </w:p>
        </w:tc>
        <w:tc>
          <w:tcPr>
            <w:tcW w:w="808" w:type="dxa"/>
            <w:vMerge w:val="restart"/>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技术部分（</w:t>
            </w:r>
            <w:r>
              <w:rPr>
                <w:rFonts w:ascii="宋体" w:hAnsi="宋体" w:cs="宋体"/>
                <w:color w:val="000000" w:themeColor="text1"/>
                <w:sz w:val="21"/>
                <w:szCs w:val="21"/>
              </w:rPr>
              <w:t>4</w:t>
            </w:r>
            <w:r>
              <w:rPr>
                <w:rFonts w:hint="eastAsia" w:ascii="宋体" w:hAnsi="宋体" w:cs="宋体"/>
                <w:color w:val="000000" w:themeColor="text1"/>
                <w:sz w:val="21"/>
                <w:szCs w:val="21"/>
              </w:rPr>
              <w:t>5%）</w:t>
            </w: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对应用建设需求的理解</w:t>
            </w:r>
          </w:p>
        </w:tc>
        <w:tc>
          <w:tcPr>
            <w:tcW w:w="648" w:type="dxa"/>
            <w:noWrap/>
            <w:vAlign w:val="center"/>
          </w:tcPr>
          <w:p>
            <w:pPr>
              <w:jc w:val="center"/>
              <w:rPr>
                <w:rFonts w:ascii="宋体" w:hAnsi="宋体" w:cs="宋体"/>
                <w:color w:val="000000" w:themeColor="text1"/>
                <w:sz w:val="21"/>
                <w:szCs w:val="21"/>
              </w:rPr>
            </w:pPr>
            <w:r>
              <w:rPr>
                <w:rFonts w:ascii="宋体" w:hAnsi="宋体" w:cs="宋体"/>
                <w:color w:val="000000" w:themeColor="text1"/>
                <w:sz w:val="21"/>
                <w:szCs w:val="21"/>
              </w:rPr>
              <w:t>10</w:t>
            </w:r>
            <w:r>
              <w:rPr>
                <w:rFonts w:hint="eastAsia" w:ascii="宋体" w:hAnsi="宋体" w:cs="宋体"/>
                <w:color w:val="000000" w:themeColor="text1"/>
                <w:sz w:val="21"/>
                <w:szCs w:val="21"/>
              </w:rPr>
              <w:t>分</w:t>
            </w:r>
          </w:p>
        </w:tc>
        <w:tc>
          <w:tcPr>
            <w:tcW w:w="4237" w:type="dxa"/>
            <w:vAlign w:val="center"/>
          </w:tcPr>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供应商从国家、市、区县所需，群众、企业所盼等角度，阐述对“政务·渝运安”应用需求的理解与认识，分析“政务·渝运安”应用高频需求，并加以数据、案例支撑佐证。</w:t>
            </w:r>
          </w:p>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分析理解透彻的得</w:t>
            </w:r>
            <w:r>
              <w:rPr>
                <w:rFonts w:ascii="宋体" w:hAnsi="宋体" w:cs="宋体"/>
                <w:color w:val="000000" w:themeColor="text1"/>
                <w:sz w:val="21"/>
                <w:szCs w:val="21"/>
              </w:rPr>
              <w:t>10</w:t>
            </w:r>
            <w:r>
              <w:rPr>
                <w:rFonts w:hint="eastAsia" w:ascii="宋体" w:hAnsi="宋体" w:cs="宋体"/>
                <w:color w:val="000000" w:themeColor="text1"/>
                <w:sz w:val="21"/>
                <w:szCs w:val="21"/>
              </w:rPr>
              <w:t>分；基本准确的得6分；一般的得3分，差或不提供的为0分。</w:t>
            </w:r>
          </w:p>
        </w:tc>
        <w:tc>
          <w:tcPr>
            <w:tcW w:w="2410" w:type="dxa"/>
            <w:vMerge w:val="restart"/>
            <w:noWrap/>
            <w:vAlign w:val="center"/>
          </w:tcPr>
          <w:p>
            <w:pPr>
              <w:rPr>
                <w:rFonts w:ascii="宋体" w:hAnsi="宋体" w:cs="宋体"/>
                <w:color w:val="000000" w:themeColor="text1"/>
                <w:sz w:val="21"/>
                <w:szCs w:val="21"/>
              </w:rPr>
            </w:pPr>
            <w:r>
              <w:rPr>
                <w:rFonts w:hint="eastAsia" w:ascii="宋体" w:hAnsi="宋体" w:cs="宋体"/>
                <w:bCs/>
                <w:color w:val="000000" w:themeColor="text1"/>
                <w:sz w:val="21"/>
                <w:szCs w:val="21"/>
              </w:rPr>
              <w:t>磋商小组独立客观评审，取三位磋商小组成员综合评定得分的平均值即为该供应商的技术部分得分，得分保留两位小数。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ascii="宋体" w:hAnsi="宋体" w:cs="宋体"/>
                <w:color w:val="000000" w:themeColor="text1"/>
                <w:sz w:val="21"/>
                <w:szCs w:val="21"/>
              </w:rPr>
            </w:pPr>
          </w:p>
        </w:tc>
        <w:tc>
          <w:tcPr>
            <w:tcW w:w="808" w:type="dxa"/>
            <w:vMerge w:val="continue"/>
            <w:noWrap/>
            <w:vAlign w:val="center"/>
          </w:tcPr>
          <w:p>
            <w:pPr>
              <w:rPr>
                <w:rFonts w:ascii="宋体" w:hAnsi="宋体" w:cs="宋体"/>
                <w:color w:val="000000" w:themeColor="text1"/>
                <w:sz w:val="21"/>
                <w:szCs w:val="21"/>
              </w:rPr>
            </w:pP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应用设计思路</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10分</w:t>
            </w:r>
          </w:p>
        </w:tc>
        <w:tc>
          <w:tcPr>
            <w:tcW w:w="4237" w:type="dxa"/>
            <w:vAlign w:val="center"/>
          </w:tcPr>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供应商从“政务·渝运安”应用需求出发，按照数字重庆建设“1361”总体架构和“三融五跨”要求，设计多跨协同场景，给出科学合理的应用设计思路。要求突显应用辨识度，构建“两客一危一货”运输全链条风险管理体系，解决道路通行条件复杂、事故风险高、政企间协同管理不高效、安全风险感知手段缺乏等问题。</w:t>
            </w:r>
          </w:p>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思路新颖、逻辑清晰的得10分；思路较新颖、逻辑较清晰的得6分；思路一般明确的得3分，逻辑不清晰或不提供的得0分。</w:t>
            </w:r>
          </w:p>
        </w:tc>
        <w:tc>
          <w:tcPr>
            <w:tcW w:w="2410" w:type="dxa"/>
            <w:vMerge w:val="continue"/>
            <w:noWrap/>
          </w:tcPr>
          <w:p>
            <w:pPr>
              <w:rPr>
                <w:rFonts w:ascii="宋体" w:hAnsi="宋体"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ascii="宋体" w:hAnsi="宋体" w:cs="宋体"/>
                <w:color w:val="000000" w:themeColor="text1"/>
                <w:sz w:val="21"/>
                <w:szCs w:val="21"/>
              </w:rPr>
            </w:pPr>
          </w:p>
        </w:tc>
        <w:tc>
          <w:tcPr>
            <w:tcW w:w="808" w:type="dxa"/>
            <w:vMerge w:val="continue"/>
            <w:noWrap/>
            <w:vAlign w:val="center"/>
          </w:tcPr>
          <w:p>
            <w:pPr>
              <w:rPr>
                <w:rFonts w:ascii="宋体" w:hAnsi="宋体" w:cs="宋体"/>
                <w:color w:val="000000" w:themeColor="text1"/>
                <w:sz w:val="21"/>
                <w:szCs w:val="21"/>
              </w:rPr>
            </w:pP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应用建设效果预期</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10分</w:t>
            </w:r>
          </w:p>
        </w:tc>
        <w:tc>
          <w:tcPr>
            <w:tcW w:w="4237" w:type="dxa"/>
            <w:vAlign w:val="center"/>
          </w:tcPr>
          <w:p>
            <w:pPr>
              <w:widowControl/>
              <w:ind w:firstLine="420" w:firstLineChars="200"/>
              <w:rPr>
                <w:rFonts w:ascii="宋体" w:hAnsi="宋体" w:cs="宋体"/>
                <w:color w:val="000000" w:themeColor="text1"/>
                <w:sz w:val="21"/>
                <w:szCs w:val="21"/>
                <w:lang w:val="zh-CN"/>
              </w:rPr>
            </w:pPr>
            <w:r>
              <w:rPr>
                <w:rFonts w:hint="eastAsia" w:ascii="宋体" w:hAnsi="宋体" w:cs="宋体"/>
                <w:color w:val="000000" w:themeColor="text1"/>
                <w:sz w:val="21"/>
                <w:szCs w:val="21"/>
                <w:lang w:val="zh-CN"/>
              </w:rPr>
              <w:t>供应商基于对</w:t>
            </w:r>
            <w:r>
              <w:rPr>
                <w:rFonts w:hint="eastAsia" w:ascii="宋体" w:hAnsi="宋体" w:cs="宋体"/>
                <w:color w:val="000000" w:themeColor="text1"/>
                <w:sz w:val="21"/>
                <w:szCs w:val="21"/>
              </w:rPr>
              <w:t>道路运输安全风险管理</w:t>
            </w:r>
            <w:r>
              <w:rPr>
                <w:rFonts w:hint="eastAsia" w:ascii="宋体" w:hAnsi="宋体" w:cs="宋体"/>
                <w:color w:val="000000" w:themeColor="text1"/>
                <w:sz w:val="21"/>
                <w:szCs w:val="21"/>
                <w:lang w:val="zh-CN"/>
              </w:rPr>
              <w:t>的理解，阐述“</w:t>
            </w:r>
            <w:r>
              <w:rPr>
                <w:rFonts w:hint="eastAsia" w:ascii="宋体" w:hAnsi="宋体" w:cs="宋体"/>
                <w:color w:val="000000" w:themeColor="text1"/>
                <w:sz w:val="21"/>
                <w:szCs w:val="21"/>
              </w:rPr>
              <w:t>政务·渝运安</w:t>
            </w:r>
            <w:r>
              <w:rPr>
                <w:rFonts w:hint="eastAsia" w:ascii="宋体" w:hAnsi="宋体" w:cs="宋体"/>
                <w:color w:val="000000" w:themeColor="text1"/>
                <w:sz w:val="21"/>
                <w:szCs w:val="21"/>
                <w:lang w:val="zh-CN"/>
              </w:rPr>
              <w:t>”应用建设前后的效果对比，要求契合“</w:t>
            </w:r>
            <w:r>
              <w:rPr>
                <w:rFonts w:hint="eastAsia" w:ascii="宋体" w:hAnsi="宋体" w:cs="宋体"/>
                <w:color w:val="000000" w:themeColor="text1"/>
                <w:sz w:val="21"/>
                <w:szCs w:val="21"/>
              </w:rPr>
              <w:t>政务·渝运安</w:t>
            </w:r>
            <w:r>
              <w:rPr>
                <w:rFonts w:hint="eastAsia" w:ascii="宋体" w:hAnsi="宋体" w:cs="宋体"/>
                <w:color w:val="000000" w:themeColor="text1"/>
                <w:sz w:val="21"/>
                <w:szCs w:val="21"/>
                <w:lang w:val="zh-CN"/>
              </w:rPr>
              <w:t>”</w:t>
            </w:r>
            <w:r>
              <w:rPr>
                <w:rFonts w:hint="eastAsia" w:ascii="宋体" w:hAnsi="宋体" w:cs="宋体"/>
                <w:color w:val="000000" w:themeColor="text1"/>
                <w:sz w:val="21"/>
                <w:szCs w:val="21"/>
              </w:rPr>
              <w:t>应用</w:t>
            </w:r>
            <w:r>
              <w:rPr>
                <w:rFonts w:hint="eastAsia" w:ascii="宋体" w:hAnsi="宋体" w:cs="宋体"/>
                <w:color w:val="000000" w:themeColor="text1"/>
                <w:sz w:val="21"/>
                <w:szCs w:val="21"/>
                <w:lang w:val="zh-CN"/>
              </w:rPr>
              <w:t>的“三张清单”，体现改革前、改革后的流程再造、业务优化的</w:t>
            </w:r>
            <w:r>
              <w:rPr>
                <w:rFonts w:hint="eastAsia" w:ascii="宋体" w:hAnsi="宋体" w:cs="宋体"/>
                <w:color w:val="000000" w:themeColor="text1"/>
                <w:sz w:val="21"/>
                <w:szCs w:val="21"/>
              </w:rPr>
              <w:t>效果</w:t>
            </w:r>
            <w:r>
              <w:rPr>
                <w:rFonts w:hint="eastAsia" w:ascii="宋体" w:hAnsi="宋体" w:cs="宋体"/>
                <w:color w:val="000000" w:themeColor="text1"/>
                <w:sz w:val="21"/>
                <w:szCs w:val="21"/>
                <w:lang w:val="zh-CN"/>
              </w:rPr>
              <w:t>对比，重点阐述从“部门各自为政”到“跨部门协同”的</w:t>
            </w:r>
            <w:r>
              <w:rPr>
                <w:rFonts w:hint="eastAsia" w:ascii="宋体" w:hAnsi="宋体" w:cs="宋体"/>
                <w:color w:val="000000" w:themeColor="text1"/>
                <w:sz w:val="21"/>
                <w:szCs w:val="21"/>
              </w:rPr>
              <w:t>安全风险管理</w:t>
            </w:r>
            <w:r>
              <w:rPr>
                <w:rFonts w:hint="eastAsia" w:ascii="宋体" w:hAnsi="宋体" w:cs="宋体"/>
                <w:color w:val="000000" w:themeColor="text1"/>
                <w:sz w:val="21"/>
                <w:szCs w:val="21"/>
                <w:lang w:val="zh-CN"/>
              </w:rPr>
              <w:t>模式对比，以及道路运输安全风险“感知预警</w:t>
            </w:r>
            <w:r>
              <w:rPr>
                <w:rFonts w:hint="eastAsia" w:ascii="宋体" w:hAnsi="宋体" w:cs="宋体"/>
                <w:color w:val="000000" w:themeColor="text1"/>
                <w:sz w:val="21"/>
                <w:szCs w:val="21"/>
              </w:rPr>
              <w:t>+分级管控</w:t>
            </w:r>
            <w:r>
              <w:rPr>
                <w:rFonts w:hint="eastAsia" w:ascii="宋体" w:hAnsi="宋体" w:cs="宋体"/>
                <w:color w:val="000000" w:themeColor="text1"/>
                <w:sz w:val="21"/>
                <w:szCs w:val="21"/>
                <w:lang w:val="zh-CN"/>
              </w:rPr>
              <w:t>”</w:t>
            </w:r>
            <w:r>
              <w:rPr>
                <w:rFonts w:hint="eastAsia" w:ascii="宋体" w:hAnsi="宋体" w:cs="宋体"/>
                <w:color w:val="000000" w:themeColor="text1"/>
                <w:sz w:val="21"/>
                <w:szCs w:val="21"/>
              </w:rPr>
              <w:t>效果对比</w:t>
            </w:r>
            <w:r>
              <w:rPr>
                <w:rFonts w:hint="eastAsia" w:ascii="宋体" w:hAnsi="宋体" w:cs="宋体"/>
                <w:color w:val="000000" w:themeColor="text1"/>
                <w:sz w:val="21"/>
                <w:szCs w:val="21"/>
                <w:lang w:val="zh-CN"/>
              </w:rPr>
              <w:t>。</w:t>
            </w:r>
          </w:p>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阐述清楚透彻的得10分；基本准确的得6分；一般的得3分，差或不提供的得0分。</w:t>
            </w:r>
          </w:p>
        </w:tc>
        <w:tc>
          <w:tcPr>
            <w:tcW w:w="2410" w:type="dxa"/>
            <w:vMerge w:val="continue"/>
            <w:noWrap/>
          </w:tcPr>
          <w:p>
            <w:pPr>
              <w:rPr>
                <w:rFonts w:ascii="宋体" w:hAnsi="宋体"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ascii="宋体" w:hAnsi="宋体" w:cs="宋体"/>
                <w:color w:val="000000" w:themeColor="text1"/>
                <w:sz w:val="21"/>
                <w:szCs w:val="21"/>
              </w:rPr>
            </w:pPr>
          </w:p>
        </w:tc>
        <w:tc>
          <w:tcPr>
            <w:tcW w:w="808" w:type="dxa"/>
            <w:vMerge w:val="continue"/>
            <w:noWrap/>
            <w:vAlign w:val="center"/>
          </w:tcPr>
          <w:p>
            <w:pPr>
              <w:rPr>
                <w:rFonts w:ascii="宋体" w:hAnsi="宋体" w:cs="宋体"/>
                <w:color w:val="000000" w:themeColor="text1"/>
                <w:sz w:val="21"/>
                <w:szCs w:val="21"/>
              </w:rPr>
            </w:pP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方案提纲</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5分</w:t>
            </w:r>
          </w:p>
        </w:tc>
        <w:tc>
          <w:tcPr>
            <w:tcW w:w="4237" w:type="dxa"/>
            <w:vAlign w:val="center"/>
          </w:tcPr>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供应商针对“政务·渝运安”应用资金需求、应用开发方案的技术要求，给岀方案提纲，详细阐述每个章节的主要内容与要点。要求能够熟练掌握先进设计理念，结合应用实际情况，体现良好的先进性、实用性。</w:t>
            </w:r>
          </w:p>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阐述清楚透彻的得5分；基本准确的得3分；一般的得1分，差或不提供的得0分。</w:t>
            </w:r>
          </w:p>
        </w:tc>
        <w:tc>
          <w:tcPr>
            <w:tcW w:w="2410" w:type="dxa"/>
            <w:vMerge w:val="continue"/>
            <w:noWrap/>
          </w:tcPr>
          <w:p>
            <w:pPr>
              <w:rPr>
                <w:rFonts w:ascii="宋体" w:hAnsi="宋体"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721" w:type="dxa"/>
            <w:vMerge w:val="continue"/>
            <w:noWrap/>
            <w:vAlign w:val="center"/>
          </w:tcPr>
          <w:p>
            <w:pPr>
              <w:rPr>
                <w:rFonts w:ascii="宋体" w:hAnsi="宋体" w:cs="宋体"/>
                <w:color w:val="000000" w:themeColor="text1"/>
                <w:sz w:val="21"/>
                <w:szCs w:val="21"/>
              </w:rPr>
            </w:pPr>
          </w:p>
        </w:tc>
        <w:tc>
          <w:tcPr>
            <w:tcW w:w="808" w:type="dxa"/>
            <w:vMerge w:val="continue"/>
            <w:noWrap/>
            <w:vAlign w:val="center"/>
          </w:tcPr>
          <w:p>
            <w:pPr>
              <w:rPr>
                <w:rFonts w:ascii="宋体" w:hAnsi="宋体" w:cs="宋体"/>
                <w:color w:val="000000" w:themeColor="text1"/>
                <w:sz w:val="21"/>
                <w:szCs w:val="21"/>
              </w:rPr>
            </w:pP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服务实施方案</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10分</w:t>
            </w:r>
          </w:p>
        </w:tc>
        <w:tc>
          <w:tcPr>
            <w:tcW w:w="4237" w:type="dxa"/>
            <w:vAlign w:val="center"/>
          </w:tcPr>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供应商从组织保障、质量保障体系及措施、工作 进度安排及进度保障措施等方面进行阐述。</w:t>
            </w:r>
          </w:p>
          <w:p>
            <w:pPr>
              <w:widowControl/>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内容完整、阐述清楚，有对应的保障措施的得10分；内容基本完整、阐述较清楚，有对应的保障措施的得6分；内容一般、阐述一般，有部分保障措施的得3分，内容不完整、阐述不清楚，无保障措施或不提供的得0分。</w:t>
            </w:r>
          </w:p>
        </w:tc>
        <w:tc>
          <w:tcPr>
            <w:tcW w:w="2410" w:type="dxa"/>
            <w:vMerge w:val="continue"/>
            <w:noWrap/>
          </w:tcPr>
          <w:p>
            <w:pPr>
              <w:rPr>
                <w:rFonts w:ascii="宋体" w:hAnsi="宋体"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653" w:hRule="atLeast"/>
        </w:trPr>
        <w:tc>
          <w:tcPr>
            <w:tcW w:w="721" w:type="dxa"/>
            <w:vMerge w:val="restart"/>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2</w:t>
            </w:r>
          </w:p>
        </w:tc>
        <w:tc>
          <w:tcPr>
            <w:tcW w:w="808" w:type="dxa"/>
            <w:vMerge w:val="restart"/>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商务部分（40%）</w:t>
            </w: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项目经验</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20分</w:t>
            </w:r>
          </w:p>
        </w:tc>
        <w:tc>
          <w:tcPr>
            <w:tcW w:w="4237" w:type="dxa"/>
          </w:tcPr>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1.自2018年1月1日至响应文件递交截止时间（以合同签订时间为准），供应商具有数字化或信息化类项目咨询业绩（如可研、设计等），每提供1个得4分，本项最高得8分。</w:t>
            </w:r>
          </w:p>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2.自2018年1月1日至响应文件递交截止时间（以标准发布时间为准），供应商从事过智慧城市、智慧交通、车联网、大数据或5G等数字化或信息化相关领域国家标准编制工作的，每提供1个得4分，最多8分；从事过上述领域地方标准\团体标准编制工作的，每提供1个得2分，最多4分。</w:t>
            </w:r>
          </w:p>
        </w:tc>
        <w:tc>
          <w:tcPr>
            <w:tcW w:w="2410" w:type="dxa"/>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咨询类业绩提供合同复印件并加盖公章；标准成果提供标准关键页及在全国标准信息公共服务平台上的查询结果截图并加盖公章，否则不得分。</w:t>
            </w:r>
          </w:p>
          <w:p>
            <w:pPr>
              <w:rPr>
                <w:rFonts w:ascii="宋体" w:hAnsi="宋体" w:cs="宋体"/>
                <w:color w:val="000000" w:themeColor="text1"/>
                <w:sz w:val="21"/>
                <w:szCs w:val="21"/>
              </w:rPr>
            </w:pPr>
            <w:r>
              <w:rPr>
                <w:rFonts w:hint="eastAsia" w:ascii="宋体" w:hAnsi="宋体" w:cs="宋体"/>
                <w:color w:val="000000" w:themeColor="text1"/>
                <w:sz w:val="21"/>
                <w:szCs w:val="21"/>
              </w:rPr>
              <w:t>注：合同需包含项目名称，内容，双方签章清晰。因内容不完整或不清晰导致磋商小组无法判定的，单个合同不得分，每个业绩不得重复得分。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77" w:hRule="atLeast"/>
        </w:trPr>
        <w:tc>
          <w:tcPr>
            <w:tcW w:w="721" w:type="dxa"/>
            <w:vMerge w:val="continue"/>
            <w:noWrap/>
            <w:vAlign w:val="center"/>
          </w:tcPr>
          <w:p>
            <w:pPr>
              <w:ind w:firstLine="420" w:firstLineChars="200"/>
              <w:rPr>
                <w:rFonts w:ascii="宋体" w:hAnsi="宋体" w:cs="宋体"/>
                <w:color w:val="000000" w:themeColor="text1"/>
                <w:sz w:val="21"/>
                <w:szCs w:val="21"/>
              </w:rPr>
            </w:pPr>
          </w:p>
        </w:tc>
        <w:tc>
          <w:tcPr>
            <w:tcW w:w="808" w:type="dxa"/>
            <w:vMerge w:val="continue"/>
            <w:noWrap/>
            <w:vAlign w:val="center"/>
          </w:tcPr>
          <w:p>
            <w:pPr>
              <w:ind w:firstLine="420" w:firstLineChars="200"/>
              <w:rPr>
                <w:rFonts w:ascii="宋体" w:hAnsi="宋体" w:cs="宋体"/>
                <w:color w:val="000000" w:themeColor="text1"/>
                <w:sz w:val="21"/>
                <w:szCs w:val="21"/>
              </w:rPr>
            </w:pPr>
          </w:p>
        </w:tc>
        <w:tc>
          <w:tcPr>
            <w:tcW w:w="794" w:type="dxa"/>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项目团队人员配置</w:t>
            </w:r>
          </w:p>
        </w:tc>
        <w:tc>
          <w:tcPr>
            <w:tcW w:w="648" w:type="dxa"/>
            <w:noWrap/>
            <w:vAlign w:val="center"/>
          </w:tcPr>
          <w:p>
            <w:pPr>
              <w:jc w:val="center"/>
              <w:rPr>
                <w:rFonts w:ascii="宋体" w:hAnsi="宋体" w:cs="宋体"/>
                <w:color w:val="000000" w:themeColor="text1"/>
                <w:sz w:val="21"/>
                <w:szCs w:val="21"/>
              </w:rPr>
            </w:pPr>
            <w:r>
              <w:rPr>
                <w:rFonts w:hint="eastAsia" w:ascii="宋体" w:hAnsi="宋体" w:cs="宋体"/>
                <w:color w:val="000000" w:themeColor="text1"/>
                <w:sz w:val="21"/>
                <w:szCs w:val="21"/>
              </w:rPr>
              <w:t>20分</w:t>
            </w:r>
          </w:p>
        </w:tc>
        <w:tc>
          <w:tcPr>
            <w:tcW w:w="4237" w:type="dxa"/>
            <w:vAlign w:val="center"/>
          </w:tcPr>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1.项目负责人：具有PMP认证、咨询工程师（投资）注册证书、信息系统项目管理师、系统规划与管理师、电子信息类或通信工程类高级及以上职称得10分，缺少一个扣2分，扣完为止。</w:t>
            </w:r>
          </w:p>
          <w:p>
            <w:pPr>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2.项目团队成员：具有咨询工程师（投资）注册证书、信息系统项目管理师、系统规划与管理师，电子信息类或通信工程类高级及以上职称，每具备一人得2分，本条最多得10分。</w:t>
            </w:r>
          </w:p>
        </w:tc>
        <w:tc>
          <w:tcPr>
            <w:tcW w:w="2410" w:type="dxa"/>
            <w:noWrap/>
            <w:vAlign w:val="center"/>
          </w:tcPr>
          <w:p>
            <w:pPr>
              <w:rPr>
                <w:rFonts w:ascii="宋体" w:hAnsi="宋体" w:cs="宋体"/>
                <w:color w:val="000000" w:themeColor="text1"/>
                <w:sz w:val="21"/>
                <w:szCs w:val="21"/>
              </w:rPr>
            </w:pPr>
            <w:r>
              <w:rPr>
                <w:rFonts w:hint="eastAsia" w:ascii="宋体" w:hAnsi="宋体" w:cs="宋体"/>
                <w:color w:val="000000" w:themeColor="text1"/>
                <w:sz w:val="21"/>
                <w:szCs w:val="21"/>
              </w:rPr>
              <w:t>提供相应证书复印件、社保缴纳证明并加盖公章，否则不得分。</w:t>
            </w:r>
          </w:p>
          <w:p>
            <w:pPr>
              <w:rPr>
                <w:rFonts w:ascii="宋体" w:hAnsi="宋体" w:cs="宋体"/>
                <w:color w:val="000000" w:themeColor="text1"/>
                <w:sz w:val="21"/>
                <w:szCs w:val="21"/>
              </w:rPr>
            </w:pPr>
            <w:r>
              <w:rPr>
                <w:rFonts w:hint="eastAsia" w:ascii="宋体" w:hAnsi="宋体" w:cs="宋体"/>
                <w:color w:val="000000" w:themeColor="text1"/>
                <w:sz w:val="21"/>
                <w:szCs w:val="21"/>
              </w:rPr>
              <w:t>注：人员不得相互兼任和重复得分。</w:t>
            </w:r>
          </w:p>
        </w:tc>
      </w:tr>
    </w:tbl>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（二）关于小微企业报价扣除比例说明</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1.供应商为非联合体投标的，对小微企业给予10%的扣除，以扣除后的报价参与评审。</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2.监狱企业、残疾人福利性单位视同小型、微型企业。</w:t>
      </w:r>
    </w:p>
    <w:p>
      <w:pPr>
        <w:pStyle w:val="6"/>
        <w:spacing w:before="0" w:after="0" w:line="360" w:lineRule="auto"/>
        <w:ind w:firstLine="482" w:firstLineChars="200"/>
        <w:rPr>
          <w:rFonts w:ascii="宋体" w:hAnsi="宋体"/>
          <w:color w:val="000000" w:themeColor="text1"/>
          <w:sz w:val="24"/>
          <w:szCs w:val="24"/>
        </w:rPr>
      </w:pPr>
      <w:bookmarkStart w:id="76" w:name="_Toc148963314"/>
      <w:r>
        <w:rPr>
          <w:rFonts w:hint="eastAsia" w:ascii="宋体" w:hAnsi="宋体"/>
          <w:color w:val="000000" w:themeColor="text1"/>
          <w:sz w:val="24"/>
          <w:szCs w:val="24"/>
        </w:rPr>
        <w:t>三、无效响应</w:t>
      </w:r>
      <w:bookmarkEnd w:id="75"/>
      <w:bookmarkEnd w:id="76"/>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供应商发生以下条款情况之一者，视为无效响应：</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（一）供应商不符合规定的基本资格条件或特定资格条件的；</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（二）供应商的法定代表人或其授权代表未参加磋商；</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（三）供应商未按照竞争性磋商文件的要求缴纳磋商保证金；</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（四）供应商所提交的响应文件不按第七篇“响应文件编制要求”规定签字、盖章；</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（五）单位负责人为同一人或者存在直接控股、管理关系的不同供应商，参加同一合同项下的政府采购活动的；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w:t>
      </w:r>
      <w:r>
        <w:rPr>
          <w:rFonts w:ascii="宋体" w:hAnsi="宋体"/>
          <w:color w:val="000000" w:themeColor="text1"/>
          <w:sz w:val="24"/>
          <w:szCs w:val="24"/>
        </w:rPr>
        <w:t>为采购项目提供整体设计、规范编制或者项目管理、监理、检测等服务的供应商，再参加</w:t>
      </w:r>
      <w:r>
        <w:rPr>
          <w:rFonts w:hint="eastAsia" w:ascii="宋体" w:hAnsi="宋体"/>
          <w:color w:val="000000" w:themeColor="text1"/>
          <w:sz w:val="24"/>
          <w:szCs w:val="24"/>
        </w:rPr>
        <w:t>该采购</w:t>
      </w:r>
      <w:r>
        <w:rPr>
          <w:rFonts w:ascii="宋体" w:hAnsi="宋体"/>
          <w:color w:val="000000" w:themeColor="text1"/>
          <w:sz w:val="24"/>
          <w:szCs w:val="24"/>
        </w:rPr>
        <w:t>项目的</w:t>
      </w:r>
      <w:r>
        <w:rPr>
          <w:rFonts w:hint="eastAsia" w:ascii="宋体" w:hAnsi="宋体"/>
          <w:color w:val="000000" w:themeColor="text1"/>
          <w:sz w:val="24"/>
          <w:szCs w:val="24"/>
        </w:rPr>
        <w:t>其他</w:t>
      </w:r>
      <w:r>
        <w:rPr>
          <w:rFonts w:ascii="宋体" w:hAnsi="宋体"/>
          <w:color w:val="000000" w:themeColor="text1"/>
          <w:sz w:val="24"/>
          <w:szCs w:val="24"/>
        </w:rPr>
        <w:t>采购活动</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（七）所提供的产品不符合必须强制执行的国家标准的；</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（八）供应商的服务时间、服务质保期及磋商有效期不满足竞争性磋商文件要求的；</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（九）供应商响应文件内容有与国家现行法律法规相违背的内容，或附有采购人无法接受的条件。</w:t>
      </w:r>
    </w:p>
    <w:p>
      <w:pPr>
        <w:pStyle w:val="6"/>
        <w:spacing w:before="0" w:after="0" w:line="360" w:lineRule="auto"/>
        <w:ind w:firstLine="482" w:firstLineChars="200"/>
        <w:rPr>
          <w:rFonts w:ascii="宋体" w:hAnsi="宋体"/>
          <w:color w:val="000000" w:themeColor="text1"/>
          <w:sz w:val="24"/>
          <w:szCs w:val="24"/>
        </w:rPr>
      </w:pPr>
      <w:bookmarkStart w:id="77" w:name="_Toc148963315"/>
      <w:bookmarkStart w:id="78" w:name="_Toc123721235"/>
      <w:r>
        <w:rPr>
          <w:rFonts w:hint="eastAsia" w:ascii="宋体" w:hAnsi="宋体"/>
          <w:color w:val="000000" w:themeColor="text1"/>
          <w:sz w:val="24"/>
          <w:szCs w:val="24"/>
        </w:rPr>
        <w:t>四、采购终止</w:t>
      </w:r>
      <w:bookmarkEnd w:id="77"/>
      <w:bookmarkEnd w:id="78"/>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（一）因情况变化，不再符合规定的竞争性磋商采购方式适用情形的；</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（二）出现影响采购公正的违法、违规行为的；</w:t>
      </w:r>
    </w:p>
    <w:p>
      <w:pPr>
        <w:snapToGrid w:val="0"/>
        <w:spacing w:line="360" w:lineRule="auto"/>
        <w:ind w:firstLine="465"/>
        <w:rPr>
          <w:rFonts w:ascii="宋体" w:hAnsi="宋体"/>
          <w:color w:val="000000" w:themeColor="text1"/>
          <w:sz w:val="24"/>
          <w:szCs w:val="24"/>
        </w:rPr>
      </w:pPr>
      <w:r>
        <w:rPr>
          <w:rFonts w:hint="eastAsia" w:ascii="宋体" w:hAnsi="宋体"/>
          <w:color w:val="000000" w:themeColor="text1"/>
          <w:sz w:val="24"/>
          <w:szCs w:val="24"/>
        </w:rPr>
        <w:t>（三）在采购过程中符合要求的供应商不足3家的，但《政府采购竞争性磋商采购方式管理暂行办法》第二十一条第三款及《财政部关于政府采购竞争性磋商采购方式管理暂行办法有关问题的补充通知》规定的情形除外。</w:t>
      </w:r>
    </w:p>
    <w:p>
      <w:pPr>
        <w:snapToGrid w:val="0"/>
        <w:spacing w:line="360" w:lineRule="auto"/>
        <w:ind w:firstLine="465"/>
        <w:rPr>
          <w:rFonts w:ascii="宋体" w:hAnsi="宋体"/>
          <w:color w:val="000000" w:themeColor="text1"/>
          <w:sz w:val="24"/>
          <w:szCs w:val="24"/>
        </w:rPr>
      </w:pPr>
    </w:p>
    <w:p>
      <w:pPr>
        <w:spacing w:line="360" w:lineRule="auto"/>
        <w:ind w:firstLine="480" w:firstLineChars="200"/>
        <w:rPr>
          <w:rFonts w:ascii="宋体" w:hAnsi="宋体"/>
          <w:color w:val="000000" w:themeColor="text1"/>
          <w:sz w:val="24"/>
          <w:szCs w:val="24"/>
        </w:rPr>
        <w:sectPr>
          <w:footerReference r:id="rId9" w:type="default"/>
          <w:footerReference r:id="rId10"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hAnsi="宋体" w:eastAsia="宋体"/>
          <w:color w:val="000000" w:themeColor="text1"/>
          <w:sz w:val="36"/>
          <w:szCs w:val="30"/>
        </w:rPr>
      </w:pPr>
      <w:bookmarkStart w:id="79" w:name="_Toc102227313"/>
      <w:bookmarkStart w:id="80" w:name="_Toc148963316"/>
      <w:r>
        <w:rPr>
          <w:rFonts w:hint="eastAsia" w:ascii="宋体" w:hAnsi="宋体" w:eastAsia="宋体"/>
          <w:color w:val="000000" w:themeColor="text1"/>
          <w:sz w:val="36"/>
          <w:szCs w:val="30"/>
        </w:rPr>
        <w:t>第五篇  供应商须知</w:t>
      </w:r>
      <w:bookmarkEnd w:id="79"/>
      <w:bookmarkEnd w:id="80"/>
    </w:p>
    <w:p>
      <w:pPr>
        <w:pStyle w:val="6"/>
        <w:spacing w:before="0" w:after="0" w:line="360" w:lineRule="auto"/>
        <w:ind w:firstLine="482" w:firstLineChars="200"/>
        <w:rPr>
          <w:rFonts w:ascii="宋体" w:hAnsi="宋体"/>
          <w:color w:val="000000" w:themeColor="text1"/>
          <w:sz w:val="24"/>
          <w:szCs w:val="24"/>
        </w:rPr>
      </w:pPr>
      <w:bookmarkStart w:id="81" w:name="_Toc148963317"/>
      <w:bookmarkStart w:id="82" w:name="_Toc342913389"/>
      <w:r>
        <w:rPr>
          <w:rFonts w:hint="eastAsia" w:ascii="宋体" w:hAnsi="宋体"/>
          <w:color w:val="000000" w:themeColor="text1"/>
          <w:sz w:val="24"/>
          <w:szCs w:val="24"/>
        </w:rPr>
        <w:t>一、磋商费用</w:t>
      </w:r>
      <w:bookmarkEnd w:id="81"/>
      <w:bookmarkEnd w:id="82"/>
    </w:p>
    <w:p>
      <w:pPr>
        <w:pStyle w:val="254"/>
        <w:spacing w:line="360" w:lineRule="auto"/>
        <w:ind w:firstLine="480" w:firstLineChars="200"/>
        <w:rPr>
          <w:rFonts w:hAnsi="宋体"/>
          <w:color w:val="000000" w:themeColor="text1"/>
          <w:sz w:val="24"/>
          <w:szCs w:val="24"/>
        </w:rPr>
      </w:pPr>
      <w:r>
        <w:rPr>
          <w:rFonts w:hint="eastAsia" w:hAnsi="宋体"/>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color w:val="000000" w:themeColor="text1"/>
          <w:sz w:val="24"/>
          <w:szCs w:val="24"/>
        </w:rPr>
      </w:pPr>
      <w:bookmarkStart w:id="83" w:name="_Toc148963318"/>
      <w:bookmarkStart w:id="84" w:name="_Toc342913391"/>
      <w:r>
        <w:rPr>
          <w:rFonts w:hint="eastAsia" w:ascii="宋体" w:hAnsi="宋体"/>
          <w:color w:val="000000" w:themeColor="text1"/>
          <w:sz w:val="24"/>
          <w:szCs w:val="24"/>
        </w:rPr>
        <w:t>二、竞争性磋商文件</w:t>
      </w:r>
      <w:bookmarkEnd w:id="83"/>
      <w:bookmarkEnd w:id="84"/>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（三）竞争性磋商文件的解释</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5" w:name="_Toc318159780"/>
      <w:bookmarkStart w:id="86" w:name="_Toc318159160"/>
      <w:bookmarkStart w:id="87" w:name="_Toc318166429"/>
      <w:bookmarkStart w:id="88" w:name="_Toc318159349"/>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（五）评审的依据为竞争性磋商文件和响应文件（含有效的书面承诺）。磋商小组判断响应文件对竞争性磋商文件的响应，仅基于响应文件本身而不靠外部证据。</w:t>
      </w:r>
    </w:p>
    <w:bookmarkEnd w:id="85"/>
    <w:bookmarkEnd w:id="86"/>
    <w:bookmarkEnd w:id="87"/>
    <w:bookmarkEnd w:id="88"/>
    <w:p>
      <w:pPr>
        <w:pStyle w:val="6"/>
        <w:spacing w:before="0" w:after="0" w:line="360" w:lineRule="auto"/>
        <w:ind w:firstLine="482" w:firstLineChars="200"/>
        <w:rPr>
          <w:rFonts w:ascii="宋体" w:hAnsi="宋体"/>
          <w:color w:val="000000" w:themeColor="text1"/>
          <w:sz w:val="24"/>
          <w:szCs w:val="24"/>
        </w:rPr>
      </w:pPr>
      <w:bookmarkStart w:id="89" w:name="_Toc342913392"/>
      <w:bookmarkStart w:id="90" w:name="_Toc102227318"/>
      <w:bookmarkStart w:id="91" w:name="_Toc148963319"/>
      <w:bookmarkStart w:id="92" w:name="_Toc179714297"/>
      <w:r>
        <w:rPr>
          <w:rFonts w:hint="eastAsia" w:ascii="宋体" w:hAnsi="宋体"/>
          <w:color w:val="000000" w:themeColor="text1"/>
          <w:sz w:val="24"/>
          <w:szCs w:val="24"/>
        </w:rPr>
        <w:t>三、磋商要求</w:t>
      </w:r>
      <w:bookmarkEnd w:id="89"/>
      <w:bookmarkEnd w:id="90"/>
      <w:bookmarkEnd w:id="91"/>
      <w:bookmarkEnd w:id="92"/>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（一）响应文件</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2.响应文件组成</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（二）联合体</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本项目不接受联合体磋商。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（三）磋商有效期：响应文件及有关承诺文件有效期为提交响应文件截止时间起90天。</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（四）磋商保证金：</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1.供应商提交保证金金额和方式详见本文件第一篇“五、磋商保证金”；</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2.发生以下情况之一者，磋商保证金不予退还：</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2.1 供应商在提交响应文件截止时间后撤回响应文件的；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2.2 供应商在响应文件中提供虚假材料的；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2.3 除因不可抗力或竞争性磋商文件认可的情形以外，成交供应商不与采购人签订合同的；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2.4 供应商与采购人、其他供应商或者采购代理机构恶意串通的；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（四）提交响应文件的份数和签署</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w:t>
      </w:r>
      <w:r>
        <w:rPr>
          <w:rFonts w:hint="eastAsia" w:ascii="宋体" w:hAnsi="宋体"/>
          <w:color w:val="000000" w:themeColor="text1"/>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（五）响应文件的递交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1.响应文件的密封与标记</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响应文件的装订形式为</w:t>
      </w:r>
      <w:r>
        <w:rPr>
          <w:rFonts w:hint="eastAsia" w:ascii="宋体" w:hAnsi="宋体"/>
          <w:b/>
          <w:color w:val="000000" w:themeColor="text1"/>
          <w:sz w:val="24"/>
          <w:szCs w:val="24"/>
        </w:rPr>
        <w:t>胶装</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2.响应文件递交截止时间：参阅采购邀请书。</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3.响应文件语言：简体中文</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（六）供应商参与人员</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hAnsi="宋体"/>
          <w:color w:val="000000" w:themeColor="text1"/>
          <w:sz w:val="24"/>
          <w:szCs w:val="24"/>
        </w:rPr>
      </w:pPr>
      <w:bookmarkStart w:id="93" w:name="_Toc148963320"/>
      <w:r>
        <w:rPr>
          <w:rFonts w:hint="eastAsia" w:ascii="宋体" w:hAnsi="宋体"/>
          <w:color w:val="000000" w:themeColor="text1"/>
          <w:sz w:val="24"/>
          <w:szCs w:val="24"/>
        </w:rPr>
        <w:t>四、成交供应商的确认和变更</w:t>
      </w:r>
      <w:bookmarkEnd w:id="93"/>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（一）成交供应商的确认</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采购代理机构应当在评审结束后2个工作日内将评审报告送采购人确认。采购人应当在收到评审报告后5个工作日内</w:t>
      </w:r>
      <w:r>
        <w:rPr>
          <w:rFonts w:hint="eastAsia" w:ascii="宋体" w:hAnsi="宋体"/>
          <w:color w:val="000000" w:themeColor="text1"/>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（二）成交供应商的变更</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color w:val="000000" w:themeColor="text1"/>
          <w:sz w:val="24"/>
          <w:szCs w:val="24"/>
        </w:rPr>
      </w:pPr>
      <w:bookmarkStart w:id="94" w:name="_Toc342913395"/>
      <w:bookmarkStart w:id="95" w:name="_Toc102227321"/>
      <w:bookmarkStart w:id="96" w:name="_Toc148963321"/>
      <w:r>
        <w:rPr>
          <w:rFonts w:hint="eastAsia" w:ascii="宋体" w:hAnsi="宋体"/>
          <w:color w:val="000000" w:themeColor="text1"/>
          <w:sz w:val="24"/>
          <w:szCs w:val="24"/>
        </w:rPr>
        <w:t>五、成交通知</w:t>
      </w:r>
      <w:bookmarkEnd w:id="94"/>
      <w:bookmarkEnd w:id="95"/>
      <w:bookmarkEnd w:id="96"/>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（一）成交供应商确定后，采购代理机构将在重庆市交通局官方网站（http://jtj.cq.gov.cn/）发布成交结果公告。</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（三）《成交通知书》将作为签订合同的依据。</w:t>
      </w:r>
    </w:p>
    <w:p>
      <w:pPr>
        <w:spacing w:line="360" w:lineRule="auto"/>
        <w:ind w:firstLine="480" w:firstLineChars="200"/>
        <w:rPr>
          <w:rFonts w:ascii="宋体" w:hAnsi="宋体"/>
          <w:color w:val="000000" w:themeColor="text1"/>
        </w:rPr>
      </w:pPr>
      <w:r>
        <w:rPr>
          <w:rFonts w:hint="eastAsia" w:ascii="宋体" w:hAnsi="宋体"/>
          <w:color w:val="000000" w:themeColor="text1"/>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color w:val="000000" w:themeColor="text1"/>
          <w:sz w:val="24"/>
          <w:szCs w:val="24"/>
        </w:rPr>
      </w:pPr>
      <w:bookmarkStart w:id="97" w:name="_Toc148963322"/>
      <w:r>
        <w:rPr>
          <w:rFonts w:hint="eastAsia" w:ascii="宋体" w:hAnsi="宋体"/>
          <w:color w:val="000000" w:themeColor="text1"/>
          <w:sz w:val="24"/>
          <w:szCs w:val="24"/>
        </w:rPr>
        <w:t>六、关于质疑和投诉</w:t>
      </w:r>
      <w:bookmarkEnd w:id="97"/>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（一）质疑</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供应商认为磋商文件、采购过程和成交结果使自己的权益收到伤害的，可向采购人或采购代理机构以书面形式提出质疑。</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提出质疑的应当是参与所质疑项目采购活动的供应商。</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1.质疑内容、时限</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1.2 供应商提出质疑应当提交质疑函和必要的证明材料，质疑函应当包括下列内容：</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（1）供应商的姓名或者名称、地址、邮编、联系人及联系电话；</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（2）质疑项目的名称、项目号以及招标项目编号；</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（3）具体、明确的质疑事项和与质疑事项相关的请求；</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（4）事实依据；</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（5）必要的法律依据；</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（6）提出质疑的日期；</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2.质疑答复</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3.其他</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3.2 质疑函范本可在财政部门户网站和中国政府采购网下载。</w:t>
      </w:r>
    </w:p>
    <w:p>
      <w:pPr>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（二）投诉</w:t>
      </w:r>
    </w:p>
    <w:p>
      <w:pPr>
        <w:spacing w:line="360" w:lineRule="auto"/>
        <w:ind w:firstLine="57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供应商对采购人、采购代理机构的答复不满意，或者采购人、采购代理机构未在规定时间内作出答复的，可以在答复期满后</w:t>
      </w:r>
      <w:r>
        <w:rPr>
          <w:rFonts w:ascii="宋体" w:hAnsi="宋体"/>
          <w:color w:val="000000" w:themeColor="text1"/>
          <w:sz w:val="24"/>
          <w:szCs w:val="24"/>
        </w:rPr>
        <w:t>15</w:t>
      </w:r>
      <w:r>
        <w:rPr>
          <w:rFonts w:hint="eastAsia" w:ascii="宋体" w:hAnsi="宋体"/>
          <w:color w:val="000000" w:themeColor="text1"/>
          <w:sz w:val="24"/>
          <w:szCs w:val="24"/>
        </w:rPr>
        <w:t>个工作日内按照相关法律法规向财政部门提起投诉。</w:t>
      </w:r>
    </w:p>
    <w:p>
      <w:pPr>
        <w:spacing w:line="360" w:lineRule="auto"/>
        <w:ind w:firstLine="57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供应商应按照《政府采购质疑和投诉办法》（财政部令第</w:t>
      </w:r>
      <w:r>
        <w:rPr>
          <w:rFonts w:ascii="宋体" w:hAnsi="宋体"/>
          <w:color w:val="000000" w:themeColor="text1"/>
          <w:sz w:val="24"/>
          <w:szCs w:val="24"/>
        </w:rPr>
        <w:t>94</w:t>
      </w:r>
      <w:r>
        <w:rPr>
          <w:rFonts w:hint="eastAsia" w:ascii="宋体" w:hAnsi="宋体"/>
          <w:color w:val="000000" w:themeColor="text1"/>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在确定受理投诉后，财政部门自受理投诉之日起</w:t>
      </w:r>
      <w:r>
        <w:rPr>
          <w:rFonts w:ascii="宋体" w:hAnsi="宋体"/>
          <w:color w:val="000000" w:themeColor="text1"/>
          <w:sz w:val="24"/>
          <w:szCs w:val="24"/>
        </w:rPr>
        <w:t>30</w:t>
      </w:r>
      <w:r>
        <w:rPr>
          <w:rFonts w:hint="eastAsia" w:ascii="宋体" w:hAnsi="宋体"/>
          <w:color w:val="000000" w:themeColor="text1"/>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color w:val="000000" w:themeColor="text1"/>
          <w:sz w:val="24"/>
          <w:szCs w:val="24"/>
        </w:rPr>
      </w:pPr>
      <w:bookmarkStart w:id="98" w:name="_Toc148963323"/>
      <w:r>
        <w:rPr>
          <w:rFonts w:hint="eastAsia" w:ascii="宋体" w:hAnsi="宋体"/>
          <w:color w:val="000000" w:themeColor="text1"/>
          <w:sz w:val="24"/>
          <w:szCs w:val="24"/>
        </w:rPr>
        <w:t>七、采购代理服务费</w:t>
      </w:r>
      <w:bookmarkEnd w:id="98"/>
    </w:p>
    <w:p>
      <w:pPr>
        <w:spacing w:line="360" w:lineRule="auto"/>
        <w:ind w:firstLine="480" w:firstLineChars="200"/>
        <w:rPr>
          <w:rFonts w:ascii="宋体" w:hAnsi="宋体"/>
          <w:color w:val="000000" w:themeColor="text1"/>
          <w:sz w:val="24"/>
          <w:szCs w:val="24"/>
        </w:rPr>
      </w:pPr>
      <w:bookmarkStart w:id="99" w:name="OLE_LINK7"/>
      <w:bookmarkStart w:id="100" w:name="OLE_LINK8"/>
      <w:r>
        <w:rPr>
          <w:rFonts w:hint="eastAsia" w:ascii="宋体" w:hAnsi="宋体"/>
          <w:color w:val="000000" w:themeColor="text1"/>
          <w:sz w:val="24"/>
          <w:szCs w:val="24"/>
        </w:rPr>
        <w:t>（一）本项目采购代理费用按固定金额陆仟元包干计取。由成交人在领取成交通知书前一次性向采购代理机构支付。</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（二）采购代理服务费缴纳账号：</w:t>
      </w:r>
    </w:p>
    <w:bookmarkEnd w:id="99"/>
    <w:bookmarkEnd w:id="100"/>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户  名：重庆荣奕工程管理有限公司</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开户行：重庆银行大坪支行</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账  号：300101040010277</w:t>
      </w:r>
    </w:p>
    <w:p>
      <w:pPr>
        <w:pStyle w:val="6"/>
        <w:spacing w:before="0" w:after="0" w:line="360" w:lineRule="auto"/>
        <w:ind w:firstLine="482" w:firstLineChars="200"/>
        <w:rPr>
          <w:rFonts w:ascii="宋体" w:hAnsi="宋体"/>
          <w:color w:val="000000" w:themeColor="text1"/>
          <w:sz w:val="24"/>
          <w:szCs w:val="24"/>
        </w:rPr>
      </w:pPr>
      <w:bookmarkStart w:id="101" w:name="_Toc102227322"/>
      <w:bookmarkStart w:id="102" w:name="_Toc148963324"/>
      <w:bookmarkStart w:id="103" w:name="_Toc342913396"/>
      <w:bookmarkStart w:id="104" w:name="_Toc12789059"/>
      <w:bookmarkStart w:id="105" w:name="_Toc11641055"/>
      <w:r>
        <w:rPr>
          <w:rFonts w:hint="eastAsia" w:ascii="宋体" w:hAnsi="宋体"/>
          <w:color w:val="000000" w:themeColor="text1"/>
          <w:sz w:val="24"/>
          <w:szCs w:val="24"/>
        </w:rPr>
        <w:t>八、签订</w:t>
      </w:r>
      <w:bookmarkEnd w:id="101"/>
      <w:r>
        <w:rPr>
          <w:rFonts w:hint="eastAsia" w:ascii="宋体" w:hAnsi="宋体"/>
          <w:color w:val="000000" w:themeColor="text1"/>
          <w:sz w:val="24"/>
          <w:szCs w:val="24"/>
        </w:rPr>
        <w:t>合同</w:t>
      </w:r>
      <w:bookmarkEnd w:id="102"/>
      <w:bookmarkEnd w:id="103"/>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（二）竞争性磋商文件、成交供应商的响应文件及有效承诺文件等，均为签订合同的依据。</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themeColor="text1"/>
          <w:sz w:val="36"/>
          <w:szCs w:val="30"/>
        </w:rPr>
      </w:pPr>
      <w:bookmarkStart w:id="106" w:name="_Toc148963325"/>
      <w:r>
        <w:rPr>
          <w:rFonts w:hint="eastAsia" w:ascii="宋体" w:hAnsi="宋体" w:eastAsia="宋体"/>
          <w:color w:val="000000" w:themeColor="text1"/>
          <w:sz w:val="36"/>
          <w:szCs w:val="30"/>
        </w:rPr>
        <w:t xml:space="preserve">第六篇  </w:t>
      </w:r>
      <w:bookmarkEnd w:id="104"/>
      <w:bookmarkEnd w:id="105"/>
      <w:bookmarkEnd w:id="106"/>
      <w:r>
        <w:rPr>
          <w:rFonts w:hint="eastAsia" w:ascii="宋体" w:hAnsi="宋体" w:eastAsia="宋体"/>
          <w:color w:val="000000" w:themeColor="text1"/>
          <w:sz w:val="36"/>
          <w:szCs w:val="30"/>
        </w:rPr>
        <w:t>合同草案条款</w:t>
      </w:r>
    </w:p>
    <w:p>
      <w:pPr>
        <w:snapToGrid w:val="0"/>
        <w:spacing w:line="380" w:lineRule="exact"/>
        <w:ind w:firstLine="600" w:firstLineChars="250"/>
        <w:outlineLvl w:val="0"/>
        <w:rPr>
          <w:rFonts w:ascii="宋体" w:hAnsi="宋体" w:cs="宋体"/>
          <w:color w:val="000000" w:themeColor="text1"/>
          <w:sz w:val="24"/>
          <w:szCs w:val="24"/>
        </w:rPr>
      </w:pPr>
      <w:bookmarkStart w:id="107" w:name="_Hlt41879464"/>
      <w:bookmarkEnd w:id="107"/>
      <w:bookmarkStart w:id="108" w:name="_Toc23764521"/>
      <w:r>
        <w:rPr>
          <w:rFonts w:hint="eastAsia" w:ascii="宋体" w:hAnsi="宋体" w:cs="宋体"/>
          <w:color w:val="000000" w:themeColor="text1"/>
          <w:sz w:val="24"/>
          <w:szCs w:val="24"/>
        </w:rPr>
        <w:t>1、定义</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1.1甲方（需方）即采购人，是指通过竞争性磋商采购，接受合同货物及服务的各级国家机关、事业单位和团体组织。</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1.2乙方（供方）即成交供应商，是指成交后提供合同货物和服务的自然人、法人及其他组织。</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1.3合同是指由甲乙双方按照竞争性磋商文件和响应文件的实质性内容，通过协商一致达成的书面协议。</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1.4合同价格指以成交价格为依据，在供方全面履行合同义务后，需方（或财政部门）应支付给供方的金额。</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1.5技术资料是指合同货物及其相关的设计、制造、监造、检验、验收等文件（包括图纸、各种文字说明、标准）。</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2、货物内容（合同内容）</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合同包括以下内容：货物名称、型号规格、技术参数、数量（单位）等内容。</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3、合同价格</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3.1合同价格即合同总价。</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3.3合同货物单价为不变价。</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4、转包</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4.1本合同范围的货物，应由乙方直接供应，不得转让他人供应；</w:t>
      </w:r>
    </w:p>
    <w:p>
      <w:pPr>
        <w:snapToGrid w:val="0"/>
        <w:spacing w:line="380" w:lineRule="exact"/>
        <w:ind w:firstLine="600" w:firstLineChars="250"/>
        <w:outlineLvl w:val="0"/>
        <w:rPr>
          <w:rFonts w:ascii="宋体" w:hAnsi="宋体" w:cs="宋体"/>
          <w:color w:val="000000" w:themeColor="text1"/>
          <w:sz w:val="24"/>
          <w:szCs w:val="24"/>
        </w:rPr>
      </w:pPr>
      <w:r>
        <w:rPr>
          <w:rFonts w:hint="eastAsia" w:ascii="宋体" w:hAnsi="宋体" w:cs="宋体"/>
          <w:color w:val="000000" w:themeColor="text1"/>
          <w:sz w:val="24"/>
          <w:szCs w:val="24"/>
        </w:rPr>
        <w:t>4.2如有转让行为，甲方有权解除合同，没收履约保证金并追究乙方的违约责任。</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5、质量保证及售后服务</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5.1乙方应按竞争性磋商文件规定的货物性能、技术要求、质量标准向甲方提供未经使用的全新产品。</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5.2.1更换：由乙方承担所发生的全部费用。</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5.2.2贬值处理：由甲乙双方合议定价。</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5.3 如在使用过程中发生质量问题，乙方应同本项目“第三篇  采购商务需求”对质量保证及售后服务内容的约定。</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5.4在质保期内，乙方应对货物出现的质量及安全问题负责处理解决并承担一切费用。</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6、付款</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6.1本合同使用货币币制如未作特别说明均为人民币。</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6.2付款方式：银行转账、现金支票。</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6.3付款方法：同本项目“第三篇  采购商务需求”中关于付款方式的约定。</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7、检查验收</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7.1供方应随货物提供合格证和质量证明文件，如是国外进口的货物还须提供入关证明。</w:t>
      </w:r>
    </w:p>
    <w:p>
      <w:pPr>
        <w:adjustRightInd w:val="0"/>
        <w:snapToGrid w:val="0"/>
        <w:spacing w:line="380" w:lineRule="exact"/>
        <w:ind w:firstLine="600" w:firstLineChars="250"/>
        <w:rPr>
          <w:rFonts w:ascii="宋体" w:hAnsi="宋体" w:cs="宋体"/>
          <w:color w:val="000000" w:themeColor="text1"/>
          <w:sz w:val="24"/>
          <w:szCs w:val="24"/>
        </w:rPr>
      </w:pPr>
      <w:r>
        <w:rPr>
          <w:rFonts w:hint="eastAsia" w:ascii="宋体" w:hAnsi="宋体" w:cs="宋体"/>
          <w:color w:val="000000" w:themeColor="text1"/>
          <w:sz w:val="24"/>
          <w:szCs w:val="24"/>
        </w:rPr>
        <w:t>7.2货物验收</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7.3货物验收报告应由需方、供方经办人签字，并加盖双方公章，以此作为支付凭据。</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8、索赔</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8.2根据货物的疵劣和受损程度以及需方遭受损失的金额，经双方同意降低货物价格。</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9、知识产权</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9.1甲方在中华人民共和国境内使用乙方提供的货物及服务时免受第三方提出的侵犯其专利权或其它知识产权的起诉。如果第三方提出侵权指控，乙方承担由此而引起的一切法律责任和费用。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9.2若涉及软件开发等服务类项目知识产权的，知识产权归采购人所有。</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10、合同争议的解决</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10.1当事人友好协商达成一致</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10.2在60天内当事人协商不能达成协议的，双方可向甲方所在地人民法院提起诉讼。</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11、违约责任</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按《中华人民共和国民法典》、《中华人民共和国政府采购法》有关条款，或由供需双方约定。</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12、合同生效及其它</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12.1合同生效及其效力应符合《中华人民共和国民法典》有关规定。</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12.2合同应经当事人法定代表人或委托代理人签字，加盖双方合同专用章或公章。</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12.3合同所包括附件，是合同不可分割的一部分，具有同等</w:t>
      </w:r>
      <w:bookmarkStart w:id="147" w:name="_GoBack"/>
      <w:bookmarkEnd w:id="147"/>
      <w:r>
        <w:rPr>
          <w:rFonts w:hint="eastAsia" w:ascii="宋体" w:hAnsi="宋体" w:cs="宋体"/>
          <w:color w:val="000000" w:themeColor="text1"/>
          <w:sz w:val="24"/>
          <w:szCs w:val="24"/>
        </w:rPr>
        <w:t>法律效力。</w:t>
      </w:r>
    </w:p>
    <w:p>
      <w:pPr>
        <w:snapToGrid w:val="0"/>
        <w:spacing w:line="380" w:lineRule="exact"/>
        <w:ind w:firstLine="480" w:firstLineChars="200"/>
        <w:outlineLvl w:val="0"/>
        <w:rPr>
          <w:rFonts w:ascii="宋体" w:hAnsi="宋体" w:cs="宋体"/>
          <w:color w:val="000000" w:themeColor="text1"/>
          <w:sz w:val="24"/>
          <w:szCs w:val="24"/>
        </w:rPr>
      </w:pPr>
      <w:r>
        <w:rPr>
          <w:rFonts w:hint="eastAsia" w:ascii="宋体" w:hAnsi="宋体" w:cs="宋体"/>
          <w:color w:val="000000" w:themeColor="text1"/>
          <w:sz w:val="24"/>
          <w:szCs w:val="24"/>
        </w:rPr>
        <w:t>12.4合同需提供担保的，按《中华人民共和国民法典》规定执行。</w:t>
      </w:r>
    </w:p>
    <w:p>
      <w:pPr>
        <w:snapToGrid w:val="0"/>
        <w:spacing w:line="3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12.5本合同条件未尽事宜依照《中华人民共和国民法典》，由供需双方共同协商确定。</w:t>
      </w:r>
    </w:p>
    <w:p>
      <w:pPr>
        <w:widowControl/>
        <w:jc w:val="left"/>
        <w:rPr>
          <w:rFonts w:ascii="宋体" w:hAnsi="宋体" w:cs="宋体"/>
          <w:color w:val="000000" w:themeColor="text1"/>
          <w:sz w:val="24"/>
          <w:szCs w:val="24"/>
        </w:rPr>
        <w:sectPr>
          <w:pgSz w:w="11907" w:h="16840"/>
          <w:pgMar w:top="1134" w:right="1191" w:bottom="1134" w:left="1304" w:header="720" w:footer="720" w:gutter="0"/>
          <w:pgNumType w:fmt="numberInDash"/>
          <w:cols w:space="720" w:num="1"/>
          <w:docGrid w:type="lines" w:linePitch="312" w:charSpace="0"/>
        </w:sectPr>
      </w:pP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附页：1、合同格式</w:t>
      </w:r>
    </w:p>
    <w:p>
      <w:pPr>
        <w:spacing w:line="360" w:lineRule="auto"/>
        <w:rPr>
          <w:rFonts w:ascii="宋体" w:hAnsi="宋体" w:cs="宋体"/>
          <w:color w:val="000000" w:themeColor="text1"/>
          <w:sz w:val="24"/>
          <w:szCs w:val="24"/>
        </w:rPr>
      </w:pPr>
    </w:p>
    <w:p>
      <w:pPr>
        <w:spacing w:line="360" w:lineRule="auto"/>
        <w:rPr>
          <w:rFonts w:ascii="宋体" w:hAnsi="宋体" w:cs="宋体"/>
          <w:b/>
          <w:bCs/>
          <w:color w:val="000000" w:themeColor="text1"/>
        </w:rPr>
      </w:pPr>
      <w:r>
        <w:rPr>
          <w:rFonts w:hint="eastAsia" w:ascii="宋体" w:hAnsi="宋体" w:cs="宋体"/>
          <w:b/>
          <w:bCs/>
          <w:color w:val="000000" w:themeColor="text1"/>
        </w:rPr>
        <w:t>项目名称：“政务·渝运安”应用资金计划报告及应用开发方案编制服务</w:t>
      </w:r>
    </w:p>
    <w:p>
      <w:pPr>
        <w:spacing w:line="360" w:lineRule="auto"/>
        <w:rPr>
          <w:rFonts w:ascii="宋体" w:hAnsi="宋体" w:cs="宋体"/>
          <w:b/>
          <w:bCs/>
          <w:color w:val="000000" w:themeColor="text1"/>
        </w:rPr>
      </w:pPr>
      <w:r>
        <w:rPr>
          <w:rFonts w:hint="eastAsia" w:ascii="宋体" w:hAnsi="宋体" w:cs="宋体"/>
          <w:b/>
          <w:bCs/>
          <w:color w:val="000000" w:themeColor="text1"/>
        </w:rPr>
        <w:t>项 目 号：</w:t>
      </w:r>
    </w:p>
    <w:p>
      <w:pPr>
        <w:spacing w:line="360" w:lineRule="auto"/>
        <w:rPr>
          <w:rFonts w:ascii="宋体" w:hAnsi="宋体" w:cs="宋体"/>
          <w:b/>
          <w:bCs/>
          <w:color w:val="000000" w:themeColor="text1"/>
        </w:rPr>
      </w:pPr>
      <w:r>
        <w:rPr>
          <w:rFonts w:hint="eastAsia" w:ascii="宋体" w:hAnsi="宋体" w:cs="宋体"/>
          <w:b/>
          <w:bCs/>
          <w:color w:val="000000" w:themeColor="text1"/>
        </w:rPr>
        <w:t>合同编号：</w:t>
      </w:r>
    </w:p>
    <w:p>
      <w:pPr>
        <w:spacing w:line="360" w:lineRule="auto"/>
        <w:jc w:val="left"/>
        <w:rPr>
          <w:rFonts w:ascii="宋体" w:hAnsi="宋体" w:cs="宋体"/>
          <w:b/>
          <w:bCs/>
          <w:color w:val="000000" w:themeColor="text1"/>
        </w:rPr>
      </w:pPr>
    </w:p>
    <w:p>
      <w:pPr>
        <w:spacing w:line="360" w:lineRule="auto"/>
        <w:jc w:val="left"/>
        <w:rPr>
          <w:rFonts w:ascii="宋体" w:hAnsi="宋体" w:cs="宋体"/>
          <w:b/>
          <w:bCs/>
          <w:color w:val="000000" w:themeColor="text1"/>
        </w:rPr>
      </w:pPr>
    </w:p>
    <w:p>
      <w:pPr>
        <w:spacing w:line="360" w:lineRule="auto"/>
        <w:jc w:val="left"/>
        <w:rPr>
          <w:rFonts w:ascii="宋体" w:hAnsi="宋体" w:cs="宋体"/>
          <w:b/>
          <w:bCs/>
          <w:color w:val="000000" w:themeColor="text1"/>
        </w:rPr>
      </w:pPr>
    </w:p>
    <w:p>
      <w:pPr>
        <w:spacing w:line="360" w:lineRule="auto"/>
        <w:jc w:val="left"/>
        <w:rPr>
          <w:rFonts w:ascii="宋体" w:hAnsi="宋体" w:cs="宋体"/>
          <w:b/>
          <w:bCs/>
          <w:color w:val="000000" w:themeColor="text1"/>
        </w:rPr>
      </w:pPr>
    </w:p>
    <w:p>
      <w:pPr>
        <w:spacing w:line="360" w:lineRule="auto"/>
        <w:jc w:val="left"/>
        <w:rPr>
          <w:rFonts w:ascii="宋体" w:hAnsi="宋体" w:cs="宋体"/>
          <w:b/>
          <w:bCs/>
          <w:color w:val="000000" w:themeColor="text1"/>
        </w:rPr>
      </w:pPr>
    </w:p>
    <w:p>
      <w:pPr>
        <w:spacing w:line="360" w:lineRule="auto"/>
        <w:jc w:val="left"/>
        <w:rPr>
          <w:rFonts w:ascii="宋体" w:hAnsi="宋体" w:cs="宋体"/>
          <w:b/>
          <w:bCs/>
          <w:color w:val="000000" w:themeColor="text1"/>
        </w:rPr>
      </w:pPr>
    </w:p>
    <w:p>
      <w:pPr>
        <w:spacing w:line="360" w:lineRule="auto"/>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服务合同</w:t>
      </w:r>
    </w:p>
    <w:p>
      <w:pPr>
        <w:spacing w:line="360" w:lineRule="auto"/>
        <w:jc w:val="center"/>
        <w:rPr>
          <w:rFonts w:ascii="宋体" w:hAnsi="宋体" w:cs="宋体"/>
          <w:b/>
          <w:bCs/>
          <w:color w:val="000000" w:themeColor="text1"/>
          <w:szCs w:val="28"/>
        </w:rPr>
      </w:pPr>
    </w:p>
    <w:p>
      <w:pPr>
        <w:spacing w:line="360" w:lineRule="auto"/>
        <w:jc w:val="center"/>
        <w:rPr>
          <w:rFonts w:ascii="宋体" w:hAnsi="宋体" w:cs="宋体"/>
          <w:b/>
          <w:bCs/>
          <w:color w:val="000000" w:themeColor="text1"/>
        </w:rPr>
      </w:pPr>
    </w:p>
    <w:p>
      <w:pPr>
        <w:spacing w:line="360" w:lineRule="auto"/>
        <w:jc w:val="center"/>
        <w:rPr>
          <w:rFonts w:ascii="宋体" w:hAnsi="宋体" w:cs="宋体"/>
          <w:b/>
          <w:bCs/>
          <w:color w:val="000000" w:themeColor="text1"/>
        </w:rPr>
      </w:pPr>
    </w:p>
    <w:p>
      <w:pPr>
        <w:spacing w:line="360" w:lineRule="auto"/>
        <w:jc w:val="center"/>
        <w:rPr>
          <w:rFonts w:ascii="宋体" w:hAnsi="宋体" w:cs="宋体"/>
          <w:b/>
          <w:bCs/>
          <w:color w:val="000000" w:themeColor="text1"/>
        </w:rPr>
      </w:pPr>
    </w:p>
    <w:p>
      <w:pPr>
        <w:spacing w:line="360" w:lineRule="auto"/>
        <w:jc w:val="center"/>
        <w:rPr>
          <w:rFonts w:ascii="宋体" w:hAnsi="宋体" w:cs="宋体"/>
          <w:b/>
          <w:bCs/>
          <w:color w:val="000000" w:themeColor="text1"/>
        </w:rPr>
      </w:pPr>
    </w:p>
    <w:p>
      <w:pPr>
        <w:spacing w:line="360" w:lineRule="auto"/>
        <w:jc w:val="center"/>
        <w:rPr>
          <w:rFonts w:ascii="宋体" w:hAnsi="宋体" w:cs="宋体"/>
          <w:b/>
          <w:bCs/>
          <w:color w:val="000000" w:themeColor="text1"/>
        </w:rPr>
      </w:pPr>
    </w:p>
    <w:p>
      <w:pPr>
        <w:spacing w:line="360" w:lineRule="auto"/>
        <w:rPr>
          <w:rFonts w:ascii="宋体" w:hAnsi="宋体" w:cs="宋体"/>
          <w:b/>
          <w:bCs/>
          <w:color w:val="000000" w:themeColor="text1"/>
        </w:rPr>
      </w:pPr>
    </w:p>
    <w:p>
      <w:pPr>
        <w:spacing w:line="360" w:lineRule="auto"/>
        <w:jc w:val="center"/>
        <w:rPr>
          <w:rFonts w:ascii="宋体" w:hAnsi="宋体" w:cs="宋体"/>
          <w:color w:val="000000" w:themeColor="text1"/>
        </w:rPr>
      </w:pPr>
    </w:p>
    <w:p>
      <w:pPr>
        <w:spacing w:line="360" w:lineRule="auto"/>
        <w:ind w:firstLine="829" w:firstLineChars="295"/>
        <w:rPr>
          <w:rFonts w:ascii="宋体" w:hAnsi="宋体" w:cs="宋体"/>
          <w:b/>
          <w:bCs/>
          <w:color w:val="000000" w:themeColor="text1"/>
        </w:rPr>
      </w:pPr>
      <w:r>
        <w:rPr>
          <w:rFonts w:hint="eastAsia" w:ascii="宋体" w:hAnsi="宋体" w:cs="宋体"/>
          <w:b/>
          <w:bCs/>
          <w:color w:val="000000" w:themeColor="text1"/>
        </w:rPr>
        <w:t>采购人（甲方）：重庆市交通局</w:t>
      </w:r>
    </w:p>
    <w:p>
      <w:pPr>
        <w:spacing w:line="360" w:lineRule="auto"/>
        <w:ind w:firstLine="829" w:firstLineChars="295"/>
        <w:rPr>
          <w:rFonts w:ascii="宋体" w:hAnsi="宋体" w:cs="宋体"/>
          <w:b/>
          <w:bCs/>
          <w:color w:val="000000" w:themeColor="text1"/>
        </w:rPr>
      </w:pPr>
      <w:r>
        <w:rPr>
          <w:rFonts w:hint="eastAsia" w:ascii="宋体" w:hAnsi="宋体" w:cs="宋体"/>
          <w:b/>
          <w:bCs/>
          <w:color w:val="000000" w:themeColor="text1"/>
        </w:rPr>
        <w:t xml:space="preserve">供应商（乙方）： </w:t>
      </w:r>
    </w:p>
    <w:p>
      <w:pPr>
        <w:widowControl/>
        <w:spacing w:line="360" w:lineRule="auto"/>
        <w:jc w:val="center"/>
        <w:rPr>
          <w:rFonts w:ascii="宋体" w:hAnsi="宋体" w:cs="宋体"/>
          <w:b/>
          <w:bCs/>
          <w:color w:val="000000" w:themeColor="text1"/>
        </w:rPr>
      </w:pPr>
      <w:r>
        <w:rPr>
          <w:rFonts w:hint="eastAsia" w:ascii="宋体" w:hAnsi="宋体" w:cs="宋体"/>
          <w:b/>
          <w:bCs/>
          <w:color w:val="000000" w:themeColor="text1"/>
        </w:rPr>
        <w:t>签订时间：     年   月   日</w:t>
      </w:r>
    </w:p>
    <w:p>
      <w:pPr>
        <w:widowControl/>
        <w:spacing w:line="360" w:lineRule="auto"/>
        <w:jc w:val="center"/>
        <w:rPr>
          <w:rFonts w:ascii="宋体" w:hAnsi="宋体" w:cs="宋体"/>
          <w:b/>
          <w:bCs/>
          <w:color w:val="000000" w:themeColor="text1"/>
        </w:rPr>
      </w:pPr>
    </w:p>
    <w:p>
      <w:pPr>
        <w:widowControl/>
        <w:spacing w:line="360" w:lineRule="auto"/>
        <w:jc w:val="center"/>
        <w:rPr>
          <w:rFonts w:ascii="宋体" w:hAnsi="宋体" w:cs="宋体"/>
          <w:b/>
          <w:bCs/>
          <w:color w:val="000000" w:themeColor="text1"/>
        </w:rPr>
      </w:pPr>
    </w:p>
    <w:p>
      <w:pPr>
        <w:widowControl/>
        <w:spacing w:line="360" w:lineRule="auto"/>
        <w:jc w:val="center"/>
        <w:rPr>
          <w:rFonts w:ascii="宋体" w:hAnsi="宋体" w:cs="宋体"/>
          <w:b/>
          <w:bCs/>
          <w:color w:val="000000" w:themeColor="text1"/>
        </w:rPr>
      </w:pP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甲方委托乙方承担</w:t>
      </w:r>
      <w:r>
        <w:rPr>
          <w:rFonts w:hint="eastAsia" w:ascii="宋体" w:hAnsi="宋体" w:cs="宋体"/>
          <w:color w:val="000000" w:themeColor="text1"/>
          <w:kern w:val="0"/>
          <w:sz w:val="24"/>
          <w:szCs w:val="24"/>
          <w:u w:val="single"/>
        </w:rPr>
        <w:t xml:space="preserve">“政务·渝运安”应用资金计划报告及应用开发方案编制服务 </w:t>
      </w:r>
      <w:r>
        <w:rPr>
          <w:rFonts w:hint="eastAsia" w:ascii="宋体" w:hAnsi="宋体" w:cs="宋体"/>
          <w:color w:val="000000" w:themeColor="text1"/>
          <w:kern w:val="0"/>
          <w:sz w:val="24"/>
          <w:szCs w:val="24"/>
        </w:rPr>
        <w:t>（以下简称“本项目”）的技术咨询工作，依据《中华人民共和国民法典》有关规定，经双方协商一致，签订本合同。</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第一条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工作内容、要求和提交成果的形式：</w:t>
      </w:r>
    </w:p>
    <w:p>
      <w:pPr>
        <w:snapToGrid w:val="0"/>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工作内容</w:t>
      </w:r>
      <w:r>
        <w:rPr>
          <w:rFonts w:hint="eastAsia" w:ascii="宋体" w:hAnsi="宋体" w:cs="宋体"/>
          <w:color w:val="000000" w:themeColor="text1"/>
          <w:sz w:val="24"/>
          <w:szCs w:val="24"/>
        </w:rPr>
        <w:t>：</w:t>
      </w:r>
    </w:p>
    <w:p>
      <w:pPr>
        <w:snapToGrid w:val="0"/>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1、应用资金计划报告编制主要内容及要求：</w:t>
      </w: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出已建部分和新增部分。描述应用与数字重庆“1361”的整体框架布局之间的关系。</w:t>
      </w:r>
    </w:p>
    <w:p>
      <w:pPr>
        <w:snapToGrid w:val="0"/>
        <w:spacing w:line="360" w:lineRule="auto"/>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注意事项：</w:t>
      </w:r>
      <w:r>
        <w:rPr>
          <w:rFonts w:hint="eastAsia" w:ascii="宋体" w:hAnsi="宋体" w:cs="宋体"/>
          <w:color w:val="000000" w:themeColor="text1"/>
          <w:sz w:val="24"/>
          <w:szCs w:val="24"/>
        </w:rPr>
        <w:t>根据重庆市主管部门编制要求动态调整，确保应用资金需求通过审核。</w:t>
      </w:r>
    </w:p>
    <w:p>
      <w:pPr>
        <w:snapToGrid w:val="0"/>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2、应用开发方案编制主要内容及要求：</w:t>
      </w: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包括应用开发目标、规模、内容、开发周期等。应用开发的必要性包括：</w:t>
      </w: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（1）从宏观形势、数字化发展、技术进步等发展形势说明本应用对履行单位职能、完成单位政务目标、业务目标的价值。</w:t>
      </w: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（2）结合需求与现状以及数字化应用开发目标，说明现有数字化条件与业务需求的差异、可能取得的效能提升等主要效益，从而分析论证应用开发的必要性。</w:t>
      </w:r>
    </w:p>
    <w:p>
      <w:pPr>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pPr>
        <w:spacing w:line="360" w:lineRule="auto"/>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注意事项：</w:t>
      </w:r>
      <w:r>
        <w:rPr>
          <w:rFonts w:hint="eastAsia" w:ascii="宋体" w:hAnsi="宋体" w:cs="宋体"/>
          <w:color w:val="000000" w:themeColor="text1"/>
          <w:sz w:val="24"/>
          <w:szCs w:val="24"/>
        </w:rPr>
        <w:t>根据重庆市主管部门编制要求动态调整，确保应用开发方案通过审核。。</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工作要求：</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1、工作进度根据甲方的需要和实际情况拟定;在工作过程中乙方应当遵守甲方拟定的工作进度计划和服务要求。</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2、本项目（分包）不得转让。</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乙方拟投入本项目的项目负责人及项目组成员应与投标时人员保持一致，在签订本合同时书面报送甲方备案，经甲方备案的人员不得随意更换，如遇特殊情况需更换人员的，须提前1个工作日向甲方提出书面申请，申请书征得甲方书面同意后才能更换。</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成果提交形式：</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按照相关规定及甲方实际需求提交。 </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第二条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履行地点、方式和期限：</w:t>
      </w:r>
    </w:p>
    <w:p>
      <w:pPr>
        <w:spacing w:line="360" w:lineRule="auto"/>
        <w:ind w:firstLine="482" w:firstLineChars="200"/>
        <w:rPr>
          <w:rStyle w:val="267"/>
          <w:rFonts w:ascii="宋体" w:hAnsi="宋体" w:cs="宋体"/>
          <w:color w:val="000000" w:themeColor="text1"/>
          <w:sz w:val="24"/>
          <w:szCs w:val="24"/>
        </w:rPr>
      </w:pPr>
      <w:r>
        <w:rPr>
          <w:rFonts w:hint="eastAsia" w:ascii="宋体" w:hAnsi="宋体" w:cs="宋体"/>
          <w:b/>
          <w:bCs/>
          <w:color w:val="000000" w:themeColor="text1"/>
          <w:sz w:val="24"/>
          <w:szCs w:val="24"/>
        </w:rPr>
        <w:t>履行地点：</w:t>
      </w:r>
      <w:r>
        <w:rPr>
          <w:rStyle w:val="267"/>
          <w:rFonts w:hint="eastAsia" w:ascii="宋体" w:hAnsi="宋体" w:cs="宋体"/>
          <w:color w:val="000000" w:themeColor="text1"/>
          <w:sz w:val="24"/>
          <w:szCs w:val="24"/>
        </w:rPr>
        <w:t>甲方同意或指定地点。</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履行方式与期限：</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kern w:val="0"/>
          <w:sz w:val="24"/>
          <w:szCs w:val="24"/>
        </w:rPr>
        <w:t>期</w:t>
      </w:r>
      <w:r>
        <w:rPr>
          <w:rFonts w:hint="eastAsia" w:ascii="宋体" w:hAnsi="宋体" w:cs="宋体"/>
          <w:color w:val="000000" w:themeColor="text1"/>
          <w:sz w:val="24"/>
          <w:szCs w:val="24"/>
        </w:rPr>
        <w:t>限：</w:t>
      </w:r>
      <w:r>
        <w:rPr>
          <w:rStyle w:val="267"/>
          <w:rFonts w:hint="eastAsia" w:ascii="宋体" w:hAnsi="宋体" w:cs="宋体"/>
          <w:color w:val="000000" w:themeColor="text1"/>
          <w:sz w:val="24"/>
          <w:szCs w:val="24"/>
        </w:rPr>
        <w:t>合同签订之日起15个日历天内提交《“政务·渝运安”应用资金计划报告》，60个工作日内完成《“政务·渝运安”应用开发方案》编制工作</w:t>
      </w:r>
      <w:r>
        <w:rPr>
          <w:rFonts w:hint="eastAsia" w:ascii="宋体" w:hAnsi="宋体" w:cs="宋体"/>
          <w:color w:val="000000" w:themeColor="text1"/>
          <w:sz w:val="24"/>
          <w:szCs w:val="24"/>
        </w:rPr>
        <w:t>。</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2、因特殊原因需延期的由双方友好协商。</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3、验收方式：</w:t>
      </w:r>
      <w:r>
        <w:rPr>
          <w:rStyle w:val="267"/>
          <w:rFonts w:hint="eastAsia" w:ascii="宋体" w:hAnsi="宋体" w:cs="宋体"/>
          <w:color w:val="000000" w:themeColor="text1"/>
          <w:sz w:val="24"/>
          <w:szCs w:val="24"/>
        </w:rPr>
        <w:t>乙方提供的《“政务·渝运安”应用开发方案》通过市大数据发展局、市委网信办、市委机要局、市财政局联合评审</w:t>
      </w:r>
      <w:r>
        <w:rPr>
          <w:rFonts w:hint="eastAsia" w:ascii="宋体" w:hAnsi="宋体" w:cs="宋体"/>
          <w:color w:val="000000" w:themeColor="text1"/>
          <w:sz w:val="24"/>
          <w:szCs w:val="24"/>
        </w:rPr>
        <w:t>。</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第三条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甲方的协作事项：</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甲方应配合乙方工作，及时、准确、有效地向乙方提供下列协作事项：</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1、提供或协助乙方收集与本项目有关的基础资料，在本项目调研过程中给予协助。</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2、在乙方提交本项目报告书初稿或送审稿后，及时组织征求专家意见或评审会议，在20日历天内清晰、明确地向乙方提交对本项目报告书初稿或送审稿的修改意见。</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3、按合同约定方式支付本项目报酬。</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第四条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技术情报和资料的保密：</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1、乙方对本项目相关文件资料要严格保密，本项目报告书的著作权归甲方所有，未经甲方允许，乙方不得向外转让、扩散。</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2、不论本合同是否变更、解除、终止，本条款长期有效。</w:t>
      </w:r>
    </w:p>
    <w:p>
      <w:pPr>
        <w:spacing w:line="360" w:lineRule="auto"/>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第五条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报酬及其支付方式：</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合同金额：</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合同金额（含税价）折扣率为%（大写：）,费用包干使用（含本合同约定工作内容的所有费用，包含但不限于调研费、编制费、印制费、会务费、专家评审费、税费等一切费用），由甲方支付给乙方。项目分2期付款，甲方付款前，乙方应提供等额法定的增值税发票，否则甲方有权拒付款项且不承担任何责任。对满足合同约定支付条件的，甲方原则上应在收到发票后5个工作日内按程序办理支付手续。</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支付方式：</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合同实际支付金额：按照国家《工程勘察设计收费管理规定》(计价格[2002]10号)、《重庆市工程建设中介服务收费管理实施办法》(渝价[2013]430号)等规定的收费标准作为合同支付基准价，合同支付金额根据供应商中标折扣计算。若项目批复金额低于合同总价，则以批复金额为基准价折算。</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应用开发方案通过市大数据发展局、市委网信办、市委机要局、市财政局联合评审且项目资金到位后15个工作日内，采购人凭供应商开具的相应金额的、符合国家规定的发票支付技术咨询报酬，采购人向成交供应商支付合同总金额的70%。</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3、应用开发项目招标采购完成后15个工作日内，采购人凭供应商开具的相应金额的、符合国家规定的发票支付技术咨询报酬，采购人向成交供应商支付合同总金额的30%。</w:t>
      </w:r>
    </w:p>
    <w:p>
      <w:pPr>
        <w:spacing w:line="360" w:lineRule="auto"/>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第六条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违约责任：</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除本合同另有约定外，违反本合同约定，违约方应按《中华人民共和国民法典》的有关规定，承担违约责任。</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1、乙方违反本合同第一条中“工作要求”部分第1款约定的, 甲方有权要求乙方按3‰/天向甲方支付违约金，逾期达30日的，甲方有权单方解除合同。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2、根据本合同第一条中“工作要求”部分第2款约定，乙方擅自将本项目转给他人的，甲方可解除本合同。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根据本合同第一条中“工作要求”部分第3款约定，乙方未经甲方同意擅自更换项目组成员的，乙方每擅自更换一名项目组成员，甲方可要求乙方支付合同金额的1%违约金，超过3名的，甲方可解除本合同。乙方未经甲方书面同意擅自更换项目负责人的，甲方可解除本合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4、根据本合同第二条履行方式与期限约定，乙方未按照合同要求的时限（因特殊原因需延期的由双方友好协商除外）提交合格的(是否合格由甲方认定)的项目相关报告书的,每逾期一日, 应按合同总金额每日1%的标准向乙方支付违约金。逾期超过30日的,甲方有权解除合同。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根据本合同第四条技术情报和资料的保密约定，因乙方原因导致与本服务合同相关的文件资料等泄露的，若本服务合同还在履行阶段，甲方可解除本合同。若本服务合同双方已经履行完毕，甲方可要求乙方赔偿合同总金额的20%。</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6、根据本合同第三条甲方的协作事项约定，甲方在合同签订后30日内向乙方提供项目相关的基础资料及文件，因甲方未按时移送资料或反馈意见,乙方按本合同规定交付成果报告书时间顺延。</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7、根据本合同第五条报酬及其支付方式约定，如遇特殊情况未经双方友好协商，甲方未按约定支付合同金额的，乙方可要求甲方支付合同金额的1%违约金。</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8、守约方为维权而支出的所有费用(包括但不限于律师代理费、差旅费、鉴定费、公告费等)均由违约方承担。</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9、根据本条“违约责任”约定，因乙方违约，甲方决定解除合同的，乙方应当退还甲方已支付款项，同时向甲方支付合同总金额的20%违约金。</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第七条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送达条款的约定：</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合同各方一致确认本合同中双方当事人预留的送达地址和联系方式为各方履行合同、解决合同争议时向接收其他方商业文件信函或司法机关(法院)诉讼的送达地址和联系方式。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任何一方若需变更送达地址，应在地址变更后三日内书面通知对方；未按约定方式通知的，原约定送达地址仍为有效送达地址。</w:t>
      </w:r>
    </w:p>
    <w:p>
      <w:pPr>
        <w:spacing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第八条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争议的解决办法：</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1、在合同履行过程中发生争议，双方应当协商解决。</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2、双方不愿协商或者协商不成时，双方可向甲方所在地人民法院提起诉讼。</w:t>
      </w:r>
    </w:p>
    <w:p>
      <w:pPr>
        <w:spacing w:line="360" w:lineRule="auto"/>
        <w:ind w:firstLine="482" w:firstLineChars="200"/>
        <w:rPr>
          <w:rFonts w:ascii="宋体" w:hAnsi="宋体" w:cs="宋体"/>
          <w:color w:val="000000" w:themeColor="text1"/>
          <w:sz w:val="24"/>
          <w:szCs w:val="24"/>
        </w:rPr>
      </w:pPr>
      <w:r>
        <w:rPr>
          <w:rFonts w:hint="eastAsia" w:ascii="宋体" w:hAnsi="宋体" w:cs="宋体"/>
          <w:b/>
          <w:bCs/>
          <w:color w:val="000000" w:themeColor="text1"/>
          <w:sz w:val="24"/>
          <w:szCs w:val="24"/>
        </w:rPr>
        <w:t>第九条</w:t>
      </w:r>
      <w:r>
        <w:rPr>
          <w:rFonts w:hint="eastAsia" w:ascii="宋体" w:hAnsi="宋体" w:cs="宋体"/>
          <w:b/>
          <w:bCs/>
          <w:color w:val="000000" w:themeColor="text1"/>
          <w:sz w:val="24"/>
          <w:szCs w:val="24"/>
        </w:rPr>
        <w:tab/>
      </w:r>
      <w:r>
        <w:rPr>
          <w:rFonts w:hint="eastAsia" w:ascii="宋体" w:hAnsi="宋体" w:cs="宋体"/>
          <w:b/>
          <w:bCs/>
          <w:color w:val="000000" w:themeColor="text1"/>
          <w:sz w:val="24"/>
          <w:szCs w:val="24"/>
        </w:rPr>
        <w:t>其它：</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1、本合同未尽事宜，双方协商解决或签订补充合同。</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2、本合同一式份，甲乙双方各执份，具有同等法律效力。双方签字和盖章后生效。</w:t>
      </w:r>
    </w:p>
    <w:tbl>
      <w:tblPr>
        <w:tblStyle w:val="58"/>
        <w:tblW w:w="85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委托方（甲方）：重庆市交通局</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单位代表或授权代表：</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联系人：</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通信地址：重庆市渝北区龙溪红锦大道20号</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邮政编码：401147</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联系电话：</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传真：</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受托方（乙方）：</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单位代表：</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联系人：</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通信地址：</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邮政编码：</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联系电话：</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传真：</w:t>
            </w:r>
          </w:p>
          <w:p>
            <w:pPr>
              <w:spacing w:beforeLines="50" w:afterLines="50" w:line="360" w:lineRule="auto"/>
              <w:rPr>
                <w:rFonts w:ascii="宋体" w:hAnsi="宋体" w:cs="宋体"/>
                <w:color w:val="000000" w:themeColor="text1"/>
                <w:sz w:val="24"/>
                <w:szCs w:val="24"/>
              </w:rPr>
            </w:pPr>
            <w:r>
              <w:rPr>
                <w:rFonts w:hint="eastAsia" w:ascii="宋体" w:hAnsi="宋体" w:cs="宋体"/>
                <w:color w:val="000000" w:themeColor="text1"/>
                <w:sz w:val="24"/>
                <w:szCs w:val="24"/>
              </w:rPr>
              <w:t>开户银行：</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账号：</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签订时间：         年       月       日</w:t>
            </w:r>
          </w:p>
        </w:tc>
      </w:tr>
    </w:tbl>
    <w:p>
      <w:pPr>
        <w:spacing w:line="360" w:lineRule="auto"/>
        <w:ind w:firstLine="560" w:firstLineChars="200"/>
        <w:rPr>
          <w:rFonts w:ascii="宋体" w:hAnsi="宋体" w:cs="宋体"/>
          <w:color w:val="000000" w:themeColor="text1"/>
          <w:szCs w:val="28"/>
        </w:rPr>
      </w:pPr>
    </w:p>
    <w:p>
      <w:pPr>
        <w:widowControl/>
        <w:spacing w:line="360" w:lineRule="auto"/>
        <w:jc w:val="center"/>
        <w:rPr>
          <w:rFonts w:ascii="宋体" w:hAnsi="宋体" w:cs="宋体"/>
          <w:b/>
          <w:bCs/>
          <w:color w:val="000000" w:themeColor="text1"/>
        </w:rPr>
      </w:pPr>
    </w:p>
    <w:p>
      <w:pPr>
        <w:widowControl/>
        <w:spacing w:line="360" w:lineRule="auto"/>
        <w:jc w:val="center"/>
        <w:rPr>
          <w:rFonts w:ascii="宋体" w:hAnsi="宋体" w:cs="宋体"/>
          <w:b/>
          <w:bCs/>
          <w:color w:val="000000" w:themeColor="text1"/>
        </w:rPr>
      </w:pPr>
    </w:p>
    <w:p>
      <w:pPr>
        <w:spacing w:line="360" w:lineRule="auto"/>
        <w:ind w:firstLine="560" w:firstLineChars="200"/>
        <w:rPr>
          <w:rFonts w:ascii="宋体" w:hAnsi="宋体" w:cs="宋体"/>
          <w:color w:val="000000" w:themeColor="text1"/>
          <w:szCs w:val="28"/>
        </w:rPr>
      </w:pPr>
    </w:p>
    <w:p>
      <w:pPr>
        <w:spacing w:line="360" w:lineRule="auto"/>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sectPr>
          <w:headerReference r:id="rId11" w:type="default"/>
          <w:pgSz w:w="11907" w:h="16840"/>
          <w:pgMar w:top="1134" w:right="1191" w:bottom="1134" w:left="1191" w:header="851" w:footer="992" w:gutter="0"/>
          <w:pgNumType w:fmt="numberInDash"/>
          <w:cols w:space="720" w:num="1"/>
          <w:docGrid w:linePitch="381" w:charSpace="-5735"/>
        </w:sectPr>
      </w:pPr>
    </w:p>
    <w:p>
      <w:pPr>
        <w:pStyle w:val="5"/>
        <w:spacing w:line="360" w:lineRule="auto"/>
        <w:jc w:val="center"/>
        <w:rPr>
          <w:rFonts w:ascii="宋体" w:hAnsi="宋体" w:eastAsia="宋体"/>
          <w:color w:val="000000" w:themeColor="text1"/>
          <w:sz w:val="36"/>
          <w:szCs w:val="30"/>
        </w:rPr>
      </w:pPr>
      <w:bookmarkStart w:id="109" w:name="_Toc148963326"/>
      <w:r>
        <w:rPr>
          <w:rFonts w:ascii="宋体" w:hAnsi="宋体" w:eastAsia="宋体"/>
          <w:color w:val="000000" w:themeColor="text1"/>
          <w:sz w:val="36"/>
          <w:szCs w:val="30"/>
        </w:rPr>
        <w:t>第七篇  响应文件编制要求</w:t>
      </w:r>
      <w:bookmarkEnd w:id="108"/>
      <w:bookmarkEnd w:id="109"/>
    </w:p>
    <w:p>
      <w:pPr>
        <w:pStyle w:val="6"/>
        <w:spacing w:before="0" w:after="0" w:line="360" w:lineRule="auto"/>
        <w:ind w:firstLine="482" w:firstLineChars="200"/>
        <w:rPr>
          <w:rFonts w:ascii="宋体" w:hAnsi="宋体"/>
          <w:color w:val="000000" w:themeColor="text1"/>
          <w:sz w:val="24"/>
          <w:szCs w:val="24"/>
        </w:rPr>
      </w:pPr>
      <w:bookmarkStart w:id="110" w:name="_Toc123721249"/>
      <w:bookmarkStart w:id="111" w:name="_Toc148963327"/>
      <w:r>
        <w:rPr>
          <w:rFonts w:ascii="宋体" w:hAnsi="宋体"/>
          <w:color w:val="000000" w:themeColor="text1"/>
          <w:sz w:val="24"/>
          <w:szCs w:val="24"/>
        </w:rPr>
        <w:t>一、</w:t>
      </w:r>
      <w:bookmarkEnd w:id="110"/>
      <w:r>
        <w:rPr>
          <w:rFonts w:hint="eastAsia" w:ascii="宋体" w:hAnsi="宋体"/>
          <w:color w:val="000000" w:themeColor="text1"/>
          <w:sz w:val="24"/>
          <w:szCs w:val="24"/>
        </w:rPr>
        <w:t>竞争性磋商报价函</w:t>
      </w:r>
      <w:bookmarkEnd w:id="111"/>
    </w:p>
    <w:p>
      <w:pPr>
        <w:pStyle w:val="6"/>
        <w:spacing w:before="0" w:after="0" w:line="360" w:lineRule="auto"/>
        <w:ind w:firstLine="482" w:firstLineChars="200"/>
        <w:rPr>
          <w:rFonts w:ascii="宋体" w:hAnsi="宋体"/>
          <w:color w:val="000000" w:themeColor="text1"/>
          <w:sz w:val="24"/>
          <w:szCs w:val="24"/>
        </w:rPr>
      </w:pPr>
      <w:bookmarkStart w:id="112" w:name="_Toc78194469"/>
      <w:bookmarkStart w:id="113" w:name="_Toc148963328"/>
      <w:bookmarkStart w:id="114" w:name="_Toc123721250"/>
      <w:r>
        <w:rPr>
          <w:rFonts w:hint="eastAsia" w:ascii="宋体" w:hAnsi="宋体"/>
          <w:color w:val="000000" w:themeColor="text1"/>
          <w:sz w:val="24"/>
          <w:szCs w:val="24"/>
        </w:rPr>
        <w:t>二、服务部分</w:t>
      </w:r>
      <w:bookmarkEnd w:id="112"/>
      <w:bookmarkEnd w:id="113"/>
      <w:bookmarkEnd w:id="114"/>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（一）服务方案</w:t>
      </w:r>
    </w:p>
    <w:p>
      <w:pPr>
        <w:snapToGrid w:val="0"/>
        <w:spacing w:line="360" w:lineRule="auto"/>
        <w:ind w:firstLine="480" w:firstLineChars="200"/>
        <w:rPr>
          <w:color w:val="000000" w:themeColor="text1"/>
          <w:sz w:val="24"/>
          <w:szCs w:val="24"/>
        </w:rPr>
      </w:pPr>
      <w:r>
        <w:rPr>
          <w:rFonts w:hint="eastAsia" w:ascii="宋体" w:hAnsi="宋体"/>
          <w:color w:val="000000" w:themeColor="text1"/>
          <w:sz w:val="24"/>
          <w:szCs w:val="24"/>
        </w:rPr>
        <w:t>（二）服务响应偏离表</w:t>
      </w:r>
    </w:p>
    <w:p>
      <w:pPr>
        <w:pStyle w:val="6"/>
        <w:spacing w:before="0" w:after="0" w:line="360" w:lineRule="auto"/>
        <w:ind w:firstLine="482" w:firstLineChars="200"/>
        <w:rPr>
          <w:rFonts w:ascii="宋体" w:hAnsi="宋体"/>
          <w:color w:val="000000" w:themeColor="text1"/>
          <w:sz w:val="24"/>
          <w:szCs w:val="24"/>
        </w:rPr>
      </w:pPr>
      <w:bookmarkStart w:id="115" w:name="_Toc123721251"/>
      <w:bookmarkStart w:id="116" w:name="_Toc148963329"/>
      <w:r>
        <w:rPr>
          <w:rFonts w:ascii="宋体" w:hAnsi="宋体"/>
          <w:color w:val="000000" w:themeColor="text1"/>
          <w:sz w:val="24"/>
          <w:szCs w:val="24"/>
        </w:rPr>
        <w:t>三、商务部分</w:t>
      </w:r>
      <w:bookmarkEnd w:id="115"/>
      <w:bookmarkEnd w:id="116"/>
    </w:p>
    <w:p>
      <w:pPr>
        <w:snapToGrid w:val="0"/>
        <w:spacing w:line="360" w:lineRule="auto"/>
        <w:ind w:firstLine="480" w:firstLineChars="200"/>
        <w:rPr>
          <w:color w:val="000000" w:themeColor="text1"/>
          <w:sz w:val="24"/>
          <w:szCs w:val="24"/>
        </w:rPr>
      </w:pPr>
      <w:r>
        <w:rPr>
          <w:color w:val="000000" w:themeColor="text1"/>
          <w:sz w:val="24"/>
          <w:szCs w:val="24"/>
        </w:rPr>
        <w:t>（一）</w:t>
      </w:r>
      <w:r>
        <w:rPr>
          <w:rFonts w:hint="eastAsia"/>
          <w:color w:val="000000" w:themeColor="text1"/>
          <w:sz w:val="24"/>
          <w:szCs w:val="24"/>
        </w:rPr>
        <w:t>商务条款差异表</w:t>
      </w:r>
    </w:p>
    <w:p>
      <w:pPr>
        <w:snapToGrid w:val="0"/>
        <w:spacing w:line="360" w:lineRule="auto"/>
        <w:ind w:firstLine="480" w:firstLineChars="200"/>
        <w:rPr>
          <w:color w:val="000000" w:themeColor="text1"/>
          <w:sz w:val="24"/>
          <w:szCs w:val="24"/>
        </w:rPr>
      </w:pPr>
      <w:r>
        <w:rPr>
          <w:rFonts w:hint="eastAsia"/>
          <w:color w:val="000000" w:themeColor="text1"/>
          <w:sz w:val="24"/>
          <w:szCs w:val="24"/>
        </w:rPr>
        <w:t>（二）其它商务内容（格式自定）</w:t>
      </w:r>
    </w:p>
    <w:p>
      <w:pPr>
        <w:pStyle w:val="6"/>
        <w:spacing w:before="0" w:after="0" w:line="360" w:lineRule="auto"/>
        <w:ind w:firstLine="482" w:firstLineChars="200"/>
        <w:rPr>
          <w:rFonts w:ascii="宋体" w:hAnsi="宋体"/>
          <w:color w:val="000000" w:themeColor="text1"/>
          <w:sz w:val="24"/>
          <w:szCs w:val="24"/>
        </w:rPr>
      </w:pPr>
      <w:bookmarkStart w:id="117" w:name="_Toc123721252"/>
      <w:bookmarkStart w:id="118" w:name="_Toc148963330"/>
      <w:r>
        <w:rPr>
          <w:rFonts w:ascii="宋体" w:hAnsi="宋体"/>
          <w:color w:val="000000" w:themeColor="text1"/>
          <w:sz w:val="24"/>
          <w:szCs w:val="24"/>
        </w:rPr>
        <w:t>四、资格条件及其他</w:t>
      </w:r>
      <w:bookmarkEnd w:id="117"/>
      <w:bookmarkEnd w:id="118"/>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（二）法定代表人身份证明书（格式）</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（三）法定代表人授权委托书（格式）</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（四）基本资格条件承诺函（格式）</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（五）特定资格条件证书或证明文件（如有）</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（六）落实政府采购政策需满足的资格要求（如有）</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（七）</w:t>
      </w:r>
      <w:r>
        <w:rPr>
          <w:rFonts w:ascii="宋体" w:hAnsi="宋体"/>
          <w:color w:val="000000" w:themeColor="text1"/>
          <w:sz w:val="24"/>
          <w:szCs w:val="24"/>
        </w:rPr>
        <w:t>其他应提供的资料</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中小</w:t>
      </w:r>
      <w:r>
        <w:rPr>
          <w:rFonts w:ascii="宋体" w:hAnsi="宋体"/>
          <w:color w:val="000000" w:themeColor="text1"/>
          <w:sz w:val="24"/>
          <w:szCs w:val="24"/>
        </w:rPr>
        <w:t>企业</w:t>
      </w:r>
      <w:r>
        <w:rPr>
          <w:rFonts w:hint="eastAsia" w:ascii="宋体" w:hAnsi="宋体"/>
          <w:color w:val="000000" w:themeColor="text1"/>
          <w:sz w:val="24"/>
          <w:szCs w:val="24"/>
        </w:rPr>
        <w:t>声明函</w:t>
      </w:r>
      <w:r>
        <w:rPr>
          <w:rFonts w:ascii="宋体" w:hAnsi="宋体"/>
          <w:color w:val="000000" w:themeColor="text1"/>
          <w:sz w:val="24"/>
          <w:szCs w:val="24"/>
        </w:rPr>
        <w:t>、监狱企业证明文件、残疾人福利性单位声明函</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2.其他与项目有关的资料（自附）</w:t>
      </w:r>
    </w:p>
    <w:p>
      <w:pPr>
        <w:spacing w:line="440" w:lineRule="exact"/>
        <w:ind w:firstLine="480" w:firstLineChars="200"/>
        <w:rPr>
          <w:color w:val="000000" w:themeColor="text1"/>
          <w:sz w:val="24"/>
          <w:szCs w:val="24"/>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1080"/>
        </w:tabs>
        <w:jc w:val="left"/>
        <w:rPr>
          <w:rFonts w:ascii="宋体" w:hAnsi="宋体" w:cs="宋体"/>
          <w:color w:val="000000" w:themeColor="text1"/>
        </w:rPr>
        <w:sectPr>
          <w:headerReference r:id="rId12" w:type="default"/>
          <w:pgSz w:w="11907" w:h="16840"/>
          <w:pgMar w:top="1134" w:right="1191" w:bottom="1134" w:left="1191" w:header="851" w:footer="992" w:gutter="0"/>
          <w:pgNumType w:fmt="numberInDash"/>
          <w:cols w:space="720" w:num="1"/>
          <w:docGrid w:linePitch="381" w:charSpace="-5735"/>
        </w:sectPr>
      </w:pPr>
      <w:r>
        <w:rPr>
          <w:rFonts w:hint="eastAsia"/>
          <w:color w:val="000000" w:themeColor="text1"/>
        </w:rPr>
        <w:tab/>
      </w:r>
      <w:r>
        <w:rPr>
          <w:rFonts w:hint="eastAsia" w:ascii="宋体" w:hAnsi="宋体" w:cs="宋体"/>
          <w:i/>
          <w:iCs/>
          <w:color w:val="000000" w:themeColor="text1"/>
          <w:sz w:val="24"/>
          <w:szCs w:val="24"/>
        </w:rPr>
        <w:t>注：提交以上的响应文件须编制页码，目录也须编制对应的页码便于审查。</w:t>
      </w:r>
    </w:p>
    <w:p>
      <w:pPr>
        <w:pageBreakBefore/>
        <w:tabs>
          <w:tab w:val="left" w:pos="6300"/>
        </w:tabs>
        <w:snapToGrid w:val="0"/>
        <w:spacing w:line="360" w:lineRule="auto"/>
        <w:rPr>
          <w:b/>
          <w:color w:val="000000" w:themeColor="text1"/>
          <w:sz w:val="24"/>
          <w:szCs w:val="24"/>
        </w:rPr>
      </w:pPr>
      <w:bookmarkStart w:id="119" w:name="_Toc313888360"/>
      <w:bookmarkStart w:id="120" w:name="_Toc23764522"/>
      <w:bookmarkStart w:id="121" w:name="_Toc342913419"/>
      <w:bookmarkStart w:id="122" w:name="_Toc313008356"/>
      <w:bookmarkStart w:id="123" w:name="_Toc12789073"/>
      <w:bookmarkStart w:id="124" w:name="_Toc283382454"/>
      <w:r>
        <w:rPr>
          <w:b/>
          <w:color w:val="000000" w:themeColor="text1"/>
          <w:sz w:val="24"/>
          <w:szCs w:val="24"/>
        </w:rPr>
        <w:t>一、</w:t>
      </w:r>
      <w:bookmarkEnd w:id="119"/>
      <w:bookmarkEnd w:id="120"/>
      <w:bookmarkEnd w:id="121"/>
      <w:bookmarkEnd w:id="122"/>
      <w:r>
        <w:rPr>
          <w:rFonts w:hint="eastAsia"/>
          <w:b/>
          <w:color w:val="000000" w:themeColor="text1"/>
          <w:sz w:val="24"/>
          <w:szCs w:val="24"/>
        </w:rPr>
        <w:t>竞争性磋商报价函</w:t>
      </w:r>
    </w:p>
    <w:bookmarkEnd w:id="123"/>
    <w:bookmarkEnd w:id="124"/>
    <w:p>
      <w:pPr>
        <w:spacing w:line="360" w:lineRule="auto"/>
        <w:jc w:val="center"/>
        <w:rPr>
          <w:b/>
          <w:color w:val="000000" w:themeColor="text1"/>
          <w:szCs w:val="28"/>
        </w:rPr>
      </w:pPr>
      <w:r>
        <w:rPr>
          <w:b/>
          <w:color w:val="000000" w:themeColor="text1"/>
          <w:szCs w:val="28"/>
        </w:rPr>
        <w:t>竞争性磋商报价函</w:t>
      </w:r>
    </w:p>
    <w:p>
      <w:pPr>
        <w:tabs>
          <w:tab w:val="left" w:pos="6300"/>
        </w:tabs>
        <w:snapToGrid w:val="0"/>
        <w:spacing w:line="360" w:lineRule="auto"/>
        <w:rPr>
          <w:color w:val="000000" w:themeColor="text1"/>
          <w:sz w:val="24"/>
          <w:szCs w:val="24"/>
        </w:rPr>
      </w:pPr>
      <w:r>
        <w:rPr>
          <w:color w:val="000000" w:themeColor="text1"/>
          <w:sz w:val="24"/>
          <w:szCs w:val="24"/>
          <w:u w:val="single"/>
        </w:rPr>
        <w:t>（采购代理机构名称）</w:t>
      </w:r>
      <w:r>
        <w:rPr>
          <w:color w:val="000000" w:themeColor="text1"/>
          <w:sz w:val="24"/>
          <w:szCs w:val="24"/>
        </w:rPr>
        <w:t>：</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我方收到____________________________（磋商项目名称）的竞争性磋商文件，经详细研究，决定参加该项目的磋商。</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1.愿意按照竞争性磋商文件中的一切要求，提供本项目的服务，初始</w:t>
      </w:r>
      <w:r>
        <w:rPr>
          <w:rFonts w:hint="eastAsia"/>
          <w:color w:val="000000" w:themeColor="text1"/>
          <w:sz w:val="24"/>
          <w:szCs w:val="24"/>
        </w:rPr>
        <w:t>折扣率</w:t>
      </w:r>
      <w:r>
        <w:rPr>
          <w:color w:val="000000" w:themeColor="text1"/>
          <w:sz w:val="24"/>
          <w:szCs w:val="24"/>
        </w:rPr>
        <w:t>报价大写</w:t>
      </w:r>
      <w:r>
        <w:rPr>
          <w:rFonts w:hint="eastAsia"/>
          <w:color w:val="000000" w:themeColor="text1"/>
          <w:sz w:val="24"/>
          <w:szCs w:val="24"/>
        </w:rPr>
        <w:t>为</w:t>
      </w:r>
      <w:r>
        <w:rPr>
          <w:color w:val="000000" w:themeColor="text1"/>
          <w:sz w:val="24"/>
          <w:szCs w:val="24"/>
        </w:rPr>
        <w:t>：；</w:t>
      </w:r>
      <w:r>
        <w:rPr>
          <w:rFonts w:hint="eastAsia"/>
          <w:color w:val="000000" w:themeColor="text1"/>
          <w:sz w:val="24"/>
          <w:szCs w:val="24"/>
        </w:rPr>
        <w:t>小写为</w:t>
      </w:r>
      <w:r>
        <w:rPr>
          <w:color w:val="000000" w:themeColor="text1"/>
          <w:sz w:val="24"/>
          <w:szCs w:val="24"/>
        </w:rPr>
        <w:t>：</w:t>
      </w:r>
      <w:r>
        <w:rPr>
          <w:rFonts w:hint="eastAsia"/>
          <w:color w:val="000000" w:themeColor="text1"/>
          <w:sz w:val="24"/>
          <w:szCs w:val="24"/>
          <w:u w:val="single"/>
        </w:rPr>
        <w:t xml:space="preserve">   %  </w:t>
      </w:r>
      <w:r>
        <w:rPr>
          <w:rFonts w:hint="eastAsia"/>
          <w:color w:val="000000" w:themeColor="text1"/>
          <w:sz w:val="24"/>
          <w:szCs w:val="24"/>
        </w:rPr>
        <w:t>；</w:t>
      </w:r>
      <w:r>
        <w:rPr>
          <w:color w:val="000000" w:themeColor="text1"/>
          <w:sz w:val="24"/>
          <w:szCs w:val="24"/>
        </w:rPr>
        <w:t>以我方最后报价为准。</w:t>
      </w:r>
      <w:r>
        <w:rPr>
          <w:rFonts w:hint="eastAsia"/>
          <w:color w:val="000000" w:themeColor="text1"/>
          <w:sz w:val="24"/>
          <w:szCs w:val="24"/>
        </w:rPr>
        <w:t>（例：折扣率小写90%，</w:t>
      </w:r>
      <w:r>
        <w:rPr>
          <w:color w:val="000000" w:themeColor="text1"/>
          <w:sz w:val="24"/>
          <w:szCs w:val="24"/>
        </w:rPr>
        <w:t>大写</w:t>
      </w:r>
      <w:r>
        <w:rPr>
          <w:rFonts w:hint="eastAsia"/>
          <w:color w:val="000000" w:themeColor="text1"/>
          <w:sz w:val="24"/>
          <w:szCs w:val="24"/>
        </w:rPr>
        <w:t>即为九折）</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2.我方现提交的响应文件为：响应文件正本份，副本份，电子文档份。</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3.我方承诺：本次磋商的有效期为提交响应文件截止时间起90天。</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4.我方完全理解和接受贵方竞争性磋商文件的一切规定和要求及评审办法。</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7.如果我方成为成交供应商，保证在接到成交通知书后，向采购代理机构和</w:t>
      </w:r>
      <w:r>
        <w:rPr>
          <w:color w:val="000000" w:themeColor="text1"/>
          <w:sz w:val="24"/>
        </w:rPr>
        <w:t>重庆联合产权交易所集团股份有限公司缴纳</w:t>
      </w:r>
      <w:r>
        <w:rPr>
          <w:color w:val="000000" w:themeColor="text1"/>
          <w:sz w:val="24"/>
          <w:szCs w:val="24"/>
        </w:rPr>
        <w:t>竞争性磋商文件规定的采购代理服务费和交易服务费。</w:t>
      </w:r>
    </w:p>
    <w:p>
      <w:pPr>
        <w:tabs>
          <w:tab w:val="left" w:pos="6300"/>
        </w:tabs>
        <w:snapToGrid w:val="0"/>
        <w:spacing w:line="360" w:lineRule="auto"/>
        <w:ind w:firstLine="480" w:firstLineChars="200"/>
        <w:rPr>
          <w:color w:val="000000" w:themeColor="text1"/>
          <w:sz w:val="24"/>
          <w:szCs w:val="24"/>
        </w:rPr>
      </w:pPr>
      <w:r>
        <w:rPr>
          <w:color w:val="000000" w:themeColor="text1"/>
          <w:sz w:val="24"/>
          <w:szCs w:val="24"/>
        </w:rPr>
        <w:t>8.</w:t>
      </w:r>
      <w:r>
        <w:rPr>
          <w:color w:val="000000" w:themeColor="text1"/>
          <w:sz w:val="24"/>
          <w:szCs w:val="28"/>
        </w:rPr>
        <w:t>我方未</w:t>
      </w:r>
      <w:r>
        <w:rPr>
          <w:color w:val="000000" w:themeColor="text1"/>
          <w:sz w:val="24"/>
          <w:szCs w:val="24"/>
        </w:rPr>
        <w:t>为采购项目提供整体设计、规范编制或者项目管理、监理、检测等服务。</w:t>
      </w:r>
    </w:p>
    <w:p>
      <w:pPr>
        <w:tabs>
          <w:tab w:val="left" w:pos="6300"/>
        </w:tabs>
        <w:snapToGrid w:val="0"/>
        <w:spacing w:line="360" w:lineRule="auto"/>
        <w:ind w:firstLine="570"/>
        <w:rPr>
          <w:color w:val="000000" w:themeColor="text1"/>
          <w:sz w:val="24"/>
          <w:szCs w:val="24"/>
        </w:rPr>
      </w:pPr>
      <w:r>
        <w:rPr>
          <w:color w:val="000000" w:themeColor="text1"/>
          <w:sz w:val="24"/>
          <w:szCs w:val="24"/>
        </w:rPr>
        <w:t>供应商（公章）或自然人签署：</w:t>
      </w:r>
    </w:p>
    <w:p>
      <w:pPr>
        <w:tabs>
          <w:tab w:val="left" w:pos="6300"/>
        </w:tabs>
        <w:snapToGrid w:val="0"/>
        <w:spacing w:line="360" w:lineRule="auto"/>
        <w:ind w:firstLine="570"/>
        <w:rPr>
          <w:color w:val="000000" w:themeColor="text1"/>
          <w:sz w:val="24"/>
          <w:szCs w:val="24"/>
        </w:rPr>
      </w:pPr>
      <w:r>
        <w:rPr>
          <w:color w:val="000000" w:themeColor="text1"/>
          <w:sz w:val="24"/>
          <w:szCs w:val="24"/>
        </w:rPr>
        <w:t xml:space="preserve">地址：  </w:t>
      </w:r>
    </w:p>
    <w:p>
      <w:pPr>
        <w:tabs>
          <w:tab w:val="left" w:pos="6300"/>
        </w:tabs>
        <w:snapToGrid w:val="0"/>
        <w:spacing w:line="360" w:lineRule="auto"/>
        <w:ind w:firstLine="570"/>
        <w:rPr>
          <w:color w:val="000000" w:themeColor="text1"/>
          <w:sz w:val="24"/>
          <w:szCs w:val="24"/>
        </w:rPr>
      </w:pPr>
      <w:r>
        <w:rPr>
          <w:color w:val="000000" w:themeColor="text1"/>
          <w:sz w:val="24"/>
          <w:szCs w:val="24"/>
        </w:rPr>
        <w:t>电话：                                             传真：</w:t>
      </w:r>
    </w:p>
    <w:p>
      <w:pPr>
        <w:tabs>
          <w:tab w:val="left" w:pos="6300"/>
        </w:tabs>
        <w:snapToGrid w:val="0"/>
        <w:spacing w:line="360" w:lineRule="auto"/>
        <w:ind w:firstLine="570"/>
        <w:rPr>
          <w:color w:val="000000" w:themeColor="text1"/>
          <w:sz w:val="24"/>
          <w:szCs w:val="24"/>
        </w:rPr>
      </w:pPr>
      <w:r>
        <w:rPr>
          <w:color w:val="000000" w:themeColor="text1"/>
          <w:sz w:val="24"/>
          <w:szCs w:val="24"/>
        </w:rPr>
        <w:t>网址：                                             邮编：</w:t>
      </w:r>
    </w:p>
    <w:p>
      <w:pPr>
        <w:tabs>
          <w:tab w:val="left" w:pos="6300"/>
        </w:tabs>
        <w:snapToGrid w:val="0"/>
        <w:spacing w:line="360" w:lineRule="auto"/>
        <w:ind w:firstLine="570"/>
        <w:rPr>
          <w:color w:val="000000" w:themeColor="text1"/>
          <w:sz w:val="24"/>
          <w:szCs w:val="24"/>
        </w:rPr>
      </w:pPr>
      <w:r>
        <w:rPr>
          <w:color w:val="000000" w:themeColor="text1"/>
          <w:sz w:val="24"/>
          <w:szCs w:val="24"/>
        </w:rPr>
        <w:t>联系人：</w:t>
      </w:r>
    </w:p>
    <w:p>
      <w:pPr>
        <w:snapToGrid w:val="0"/>
        <w:spacing w:line="360" w:lineRule="auto"/>
        <w:ind w:firstLine="480" w:firstLineChars="200"/>
        <w:rPr>
          <w:color w:val="000000" w:themeColor="text1"/>
          <w:sz w:val="24"/>
          <w:szCs w:val="24"/>
        </w:rPr>
      </w:pPr>
      <w:r>
        <w:rPr>
          <w:color w:val="000000" w:themeColor="text1"/>
          <w:sz w:val="24"/>
          <w:szCs w:val="24"/>
        </w:rPr>
        <w:t xml:space="preserve">                                                  年   月   日</w:t>
      </w:r>
    </w:p>
    <w:p>
      <w:pPr>
        <w:snapToGrid w:val="0"/>
        <w:spacing w:line="520" w:lineRule="exact"/>
        <w:ind w:firstLine="480" w:firstLineChars="200"/>
        <w:rPr>
          <w:color w:val="000000" w:themeColor="text1"/>
          <w:sz w:val="24"/>
          <w:szCs w:val="24"/>
        </w:rPr>
        <w:sectPr>
          <w:pgSz w:w="11907" w:h="16840"/>
          <w:pgMar w:top="1134" w:right="1191" w:bottom="1134" w:left="1191" w:header="851" w:footer="992" w:gutter="0"/>
          <w:pgNumType w:fmt="numberInDash"/>
          <w:cols w:space="720" w:num="1"/>
          <w:docGrid w:linePitch="380" w:charSpace="-5735"/>
        </w:sectPr>
      </w:pPr>
    </w:p>
    <w:p>
      <w:pPr>
        <w:pageBreakBefore/>
        <w:tabs>
          <w:tab w:val="left" w:pos="6300"/>
        </w:tabs>
        <w:snapToGrid w:val="0"/>
        <w:spacing w:line="360" w:lineRule="auto"/>
        <w:rPr>
          <w:b/>
          <w:color w:val="000000" w:themeColor="text1"/>
          <w:sz w:val="24"/>
          <w:szCs w:val="24"/>
        </w:rPr>
      </w:pPr>
      <w:bookmarkStart w:id="125" w:name="_Toc313008357"/>
      <w:bookmarkStart w:id="126" w:name="_Toc342913420"/>
      <w:bookmarkStart w:id="127" w:name="_Toc23764523"/>
      <w:bookmarkStart w:id="128" w:name="_Toc313888361"/>
      <w:r>
        <w:rPr>
          <w:b/>
          <w:color w:val="000000" w:themeColor="text1"/>
          <w:sz w:val="24"/>
          <w:szCs w:val="24"/>
        </w:rPr>
        <w:t>二、</w:t>
      </w:r>
      <w:r>
        <w:rPr>
          <w:rFonts w:hint="eastAsia"/>
          <w:b/>
          <w:color w:val="000000" w:themeColor="text1"/>
          <w:sz w:val="24"/>
          <w:szCs w:val="24"/>
        </w:rPr>
        <w:t>服务</w:t>
      </w:r>
      <w:r>
        <w:rPr>
          <w:b/>
          <w:color w:val="000000" w:themeColor="text1"/>
          <w:sz w:val="24"/>
          <w:szCs w:val="24"/>
        </w:rPr>
        <w:t>部分</w:t>
      </w:r>
      <w:bookmarkEnd w:id="125"/>
      <w:bookmarkEnd w:id="126"/>
      <w:bookmarkEnd w:id="127"/>
      <w:bookmarkEnd w:id="128"/>
    </w:p>
    <w:p>
      <w:pPr>
        <w:snapToGrid w:val="0"/>
        <w:spacing w:line="360" w:lineRule="auto"/>
        <w:rPr>
          <w:rFonts w:ascii="宋体" w:hAnsi="宋体"/>
          <w:color w:val="000000" w:themeColor="text1"/>
          <w:sz w:val="24"/>
          <w:szCs w:val="24"/>
        </w:rPr>
      </w:pPr>
      <w:r>
        <w:rPr>
          <w:rFonts w:hint="eastAsia" w:ascii="宋体" w:hAnsi="宋体"/>
          <w:color w:val="000000" w:themeColor="text1"/>
          <w:sz w:val="24"/>
          <w:szCs w:val="24"/>
        </w:rPr>
        <w:t>（一）服务方案</w:t>
      </w:r>
    </w:p>
    <w:p>
      <w:pPr>
        <w:snapToGrid w:val="0"/>
        <w:spacing w:line="360" w:lineRule="auto"/>
        <w:rPr>
          <w:rFonts w:ascii="宋体" w:hAnsi="宋体"/>
          <w:color w:val="000000" w:themeColor="text1"/>
          <w:sz w:val="24"/>
          <w:szCs w:val="24"/>
        </w:rPr>
      </w:pPr>
      <w:r>
        <w:rPr>
          <w:rFonts w:hint="eastAsia" w:ascii="宋体" w:hAnsi="宋体"/>
          <w:color w:val="000000" w:themeColor="text1"/>
          <w:sz w:val="24"/>
          <w:szCs w:val="24"/>
        </w:rPr>
        <w:t xml:space="preserve">    （二）服务响应偏离表</w:t>
      </w:r>
    </w:p>
    <w:p>
      <w:pPr>
        <w:tabs>
          <w:tab w:val="left" w:pos="6300"/>
        </w:tabs>
        <w:snapToGrid w:val="0"/>
        <w:spacing w:line="360" w:lineRule="auto"/>
        <w:jc w:val="center"/>
        <w:rPr>
          <w:rFonts w:ascii="宋体" w:hAnsi="宋体"/>
          <w:color w:val="000000" w:themeColor="text1"/>
          <w:szCs w:val="24"/>
        </w:rPr>
      </w:pPr>
      <w:bookmarkStart w:id="129" w:name="_Hlk71831631"/>
      <w:r>
        <w:rPr>
          <w:rFonts w:hint="eastAsia" w:ascii="宋体" w:hAnsi="宋体"/>
          <w:color w:val="000000" w:themeColor="text1"/>
          <w:szCs w:val="24"/>
        </w:rPr>
        <w:t>服务</w:t>
      </w:r>
      <w:bookmarkEnd w:id="129"/>
      <w:r>
        <w:rPr>
          <w:rFonts w:hint="eastAsia" w:ascii="宋体" w:hAnsi="宋体"/>
          <w:color w:val="000000" w:themeColor="text1"/>
          <w:szCs w:val="24"/>
        </w:rPr>
        <w:t>响应偏离表</w:t>
      </w:r>
    </w:p>
    <w:p>
      <w:pPr>
        <w:snapToGrid w:val="0"/>
        <w:ind w:firstLine="480" w:firstLineChars="200"/>
        <w:rPr>
          <w:rFonts w:ascii="宋体" w:hAnsi="宋体"/>
          <w:color w:val="000000" w:themeColor="text1"/>
          <w:sz w:val="24"/>
          <w:szCs w:val="24"/>
        </w:rPr>
      </w:pPr>
      <w:r>
        <w:rPr>
          <w:rFonts w:hint="eastAsia" w:ascii="宋体" w:hAnsi="宋体"/>
          <w:color w:val="000000" w:themeColor="text1"/>
          <w:sz w:val="24"/>
          <w:szCs w:val="24"/>
        </w:rPr>
        <w:t>项目号：</w:t>
      </w:r>
    </w:p>
    <w:p>
      <w:pPr>
        <w:snapToGrid w:val="0"/>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序号</w:t>
            </w:r>
          </w:p>
        </w:tc>
        <w:tc>
          <w:tcPr>
            <w:tcW w:w="2658"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采购需求</w:t>
            </w:r>
          </w:p>
        </w:tc>
        <w:tc>
          <w:tcPr>
            <w:tcW w:w="2759"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响应情况</w:t>
            </w:r>
          </w:p>
        </w:tc>
        <w:tc>
          <w:tcPr>
            <w:tcW w:w="2067"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000000" w:themeColor="text1"/>
                <w:sz w:val="21"/>
                <w:szCs w:val="21"/>
              </w:rPr>
            </w:pPr>
          </w:p>
        </w:tc>
        <w:tc>
          <w:tcPr>
            <w:tcW w:w="2658" w:type="dxa"/>
            <w:vAlign w:val="center"/>
          </w:tcPr>
          <w:p>
            <w:pPr>
              <w:tabs>
                <w:tab w:val="left" w:pos="6300"/>
              </w:tabs>
              <w:snapToGrid w:val="0"/>
              <w:jc w:val="center"/>
              <w:outlineLvl w:val="0"/>
              <w:rPr>
                <w:rFonts w:ascii="宋体" w:hAnsi="宋体"/>
                <w:color w:val="000000" w:themeColor="text1"/>
                <w:sz w:val="21"/>
                <w:szCs w:val="21"/>
              </w:rPr>
            </w:pPr>
          </w:p>
        </w:tc>
        <w:tc>
          <w:tcPr>
            <w:tcW w:w="2759" w:type="dxa"/>
            <w:vAlign w:val="center"/>
          </w:tcPr>
          <w:p>
            <w:pPr>
              <w:tabs>
                <w:tab w:val="left" w:pos="6300"/>
              </w:tabs>
              <w:snapToGrid w:val="0"/>
              <w:jc w:val="center"/>
              <w:outlineLvl w:val="0"/>
              <w:rPr>
                <w:rFonts w:ascii="宋体" w:hAnsi="宋体"/>
                <w:color w:val="000000" w:themeColor="text1"/>
                <w:sz w:val="21"/>
                <w:szCs w:val="21"/>
              </w:rPr>
            </w:pPr>
          </w:p>
        </w:tc>
        <w:tc>
          <w:tcPr>
            <w:tcW w:w="2067" w:type="dxa"/>
            <w:vAlign w:val="center"/>
          </w:tcPr>
          <w:p>
            <w:pPr>
              <w:tabs>
                <w:tab w:val="left" w:pos="6300"/>
              </w:tabs>
              <w:snapToGrid w:val="0"/>
              <w:jc w:val="center"/>
              <w:outlineLvl w:val="0"/>
              <w:rPr>
                <w:rFonts w:ascii="宋体" w:hAnsi="宋体"/>
                <w:color w:val="000000" w:themeColor="text1"/>
                <w:sz w:val="21"/>
                <w:szCs w:val="21"/>
              </w:rPr>
            </w:pPr>
          </w:p>
        </w:tc>
      </w:tr>
    </w:tbl>
    <w:p>
      <w:pPr>
        <w:spacing w:line="360" w:lineRule="auto"/>
        <w:ind w:firstLine="480" w:firstLineChars="200"/>
        <w:rPr>
          <w:rFonts w:ascii="宋体" w:hAnsi="宋体"/>
          <w:color w:val="000000" w:themeColor="text1"/>
          <w:sz w:val="24"/>
          <w:szCs w:val="28"/>
        </w:rPr>
      </w:pPr>
    </w:p>
    <w:p>
      <w:pPr>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供应商：             法定代表人（或法定代表人授权代表）：</w:t>
      </w:r>
    </w:p>
    <w:p>
      <w:pPr>
        <w:spacing w:line="360" w:lineRule="auto"/>
        <w:ind w:firstLine="600" w:firstLineChars="250"/>
        <w:rPr>
          <w:rFonts w:ascii="宋体" w:hAnsi="宋体"/>
          <w:color w:val="000000" w:themeColor="text1"/>
          <w:sz w:val="24"/>
          <w:szCs w:val="28"/>
        </w:rPr>
      </w:pPr>
    </w:p>
    <w:p>
      <w:pPr>
        <w:spacing w:line="360" w:lineRule="auto"/>
        <w:rPr>
          <w:rFonts w:ascii="宋体" w:hAnsi="宋体"/>
          <w:color w:val="000000" w:themeColor="text1"/>
          <w:sz w:val="24"/>
          <w:szCs w:val="28"/>
        </w:rPr>
      </w:pPr>
      <w:r>
        <w:rPr>
          <w:rFonts w:hint="eastAsia" w:ascii="宋体" w:hAnsi="宋体"/>
          <w:color w:val="000000" w:themeColor="text1"/>
          <w:sz w:val="24"/>
          <w:szCs w:val="28"/>
        </w:rPr>
        <w:t xml:space="preserve">   （供应商公章）                               （签字或盖章）</w:t>
      </w: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szCs w:val="28"/>
        </w:rPr>
        <w:t xml:space="preserve">                                              年     月     日</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注：</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szCs w:val="24"/>
        </w:rPr>
        <w:t>1</w:t>
      </w:r>
      <w:r>
        <w:rPr>
          <w:rFonts w:hint="eastAsia" w:ascii="宋体" w:hAnsi="宋体"/>
          <w:color w:val="000000" w:themeColor="text1"/>
          <w:sz w:val="24"/>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3.该表可扩展；</w:t>
      </w:r>
    </w:p>
    <w:p>
      <w:pPr>
        <w:pageBreakBefore/>
        <w:tabs>
          <w:tab w:val="left" w:pos="6300"/>
        </w:tabs>
        <w:snapToGrid w:val="0"/>
        <w:spacing w:line="360" w:lineRule="auto"/>
        <w:rPr>
          <w:b/>
          <w:color w:val="000000" w:themeColor="text1"/>
          <w:sz w:val="24"/>
          <w:szCs w:val="24"/>
        </w:rPr>
      </w:pPr>
      <w:bookmarkStart w:id="130" w:name="_Toc313008358"/>
      <w:bookmarkStart w:id="131" w:name="_Toc23764524"/>
      <w:bookmarkStart w:id="132" w:name="_Toc342913421"/>
      <w:bookmarkStart w:id="133" w:name="_Toc313888362"/>
      <w:r>
        <w:rPr>
          <w:b/>
          <w:color w:val="000000" w:themeColor="text1"/>
          <w:sz w:val="24"/>
          <w:szCs w:val="24"/>
        </w:rPr>
        <w:t>三、商务部分</w:t>
      </w:r>
      <w:bookmarkEnd w:id="130"/>
      <w:bookmarkEnd w:id="131"/>
      <w:bookmarkEnd w:id="132"/>
      <w:bookmarkEnd w:id="133"/>
    </w:p>
    <w:p>
      <w:pPr>
        <w:tabs>
          <w:tab w:val="left" w:pos="6300"/>
        </w:tabs>
        <w:snapToGrid w:val="0"/>
        <w:spacing w:line="360" w:lineRule="auto"/>
        <w:rPr>
          <w:rFonts w:ascii="宋体" w:hAnsi="宋体"/>
          <w:color w:val="000000" w:themeColor="text1"/>
          <w:sz w:val="24"/>
          <w:szCs w:val="24"/>
        </w:rPr>
      </w:pPr>
      <w:r>
        <w:rPr>
          <w:rFonts w:hint="eastAsia"/>
          <w:color w:val="000000" w:themeColor="text1"/>
          <w:sz w:val="24"/>
          <w:szCs w:val="24"/>
        </w:rPr>
        <w:t xml:space="preserve">    （一）商务响应偏离表</w:t>
      </w:r>
    </w:p>
    <w:p>
      <w:pPr>
        <w:tabs>
          <w:tab w:val="left" w:pos="6300"/>
        </w:tabs>
        <w:snapToGrid w:val="0"/>
        <w:spacing w:line="360" w:lineRule="auto"/>
        <w:jc w:val="center"/>
        <w:rPr>
          <w:rFonts w:ascii="宋体" w:hAnsi="宋体"/>
          <w:color w:val="000000" w:themeColor="text1"/>
          <w:szCs w:val="28"/>
        </w:rPr>
      </w:pPr>
      <w:r>
        <w:rPr>
          <w:rFonts w:hint="eastAsia" w:ascii="宋体" w:hAnsi="宋体"/>
          <w:color w:val="000000" w:themeColor="text1"/>
          <w:szCs w:val="28"/>
        </w:rPr>
        <w:t>商务条款差异表</w:t>
      </w:r>
    </w:p>
    <w:p>
      <w:pPr>
        <w:snapToGrid w:val="0"/>
        <w:ind w:firstLine="480" w:firstLineChars="200"/>
        <w:rPr>
          <w:rFonts w:ascii="宋体" w:hAnsi="宋体"/>
          <w:color w:val="000000" w:themeColor="text1"/>
          <w:sz w:val="24"/>
          <w:szCs w:val="24"/>
        </w:rPr>
      </w:pPr>
      <w:r>
        <w:rPr>
          <w:rFonts w:hint="eastAsia" w:ascii="宋体" w:hAnsi="宋体"/>
          <w:color w:val="000000" w:themeColor="text1"/>
          <w:sz w:val="24"/>
          <w:szCs w:val="24"/>
        </w:rPr>
        <w:t>项目号：</w:t>
      </w:r>
    </w:p>
    <w:p>
      <w:pPr>
        <w:snapToGrid w:val="0"/>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序号</w:t>
            </w:r>
          </w:p>
        </w:tc>
        <w:tc>
          <w:tcPr>
            <w:tcW w:w="2428"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采购需求</w:t>
            </w:r>
          </w:p>
        </w:tc>
        <w:tc>
          <w:tcPr>
            <w:tcW w:w="2520"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响应情况</w:t>
            </w:r>
          </w:p>
        </w:tc>
        <w:tc>
          <w:tcPr>
            <w:tcW w:w="2416" w:type="dxa"/>
            <w:vAlign w:val="center"/>
          </w:tcPr>
          <w:p>
            <w:pPr>
              <w:tabs>
                <w:tab w:val="left" w:pos="6300"/>
              </w:tabs>
              <w:snapToGrid w:val="0"/>
              <w:jc w:val="center"/>
              <w:outlineLvl w:val="0"/>
              <w:rPr>
                <w:rFonts w:ascii="宋体" w:hAnsi="宋体"/>
                <w:color w:val="000000" w:themeColor="text1"/>
                <w:sz w:val="21"/>
                <w:szCs w:val="21"/>
              </w:rPr>
            </w:pPr>
            <w:r>
              <w:rPr>
                <w:rFonts w:hint="eastAsia" w:ascii="宋体" w:hAnsi="宋体"/>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000000" w:themeColor="text1"/>
                <w:sz w:val="21"/>
                <w:szCs w:val="21"/>
              </w:rPr>
            </w:pPr>
          </w:p>
        </w:tc>
        <w:tc>
          <w:tcPr>
            <w:tcW w:w="2428" w:type="dxa"/>
            <w:vAlign w:val="center"/>
          </w:tcPr>
          <w:p>
            <w:pPr>
              <w:tabs>
                <w:tab w:val="left" w:pos="6300"/>
              </w:tabs>
              <w:snapToGrid w:val="0"/>
              <w:ind w:firstLine="420" w:firstLineChars="200"/>
              <w:rPr>
                <w:rFonts w:ascii="宋体" w:hAnsi="宋体"/>
                <w:color w:val="000000" w:themeColor="text1"/>
                <w:sz w:val="21"/>
                <w:szCs w:val="21"/>
              </w:rPr>
            </w:pPr>
          </w:p>
        </w:tc>
        <w:tc>
          <w:tcPr>
            <w:tcW w:w="2520" w:type="dxa"/>
            <w:vAlign w:val="center"/>
          </w:tcPr>
          <w:p>
            <w:pPr>
              <w:tabs>
                <w:tab w:val="left" w:pos="6300"/>
              </w:tabs>
              <w:snapToGrid w:val="0"/>
              <w:ind w:firstLine="420" w:firstLineChars="200"/>
              <w:rPr>
                <w:rFonts w:ascii="宋体" w:hAnsi="宋体"/>
                <w:color w:val="000000" w:themeColor="text1"/>
                <w:sz w:val="21"/>
                <w:szCs w:val="21"/>
              </w:rPr>
            </w:pPr>
          </w:p>
        </w:tc>
        <w:tc>
          <w:tcPr>
            <w:tcW w:w="2416" w:type="dxa"/>
            <w:vAlign w:val="center"/>
          </w:tcPr>
          <w:p>
            <w:pPr>
              <w:tabs>
                <w:tab w:val="left" w:pos="6300"/>
              </w:tabs>
              <w:snapToGrid w:val="0"/>
              <w:ind w:firstLine="420" w:firstLineChars="200"/>
              <w:rPr>
                <w:rFonts w:ascii="宋体" w:hAnsi="宋体"/>
                <w:color w:val="000000" w:themeColor="text1"/>
                <w:sz w:val="21"/>
                <w:szCs w:val="21"/>
              </w:rPr>
            </w:pPr>
          </w:p>
        </w:tc>
      </w:tr>
    </w:tbl>
    <w:p>
      <w:pPr>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供应商：                          法定代表人（或法定代表人授权代表）：</w:t>
      </w:r>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（供应商公章）                          （签字或盖章）</w:t>
      </w:r>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年     月     日</w:t>
      </w:r>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3.该表可扩展。</w:t>
      </w:r>
    </w:p>
    <w:p>
      <w:pPr>
        <w:tabs>
          <w:tab w:val="left" w:pos="6300"/>
        </w:tabs>
        <w:snapToGrid w:val="0"/>
        <w:spacing w:line="360" w:lineRule="auto"/>
        <w:ind w:firstLine="480" w:firstLineChars="200"/>
        <w:rPr>
          <w:rFonts w:ascii="宋体" w:hAnsi="宋体"/>
          <w:color w:val="000000" w:themeColor="text1"/>
          <w:sz w:val="24"/>
          <w:szCs w:val="24"/>
        </w:rPr>
      </w:pPr>
    </w:p>
    <w:p>
      <w:pPr>
        <w:pStyle w:val="2"/>
        <w:rPr>
          <w:color w:val="000000" w:themeColor="text1"/>
        </w:rPr>
      </w:pPr>
    </w:p>
    <w:p>
      <w:pPr>
        <w:tabs>
          <w:tab w:val="left" w:pos="6300"/>
        </w:tabs>
        <w:snapToGrid w:val="0"/>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（二）其它商务内容（格式自定）</w:t>
      </w:r>
    </w:p>
    <w:p>
      <w:pPr>
        <w:pStyle w:val="2"/>
        <w:rPr>
          <w:color w:val="000000" w:themeColor="text1"/>
        </w:rPr>
      </w:pPr>
    </w:p>
    <w:p>
      <w:pPr>
        <w:pageBreakBefore/>
        <w:tabs>
          <w:tab w:val="left" w:pos="6300"/>
        </w:tabs>
        <w:snapToGrid w:val="0"/>
        <w:spacing w:line="360" w:lineRule="auto"/>
        <w:rPr>
          <w:b/>
          <w:color w:val="000000" w:themeColor="text1"/>
          <w:sz w:val="24"/>
          <w:szCs w:val="24"/>
        </w:rPr>
      </w:pPr>
      <w:bookmarkStart w:id="134" w:name="_Toc313888363"/>
      <w:bookmarkStart w:id="135" w:name="_Toc23764525"/>
      <w:bookmarkStart w:id="136" w:name="_Toc313008359"/>
      <w:bookmarkStart w:id="137" w:name="_Toc342913422"/>
      <w:r>
        <w:rPr>
          <w:b/>
          <w:color w:val="000000" w:themeColor="text1"/>
          <w:sz w:val="24"/>
          <w:szCs w:val="24"/>
        </w:rPr>
        <w:t>四、资格条件及其他</w:t>
      </w:r>
      <w:bookmarkEnd w:id="134"/>
      <w:bookmarkEnd w:id="135"/>
      <w:bookmarkEnd w:id="136"/>
      <w:bookmarkEnd w:id="137"/>
    </w:p>
    <w:p>
      <w:pPr>
        <w:tabs>
          <w:tab w:val="left" w:pos="6300"/>
        </w:tabs>
        <w:snapToGrid w:val="0"/>
        <w:spacing w:line="360" w:lineRule="auto"/>
        <w:ind w:firstLine="570"/>
        <w:rPr>
          <w:rFonts w:ascii="宋体" w:hAnsi="宋体"/>
          <w:color w:val="000000" w:themeColor="text1"/>
          <w:sz w:val="24"/>
          <w:szCs w:val="24"/>
        </w:rPr>
      </w:pPr>
      <w:r>
        <w:rPr>
          <w:rFonts w:hint="eastAsia" w:ascii="宋体" w:hAnsi="宋体"/>
          <w:color w:val="000000" w:themeColor="text1"/>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color w:val="000000" w:themeColor="text1"/>
        </w:rPr>
      </w:pP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（二）法定代表人身份证明书（格式）</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项目名称：</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rPr>
          <w:rFonts w:ascii="宋体" w:hAnsi="宋体"/>
          <w:color w:val="000000" w:themeColor="text1"/>
          <w:sz w:val="24"/>
        </w:rPr>
      </w:pPr>
      <w:r>
        <w:rPr>
          <w:rFonts w:hint="eastAsia" w:ascii="宋体" w:hAnsi="宋体"/>
          <w:color w:val="000000" w:themeColor="text1"/>
          <w:sz w:val="24"/>
        </w:rPr>
        <w:t>致：（采购代理机构名称）：</w:t>
      </w: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（法定代表人姓名）在（供应商名称）任（职务名称）职务，是（供应商名称）的法定代表人。</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特此证明。</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 xml:space="preserve">                                             （供应商公章）</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 xml:space="preserve">                                             年   月   日</w:t>
      </w: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（附：法定代表人身份证正反面复印件）</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snapToGrid w:val="0"/>
        <w:spacing w:line="360" w:lineRule="auto"/>
        <w:ind w:firstLine="560" w:firstLineChars="200"/>
        <w:rPr>
          <w:rFonts w:ascii="宋体" w:hAnsi="宋体"/>
          <w:color w:val="000000" w:themeColor="text1"/>
          <w:sz w:val="24"/>
          <w:szCs w:val="24"/>
        </w:rPr>
      </w:pPr>
      <w:r>
        <w:rPr>
          <w:rFonts w:ascii="宋体" w:hAnsi="宋体"/>
          <w:color w:val="000000" w:themeColor="text1"/>
        </w:rPr>
        <w:br w:type="column"/>
      </w:r>
      <w:r>
        <w:rPr>
          <w:rFonts w:hint="eastAsia" w:ascii="宋体" w:hAnsi="宋体"/>
          <w:color w:val="000000" w:themeColor="text1"/>
          <w:sz w:val="24"/>
          <w:szCs w:val="24"/>
        </w:rPr>
        <w:t>（三）法定代表人授权委托书（格式）</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szCs w:val="28"/>
        </w:rPr>
        <w:t>项目名称</w:t>
      </w:r>
      <w:r>
        <w:rPr>
          <w:rFonts w:hint="eastAsia" w:ascii="宋体" w:hAnsi="宋体"/>
          <w:color w:val="000000" w:themeColor="text1"/>
          <w:sz w:val="24"/>
        </w:rPr>
        <w:t>：</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rPr>
          <w:rFonts w:ascii="宋体" w:hAnsi="宋体"/>
          <w:color w:val="000000" w:themeColor="text1"/>
          <w:sz w:val="24"/>
        </w:rPr>
      </w:pPr>
      <w:r>
        <w:rPr>
          <w:rFonts w:hint="eastAsia" w:ascii="宋体" w:hAnsi="宋体"/>
          <w:color w:val="000000" w:themeColor="text1"/>
          <w:sz w:val="24"/>
        </w:rPr>
        <w:t>致：（采购代理机构名称）：</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我单位对被授权人的</w:t>
      </w:r>
      <w:r>
        <w:rPr>
          <w:rFonts w:hint="eastAsia" w:ascii="宋体" w:hAnsi="宋体"/>
          <w:color w:val="000000" w:themeColor="text1"/>
          <w:sz w:val="24"/>
          <w:szCs w:val="28"/>
        </w:rPr>
        <w:t>签署</w:t>
      </w:r>
      <w:r>
        <w:rPr>
          <w:rFonts w:hint="eastAsia" w:ascii="宋体" w:hAnsi="宋体"/>
          <w:color w:val="000000" w:themeColor="text1"/>
          <w:sz w:val="24"/>
        </w:rPr>
        <w:t>负全部责任。</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被授权人：                                 供应商法定代表人：</w:t>
      </w:r>
    </w:p>
    <w:p>
      <w:pPr>
        <w:tabs>
          <w:tab w:val="left" w:pos="6300"/>
        </w:tabs>
        <w:snapToGrid w:val="0"/>
        <w:spacing w:line="360" w:lineRule="auto"/>
        <w:ind w:firstLine="570"/>
        <w:rPr>
          <w:rFonts w:ascii="宋体" w:hAnsi="宋体"/>
          <w:color w:val="000000" w:themeColor="text1"/>
          <w:sz w:val="24"/>
          <w:szCs w:val="28"/>
        </w:rPr>
      </w:pPr>
      <w:r>
        <w:rPr>
          <w:rFonts w:hint="eastAsia" w:ascii="宋体" w:hAnsi="宋体"/>
          <w:color w:val="000000" w:themeColor="text1"/>
          <w:sz w:val="24"/>
          <w:szCs w:val="28"/>
        </w:rPr>
        <w:t>（签署或盖章）                                （签署或盖章）</w:t>
      </w:r>
    </w:p>
    <w:p>
      <w:pPr>
        <w:tabs>
          <w:tab w:val="left" w:pos="6300"/>
        </w:tabs>
        <w:snapToGrid w:val="0"/>
        <w:spacing w:line="360" w:lineRule="auto"/>
        <w:ind w:firstLine="570"/>
        <w:rPr>
          <w:rFonts w:ascii="宋体" w:hAnsi="宋体"/>
          <w:color w:val="000000" w:themeColor="text1"/>
          <w:sz w:val="24"/>
          <w:szCs w:val="28"/>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r>
        <w:rPr>
          <w:rFonts w:hint="eastAsia" w:ascii="宋体" w:hAnsi="宋体"/>
          <w:color w:val="000000" w:themeColor="text1"/>
          <w:sz w:val="24"/>
        </w:rPr>
        <w:t>（附：被授权人身份证正反面复印件）</w:t>
      </w: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firstLine="570"/>
        <w:rPr>
          <w:rFonts w:ascii="宋体" w:hAnsi="宋体"/>
          <w:color w:val="000000" w:themeColor="text1"/>
          <w:sz w:val="24"/>
        </w:rPr>
      </w:pPr>
    </w:p>
    <w:p>
      <w:pPr>
        <w:tabs>
          <w:tab w:val="left" w:pos="6300"/>
        </w:tabs>
        <w:snapToGrid w:val="0"/>
        <w:spacing w:line="360" w:lineRule="auto"/>
        <w:ind w:right="480" w:firstLine="570"/>
        <w:jc w:val="right"/>
        <w:rPr>
          <w:rFonts w:ascii="宋体" w:hAnsi="宋体"/>
          <w:color w:val="000000" w:themeColor="text1"/>
          <w:sz w:val="24"/>
        </w:rPr>
      </w:pPr>
      <w:r>
        <w:rPr>
          <w:rFonts w:hint="eastAsia" w:ascii="宋体" w:hAnsi="宋体"/>
          <w:color w:val="000000" w:themeColor="text1"/>
          <w:sz w:val="24"/>
        </w:rPr>
        <w:t>（供应商公章）</w:t>
      </w:r>
    </w:p>
    <w:p>
      <w:pPr>
        <w:tabs>
          <w:tab w:val="left" w:pos="6300"/>
        </w:tabs>
        <w:snapToGrid w:val="0"/>
        <w:spacing w:line="360" w:lineRule="auto"/>
        <w:ind w:right="480" w:firstLine="570"/>
        <w:jc w:val="right"/>
        <w:rPr>
          <w:rFonts w:ascii="宋体" w:hAnsi="宋体"/>
          <w:color w:val="000000" w:themeColor="text1"/>
          <w:sz w:val="24"/>
        </w:rPr>
      </w:pPr>
      <w:r>
        <w:rPr>
          <w:rFonts w:hint="eastAsia" w:ascii="宋体" w:hAnsi="宋体"/>
          <w:color w:val="000000" w:themeColor="text1"/>
          <w:sz w:val="24"/>
        </w:rPr>
        <w:t>年   月   日</w:t>
      </w:r>
    </w:p>
    <w:p>
      <w:pPr>
        <w:tabs>
          <w:tab w:val="left" w:pos="6300"/>
        </w:tabs>
        <w:snapToGrid w:val="0"/>
        <w:spacing w:line="360" w:lineRule="auto"/>
        <w:ind w:right="480" w:firstLine="570"/>
        <w:jc w:val="left"/>
        <w:rPr>
          <w:rFonts w:ascii="宋体" w:hAnsi="宋体"/>
          <w:color w:val="000000" w:themeColor="text1"/>
          <w:sz w:val="24"/>
        </w:rPr>
      </w:pPr>
      <w:r>
        <w:rPr>
          <w:rFonts w:hint="eastAsia" w:ascii="宋体" w:hAnsi="宋体"/>
          <w:color w:val="000000" w:themeColor="text1"/>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color w:val="000000" w:themeColor="text1"/>
          <w:sz w:val="24"/>
        </w:rPr>
      </w:pPr>
      <w:r>
        <w:rPr>
          <w:rFonts w:hint="eastAsia" w:ascii="宋体" w:hAnsi="宋体"/>
          <w:color w:val="000000" w:themeColor="text1"/>
          <w:sz w:val="24"/>
        </w:rPr>
        <w:t>注：</w:t>
      </w:r>
    </w:p>
    <w:p>
      <w:pPr>
        <w:tabs>
          <w:tab w:val="left" w:pos="6300"/>
        </w:tabs>
        <w:snapToGrid w:val="0"/>
        <w:spacing w:line="360" w:lineRule="auto"/>
        <w:ind w:right="480" w:firstLine="570"/>
        <w:jc w:val="left"/>
        <w:rPr>
          <w:rFonts w:ascii="宋体" w:hAnsi="宋体"/>
          <w:color w:val="000000" w:themeColor="text1"/>
          <w:sz w:val="24"/>
        </w:rPr>
      </w:pPr>
      <w:r>
        <w:rPr>
          <w:rFonts w:hint="eastAsia" w:ascii="宋体" w:hAnsi="宋体"/>
          <w:color w:val="000000" w:themeColor="text1"/>
          <w:sz w:val="24"/>
        </w:rPr>
        <w:t>1.若为法定代表人办理并签署响应文件的，不提供此文件。</w:t>
      </w:r>
    </w:p>
    <w:p>
      <w:pPr>
        <w:tabs>
          <w:tab w:val="left" w:pos="6300"/>
        </w:tabs>
        <w:snapToGrid w:val="0"/>
        <w:spacing w:line="360" w:lineRule="auto"/>
        <w:ind w:firstLine="570"/>
        <w:rPr>
          <w:rFonts w:ascii="宋体" w:hAnsi="宋体"/>
          <w:color w:val="000000" w:themeColor="text1"/>
          <w:sz w:val="24"/>
          <w:szCs w:val="24"/>
        </w:rPr>
      </w:pPr>
      <w:r>
        <w:rPr>
          <w:rFonts w:ascii="宋体" w:hAnsi="宋体"/>
          <w:color w:val="000000" w:themeColor="text1"/>
        </w:rPr>
        <w:br w:type="column"/>
      </w:r>
      <w:r>
        <w:rPr>
          <w:rFonts w:hint="eastAsia" w:ascii="宋体" w:hAnsi="宋体"/>
          <w:color w:val="000000" w:themeColor="text1"/>
          <w:sz w:val="24"/>
          <w:szCs w:val="24"/>
        </w:rPr>
        <w:t>（四）</w:t>
      </w:r>
      <w:r>
        <w:rPr>
          <w:rFonts w:hint="eastAsia" w:ascii="宋体" w:hAnsi="宋体"/>
          <w:color w:val="000000" w:themeColor="text1"/>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color w:val="000000" w:themeColor="text1"/>
          <w:sz w:val="32"/>
          <w:szCs w:val="32"/>
        </w:rPr>
      </w:pPr>
      <w:r>
        <w:rPr>
          <w:rFonts w:hint="eastAsia" w:ascii="宋体" w:hAnsi="宋体" w:cs="方正仿宋_GBK"/>
          <w:b/>
          <w:bCs/>
          <w:color w:val="000000" w:themeColor="text1"/>
          <w:sz w:val="32"/>
          <w:szCs w:val="32"/>
        </w:rPr>
        <w:t>基本资格条件承诺函</w:t>
      </w:r>
    </w:p>
    <w:p>
      <w:pPr>
        <w:tabs>
          <w:tab w:val="left" w:pos="6300"/>
        </w:tabs>
        <w:snapToGrid w:val="0"/>
        <w:spacing w:line="360" w:lineRule="auto"/>
        <w:rPr>
          <w:rFonts w:ascii="宋体" w:hAnsi="宋体"/>
          <w:color w:val="000000" w:themeColor="text1"/>
          <w:sz w:val="24"/>
        </w:rPr>
      </w:pP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致（采购代理机构名称）：</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（供应商名称）郑重承诺：</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1.我方具有良好的商业信誉和健全的财务会计制度，具有履行合同所必需的设备和专业技术能力，具</w:t>
      </w:r>
      <w:r>
        <w:rPr>
          <w:rFonts w:hint="eastAsia" w:ascii="宋体" w:hAnsi="宋体"/>
          <w:color w:val="000000" w:themeColor="text1"/>
          <w:sz w:val="24"/>
          <w:lang w:val="zh-CN"/>
        </w:rPr>
        <w:t>有依法缴纳税收和社会保障金的良好记录</w:t>
      </w:r>
      <w:r>
        <w:rPr>
          <w:rFonts w:hint="eastAsia" w:ascii="宋体" w:hAnsi="宋体"/>
          <w:color w:val="000000" w:themeColor="text1"/>
          <w:sz w:val="24"/>
        </w:rPr>
        <w:t>，参加本项目采购活动前三年内无重大违法活动记录。</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我方对以上承诺负全部法律责任。</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特此承诺。</w:t>
      </w:r>
    </w:p>
    <w:p>
      <w:pPr>
        <w:tabs>
          <w:tab w:val="left" w:pos="6300"/>
        </w:tabs>
        <w:snapToGrid w:val="0"/>
        <w:spacing w:line="360" w:lineRule="auto"/>
        <w:ind w:firstLine="480" w:firstLineChars="200"/>
        <w:rPr>
          <w:rFonts w:ascii="宋体" w:hAnsi="宋体"/>
          <w:color w:val="000000" w:themeColor="text1"/>
          <w:sz w:val="24"/>
        </w:rPr>
      </w:pPr>
    </w:p>
    <w:p>
      <w:pPr>
        <w:tabs>
          <w:tab w:val="left" w:pos="6300"/>
        </w:tabs>
        <w:snapToGrid w:val="0"/>
        <w:spacing w:line="360" w:lineRule="auto"/>
        <w:ind w:firstLine="480" w:firstLineChars="200"/>
        <w:jc w:val="right"/>
        <w:rPr>
          <w:rFonts w:ascii="宋体" w:hAnsi="宋体"/>
          <w:color w:val="000000" w:themeColor="text1"/>
          <w:sz w:val="24"/>
        </w:rPr>
      </w:pPr>
      <w:r>
        <w:rPr>
          <w:rFonts w:hint="eastAsia" w:ascii="宋体" w:hAnsi="宋体"/>
          <w:color w:val="000000" w:themeColor="text1"/>
          <w:sz w:val="24"/>
        </w:rPr>
        <w:t>（供应商公章）</w:t>
      </w:r>
    </w:p>
    <w:p>
      <w:pPr>
        <w:tabs>
          <w:tab w:val="left" w:pos="6300"/>
        </w:tabs>
        <w:snapToGrid w:val="0"/>
        <w:spacing w:line="360" w:lineRule="auto"/>
        <w:ind w:firstLine="7920" w:firstLineChars="3300"/>
        <w:rPr>
          <w:rFonts w:ascii="宋体" w:hAnsi="宋体"/>
          <w:color w:val="000000" w:themeColor="text1"/>
          <w:sz w:val="24"/>
        </w:rPr>
      </w:pPr>
      <w:r>
        <w:rPr>
          <w:rFonts w:hint="eastAsia" w:ascii="宋体" w:hAnsi="宋体"/>
          <w:color w:val="000000" w:themeColor="text1"/>
          <w:sz w:val="24"/>
        </w:rPr>
        <w:t>年   月   日</w:t>
      </w:r>
    </w:p>
    <w:p>
      <w:pPr>
        <w:snapToGrid w:val="0"/>
        <w:spacing w:line="360" w:lineRule="auto"/>
        <w:ind w:firstLine="480" w:firstLineChars="200"/>
        <w:rPr>
          <w:rFonts w:ascii="宋体" w:hAnsi="宋体"/>
          <w:color w:val="000000" w:themeColor="text1"/>
          <w:sz w:val="24"/>
          <w:szCs w:val="24"/>
        </w:rPr>
      </w:pP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（五）特定资格条件证明文件（如有）</w:t>
      </w:r>
    </w:p>
    <w:p>
      <w:pPr>
        <w:tabs>
          <w:tab w:val="left" w:pos="6300"/>
        </w:tabs>
        <w:snapToGrid w:val="0"/>
        <w:spacing w:line="360" w:lineRule="auto"/>
        <w:ind w:firstLine="480" w:firstLineChars="200"/>
        <w:rPr>
          <w:rFonts w:ascii="宋体" w:hAnsi="宋体"/>
          <w:color w:val="000000" w:themeColor="text1"/>
          <w:sz w:val="24"/>
          <w:szCs w:val="24"/>
        </w:rPr>
      </w:pP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（六）落实政府采购政策需满足的资格要求（如有）</w:t>
      </w:r>
    </w:p>
    <w:p>
      <w:pPr>
        <w:tabs>
          <w:tab w:val="left" w:pos="6300"/>
        </w:tabs>
        <w:snapToGrid w:val="0"/>
        <w:spacing w:line="360" w:lineRule="auto"/>
        <w:ind w:firstLine="480" w:firstLineChars="200"/>
        <w:rPr>
          <w:rFonts w:ascii="宋体" w:hAnsi="宋体"/>
          <w:color w:val="000000" w:themeColor="text1"/>
          <w:sz w:val="24"/>
          <w:szCs w:val="24"/>
        </w:rPr>
      </w:pPr>
    </w:p>
    <w:p>
      <w:pPr>
        <w:pStyle w:val="6"/>
        <w:snapToGrid w:val="0"/>
        <w:spacing w:before="0" w:after="0" w:line="360" w:lineRule="auto"/>
        <w:ind w:firstLine="560" w:firstLineChars="200"/>
        <w:rPr>
          <w:color w:val="000000" w:themeColor="text1"/>
          <w:sz w:val="24"/>
          <w:szCs w:val="24"/>
        </w:rPr>
      </w:pPr>
      <w:bookmarkStart w:id="138" w:name="_Toc14422"/>
      <w:r>
        <w:rPr>
          <w:rFonts w:ascii="宋体" w:hAnsi="宋体"/>
          <w:b w:val="0"/>
          <w:color w:val="000000" w:themeColor="text1"/>
          <w:sz w:val="28"/>
        </w:rPr>
        <w:br w:type="page"/>
      </w:r>
      <w:bookmarkStart w:id="139" w:name="_Toc123721253"/>
      <w:bookmarkStart w:id="140" w:name="_Toc111463666"/>
      <w:bookmarkStart w:id="141" w:name="_Toc148963331"/>
      <w:bookmarkStart w:id="142" w:name="_Toc111112240"/>
      <w:bookmarkStart w:id="143" w:name="_Toc110935338"/>
      <w:bookmarkStart w:id="144" w:name="_Toc107390435"/>
      <w:bookmarkStart w:id="145" w:name="_Toc111534244"/>
      <w:bookmarkStart w:id="146" w:name="_Toc76462354"/>
      <w:r>
        <w:rPr>
          <w:rFonts w:hint="eastAsia"/>
          <w:color w:val="000000" w:themeColor="text1"/>
          <w:sz w:val="24"/>
          <w:szCs w:val="24"/>
        </w:rPr>
        <w:t>五、其他资料</w:t>
      </w:r>
      <w:bookmarkEnd w:id="138"/>
      <w:bookmarkEnd w:id="139"/>
      <w:bookmarkEnd w:id="140"/>
      <w:bookmarkEnd w:id="141"/>
      <w:bookmarkEnd w:id="142"/>
      <w:bookmarkEnd w:id="143"/>
      <w:bookmarkEnd w:id="144"/>
      <w:bookmarkEnd w:id="145"/>
      <w:bookmarkEnd w:id="146"/>
    </w:p>
    <w:p>
      <w:pPr>
        <w:tabs>
          <w:tab w:val="left" w:pos="6300"/>
        </w:tabs>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color w:val="000000" w:themeColor="text1"/>
        </w:rPr>
      </w:pPr>
      <w:r>
        <w:rPr>
          <w:rFonts w:hint="eastAsia" w:ascii="宋体" w:hAnsi="宋体"/>
          <w:color w:val="000000" w:themeColor="text1"/>
        </w:rPr>
        <w:t>中小企业声明函</w:t>
      </w:r>
    </w:p>
    <w:p>
      <w:pPr>
        <w:tabs>
          <w:tab w:val="left" w:pos="6300"/>
        </w:tabs>
        <w:snapToGrid w:val="0"/>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本公司（联合体）郑重声明，根据《政府采购促进中小企业发展管理办法》（</w:t>
      </w:r>
      <w:r>
        <w:rPr>
          <w:rFonts w:hint="eastAsia" w:ascii="宋体" w:hAnsi="宋体"/>
          <w:color w:val="000000" w:themeColor="text1"/>
          <w:sz w:val="24"/>
          <w:szCs w:val="24"/>
        </w:rPr>
        <w:t>财库〔2020〕46号</w:t>
      </w:r>
      <w:r>
        <w:rPr>
          <w:rFonts w:hint="eastAsia" w:ascii="宋体" w:hAnsi="宋体"/>
          <w:color w:val="000000" w:themeColor="text1"/>
          <w:sz w:val="24"/>
          <w:szCs w:val="28"/>
        </w:rPr>
        <w:t>）的规定，本公司（联合体）参加</w:t>
      </w:r>
      <w:r>
        <w:rPr>
          <w:rFonts w:hint="eastAsia" w:ascii="宋体" w:hAnsi="宋体"/>
          <w:i/>
          <w:color w:val="000000" w:themeColor="text1"/>
          <w:sz w:val="24"/>
          <w:szCs w:val="28"/>
          <w:u w:val="single"/>
        </w:rPr>
        <w:t>（单位名称）</w:t>
      </w:r>
      <w:r>
        <w:rPr>
          <w:rFonts w:hint="eastAsia" w:ascii="宋体" w:hAnsi="宋体"/>
          <w:color w:val="000000" w:themeColor="text1"/>
          <w:sz w:val="24"/>
          <w:szCs w:val="28"/>
        </w:rPr>
        <w:t>的</w:t>
      </w:r>
      <w:r>
        <w:rPr>
          <w:rFonts w:hint="eastAsia" w:ascii="宋体" w:hAnsi="宋体"/>
          <w:i/>
          <w:color w:val="000000" w:themeColor="text1"/>
          <w:sz w:val="24"/>
          <w:szCs w:val="28"/>
          <w:u w:val="single"/>
        </w:rPr>
        <w:t>（项目名称）</w:t>
      </w:r>
      <w:r>
        <w:rPr>
          <w:rFonts w:hint="eastAsia" w:ascii="宋体" w:hAnsi="宋体"/>
          <w:color w:val="000000" w:themeColor="text1"/>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color w:val="000000" w:themeColor="text1"/>
          <w:sz w:val="24"/>
          <w:szCs w:val="28"/>
        </w:rPr>
      </w:pPr>
      <w:r>
        <w:rPr>
          <w:rFonts w:hint="eastAsia" w:ascii="宋体" w:hAnsi="宋体"/>
          <w:i/>
          <w:color w:val="000000" w:themeColor="text1"/>
          <w:sz w:val="24"/>
          <w:szCs w:val="28"/>
          <w:u w:val="single"/>
        </w:rPr>
        <w:t>（标的名称）</w:t>
      </w:r>
      <w:r>
        <w:rPr>
          <w:rFonts w:hint="eastAsia" w:ascii="宋体" w:hAnsi="宋体"/>
          <w:color w:val="000000" w:themeColor="text1"/>
          <w:sz w:val="24"/>
          <w:szCs w:val="28"/>
        </w:rPr>
        <w:t>，属于</w:t>
      </w:r>
      <w:r>
        <w:rPr>
          <w:rFonts w:hint="eastAsia" w:ascii="宋体" w:hAnsi="宋体"/>
          <w:i/>
          <w:color w:val="000000" w:themeColor="text1"/>
          <w:sz w:val="24"/>
          <w:szCs w:val="28"/>
          <w:u w:val="single"/>
        </w:rPr>
        <w:t>（采购文件中明确的所属行业）</w:t>
      </w:r>
      <w:r>
        <w:rPr>
          <w:rFonts w:hint="eastAsia" w:ascii="宋体" w:hAnsi="宋体"/>
          <w:color w:val="000000" w:themeColor="text1"/>
          <w:sz w:val="24"/>
          <w:szCs w:val="28"/>
        </w:rPr>
        <w:t>；承接企业为</w:t>
      </w:r>
      <w:r>
        <w:rPr>
          <w:rFonts w:hint="eastAsia" w:ascii="宋体" w:hAnsi="宋体"/>
          <w:i/>
          <w:color w:val="000000" w:themeColor="text1"/>
          <w:sz w:val="24"/>
          <w:szCs w:val="28"/>
          <w:u w:val="single"/>
        </w:rPr>
        <w:t>（企业名称）</w:t>
      </w:r>
      <w:r>
        <w:rPr>
          <w:rFonts w:hint="eastAsia" w:ascii="宋体" w:hAnsi="宋体"/>
          <w:color w:val="000000" w:themeColor="text1"/>
          <w:sz w:val="24"/>
          <w:szCs w:val="28"/>
        </w:rPr>
        <w:t>，从业人员人，营业收入为万元，资产总额为万元，属于</w:t>
      </w:r>
      <w:r>
        <w:rPr>
          <w:rFonts w:hint="eastAsia" w:ascii="宋体" w:hAnsi="宋体"/>
          <w:i/>
          <w:color w:val="000000" w:themeColor="text1"/>
          <w:sz w:val="24"/>
          <w:szCs w:val="28"/>
          <w:u w:val="single"/>
        </w:rPr>
        <w:t>（中型企业、小型企业、微型企业）</w:t>
      </w:r>
      <w:r>
        <w:rPr>
          <w:rFonts w:hint="eastAsia" w:ascii="宋体" w:hAnsi="宋体"/>
          <w:color w:val="000000" w:themeColor="text1"/>
          <w:sz w:val="24"/>
          <w:szCs w:val="28"/>
        </w:rPr>
        <w:t>；</w:t>
      </w:r>
    </w:p>
    <w:p>
      <w:pPr>
        <w:tabs>
          <w:tab w:val="left" w:pos="6300"/>
        </w:tabs>
        <w:snapToGrid w:val="0"/>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为本标的提供的服务人员人，其中与本企业签订劳动合同人，其他人员人。</w:t>
      </w:r>
      <w:r>
        <w:rPr>
          <w:rFonts w:hint="eastAsia" w:ascii="宋体" w:hAnsi="宋体"/>
          <w:b/>
          <w:bCs/>
          <w:color w:val="000000" w:themeColor="text1"/>
          <w:sz w:val="24"/>
          <w:szCs w:val="28"/>
        </w:rPr>
        <w:t>有其他人员的不符合中小企业扶持政策</w:t>
      </w:r>
      <w:r>
        <w:rPr>
          <w:rFonts w:hint="eastAsia" w:ascii="宋体" w:hAnsi="宋体"/>
          <w:color w:val="000000" w:themeColor="text1"/>
          <w:sz w:val="24"/>
          <w:szCs w:val="28"/>
        </w:rPr>
        <w:t>（适用于服务采购项目）;</w:t>
      </w:r>
    </w:p>
    <w:p>
      <w:pPr>
        <w:tabs>
          <w:tab w:val="left" w:pos="6300"/>
        </w:tabs>
        <w:snapToGrid w:val="0"/>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color w:val="000000" w:themeColor="text1"/>
          <w:sz w:val="24"/>
          <w:szCs w:val="28"/>
        </w:rPr>
      </w:pPr>
      <w:r>
        <w:rPr>
          <w:rFonts w:hint="eastAsia" w:ascii="宋体" w:hAnsi="宋体"/>
          <w:color w:val="000000" w:themeColor="text1"/>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color w:val="000000" w:themeColor="text1"/>
          <w:sz w:val="24"/>
          <w:szCs w:val="28"/>
        </w:rPr>
      </w:pPr>
    </w:p>
    <w:p>
      <w:pPr>
        <w:tabs>
          <w:tab w:val="left" w:pos="6300"/>
        </w:tabs>
        <w:snapToGrid w:val="0"/>
        <w:spacing w:line="360" w:lineRule="auto"/>
        <w:ind w:firstLine="6120" w:firstLineChars="2550"/>
        <w:rPr>
          <w:rFonts w:ascii="宋体" w:hAnsi="宋体"/>
          <w:color w:val="000000" w:themeColor="text1"/>
          <w:sz w:val="24"/>
          <w:szCs w:val="28"/>
        </w:rPr>
      </w:pPr>
      <w:r>
        <w:rPr>
          <w:rFonts w:hint="eastAsia" w:ascii="宋体" w:hAnsi="宋体"/>
          <w:color w:val="000000" w:themeColor="text1"/>
          <w:sz w:val="24"/>
          <w:szCs w:val="28"/>
        </w:rPr>
        <w:t xml:space="preserve">企业名称（盖章）： </w:t>
      </w:r>
    </w:p>
    <w:p>
      <w:pPr>
        <w:tabs>
          <w:tab w:val="left" w:pos="6300"/>
        </w:tabs>
        <w:snapToGrid w:val="0"/>
        <w:spacing w:line="360" w:lineRule="auto"/>
        <w:ind w:right="784" w:firstLine="6120" w:firstLineChars="2550"/>
        <w:rPr>
          <w:rFonts w:ascii="宋体" w:hAnsi="宋体"/>
          <w:color w:val="000000" w:themeColor="text1"/>
          <w:sz w:val="24"/>
        </w:rPr>
      </w:pPr>
      <w:r>
        <w:rPr>
          <w:rFonts w:hint="eastAsia" w:ascii="宋体" w:hAnsi="宋体"/>
          <w:color w:val="000000" w:themeColor="text1"/>
          <w:sz w:val="24"/>
          <w:szCs w:val="28"/>
        </w:rPr>
        <w:t>日期：</w:t>
      </w:r>
    </w:p>
    <w:p>
      <w:pPr>
        <w:tabs>
          <w:tab w:val="left" w:pos="6300"/>
        </w:tabs>
        <w:snapToGrid w:val="0"/>
        <w:spacing w:line="360" w:lineRule="auto"/>
        <w:rPr>
          <w:rFonts w:ascii="宋体" w:hAnsi="宋体" w:cs="宋体"/>
          <w:color w:val="000000" w:themeColor="text1"/>
          <w:kern w:val="0"/>
          <w:sz w:val="21"/>
          <w:szCs w:val="21"/>
        </w:rPr>
      </w:pPr>
      <w:r>
        <w:rPr>
          <w:rFonts w:hint="eastAsia" w:ascii="宋体" w:hAnsi="宋体" w:cs="宋体"/>
          <w:color w:val="000000" w:themeColor="text1"/>
          <w:kern w:val="0"/>
          <w:sz w:val="21"/>
          <w:szCs w:val="21"/>
        </w:rPr>
        <w:t>填写时应注意以下事项：</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注：各行业划型标准：</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ascii="宋体" w:hAnsi="宋体"/>
          <w:color w:val="000000" w:themeColor="text1"/>
        </w:rPr>
      </w:pPr>
      <w:r>
        <w:rPr>
          <w:rFonts w:ascii="宋体" w:hAnsi="宋体"/>
          <w:color w:val="000000" w:themeColor="text1"/>
          <w:sz w:val="24"/>
          <w:szCs w:val="24"/>
        </w:rPr>
        <w:br w:type="page"/>
      </w:r>
      <w:r>
        <w:rPr>
          <w:rFonts w:hint="eastAsia" w:ascii="宋体" w:hAnsi="宋体"/>
          <w:color w:val="000000" w:themeColor="text1"/>
        </w:rPr>
        <w:t>监狱企业证明文件</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color w:val="000000" w:themeColor="text1"/>
        </w:rPr>
      </w:pPr>
    </w:p>
    <w:p>
      <w:pPr>
        <w:tabs>
          <w:tab w:val="left" w:pos="6300"/>
        </w:tabs>
        <w:snapToGrid w:val="0"/>
        <w:spacing w:line="360" w:lineRule="auto"/>
        <w:ind w:firstLine="560" w:firstLineChars="200"/>
        <w:jc w:val="center"/>
        <w:rPr>
          <w:rFonts w:ascii="宋体" w:hAnsi="宋体"/>
          <w:color w:val="000000" w:themeColor="text1"/>
        </w:rPr>
      </w:pPr>
      <w:r>
        <w:rPr>
          <w:rFonts w:hint="eastAsia" w:ascii="宋体" w:hAnsi="宋体"/>
          <w:color w:val="000000" w:themeColor="text1"/>
        </w:rPr>
        <w:t>残疾人福利性单位声明函</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color w:val="000000" w:themeColor="text1"/>
          <w:sz w:val="24"/>
        </w:rPr>
      </w:pPr>
    </w:p>
    <w:p>
      <w:pPr>
        <w:tabs>
          <w:tab w:val="left" w:pos="6300"/>
        </w:tabs>
        <w:snapToGrid w:val="0"/>
        <w:spacing w:line="360" w:lineRule="auto"/>
        <w:ind w:firstLine="480" w:firstLineChars="200"/>
        <w:rPr>
          <w:rFonts w:ascii="宋体" w:hAnsi="宋体"/>
          <w:color w:val="000000" w:themeColor="text1"/>
          <w:sz w:val="24"/>
        </w:rPr>
      </w:pPr>
    </w:p>
    <w:p>
      <w:pPr>
        <w:tabs>
          <w:tab w:val="left" w:pos="6300"/>
        </w:tabs>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供应商名称（盖章）：</w:t>
      </w:r>
    </w:p>
    <w:p>
      <w:pPr>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日  期：</w:t>
      </w:r>
    </w:p>
    <w:p>
      <w:pPr>
        <w:snapToGrid w:val="0"/>
        <w:spacing w:line="360" w:lineRule="auto"/>
        <w:ind w:firstLine="480" w:firstLineChars="200"/>
        <w:rPr>
          <w:rFonts w:ascii="宋体" w:hAnsi="宋体" w:cs="宋体"/>
          <w:color w:val="000000" w:themeColor="text1"/>
          <w:kern w:val="0"/>
          <w:sz w:val="24"/>
        </w:rPr>
      </w:pPr>
    </w:p>
    <w:p>
      <w:pPr>
        <w:snapToGrid w:val="0"/>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color w:val="000000" w:themeColor="text1"/>
          <w:sz w:val="24"/>
          <w:szCs w:val="24"/>
        </w:rPr>
      </w:pP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（二）其他与项目有关的资料</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其他与项目有关的资料（自附）：供应商总体情况介绍、其他与本项目有关的资料等。</w:t>
      </w:r>
    </w:p>
    <w:p>
      <w:pPr>
        <w:spacing w:line="360" w:lineRule="auto"/>
        <w:ind w:firstLine="480" w:firstLineChars="200"/>
        <w:rPr>
          <w:rFonts w:ascii="宋体" w:hAnsi="宋体"/>
          <w:color w:val="000000" w:themeColor="text1"/>
          <w:sz w:val="24"/>
          <w:szCs w:val="24"/>
        </w:rPr>
      </w:pPr>
    </w:p>
    <w:p>
      <w:pPr>
        <w:spacing w:line="360" w:lineRule="auto"/>
        <w:ind w:firstLine="480" w:firstLineChars="200"/>
        <w:jc w:val="center"/>
        <w:rPr>
          <w:rFonts w:ascii="宋体" w:hAnsi="宋体"/>
          <w:color w:val="000000" w:themeColor="text1"/>
          <w:sz w:val="24"/>
          <w:szCs w:val="24"/>
        </w:rPr>
      </w:pPr>
    </w:p>
    <w:p>
      <w:pPr>
        <w:spacing w:line="360" w:lineRule="auto"/>
        <w:ind w:firstLine="480" w:firstLineChars="200"/>
        <w:jc w:val="center"/>
        <w:rPr>
          <w:rFonts w:ascii="宋体" w:hAnsi="宋体"/>
          <w:color w:val="000000" w:themeColor="text1"/>
          <w:sz w:val="24"/>
          <w:szCs w:val="24"/>
        </w:rPr>
      </w:pPr>
    </w:p>
    <w:p>
      <w:pPr>
        <w:spacing w:line="360" w:lineRule="auto"/>
        <w:ind w:firstLine="480" w:firstLineChars="200"/>
        <w:jc w:val="center"/>
        <w:rPr>
          <w:rFonts w:ascii="宋体" w:hAnsi="宋体"/>
          <w:color w:val="000000" w:themeColor="text1"/>
          <w:sz w:val="24"/>
          <w:szCs w:val="24"/>
        </w:rPr>
      </w:pPr>
    </w:p>
    <w:p>
      <w:pPr>
        <w:spacing w:line="360" w:lineRule="auto"/>
        <w:ind w:firstLine="480" w:firstLineChars="200"/>
        <w:jc w:val="center"/>
        <w:rPr>
          <w:rFonts w:ascii="宋体" w:hAnsi="宋体"/>
          <w:color w:val="000000" w:themeColor="text1"/>
          <w:sz w:val="24"/>
          <w:szCs w:val="24"/>
        </w:rPr>
      </w:pPr>
    </w:p>
    <w:p>
      <w:pPr>
        <w:pStyle w:val="2"/>
        <w:rPr>
          <w:color w:val="000000" w:themeColor="text1"/>
        </w:rPr>
      </w:pPr>
    </w:p>
    <w:p>
      <w:pPr>
        <w:spacing w:line="360" w:lineRule="auto"/>
        <w:ind w:firstLine="480" w:firstLineChars="200"/>
        <w:jc w:val="center"/>
        <w:rPr>
          <w:rFonts w:ascii="宋体" w:hAnsi="宋体"/>
          <w:color w:val="000000" w:themeColor="text1"/>
          <w:sz w:val="24"/>
          <w:szCs w:val="24"/>
        </w:rPr>
      </w:pPr>
    </w:p>
    <w:p>
      <w:pPr>
        <w:spacing w:line="360" w:lineRule="auto"/>
        <w:ind w:firstLine="480" w:firstLineChars="200"/>
        <w:jc w:val="center"/>
        <w:outlineLvl w:val="0"/>
        <w:rPr>
          <w:rFonts w:ascii="宋体" w:hAnsi="宋体"/>
          <w:color w:val="000000" w:themeColor="text1"/>
        </w:rPr>
      </w:pPr>
      <w:r>
        <w:rPr>
          <w:rFonts w:hint="eastAsia" w:ascii="宋体" w:hAnsi="宋体"/>
          <w:color w:val="000000" w:themeColor="text1"/>
          <w:sz w:val="24"/>
          <w:szCs w:val="24"/>
        </w:rPr>
        <w:t>（结束）</w:t>
      </w:r>
    </w:p>
    <w:p>
      <w:pPr>
        <w:pStyle w:val="6"/>
        <w:spacing w:before="0" w:after="0" w:line="440" w:lineRule="exact"/>
        <w:ind w:firstLine="482" w:firstLineChars="200"/>
        <w:rPr>
          <w:color w:val="000000" w:themeColor="text1"/>
          <w:sz w:val="24"/>
          <w:szCs w:val="24"/>
        </w:rPr>
      </w:pPr>
    </w:p>
    <w:sectPr>
      <w:headerReference r:id="rId13"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_x000B__x000C_">
    <w:altName w:val="华文仿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方正楷体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rPr>
        <w:rStyle w:val="62"/>
      </w:rPr>
      <w:t>- 7 -</w: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重庆荣奕工程管理有限公司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重庆荣奕工程管理有限公司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24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bullet"/>
      <w:pStyle w:val="247"/>
      <w:lvlText w:val=""/>
      <w:lvlJc w:val="left"/>
      <w:pPr>
        <w:tabs>
          <w:tab w:val="left" w:pos="1200"/>
        </w:tabs>
        <w:ind w:left="120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5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13"/>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9"/>
  </w:num>
  <w:num w:numId="3">
    <w:abstractNumId w:val="12"/>
  </w:num>
  <w:num w:numId="4">
    <w:abstractNumId w:val="11"/>
  </w:num>
  <w:num w:numId="5">
    <w:abstractNumId w:val="7"/>
  </w:num>
  <w:num w:numId="6">
    <w:abstractNumId w:val="5"/>
  </w:num>
  <w:num w:numId="7">
    <w:abstractNumId w:val="1"/>
  </w:num>
  <w:num w:numId="8">
    <w:abstractNumId w:val="2"/>
  </w:num>
  <w:num w:numId="9">
    <w:abstractNumId w:val="0"/>
  </w:num>
  <w:num w:numId="10">
    <w:abstractNumId w:val="6"/>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172A27"/>
    <w:rsid w:val="00000498"/>
    <w:rsid w:val="00001E90"/>
    <w:rsid w:val="00003724"/>
    <w:rsid w:val="000040DE"/>
    <w:rsid w:val="00004CA8"/>
    <w:rsid w:val="00005E72"/>
    <w:rsid w:val="00005F4B"/>
    <w:rsid w:val="00006FAA"/>
    <w:rsid w:val="000075E8"/>
    <w:rsid w:val="0000767A"/>
    <w:rsid w:val="00007E86"/>
    <w:rsid w:val="000106E5"/>
    <w:rsid w:val="00011B4B"/>
    <w:rsid w:val="000126BB"/>
    <w:rsid w:val="000134F9"/>
    <w:rsid w:val="00013F82"/>
    <w:rsid w:val="00016318"/>
    <w:rsid w:val="00016B79"/>
    <w:rsid w:val="00017816"/>
    <w:rsid w:val="0002025D"/>
    <w:rsid w:val="000202A5"/>
    <w:rsid w:val="00020DB1"/>
    <w:rsid w:val="00021BFC"/>
    <w:rsid w:val="00021E39"/>
    <w:rsid w:val="00023289"/>
    <w:rsid w:val="00023349"/>
    <w:rsid w:val="00023B94"/>
    <w:rsid w:val="00024976"/>
    <w:rsid w:val="00025A70"/>
    <w:rsid w:val="00026234"/>
    <w:rsid w:val="000265E7"/>
    <w:rsid w:val="000276F9"/>
    <w:rsid w:val="000314C7"/>
    <w:rsid w:val="0003184C"/>
    <w:rsid w:val="000318FF"/>
    <w:rsid w:val="000328D9"/>
    <w:rsid w:val="00033F9C"/>
    <w:rsid w:val="0003422B"/>
    <w:rsid w:val="00034E9D"/>
    <w:rsid w:val="00034FDE"/>
    <w:rsid w:val="0003632F"/>
    <w:rsid w:val="00036B6E"/>
    <w:rsid w:val="00037681"/>
    <w:rsid w:val="00037889"/>
    <w:rsid w:val="0004198A"/>
    <w:rsid w:val="000424AD"/>
    <w:rsid w:val="000432E7"/>
    <w:rsid w:val="0004348E"/>
    <w:rsid w:val="000447B5"/>
    <w:rsid w:val="00044FB5"/>
    <w:rsid w:val="000451C6"/>
    <w:rsid w:val="000451E0"/>
    <w:rsid w:val="000452DE"/>
    <w:rsid w:val="000462FC"/>
    <w:rsid w:val="000468E0"/>
    <w:rsid w:val="00047E3F"/>
    <w:rsid w:val="00047EAA"/>
    <w:rsid w:val="00047EF0"/>
    <w:rsid w:val="00051015"/>
    <w:rsid w:val="0005107E"/>
    <w:rsid w:val="000510C7"/>
    <w:rsid w:val="0005298B"/>
    <w:rsid w:val="000529F4"/>
    <w:rsid w:val="000533A5"/>
    <w:rsid w:val="0005417C"/>
    <w:rsid w:val="000552F4"/>
    <w:rsid w:val="000556DE"/>
    <w:rsid w:val="000574AB"/>
    <w:rsid w:val="000576E1"/>
    <w:rsid w:val="00057B29"/>
    <w:rsid w:val="00061AD9"/>
    <w:rsid w:val="00063331"/>
    <w:rsid w:val="00063981"/>
    <w:rsid w:val="000645F1"/>
    <w:rsid w:val="0007233F"/>
    <w:rsid w:val="00072CDB"/>
    <w:rsid w:val="00077795"/>
    <w:rsid w:val="0007779B"/>
    <w:rsid w:val="00080519"/>
    <w:rsid w:val="0008070D"/>
    <w:rsid w:val="00080A20"/>
    <w:rsid w:val="000818A1"/>
    <w:rsid w:val="0008423A"/>
    <w:rsid w:val="000850F5"/>
    <w:rsid w:val="00085F90"/>
    <w:rsid w:val="00086033"/>
    <w:rsid w:val="000868BD"/>
    <w:rsid w:val="00086F80"/>
    <w:rsid w:val="00087004"/>
    <w:rsid w:val="00087882"/>
    <w:rsid w:val="00087B92"/>
    <w:rsid w:val="00090C5A"/>
    <w:rsid w:val="00091B1C"/>
    <w:rsid w:val="000923FA"/>
    <w:rsid w:val="00093BAE"/>
    <w:rsid w:val="00094140"/>
    <w:rsid w:val="000943FB"/>
    <w:rsid w:val="00094FF5"/>
    <w:rsid w:val="00095004"/>
    <w:rsid w:val="00096E3E"/>
    <w:rsid w:val="00097CBD"/>
    <w:rsid w:val="00097FF6"/>
    <w:rsid w:val="000A09CA"/>
    <w:rsid w:val="000A164E"/>
    <w:rsid w:val="000A2527"/>
    <w:rsid w:val="000A5754"/>
    <w:rsid w:val="000A58D1"/>
    <w:rsid w:val="000A5965"/>
    <w:rsid w:val="000A5D17"/>
    <w:rsid w:val="000A5F16"/>
    <w:rsid w:val="000A6158"/>
    <w:rsid w:val="000A7241"/>
    <w:rsid w:val="000A72C0"/>
    <w:rsid w:val="000B0272"/>
    <w:rsid w:val="000B2811"/>
    <w:rsid w:val="000B28ED"/>
    <w:rsid w:val="000B42F4"/>
    <w:rsid w:val="000B4B56"/>
    <w:rsid w:val="000B4BD9"/>
    <w:rsid w:val="000B4DA2"/>
    <w:rsid w:val="000B621E"/>
    <w:rsid w:val="000B6523"/>
    <w:rsid w:val="000B6A62"/>
    <w:rsid w:val="000B6D94"/>
    <w:rsid w:val="000B7271"/>
    <w:rsid w:val="000B7377"/>
    <w:rsid w:val="000B749C"/>
    <w:rsid w:val="000B7F54"/>
    <w:rsid w:val="000C1461"/>
    <w:rsid w:val="000C14D1"/>
    <w:rsid w:val="000C23E6"/>
    <w:rsid w:val="000C2B55"/>
    <w:rsid w:val="000C2B8F"/>
    <w:rsid w:val="000C3316"/>
    <w:rsid w:val="000C3A1D"/>
    <w:rsid w:val="000C4773"/>
    <w:rsid w:val="000C4FD2"/>
    <w:rsid w:val="000C5DF5"/>
    <w:rsid w:val="000C6472"/>
    <w:rsid w:val="000C7C24"/>
    <w:rsid w:val="000C7D77"/>
    <w:rsid w:val="000D01D9"/>
    <w:rsid w:val="000D10E9"/>
    <w:rsid w:val="000D5453"/>
    <w:rsid w:val="000D5701"/>
    <w:rsid w:val="000D6B20"/>
    <w:rsid w:val="000D79BB"/>
    <w:rsid w:val="000D7B38"/>
    <w:rsid w:val="000E01C9"/>
    <w:rsid w:val="000E05BC"/>
    <w:rsid w:val="000E0769"/>
    <w:rsid w:val="000E24E5"/>
    <w:rsid w:val="000E3259"/>
    <w:rsid w:val="000E3DC4"/>
    <w:rsid w:val="000E484D"/>
    <w:rsid w:val="000E5DF8"/>
    <w:rsid w:val="000E601E"/>
    <w:rsid w:val="000E7236"/>
    <w:rsid w:val="000E7607"/>
    <w:rsid w:val="000E783A"/>
    <w:rsid w:val="000E7AE4"/>
    <w:rsid w:val="000F12F0"/>
    <w:rsid w:val="000F16C9"/>
    <w:rsid w:val="000F358C"/>
    <w:rsid w:val="000F35A5"/>
    <w:rsid w:val="000F3B8E"/>
    <w:rsid w:val="000F5BB5"/>
    <w:rsid w:val="000F5F78"/>
    <w:rsid w:val="000F5FD6"/>
    <w:rsid w:val="000F6929"/>
    <w:rsid w:val="000F7DBF"/>
    <w:rsid w:val="0010014A"/>
    <w:rsid w:val="00100639"/>
    <w:rsid w:val="0010237E"/>
    <w:rsid w:val="00102544"/>
    <w:rsid w:val="0010266D"/>
    <w:rsid w:val="00103D88"/>
    <w:rsid w:val="001040CE"/>
    <w:rsid w:val="001042C7"/>
    <w:rsid w:val="00104C51"/>
    <w:rsid w:val="00106CD4"/>
    <w:rsid w:val="00107445"/>
    <w:rsid w:val="00107751"/>
    <w:rsid w:val="001100DA"/>
    <w:rsid w:val="001113BE"/>
    <w:rsid w:val="00111939"/>
    <w:rsid w:val="00111C88"/>
    <w:rsid w:val="00112547"/>
    <w:rsid w:val="00112F66"/>
    <w:rsid w:val="001167CA"/>
    <w:rsid w:val="00116856"/>
    <w:rsid w:val="00117C75"/>
    <w:rsid w:val="00117CDC"/>
    <w:rsid w:val="0012006D"/>
    <w:rsid w:val="00120259"/>
    <w:rsid w:val="0012069A"/>
    <w:rsid w:val="0012307D"/>
    <w:rsid w:val="001230D8"/>
    <w:rsid w:val="001234BD"/>
    <w:rsid w:val="00124D09"/>
    <w:rsid w:val="00125DBA"/>
    <w:rsid w:val="001266BF"/>
    <w:rsid w:val="00127DD4"/>
    <w:rsid w:val="001330DD"/>
    <w:rsid w:val="00133849"/>
    <w:rsid w:val="00133D16"/>
    <w:rsid w:val="0013435D"/>
    <w:rsid w:val="00135CED"/>
    <w:rsid w:val="0013601C"/>
    <w:rsid w:val="00136D2B"/>
    <w:rsid w:val="00136D78"/>
    <w:rsid w:val="0013794A"/>
    <w:rsid w:val="00137EB6"/>
    <w:rsid w:val="00142E03"/>
    <w:rsid w:val="00143186"/>
    <w:rsid w:val="00143675"/>
    <w:rsid w:val="001460CF"/>
    <w:rsid w:val="001460FA"/>
    <w:rsid w:val="001464CE"/>
    <w:rsid w:val="001473D0"/>
    <w:rsid w:val="001474CD"/>
    <w:rsid w:val="00147FB4"/>
    <w:rsid w:val="0015011C"/>
    <w:rsid w:val="00150429"/>
    <w:rsid w:val="00151887"/>
    <w:rsid w:val="00151BBD"/>
    <w:rsid w:val="001532C6"/>
    <w:rsid w:val="001537C6"/>
    <w:rsid w:val="00153F29"/>
    <w:rsid w:val="0015429E"/>
    <w:rsid w:val="0015483D"/>
    <w:rsid w:val="0015489A"/>
    <w:rsid w:val="00154B3C"/>
    <w:rsid w:val="00154FB4"/>
    <w:rsid w:val="00156D10"/>
    <w:rsid w:val="00157E6F"/>
    <w:rsid w:val="00160A1A"/>
    <w:rsid w:val="00160D3D"/>
    <w:rsid w:val="00161270"/>
    <w:rsid w:val="0016286E"/>
    <w:rsid w:val="001661E0"/>
    <w:rsid w:val="0016657A"/>
    <w:rsid w:val="00167825"/>
    <w:rsid w:val="001705A1"/>
    <w:rsid w:val="0017070B"/>
    <w:rsid w:val="001717BA"/>
    <w:rsid w:val="00171A7B"/>
    <w:rsid w:val="00172A27"/>
    <w:rsid w:val="00172DC6"/>
    <w:rsid w:val="001730D7"/>
    <w:rsid w:val="00174569"/>
    <w:rsid w:val="00175387"/>
    <w:rsid w:val="00175C6C"/>
    <w:rsid w:val="00177836"/>
    <w:rsid w:val="00180413"/>
    <w:rsid w:val="00180A61"/>
    <w:rsid w:val="00180ACB"/>
    <w:rsid w:val="00185891"/>
    <w:rsid w:val="001860B2"/>
    <w:rsid w:val="00186623"/>
    <w:rsid w:val="001872E3"/>
    <w:rsid w:val="001879FD"/>
    <w:rsid w:val="00187CBA"/>
    <w:rsid w:val="00187FE3"/>
    <w:rsid w:val="00190DA3"/>
    <w:rsid w:val="00190E36"/>
    <w:rsid w:val="00191109"/>
    <w:rsid w:val="001937A9"/>
    <w:rsid w:val="00193D98"/>
    <w:rsid w:val="001940F1"/>
    <w:rsid w:val="00196543"/>
    <w:rsid w:val="001A0911"/>
    <w:rsid w:val="001A0DF4"/>
    <w:rsid w:val="001A1025"/>
    <w:rsid w:val="001A24BA"/>
    <w:rsid w:val="001A43A9"/>
    <w:rsid w:val="001A5897"/>
    <w:rsid w:val="001A6632"/>
    <w:rsid w:val="001A6DCC"/>
    <w:rsid w:val="001B0CC3"/>
    <w:rsid w:val="001B120E"/>
    <w:rsid w:val="001B3DBD"/>
    <w:rsid w:val="001B4377"/>
    <w:rsid w:val="001B7861"/>
    <w:rsid w:val="001B7942"/>
    <w:rsid w:val="001C1F8C"/>
    <w:rsid w:val="001C1FC7"/>
    <w:rsid w:val="001C23E7"/>
    <w:rsid w:val="001C351D"/>
    <w:rsid w:val="001C4803"/>
    <w:rsid w:val="001C4BCB"/>
    <w:rsid w:val="001C62F8"/>
    <w:rsid w:val="001C6F1E"/>
    <w:rsid w:val="001C6FA3"/>
    <w:rsid w:val="001C7ABE"/>
    <w:rsid w:val="001C7CD2"/>
    <w:rsid w:val="001D0F94"/>
    <w:rsid w:val="001D100C"/>
    <w:rsid w:val="001D1A56"/>
    <w:rsid w:val="001D2321"/>
    <w:rsid w:val="001D25D6"/>
    <w:rsid w:val="001D2BB7"/>
    <w:rsid w:val="001D2DCD"/>
    <w:rsid w:val="001D4191"/>
    <w:rsid w:val="001D5055"/>
    <w:rsid w:val="001D58BC"/>
    <w:rsid w:val="001D59A3"/>
    <w:rsid w:val="001D629E"/>
    <w:rsid w:val="001D630C"/>
    <w:rsid w:val="001D64EE"/>
    <w:rsid w:val="001D73D6"/>
    <w:rsid w:val="001E072D"/>
    <w:rsid w:val="001E13FD"/>
    <w:rsid w:val="001E1837"/>
    <w:rsid w:val="001E201B"/>
    <w:rsid w:val="001E20B0"/>
    <w:rsid w:val="001E233D"/>
    <w:rsid w:val="001E2708"/>
    <w:rsid w:val="001E272B"/>
    <w:rsid w:val="001E2B42"/>
    <w:rsid w:val="001E2B6A"/>
    <w:rsid w:val="001E309B"/>
    <w:rsid w:val="001E5CAC"/>
    <w:rsid w:val="001E5F1D"/>
    <w:rsid w:val="001E6F7B"/>
    <w:rsid w:val="001E725F"/>
    <w:rsid w:val="001E72E8"/>
    <w:rsid w:val="001F0678"/>
    <w:rsid w:val="001F0738"/>
    <w:rsid w:val="001F0B34"/>
    <w:rsid w:val="001F1AC1"/>
    <w:rsid w:val="001F1AF7"/>
    <w:rsid w:val="001F2104"/>
    <w:rsid w:val="001F2882"/>
    <w:rsid w:val="001F2887"/>
    <w:rsid w:val="001F2F9C"/>
    <w:rsid w:val="001F3BA0"/>
    <w:rsid w:val="001F4181"/>
    <w:rsid w:val="001F4964"/>
    <w:rsid w:val="001F7063"/>
    <w:rsid w:val="00200571"/>
    <w:rsid w:val="00200631"/>
    <w:rsid w:val="00200A34"/>
    <w:rsid w:val="00202B04"/>
    <w:rsid w:val="00202C55"/>
    <w:rsid w:val="00204170"/>
    <w:rsid w:val="00204936"/>
    <w:rsid w:val="00204DA3"/>
    <w:rsid w:val="00205420"/>
    <w:rsid w:val="00205A3C"/>
    <w:rsid w:val="00206255"/>
    <w:rsid w:val="002100EE"/>
    <w:rsid w:val="002101EF"/>
    <w:rsid w:val="00210F5A"/>
    <w:rsid w:val="002128E6"/>
    <w:rsid w:val="0021704D"/>
    <w:rsid w:val="002177FD"/>
    <w:rsid w:val="00220EE5"/>
    <w:rsid w:val="00222097"/>
    <w:rsid w:val="0022543D"/>
    <w:rsid w:val="00225E2A"/>
    <w:rsid w:val="00226419"/>
    <w:rsid w:val="00226EB8"/>
    <w:rsid w:val="00226F04"/>
    <w:rsid w:val="00227D53"/>
    <w:rsid w:val="00227EF7"/>
    <w:rsid w:val="00231660"/>
    <w:rsid w:val="002348E0"/>
    <w:rsid w:val="002351DE"/>
    <w:rsid w:val="00236B3E"/>
    <w:rsid w:val="00237015"/>
    <w:rsid w:val="0023771F"/>
    <w:rsid w:val="00237C93"/>
    <w:rsid w:val="00241034"/>
    <w:rsid w:val="002415EF"/>
    <w:rsid w:val="00241D18"/>
    <w:rsid w:val="002422ED"/>
    <w:rsid w:val="00242E9E"/>
    <w:rsid w:val="00243306"/>
    <w:rsid w:val="002437FD"/>
    <w:rsid w:val="00244353"/>
    <w:rsid w:val="00244A6E"/>
    <w:rsid w:val="00245F7B"/>
    <w:rsid w:val="0024641F"/>
    <w:rsid w:val="00246C53"/>
    <w:rsid w:val="00247183"/>
    <w:rsid w:val="00247A95"/>
    <w:rsid w:val="002503AD"/>
    <w:rsid w:val="00251F01"/>
    <w:rsid w:val="00252228"/>
    <w:rsid w:val="00253AC1"/>
    <w:rsid w:val="00253B46"/>
    <w:rsid w:val="0025490D"/>
    <w:rsid w:val="002561E6"/>
    <w:rsid w:val="00261083"/>
    <w:rsid w:val="00263E6C"/>
    <w:rsid w:val="002643C1"/>
    <w:rsid w:val="00264BB5"/>
    <w:rsid w:val="00265203"/>
    <w:rsid w:val="00265498"/>
    <w:rsid w:val="0026571A"/>
    <w:rsid w:val="0026695A"/>
    <w:rsid w:val="0026699C"/>
    <w:rsid w:val="0026720A"/>
    <w:rsid w:val="0027067F"/>
    <w:rsid w:val="00270AEA"/>
    <w:rsid w:val="00271D47"/>
    <w:rsid w:val="002721D9"/>
    <w:rsid w:val="002721EA"/>
    <w:rsid w:val="002727D6"/>
    <w:rsid w:val="00272E62"/>
    <w:rsid w:val="00274DF0"/>
    <w:rsid w:val="002750A5"/>
    <w:rsid w:val="002804E9"/>
    <w:rsid w:val="00280D70"/>
    <w:rsid w:val="00280E8A"/>
    <w:rsid w:val="00281F3D"/>
    <w:rsid w:val="00282059"/>
    <w:rsid w:val="00282E12"/>
    <w:rsid w:val="002835BF"/>
    <w:rsid w:val="00285066"/>
    <w:rsid w:val="00285164"/>
    <w:rsid w:val="002859B4"/>
    <w:rsid w:val="00286491"/>
    <w:rsid w:val="00290E60"/>
    <w:rsid w:val="00291597"/>
    <w:rsid w:val="00291F0B"/>
    <w:rsid w:val="00292232"/>
    <w:rsid w:val="00292C51"/>
    <w:rsid w:val="00293B0B"/>
    <w:rsid w:val="00294131"/>
    <w:rsid w:val="00294AD2"/>
    <w:rsid w:val="002952B5"/>
    <w:rsid w:val="00295B8C"/>
    <w:rsid w:val="00295EA4"/>
    <w:rsid w:val="00296482"/>
    <w:rsid w:val="00297357"/>
    <w:rsid w:val="0029768F"/>
    <w:rsid w:val="002A061E"/>
    <w:rsid w:val="002A072B"/>
    <w:rsid w:val="002A3F78"/>
    <w:rsid w:val="002A4956"/>
    <w:rsid w:val="002A626A"/>
    <w:rsid w:val="002A65D6"/>
    <w:rsid w:val="002A6615"/>
    <w:rsid w:val="002A6710"/>
    <w:rsid w:val="002B0725"/>
    <w:rsid w:val="002B0A42"/>
    <w:rsid w:val="002B1DA7"/>
    <w:rsid w:val="002B2684"/>
    <w:rsid w:val="002B6ED5"/>
    <w:rsid w:val="002B71A5"/>
    <w:rsid w:val="002B780C"/>
    <w:rsid w:val="002B7904"/>
    <w:rsid w:val="002C156C"/>
    <w:rsid w:val="002C2136"/>
    <w:rsid w:val="002C2507"/>
    <w:rsid w:val="002C2967"/>
    <w:rsid w:val="002C2CBB"/>
    <w:rsid w:val="002C2E6E"/>
    <w:rsid w:val="002C354E"/>
    <w:rsid w:val="002C5DE2"/>
    <w:rsid w:val="002C6EF6"/>
    <w:rsid w:val="002C6F37"/>
    <w:rsid w:val="002C7B83"/>
    <w:rsid w:val="002D081E"/>
    <w:rsid w:val="002D1046"/>
    <w:rsid w:val="002D1B80"/>
    <w:rsid w:val="002D5CC8"/>
    <w:rsid w:val="002D6696"/>
    <w:rsid w:val="002D7650"/>
    <w:rsid w:val="002D7707"/>
    <w:rsid w:val="002D7725"/>
    <w:rsid w:val="002E088E"/>
    <w:rsid w:val="002E0A13"/>
    <w:rsid w:val="002E0A25"/>
    <w:rsid w:val="002E13A6"/>
    <w:rsid w:val="002E167C"/>
    <w:rsid w:val="002E19DE"/>
    <w:rsid w:val="002E1BD1"/>
    <w:rsid w:val="002E37E8"/>
    <w:rsid w:val="002E391B"/>
    <w:rsid w:val="002E4386"/>
    <w:rsid w:val="002E495E"/>
    <w:rsid w:val="002E5B54"/>
    <w:rsid w:val="002E69BB"/>
    <w:rsid w:val="002F0F54"/>
    <w:rsid w:val="002F1609"/>
    <w:rsid w:val="002F3DE3"/>
    <w:rsid w:val="002F459D"/>
    <w:rsid w:val="002F4996"/>
    <w:rsid w:val="002F5375"/>
    <w:rsid w:val="002F632E"/>
    <w:rsid w:val="002F70E5"/>
    <w:rsid w:val="002F7C39"/>
    <w:rsid w:val="00301727"/>
    <w:rsid w:val="0030175D"/>
    <w:rsid w:val="00301F64"/>
    <w:rsid w:val="00301FA3"/>
    <w:rsid w:val="00302F01"/>
    <w:rsid w:val="00303655"/>
    <w:rsid w:val="00305CDE"/>
    <w:rsid w:val="00306933"/>
    <w:rsid w:val="00307859"/>
    <w:rsid w:val="00307DA5"/>
    <w:rsid w:val="00310438"/>
    <w:rsid w:val="0031093E"/>
    <w:rsid w:val="00310AF9"/>
    <w:rsid w:val="00313635"/>
    <w:rsid w:val="0031465E"/>
    <w:rsid w:val="00315742"/>
    <w:rsid w:val="003163B3"/>
    <w:rsid w:val="003202F5"/>
    <w:rsid w:val="0032163E"/>
    <w:rsid w:val="00322A7A"/>
    <w:rsid w:val="00323542"/>
    <w:rsid w:val="00324734"/>
    <w:rsid w:val="00324A00"/>
    <w:rsid w:val="00325054"/>
    <w:rsid w:val="00325296"/>
    <w:rsid w:val="00325F7C"/>
    <w:rsid w:val="00326213"/>
    <w:rsid w:val="00327A9E"/>
    <w:rsid w:val="00331002"/>
    <w:rsid w:val="0033228A"/>
    <w:rsid w:val="003344F6"/>
    <w:rsid w:val="00335CD5"/>
    <w:rsid w:val="003369C5"/>
    <w:rsid w:val="00340873"/>
    <w:rsid w:val="00340ADC"/>
    <w:rsid w:val="0034133C"/>
    <w:rsid w:val="00341DEB"/>
    <w:rsid w:val="00342937"/>
    <w:rsid w:val="00342B0C"/>
    <w:rsid w:val="0034591F"/>
    <w:rsid w:val="0034664F"/>
    <w:rsid w:val="0034697B"/>
    <w:rsid w:val="00346A3D"/>
    <w:rsid w:val="00347F6B"/>
    <w:rsid w:val="00350C20"/>
    <w:rsid w:val="003524B8"/>
    <w:rsid w:val="003530F8"/>
    <w:rsid w:val="003548FA"/>
    <w:rsid w:val="00354DE5"/>
    <w:rsid w:val="003551F3"/>
    <w:rsid w:val="00355A74"/>
    <w:rsid w:val="00356C32"/>
    <w:rsid w:val="00356F69"/>
    <w:rsid w:val="00357014"/>
    <w:rsid w:val="00357C03"/>
    <w:rsid w:val="00357D6C"/>
    <w:rsid w:val="0036013B"/>
    <w:rsid w:val="003604FE"/>
    <w:rsid w:val="003606CD"/>
    <w:rsid w:val="00361427"/>
    <w:rsid w:val="0036458B"/>
    <w:rsid w:val="00365163"/>
    <w:rsid w:val="00367266"/>
    <w:rsid w:val="00371D2F"/>
    <w:rsid w:val="0037257D"/>
    <w:rsid w:val="00373217"/>
    <w:rsid w:val="00373645"/>
    <w:rsid w:val="003748AD"/>
    <w:rsid w:val="0037507F"/>
    <w:rsid w:val="00375BA3"/>
    <w:rsid w:val="00376B94"/>
    <w:rsid w:val="0038033A"/>
    <w:rsid w:val="00380447"/>
    <w:rsid w:val="00380CBC"/>
    <w:rsid w:val="003830B3"/>
    <w:rsid w:val="00384161"/>
    <w:rsid w:val="003846FE"/>
    <w:rsid w:val="003854A4"/>
    <w:rsid w:val="00385979"/>
    <w:rsid w:val="0038626A"/>
    <w:rsid w:val="00386E29"/>
    <w:rsid w:val="00387610"/>
    <w:rsid w:val="00391483"/>
    <w:rsid w:val="00391DC2"/>
    <w:rsid w:val="00393369"/>
    <w:rsid w:val="00394922"/>
    <w:rsid w:val="00395B70"/>
    <w:rsid w:val="00395C2F"/>
    <w:rsid w:val="00396D43"/>
    <w:rsid w:val="003973D3"/>
    <w:rsid w:val="003A01E5"/>
    <w:rsid w:val="003A06D6"/>
    <w:rsid w:val="003A0892"/>
    <w:rsid w:val="003A0CAB"/>
    <w:rsid w:val="003A1674"/>
    <w:rsid w:val="003A19D4"/>
    <w:rsid w:val="003A449E"/>
    <w:rsid w:val="003A4975"/>
    <w:rsid w:val="003A567D"/>
    <w:rsid w:val="003A654C"/>
    <w:rsid w:val="003A6B70"/>
    <w:rsid w:val="003A6BF3"/>
    <w:rsid w:val="003A71F3"/>
    <w:rsid w:val="003A778F"/>
    <w:rsid w:val="003B02D2"/>
    <w:rsid w:val="003B033E"/>
    <w:rsid w:val="003B19F5"/>
    <w:rsid w:val="003B1FDE"/>
    <w:rsid w:val="003B286E"/>
    <w:rsid w:val="003B3971"/>
    <w:rsid w:val="003B63C5"/>
    <w:rsid w:val="003B6590"/>
    <w:rsid w:val="003B699C"/>
    <w:rsid w:val="003B69C9"/>
    <w:rsid w:val="003C27CC"/>
    <w:rsid w:val="003C2A17"/>
    <w:rsid w:val="003C3102"/>
    <w:rsid w:val="003C3A7F"/>
    <w:rsid w:val="003C3DD8"/>
    <w:rsid w:val="003C41F9"/>
    <w:rsid w:val="003C4A44"/>
    <w:rsid w:val="003C4EEF"/>
    <w:rsid w:val="003C565D"/>
    <w:rsid w:val="003C6391"/>
    <w:rsid w:val="003C7964"/>
    <w:rsid w:val="003D019C"/>
    <w:rsid w:val="003D0E0A"/>
    <w:rsid w:val="003D178C"/>
    <w:rsid w:val="003D2401"/>
    <w:rsid w:val="003D2D09"/>
    <w:rsid w:val="003D3AD7"/>
    <w:rsid w:val="003D3B22"/>
    <w:rsid w:val="003D4272"/>
    <w:rsid w:val="003D5170"/>
    <w:rsid w:val="003D556B"/>
    <w:rsid w:val="003D613D"/>
    <w:rsid w:val="003D657A"/>
    <w:rsid w:val="003D7A88"/>
    <w:rsid w:val="003E0276"/>
    <w:rsid w:val="003E0F85"/>
    <w:rsid w:val="003E1170"/>
    <w:rsid w:val="003E1D0F"/>
    <w:rsid w:val="003E2D8C"/>
    <w:rsid w:val="003E4851"/>
    <w:rsid w:val="003E58D9"/>
    <w:rsid w:val="003E5A45"/>
    <w:rsid w:val="003E6488"/>
    <w:rsid w:val="003F09AB"/>
    <w:rsid w:val="003F0F58"/>
    <w:rsid w:val="003F24B5"/>
    <w:rsid w:val="003F71DD"/>
    <w:rsid w:val="003F7A1C"/>
    <w:rsid w:val="00400859"/>
    <w:rsid w:val="00400A7F"/>
    <w:rsid w:val="00400F9C"/>
    <w:rsid w:val="00401C5D"/>
    <w:rsid w:val="00401D58"/>
    <w:rsid w:val="004021E6"/>
    <w:rsid w:val="00402B32"/>
    <w:rsid w:val="00402F9B"/>
    <w:rsid w:val="00405FB2"/>
    <w:rsid w:val="0040638D"/>
    <w:rsid w:val="00406647"/>
    <w:rsid w:val="00406CC1"/>
    <w:rsid w:val="00407E02"/>
    <w:rsid w:val="0041030D"/>
    <w:rsid w:val="00410AFE"/>
    <w:rsid w:val="00410C93"/>
    <w:rsid w:val="00410D9A"/>
    <w:rsid w:val="00411B4A"/>
    <w:rsid w:val="0041250D"/>
    <w:rsid w:val="00413472"/>
    <w:rsid w:val="0041597E"/>
    <w:rsid w:val="00415FB9"/>
    <w:rsid w:val="0041741A"/>
    <w:rsid w:val="00417E99"/>
    <w:rsid w:val="00422467"/>
    <w:rsid w:val="00423570"/>
    <w:rsid w:val="00423870"/>
    <w:rsid w:val="00424C3E"/>
    <w:rsid w:val="0042744F"/>
    <w:rsid w:val="0042763A"/>
    <w:rsid w:val="00427DFB"/>
    <w:rsid w:val="00427E1E"/>
    <w:rsid w:val="004311DD"/>
    <w:rsid w:val="00431BA1"/>
    <w:rsid w:val="00432024"/>
    <w:rsid w:val="004323D3"/>
    <w:rsid w:val="00432C74"/>
    <w:rsid w:val="0043395E"/>
    <w:rsid w:val="00434934"/>
    <w:rsid w:val="004349C4"/>
    <w:rsid w:val="00435671"/>
    <w:rsid w:val="0043656B"/>
    <w:rsid w:val="00437210"/>
    <w:rsid w:val="00437A17"/>
    <w:rsid w:val="00437EE9"/>
    <w:rsid w:val="0044095A"/>
    <w:rsid w:val="00441BC8"/>
    <w:rsid w:val="004422B4"/>
    <w:rsid w:val="0044392A"/>
    <w:rsid w:val="00443F18"/>
    <w:rsid w:val="0044534B"/>
    <w:rsid w:val="004454AC"/>
    <w:rsid w:val="004460B7"/>
    <w:rsid w:val="004519B6"/>
    <w:rsid w:val="00452E53"/>
    <w:rsid w:val="0045377A"/>
    <w:rsid w:val="00453D2B"/>
    <w:rsid w:val="004558C7"/>
    <w:rsid w:val="0045751F"/>
    <w:rsid w:val="0046242A"/>
    <w:rsid w:val="00462878"/>
    <w:rsid w:val="00463522"/>
    <w:rsid w:val="004637EB"/>
    <w:rsid w:val="0046485D"/>
    <w:rsid w:val="00465B7A"/>
    <w:rsid w:val="00465F6D"/>
    <w:rsid w:val="00467D56"/>
    <w:rsid w:val="00470896"/>
    <w:rsid w:val="00470AD0"/>
    <w:rsid w:val="00471630"/>
    <w:rsid w:val="00471D38"/>
    <w:rsid w:val="00472AA2"/>
    <w:rsid w:val="00472CCD"/>
    <w:rsid w:val="00473AA1"/>
    <w:rsid w:val="004751F6"/>
    <w:rsid w:val="00475265"/>
    <w:rsid w:val="00476638"/>
    <w:rsid w:val="00477255"/>
    <w:rsid w:val="00480DE1"/>
    <w:rsid w:val="00481371"/>
    <w:rsid w:val="00481BE3"/>
    <w:rsid w:val="00482630"/>
    <w:rsid w:val="00484133"/>
    <w:rsid w:val="00484915"/>
    <w:rsid w:val="00485D16"/>
    <w:rsid w:val="00485FB5"/>
    <w:rsid w:val="004873A7"/>
    <w:rsid w:val="00487DC8"/>
    <w:rsid w:val="00490B2F"/>
    <w:rsid w:val="00492031"/>
    <w:rsid w:val="004920AB"/>
    <w:rsid w:val="00492C53"/>
    <w:rsid w:val="00493E43"/>
    <w:rsid w:val="00494F23"/>
    <w:rsid w:val="004953EC"/>
    <w:rsid w:val="00496322"/>
    <w:rsid w:val="00496A05"/>
    <w:rsid w:val="004974D7"/>
    <w:rsid w:val="0049774A"/>
    <w:rsid w:val="004A04F8"/>
    <w:rsid w:val="004A0C58"/>
    <w:rsid w:val="004A0D29"/>
    <w:rsid w:val="004A0DE1"/>
    <w:rsid w:val="004A1022"/>
    <w:rsid w:val="004A2410"/>
    <w:rsid w:val="004A27AC"/>
    <w:rsid w:val="004A2CA3"/>
    <w:rsid w:val="004A35C8"/>
    <w:rsid w:val="004A39C4"/>
    <w:rsid w:val="004A66E6"/>
    <w:rsid w:val="004A6D61"/>
    <w:rsid w:val="004A7EC0"/>
    <w:rsid w:val="004B0706"/>
    <w:rsid w:val="004B32A2"/>
    <w:rsid w:val="004B3DA2"/>
    <w:rsid w:val="004B4073"/>
    <w:rsid w:val="004B536B"/>
    <w:rsid w:val="004B7859"/>
    <w:rsid w:val="004C1DD0"/>
    <w:rsid w:val="004C1EB2"/>
    <w:rsid w:val="004C1F32"/>
    <w:rsid w:val="004C2517"/>
    <w:rsid w:val="004C3597"/>
    <w:rsid w:val="004C3FBF"/>
    <w:rsid w:val="004C404D"/>
    <w:rsid w:val="004C4070"/>
    <w:rsid w:val="004C448E"/>
    <w:rsid w:val="004C64E4"/>
    <w:rsid w:val="004C710D"/>
    <w:rsid w:val="004C7E84"/>
    <w:rsid w:val="004D063A"/>
    <w:rsid w:val="004D21DC"/>
    <w:rsid w:val="004D2A94"/>
    <w:rsid w:val="004D754A"/>
    <w:rsid w:val="004E12D8"/>
    <w:rsid w:val="004E156F"/>
    <w:rsid w:val="004E55A6"/>
    <w:rsid w:val="004E55DB"/>
    <w:rsid w:val="004E6A84"/>
    <w:rsid w:val="004E7146"/>
    <w:rsid w:val="004E7695"/>
    <w:rsid w:val="004F0C6E"/>
    <w:rsid w:val="004F258A"/>
    <w:rsid w:val="004F3025"/>
    <w:rsid w:val="004F36B8"/>
    <w:rsid w:val="004F38E0"/>
    <w:rsid w:val="004F4CA0"/>
    <w:rsid w:val="004F66AB"/>
    <w:rsid w:val="004F68B1"/>
    <w:rsid w:val="004F75E9"/>
    <w:rsid w:val="004F7CA3"/>
    <w:rsid w:val="00500904"/>
    <w:rsid w:val="00500B79"/>
    <w:rsid w:val="0050123A"/>
    <w:rsid w:val="00501656"/>
    <w:rsid w:val="00501E53"/>
    <w:rsid w:val="00501F66"/>
    <w:rsid w:val="00502B2F"/>
    <w:rsid w:val="00502BFD"/>
    <w:rsid w:val="0050304F"/>
    <w:rsid w:val="005035D0"/>
    <w:rsid w:val="00504261"/>
    <w:rsid w:val="0050562C"/>
    <w:rsid w:val="00505CD8"/>
    <w:rsid w:val="005062DC"/>
    <w:rsid w:val="0050632D"/>
    <w:rsid w:val="00506876"/>
    <w:rsid w:val="00506ECD"/>
    <w:rsid w:val="005100B2"/>
    <w:rsid w:val="005106C5"/>
    <w:rsid w:val="005106C9"/>
    <w:rsid w:val="0051082D"/>
    <w:rsid w:val="00511829"/>
    <w:rsid w:val="005118AA"/>
    <w:rsid w:val="00511A48"/>
    <w:rsid w:val="00511BFA"/>
    <w:rsid w:val="00512D00"/>
    <w:rsid w:val="00514179"/>
    <w:rsid w:val="00514E1B"/>
    <w:rsid w:val="005158BB"/>
    <w:rsid w:val="005164F8"/>
    <w:rsid w:val="00520075"/>
    <w:rsid w:val="00520230"/>
    <w:rsid w:val="0052293F"/>
    <w:rsid w:val="005237B2"/>
    <w:rsid w:val="0052505D"/>
    <w:rsid w:val="005251A3"/>
    <w:rsid w:val="00525E4E"/>
    <w:rsid w:val="0052628F"/>
    <w:rsid w:val="00527A4F"/>
    <w:rsid w:val="005302F3"/>
    <w:rsid w:val="005309E0"/>
    <w:rsid w:val="00530AD6"/>
    <w:rsid w:val="0053139B"/>
    <w:rsid w:val="00532C25"/>
    <w:rsid w:val="00534386"/>
    <w:rsid w:val="00534784"/>
    <w:rsid w:val="0053607B"/>
    <w:rsid w:val="0053622D"/>
    <w:rsid w:val="0053749A"/>
    <w:rsid w:val="00537AFE"/>
    <w:rsid w:val="00537DAE"/>
    <w:rsid w:val="005404D9"/>
    <w:rsid w:val="00542CEF"/>
    <w:rsid w:val="00542D04"/>
    <w:rsid w:val="005435AD"/>
    <w:rsid w:val="0054470E"/>
    <w:rsid w:val="00544933"/>
    <w:rsid w:val="00544BEA"/>
    <w:rsid w:val="0054525E"/>
    <w:rsid w:val="00545CCC"/>
    <w:rsid w:val="005460D5"/>
    <w:rsid w:val="00552C49"/>
    <w:rsid w:val="0055348E"/>
    <w:rsid w:val="005556DC"/>
    <w:rsid w:val="00555894"/>
    <w:rsid w:val="00556630"/>
    <w:rsid w:val="00556913"/>
    <w:rsid w:val="00557CE6"/>
    <w:rsid w:val="00557F14"/>
    <w:rsid w:val="0056241D"/>
    <w:rsid w:val="00562D1D"/>
    <w:rsid w:val="0056623E"/>
    <w:rsid w:val="0056682C"/>
    <w:rsid w:val="00566A85"/>
    <w:rsid w:val="00566EB3"/>
    <w:rsid w:val="00567015"/>
    <w:rsid w:val="00567161"/>
    <w:rsid w:val="005719D2"/>
    <w:rsid w:val="0057247C"/>
    <w:rsid w:val="00573735"/>
    <w:rsid w:val="00573AE3"/>
    <w:rsid w:val="00575438"/>
    <w:rsid w:val="00575FC7"/>
    <w:rsid w:val="00577F44"/>
    <w:rsid w:val="005806F6"/>
    <w:rsid w:val="00580E9C"/>
    <w:rsid w:val="0058135E"/>
    <w:rsid w:val="00582D42"/>
    <w:rsid w:val="00583B9A"/>
    <w:rsid w:val="00584147"/>
    <w:rsid w:val="00586824"/>
    <w:rsid w:val="005873F7"/>
    <w:rsid w:val="005902D9"/>
    <w:rsid w:val="00590D2B"/>
    <w:rsid w:val="00590FFC"/>
    <w:rsid w:val="00591CC6"/>
    <w:rsid w:val="00592E10"/>
    <w:rsid w:val="00593925"/>
    <w:rsid w:val="00595C58"/>
    <w:rsid w:val="00596015"/>
    <w:rsid w:val="0059605E"/>
    <w:rsid w:val="00596AB7"/>
    <w:rsid w:val="005A0AF7"/>
    <w:rsid w:val="005A144C"/>
    <w:rsid w:val="005A1EA7"/>
    <w:rsid w:val="005A217B"/>
    <w:rsid w:val="005A2300"/>
    <w:rsid w:val="005A2995"/>
    <w:rsid w:val="005A3929"/>
    <w:rsid w:val="005A6789"/>
    <w:rsid w:val="005A7AE4"/>
    <w:rsid w:val="005B0724"/>
    <w:rsid w:val="005B0B0E"/>
    <w:rsid w:val="005B0DD6"/>
    <w:rsid w:val="005B10BA"/>
    <w:rsid w:val="005B1351"/>
    <w:rsid w:val="005B1948"/>
    <w:rsid w:val="005B1E46"/>
    <w:rsid w:val="005B3357"/>
    <w:rsid w:val="005B3431"/>
    <w:rsid w:val="005B3D78"/>
    <w:rsid w:val="005B4D4F"/>
    <w:rsid w:val="005B523A"/>
    <w:rsid w:val="005B7761"/>
    <w:rsid w:val="005C00A8"/>
    <w:rsid w:val="005C04A5"/>
    <w:rsid w:val="005C20E5"/>
    <w:rsid w:val="005C36AE"/>
    <w:rsid w:val="005C42AC"/>
    <w:rsid w:val="005C4BFA"/>
    <w:rsid w:val="005C4F84"/>
    <w:rsid w:val="005C51DD"/>
    <w:rsid w:val="005C5E78"/>
    <w:rsid w:val="005C6AF5"/>
    <w:rsid w:val="005C79A8"/>
    <w:rsid w:val="005C7DC1"/>
    <w:rsid w:val="005D01C6"/>
    <w:rsid w:val="005D147A"/>
    <w:rsid w:val="005D1EF4"/>
    <w:rsid w:val="005D2489"/>
    <w:rsid w:val="005D3230"/>
    <w:rsid w:val="005D37D0"/>
    <w:rsid w:val="005D65EC"/>
    <w:rsid w:val="005D703E"/>
    <w:rsid w:val="005D73C5"/>
    <w:rsid w:val="005D77A3"/>
    <w:rsid w:val="005E03B5"/>
    <w:rsid w:val="005E03D3"/>
    <w:rsid w:val="005E0478"/>
    <w:rsid w:val="005E1C29"/>
    <w:rsid w:val="005E3C87"/>
    <w:rsid w:val="005E40E1"/>
    <w:rsid w:val="005E4194"/>
    <w:rsid w:val="005E5525"/>
    <w:rsid w:val="005E5E03"/>
    <w:rsid w:val="005E6014"/>
    <w:rsid w:val="005F0D88"/>
    <w:rsid w:val="005F120C"/>
    <w:rsid w:val="005F14CC"/>
    <w:rsid w:val="005F21B6"/>
    <w:rsid w:val="005F2756"/>
    <w:rsid w:val="005F5712"/>
    <w:rsid w:val="005F6BA9"/>
    <w:rsid w:val="005F7FA6"/>
    <w:rsid w:val="00600307"/>
    <w:rsid w:val="0060240C"/>
    <w:rsid w:val="00604CF8"/>
    <w:rsid w:val="00606BFD"/>
    <w:rsid w:val="00607416"/>
    <w:rsid w:val="00610069"/>
    <w:rsid w:val="006104BE"/>
    <w:rsid w:val="00610933"/>
    <w:rsid w:val="0061097D"/>
    <w:rsid w:val="00610EA6"/>
    <w:rsid w:val="00611094"/>
    <w:rsid w:val="00611A02"/>
    <w:rsid w:val="00611A5B"/>
    <w:rsid w:val="00613256"/>
    <w:rsid w:val="00613410"/>
    <w:rsid w:val="00613E29"/>
    <w:rsid w:val="0061427D"/>
    <w:rsid w:val="006149BA"/>
    <w:rsid w:val="00615D2B"/>
    <w:rsid w:val="00615E82"/>
    <w:rsid w:val="00617986"/>
    <w:rsid w:val="00622D51"/>
    <w:rsid w:val="006232E2"/>
    <w:rsid w:val="00623BE2"/>
    <w:rsid w:val="00623F6C"/>
    <w:rsid w:val="0062480E"/>
    <w:rsid w:val="00624EAA"/>
    <w:rsid w:val="006256A3"/>
    <w:rsid w:val="00625928"/>
    <w:rsid w:val="006321D7"/>
    <w:rsid w:val="0063450D"/>
    <w:rsid w:val="00634C9C"/>
    <w:rsid w:val="00634D6B"/>
    <w:rsid w:val="006350CE"/>
    <w:rsid w:val="0063569A"/>
    <w:rsid w:val="00635E6E"/>
    <w:rsid w:val="00636637"/>
    <w:rsid w:val="006420D2"/>
    <w:rsid w:val="006428C7"/>
    <w:rsid w:val="006435E9"/>
    <w:rsid w:val="00646291"/>
    <w:rsid w:val="006463C6"/>
    <w:rsid w:val="00646618"/>
    <w:rsid w:val="006467F5"/>
    <w:rsid w:val="00650E95"/>
    <w:rsid w:val="00653584"/>
    <w:rsid w:val="00654179"/>
    <w:rsid w:val="00654A48"/>
    <w:rsid w:val="00655009"/>
    <w:rsid w:val="0065651B"/>
    <w:rsid w:val="00656AD7"/>
    <w:rsid w:val="00662544"/>
    <w:rsid w:val="00663169"/>
    <w:rsid w:val="006640BE"/>
    <w:rsid w:val="00664607"/>
    <w:rsid w:val="00664609"/>
    <w:rsid w:val="006646B7"/>
    <w:rsid w:val="0066533E"/>
    <w:rsid w:val="00666958"/>
    <w:rsid w:val="00670089"/>
    <w:rsid w:val="0067013B"/>
    <w:rsid w:val="00670675"/>
    <w:rsid w:val="006716A7"/>
    <w:rsid w:val="00671F17"/>
    <w:rsid w:val="006721AA"/>
    <w:rsid w:val="00672DAA"/>
    <w:rsid w:val="00672E9D"/>
    <w:rsid w:val="006734E7"/>
    <w:rsid w:val="006752AA"/>
    <w:rsid w:val="006753C2"/>
    <w:rsid w:val="00675A98"/>
    <w:rsid w:val="00675DA1"/>
    <w:rsid w:val="00676D36"/>
    <w:rsid w:val="0067719A"/>
    <w:rsid w:val="0067773C"/>
    <w:rsid w:val="00677F90"/>
    <w:rsid w:val="00680278"/>
    <w:rsid w:val="00680317"/>
    <w:rsid w:val="00680AE4"/>
    <w:rsid w:val="00680D3D"/>
    <w:rsid w:val="00680F54"/>
    <w:rsid w:val="00681274"/>
    <w:rsid w:val="006820FA"/>
    <w:rsid w:val="00683435"/>
    <w:rsid w:val="00683A4D"/>
    <w:rsid w:val="00683C70"/>
    <w:rsid w:val="00684E51"/>
    <w:rsid w:val="00690FC1"/>
    <w:rsid w:val="006917A1"/>
    <w:rsid w:val="00692364"/>
    <w:rsid w:val="00692FDE"/>
    <w:rsid w:val="00694263"/>
    <w:rsid w:val="0069443F"/>
    <w:rsid w:val="00695944"/>
    <w:rsid w:val="00695EF8"/>
    <w:rsid w:val="00696569"/>
    <w:rsid w:val="00697E03"/>
    <w:rsid w:val="00697F6A"/>
    <w:rsid w:val="006A100B"/>
    <w:rsid w:val="006A143A"/>
    <w:rsid w:val="006A1BE9"/>
    <w:rsid w:val="006A22DE"/>
    <w:rsid w:val="006A3285"/>
    <w:rsid w:val="006A4A07"/>
    <w:rsid w:val="006A4AA4"/>
    <w:rsid w:val="006A511B"/>
    <w:rsid w:val="006A64B2"/>
    <w:rsid w:val="006A7395"/>
    <w:rsid w:val="006B10BB"/>
    <w:rsid w:val="006B3321"/>
    <w:rsid w:val="006B4D02"/>
    <w:rsid w:val="006B5352"/>
    <w:rsid w:val="006B56BA"/>
    <w:rsid w:val="006B6E42"/>
    <w:rsid w:val="006B6F91"/>
    <w:rsid w:val="006B72DE"/>
    <w:rsid w:val="006B7AD5"/>
    <w:rsid w:val="006B7E96"/>
    <w:rsid w:val="006B7EFF"/>
    <w:rsid w:val="006C1203"/>
    <w:rsid w:val="006C1D37"/>
    <w:rsid w:val="006C3449"/>
    <w:rsid w:val="006C37AB"/>
    <w:rsid w:val="006C3DA6"/>
    <w:rsid w:val="006C5159"/>
    <w:rsid w:val="006C5D17"/>
    <w:rsid w:val="006C5FC1"/>
    <w:rsid w:val="006C6D1C"/>
    <w:rsid w:val="006C7984"/>
    <w:rsid w:val="006D01B5"/>
    <w:rsid w:val="006D06FD"/>
    <w:rsid w:val="006D1153"/>
    <w:rsid w:val="006D19D4"/>
    <w:rsid w:val="006D27B1"/>
    <w:rsid w:val="006D29EB"/>
    <w:rsid w:val="006D35A7"/>
    <w:rsid w:val="006D387B"/>
    <w:rsid w:val="006D3C46"/>
    <w:rsid w:val="006D44E1"/>
    <w:rsid w:val="006D4602"/>
    <w:rsid w:val="006D50D2"/>
    <w:rsid w:val="006E0BCC"/>
    <w:rsid w:val="006E21FA"/>
    <w:rsid w:val="006E3197"/>
    <w:rsid w:val="006E3FE8"/>
    <w:rsid w:val="006E412F"/>
    <w:rsid w:val="006E4F5E"/>
    <w:rsid w:val="006E6BF1"/>
    <w:rsid w:val="006E6CF7"/>
    <w:rsid w:val="006F0190"/>
    <w:rsid w:val="006F0A64"/>
    <w:rsid w:val="006F0FB7"/>
    <w:rsid w:val="006F1FFE"/>
    <w:rsid w:val="006F2359"/>
    <w:rsid w:val="006F272D"/>
    <w:rsid w:val="006F34E9"/>
    <w:rsid w:val="006F350C"/>
    <w:rsid w:val="006F3AEB"/>
    <w:rsid w:val="006F4792"/>
    <w:rsid w:val="006F5290"/>
    <w:rsid w:val="006F533E"/>
    <w:rsid w:val="006F5A07"/>
    <w:rsid w:val="007001FA"/>
    <w:rsid w:val="007007B1"/>
    <w:rsid w:val="007010CF"/>
    <w:rsid w:val="007024B8"/>
    <w:rsid w:val="007034D8"/>
    <w:rsid w:val="00703636"/>
    <w:rsid w:val="00704645"/>
    <w:rsid w:val="007049D8"/>
    <w:rsid w:val="00704E5D"/>
    <w:rsid w:val="00705739"/>
    <w:rsid w:val="00705B42"/>
    <w:rsid w:val="00706335"/>
    <w:rsid w:val="00706802"/>
    <w:rsid w:val="00710548"/>
    <w:rsid w:val="00710BD4"/>
    <w:rsid w:val="00710E3C"/>
    <w:rsid w:val="00711109"/>
    <w:rsid w:val="0071316F"/>
    <w:rsid w:val="00713A16"/>
    <w:rsid w:val="00713F21"/>
    <w:rsid w:val="00714353"/>
    <w:rsid w:val="007159E2"/>
    <w:rsid w:val="00715A07"/>
    <w:rsid w:val="00715FB5"/>
    <w:rsid w:val="007171A6"/>
    <w:rsid w:val="00717300"/>
    <w:rsid w:val="0071799D"/>
    <w:rsid w:val="00717BD0"/>
    <w:rsid w:val="00717CFB"/>
    <w:rsid w:val="00721408"/>
    <w:rsid w:val="007223C3"/>
    <w:rsid w:val="00723BB2"/>
    <w:rsid w:val="00724170"/>
    <w:rsid w:val="007253FC"/>
    <w:rsid w:val="00726088"/>
    <w:rsid w:val="00726240"/>
    <w:rsid w:val="00727775"/>
    <w:rsid w:val="00730921"/>
    <w:rsid w:val="00730B6A"/>
    <w:rsid w:val="00734244"/>
    <w:rsid w:val="007351F7"/>
    <w:rsid w:val="00735A69"/>
    <w:rsid w:val="00735A84"/>
    <w:rsid w:val="00736D88"/>
    <w:rsid w:val="00736DD2"/>
    <w:rsid w:val="00741649"/>
    <w:rsid w:val="00741B65"/>
    <w:rsid w:val="0074243B"/>
    <w:rsid w:val="007427B2"/>
    <w:rsid w:val="00742C54"/>
    <w:rsid w:val="00742EB3"/>
    <w:rsid w:val="00742EC4"/>
    <w:rsid w:val="007436B5"/>
    <w:rsid w:val="007444CB"/>
    <w:rsid w:val="0074681C"/>
    <w:rsid w:val="007468A5"/>
    <w:rsid w:val="00746EC2"/>
    <w:rsid w:val="00747EB5"/>
    <w:rsid w:val="00750AA9"/>
    <w:rsid w:val="00751DFD"/>
    <w:rsid w:val="007522E9"/>
    <w:rsid w:val="0075426B"/>
    <w:rsid w:val="00755648"/>
    <w:rsid w:val="00756BA5"/>
    <w:rsid w:val="00757324"/>
    <w:rsid w:val="00757641"/>
    <w:rsid w:val="00757ED9"/>
    <w:rsid w:val="00760BE7"/>
    <w:rsid w:val="00761AB2"/>
    <w:rsid w:val="0076268F"/>
    <w:rsid w:val="007662AF"/>
    <w:rsid w:val="00770AB5"/>
    <w:rsid w:val="00771442"/>
    <w:rsid w:val="00771AFC"/>
    <w:rsid w:val="00771C19"/>
    <w:rsid w:val="00772398"/>
    <w:rsid w:val="007726AA"/>
    <w:rsid w:val="00772F47"/>
    <w:rsid w:val="00774392"/>
    <w:rsid w:val="0077590F"/>
    <w:rsid w:val="00775E09"/>
    <w:rsid w:val="00775FDF"/>
    <w:rsid w:val="00777024"/>
    <w:rsid w:val="0078000F"/>
    <w:rsid w:val="00780A34"/>
    <w:rsid w:val="00780ABD"/>
    <w:rsid w:val="00781626"/>
    <w:rsid w:val="00781AFA"/>
    <w:rsid w:val="00781B2D"/>
    <w:rsid w:val="00782D67"/>
    <w:rsid w:val="00785C06"/>
    <w:rsid w:val="007869F0"/>
    <w:rsid w:val="0079019C"/>
    <w:rsid w:val="00790F9F"/>
    <w:rsid w:val="0079288D"/>
    <w:rsid w:val="00792CD2"/>
    <w:rsid w:val="00793FE2"/>
    <w:rsid w:val="00794D1E"/>
    <w:rsid w:val="007959AC"/>
    <w:rsid w:val="0079726B"/>
    <w:rsid w:val="007A1846"/>
    <w:rsid w:val="007A1861"/>
    <w:rsid w:val="007A1919"/>
    <w:rsid w:val="007A1EE7"/>
    <w:rsid w:val="007A20E0"/>
    <w:rsid w:val="007A4430"/>
    <w:rsid w:val="007A4D61"/>
    <w:rsid w:val="007A4E1F"/>
    <w:rsid w:val="007A5964"/>
    <w:rsid w:val="007A67A7"/>
    <w:rsid w:val="007A73AD"/>
    <w:rsid w:val="007B02B9"/>
    <w:rsid w:val="007B2204"/>
    <w:rsid w:val="007B23F6"/>
    <w:rsid w:val="007B2464"/>
    <w:rsid w:val="007B475D"/>
    <w:rsid w:val="007B4B60"/>
    <w:rsid w:val="007B5581"/>
    <w:rsid w:val="007B5845"/>
    <w:rsid w:val="007B686E"/>
    <w:rsid w:val="007B7037"/>
    <w:rsid w:val="007C0124"/>
    <w:rsid w:val="007C08AD"/>
    <w:rsid w:val="007C1B6E"/>
    <w:rsid w:val="007C2011"/>
    <w:rsid w:val="007C20BD"/>
    <w:rsid w:val="007C29B0"/>
    <w:rsid w:val="007C3DBA"/>
    <w:rsid w:val="007C47B8"/>
    <w:rsid w:val="007C6E12"/>
    <w:rsid w:val="007D0EDC"/>
    <w:rsid w:val="007D0F51"/>
    <w:rsid w:val="007D10D9"/>
    <w:rsid w:val="007D14F5"/>
    <w:rsid w:val="007D46FC"/>
    <w:rsid w:val="007D4D87"/>
    <w:rsid w:val="007D4FB3"/>
    <w:rsid w:val="007D5361"/>
    <w:rsid w:val="007D6C2E"/>
    <w:rsid w:val="007D7E65"/>
    <w:rsid w:val="007E1FB5"/>
    <w:rsid w:val="007E2AD9"/>
    <w:rsid w:val="007E2B3E"/>
    <w:rsid w:val="007E30AE"/>
    <w:rsid w:val="007E3173"/>
    <w:rsid w:val="007E418B"/>
    <w:rsid w:val="007E43E0"/>
    <w:rsid w:val="007E56FA"/>
    <w:rsid w:val="007E5F58"/>
    <w:rsid w:val="007E6305"/>
    <w:rsid w:val="007E63A0"/>
    <w:rsid w:val="007E63CE"/>
    <w:rsid w:val="007E6EA3"/>
    <w:rsid w:val="007E7CDD"/>
    <w:rsid w:val="007F029F"/>
    <w:rsid w:val="007F17FC"/>
    <w:rsid w:val="007F1C28"/>
    <w:rsid w:val="007F2690"/>
    <w:rsid w:val="007F2B97"/>
    <w:rsid w:val="007F4249"/>
    <w:rsid w:val="007F49CB"/>
    <w:rsid w:val="007F541D"/>
    <w:rsid w:val="007F54B7"/>
    <w:rsid w:val="007F6759"/>
    <w:rsid w:val="007F6999"/>
    <w:rsid w:val="007F6CB3"/>
    <w:rsid w:val="007F7139"/>
    <w:rsid w:val="008020D2"/>
    <w:rsid w:val="00802DF1"/>
    <w:rsid w:val="00802EB2"/>
    <w:rsid w:val="008033CB"/>
    <w:rsid w:val="00803C89"/>
    <w:rsid w:val="008041D4"/>
    <w:rsid w:val="008044FF"/>
    <w:rsid w:val="00806A0B"/>
    <w:rsid w:val="00806AB7"/>
    <w:rsid w:val="00807318"/>
    <w:rsid w:val="00807662"/>
    <w:rsid w:val="00807954"/>
    <w:rsid w:val="00810C1B"/>
    <w:rsid w:val="00810F79"/>
    <w:rsid w:val="0081156A"/>
    <w:rsid w:val="00811CDC"/>
    <w:rsid w:val="00813C0C"/>
    <w:rsid w:val="00813FE1"/>
    <w:rsid w:val="00814772"/>
    <w:rsid w:val="00816A91"/>
    <w:rsid w:val="00816F77"/>
    <w:rsid w:val="008176A0"/>
    <w:rsid w:val="00820927"/>
    <w:rsid w:val="00820ED6"/>
    <w:rsid w:val="0082155D"/>
    <w:rsid w:val="00821EFD"/>
    <w:rsid w:val="00823CBE"/>
    <w:rsid w:val="00823F36"/>
    <w:rsid w:val="008242F5"/>
    <w:rsid w:val="0082446C"/>
    <w:rsid w:val="00825FDC"/>
    <w:rsid w:val="0082605D"/>
    <w:rsid w:val="008264A7"/>
    <w:rsid w:val="00826A84"/>
    <w:rsid w:val="00826D42"/>
    <w:rsid w:val="00827398"/>
    <w:rsid w:val="008278CB"/>
    <w:rsid w:val="00830F57"/>
    <w:rsid w:val="00833AEF"/>
    <w:rsid w:val="00833DB2"/>
    <w:rsid w:val="008342AF"/>
    <w:rsid w:val="008342C3"/>
    <w:rsid w:val="00835F02"/>
    <w:rsid w:val="00836829"/>
    <w:rsid w:val="00836E30"/>
    <w:rsid w:val="00840EB5"/>
    <w:rsid w:val="00842974"/>
    <w:rsid w:val="00843966"/>
    <w:rsid w:val="008468A9"/>
    <w:rsid w:val="00847A83"/>
    <w:rsid w:val="00852814"/>
    <w:rsid w:val="00852DB7"/>
    <w:rsid w:val="00853D80"/>
    <w:rsid w:val="00854936"/>
    <w:rsid w:val="0085550A"/>
    <w:rsid w:val="008566B6"/>
    <w:rsid w:val="0085707D"/>
    <w:rsid w:val="00857C4E"/>
    <w:rsid w:val="008616EF"/>
    <w:rsid w:val="0086209C"/>
    <w:rsid w:val="008624F4"/>
    <w:rsid w:val="008630D0"/>
    <w:rsid w:val="008639FF"/>
    <w:rsid w:val="00863C25"/>
    <w:rsid w:val="0086432B"/>
    <w:rsid w:val="008662A7"/>
    <w:rsid w:val="0086729A"/>
    <w:rsid w:val="008705BC"/>
    <w:rsid w:val="0087107F"/>
    <w:rsid w:val="00871779"/>
    <w:rsid w:val="00874AFC"/>
    <w:rsid w:val="00875667"/>
    <w:rsid w:val="00875A42"/>
    <w:rsid w:val="00875B19"/>
    <w:rsid w:val="00876CEE"/>
    <w:rsid w:val="00877E94"/>
    <w:rsid w:val="00880BDF"/>
    <w:rsid w:val="00882BE2"/>
    <w:rsid w:val="008904A8"/>
    <w:rsid w:val="00890A0E"/>
    <w:rsid w:val="0089236E"/>
    <w:rsid w:val="00892CAC"/>
    <w:rsid w:val="00894AAF"/>
    <w:rsid w:val="0089603D"/>
    <w:rsid w:val="00896E49"/>
    <w:rsid w:val="00897B93"/>
    <w:rsid w:val="00897F18"/>
    <w:rsid w:val="008A0125"/>
    <w:rsid w:val="008A0213"/>
    <w:rsid w:val="008A06EC"/>
    <w:rsid w:val="008A18C0"/>
    <w:rsid w:val="008A2865"/>
    <w:rsid w:val="008A2F96"/>
    <w:rsid w:val="008A3133"/>
    <w:rsid w:val="008A3C88"/>
    <w:rsid w:val="008A3D79"/>
    <w:rsid w:val="008A3F29"/>
    <w:rsid w:val="008A4057"/>
    <w:rsid w:val="008A4A6A"/>
    <w:rsid w:val="008A5E65"/>
    <w:rsid w:val="008A638D"/>
    <w:rsid w:val="008A6480"/>
    <w:rsid w:val="008A663E"/>
    <w:rsid w:val="008A66AD"/>
    <w:rsid w:val="008A6751"/>
    <w:rsid w:val="008A69A1"/>
    <w:rsid w:val="008A722D"/>
    <w:rsid w:val="008A7D47"/>
    <w:rsid w:val="008B0917"/>
    <w:rsid w:val="008B1BA8"/>
    <w:rsid w:val="008B2198"/>
    <w:rsid w:val="008B5865"/>
    <w:rsid w:val="008B6E63"/>
    <w:rsid w:val="008B782A"/>
    <w:rsid w:val="008C02FD"/>
    <w:rsid w:val="008C11DB"/>
    <w:rsid w:val="008C22D9"/>
    <w:rsid w:val="008C299C"/>
    <w:rsid w:val="008C29E9"/>
    <w:rsid w:val="008C2C1E"/>
    <w:rsid w:val="008C3244"/>
    <w:rsid w:val="008C429B"/>
    <w:rsid w:val="008C4934"/>
    <w:rsid w:val="008C499D"/>
    <w:rsid w:val="008C510F"/>
    <w:rsid w:val="008C56FE"/>
    <w:rsid w:val="008C5AAB"/>
    <w:rsid w:val="008C6586"/>
    <w:rsid w:val="008C6769"/>
    <w:rsid w:val="008D027C"/>
    <w:rsid w:val="008D0550"/>
    <w:rsid w:val="008D067B"/>
    <w:rsid w:val="008D18DA"/>
    <w:rsid w:val="008D2351"/>
    <w:rsid w:val="008D285C"/>
    <w:rsid w:val="008D2D66"/>
    <w:rsid w:val="008D37EA"/>
    <w:rsid w:val="008D44A0"/>
    <w:rsid w:val="008D4A23"/>
    <w:rsid w:val="008D54A7"/>
    <w:rsid w:val="008D5F0B"/>
    <w:rsid w:val="008E1E65"/>
    <w:rsid w:val="008E3B3E"/>
    <w:rsid w:val="008E3F17"/>
    <w:rsid w:val="008E41E0"/>
    <w:rsid w:val="008E4808"/>
    <w:rsid w:val="008E512F"/>
    <w:rsid w:val="008E596B"/>
    <w:rsid w:val="008E66B8"/>
    <w:rsid w:val="008E75FA"/>
    <w:rsid w:val="008E7EE4"/>
    <w:rsid w:val="008F01C1"/>
    <w:rsid w:val="008F070D"/>
    <w:rsid w:val="008F1090"/>
    <w:rsid w:val="008F1483"/>
    <w:rsid w:val="008F1988"/>
    <w:rsid w:val="008F2500"/>
    <w:rsid w:val="008F450F"/>
    <w:rsid w:val="008F6252"/>
    <w:rsid w:val="008F731C"/>
    <w:rsid w:val="008F78E2"/>
    <w:rsid w:val="009023F3"/>
    <w:rsid w:val="00902AB9"/>
    <w:rsid w:val="00902D27"/>
    <w:rsid w:val="009032D9"/>
    <w:rsid w:val="0090383C"/>
    <w:rsid w:val="00903F31"/>
    <w:rsid w:val="00905EBD"/>
    <w:rsid w:val="00906019"/>
    <w:rsid w:val="00907AB7"/>
    <w:rsid w:val="00910C9A"/>
    <w:rsid w:val="00910DE7"/>
    <w:rsid w:val="00910E08"/>
    <w:rsid w:val="00912132"/>
    <w:rsid w:val="009129CA"/>
    <w:rsid w:val="00912AEC"/>
    <w:rsid w:val="009130B2"/>
    <w:rsid w:val="00914277"/>
    <w:rsid w:val="00914C75"/>
    <w:rsid w:val="0091547B"/>
    <w:rsid w:val="009159AB"/>
    <w:rsid w:val="00915C4F"/>
    <w:rsid w:val="009165AE"/>
    <w:rsid w:val="00916B62"/>
    <w:rsid w:val="009174D6"/>
    <w:rsid w:val="0092042E"/>
    <w:rsid w:val="00920FFA"/>
    <w:rsid w:val="009212DD"/>
    <w:rsid w:val="0092272D"/>
    <w:rsid w:val="009227B8"/>
    <w:rsid w:val="00922F48"/>
    <w:rsid w:val="00922FAD"/>
    <w:rsid w:val="00923E15"/>
    <w:rsid w:val="00924F0A"/>
    <w:rsid w:val="00925681"/>
    <w:rsid w:val="00925C89"/>
    <w:rsid w:val="00925D5C"/>
    <w:rsid w:val="00925FB5"/>
    <w:rsid w:val="00926E80"/>
    <w:rsid w:val="0092708B"/>
    <w:rsid w:val="009271F5"/>
    <w:rsid w:val="0093049D"/>
    <w:rsid w:val="00935625"/>
    <w:rsid w:val="00936571"/>
    <w:rsid w:val="00936868"/>
    <w:rsid w:val="00937713"/>
    <w:rsid w:val="00937D8C"/>
    <w:rsid w:val="00940235"/>
    <w:rsid w:val="0094051B"/>
    <w:rsid w:val="00940DD5"/>
    <w:rsid w:val="00940EA9"/>
    <w:rsid w:val="00942103"/>
    <w:rsid w:val="009422CD"/>
    <w:rsid w:val="00942E54"/>
    <w:rsid w:val="00943D8D"/>
    <w:rsid w:val="00944592"/>
    <w:rsid w:val="00944CC1"/>
    <w:rsid w:val="009450CE"/>
    <w:rsid w:val="0094572D"/>
    <w:rsid w:val="00945839"/>
    <w:rsid w:val="00945A4A"/>
    <w:rsid w:val="00946941"/>
    <w:rsid w:val="009513FB"/>
    <w:rsid w:val="00951788"/>
    <w:rsid w:val="00953333"/>
    <w:rsid w:val="0095340A"/>
    <w:rsid w:val="009539EC"/>
    <w:rsid w:val="009547B6"/>
    <w:rsid w:val="00954B4D"/>
    <w:rsid w:val="009551F9"/>
    <w:rsid w:val="00955A35"/>
    <w:rsid w:val="0095672D"/>
    <w:rsid w:val="00956DFE"/>
    <w:rsid w:val="009606C4"/>
    <w:rsid w:val="0096342A"/>
    <w:rsid w:val="0096444A"/>
    <w:rsid w:val="00964DC7"/>
    <w:rsid w:val="009653EF"/>
    <w:rsid w:val="00965B96"/>
    <w:rsid w:val="00966820"/>
    <w:rsid w:val="00966BBD"/>
    <w:rsid w:val="00967762"/>
    <w:rsid w:val="00971E57"/>
    <w:rsid w:val="009723CF"/>
    <w:rsid w:val="00972A9D"/>
    <w:rsid w:val="00972C86"/>
    <w:rsid w:val="00975A73"/>
    <w:rsid w:val="0097711C"/>
    <w:rsid w:val="00977142"/>
    <w:rsid w:val="009776AE"/>
    <w:rsid w:val="00977C81"/>
    <w:rsid w:val="00980037"/>
    <w:rsid w:val="00980BDD"/>
    <w:rsid w:val="00981262"/>
    <w:rsid w:val="00981DFD"/>
    <w:rsid w:val="009826BC"/>
    <w:rsid w:val="00983B43"/>
    <w:rsid w:val="009844DD"/>
    <w:rsid w:val="00984C5C"/>
    <w:rsid w:val="00985462"/>
    <w:rsid w:val="00985CA2"/>
    <w:rsid w:val="009863E4"/>
    <w:rsid w:val="00987E9E"/>
    <w:rsid w:val="00990179"/>
    <w:rsid w:val="00990C18"/>
    <w:rsid w:val="00991B37"/>
    <w:rsid w:val="00992231"/>
    <w:rsid w:val="009927D8"/>
    <w:rsid w:val="00992AD3"/>
    <w:rsid w:val="00994029"/>
    <w:rsid w:val="009942B5"/>
    <w:rsid w:val="00995700"/>
    <w:rsid w:val="00995C45"/>
    <w:rsid w:val="00995D19"/>
    <w:rsid w:val="00995F35"/>
    <w:rsid w:val="00996680"/>
    <w:rsid w:val="009967FA"/>
    <w:rsid w:val="009974B5"/>
    <w:rsid w:val="00997848"/>
    <w:rsid w:val="0099798E"/>
    <w:rsid w:val="009A2820"/>
    <w:rsid w:val="009A297F"/>
    <w:rsid w:val="009A2D0D"/>
    <w:rsid w:val="009A43F9"/>
    <w:rsid w:val="009A5499"/>
    <w:rsid w:val="009A55D4"/>
    <w:rsid w:val="009A7FA3"/>
    <w:rsid w:val="009B0293"/>
    <w:rsid w:val="009B10F7"/>
    <w:rsid w:val="009B18B2"/>
    <w:rsid w:val="009B2D9A"/>
    <w:rsid w:val="009B3C4A"/>
    <w:rsid w:val="009B418C"/>
    <w:rsid w:val="009B4C7C"/>
    <w:rsid w:val="009B5476"/>
    <w:rsid w:val="009B614F"/>
    <w:rsid w:val="009B73A6"/>
    <w:rsid w:val="009B776E"/>
    <w:rsid w:val="009C119E"/>
    <w:rsid w:val="009C15DE"/>
    <w:rsid w:val="009C16EE"/>
    <w:rsid w:val="009C2583"/>
    <w:rsid w:val="009C2C42"/>
    <w:rsid w:val="009C3034"/>
    <w:rsid w:val="009C36E8"/>
    <w:rsid w:val="009C3D9F"/>
    <w:rsid w:val="009C4277"/>
    <w:rsid w:val="009C54B9"/>
    <w:rsid w:val="009C6CC4"/>
    <w:rsid w:val="009C6CCA"/>
    <w:rsid w:val="009C6FC6"/>
    <w:rsid w:val="009C714D"/>
    <w:rsid w:val="009C7687"/>
    <w:rsid w:val="009D2FDC"/>
    <w:rsid w:val="009D3181"/>
    <w:rsid w:val="009D4BA0"/>
    <w:rsid w:val="009D5D01"/>
    <w:rsid w:val="009D7719"/>
    <w:rsid w:val="009D7C75"/>
    <w:rsid w:val="009D7FE0"/>
    <w:rsid w:val="009E0853"/>
    <w:rsid w:val="009E0BB5"/>
    <w:rsid w:val="009E0CCA"/>
    <w:rsid w:val="009E17F7"/>
    <w:rsid w:val="009E36DB"/>
    <w:rsid w:val="009E49E4"/>
    <w:rsid w:val="009E4CA2"/>
    <w:rsid w:val="009E58AC"/>
    <w:rsid w:val="009E5E11"/>
    <w:rsid w:val="009E5EB6"/>
    <w:rsid w:val="009E685C"/>
    <w:rsid w:val="009E6AF7"/>
    <w:rsid w:val="009E7207"/>
    <w:rsid w:val="009E7285"/>
    <w:rsid w:val="009E737D"/>
    <w:rsid w:val="009E744B"/>
    <w:rsid w:val="009F15AF"/>
    <w:rsid w:val="009F16A3"/>
    <w:rsid w:val="009F2382"/>
    <w:rsid w:val="009F2518"/>
    <w:rsid w:val="009F292C"/>
    <w:rsid w:val="009F2ACB"/>
    <w:rsid w:val="009F2B2E"/>
    <w:rsid w:val="009F41BD"/>
    <w:rsid w:val="00A02442"/>
    <w:rsid w:val="00A0330D"/>
    <w:rsid w:val="00A03977"/>
    <w:rsid w:val="00A05117"/>
    <w:rsid w:val="00A07C7F"/>
    <w:rsid w:val="00A10447"/>
    <w:rsid w:val="00A1077A"/>
    <w:rsid w:val="00A10DAE"/>
    <w:rsid w:val="00A11454"/>
    <w:rsid w:val="00A151AA"/>
    <w:rsid w:val="00A1610D"/>
    <w:rsid w:val="00A165DC"/>
    <w:rsid w:val="00A16FB5"/>
    <w:rsid w:val="00A17D17"/>
    <w:rsid w:val="00A205AE"/>
    <w:rsid w:val="00A21425"/>
    <w:rsid w:val="00A220A4"/>
    <w:rsid w:val="00A247D5"/>
    <w:rsid w:val="00A24A41"/>
    <w:rsid w:val="00A26FF7"/>
    <w:rsid w:val="00A27535"/>
    <w:rsid w:val="00A27FDF"/>
    <w:rsid w:val="00A310A7"/>
    <w:rsid w:val="00A310E7"/>
    <w:rsid w:val="00A3314F"/>
    <w:rsid w:val="00A3496C"/>
    <w:rsid w:val="00A36452"/>
    <w:rsid w:val="00A36726"/>
    <w:rsid w:val="00A37419"/>
    <w:rsid w:val="00A423A8"/>
    <w:rsid w:val="00A445DC"/>
    <w:rsid w:val="00A44BEA"/>
    <w:rsid w:val="00A46518"/>
    <w:rsid w:val="00A479C0"/>
    <w:rsid w:val="00A50886"/>
    <w:rsid w:val="00A510BA"/>
    <w:rsid w:val="00A51332"/>
    <w:rsid w:val="00A515C0"/>
    <w:rsid w:val="00A51732"/>
    <w:rsid w:val="00A54006"/>
    <w:rsid w:val="00A567D4"/>
    <w:rsid w:val="00A569E8"/>
    <w:rsid w:val="00A572DB"/>
    <w:rsid w:val="00A5743E"/>
    <w:rsid w:val="00A57DFB"/>
    <w:rsid w:val="00A60FEE"/>
    <w:rsid w:val="00A624A6"/>
    <w:rsid w:val="00A62719"/>
    <w:rsid w:val="00A637B0"/>
    <w:rsid w:val="00A63D7F"/>
    <w:rsid w:val="00A65E14"/>
    <w:rsid w:val="00A65FE7"/>
    <w:rsid w:val="00A6697D"/>
    <w:rsid w:val="00A66A2D"/>
    <w:rsid w:val="00A66AC4"/>
    <w:rsid w:val="00A70C39"/>
    <w:rsid w:val="00A70FE2"/>
    <w:rsid w:val="00A711C6"/>
    <w:rsid w:val="00A71FB5"/>
    <w:rsid w:val="00A73C28"/>
    <w:rsid w:val="00A74D3D"/>
    <w:rsid w:val="00A74D5D"/>
    <w:rsid w:val="00A74E17"/>
    <w:rsid w:val="00A7728F"/>
    <w:rsid w:val="00A7730B"/>
    <w:rsid w:val="00A77AC2"/>
    <w:rsid w:val="00A80955"/>
    <w:rsid w:val="00A829AE"/>
    <w:rsid w:val="00A830E4"/>
    <w:rsid w:val="00A83C9E"/>
    <w:rsid w:val="00A84863"/>
    <w:rsid w:val="00A84A62"/>
    <w:rsid w:val="00A84AE4"/>
    <w:rsid w:val="00A85ECF"/>
    <w:rsid w:val="00A86B76"/>
    <w:rsid w:val="00A86ED2"/>
    <w:rsid w:val="00A876CA"/>
    <w:rsid w:val="00A900BB"/>
    <w:rsid w:val="00A929DB"/>
    <w:rsid w:val="00A934D9"/>
    <w:rsid w:val="00A95872"/>
    <w:rsid w:val="00A95D95"/>
    <w:rsid w:val="00A96028"/>
    <w:rsid w:val="00A96047"/>
    <w:rsid w:val="00A96C84"/>
    <w:rsid w:val="00A9747F"/>
    <w:rsid w:val="00A977EC"/>
    <w:rsid w:val="00AA0619"/>
    <w:rsid w:val="00AA12CD"/>
    <w:rsid w:val="00AA200F"/>
    <w:rsid w:val="00AA3456"/>
    <w:rsid w:val="00AA3FD1"/>
    <w:rsid w:val="00AA443F"/>
    <w:rsid w:val="00AA4DBB"/>
    <w:rsid w:val="00AA57A0"/>
    <w:rsid w:val="00AA69B8"/>
    <w:rsid w:val="00AB11B3"/>
    <w:rsid w:val="00AB15DF"/>
    <w:rsid w:val="00AB22F3"/>
    <w:rsid w:val="00AB3329"/>
    <w:rsid w:val="00AB48B9"/>
    <w:rsid w:val="00AB50E0"/>
    <w:rsid w:val="00AB5196"/>
    <w:rsid w:val="00AB5ED3"/>
    <w:rsid w:val="00AB65F7"/>
    <w:rsid w:val="00AB6A98"/>
    <w:rsid w:val="00AB6B0C"/>
    <w:rsid w:val="00AB70CD"/>
    <w:rsid w:val="00AB7481"/>
    <w:rsid w:val="00AB77AA"/>
    <w:rsid w:val="00AB79DB"/>
    <w:rsid w:val="00AB7F65"/>
    <w:rsid w:val="00AC2B04"/>
    <w:rsid w:val="00AC33AD"/>
    <w:rsid w:val="00AC4674"/>
    <w:rsid w:val="00AC4898"/>
    <w:rsid w:val="00AC48B3"/>
    <w:rsid w:val="00AC56AD"/>
    <w:rsid w:val="00AC7626"/>
    <w:rsid w:val="00AC7AC9"/>
    <w:rsid w:val="00AD0621"/>
    <w:rsid w:val="00AD22DE"/>
    <w:rsid w:val="00AD24E3"/>
    <w:rsid w:val="00AD380C"/>
    <w:rsid w:val="00AD58EC"/>
    <w:rsid w:val="00AD5FA4"/>
    <w:rsid w:val="00AD748B"/>
    <w:rsid w:val="00AD7B20"/>
    <w:rsid w:val="00AE03B3"/>
    <w:rsid w:val="00AE1920"/>
    <w:rsid w:val="00AE263B"/>
    <w:rsid w:val="00AE3014"/>
    <w:rsid w:val="00AE35A4"/>
    <w:rsid w:val="00AE38AB"/>
    <w:rsid w:val="00AE5971"/>
    <w:rsid w:val="00AE5D62"/>
    <w:rsid w:val="00AE6DDF"/>
    <w:rsid w:val="00AF01B3"/>
    <w:rsid w:val="00AF09C0"/>
    <w:rsid w:val="00AF0B91"/>
    <w:rsid w:val="00AF0F13"/>
    <w:rsid w:val="00AF0F15"/>
    <w:rsid w:val="00AF1969"/>
    <w:rsid w:val="00AF1A9B"/>
    <w:rsid w:val="00AF1F22"/>
    <w:rsid w:val="00AF2180"/>
    <w:rsid w:val="00AF338F"/>
    <w:rsid w:val="00AF3718"/>
    <w:rsid w:val="00AF3947"/>
    <w:rsid w:val="00AF556F"/>
    <w:rsid w:val="00AF671D"/>
    <w:rsid w:val="00AF7340"/>
    <w:rsid w:val="00AF7992"/>
    <w:rsid w:val="00B00545"/>
    <w:rsid w:val="00B00AB3"/>
    <w:rsid w:val="00B011FE"/>
    <w:rsid w:val="00B01437"/>
    <w:rsid w:val="00B032FE"/>
    <w:rsid w:val="00B04133"/>
    <w:rsid w:val="00B055D4"/>
    <w:rsid w:val="00B0570F"/>
    <w:rsid w:val="00B05D4B"/>
    <w:rsid w:val="00B0669E"/>
    <w:rsid w:val="00B077BA"/>
    <w:rsid w:val="00B07EF5"/>
    <w:rsid w:val="00B07FAC"/>
    <w:rsid w:val="00B10B2D"/>
    <w:rsid w:val="00B116AF"/>
    <w:rsid w:val="00B12133"/>
    <w:rsid w:val="00B14837"/>
    <w:rsid w:val="00B14C52"/>
    <w:rsid w:val="00B14DF2"/>
    <w:rsid w:val="00B168D4"/>
    <w:rsid w:val="00B200AA"/>
    <w:rsid w:val="00B206CB"/>
    <w:rsid w:val="00B207E5"/>
    <w:rsid w:val="00B21DED"/>
    <w:rsid w:val="00B22021"/>
    <w:rsid w:val="00B2511D"/>
    <w:rsid w:val="00B251E0"/>
    <w:rsid w:val="00B254B1"/>
    <w:rsid w:val="00B25B64"/>
    <w:rsid w:val="00B27A42"/>
    <w:rsid w:val="00B27BC4"/>
    <w:rsid w:val="00B27ED6"/>
    <w:rsid w:val="00B3029F"/>
    <w:rsid w:val="00B32967"/>
    <w:rsid w:val="00B32A4C"/>
    <w:rsid w:val="00B32D4B"/>
    <w:rsid w:val="00B32E50"/>
    <w:rsid w:val="00B3300D"/>
    <w:rsid w:val="00B34073"/>
    <w:rsid w:val="00B34878"/>
    <w:rsid w:val="00B349ED"/>
    <w:rsid w:val="00B34FF0"/>
    <w:rsid w:val="00B35153"/>
    <w:rsid w:val="00B36B49"/>
    <w:rsid w:val="00B37B41"/>
    <w:rsid w:val="00B37EF4"/>
    <w:rsid w:val="00B400C2"/>
    <w:rsid w:val="00B407DA"/>
    <w:rsid w:val="00B40F7B"/>
    <w:rsid w:val="00B4216A"/>
    <w:rsid w:val="00B436B5"/>
    <w:rsid w:val="00B47236"/>
    <w:rsid w:val="00B47758"/>
    <w:rsid w:val="00B478C3"/>
    <w:rsid w:val="00B50CB1"/>
    <w:rsid w:val="00B51093"/>
    <w:rsid w:val="00B52715"/>
    <w:rsid w:val="00B5496C"/>
    <w:rsid w:val="00B552A3"/>
    <w:rsid w:val="00B56731"/>
    <w:rsid w:val="00B567C2"/>
    <w:rsid w:val="00B571E6"/>
    <w:rsid w:val="00B5746F"/>
    <w:rsid w:val="00B600D8"/>
    <w:rsid w:val="00B61348"/>
    <w:rsid w:val="00B6263F"/>
    <w:rsid w:val="00B62E2A"/>
    <w:rsid w:val="00B630EE"/>
    <w:rsid w:val="00B64B61"/>
    <w:rsid w:val="00B651BD"/>
    <w:rsid w:val="00B6603F"/>
    <w:rsid w:val="00B67114"/>
    <w:rsid w:val="00B67947"/>
    <w:rsid w:val="00B71FBD"/>
    <w:rsid w:val="00B727CE"/>
    <w:rsid w:val="00B727D7"/>
    <w:rsid w:val="00B72972"/>
    <w:rsid w:val="00B72DFC"/>
    <w:rsid w:val="00B72E0A"/>
    <w:rsid w:val="00B75449"/>
    <w:rsid w:val="00B75F6E"/>
    <w:rsid w:val="00B76396"/>
    <w:rsid w:val="00B771F0"/>
    <w:rsid w:val="00B77F79"/>
    <w:rsid w:val="00B80A9B"/>
    <w:rsid w:val="00B80B0E"/>
    <w:rsid w:val="00B8239C"/>
    <w:rsid w:val="00B83272"/>
    <w:rsid w:val="00B83858"/>
    <w:rsid w:val="00B83D62"/>
    <w:rsid w:val="00B83DC7"/>
    <w:rsid w:val="00B83E56"/>
    <w:rsid w:val="00B84F6E"/>
    <w:rsid w:val="00B852FF"/>
    <w:rsid w:val="00B87B7C"/>
    <w:rsid w:val="00B87E13"/>
    <w:rsid w:val="00B90CA5"/>
    <w:rsid w:val="00B917E7"/>
    <w:rsid w:val="00B91910"/>
    <w:rsid w:val="00B93104"/>
    <w:rsid w:val="00B93718"/>
    <w:rsid w:val="00B94C85"/>
    <w:rsid w:val="00B95B32"/>
    <w:rsid w:val="00BA1E4E"/>
    <w:rsid w:val="00BA355D"/>
    <w:rsid w:val="00BA3923"/>
    <w:rsid w:val="00BA3DBA"/>
    <w:rsid w:val="00BA4450"/>
    <w:rsid w:val="00BA45DC"/>
    <w:rsid w:val="00BA4E9A"/>
    <w:rsid w:val="00BA4EF9"/>
    <w:rsid w:val="00BA527C"/>
    <w:rsid w:val="00BA56A7"/>
    <w:rsid w:val="00BA5E02"/>
    <w:rsid w:val="00BA5EAD"/>
    <w:rsid w:val="00BA6DB6"/>
    <w:rsid w:val="00BB0DCD"/>
    <w:rsid w:val="00BB2647"/>
    <w:rsid w:val="00BB2953"/>
    <w:rsid w:val="00BB2A53"/>
    <w:rsid w:val="00BB3AD9"/>
    <w:rsid w:val="00BB3CA5"/>
    <w:rsid w:val="00BB433D"/>
    <w:rsid w:val="00BB45DD"/>
    <w:rsid w:val="00BB5B76"/>
    <w:rsid w:val="00BB5D21"/>
    <w:rsid w:val="00BB6F1E"/>
    <w:rsid w:val="00BB7212"/>
    <w:rsid w:val="00BB7494"/>
    <w:rsid w:val="00BB7A13"/>
    <w:rsid w:val="00BC016D"/>
    <w:rsid w:val="00BC0A56"/>
    <w:rsid w:val="00BC2390"/>
    <w:rsid w:val="00BC24E1"/>
    <w:rsid w:val="00BC3B8E"/>
    <w:rsid w:val="00BC4775"/>
    <w:rsid w:val="00BC4DB5"/>
    <w:rsid w:val="00BC546C"/>
    <w:rsid w:val="00BC6D82"/>
    <w:rsid w:val="00BC7413"/>
    <w:rsid w:val="00BC753C"/>
    <w:rsid w:val="00BD136C"/>
    <w:rsid w:val="00BD4745"/>
    <w:rsid w:val="00BD4CBA"/>
    <w:rsid w:val="00BD762F"/>
    <w:rsid w:val="00BE07A9"/>
    <w:rsid w:val="00BE084D"/>
    <w:rsid w:val="00BE098D"/>
    <w:rsid w:val="00BE3CB4"/>
    <w:rsid w:val="00BE428C"/>
    <w:rsid w:val="00BE4A6C"/>
    <w:rsid w:val="00BE6039"/>
    <w:rsid w:val="00BE6841"/>
    <w:rsid w:val="00BE6D5A"/>
    <w:rsid w:val="00BF1EF3"/>
    <w:rsid w:val="00BF385E"/>
    <w:rsid w:val="00BF46A7"/>
    <w:rsid w:val="00BF4ADB"/>
    <w:rsid w:val="00BF4D96"/>
    <w:rsid w:val="00BF5230"/>
    <w:rsid w:val="00BF6307"/>
    <w:rsid w:val="00BF6D6B"/>
    <w:rsid w:val="00C00E96"/>
    <w:rsid w:val="00C02269"/>
    <w:rsid w:val="00C02E19"/>
    <w:rsid w:val="00C04072"/>
    <w:rsid w:val="00C04C2F"/>
    <w:rsid w:val="00C05690"/>
    <w:rsid w:val="00C1090C"/>
    <w:rsid w:val="00C1209D"/>
    <w:rsid w:val="00C144DB"/>
    <w:rsid w:val="00C159C7"/>
    <w:rsid w:val="00C15B26"/>
    <w:rsid w:val="00C16CCA"/>
    <w:rsid w:val="00C17705"/>
    <w:rsid w:val="00C177AD"/>
    <w:rsid w:val="00C20511"/>
    <w:rsid w:val="00C20D8D"/>
    <w:rsid w:val="00C21574"/>
    <w:rsid w:val="00C21766"/>
    <w:rsid w:val="00C22D61"/>
    <w:rsid w:val="00C23214"/>
    <w:rsid w:val="00C23675"/>
    <w:rsid w:val="00C23FD0"/>
    <w:rsid w:val="00C240C8"/>
    <w:rsid w:val="00C26513"/>
    <w:rsid w:val="00C30DAF"/>
    <w:rsid w:val="00C310C9"/>
    <w:rsid w:val="00C32088"/>
    <w:rsid w:val="00C328C9"/>
    <w:rsid w:val="00C32C04"/>
    <w:rsid w:val="00C32C4F"/>
    <w:rsid w:val="00C339A4"/>
    <w:rsid w:val="00C37080"/>
    <w:rsid w:val="00C37F72"/>
    <w:rsid w:val="00C37FC8"/>
    <w:rsid w:val="00C4017D"/>
    <w:rsid w:val="00C40BC6"/>
    <w:rsid w:val="00C420C1"/>
    <w:rsid w:val="00C422E6"/>
    <w:rsid w:val="00C42884"/>
    <w:rsid w:val="00C436F9"/>
    <w:rsid w:val="00C44A21"/>
    <w:rsid w:val="00C44A38"/>
    <w:rsid w:val="00C44E91"/>
    <w:rsid w:val="00C45963"/>
    <w:rsid w:val="00C46B98"/>
    <w:rsid w:val="00C472B8"/>
    <w:rsid w:val="00C47A0B"/>
    <w:rsid w:val="00C47E19"/>
    <w:rsid w:val="00C50375"/>
    <w:rsid w:val="00C51574"/>
    <w:rsid w:val="00C52673"/>
    <w:rsid w:val="00C53124"/>
    <w:rsid w:val="00C53B2E"/>
    <w:rsid w:val="00C544AC"/>
    <w:rsid w:val="00C572B0"/>
    <w:rsid w:val="00C57DD2"/>
    <w:rsid w:val="00C60B6A"/>
    <w:rsid w:val="00C6160A"/>
    <w:rsid w:val="00C63D6E"/>
    <w:rsid w:val="00C63E60"/>
    <w:rsid w:val="00C648F3"/>
    <w:rsid w:val="00C64B7F"/>
    <w:rsid w:val="00C653C8"/>
    <w:rsid w:val="00C65711"/>
    <w:rsid w:val="00C66943"/>
    <w:rsid w:val="00C66AC4"/>
    <w:rsid w:val="00C67313"/>
    <w:rsid w:val="00C67AF2"/>
    <w:rsid w:val="00C703F4"/>
    <w:rsid w:val="00C70FFB"/>
    <w:rsid w:val="00C73211"/>
    <w:rsid w:val="00C74BAB"/>
    <w:rsid w:val="00C75849"/>
    <w:rsid w:val="00C76ECD"/>
    <w:rsid w:val="00C77235"/>
    <w:rsid w:val="00C80D99"/>
    <w:rsid w:val="00C80F82"/>
    <w:rsid w:val="00C83500"/>
    <w:rsid w:val="00C83D62"/>
    <w:rsid w:val="00C84D18"/>
    <w:rsid w:val="00C84E04"/>
    <w:rsid w:val="00C85C43"/>
    <w:rsid w:val="00C87865"/>
    <w:rsid w:val="00C90463"/>
    <w:rsid w:val="00C910BE"/>
    <w:rsid w:val="00C912C4"/>
    <w:rsid w:val="00C91F82"/>
    <w:rsid w:val="00C922BE"/>
    <w:rsid w:val="00C92A1B"/>
    <w:rsid w:val="00C92E16"/>
    <w:rsid w:val="00C942D7"/>
    <w:rsid w:val="00C946C8"/>
    <w:rsid w:val="00C94926"/>
    <w:rsid w:val="00C949A2"/>
    <w:rsid w:val="00C94B43"/>
    <w:rsid w:val="00C95289"/>
    <w:rsid w:val="00C959D6"/>
    <w:rsid w:val="00C96A12"/>
    <w:rsid w:val="00C96EBD"/>
    <w:rsid w:val="00CA14BE"/>
    <w:rsid w:val="00CA1A83"/>
    <w:rsid w:val="00CA2168"/>
    <w:rsid w:val="00CA2B1D"/>
    <w:rsid w:val="00CA3705"/>
    <w:rsid w:val="00CA3F71"/>
    <w:rsid w:val="00CA4900"/>
    <w:rsid w:val="00CA5844"/>
    <w:rsid w:val="00CA5ECC"/>
    <w:rsid w:val="00CA6E86"/>
    <w:rsid w:val="00CA7415"/>
    <w:rsid w:val="00CA7A8A"/>
    <w:rsid w:val="00CA7C77"/>
    <w:rsid w:val="00CB0071"/>
    <w:rsid w:val="00CB0C68"/>
    <w:rsid w:val="00CB1DDA"/>
    <w:rsid w:val="00CB265C"/>
    <w:rsid w:val="00CB275E"/>
    <w:rsid w:val="00CB3759"/>
    <w:rsid w:val="00CB4540"/>
    <w:rsid w:val="00CB46E8"/>
    <w:rsid w:val="00CB4AB4"/>
    <w:rsid w:val="00CB4F8D"/>
    <w:rsid w:val="00CB6D6E"/>
    <w:rsid w:val="00CB7A07"/>
    <w:rsid w:val="00CB7AE3"/>
    <w:rsid w:val="00CB7DBA"/>
    <w:rsid w:val="00CC01BD"/>
    <w:rsid w:val="00CC1922"/>
    <w:rsid w:val="00CC1C51"/>
    <w:rsid w:val="00CC2E5C"/>
    <w:rsid w:val="00CC3305"/>
    <w:rsid w:val="00CC3355"/>
    <w:rsid w:val="00CC4CE5"/>
    <w:rsid w:val="00CC59BB"/>
    <w:rsid w:val="00CC5AE5"/>
    <w:rsid w:val="00CC70BF"/>
    <w:rsid w:val="00CC7BDF"/>
    <w:rsid w:val="00CC7DC1"/>
    <w:rsid w:val="00CD007B"/>
    <w:rsid w:val="00CD0443"/>
    <w:rsid w:val="00CD1274"/>
    <w:rsid w:val="00CD13B7"/>
    <w:rsid w:val="00CD1A92"/>
    <w:rsid w:val="00CD2AA1"/>
    <w:rsid w:val="00CD4B3F"/>
    <w:rsid w:val="00CD535A"/>
    <w:rsid w:val="00CD5B3B"/>
    <w:rsid w:val="00CD635D"/>
    <w:rsid w:val="00CD7194"/>
    <w:rsid w:val="00CD72E9"/>
    <w:rsid w:val="00CD7CED"/>
    <w:rsid w:val="00CD7F23"/>
    <w:rsid w:val="00CE0367"/>
    <w:rsid w:val="00CE04C7"/>
    <w:rsid w:val="00CE1702"/>
    <w:rsid w:val="00CE4344"/>
    <w:rsid w:val="00CE4FE1"/>
    <w:rsid w:val="00CE543A"/>
    <w:rsid w:val="00CE5C1F"/>
    <w:rsid w:val="00CE6CC6"/>
    <w:rsid w:val="00CE7D98"/>
    <w:rsid w:val="00CF0E02"/>
    <w:rsid w:val="00CF156B"/>
    <w:rsid w:val="00CF1A7D"/>
    <w:rsid w:val="00CF1E02"/>
    <w:rsid w:val="00CF1E1F"/>
    <w:rsid w:val="00CF30E0"/>
    <w:rsid w:val="00CF3177"/>
    <w:rsid w:val="00CF3C24"/>
    <w:rsid w:val="00CF47FB"/>
    <w:rsid w:val="00CF597A"/>
    <w:rsid w:val="00CF7BFF"/>
    <w:rsid w:val="00CF7D10"/>
    <w:rsid w:val="00D008E5"/>
    <w:rsid w:val="00D01EB9"/>
    <w:rsid w:val="00D01ECF"/>
    <w:rsid w:val="00D02085"/>
    <w:rsid w:val="00D0252F"/>
    <w:rsid w:val="00D02779"/>
    <w:rsid w:val="00D02CAD"/>
    <w:rsid w:val="00D02D75"/>
    <w:rsid w:val="00D042B0"/>
    <w:rsid w:val="00D05BAA"/>
    <w:rsid w:val="00D05DDD"/>
    <w:rsid w:val="00D05F6E"/>
    <w:rsid w:val="00D07484"/>
    <w:rsid w:val="00D07D43"/>
    <w:rsid w:val="00D1206C"/>
    <w:rsid w:val="00D12FE3"/>
    <w:rsid w:val="00D13B7A"/>
    <w:rsid w:val="00D14493"/>
    <w:rsid w:val="00D15748"/>
    <w:rsid w:val="00D157A5"/>
    <w:rsid w:val="00D15DB9"/>
    <w:rsid w:val="00D1666F"/>
    <w:rsid w:val="00D1691B"/>
    <w:rsid w:val="00D172B1"/>
    <w:rsid w:val="00D21E36"/>
    <w:rsid w:val="00D2204D"/>
    <w:rsid w:val="00D22B63"/>
    <w:rsid w:val="00D22C4B"/>
    <w:rsid w:val="00D230C7"/>
    <w:rsid w:val="00D23E7D"/>
    <w:rsid w:val="00D2405F"/>
    <w:rsid w:val="00D245CF"/>
    <w:rsid w:val="00D2512D"/>
    <w:rsid w:val="00D25404"/>
    <w:rsid w:val="00D255B9"/>
    <w:rsid w:val="00D27566"/>
    <w:rsid w:val="00D27F2E"/>
    <w:rsid w:val="00D30C7F"/>
    <w:rsid w:val="00D30F57"/>
    <w:rsid w:val="00D317DB"/>
    <w:rsid w:val="00D32BB8"/>
    <w:rsid w:val="00D33924"/>
    <w:rsid w:val="00D33AF3"/>
    <w:rsid w:val="00D347AF"/>
    <w:rsid w:val="00D35042"/>
    <w:rsid w:val="00D363DD"/>
    <w:rsid w:val="00D365E9"/>
    <w:rsid w:val="00D36BD8"/>
    <w:rsid w:val="00D36FCB"/>
    <w:rsid w:val="00D40419"/>
    <w:rsid w:val="00D412EF"/>
    <w:rsid w:val="00D41BA9"/>
    <w:rsid w:val="00D4409C"/>
    <w:rsid w:val="00D44239"/>
    <w:rsid w:val="00D4449D"/>
    <w:rsid w:val="00D45344"/>
    <w:rsid w:val="00D4571C"/>
    <w:rsid w:val="00D458DA"/>
    <w:rsid w:val="00D45C4E"/>
    <w:rsid w:val="00D46672"/>
    <w:rsid w:val="00D46FE7"/>
    <w:rsid w:val="00D50225"/>
    <w:rsid w:val="00D50293"/>
    <w:rsid w:val="00D5092F"/>
    <w:rsid w:val="00D52376"/>
    <w:rsid w:val="00D54475"/>
    <w:rsid w:val="00D55D20"/>
    <w:rsid w:val="00D55F74"/>
    <w:rsid w:val="00D57CF1"/>
    <w:rsid w:val="00D60272"/>
    <w:rsid w:val="00D612C2"/>
    <w:rsid w:val="00D61E40"/>
    <w:rsid w:val="00D709E3"/>
    <w:rsid w:val="00D73926"/>
    <w:rsid w:val="00D73F21"/>
    <w:rsid w:val="00D743BF"/>
    <w:rsid w:val="00D745E0"/>
    <w:rsid w:val="00D75B82"/>
    <w:rsid w:val="00D75B98"/>
    <w:rsid w:val="00D76911"/>
    <w:rsid w:val="00D769D3"/>
    <w:rsid w:val="00D76AA3"/>
    <w:rsid w:val="00D8032A"/>
    <w:rsid w:val="00D8053F"/>
    <w:rsid w:val="00D80604"/>
    <w:rsid w:val="00D812EC"/>
    <w:rsid w:val="00D821D3"/>
    <w:rsid w:val="00D826A1"/>
    <w:rsid w:val="00D832A7"/>
    <w:rsid w:val="00D84821"/>
    <w:rsid w:val="00D86717"/>
    <w:rsid w:val="00D87968"/>
    <w:rsid w:val="00D91536"/>
    <w:rsid w:val="00D9202D"/>
    <w:rsid w:val="00D923B5"/>
    <w:rsid w:val="00D9333A"/>
    <w:rsid w:val="00D934BF"/>
    <w:rsid w:val="00D941CD"/>
    <w:rsid w:val="00D94B3B"/>
    <w:rsid w:val="00D94DB1"/>
    <w:rsid w:val="00D95DC4"/>
    <w:rsid w:val="00DA04B4"/>
    <w:rsid w:val="00DA06A8"/>
    <w:rsid w:val="00DA086B"/>
    <w:rsid w:val="00DA1752"/>
    <w:rsid w:val="00DA1D7A"/>
    <w:rsid w:val="00DA3163"/>
    <w:rsid w:val="00DA3D82"/>
    <w:rsid w:val="00DA3E80"/>
    <w:rsid w:val="00DA4232"/>
    <w:rsid w:val="00DA44C1"/>
    <w:rsid w:val="00DA4A17"/>
    <w:rsid w:val="00DA6834"/>
    <w:rsid w:val="00DA711B"/>
    <w:rsid w:val="00DA792E"/>
    <w:rsid w:val="00DA7BE9"/>
    <w:rsid w:val="00DA7E05"/>
    <w:rsid w:val="00DA7EE9"/>
    <w:rsid w:val="00DB051B"/>
    <w:rsid w:val="00DB0A44"/>
    <w:rsid w:val="00DB17E3"/>
    <w:rsid w:val="00DB2360"/>
    <w:rsid w:val="00DB34F3"/>
    <w:rsid w:val="00DB36ED"/>
    <w:rsid w:val="00DB3CA0"/>
    <w:rsid w:val="00DB4190"/>
    <w:rsid w:val="00DB4794"/>
    <w:rsid w:val="00DB5C3E"/>
    <w:rsid w:val="00DB628E"/>
    <w:rsid w:val="00DB6762"/>
    <w:rsid w:val="00DB6919"/>
    <w:rsid w:val="00DB6DFE"/>
    <w:rsid w:val="00DB6EFB"/>
    <w:rsid w:val="00DB719C"/>
    <w:rsid w:val="00DC0895"/>
    <w:rsid w:val="00DC0F27"/>
    <w:rsid w:val="00DC1AC9"/>
    <w:rsid w:val="00DC25BD"/>
    <w:rsid w:val="00DC4386"/>
    <w:rsid w:val="00DC4714"/>
    <w:rsid w:val="00DC4916"/>
    <w:rsid w:val="00DC5F5E"/>
    <w:rsid w:val="00DC6214"/>
    <w:rsid w:val="00DC69E0"/>
    <w:rsid w:val="00DD01AE"/>
    <w:rsid w:val="00DD1168"/>
    <w:rsid w:val="00DD1A2E"/>
    <w:rsid w:val="00DD1FA7"/>
    <w:rsid w:val="00DD3550"/>
    <w:rsid w:val="00DD47CB"/>
    <w:rsid w:val="00DD50F1"/>
    <w:rsid w:val="00DD54FD"/>
    <w:rsid w:val="00DD6F04"/>
    <w:rsid w:val="00DD7A02"/>
    <w:rsid w:val="00DE1E70"/>
    <w:rsid w:val="00DE5A13"/>
    <w:rsid w:val="00DE65F6"/>
    <w:rsid w:val="00DE7179"/>
    <w:rsid w:val="00DF0886"/>
    <w:rsid w:val="00DF156F"/>
    <w:rsid w:val="00DF2231"/>
    <w:rsid w:val="00DF2873"/>
    <w:rsid w:val="00DF2DC1"/>
    <w:rsid w:val="00DF3ADE"/>
    <w:rsid w:val="00DF3D63"/>
    <w:rsid w:val="00DF4960"/>
    <w:rsid w:val="00DF5425"/>
    <w:rsid w:val="00DF58B3"/>
    <w:rsid w:val="00DF5A35"/>
    <w:rsid w:val="00DF7042"/>
    <w:rsid w:val="00DF782C"/>
    <w:rsid w:val="00E02455"/>
    <w:rsid w:val="00E030A0"/>
    <w:rsid w:val="00E04F63"/>
    <w:rsid w:val="00E05327"/>
    <w:rsid w:val="00E0549C"/>
    <w:rsid w:val="00E05704"/>
    <w:rsid w:val="00E06E27"/>
    <w:rsid w:val="00E06F04"/>
    <w:rsid w:val="00E07486"/>
    <w:rsid w:val="00E075A1"/>
    <w:rsid w:val="00E079A9"/>
    <w:rsid w:val="00E10462"/>
    <w:rsid w:val="00E11EAD"/>
    <w:rsid w:val="00E124E3"/>
    <w:rsid w:val="00E12E68"/>
    <w:rsid w:val="00E13419"/>
    <w:rsid w:val="00E13465"/>
    <w:rsid w:val="00E14812"/>
    <w:rsid w:val="00E14DE9"/>
    <w:rsid w:val="00E14EFB"/>
    <w:rsid w:val="00E15DDE"/>
    <w:rsid w:val="00E169D7"/>
    <w:rsid w:val="00E17F19"/>
    <w:rsid w:val="00E20253"/>
    <w:rsid w:val="00E2031F"/>
    <w:rsid w:val="00E2339E"/>
    <w:rsid w:val="00E24491"/>
    <w:rsid w:val="00E24884"/>
    <w:rsid w:val="00E26897"/>
    <w:rsid w:val="00E26EA5"/>
    <w:rsid w:val="00E26F1B"/>
    <w:rsid w:val="00E276DB"/>
    <w:rsid w:val="00E30ABA"/>
    <w:rsid w:val="00E3245B"/>
    <w:rsid w:val="00E3362F"/>
    <w:rsid w:val="00E337EA"/>
    <w:rsid w:val="00E3504A"/>
    <w:rsid w:val="00E3707B"/>
    <w:rsid w:val="00E4199A"/>
    <w:rsid w:val="00E42EB0"/>
    <w:rsid w:val="00E47B7A"/>
    <w:rsid w:val="00E500C4"/>
    <w:rsid w:val="00E502D1"/>
    <w:rsid w:val="00E50685"/>
    <w:rsid w:val="00E50B62"/>
    <w:rsid w:val="00E50D58"/>
    <w:rsid w:val="00E52847"/>
    <w:rsid w:val="00E53933"/>
    <w:rsid w:val="00E53F9F"/>
    <w:rsid w:val="00E54540"/>
    <w:rsid w:val="00E56306"/>
    <w:rsid w:val="00E577A1"/>
    <w:rsid w:val="00E57F33"/>
    <w:rsid w:val="00E57F6B"/>
    <w:rsid w:val="00E632FB"/>
    <w:rsid w:val="00E641A8"/>
    <w:rsid w:val="00E658AD"/>
    <w:rsid w:val="00E66655"/>
    <w:rsid w:val="00E66C3B"/>
    <w:rsid w:val="00E67202"/>
    <w:rsid w:val="00E673C1"/>
    <w:rsid w:val="00E67B6D"/>
    <w:rsid w:val="00E70CED"/>
    <w:rsid w:val="00E725DA"/>
    <w:rsid w:val="00E7342C"/>
    <w:rsid w:val="00E737AC"/>
    <w:rsid w:val="00E74861"/>
    <w:rsid w:val="00E76363"/>
    <w:rsid w:val="00E77A80"/>
    <w:rsid w:val="00E80026"/>
    <w:rsid w:val="00E80569"/>
    <w:rsid w:val="00E807B4"/>
    <w:rsid w:val="00E80B44"/>
    <w:rsid w:val="00E82AFD"/>
    <w:rsid w:val="00E857C0"/>
    <w:rsid w:val="00E85ED9"/>
    <w:rsid w:val="00E86244"/>
    <w:rsid w:val="00E86EDD"/>
    <w:rsid w:val="00E8731D"/>
    <w:rsid w:val="00E87C59"/>
    <w:rsid w:val="00E91A62"/>
    <w:rsid w:val="00E91D81"/>
    <w:rsid w:val="00E92AFE"/>
    <w:rsid w:val="00E92BC2"/>
    <w:rsid w:val="00E9318F"/>
    <w:rsid w:val="00E93755"/>
    <w:rsid w:val="00E93BD5"/>
    <w:rsid w:val="00E945B4"/>
    <w:rsid w:val="00E95A21"/>
    <w:rsid w:val="00E97536"/>
    <w:rsid w:val="00E97974"/>
    <w:rsid w:val="00EA010E"/>
    <w:rsid w:val="00EA08D9"/>
    <w:rsid w:val="00EA1302"/>
    <w:rsid w:val="00EA30E7"/>
    <w:rsid w:val="00EA335F"/>
    <w:rsid w:val="00EA46E0"/>
    <w:rsid w:val="00EA5288"/>
    <w:rsid w:val="00EA53F1"/>
    <w:rsid w:val="00EA5690"/>
    <w:rsid w:val="00EA5987"/>
    <w:rsid w:val="00EA5A65"/>
    <w:rsid w:val="00EA6AFF"/>
    <w:rsid w:val="00EA70AE"/>
    <w:rsid w:val="00EA744A"/>
    <w:rsid w:val="00EA7468"/>
    <w:rsid w:val="00EB060B"/>
    <w:rsid w:val="00EB11AE"/>
    <w:rsid w:val="00EB1E33"/>
    <w:rsid w:val="00EB230D"/>
    <w:rsid w:val="00EB2FC4"/>
    <w:rsid w:val="00EB3A1F"/>
    <w:rsid w:val="00EB47C1"/>
    <w:rsid w:val="00EB59DD"/>
    <w:rsid w:val="00EB5E45"/>
    <w:rsid w:val="00EC0548"/>
    <w:rsid w:val="00EC0881"/>
    <w:rsid w:val="00EC0907"/>
    <w:rsid w:val="00EC1397"/>
    <w:rsid w:val="00EC193E"/>
    <w:rsid w:val="00EC22CB"/>
    <w:rsid w:val="00EC3ACB"/>
    <w:rsid w:val="00EC4B4E"/>
    <w:rsid w:val="00EC5510"/>
    <w:rsid w:val="00ED05AA"/>
    <w:rsid w:val="00ED14C6"/>
    <w:rsid w:val="00ED212B"/>
    <w:rsid w:val="00ED2B38"/>
    <w:rsid w:val="00ED4270"/>
    <w:rsid w:val="00ED4C13"/>
    <w:rsid w:val="00ED6AFE"/>
    <w:rsid w:val="00ED6EBF"/>
    <w:rsid w:val="00EE212F"/>
    <w:rsid w:val="00EE3E02"/>
    <w:rsid w:val="00EE6258"/>
    <w:rsid w:val="00EE6E15"/>
    <w:rsid w:val="00EF0638"/>
    <w:rsid w:val="00EF0E72"/>
    <w:rsid w:val="00EF448A"/>
    <w:rsid w:val="00EF6540"/>
    <w:rsid w:val="00EF7255"/>
    <w:rsid w:val="00F01DD8"/>
    <w:rsid w:val="00F020A6"/>
    <w:rsid w:val="00F03DC0"/>
    <w:rsid w:val="00F04218"/>
    <w:rsid w:val="00F04414"/>
    <w:rsid w:val="00F06843"/>
    <w:rsid w:val="00F07F3D"/>
    <w:rsid w:val="00F11E97"/>
    <w:rsid w:val="00F121A4"/>
    <w:rsid w:val="00F12E8C"/>
    <w:rsid w:val="00F1394D"/>
    <w:rsid w:val="00F14C80"/>
    <w:rsid w:val="00F14E63"/>
    <w:rsid w:val="00F15CF2"/>
    <w:rsid w:val="00F175D0"/>
    <w:rsid w:val="00F17EEC"/>
    <w:rsid w:val="00F20FF1"/>
    <w:rsid w:val="00F22D23"/>
    <w:rsid w:val="00F23A81"/>
    <w:rsid w:val="00F2441C"/>
    <w:rsid w:val="00F24514"/>
    <w:rsid w:val="00F25A32"/>
    <w:rsid w:val="00F26957"/>
    <w:rsid w:val="00F3044A"/>
    <w:rsid w:val="00F31213"/>
    <w:rsid w:val="00F31C96"/>
    <w:rsid w:val="00F327DD"/>
    <w:rsid w:val="00F32F33"/>
    <w:rsid w:val="00F33C26"/>
    <w:rsid w:val="00F33F2F"/>
    <w:rsid w:val="00F351FD"/>
    <w:rsid w:val="00F35457"/>
    <w:rsid w:val="00F3595B"/>
    <w:rsid w:val="00F359D9"/>
    <w:rsid w:val="00F3617B"/>
    <w:rsid w:val="00F362AF"/>
    <w:rsid w:val="00F40207"/>
    <w:rsid w:val="00F40BA8"/>
    <w:rsid w:val="00F41AC8"/>
    <w:rsid w:val="00F42399"/>
    <w:rsid w:val="00F426A6"/>
    <w:rsid w:val="00F429FD"/>
    <w:rsid w:val="00F42C1A"/>
    <w:rsid w:val="00F449AC"/>
    <w:rsid w:val="00F44D6B"/>
    <w:rsid w:val="00F4623C"/>
    <w:rsid w:val="00F46897"/>
    <w:rsid w:val="00F51AA7"/>
    <w:rsid w:val="00F51ACA"/>
    <w:rsid w:val="00F54C4A"/>
    <w:rsid w:val="00F54D33"/>
    <w:rsid w:val="00F5560C"/>
    <w:rsid w:val="00F55977"/>
    <w:rsid w:val="00F56399"/>
    <w:rsid w:val="00F625D1"/>
    <w:rsid w:val="00F62937"/>
    <w:rsid w:val="00F631CA"/>
    <w:rsid w:val="00F63644"/>
    <w:rsid w:val="00F6680D"/>
    <w:rsid w:val="00F668C0"/>
    <w:rsid w:val="00F6740D"/>
    <w:rsid w:val="00F71062"/>
    <w:rsid w:val="00F72FF7"/>
    <w:rsid w:val="00F73028"/>
    <w:rsid w:val="00F731C6"/>
    <w:rsid w:val="00F740CE"/>
    <w:rsid w:val="00F750CF"/>
    <w:rsid w:val="00F75648"/>
    <w:rsid w:val="00F75C9F"/>
    <w:rsid w:val="00F75F88"/>
    <w:rsid w:val="00F76911"/>
    <w:rsid w:val="00F7750A"/>
    <w:rsid w:val="00F80006"/>
    <w:rsid w:val="00F80084"/>
    <w:rsid w:val="00F808E8"/>
    <w:rsid w:val="00F81192"/>
    <w:rsid w:val="00F811A6"/>
    <w:rsid w:val="00F81C57"/>
    <w:rsid w:val="00F839A6"/>
    <w:rsid w:val="00F83C19"/>
    <w:rsid w:val="00F845D8"/>
    <w:rsid w:val="00F84EDC"/>
    <w:rsid w:val="00F87697"/>
    <w:rsid w:val="00F9367F"/>
    <w:rsid w:val="00F93D0B"/>
    <w:rsid w:val="00F93E3B"/>
    <w:rsid w:val="00F95676"/>
    <w:rsid w:val="00F9627E"/>
    <w:rsid w:val="00F96B42"/>
    <w:rsid w:val="00FA0685"/>
    <w:rsid w:val="00FA2C6C"/>
    <w:rsid w:val="00FA2E1D"/>
    <w:rsid w:val="00FA419A"/>
    <w:rsid w:val="00FB010F"/>
    <w:rsid w:val="00FB0391"/>
    <w:rsid w:val="00FB09AB"/>
    <w:rsid w:val="00FB113E"/>
    <w:rsid w:val="00FB1BA2"/>
    <w:rsid w:val="00FB2570"/>
    <w:rsid w:val="00FB2839"/>
    <w:rsid w:val="00FB420F"/>
    <w:rsid w:val="00FB62B5"/>
    <w:rsid w:val="00FB6AA8"/>
    <w:rsid w:val="00FB79AA"/>
    <w:rsid w:val="00FB7EAD"/>
    <w:rsid w:val="00FC0D15"/>
    <w:rsid w:val="00FC112B"/>
    <w:rsid w:val="00FC3164"/>
    <w:rsid w:val="00FC3534"/>
    <w:rsid w:val="00FC370F"/>
    <w:rsid w:val="00FC4297"/>
    <w:rsid w:val="00FC44F1"/>
    <w:rsid w:val="00FC4DFC"/>
    <w:rsid w:val="00FC4E46"/>
    <w:rsid w:val="00FC4F3F"/>
    <w:rsid w:val="00FC559E"/>
    <w:rsid w:val="00FC56FD"/>
    <w:rsid w:val="00FC5710"/>
    <w:rsid w:val="00FC69C5"/>
    <w:rsid w:val="00FC7496"/>
    <w:rsid w:val="00FD1267"/>
    <w:rsid w:val="00FD1C21"/>
    <w:rsid w:val="00FD2296"/>
    <w:rsid w:val="00FD2470"/>
    <w:rsid w:val="00FD27C1"/>
    <w:rsid w:val="00FD2DC2"/>
    <w:rsid w:val="00FD315F"/>
    <w:rsid w:val="00FD35E4"/>
    <w:rsid w:val="00FD36F0"/>
    <w:rsid w:val="00FD5823"/>
    <w:rsid w:val="00FD5F5C"/>
    <w:rsid w:val="00FD643E"/>
    <w:rsid w:val="00FD6531"/>
    <w:rsid w:val="00FD72B5"/>
    <w:rsid w:val="00FD73EE"/>
    <w:rsid w:val="00FD767C"/>
    <w:rsid w:val="00FE0A73"/>
    <w:rsid w:val="00FE0B22"/>
    <w:rsid w:val="00FE0EC3"/>
    <w:rsid w:val="00FE1882"/>
    <w:rsid w:val="00FE1C27"/>
    <w:rsid w:val="00FE1DE0"/>
    <w:rsid w:val="00FE249F"/>
    <w:rsid w:val="00FE2AE4"/>
    <w:rsid w:val="00FE5C31"/>
    <w:rsid w:val="00FE665E"/>
    <w:rsid w:val="00FE6CDB"/>
    <w:rsid w:val="00FE74FD"/>
    <w:rsid w:val="00FF181F"/>
    <w:rsid w:val="00FF1B0E"/>
    <w:rsid w:val="00FF1DFF"/>
    <w:rsid w:val="00FF1E3E"/>
    <w:rsid w:val="00FF40FC"/>
    <w:rsid w:val="00FF5B7C"/>
    <w:rsid w:val="00FF64E3"/>
    <w:rsid w:val="00FF6605"/>
    <w:rsid w:val="00FF748B"/>
    <w:rsid w:val="00FF7DE3"/>
    <w:rsid w:val="01DE0743"/>
    <w:rsid w:val="036F6564"/>
    <w:rsid w:val="03B56484"/>
    <w:rsid w:val="04112C6E"/>
    <w:rsid w:val="04944F0C"/>
    <w:rsid w:val="08613ED7"/>
    <w:rsid w:val="08FE48C8"/>
    <w:rsid w:val="090C0806"/>
    <w:rsid w:val="098B0C04"/>
    <w:rsid w:val="09AA5678"/>
    <w:rsid w:val="0A5E4659"/>
    <w:rsid w:val="0AEB5FE9"/>
    <w:rsid w:val="0B605985"/>
    <w:rsid w:val="0CA8710F"/>
    <w:rsid w:val="0E760B47"/>
    <w:rsid w:val="0E874A06"/>
    <w:rsid w:val="0F763767"/>
    <w:rsid w:val="0F9E7E47"/>
    <w:rsid w:val="121F089B"/>
    <w:rsid w:val="12687E9E"/>
    <w:rsid w:val="135E55DA"/>
    <w:rsid w:val="15BFB586"/>
    <w:rsid w:val="165050F3"/>
    <w:rsid w:val="172A5D40"/>
    <w:rsid w:val="17573E0D"/>
    <w:rsid w:val="180C51F5"/>
    <w:rsid w:val="1875217F"/>
    <w:rsid w:val="18BE5C62"/>
    <w:rsid w:val="18D116A9"/>
    <w:rsid w:val="194355A9"/>
    <w:rsid w:val="194F1402"/>
    <w:rsid w:val="19625EB7"/>
    <w:rsid w:val="19A327C1"/>
    <w:rsid w:val="19D73FF0"/>
    <w:rsid w:val="1C107927"/>
    <w:rsid w:val="1CF459BA"/>
    <w:rsid w:val="1D0E69DF"/>
    <w:rsid w:val="1DCB1A4C"/>
    <w:rsid w:val="1DF67FA2"/>
    <w:rsid w:val="1E152BE2"/>
    <w:rsid w:val="1F0E23F2"/>
    <w:rsid w:val="1FB97B54"/>
    <w:rsid w:val="204376E1"/>
    <w:rsid w:val="214772A1"/>
    <w:rsid w:val="21521D41"/>
    <w:rsid w:val="224B6D79"/>
    <w:rsid w:val="22935557"/>
    <w:rsid w:val="22F00A83"/>
    <w:rsid w:val="232B63B6"/>
    <w:rsid w:val="23DD33C6"/>
    <w:rsid w:val="24CA1512"/>
    <w:rsid w:val="25B82157"/>
    <w:rsid w:val="26091741"/>
    <w:rsid w:val="261D6344"/>
    <w:rsid w:val="26BE6858"/>
    <w:rsid w:val="27CA4F73"/>
    <w:rsid w:val="287E747C"/>
    <w:rsid w:val="28F134A2"/>
    <w:rsid w:val="2AAD36A8"/>
    <w:rsid w:val="2B1E088D"/>
    <w:rsid w:val="2B900426"/>
    <w:rsid w:val="2C3F26E5"/>
    <w:rsid w:val="2C6017EA"/>
    <w:rsid w:val="2C661776"/>
    <w:rsid w:val="2E22281F"/>
    <w:rsid w:val="2E50117F"/>
    <w:rsid w:val="2F6824F8"/>
    <w:rsid w:val="2F9A3FB4"/>
    <w:rsid w:val="301A4E70"/>
    <w:rsid w:val="316658B8"/>
    <w:rsid w:val="31865C9B"/>
    <w:rsid w:val="324F0A46"/>
    <w:rsid w:val="32CE7A7E"/>
    <w:rsid w:val="33FE255E"/>
    <w:rsid w:val="347463DD"/>
    <w:rsid w:val="35CB4C4D"/>
    <w:rsid w:val="35D33BD6"/>
    <w:rsid w:val="3650579C"/>
    <w:rsid w:val="36612E47"/>
    <w:rsid w:val="37834C70"/>
    <w:rsid w:val="37AF6778"/>
    <w:rsid w:val="37F4568F"/>
    <w:rsid w:val="382929CF"/>
    <w:rsid w:val="39CE7FA5"/>
    <w:rsid w:val="3B5A33D3"/>
    <w:rsid w:val="3BCF631D"/>
    <w:rsid w:val="3C677367"/>
    <w:rsid w:val="3CC656EB"/>
    <w:rsid w:val="3CCA21E8"/>
    <w:rsid w:val="3CED0588"/>
    <w:rsid w:val="3D1F334F"/>
    <w:rsid w:val="3D546277"/>
    <w:rsid w:val="3E2057E8"/>
    <w:rsid w:val="3E3D429E"/>
    <w:rsid w:val="3FC159A6"/>
    <w:rsid w:val="402C6CE6"/>
    <w:rsid w:val="416A6C53"/>
    <w:rsid w:val="428A3BA8"/>
    <w:rsid w:val="42A74EAA"/>
    <w:rsid w:val="43857C62"/>
    <w:rsid w:val="43F31FE2"/>
    <w:rsid w:val="44640439"/>
    <w:rsid w:val="45572B6C"/>
    <w:rsid w:val="455B320C"/>
    <w:rsid w:val="470A2591"/>
    <w:rsid w:val="475C4800"/>
    <w:rsid w:val="478618F4"/>
    <w:rsid w:val="47B14D93"/>
    <w:rsid w:val="47E7169C"/>
    <w:rsid w:val="48C9665E"/>
    <w:rsid w:val="49742C4D"/>
    <w:rsid w:val="49CA6C65"/>
    <w:rsid w:val="4A455FF0"/>
    <w:rsid w:val="4A77022A"/>
    <w:rsid w:val="4B3118C3"/>
    <w:rsid w:val="4B49460C"/>
    <w:rsid w:val="4BCA5968"/>
    <w:rsid w:val="4BFD2018"/>
    <w:rsid w:val="4C3B0E2F"/>
    <w:rsid w:val="4CAB0D7C"/>
    <w:rsid w:val="4CB05AB5"/>
    <w:rsid w:val="4CC245E5"/>
    <w:rsid w:val="4D0038F1"/>
    <w:rsid w:val="4F667E20"/>
    <w:rsid w:val="4FF35FAD"/>
    <w:rsid w:val="509800C2"/>
    <w:rsid w:val="50CA19CC"/>
    <w:rsid w:val="515A150F"/>
    <w:rsid w:val="533C54BD"/>
    <w:rsid w:val="53D770A4"/>
    <w:rsid w:val="53FC6338"/>
    <w:rsid w:val="543D22A5"/>
    <w:rsid w:val="55791323"/>
    <w:rsid w:val="55791C55"/>
    <w:rsid w:val="55796678"/>
    <w:rsid w:val="55A05D34"/>
    <w:rsid w:val="56E90786"/>
    <w:rsid w:val="571C1EB9"/>
    <w:rsid w:val="59550094"/>
    <w:rsid w:val="59834466"/>
    <w:rsid w:val="59906AA6"/>
    <w:rsid w:val="59E95FFF"/>
    <w:rsid w:val="5BAD6AF9"/>
    <w:rsid w:val="5BBE59A3"/>
    <w:rsid w:val="5BE82147"/>
    <w:rsid w:val="5C002B30"/>
    <w:rsid w:val="5CBF0FAA"/>
    <w:rsid w:val="5CD27C20"/>
    <w:rsid w:val="5FDB5835"/>
    <w:rsid w:val="60B14DC5"/>
    <w:rsid w:val="60E14EDD"/>
    <w:rsid w:val="61CD5C05"/>
    <w:rsid w:val="6229058D"/>
    <w:rsid w:val="63DC3C98"/>
    <w:rsid w:val="64235C8D"/>
    <w:rsid w:val="643A0BBB"/>
    <w:rsid w:val="64440F4B"/>
    <w:rsid w:val="65536F9A"/>
    <w:rsid w:val="65BA088F"/>
    <w:rsid w:val="664B693F"/>
    <w:rsid w:val="68B009A8"/>
    <w:rsid w:val="69127D3A"/>
    <w:rsid w:val="694B1853"/>
    <w:rsid w:val="6A93762C"/>
    <w:rsid w:val="6A996F13"/>
    <w:rsid w:val="6A9B2760"/>
    <w:rsid w:val="6BA41E2C"/>
    <w:rsid w:val="6C011206"/>
    <w:rsid w:val="6C4130E2"/>
    <w:rsid w:val="6C6C4759"/>
    <w:rsid w:val="6C910893"/>
    <w:rsid w:val="6D6313BE"/>
    <w:rsid w:val="6EC5514E"/>
    <w:rsid w:val="70FF71F1"/>
    <w:rsid w:val="72345E1C"/>
    <w:rsid w:val="7255060F"/>
    <w:rsid w:val="729F162E"/>
    <w:rsid w:val="7317A136"/>
    <w:rsid w:val="7549288D"/>
    <w:rsid w:val="768D5D93"/>
    <w:rsid w:val="76936348"/>
    <w:rsid w:val="777423E0"/>
    <w:rsid w:val="77813560"/>
    <w:rsid w:val="787C2959"/>
    <w:rsid w:val="796F63FA"/>
    <w:rsid w:val="7AB7008A"/>
    <w:rsid w:val="7ABFACBC"/>
    <w:rsid w:val="7BF94230"/>
    <w:rsid w:val="7C5D4075"/>
    <w:rsid w:val="7D5B1D38"/>
    <w:rsid w:val="7DA30963"/>
    <w:rsid w:val="7E7134C8"/>
    <w:rsid w:val="7E9DE067"/>
    <w:rsid w:val="7E9F94BA"/>
    <w:rsid w:val="7EEFFA5B"/>
    <w:rsid w:val="7F2F30B3"/>
    <w:rsid w:val="7F3B240A"/>
    <w:rsid w:val="8DFFC179"/>
    <w:rsid w:val="9FFB0F92"/>
    <w:rsid w:val="B7DF7361"/>
    <w:rsid w:val="BDF77B21"/>
    <w:rsid w:val="BFBFEAFC"/>
    <w:rsid w:val="CFA71381"/>
    <w:rsid w:val="DFF94019"/>
    <w:rsid w:val="EFDF861B"/>
    <w:rsid w:val="F5F7AD05"/>
    <w:rsid w:val="FEB8E785"/>
    <w:rsid w:val="FEFC600E"/>
    <w:rsid w:val="FF5F76B7"/>
    <w:rsid w:val="FFF64B20"/>
    <w:rsid w:val="FFF74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3"/>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99"/>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0"/>
    <w:pPr>
      <w:tabs>
        <w:tab w:val="center" w:pos="4153"/>
        <w:tab w:val="right" w:pos="8306"/>
      </w:tabs>
      <w:snapToGrid w:val="0"/>
      <w:jc w:val="left"/>
    </w:pPr>
    <w:rPr>
      <w:sz w:val="18"/>
    </w:rPr>
  </w:style>
  <w:style w:type="paragraph" w:styleId="37">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81"/>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Char2"/>
    <w:link w:val="6"/>
    <w:qFormat/>
    <w:uiPriority w:val="0"/>
    <w:rPr>
      <w:rFonts w:eastAsia="宋体"/>
      <w:b/>
      <w:kern w:val="2"/>
      <w:sz w:val="32"/>
      <w:lang w:val="en-US" w:eastAsia="zh-CN"/>
    </w:rPr>
  </w:style>
  <w:style w:type="character" w:customStyle="1" w:styleId="69">
    <w:name w:val="标题 2 Char1"/>
    <w:link w:val="5"/>
    <w:qFormat/>
    <w:uiPriority w:val="0"/>
    <w:rPr>
      <w:rFonts w:ascii="Arial" w:hAnsi="Arial" w:eastAsia="黑体"/>
      <w:b/>
      <w:kern w:val="2"/>
      <w:sz w:val="32"/>
    </w:rPr>
  </w:style>
  <w:style w:type="paragraph" w:customStyle="1" w:styleId="70">
    <w:name w:val="表格内文字"/>
    <w:basedOn w:val="31"/>
    <w:qFormat/>
    <w:uiPriority w:val="0"/>
    <w:pPr>
      <w:adjustRightInd w:val="0"/>
    </w:pPr>
    <w:rPr>
      <w:color w:val="000000"/>
      <w:lang w:val="en-GB"/>
    </w:rPr>
  </w:style>
  <w:style w:type="character" w:customStyle="1" w:styleId="71">
    <w:name w:val="正文文本 Char"/>
    <w:link w:val="2"/>
    <w:qFormat/>
    <w:uiPriority w:val="0"/>
    <w:rPr>
      <w:rFonts w:ascii="仿宋_GB2312" w:eastAsia="仿宋_GB2312"/>
      <w:kern w:val="2"/>
      <w:sz w:val="32"/>
    </w:rPr>
  </w:style>
  <w:style w:type="character" w:customStyle="1" w:styleId="72">
    <w:name w:val="标题 2 Char"/>
    <w:qFormat/>
    <w:uiPriority w:val="0"/>
    <w:rPr>
      <w:rFonts w:ascii="Arial" w:hAnsi="Arial" w:eastAsia="黑体"/>
      <w:b/>
      <w:kern w:val="2"/>
      <w:sz w:val="32"/>
    </w:rPr>
  </w:style>
  <w:style w:type="character" w:customStyle="1" w:styleId="73">
    <w:name w:val="正文缩进 Char"/>
    <w:link w:val="17"/>
    <w:qFormat/>
    <w:uiPriority w:val="0"/>
    <w:rPr>
      <w:kern w:val="2"/>
      <w:sz w:val="24"/>
    </w:rPr>
  </w:style>
  <w:style w:type="character" w:customStyle="1" w:styleId="74">
    <w:name w:val="批注文字 Char"/>
    <w:link w:val="21"/>
    <w:qFormat/>
    <w:uiPriority w:val="99"/>
    <w:rPr>
      <w:sz w:val="24"/>
    </w:rPr>
  </w:style>
  <w:style w:type="character" w:customStyle="1" w:styleId="75">
    <w:name w:val="正文文本缩进 Char1"/>
    <w:link w:val="24"/>
    <w:qFormat/>
    <w:uiPriority w:val="0"/>
    <w:rPr>
      <w:kern w:val="2"/>
      <w:sz w:val="44"/>
    </w:rPr>
  </w:style>
  <w:style w:type="character" w:customStyle="1" w:styleId="76">
    <w:name w:val="日期 Char1"/>
    <w:link w:val="33"/>
    <w:qFormat/>
    <w:uiPriority w:val="0"/>
    <w:rPr>
      <w:kern w:val="2"/>
      <w:sz w:val="28"/>
    </w:rPr>
  </w:style>
  <w:style w:type="character" w:customStyle="1" w:styleId="77">
    <w:name w:val="正文文本缩进 2 Char"/>
    <w:link w:val="34"/>
    <w:qFormat/>
    <w:uiPriority w:val="0"/>
    <w:rPr>
      <w:kern w:val="2"/>
      <w:sz w:val="28"/>
    </w:rPr>
  </w:style>
  <w:style w:type="character" w:customStyle="1" w:styleId="78">
    <w:name w:val="页脚 Char"/>
    <w:link w:val="36"/>
    <w:qFormat/>
    <w:uiPriority w:val="99"/>
    <w:rPr>
      <w:kern w:val="2"/>
      <w:sz w:val="18"/>
    </w:rPr>
  </w:style>
  <w:style w:type="character" w:customStyle="1" w:styleId="79">
    <w:name w:val="页眉 Char"/>
    <w:link w:val="37"/>
    <w:qFormat/>
    <w:uiPriority w:val="99"/>
    <w:rPr>
      <w:kern w:val="2"/>
      <w:sz w:val="18"/>
    </w:rPr>
  </w:style>
  <w:style w:type="character" w:customStyle="1" w:styleId="80">
    <w:name w:val="脚注文本 Char"/>
    <w:link w:val="41"/>
    <w:qFormat/>
    <w:uiPriority w:val="0"/>
    <w:rPr>
      <w:kern w:val="2"/>
      <w:sz w:val="18"/>
    </w:rPr>
  </w:style>
  <w:style w:type="character" w:customStyle="1" w:styleId="81">
    <w:name w:val="批注主题 Char"/>
    <w:link w:val="55"/>
    <w:qFormat/>
    <w:uiPriority w:val="0"/>
  </w:style>
  <w:style w:type="character" w:customStyle="1" w:styleId="82">
    <w:name w:val="正文首行缩进 2 Char"/>
    <w:link w:val="57"/>
    <w:qFormat/>
    <w:uiPriority w:val="0"/>
  </w:style>
  <w:style w:type="character" w:customStyle="1" w:styleId="83">
    <w:name w:val="样式 宋体"/>
    <w:qFormat/>
    <w:uiPriority w:val="0"/>
    <w:rPr>
      <w:rFonts w:ascii="宋体" w:hAnsi="宋体" w:eastAsia="宋体"/>
      <w:sz w:val="28"/>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样式 文档正文 Char + (西文) 宋体 (中文) 宋体 小四 黑色 Char"/>
    <w:link w:val="86"/>
    <w:qFormat/>
    <w:uiPriority w:val="0"/>
    <w:rPr>
      <w:rFonts w:ascii="宋体" w:hAnsi="宋体"/>
      <w:color w:val="000000"/>
      <w:kern w:val="2"/>
      <w:sz w:val="24"/>
      <w:szCs w:val="24"/>
    </w:rPr>
  </w:style>
  <w:style w:type="paragraph" w:customStyle="1" w:styleId="86">
    <w:name w:val="样式 文档正文 Char + (西文) 宋体 (中文) 宋体 小四 黑色"/>
    <w:basedOn w:val="1"/>
    <w:link w:val="85"/>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4"/>
    <w:qFormat/>
    <w:uiPriority w:val="0"/>
    <w:rPr>
      <w:rFonts w:eastAsia="宋体"/>
      <w:b/>
      <w:kern w:val="2"/>
      <w:sz w:val="21"/>
      <w:lang w:val="en-US" w:eastAsia="zh-CN"/>
    </w:rPr>
  </w:style>
  <w:style w:type="character" w:customStyle="1" w:styleId="89">
    <w:name w:val="Table Text Char Char Char Char"/>
    <w:link w:val="90"/>
    <w:qFormat/>
    <w:uiPriority w:val="0"/>
    <w:rPr>
      <w:rFonts w:ascii="Arial" w:hAnsi="Arial"/>
      <w:kern w:val="2"/>
      <w:sz w:val="18"/>
      <w:lang w:val="en-US" w:eastAsia="zh-CN" w:bidi="ar-SA"/>
    </w:rPr>
  </w:style>
  <w:style w:type="paragraph" w:customStyle="1" w:styleId="90">
    <w:name w:val="Table Text Char Char Char"/>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Char Char3"/>
    <w:qFormat/>
    <w:uiPriority w:val="0"/>
    <w:rPr>
      <w:rFonts w:eastAsia="宋体"/>
      <w:kern w:val="2"/>
      <w:sz w:val="18"/>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文字 Char"/>
    <w:link w:val="95"/>
    <w:qFormat/>
    <w:uiPriority w:val="0"/>
    <w:rPr>
      <w:rFonts w:ascii="宋体"/>
      <w:kern w:val="2"/>
      <w:sz w:val="28"/>
    </w:rPr>
  </w:style>
  <w:style w:type="paragraph" w:customStyle="1" w:styleId="95">
    <w:name w:val="文字"/>
    <w:basedOn w:val="1"/>
    <w:link w:val="94"/>
    <w:qFormat/>
    <w:uiPriority w:val="0"/>
    <w:pPr>
      <w:tabs>
        <w:tab w:val="left" w:pos="8520"/>
      </w:tabs>
      <w:spacing w:line="312" w:lineRule="auto"/>
      <w:ind w:right="-210" w:firstLine="556"/>
    </w:pPr>
    <w:rPr>
      <w:rFonts w:ascii="宋体"/>
    </w:rPr>
  </w:style>
  <w:style w:type="character" w:customStyle="1" w:styleId="96">
    <w:name w:val="title_emph1"/>
    <w:qFormat/>
    <w:uiPriority w:val="0"/>
    <w:rPr>
      <w:rFonts w:hint="default" w:ascii="Arial" w:hAnsi="Arial"/>
      <w:b/>
      <w:sz w:val="20"/>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0"/>
    <w:pPr>
      <w:ind w:firstLine="420" w:firstLineChars="200"/>
    </w:pPr>
    <w:rPr>
      <w:sz w:val="21"/>
      <w:szCs w:val="2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正文文本缩进 字符1"/>
    <w:qFormat/>
    <w:locked/>
    <w:uiPriority w:val="0"/>
    <w:rPr>
      <w:kern w:val="2"/>
      <w:sz w:val="44"/>
    </w:rPr>
  </w:style>
  <w:style w:type="character" w:customStyle="1" w:styleId="103">
    <w:name w:val="v151"/>
    <w:qFormat/>
    <w:uiPriority w:val="0"/>
    <w:rPr>
      <w:sz w:val="18"/>
    </w:rPr>
  </w:style>
  <w:style w:type="character" w:customStyle="1" w:styleId="104">
    <w:name w:val="正文文本缩进 Char"/>
    <w:qFormat/>
    <w:uiPriority w:val="0"/>
    <w:rPr>
      <w:kern w:val="2"/>
      <w:sz w:val="44"/>
    </w:rPr>
  </w:style>
  <w:style w:type="character" w:customStyle="1" w:styleId="105">
    <w:name w:val="标题 2 字符1"/>
    <w:qFormat/>
    <w:uiPriority w:val="0"/>
    <w:rPr>
      <w:rFonts w:ascii="宋体" w:hAnsi="宋体" w:eastAsia="宋体" w:cs="Times New Roman"/>
      <w:kern w:val="2"/>
      <w:sz w:val="28"/>
    </w:rPr>
  </w:style>
  <w:style w:type="character" w:customStyle="1" w:styleId="106">
    <w:name w:val="未命名11"/>
    <w:qFormat/>
    <w:uiPriority w:val="0"/>
    <w:rPr>
      <w:color w:val="77FFFF"/>
      <w:sz w:val="24"/>
    </w:rPr>
  </w:style>
  <w:style w:type="character" w:customStyle="1" w:styleId="107">
    <w:name w:val="标书正文:  0.74 厘米 Char1"/>
    <w:qFormat/>
    <w:uiPriority w:val="0"/>
    <w:rPr>
      <w:rFonts w:eastAsia="宋体"/>
      <w:kern w:val="2"/>
      <w:sz w:val="24"/>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font1"/>
    <w:qFormat/>
    <w:uiPriority w:val="0"/>
    <w:rPr>
      <w:color w:val="000000"/>
      <w:sz w:val="18"/>
    </w:rPr>
  </w:style>
  <w:style w:type="character" w:customStyle="1" w:styleId="110">
    <w:name w:val="日期 Char"/>
    <w:qFormat/>
    <w:uiPriority w:val="0"/>
    <w:rPr>
      <w:kern w:val="2"/>
      <w:sz w:val="28"/>
    </w:rPr>
  </w:style>
  <w:style w:type="character" w:customStyle="1" w:styleId="111">
    <w:name w:val="标题 3 字符1"/>
    <w:qFormat/>
    <w:uiPriority w:val="0"/>
    <w:rPr>
      <w:rFonts w:eastAsia="宋体"/>
      <w:b/>
      <w:kern w:val="2"/>
      <w:sz w:val="32"/>
      <w:lang w:val="en-US" w:eastAsia="zh-CN"/>
    </w:rPr>
  </w:style>
  <w:style w:type="character" w:customStyle="1" w:styleId="112">
    <w:name w:val="(符号)五标题1.1.1 Char"/>
    <w:link w:val="113"/>
    <w:qFormat/>
    <w:uiPriority w:val="0"/>
    <w:rPr>
      <w:rFonts w:ascii="宋体" w:hAnsi="宋体"/>
      <w:color w:val="000000"/>
      <w:kern w:val="2"/>
      <w:sz w:val="24"/>
    </w:rPr>
  </w:style>
  <w:style w:type="paragraph" w:customStyle="1" w:styleId="113">
    <w:name w:val="(符号)五标题1.1.1"/>
    <w:basedOn w:val="1"/>
    <w:link w:val="112"/>
    <w:qFormat/>
    <w:uiPriority w:val="0"/>
    <w:pPr>
      <w:numPr>
        <w:ilvl w:val="2"/>
        <w:numId w:val="3"/>
      </w:numPr>
      <w:tabs>
        <w:tab w:val="left" w:pos="1000"/>
      </w:tabs>
      <w:spacing w:line="500" w:lineRule="exact"/>
    </w:pPr>
    <w:rPr>
      <w:rFonts w:ascii="宋体" w:hAnsi="宋体"/>
      <w:color w:val="000000"/>
      <w:sz w:val="24"/>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小 Char"/>
    <w:qFormat/>
    <w:uiPriority w:val="0"/>
    <w:rPr>
      <w:rFonts w:ascii="宋体" w:hAnsi="Courier New" w:eastAsia="宋体"/>
      <w:kern w:val="2"/>
      <w:sz w:val="21"/>
      <w:lang w:val="en-US" w:eastAsia="zh-CN" w:bidi="ar-SA"/>
    </w:rPr>
  </w:style>
  <w:style w:type="character" w:customStyle="1" w:styleId="116">
    <w:name w:val="fontstyle01"/>
    <w:qFormat/>
    <w:uiPriority w:val="0"/>
    <w:rPr>
      <w:rFonts w:hint="eastAsia" w:ascii="宋体" w:hAnsi="宋体" w:eastAsia="宋体"/>
      <w:color w:val="000000"/>
      <w:sz w:val="24"/>
      <w:szCs w:val="24"/>
    </w:rPr>
  </w:style>
  <w:style w:type="character" w:customStyle="1" w:styleId="117">
    <w:name w:val="Char Char7"/>
    <w:qFormat/>
    <w:uiPriority w:val="0"/>
    <w:rPr>
      <w:rFonts w:ascii="宋体" w:hAnsi="宋体" w:eastAsia="宋体"/>
      <w:kern w:val="2"/>
      <w:sz w:val="28"/>
    </w:rPr>
  </w:style>
  <w:style w:type="character" w:customStyle="1" w:styleId="118">
    <w:name w:val="_Style 116"/>
    <w:unhideWhenUsed/>
    <w:qFormat/>
    <w:uiPriority w:val="99"/>
    <w:rPr>
      <w:color w:val="605E5C"/>
      <w:shd w:val="clear" w:color="auto" w:fill="E1DFDD"/>
    </w:rPr>
  </w:style>
  <w:style w:type="character" w:customStyle="1" w:styleId="119">
    <w:name w:val="content-white1"/>
    <w:qFormat/>
    <w:uiPriority w:val="0"/>
    <w:rPr>
      <w:rFonts w:ascii="_x000B__x000C_" w:hAnsi="_x000B__x000C_"/>
      <w:color w:val="auto"/>
      <w:sz w:val="18"/>
      <w:u w:val="none"/>
    </w:rPr>
  </w:style>
  <w:style w:type="character" w:customStyle="1" w:styleId="120">
    <w:name w:val="标题 3 Char1"/>
    <w:qFormat/>
    <w:uiPriority w:val="0"/>
    <w:rPr>
      <w:rFonts w:eastAsia="宋体"/>
      <w:b/>
      <w:kern w:val="2"/>
      <w:sz w:val="32"/>
      <w:lang w:val="en-US" w:eastAsia="zh-CN"/>
    </w:rPr>
  </w:style>
  <w:style w:type="character" w:customStyle="1" w:styleId="121">
    <w:name w:val="top-det1"/>
    <w:qFormat/>
    <w:uiPriority w:val="0"/>
    <w:rPr>
      <w:b/>
      <w:color w:val="000000"/>
    </w:rPr>
  </w:style>
  <w:style w:type="character" w:customStyle="1" w:styleId="122">
    <w:name w:val="无"/>
    <w:qFormat/>
    <w:uiPriority w:val="0"/>
    <w:rPr>
      <w:rFonts w:ascii="Times New Roman" w:hAnsi="Times New Roman" w:eastAsia="宋体" w:cs="Times New Roman"/>
    </w:rPr>
  </w:style>
  <w:style w:type="character" w:customStyle="1" w:styleId="123">
    <w:name w:val="Char Char11"/>
    <w:qFormat/>
    <w:uiPriority w:val="0"/>
    <w:rPr>
      <w:rFonts w:ascii="宋体"/>
      <w:kern w:val="2"/>
      <w:sz w:val="28"/>
    </w:rPr>
  </w:style>
  <w:style w:type="character" w:customStyle="1" w:styleId="124">
    <w:name w:val="Char Char2"/>
    <w:qFormat/>
    <w:uiPriority w:val="0"/>
    <w:rPr>
      <w:rFonts w:eastAsia="宋体"/>
      <w:kern w:val="2"/>
      <w:sz w:val="18"/>
      <w:lang w:val="en-US" w:eastAsia="zh-CN"/>
    </w:rPr>
  </w:style>
  <w:style w:type="character" w:customStyle="1" w:styleId="125">
    <w:name w:val="正文 + 三号 Char"/>
    <w:qFormat/>
    <w:uiPriority w:val="0"/>
    <w:rPr>
      <w:rFonts w:eastAsia="宋体"/>
      <w:kern w:val="2"/>
      <w:sz w:val="21"/>
      <w:lang w:val="en-US" w:eastAsia="zh-CN"/>
    </w:rPr>
  </w:style>
  <w:style w:type="character" w:customStyle="1" w:styleId="126">
    <w:name w:val="标题 3 Char"/>
    <w:qFormat/>
    <w:uiPriority w:val="0"/>
    <w:rPr>
      <w:rFonts w:eastAsia="宋体"/>
      <w:b/>
      <w:kern w:val="2"/>
      <w:sz w:val="32"/>
      <w:lang w:val="en-US" w:eastAsia="zh-CN"/>
    </w:rPr>
  </w:style>
  <w:style w:type="character" w:customStyle="1" w:styleId="127">
    <w:name w:val="crowed11"/>
    <w:qFormat/>
    <w:uiPriority w:val="0"/>
    <w:rPr>
      <w:rFonts w:hint="default" w:ascii="_x000B__x000C_" w:hAnsi="_x000B__x000C_"/>
      <w:sz w:val="24"/>
    </w:r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Char Char Char"/>
    <w:basedOn w:val="1"/>
    <w:qFormat/>
    <w:uiPriority w:val="0"/>
    <w:rPr>
      <w:rFonts w:ascii="Tahoma" w:hAnsi="Tahoma"/>
      <w:sz w:val="24"/>
    </w:rPr>
  </w:style>
  <w:style w:type="paragraph" w:customStyle="1" w:styleId="130">
    <w:name w:val="样式2"/>
    <w:basedOn w:val="7"/>
    <w:qFormat/>
    <w:uiPriority w:val="0"/>
    <w:pPr>
      <w:numPr>
        <w:ilvl w:val="0"/>
        <w:numId w:val="4"/>
      </w:numPr>
      <w:spacing w:before="560" w:line="400" w:lineRule="exact"/>
      <w:jc w:val="center"/>
      <w:outlineLvl w:val="0"/>
    </w:pPr>
    <w:rPr>
      <w:b w:val="0"/>
      <w:sz w:val="4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Char1 Char Char Char"/>
    <w:basedOn w:val="1"/>
    <w:qFormat/>
    <w:uiPriority w:val="0"/>
    <w:rPr>
      <w:rFonts w:ascii="Tahoma" w:hAnsi="Tahoma"/>
      <w:sz w:val="30"/>
    </w:rPr>
  </w:style>
  <w:style w:type="paragraph" w:customStyle="1" w:styleId="135">
    <w:name w:val="样式1"/>
    <w:basedOn w:val="7"/>
    <w:qFormat/>
    <w:uiPriority w:val="0"/>
    <w:pPr>
      <w:tabs>
        <w:tab w:val="left" w:pos="720"/>
      </w:tabs>
      <w:spacing w:before="500" w:after="260" w:line="560" w:lineRule="atLeast"/>
      <w:ind w:left="420" w:hanging="420"/>
    </w:pPr>
  </w:style>
  <w:style w:type="paragraph" w:customStyle="1" w:styleId="136">
    <w:name w:val="af"/>
    <w:basedOn w:val="1"/>
    <w:qFormat/>
    <w:uiPriority w:val="0"/>
    <w:pPr>
      <w:widowControl/>
      <w:spacing w:line="300" w:lineRule="atLeast"/>
      <w:jc w:val="left"/>
    </w:pPr>
    <w:rPr>
      <w:rFonts w:ascii="宋体" w:hAnsi="宋体"/>
      <w:kern w:val="0"/>
      <w:sz w:val="18"/>
    </w:rPr>
  </w:style>
  <w:style w:type="paragraph" w:customStyle="1" w:styleId="137">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Note"/>
    <w:basedOn w:val="1"/>
    <w:qFormat/>
    <w:uiPriority w:val="0"/>
    <w:pPr>
      <w:pBdr>
        <w:top w:val="single" w:color="auto" w:sz="12" w:space="3"/>
        <w:bottom w:val="single" w:color="auto" w:sz="12" w:space="3"/>
      </w:pBdr>
      <w:spacing w:line="360" w:lineRule="auto"/>
    </w:pPr>
    <w:rPr>
      <w:sz w:val="24"/>
    </w:rPr>
  </w:style>
  <w:style w:type="paragraph" w:customStyle="1" w:styleId="14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6">
    <w:name w:val="首行缩进"/>
    <w:basedOn w:val="1"/>
    <w:qFormat/>
    <w:uiPriority w:val="0"/>
    <w:pPr>
      <w:numPr>
        <w:ilvl w:val="0"/>
        <w:numId w:val="6"/>
      </w:numPr>
      <w:spacing w:line="360" w:lineRule="auto"/>
    </w:pPr>
    <w:rPr>
      <w:rFonts w:eastAsia="仿宋_GB2312"/>
    </w:rPr>
  </w:style>
  <w:style w:type="paragraph" w:customStyle="1" w:styleId="147">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9">
    <w:name w:val="Char Char Char Char Char Char Char"/>
    <w:basedOn w:val="19"/>
    <w:qFormat/>
    <w:uiPriority w:val="0"/>
    <w:rPr>
      <w:rFonts w:ascii="宋体" w:hAnsi="Tahoma"/>
    </w:rPr>
  </w:style>
  <w:style w:type="paragraph" w:customStyle="1" w:styleId="150">
    <w:name w:val="样式 行距: 1.5 倍行距1"/>
    <w:basedOn w:val="1"/>
    <w:qFormat/>
    <w:uiPriority w:val="0"/>
    <w:pPr>
      <w:snapToGrid w:val="0"/>
    </w:pPr>
    <w:rPr>
      <w:sz w:val="21"/>
    </w:rPr>
  </w:style>
  <w:style w:type="paragraph" w:customStyle="1" w:styleId="1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4">
    <w:name w:val="Title - Date"/>
    <w:basedOn w:val="54"/>
    <w:next w:val="1"/>
    <w:qFormat/>
    <w:uiPriority w:val="0"/>
    <w:pPr>
      <w:spacing w:before="240" w:after="720"/>
    </w:pPr>
    <w:rPr>
      <w:sz w:val="28"/>
    </w:rPr>
  </w:style>
  <w:style w:type="paragraph" w:customStyle="1" w:styleId="15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6">
    <w:name w:val="章标题"/>
    <w:next w:val="1"/>
    <w:qFormat/>
    <w:uiPriority w:val="0"/>
    <w:pPr>
      <w:numPr>
        <w:ilvl w:val="1"/>
        <w:numId w:val="9"/>
      </w:numPr>
      <w:spacing w:beforeLines="50" w:afterLines="50"/>
      <w:ind w:left="0"/>
      <w:jc w:val="both"/>
      <w:outlineLvl w:val="1"/>
    </w:pPr>
    <w:rPr>
      <w:rFonts w:ascii="黑体" w:hAnsi="Calibri" w:eastAsia="黑体" w:cs="Times New Roman"/>
      <w:sz w:val="24"/>
      <w:lang w:val="en-US" w:eastAsia="zh-CN" w:bidi="ar-SA"/>
    </w:rPr>
  </w:style>
  <w:style w:type="paragraph" w:customStyle="1" w:styleId="1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8">
    <w:name w:val="编号正文"/>
    <w:basedOn w:val="159"/>
    <w:qFormat/>
    <w:uiPriority w:val="0"/>
    <w:pPr>
      <w:snapToGrid/>
      <w:spacing w:line="360" w:lineRule="auto"/>
      <w:ind w:left="1407" w:hanging="1047"/>
      <w:jc w:val="left"/>
    </w:pPr>
    <w:rPr>
      <w:rFonts w:eastAsia="仿宋_GB2312"/>
    </w:rPr>
  </w:style>
  <w:style w:type="paragraph" w:customStyle="1" w:styleId="15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默认段落字体 Para Char Char Char Char Char Char Char"/>
    <w:basedOn w:val="1"/>
    <w:qFormat/>
    <w:uiPriority w:val="0"/>
    <w:rPr>
      <w:rFonts w:ascii="Tahoma" w:hAnsi="Tahoma"/>
      <w:sz w:val="24"/>
    </w:rPr>
  </w:style>
  <w:style w:type="paragraph" w:customStyle="1" w:styleId="165">
    <w:name w:val="正文缩进_0"/>
    <w:basedOn w:val="1"/>
    <w:qFormat/>
    <w:uiPriority w:val="0"/>
    <w:pPr>
      <w:ind w:firstLine="420"/>
    </w:pPr>
    <w:rPr>
      <w:rFonts w:ascii="Times New Roman" w:hAnsi="Times New Roman" w:eastAsia="Times New Roman"/>
      <w:kern w:val="0"/>
      <w:sz w:val="24"/>
      <w:szCs w:val="24"/>
    </w:rPr>
  </w:style>
  <w:style w:type="paragraph" w:customStyle="1" w:styleId="166">
    <w:name w:val="移动五期"/>
    <w:basedOn w:val="1"/>
    <w:qFormat/>
    <w:uiPriority w:val="0"/>
    <w:pPr>
      <w:spacing w:line="360" w:lineRule="auto"/>
      <w:ind w:firstLine="454"/>
    </w:pPr>
    <w:rPr>
      <w:rFonts w:ascii="宋体" w:hAnsi="Times New Roman"/>
      <w:sz w:val="24"/>
    </w:rPr>
  </w:style>
  <w:style w:type="paragraph" w:customStyle="1" w:styleId="16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附录3"/>
    <w:basedOn w:val="1"/>
    <w:next w:val="1"/>
    <w:qFormat/>
    <w:uiPriority w:val="0"/>
    <w:pPr>
      <w:tabs>
        <w:tab w:val="left" w:pos="851"/>
      </w:tabs>
      <w:ind w:left="425" w:hanging="425"/>
      <w:outlineLvl w:val="2"/>
    </w:pPr>
    <w:rPr>
      <w:rFonts w:eastAsia="黑体"/>
      <w:b/>
      <w:sz w:val="32"/>
    </w:rPr>
  </w:style>
  <w:style w:type="paragraph" w:customStyle="1" w:styleId="17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二级列表"/>
    <w:basedOn w:val="173"/>
    <w:next w:val="173"/>
    <w:qFormat/>
    <w:uiPriority w:val="0"/>
    <w:pPr>
      <w:tabs>
        <w:tab w:val="left" w:pos="2120"/>
      </w:tabs>
      <w:ind w:firstLine="0" w:firstLineChars="0"/>
    </w:pPr>
    <w:rPr>
      <w:b/>
    </w:rPr>
  </w:style>
  <w:style w:type="paragraph" w:customStyle="1" w:styleId="173">
    <w:name w:val="段落正文"/>
    <w:basedOn w:val="1"/>
    <w:qFormat/>
    <w:uiPriority w:val="0"/>
    <w:pPr>
      <w:spacing w:beforeLines="50" w:line="360" w:lineRule="auto"/>
      <w:ind w:firstLine="200" w:firstLineChars="200"/>
    </w:pPr>
    <w:rPr>
      <w:spacing w:val="2"/>
      <w:sz w:val="24"/>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二级条标题"/>
    <w:basedOn w:val="179"/>
    <w:next w:val="175"/>
    <w:qFormat/>
    <w:uiPriority w:val="0"/>
    <w:pPr>
      <w:ind w:left="840"/>
      <w:outlineLvl w:val="3"/>
    </w:pPr>
  </w:style>
  <w:style w:type="paragraph" w:customStyle="1" w:styleId="179">
    <w:name w:val="一级条标题"/>
    <w:basedOn w:val="156"/>
    <w:next w:val="175"/>
    <w:qFormat/>
    <w:uiPriority w:val="0"/>
    <w:pPr>
      <w:numPr>
        <w:numId w:val="0"/>
      </w:numPr>
      <w:spacing w:beforeLines="0" w:afterLines="0"/>
      <w:ind w:left="525"/>
      <w:outlineLvl w:val="2"/>
    </w:pPr>
    <w:rPr>
      <w:sz w:val="21"/>
    </w:rPr>
  </w:style>
  <w:style w:type="paragraph" w:customStyle="1" w:styleId="18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2">
    <w:name w:val="表文字"/>
    <w:qFormat/>
    <w:uiPriority w:val="0"/>
    <w:rPr>
      <w:rFonts w:ascii="宋体" w:hAnsi="Calibri" w:eastAsia="宋体" w:cs="Times New Roman"/>
      <w:kern w:val="2"/>
      <w:lang w:val="en-US" w:eastAsia="zh-CN" w:bidi="ar-SA"/>
    </w:rPr>
  </w:style>
  <w:style w:type="paragraph" w:customStyle="1" w:styleId="183">
    <w:name w:val="样式4"/>
    <w:basedOn w:val="7"/>
    <w:qFormat/>
    <w:uiPriority w:val="0"/>
    <w:pPr>
      <w:adjustRightInd w:val="0"/>
      <w:snapToGrid w:val="0"/>
    </w:pPr>
  </w:style>
  <w:style w:type="paragraph" w:customStyle="1" w:styleId="18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Char Char Char Char Char Char Char1"/>
    <w:basedOn w:val="1"/>
    <w:qFormat/>
    <w:uiPriority w:val="0"/>
    <w:rPr>
      <w:rFonts w:ascii="Tahoma" w:hAnsi="Tahoma"/>
      <w:sz w:val="24"/>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Char2 Char Char Char Char Char Char"/>
    <w:basedOn w:val="1"/>
    <w:qFormat/>
    <w:uiPriority w:val="0"/>
    <w:rPr>
      <w:rFonts w:ascii="仿宋_GB2312"/>
      <w:b/>
      <w:sz w:val="3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Bullets"/>
    <w:basedOn w:val="1"/>
    <w:qFormat/>
    <w:uiPriority w:val="0"/>
    <w:pPr>
      <w:widowControl/>
      <w:adjustRightInd w:val="0"/>
      <w:snapToGrid w:val="0"/>
      <w:spacing w:before="60" w:after="60"/>
    </w:pPr>
    <w:rPr>
      <w:kern w:val="0"/>
      <w:sz w:val="24"/>
      <w:lang w:val="en-GB"/>
    </w:rPr>
  </w:style>
  <w:style w:type="paragraph" w:customStyle="1" w:styleId="19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99">
    <w:name w:val="Char Char1 Char"/>
    <w:basedOn w:val="1"/>
    <w:qFormat/>
    <w:uiPriority w:val="0"/>
    <w:rPr>
      <w:rFonts w:ascii="Tahoma" w:hAnsi="Tahoma"/>
      <w:sz w:val="24"/>
      <w:szCs w:val="24"/>
    </w:rPr>
  </w:style>
  <w:style w:type="paragraph" w:customStyle="1" w:styleId="200">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2">
    <w:name w:val="标准正文"/>
    <w:basedOn w:val="24"/>
    <w:qFormat/>
    <w:uiPriority w:val="0"/>
    <w:pPr>
      <w:spacing w:before="60" w:after="60" w:line="360" w:lineRule="auto"/>
      <w:ind w:left="0" w:firstLine="482"/>
    </w:pPr>
    <w:rPr>
      <w:rFonts w:ascii="Arial" w:hAnsi="Arial"/>
      <w:sz w:val="24"/>
    </w:rPr>
  </w:style>
  <w:style w:type="paragraph" w:customStyle="1" w:styleId="203">
    <w:name w:val="样式1xz"/>
    <w:basedOn w:val="1"/>
    <w:qFormat/>
    <w:uiPriority w:val="0"/>
    <w:pPr>
      <w:tabs>
        <w:tab w:val="left" w:pos="1050"/>
        <w:tab w:val="right" w:leader="dot" w:pos="8296"/>
      </w:tabs>
    </w:pPr>
    <w:rPr>
      <w:caps/>
      <w:spacing w:val="20"/>
      <w:sz w:val="24"/>
    </w:rPr>
  </w:style>
  <w:style w:type="paragraph" w:customStyle="1" w:styleId="204">
    <w:name w:val="内容标题"/>
    <w:basedOn w:val="19"/>
    <w:qFormat/>
    <w:uiPriority w:val="0"/>
    <w:rPr>
      <w:rFonts w:ascii="Tahoma" w:hAnsi="Tahoma"/>
      <w:sz w:val="24"/>
    </w:rPr>
  </w:style>
  <w:style w:type="paragraph" w:customStyle="1" w:styleId="20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文本1"/>
    <w:basedOn w:val="1"/>
    <w:qFormat/>
    <w:uiPriority w:val="0"/>
    <w:pPr>
      <w:adjustRightInd w:val="0"/>
      <w:spacing w:line="312" w:lineRule="atLeast"/>
      <w:jc w:val="center"/>
      <w:textAlignment w:val="baseline"/>
    </w:pPr>
    <w:rPr>
      <w:kern w:val="0"/>
      <w:sz w:val="18"/>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8">
    <w:name w:val="首行缩进 1"/>
    <w:basedOn w:val="1"/>
    <w:qFormat/>
    <w:uiPriority w:val="0"/>
    <w:pPr>
      <w:spacing w:after="120" w:line="360" w:lineRule="auto"/>
      <w:ind w:firstLine="200" w:firstLineChars="200"/>
    </w:pPr>
    <w:rPr>
      <w:sz w:val="24"/>
    </w:rPr>
  </w:style>
  <w:style w:type="paragraph" w:customStyle="1" w:styleId="20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Char1 Char Char Char1"/>
    <w:basedOn w:val="1"/>
    <w:qFormat/>
    <w:uiPriority w:val="0"/>
    <w:rPr>
      <w:rFonts w:ascii="Tahoma" w:hAnsi="Tahoma"/>
      <w:sz w:val="24"/>
    </w:rPr>
  </w:style>
  <w:style w:type="paragraph" w:customStyle="1" w:styleId="21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12">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21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正文 + 三号"/>
    <w:basedOn w:val="1"/>
    <w:qFormat/>
    <w:uiPriority w:val="0"/>
    <w:rPr>
      <w:sz w:val="21"/>
    </w:rPr>
  </w:style>
  <w:style w:type="paragraph" w:customStyle="1" w:styleId="216">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Char11"/>
    <w:basedOn w:val="1"/>
    <w:qFormat/>
    <w:uiPriority w:val="0"/>
    <w:pPr>
      <w:spacing w:line="240" w:lineRule="atLeast"/>
      <w:ind w:left="420" w:firstLine="420"/>
    </w:pPr>
    <w:rPr>
      <w:kern w:val="0"/>
      <w:sz w:val="21"/>
    </w:rPr>
  </w:style>
  <w:style w:type="paragraph" w:customStyle="1" w:styleId="2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9">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3">
    <w:name w:val="正文4"/>
    <w:basedOn w:val="1"/>
    <w:qFormat/>
    <w:uiPriority w:val="0"/>
    <w:pPr>
      <w:tabs>
        <w:tab w:val="left" w:pos="1275"/>
      </w:tabs>
      <w:spacing w:before="60" w:after="60" w:line="360" w:lineRule="auto"/>
      <w:ind w:left="820" w:leftChars="400" w:hanging="705"/>
    </w:pPr>
    <w:rPr>
      <w:sz w:val="24"/>
    </w:rPr>
  </w:style>
  <w:style w:type="paragraph" w:customStyle="1" w:styleId="224">
    <w:name w:val="样式 宋体 五号 行距: 单倍行距"/>
    <w:basedOn w:val="1"/>
    <w:qFormat/>
    <w:uiPriority w:val="0"/>
    <w:pPr>
      <w:adjustRightInd w:val="0"/>
      <w:jc w:val="left"/>
    </w:pPr>
    <w:rPr>
      <w:rFonts w:ascii="宋体" w:hAnsi="宋体"/>
      <w:kern w:val="0"/>
      <w:sz w:val="21"/>
    </w:rPr>
  </w:style>
  <w:style w:type="paragraph" w:customStyle="1" w:styleId="2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7">
    <w:name w:val="_Style 3"/>
    <w:basedOn w:val="1"/>
    <w:qFormat/>
    <w:uiPriority w:val="99"/>
    <w:pPr>
      <w:ind w:firstLine="420" w:firstLineChars="200"/>
    </w:pPr>
    <w:rPr>
      <w:sz w:val="21"/>
      <w:szCs w:val="24"/>
    </w:rPr>
  </w:style>
  <w:style w:type="paragraph" w:customStyle="1" w:styleId="228">
    <w:name w:val="Char Char Char Char Char Char Char Char Char Char Char Char Char Char Char Char"/>
    <w:basedOn w:val="1"/>
    <w:qFormat/>
    <w:uiPriority w:val="0"/>
    <w:pPr>
      <w:tabs>
        <w:tab w:val="left" w:pos="360"/>
      </w:tabs>
    </w:pPr>
    <w:rPr>
      <w:sz w:val="24"/>
    </w:rPr>
  </w:style>
  <w:style w:type="paragraph" w:customStyle="1" w:styleId="229">
    <w:name w:val="图例"/>
    <w:basedOn w:val="1"/>
    <w:qFormat/>
    <w:uiPriority w:val="0"/>
    <w:pPr>
      <w:spacing w:before="120" w:after="120" w:line="360" w:lineRule="auto"/>
      <w:jc w:val="center"/>
    </w:pPr>
    <w:rPr>
      <w:rFonts w:eastAsia="仿宋_GB2312"/>
      <w:b/>
      <w:sz w:val="24"/>
    </w:rPr>
  </w:style>
  <w:style w:type="paragraph" w:customStyle="1" w:styleId="230">
    <w:name w:val="正文1"/>
    <w:basedOn w:val="1"/>
    <w:qFormat/>
    <w:uiPriority w:val="0"/>
    <w:pPr>
      <w:spacing w:line="300" w:lineRule="auto"/>
      <w:ind w:firstLine="200" w:firstLineChars="200"/>
    </w:pPr>
    <w:rPr>
      <w:sz w:val="24"/>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可研正文"/>
    <w:basedOn w:val="2"/>
    <w:qFormat/>
    <w:uiPriority w:val="0"/>
    <w:pPr>
      <w:adjustRightInd w:val="0"/>
      <w:snapToGrid w:val="0"/>
      <w:spacing w:line="440" w:lineRule="exact"/>
      <w:ind w:firstLine="567"/>
    </w:pPr>
    <w:rPr>
      <w:sz w:val="28"/>
    </w:rPr>
  </w:style>
  <w:style w:type="paragraph" w:customStyle="1" w:styleId="23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7">
    <w:name w:val="正文文本 21"/>
    <w:basedOn w:val="1"/>
    <w:qFormat/>
    <w:uiPriority w:val="0"/>
    <w:pPr>
      <w:adjustRightInd w:val="0"/>
      <w:spacing w:before="120" w:line="360" w:lineRule="auto"/>
      <w:ind w:firstLine="480"/>
      <w:textAlignment w:val="baseline"/>
    </w:pPr>
    <w:rPr>
      <w:sz w:val="24"/>
    </w:rPr>
  </w:style>
  <w:style w:type="paragraph" w:customStyle="1" w:styleId="238">
    <w:name w:val="样式 首行缩进:  0.74 厘米"/>
    <w:basedOn w:val="1"/>
    <w:qFormat/>
    <w:uiPriority w:val="0"/>
    <w:pPr>
      <w:spacing w:line="360" w:lineRule="auto"/>
      <w:ind w:firstLine="420"/>
    </w:pPr>
    <w:rPr>
      <w:sz w:val="24"/>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A项目符号"/>
    <w:basedOn w:val="1"/>
    <w:qFormat/>
    <w:uiPriority w:val="0"/>
    <w:pPr>
      <w:numPr>
        <w:ilvl w:val="0"/>
        <w:numId w:val="11"/>
      </w:numPr>
      <w:tabs>
        <w:tab w:val="left" w:pos="1080"/>
      </w:tabs>
      <w:adjustRightInd w:val="0"/>
      <w:snapToGrid w:val="0"/>
      <w:spacing w:afterLines="50" w:line="360" w:lineRule="auto"/>
    </w:pPr>
    <w:rPr>
      <w:b/>
      <w:bCs/>
      <w:spacing w:val="12"/>
      <w:kern w:val="0"/>
      <w:sz w:val="24"/>
      <w:szCs w:val="24"/>
    </w:rPr>
  </w:style>
  <w:style w:type="paragraph" w:customStyle="1" w:styleId="241">
    <w:name w:val="Char1"/>
    <w:basedOn w:val="1"/>
    <w:qFormat/>
    <w:uiPriority w:val="0"/>
    <w:rPr>
      <w:sz w:val="21"/>
    </w:rPr>
  </w:style>
  <w:style w:type="paragraph" w:customStyle="1" w:styleId="242">
    <w:name w:val="列出段落1"/>
    <w:basedOn w:val="1"/>
    <w:unhideWhenUsed/>
    <w:qFormat/>
    <w:uiPriority w:val="34"/>
    <w:pPr>
      <w:ind w:firstLine="420" w:firstLineChars="200"/>
    </w:pPr>
    <w:rPr>
      <w:sz w:val="21"/>
      <w:szCs w:val="24"/>
    </w:rPr>
  </w:style>
  <w:style w:type="paragraph" w:customStyle="1" w:styleId="243">
    <w:name w:val="Title - Revision"/>
    <w:basedOn w:val="54"/>
    <w:qFormat/>
    <w:uiPriority w:val="0"/>
    <w:pPr>
      <w:spacing w:before="720"/>
    </w:pPr>
  </w:style>
  <w:style w:type="paragraph" w:customStyle="1" w:styleId="24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5">
    <w:name w:val="Char Char14 Char Char"/>
    <w:basedOn w:val="1"/>
    <w:qFormat/>
    <w:uiPriority w:val="0"/>
    <w:rPr>
      <w:sz w:val="21"/>
      <w:szCs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9">
    <w:name w:val="样式 正文缩进正文（首行缩进两字）表正文正文非缩进特点标题4段1 + 首行缩进:  2 字符"/>
    <w:basedOn w:val="17"/>
    <w:qFormat/>
    <w:uiPriority w:val="0"/>
    <w:pPr>
      <w:ind w:firstLine="480" w:firstLineChars="200"/>
    </w:pPr>
  </w:style>
  <w:style w:type="paragraph" w:customStyle="1" w:styleId="250">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1">
    <w:name w:val="IN Feature"/>
    <w:next w:val="2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52">
    <w:name w:val="正文文本缩进 21"/>
    <w:basedOn w:val="1"/>
    <w:qFormat/>
    <w:uiPriority w:val="0"/>
    <w:pPr>
      <w:adjustRightInd w:val="0"/>
      <w:spacing w:before="120"/>
      <w:ind w:firstLine="420"/>
      <w:textAlignment w:val="baseline"/>
    </w:pPr>
    <w:rPr>
      <w:sz w:val="24"/>
    </w:rPr>
  </w:style>
  <w:style w:type="paragraph" w:customStyle="1" w:styleId="253">
    <w:name w:val="Style Heading 3h3Heading 3 - oldLevel 3 HeadH3level_3PIM 3se..."/>
    <w:basedOn w:val="6"/>
    <w:qFormat/>
    <w:uiPriority w:val="0"/>
    <w:pPr>
      <w:tabs>
        <w:tab w:val="left" w:pos="709"/>
        <w:tab w:val="left" w:pos="1620"/>
      </w:tabs>
      <w:ind w:left="1620" w:hanging="360"/>
    </w:pPr>
  </w:style>
  <w:style w:type="paragraph" w:customStyle="1" w:styleId="254">
    <w:name w:val="1"/>
    <w:basedOn w:val="1"/>
    <w:next w:val="31"/>
    <w:qFormat/>
    <w:uiPriority w:val="0"/>
    <w:rPr>
      <w:rFonts w:ascii="宋体" w:hAnsi="Courier New"/>
      <w:sz w:val="21"/>
    </w:rPr>
  </w:style>
  <w:style w:type="paragraph" w:customStyle="1" w:styleId="255">
    <w:name w:val="_Style 254"/>
    <w:qFormat/>
    <w:uiPriority w:val="0"/>
    <w:rPr>
      <w:rFonts w:ascii="Calibri" w:hAnsi="Calibri" w:eastAsia="宋体" w:cs="Times New Roman"/>
      <w:kern w:val="2"/>
      <w:sz w:val="21"/>
      <w:lang w:val="en-US" w:eastAsia="zh-CN" w:bidi="ar-SA"/>
    </w:rPr>
  </w:style>
  <w:style w:type="paragraph" w:customStyle="1" w:styleId="256">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7">
    <w:name w:val="标题无"/>
    <w:basedOn w:val="1"/>
    <w:qFormat/>
    <w:uiPriority w:val="0"/>
    <w:pPr>
      <w:spacing w:line="360" w:lineRule="auto"/>
    </w:pPr>
    <w:rPr>
      <w:sz w:val="24"/>
    </w:rPr>
  </w:style>
  <w:style w:type="paragraph" w:customStyle="1" w:styleId="25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59">
    <w:name w:val="图片文字"/>
    <w:basedOn w:val="1"/>
    <w:qFormat/>
    <w:uiPriority w:val="0"/>
    <w:pPr>
      <w:spacing w:line="240" w:lineRule="atLeast"/>
      <w:jc w:val="center"/>
    </w:pPr>
    <w:rPr>
      <w:sz w:val="21"/>
    </w:rPr>
  </w:style>
  <w:style w:type="paragraph" w:customStyle="1" w:styleId="260">
    <w:name w:val="正文（首行不缩进）"/>
    <w:basedOn w:val="1"/>
    <w:qFormat/>
    <w:uiPriority w:val="0"/>
    <w:pPr>
      <w:autoSpaceDE w:val="0"/>
      <w:autoSpaceDN w:val="0"/>
      <w:adjustRightInd w:val="0"/>
      <w:spacing w:line="360" w:lineRule="auto"/>
      <w:jc w:val="left"/>
    </w:pPr>
    <w:rPr>
      <w:kern w:val="0"/>
      <w:sz w:val="21"/>
    </w:rPr>
  </w:style>
  <w:style w:type="paragraph" w:customStyle="1" w:styleId="261">
    <w:name w:val="文本框样式1"/>
    <w:basedOn w:val="1"/>
    <w:qFormat/>
    <w:uiPriority w:val="0"/>
    <w:pPr>
      <w:adjustRightInd w:val="0"/>
      <w:snapToGrid w:val="0"/>
      <w:spacing w:before="60" w:line="180" w:lineRule="exact"/>
      <w:jc w:val="center"/>
    </w:pPr>
    <w:rPr>
      <w:sz w:val="21"/>
    </w:rPr>
  </w:style>
  <w:style w:type="paragraph" w:customStyle="1" w:styleId="262">
    <w:name w:val="Table Contents"/>
    <w:basedOn w:val="2"/>
    <w:qFormat/>
    <w:uiPriority w:val="0"/>
    <w:pPr>
      <w:suppressAutoHyphens/>
      <w:jc w:val="left"/>
    </w:pPr>
    <w:rPr>
      <w:rFonts w:ascii="Times New Roman" w:eastAsia="Times New Roman"/>
      <w:kern w:val="0"/>
      <w:sz w:val="24"/>
    </w:rPr>
  </w:style>
  <w:style w:type="paragraph" w:customStyle="1" w:styleId="2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4">
    <w:name w:val="摘要"/>
    <w:basedOn w:val="1"/>
    <w:next w:val="5"/>
    <w:qFormat/>
    <w:uiPriority w:val="0"/>
    <w:pPr>
      <w:spacing w:line="360" w:lineRule="auto"/>
    </w:pPr>
    <w:rPr>
      <w:rFonts w:eastAsia="黑体"/>
      <w:sz w:val="20"/>
    </w:rPr>
  </w:style>
  <w:style w:type="paragraph" w:customStyle="1" w:styleId="26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66">
    <w:name w:val="Table Paragraph"/>
    <w:basedOn w:val="1"/>
    <w:qFormat/>
    <w:uiPriority w:val="1"/>
    <w:pPr>
      <w:autoSpaceDE w:val="0"/>
      <w:autoSpaceDN w:val="0"/>
      <w:spacing w:before="59"/>
      <w:jc w:val="center"/>
    </w:pPr>
    <w:rPr>
      <w:rFonts w:ascii="宋体" w:hAnsi="宋体" w:cs="宋体"/>
      <w:kern w:val="0"/>
      <w:sz w:val="22"/>
      <w:szCs w:val="22"/>
      <w:lang w:val="zh-CN" w:bidi="zh-CN"/>
    </w:rPr>
  </w:style>
  <w:style w:type="character" w:customStyle="1" w:styleId="267">
    <w:name w:val="NormalCharacter"/>
    <w:qFormat/>
    <w:uiPriority w:val="0"/>
  </w:style>
  <w:style w:type="paragraph" w:customStyle="1" w:styleId="268">
    <w:name w:val="Heading3"/>
    <w:basedOn w:val="1"/>
    <w:next w:val="1"/>
    <w:qFormat/>
    <w:uiPriority w:val="0"/>
    <w:pPr>
      <w:keepNext/>
      <w:keepLines/>
      <w:widowControl/>
      <w:spacing w:before="260" w:after="260" w:line="413" w:lineRule="auto"/>
      <w:textAlignment w:val="baseline"/>
    </w:pPr>
    <w:rPr>
      <w:rFonts w:ascii="Times New Roman" w:hAnsi="Times New Roman"/>
      <w:sz w:val="32"/>
    </w:rPr>
  </w:style>
  <w:style w:type="character" w:customStyle="1" w:styleId="269">
    <w:name w:val="标题 3 字符2"/>
    <w:qFormat/>
    <w:uiPriority w:val="0"/>
    <w:rPr>
      <w:rFonts w:eastAsia="宋体"/>
      <w:b/>
      <w:kern w:val="2"/>
      <w:sz w:val="32"/>
      <w:lang w:val="en-US" w:eastAsia="zh-CN"/>
    </w:rPr>
  </w:style>
  <w:style w:type="paragraph" w:customStyle="1" w:styleId="270">
    <w:name w:val="修订1"/>
    <w:hidden/>
    <w:semiHidden/>
    <w:qFormat/>
    <w:uiPriority w:val="99"/>
    <w:rPr>
      <w:rFonts w:ascii="Calibri" w:hAnsi="Calibri" w:eastAsia="宋体" w:cs="Times New Roman"/>
      <w:kern w:val="2"/>
      <w:sz w:val="28"/>
      <w:lang w:val="en-US" w:eastAsia="zh-CN" w:bidi="ar-SA"/>
    </w:rPr>
  </w:style>
  <w:style w:type="paragraph" w:customStyle="1" w:styleId="271">
    <w:name w:val="修订2"/>
    <w:hidden/>
    <w:semiHidden/>
    <w:qFormat/>
    <w:uiPriority w:val="99"/>
    <w:rPr>
      <w:rFonts w:ascii="Calibri" w:hAnsi="Calibri" w:eastAsia="宋体" w:cs="Times New Roman"/>
      <w:kern w:val="2"/>
      <w:sz w:val="28"/>
      <w:lang w:val="en-US" w:eastAsia="zh-CN" w:bidi="ar-SA"/>
    </w:rPr>
  </w:style>
  <w:style w:type="paragraph" w:customStyle="1" w:styleId="272">
    <w:name w:val="修订3"/>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4196</Words>
  <Characters>23918</Characters>
  <Lines>199</Lines>
  <Paragraphs>56</Paragraphs>
  <TotalTime>1</TotalTime>
  <ScaleCrop>false</ScaleCrop>
  <LinksUpToDate>false</LinksUpToDate>
  <CharactersWithSpaces>28058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2024-01-10T08:14:00Z</dcterms:created>
  <dc:creator>jtj</dc:creator>
  <cp:lastModifiedBy>jtj</cp:lastModifiedBy>
  <cp:lastPrinted>2023-06-29T07:40:00Z</cp:lastPrinted>
  <dcterms:modified xsi:type="dcterms:W3CDTF">2024-12-02T09:12:36Z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101E6C8CC6E511443F4063644A9D1ADE_43</vt:lpwstr>
  </property>
</Properties>
</file>