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600" w:lineRule="exact"/>
        <w:jc w:val="center"/>
        <w:outlineLvl w:val="0"/>
        <w:rPr>
          <w:rFonts w:hint="eastAsia" w:ascii="方正黑体_GBK" w:eastAsia="方正黑体_GBK"/>
          <w:sz w:val="84"/>
          <w:szCs w:val="84"/>
        </w:rPr>
      </w:pPr>
      <w:bookmarkStart w:id="0" w:name="_Toc106034777"/>
      <w:bookmarkStart w:id="1" w:name="_Toc525047164"/>
      <w:bookmarkStart w:id="2" w:name="_Toc65660337"/>
      <w:bookmarkStart w:id="3" w:name="_Toc10415"/>
      <w:bookmarkStart w:id="4" w:name="_Toc1552"/>
      <w:bookmarkStart w:id="5" w:name="_Toc521053056"/>
      <w:bookmarkStart w:id="6" w:name="_Toc1733"/>
    </w:p>
    <w:p>
      <w:pPr>
        <w:spacing w:line="1600" w:lineRule="exact"/>
        <w:jc w:val="center"/>
        <w:outlineLvl w:val="0"/>
        <w:rPr>
          <w:rFonts w:ascii="方正黑体_GBK" w:eastAsia="方正黑体_GBK"/>
          <w:sz w:val="84"/>
          <w:szCs w:val="84"/>
        </w:rPr>
      </w:pPr>
      <w:r>
        <w:rPr>
          <w:rFonts w:hint="eastAsia" w:ascii="方正黑体_GBK" w:eastAsia="方正黑体_GBK"/>
          <w:sz w:val="84"/>
          <w:szCs w:val="84"/>
        </w:rPr>
        <w:t>重庆市</w:t>
      </w:r>
      <w:r>
        <w:rPr>
          <w:rFonts w:hint="eastAsia" w:ascii="方正黑体_GBK" w:eastAsia="方正黑体_GBK"/>
          <w:sz w:val="84"/>
          <w:szCs w:val="84"/>
          <w:lang w:val="en-US" w:eastAsia="zh-CN"/>
        </w:rPr>
        <w:t>嘉陵江</w:t>
      </w:r>
      <w:r>
        <w:rPr>
          <w:rFonts w:hint="eastAsia" w:ascii="方正黑体_GBK" w:eastAsia="方正黑体_GBK"/>
          <w:sz w:val="84"/>
          <w:szCs w:val="84"/>
        </w:rPr>
        <w:t>航道管理处</w:t>
      </w:r>
    </w:p>
    <w:p>
      <w:pPr>
        <w:spacing w:line="1600" w:lineRule="exact"/>
        <w:jc w:val="center"/>
        <w:outlineLvl w:val="0"/>
        <w:rPr>
          <w:rFonts w:ascii="方正黑体_GBK" w:eastAsia="方正黑体_GBK"/>
          <w:sz w:val="84"/>
          <w:szCs w:val="84"/>
        </w:rPr>
      </w:pPr>
      <w:r>
        <w:rPr>
          <w:rFonts w:hint="eastAsia" w:ascii="方正黑体_GBK" w:eastAsia="方正黑体_GBK"/>
          <w:sz w:val="84"/>
          <w:szCs w:val="84"/>
        </w:rPr>
        <w:t>政府采购</w:t>
      </w:r>
    </w:p>
    <w:p>
      <w:pPr>
        <w:jc w:val="center"/>
        <w:rPr>
          <w:rFonts w:ascii="宋体" w:hAnsi="宋体"/>
          <w:sz w:val="84"/>
          <w:szCs w:val="84"/>
        </w:rPr>
      </w:pPr>
    </w:p>
    <w:p>
      <w:pPr>
        <w:spacing w:line="1600" w:lineRule="exact"/>
        <w:jc w:val="center"/>
        <w:outlineLvl w:val="0"/>
        <w:rPr>
          <w:rFonts w:ascii="方正黑体_GBK" w:hAnsi="宋体" w:eastAsia="方正黑体_GBK"/>
          <w:sz w:val="84"/>
          <w:szCs w:val="84"/>
        </w:rPr>
      </w:pPr>
      <w:r>
        <w:rPr>
          <w:rFonts w:hint="eastAsia" w:ascii="方正黑体_GBK" w:hAnsi="宋体" w:eastAsia="方正黑体_GBK"/>
          <w:sz w:val="84"/>
          <w:szCs w:val="84"/>
        </w:rPr>
        <w:t>限额以下比价采购文件</w:t>
      </w:r>
    </w:p>
    <w:p>
      <w:pPr>
        <w:spacing w:line="700" w:lineRule="exact"/>
        <w:jc w:val="center"/>
        <w:rPr>
          <w:rFonts w:ascii="黑体" w:eastAsia="黑体"/>
          <w:sz w:val="32"/>
        </w:rPr>
      </w:pPr>
    </w:p>
    <w:p>
      <w:pPr>
        <w:spacing w:line="700" w:lineRule="exact"/>
        <w:jc w:val="center"/>
        <w:rPr>
          <w:rFonts w:ascii="黑体" w:eastAsia="黑体"/>
          <w:sz w:val="32"/>
        </w:rPr>
      </w:pPr>
    </w:p>
    <w:p>
      <w:pPr>
        <w:spacing w:line="700" w:lineRule="exact"/>
        <w:jc w:val="center"/>
        <w:rPr>
          <w:rFonts w:ascii="黑体" w:eastAsia="黑体"/>
          <w:sz w:val="32"/>
        </w:rPr>
      </w:pPr>
    </w:p>
    <w:p>
      <w:pPr>
        <w:spacing w:line="500" w:lineRule="exact"/>
        <w:ind w:firstLine="1440" w:firstLineChars="400"/>
        <w:jc w:val="left"/>
        <w:outlineLvl w:val="0"/>
        <w:rPr>
          <w:rFonts w:hint="eastAsia" w:ascii="方正小标宋_GBK" w:hAnsi="宋体" w:eastAsia="方正小标宋_GBK"/>
          <w:sz w:val="36"/>
          <w:szCs w:val="36"/>
          <w:lang w:eastAsia="zh-CN"/>
        </w:rPr>
      </w:pPr>
      <w:r>
        <w:rPr>
          <w:rFonts w:hint="eastAsia" w:ascii="方正小标宋_GBK" w:hAnsi="宋体" w:eastAsia="方正小标宋_GBK"/>
          <w:sz w:val="36"/>
          <w:szCs w:val="36"/>
        </w:rPr>
        <w:t>项目名称：</w:t>
      </w:r>
      <w:r>
        <w:rPr>
          <w:rFonts w:hint="eastAsia" w:ascii="方正小标宋_GBK" w:hAnsi="宋体" w:eastAsia="方正小标宋_GBK"/>
          <w:sz w:val="36"/>
          <w:szCs w:val="36"/>
          <w:lang w:eastAsia="zh-CN"/>
        </w:rPr>
        <w:t>嘉陵江黄果碛尾航道专项维护服务</w:t>
      </w:r>
    </w:p>
    <w:p>
      <w:pPr>
        <w:spacing w:line="500" w:lineRule="exact"/>
        <w:ind w:firstLine="1440" w:firstLineChars="400"/>
        <w:jc w:val="left"/>
        <w:outlineLvl w:val="0"/>
        <w:rPr>
          <w:rFonts w:hint="eastAsia" w:ascii="方正小标宋_GBK" w:eastAsia="方正小标宋_GBK"/>
          <w:sz w:val="36"/>
          <w:szCs w:val="36"/>
          <w:lang w:eastAsia="zh-CN"/>
        </w:rPr>
      </w:pPr>
      <w:r>
        <w:rPr>
          <w:rFonts w:hint="eastAsia" w:ascii="方正小标宋_GBK" w:eastAsia="方正小标宋_GBK"/>
          <w:sz w:val="36"/>
          <w:szCs w:val="36"/>
        </w:rPr>
        <w:t>采购人：</w:t>
      </w:r>
      <w:r>
        <w:rPr>
          <w:rFonts w:hint="eastAsia" w:ascii="方正小标宋_GBK" w:eastAsia="方正小标宋_GBK"/>
          <w:sz w:val="36"/>
          <w:szCs w:val="36"/>
          <w:lang w:eastAsia="zh-CN"/>
        </w:rPr>
        <w:t>重庆市嘉陵江航道管理处</w:t>
      </w: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720" w:lineRule="exact"/>
        <w:jc w:val="center"/>
        <w:outlineLvl w:val="0"/>
        <w:rPr>
          <w:rFonts w:hint="default" w:ascii="方正黑体_GBK" w:hAnsi="宋体" w:eastAsia="方正黑体_GBK"/>
          <w:sz w:val="48"/>
          <w:szCs w:val="32"/>
          <w:woUserID w:val="1"/>
        </w:rPr>
      </w:pPr>
      <w:r>
        <w:rPr>
          <w:rFonts w:hint="eastAsia" w:ascii="方正小标宋_GBK" w:hAnsi="宋体" w:eastAsia="方正小标宋_GBK"/>
          <w:sz w:val="36"/>
          <w:szCs w:val="36"/>
        </w:rPr>
        <w:t>二〇二三年十</w:t>
      </w:r>
      <w:r>
        <w:rPr>
          <w:rFonts w:hint="eastAsia" w:ascii="方正小标宋_GBK" w:hAnsi="宋体" w:eastAsia="方正小标宋_GBK"/>
          <w:sz w:val="36"/>
          <w:szCs w:val="36"/>
          <w:lang w:val="en-US" w:eastAsia="zh-CN"/>
        </w:rPr>
        <w:t>二</w:t>
      </w:r>
      <w:r>
        <w:rPr>
          <w:rFonts w:hint="eastAsia" w:ascii="方正小标宋_GBK" w:hAnsi="宋体" w:eastAsia="方正小标宋_GBK"/>
          <w:sz w:val="36"/>
          <w:szCs w:val="36"/>
        </w:rPr>
        <w:t>月</w:t>
      </w:r>
      <w:r>
        <w:rPr>
          <w:rFonts w:hint="default" w:ascii="方正小标宋_GBK" w:hAnsi="宋体" w:eastAsia="方正小标宋_GBK"/>
          <w:sz w:val="36"/>
          <w:szCs w:val="36"/>
          <w:woUserID w:val="1"/>
        </w:rPr>
        <w:t>二十六日</w:t>
      </w:r>
    </w:p>
    <w:p>
      <w:pPr>
        <w:spacing w:line="480" w:lineRule="exact"/>
        <w:outlineLvl w:val="0"/>
        <w:rPr>
          <w:rFonts w:ascii="方正黑体_GBK" w:eastAsia="方正黑体_GBK"/>
          <w:sz w:val="44"/>
          <w:szCs w:val="28"/>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851" w:footer="992" w:gutter="0"/>
          <w:pgNumType w:fmt="numberInDash" w:start="1"/>
          <w:cols w:space="720" w:num="1"/>
          <w:titlePg/>
          <w:docGrid w:linePitch="381" w:charSpace="-5735"/>
        </w:sectPr>
      </w:pPr>
    </w:p>
    <w:p>
      <w:pPr>
        <w:pStyle w:val="2"/>
        <w:spacing w:before="0" w:after="0" w:line="360" w:lineRule="auto"/>
        <w:jc w:val="center"/>
        <w:rPr>
          <w:rFonts w:ascii="方正小标宋_GBK" w:eastAsia="方正小标宋_GBK"/>
          <w:b w:val="0"/>
          <w:sz w:val="36"/>
          <w:szCs w:val="30"/>
        </w:rPr>
      </w:pPr>
      <w:bookmarkStart w:id="7" w:name="_Toc24173"/>
      <w:bookmarkStart w:id="8" w:name="_Toc106034769"/>
      <w:bookmarkStart w:id="9" w:name="_Toc11641050"/>
      <w:bookmarkStart w:id="10" w:name="_Toc65660329"/>
      <w:bookmarkStart w:id="11" w:name="_Toc15726"/>
      <w:bookmarkStart w:id="12" w:name="_Toc12789052"/>
      <w:bookmarkStart w:id="13" w:name="_Toc24817"/>
      <w:r>
        <w:rPr>
          <w:rFonts w:hint="eastAsia" w:ascii="方正小标宋_GBK" w:eastAsia="方正小标宋_GBK"/>
          <w:b w:val="0"/>
          <w:sz w:val="36"/>
          <w:szCs w:val="30"/>
        </w:rPr>
        <w:t xml:space="preserve">第一篇  </w:t>
      </w:r>
      <w:r>
        <w:rPr>
          <w:rFonts w:hint="eastAsia" w:ascii="方正小标宋_GBK" w:eastAsia="方正小标宋_GBK" w:cs="Arial"/>
          <w:b w:val="0"/>
          <w:sz w:val="36"/>
        </w:rPr>
        <w:t>限额以下比价采购邀请书</w:t>
      </w:r>
      <w:bookmarkEnd w:id="7"/>
      <w:bookmarkEnd w:id="8"/>
      <w:bookmarkEnd w:id="9"/>
      <w:bookmarkEnd w:id="10"/>
      <w:bookmarkEnd w:id="11"/>
      <w:bookmarkEnd w:id="12"/>
      <w:bookmarkEnd w:id="13"/>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根据工作需要，</w:t>
      </w:r>
      <w:r>
        <w:rPr>
          <w:rFonts w:hint="eastAsia" w:ascii="方正仿宋_GBK" w:hAnsi="宋体" w:eastAsia="方正仿宋_GBK"/>
          <w:sz w:val="24"/>
          <w:szCs w:val="24"/>
          <w:lang w:eastAsia="zh-CN"/>
        </w:rPr>
        <w:t>重庆市嘉陵江航道管理处</w:t>
      </w:r>
      <w:r>
        <w:rPr>
          <w:rFonts w:hint="eastAsia" w:ascii="方正仿宋_GBK" w:hAnsi="宋体" w:eastAsia="方正仿宋_GBK"/>
          <w:sz w:val="24"/>
          <w:szCs w:val="24"/>
        </w:rPr>
        <w:t>对</w:t>
      </w:r>
      <w:r>
        <w:rPr>
          <w:rFonts w:hint="eastAsia" w:ascii="方正仿宋_GBK" w:hAnsi="宋体" w:eastAsia="方正仿宋_GBK"/>
          <w:sz w:val="24"/>
          <w:szCs w:val="24"/>
          <w:lang w:eastAsia="zh-CN"/>
        </w:rPr>
        <w:t>嘉陵江黄果碛尾航道专项维护服务</w:t>
      </w:r>
      <w:r>
        <w:rPr>
          <w:rFonts w:hint="eastAsia" w:ascii="方正仿宋_GBK" w:hAnsi="宋体" w:eastAsia="方正仿宋_GBK"/>
          <w:sz w:val="24"/>
          <w:szCs w:val="24"/>
        </w:rPr>
        <w:t>项目进行限额以下比价采购。欢迎有资格的供应商前来参加报价。</w:t>
      </w:r>
    </w:p>
    <w:p>
      <w:pPr>
        <w:pStyle w:val="2"/>
        <w:adjustRightInd w:val="0"/>
        <w:snapToGrid w:val="0"/>
        <w:spacing w:before="0" w:after="0" w:line="400" w:lineRule="exact"/>
        <w:ind w:firstLine="480" w:firstLineChars="200"/>
        <w:rPr>
          <w:rFonts w:ascii="方正仿宋_GBK" w:hAnsi="宋体" w:eastAsia="方正仿宋_GBK"/>
          <w:sz w:val="24"/>
        </w:rPr>
      </w:pPr>
      <w:bookmarkStart w:id="14" w:name="_Toc317775175"/>
      <w:bookmarkStart w:id="15" w:name="_Toc26091"/>
      <w:bookmarkStart w:id="16" w:name="_Toc313893526"/>
      <w:bookmarkStart w:id="17" w:name="_Toc7758"/>
      <w:bookmarkStart w:id="18" w:name="_Toc18246"/>
      <w:bookmarkStart w:id="19" w:name="_Toc65660330"/>
      <w:bookmarkStart w:id="20" w:name="_Toc106034770"/>
      <w:r>
        <w:rPr>
          <w:rFonts w:hint="eastAsia" w:ascii="方正仿宋_GBK" w:hAnsi="宋体" w:eastAsia="方正仿宋_GBK"/>
          <w:sz w:val="24"/>
        </w:rPr>
        <w:t>一、比价内容</w:t>
      </w:r>
      <w:bookmarkEnd w:id="14"/>
      <w:bookmarkEnd w:id="15"/>
      <w:bookmarkEnd w:id="16"/>
      <w:bookmarkEnd w:id="17"/>
      <w:bookmarkEnd w:id="18"/>
      <w:bookmarkEnd w:id="19"/>
      <w:bookmarkEnd w:id="20"/>
    </w:p>
    <w:tbl>
      <w:tblPr>
        <w:tblStyle w:val="10"/>
        <w:tblW w:w="77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135"/>
        <w:gridCol w:w="1982"/>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2235" w:type="dxa"/>
            <w:tcBorders>
              <w:top w:val="single" w:color="auto" w:sz="4" w:space="0"/>
              <w:left w:val="single" w:color="auto" w:sz="4" w:space="0"/>
              <w:right w:val="single" w:color="auto" w:sz="4" w:space="0"/>
            </w:tcBorders>
            <w:vAlign w:val="center"/>
          </w:tcPr>
          <w:p>
            <w:pPr>
              <w:widowControl/>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包号及名称</w:t>
            </w:r>
          </w:p>
        </w:tc>
        <w:tc>
          <w:tcPr>
            <w:tcW w:w="1135" w:type="dxa"/>
            <w:tcBorders>
              <w:top w:val="single" w:color="auto" w:sz="4" w:space="0"/>
              <w:left w:val="single" w:color="auto" w:sz="4" w:space="0"/>
              <w:right w:val="single" w:color="auto" w:sz="4" w:space="0"/>
            </w:tcBorders>
            <w:vAlign w:val="center"/>
          </w:tcPr>
          <w:p>
            <w:pPr>
              <w:widowControl/>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最高限价</w:t>
            </w:r>
          </w:p>
        </w:tc>
        <w:tc>
          <w:tcPr>
            <w:tcW w:w="1982" w:type="dxa"/>
            <w:tcBorders>
              <w:top w:val="single" w:color="auto" w:sz="4" w:space="0"/>
              <w:left w:val="single" w:color="auto" w:sz="4" w:space="0"/>
              <w:right w:val="single" w:color="auto" w:sz="4" w:space="0"/>
            </w:tcBorders>
            <w:vAlign w:val="center"/>
          </w:tcPr>
          <w:p>
            <w:pP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成交供应商数量（名）</w:t>
            </w:r>
          </w:p>
        </w:tc>
        <w:tc>
          <w:tcPr>
            <w:tcW w:w="2377" w:type="dxa"/>
            <w:tcBorders>
              <w:top w:val="single" w:color="auto" w:sz="4" w:space="0"/>
              <w:left w:val="single" w:color="auto" w:sz="4" w:space="0"/>
              <w:right w:val="single" w:color="auto" w:sz="4" w:space="0"/>
            </w:tcBorders>
            <w:vAlign w:val="center"/>
          </w:tcPr>
          <w:p>
            <w:pP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22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宋体" w:eastAsia="方正仿宋_GBK" w:cs="宋体"/>
                <w:kern w:val="0"/>
                <w:sz w:val="21"/>
                <w:szCs w:val="24"/>
                <w:lang w:eastAsia="zh-CN"/>
              </w:rPr>
            </w:pPr>
            <w:bookmarkStart w:id="21" w:name="_Hlk344477914"/>
            <w:r>
              <w:rPr>
                <w:rFonts w:hint="eastAsia" w:ascii="方正仿宋_GBK" w:hAnsi="宋体" w:eastAsia="方正仿宋_GBK" w:cs="宋体"/>
                <w:kern w:val="0"/>
                <w:sz w:val="21"/>
                <w:szCs w:val="24"/>
                <w:lang w:eastAsia="zh-CN"/>
              </w:rPr>
              <w:t>嘉陵江黄果碛尾航道专项维护服务</w:t>
            </w:r>
          </w:p>
        </w:tc>
        <w:tc>
          <w:tcPr>
            <w:tcW w:w="1135" w:type="dxa"/>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sz w:val="21"/>
                <w:szCs w:val="21"/>
              </w:rPr>
            </w:pPr>
            <w:r>
              <w:rPr>
                <w:rFonts w:hint="eastAsia" w:ascii="方正仿宋_GBK" w:hAnsi="宋体" w:eastAsia="方正仿宋_GBK"/>
                <w:sz w:val="21"/>
                <w:szCs w:val="21"/>
                <w:lang w:eastAsia="zh-CN"/>
              </w:rPr>
              <w:t>8810</w:t>
            </w:r>
            <w:r>
              <w:rPr>
                <w:rFonts w:hint="eastAsia" w:ascii="方正仿宋_GBK" w:hAnsi="宋体" w:eastAsia="方正仿宋_GBK"/>
                <w:sz w:val="21"/>
                <w:szCs w:val="21"/>
              </w:rPr>
              <w:t>元/天</w:t>
            </w:r>
          </w:p>
        </w:tc>
        <w:tc>
          <w:tcPr>
            <w:tcW w:w="1982" w:type="dxa"/>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sz w:val="21"/>
                <w:szCs w:val="21"/>
              </w:rPr>
            </w:pPr>
            <w:r>
              <w:rPr>
                <w:rFonts w:hint="eastAsia" w:ascii="方正仿宋_GBK" w:hAnsi="宋体" w:eastAsia="方正仿宋_GBK"/>
                <w:sz w:val="21"/>
                <w:szCs w:val="21"/>
              </w:rPr>
              <w:t>1</w:t>
            </w:r>
          </w:p>
        </w:tc>
        <w:tc>
          <w:tcPr>
            <w:tcW w:w="2377" w:type="dxa"/>
            <w:tcBorders>
              <w:top w:val="single" w:color="auto" w:sz="4" w:space="0"/>
              <w:left w:val="single" w:color="auto" w:sz="4" w:space="0"/>
              <w:bottom w:val="single" w:color="auto" w:sz="4" w:space="0"/>
              <w:right w:val="single" w:color="auto" w:sz="4" w:space="0"/>
            </w:tcBorders>
            <w:vAlign w:val="center"/>
          </w:tcPr>
          <w:p>
            <w:pPr>
              <w:jc w:val="left"/>
              <w:rPr>
                <w:rFonts w:ascii="方正仿宋_GBK" w:hAnsi="宋体" w:eastAsia="方正仿宋_GBK"/>
                <w:b/>
                <w:sz w:val="21"/>
                <w:szCs w:val="21"/>
              </w:rPr>
            </w:pPr>
          </w:p>
        </w:tc>
      </w:tr>
      <w:bookmarkEnd w:id="21"/>
    </w:tbl>
    <w:p>
      <w:pPr>
        <w:pStyle w:val="2"/>
        <w:adjustRightInd w:val="0"/>
        <w:snapToGrid w:val="0"/>
        <w:spacing w:before="0" w:after="0" w:line="400" w:lineRule="exact"/>
        <w:ind w:firstLine="480" w:firstLineChars="200"/>
        <w:rPr>
          <w:rFonts w:ascii="方正仿宋_GBK" w:hAnsi="宋体" w:eastAsia="方正仿宋_GBK"/>
          <w:sz w:val="24"/>
        </w:rPr>
      </w:pPr>
      <w:bookmarkStart w:id="22" w:name="_Toc65660331"/>
      <w:bookmarkStart w:id="23" w:name="_Toc3256"/>
      <w:bookmarkStart w:id="24" w:name="_Toc4424"/>
      <w:bookmarkStart w:id="25" w:name="_Toc106034771"/>
      <w:bookmarkStart w:id="26" w:name="_Toc27028"/>
      <w:bookmarkStart w:id="27" w:name="_Toc373860293"/>
      <w:bookmarkStart w:id="28" w:name="_Toc317775178"/>
      <w:r>
        <w:rPr>
          <w:rFonts w:hint="eastAsia" w:ascii="方正仿宋_GBK" w:hAnsi="宋体" w:eastAsia="方正仿宋_GBK"/>
          <w:sz w:val="24"/>
        </w:rPr>
        <w:t>二、资金来源</w:t>
      </w:r>
      <w:bookmarkEnd w:id="22"/>
      <w:bookmarkEnd w:id="23"/>
      <w:bookmarkEnd w:id="24"/>
      <w:bookmarkEnd w:id="25"/>
      <w:bookmarkEnd w:id="26"/>
    </w:p>
    <w:p>
      <w:pPr>
        <w:spacing w:line="400" w:lineRule="exact"/>
        <w:ind w:firstLine="480" w:firstLineChars="200"/>
        <w:rPr>
          <w:rFonts w:ascii="方正仿宋_GBK" w:hAnsi="宋体" w:eastAsia="方正仿宋_GBK"/>
          <w:sz w:val="24"/>
          <w:szCs w:val="24"/>
        </w:rPr>
      </w:pPr>
      <w:r>
        <w:rPr>
          <w:rFonts w:hint="eastAsia" w:ascii="方正仿宋_GBK" w:hAnsi="仿宋" w:eastAsia="方正仿宋_GBK"/>
          <w:sz w:val="24"/>
          <w:szCs w:val="24"/>
        </w:rPr>
        <w:t>财政预算资金（或单位自筹资金）。</w:t>
      </w:r>
    </w:p>
    <w:p>
      <w:pPr>
        <w:pStyle w:val="2"/>
        <w:adjustRightInd w:val="0"/>
        <w:snapToGrid w:val="0"/>
        <w:spacing w:before="0" w:after="0" w:line="400" w:lineRule="exact"/>
        <w:ind w:firstLine="480" w:firstLineChars="200"/>
        <w:rPr>
          <w:rFonts w:ascii="方正仿宋_GBK" w:hAnsi="宋体" w:eastAsia="方正仿宋_GBK"/>
          <w:sz w:val="24"/>
        </w:rPr>
      </w:pPr>
      <w:bookmarkStart w:id="29" w:name="_Toc20867"/>
      <w:bookmarkStart w:id="30" w:name="_Toc65660332"/>
      <w:bookmarkStart w:id="31" w:name="_Toc18548"/>
      <w:bookmarkStart w:id="32" w:name="_Toc106034772"/>
      <w:bookmarkStart w:id="33" w:name="_Toc64731996"/>
      <w:bookmarkStart w:id="34" w:name="_Toc13541"/>
      <w:r>
        <w:rPr>
          <w:rFonts w:hint="eastAsia" w:ascii="方正仿宋_GBK" w:hAnsi="宋体" w:eastAsia="方正仿宋_GBK"/>
          <w:sz w:val="24"/>
        </w:rPr>
        <w:t>三、供应商资格条件</w:t>
      </w:r>
      <w:bookmarkEnd w:id="29"/>
      <w:bookmarkEnd w:id="30"/>
      <w:bookmarkEnd w:id="31"/>
      <w:bookmarkEnd w:id="32"/>
      <w:bookmarkEnd w:id="33"/>
      <w:bookmarkEnd w:id="34"/>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（一）满足《中华人民共和国政府采购法》第二十二条规定；</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（二）本项目的特定资格要求： 无</w:t>
      </w:r>
    </w:p>
    <w:p>
      <w:pPr>
        <w:pStyle w:val="2"/>
        <w:adjustRightInd w:val="0"/>
        <w:snapToGrid w:val="0"/>
        <w:spacing w:before="0" w:after="0" w:line="400" w:lineRule="exact"/>
        <w:ind w:firstLine="480" w:firstLineChars="200"/>
        <w:rPr>
          <w:rFonts w:ascii="方正仿宋_GBK" w:hAnsi="宋体" w:eastAsia="方正仿宋_GBK"/>
          <w:sz w:val="24"/>
        </w:rPr>
      </w:pPr>
      <w:bookmarkStart w:id="35" w:name="_Toc1386"/>
      <w:bookmarkStart w:id="36" w:name="_Toc65660333"/>
      <w:bookmarkStart w:id="37" w:name="_Toc11908"/>
      <w:bookmarkStart w:id="38" w:name="_Toc13903"/>
      <w:bookmarkStart w:id="39" w:name="_Toc106034773"/>
      <w:r>
        <w:rPr>
          <w:rFonts w:hint="eastAsia" w:ascii="方正仿宋_GBK" w:hAnsi="宋体" w:eastAsia="方正仿宋_GBK"/>
          <w:sz w:val="24"/>
        </w:rPr>
        <w:t>四、限额以下比价有关说明</w:t>
      </w:r>
      <w:bookmarkEnd w:id="27"/>
      <w:bookmarkEnd w:id="35"/>
      <w:bookmarkEnd w:id="36"/>
      <w:bookmarkEnd w:id="37"/>
      <w:bookmarkEnd w:id="38"/>
      <w:bookmarkEnd w:id="39"/>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（一）凡有意参加比价的供应商，请在重庆市交通局官网上下载本项目采购文件以及图纸、澄清等报价前公布的所有项目资料，无论供应商下载与否，均视为已知晓所有实质性要求内容。</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（二）采购公告期限：自采购公告发布之日起三个工作日。</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（三）递交响应文件地点：</w:t>
      </w:r>
      <w:r>
        <w:rPr>
          <w:rFonts w:hint="eastAsia" w:ascii="方正仿宋_GBK" w:hAnsi="宋体" w:eastAsia="方正仿宋_GBK"/>
          <w:sz w:val="24"/>
          <w:szCs w:val="24"/>
          <w:lang w:eastAsia="zh-CN"/>
        </w:rPr>
        <w:t>重庆市嘉陵江航道管理处</w:t>
      </w:r>
      <w:r>
        <w:rPr>
          <w:rFonts w:hint="eastAsia" w:ascii="方正仿宋_GBK" w:hAnsi="宋体" w:eastAsia="方正仿宋_GBK"/>
          <w:sz w:val="24"/>
          <w:szCs w:val="24"/>
        </w:rPr>
        <w:t>4楼会议室（地址：</w:t>
      </w:r>
      <w:r>
        <w:rPr>
          <w:rFonts w:hint="eastAsia" w:ascii="方正仿宋_GBK" w:hAnsi="宋体" w:eastAsia="方正仿宋_GBK"/>
          <w:sz w:val="24"/>
          <w:szCs w:val="24"/>
          <w:lang w:eastAsia="zh-CN"/>
        </w:rPr>
        <w:t>重庆市渝中区华一路17号</w:t>
      </w:r>
      <w:r>
        <w:rPr>
          <w:rFonts w:hint="eastAsia" w:ascii="方正仿宋_GBK" w:hAnsi="宋体" w:eastAsia="方正仿宋_GBK"/>
          <w:sz w:val="24"/>
          <w:szCs w:val="24"/>
        </w:rPr>
        <w:t>）</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（四）提交响应文件截止时间：2023年1</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29</w:t>
      </w:r>
      <w:r>
        <w:rPr>
          <w:rFonts w:hint="eastAsia" w:ascii="方正仿宋_GBK" w:hAnsi="宋体" w:eastAsia="方正仿宋_GBK"/>
          <w:sz w:val="24"/>
          <w:szCs w:val="24"/>
        </w:rPr>
        <w:t>日北京时间</w:t>
      </w:r>
      <w:r>
        <w:rPr>
          <w:rFonts w:hint="default" w:ascii="方正仿宋_GBK" w:hAnsi="宋体" w:eastAsia="方正仿宋_GBK"/>
          <w:sz w:val="24"/>
          <w:szCs w:val="24"/>
        </w:rPr>
        <w:t>14</w:t>
      </w:r>
      <w:r>
        <w:rPr>
          <w:rFonts w:hint="eastAsia" w:ascii="方正仿宋_GBK" w:hAnsi="宋体" w:eastAsia="方正仿宋_GBK"/>
          <w:sz w:val="24"/>
          <w:szCs w:val="24"/>
        </w:rPr>
        <w:t>时至</w:t>
      </w:r>
      <w:r>
        <w:rPr>
          <w:rFonts w:hint="default" w:ascii="方正仿宋_GBK" w:hAnsi="宋体" w:eastAsia="方正仿宋_GBK"/>
          <w:sz w:val="24"/>
          <w:szCs w:val="24"/>
        </w:rPr>
        <w:t>14</w:t>
      </w:r>
      <w:r>
        <w:rPr>
          <w:rFonts w:hint="eastAsia" w:ascii="方正仿宋_GBK" w:hAnsi="宋体" w:eastAsia="方正仿宋_GBK"/>
          <w:sz w:val="24"/>
          <w:szCs w:val="24"/>
        </w:rPr>
        <w:t>时30分。</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（五）评审开始时间：2023年</w:t>
      </w:r>
      <w:r>
        <w:rPr>
          <w:rFonts w:hint="eastAsia" w:ascii="方正仿宋_GBK" w:hAnsi="宋体" w:eastAsia="方正仿宋_GBK"/>
          <w:sz w:val="24"/>
          <w:szCs w:val="24"/>
          <w:lang w:val="en-US" w:eastAsia="zh-CN"/>
        </w:rPr>
        <w:t>12</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29</w:t>
      </w:r>
      <w:r>
        <w:rPr>
          <w:rFonts w:hint="eastAsia" w:ascii="方正仿宋_GBK" w:hAnsi="宋体" w:eastAsia="方正仿宋_GBK"/>
          <w:sz w:val="24"/>
          <w:szCs w:val="24"/>
        </w:rPr>
        <w:t>日北京时间</w:t>
      </w:r>
      <w:r>
        <w:rPr>
          <w:rFonts w:hint="default" w:ascii="方正仿宋_GBK" w:hAnsi="宋体" w:eastAsia="方正仿宋_GBK"/>
          <w:sz w:val="24"/>
          <w:szCs w:val="24"/>
        </w:rPr>
        <w:t>14</w:t>
      </w:r>
      <w:r>
        <w:rPr>
          <w:rFonts w:hint="eastAsia" w:ascii="方正仿宋_GBK" w:hAnsi="宋体" w:eastAsia="方正仿宋_GBK"/>
          <w:sz w:val="24"/>
          <w:szCs w:val="24"/>
        </w:rPr>
        <w:t>时30分。</w:t>
      </w:r>
    </w:p>
    <w:bookmarkEnd w:id="28"/>
    <w:p>
      <w:pPr>
        <w:pStyle w:val="2"/>
        <w:adjustRightInd w:val="0"/>
        <w:snapToGrid w:val="0"/>
        <w:spacing w:before="0" w:after="0" w:line="400" w:lineRule="exact"/>
        <w:ind w:firstLine="480" w:firstLineChars="200"/>
        <w:rPr>
          <w:rFonts w:ascii="方正仿宋_GBK" w:hAnsi="宋体" w:eastAsia="方正仿宋_GBK"/>
          <w:sz w:val="24"/>
        </w:rPr>
      </w:pPr>
      <w:bookmarkStart w:id="40" w:name="_Toc525047163"/>
      <w:bookmarkStart w:id="41" w:name="_Toc521053055"/>
      <w:bookmarkStart w:id="42" w:name="_Toc6563"/>
      <w:bookmarkStart w:id="43" w:name="_Toc106034776"/>
      <w:bookmarkStart w:id="44" w:name="_Toc4728"/>
      <w:bookmarkStart w:id="45" w:name="_Toc65660336"/>
      <w:bookmarkStart w:id="46" w:name="_Toc16269"/>
      <w:r>
        <w:rPr>
          <w:rFonts w:hint="eastAsia" w:ascii="方正仿宋_GBK" w:hAnsi="宋体" w:eastAsia="方正仿宋_GBK"/>
          <w:sz w:val="24"/>
        </w:rPr>
        <w:t>五、其它有关规定</w:t>
      </w:r>
      <w:bookmarkEnd w:id="40"/>
      <w:bookmarkEnd w:id="41"/>
      <w:bookmarkEnd w:id="42"/>
      <w:bookmarkEnd w:id="43"/>
      <w:bookmarkEnd w:id="44"/>
      <w:bookmarkEnd w:id="45"/>
      <w:bookmarkEnd w:id="46"/>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（一）单位负责人为同一人或者存在直接控股、管理关系的不同供应商，</w:t>
      </w:r>
      <w:r>
        <w:rPr>
          <w:rFonts w:ascii="方正仿宋_GBK" w:hAnsi="宋体" w:eastAsia="方正仿宋_GBK"/>
          <w:sz w:val="24"/>
          <w:szCs w:val="24"/>
        </w:rPr>
        <w:t>不得参加同一合同项</w:t>
      </w:r>
      <w:r>
        <w:rPr>
          <w:rFonts w:hint="eastAsia" w:ascii="方正仿宋_GBK" w:hAnsi="宋体" w:eastAsia="方正仿宋_GBK"/>
          <w:sz w:val="24"/>
          <w:szCs w:val="24"/>
        </w:rPr>
        <w:t>（包）</w:t>
      </w:r>
      <w:r>
        <w:rPr>
          <w:rFonts w:ascii="方正仿宋_GBK" w:hAnsi="宋体" w:eastAsia="方正仿宋_GBK"/>
          <w:sz w:val="24"/>
          <w:szCs w:val="24"/>
        </w:rPr>
        <w:t>下的政府采购活动</w:t>
      </w:r>
      <w:r>
        <w:rPr>
          <w:rFonts w:hint="eastAsia" w:ascii="方正仿宋_GBK" w:hAnsi="宋体" w:eastAsia="方正仿宋_GBK"/>
          <w:sz w:val="24"/>
          <w:szCs w:val="24"/>
        </w:rPr>
        <w:t>，否则均为无效报价。</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（二）为采购项目提供整体设计、规范编制或者项目管理、监理、检测等服务的供应商，不得再</w:t>
      </w:r>
      <w:r>
        <w:rPr>
          <w:rFonts w:ascii="方正仿宋_GBK" w:hAnsi="宋体" w:eastAsia="方正仿宋_GBK"/>
          <w:sz w:val="24"/>
          <w:szCs w:val="24"/>
        </w:rPr>
        <w:t>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（三）同一合同项（包）下为单一品目的货物采购中，同一品牌同一型号产品有多家供应商参加谈判，只能按照一家供应商计算。</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（四）同一合同项（包）下的货物，制造商参与报价的，不得再委托代理商参与报价。</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（五）本项目的澄清文件（如果有）一律在重庆市交通局官网上发布，请各供应商注意下载；无论供应商下载或领取与否，均视同供应商已知晓本项目澄清文件（如果有）的内容。</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（六）超过响应文件截止时间递交的响应文件，恕不接收。</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（七）限额以下比价费用：无论采购结果如何，供应商参与本项目比价的所有费用均应由供应商自行承担。</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（八）本项目不接受联合体参与报价，否则按无效处理。</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（九）本项目不接受合同分包，否则按无效处理。</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十）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p>
    <w:p>
      <w:pPr>
        <w:snapToGrid w:val="0"/>
        <w:spacing w:line="400" w:lineRule="exact"/>
        <w:ind w:firstLine="360" w:firstLineChars="150"/>
        <w:rPr>
          <w:rFonts w:hint="eastAsia" w:ascii="方正仿宋_GBK" w:hAnsi="宋体" w:eastAsia="方正仿宋_GBK"/>
          <w:b/>
          <w:sz w:val="24"/>
          <w:szCs w:val="24"/>
        </w:rPr>
      </w:pPr>
      <w:r>
        <w:rPr>
          <w:rFonts w:hint="eastAsia" w:ascii="方正仿宋_GBK" w:hAnsi="宋体" w:eastAsia="方正仿宋_GBK"/>
          <w:b/>
          <w:sz w:val="24"/>
          <w:szCs w:val="24"/>
        </w:rPr>
        <w:t>六、联系方式</w:t>
      </w:r>
      <w:bookmarkEnd w:id="0"/>
      <w:bookmarkEnd w:id="1"/>
      <w:bookmarkEnd w:id="2"/>
      <w:bookmarkEnd w:id="3"/>
      <w:bookmarkEnd w:id="4"/>
      <w:bookmarkEnd w:id="5"/>
      <w:bookmarkEnd w:id="6"/>
    </w:p>
    <w:p>
      <w:pPr>
        <w:snapToGrid w:val="0"/>
        <w:spacing w:line="400" w:lineRule="exact"/>
        <w:ind w:firstLine="480" w:firstLineChars="200"/>
        <w:outlineLvl w:val="2"/>
        <w:rPr>
          <w:rFonts w:hint="eastAsia" w:ascii="方正仿宋_GBK" w:hAnsi="宋体" w:eastAsia="方正仿宋_GBK"/>
          <w:sz w:val="24"/>
          <w:szCs w:val="24"/>
          <w:lang w:eastAsia="zh-CN"/>
        </w:rPr>
      </w:pPr>
      <w:r>
        <w:rPr>
          <w:rFonts w:hint="eastAsia" w:ascii="方正仿宋_GBK" w:hAnsi="宋体" w:eastAsia="方正仿宋_GBK"/>
          <w:sz w:val="24"/>
          <w:szCs w:val="24"/>
        </w:rPr>
        <w:t>采购人：</w:t>
      </w:r>
      <w:r>
        <w:rPr>
          <w:rFonts w:hint="eastAsia" w:ascii="方正仿宋_GBK" w:hAnsi="宋体" w:eastAsia="方正仿宋_GBK"/>
          <w:sz w:val="24"/>
          <w:szCs w:val="24"/>
          <w:lang w:eastAsia="zh-CN"/>
        </w:rPr>
        <w:t>重庆市嘉陵江航道管理处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联系人：</w:t>
      </w:r>
      <w:r>
        <w:rPr>
          <w:rFonts w:hint="eastAsia" w:ascii="方正仿宋_GBK" w:hAnsi="宋体" w:eastAsia="方正仿宋_GBK"/>
          <w:sz w:val="24"/>
          <w:szCs w:val="24"/>
          <w:lang w:val="en-US" w:eastAsia="zh-CN"/>
        </w:rPr>
        <w:t>赖</w:t>
      </w:r>
      <w:r>
        <w:rPr>
          <w:rFonts w:hint="eastAsia" w:ascii="方正仿宋_GBK" w:hAnsi="宋体" w:eastAsia="方正仿宋_GBK"/>
          <w:sz w:val="24"/>
          <w:szCs w:val="24"/>
        </w:rPr>
        <w:t>老师</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电  话：023-</w:t>
      </w:r>
      <w:r>
        <w:rPr>
          <w:rFonts w:ascii="方正仿宋_GBK" w:hAnsi="宋体" w:eastAsia="方正仿宋_GBK"/>
          <w:sz w:val="24"/>
          <w:szCs w:val="24"/>
        </w:rPr>
        <w:t>63532069</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传  真：023-</w:t>
      </w:r>
      <w:r>
        <w:rPr>
          <w:rFonts w:ascii="方正仿宋_GBK" w:hAnsi="宋体" w:eastAsia="方正仿宋_GBK"/>
          <w:sz w:val="24"/>
          <w:szCs w:val="24"/>
        </w:rPr>
        <w:t>63504672</w:t>
      </w:r>
    </w:p>
    <w:p>
      <w:pPr>
        <w:snapToGrid w:val="0"/>
        <w:spacing w:line="40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rPr>
        <w:t>地  址：</w:t>
      </w:r>
      <w:r>
        <w:rPr>
          <w:rFonts w:hint="eastAsia" w:ascii="方正仿宋_GBK" w:hAnsi="宋体" w:eastAsia="方正仿宋_GBK"/>
          <w:sz w:val="24"/>
          <w:szCs w:val="24"/>
          <w:lang w:eastAsia="zh-CN"/>
        </w:rPr>
        <w:t>重庆市渝中区华一路17号</w:t>
      </w:r>
    </w:p>
    <w:p>
      <w:pPr>
        <w:snapToGrid w:val="0"/>
        <w:spacing w:line="380" w:lineRule="exact"/>
        <w:ind w:firstLine="480" w:firstLineChars="200"/>
        <w:rPr>
          <w:rFonts w:ascii="方正仿宋_GBK" w:hAnsi="宋体" w:eastAsia="方正仿宋_GBK"/>
          <w:sz w:val="24"/>
          <w:szCs w:val="24"/>
        </w:rPr>
        <w:sectPr>
          <w:headerReference r:id="rId9" w:type="default"/>
          <w:footerReference r:id="rId10" w:type="default"/>
          <w:pgSz w:w="11907" w:h="16840"/>
          <w:pgMar w:top="1134" w:right="1418" w:bottom="1134" w:left="1418" w:header="964" w:footer="992" w:gutter="0"/>
          <w:pgNumType w:fmt="numberInDash"/>
          <w:cols w:space="720" w:num="1"/>
          <w:docGrid w:linePitch="312" w:charSpace="0"/>
        </w:sectPr>
      </w:pPr>
    </w:p>
    <w:p>
      <w:pPr>
        <w:pStyle w:val="2"/>
        <w:spacing w:before="0" w:after="0" w:line="360" w:lineRule="auto"/>
        <w:jc w:val="center"/>
        <w:rPr>
          <w:rFonts w:ascii="方正小标宋_GBK" w:eastAsia="方正小标宋_GBK"/>
          <w:b w:val="0"/>
          <w:sz w:val="36"/>
          <w:szCs w:val="30"/>
        </w:rPr>
      </w:pPr>
      <w:bookmarkStart w:id="47" w:name="_Toc1292"/>
      <w:bookmarkStart w:id="48" w:name="_Toc14516"/>
      <w:bookmarkStart w:id="49" w:name="_Toc65660338"/>
      <w:bookmarkStart w:id="50" w:name="_Toc11327"/>
      <w:bookmarkStart w:id="51" w:name="_Toc106034778"/>
      <w:bookmarkStart w:id="52" w:name="_Toc102227313"/>
      <w:r>
        <w:rPr>
          <w:rFonts w:hint="eastAsia" w:ascii="方正小标宋_GBK" w:eastAsia="方正小标宋_GBK"/>
          <w:b w:val="0"/>
          <w:sz w:val="36"/>
          <w:szCs w:val="30"/>
        </w:rPr>
        <w:t>第二篇  项目技术（质量）需求</w:t>
      </w:r>
      <w:bookmarkEnd w:id="47"/>
      <w:bookmarkEnd w:id="48"/>
      <w:bookmarkEnd w:id="49"/>
      <w:bookmarkEnd w:id="50"/>
      <w:bookmarkEnd w:id="51"/>
    </w:p>
    <w:p>
      <w:pPr>
        <w:jc w:val="center"/>
        <w:rPr>
          <w:b/>
        </w:rPr>
      </w:pPr>
    </w:p>
    <w:p>
      <w:pPr>
        <w:pStyle w:val="2"/>
        <w:adjustRightInd w:val="0"/>
        <w:snapToGrid w:val="0"/>
        <w:spacing w:before="0" w:after="0" w:line="400" w:lineRule="exact"/>
        <w:ind w:firstLine="480" w:firstLineChars="200"/>
        <w:rPr>
          <w:rFonts w:ascii="方正仿宋_GBK" w:hAnsi="宋体" w:eastAsia="方正仿宋_GBK"/>
          <w:sz w:val="24"/>
        </w:rPr>
      </w:pPr>
      <w:bookmarkStart w:id="53" w:name="_Toc106030879"/>
      <w:r>
        <w:rPr>
          <w:rFonts w:hint="eastAsia" w:ascii="方正仿宋_GBK" w:hAnsi="宋体" w:eastAsia="方正仿宋_GBK"/>
          <w:sz w:val="24"/>
        </w:rPr>
        <w:t>一、项目基本概况介绍</w:t>
      </w:r>
      <w:bookmarkEnd w:id="53"/>
    </w:p>
    <w:tbl>
      <w:tblPr>
        <w:tblStyle w:val="1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2268"/>
        <w:gridCol w:w="4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2802" w:type="dxa"/>
            <w:vAlign w:val="center"/>
          </w:tcPr>
          <w:p>
            <w:pPr>
              <w:spacing w:line="360" w:lineRule="auto"/>
              <w:rPr>
                <w:rFonts w:ascii="方正仿宋_GBK" w:hAnsi="宋体" w:eastAsia="方正仿宋_GBK"/>
                <w:sz w:val="24"/>
                <w:szCs w:val="24"/>
              </w:rPr>
            </w:pPr>
            <w:r>
              <w:rPr>
                <w:rFonts w:hint="eastAsia" w:ascii="方正仿宋_GBK" w:hAnsi="宋体" w:eastAsia="方正仿宋_GBK"/>
                <w:sz w:val="24"/>
                <w:szCs w:val="24"/>
              </w:rPr>
              <w:t>包号及名称</w:t>
            </w:r>
          </w:p>
        </w:tc>
        <w:tc>
          <w:tcPr>
            <w:tcW w:w="2268" w:type="dxa"/>
            <w:vAlign w:val="center"/>
          </w:tcPr>
          <w:p>
            <w:pPr>
              <w:spacing w:line="360" w:lineRule="auto"/>
              <w:rPr>
                <w:rFonts w:ascii="方正仿宋_GBK" w:hAnsi="宋体" w:eastAsia="方正仿宋_GBK"/>
                <w:sz w:val="24"/>
                <w:szCs w:val="24"/>
              </w:rPr>
            </w:pPr>
            <w:r>
              <w:rPr>
                <w:rFonts w:hint="eastAsia" w:ascii="方正仿宋_GBK" w:hAnsi="宋体" w:eastAsia="方正仿宋_GBK"/>
                <w:sz w:val="24"/>
                <w:szCs w:val="24"/>
              </w:rPr>
              <w:t>数量/单位</w:t>
            </w:r>
          </w:p>
        </w:tc>
        <w:tc>
          <w:tcPr>
            <w:tcW w:w="4558" w:type="dxa"/>
            <w:vAlign w:val="center"/>
          </w:tcPr>
          <w:p>
            <w:pPr>
              <w:spacing w:line="360" w:lineRule="auto"/>
              <w:rPr>
                <w:rFonts w:ascii="方正仿宋_GBK" w:hAnsi="宋体" w:eastAsia="方正仿宋_GBK"/>
                <w:sz w:val="24"/>
                <w:szCs w:val="24"/>
              </w:rPr>
            </w:pPr>
            <w:r>
              <w:rPr>
                <w:rFonts w:hint="eastAsia" w:ascii="方正仿宋_GBK" w:hAnsi="宋体" w:eastAsia="方正仿宋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vAlign w:val="center"/>
          </w:tcPr>
          <w:p>
            <w:pPr>
              <w:spacing w:line="360" w:lineRule="auto"/>
              <w:rPr>
                <w:rFonts w:hint="eastAsia" w:ascii="方正仿宋_GBK" w:hAnsi="宋体" w:eastAsia="方正仿宋_GBK"/>
                <w:sz w:val="24"/>
                <w:szCs w:val="24"/>
                <w:lang w:eastAsia="zh-CN"/>
              </w:rPr>
            </w:pPr>
            <w:r>
              <w:rPr>
                <w:rFonts w:hint="eastAsia" w:ascii="方正仿宋_GBK" w:hAnsi="宋体" w:eastAsia="方正仿宋_GBK"/>
                <w:sz w:val="24"/>
                <w:szCs w:val="24"/>
                <w:lang w:eastAsia="zh-CN"/>
              </w:rPr>
              <w:t>嘉陵江黄果碛尾航道专项维护服务</w:t>
            </w:r>
          </w:p>
        </w:tc>
        <w:tc>
          <w:tcPr>
            <w:tcW w:w="2268" w:type="dxa"/>
            <w:vAlign w:val="center"/>
          </w:tcPr>
          <w:p>
            <w:pPr>
              <w:spacing w:line="360" w:lineRule="auto"/>
              <w:rPr>
                <w:rFonts w:ascii="方正仿宋_GBK" w:hAnsi="宋体" w:eastAsia="方正仿宋_GBK"/>
                <w:sz w:val="24"/>
                <w:szCs w:val="24"/>
              </w:rPr>
            </w:pPr>
            <w:r>
              <w:rPr>
                <w:rFonts w:hint="eastAsia" w:ascii="方正仿宋_GBK" w:hAnsi="宋体" w:eastAsia="方正仿宋_GBK"/>
                <w:sz w:val="24"/>
                <w:szCs w:val="24"/>
              </w:rPr>
              <w:t>1项</w:t>
            </w:r>
          </w:p>
        </w:tc>
        <w:tc>
          <w:tcPr>
            <w:tcW w:w="4558" w:type="dxa"/>
            <w:vAlign w:val="center"/>
          </w:tcPr>
          <w:p>
            <w:pPr>
              <w:spacing w:line="400" w:lineRule="exact"/>
              <w:rPr>
                <w:rFonts w:ascii="方正仿宋_GBK" w:hAnsi="宋体" w:eastAsia="方正仿宋_GBK"/>
                <w:sz w:val="24"/>
                <w:szCs w:val="24"/>
              </w:rPr>
            </w:pPr>
          </w:p>
        </w:tc>
      </w:tr>
    </w:tbl>
    <w:p>
      <w:pPr>
        <w:pStyle w:val="2"/>
        <w:adjustRightInd w:val="0"/>
        <w:snapToGrid w:val="0"/>
        <w:spacing w:before="0" w:after="0" w:line="400" w:lineRule="exact"/>
        <w:ind w:firstLine="480" w:firstLineChars="200"/>
        <w:rPr>
          <w:rFonts w:ascii="方正仿宋_GBK" w:hAnsi="宋体" w:eastAsia="方正仿宋_GBK"/>
          <w:sz w:val="24"/>
        </w:rPr>
      </w:pPr>
      <w:bookmarkStart w:id="54" w:name="_Toc106030880"/>
      <w:r>
        <w:rPr>
          <w:rFonts w:hint="eastAsia" w:ascii="方正仿宋_GBK" w:hAnsi="宋体" w:eastAsia="方正仿宋_GBK"/>
          <w:sz w:val="24"/>
        </w:rPr>
        <w:t>二、服务范围、要求及标准</w:t>
      </w:r>
      <w:bookmarkEnd w:id="54"/>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（一）服务范围、要求及标准</w:t>
      </w:r>
    </w:p>
    <w:p>
      <w:pPr>
        <w:adjustRightInd w:val="0"/>
        <w:snapToGrid w:val="0"/>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1.服务范围：本项目为</w:t>
      </w:r>
      <w:r>
        <w:rPr>
          <w:rFonts w:hint="eastAsia" w:ascii="方正仿宋_GBK" w:hAnsi="宋体" w:eastAsia="方正仿宋_GBK"/>
          <w:sz w:val="24"/>
          <w:szCs w:val="24"/>
          <w:lang w:eastAsia="zh-CN"/>
        </w:rPr>
        <w:t>嘉陵江黄果碛尾航道专项维护服务</w:t>
      </w:r>
      <w:r>
        <w:rPr>
          <w:rFonts w:hint="eastAsia" w:ascii="方正仿宋_GBK" w:hAnsi="宋体" w:eastAsia="方正仿宋_GBK"/>
          <w:sz w:val="24"/>
          <w:szCs w:val="24"/>
        </w:rPr>
        <w:t>，对淤积的</w:t>
      </w:r>
      <w:r>
        <w:rPr>
          <w:rFonts w:hint="eastAsia" w:ascii="方正仿宋_GBK" w:hAnsi="宋体" w:eastAsia="方正仿宋_GBK"/>
          <w:sz w:val="24"/>
          <w:szCs w:val="24"/>
          <w:lang w:val="en-US" w:eastAsia="zh-CN"/>
        </w:rPr>
        <w:t>黄果碛尾</w:t>
      </w:r>
      <w:r>
        <w:rPr>
          <w:rFonts w:hint="eastAsia" w:ascii="方正仿宋_GBK" w:hAnsi="宋体" w:eastAsia="方正仿宋_GBK"/>
          <w:sz w:val="24"/>
          <w:szCs w:val="24"/>
        </w:rPr>
        <w:t>开展</w:t>
      </w:r>
      <w:r>
        <w:rPr>
          <w:rFonts w:hint="eastAsia" w:ascii="方正仿宋_GBK" w:hAnsi="宋体" w:eastAsia="方正仿宋_GBK"/>
          <w:sz w:val="24"/>
          <w:szCs w:val="24"/>
          <w:lang w:eastAsia="zh-CN"/>
        </w:rPr>
        <w:t>航道专项维护</w:t>
      </w:r>
      <w:r>
        <w:rPr>
          <w:rFonts w:hint="eastAsia" w:ascii="方正仿宋_GBK" w:hAnsi="宋体" w:eastAsia="方正仿宋_GBK"/>
          <w:sz w:val="24"/>
          <w:szCs w:val="24"/>
        </w:rPr>
        <w:t>。本项目</w:t>
      </w:r>
      <w:r>
        <w:rPr>
          <w:rFonts w:hint="eastAsia" w:ascii="方正仿宋_GBK" w:hAnsi="宋体" w:eastAsia="方正仿宋_GBK"/>
          <w:sz w:val="24"/>
          <w:szCs w:val="24"/>
          <w:lang w:val="en-US" w:eastAsia="zh-CN"/>
        </w:rPr>
        <w:t>挖机船、泥驳由采购人提供，含上述船舶油料及必要保养维修等</w:t>
      </w:r>
      <w:r>
        <w:rPr>
          <w:rFonts w:hint="eastAsia" w:ascii="方正仿宋_GBK" w:hAnsi="宋体" w:eastAsia="方正仿宋_GBK"/>
          <w:sz w:val="24"/>
          <w:szCs w:val="24"/>
        </w:rPr>
        <w:t>，服务内容包含：</w:t>
      </w:r>
      <w:r>
        <w:rPr>
          <w:rFonts w:hint="eastAsia" w:ascii="方正仿宋_GBK" w:hAnsi="宋体" w:eastAsia="方正仿宋_GBK"/>
          <w:sz w:val="24"/>
          <w:szCs w:val="24"/>
          <w:lang w:val="en-US" w:eastAsia="zh-CN"/>
        </w:rPr>
        <w:t>现场安全管理、驳船拖带船一艘（油料乙供）、施工船舶抛锚定位</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如</w:t>
      </w:r>
      <w:r>
        <w:rPr>
          <w:rFonts w:hint="eastAsia" w:ascii="方正仿宋_GBK" w:hAnsi="宋体" w:eastAsia="方正仿宋_GBK"/>
          <w:sz w:val="24"/>
          <w:szCs w:val="24"/>
        </w:rPr>
        <w:t>需岸边埋设临时地牛，材料由供应商提供）</w:t>
      </w:r>
      <w:r>
        <w:rPr>
          <w:rFonts w:hint="eastAsia" w:ascii="方正仿宋_GBK" w:hAnsi="宋体" w:eastAsia="方正仿宋_GBK"/>
          <w:sz w:val="24"/>
          <w:szCs w:val="24"/>
          <w:lang w:val="en-US" w:eastAsia="zh-CN"/>
        </w:rPr>
        <w:t>、施工过程中绞锚移船、挖掘机操作、</w:t>
      </w:r>
      <w:r>
        <w:rPr>
          <w:rFonts w:hint="eastAsia" w:ascii="方正仿宋_GBK" w:hAnsi="宋体" w:eastAsia="方正仿宋_GBK"/>
          <w:sz w:val="24"/>
          <w:szCs w:val="24"/>
        </w:rPr>
        <w:t>弃渣运输抛填</w:t>
      </w:r>
      <w:r>
        <w:rPr>
          <w:rFonts w:hint="eastAsia" w:ascii="方正仿宋_GBK" w:hAnsi="宋体" w:eastAsia="方正仿宋_GBK"/>
          <w:sz w:val="24"/>
          <w:szCs w:val="24"/>
          <w:lang w:val="en-US" w:eastAsia="zh-CN"/>
        </w:rPr>
        <w:t>、完工撤场等工作</w:t>
      </w:r>
      <w:r>
        <w:rPr>
          <w:rFonts w:hint="eastAsia" w:ascii="方正仿宋_GBK" w:hAnsi="宋体" w:eastAsia="方正仿宋_GBK"/>
          <w:sz w:val="24"/>
          <w:szCs w:val="24"/>
        </w:rPr>
        <w:t>。</w:t>
      </w:r>
    </w:p>
    <w:p>
      <w:pPr>
        <w:adjustRightInd w:val="0"/>
        <w:snapToGrid w:val="0"/>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2.服务要求：供应商完成</w:t>
      </w:r>
      <w:r>
        <w:rPr>
          <w:rFonts w:hint="eastAsia" w:ascii="方正仿宋_GBK" w:hAnsi="宋体" w:eastAsia="方正仿宋_GBK"/>
          <w:sz w:val="24"/>
          <w:szCs w:val="24"/>
          <w:lang w:eastAsia="zh-CN"/>
        </w:rPr>
        <w:t>航道专项维护</w:t>
      </w:r>
      <w:r>
        <w:rPr>
          <w:rFonts w:hint="eastAsia" w:ascii="方正仿宋_GBK" w:hAnsi="宋体" w:eastAsia="方正仿宋_GBK"/>
          <w:sz w:val="24"/>
          <w:szCs w:val="24"/>
        </w:rPr>
        <w:t>服务内容须至少投入</w:t>
      </w:r>
      <w:r>
        <w:rPr>
          <w:rFonts w:hint="eastAsia" w:ascii="方正仿宋_GBK" w:hAnsi="宋体" w:eastAsia="方正仿宋_GBK"/>
          <w:sz w:val="24"/>
          <w:szCs w:val="24"/>
          <w:lang w:val="en-US" w:eastAsia="zh-CN"/>
        </w:rPr>
        <w:t>拖船一艘（C级航区、J2航段，主机功率大于等于176KW）、</w:t>
      </w:r>
      <w:r>
        <w:rPr>
          <w:rFonts w:hint="eastAsia" w:ascii="方正仿宋_GBK" w:hAnsi="宋体" w:eastAsia="方正仿宋_GBK"/>
          <w:sz w:val="24"/>
          <w:szCs w:val="24"/>
        </w:rPr>
        <w:t>船员</w:t>
      </w:r>
      <w:r>
        <w:rPr>
          <w:rFonts w:hint="eastAsia" w:ascii="方正仿宋_GBK" w:hAnsi="宋体" w:eastAsia="方正仿宋_GBK"/>
          <w:sz w:val="24"/>
          <w:szCs w:val="24"/>
          <w:lang w:val="en-US" w:eastAsia="zh-CN"/>
        </w:rPr>
        <w:t>10</w:t>
      </w:r>
      <w:r>
        <w:rPr>
          <w:rFonts w:hint="eastAsia" w:ascii="方正仿宋_GBK" w:hAnsi="宋体" w:eastAsia="方正仿宋_GBK"/>
          <w:sz w:val="24"/>
          <w:szCs w:val="24"/>
        </w:rPr>
        <w:t>名（其中驾驶人员不得少于2名、轮机人员不得少于2名）、挖机操作员1名</w:t>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安全员（兼项目资料员）1名</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供应商应在投标文件中提供拟投入设备、人员佐证材料或投入满足采购文件要求设备、人员的承诺书（格式自拟）。</w:t>
      </w:r>
      <w:r>
        <w:rPr>
          <w:rFonts w:hint="eastAsia" w:ascii="方正仿宋_GBK" w:hAnsi="宋体" w:eastAsia="方正仿宋_GBK"/>
          <w:sz w:val="24"/>
          <w:szCs w:val="24"/>
        </w:rPr>
        <w:t>签订合同时须提供以上人员</w:t>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设备</w:t>
      </w:r>
      <w:r>
        <w:rPr>
          <w:rFonts w:hint="eastAsia" w:ascii="方正仿宋_GBK" w:hAnsi="宋体" w:eastAsia="方正仿宋_GBK"/>
          <w:sz w:val="24"/>
          <w:szCs w:val="24"/>
        </w:rPr>
        <w:t>相关证书复印件。供应商应结合</w:t>
      </w:r>
      <w:r>
        <w:rPr>
          <w:rFonts w:hint="eastAsia" w:ascii="方正仿宋_GBK" w:hAnsi="宋体" w:eastAsia="方正仿宋_GBK"/>
          <w:sz w:val="24"/>
          <w:szCs w:val="24"/>
          <w:lang w:eastAsia="zh-CN"/>
        </w:rPr>
        <w:t>航道专项维护</w:t>
      </w:r>
      <w:r>
        <w:rPr>
          <w:rFonts w:hint="eastAsia" w:ascii="方正仿宋_GBK" w:hAnsi="宋体" w:eastAsia="方正仿宋_GBK"/>
          <w:sz w:val="24"/>
          <w:szCs w:val="24"/>
        </w:rPr>
        <w:t>服务情况合理配备所投入人员</w:t>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设备</w:t>
      </w:r>
      <w:r>
        <w:rPr>
          <w:rFonts w:hint="eastAsia" w:ascii="方正仿宋_GBK" w:hAnsi="宋体" w:eastAsia="方正仿宋_GBK"/>
          <w:sz w:val="24"/>
          <w:szCs w:val="24"/>
        </w:rPr>
        <w:t>，</w:t>
      </w:r>
      <w:r>
        <w:rPr>
          <w:rFonts w:hint="eastAsia" w:ascii="方正仿宋_GBK" w:hAnsi="宋体" w:eastAsia="方正仿宋_GBK"/>
          <w:sz w:val="24"/>
          <w:szCs w:val="24"/>
          <w:lang w:eastAsia="zh-CN"/>
        </w:rPr>
        <w:t>航道专项维护</w:t>
      </w:r>
      <w:r>
        <w:rPr>
          <w:rFonts w:hint="eastAsia" w:ascii="方正仿宋_GBK" w:hAnsi="宋体" w:eastAsia="方正仿宋_GBK"/>
          <w:sz w:val="24"/>
          <w:szCs w:val="24"/>
        </w:rPr>
        <w:t>期间供应商人员须服从采购人现场人员</w:t>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监理的</w:t>
      </w:r>
      <w:r>
        <w:rPr>
          <w:rFonts w:hint="eastAsia" w:ascii="方正仿宋_GBK" w:hAnsi="宋体" w:eastAsia="方正仿宋_GBK"/>
          <w:sz w:val="24"/>
          <w:szCs w:val="24"/>
        </w:rPr>
        <w:t>指挥。供应商应加强参与服务人员安全教育，并做好各项安全措施，服务过程中发生的一切安全</w:t>
      </w:r>
      <w:r>
        <w:rPr>
          <w:rFonts w:hint="eastAsia" w:ascii="方正仿宋_GBK" w:hAnsi="宋体" w:eastAsia="方正仿宋_GBK"/>
          <w:sz w:val="24"/>
          <w:szCs w:val="24"/>
          <w:lang w:val="en-US" w:eastAsia="zh-CN"/>
        </w:rPr>
        <w:t>事故</w:t>
      </w:r>
      <w:r>
        <w:rPr>
          <w:rFonts w:hint="eastAsia" w:ascii="方正仿宋_GBK" w:hAnsi="宋体" w:eastAsia="方正仿宋_GBK"/>
          <w:sz w:val="24"/>
          <w:szCs w:val="24"/>
        </w:rPr>
        <w:t>全部由供应商负责，参与</w:t>
      </w:r>
      <w:r>
        <w:rPr>
          <w:rFonts w:hint="eastAsia" w:ascii="方正仿宋_GBK" w:hAnsi="宋体" w:eastAsia="方正仿宋_GBK"/>
          <w:sz w:val="24"/>
          <w:szCs w:val="24"/>
          <w:lang w:eastAsia="zh-CN"/>
        </w:rPr>
        <w:t>航道专项维护</w:t>
      </w:r>
      <w:r>
        <w:rPr>
          <w:rFonts w:hint="eastAsia" w:ascii="方正仿宋_GBK" w:hAnsi="宋体" w:eastAsia="方正仿宋_GBK"/>
          <w:sz w:val="24"/>
          <w:szCs w:val="24"/>
        </w:rPr>
        <w:t>人员须购买有工伤保险或意外伤害保险，签订合同时提供保险证明文件复印件。</w:t>
      </w:r>
    </w:p>
    <w:p>
      <w:pPr>
        <w:adjustRightInd w:val="0"/>
        <w:snapToGrid w:val="0"/>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3.供应商应负责项目实施期间采购人所属挖机船、泥驳等设备的安全和</w:t>
      </w:r>
      <w:r>
        <w:rPr>
          <w:rFonts w:hint="default" w:ascii="方正仿宋_GBK" w:hAnsi="宋体" w:eastAsia="方正仿宋_GBK"/>
          <w:sz w:val="24"/>
          <w:szCs w:val="24"/>
          <w:lang w:eastAsia="zh-CN"/>
          <w:woUserID w:val="1"/>
        </w:rPr>
        <w:t>妥善保管</w:t>
      </w:r>
      <w:r>
        <w:rPr>
          <w:rFonts w:hint="eastAsia" w:ascii="方正仿宋_GBK" w:hAnsi="宋体" w:eastAsia="方正仿宋_GBK"/>
          <w:sz w:val="24"/>
          <w:szCs w:val="24"/>
          <w:lang w:val="en-US" w:eastAsia="zh-CN"/>
        </w:rPr>
        <w:t>，因供应商不当使用造成的船舶损坏、第三方事故的，由供应商负责赔偿。</w:t>
      </w:r>
    </w:p>
    <w:p>
      <w:pPr>
        <w:adjustRightInd w:val="0"/>
        <w:snapToGrid w:val="0"/>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4.供应商应严格管理挖机船油料使用，建立完善的油料台账，严禁将挖机船油料抽作他用，如有违反，供应商承担相应法律责任。</w:t>
      </w:r>
    </w:p>
    <w:p>
      <w:pPr>
        <w:adjustRightInd w:val="0"/>
        <w:snapToGrid w:val="0"/>
        <w:spacing w:line="400" w:lineRule="exact"/>
        <w:ind w:firstLine="480" w:firstLineChars="200"/>
        <w:jc w:val="left"/>
        <w:rPr>
          <w:rFonts w:hint="default" w:ascii="方正仿宋_GBK" w:hAnsi="宋体" w:eastAsia="方正仿宋_GBK"/>
          <w:sz w:val="24"/>
          <w:szCs w:val="24"/>
          <w:lang w:val="en-US" w:eastAsia="zh-CN"/>
        </w:rPr>
      </w:pPr>
      <w:bookmarkStart w:id="241" w:name="_GoBack"/>
      <w:r>
        <w:rPr>
          <w:rFonts w:hint="default" w:ascii="方正仿宋_GBK" w:hAnsi="宋体" w:eastAsia="方正仿宋_GBK"/>
          <w:sz w:val="24"/>
          <w:szCs w:val="24"/>
          <w:lang w:val="en-US" w:eastAsia="zh-CN"/>
        </w:rPr>
        <w:t>5.供应商</w:t>
      </w:r>
      <w:r>
        <w:rPr>
          <w:rFonts w:hint="eastAsia" w:ascii="方正仿宋_GBK" w:hAnsi="宋体" w:eastAsia="方正仿宋_GBK"/>
          <w:sz w:val="24"/>
          <w:szCs w:val="24"/>
          <w:lang w:val="en-US" w:eastAsia="zh-CN"/>
        </w:rPr>
        <w:t>每日作业时间最低</w:t>
      </w:r>
      <w:r>
        <w:rPr>
          <w:rFonts w:hint="default" w:ascii="方正仿宋_GBK" w:hAnsi="宋体" w:eastAsia="方正仿宋_GBK"/>
          <w:sz w:val="24"/>
          <w:szCs w:val="24"/>
          <w:lang w:val="en-US" w:eastAsia="zh-CN"/>
        </w:rPr>
        <w:t>8</w:t>
      </w:r>
      <w:r>
        <w:rPr>
          <w:rFonts w:hint="eastAsia" w:ascii="方正仿宋_GBK" w:hAnsi="宋体" w:eastAsia="方正仿宋_GBK"/>
          <w:sz w:val="24"/>
          <w:szCs w:val="24"/>
          <w:lang w:val="en-US" w:eastAsia="zh-CN"/>
        </w:rPr>
        <w:t>小时，如遇水位等外界因素影响，经双方协商一致可以延长或者缩短，但是日平均时长不</w:t>
      </w:r>
      <w:r>
        <w:rPr>
          <w:rFonts w:hint="default" w:ascii="方正仿宋_GBK" w:hAnsi="宋体" w:eastAsia="方正仿宋_GBK"/>
          <w:sz w:val="24"/>
          <w:szCs w:val="24"/>
          <w:lang w:val="en-US" w:eastAsia="zh-CN"/>
        </w:rPr>
        <w:t>应</w:t>
      </w:r>
      <w:r>
        <w:rPr>
          <w:rFonts w:hint="eastAsia" w:ascii="方正仿宋_GBK" w:hAnsi="宋体" w:eastAsia="方正仿宋_GBK"/>
          <w:sz w:val="24"/>
          <w:szCs w:val="24"/>
          <w:lang w:val="en-US" w:eastAsia="zh-CN"/>
        </w:rPr>
        <w:t>低于</w:t>
      </w:r>
      <w:r>
        <w:rPr>
          <w:rFonts w:hint="default" w:ascii="方正仿宋_GBK" w:hAnsi="宋体" w:eastAsia="方正仿宋_GBK"/>
          <w:sz w:val="24"/>
          <w:szCs w:val="24"/>
          <w:lang w:val="en-US" w:eastAsia="zh-CN"/>
        </w:rPr>
        <w:t>8</w:t>
      </w:r>
      <w:r>
        <w:rPr>
          <w:rFonts w:hint="eastAsia" w:ascii="方正仿宋_GBK" w:hAnsi="宋体" w:eastAsia="方正仿宋_GBK"/>
          <w:sz w:val="24"/>
          <w:szCs w:val="24"/>
          <w:lang w:val="en-US" w:eastAsia="zh-CN"/>
        </w:rPr>
        <w:t>小时</w:t>
      </w:r>
      <w:r>
        <w:rPr>
          <w:rFonts w:hint="default" w:ascii="方正仿宋_GBK" w:hAnsi="宋体" w:eastAsia="方正仿宋_GBK"/>
          <w:sz w:val="24"/>
          <w:szCs w:val="24"/>
          <w:lang w:val="en-US" w:eastAsia="zh-CN"/>
        </w:rPr>
        <w:t>。</w:t>
      </w:r>
    </w:p>
    <w:bookmarkEnd w:id="241"/>
    <w:p>
      <w:pPr>
        <w:adjustRightInd w:val="0"/>
        <w:snapToGrid w:val="0"/>
        <w:spacing w:line="400" w:lineRule="exact"/>
        <w:ind w:firstLine="480" w:firstLineChars="200"/>
        <w:jc w:val="left"/>
        <w:rPr>
          <w:rFonts w:hint="eastAsia" w:ascii="方正仿宋_GBK" w:hAnsi="宋体" w:eastAsia="方正仿宋_GBK"/>
          <w:sz w:val="24"/>
          <w:szCs w:val="24"/>
          <w:lang w:val="en-US" w:eastAsia="zh-CN"/>
        </w:rPr>
      </w:pPr>
      <w:r>
        <w:rPr>
          <w:rFonts w:hint="default" w:ascii="方正仿宋_GBK" w:hAnsi="宋体" w:eastAsia="方正仿宋_GBK"/>
          <w:sz w:val="24"/>
          <w:szCs w:val="24"/>
          <w:lang w:val="en-US" w:eastAsia="zh-CN"/>
        </w:rPr>
        <w:t>6</w:t>
      </w:r>
      <w:r>
        <w:rPr>
          <w:rFonts w:hint="eastAsia" w:ascii="方正仿宋_GBK" w:hAnsi="宋体" w:eastAsia="方正仿宋_GBK"/>
          <w:sz w:val="24"/>
          <w:szCs w:val="24"/>
          <w:lang w:val="en-US" w:eastAsia="zh-CN"/>
        </w:rPr>
        <w:t>.服务标准：供应商按照采购人要求开展航道专项维护服务。</w:t>
      </w:r>
    </w:p>
    <w:p>
      <w:pPr>
        <w:adjustRightInd w:val="0"/>
        <w:snapToGrid w:val="0"/>
        <w:spacing w:line="400" w:lineRule="exact"/>
        <w:ind w:firstLine="480" w:firstLineChars="200"/>
        <w:jc w:val="left"/>
        <w:rPr>
          <w:rFonts w:hint="eastAsia" w:ascii="方正仿宋_GBK" w:hAnsi="宋体" w:eastAsia="方正仿宋_GBK"/>
          <w:sz w:val="24"/>
          <w:szCs w:val="24"/>
          <w:lang w:val="en-US" w:eastAsia="zh-CN"/>
        </w:rPr>
      </w:pPr>
      <w:r>
        <w:rPr>
          <w:rFonts w:hint="default" w:ascii="方正仿宋_GBK" w:hAnsi="宋体" w:eastAsia="方正仿宋_GBK"/>
          <w:sz w:val="24"/>
          <w:szCs w:val="24"/>
          <w:lang w:val="en-US" w:eastAsia="zh-CN"/>
        </w:rPr>
        <w:t>7</w:t>
      </w:r>
      <w:r>
        <w:rPr>
          <w:rFonts w:hint="eastAsia" w:ascii="方正仿宋_GBK" w:hAnsi="宋体" w:eastAsia="方正仿宋_GBK"/>
          <w:sz w:val="24"/>
          <w:szCs w:val="24"/>
          <w:lang w:val="en-US" w:eastAsia="zh-CN"/>
        </w:rPr>
        <w:t>.其他：由于本项目时间紧急，在中标结果公示期结束后，供应商应立即与采购人签订合同，并立即按要求组织人员实施航道专项维护。本服务项目无最低服务天数，航道专项维护服务实施完成后按实际服务天数结算费用。</w:t>
      </w:r>
    </w:p>
    <w:p>
      <w:pPr>
        <w:pStyle w:val="2"/>
        <w:adjustRightInd w:val="0"/>
        <w:snapToGrid w:val="0"/>
        <w:spacing w:before="0" w:after="0" w:line="400" w:lineRule="exact"/>
        <w:ind w:firstLine="480" w:firstLineChars="200"/>
        <w:rPr>
          <w:rFonts w:ascii="方正仿宋_GBK" w:hAnsi="宋体" w:eastAsia="方正仿宋_GBK"/>
          <w:sz w:val="24"/>
        </w:rPr>
      </w:pPr>
      <w:bookmarkStart w:id="55" w:name="_Toc313536013"/>
      <w:bookmarkStart w:id="56" w:name="_Toc344475116"/>
      <w:bookmarkStart w:id="57" w:name="_Toc76462326"/>
      <w:bookmarkStart w:id="58" w:name="_Toc106030881"/>
      <w:r>
        <w:rPr>
          <w:rFonts w:hint="eastAsia" w:ascii="方正仿宋_GBK" w:hAnsi="宋体" w:eastAsia="方正仿宋_GBK"/>
          <w:sz w:val="24"/>
        </w:rPr>
        <w:t>三、服务及质量</w:t>
      </w:r>
      <w:bookmarkEnd w:id="55"/>
      <w:bookmarkEnd w:id="56"/>
      <w:r>
        <w:rPr>
          <w:rFonts w:hint="eastAsia" w:ascii="方正仿宋_GBK" w:hAnsi="宋体" w:eastAsia="方正仿宋_GBK"/>
          <w:sz w:val="24"/>
        </w:rPr>
        <w:t>需求</w:t>
      </w:r>
      <w:bookmarkEnd w:id="57"/>
      <w:bookmarkEnd w:id="58"/>
    </w:p>
    <w:p>
      <w:pPr>
        <w:adjustRightInd w:val="0"/>
        <w:snapToGrid w:val="0"/>
        <w:spacing w:line="400" w:lineRule="exact"/>
        <w:ind w:firstLine="480" w:firstLineChars="200"/>
        <w:jc w:val="left"/>
        <w:rPr>
          <w:rFonts w:ascii="方正仿宋_GBK" w:hAnsi="宋体" w:eastAsia="方正仿宋_GBK"/>
          <w:sz w:val="24"/>
          <w:szCs w:val="24"/>
        </w:rPr>
      </w:pPr>
      <w:bookmarkStart w:id="59" w:name="_Toc480558624"/>
      <w:r>
        <w:rPr>
          <w:rFonts w:hint="eastAsia" w:ascii="方正仿宋_GBK" w:hAnsi="宋体" w:eastAsia="方正仿宋_GBK"/>
          <w:sz w:val="24"/>
          <w:szCs w:val="24"/>
        </w:rPr>
        <w:t>1.质量要求：达到采购人要求。</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2.质量保修期：无</w:t>
      </w:r>
    </w:p>
    <w:bookmarkEnd w:id="59"/>
    <w:p>
      <w:pPr>
        <w:spacing w:line="400" w:lineRule="exact"/>
        <w:ind w:firstLine="480" w:firstLineChars="200"/>
        <w:rPr>
          <w:rFonts w:ascii="方正仿宋_GBK" w:hAnsi="宋体" w:eastAsia="方正仿宋_GBK"/>
          <w:sz w:val="24"/>
          <w:szCs w:val="24"/>
        </w:rPr>
      </w:pPr>
    </w:p>
    <w:p>
      <w:pPr>
        <w:spacing w:line="400" w:lineRule="exact"/>
        <w:ind w:firstLine="480" w:firstLineChars="200"/>
        <w:rPr>
          <w:rFonts w:ascii="方正仿宋_GBK" w:hAnsi="宋体" w:eastAsia="方正仿宋_GBK"/>
          <w:sz w:val="24"/>
          <w:szCs w:val="24"/>
        </w:rPr>
      </w:pPr>
    </w:p>
    <w:p>
      <w:pPr>
        <w:pStyle w:val="2"/>
        <w:spacing w:before="0" w:after="0" w:line="360" w:lineRule="auto"/>
        <w:jc w:val="center"/>
        <w:rPr>
          <w:rFonts w:ascii="方正小标宋_GBK" w:eastAsia="方正小标宋_GBK"/>
          <w:b w:val="0"/>
          <w:sz w:val="36"/>
          <w:szCs w:val="30"/>
        </w:rPr>
      </w:pPr>
      <w:r>
        <w:rPr>
          <w:rFonts w:ascii="方正小标宋_GBK" w:hAnsi="宋体" w:eastAsia="方正小标宋_GBK"/>
          <w:b w:val="0"/>
          <w:sz w:val="36"/>
          <w:szCs w:val="30"/>
        </w:rPr>
        <w:br w:type="page"/>
      </w:r>
      <w:bookmarkStart w:id="60" w:name="_Toc523"/>
      <w:bookmarkStart w:id="61" w:name="_Toc13356"/>
      <w:bookmarkStart w:id="62" w:name="_Toc65660341"/>
      <w:bookmarkStart w:id="63" w:name="_Toc15492"/>
      <w:bookmarkStart w:id="64" w:name="_Toc106034781"/>
      <w:r>
        <w:rPr>
          <w:rFonts w:hint="eastAsia" w:ascii="方正小标宋_GBK" w:eastAsia="方正小标宋_GBK"/>
          <w:b w:val="0"/>
          <w:sz w:val="36"/>
          <w:szCs w:val="30"/>
        </w:rPr>
        <w:t xml:space="preserve">第三篇  </w:t>
      </w:r>
      <w:bookmarkEnd w:id="52"/>
      <w:r>
        <w:rPr>
          <w:rFonts w:hint="eastAsia" w:ascii="方正小标宋_GBK" w:eastAsia="方正小标宋_GBK"/>
          <w:b w:val="0"/>
          <w:sz w:val="36"/>
          <w:szCs w:val="30"/>
        </w:rPr>
        <w:t>项目</w:t>
      </w:r>
      <w:bookmarkEnd w:id="60"/>
      <w:bookmarkEnd w:id="61"/>
      <w:bookmarkEnd w:id="62"/>
      <w:bookmarkEnd w:id="63"/>
      <w:r>
        <w:rPr>
          <w:rFonts w:hint="eastAsia" w:ascii="方正小标宋_GBK" w:eastAsia="方正小标宋_GBK"/>
          <w:b w:val="0"/>
          <w:sz w:val="36"/>
          <w:szCs w:val="30"/>
        </w:rPr>
        <w:t>商务需求</w:t>
      </w:r>
      <w:bookmarkEnd w:id="64"/>
    </w:p>
    <w:p>
      <w:pPr>
        <w:pStyle w:val="2"/>
        <w:adjustRightInd w:val="0"/>
        <w:snapToGrid w:val="0"/>
        <w:spacing w:before="0" w:after="0" w:line="400" w:lineRule="exact"/>
        <w:ind w:firstLine="480" w:firstLineChars="200"/>
        <w:rPr>
          <w:rFonts w:ascii="方正仿宋_GBK" w:hAnsi="宋体" w:eastAsia="方正仿宋_GBK"/>
          <w:sz w:val="24"/>
        </w:rPr>
      </w:pPr>
      <w:bookmarkStart w:id="65" w:name="_Toc12935"/>
      <w:bookmarkStart w:id="66" w:name="_Toc13555"/>
      <w:bookmarkStart w:id="67" w:name="_Toc106034782"/>
      <w:bookmarkStart w:id="68" w:name="_Toc65660342"/>
      <w:bookmarkStart w:id="69" w:name="_Toc17750"/>
      <w:bookmarkStart w:id="70" w:name="_Toc342913389"/>
      <w:r>
        <w:rPr>
          <w:rFonts w:hint="eastAsia" w:ascii="方正仿宋_GBK" w:hAnsi="宋体" w:eastAsia="方正仿宋_GBK"/>
          <w:sz w:val="24"/>
        </w:rPr>
        <w:t>一、交货时间/服务期、地点及验收方式</w:t>
      </w:r>
      <w:bookmarkEnd w:id="65"/>
      <w:bookmarkEnd w:id="66"/>
      <w:bookmarkEnd w:id="67"/>
      <w:bookmarkEnd w:id="68"/>
      <w:bookmarkEnd w:id="69"/>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（一）服务期：本</w:t>
      </w:r>
      <w:r>
        <w:rPr>
          <w:rFonts w:hint="eastAsia" w:ascii="方正仿宋_GBK" w:hAnsi="宋体" w:eastAsia="方正仿宋_GBK"/>
          <w:sz w:val="24"/>
          <w:szCs w:val="24"/>
          <w:lang w:eastAsia="zh-CN"/>
        </w:rPr>
        <w:t>航道专项维护</w:t>
      </w:r>
      <w:r>
        <w:rPr>
          <w:rFonts w:hint="eastAsia" w:ascii="方正仿宋_GBK" w:hAnsi="宋体" w:eastAsia="方正仿宋_GBK"/>
          <w:sz w:val="24"/>
          <w:szCs w:val="24"/>
        </w:rPr>
        <w:t>服务期自</w:t>
      </w:r>
      <w:r>
        <w:rPr>
          <w:rFonts w:hint="eastAsia" w:ascii="方正仿宋_GBK" w:hAnsi="宋体" w:eastAsia="方正仿宋_GBK"/>
          <w:sz w:val="24"/>
          <w:szCs w:val="24"/>
          <w:lang w:eastAsia="zh-CN"/>
        </w:rPr>
        <w:t>航道专项维护</w:t>
      </w:r>
      <w:r>
        <w:rPr>
          <w:rFonts w:hint="eastAsia" w:ascii="方正仿宋_GBK" w:hAnsi="宋体" w:eastAsia="方正仿宋_GBK"/>
          <w:sz w:val="24"/>
          <w:szCs w:val="24"/>
        </w:rPr>
        <w:t>服务开始至</w:t>
      </w:r>
      <w:r>
        <w:rPr>
          <w:rFonts w:hint="eastAsia" w:ascii="方正仿宋_GBK" w:hAnsi="宋体" w:eastAsia="方正仿宋_GBK"/>
          <w:sz w:val="24"/>
          <w:szCs w:val="24"/>
          <w:lang w:eastAsia="zh-CN"/>
        </w:rPr>
        <w:t>航道专项维护</w:t>
      </w:r>
      <w:r>
        <w:rPr>
          <w:rFonts w:hint="eastAsia" w:ascii="方正仿宋_GBK" w:hAnsi="宋体" w:eastAsia="方正仿宋_GBK"/>
          <w:sz w:val="24"/>
          <w:szCs w:val="24"/>
        </w:rPr>
        <w:t>服务结束。</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（二）服务地点：</w:t>
      </w:r>
      <w:r>
        <w:rPr>
          <w:rFonts w:hint="eastAsia" w:ascii="方正仿宋_GBK" w:hAnsi="宋体" w:eastAsia="方正仿宋_GBK"/>
          <w:sz w:val="24"/>
          <w:szCs w:val="24"/>
          <w:lang w:val="en-US" w:eastAsia="zh-CN"/>
        </w:rPr>
        <w:t>嘉陵江黄果碛尾</w:t>
      </w:r>
      <w:r>
        <w:rPr>
          <w:rFonts w:hint="eastAsia" w:ascii="方正仿宋_GBK" w:hAnsi="宋体" w:eastAsia="方正仿宋_GBK"/>
          <w:sz w:val="24"/>
          <w:szCs w:val="24"/>
        </w:rPr>
        <w:t>。</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（三）验收方式：</w:t>
      </w:r>
      <w:r>
        <w:rPr>
          <w:rFonts w:hint="eastAsia" w:ascii="方正仿宋_GBK" w:hAnsi="宋体" w:eastAsia="方正仿宋_GBK"/>
          <w:sz w:val="24"/>
          <w:szCs w:val="24"/>
          <w:lang w:eastAsia="zh-CN"/>
        </w:rPr>
        <w:t>航道专项维护</w:t>
      </w:r>
      <w:r>
        <w:rPr>
          <w:rFonts w:hint="eastAsia" w:ascii="方正仿宋_GBK" w:hAnsi="宋体" w:eastAsia="方正仿宋_GBK"/>
          <w:sz w:val="24"/>
          <w:szCs w:val="24"/>
        </w:rPr>
        <w:t>服务完成后</w:t>
      </w:r>
      <w:r>
        <w:rPr>
          <w:rFonts w:ascii="方正仿宋_GBK" w:hAnsi="宋体" w:eastAsia="方正仿宋_GBK"/>
          <w:sz w:val="24"/>
          <w:szCs w:val="24"/>
        </w:rPr>
        <w:t>，</w:t>
      </w:r>
      <w:r>
        <w:rPr>
          <w:rFonts w:hint="eastAsia" w:ascii="方正仿宋_GBK" w:hAnsi="宋体" w:eastAsia="方正仿宋_GBK"/>
          <w:sz w:val="24"/>
          <w:szCs w:val="24"/>
        </w:rPr>
        <w:t>由供应商及采购人双方签署</w:t>
      </w:r>
      <w:r>
        <w:rPr>
          <w:rFonts w:hint="eastAsia" w:ascii="方正仿宋_GBK" w:hAnsi="宋体" w:eastAsia="方正仿宋_GBK"/>
          <w:sz w:val="24"/>
          <w:szCs w:val="24"/>
          <w:lang w:eastAsia="zh-CN"/>
        </w:rPr>
        <w:t>航道专项维护</w:t>
      </w:r>
      <w:r>
        <w:rPr>
          <w:rFonts w:hint="eastAsia" w:ascii="方正仿宋_GBK" w:hAnsi="宋体" w:eastAsia="方正仿宋_GBK"/>
          <w:sz w:val="24"/>
          <w:szCs w:val="24"/>
        </w:rPr>
        <w:t>服务确认书，</w:t>
      </w:r>
    </w:p>
    <w:p>
      <w:pPr>
        <w:pStyle w:val="2"/>
        <w:adjustRightInd w:val="0"/>
        <w:snapToGrid w:val="0"/>
        <w:spacing w:before="0" w:after="0" w:line="400" w:lineRule="exact"/>
        <w:ind w:firstLine="480" w:firstLineChars="200"/>
        <w:rPr>
          <w:rFonts w:ascii="方正仿宋_GBK" w:hAnsi="宋体" w:eastAsia="方正仿宋_GBK"/>
          <w:sz w:val="24"/>
        </w:rPr>
      </w:pPr>
      <w:bookmarkStart w:id="71" w:name="_Toc106034783"/>
      <w:bookmarkStart w:id="72" w:name="_Toc65660343"/>
      <w:bookmarkStart w:id="73" w:name="_Toc8103"/>
      <w:bookmarkStart w:id="74" w:name="_Toc24110"/>
      <w:bookmarkStart w:id="75" w:name="_Toc1838"/>
      <w:r>
        <w:rPr>
          <w:rFonts w:hint="eastAsia" w:ascii="方正仿宋_GBK" w:hAnsi="宋体" w:eastAsia="方正仿宋_GBK"/>
          <w:sz w:val="24"/>
        </w:rPr>
        <w:t>二、质量保证</w:t>
      </w:r>
      <w:bookmarkEnd w:id="71"/>
      <w:bookmarkEnd w:id="72"/>
      <w:bookmarkEnd w:id="73"/>
      <w:bookmarkEnd w:id="74"/>
      <w:bookmarkEnd w:id="75"/>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（一）服务质量保证期：无</w:t>
      </w:r>
    </w:p>
    <w:p>
      <w:pPr>
        <w:pStyle w:val="2"/>
        <w:adjustRightInd w:val="0"/>
        <w:snapToGrid w:val="0"/>
        <w:spacing w:before="0" w:after="0" w:line="400" w:lineRule="exact"/>
        <w:ind w:firstLine="480" w:firstLineChars="200"/>
        <w:rPr>
          <w:rFonts w:ascii="方正仿宋_GBK" w:hAnsi="宋体" w:eastAsia="方正仿宋_GBK"/>
          <w:sz w:val="24"/>
        </w:rPr>
      </w:pPr>
      <w:bookmarkStart w:id="76" w:name="_Toc12184"/>
      <w:bookmarkStart w:id="77" w:name="_Toc106034784"/>
      <w:bookmarkStart w:id="78" w:name="_Toc16974"/>
      <w:bookmarkStart w:id="79" w:name="_Toc122"/>
      <w:bookmarkStart w:id="80" w:name="_Toc65660344"/>
      <w:r>
        <w:rPr>
          <w:rFonts w:hint="eastAsia" w:ascii="方正仿宋_GBK" w:hAnsi="宋体" w:eastAsia="方正仿宋_GBK"/>
          <w:sz w:val="24"/>
        </w:rPr>
        <w:t>三、报价要求</w:t>
      </w:r>
      <w:bookmarkEnd w:id="76"/>
      <w:bookmarkEnd w:id="77"/>
      <w:bookmarkEnd w:id="78"/>
      <w:bookmarkEnd w:id="79"/>
      <w:bookmarkEnd w:id="80"/>
    </w:p>
    <w:p>
      <w:pPr>
        <w:adjustRightInd w:val="0"/>
        <w:snapToGrid w:val="0"/>
        <w:spacing w:line="400" w:lineRule="exact"/>
        <w:ind w:firstLine="480" w:firstLineChars="200"/>
        <w:jc w:val="left"/>
        <w:rPr>
          <w:rFonts w:ascii="方正仿宋_GBK" w:hAnsi="方正仿宋_GBK" w:eastAsia="方正仿宋_GBK" w:cs="方正仿宋_GBK"/>
          <w:kern w:val="0"/>
          <w:sz w:val="24"/>
          <w:szCs w:val="24"/>
          <w:lang w:val="zh-TW"/>
        </w:rPr>
      </w:pPr>
      <w:r>
        <w:rPr>
          <w:rFonts w:hint="eastAsia" w:ascii="方正仿宋_GBK" w:hAnsi="宋体" w:eastAsia="方正仿宋_GBK"/>
          <w:sz w:val="24"/>
          <w:szCs w:val="24"/>
        </w:rPr>
        <w:t>本项目采取固定单价的报价方式，报价</w:t>
      </w:r>
      <w:r>
        <w:rPr>
          <w:rFonts w:hint="eastAsia" w:ascii="方正仿宋_GBK" w:hAnsi="宋体" w:eastAsia="方正仿宋_GBK" w:cs="宋体"/>
          <w:kern w:val="0"/>
          <w:sz w:val="24"/>
          <w:szCs w:val="24"/>
        </w:rPr>
        <w:t>须为人民币报价</w:t>
      </w:r>
      <w:r>
        <w:rPr>
          <w:rFonts w:hint="eastAsia" w:ascii="方正仿宋_GBK" w:hAnsi="宋体" w:eastAsia="方正仿宋_GBK"/>
          <w:sz w:val="24"/>
          <w:szCs w:val="24"/>
        </w:rPr>
        <w:t>，包括完成本项目所需的人力、材料成本及各种应纳的税</w:t>
      </w:r>
      <w:r>
        <w:rPr>
          <w:rFonts w:hint="eastAsia" w:ascii="方正仿宋_GBK" w:hAnsi="宋体" w:eastAsia="方正仿宋_GBK" w:cs="宋体"/>
          <w:kern w:val="0"/>
          <w:sz w:val="24"/>
          <w:szCs w:val="24"/>
        </w:rPr>
        <w:t>费，并充分考虑服务天数对价格的影响</w:t>
      </w:r>
      <w:r>
        <w:rPr>
          <w:rFonts w:ascii="方正仿宋_GBK" w:hAnsi="宋体" w:eastAsia="方正仿宋_GBK" w:cs="宋体"/>
          <w:kern w:val="0"/>
          <w:sz w:val="24"/>
          <w:szCs w:val="24"/>
        </w:rPr>
        <w:t>。</w:t>
      </w:r>
      <w:r>
        <w:rPr>
          <w:rFonts w:hint="eastAsia" w:ascii="方正仿宋_GBK" w:hAnsi="宋体" w:eastAsia="方正仿宋_GBK"/>
          <w:sz w:val="24"/>
          <w:szCs w:val="24"/>
        </w:rPr>
        <w:t>因成交供应商自身原因造成漏报、少报皆由其自行承担责任，采购人不再补偿。</w:t>
      </w:r>
    </w:p>
    <w:p>
      <w:pPr>
        <w:pStyle w:val="2"/>
        <w:adjustRightInd w:val="0"/>
        <w:snapToGrid w:val="0"/>
        <w:spacing w:before="0" w:after="0" w:line="400" w:lineRule="exact"/>
        <w:ind w:firstLine="480" w:firstLineChars="200"/>
        <w:rPr>
          <w:rFonts w:ascii="方正仿宋_GBK" w:hAnsi="宋体" w:eastAsia="方正仿宋_GBK"/>
          <w:sz w:val="24"/>
          <w:szCs w:val="24"/>
        </w:rPr>
      </w:pPr>
      <w:bookmarkStart w:id="81" w:name="_Toc65660345"/>
      <w:bookmarkStart w:id="82" w:name="_Toc11000"/>
      <w:bookmarkStart w:id="83" w:name="_Toc106034785"/>
      <w:bookmarkStart w:id="84" w:name="_Toc9192"/>
      <w:bookmarkStart w:id="85" w:name="_Toc7562"/>
      <w:r>
        <w:rPr>
          <w:rFonts w:hint="eastAsia" w:ascii="方正仿宋_GBK" w:hAnsi="宋体" w:eastAsia="方正仿宋_GBK"/>
          <w:sz w:val="24"/>
          <w:szCs w:val="24"/>
        </w:rPr>
        <w:t>四、付款方式</w:t>
      </w:r>
      <w:bookmarkEnd w:id="81"/>
      <w:bookmarkEnd w:id="82"/>
      <w:bookmarkEnd w:id="83"/>
      <w:bookmarkEnd w:id="84"/>
      <w:bookmarkEnd w:id="85"/>
    </w:p>
    <w:p>
      <w:pPr>
        <w:adjustRightInd w:val="0"/>
        <w:snapToGrid w:val="0"/>
        <w:spacing w:line="400" w:lineRule="exact"/>
        <w:ind w:firstLine="480" w:firstLineChars="200"/>
        <w:jc w:val="left"/>
        <w:rPr>
          <w:rFonts w:ascii="方正仿宋_GBK" w:hAnsi="宋体" w:eastAsia="方正仿宋_GBK"/>
          <w:sz w:val="24"/>
          <w:szCs w:val="24"/>
        </w:rPr>
      </w:pPr>
      <w:bookmarkStart w:id="86" w:name="OLE_LINK4"/>
      <w:bookmarkStart w:id="87" w:name="OLE_LINK3"/>
      <w:r>
        <w:rPr>
          <w:rFonts w:hint="eastAsia" w:ascii="方正仿宋_GBK" w:hAnsi="宋体" w:eastAsia="方正仿宋_GBK"/>
          <w:sz w:val="24"/>
          <w:szCs w:val="24"/>
          <w:lang w:eastAsia="zh-CN"/>
        </w:rPr>
        <w:t>航道专项维护</w:t>
      </w:r>
      <w:r>
        <w:rPr>
          <w:rFonts w:hint="eastAsia" w:ascii="方正仿宋_GBK" w:hAnsi="宋体" w:eastAsia="方正仿宋_GBK"/>
          <w:sz w:val="24"/>
          <w:szCs w:val="24"/>
        </w:rPr>
        <w:t>服务完成后</w:t>
      </w:r>
      <w:r>
        <w:rPr>
          <w:rFonts w:ascii="方正仿宋_GBK" w:hAnsi="宋体" w:eastAsia="方正仿宋_GBK"/>
          <w:sz w:val="24"/>
          <w:szCs w:val="24"/>
        </w:rPr>
        <w:t>，</w:t>
      </w:r>
      <w:r>
        <w:rPr>
          <w:rFonts w:hint="eastAsia" w:ascii="方正仿宋_GBK" w:hAnsi="宋体" w:eastAsia="方正仿宋_GBK"/>
          <w:sz w:val="24"/>
          <w:szCs w:val="24"/>
        </w:rPr>
        <w:t>由供应商及采购人双方签署</w:t>
      </w:r>
      <w:r>
        <w:rPr>
          <w:rFonts w:hint="eastAsia" w:ascii="方正仿宋_GBK" w:hAnsi="宋体" w:eastAsia="方正仿宋_GBK"/>
          <w:sz w:val="24"/>
          <w:szCs w:val="24"/>
          <w:lang w:eastAsia="zh-CN"/>
        </w:rPr>
        <w:t>航道专项维护</w:t>
      </w:r>
      <w:r>
        <w:rPr>
          <w:rFonts w:hint="eastAsia" w:ascii="方正仿宋_GBK" w:hAnsi="宋体" w:eastAsia="方正仿宋_GBK"/>
          <w:sz w:val="24"/>
          <w:szCs w:val="24"/>
        </w:rPr>
        <w:t>服务确认书，根据确认书确定最终结算价格，供应商提交正规</w:t>
      </w:r>
      <w:r>
        <w:rPr>
          <w:rFonts w:ascii="方正仿宋_GBK" w:hAnsi="宋体" w:eastAsia="方正仿宋_GBK"/>
          <w:sz w:val="24"/>
          <w:szCs w:val="24"/>
        </w:rPr>
        <w:t>发票</w:t>
      </w:r>
      <w:r>
        <w:rPr>
          <w:rFonts w:hint="eastAsia" w:ascii="方正仿宋_GBK" w:hAnsi="宋体" w:eastAsia="方正仿宋_GBK"/>
          <w:sz w:val="24"/>
          <w:szCs w:val="24"/>
        </w:rPr>
        <w:t>，采购人一次性以银行转账方式全额支付合同款项。</w:t>
      </w:r>
    </w:p>
    <w:bookmarkEnd w:id="86"/>
    <w:bookmarkEnd w:id="87"/>
    <w:p>
      <w:pPr>
        <w:pStyle w:val="2"/>
        <w:adjustRightInd w:val="0"/>
        <w:snapToGrid w:val="0"/>
        <w:spacing w:before="0" w:after="0" w:line="400" w:lineRule="exact"/>
        <w:ind w:firstLine="480" w:firstLineChars="200"/>
        <w:rPr>
          <w:rFonts w:ascii="方正仿宋_GBK" w:hAnsi="宋体" w:eastAsia="方正仿宋_GBK"/>
          <w:sz w:val="24"/>
        </w:rPr>
      </w:pPr>
      <w:bookmarkStart w:id="88" w:name="_Toc7228"/>
      <w:bookmarkStart w:id="89" w:name="_Toc3786"/>
      <w:bookmarkStart w:id="90" w:name="_Toc65660346"/>
      <w:bookmarkStart w:id="91" w:name="_Toc24751"/>
      <w:bookmarkStart w:id="92" w:name="_Toc106034786"/>
      <w:r>
        <w:rPr>
          <w:rFonts w:hint="eastAsia" w:ascii="方正仿宋_GBK" w:hAnsi="宋体" w:eastAsia="方正仿宋_GBK"/>
          <w:sz w:val="24"/>
        </w:rPr>
        <w:t>五、知识产权</w:t>
      </w:r>
      <w:bookmarkEnd w:id="88"/>
      <w:bookmarkEnd w:id="89"/>
      <w:bookmarkEnd w:id="90"/>
      <w:bookmarkEnd w:id="91"/>
      <w:bookmarkEnd w:id="92"/>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本项目知识产权归采购人所有。</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2"/>
        <w:adjustRightInd w:val="0"/>
        <w:snapToGrid w:val="0"/>
        <w:spacing w:before="0" w:after="0" w:line="400" w:lineRule="exact"/>
        <w:ind w:firstLine="480" w:firstLineChars="200"/>
        <w:rPr>
          <w:rFonts w:ascii="方正仿宋_GBK" w:hAnsi="宋体" w:eastAsia="方正仿宋_GBK"/>
          <w:sz w:val="24"/>
        </w:rPr>
      </w:pPr>
      <w:bookmarkStart w:id="93" w:name="_Toc65660347"/>
      <w:bookmarkStart w:id="94" w:name="_Toc106034787"/>
      <w:bookmarkStart w:id="95" w:name="_Toc5555"/>
      <w:bookmarkStart w:id="96" w:name="_Toc6565"/>
      <w:bookmarkStart w:id="97" w:name="_Toc6869"/>
      <w:r>
        <w:rPr>
          <w:rFonts w:hint="eastAsia" w:ascii="方正仿宋_GBK" w:hAnsi="宋体" w:eastAsia="方正仿宋_GBK"/>
          <w:sz w:val="24"/>
        </w:rPr>
        <w:t>六、培训</w:t>
      </w:r>
      <w:bookmarkEnd w:id="93"/>
      <w:bookmarkEnd w:id="94"/>
      <w:bookmarkEnd w:id="95"/>
      <w:bookmarkEnd w:id="96"/>
      <w:bookmarkEnd w:id="97"/>
    </w:p>
    <w:p>
      <w:pPr>
        <w:snapToGrid w:val="0"/>
        <w:spacing w:line="400" w:lineRule="exact"/>
        <w:ind w:firstLine="540"/>
        <w:rPr>
          <w:rFonts w:ascii="方正仿宋_GBK" w:hAnsi="宋体" w:eastAsia="方正仿宋_GBK"/>
          <w:sz w:val="24"/>
          <w:szCs w:val="24"/>
        </w:rPr>
      </w:pPr>
      <w:r>
        <w:rPr>
          <w:rFonts w:hint="eastAsia" w:ascii="方正仿宋_GBK" w:hAnsi="宋体" w:eastAsia="方正仿宋_GBK"/>
          <w:sz w:val="24"/>
          <w:szCs w:val="24"/>
        </w:rPr>
        <w:t>成交供应商须提供对设备的操作培训，使相关使用人员能够正常操作相关设备。</w:t>
      </w:r>
    </w:p>
    <w:p>
      <w:pPr>
        <w:pStyle w:val="2"/>
        <w:adjustRightInd w:val="0"/>
        <w:snapToGrid w:val="0"/>
        <w:spacing w:before="0" w:after="0" w:line="400" w:lineRule="exact"/>
        <w:ind w:firstLine="480" w:firstLineChars="200"/>
        <w:jc w:val="left"/>
        <w:rPr>
          <w:rFonts w:ascii="方正仿宋_GBK" w:hAnsi="方正仿宋_GBK" w:eastAsia="方正仿宋_GBK" w:cs="方正仿宋_GBK"/>
          <w:sz w:val="24"/>
        </w:rPr>
      </w:pPr>
      <w:bookmarkStart w:id="98" w:name="_Toc947"/>
      <w:bookmarkStart w:id="99" w:name="_Toc18104"/>
      <w:bookmarkStart w:id="100" w:name="_Toc25707"/>
      <w:bookmarkStart w:id="101" w:name="_Toc31910"/>
      <w:bookmarkStart w:id="102" w:name="_Toc19427"/>
      <w:bookmarkStart w:id="103" w:name="_Toc108013105"/>
      <w:bookmarkStart w:id="104" w:name="_Toc466546918"/>
      <w:bookmarkStart w:id="105" w:name="_Toc2954"/>
      <w:bookmarkStart w:id="106" w:name="_Toc31659"/>
      <w:bookmarkStart w:id="107" w:name="_Toc21248"/>
      <w:bookmarkStart w:id="108" w:name="_Toc23902"/>
      <w:bookmarkStart w:id="109" w:name="_Toc65660348"/>
      <w:bookmarkStart w:id="110" w:name="_Toc106034788"/>
      <w:r>
        <w:rPr>
          <w:rFonts w:hint="eastAsia" w:ascii="方正仿宋_GBK" w:hAnsi="方正仿宋_GBK" w:eastAsia="方正仿宋_GBK" w:cs="方正仿宋_GBK"/>
          <w:sz w:val="24"/>
        </w:rPr>
        <w:t>七、项目风险管控</w:t>
      </w:r>
      <w:bookmarkEnd w:id="98"/>
      <w:bookmarkEnd w:id="99"/>
      <w:bookmarkEnd w:id="100"/>
      <w:bookmarkEnd w:id="101"/>
      <w:bookmarkEnd w:id="102"/>
      <w:bookmarkEnd w:id="103"/>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本项目采购过程和合同履行过程中，如遇国家政策变化、实施环境变化、重大技术变化、预算项目调整等情况，按下列方式处置：</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1.处于采购过程中的，如果相关变化将导致采购任务取消的，应当按照《中华人民共和国政府采购法》第三十六条规定，取消采购任务，作废标处理；</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2.采购已经完成，尚未签订合同的，如果相关变化导致不能实现合同目的，按不可抗力事件处理，取消采购任务，采购人与供应商不再签订合同；</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bookmarkStart w:id="111" w:name="_Toc6830"/>
      <w:r>
        <w:rPr>
          <w:rFonts w:hint="eastAsia" w:ascii="方正仿宋_GBK" w:hAnsi="方正仿宋_GBK" w:eastAsia="方正仿宋_GBK" w:cs="方正仿宋_GBK"/>
          <w:sz w:val="24"/>
          <w:szCs w:val="24"/>
        </w:rPr>
        <w:t>3.合同已签订的，如果相关变化导致不能实现合同目的或合同价款等实质性条款变化，针对变化部分按不可抗力事件处理，采购人与供应商协商后解除合同或签订补充协议。</w:t>
      </w:r>
      <w:bookmarkEnd w:id="104"/>
      <w:bookmarkEnd w:id="105"/>
      <w:bookmarkEnd w:id="111"/>
    </w:p>
    <w:p>
      <w:pPr>
        <w:pStyle w:val="2"/>
        <w:adjustRightInd w:val="0"/>
        <w:snapToGrid w:val="0"/>
        <w:spacing w:before="0" w:after="0" w:line="400" w:lineRule="exact"/>
        <w:ind w:firstLine="480" w:firstLineChars="200"/>
        <w:rPr>
          <w:rFonts w:ascii="方正仿宋_GBK" w:hAnsi="方正仿宋_GBK" w:eastAsia="方正仿宋_GBK" w:cs="方正仿宋_GBK"/>
          <w:sz w:val="24"/>
        </w:rPr>
      </w:pPr>
      <w:r>
        <w:rPr>
          <w:rFonts w:hint="eastAsia" w:ascii="方正仿宋_GBK" w:hAnsi="宋体" w:eastAsia="方正仿宋_GBK"/>
          <w:sz w:val="24"/>
        </w:rPr>
        <w:t>八、</w:t>
      </w:r>
      <w:r>
        <w:rPr>
          <w:rFonts w:hint="eastAsia" w:ascii="方正仿宋_GBK" w:hAnsi="方正仿宋_GBK" w:eastAsia="方正仿宋_GBK" w:cs="方正仿宋_GBK"/>
          <w:sz w:val="24"/>
        </w:rPr>
        <w:t>违约责任</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就当事人一方不履行合同义务或者履行合同义务不符合约定应当承担的责任进行约定。</w:t>
      </w:r>
    </w:p>
    <w:p>
      <w:pPr>
        <w:pStyle w:val="2"/>
        <w:adjustRightInd w:val="0"/>
        <w:snapToGrid w:val="0"/>
        <w:spacing w:before="0" w:after="0" w:line="400" w:lineRule="exact"/>
        <w:ind w:firstLine="480" w:firstLineChars="200"/>
        <w:rPr>
          <w:rFonts w:ascii="方正仿宋_GBK" w:hAnsi="宋体" w:eastAsia="方正仿宋_GBK"/>
          <w:sz w:val="24"/>
        </w:rPr>
      </w:pPr>
      <w:r>
        <w:rPr>
          <w:rFonts w:hint="eastAsia" w:ascii="方正仿宋_GBK" w:hAnsi="宋体" w:eastAsia="方正仿宋_GBK"/>
          <w:sz w:val="24"/>
        </w:rPr>
        <w:t>九、合同争议</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项目执行中，如发生争议由双方协商解决，协商不成向甲方所在地具有管辖权人民法院提请诉讼。</w:t>
      </w:r>
    </w:p>
    <w:p>
      <w:pPr>
        <w:pStyle w:val="2"/>
        <w:adjustRightInd w:val="0"/>
        <w:snapToGrid w:val="0"/>
        <w:spacing w:before="0" w:after="0" w:line="400" w:lineRule="exact"/>
        <w:ind w:firstLine="480" w:firstLineChars="200"/>
        <w:rPr>
          <w:rFonts w:ascii="方正仿宋_GBK" w:hAnsi="宋体" w:eastAsia="方正仿宋_GBK"/>
          <w:sz w:val="24"/>
        </w:rPr>
      </w:pPr>
      <w:r>
        <w:rPr>
          <w:rFonts w:hint="eastAsia" w:ascii="方正仿宋_GBK" w:hAnsi="宋体" w:eastAsia="方正仿宋_GBK"/>
          <w:sz w:val="24"/>
        </w:rPr>
        <w:t>十、其他</w:t>
      </w:r>
      <w:bookmarkEnd w:id="106"/>
      <w:bookmarkEnd w:id="107"/>
      <w:bookmarkEnd w:id="108"/>
      <w:bookmarkEnd w:id="109"/>
      <w:bookmarkEnd w:id="110"/>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其他未尽事宜由供需双方在采购合同中详细约定。</w:t>
      </w:r>
    </w:p>
    <w:p>
      <w:pPr>
        <w:snapToGrid w:val="0"/>
        <w:spacing w:line="400" w:lineRule="exact"/>
        <w:ind w:firstLine="540"/>
        <w:rPr>
          <w:rFonts w:ascii="方正仿宋_GBK" w:eastAsia="方正仿宋_GBK"/>
          <w:sz w:val="24"/>
          <w:szCs w:val="24"/>
        </w:rPr>
      </w:pPr>
    </w:p>
    <w:p>
      <w:pPr>
        <w:snapToGrid w:val="0"/>
        <w:spacing w:line="400" w:lineRule="exact"/>
        <w:ind w:firstLine="540"/>
        <w:rPr>
          <w:rFonts w:ascii="方正仿宋_GBK" w:eastAsia="方正仿宋_GBK"/>
          <w:sz w:val="24"/>
          <w:szCs w:val="24"/>
        </w:rPr>
      </w:pPr>
    </w:p>
    <w:p>
      <w:pPr>
        <w:pStyle w:val="2"/>
        <w:spacing w:before="0" w:after="0" w:line="360" w:lineRule="auto"/>
        <w:jc w:val="center"/>
        <w:rPr>
          <w:rFonts w:ascii="方正小标宋_GBK" w:eastAsia="方正小标宋_GBK"/>
          <w:b w:val="0"/>
          <w:sz w:val="36"/>
          <w:szCs w:val="30"/>
        </w:rPr>
      </w:pPr>
      <w:r>
        <w:rPr>
          <w:rFonts w:ascii="方正小标宋_GBK" w:eastAsia="方正小标宋_GBK"/>
          <w:b w:val="0"/>
          <w:sz w:val="36"/>
          <w:szCs w:val="30"/>
        </w:rPr>
        <w:br w:type="page"/>
      </w:r>
      <w:bookmarkStart w:id="112" w:name="_Toc106034789"/>
      <w:bookmarkStart w:id="113" w:name="_Toc31282"/>
      <w:bookmarkStart w:id="114" w:name="_Toc24195"/>
      <w:bookmarkStart w:id="115" w:name="_Toc16123"/>
      <w:bookmarkStart w:id="116" w:name="_Toc65660349"/>
      <w:r>
        <w:rPr>
          <w:rFonts w:hint="eastAsia" w:ascii="方正小标宋_GBK" w:eastAsia="方正小标宋_GBK"/>
          <w:b w:val="0"/>
          <w:sz w:val="36"/>
          <w:szCs w:val="30"/>
        </w:rPr>
        <w:t>第四篇  采购程序、评定成交的标准、无效报价及采购终止</w:t>
      </w:r>
      <w:bookmarkEnd w:id="112"/>
      <w:bookmarkEnd w:id="113"/>
      <w:bookmarkEnd w:id="114"/>
      <w:bookmarkEnd w:id="115"/>
      <w:bookmarkEnd w:id="116"/>
    </w:p>
    <w:p>
      <w:pPr>
        <w:pStyle w:val="2"/>
        <w:adjustRightInd w:val="0"/>
        <w:snapToGrid w:val="0"/>
        <w:spacing w:before="0" w:after="0" w:line="400" w:lineRule="exact"/>
        <w:ind w:firstLine="480" w:firstLineChars="200"/>
        <w:rPr>
          <w:rFonts w:ascii="方正仿宋_GBK" w:hAnsi="宋体" w:eastAsia="方正仿宋_GBK"/>
          <w:sz w:val="24"/>
        </w:rPr>
      </w:pPr>
      <w:bookmarkStart w:id="117" w:name="_Toc64732012"/>
      <w:bookmarkStart w:id="118" w:name="_Toc106034790"/>
      <w:bookmarkStart w:id="119" w:name="_Toc65660350"/>
      <w:bookmarkStart w:id="120" w:name="_Toc27932"/>
      <w:bookmarkStart w:id="121" w:name="_Toc5167"/>
      <w:bookmarkStart w:id="122" w:name="_Toc9361"/>
      <w:r>
        <w:rPr>
          <w:rFonts w:hint="eastAsia" w:ascii="方正仿宋_GBK" w:hAnsi="宋体" w:eastAsia="方正仿宋_GBK"/>
          <w:sz w:val="24"/>
        </w:rPr>
        <w:t>一、采购程序</w:t>
      </w:r>
      <w:bookmarkEnd w:id="117"/>
      <w:bookmarkEnd w:id="118"/>
      <w:bookmarkEnd w:id="119"/>
      <w:bookmarkEnd w:id="120"/>
      <w:bookmarkEnd w:id="121"/>
      <w:bookmarkEnd w:id="122"/>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（一）比价按采购文件规定的时间和地点进行。供应商须有法定代表人（或其授权代表）或自然人参加并签到。</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（二）由本项目评审小组对各供应商的资格条件、实质性响应等进行审查。 </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sz w:val="24"/>
          <w:szCs w:val="24"/>
        </w:rPr>
        <w:t>1.资格性审查。依据法律法规和采购文件的规定，对响应文件中的资格证明材料等进行审查。资格性审查内容如下：</w:t>
      </w:r>
    </w:p>
    <w:tbl>
      <w:tblPr>
        <w:tblStyle w:val="1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restart"/>
            <w:vAlign w:val="center"/>
          </w:tcPr>
          <w:p>
            <w:pPr>
              <w:rPr>
                <w:rFonts w:ascii="方正仿宋_GBK" w:hAnsi="仿宋" w:eastAsia="方正仿宋_GBK"/>
                <w:sz w:val="21"/>
                <w:szCs w:val="21"/>
              </w:rPr>
            </w:pPr>
            <w:r>
              <w:rPr>
                <w:rFonts w:hint="eastAsia" w:ascii="方正仿宋_GBK" w:hAnsi="仿宋" w:eastAsia="方正仿宋_GBK"/>
                <w:sz w:val="21"/>
                <w:szCs w:val="21"/>
              </w:rPr>
              <w:t>（一）</w:t>
            </w:r>
          </w:p>
        </w:tc>
        <w:tc>
          <w:tcPr>
            <w:tcW w:w="709" w:type="dxa"/>
            <w:vMerge w:val="restart"/>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《中华人民共和国政府采购法》第二十二条规定</w:t>
            </w:r>
          </w:p>
        </w:tc>
        <w:tc>
          <w:tcPr>
            <w:tcW w:w="2835" w:type="dxa"/>
            <w:vAlign w:val="center"/>
          </w:tcPr>
          <w:p>
            <w:pPr>
              <w:rPr>
                <w:rFonts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5267" w:type="dxa"/>
            <w:vAlign w:val="center"/>
          </w:tcPr>
          <w:p>
            <w:pPr>
              <w:rPr>
                <w:rFonts w:ascii="方正仿宋_GBK" w:hAnsi="仿宋" w:eastAsia="方正仿宋_GBK"/>
                <w:sz w:val="21"/>
                <w:szCs w:val="21"/>
              </w:rPr>
            </w:pPr>
            <w:r>
              <w:rPr>
                <w:rFonts w:hint="eastAsia" w:ascii="方正仿宋_GBK" w:hAnsi="仿宋" w:eastAsia="方正仿宋_GBK"/>
                <w:sz w:val="21"/>
                <w:szCs w:val="21"/>
              </w:rPr>
              <w:t xml:space="preserve">1.供应商法人营业执照（副本）或事业单位法人证书（副本）或个体工商户营业执照或有效的自然人身份证明或社会团体法人登记证书（提供复印件）。 </w:t>
            </w:r>
          </w:p>
          <w:p>
            <w:pPr>
              <w:rPr>
                <w:rFonts w:ascii="方正仿宋_GBK" w:hAnsi="仿宋" w:eastAsia="方正仿宋_GBK"/>
                <w:sz w:val="21"/>
                <w:szCs w:val="21"/>
              </w:rPr>
            </w:pPr>
            <w:r>
              <w:rPr>
                <w:rFonts w:hint="eastAsia" w:ascii="方正仿宋_GBK" w:hAnsi="仿宋" w:eastAsia="方正仿宋_GBK"/>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5267" w:type="dxa"/>
            <w:vMerge w:val="restart"/>
            <w:vAlign w:val="center"/>
          </w:tcPr>
          <w:p>
            <w:pPr>
              <w:rPr>
                <w:rFonts w:ascii="方正仿宋_GBK" w:hAnsi="仿宋" w:eastAsia="方正仿宋_GBK"/>
                <w:b/>
                <w:sz w:val="21"/>
                <w:szCs w:val="21"/>
              </w:rPr>
            </w:pPr>
            <w:r>
              <w:rPr>
                <w:rFonts w:hint="eastAsia" w:ascii="方正仿宋_GBK" w:hAnsi="仿宋" w:eastAsia="方正仿宋_GBK"/>
                <w:sz w:val="21"/>
                <w:szCs w:val="21"/>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5267" w:type="dxa"/>
            <w:vMerge w:val="continue"/>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5267" w:type="dxa"/>
            <w:vMerge w:val="continue"/>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w:t>
            </w:r>
          </w:p>
        </w:tc>
        <w:tc>
          <w:tcPr>
            <w:tcW w:w="5267" w:type="dxa"/>
            <w:vMerge w:val="continue"/>
            <w:vAlign w:val="center"/>
          </w:tcPr>
          <w:p>
            <w:pPr>
              <w:rPr>
                <w:rFonts w:ascii="方正仿宋_GBK" w:hAnsi="仿宋" w:eastAsia="方正仿宋_GBK"/>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rPr>
            </w:pPr>
          </w:p>
        </w:tc>
        <w:tc>
          <w:tcPr>
            <w:tcW w:w="2835" w:type="dxa"/>
            <w:vAlign w:val="center"/>
          </w:tcPr>
          <w:p>
            <w:pPr>
              <w:rPr>
                <w:rFonts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5267" w:type="dxa"/>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rPr>
            </w:pPr>
          </w:p>
        </w:tc>
        <w:tc>
          <w:tcPr>
            <w:tcW w:w="2835" w:type="dxa"/>
            <w:vAlign w:val="center"/>
          </w:tcPr>
          <w:p>
            <w:pPr>
              <w:rPr>
                <w:rFonts w:ascii="方正仿宋_GBK" w:hAnsi="仿宋" w:eastAsia="方正仿宋_GBK"/>
                <w:sz w:val="21"/>
                <w:szCs w:val="21"/>
              </w:rPr>
            </w:pPr>
            <w:r>
              <w:rPr>
                <w:rFonts w:hint="eastAsia" w:ascii="方正仿宋_GBK" w:hAnsi="仿宋" w:eastAsia="方正仿宋_GBK"/>
                <w:sz w:val="21"/>
                <w:szCs w:val="21"/>
              </w:rPr>
              <w:t>7.本项目的特定资格要求</w:t>
            </w:r>
          </w:p>
        </w:tc>
        <w:tc>
          <w:tcPr>
            <w:tcW w:w="5267" w:type="dxa"/>
            <w:vAlign w:val="center"/>
          </w:tcPr>
          <w:p>
            <w:pPr>
              <w:rPr>
                <w:rFonts w:ascii="方正仿宋_GBK" w:hAnsi="仿宋" w:eastAsia="方正仿宋_GBK"/>
                <w:sz w:val="21"/>
                <w:szCs w:val="21"/>
              </w:rPr>
            </w:pPr>
            <w:r>
              <w:rPr>
                <w:rFonts w:hint="eastAsia" w:ascii="方正仿宋_GBK" w:hAnsi="仿宋" w:eastAsia="方正仿宋_GBK"/>
                <w:sz w:val="21"/>
                <w:szCs w:val="21"/>
              </w:rPr>
              <w:t>按“第一篇三、供应商资格要求（二）本项目的特定资格要求”的要求提交</w:t>
            </w:r>
            <w:r>
              <w:rPr>
                <w:rFonts w:hint="eastAsia" w:ascii="方正仿宋_GBK" w:hAnsi="宋体" w:eastAsia="方正仿宋_GBK"/>
                <w:sz w:val="21"/>
                <w:szCs w:val="21"/>
              </w:rPr>
              <w:t>（如果有）</w:t>
            </w:r>
            <w:r>
              <w:rPr>
                <w:rFonts w:hint="eastAsia" w:ascii="方正仿宋_GBK" w:hAnsi="仿宋" w:eastAsia="方正仿宋_GBK"/>
                <w:sz w:val="21"/>
                <w:szCs w:val="21"/>
              </w:rPr>
              <w:t>。</w:t>
            </w:r>
          </w:p>
        </w:tc>
      </w:tr>
    </w:tbl>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注：</w:t>
      </w:r>
    </w:p>
    <w:p>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根据《</w:t>
      </w:r>
      <w:r>
        <w:rPr>
          <w:rFonts w:ascii="方正仿宋_GBK" w:hAnsi="宋体" w:eastAsia="方正仿宋_GBK" w:cs="宋体"/>
          <w:kern w:val="0"/>
          <w:sz w:val="24"/>
          <w:szCs w:val="24"/>
        </w:rPr>
        <w:t>中华人民共和国政府采购法实施条例</w:t>
      </w:r>
      <w:r>
        <w:rPr>
          <w:rFonts w:hint="eastAsia" w:ascii="方正仿宋_GBK" w:hAnsi="宋体" w:eastAsia="方正仿宋_GBK" w:cs="宋体"/>
          <w:kern w:val="0"/>
          <w:sz w:val="24"/>
          <w:szCs w:val="24"/>
        </w:rPr>
        <w:t>》第十九条“参加政府采购活动前三年内，在经营活动中没有重大违法记录”中“重大违法记录”</w:t>
      </w:r>
      <w:r>
        <w:rPr>
          <w:rFonts w:ascii="方正仿宋_GBK" w:hAnsi="宋体" w:eastAsia="方正仿宋_GBK" w:cs="宋体"/>
          <w:kern w:val="0"/>
          <w:sz w:val="24"/>
          <w:szCs w:val="24"/>
        </w:rPr>
        <w:t>，是指供应商因违法经营受到刑事处罚或者责令停产停业、吊销许可证或者执照、较大数额罚款等行政处罚。</w:t>
      </w:r>
      <w:r>
        <w:rPr>
          <w:rFonts w:hint="eastAsia" w:ascii="方正仿宋_GBK" w:hAnsi="宋体" w:eastAsia="方正仿宋_GBK" w:cs="宋体"/>
          <w:kern w:val="0"/>
          <w:sz w:val="24"/>
          <w:szCs w:val="24"/>
        </w:rPr>
        <w:t>行政处罚中“较大数额”的认定标准，按照“</w:t>
      </w:r>
      <w:r>
        <w:rPr>
          <w:rFonts w:ascii="方正仿宋_GBK" w:hAnsi="宋体" w:eastAsia="方正仿宋_GBK" w:cs="宋体"/>
          <w:kern w:val="0"/>
          <w:sz w:val="24"/>
          <w:szCs w:val="24"/>
        </w:rPr>
        <w:t>财政部关于《中华人民共和国政府采购法实施条例》第十九条第一款“较大数额罚款”具体适用问题的意见</w:t>
      </w:r>
      <w:r>
        <w:rPr>
          <w:rFonts w:hint="eastAsia" w:ascii="方正仿宋_GBK" w:hAnsi="宋体" w:eastAsia="方正仿宋_GBK" w:cs="宋体"/>
          <w:kern w:val="0"/>
          <w:sz w:val="24"/>
          <w:szCs w:val="24"/>
        </w:rPr>
        <w:t>（财库〔2022〕3 号）”执行。供应商可于响应文件递交截止时间前通过 “信用中国”网站(www.creditchina.gov.cn)、"中国政府采购网"(www.ccgp.gov.cn)等渠道查询信用记录。</w:t>
      </w:r>
    </w:p>
    <w:p>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2</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以联合体形式参与比价的，共同联合协议中应确定主办方（主体），</w:t>
      </w:r>
      <w:r>
        <w:rPr>
          <w:rFonts w:hint="eastAsia" w:ascii="方正仿宋_GBK" w:hAnsi="宋体" w:eastAsia="方正仿宋_GBK"/>
          <w:sz w:val="24"/>
        </w:rPr>
        <w:t>代表联合体进行报价和澄清。</w:t>
      </w:r>
      <w:r>
        <w:rPr>
          <w:rFonts w:hint="eastAsia" w:ascii="方正仿宋_GBK" w:hAnsi="宋体" w:eastAsia="方正仿宋_GBK" w:cs="宋体"/>
          <w:kern w:val="0"/>
          <w:sz w:val="24"/>
          <w:szCs w:val="24"/>
        </w:rPr>
        <w:t>联合体各方均应满足供应商资格要求（详见“第一篇”）。</w:t>
      </w:r>
    </w:p>
    <w:p>
      <w:pPr>
        <w:snapToGrid w:val="0"/>
        <w:spacing w:line="400" w:lineRule="exact"/>
        <w:ind w:firstLine="480" w:firstLineChars="200"/>
        <w:rPr>
          <w:rFonts w:ascii="方正仿宋_GBK" w:eastAsia="方正仿宋_GBK"/>
          <w:kern w:val="0"/>
          <w:sz w:val="24"/>
          <w:szCs w:val="24"/>
        </w:rPr>
      </w:pPr>
      <w:r>
        <w:rPr>
          <w:rFonts w:hint="eastAsia" w:ascii="方正仿宋_GBK" w:hAnsi="宋体" w:eastAsia="方正仿宋_GBK"/>
          <w:sz w:val="24"/>
          <w:szCs w:val="24"/>
        </w:rPr>
        <w:t>2.实质性响应审查。评审小组应当对响应文件进行评审，并根据采购文件规定的采购程序、评定成交的标准等事项与实质性响应采购文件要求的供应商进行评审。未实质性响应采购文件的响应文件按无效处理，评审小组应当告知有关供应商。实质性响应审查内容如下：</w:t>
      </w:r>
    </w:p>
    <w:tbl>
      <w:tblPr>
        <w:tblStyle w:val="1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675" w:type="dxa"/>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2694" w:type="dxa"/>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审查因素</w:t>
            </w:r>
          </w:p>
        </w:tc>
        <w:tc>
          <w:tcPr>
            <w:tcW w:w="6259" w:type="dxa"/>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675" w:type="dxa"/>
            <w:vMerge w:val="restart"/>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响应文件签署或盖章</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按“第七篇响应文件格式要求”要求签署或盖章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6259" w:type="dxa"/>
            <w:vAlign w:val="center"/>
          </w:tcPr>
          <w:p>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法定代表人身份证明及授权委托书有效，符合采购文件规定的格式，签署或盖章齐全。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675"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响应文件</w:t>
            </w:r>
            <w:r>
              <w:rPr>
                <w:rFonts w:hint="eastAsia" w:ascii="方正仿宋_GBK" w:hAnsi="宋体" w:eastAsia="方正仿宋_GBK" w:cs="仿宋_GB2312"/>
                <w:sz w:val="21"/>
                <w:szCs w:val="21"/>
                <w:lang w:val="zh-CN"/>
              </w:rPr>
              <w:t>份数</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响应文件</w:t>
            </w:r>
            <w:r>
              <w:rPr>
                <w:rFonts w:hint="eastAsia" w:ascii="方正仿宋_GBK" w:hAnsi="宋体" w:eastAsia="方正仿宋_GBK" w:cs="仿宋_GB2312"/>
                <w:sz w:val="21"/>
                <w:szCs w:val="21"/>
                <w:lang w:val="zh-CN"/>
              </w:rPr>
              <w:t>正、副本数量符合采购文件要求。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75" w:type="dxa"/>
            <w:vMerge w:val="restart"/>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响应文件内容</w:t>
            </w:r>
          </w:p>
        </w:tc>
        <w:tc>
          <w:tcPr>
            <w:tcW w:w="6259" w:type="dxa"/>
            <w:vAlign w:val="center"/>
          </w:tcPr>
          <w:p>
            <w:pPr>
              <w:pStyle w:val="5"/>
              <w:rPr>
                <w:rFonts w:ascii="方正仿宋_GBK" w:hAnsi="宋体" w:eastAsia="方正仿宋_GBK" w:cs="宋体"/>
                <w:kern w:val="0"/>
                <w:sz w:val="21"/>
                <w:szCs w:val="21"/>
              </w:rPr>
            </w:pPr>
            <w:r>
              <w:rPr>
                <w:rFonts w:hint="eastAsia" w:ascii="方正仿宋_GBK" w:hAnsi="宋体" w:eastAsia="方正仿宋_GBK" w:cs="宋体"/>
                <w:kern w:val="0"/>
                <w:sz w:val="21"/>
                <w:szCs w:val="21"/>
              </w:rPr>
              <w:t>对</w:t>
            </w:r>
            <w:r>
              <w:rPr>
                <w:rFonts w:hint="eastAsia" w:ascii="方正仿宋_GBK" w:hAnsi="宋体" w:eastAsia="方正仿宋_GBK" w:cs="仿宋_GB2312"/>
                <w:sz w:val="21"/>
                <w:szCs w:val="21"/>
                <w:lang w:val="zh-CN"/>
              </w:rPr>
              <w:t>采购文件</w:t>
            </w:r>
            <w:r>
              <w:rPr>
                <w:rFonts w:hint="eastAsia" w:ascii="方正仿宋_GBK" w:hAnsi="宋体" w:eastAsia="方正仿宋_GBK" w:cs="宋体"/>
                <w:kern w:val="0"/>
                <w:sz w:val="21"/>
                <w:szCs w:val="21"/>
              </w:rPr>
              <w:t>第二篇、第三篇规定的内容进行实质性响应。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比价有效期</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响应文件及有关承诺文件有效期为提交响应文件截止时间起90天。</w:t>
            </w:r>
          </w:p>
        </w:tc>
      </w:tr>
    </w:tbl>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（四）评审的依据为采购文件和响应文件（含有效的补充文件）。评审小组判断响应文件对采购文件的响应，仅基于响应文件本身而不靠外部证据。</w:t>
      </w:r>
    </w:p>
    <w:p>
      <w:pPr>
        <w:pStyle w:val="2"/>
        <w:adjustRightInd w:val="0"/>
        <w:snapToGrid w:val="0"/>
        <w:spacing w:before="0" w:after="0" w:line="400" w:lineRule="exact"/>
        <w:ind w:firstLine="480" w:firstLineChars="200"/>
        <w:rPr>
          <w:rFonts w:ascii="方正仿宋_GBK" w:hAnsi="宋体" w:eastAsia="方正仿宋_GBK"/>
          <w:sz w:val="24"/>
        </w:rPr>
      </w:pPr>
      <w:bookmarkStart w:id="123" w:name="_Toc65660351"/>
      <w:bookmarkStart w:id="124" w:name="_Toc64732013"/>
      <w:bookmarkStart w:id="125" w:name="_Toc5149"/>
      <w:bookmarkStart w:id="126" w:name="_Toc30639"/>
      <w:bookmarkStart w:id="127" w:name="_Toc106034791"/>
      <w:bookmarkStart w:id="128" w:name="_Toc11713"/>
      <w:r>
        <w:rPr>
          <w:rFonts w:hint="eastAsia" w:ascii="方正仿宋_GBK" w:hAnsi="宋体" w:eastAsia="方正仿宋_GBK"/>
          <w:sz w:val="24"/>
        </w:rPr>
        <w:t>二、评定成交的标准</w:t>
      </w:r>
      <w:bookmarkEnd w:id="123"/>
      <w:bookmarkEnd w:id="124"/>
      <w:bookmarkEnd w:id="125"/>
      <w:bookmarkEnd w:id="126"/>
      <w:bookmarkEnd w:id="127"/>
      <w:bookmarkEnd w:id="128"/>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评审小组将依照本采购文件相关规定对技术（质量）和服务均能满足实质性响应要求的供应商所提交的报价按照由低到高的顺序提出3名以上成交候选人，并编写结论意见（原则上由报价最低的供应商为成交供应商）。</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（二）若供应商的报价价格相同，按现场随机抽取的方式确定顺序排列。</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（三）成交价格=成交供应商的报价。</w:t>
      </w:r>
    </w:p>
    <w:p>
      <w:pPr>
        <w:pStyle w:val="2"/>
        <w:adjustRightInd w:val="0"/>
        <w:snapToGrid w:val="0"/>
        <w:spacing w:before="0" w:after="0" w:line="400" w:lineRule="exact"/>
        <w:ind w:firstLine="480" w:firstLineChars="200"/>
        <w:rPr>
          <w:rFonts w:ascii="方正仿宋_GBK" w:hAnsi="宋体" w:eastAsia="方正仿宋_GBK"/>
          <w:sz w:val="24"/>
        </w:rPr>
      </w:pPr>
      <w:bookmarkStart w:id="129" w:name="_Toc29113"/>
      <w:bookmarkStart w:id="130" w:name="_Toc65660352"/>
      <w:bookmarkStart w:id="131" w:name="_Toc12644"/>
      <w:bookmarkStart w:id="132" w:name="_Toc19473"/>
      <w:bookmarkStart w:id="133" w:name="_Toc106034792"/>
      <w:r>
        <w:rPr>
          <w:rFonts w:hint="eastAsia" w:ascii="方正仿宋_GBK" w:hAnsi="宋体" w:eastAsia="方正仿宋_GBK"/>
          <w:sz w:val="24"/>
        </w:rPr>
        <w:t>三、无效</w:t>
      </w:r>
      <w:bookmarkEnd w:id="129"/>
      <w:bookmarkEnd w:id="130"/>
      <w:bookmarkEnd w:id="131"/>
      <w:r>
        <w:rPr>
          <w:rFonts w:hint="eastAsia" w:ascii="方正仿宋_GBK" w:hAnsi="宋体" w:eastAsia="方正仿宋_GBK"/>
          <w:sz w:val="24"/>
        </w:rPr>
        <w:t>报价</w:t>
      </w:r>
      <w:bookmarkEnd w:id="132"/>
      <w:bookmarkEnd w:id="133"/>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供应商发生以下条款情况之一者，视为无效报价：</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（一）供应商不符合规定的资格条件的；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（二）供应商未通过实质性响应审查的；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（三）供应商的法定代表人（或其授权代表）或自然人未参加谈判的；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（四）供应商所提交的响应文件未按“第七篇响应文件格式要求”要求签署或盖章的；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（五）供应商的报价超过采购预算或最高限价的；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（六）供应商不接受评审小组修正后的价格的；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（七）单位负责人为同一人或者存在直接控股、管理关系的不同供应商，</w:t>
      </w:r>
      <w:r>
        <w:rPr>
          <w:rFonts w:ascii="方正仿宋_GBK" w:hAnsi="宋体" w:eastAsia="方正仿宋_GBK"/>
          <w:sz w:val="24"/>
          <w:szCs w:val="24"/>
        </w:rPr>
        <w:t>参加同一合同项</w:t>
      </w:r>
      <w:r>
        <w:rPr>
          <w:rFonts w:hint="eastAsia" w:ascii="方正仿宋_GBK" w:hAnsi="宋体" w:eastAsia="方正仿宋_GBK"/>
          <w:sz w:val="24"/>
          <w:szCs w:val="24"/>
        </w:rPr>
        <w:t>（包）报价的；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（八）为采购项目提供整体设计、规范编制或者项目管理、监理、检测等服务的供应商再参加该采购项目的其他采购活动的；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（九）同一</w:t>
      </w:r>
      <w:r>
        <w:rPr>
          <w:rFonts w:ascii="方正仿宋_GBK" w:hAnsi="宋体" w:eastAsia="方正仿宋_GBK"/>
          <w:sz w:val="24"/>
          <w:szCs w:val="24"/>
        </w:rPr>
        <w:t>合同项</w:t>
      </w:r>
      <w:r>
        <w:rPr>
          <w:rFonts w:hint="eastAsia" w:ascii="方正仿宋_GBK" w:hAnsi="宋体" w:eastAsia="方正仿宋_GBK"/>
          <w:sz w:val="24"/>
          <w:szCs w:val="24"/>
        </w:rPr>
        <w:t>（包）</w:t>
      </w:r>
      <w:r>
        <w:rPr>
          <w:rFonts w:ascii="方正仿宋_GBK" w:hAnsi="宋体" w:eastAsia="方正仿宋_GBK"/>
          <w:sz w:val="24"/>
          <w:szCs w:val="24"/>
        </w:rPr>
        <w:t>下</w:t>
      </w:r>
      <w:r>
        <w:rPr>
          <w:rFonts w:hint="eastAsia" w:ascii="方正仿宋_GBK" w:hAnsi="宋体" w:eastAsia="方正仿宋_GBK"/>
          <w:sz w:val="24"/>
          <w:szCs w:val="24"/>
        </w:rPr>
        <w:t>的货物，制造商参与报价，再委托代理商参与报价的；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（十）供应商响应文件内容有与国家现行法律法规相违背的内容，或附有采购人无法接受条件的；</w:t>
      </w:r>
    </w:p>
    <w:p>
      <w:pPr>
        <w:pStyle w:val="6"/>
        <w:spacing w:line="400" w:lineRule="exact"/>
        <w:rPr>
          <w:rFonts w:ascii="方正仿宋_GBK" w:hAnsi="宋体" w:eastAsia="方正仿宋_GBK"/>
          <w:sz w:val="24"/>
          <w:szCs w:val="24"/>
        </w:rPr>
      </w:pPr>
      <w:r>
        <w:rPr>
          <w:rFonts w:hint="eastAsia" w:ascii="方正仿宋_GBK" w:hAnsi="宋体" w:eastAsia="方正仿宋_GBK"/>
          <w:sz w:val="24"/>
          <w:szCs w:val="24"/>
        </w:rPr>
        <w:t>（十一）法律、法规和采购文件规定的其他无效情形。</w:t>
      </w:r>
    </w:p>
    <w:p>
      <w:pPr>
        <w:pStyle w:val="2"/>
        <w:adjustRightInd w:val="0"/>
        <w:snapToGrid w:val="0"/>
        <w:spacing w:before="0" w:after="0" w:line="400" w:lineRule="exact"/>
        <w:ind w:firstLine="480" w:firstLineChars="200"/>
        <w:rPr>
          <w:rFonts w:ascii="方正仿宋_GBK" w:hAnsi="宋体" w:eastAsia="方正仿宋_GBK"/>
          <w:sz w:val="24"/>
        </w:rPr>
      </w:pPr>
      <w:bookmarkStart w:id="134" w:name="_Toc106034793"/>
      <w:bookmarkStart w:id="135" w:name="_Toc22716"/>
      <w:bookmarkStart w:id="136" w:name="_Toc29298"/>
      <w:bookmarkStart w:id="137" w:name="_Toc65660353"/>
      <w:bookmarkStart w:id="138" w:name="_Toc28422"/>
      <w:r>
        <w:rPr>
          <w:rFonts w:hint="eastAsia" w:ascii="方正仿宋_GBK" w:hAnsi="宋体" w:eastAsia="方正仿宋_GBK"/>
          <w:sz w:val="24"/>
        </w:rPr>
        <w:t>四、采购终止</w:t>
      </w:r>
      <w:bookmarkEnd w:id="134"/>
      <w:bookmarkEnd w:id="135"/>
      <w:bookmarkEnd w:id="136"/>
      <w:bookmarkEnd w:id="137"/>
      <w:bookmarkEnd w:id="138"/>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出现下列情形之一的，采购人或者采购代理机构应当终止限额以下比价采购活动，发布项目终止公告并说明原因，重新开展采购活动：</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（一）因情况变化，不再符合规定的限额以下比价采购方式适用情形的；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（二）出现影响采购公正的违法、违规行为的；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项目首次采购过程中，符合竞争要求的供应商或者报价未超过采购预算的供应商不足3家的。但重新采购的供应商仍然少于三个的，按照本采购文件规定的标准、程序开标和评标，经评审有有效供应商的，应当确定成交供应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w:t>
      </w:r>
    </w:p>
    <w:p>
      <w:pPr>
        <w:pStyle w:val="2"/>
        <w:spacing w:before="0" w:after="0" w:line="360" w:lineRule="auto"/>
        <w:jc w:val="center"/>
        <w:rPr>
          <w:rFonts w:ascii="方正小标宋_GBK" w:eastAsia="方正小标宋_GBK"/>
          <w:b w:val="0"/>
          <w:sz w:val="36"/>
          <w:szCs w:val="30"/>
        </w:rPr>
      </w:pPr>
      <w:r>
        <w:rPr>
          <w:rFonts w:ascii="方正仿宋_GBK" w:hAnsi="宋体" w:eastAsia="方正仿宋_GBK"/>
          <w:sz w:val="24"/>
          <w:szCs w:val="24"/>
        </w:rPr>
        <w:br w:type="page"/>
      </w:r>
      <w:bookmarkStart w:id="139" w:name="_Toc20055"/>
      <w:bookmarkStart w:id="140" w:name="_Toc8916"/>
      <w:bookmarkStart w:id="141" w:name="_Toc10768"/>
      <w:bookmarkStart w:id="142" w:name="_Toc106034794"/>
      <w:bookmarkStart w:id="143" w:name="_Toc65660354"/>
      <w:r>
        <w:rPr>
          <w:rFonts w:hint="eastAsia" w:ascii="方正小标宋_GBK" w:eastAsia="方正小标宋_GBK"/>
          <w:b w:val="0"/>
          <w:sz w:val="36"/>
          <w:szCs w:val="30"/>
        </w:rPr>
        <w:t>第五篇  供应商须知</w:t>
      </w:r>
      <w:bookmarkEnd w:id="139"/>
      <w:bookmarkEnd w:id="140"/>
      <w:bookmarkEnd w:id="141"/>
      <w:bookmarkEnd w:id="142"/>
      <w:bookmarkEnd w:id="143"/>
    </w:p>
    <w:p>
      <w:pPr>
        <w:pStyle w:val="2"/>
        <w:adjustRightInd w:val="0"/>
        <w:snapToGrid w:val="0"/>
        <w:spacing w:before="0" w:after="0" w:line="400" w:lineRule="exact"/>
        <w:ind w:firstLine="480" w:firstLineChars="200"/>
        <w:rPr>
          <w:rFonts w:ascii="方正仿宋_GBK" w:hAnsi="宋体" w:eastAsia="方正仿宋_GBK"/>
          <w:sz w:val="24"/>
        </w:rPr>
      </w:pPr>
      <w:bookmarkStart w:id="144" w:name="_Toc65660355"/>
      <w:bookmarkStart w:id="145" w:name="_Toc16524"/>
      <w:bookmarkStart w:id="146" w:name="_Toc5290"/>
      <w:bookmarkStart w:id="147" w:name="_Toc2864"/>
      <w:bookmarkStart w:id="148" w:name="_Toc106034795"/>
      <w:r>
        <w:rPr>
          <w:rFonts w:hint="eastAsia" w:ascii="方正仿宋_GBK" w:hAnsi="宋体" w:eastAsia="方正仿宋_GBK"/>
          <w:sz w:val="24"/>
        </w:rPr>
        <w:t>一、限额以下比价费用</w:t>
      </w:r>
      <w:bookmarkEnd w:id="144"/>
      <w:bookmarkEnd w:id="145"/>
      <w:bookmarkEnd w:id="146"/>
      <w:bookmarkEnd w:id="147"/>
      <w:bookmarkEnd w:id="148"/>
    </w:p>
    <w:p>
      <w:pPr>
        <w:pStyle w:val="2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参与报价的供应商应承担其编制响应文件与递交响应文件所涉及的一切费用，不论比价结果如何，采购人和采购代理机构在任何情况下无义务也无责任承担这些费用。</w:t>
      </w:r>
    </w:p>
    <w:p>
      <w:pPr>
        <w:pStyle w:val="2"/>
        <w:adjustRightInd w:val="0"/>
        <w:snapToGrid w:val="0"/>
        <w:spacing w:before="0" w:after="0" w:line="400" w:lineRule="exact"/>
        <w:ind w:firstLine="480" w:firstLineChars="200"/>
        <w:rPr>
          <w:rFonts w:ascii="方正仿宋_GBK" w:hAnsi="宋体" w:eastAsia="方正仿宋_GBK"/>
          <w:sz w:val="24"/>
        </w:rPr>
      </w:pPr>
      <w:bookmarkStart w:id="149" w:name="_Toc65660356"/>
      <w:bookmarkStart w:id="150" w:name="_Toc31739"/>
      <w:bookmarkStart w:id="151" w:name="_Toc31070"/>
      <w:bookmarkStart w:id="152" w:name="_Toc5915"/>
      <w:bookmarkStart w:id="153" w:name="_Toc106034796"/>
      <w:r>
        <w:rPr>
          <w:rFonts w:hint="eastAsia" w:ascii="方正仿宋_GBK" w:hAnsi="宋体" w:eastAsia="方正仿宋_GBK"/>
          <w:sz w:val="24"/>
        </w:rPr>
        <w:t>二、限额以下比价</w:t>
      </w:r>
      <w:bookmarkEnd w:id="149"/>
      <w:bookmarkEnd w:id="150"/>
      <w:bookmarkEnd w:id="151"/>
      <w:bookmarkEnd w:id="152"/>
      <w:bookmarkEnd w:id="153"/>
      <w:r>
        <w:rPr>
          <w:rFonts w:hint="eastAsia" w:ascii="方正仿宋_GBK" w:hAnsi="宋体" w:eastAsia="方正仿宋_GBK"/>
          <w:sz w:val="24"/>
        </w:rPr>
        <w:t>采购文件</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（一）采购文件由限额以下比价邀请书、项目技术（质量）需求、项目商务需求、采购程序、评定成交的标准、无效报价及采购终止、供应商须知、合同草案条款、响应文件格式要求七部分组成。</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（二）采购人（或采购代理机构）所作的一切有效的书面通知、修改及补充，都是采购文件不可分割的部分。</w:t>
      </w:r>
    </w:p>
    <w:p>
      <w:pPr>
        <w:pStyle w:val="2"/>
        <w:adjustRightInd w:val="0"/>
        <w:snapToGrid w:val="0"/>
        <w:spacing w:before="0" w:after="0" w:line="400" w:lineRule="exact"/>
        <w:ind w:firstLine="480" w:firstLineChars="200"/>
        <w:rPr>
          <w:rFonts w:ascii="方正仿宋_GBK" w:hAnsi="宋体" w:eastAsia="方正仿宋_GBK"/>
          <w:sz w:val="24"/>
        </w:rPr>
      </w:pPr>
      <w:bookmarkStart w:id="154" w:name="_Toc9532"/>
      <w:bookmarkStart w:id="155" w:name="_Toc106034797"/>
      <w:bookmarkStart w:id="156" w:name="_Toc1922"/>
      <w:bookmarkStart w:id="157" w:name="_Toc65660357"/>
      <w:bookmarkStart w:id="158" w:name="_Toc3061"/>
      <w:r>
        <w:rPr>
          <w:rFonts w:hint="eastAsia" w:ascii="方正仿宋_GBK" w:hAnsi="宋体" w:eastAsia="方正仿宋_GBK"/>
          <w:sz w:val="24"/>
        </w:rPr>
        <w:t>三、报价要求</w:t>
      </w:r>
      <w:bookmarkEnd w:id="154"/>
      <w:bookmarkEnd w:id="155"/>
      <w:bookmarkEnd w:id="156"/>
      <w:bookmarkEnd w:id="157"/>
      <w:bookmarkEnd w:id="158"/>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（一）响应文件</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供应商应当按照采购文件的要求编制响应文件，并对采购文件提出的要求和条件作出实质性响应，响应文件原则上应装订成册提交。</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1.响应文件组成</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2.联合体</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2.1两个以上供应商可以组成一个联合体，以一个供应商的身份参与报价。</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2.2以联合体形式参加报价的，联合体各方均应</w:t>
      </w:r>
      <w:r>
        <w:rPr>
          <w:rFonts w:hint="eastAsia" w:ascii="方正仿宋_GBK" w:hAnsi="宋体" w:eastAsia="方正仿宋_GBK" w:cs="宋体"/>
          <w:kern w:val="0"/>
          <w:sz w:val="24"/>
          <w:szCs w:val="24"/>
        </w:rPr>
        <w:t>满足供应商资格要求（详见“第一篇”）</w:t>
      </w:r>
      <w:r>
        <w:rPr>
          <w:rFonts w:hint="eastAsia" w:ascii="方正仿宋_GBK" w:hAnsi="宋体" w:eastAsia="方正仿宋_GBK"/>
          <w:sz w:val="24"/>
        </w:rPr>
        <w:t>。联合体中有同类资质的供应商按照联合体分工承担相同工作的，应当按照资质等级较低的供应商确定资质等级。</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2.3联合体各方之间应当签订共同联合协议，共同联合协议中应确定主办方（主体），代表联合体进行报价和澄清。共同联合协议应明确约定联合体各方承担的工作和相应的责任，并将共同联合协议连同响应文件一并提交采购人或采购代理机构。</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2.4以联合体形式参加政府采购活动的，联合体各方不得再单独参加或者与其他供应商另外组成联合体参加同一合同项下的政府采购活动。</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2.5联合体业绩计算，按照共同联合协议分工认定。</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2.6两个以上的自然人、法人或者其他组织组成一个联合体，以一个供应商的身份共同参加政府采购活动的，联合体成员存在不良信用记录的，视同联合体存在不良信用记录。</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rPr>
        <w:t>2.7以联合体报价的，共同联合协议中应确定主办方（主体），代表联合体进行报价和澄清。法定代表人授权委托书由联合体主办方（主体）出具。联合体各方均应满足供应商资格要求（详见“第一篇”）。</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3.报价有效期：响应文件及有关承诺文件有效期为提交响应文件截止时间起90天。</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（二）修正错误</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若供应商所递交的响应文件或报价中的价格出现大写金额和小写金额不一致的错误，以大写金额修正为准。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评审小组或采购人按上述修正错误的原则及方法修正供应商的报价，供应商同意并签署确认后，修正后的报价对供应商具有约束作用。如果供应商不接受修正后的价格，将视为无效报价。</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（三）提交响应文件的份数和签署</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1.响应文件正本一份，参加投标人无论是否中标，响应文件一概不退。</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2.</w:t>
      </w:r>
      <w:r>
        <w:rPr>
          <w:rFonts w:hint="eastAsia" w:ascii="方正仿宋_GBK" w:hAnsi="宋体" w:eastAsia="方正仿宋_GBK"/>
          <w:sz w:val="24"/>
        </w:rPr>
        <w:t>在响应文件正本中，采购文件第七篇响应文件格式中规定签署、盖章的地方必须按其规定签署、盖章。</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3.若供应商对响应文件的错处作必要修改，则应在修改处加盖供应商公章或由法定代表人（或其授权代表）或自然人</w:t>
      </w:r>
      <w:r>
        <w:rPr>
          <w:rFonts w:hint="eastAsia" w:ascii="方正仿宋_GBK" w:hAnsi="宋体" w:eastAsia="方正仿宋_GBK"/>
          <w:sz w:val="24"/>
          <w:szCs w:val="24"/>
        </w:rPr>
        <w:t>（供应商为自然人）签署</w:t>
      </w:r>
      <w:r>
        <w:rPr>
          <w:rFonts w:hint="eastAsia" w:ascii="方正仿宋_GBK" w:hAnsi="宋体" w:eastAsia="方正仿宋_GBK"/>
          <w:sz w:val="24"/>
        </w:rPr>
        <w:t>确认。</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4.电报、电话、传真形式的响应文件概不接受。</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（四）响应文件的递交</w:t>
      </w:r>
    </w:p>
    <w:p>
      <w:pPr>
        <w:pStyle w:val="4"/>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响应文件应密封送达报价地点，应在封套上注明采购项目名称、供应商名称。</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（五）响应文件语言：简体中文</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（六）供应商参与人员</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各供应商应当派1-2名代表参与报价，至少1人应为法定代表人（或其授权代表）或自然人（供应商为自然人）。</w:t>
      </w:r>
    </w:p>
    <w:p>
      <w:pPr>
        <w:pStyle w:val="2"/>
        <w:adjustRightInd w:val="0"/>
        <w:snapToGrid w:val="0"/>
        <w:spacing w:before="0" w:after="0" w:line="400" w:lineRule="exact"/>
        <w:ind w:firstLine="480" w:firstLineChars="200"/>
        <w:rPr>
          <w:rFonts w:ascii="方正仿宋_GBK" w:hAnsi="宋体" w:eastAsia="方正仿宋_GBK"/>
          <w:sz w:val="24"/>
        </w:rPr>
      </w:pPr>
      <w:bookmarkStart w:id="159" w:name="_Toc10172"/>
      <w:bookmarkStart w:id="160" w:name="_Toc65660358"/>
      <w:bookmarkStart w:id="161" w:name="_Toc14702"/>
      <w:bookmarkStart w:id="162" w:name="_Toc6242"/>
      <w:bookmarkStart w:id="163" w:name="_Toc106034798"/>
      <w:r>
        <w:rPr>
          <w:rFonts w:hint="eastAsia" w:ascii="方正仿宋_GBK" w:hAnsi="宋体" w:eastAsia="方正仿宋_GBK"/>
          <w:sz w:val="24"/>
        </w:rPr>
        <w:t>四、成交供应商的确定和变更</w:t>
      </w:r>
      <w:bookmarkEnd w:id="159"/>
      <w:bookmarkEnd w:id="160"/>
      <w:bookmarkEnd w:id="161"/>
      <w:bookmarkEnd w:id="162"/>
      <w:bookmarkEnd w:id="163"/>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采购结果应当在评审结束后5个工作日内发布。采购人根据质量和服务均能满足采购文件实质性响应要求且报价最低的原则确定成交供应商。采购人逾期未确定成交供应商且不提出异议的，视为确定评审结论提出的报价最低的供应商为成交供应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（二）成交供应商的变更</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成交供应商拒绝签订政府采购合同的，采购人可以按照评审意见推荐的成交候选人顺序，确定排名下一位的候选人为成交供应商，也可以重新开展政府采购活动。拒绝签订政府采购合同的成交供应商不得参加对该项目重新开展的采购活动。</w:t>
      </w:r>
    </w:p>
    <w:p>
      <w:pPr>
        <w:pStyle w:val="2"/>
        <w:adjustRightInd w:val="0"/>
        <w:snapToGrid w:val="0"/>
        <w:spacing w:before="0" w:after="0" w:line="400" w:lineRule="exact"/>
        <w:ind w:firstLine="480" w:firstLineChars="200"/>
        <w:rPr>
          <w:rFonts w:ascii="方正仿宋_GBK" w:hAnsi="宋体" w:eastAsia="方正仿宋_GBK"/>
          <w:sz w:val="24"/>
        </w:rPr>
      </w:pPr>
      <w:bookmarkStart w:id="164" w:name="_Toc10504"/>
      <w:bookmarkStart w:id="165" w:name="_Toc29821"/>
      <w:bookmarkStart w:id="166" w:name="_Toc65660359"/>
      <w:bookmarkStart w:id="167" w:name="_Toc1092"/>
      <w:bookmarkStart w:id="168" w:name="_Toc106034799"/>
      <w:r>
        <w:rPr>
          <w:rFonts w:hint="eastAsia" w:ascii="方正仿宋_GBK" w:hAnsi="宋体" w:eastAsia="方正仿宋_GBK"/>
          <w:sz w:val="24"/>
        </w:rPr>
        <w:t>五、成交通知</w:t>
      </w:r>
      <w:bookmarkEnd w:id="164"/>
      <w:bookmarkEnd w:id="165"/>
      <w:bookmarkEnd w:id="166"/>
      <w:bookmarkEnd w:id="167"/>
      <w:bookmarkEnd w:id="168"/>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（一）成交供应商确定后，将在重庆市交通局官网上发布成交结果公告。</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（二）成交结果公告将作为签订合同的依据。</w:t>
      </w:r>
    </w:p>
    <w:p>
      <w:pPr>
        <w:pStyle w:val="2"/>
        <w:adjustRightInd w:val="0"/>
        <w:snapToGrid w:val="0"/>
        <w:spacing w:before="0" w:after="0" w:line="400" w:lineRule="exact"/>
        <w:ind w:firstLine="480" w:firstLineChars="200"/>
        <w:rPr>
          <w:rFonts w:ascii="方正仿宋_GBK" w:hAnsi="宋体" w:eastAsia="方正仿宋_GBK"/>
          <w:sz w:val="24"/>
        </w:rPr>
      </w:pPr>
      <w:bookmarkStart w:id="169" w:name="_Toc106034800"/>
      <w:bookmarkStart w:id="170" w:name="_Toc1010"/>
      <w:bookmarkStart w:id="171" w:name="_Toc30909"/>
      <w:bookmarkStart w:id="172" w:name="_Toc65660360"/>
      <w:bookmarkStart w:id="173" w:name="_Toc31082"/>
      <w:r>
        <w:rPr>
          <w:rFonts w:hint="eastAsia" w:ascii="方正仿宋_GBK" w:hAnsi="宋体" w:eastAsia="方正仿宋_GBK"/>
          <w:sz w:val="24"/>
        </w:rPr>
        <w:t>六、关于质疑和投诉</w:t>
      </w:r>
      <w:bookmarkEnd w:id="169"/>
      <w:bookmarkEnd w:id="170"/>
      <w:bookmarkEnd w:id="171"/>
      <w:bookmarkEnd w:id="172"/>
      <w:bookmarkEnd w:id="173"/>
    </w:p>
    <w:p>
      <w:pPr>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 xml:space="preserve"> （一）质疑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供应商认为采购文件、采购过程和成交结果使自己的权益收到伤害的，可向采购人或采购代理机构以书面形式提出质疑。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 xml:space="preserve">提出质疑的应当是参与所质疑项目采购活动的供应商。 </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1.质疑时限、内容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1.1供应商认为采购文件、采购过程、成交结果使自己的权益受到损害的，可以在知道或者应知其权益受到损害之日起7个工作日内，以书面形式向采购人、采购代理机构提出质疑。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1.2供应商提出质疑应当提交质疑函和必要的证明材料，质疑函应当包括下列内容：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1.2.1供应商的姓名或者名称、地址、邮编、联系人及联系电话；</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1.2.2</w:t>
      </w:r>
      <w:r>
        <w:rPr>
          <w:rFonts w:hint="eastAsia" w:ascii="方正仿宋_GBK" w:hAnsi="宋体" w:eastAsia="方正仿宋_GBK"/>
          <w:sz w:val="24"/>
          <w:szCs w:val="24"/>
        </w:rPr>
        <w:t>质疑项目的项目名称</w:t>
      </w:r>
      <w:r>
        <w:rPr>
          <w:rFonts w:hint="eastAsia" w:ascii="方正仿宋_GBK" w:hAnsi="仿宋" w:eastAsia="方正仿宋_GBK" w:cs="仿宋"/>
          <w:sz w:val="24"/>
        </w:rPr>
        <w:t>；</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1.2.3具体、明确的质疑事项和与质疑事项相关的请求；</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1.2.4事实依据；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1.2.5必要的法律依据；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1.2.6提出质疑的日期；</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1.2.7营业执照（或事业单位法人证书，或个体工商户营业执照或有效的自然人身份证明）复印件；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1.2.8法定代表人授权委托书原件、法定代表人身份证复印件和其授权代表的身份证复印件（供应商为自然人的提供自然人身份证复印件）；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2.质疑答复</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采购人、采购代理机构应当在收到供应商的书面质疑后七个工作日内作出答复，并以书面形式通知质疑供应商和其他有关供应商。</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3.其他</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3.1供应商应按照《政府采购质疑和投诉办法》（财政部令第94号）及相关法律法规要求，在法定质疑期内一次性提出针对同一采购程序环节的质疑。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3.2质疑函范本可在财政部门户网站和中国政府采购网下载。</w:t>
      </w:r>
    </w:p>
    <w:p>
      <w:pPr>
        <w:pStyle w:val="2"/>
        <w:adjustRightInd w:val="0"/>
        <w:snapToGrid w:val="0"/>
        <w:spacing w:before="0" w:after="0" w:line="400" w:lineRule="exact"/>
        <w:ind w:firstLine="480" w:firstLineChars="200"/>
        <w:rPr>
          <w:rFonts w:ascii="方正仿宋_GBK" w:hAnsi="宋体" w:eastAsia="方正仿宋_GBK"/>
          <w:sz w:val="24"/>
        </w:rPr>
      </w:pPr>
      <w:bookmarkStart w:id="174" w:name="_Toc106034801"/>
      <w:bookmarkStart w:id="175" w:name="_Toc65660361"/>
      <w:bookmarkStart w:id="176" w:name="_Toc3127"/>
      <w:bookmarkStart w:id="177" w:name="_Toc16648"/>
      <w:bookmarkStart w:id="178" w:name="_Toc23778"/>
      <w:r>
        <w:rPr>
          <w:rFonts w:hint="eastAsia" w:ascii="方正仿宋_GBK" w:hAnsi="宋体" w:eastAsia="方正仿宋_GBK"/>
          <w:sz w:val="24"/>
        </w:rPr>
        <w:t>七、签订合同</w:t>
      </w:r>
      <w:bookmarkEnd w:id="174"/>
      <w:bookmarkEnd w:id="175"/>
      <w:bookmarkEnd w:id="176"/>
      <w:bookmarkEnd w:id="177"/>
      <w:bookmarkEnd w:id="178"/>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方正仿宋_GBK" w:eastAsia="方正仿宋_GBK"/>
          <w:sz w:val="24"/>
        </w:rPr>
        <w:t>采购人原则上应在成交结果公告发出之日起二十日内和成交供应商签订政府采购合同，无正当理由不得拒绝或拖延合同签订</w:t>
      </w:r>
      <w:r>
        <w:rPr>
          <w:rFonts w:hint="eastAsia" w:ascii="方正仿宋_GBK" w:hAnsi="宋体" w:eastAsia="方正仿宋_GBK"/>
          <w:sz w:val="24"/>
          <w:szCs w:val="24"/>
        </w:rPr>
        <w:t>。所签订的合同不得对采购文件和供应商的响应文件作实质性修改。其他未尽事宜由采购人和成交供应商在采购合同中详细约定。</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（二）采购文件、供应商的响应文件及澄清文件等，均为签订政府采购合同的依据。</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（三）合同生效条款由供需双方约定，法律、行政法规规定应当办理批准、登记等手续后生效的合同，依照其规定。</w:t>
      </w:r>
    </w:p>
    <w:p>
      <w:pPr>
        <w:pStyle w:val="2"/>
        <w:adjustRightInd w:val="0"/>
        <w:snapToGrid w:val="0"/>
        <w:spacing w:before="0" w:after="0" w:line="400" w:lineRule="exact"/>
        <w:ind w:firstLine="480" w:firstLineChars="200"/>
        <w:rPr>
          <w:rFonts w:ascii="方正仿宋_GBK" w:hAnsi="宋体" w:eastAsia="方正仿宋_GBK"/>
          <w:sz w:val="24"/>
        </w:rPr>
      </w:pPr>
      <w:bookmarkStart w:id="179" w:name="_Toc106034802"/>
      <w:bookmarkStart w:id="180" w:name="_Toc77"/>
      <w:r>
        <w:rPr>
          <w:rFonts w:hint="eastAsia" w:ascii="方正仿宋_GBK" w:hAnsi="宋体" w:eastAsia="方正仿宋_GBK"/>
          <w:sz w:val="24"/>
        </w:rPr>
        <w:t>八、项目验收</w:t>
      </w:r>
      <w:bookmarkEnd w:id="179"/>
      <w:bookmarkEnd w:id="180"/>
    </w:p>
    <w:p>
      <w:pPr>
        <w:spacing w:line="400" w:lineRule="exact"/>
        <w:ind w:firstLine="360" w:firstLineChars="150"/>
        <w:rPr>
          <w:rFonts w:ascii="方正仿宋_GBK" w:hAnsi="宋体" w:eastAsia="方正仿宋_GBK"/>
          <w:sz w:val="24"/>
          <w:szCs w:val="24"/>
        </w:rPr>
      </w:pPr>
      <w:r>
        <w:rPr>
          <w:rFonts w:hint="eastAsia" w:ascii="方正仿宋_GBK" w:hAnsi="方正仿宋_GBK" w:eastAsia="方正仿宋_GBK"/>
          <w:sz w:val="24"/>
        </w:rPr>
        <w:t>合同执行完毕，采购人原则上在收到验收申请后，应在7个工作日内组织履约情况验收，不得无故拖延或附加额外条件。</w:t>
      </w:r>
    </w:p>
    <w:p>
      <w:pPr>
        <w:pStyle w:val="2"/>
        <w:adjustRightInd w:val="0"/>
        <w:snapToGrid w:val="0"/>
        <w:spacing w:before="0" w:after="0" w:line="400" w:lineRule="exact"/>
        <w:ind w:firstLine="480" w:firstLineChars="200"/>
        <w:rPr>
          <w:rFonts w:ascii="方正仿宋_GBK" w:hAnsi="宋体" w:eastAsia="方正仿宋_GBK"/>
          <w:sz w:val="24"/>
        </w:rPr>
      </w:pPr>
      <w:bookmarkStart w:id="181" w:name="_Toc29513"/>
      <w:bookmarkStart w:id="182" w:name="_Toc65660362"/>
      <w:bookmarkStart w:id="183" w:name="_Toc32594"/>
      <w:bookmarkStart w:id="184" w:name="_Toc2438"/>
      <w:bookmarkStart w:id="185" w:name="_Toc106034803"/>
      <w:r>
        <w:rPr>
          <w:rFonts w:hint="eastAsia" w:ascii="方正仿宋_GBK" w:hAnsi="宋体" w:eastAsia="方正仿宋_GBK"/>
          <w:sz w:val="24"/>
        </w:rPr>
        <w:t>九、采购代理服务费</w:t>
      </w:r>
      <w:bookmarkEnd w:id="181"/>
      <w:bookmarkEnd w:id="182"/>
      <w:bookmarkEnd w:id="183"/>
      <w:bookmarkEnd w:id="184"/>
      <w:bookmarkEnd w:id="185"/>
    </w:p>
    <w:p>
      <w:pPr>
        <w:spacing w:line="400" w:lineRule="exact"/>
        <w:ind w:firstLine="480" w:firstLineChars="200"/>
        <w:rPr>
          <w:rFonts w:ascii="方正仿宋_GBK" w:hAnsi="宋体" w:eastAsia="方正仿宋_GBK"/>
          <w:b/>
          <w:sz w:val="24"/>
        </w:rPr>
      </w:pPr>
      <w:r>
        <w:rPr>
          <w:rFonts w:hint="eastAsia" w:ascii="方正仿宋_GBK" w:hAnsi="宋体" w:eastAsia="方正仿宋_GBK"/>
          <w:sz w:val="24"/>
        </w:rPr>
        <w:t>（一）供应商成交后向采购代理机构缴纳</w:t>
      </w:r>
      <w:r>
        <w:rPr>
          <w:rFonts w:hint="eastAsia" w:ascii="方正仿宋_GBK" w:hAnsi="宋体" w:eastAsia="方正仿宋_GBK"/>
          <w:sz w:val="24"/>
          <w:szCs w:val="24"/>
        </w:rPr>
        <w:t>采购</w:t>
      </w:r>
      <w:r>
        <w:rPr>
          <w:rFonts w:hint="eastAsia" w:ascii="方正仿宋_GBK" w:hAnsi="宋体" w:eastAsia="方正仿宋_GBK"/>
          <w:sz w:val="24"/>
        </w:rPr>
        <w:t>代理服务费，</w:t>
      </w:r>
      <w:r>
        <w:rPr>
          <w:rFonts w:hint="eastAsia" w:ascii="方正仿宋_GBK" w:hAnsi="宋体" w:eastAsia="方正仿宋_GBK"/>
          <w:sz w:val="24"/>
          <w:szCs w:val="24"/>
        </w:rPr>
        <w:t>采购</w:t>
      </w:r>
      <w:r>
        <w:rPr>
          <w:rFonts w:hint="eastAsia" w:ascii="方正仿宋_GBK" w:hAnsi="宋体" w:eastAsia="方正仿宋_GBK"/>
          <w:sz w:val="24"/>
        </w:rPr>
        <w:t>代理服务费的收取标准按照以下标准执行:</w:t>
      </w:r>
    </w:p>
    <w:p>
      <w:pPr>
        <w:snapToGrid w:val="0"/>
        <w:spacing w:line="400" w:lineRule="exact"/>
        <w:ind w:firstLine="360" w:firstLineChars="150"/>
        <w:rPr>
          <w:rFonts w:ascii="方正仿宋_GBK" w:hAnsi="宋体" w:eastAsia="方正仿宋_GBK"/>
          <w:sz w:val="24"/>
        </w:rPr>
      </w:pPr>
      <w:r>
        <w:rPr>
          <w:rFonts w:hint="eastAsia" w:ascii="方正仿宋_GBK" w:hAnsi="宋体" w:eastAsia="方正仿宋_GBK"/>
          <w:sz w:val="24"/>
        </w:rPr>
        <w:t>XXXXXXX</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rPr>
        <w:t>（二）项目无采购代理机构的不收取代理服务费。</w:t>
      </w:r>
    </w:p>
    <w:p>
      <w:pPr>
        <w:spacing w:line="360" w:lineRule="auto"/>
        <w:ind w:firstLine="480" w:firstLineChars="200"/>
        <w:rPr>
          <w:rFonts w:ascii="宋体" w:hAnsi="宋体"/>
          <w:sz w:val="24"/>
          <w:szCs w:val="24"/>
        </w:rPr>
        <w:sectPr>
          <w:pgSz w:w="11907" w:h="16840"/>
          <w:pgMar w:top="1134" w:right="1191" w:bottom="1134" w:left="1304" w:header="964" w:footer="992" w:gutter="0"/>
          <w:pgNumType w:fmt="numberInDash"/>
          <w:cols w:space="720" w:num="1"/>
          <w:docGrid w:linePitch="312" w:charSpace="0"/>
        </w:sectPr>
      </w:pPr>
    </w:p>
    <w:bookmarkEnd w:id="70"/>
    <w:p>
      <w:pPr>
        <w:pStyle w:val="2"/>
        <w:spacing w:before="0" w:after="0" w:line="360" w:lineRule="auto"/>
        <w:jc w:val="center"/>
        <w:rPr>
          <w:rFonts w:ascii="方正小标宋_GBK" w:eastAsia="方正小标宋_GBK"/>
          <w:b w:val="0"/>
          <w:sz w:val="36"/>
          <w:szCs w:val="30"/>
        </w:rPr>
      </w:pPr>
      <w:bookmarkStart w:id="186" w:name="_Toc11641055"/>
      <w:bookmarkStart w:id="187" w:name="_Toc12789059"/>
      <w:bookmarkStart w:id="188" w:name="_Toc14861"/>
      <w:bookmarkStart w:id="189" w:name="_Toc65660365"/>
      <w:bookmarkStart w:id="190" w:name="_Toc10599"/>
      <w:bookmarkStart w:id="191" w:name="_Toc28162"/>
      <w:bookmarkStart w:id="192" w:name="_Toc106034806"/>
      <w:r>
        <w:rPr>
          <w:rFonts w:hint="eastAsia" w:ascii="方正小标宋_GBK" w:eastAsia="方正小标宋_GBK"/>
          <w:b w:val="0"/>
          <w:sz w:val="36"/>
          <w:szCs w:val="30"/>
        </w:rPr>
        <w:t xml:space="preserve">第六篇  </w:t>
      </w:r>
      <w:bookmarkEnd w:id="186"/>
      <w:bookmarkEnd w:id="187"/>
      <w:r>
        <w:rPr>
          <w:rFonts w:hint="eastAsia" w:ascii="方正小标宋_GBK" w:eastAsia="方正小标宋_GBK"/>
          <w:b w:val="0"/>
          <w:sz w:val="36"/>
          <w:szCs w:val="30"/>
        </w:rPr>
        <w:t>合同草案条款</w:t>
      </w:r>
      <w:bookmarkEnd w:id="188"/>
      <w:bookmarkEnd w:id="189"/>
      <w:bookmarkEnd w:id="190"/>
      <w:bookmarkEnd w:id="191"/>
      <w:bookmarkEnd w:id="192"/>
    </w:p>
    <w:p>
      <w:pPr>
        <w:rPr>
          <w:rFonts w:ascii="方正仿宋_GBK" w:eastAsia="方正仿宋_GBK"/>
          <w:sz w:val="24"/>
        </w:rPr>
      </w:pPr>
      <w:bookmarkStart w:id="193" w:name="_Toc303945820"/>
      <w:bookmarkStart w:id="194" w:name="_Toc148265480"/>
      <w:r>
        <w:rPr>
          <w:rFonts w:hint="eastAsia" w:ascii="方正仿宋_GBK" w:eastAsia="方正仿宋_GBK"/>
          <w:sz w:val="24"/>
        </w:rPr>
        <w:t>附页：合同格式</w:t>
      </w:r>
      <w:bookmarkEnd w:id="193"/>
      <w:bookmarkEnd w:id="194"/>
    </w:p>
    <w:p>
      <w:pPr>
        <w:spacing w:line="500" w:lineRule="exact"/>
        <w:jc w:val="center"/>
        <w:rPr>
          <w:rFonts w:ascii="方正仿宋_GBK" w:eastAsia="方正仿宋_GBK"/>
          <w:b/>
          <w:sz w:val="44"/>
        </w:rPr>
      </w:pPr>
      <w:r>
        <w:rPr>
          <w:rFonts w:hint="eastAsia" w:ascii="方正仿宋_GBK" w:eastAsia="方正仿宋_GBK"/>
          <w:b/>
          <w:sz w:val="44"/>
        </w:rPr>
        <w:t>重庆市政府采购合同</w:t>
      </w:r>
    </w:p>
    <w:p>
      <w:pPr>
        <w:spacing w:line="500" w:lineRule="exact"/>
        <w:jc w:val="center"/>
        <w:outlineLvl w:val="1"/>
        <w:rPr>
          <w:rFonts w:ascii="方正仿宋_GBK" w:eastAsia="方正仿宋_GBK"/>
          <w:b/>
          <w:sz w:val="44"/>
        </w:rPr>
      </w:pPr>
      <w:r>
        <w:rPr>
          <w:rFonts w:hint="eastAsia" w:ascii="方正仿宋_GBK" w:eastAsia="方正仿宋_GBK"/>
          <w:b/>
          <w:sz w:val="44"/>
        </w:rPr>
        <w:t>（服务类）</w:t>
      </w:r>
    </w:p>
    <w:p>
      <w:pPr>
        <w:spacing w:line="500" w:lineRule="exact"/>
        <w:rPr>
          <w:rFonts w:ascii="方正仿宋_GBK" w:eastAsia="方正仿宋_GBK"/>
          <w:sz w:val="24"/>
        </w:rPr>
      </w:pPr>
      <w:r>
        <w:rPr>
          <w:rFonts w:hint="eastAsia" w:ascii="方正仿宋_GBK" w:eastAsia="方正仿宋_GBK"/>
          <w:sz w:val="24"/>
        </w:rPr>
        <w:t>甲方（需方）：___________________________      计价单位：____________</w:t>
      </w:r>
    </w:p>
    <w:p>
      <w:pPr>
        <w:spacing w:line="500" w:lineRule="exact"/>
        <w:rPr>
          <w:rFonts w:ascii="方正仿宋_GBK" w:eastAsia="方正仿宋_GBK"/>
          <w:sz w:val="24"/>
        </w:rPr>
      </w:pPr>
      <w:r>
        <w:rPr>
          <w:rFonts w:hint="eastAsia" w:ascii="方正仿宋_GBK" w:eastAsia="方正仿宋_GBK"/>
          <w:sz w:val="24"/>
        </w:rPr>
        <w:t>乙方（供方）：___________________________      计量单位：_____________</w:t>
      </w:r>
    </w:p>
    <w:p>
      <w:pPr>
        <w:spacing w:line="500" w:lineRule="exact"/>
        <w:rPr>
          <w:rFonts w:ascii="方正仿宋_GBK" w:eastAsia="方正仿宋_GBK"/>
          <w:sz w:val="24"/>
        </w:rPr>
      </w:pPr>
      <w:r>
        <w:rPr>
          <w:rFonts w:hint="eastAsia" w:ascii="方正仿宋_GBK" w:eastAsia="方正仿宋_GBK"/>
          <w:sz w:val="24"/>
        </w:rPr>
        <w:t>经双方协商一致，达成以下购销合同：</w:t>
      </w:r>
    </w:p>
    <w:tbl>
      <w:tblPr>
        <w:tblStyle w:val="1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3071"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项目名称</w:t>
            </w:r>
          </w:p>
        </w:tc>
        <w:tc>
          <w:tcPr>
            <w:tcW w:w="984"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数量</w:t>
            </w:r>
          </w:p>
        </w:tc>
        <w:tc>
          <w:tcPr>
            <w:tcW w:w="1298" w:type="dxa"/>
            <w:gridSpan w:val="2"/>
            <w:vAlign w:val="center"/>
          </w:tcPr>
          <w:p>
            <w:pPr>
              <w:spacing w:line="240" w:lineRule="atLeast"/>
              <w:rPr>
                <w:rFonts w:ascii="方正仿宋_GBK" w:eastAsia="方正仿宋_GBK"/>
                <w:sz w:val="21"/>
                <w:szCs w:val="21"/>
              </w:rPr>
            </w:pPr>
            <w:r>
              <w:rPr>
                <w:rFonts w:hint="eastAsia" w:ascii="方正仿宋_GBK" w:eastAsia="方正仿宋_GBK"/>
                <w:sz w:val="21"/>
                <w:szCs w:val="21"/>
              </w:rPr>
              <w:t>综合单价</w:t>
            </w:r>
          </w:p>
        </w:tc>
        <w:tc>
          <w:tcPr>
            <w:tcW w:w="1134"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总价</w:t>
            </w:r>
          </w:p>
        </w:tc>
        <w:tc>
          <w:tcPr>
            <w:tcW w:w="1559"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服务时间/工期</w:t>
            </w:r>
          </w:p>
        </w:tc>
        <w:tc>
          <w:tcPr>
            <w:tcW w:w="1567"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服务/工程地点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3071" w:type="dxa"/>
            <w:vAlign w:val="center"/>
          </w:tcPr>
          <w:p>
            <w:pPr>
              <w:spacing w:line="240" w:lineRule="atLeast"/>
              <w:rPr>
                <w:rFonts w:ascii="方正仿宋_GBK" w:eastAsia="方正仿宋_GBK"/>
                <w:sz w:val="21"/>
                <w:szCs w:val="21"/>
              </w:rPr>
            </w:pPr>
          </w:p>
        </w:tc>
        <w:tc>
          <w:tcPr>
            <w:tcW w:w="984" w:type="dxa"/>
            <w:vAlign w:val="center"/>
          </w:tcPr>
          <w:p>
            <w:pPr>
              <w:spacing w:line="240" w:lineRule="atLeast"/>
              <w:rPr>
                <w:rFonts w:ascii="方正仿宋_GBK" w:eastAsia="方正仿宋_GBK"/>
                <w:sz w:val="21"/>
                <w:szCs w:val="21"/>
              </w:rPr>
            </w:pPr>
          </w:p>
        </w:tc>
        <w:tc>
          <w:tcPr>
            <w:tcW w:w="1298" w:type="dxa"/>
            <w:gridSpan w:val="2"/>
            <w:vAlign w:val="center"/>
          </w:tcPr>
          <w:p>
            <w:pPr>
              <w:spacing w:line="240" w:lineRule="atLeast"/>
              <w:rPr>
                <w:rFonts w:ascii="方正仿宋_GBK" w:eastAsia="方正仿宋_GBK"/>
                <w:sz w:val="21"/>
                <w:szCs w:val="21"/>
              </w:rPr>
            </w:pPr>
          </w:p>
        </w:tc>
        <w:tc>
          <w:tcPr>
            <w:tcW w:w="1134" w:type="dxa"/>
            <w:vAlign w:val="center"/>
          </w:tcPr>
          <w:p>
            <w:pPr>
              <w:spacing w:line="240" w:lineRule="atLeast"/>
              <w:rPr>
                <w:rFonts w:ascii="方正仿宋_GBK" w:eastAsia="方正仿宋_GBK"/>
                <w:sz w:val="21"/>
                <w:szCs w:val="21"/>
              </w:rPr>
            </w:pPr>
          </w:p>
        </w:tc>
        <w:tc>
          <w:tcPr>
            <w:tcW w:w="1559" w:type="dxa"/>
            <w:vAlign w:val="center"/>
          </w:tcPr>
          <w:p>
            <w:pPr>
              <w:spacing w:line="240" w:lineRule="atLeast"/>
              <w:rPr>
                <w:rFonts w:ascii="方正仿宋_GBK" w:eastAsia="方正仿宋_GBK"/>
                <w:sz w:val="21"/>
                <w:szCs w:val="21"/>
              </w:rPr>
            </w:pPr>
          </w:p>
        </w:tc>
        <w:tc>
          <w:tcPr>
            <w:tcW w:w="1567" w:type="dxa"/>
            <w:vAlign w:val="center"/>
          </w:tcPr>
          <w:p>
            <w:pPr>
              <w:spacing w:line="240" w:lineRule="atLeast"/>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3071" w:type="dxa"/>
            <w:vAlign w:val="center"/>
          </w:tcPr>
          <w:p>
            <w:pPr>
              <w:spacing w:line="240" w:lineRule="atLeast"/>
              <w:rPr>
                <w:rFonts w:ascii="方正仿宋_GBK" w:eastAsia="方正仿宋_GBK"/>
                <w:sz w:val="21"/>
                <w:szCs w:val="21"/>
              </w:rPr>
            </w:pPr>
          </w:p>
        </w:tc>
        <w:tc>
          <w:tcPr>
            <w:tcW w:w="984" w:type="dxa"/>
            <w:vAlign w:val="center"/>
          </w:tcPr>
          <w:p>
            <w:pPr>
              <w:spacing w:line="240" w:lineRule="atLeast"/>
              <w:rPr>
                <w:rFonts w:ascii="方正仿宋_GBK" w:eastAsia="方正仿宋_GBK"/>
                <w:sz w:val="21"/>
                <w:szCs w:val="21"/>
              </w:rPr>
            </w:pPr>
          </w:p>
        </w:tc>
        <w:tc>
          <w:tcPr>
            <w:tcW w:w="1298" w:type="dxa"/>
            <w:gridSpan w:val="2"/>
            <w:vAlign w:val="center"/>
          </w:tcPr>
          <w:p>
            <w:pPr>
              <w:spacing w:line="240" w:lineRule="atLeast"/>
              <w:rPr>
                <w:rFonts w:ascii="方正仿宋_GBK" w:eastAsia="方正仿宋_GBK"/>
                <w:sz w:val="21"/>
                <w:szCs w:val="21"/>
              </w:rPr>
            </w:pPr>
          </w:p>
        </w:tc>
        <w:tc>
          <w:tcPr>
            <w:tcW w:w="1134" w:type="dxa"/>
            <w:vAlign w:val="center"/>
          </w:tcPr>
          <w:p>
            <w:pPr>
              <w:spacing w:line="240" w:lineRule="atLeast"/>
              <w:rPr>
                <w:rFonts w:ascii="方正仿宋_GBK" w:eastAsia="方正仿宋_GBK"/>
                <w:sz w:val="21"/>
                <w:szCs w:val="21"/>
              </w:rPr>
            </w:pPr>
          </w:p>
        </w:tc>
        <w:tc>
          <w:tcPr>
            <w:tcW w:w="1559" w:type="dxa"/>
            <w:vAlign w:val="center"/>
          </w:tcPr>
          <w:p>
            <w:pPr>
              <w:spacing w:line="240" w:lineRule="atLeast"/>
              <w:rPr>
                <w:rFonts w:ascii="方正仿宋_GBK" w:eastAsia="方正仿宋_GBK"/>
                <w:sz w:val="21"/>
                <w:szCs w:val="21"/>
              </w:rPr>
            </w:pPr>
          </w:p>
        </w:tc>
        <w:tc>
          <w:tcPr>
            <w:tcW w:w="1567" w:type="dxa"/>
            <w:vAlign w:val="center"/>
          </w:tcPr>
          <w:p>
            <w:pPr>
              <w:spacing w:line="240" w:lineRule="atLeast"/>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9613" w:type="dxa"/>
            <w:gridSpan w:val="7"/>
            <w:vAlign w:val="center"/>
          </w:tcPr>
          <w:p>
            <w:pPr>
              <w:spacing w:line="240" w:lineRule="atLeast"/>
              <w:rPr>
                <w:rFonts w:ascii="方正仿宋_GBK" w:eastAsia="方正仿宋_GBK"/>
                <w:sz w:val="21"/>
                <w:szCs w:val="21"/>
              </w:rPr>
            </w:pPr>
            <w:r>
              <w:rPr>
                <w:rFonts w:hint="eastAsia" w:ascii="方正仿宋_GBK" w:eastAsia="方正仿宋_GBK"/>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9613" w:type="dxa"/>
            <w:gridSpan w:val="7"/>
            <w:vAlign w:val="center"/>
          </w:tcPr>
          <w:p>
            <w:pPr>
              <w:spacing w:line="240" w:lineRule="atLeast"/>
              <w:rPr>
                <w:rFonts w:ascii="方正仿宋_GBK" w:eastAsia="方正仿宋_GBK"/>
                <w:sz w:val="21"/>
                <w:szCs w:val="21"/>
              </w:rPr>
            </w:pPr>
            <w:r>
              <w:rPr>
                <w:rFonts w:hint="eastAsia" w:ascii="方正仿宋_GBK" w:eastAsia="方正仿宋_GBK"/>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776" w:hRule="atLeast"/>
        </w:trPr>
        <w:tc>
          <w:tcPr>
            <w:tcW w:w="9613" w:type="dxa"/>
            <w:gridSpan w:val="7"/>
          </w:tcPr>
          <w:p>
            <w:pPr>
              <w:spacing w:line="240" w:lineRule="atLeast"/>
              <w:rPr>
                <w:rFonts w:ascii="方正仿宋_GBK" w:eastAsia="方正仿宋_GBK"/>
                <w:sz w:val="21"/>
                <w:szCs w:val="21"/>
              </w:rPr>
            </w:pPr>
            <w:r>
              <w:rPr>
                <w:rFonts w:hint="eastAsia" w:ascii="方正仿宋_GBK" w:eastAsia="方正仿宋_GBK"/>
                <w:sz w:val="21"/>
                <w:szCs w:val="21"/>
              </w:rPr>
              <w:t>一、项目内容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二、项目要求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三、验收方式：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9628" w:type="dxa"/>
            <w:gridSpan w:val="8"/>
          </w:tcPr>
          <w:p>
            <w:pPr>
              <w:rPr>
                <w:rFonts w:ascii="方正仿宋_GBK" w:eastAsia="方正仿宋_GBK"/>
                <w:sz w:val="21"/>
                <w:szCs w:val="21"/>
              </w:rPr>
            </w:pPr>
            <w:r>
              <w:rPr>
                <w:rFonts w:hint="eastAsia" w:ascii="方正仿宋_GBK" w:eastAsia="方正仿宋_GBK"/>
                <w:sz w:val="21"/>
                <w:szCs w:val="21"/>
              </w:rPr>
              <w:t>四、付款方式</w:t>
            </w:r>
            <w:r>
              <w:rPr>
                <w:rFonts w:ascii="方正仿宋_GBK" w:eastAsia="方正仿宋_GBK"/>
                <w:sz w:val="21"/>
                <w:szCs w:val="21"/>
              </w:rPr>
              <w:t>：</w:t>
            </w:r>
          </w:p>
          <w:p>
            <w:pPr>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五、违约责任：</w:t>
            </w:r>
          </w:p>
          <w:p>
            <w:pPr>
              <w:spacing w:line="240" w:lineRule="atLeast"/>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六、其他约定事项：</w:t>
            </w:r>
          </w:p>
          <w:p>
            <w:pPr>
              <w:spacing w:line="240" w:lineRule="atLeast"/>
              <w:rPr>
                <w:rFonts w:ascii="方正仿宋_GBK" w:eastAsia="方正仿宋_GBK"/>
                <w:sz w:val="21"/>
                <w:szCs w:val="21"/>
              </w:rPr>
            </w:pPr>
            <w:r>
              <w:rPr>
                <w:rFonts w:hint="eastAsia" w:ascii="方正仿宋_GBK" w:eastAsia="方正仿宋_GBK"/>
                <w:sz w:val="21"/>
                <w:szCs w:val="21"/>
              </w:rPr>
              <w:t>1.采购文件及其澄清文件、响应文件和承诺是本合同不可分割的部分。</w:t>
            </w:r>
          </w:p>
          <w:p>
            <w:pPr>
              <w:spacing w:line="240" w:lineRule="atLeast"/>
              <w:rPr>
                <w:rFonts w:ascii="方正仿宋_GBK" w:eastAsia="方正仿宋_GBK"/>
                <w:sz w:val="21"/>
                <w:szCs w:val="21"/>
              </w:rPr>
            </w:pPr>
            <w:r>
              <w:rPr>
                <w:rFonts w:hint="eastAsia" w:ascii="方正仿宋_GBK" w:eastAsia="方正仿宋_GBK"/>
                <w:sz w:val="21"/>
                <w:szCs w:val="21"/>
              </w:rPr>
              <w:t>2.本合同如发生争议由双方协商解决，协商不成向需方所在人民法院提请诉讼。</w:t>
            </w:r>
          </w:p>
          <w:p>
            <w:pPr>
              <w:spacing w:line="240" w:lineRule="atLeast"/>
              <w:rPr>
                <w:rFonts w:ascii="方正仿宋_GBK" w:eastAsia="方正仿宋_GBK"/>
                <w:sz w:val="21"/>
                <w:szCs w:val="21"/>
              </w:rPr>
            </w:pPr>
            <w:r>
              <w:rPr>
                <w:rFonts w:hint="eastAsia" w:ascii="方正仿宋_GBK" w:eastAsia="方正仿宋_GBK"/>
                <w:sz w:val="21"/>
                <w:szCs w:val="21"/>
              </w:rPr>
              <w:t>3.本合同一式__份， 需方__份，供方__份，具同等法律效力。</w:t>
            </w:r>
          </w:p>
          <w:p>
            <w:pPr>
              <w:spacing w:line="240" w:lineRule="atLeast"/>
              <w:rPr>
                <w:rFonts w:ascii="方正仿宋_GBK" w:eastAsia="方正仿宋_GBK"/>
                <w:sz w:val="21"/>
                <w:szCs w:val="21"/>
              </w:rPr>
            </w:pPr>
            <w:r>
              <w:rPr>
                <w:rFonts w:hint="eastAsia" w:ascii="方正仿宋_GBK" w:eastAsia="方正仿宋_GBK"/>
                <w:sz w:val="21"/>
                <w:szCs w:val="21"/>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44" w:type="dxa"/>
            <w:gridSpan w:val="3"/>
          </w:tcPr>
          <w:p>
            <w:pPr>
              <w:spacing w:line="240" w:lineRule="atLeast"/>
              <w:rPr>
                <w:rFonts w:ascii="方正仿宋_GBK" w:eastAsia="方正仿宋_GBK"/>
                <w:sz w:val="21"/>
                <w:szCs w:val="21"/>
              </w:rPr>
            </w:pPr>
            <w:r>
              <w:rPr>
                <w:rFonts w:hint="eastAsia" w:ascii="方正仿宋_GBK" w:eastAsia="方正仿宋_GBK"/>
                <w:sz w:val="21"/>
                <w:szCs w:val="21"/>
              </w:rPr>
              <w:t>需方：</w:t>
            </w:r>
          </w:p>
          <w:p>
            <w:pPr>
              <w:spacing w:line="240" w:lineRule="atLeast"/>
              <w:rPr>
                <w:rFonts w:ascii="方正仿宋_GBK" w:eastAsia="方正仿宋_GBK"/>
                <w:sz w:val="21"/>
                <w:szCs w:val="21"/>
              </w:rPr>
            </w:pPr>
            <w:r>
              <w:rPr>
                <w:rFonts w:hint="eastAsia" w:ascii="方正仿宋_GBK" w:eastAsia="方正仿宋_GBK"/>
                <w:sz w:val="21"/>
                <w:szCs w:val="21"/>
              </w:rPr>
              <w:t>地址：</w:t>
            </w:r>
          </w:p>
          <w:p>
            <w:pPr>
              <w:spacing w:line="240" w:lineRule="atLeast"/>
              <w:rPr>
                <w:rFonts w:ascii="方正仿宋_GBK" w:eastAsia="方正仿宋_GBK"/>
                <w:sz w:val="21"/>
                <w:szCs w:val="21"/>
              </w:rPr>
            </w:pPr>
            <w:r>
              <w:rPr>
                <w:rFonts w:hint="eastAsia" w:ascii="方正仿宋_GBK" w:eastAsia="方正仿宋_GBK"/>
                <w:sz w:val="21"/>
                <w:szCs w:val="21"/>
              </w:rPr>
              <w:t>联系电话：</w:t>
            </w:r>
          </w:p>
          <w:p>
            <w:pPr>
              <w:spacing w:line="240" w:lineRule="atLeast"/>
              <w:rPr>
                <w:rFonts w:ascii="方正仿宋_GBK" w:eastAsia="方正仿宋_GBK"/>
                <w:sz w:val="21"/>
                <w:szCs w:val="21"/>
              </w:rPr>
            </w:pPr>
            <w:r>
              <w:rPr>
                <w:rFonts w:hint="eastAsia" w:ascii="方正仿宋_GBK" w:eastAsia="方正仿宋_GBK"/>
                <w:sz w:val="21"/>
                <w:szCs w:val="21"/>
              </w:rPr>
              <w:t>授权代表：</w:t>
            </w:r>
          </w:p>
        </w:tc>
        <w:tc>
          <w:tcPr>
            <w:tcW w:w="4984" w:type="dxa"/>
            <w:gridSpan w:val="5"/>
          </w:tcPr>
          <w:p>
            <w:pPr>
              <w:spacing w:line="240" w:lineRule="atLeast"/>
              <w:rPr>
                <w:rFonts w:ascii="方正仿宋_GBK" w:eastAsia="方正仿宋_GBK"/>
                <w:sz w:val="21"/>
                <w:szCs w:val="21"/>
              </w:rPr>
            </w:pPr>
            <w:r>
              <w:rPr>
                <w:rFonts w:hint="eastAsia" w:ascii="方正仿宋_GBK" w:eastAsia="方正仿宋_GBK"/>
                <w:sz w:val="21"/>
                <w:szCs w:val="21"/>
              </w:rPr>
              <w:t>供方：</w:t>
            </w:r>
          </w:p>
          <w:p>
            <w:pPr>
              <w:spacing w:line="240" w:lineRule="atLeast"/>
              <w:rPr>
                <w:rFonts w:ascii="方正仿宋_GBK" w:eastAsia="方正仿宋_GBK"/>
                <w:sz w:val="21"/>
                <w:szCs w:val="21"/>
              </w:rPr>
            </w:pPr>
            <w:r>
              <w:rPr>
                <w:rFonts w:hint="eastAsia" w:ascii="方正仿宋_GBK" w:eastAsia="方正仿宋_GBK"/>
                <w:sz w:val="21"/>
                <w:szCs w:val="21"/>
              </w:rPr>
              <w:t>地址：</w:t>
            </w:r>
          </w:p>
          <w:p>
            <w:pPr>
              <w:spacing w:line="240" w:lineRule="atLeast"/>
              <w:rPr>
                <w:rFonts w:ascii="方正仿宋_GBK" w:eastAsia="方正仿宋_GBK"/>
                <w:sz w:val="21"/>
                <w:szCs w:val="21"/>
              </w:rPr>
            </w:pPr>
            <w:r>
              <w:rPr>
                <w:rFonts w:hint="eastAsia" w:ascii="方正仿宋_GBK" w:eastAsia="方正仿宋_GBK"/>
                <w:sz w:val="21"/>
                <w:szCs w:val="21"/>
              </w:rPr>
              <w:t>电话：</w:t>
            </w:r>
          </w:p>
          <w:p>
            <w:pPr>
              <w:spacing w:line="240" w:lineRule="atLeast"/>
              <w:rPr>
                <w:rFonts w:ascii="方正仿宋_GBK" w:eastAsia="方正仿宋_GBK"/>
                <w:sz w:val="21"/>
                <w:szCs w:val="21"/>
              </w:rPr>
            </w:pPr>
            <w:r>
              <w:rPr>
                <w:rFonts w:hint="eastAsia" w:ascii="方正仿宋_GBK" w:eastAsia="方正仿宋_GBK"/>
                <w:sz w:val="21"/>
                <w:szCs w:val="21"/>
              </w:rPr>
              <w:t>传真：</w:t>
            </w:r>
          </w:p>
          <w:p>
            <w:pPr>
              <w:spacing w:line="240" w:lineRule="atLeast"/>
              <w:rPr>
                <w:rFonts w:ascii="方正仿宋_GBK" w:eastAsia="方正仿宋_GBK"/>
                <w:sz w:val="21"/>
                <w:szCs w:val="21"/>
              </w:rPr>
            </w:pPr>
            <w:r>
              <w:rPr>
                <w:rFonts w:hint="eastAsia" w:ascii="方正仿宋_GBK" w:eastAsia="方正仿宋_GBK"/>
                <w:sz w:val="21"/>
                <w:szCs w:val="21"/>
              </w:rPr>
              <w:t>开户银行：</w:t>
            </w:r>
          </w:p>
          <w:p>
            <w:pPr>
              <w:spacing w:line="240" w:lineRule="atLeast"/>
              <w:rPr>
                <w:rFonts w:ascii="方正仿宋_GBK" w:eastAsia="方正仿宋_GBK"/>
                <w:sz w:val="21"/>
                <w:szCs w:val="21"/>
              </w:rPr>
            </w:pPr>
            <w:r>
              <w:rPr>
                <w:rFonts w:hint="eastAsia" w:ascii="方正仿宋_GBK" w:eastAsia="方正仿宋_GBK"/>
                <w:sz w:val="21"/>
                <w:szCs w:val="21"/>
              </w:rPr>
              <w:t>账号：</w:t>
            </w:r>
          </w:p>
          <w:p>
            <w:pPr>
              <w:spacing w:line="240" w:lineRule="atLeast"/>
              <w:rPr>
                <w:rFonts w:ascii="方正仿宋_GBK" w:eastAsia="方正仿宋_GBK"/>
                <w:sz w:val="21"/>
                <w:szCs w:val="21"/>
              </w:rPr>
            </w:pPr>
            <w:r>
              <w:rPr>
                <w:rFonts w:hint="eastAsia" w:ascii="方正仿宋_GBK" w:eastAsia="方正仿宋_GBK"/>
                <w:sz w:val="21"/>
                <w:szCs w:val="21"/>
              </w:rPr>
              <w:t>授权代表：</w:t>
            </w:r>
          </w:p>
          <w:p>
            <w:pPr>
              <w:widowControl/>
              <w:spacing w:line="240" w:lineRule="atLeast"/>
              <w:jc w:val="left"/>
              <w:rPr>
                <w:rFonts w:ascii="方正仿宋_GBK" w:eastAsia="方正仿宋_GBK"/>
                <w:sz w:val="21"/>
                <w:szCs w:val="21"/>
              </w:rPr>
            </w:pPr>
            <w:r>
              <w:rPr>
                <w:rFonts w:hint="eastAsia" w:ascii="方正仿宋_GBK" w:eastAsia="方正仿宋_GBK"/>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备注：</w:t>
            </w:r>
          </w:p>
          <w:p>
            <w:pPr>
              <w:spacing w:line="240" w:lineRule="atLeast"/>
              <w:rPr>
                <w:rFonts w:ascii="方正仿宋_GBK" w:eastAsia="方正仿宋_GBK"/>
                <w:sz w:val="21"/>
                <w:szCs w:val="21"/>
              </w:rPr>
            </w:pPr>
          </w:p>
          <w:p>
            <w:pPr>
              <w:spacing w:line="240" w:lineRule="atLeast"/>
              <w:rPr>
                <w:rFonts w:ascii="方正仿宋_GBK" w:eastAsia="方正仿宋_GBK"/>
                <w:sz w:val="21"/>
                <w:szCs w:val="21"/>
              </w:rPr>
            </w:pPr>
          </w:p>
        </w:tc>
      </w:tr>
    </w:tbl>
    <w:p>
      <w:pPr>
        <w:rPr>
          <w:rFonts w:ascii="方正仿宋_GBK" w:eastAsia="方正仿宋_GBK"/>
          <w:sz w:val="24"/>
        </w:rPr>
      </w:pPr>
      <w:r>
        <w:rPr>
          <w:rFonts w:hint="eastAsia" w:ascii="方正仿宋_GBK" w:eastAsia="方正仿宋_GBK"/>
          <w:sz w:val="24"/>
        </w:rPr>
        <w:t>签约时间：           年   月   日      签约地点：</w:t>
      </w:r>
    </w:p>
    <w:p>
      <w:pPr>
        <w:tabs>
          <w:tab w:val="left" w:pos="9000"/>
        </w:tabs>
        <w:spacing w:line="276" w:lineRule="auto"/>
        <w:jc w:val="center"/>
        <w:rPr>
          <w:rFonts w:ascii="方正仿宋_GBK" w:eastAsia="方正仿宋_GBK"/>
          <w:sz w:val="21"/>
          <w:szCs w:val="21"/>
        </w:rPr>
        <w:sectPr>
          <w:footerReference r:id="rId11" w:type="default"/>
          <w:footerReference r:id="rId12" w:type="even"/>
          <w:pgSz w:w="11907" w:h="16840"/>
          <w:pgMar w:top="1134" w:right="1191" w:bottom="1134" w:left="1304" w:header="964" w:footer="992" w:gutter="0"/>
          <w:pgNumType w:fmt="numberInDash"/>
          <w:cols w:space="720" w:num="1"/>
          <w:docGrid w:linePitch="312" w:charSpace="0"/>
        </w:sectPr>
      </w:pPr>
    </w:p>
    <w:p>
      <w:pPr>
        <w:pStyle w:val="2"/>
        <w:spacing w:before="0" w:after="0" w:line="360" w:lineRule="auto"/>
        <w:jc w:val="center"/>
        <w:rPr>
          <w:rFonts w:ascii="方正小标宋_GBK" w:eastAsia="方正小标宋_GBK"/>
          <w:b w:val="0"/>
          <w:sz w:val="36"/>
          <w:szCs w:val="30"/>
        </w:rPr>
      </w:pPr>
      <w:bookmarkStart w:id="195" w:name="_Hlt41879464"/>
      <w:bookmarkEnd w:id="195"/>
      <w:bookmarkStart w:id="196" w:name="_Toc12789072"/>
      <w:bookmarkStart w:id="197" w:name="_Toc106034807"/>
      <w:bookmarkStart w:id="198" w:name="_Toc9538"/>
      <w:bookmarkStart w:id="199" w:name="_Toc18521"/>
      <w:bookmarkStart w:id="200" w:name="_Toc6968"/>
      <w:bookmarkStart w:id="201" w:name="_Toc65660378"/>
      <w:r>
        <w:rPr>
          <w:rFonts w:hint="eastAsia" w:ascii="方正小标宋_GBK" w:eastAsia="方正小标宋_GBK"/>
          <w:b w:val="0"/>
          <w:sz w:val="36"/>
          <w:szCs w:val="30"/>
        </w:rPr>
        <w:t>第七篇  响应文件格式要求</w:t>
      </w:r>
      <w:bookmarkEnd w:id="196"/>
      <w:bookmarkEnd w:id="197"/>
      <w:bookmarkEnd w:id="198"/>
      <w:bookmarkEnd w:id="199"/>
      <w:bookmarkEnd w:id="200"/>
      <w:bookmarkEnd w:id="201"/>
    </w:p>
    <w:p>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b/>
          <w:sz w:val="24"/>
          <w:szCs w:val="24"/>
        </w:rPr>
        <w:t>一、经济部分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b/>
          <w:sz w:val="24"/>
          <w:szCs w:val="24"/>
        </w:rPr>
        <w:t>二、技术（质量）部分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（一）技术（质量）响应偏离表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（二）其他资料（格式自定）</w:t>
      </w:r>
    </w:p>
    <w:p>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b/>
          <w:sz w:val="24"/>
          <w:szCs w:val="24"/>
        </w:rPr>
        <w:t>三、服务部分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（一）服务响应偏离表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（二）其它优惠服务承诺（格式自定）</w:t>
      </w:r>
    </w:p>
    <w:p>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b/>
          <w:sz w:val="24"/>
          <w:szCs w:val="24"/>
        </w:rPr>
        <w:t>四、资格条件及其他</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（二）法定代表人身份证明书（格式）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（三）法定代表人授权委托书（格式）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（四）基本资格条件承诺函（格式）</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（五）特定资格条件证书或证明文件</w:t>
      </w:r>
    </w:p>
    <w:p>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b/>
          <w:sz w:val="24"/>
          <w:szCs w:val="24"/>
        </w:rPr>
        <w:t>五、其他资料</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（一）联合体协议或分包意向协议（格式自定）</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（二）其他与项目有关的资料（自附）</w:t>
      </w:r>
    </w:p>
    <w:p>
      <w:pPr>
        <w:snapToGrid w:val="0"/>
        <w:spacing w:line="360" w:lineRule="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0" w:firstLineChars="200"/>
        <w:rPr>
          <w:rFonts w:ascii="方正仿宋_GBK" w:hAnsi="宋体" w:eastAsia="方正仿宋_GBK"/>
          <w:sz w:val="24"/>
        </w:rPr>
      </w:pPr>
      <w:bookmarkStart w:id="202" w:name="_Toc30982"/>
      <w:bookmarkStart w:id="203" w:name="_Toc14244"/>
      <w:bookmarkStart w:id="204" w:name="_Toc26343"/>
      <w:bookmarkStart w:id="205" w:name="_Toc342913419"/>
      <w:bookmarkStart w:id="206" w:name="_Toc313888360"/>
      <w:bookmarkStart w:id="207" w:name="_Toc313008356"/>
      <w:bookmarkStart w:id="208" w:name="_Toc65660379"/>
      <w:bookmarkStart w:id="209" w:name="_Toc106034808"/>
      <w:bookmarkStart w:id="210" w:name="_Toc12789073"/>
      <w:bookmarkStart w:id="211" w:name="_Toc283382454"/>
      <w:r>
        <w:rPr>
          <w:rFonts w:hint="eastAsia" w:ascii="方正仿宋_GBK" w:hAnsi="宋体" w:eastAsia="方正仿宋_GBK"/>
          <w:sz w:val="24"/>
        </w:rPr>
        <w:t>一、经济部分</w:t>
      </w:r>
      <w:bookmarkEnd w:id="202"/>
      <w:bookmarkEnd w:id="203"/>
      <w:bookmarkEnd w:id="204"/>
      <w:bookmarkEnd w:id="205"/>
      <w:bookmarkEnd w:id="206"/>
      <w:bookmarkEnd w:id="207"/>
      <w:bookmarkEnd w:id="208"/>
      <w:bookmarkEnd w:id="209"/>
    </w:p>
    <w:bookmarkEnd w:id="210"/>
    <w:bookmarkEnd w:id="211"/>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561" w:firstLineChars="200"/>
        <w:jc w:val="center"/>
        <w:rPr>
          <w:rFonts w:ascii="方正仿宋_GBK" w:hAnsi="宋体" w:eastAsia="方正仿宋_GBK"/>
          <w:b/>
          <w:szCs w:val="28"/>
        </w:rPr>
      </w:pPr>
      <w:r>
        <w:rPr>
          <w:rFonts w:hint="eastAsia" w:ascii="方正仿宋_GBK" w:hAnsi="宋体" w:eastAsia="方正仿宋_GBK"/>
          <w:b/>
          <w:szCs w:val="28"/>
        </w:rPr>
        <w:t>报价函</w:t>
      </w:r>
    </w:p>
    <w:p>
      <w:pPr>
        <w:tabs>
          <w:tab w:val="left" w:pos="6300"/>
        </w:tabs>
        <w:snapToGrid w:val="0"/>
        <w:spacing w:line="312" w:lineRule="auto"/>
        <w:rPr>
          <w:rFonts w:ascii="方正仿宋_GBK" w:hAnsi="宋体" w:eastAsia="方正仿宋_GBK"/>
          <w:sz w:val="24"/>
          <w:szCs w:val="24"/>
        </w:rPr>
      </w:pP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szCs w:val="24"/>
        </w:rPr>
        <w:t>：</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我方收到____________________________（项目名称）的限额以下比价通知书，经详细研究，决定参加该项目的报价。</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1.愿意按照采购文件中的一切要求，提供本项目服务，项目报价（单价）为人民币大写：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元每天；人民币小写：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元/天。以我公司报价为准。</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3.我方承诺：本次报价的有效期为提交响应文件截止时间起90天。</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4.我方完全理解和接受贵方采购文件的一切规定和要求及评审办法。</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5.在整个比价过程中，我方若有违规行为，接受按照《中华人民共和国政府采购法》和《限额以下比价通知书》之规定给予惩罚。</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6.我方若成为成交供应商，将按照报价结果签订合同，并且严格履行合同义务。本承诺函将成为合同不可分割的一部分，与合同具有同等的法律效力。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7.如果我方成为成交供应商，保证向采购代理机构缴纳采购文件规定的采购代理服务费。</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8.</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pPr>
        <w:tabs>
          <w:tab w:val="left" w:pos="6300"/>
        </w:tabs>
        <w:snapToGrid w:val="0"/>
        <w:spacing w:line="312" w:lineRule="auto"/>
        <w:ind w:firstLine="570"/>
        <w:rPr>
          <w:rFonts w:ascii="方正仿宋_GBK" w:hAnsi="宋体" w:eastAsia="方正仿宋_GBK"/>
          <w:sz w:val="24"/>
          <w:szCs w:val="24"/>
        </w:rPr>
      </w:pP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供应商（公章）或自然人签署：</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地址：  </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电话：                           传真：</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网址：                           邮编：</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联系人：</w:t>
      </w:r>
    </w:p>
    <w:p>
      <w:pPr>
        <w:snapToGrid w:val="0"/>
        <w:spacing w:line="312" w:lineRule="auto"/>
        <w:ind w:firstLine="480" w:firstLineChars="200"/>
        <w:rPr>
          <w:rFonts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（二）明细报价表                           </w:t>
      </w:r>
    </w:p>
    <w:p>
      <w:pPr>
        <w:spacing w:line="400" w:lineRule="exact"/>
        <w:rPr>
          <w:rFonts w:ascii="方正仿宋_GBK" w:hAnsi="宋体" w:eastAsia="方正仿宋_GBK"/>
          <w:sz w:val="24"/>
          <w:szCs w:val="24"/>
          <w:u w:val="single"/>
        </w:rPr>
      </w:pPr>
      <w:r>
        <w:rPr>
          <w:rFonts w:hint="eastAsia" w:ascii="方正仿宋_GBK" w:hAnsi="宋体" w:eastAsia="方正仿宋_GBK"/>
          <w:sz w:val="24"/>
          <w:szCs w:val="24"/>
        </w:rPr>
        <w:t xml:space="preserve">项目名称（服务类）： </w:t>
      </w:r>
    </w:p>
    <w:tbl>
      <w:tblPr>
        <w:tblStyle w:val="10"/>
        <w:tblW w:w="93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exact"/>
          <w:jc w:val="center"/>
        </w:trPr>
        <w:tc>
          <w:tcPr>
            <w:tcW w:w="939"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序号</w:t>
            </w:r>
          </w:p>
        </w:tc>
        <w:tc>
          <w:tcPr>
            <w:tcW w:w="1557"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名称</w:t>
            </w:r>
          </w:p>
        </w:tc>
        <w:tc>
          <w:tcPr>
            <w:tcW w:w="3127"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相关信息</w:t>
            </w:r>
          </w:p>
        </w:tc>
        <w:tc>
          <w:tcPr>
            <w:tcW w:w="1235"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数量</w:t>
            </w:r>
          </w:p>
        </w:tc>
        <w:tc>
          <w:tcPr>
            <w:tcW w:w="1235"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单价</w:t>
            </w:r>
          </w:p>
        </w:tc>
        <w:tc>
          <w:tcPr>
            <w:tcW w:w="1235"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1</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2</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3</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4</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5</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6</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7</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8</w:t>
            </w:r>
          </w:p>
        </w:tc>
        <w:tc>
          <w:tcPr>
            <w:tcW w:w="1557" w:type="dxa"/>
            <w:vAlign w:val="center"/>
          </w:tcPr>
          <w:p>
            <w:pPr>
              <w:rPr>
                <w:rFonts w:ascii="方正仿宋_GBK" w:hAnsi="宋体" w:eastAsia="方正仿宋_GBK"/>
                <w:sz w:val="21"/>
                <w:szCs w:val="21"/>
              </w:rPr>
            </w:pPr>
            <w:r>
              <w:rPr>
                <w:rFonts w:hint="eastAsia" w:ascii="方正仿宋_GBK" w:hAnsi="宋体" w:eastAsia="方正仿宋_GBK"/>
                <w:sz w:val="21"/>
                <w:szCs w:val="21"/>
              </w:rPr>
              <w:t>人工费</w:t>
            </w: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r>
              <w:rPr>
                <w:rFonts w:hint="eastAsia" w:ascii="方正仿宋_GBK" w:hAnsi="宋体" w:eastAsia="方正仿宋_GBK"/>
                <w:sz w:val="21"/>
                <w:szCs w:val="21"/>
              </w:rPr>
              <w:t>/</w:t>
            </w: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9</w:t>
            </w:r>
          </w:p>
        </w:tc>
        <w:tc>
          <w:tcPr>
            <w:tcW w:w="1557" w:type="dxa"/>
            <w:vAlign w:val="center"/>
          </w:tcPr>
          <w:p>
            <w:pPr>
              <w:rPr>
                <w:rFonts w:ascii="方正仿宋_GBK" w:hAnsi="宋体" w:eastAsia="方正仿宋_GBK"/>
                <w:sz w:val="21"/>
                <w:szCs w:val="21"/>
              </w:rPr>
            </w:pPr>
            <w:r>
              <w:rPr>
                <w:rFonts w:hint="eastAsia" w:ascii="方正仿宋_GBK" w:hAnsi="宋体" w:eastAsia="方正仿宋_GBK"/>
                <w:sz w:val="21"/>
                <w:szCs w:val="21"/>
              </w:rPr>
              <w:t>运输费</w:t>
            </w: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r>
              <w:rPr>
                <w:rFonts w:hint="eastAsia" w:ascii="方正仿宋_GBK" w:hAnsi="宋体" w:eastAsia="方正仿宋_GBK"/>
                <w:sz w:val="21"/>
                <w:szCs w:val="21"/>
              </w:rPr>
              <w:t>/</w:t>
            </w: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10</w:t>
            </w:r>
          </w:p>
        </w:tc>
        <w:tc>
          <w:tcPr>
            <w:tcW w:w="1557" w:type="dxa"/>
            <w:vAlign w:val="center"/>
          </w:tcPr>
          <w:p>
            <w:pPr>
              <w:rPr>
                <w:rFonts w:ascii="方正仿宋_GBK" w:hAnsi="宋体" w:eastAsia="方正仿宋_GBK"/>
                <w:sz w:val="21"/>
                <w:szCs w:val="21"/>
              </w:rPr>
            </w:pPr>
            <w:r>
              <w:rPr>
                <w:rFonts w:hint="eastAsia" w:ascii="方正仿宋_GBK" w:hAnsi="宋体" w:eastAsia="方正仿宋_GBK"/>
                <w:sz w:val="21"/>
                <w:szCs w:val="21"/>
              </w:rPr>
              <w:t>其他费用</w:t>
            </w: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r>
              <w:rPr>
                <w:rFonts w:hint="eastAsia" w:ascii="方正仿宋_GBK" w:hAnsi="宋体" w:eastAsia="方正仿宋_GBK"/>
                <w:sz w:val="21"/>
                <w:szCs w:val="21"/>
              </w:rPr>
              <w:t>/</w:t>
            </w: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11</w:t>
            </w:r>
          </w:p>
        </w:tc>
        <w:tc>
          <w:tcPr>
            <w:tcW w:w="1557" w:type="dxa"/>
            <w:vAlign w:val="center"/>
          </w:tcPr>
          <w:p>
            <w:pPr>
              <w:rPr>
                <w:rFonts w:ascii="方正仿宋_GBK" w:hAnsi="宋体" w:eastAsia="方正仿宋_GBK"/>
                <w:sz w:val="21"/>
                <w:szCs w:val="21"/>
              </w:rPr>
            </w:pPr>
            <w:r>
              <w:rPr>
                <w:rFonts w:hint="eastAsia" w:ascii="方正仿宋_GBK" w:hAnsi="宋体" w:eastAsia="方正仿宋_GBK"/>
                <w:sz w:val="21"/>
                <w:szCs w:val="21"/>
              </w:rPr>
              <w:t>……</w:t>
            </w: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r>
              <w:rPr>
                <w:rFonts w:hint="eastAsia" w:ascii="方正仿宋_GBK" w:hAnsi="宋体" w:eastAsia="方正仿宋_GBK"/>
                <w:sz w:val="21"/>
                <w:szCs w:val="21"/>
              </w:rPr>
              <w:t>/</w:t>
            </w: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12</w:t>
            </w:r>
          </w:p>
        </w:tc>
        <w:tc>
          <w:tcPr>
            <w:tcW w:w="1557" w:type="dxa"/>
            <w:vAlign w:val="center"/>
          </w:tcPr>
          <w:p>
            <w:pPr>
              <w:rPr>
                <w:rFonts w:ascii="方正仿宋_GBK" w:hAnsi="宋体" w:eastAsia="方正仿宋_GBK"/>
                <w:sz w:val="21"/>
                <w:szCs w:val="21"/>
              </w:rPr>
            </w:pPr>
            <w:r>
              <w:rPr>
                <w:rFonts w:hint="eastAsia" w:ascii="方正仿宋_GBK" w:hAnsi="宋体" w:eastAsia="方正仿宋_GBK"/>
                <w:sz w:val="21"/>
                <w:szCs w:val="21"/>
              </w:rPr>
              <w:t>总计</w:t>
            </w:r>
          </w:p>
        </w:tc>
        <w:tc>
          <w:tcPr>
            <w:tcW w:w="6832" w:type="dxa"/>
            <w:gridSpan w:val="4"/>
          </w:tcPr>
          <w:p>
            <w:pPr>
              <w:rPr>
                <w:rFonts w:ascii="方正仿宋_GBK" w:hAnsi="宋体" w:eastAsia="方正仿宋_GBK"/>
                <w:sz w:val="21"/>
                <w:szCs w:val="21"/>
              </w:rPr>
            </w:pPr>
          </w:p>
        </w:tc>
      </w:tr>
    </w:tbl>
    <w:p>
      <w:pPr>
        <w:snapToGrid w:val="0"/>
        <w:spacing w:line="500" w:lineRule="exact"/>
        <w:ind w:firstLine="480" w:firstLineChars="200"/>
        <w:rPr>
          <w:rFonts w:ascii="方正仿宋_GBK" w:hAnsi="宋体" w:eastAsia="方正仿宋_GBK"/>
          <w:sz w:val="24"/>
          <w:szCs w:val="28"/>
        </w:rPr>
      </w:pPr>
    </w:p>
    <w:p>
      <w:pPr>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注：1.供应商应完整填写本表。</w:t>
      </w:r>
    </w:p>
    <w:p>
      <w:pPr>
        <w:snapToGrid w:val="0"/>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2.该表可扩展。</w:t>
      </w:r>
    </w:p>
    <w:p>
      <w:pPr>
        <w:pStyle w:val="9"/>
        <w:spacing w:line="360" w:lineRule="auto"/>
        <w:rPr>
          <w:rFonts w:ascii="方正仿宋_GBK" w:hAnsi="宋体" w:eastAsia="方正仿宋_GBK"/>
          <w:sz w:val="24"/>
          <w:szCs w:val="24"/>
        </w:rPr>
      </w:pPr>
    </w:p>
    <w:p>
      <w:pPr>
        <w:pStyle w:val="9"/>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w:t>
      </w:r>
    </w:p>
    <w:p/>
    <w:p/>
    <w:p>
      <w:pPr>
        <w:spacing w:line="360" w:lineRule="auto"/>
      </w:pPr>
      <w:r>
        <w:rPr>
          <w:rFonts w:hint="eastAsia" w:ascii="方正仿宋_GBK" w:hAnsi="宋体" w:eastAsia="方正仿宋_GBK"/>
          <w:sz w:val="24"/>
          <w:szCs w:val="24"/>
        </w:rPr>
        <w:t xml:space="preserve">                                             供应商名称（公章）或自然人签署：</w:t>
      </w:r>
    </w:p>
    <w:p>
      <w:pPr>
        <w:spacing w:line="360" w:lineRule="auto"/>
        <w:ind w:right="480" w:firstLine="6480" w:firstLineChars="2700"/>
        <w:rPr>
          <w:rFonts w:ascii="方正仿宋_GBK" w:hAnsi="宋体" w:eastAsia="方正仿宋_GBK"/>
          <w:sz w:val="24"/>
          <w:szCs w:val="24"/>
        </w:rPr>
      </w:pPr>
      <w:r>
        <w:rPr>
          <w:rFonts w:hint="eastAsia" w:ascii="方正仿宋_GBK" w:hAnsi="宋体" w:eastAsia="方正仿宋_GBK"/>
          <w:sz w:val="24"/>
          <w:szCs w:val="24"/>
        </w:rPr>
        <w:t>年     月    日</w:t>
      </w:r>
    </w:p>
    <w:p>
      <w:pPr>
        <w:snapToGrid w:val="0"/>
        <w:spacing w:line="360" w:lineRule="auto"/>
        <w:ind w:firstLine="480" w:firstLineChars="200"/>
        <w:rPr>
          <w:rFonts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0" w:firstLineChars="200"/>
        <w:rPr>
          <w:rFonts w:ascii="方正仿宋_GBK" w:hAnsi="宋体" w:eastAsia="方正仿宋_GBK"/>
          <w:sz w:val="24"/>
        </w:rPr>
      </w:pPr>
      <w:bookmarkStart w:id="212" w:name="_Toc342913420"/>
      <w:bookmarkStart w:id="213" w:name="_Toc106034809"/>
      <w:bookmarkStart w:id="214" w:name="_Toc14073"/>
      <w:bookmarkStart w:id="215" w:name="_Toc26085"/>
      <w:bookmarkStart w:id="216" w:name="_Toc22655"/>
      <w:bookmarkStart w:id="217" w:name="_Toc65660380"/>
      <w:bookmarkStart w:id="218" w:name="_Toc313008357"/>
      <w:bookmarkStart w:id="219" w:name="_Toc313888361"/>
      <w:r>
        <w:rPr>
          <w:rFonts w:hint="eastAsia" w:ascii="方正仿宋_GBK" w:hAnsi="宋体" w:eastAsia="方正仿宋_GBK"/>
          <w:sz w:val="24"/>
        </w:rPr>
        <w:t>二、技术（质量）部分</w:t>
      </w:r>
      <w:bookmarkEnd w:id="212"/>
      <w:bookmarkEnd w:id="213"/>
      <w:bookmarkEnd w:id="214"/>
      <w:bookmarkEnd w:id="215"/>
      <w:bookmarkEnd w:id="216"/>
      <w:bookmarkEnd w:id="217"/>
      <w:bookmarkEnd w:id="218"/>
      <w:bookmarkEnd w:id="219"/>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（一）技术（质量）响应偏离表                               </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项目名称：</w:t>
      </w:r>
    </w:p>
    <w:tbl>
      <w:tblPr>
        <w:tblStyle w:val="10"/>
        <w:tblW w:w="92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218"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序号</w:t>
            </w:r>
          </w:p>
        </w:tc>
        <w:tc>
          <w:tcPr>
            <w:tcW w:w="2844"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采购需求</w:t>
            </w:r>
          </w:p>
        </w:tc>
        <w:tc>
          <w:tcPr>
            <w:tcW w:w="2952"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响应情况</w:t>
            </w:r>
          </w:p>
        </w:tc>
        <w:tc>
          <w:tcPr>
            <w:tcW w:w="2212"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r>
              <w:rPr>
                <w:rFonts w:hint="eastAsia" w:ascii="方正仿宋_GBK" w:hAnsi="仿宋" w:eastAsia="方正仿宋_GBK"/>
                <w:sz w:val="21"/>
                <w:szCs w:val="21"/>
              </w:rPr>
              <w:t>提醒：请注明技术参数或具体内容以及响应文件中技术参数或具体内容的位置（页码）</w:t>
            </w:r>
          </w:p>
        </w:tc>
        <w:tc>
          <w:tcPr>
            <w:tcW w:w="2212" w:type="dxa"/>
            <w:vAlign w:val="center"/>
          </w:tcPr>
          <w:p>
            <w:pPr>
              <w:tabs>
                <w:tab w:val="left" w:pos="6300"/>
              </w:tabs>
              <w:snapToGrid w:val="0"/>
              <w:outlineLvl w:val="0"/>
              <w:rPr>
                <w:rFonts w:ascii="方正仿宋_GBK" w:hAnsi="宋体" w:eastAsia="方正仿宋_GBK"/>
                <w:sz w:val="21"/>
                <w:szCs w:val="21"/>
              </w:rPr>
            </w:pPr>
            <w:r>
              <w:rPr>
                <w:rFonts w:hint="eastAsia" w:ascii="方正仿宋_GBK" w:hAnsi="仿宋" w:eastAsia="方正仿宋_GBK"/>
                <w:sz w:val="21"/>
                <w:szCs w:val="21"/>
              </w:rPr>
              <w:t>提醒：请注明响应情况与采购需求的差异情况：正偏离、负偏离或者无差异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w:t>
      </w:r>
      <w:r>
        <w:rPr>
          <w:rFonts w:hint="eastAsia" w:ascii="方正仿宋_GBK" w:hAnsi="宋体" w:eastAsia="方正仿宋_GBK"/>
          <w:sz w:val="24"/>
          <w:szCs w:val="24"/>
        </w:rPr>
        <w:t>签署</w:t>
      </w:r>
      <w:r>
        <w:rPr>
          <w:rFonts w:hint="eastAsia" w:ascii="方正仿宋_GBK" w:hAnsi="宋体" w:eastAsia="方正仿宋_GBK"/>
          <w:sz w:val="24"/>
          <w:szCs w:val="28"/>
        </w:rPr>
        <w:t>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本表即为对本项目“第二篇  项目技术（质量）需求”中所列条款进行比较和响应；</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2.本表可扩展。</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br w:type="page"/>
      </w:r>
      <w:r>
        <w:rPr>
          <w:rFonts w:hint="eastAsia" w:ascii="方正仿宋_GBK" w:hAnsi="宋体" w:eastAsia="方正仿宋_GBK"/>
          <w:sz w:val="24"/>
          <w:szCs w:val="24"/>
        </w:rPr>
        <w:t>（二）其他资料（格式自定）</w:t>
      </w:r>
    </w:p>
    <w:p>
      <w:pPr>
        <w:tabs>
          <w:tab w:val="left" w:pos="6300"/>
        </w:tabs>
        <w:snapToGrid w:val="0"/>
        <w:spacing w:line="500" w:lineRule="exact"/>
        <w:ind w:firstLine="480" w:firstLineChars="200"/>
        <w:rPr>
          <w:rFonts w:ascii="方正仿宋_GBK" w:hAnsi="宋体" w:eastAsia="方正仿宋_GBK"/>
          <w:sz w:val="24"/>
          <w:szCs w:val="24"/>
        </w:rPr>
      </w:pPr>
    </w:p>
    <w:p>
      <w:pPr>
        <w:pStyle w:val="2"/>
        <w:adjustRightInd w:val="0"/>
        <w:snapToGrid w:val="0"/>
        <w:spacing w:before="0" w:after="0" w:line="400" w:lineRule="exact"/>
        <w:ind w:firstLine="640" w:firstLineChars="200"/>
        <w:rPr>
          <w:rFonts w:ascii="方正仿宋_GBK" w:hAnsi="宋体" w:eastAsia="方正仿宋_GBK"/>
          <w:sz w:val="24"/>
        </w:rPr>
      </w:pPr>
      <w:r>
        <w:rPr>
          <w:rFonts w:ascii="方正仿宋_GBK" w:eastAsia="方正仿宋_GBK"/>
          <w:b w:val="0"/>
        </w:rPr>
        <w:br w:type="page"/>
      </w:r>
      <w:bookmarkStart w:id="220" w:name="_Toc65660381"/>
      <w:bookmarkStart w:id="221" w:name="_Toc27717"/>
      <w:bookmarkStart w:id="222" w:name="_Toc32158"/>
      <w:bookmarkStart w:id="223" w:name="_Toc106034810"/>
      <w:bookmarkStart w:id="224" w:name="_Toc32339"/>
      <w:bookmarkStart w:id="225" w:name="_Toc313008358"/>
      <w:bookmarkStart w:id="226" w:name="_Toc313888362"/>
      <w:bookmarkStart w:id="227" w:name="_Toc342913421"/>
      <w:r>
        <w:rPr>
          <w:rFonts w:hint="eastAsia" w:ascii="方正仿宋_GBK" w:hAnsi="宋体" w:eastAsia="方正仿宋_GBK"/>
          <w:sz w:val="24"/>
        </w:rPr>
        <w:t>三、商务服务部分</w:t>
      </w:r>
      <w:bookmarkEnd w:id="220"/>
      <w:bookmarkEnd w:id="221"/>
      <w:bookmarkEnd w:id="222"/>
      <w:bookmarkEnd w:id="223"/>
      <w:bookmarkEnd w:id="224"/>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（一）商务服务响应偏离表                              </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项目名称：</w:t>
      </w:r>
    </w:p>
    <w:tbl>
      <w:tblPr>
        <w:tblStyle w:val="10"/>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trPr>
        <w:tc>
          <w:tcPr>
            <w:tcW w:w="1512"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4"/>
              </w:rPr>
              <w:t>序号</w:t>
            </w:r>
          </w:p>
        </w:tc>
        <w:tc>
          <w:tcPr>
            <w:tcW w:w="3184"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4"/>
              </w:rPr>
              <w:t>项目商务需求</w:t>
            </w:r>
          </w:p>
        </w:tc>
        <w:tc>
          <w:tcPr>
            <w:tcW w:w="2438"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4"/>
              </w:rPr>
              <w:t>响应情况</w:t>
            </w:r>
          </w:p>
        </w:tc>
        <w:tc>
          <w:tcPr>
            <w:tcW w:w="2359"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r>
              <w:rPr>
                <w:rFonts w:hint="eastAsia" w:ascii="方正仿宋_GBK" w:hAnsi="仿宋" w:eastAsia="方正仿宋_GBK"/>
                <w:sz w:val="21"/>
                <w:szCs w:val="21"/>
              </w:rPr>
              <w:t>提醒：请注明具体内容以及响应文件中具体内容的位置（页码）</w:t>
            </w:r>
          </w:p>
        </w:tc>
        <w:tc>
          <w:tcPr>
            <w:tcW w:w="2359" w:type="dxa"/>
            <w:vAlign w:val="center"/>
          </w:tcPr>
          <w:p>
            <w:pPr>
              <w:tabs>
                <w:tab w:val="left" w:pos="6300"/>
              </w:tabs>
              <w:snapToGrid w:val="0"/>
              <w:outlineLvl w:val="0"/>
              <w:rPr>
                <w:rFonts w:ascii="方正仿宋_GBK" w:hAnsi="宋体" w:eastAsia="方正仿宋_GBK"/>
                <w:sz w:val="21"/>
                <w:szCs w:val="24"/>
              </w:rPr>
            </w:pPr>
            <w:r>
              <w:rPr>
                <w:rFonts w:hint="eastAsia" w:ascii="方正仿宋_GBK" w:hAnsi="仿宋" w:eastAsia="方正仿宋_GBK"/>
                <w:sz w:val="21"/>
                <w:szCs w:val="21"/>
              </w:rPr>
              <w:t>提醒：请注明响应情况与商务需求的差异情况：正偏离、负偏离或者无差异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360" w:firstLineChars="150"/>
        <w:rPr>
          <w:rFonts w:ascii="方正仿宋_GBK" w:hAnsi="宋体" w:eastAsia="方正仿宋_GBK"/>
          <w:sz w:val="24"/>
          <w:szCs w:val="28"/>
        </w:rPr>
      </w:pPr>
      <w:r>
        <w:rPr>
          <w:rFonts w:hint="eastAsia" w:ascii="方正仿宋_GBK" w:hAnsi="宋体" w:eastAsia="方正仿宋_GBK"/>
          <w:sz w:val="24"/>
          <w:szCs w:val="28"/>
        </w:rPr>
        <w:t>（供应商公章）                                     （签署或盖章）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本表即为对本项目“第三篇  项目商务需求”中所列条款进行比较和响应；</w:t>
      </w: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rPr>
        <w:t>2.本表可扩展</w:t>
      </w:r>
      <w:r>
        <w:rPr>
          <w:rFonts w:hint="eastAsia" w:ascii="方正仿宋_GBK" w:hAnsi="宋体" w:eastAsia="方正仿宋_GBK"/>
          <w:sz w:val="24"/>
          <w:szCs w:val="24"/>
        </w:rPr>
        <w:t>。</w:t>
      </w:r>
    </w:p>
    <w:p>
      <w:pPr>
        <w:tabs>
          <w:tab w:val="left" w:pos="6300"/>
        </w:tabs>
        <w:snapToGrid w:val="0"/>
        <w:spacing w:line="480" w:lineRule="exact"/>
        <w:ind w:firstLine="480" w:firstLineChars="200"/>
        <w:rPr>
          <w:rFonts w:ascii="方正仿宋_GBK" w:hAnsi="宋体" w:eastAsia="方正仿宋_GBK"/>
          <w:sz w:val="24"/>
          <w:szCs w:val="24"/>
        </w:rPr>
      </w:pP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br w:type="page"/>
      </w:r>
      <w:r>
        <w:rPr>
          <w:rFonts w:hint="eastAsia" w:ascii="方正仿宋_GBK" w:hAnsi="宋体" w:eastAsia="方正仿宋_GBK"/>
          <w:sz w:val="24"/>
          <w:szCs w:val="24"/>
        </w:rPr>
        <w:t>（二）其它优惠服务承诺（格式自定）</w:t>
      </w:r>
    </w:p>
    <w:p>
      <w:pPr>
        <w:tabs>
          <w:tab w:val="left" w:pos="6300"/>
        </w:tabs>
        <w:snapToGrid w:val="0"/>
        <w:spacing w:line="480" w:lineRule="exact"/>
        <w:ind w:firstLine="480" w:firstLineChars="200"/>
        <w:rPr>
          <w:rFonts w:ascii="方正仿宋_GBK" w:hAnsi="宋体" w:eastAsia="方正仿宋_GBK"/>
          <w:sz w:val="24"/>
          <w:szCs w:val="24"/>
        </w:rPr>
      </w:pPr>
    </w:p>
    <w:p>
      <w:pPr>
        <w:pStyle w:val="2"/>
        <w:adjustRightInd w:val="0"/>
        <w:snapToGrid w:val="0"/>
        <w:spacing w:before="0" w:after="0" w:line="400" w:lineRule="exact"/>
        <w:ind w:firstLine="480" w:firstLineChars="200"/>
        <w:rPr>
          <w:rFonts w:ascii="方正仿宋_GBK" w:hAnsi="宋体" w:eastAsia="方正仿宋_GBK"/>
          <w:sz w:val="24"/>
        </w:rPr>
      </w:pPr>
      <w:r>
        <w:rPr>
          <w:rFonts w:ascii="方正仿宋_GBK" w:hAnsi="宋体" w:eastAsia="方正仿宋_GBK"/>
          <w:sz w:val="24"/>
          <w:szCs w:val="24"/>
        </w:rPr>
        <w:br w:type="page"/>
      </w:r>
      <w:bookmarkStart w:id="228" w:name="_Toc20162"/>
      <w:bookmarkStart w:id="229" w:name="_Toc21793"/>
      <w:bookmarkStart w:id="230" w:name="_Toc106034811"/>
      <w:bookmarkStart w:id="231" w:name="_Toc2082"/>
      <w:bookmarkStart w:id="232" w:name="_Toc65660382"/>
      <w:r>
        <w:rPr>
          <w:rFonts w:hint="eastAsia" w:ascii="方正仿宋_GBK" w:hAnsi="宋体" w:eastAsia="方正仿宋_GBK"/>
          <w:sz w:val="24"/>
        </w:rPr>
        <w:t>四、</w:t>
      </w:r>
      <w:bookmarkEnd w:id="225"/>
      <w:bookmarkEnd w:id="226"/>
      <w:bookmarkEnd w:id="227"/>
      <w:r>
        <w:rPr>
          <w:rFonts w:hint="eastAsia" w:ascii="方正仿宋_GBK" w:hAnsi="宋体" w:eastAsia="方正仿宋_GBK"/>
          <w:sz w:val="24"/>
        </w:rPr>
        <w:t>资格条件及其他</w:t>
      </w:r>
      <w:bookmarkEnd w:id="228"/>
      <w:bookmarkEnd w:id="229"/>
      <w:bookmarkEnd w:id="230"/>
      <w:bookmarkEnd w:id="231"/>
      <w:bookmarkEnd w:id="232"/>
      <w:bookmarkStart w:id="233" w:name="_Toc313008359"/>
      <w:bookmarkStart w:id="234" w:name="_Toc313888363"/>
      <w:bookmarkStart w:id="235" w:name="_Toc342913422"/>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ascii="方正仿宋_GBK" w:hAnsi="宋体" w:eastAsia="方正仿宋_GBK"/>
          <w:sz w:val="24"/>
          <w:szCs w:val="24"/>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widowControl/>
        <w:spacing w:line="400" w:lineRule="exact"/>
        <w:ind w:firstLine="560" w:firstLineChars="200"/>
        <w:jc w:val="left"/>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w:t>
      </w: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rPr>
        <w:t>）：</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tabs>
          <w:tab w:val="left" w:pos="6300"/>
        </w:tabs>
        <w:snapToGrid w:val="0"/>
        <w:spacing w:line="500" w:lineRule="exact"/>
        <w:ind w:firstLine="570"/>
        <w:rPr>
          <w:rFonts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widowControl/>
        <w:spacing w:line="400" w:lineRule="exact"/>
        <w:ind w:firstLine="560" w:firstLineChars="200"/>
        <w:jc w:val="left"/>
        <w:rPr>
          <w:rFonts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w:t>
      </w: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rPr>
        <w:t>）：</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（被授权人姓名及身份证代码）代表我单位全权办理上述项目的报价、签约等具体工作，并签署全部有关文件、协议及合同。</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供应商法定代表人：</w:t>
      </w:r>
    </w:p>
    <w:p>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（签署或盖章）                                （签署或盖章）</w:t>
      </w:r>
    </w:p>
    <w:p>
      <w:pPr>
        <w:tabs>
          <w:tab w:val="left" w:pos="6300"/>
        </w:tabs>
        <w:snapToGrid w:val="0"/>
        <w:spacing w:line="500" w:lineRule="exact"/>
        <w:ind w:firstLine="570"/>
        <w:rPr>
          <w:rFonts w:ascii="方正仿宋_GBK" w:hAnsi="宋体" w:eastAsia="方正仿宋_GBK"/>
          <w:sz w:val="24"/>
          <w:szCs w:val="28"/>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注：</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1.若为法定代表人办理并签署响应文件的，不提供此文件。</w:t>
      </w:r>
    </w:p>
    <w:p>
      <w:pPr>
        <w:tabs>
          <w:tab w:val="left" w:pos="6300"/>
        </w:tabs>
        <w:snapToGrid w:val="0"/>
        <w:spacing w:line="400" w:lineRule="exact"/>
        <w:ind w:firstLine="573"/>
        <w:rPr>
          <w:rFonts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pPr>
        <w:widowControl/>
        <w:spacing w:line="400" w:lineRule="exact"/>
        <w:ind w:firstLine="560" w:firstLineChars="200"/>
        <w:jc w:val="left"/>
        <w:rPr>
          <w:rFonts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1" w:firstLineChars="200"/>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（采购人或采购代理机构名称）：</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我方对以上承诺负全部法律责任。</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特此承诺。</w:t>
      </w:r>
    </w:p>
    <w:p>
      <w:pPr>
        <w:tabs>
          <w:tab w:val="left" w:pos="6300"/>
        </w:tabs>
        <w:snapToGrid w:val="0"/>
        <w:spacing w:line="500" w:lineRule="exact"/>
        <w:ind w:firstLine="480" w:firstLineChars="200"/>
        <w:rPr>
          <w:rFonts w:ascii="方正仿宋_GBK" w:hAnsi="仿宋" w:eastAsia="方正仿宋_GBK"/>
          <w:sz w:val="24"/>
        </w:rPr>
      </w:pPr>
    </w:p>
    <w:p>
      <w:pPr>
        <w:tabs>
          <w:tab w:val="left" w:pos="6300"/>
        </w:tabs>
        <w:snapToGrid w:val="0"/>
        <w:spacing w:line="500" w:lineRule="exact"/>
        <w:ind w:firstLine="480" w:firstLineChars="200"/>
        <w:jc w:val="right"/>
        <w:rPr>
          <w:rFonts w:ascii="方正仿宋_GBK" w:hAnsi="仿宋" w:eastAsia="方正仿宋_GBK"/>
          <w:sz w:val="24"/>
        </w:rPr>
      </w:pPr>
      <w:r>
        <w:rPr>
          <w:rFonts w:hint="eastAsia" w:ascii="方正仿宋_GBK" w:hAnsi="仿宋" w:eastAsia="方正仿宋_GBK"/>
          <w:sz w:val="24"/>
        </w:rPr>
        <w:t>（供应商公章）</w:t>
      </w:r>
    </w:p>
    <w:p>
      <w:pPr>
        <w:widowControl/>
        <w:spacing w:line="400" w:lineRule="exact"/>
        <w:ind w:firstLine="7920" w:firstLineChars="3300"/>
        <w:jc w:val="left"/>
        <w:rPr>
          <w:rFonts w:ascii="方正仿宋_GBK" w:hAnsi="宋体" w:eastAsia="方正仿宋_GBK"/>
          <w:sz w:val="24"/>
          <w:szCs w:val="24"/>
        </w:rPr>
      </w:pPr>
      <w:r>
        <w:rPr>
          <w:rFonts w:hint="eastAsia" w:ascii="方正仿宋_GBK" w:hAnsi="仿宋" w:eastAsia="方正仿宋_GBK"/>
          <w:sz w:val="24"/>
        </w:rPr>
        <w:t>年   月   日</w:t>
      </w:r>
    </w:p>
    <w:p>
      <w:pPr>
        <w:widowControl/>
        <w:spacing w:line="400" w:lineRule="exact"/>
        <w:ind w:firstLine="560" w:firstLineChars="200"/>
        <w:jc w:val="left"/>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（五）特定资格条件证书或证明文件</w:t>
      </w:r>
    </w:p>
    <w:p>
      <w:pPr>
        <w:widowControl/>
        <w:spacing w:line="400" w:lineRule="exact"/>
        <w:ind w:firstLine="480" w:firstLineChars="200"/>
        <w:jc w:val="left"/>
        <w:rPr>
          <w:rFonts w:ascii="方正仿宋_GBK" w:hAnsi="宋体" w:eastAsia="方正仿宋_GBK"/>
          <w:sz w:val="24"/>
          <w:szCs w:val="24"/>
        </w:rPr>
      </w:pPr>
    </w:p>
    <w:p>
      <w:pPr>
        <w:pStyle w:val="2"/>
        <w:adjustRightInd w:val="0"/>
        <w:snapToGrid w:val="0"/>
        <w:spacing w:before="0" w:after="0" w:line="400" w:lineRule="exact"/>
        <w:ind w:firstLine="480" w:firstLineChars="200"/>
        <w:rPr>
          <w:rFonts w:ascii="方正仿宋_GBK" w:hAnsi="宋体" w:eastAsia="方正仿宋_GBK"/>
          <w:sz w:val="24"/>
        </w:rPr>
      </w:pPr>
      <w:r>
        <w:rPr>
          <w:rFonts w:ascii="方正仿宋_GBK" w:hAnsi="宋体" w:eastAsia="方正仿宋_GBK"/>
          <w:sz w:val="24"/>
          <w:szCs w:val="24"/>
        </w:rPr>
        <w:br w:type="page"/>
      </w:r>
      <w:bookmarkStart w:id="236" w:name="_Toc2080"/>
      <w:bookmarkStart w:id="237" w:name="_Toc106034812"/>
      <w:bookmarkStart w:id="238" w:name="_Toc17010"/>
      <w:bookmarkStart w:id="239" w:name="_Toc65660383"/>
      <w:bookmarkStart w:id="240" w:name="_Toc15815"/>
      <w:r>
        <w:rPr>
          <w:rFonts w:hint="eastAsia" w:ascii="方正仿宋_GBK" w:hAnsi="宋体" w:eastAsia="方正仿宋_GBK"/>
          <w:sz w:val="24"/>
        </w:rPr>
        <w:t>五、</w:t>
      </w:r>
      <w:bookmarkEnd w:id="233"/>
      <w:bookmarkEnd w:id="234"/>
      <w:bookmarkEnd w:id="235"/>
      <w:r>
        <w:rPr>
          <w:rFonts w:hint="eastAsia" w:ascii="方正仿宋_GBK" w:hAnsi="宋体" w:eastAsia="方正仿宋_GBK"/>
          <w:sz w:val="24"/>
        </w:rPr>
        <w:t>其他资料</w:t>
      </w:r>
      <w:bookmarkEnd w:id="236"/>
      <w:bookmarkEnd w:id="237"/>
      <w:bookmarkEnd w:id="238"/>
      <w:bookmarkEnd w:id="239"/>
      <w:bookmarkEnd w:id="240"/>
    </w:p>
    <w:p>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（一）联合体协议或分包意向协议（格式自定）</w:t>
      </w:r>
    </w:p>
    <w:p>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（二）其他与项目有关的资料（自附）</w:t>
      </w:r>
    </w:p>
    <w:p>
      <w:pPr>
        <w:spacing w:line="360" w:lineRule="auto"/>
        <w:ind w:firstLine="480" w:firstLineChars="200"/>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560" w:firstLineChars="200"/>
        <w:jc w:val="center"/>
        <w:rPr>
          <w:rFonts w:ascii="方正仿宋_GBK" w:hAnsi="仿宋" w:eastAsia="方正仿宋_GBK"/>
        </w:rPr>
      </w:pPr>
      <w:r>
        <w:rPr>
          <w:rFonts w:hint="eastAsia" w:ascii="方正仿宋_GBK" w:hAnsi="仿宋" w:eastAsia="方正仿宋_GBK"/>
        </w:rPr>
        <w:t>（结束）</w:t>
      </w:r>
    </w:p>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黑体_GBK">
    <w:altName w:val="汉仪中黑KW"/>
    <w:panose1 w:val="03000509000000000000"/>
    <w:charset w:val="86"/>
    <w:family w:val="script"/>
    <w:pitch w:val="default"/>
    <w:sig w:usb0="00000000" w:usb1="00000000" w:usb2="00000000" w:usb3="00000000" w:csb0="00040000" w:csb1="00000000"/>
  </w:font>
  <w:font w:name="方正小标宋_GBK">
    <w:altName w:val="汉仪书宋二KW"/>
    <w:panose1 w:val="03000509000000000000"/>
    <w:charset w:val="86"/>
    <w:family w:val="script"/>
    <w:pitch w:val="default"/>
    <w:sig w:usb0="00000000" w:usb1="00000000" w:usb2="00000000" w:usb3="00000000" w:csb0="00040000" w:csb1="00000000"/>
  </w:font>
  <w:font w:name="方正仿宋_GBK">
    <w:altName w:val="汉仪仿宋KW"/>
    <w:panose1 w:val="03000509000000000000"/>
    <w:charset w:val="86"/>
    <w:family w:val="script"/>
    <w:pitch w:val="default"/>
    <w:sig w:usb0="00000000" w:usb1="00000000" w:usb2="00000000" w:usb3="00000000" w:csb0="00040000" w:csb1="00000000"/>
  </w:font>
  <w:font w:name="仿宋">
    <w:altName w:val="汉仪仿宋KW"/>
    <w:panose1 w:val="02010609060101010101"/>
    <w:charset w:val="86"/>
    <w:family w:val="modern"/>
    <w:pitch w:val="default"/>
    <w:sig w:usb0="00000000" w:usb1="00000000" w:usb2="00000016" w:usb3="00000000" w:csb0="00040001" w:csb1="00000000"/>
  </w:font>
  <w:font w:name="仿宋_GB2312">
    <w:altName w:val="汉仪仿宋KW"/>
    <w:panose1 w:val="00000000000000000000"/>
    <w:charset w:val="86"/>
    <w:family w:val="modern"/>
    <w:pitch w:val="default"/>
    <w:sig w:usb0="00000000" w:usb1="00000000" w:usb2="00000010" w:usb3="00000000" w:csb0="00040000" w:csb1="00000000"/>
  </w:font>
  <w:font w:name="汉仪仿宋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jc w:val="center"/>
      <w:rPr>
        <w:rStyle w:val="12"/>
        <w:rFonts w:ascii="宋体"/>
        <w:sz w:val="21"/>
        <w:szCs w:val="21"/>
      </w:rPr>
    </w:pPr>
    <w:r>
      <w:rPr>
        <w:rFonts w:ascii="宋体"/>
        <w:sz w:val="21"/>
        <w:szCs w:val="21"/>
      </w:rPr>
      <w:fldChar w:fldCharType="begin"/>
    </w:r>
    <w:r>
      <w:rPr>
        <w:rStyle w:val="12"/>
        <w:rFonts w:ascii="宋体"/>
        <w:sz w:val="21"/>
        <w:szCs w:val="21"/>
      </w:rPr>
      <w:instrText xml:space="preserve">PAGE  </w:instrText>
    </w:r>
    <w:r>
      <w:rPr>
        <w:rFonts w:ascii="宋体"/>
        <w:sz w:val="21"/>
        <w:szCs w:val="21"/>
      </w:rPr>
      <w:fldChar w:fldCharType="separate"/>
    </w:r>
    <w:r>
      <w:rPr>
        <w:rStyle w:val="12"/>
        <w:rFonts w:ascii="宋体"/>
        <w:sz w:val="21"/>
        <w:szCs w:val="21"/>
      </w:rPr>
      <w:t>- 4 -</w:t>
    </w:r>
    <w:r>
      <w:rPr>
        <w:rFonts w:ascii="宋体"/>
        <w:sz w:val="21"/>
        <w:szCs w:val="21"/>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p>
  <w:p>
    <w:pPr>
      <w:pStyle w:val="7"/>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jc w:val="center"/>
      <w:rPr>
        <w:rStyle w:val="12"/>
        <w:rFonts w:ascii="宋体"/>
        <w:sz w:val="21"/>
        <w:szCs w:val="21"/>
      </w:rPr>
    </w:pPr>
    <w:r>
      <w:rPr>
        <w:rFonts w:ascii="宋体"/>
        <w:sz w:val="21"/>
        <w:szCs w:val="21"/>
      </w:rPr>
      <w:fldChar w:fldCharType="begin"/>
    </w:r>
    <w:r>
      <w:rPr>
        <w:rStyle w:val="12"/>
        <w:rFonts w:ascii="宋体"/>
        <w:sz w:val="21"/>
        <w:szCs w:val="21"/>
      </w:rPr>
      <w:instrText xml:space="preserve">PAGE  </w:instrText>
    </w:r>
    <w:r>
      <w:rPr>
        <w:rFonts w:ascii="宋体"/>
        <w:sz w:val="21"/>
        <w:szCs w:val="21"/>
      </w:rPr>
      <w:fldChar w:fldCharType="separate"/>
    </w:r>
    <w:r>
      <w:rPr>
        <w:rStyle w:val="12"/>
        <w:rFonts w:ascii="宋体"/>
        <w:sz w:val="21"/>
        <w:szCs w:val="21"/>
      </w:rPr>
      <w:t>- 4 -</w:t>
    </w:r>
    <w:r>
      <w:rPr>
        <w:rFonts w:ascii="宋体"/>
        <w:sz w:val="21"/>
        <w:szCs w:val="21"/>
      </w:rPr>
      <w:fldChar w:fldCharType="end"/>
    </w:r>
  </w:p>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hAnsi="宋体"/>
        <w:sz w:val="21"/>
        <w:szCs w:val="21"/>
      </w:rPr>
    </w:pPr>
    <w:r>
      <w:rPr>
        <w:rFonts w:ascii="宋体" w:hAnsi="宋体"/>
        <w:sz w:val="21"/>
        <w:szCs w:val="21"/>
      </w:rPr>
      <w:fldChar w:fldCharType="begin"/>
    </w:r>
    <w:r>
      <w:rPr>
        <w:rStyle w:val="12"/>
        <w:rFonts w:ascii="宋体" w:hAnsi="宋体"/>
        <w:sz w:val="21"/>
        <w:szCs w:val="21"/>
      </w:rPr>
      <w:instrText xml:space="preserve"> PAGE </w:instrText>
    </w:r>
    <w:r>
      <w:rPr>
        <w:rFonts w:ascii="宋体" w:hAnsi="宋体"/>
        <w:sz w:val="21"/>
        <w:szCs w:val="21"/>
      </w:rPr>
      <w:fldChar w:fldCharType="separate"/>
    </w:r>
    <w:r>
      <w:rPr>
        <w:rStyle w:val="12"/>
        <w:rFonts w:ascii="宋体" w:hAnsi="宋体"/>
        <w:sz w:val="21"/>
        <w:szCs w:val="21"/>
      </w:rPr>
      <w:t>- 27 -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end"/>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ascii="方正仿宋_GBK" w:eastAsia="方正仿宋_GBK"/>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I0NjY0YTk2MjFmZjllZjZkZTE5NGJiZjhkNzc0ZjcifQ=="/>
  </w:docVars>
  <w:rsids>
    <w:rsidRoot w:val="009D030A"/>
    <w:rsid w:val="000954B0"/>
    <w:rsid w:val="002D5223"/>
    <w:rsid w:val="00713809"/>
    <w:rsid w:val="00946455"/>
    <w:rsid w:val="009D030A"/>
    <w:rsid w:val="00B062C3"/>
    <w:rsid w:val="00D5775B"/>
    <w:rsid w:val="00DF69F5"/>
    <w:rsid w:val="00F105D4"/>
    <w:rsid w:val="0C6B3101"/>
    <w:rsid w:val="3ABFDB2D"/>
    <w:rsid w:val="457A3FD9"/>
    <w:rsid w:val="7FFD403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0"/>
      <w:lang w:val="en-US" w:eastAsia="zh-CN" w:bidi="ar-SA"/>
    </w:rPr>
  </w:style>
  <w:style w:type="paragraph" w:styleId="2">
    <w:name w:val="heading 2"/>
    <w:basedOn w:val="1"/>
    <w:next w:val="1"/>
    <w:link w:val="15"/>
    <w:qFormat/>
    <w:uiPriority w:val="0"/>
    <w:pPr>
      <w:keepNext/>
      <w:keepLines/>
      <w:spacing w:before="260" w:after="260" w:line="413" w:lineRule="auto"/>
      <w:outlineLvl w:val="1"/>
    </w:pPr>
    <w:rPr>
      <w:rFonts w:ascii="Arial" w:hAnsi="Arial" w:eastAsia="黑体"/>
      <w:b/>
      <w:sz w:val="32"/>
    </w:rPr>
  </w:style>
  <w:style w:type="character" w:default="1" w:styleId="11">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link w:val="16"/>
    <w:uiPriority w:val="0"/>
    <w:pPr>
      <w:spacing w:line="700" w:lineRule="exact"/>
      <w:ind w:left="960"/>
    </w:pPr>
    <w:rPr>
      <w:sz w:val="44"/>
    </w:rPr>
  </w:style>
  <w:style w:type="paragraph" w:styleId="4">
    <w:name w:val="Plain Text"/>
    <w:basedOn w:val="1"/>
    <w:link w:val="17"/>
    <w:uiPriority w:val="0"/>
    <w:rPr>
      <w:rFonts w:ascii="宋体" w:hAnsi="Courier New"/>
      <w:sz w:val="21"/>
    </w:rPr>
  </w:style>
  <w:style w:type="paragraph" w:styleId="5">
    <w:name w:val="Date"/>
    <w:basedOn w:val="1"/>
    <w:next w:val="1"/>
    <w:link w:val="18"/>
    <w:uiPriority w:val="0"/>
  </w:style>
  <w:style w:type="paragraph" w:styleId="6">
    <w:name w:val="Body Text Indent 2"/>
    <w:basedOn w:val="1"/>
    <w:link w:val="19"/>
    <w:uiPriority w:val="0"/>
    <w:pPr>
      <w:snapToGrid w:val="0"/>
      <w:spacing w:line="560" w:lineRule="atLeast"/>
      <w:ind w:firstLine="540"/>
    </w:pPr>
  </w:style>
  <w:style w:type="paragraph" w:styleId="7">
    <w:name w:val="footer"/>
    <w:basedOn w:val="1"/>
    <w:link w:val="14"/>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3"/>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toc 1"/>
    <w:basedOn w:val="1"/>
    <w:next w:val="1"/>
    <w:uiPriority w:val="0"/>
    <w:pPr>
      <w:spacing w:line="180" w:lineRule="auto"/>
      <w:jc w:val="center"/>
    </w:pPr>
    <w:rPr>
      <w:sz w:val="30"/>
    </w:rPr>
  </w:style>
  <w:style w:type="character" w:styleId="12">
    <w:name w:val="page number"/>
    <w:uiPriority w:val="0"/>
  </w:style>
  <w:style w:type="character" w:customStyle="1" w:styleId="13">
    <w:name w:val="页眉 Char"/>
    <w:basedOn w:val="11"/>
    <w:link w:val="8"/>
    <w:semiHidden/>
    <w:uiPriority w:val="99"/>
    <w:rPr>
      <w:sz w:val="18"/>
      <w:szCs w:val="18"/>
    </w:rPr>
  </w:style>
  <w:style w:type="character" w:customStyle="1" w:styleId="14">
    <w:name w:val="页脚 Char"/>
    <w:basedOn w:val="11"/>
    <w:link w:val="7"/>
    <w:semiHidden/>
    <w:uiPriority w:val="99"/>
    <w:rPr>
      <w:sz w:val="18"/>
      <w:szCs w:val="18"/>
    </w:rPr>
  </w:style>
  <w:style w:type="character" w:customStyle="1" w:styleId="15">
    <w:name w:val="标题 2 Char"/>
    <w:basedOn w:val="11"/>
    <w:link w:val="2"/>
    <w:qFormat/>
    <w:uiPriority w:val="0"/>
    <w:rPr>
      <w:rFonts w:ascii="Arial" w:hAnsi="Arial" w:eastAsia="黑体" w:cs="Times New Roman"/>
      <w:b/>
      <w:sz w:val="32"/>
      <w:szCs w:val="20"/>
    </w:rPr>
  </w:style>
  <w:style w:type="character" w:customStyle="1" w:styleId="16">
    <w:name w:val="正文文本缩进 Char"/>
    <w:basedOn w:val="11"/>
    <w:link w:val="3"/>
    <w:uiPriority w:val="0"/>
    <w:rPr>
      <w:rFonts w:ascii="Times New Roman" w:hAnsi="Times New Roman" w:eastAsia="宋体" w:cs="Times New Roman"/>
      <w:sz w:val="44"/>
      <w:szCs w:val="20"/>
    </w:rPr>
  </w:style>
  <w:style w:type="character" w:customStyle="1" w:styleId="17">
    <w:name w:val="纯文本 Char"/>
    <w:basedOn w:val="11"/>
    <w:link w:val="4"/>
    <w:uiPriority w:val="0"/>
    <w:rPr>
      <w:rFonts w:ascii="宋体" w:hAnsi="Courier New" w:eastAsia="宋体" w:cs="Times New Roman"/>
      <w:szCs w:val="20"/>
    </w:rPr>
  </w:style>
  <w:style w:type="character" w:customStyle="1" w:styleId="18">
    <w:name w:val="日期 Char"/>
    <w:basedOn w:val="11"/>
    <w:link w:val="5"/>
    <w:uiPriority w:val="0"/>
    <w:rPr>
      <w:rFonts w:ascii="Times New Roman" w:hAnsi="Times New Roman" w:eastAsia="宋体" w:cs="Times New Roman"/>
      <w:sz w:val="28"/>
      <w:szCs w:val="20"/>
    </w:rPr>
  </w:style>
  <w:style w:type="character" w:customStyle="1" w:styleId="19">
    <w:name w:val="正文文本缩进 2 Char"/>
    <w:basedOn w:val="11"/>
    <w:link w:val="6"/>
    <w:uiPriority w:val="0"/>
    <w:rPr>
      <w:rFonts w:ascii="Times New Roman" w:hAnsi="Times New Roman" w:eastAsia="宋体" w:cs="Times New Roman"/>
      <w:sz w:val="28"/>
      <w:szCs w:val="20"/>
    </w:rPr>
  </w:style>
  <w:style w:type="paragraph" w:customStyle="1" w:styleId="20">
    <w:name w:val="1"/>
    <w:basedOn w:val="1"/>
    <w:next w:val="4"/>
    <w:uiPriority w:val="0"/>
    <w:rPr>
      <w:rFonts w:ascii="宋体" w:hAnsi="Courier New"/>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27</Pages>
  <Words>1812</Words>
  <Characters>10329</Characters>
  <Lines>86</Lines>
  <Paragraphs>24</Paragraphs>
  <TotalTime>29</TotalTime>
  <ScaleCrop>false</ScaleCrop>
  <LinksUpToDate>false</LinksUpToDate>
  <CharactersWithSpaces>12117</CharactersWithSpaces>
  <Application>WWO_openplatform_20210902171309-902389ccc8</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2023-11-10T21:34:00Z</dcterms:created>
  <dc:creator>微软用户</dc:creator>
  <cp:lastModifiedBy>富柏</cp:lastModifiedBy>
  <dcterms:modified xsi:type="dcterms:W3CDTF">2023-12-26T16:59:01Z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058319C8B81B42DEA2D0D79BF621594B_12</vt:lpwstr>
  </property>
</Properties>
</file>