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600" w:lineRule="exact"/>
        <w:jc w:val="center"/>
        <w:outlineLvl w:val="0"/>
        <w:rPr>
          <w:rFonts w:hint="eastAsia" w:ascii="方正黑体_GBK" w:eastAsia="方正黑体_GBK"/>
          <w:sz w:val="84"/>
          <w:szCs w:val="84"/>
          <w:lang w:eastAsia="zh-CN"/>
        </w:rPr>
      </w:pPr>
      <w:r>
        <w:rPr>
          <w:rFonts w:hint="eastAsia" w:ascii="方正黑体_GBK" w:eastAsia="方正黑体_GBK"/>
          <w:sz w:val="84"/>
          <w:szCs w:val="84"/>
        </w:rPr>
        <w:t>重庆市</w:t>
      </w:r>
      <w:r>
        <w:rPr>
          <w:rFonts w:hint="eastAsia" w:ascii="方正黑体_GBK" w:eastAsia="方正黑体_GBK"/>
          <w:sz w:val="84"/>
          <w:szCs w:val="84"/>
          <w:lang w:eastAsia="zh-CN"/>
        </w:rPr>
        <w:t>乌江航道管理处</w:t>
      </w:r>
    </w:p>
    <w:p>
      <w:pPr>
        <w:spacing w:line="1600" w:lineRule="exact"/>
        <w:jc w:val="center"/>
        <w:outlineLvl w:val="0"/>
        <w:rPr>
          <w:rFonts w:hint="eastAsia" w:ascii="方正黑体_GBK" w:eastAsia="方正黑体_GBK"/>
          <w:sz w:val="84"/>
          <w:szCs w:val="84"/>
        </w:rPr>
      </w:pPr>
      <w:r>
        <w:rPr>
          <w:rFonts w:hint="eastAsia" w:ascii="方正黑体_GBK" w:eastAsia="方正黑体_GBK"/>
          <w:sz w:val="84"/>
          <w:szCs w:val="84"/>
        </w:rPr>
        <w:t>政府采购</w:t>
      </w:r>
    </w:p>
    <w:p>
      <w:pPr>
        <w:jc w:val="center"/>
        <w:rPr>
          <w:rFonts w:hint="eastAsia" w:ascii="宋体" w:hAnsi="宋体"/>
          <w:sz w:val="84"/>
          <w:szCs w:val="84"/>
        </w:rPr>
      </w:pPr>
    </w:p>
    <w:p>
      <w:pPr>
        <w:spacing w:line="1600" w:lineRule="exact"/>
        <w:jc w:val="center"/>
        <w:outlineLvl w:val="0"/>
        <w:rPr>
          <w:rFonts w:hint="eastAsia" w:ascii="方正黑体_GBK" w:hAnsi="宋体" w:eastAsia="方正黑体_GBK"/>
          <w:sz w:val="72"/>
          <w:szCs w:val="72"/>
        </w:rPr>
      </w:pPr>
      <w:r>
        <w:rPr>
          <w:rFonts w:hint="eastAsia" w:ascii="方正黑体_GBK" w:hAnsi="宋体" w:eastAsia="方正黑体_GBK"/>
          <w:sz w:val="72"/>
          <w:szCs w:val="72"/>
        </w:rPr>
        <w:t>限额以下磋商评分采购文件</w:t>
      </w:r>
    </w:p>
    <w:p>
      <w:pPr>
        <w:spacing w:line="700" w:lineRule="exact"/>
        <w:jc w:val="center"/>
        <w:rPr>
          <w:rFonts w:hint="eastAsia" w:ascii="黑体" w:eastAsia="黑体"/>
          <w:sz w:val="32"/>
        </w:rPr>
      </w:pPr>
    </w:p>
    <w:p>
      <w:pPr>
        <w:spacing w:line="700" w:lineRule="exact"/>
        <w:jc w:val="center"/>
        <w:rPr>
          <w:rFonts w:hint="eastAsia" w:ascii="黑体" w:eastAsia="黑体"/>
          <w:sz w:val="32"/>
        </w:rPr>
      </w:pPr>
    </w:p>
    <w:p>
      <w:pPr>
        <w:spacing w:line="700" w:lineRule="exact"/>
        <w:jc w:val="center"/>
        <w:rPr>
          <w:rFonts w:hint="eastAsia" w:ascii="黑体" w:eastAsia="黑体"/>
          <w:sz w:val="32"/>
        </w:rPr>
      </w:pPr>
    </w:p>
    <w:p>
      <w:pPr>
        <w:spacing w:line="500" w:lineRule="exact"/>
        <w:ind w:firstLine="1440" w:firstLineChars="400"/>
        <w:jc w:val="left"/>
        <w:outlineLvl w:val="0"/>
        <w:rPr>
          <w:rFonts w:hint="default" w:ascii="方正小标宋_GBK" w:hAnsi="宋体" w:eastAsia="方正小标宋_GBK"/>
          <w:sz w:val="36"/>
          <w:szCs w:val="36"/>
          <w:lang w:val="en-US" w:eastAsia="zh-CN"/>
        </w:rPr>
      </w:pPr>
      <w:r>
        <w:rPr>
          <w:rFonts w:hint="eastAsia" w:ascii="方正小标宋_GBK" w:hAnsi="宋体" w:eastAsia="方正小标宋_GBK"/>
          <w:sz w:val="36"/>
          <w:szCs w:val="36"/>
        </w:rPr>
        <w:t>采购执行编号：WJ20230</w:t>
      </w:r>
      <w:r>
        <w:rPr>
          <w:rFonts w:hint="eastAsia" w:ascii="方正小标宋_GBK" w:hAnsi="宋体" w:eastAsia="方正小标宋_GBK"/>
          <w:sz w:val="36"/>
          <w:szCs w:val="36"/>
          <w:lang w:val="en-US" w:eastAsia="zh-CN"/>
        </w:rPr>
        <w:t>21</w:t>
      </w:r>
    </w:p>
    <w:p>
      <w:pPr>
        <w:spacing w:line="500" w:lineRule="exact"/>
        <w:ind w:left="3234" w:leftChars="512" w:hanging="1800" w:hangingChars="500"/>
        <w:jc w:val="left"/>
        <w:outlineLvl w:val="0"/>
        <w:rPr>
          <w:rFonts w:hint="eastAsia" w:ascii="方正小标宋_GBK" w:hAnsi="宋体" w:eastAsia="方正小标宋_GBK"/>
          <w:sz w:val="36"/>
          <w:szCs w:val="36"/>
          <w:lang w:eastAsia="zh-CN"/>
        </w:rPr>
      </w:pPr>
      <w:r>
        <w:rPr>
          <w:rFonts w:hint="eastAsia" w:ascii="方正小标宋_GBK" w:hAnsi="宋体" w:eastAsia="方正小标宋_GBK"/>
          <w:sz w:val="36"/>
          <w:szCs w:val="36"/>
        </w:rPr>
        <w:t>项目名称</w:t>
      </w:r>
      <w:r>
        <w:rPr>
          <w:rFonts w:hint="eastAsia" w:ascii="方正小标宋_GBK" w:hAnsi="宋体" w:eastAsia="方正小标宋_GBK"/>
          <w:sz w:val="36"/>
          <w:szCs w:val="36"/>
          <w:lang w:eastAsia="zh-CN"/>
        </w:rPr>
        <w:t>：2023年老君滩、葫芦碛维护性疏浚工程</w:t>
      </w:r>
      <w:r>
        <w:rPr>
          <w:rFonts w:hint="eastAsia" w:ascii="方正小标宋_GBK" w:hAnsi="宋体" w:eastAsia="方正小标宋_GBK"/>
          <w:sz w:val="36"/>
          <w:szCs w:val="36"/>
          <w:lang w:val="en-US" w:eastAsia="zh-CN"/>
        </w:rPr>
        <w:t>竣工</w:t>
      </w:r>
      <w:r>
        <w:rPr>
          <w:rFonts w:hint="eastAsia" w:ascii="方正小标宋_GBK" w:hAnsi="宋体" w:eastAsia="方正小标宋_GBK"/>
          <w:sz w:val="36"/>
          <w:szCs w:val="36"/>
          <w:lang w:eastAsia="zh-CN"/>
        </w:rPr>
        <w:t>测量项目</w:t>
      </w:r>
    </w:p>
    <w:p>
      <w:pPr>
        <w:spacing w:line="500" w:lineRule="exact"/>
        <w:ind w:firstLine="1440" w:firstLineChars="400"/>
        <w:jc w:val="left"/>
        <w:outlineLvl w:val="0"/>
        <w:rPr>
          <w:rFonts w:hint="eastAsia" w:ascii="方正小标宋_GBK" w:eastAsia="方正小标宋_GBK"/>
          <w:sz w:val="36"/>
          <w:szCs w:val="36"/>
        </w:rPr>
      </w:pPr>
      <w:r>
        <w:rPr>
          <w:rFonts w:hint="eastAsia" w:ascii="方正小标宋_GBK" w:eastAsia="方正小标宋_GBK"/>
          <w:sz w:val="36"/>
          <w:szCs w:val="36"/>
        </w:rPr>
        <w:t>采购人：重庆市乌江航道管理处</w:t>
      </w:r>
    </w:p>
    <w:p>
      <w:pPr>
        <w:spacing w:line="500" w:lineRule="exact"/>
        <w:ind w:firstLine="1440" w:firstLineChars="400"/>
        <w:jc w:val="left"/>
        <w:outlineLvl w:val="0"/>
        <w:rPr>
          <w:rFonts w:hint="eastAsia" w:ascii="方正小标宋_GBK" w:eastAsia="方正小标宋_GBK"/>
          <w:sz w:val="36"/>
          <w:szCs w:val="36"/>
        </w:rPr>
      </w:pPr>
      <w:r>
        <w:rPr>
          <w:rFonts w:hint="eastAsia" w:ascii="方正小标宋_GBK" w:eastAsia="方正小标宋_GBK"/>
          <w:sz w:val="36"/>
          <w:szCs w:val="36"/>
        </w:rPr>
        <w:t>采购代理机构：重庆华大工程管理有限公司</w:t>
      </w:r>
    </w:p>
    <w:p>
      <w:pPr>
        <w:spacing w:line="500" w:lineRule="exact"/>
        <w:outlineLvl w:val="0"/>
        <w:rPr>
          <w:rFonts w:hint="eastAsia" w:ascii="方正小标宋_GBK" w:eastAsia="方正小标宋_GBK"/>
          <w:sz w:val="36"/>
          <w:szCs w:val="36"/>
        </w:rPr>
      </w:pPr>
    </w:p>
    <w:p>
      <w:pPr>
        <w:spacing w:line="500" w:lineRule="exact"/>
        <w:outlineLvl w:val="0"/>
        <w:rPr>
          <w:rFonts w:hint="eastAsia" w:ascii="方正小标宋_GBK" w:eastAsia="方正小标宋_GBK"/>
          <w:sz w:val="36"/>
          <w:szCs w:val="36"/>
        </w:rPr>
      </w:pPr>
    </w:p>
    <w:p>
      <w:pPr>
        <w:spacing w:line="720" w:lineRule="exact"/>
        <w:jc w:val="center"/>
        <w:outlineLvl w:val="0"/>
        <w:rPr>
          <w:rFonts w:ascii="方正黑体_GBK" w:hAnsi="宋体" w:eastAsia="方正黑体_GBK"/>
          <w:sz w:val="48"/>
          <w:szCs w:val="32"/>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r>
        <w:rPr>
          <w:rFonts w:hint="eastAsia" w:ascii="方正小标宋_GBK" w:hAnsi="宋体" w:eastAsia="方正小标宋_GBK"/>
          <w:sz w:val="36"/>
          <w:szCs w:val="36"/>
        </w:rPr>
        <w:t>二〇二</w:t>
      </w:r>
      <w:r>
        <w:rPr>
          <w:rFonts w:hint="eastAsia" w:ascii="方正小标宋_GBK" w:hAnsi="宋体" w:eastAsia="方正小标宋_GBK"/>
          <w:sz w:val="36"/>
          <w:szCs w:val="36"/>
          <w:lang w:eastAsia="zh-CN"/>
        </w:rPr>
        <w:t>三</w:t>
      </w:r>
      <w:r>
        <w:rPr>
          <w:rFonts w:hint="eastAsia" w:ascii="方正小标宋_GBK" w:hAnsi="宋体" w:eastAsia="方正小标宋_GBK"/>
          <w:sz w:val="36"/>
          <w:szCs w:val="36"/>
        </w:rPr>
        <w:t>年</w:t>
      </w:r>
      <w:r>
        <w:rPr>
          <w:rFonts w:hint="eastAsia" w:ascii="方正小标宋_GBK" w:hAnsi="宋体" w:eastAsia="方正小标宋_GBK"/>
          <w:sz w:val="36"/>
          <w:szCs w:val="36"/>
          <w:lang w:eastAsia="zh-CN"/>
        </w:rPr>
        <w:t>十一</w:t>
      </w:r>
      <w:r>
        <w:rPr>
          <w:rFonts w:hint="eastAsia" w:ascii="方正小标宋_GBK" w:hAnsi="宋体" w:eastAsia="方正小标宋_GBK"/>
          <w:sz w:val="36"/>
          <w:szCs w:val="36"/>
        </w:rPr>
        <w:t>月</w:t>
      </w:r>
    </w:p>
    <w:p>
      <w:pPr>
        <w:pStyle w:val="5"/>
        <w:spacing w:line="360" w:lineRule="auto"/>
        <w:jc w:val="center"/>
        <w:rPr>
          <w:rFonts w:hint="eastAsia" w:ascii="方正小标宋_GBK" w:hAnsi="宋体" w:eastAsia="方正小标宋_GBK"/>
          <w:b w:val="0"/>
          <w:szCs w:val="30"/>
        </w:rPr>
      </w:pPr>
      <w:bookmarkStart w:id="0" w:name="_Toc12789052"/>
      <w:bookmarkStart w:id="1" w:name="_Toc106030870"/>
      <w:bookmarkStart w:id="2" w:name="_Toc11641050"/>
      <w:bookmarkStart w:id="3" w:name="_Toc76462316"/>
      <w:r>
        <w:rPr>
          <w:rFonts w:hint="eastAsia" w:ascii="方正小标宋_GBK" w:hAnsi="宋体" w:eastAsia="方正小标宋_GBK"/>
          <w:b w:val="0"/>
          <w:sz w:val="36"/>
          <w:szCs w:val="30"/>
        </w:rPr>
        <w:t>第一篇  采购邀请书</w:t>
      </w:r>
      <w:bookmarkEnd w:id="0"/>
      <w:bookmarkEnd w:id="1"/>
      <w:bookmarkEnd w:id="2"/>
      <w:bookmarkEnd w:id="3"/>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重庆华大工程管理有限公司（以下简称：采购代理机构）接受重庆市乌江航道管理处（以下简称：采购人）的委托，对</w:t>
      </w:r>
      <w:r>
        <w:rPr>
          <w:rFonts w:hint="eastAsia" w:ascii="方正仿宋_GBK" w:hAnsi="宋体" w:eastAsia="方正仿宋_GBK"/>
          <w:sz w:val="24"/>
          <w:szCs w:val="24"/>
          <w:lang w:eastAsia="zh-CN"/>
        </w:rPr>
        <w:t>2023年老君滩、葫芦碛维护性疏浚工程竣工测量</w:t>
      </w:r>
      <w:r>
        <w:rPr>
          <w:rFonts w:hint="eastAsia" w:ascii="方正仿宋_GBK" w:hAnsi="宋体" w:eastAsia="方正仿宋_GBK"/>
          <w:sz w:val="24"/>
          <w:szCs w:val="24"/>
        </w:rPr>
        <w:t>项目进行限额以下磋商评分采购。欢迎有资格的供应商前来参与竞争。</w:t>
      </w:r>
    </w:p>
    <w:p>
      <w:pPr>
        <w:pStyle w:val="5"/>
        <w:adjustRightInd w:val="0"/>
        <w:snapToGrid w:val="0"/>
        <w:spacing w:before="0" w:after="0" w:line="400" w:lineRule="exact"/>
        <w:ind w:firstLine="482" w:firstLineChars="200"/>
        <w:rPr>
          <w:rFonts w:ascii="方正仿宋_GBK" w:hAnsi="宋体" w:eastAsia="方正仿宋_GBK"/>
          <w:sz w:val="24"/>
        </w:rPr>
      </w:pPr>
      <w:bookmarkStart w:id="4" w:name="_Toc76462317"/>
      <w:bookmarkStart w:id="5" w:name="_Toc317775175"/>
      <w:bookmarkStart w:id="6" w:name="_Toc313893526"/>
      <w:bookmarkStart w:id="7" w:name="_Toc106030871"/>
      <w:r>
        <w:rPr>
          <w:rFonts w:hint="eastAsia" w:ascii="方正仿宋_GBK" w:hAnsi="宋体" w:eastAsia="方正仿宋_GBK"/>
          <w:sz w:val="24"/>
        </w:rPr>
        <w:t>一、限额以下磋商评分内容</w:t>
      </w:r>
      <w:bookmarkEnd w:id="4"/>
      <w:bookmarkEnd w:id="5"/>
      <w:bookmarkEnd w:id="6"/>
      <w:bookmarkEnd w:id="7"/>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01"/>
        <w:gridCol w:w="2410"/>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660" w:type="dxa"/>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1701" w:type="dxa"/>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最高限价（万元）</w:t>
            </w:r>
          </w:p>
        </w:tc>
        <w:tc>
          <w:tcPr>
            <w:tcW w:w="2410" w:type="dxa"/>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2516" w:type="dxa"/>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60" w:type="dxa"/>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kern w:val="0"/>
                <w:sz w:val="21"/>
                <w:szCs w:val="24"/>
              </w:rPr>
            </w:pPr>
            <w:bookmarkStart w:id="8" w:name="_Hlk344477914"/>
            <w:r>
              <w:rPr>
                <w:rFonts w:hint="eastAsia" w:ascii="方正仿宋_GBK" w:hAnsi="宋体" w:eastAsia="方正仿宋_GBK" w:cs="宋体"/>
                <w:kern w:val="0"/>
                <w:sz w:val="21"/>
                <w:szCs w:val="24"/>
                <w:lang w:val="en-US" w:eastAsia="zh-CN"/>
              </w:rPr>
              <w:t>2</w:t>
            </w:r>
            <w:r>
              <w:rPr>
                <w:rFonts w:hint="eastAsia" w:ascii="方正仿宋_GBK" w:hAnsi="宋体" w:eastAsia="方正仿宋_GBK" w:cs="宋体"/>
                <w:kern w:val="0"/>
                <w:sz w:val="21"/>
                <w:szCs w:val="24"/>
                <w:lang w:eastAsia="zh-CN"/>
              </w:rPr>
              <w:t>023年老君滩、葫芦碛维护性疏浚工程竣工测量项目</w:t>
            </w:r>
          </w:p>
        </w:tc>
        <w:tc>
          <w:tcPr>
            <w:tcW w:w="1701" w:type="dxa"/>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kern w:val="0"/>
                <w:sz w:val="21"/>
                <w:szCs w:val="24"/>
              </w:rPr>
            </w:pPr>
            <w:r>
              <w:rPr>
                <w:rFonts w:hint="eastAsia" w:ascii="方正仿宋_GBK" w:hAnsi="宋体" w:eastAsia="方正仿宋_GBK" w:cs="宋体"/>
                <w:kern w:val="0"/>
                <w:sz w:val="21"/>
                <w:szCs w:val="24"/>
                <w:lang w:val="en-US" w:eastAsia="zh-CN"/>
              </w:rPr>
              <w:t>9.82</w:t>
            </w:r>
          </w:p>
        </w:tc>
        <w:tc>
          <w:tcPr>
            <w:tcW w:w="2410" w:type="dxa"/>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kern w:val="0"/>
                <w:sz w:val="21"/>
                <w:szCs w:val="24"/>
                <w:lang w:val="en-US" w:eastAsia="zh-CN"/>
              </w:rPr>
            </w:pPr>
            <w:r>
              <w:rPr>
                <w:rFonts w:hint="eastAsia" w:ascii="方正仿宋_GBK" w:hAnsi="宋体" w:eastAsia="方正仿宋_GBK" w:cs="宋体"/>
                <w:kern w:val="0"/>
                <w:sz w:val="21"/>
                <w:szCs w:val="24"/>
                <w:lang w:val="en-US" w:eastAsia="zh-CN"/>
              </w:rPr>
              <w:t>1</w:t>
            </w:r>
          </w:p>
        </w:tc>
        <w:tc>
          <w:tcPr>
            <w:tcW w:w="2516" w:type="dxa"/>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b/>
                <w:sz w:val="21"/>
                <w:szCs w:val="21"/>
              </w:rPr>
            </w:pPr>
          </w:p>
        </w:tc>
      </w:tr>
      <w:bookmarkEnd w:id="8"/>
    </w:tbl>
    <w:p>
      <w:pPr>
        <w:pStyle w:val="5"/>
        <w:adjustRightInd w:val="0"/>
        <w:snapToGrid w:val="0"/>
        <w:spacing w:before="0" w:after="0" w:line="400" w:lineRule="exact"/>
        <w:ind w:firstLine="482" w:firstLineChars="200"/>
        <w:rPr>
          <w:rFonts w:hint="eastAsia" w:ascii="方正仿宋_GBK" w:hAnsi="宋体" w:eastAsia="方正仿宋_GBK"/>
          <w:sz w:val="24"/>
        </w:rPr>
      </w:pPr>
      <w:bookmarkStart w:id="9" w:name="_Toc76462318"/>
      <w:bookmarkStart w:id="10" w:name="_Toc106030872"/>
      <w:bookmarkStart w:id="11" w:name="_Toc373860293"/>
      <w:bookmarkStart w:id="12" w:name="_Toc317775178"/>
      <w:r>
        <w:rPr>
          <w:rFonts w:hint="eastAsia" w:ascii="方正仿宋_GBK" w:hAnsi="宋体" w:eastAsia="方正仿宋_GBK"/>
          <w:sz w:val="24"/>
        </w:rPr>
        <w:t>二、资金来源</w:t>
      </w:r>
      <w:bookmarkEnd w:id="9"/>
      <w:bookmarkEnd w:id="10"/>
    </w:p>
    <w:p>
      <w:pPr>
        <w:spacing w:line="400" w:lineRule="exact"/>
        <w:ind w:firstLine="480" w:firstLineChars="200"/>
        <w:rPr>
          <w:rFonts w:hint="eastAsia" w:ascii="方正仿宋_GBK" w:hAnsi="宋体" w:eastAsia="方正仿宋_GBK"/>
          <w:sz w:val="24"/>
          <w:szCs w:val="24"/>
        </w:rPr>
      </w:pPr>
      <w:r>
        <w:rPr>
          <w:rFonts w:hint="eastAsia" w:ascii="方正仿宋_GBK" w:hAnsi="仿宋" w:eastAsia="方正仿宋_GBK"/>
          <w:sz w:val="24"/>
          <w:szCs w:val="24"/>
        </w:rPr>
        <w:t>财政预算资金（或单位自筹资金），预算金额为</w:t>
      </w:r>
      <w:r>
        <w:rPr>
          <w:rFonts w:hint="eastAsia" w:ascii="方正仿宋_GBK" w:hAnsi="仿宋" w:eastAsia="方正仿宋_GBK"/>
          <w:sz w:val="24"/>
          <w:szCs w:val="24"/>
          <w:lang w:val="en-US" w:eastAsia="zh-CN"/>
        </w:rPr>
        <w:t>9.82</w:t>
      </w:r>
      <w:r>
        <w:rPr>
          <w:rFonts w:hint="eastAsia" w:ascii="方正仿宋_GBK" w:hAnsi="仿宋" w:eastAsia="方正仿宋_GBK"/>
          <w:sz w:val="24"/>
          <w:szCs w:val="24"/>
        </w:rPr>
        <w:t>万元</w:t>
      </w:r>
      <w:r>
        <w:rPr>
          <w:rFonts w:hint="eastAsia" w:ascii="方正仿宋_GBK" w:hAnsi="宋体" w:eastAsia="方正仿宋_GBK"/>
          <w:sz w:val="24"/>
          <w:szCs w:val="24"/>
        </w:rPr>
        <w:t>。</w:t>
      </w:r>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13" w:name="_Toc76462319"/>
      <w:bookmarkStart w:id="14" w:name="_Toc106030873"/>
      <w:r>
        <w:rPr>
          <w:rFonts w:hint="eastAsia" w:ascii="方正仿宋_GBK" w:hAnsi="宋体" w:eastAsia="方正仿宋_GBK"/>
          <w:sz w:val="24"/>
        </w:rPr>
        <w:t>三、供应商资格条件</w:t>
      </w:r>
      <w:bookmarkEnd w:id="13"/>
      <w:bookmarkEnd w:id="14"/>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（二）本项目的特定资格要求： </w:t>
      </w:r>
      <w:r>
        <w:rPr>
          <w:rFonts w:hint="eastAsia" w:ascii="方正仿宋_GBK" w:hAnsi="宋体" w:eastAsia="方正仿宋_GBK"/>
          <w:sz w:val="24"/>
          <w:szCs w:val="24"/>
          <w:lang w:val="en-US" w:eastAsia="zh-CN"/>
        </w:rPr>
        <w:t>具备国家测绘地理信息局颁发的乙级及以上应具有海洋测绘资质，或具备</w:t>
      </w:r>
      <w:bookmarkStart w:id="139" w:name="_GoBack"/>
      <w:bookmarkEnd w:id="139"/>
      <w:r>
        <w:rPr>
          <w:rFonts w:hint="eastAsia" w:ascii="方正仿宋_GBK" w:hAnsi="宋体" w:eastAsia="方正仿宋_GBK"/>
          <w:sz w:val="24"/>
          <w:szCs w:val="24"/>
          <w:lang w:val="en-US" w:eastAsia="zh-CN"/>
        </w:rPr>
        <w:t>住房和城乡建设部颁发的工程勘察专业类（工程测量）乙级及以上测绘资质证书。</w:t>
      </w:r>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15" w:name="_Toc106030874"/>
      <w:bookmarkStart w:id="16" w:name="_Toc76462320"/>
      <w:r>
        <w:rPr>
          <w:rFonts w:hint="eastAsia" w:ascii="方正仿宋_GBK" w:hAnsi="宋体" w:eastAsia="方正仿宋_GBK"/>
          <w:sz w:val="24"/>
        </w:rPr>
        <w:t>四、限额以下磋商评分有关说明</w:t>
      </w:r>
      <w:bookmarkEnd w:id="11"/>
      <w:bookmarkEnd w:id="15"/>
      <w:bookmarkEnd w:id="16"/>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凡有意参加竞争的供应商，请在重庆市交通局官网上下载本项目采购文件以及图纸、澄清等限额以下磋商评分前公布的所有项目资料，无论供应商下载或领取与否，均视为已知晓所有限额以下磋商评分实质性要求内容。</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（二）限额以下磋商评分公告期限：</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自采购公告发布之日起三个工作日</w:t>
      </w:r>
      <w:r>
        <w:rPr>
          <w:rFonts w:hint="eastAsia" w:ascii="方正仿宋_GBK" w:hAnsi="宋体" w:eastAsia="方正仿宋_GBK" w:cs="Times New Roman"/>
          <w:sz w:val="24"/>
          <w:szCs w:val="24"/>
        </w:rPr>
        <w:t>（2023年</w:t>
      </w:r>
      <w:r>
        <w:rPr>
          <w:rFonts w:hint="eastAsia" w:ascii="方正仿宋_GBK" w:hAnsi="宋体" w:eastAsia="方正仿宋_GBK" w:cs="Times New Roman"/>
          <w:sz w:val="24"/>
          <w:szCs w:val="24"/>
          <w:lang w:val="en-US" w:eastAsia="zh-CN"/>
        </w:rPr>
        <w:t>11</w:t>
      </w:r>
      <w:r>
        <w:rPr>
          <w:rFonts w:hint="eastAsia" w:ascii="方正仿宋_GBK" w:hAnsi="宋体" w:eastAsia="方正仿宋_GBK" w:cs="Times New Roman"/>
          <w:sz w:val="24"/>
          <w:szCs w:val="24"/>
        </w:rPr>
        <w:t>月</w:t>
      </w:r>
      <w:r>
        <w:rPr>
          <w:rFonts w:hint="eastAsia" w:ascii="方正仿宋_GBK" w:hAnsi="宋体" w:eastAsia="方正仿宋_GBK" w:cs="Times New Roman"/>
          <w:sz w:val="24"/>
          <w:szCs w:val="24"/>
          <w:lang w:val="en-US" w:eastAsia="zh-CN"/>
        </w:rPr>
        <w:t>28</w:t>
      </w:r>
      <w:r>
        <w:rPr>
          <w:rFonts w:hint="eastAsia" w:ascii="方正仿宋_GBK" w:hAnsi="宋体" w:eastAsia="方正仿宋_GBK" w:cs="Times New Roman"/>
          <w:sz w:val="24"/>
          <w:szCs w:val="24"/>
        </w:rPr>
        <w:t>日-</w:t>
      </w:r>
      <w:r>
        <w:rPr>
          <w:rFonts w:hint="eastAsia" w:ascii="方正仿宋_GBK" w:hAnsi="宋体" w:eastAsia="方正仿宋_GBK" w:cs="Times New Roman"/>
          <w:sz w:val="24"/>
          <w:szCs w:val="24"/>
          <w:lang w:val="en-US" w:eastAsia="zh-CN"/>
        </w:rPr>
        <w:t>11</w:t>
      </w:r>
      <w:r>
        <w:rPr>
          <w:rFonts w:hint="eastAsia" w:ascii="方正仿宋_GBK" w:hAnsi="宋体" w:eastAsia="方正仿宋_GBK" w:cs="Times New Roman"/>
          <w:sz w:val="24"/>
          <w:szCs w:val="24"/>
        </w:rPr>
        <w:t>月</w:t>
      </w:r>
      <w:r>
        <w:rPr>
          <w:rFonts w:hint="eastAsia" w:ascii="方正仿宋_GBK" w:hAnsi="宋体" w:eastAsia="方正仿宋_GBK" w:cs="Times New Roman"/>
          <w:sz w:val="24"/>
          <w:szCs w:val="24"/>
          <w:lang w:val="en-US" w:eastAsia="zh-CN"/>
        </w:rPr>
        <w:t>30</w:t>
      </w:r>
      <w:r>
        <w:rPr>
          <w:rFonts w:hint="eastAsia" w:ascii="方正仿宋_GBK" w:hAnsi="宋体" w:eastAsia="方正仿宋_GBK" w:cs="Times New Roman"/>
          <w:sz w:val="24"/>
          <w:szCs w:val="24"/>
        </w:rPr>
        <w:t>日17:30）</w:t>
      </w:r>
      <w:r>
        <w:rPr>
          <w:rFonts w:hint="eastAsia" w:ascii="方正仿宋_GBK" w:hAnsi="宋体" w:eastAsia="方正仿宋_GBK"/>
          <w:sz w:val="24"/>
          <w:szCs w:val="24"/>
        </w:rPr>
        <w:t>。</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报名方式：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（1）在</w:t>
      </w:r>
      <w:r>
        <w:rPr>
          <w:rFonts w:hint="eastAsia" w:ascii="方正仿宋_GBK" w:hAnsi="宋体" w:eastAsia="方正仿宋_GBK"/>
          <w:sz w:val="24"/>
          <w:szCs w:val="24"/>
          <w:lang w:eastAsia="zh-CN"/>
        </w:rPr>
        <w:t>采购</w:t>
      </w:r>
      <w:r>
        <w:rPr>
          <w:rFonts w:hint="eastAsia" w:ascii="方正仿宋_GBK" w:hAnsi="宋体" w:eastAsia="方正仿宋_GBK"/>
          <w:sz w:val="24"/>
          <w:szCs w:val="24"/>
        </w:rPr>
        <w:t>公告期限内到重庆华大工程管理有限公司报名并领取采购文件。</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方式一：将《发售登记表》递交现场报名。</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方式二：将《发售登记表》盖章后发送至526225547@qq.com。</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（2）供应商须满足以下两种要求，其响应文件才被接受：</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1、按时递交了响应文件；</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2、按时报名签到；</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（3）本</w:t>
      </w:r>
      <w:r>
        <w:rPr>
          <w:rFonts w:hint="eastAsia" w:ascii="方正仿宋_GBK" w:hAnsi="宋体" w:eastAsia="方正仿宋_GBK"/>
          <w:sz w:val="24"/>
          <w:szCs w:val="24"/>
          <w:lang w:eastAsia="zh-CN"/>
        </w:rPr>
        <w:t>采购</w:t>
      </w:r>
      <w:r>
        <w:rPr>
          <w:rFonts w:hint="eastAsia" w:ascii="方正仿宋_GBK" w:hAnsi="宋体" w:eastAsia="方正仿宋_GBK"/>
          <w:sz w:val="24"/>
          <w:szCs w:val="24"/>
        </w:rPr>
        <w:t>文件规定的时间为北京时间。</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（4）超过</w:t>
      </w:r>
      <w:r>
        <w:rPr>
          <w:rFonts w:hint="eastAsia" w:ascii="方正仿宋_GBK" w:hAnsi="宋体" w:eastAsia="方正仿宋_GBK"/>
          <w:sz w:val="24"/>
          <w:szCs w:val="24"/>
          <w:lang w:eastAsia="zh-CN"/>
        </w:rPr>
        <w:t>采购</w:t>
      </w:r>
      <w:r>
        <w:rPr>
          <w:rFonts w:hint="eastAsia" w:ascii="方正仿宋_GBK" w:hAnsi="宋体" w:eastAsia="方正仿宋_GBK"/>
          <w:sz w:val="24"/>
          <w:szCs w:val="24"/>
        </w:rPr>
        <w:t>截止时间、不按本</w:t>
      </w:r>
      <w:r>
        <w:rPr>
          <w:rFonts w:hint="eastAsia" w:ascii="方正仿宋_GBK" w:hAnsi="宋体" w:eastAsia="方正仿宋_GBK"/>
          <w:sz w:val="24"/>
          <w:szCs w:val="24"/>
          <w:lang w:eastAsia="zh-CN"/>
        </w:rPr>
        <w:t>采购</w:t>
      </w:r>
      <w:r>
        <w:rPr>
          <w:rFonts w:hint="eastAsia" w:ascii="方正仿宋_GBK" w:hAnsi="宋体" w:eastAsia="方正仿宋_GBK"/>
          <w:sz w:val="24"/>
          <w:szCs w:val="24"/>
        </w:rPr>
        <w:t>文件规定密封的响应文件，或不按</w:t>
      </w:r>
      <w:r>
        <w:rPr>
          <w:rFonts w:hint="eastAsia" w:ascii="方正仿宋_GBK" w:hAnsi="宋体" w:eastAsia="方正仿宋_GBK"/>
          <w:sz w:val="24"/>
          <w:szCs w:val="24"/>
          <w:lang w:eastAsia="zh-CN"/>
        </w:rPr>
        <w:t>采购</w:t>
      </w:r>
      <w:r>
        <w:rPr>
          <w:rFonts w:hint="eastAsia" w:ascii="方正仿宋_GBK" w:hAnsi="宋体" w:eastAsia="方正仿宋_GBK"/>
          <w:sz w:val="24"/>
          <w:szCs w:val="24"/>
        </w:rPr>
        <w:t>文件规定提交有效足额</w:t>
      </w:r>
      <w:r>
        <w:rPr>
          <w:rFonts w:hint="eastAsia" w:ascii="方正仿宋_GBK" w:hAnsi="宋体" w:eastAsia="方正仿宋_GBK"/>
          <w:sz w:val="24"/>
          <w:szCs w:val="24"/>
          <w:lang w:eastAsia="zh-CN"/>
        </w:rPr>
        <w:t>采购</w:t>
      </w:r>
      <w:r>
        <w:rPr>
          <w:rFonts w:hint="eastAsia" w:ascii="方正仿宋_GBK" w:hAnsi="宋体" w:eastAsia="方正仿宋_GBK"/>
          <w:sz w:val="24"/>
          <w:szCs w:val="24"/>
        </w:rPr>
        <w:t>保证金的供应商，均视为不响应</w:t>
      </w:r>
      <w:r>
        <w:rPr>
          <w:rFonts w:hint="eastAsia" w:ascii="方正仿宋_GBK" w:hAnsi="宋体" w:eastAsia="方正仿宋_GBK"/>
          <w:sz w:val="24"/>
          <w:szCs w:val="24"/>
          <w:lang w:eastAsia="zh-CN"/>
        </w:rPr>
        <w:t>采购</w:t>
      </w:r>
      <w:r>
        <w:rPr>
          <w:rFonts w:hint="eastAsia" w:ascii="方正仿宋_GBK" w:hAnsi="宋体" w:eastAsia="方正仿宋_GBK"/>
          <w:sz w:val="24"/>
          <w:szCs w:val="24"/>
        </w:rPr>
        <w:t>文件要求，为无效响应。</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w:t>
      </w:r>
      <w:r>
        <w:rPr>
          <w:rFonts w:hint="eastAsia" w:ascii="方正仿宋_GBK" w:hAnsi="宋体" w:eastAsia="方正仿宋_GBK"/>
          <w:sz w:val="24"/>
          <w:szCs w:val="24"/>
          <w:lang w:eastAsia="zh-CN"/>
        </w:rPr>
        <w:t>采购文件</w:t>
      </w:r>
      <w:r>
        <w:rPr>
          <w:rFonts w:hint="eastAsia" w:ascii="方正仿宋_GBK" w:hAnsi="宋体" w:eastAsia="方正仿宋_GBK"/>
          <w:sz w:val="24"/>
          <w:szCs w:val="24"/>
        </w:rPr>
        <w:t>售价：人民币500元/包。</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提交方式：现金或微信或转账。</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转账信息：</w:t>
      </w:r>
    </w:p>
    <w:p>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1、单位名称：重庆华大工程管理有限公司</w:t>
      </w:r>
    </w:p>
    <w:p>
      <w:pPr>
        <w:pageBreakBefore w:val="0"/>
        <w:widowControl w:val="0"/>
        <w:kinsoku/>
        <w:wordWrap/>
        <w:overflowPunct/>
        <w:topLinePunct w:val="0"/>
        <w:autoSpaceDE/>
        <w:autoSpaceDN/>
        <w:bidi w:val="0"/>
        <w:spacing w:line="3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2、单位开户行及账号：中国工商银行股份有限公司重庆枳城支行      3100234409000002238</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（三）递交响应文件地点：重庆华大工程管理有限公司（涪陵区新城区建筑大厦3楼）</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（四）提交响应文件截止时间：202</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12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09:30</w:t>
      </w:r>
      <w:r>
        <w:rPr>
          <w:rFonts w:hint="eastAsia" w:ascii="方正仿宋_GBK" w:hAnsi="宋体" w:eastAsia="方正仿宋_GBK"/>
          <w:sz w:val="24"/>
          <w:szCs w:val="24"/>
        </w:rPr>
        <w:t>时至</w:t>
      </w:r>
      <w:r>
        <w:rPr>
          <w:rFonts w:hint="eastAsia" w:ascii="方正仿宋_GBK" w:hAnsi="宋体" w:eastAsia="方正仿宋_GBK"/>
          <w:sz w:val="24"/>
          <w:szCs w:val="24"/>
          <w:lang w:val="en-US" w:eastAsia="zh-CN"/>
        </w:rPr>
        <w:t>10:00</w:t>
      </w:r>
      <w:r>
        <w:rPr>
          <w:rFonts w:hint="eastAsia" w:ascii="方正仿宋_GBK" w:hAnsi="宋体" w:eastAsia="方正仿宋_GBK"/>
          <w:sz w:val="24"/>
          <w:szCs w:val="24"/>
        </w:rPr>
        <w:t>时</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（五）评审开始时间：202</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12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10:00</w:t>
      </w:r>
      <w:r>
        <w:rPr>
          <w:rFonts w:hint="eastAsia" w:ascii="方正仿宋_GBK" w:hAnsi="宋体" w:eastAsia="方正仿宋_GBK"/>
          <w:sz w:val="24"/>
          <w:szCs w:val="24"/>
        </w:rPr>
        <w:t>时</w:t>
      </w:r>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17" w:name="_Toc76462321"/>
      <w:bookmarkStart w:id="18" w:name="_Toc373860294"/>
      <w:bookmarkStart w:id="19" w:name="_Toc106030875"/>
      <w:r>
        <w:rPr>
          <w:rFonts w:hint="eastAsia" w:ascii="方正仿宋_GBK" w:hAnsi="宋体" w:eastAsia="方正仿宋_GBK"/>
          <w:sz w:val="24"/>
        </w:rPr>
        <w:t>五、</w:t>
      </w:r>
      <w:bookmarkEnd w:id="12"/>
      <w:bookmarkEnd w:id="17"/>
      <w:bookmarkEnd w:id="18"/>
      <w:bookmarkEnd w:id="19"/>
      <w:bookmarkStart w:id="20" w:name="_Toc106030876"/>
      <w:bookmarkStart w:id="21" w:name="_Toc76462322"/>
      <w:bookmarkStart w:id="22" w:name="_Toc480466699"/>
      <w:r>
        <w:rPr>
          <w:rFonts w:hint="eastAsia" w:ascii="方正仿宋_GBK" w:hAnsi="宋体" w:eastAsia="方正仿宋_GBK"/>
          <w:sz w:val="24"/>
        </w:rPr>
        <w:t>其它有关规定</w:t>
      </w:r>
      <w:bookmarkEnd w:id="20"/>
      <w:bookmarkEnd w:id="21"/>
      <w:bookmarkEnd w:id="22"/>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，否则均为无效响应。</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（三）本项目的澄清文件（如果有）一律在重庆市交通局官网上发布，请各供应商注意下载或到采购代理机构处领取；无论供应商下载或领取与否，均视同供应商已知晓本项目澄清文件（如果有）的内容。</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（四）超过响应文件截止时间递交的响应文件，恕不接收。</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（五）限额以下磋商评分费用：无论评审结果如何，供应商参与本项目竞争的所有费用均应由供应商自行承担。</w:t>
      </w:r>
    </w:p>
    <w:p>
      <w:pPr>
        <w:snapToGrid w:val="0"/>
        <w:spacing w:line="400" w:lineRule="exact"/>
        <w:ind w:firstLine="360" w:firstLineChars="15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（六）本项目不接受联合体参与竞争，否则按无效处理。</w:t>
      </w:r>
    </w:p>
    <w:p>
      <w:pPr>
        <w:snapToGrid w:val="0"/>
        <w:spacing w:line="400" w:lineRule="exact"/>
        <w:ind w:firstLine="360" w:firstLineChars="15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（七）本项目不接受合同分包，否则按无效处理。</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（八）</w:t>
      </w:r>
      <w:bookmarkStart w:id="23" w:name="_Toc480466700"/>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bookmarkEnd w:id="23"/>
    <w:p>
      <w:pPr>
        <w:pageBreakBefore w:val="0"/>
        <w:widowControl w:val="0"/>
        <w:kinsoku/>
        <w:wordWrap/>
        <w:overflowPunct/>
        <w:topLinePunct w:val="0"/>
        <w:autoSpaceDE/>
        <w:autoSpaceDN/>
        <w:bidi w:val="0"/>
        <w:snapToGrid w:val="0"/>
        <w:spacing w:line="380" w:lineRule="exact"/>
        <w:ind w:firstLine="361" w:firstLineChars="150"/>
        <w:textAlignment w:val="auto"/>
        <w:rPr>
          <w:rFonts w:hint="eastAsia" w:ascii="方正仿宋_GBK" w:hAnsi="宋体" w:eastAsia="方正仿宋_GBK" w:cs="Times New Roman"/>
          <w:b/>
          <w:sz w:val="24"/>
        </w:rPr>
      </w:pPr>
      <w:r>
        <w:rPr>
          <w:rFonts w:hint="eastAsia" w:ascii="方正仿宋_GBK" w:hAnsi="宋体" w:eastAsia="方正仿宋_GBK" w:cs="Times New Roman"/>
          <w:b/>
          <w:sz w:val="24"/>
        </w:rPr>
        <w:t>六、现场踏勘</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sz w:val="24"/>
          <w:lang w:val="en-US" w:eastAsia="zh-CN"/>
        </w:rPr>
      </w:pPr>
      <w:r>
        <w:rPr>
          <w:rFonts w:hint="eastAsia" w:ascii="方正仿宋_GBK" w:hAnsi="宋体" w:eastAsia="方正仿宋_GBK"/>
          <w:b w:val="0"/>
          <w:bCs/>
          <w:sz w:val="24"/>
          <w:lang w:val="en-US" w:eastAsia="zh-CN"/>
        </w:rPr>
        <w:t>本次项目内容为老君滩、葫芦碛维护性疏浚工程竣工测量，项目清单内的部分工程量为估计数量，请有意向参与竞标的潜在供应商自行现场复核工程量及了解施工条件、环境。</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sz w:val="24"/>
          <w:lang w:val="en-US" w:eastAsia="zh-CN"/>
        </w:rPr>
      </w:pPr>
      <w:r>
        <w:rPr>
          <w:rFonts w:hint="eastAsia" w:ascii="方正仿宋_GBK" w:hAnsi="宋体" w:eastAsia="方正仿宋_GBK"/>
          <w:b w:val="0"/>
          <w:bCs/>
          <w:sz w:val="24"/>
          <w:lang w:val="en-US" w:eastAsia="zh-CN"/>
        </w:rPr>
        <w:t>踏勘地点：武隆。</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sz w:val="24"/>
          <w:lang w:val="en-US" w:eastAsia="zh-CN"/>
        </w:rPr>
      </w:pPr>
      <w:r>
        <w:rPr>
          <w:rFonts w:hint="eastAsia" w:ascii="方正仿宋_GBK" w:hAnsi="宋体" w:eastAsia="方正仿宋_GBK"/>
          <w:b w:val="0"/>
          <w:bCs/>
          <w:sz w:val="24"/>
          <w:lang w:val="en-US" w:eastAsia="zh-CN"/>
        </w:rPr>
        <w:t>联系人及联系电话：代老师  023-72300403</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sz w:val="24"/>
          <w:lang w:val="en-US" w:eastAsia="zh-CN"/>
        </w:rPr>
      </w:pPr>
      <w:r>
        <w:rPr>
          <w:rFonts w:hint="eastAsia" w:ascii="方正仿宋_GBK" w:hAnsi="宋体" w:eastAsia="方正仿宋_GBK"/>
          <w:b w:val="0"/>
          <w:bCs/>
          <w:sz w:val="24"/>
          <w:lang w:val="en-US" w:eastAsia="zh-CN"/>
        </w:rPr>
        <w:t>踏勘注意事项：</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sz w:val="24"/>
          <w:lang w:val="en-US" w:eastAsia="zh-CN"/>
        </w:rPr>
      </w:pPr>
      <w:r>
        <w:rPr>
          <w:rFonts w:hint="eastAsia" w:ascii="方正仿宋_GBK" w:hAnsi="宋体" w:eastAsia="方正仿宋_GBK"/>
          <w:b w:val="0"/>
          <w:bCs/>
          <w:sz w:val="24"/>
          <w:lang w:val="en-US" w:eastAsia="zh-CN"/>
        </w:rPr>
        <w:t>(1)潜在供应商踏勘现场发生的费用自理，无论供应商是否进行现场踏勘，均视为供应商对该项目情况十分清楚，能对投标及后来的实施做出准确的判断。</w:t>
      </w:r>
    </w:p>
    <w:p>
      <w:pPr>
        <w:pStyle w:val="5"/>
        <w:pageBreakBefore w:val="0"/>
        <w:widowControl w:val="0"/>
        <w:kinsoku/>
        <w:wordWrap/>
        <w:overflowPunct/>
        <w:topLinePunct w:val="0"/>
        <w:autoSpaceDE/>
        <w:autoSpaceDN/>
        <w:bidi w:val="0"/>
        <w:adjustRightInd w:val="0"/>
        <w:snapToGrid w:val="0"/>
        <w:spacing w:before="0" w:after="0" w:line="380" w:lineRule="exact"/>
        <w:ind w:firstLine="480" w:firstLineChars="200"/>
        <w:textAlignment w:val="auto"/>
        <w:rPr>
          <w:rFonts w:hint="eastAsia" w:ascii="方正仿宋_GBK" w:hAnsi="宋体" w:eastAsia="方正仿宋_GBK"/>
          <w:b w:val="0"/>
          <w:bCs/>
          <w:sz w:val="24"/>
          <w:lang w:val="en-US" w:eastAsia="zh-CN"/>
        </w:rPr>
      </w:pPr>
      <w:r>
        <w:rPr>
          <w:rFonts w:hint="eastAsia" w:ascii="方正仿宋_GBK" w:hAnsi="宋体" w:eastAsia="方正仿宋_GBK"/>
          <w:b w:val="0"/>
          <w:bCs/>
          <w:sz w:val="24"/>
          <w:lang w:val="en-US" w:eastAsia="zh-CN"/>
        </w:rPr>
        <w:t>(2)除采购人的原因外，潜在供应商自行负责在踏勘现场中所发生的人员伤亡和财产损失。</w:t>
      </w:r>
    </w:p>
    <w:p>
      <w:pPr>
        <w:pStyle w:val="5"/>
        <w:pageBreakBefore w:val="0"/>
        <w:widowControl w:val="0"/>
        <w:kinsoku/>
        <w:wordWrap/>
        <w:overflowPunct/>
        <w:topLinePunct w:val="0"/>
        <w:autoSpaceDE/>
        <w:autoSpaceDN/>
        <w:bidi w:val="0"/>
        <w:adjustRightInd w:val="0"/>
        <w:snapToGrid w:val="0"/>
        <w:spacing w:before="0" w:after="0" w:line="380" w:lineRule="exact"/>
        <w:ind w:firstLine="482" w:firstLineChars="200"/>
        <w:textAlignment w:val="auto"/>
        <w:rPr>
          <w:rFonts w:hint="eastAsia" w:ascii="方正仿宋_GBK" w:hAnsi="宋体" w:eastAsia="方正仿宋_GBK"/>
          <w:sz w:val="24"/>
        </w:rPr>
      </w:pPr>
      <w:r>
        <w:rPr>
          <w:rFonts w:hint="eastAsia" w:ascii="方正仿宋_GBK" w:hAnsi="宋体" w:eastAsia="方正仿宋_GBK"/>
          <w:sz w:val="24"/>
          <w:lang w:val="en-US" w:eastAsia="zh-CN"/>
        </w:rPr>
        <w:t>七</w:t>
      </w:r>
      <w:r>
        <w:rPr>
          <w:rFonts w:hint="eastAsia" w:ascii="方正仿宋_GBK" w:hAnsi="宋体" w:eastAsia="方正仿宋_GBK"/>
          <w:sz w:val="24"/>
        </w:rPr>
        <w:t>、联系方式</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（一）采购人：重庆市乌江航道管理处</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联系人：王老师</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电  话：023-72300403</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地  址：重庆市涪陵区顺江大道望江路99号</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（二）采购代理机构：重庆华大工程管理有限公司</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联系人：陈老师</w:t>
      </w:r>
    </w:p>
    <w:p>
      <w:pPr>
        <w:pageBreakBefore w:val="0"/>
        <w:widowControl w:val="0"/>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电  话：13618390331</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地  址：重庆市涪陵区新城区建筑业大厦3楼</w:t>
      </w:r>
    </w:p>
    <w:p>
      <w:pPr>
        <w:snapToGrid w:val="0"/>
        <w:spacing w:line="400" w:lineRule="exact"/>
        <w:ind w:firstLine="480" w:firstLineChars="200"/>
        <w:rPr>
          <w:rFonts w:hint="eastAsia" w:ascii="方正仿宋_GBK" w:hAnsi="宋体" w:eastAsia="方正仿宋_GBK"/>
          <w:sz w:val="24"/>
          <w:szCs w:val="24"/>
        </w:rPr>
      </w:pPr>
    </w:p>
    <w:p>
      <w:pPr>
        <w:snapToGrid w:val="0"/>
        <w:spacing w:line="400" w:lineRule="exact"/>
        <w:ind w:firstLine="482" w:firstLineChars="200"/>
        <w:rPr>
          <w:rFonts w:hint="eastAsia" w:ascii="宋体" w:hAnsi="宋体"/>
          <w:b/>
          <w:sz w:val="24"/>
          <w:szCs w:val="24"/>
        </w:rPr>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964" w:footer="992" w:gutter="0"/>
          <w:pgNumType w:fmt="numberInDash"/>
          <w:cols w:space="720" w:num="1"/>
          <w:docGrid w:linePitch="312" w:charSpace="0"/>
        </w:sectPr>
      </w:pPr>
    </w:p>
    <w:p>
      <w:pPr>
        <w:pStyle w:val="5"/>
        <w:spacing w:before="0" w:after="0" w:line="360" w:lineRule="auto"/>
        <w:jc w:val="center"/>
        <w:rPr>
          <w:rFonts w:hint="eastAsia" w:ascii="方正小标宋_GBK" w:hAnsi="宋体" w:eastAsia="方正小标宋_GBK"/>
          <w:b w:val="0"/>
          <w:sz w:val="30"/>
          <w:szCs w:val="30"/>
        </w:rPr>
      </w:pPr>
      <w:bookmarkStart w:id="24" w:name="_Toc76462324"/>
      <w:bookmarkStart w:id="25" w:name="_Toc106030878"/>
      <w:r>
        <w:rPr>
          <w:rFonts w:hint="eastAsia" w:ascii="方正小标宋_GBK" w:hAnsi="宋体" w:eastAsia="方正小标宋_GBK"/>
          <w:b w:val="0"/>
          <w:sz w:val="36"/>
          <w:szCs w:val="30"/>
        </w:rPr>
        <w:t>第二篇  项目服务需求</w:t>
      </w:r>
      <w:bookmarkEnd w:id="24"/>
      <w:bookmarkEnd w:id="25"/>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26" w:name="_Toc106030879"/>
      <w:bookmarkStart w:id="27" w:name="_Toc76462325"/>
      <w:bookmarkStart w:id="28" w:name="_Toc12789058"/>
      <w:r>
        <w:rPr>
          <w:rFonts w:hint="eastAsia" w:ascii="方正仿宋_GBK" w:hAnsi="宋体" w:eastAsia="方正仿宋_GBK"/>
          <w:sz w:val="24"/>
        </w:rPr>
        <w:t>一、项目基本概况介绍</w:t>
      </w:r>
      <w:bookmarkEnd w:id="26"/>
      <w:bookmarkEnd w:id="27"/>
    </w:p>
    <w:tbl>
      <w:tblPr>
        <w:tblStyle w:val="5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328"/>
        <w:gridCol w:w="1511"/>
        <w:gridCol w:w="1046"/>
        <w:gridCol w:w="1336"/>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801" w:type="dxa"/>
            <w:noWrap w:val="0"/>
            <w:vAlign w:val="center"/>
          </w:tcPr>
          <w:p>
            <w:pPr>
              <w:spacing w:line="500" w:lineRule="exact"/>
              <w:jc w:val="center"/>
              <w:rPr>
                <w:rFonts w:hint="eastAsia" w:ascii="仿宋_GB2312" w:hAnsi="宋体" w:eastAsia="仿宋_GB2312"/>
                <w:sz w:val="22"/>
                <w:szCs w:val="22"/>
              </w:rPr>
            </w:pPr>
            <w:r>
              <w:rPr>
                <w:rFonts w:hint="eastAsia" w:ascii="仿宋_GB2312" w:hAnsi="宋体" w:eastAsia="仿宋_GB2312"/>
                <w:sz w:val="22"/>
                <w:szCs w:val="22"/>
              </w:rPr>
              <w:t>序号</w:t>
            </w:r>
          </w:p>
        </w:tc>
        <w:tc>
          <w:tcPr>
            <w:tcW w:w="3328" w:type="dxa"/>
            <w:noWrap w:val="0"/>
            <w:vAlign w:val="center"/>
          </w:tcPr>
          <w:p>
            <w:pPr>
              <w:spacing w:line="500" w:lineRule="exact"/>
              <w:jc w:val="center"/>
              <w:rPr>
                <w:rFonts w:hint="eastAsia" w:ascii="仿宋_GB2312" w:hAnsi="宋体" w:eastAsia="仿宋_GB2312"/>
                <w:sz w:val="22"/>
                <w:szCs w:val="22"/>
              </w:rPr>
            </w:pPr>
            <w:r>
              <w:rPr>
                <w:rFonts w:hint="eastAsia" w:ascii="仿宋_GB2312" w:hAnsi="宋体" w:eastAsia="仿宋_GB2312"/>
                <w:sz w:val="22"/>
                <w:szCs w:val="22"/>
              </w:rPr>
              <w:t>项目</w:t>
            </w:r>
          </w:p>
        </w:tc>
        <w:tc>
          <w:tcPr>
            <w:tcW w:w="1511" w:type="dxa"/>
            <w:noWrap w:val="0"/>
            <w:vAlign w:val="center"/>
          </w:tcPr>
          <w:p>
            <w:pPr>
              <w:spacing w:line="500" w:lineRule="exact"/>
              <w:jc w:val="center"/>
              <w:rPr>
                <w:rFonts w:hint="eastAsia" w:ascii="仿宋_GB2312" w:hAnsi="宋体" w:eastAsia="仿宋_GB2312"/>
                <w:sz w:val="22"/>
                <w:szCs w:val="22"/>
              </w:rPr>
            </w:pPr>
            <w:r>
              <w:rPr>
                <w:rFonts w:hint="eastAsia" w:ascii="仿宋_GB2312" w:hAnsi="宋体" w:eastAsia="仿宋_GB2312"/>
                <w:sz w:val="22"/>
                <w:szCs w:val="22"/>
              </w:rPr>
              <w:t>测量内容</w:t>
            </w:r>
          </w:p>
        </w:tc>
        <w:tc>
          <w:tcPr>
            <w:tcW w:w="1046" w:type="dxa"/>
            <w:noWrap w:val="0"/>
            <w:vAlign w:val="center"/>
          </w:tcPr>
          <w:p>
            <w:pPr>
              <w:spacing w:line="400" w:lineRule="exact"/>
              <w:jc w:val="center"/>
              <w:rPr>
                <w:rFonts w:hint="eastAsia" w:ascii="仿宋_GB2312" w:hAnsi="宋体" w:eastAsia="仿宋_GB2312"/>
                <w:sz w:val="22"/>
                <w:szCs w:val="22"/>
              </w:rPr>
            </w:pPr>
            <w:r>
              <w:rPr>
                <w:rFonts w:hint="eastAsia" w:ascii="仿宋_GB2312" w:hAnsi="宋体" w:eastAsia="仿宋_GB2312"/>
                <w:sz w:val="22"/>
                <w:szCs w:val="22"/>
              </w:rPr>
              <w:t>工程量</w:t>
            </w:r>
          </w:p>
          <w:p>
            <w:pPr>
              <w:spacing w:line="400" w:lineRule="exact"/>
              <w:jc w:val="center"/>
              <w:rPr>
                <w:rFonts w:hint="eastAsia" w:ascii="仿宋_GB2312" w:hAnsi="宋体" w:eastAsia="仿宋_GB2312"/>
                <w:sz w:val="22"/>
                <w:szCs w:val="22"/>
              </w:rPr>
            </w:pPr>
            <w:r>
              <w:rPr>
                <w:rFonts w:hint="eastAsia" w:ascii="仿宋_GB2312" w:hAnsi="宋体" w:eastAsia="仿宋_GB2312"/>
                <w:sz w:val="22"/>
                <w:szCs w:val="22"/>
              </w:rPr>
              <w:t>（km</w:t>
            </w:r>
            <w:r>
              <w:rPr>
                <w:rFonts w:hint="eastAsia" w:ascii="仿宋_GB2312" w:hAnsi="宋体" w:eastAsia="仿宋_GB2312"/>
                <w:sz w:val="22"/>
                <w:szCs w:val="22"/>
                <w:vertAlign w:val="superscript"/>
              </w:rPr>
              <w:t>2</w:t>
            </w:r>
            <w:r>
              <w:rPr>
                <w:rFonts w:hint="eastAsia" w:ascii="仿宋_GB2312" w:hAnsi="宋体" w:eastAsia="仿宋_GB2312"/>
                <w:sz w:val="22"/>
                <w:szCs w:val="22"/>
              </w:rPr>
              <w:t>）</w:t>
            </w:r>
          </w:p>
        </w:tc>
        <w:tc>
          <w:tcPr>
            <w:tcW w:w="1336" w:type="dxa"/>
            <w:noWrap w:val="0"/>
            <w:vAlign w:val="center"/>
          </w:tcPr>
          <w:p>
            <w:pPr>
              <w:spacing w:line="500" w:lineRule="exact"/>
              <w:jc w:val="center"/>
              <w:rPr>
                <w:rFonts w:hint="eastAsia" w:ascii="仿宋_GB2312" w:hAnsi="宋体" w:eastAsia="仿宋_GB2312"/>
                <w:sz w:val="22"/>
                <w:szCs w:val="22"/>
              </w:rPr>
            </w:pPr>
            <w:r>
              <w:rPr>
                <w:rFonts w:hint="eastAsia" w:ascii="仿宋_GB2312" w:hAnsi="宋体" w:eastAsia="仿宋_GB2312"/>
                <w:sz w:val="22"/>
                <w:szCs w:val="22"/>
              </w:rPr>
              <w:t>测图比例</w:t>
            </w:r>
          </w:p>
        </w:tc>
        <w:tc>
          <w:tcPr>
            <w:tcW w:w="994" w:type="dxa"/>
            <w:noWrap w:val="0"/>
            <w:vAlign w:val="center"/>
          </w:tcPr>
          <w:p>
            <w:pPr>
              <w:spacing w:line="500" w:lineRule="exact"/>
              <w:jc w:val="center"/>
              <w:rPr>
                <w:rFonts w:hint="eastAsia" w:ascii="仿宋_GB2312" w:hAnsi="宋体" w:eastAsia="仿宋_GB2312"/>
                <w:sz w:val="22"/>
                <w:szCs w:val="22"/>
              </w:rPr>
            </w:pPr>
            <w:r>
              <w:rPr>
                <w:rFonts w:hint="eastAsia" w:ascii="仿宋_GB2312" w:hAnsi="宋体" w:eastAsia="仿宋_GB231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801" w:type="dxa"/>
            <w:noWrap w:val="0"/>
            <w:vAlign w:val="center"/>
          </w:tcPr>
          <w:p>
            <w:pPr>
              <w:spacing w:line="500" w:lineRule="exact"/>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w:t>
            </w:r>
          </w:p>
        </w:tc>
        <w:tc>
          <w:tcPr>
            <w:tcW w:w="3328" w:type="dxa"/>
            <w:noWrap w:val="0"/>
            <w:vAlign w:val="center"/>
          </w:tcPr>
          <w:p>
            <w:pPr>
              <w:spacing w:line="500" w:lineRule="exact"/>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老君滩地形图测量</w:t>
            </w:r>
          </w:p>
        </w:tc>
        <w:tc>
          <w:tcPr>
            <w:tcW w:w="1511" w:type="dxa"/>
            <w:tcBorders>
              <w:bottom w:val="single" w:color="auto" w:sz="4" w:space="0"/>
            </w:tcBorders>
            <w:noWrap w:val="0"/>
            <w:vAlign w:val="center"/>
          </w:tcPr>
          <w:p>
            <w:pPr>
              <w:spacing w:line="500" w:lineRule="exact"/>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水上、水下地形图</w:t>
            </w:r>
          </w:p>
        </w:tc>
        <w:tc>
          <w:tcPr>
            <w:tcW w:w="1046" w:type="dxa"/>
            <w:tcBorders>
              <w:bottom w:val="single" w:color="auto" w:sz="4" w:space="0"/>
            </w:tcBorders>
            <w:noWrap w:val="0"/>
            <w:vAlign w:val="center"/>
          </w:tcPr>
          <w:p>
            <w:pPr>
              <w:spacing w:line="500" w:lineRule="exact"/>
              <w:jc w:val="center"/>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0.3</w:t>
            </w:r>
          </w:p>
        </w:tc>
        <w:tc>
          <w:tcPr>
            <w:tcW w:w="1336" w:type="dxa"/>
            <w:tcBorders>
              <w:bottom w:val="single" w:color="auto" w:sz="4" w:space="0"/>
            </w:tcBorders>
            <w:noWrap w:val="0"/>
            <w:vAlign w:val="center"/>
          </w:tcPr>
          <w:p>
            <w:pPr>
              <w:spacing w:line="500" w:lineRule="exact"/>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1:500</w:t>
            </w:r>
          </w:p>
        </w:tc>
        <w:tc>
          <w:tcPr>
            <w:tcW w:w="994" w:type="dxa"/>
            <w:tcBorders>
              <w:bottom w:val="single" w:color="auto" w:sz="4" w:space="0"/>
            </w:tcBorders>
            <w:noWrap w:val="0"/>
            <w:vAlign w:val="center"/>
          </w:tcPr>
          <w:p>
            <w:pPr>
              <w:spacing w:line="500" w:lineRule="exact"/>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801" w:type="dxa"/>
            <w:noWrap w:val="0"/>
            <w:vAlign w:val="center"/>
          </w:tcPr>
          <w:p>
            <w:pPr>
              <w:spacing w:line="500" w:lineRule="exact"/>
              <w:jc w:val="center"/>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2</w:t>
            </w:r>
          </w:p>
        </w:tc>
        <w:tc>
          <w:tcPr>
            <w:tcW w:w="3328" w:type="dxa"/>
            <w:noWrap w:val="0"/>
            <w:vAlign w:val="center"/>
          </w:tcPr>
          <w:p>
            <w:pPr>
              <w:spacing w:line="500" w:lineRule="exact"/>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lang w:val="en-US" w:eastAsia="zh-CN"/>
              </w:rPr>
              <w:t>葫芦碛</w:t>
            </w:r>
            <w:r>
              <w:rPr>
                <w:rFonts w:hint="eastAsia" w:ascii="方正仿宋_GBK" w:hAnsi="方正仿宋_GBK" w:eastAsia="方正仿宋_GBK" w:cs="方正仿宋_GBK"/>
                <w:sz w:val="22"/>
                <w:szCs w:val="22"/>
              </w:rPr>
              <w:t>滩地形图测量</w:t>
            </w:r>
          </w:p>
        </w:tc>
        <w:tc>
          <w:tcPr>
            <w:tcW w:w="1511" w:type="dxa"/>
            <w:tcBorders>
              <w:bottom w:val="single" w:color="auto" w:sz="4" w:space="0"/>
            </w:tcBorders>
            <w:noWrap w:val="0"/>
            <w:vAlign w:val="center"/>
          </w:tcPr>
          <w:p>
            <w:pPr>
              <w:spacing w:line="500" w:lineRule="exact"/>
              <w:jc w:val="center"/>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sz w:val="22"/>
                <w:szCs w:val="22"/>
              </w:rPr>
              <w:t>水上、水下地形图</w:t>
            </w:r>
          </w:p>
        </w:tc>
        <w:tc>
          <w:tcPr>
            <w:tcW w:w="1046" w:type="dxa"/>
            <w:tcBorders>
              <w:bottom w:val="single" w:color="auto" w:sz="4" w:space="0"/>
            </w:tcBorders>
            <w:noWrap w:val="0"/>
            <w:vAlign w:val="center"/>
          </w:tcPr>
          <w:p>
            <w:pPr>
              <w:spacing w:line="500" w:lineRule="exact"/>
              <w:jc w:val="center"/>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sz w:val="22"/>
                <w:szCs w:val="22"/>
                <w:lang w:val="en-US" w:eastAsia="zh-CN"/>
              </w:rPr>
              <w:t>0.2</w:t>
            </w:r>
          </w:p>
        </w:tc>
        <w:tc>
          <w:tcPr>
            <w:tcW w:w="1336" w:type="dxa"/>
            <w:tcBorders>
              <w:bottom w:val="single" w:color="auto" w:sz="4" w:space="0"/>
            </w:tcBorders>
            <w:noWrap w:val="0"/>
            <w:vAlign w:val="center"/>
          </w:tcPr>
          <w:p>
            <w:pPr>
              <w:spacing w:line="500" w:lineRule="exact"/>
              <w:jc w:val="center"/>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sz w:val="22"/>
                <w:szCs w:val="22"/>
              </w:rPr>
              <w:t>1:500</w:t>
            </w:r>
          </w:p>
        </w:tc>
        <w:tc>
          <w:tcPr>
            <w:tcW w:w="994" w:type="dxa"/>
            <w:tcBorders>
              <w:bottom w:val="single" w:color="auto" w:sz="4" w:space="0"/>
            </w:tcBorders>
            <w:noWrap w:val="0"/>
            <w:vAlign w:val="center"/>
          </w:tcPr>
          <w:p>
            <w:pPr>
              <w:spacing w:line="500" w:lineRule="exact"/>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801" w:type="dxa"/>
            <w:noWrap w:val="0"/>
            <w:vAlign w:val="center"/>
          </w:tcPr>
          <w:p>
            <w:pPr>
              <w:spacing w:line="500" w:lineRule="exact"/>
              <w:jc w:val="center"/>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3</w:t>
            </w:r>
          </w:p>
        </w:tc>
        <w:tc>
          <w:tcPr>
            <w:tcW w:w="3328" w:type="dxa"/>
            <w:noWrap w:val="0"/>
            <w:vAlign w:val="center"/>
          </w:tcPr>
          <w:p>
            <w:pPr>
              <w:spacing w:line="500" w:lineRule="exact"/>
              <w:jc w:val="center"/>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rPr>
              <w:t>老君滩</w:t>
            </w:r>
            <w:r>
              <w:rPr>
                <w:rFonts w:hint="eastAsia" w:ascii="方正仿宋_GBK" w:hAnsi="宋体" w:eastAsia="方正仿宋_GBK" w:cs="方正楷体简体"/>
                <w:color w:val="000000"/>
                <w:sz w:val="22"/>
                <w:szCs w:val="22"/>
                <w:lang w:val="en-US" w:eastAsia="zh-CN"/>
              </w:rPr>
              <w:t>成图及报告编制</w:t>
            </w:r>
          </w:p>
        </w:tc>
        <w:tc>
          <w:tcPr>
            <w:tcW w:w="4887" w:type="dxa"/>
            <w:gridSpan w:val="4"/>
            <w:tcBorders>
              <w:bottom w:val="single" w:color="auto" w:sz="4" w:space="0"/>
            </w:tcBorders>
            <w:noWrap w:val="0"/>
            <w:vAlign w:val="center"/>
          </w:tcPr>
          <w:p>
            <w:pPr>
              <w:spacing w:line="5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根据施工测量成果以及工程要求对竣工测量成果进行分析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801" w:type="dxa"/>
            <w:noWrap w:val="0"/>
            <w:vAlign w:val="center"/>
          </w:tcPr>
          <w:p>
            <w:pPr>
              <w:spacing w:line="500" w:lineRule="exact"/>
              <w:jc w:val="center"/>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4</w:t>
            </w:r>
          </w:p>
        </w:tc>
        <w:tc>
          <w:tcPr>
            <w:tcW w:w="3328" w:type="dxa"/>
            <w:noWrap w:val="0"/>
            <w:vAlign w:val="center"/>
          </w:tcPr>
          <w:p>
            <w:pPr>
              <w:spacing w:line="500" w:lineRule="exact"/>
              <w:jc w:val="center"/>
              <w:rPr>
                <w:rFonts w:hint="eastAsia" w:ascii="方正仿宋_GBK" w:hAnsi="方正仿宋_GBK" w:eastAsia="方正仿宋_GBK" w:cs="方正仿宋_GBK"/>
                <w:b/>
                <w:bCs/>
                <w:sz w:val="22"/>
                <w:szCs w:val="22"/>
              </w:rPr>
            </w:pPr>
            <w:r>
              <w:rPr>
                <w:rFonts w:hint="eastAsia" w:ascii="方正仿宋_GBK" w:hAnsi="方正仿宋_GBK" w:eastAsia="方正仿宋_GBK" w:cs="方正仿宋_GBK"/>
                <w:sz w:val="22"/>
                <w:szCs w:val="22"/>
                <w:lang w:val="en-US" w:eastAsia="zh-CN"/>
              </w:rPr>
              <w:t>葫芦碛</w:t>
            </w:r>
            <w:r>
              <w:rPr>
                <w:rFonts w:hint="eastAsia" w:ascii="方正仿宋_GBK" w:hAnsi="方正仿宋_GBK" w:eastAsia="方正仿宋_GBK" w:cs="方正仿宋_GBK"/>
                <w:sz w:val="22"/>
                <w:szCs w:val="22"/>
              </w:rPr>
              <w:t>滩</w:t>
            </w:r>
            <w:r>
              <w:rPr>
                <w:rFonts w:hint="eastAsia" w:ascii="方正仿宋_GBK" w:hAnsi="宋体" w:eastAsia="方正仿宋_GBK" w:cs="方正楷体简体"/>
                <w:color w:val="000000"/>
                <w:sz w:val="22"/>
                <w:szCs w:val="22"/>
                <w:lang w:val="en-US" w:eastAsia="zh-CN"/>
              </w:rPr>
              <w:t>成图及报告编制</w:t>
            </w:r>
          </w:p>
        </w:tc>
        <w:tc>
          <w:tcPr>
            <w:tcW w:w="4887" w:type="dxa"/>
            <w:gridSpan w:val="4"/>
            <w:tcBorders>
              <w:bottom w:val="single" w:color="auto" w:sz="4" w:space="0"/>
            </w:tcBorders>
            <w:noWrap w:val="0"/>
            <w:vAlign w:val="center"/>
          </w:tcPr>
          <w:p>
            <w:pPr>
              <w:spacing w:line="500" w:lineRule="exact"/>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根据施工测量成果以及工程要求对竣工测量成果进行分析</w:t>
            </w:r>
          </w:p>
        </w:tc>
      </w:tr>
    </w:tbl>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1.1</w:t>
      </w:r>
      <w:r>
        <w:rPr>
          <w:rFonts w:hint="eastAsia" w:ascii="仿宋_GB2312" w:hAnsi="宋体" w:eastAsia="仿宋_GB2312"/>
          <w:sz w:val="28"/>
          <w:szCs w:val="28"/>
        </w:rPr>
        <w:t>技术依据</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航道测量内容应满足国家及行业相关规范的要求，主要观测依据如下：</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（1）《水运工程测量规范》（JT/S131-2012）；</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（2）《国家三、四等水准测量规范》（GB/T 12898-2009）；</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（3）《全球定位系统（GPS）测量规范》（GB/T18314-2009）；</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（4）《水运工程测量质量检验标准》（JTS 258-2008）；</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1.2</w:t>
      </w:r>
      <w:r>
        <w:rPr>
          <w:rFonts w:hint="eastAsia" w:ascii="仿宋_GB2312" w:hAnsi="宋体" w:eastAsia="仿宋_GB2312"/>
          <w:sz w:val="28"/>
          <w:szCs w:val="28"/>
        </w:rPr>
        <w:t>工作内容</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测图比例为1：500，</w:t>
      </w:r>
      <w:r>
        <w:rPr>
          <w:rFonts w:hint="eastAsia" w:ascii="方正仿宋_GBK" w:hAnsi="方正仿宋_GBK" w:eastAsia="方正仿宋_GBK" w:cs="方正仿宋_GBK"/>
          <w:sz w:val="28"/>
          <w:szCs w:val="28"/>
        </w:rPr>
        <w:t>老君滩、葫芦碛</w:t>
      </w:r>
      <w:r>
        <w:rPr>
          <w:rFonts w:hint="eastAsia" w:ascii="方正仿宋_GBK" w:hAnsi="方正仿宋_GBK" w:eastAsia="方正仿宋_GBK" w:cs="方正仿宋_GBK"/>
          <w:sz w:val="28"/>
          <w:szCs w:val="28"/>
          <w:lang w:val="en-US" w:eastAsia="zh-CN"/>
        </w:rPr>
        <w:t>滩段</w:t>
      </w:r>
      <w:r>
        <w:rPr>
          <w:rFonts w:hint="eastAsia" w:ascii="仿宋_GB2312" w:hAnsi="宋体" w:eastAsia="仿宋_GB2312"/>
          <w:sz w:val="28"/>
          <w:szCs w:val="28"/>
        </w:rPr>
        <w:t>河床地形图，测量</w:t>
      </w:r>
      <w:r>
        <w:rPr>
          <w:rFonts w:hint="eastAsia" w:ascii="仿宋_GB2312" w:hAnsi="宋体" w:eastAsia="仿宋_GB2312"/>
          <w:sz w:val="28"/>
          <w:szCs w:val="28"/>
          <w:lang w:val="en-US" w:eastAsia="zh-CN"/>
        </w:rPr>
        <w:t>面积0</w:t>
      </w:r>
      <w:r>
        <w:rPr>
          <w:rFonts w:hint="eastAsia" w:ascii="仿宋_GB2312" w:hAnsi="宋体" w:eastAsia="仿宋_GB2312"/>
          <w:sz w:val="28"/>
          <w:szCs w:val="28"/>
        </w:rPr>
        <w:t>.5km</w:t>
      </w:r>
      <w:r>
        <w:rPr>
          <w:rFonts w:hint="eastAsia" w:ascii="仿宋_GB2312" w:hAnsi="宋体" w:eastAsia="仿宋_GB2312"/>
          <w:sz w:val="28"/>
          <w:szCs w:val="28"/>
          <w:vertAlign w:val="superscript"/>
          <w:lang w:val="en-US" w:eastAsia="zh-CN"/>
        </w:rPr>
        <w:t>2</w:t>
      </w:r>
      <w:r>
        <w:rPr>
          <w:rFonts w:hint="eastAsia" w:ascii="仿宋_GB2312" w:hAnsi="宋体" w:eastAsia="仿宋_GB2312"/>
          <w:sz w:val="28"/>
          <w:szCs w:val="28"/>
        </w:rPr>
        <w:t>，陆上、水下地形图测量。陆上测量范围：以沿江公路为界。</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1.3</w:t>
      </w:r>
      <w:r>
        <w:rPr>
          <w:rFonts w:hint="eastAsia" w:ascii="仿宋_GB2312" w:hAnsi="宋体" w:eastAsia="仿宋_GB2312"/>
          <w:sz w:val="28"/>
          <w:szCs w:val="28"/>
        </w:rPr>
        <w:t>、地形图测量</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测量范围为</w:t>
      </w:r>
      <w:r>
        <w:rPr>
          <w:rFonts w:hint="eastAsia" w:ascii="方正仿宋_GBK" w:hAnsi="方正仿宋_GBK" w:eastAsia="方正仿宋_GBK" w:cs="方正仿宋_GBK"/>
          <w:sz w:val="28"/>
          <w:szCs w:val="28"/>
        </w:rPr>
        <w:t>老君滩、葫芦碛</w:t>
      </w:r>
      <w:r>
        <w:rPr>
          <w:rFonts w:hint="eastAsia" w:ascii="仿宋_GB2312" w:hAnsi="宋体" w:eastAsia="仿宋_GB2312"/>
          <w:sz w:val="28"/>
          <w:szCs w:val="28"/>
        </w:rPr>
        <w:t>滩段</w:t>
      </w:r>
      <w:r>
        <w:rPr>
          <w:rFonts w:hint="eastAsia" w:ascii="仿宋_GB2312" w:hAnsi="宋体" w:eastAsia="仿宋_GB2312"/>
          <w:sz w:val="28"/>
          <w:szCs w:val="28"/>
          <w:lang w:eastAsia="zh-CN"/>
        </w:rPr>
        <w:t>，</w:t>
      </w:r>
      <w:r>
        <w:rPr>
          <w:rFonts w:hint="eastAsia" w:ascii="仿宋_GB2312" w:hAnsi="宋体" w:eastAsia="仿宋_GB2312"/>
          <w:sz w:val="28"/>
          <w:szCs w:val="28"/>
        </w:rPr>
        <w:t>含河道陆域地形和水下地形测量</w:t>
      </w:r>
      <w:r>
        <w:rPr>
          <w:rFonts w:hint="eastAsia" w:ascii="仿宋_GB2312" w:hAnsi="宋体" w:eastAsia="仿宋_GB2312"/>
          <w:sz w:val="28"/>
          <w:szCs w:val="28"/>
          <w:lang w:val="en-US" w:eastAsia="zh-CN"/>
        </w:rPr>
        <w:t>面积</w:t>
      </w:r>
      <w:r>
        <w:rPr>
          <w:rFonts w:hint="eastAsia" w:ascii="仿宋_GB2312" w:hAnsi="宋体" w:eastAsia="仿宋_GB2312"/>
          <w:sz w:val="28"/>
          <w:szCs w:val="28"/>
        </w:rPr>
        <w:t>共</w:t>
      </w:r>
      <w:r>
        <w:rPr>
          <w:rFonts w:hint="eastAsia" w:ascii="仿宋_GB2312" w:hAnsi="宋体" w:eastAsia="仿宋_GB2312"/>
          <w:sz w:val="28"/>
          <w:szCs w:val="28"/>
          <w:lang w:val="en-US" w:eastAsia="zh-CN"/>
        </w:rPr>
        <w:t>0</w:t>
      </w:r>
      <w:r>
        <w:rPr>
          <w:rFonts w:hint="eastAsia" w:ascii="仿宋_GB2312" w:hAnsi="宋体" w:eastAsia="仿宋_GB2312"/>
          <w:sz w:val="28"/>
          <w:szCs w:val="28"/>
        </w:rPr>
        <w:t>.5km</w:t>
      </w:r>
      <w:r>
        <w:rPr>
          <w:rFonts w:hint="eastAsia" w:ascii="仿宋_GB2312" w:hAnsi="宋体" w:eastAsia="仿宋_GB2312"/>
          <w:sz w:val="28"/>
          <w:szCs w:val="28"/>
          <w:vertAlign w:val="superscript"/>
          <w:lang w:val="en-US" w:eastAsia="zh-CN"/>
        </w:rPr>
        <w:t>2</w:t>
      </w:r>
      <w:r>
        <w:rPr>
          <w:rFonts w:hint="eastAsia" w:ascii="仿宋_GB2312" w:hAnsi="宋体" w:eastAsia="仿宋_GB2312"/>
          <w:sz w:val="28"/>
          <w:szCs w:val="28"/>
        </w:rPr>
        <w:t>，测图比例为1:500。测量</w:t>
      </w:r>
      <w:r>
        <w:rPr>
          <w:rFonts w:hint="eastAsia" w:ascii="仿宋_GB2312" w:hAnsi="宋体" w:eastAsia="仿宋_GB2312"/>
          <w:sz w:val="28"/>
          <w:szCs w:val="28"/>
          <w:lang w:val="en-US" w:eastAsia="zh-CN"/>
        </w:rPr>
        <w:t>范围内如包含</w:t>
      </w:r>
      <w:r>
        <w:rPr>
          <w:rFonts w:hint="eastAsia" w:ascii="仿宋_GB2312" w:hAnsi="宋体" w:eastAsia="仿宋_GB2312"/>
          <w:sz w:val="28"/>
          <w:szCs w:val="28"/>
        </w:rPr>
        <w:t>航道整治建筑物、沿江的码头、人渡、趸船、取水口、排污口、泄洪口、跨江桥梁、电缆等涉河设施</w:t>
      </w:r>
      <w:r>
        <w:rPr>
          <w:rFonts w:hint="eastAsia" w:ascii="仿宋_GB2312" w:hAnsi="宋体" w:eastAsia="仿宋_GB2312"/>
          <w:sz w:val="28"/>
          <w:szCs w:val="28"/>
          <w:lang w:val="en-US" w:eastAsia="zh-CN"/>
        </w:rPr>
        <w:t>需加以备注，</w:t>
      </w:r>
      <w:r>
        <w:rPr>
          <w:rFonts w:hint="eastAsia" w:ascii="仿宋_GB2312" w:hAnsi="宋体" w:eastAsia="仿宋_GB2312"/>
          <w:sz w:val="28"/>
          <w:szCs w:val="28"/>
        </w:rPr>
        <w:t>其中跨江线缆和桥梁需绘制垂弧图。</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1.4</w:t>
      </w:r>
      <w:r>
        <w:rPr>
          <w:rFonts w:hint="eastAsia" w:ascii="仿宋_GB2312" w:hAnsi="宋体" w:eastAsia="仿宋_GB2312"/>
          <w:sz w:val="28"/>
          <w:szCs w:val="28"/>
        </w:rPr>
        <w:t>技术要求</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1.4.1</w:t>
      </w:r>
      <w:r>
        <w:rPr>
          <w:rFonts w:hint="eastAsia" w:ascii="仿宋_GB2312" w:hAnsi="宋体" w:eastAsia="仿宋_GB2312"/>
          <w:sz w:val="28"/>
          <w:szCs w:val="28"/>
        </w:rPr>
        <w:t>平面坐标系统采用1954北京坐标系、中央子午线为108°带投影；高程采用1956黄海高程系统，并以绝对高程成图；</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1.4.2</w:t>
      </w:r>
      <w:r>
        <w:rPr>
          <w:rFonts w:hint="eastAsia" w:ascii="仿宋_GB2312" w:hAnsi="宋体" w:eastAsia="仿宋_GB2312"/>
          <w:sz w:val="28"/>
          <w:szCs w:val="28"/>
        </w:rPr>
        <w:t>测量队伍进场后，在开展测量工作前，需对测量仪器进行现场检校，包括GPS ，全站仪、水准仪i角校正，测深仪比测等工作并做好记录。</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1.4.3</w:t>
      </w:r>
      <w:r>
        <w:rPr>
          <w:rFonts w:hint="eastAsia" w:ascii="仿宋_GB2312" w:hAnsi="宋体" w:eastAsia="仿宋_GB2312"/>
          <w:sz w:val="28"/>
          <w:szCs w:val="28"/>
        </w:rPr>
        <w:t>平面首级控制采用GPS测量E级，按《全球定位系统（GPS）测量规范》（GB/T18314-2009）执行；首级高程控制按四等方法进行测量，按《国家三、等水准测量规范》（GB/T 12898-2009）执行。</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1.4.4</w:t>
      </w:r>
      <w:r>
        <w:rPr>
          <w:rFonts w:hint="eastAsia" w:ascii="仿宋_GB2312" w:hAnsi="宋体" w:eastAsia="仿宋_GB2312"/>
          <w:sz w:val="28"/>
          <w:szCs w:val="28"/>
        </w:rPr>
        <w:t>地形测量前应检查平面和高程控制点，并做好检查记录。</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1.4.5</w:t>
      </w:r>
      <w:r>
        <w:rPr>
          <w:rFonts w:hint="eastAsia" w:ascii="仿宋_GB2312" w:hAnsi="宋体" w:eastAsia="仿宋_GB2312"/>
          <w:sz w:val="28"/>
          <w:szCs w:val="28"/>
        </w:rPr>
        <w:t>水深测量前需确定声速，同时做好测深仪的比测工作。</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1.4.6</w:t>
      </w:r>
      <w:r>
        <w:rPr>
          <w:rFonts w:hint="eastAsia" w:ascii="仿宋_GB2312" w:hAnsi="宋体" w:eastAsia="仿宋_GB2312"/>
          <w:sz w:val="28"/>
          <w:szCs w:val="28"/>
        </w:rPr>
        <w:t>地形图应准确标注测量范围内所有涉河工程和设施的位置、尺度、高程等；清楚标识地名、陡岸坡、礁石、水边以及各种石盘、石梁、碛坝、洲滩等地物地貌及跨河、临河建筑物、航标、航行水尺、碍航物、助航标志标牌、航道基地等与航道相关的所有名称。支叉河流，应测量至支叉河流内200m，地形图中应勾绘出实测水边线位置。</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1.4.7</w:t>
      </w:r>
      <w:r>
        <w:rPr>
          <w:rFonts w:hint="eastAsia" w:ascii="仿宋_GB2312" w:hAnsi="宋体" w:eastAsia="仿宋_GB2312"/>
          <w:sz w:val="28"/>
          <w:szCs w:val="28"/>
        </w:rPr>
        <w:t>河段1:500测图测深线间距不得大于图上1.0cm，点间距不得大于图上0.8cm。</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1.4.8</w:t>
      </w:r>
      <w:r>
        <w:rPr>
          <w:rFonts w:hint="eastAsia" w:ascii="仿宋_GB2312" w:hAnsi="宋体" w:eastAsia="仿宋_GB2312"/>
          <w:sz w:val="28"/>
          <w:szCs w:val="28"/>
        </w:rPr>
        <w:t>测图中应标示测绘时间、测图水位等；</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1.4.9</w:t>
      </w:r>
      <w:r>
        <w:rPr>
          <w:rFonts w:hint="eastAsia" w:ascii="仿宋_GB2312" w:hAnsi="宋体" w:eastAsia="仿宋_GB2312"/>
          <w:sz w:val="28"/>
          <w:szCs w:val="28"/>
        </w:rPr>
        <w:t>所有测量工作及其成果必须满足《水运工程测量规范》（JTS131-2012）及其它国家相关标准、要求。</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1.5</w:t>
      </w:r>
      <w:r>
        <w:rPr>
          <w:rFonts w:hint="eastAsia" w:ascii="仿宋_GB2312" w:hAnsi="宋体" w:eastAsia="仿宋_GB2312"/>
          <w:sz w:val="28"/>
          <w:szCs w:val="28"/>
        </w:rPr>
        <w:t>交付时间：</w:t>
      </w:r>
      <w:r>
        <w:rPr>
          <w:rFonts w:hint="eastAsia" w:ascii="仿宋_GB2312" w:hAnsi="宋体" w:eastAsia="仿宋_GB2312"/>
          <w:sz w:val="28"/>
          <w:szCs w:val="28"/>
          <w:lang w:val="en-US" w:eastAsia="zh-CN"/>
        </w:rPr>
        <w:t>疏浚工程达到竣工测量条件后7</w:t>
      </w:r>
      <w:r>
        <w:rPr>
          <w:rFonts w:hint="eastAsia" w:ascii="仿宋_GB2312" w:hAnsi="宋体" w:eastAsia="仿宋_GB2312"/>
          <w:sz w:val="28"/>
          <w:szCs w:val="28"/>
        </w:rPr>
        <w:t>个日历日内提交项目成果。</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1.6</w:t>
      </w:r>
      <w:r>
        <w:rPr>
          <w:rFonts w:hint="eastAsia" w:ascii="仿宋_GB2312" w:hAnsi="宋体" w:eastAsia="仿宋_GB2312"/>
          <w:sz w:val="28"/>
          <w:szCs w:val="28"/>
        </w:rPr>
        <w:t>资料成果提交</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1.6.1</w:t>
      </w:r>
      <w:r>
        <w:rPr>
          <w:rFonts w:hint="eastAsia" w:ascii="仿宋_GB2312" w:hAnsi="宋体" w:eastAsia="仿宋_GB2312"/>
          <w:sz w:val="28"/>
          <w:szCs w:val="28"/>
        </w:rPr>
        <w:t>测图比例为1：500的</w:t>
      </w:r>
      <w:r>
        <w:rPr>
          <w:rFonts w:hint="eastAsia" w:ascii="方正仿宋_GBK" w:hAnsi="方正仿宋_GBK" w:eastAsia="方正仿宋_GBK" w:cs="方正仿宋_GBK"/>
          <w:sz w:val="28"/>
          <w:szCs w:val="28"/>
        </w:rPr>
        <w:t>老君滩、葫芦碛</w:t>
      </w:r>
      <w:r>
        <w:rPr>
          <w:rFonts w:hint="eastAsia" w:ascii="仿宋_GB2312" w:hAnsi="宋体" w:eastAsia="仿宋_GB2312"/>
          <w:sz w:val="28"/>
          <w:szCs w:val="28"/>
        </w:rPr>
        <w:t>滩段河床地形图，底图一份。</w:t>
      </w:r>
    </w:p>
    <w:p>
      <w:pPr>
        <w:spacing w:line="56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1.6.2</w:t>
      </w:r>
      <w:r>
        <w:rPr>
          <w:rFonts w:hint="eastAsia" w:ascii="仿宋_GB2312" w:hAnsi="宋体" w:eastAsia="仿宋_GB2312"/>
          <w:sz w:val="28"/>
          <w:szCs w:val="28"/>
        </w:rPr>
        <w:t>竣工测量成果分析</w:t>
      </w:r>
      <w:r>
        <w:rPr>
          <w:rFonts w:hint="eastAsia" w:ascii="仿宋_GB2312" w:hAnsi="宋体" w:eastAsia="仿宋_GB2312"/>
          <w:sz w:val="28"/>
          <w:szCs w:val="28"/>
          <w:lang w:val="en-US" w:eastAsia="zh-CN"/>
        </w:rPr>
        <w:t>报告</w:t>
      </w:r>
    </w:p>
    <w:p>
      <w:pPr>
        <w:spacing w:line="400" w:lineRule="exact"/>
        <w:ind w:firstLine="560" w:firstLineChars="200"/>
        <w:rPr>
          <w:rFonts w:hint="eastAsia" w:ascii="方正仿宋_GBK" w:hAnsi="宋体" w:eastAsia="方正仿宋_GBK"/>
          <w:sz w:val="24"/>
          <w:szCs w:val="24"/>
        </w:rPr>
      </w:pPr>
      <w:r>
        <w:rPr>
          <w:rFonts w:hint="eastAsia" w:ascii="仿宋_GB2312" w:hAnsi="宋体" w:eastAsia="仿宋_GB2312"/>
          <w:sz w:val="28"/>
          <w:szCs w:val="28"/>
          <w:lang w:val="en-US" w:eastAsia="zh-CN"/>
        </w:rPr>
        <w:t>1.6.3</w:t>
      </w:r>
      <w:r>
        <w:rPr>
          <w:rFonts w:hint="eastAsia" w:ascii="仿宋_GB2312" w:hAnsi="宋体" w:eastAsia="仿宋_GB2312"/>
          <w:sz w:val="28"/>
          <w:szCs w:val="28"/>
        </w:rPr>
        <w:t>以上所以内容均形成电子版提交1份（采用U盘提交）。</w:t>
      </w:r>
    </w:p>
    <w:p>
      <w:pPr>
        <w:pStyle w:val="2"/>
        <w:rPr>
          <w:rFonts w:hint="eastAsia" w:ascii="方正仿宋_GBK" w:hAnsi="宋体" w:eastAsia="方正仿宋_GBK"/>
          <w:sz w:val="24"/>
          <w:szCs w:val="24"/>
        </w:rPr>
      </w:pPr>
    </w:p>
    <w:p>
      <w:pPr>
        <w:pStyle w:val="3"/>
        <w:ind w:left="0" w:leftChars="0" w:firstLine="560" w:firstLineChars="200"/>
        <w:jc w:val="left"/>
        <w:rPr>
          <w:rFonts w:hint="eastAsia"/>
        </w:rPr>
        <w:sectPr>
          <w:footerReference r:id="rId15" w:type="default"/>
          <w:footerReference r:id="rId16" w:type="even"/>
          <w:pgSz w:w="11907" w:h="16840"/>
          <w:pgMar w:top="1134" w:right="1191" w:bottom="1134" w:left="1304" w:header="964" w:footer="992" w:gutter="0"/>
          <w:pgNumType w:fmt="numberInDash"/>
          <w:cols w:space="720" w:num="1"/>
          <w:docGrid w:linePitch="312" w:charSpace="0"/>
        </w:sectPr>
      </w:pPr>
      <w:r>
        <w:rPr>
          <w:rFonts w:hint="eastAsia" w:ascii="仿宋_GB2312" w:hAnsi="宋体" w:eastAsia="仿宋_GB2312" w:cs="仿宋_GB2312"/>
          <w:sz w:val="28"/>
          <w:szCs w:val="28"/>
        </w:rPr>
        <w:t>注：以上要求均为实质性要求</w:t>
      </w:r>
    </w:p>
    <w:p>
      <w:pPr>
        <w:pStyle w:val="5"/>
        <w:spacing w:before="0" w:after="0" w:line="360" w:lineRule="auto"/>
        <w:jc w:val="center"/>
        <w:rPr>
          <w:rFonts w:hint="eastAsia" w:ascii="方正小标宋_GBK" w:hAnsi="宋体" w:eastAsia="方正小标宋_GBK"/>
          <w:b w:val="0"/>
          <w:sz w:val="36"/>
          <w:szCs w:val="30"/>
        </w:rPr>
      </w:pPr>
      <w:bookmarkStart w:id="29" w:name="_Toc106030882"/>
      <w:bookmarkStart w:id="30" w:name="_Toc76462327"/>
      <w:r>
        <w:rPr>
          <w:rFonts w:hint="eastAsia" w:ascii="方正小标宋_GBK" w:hAnsi="宋体" w:eastAsia="方正小标宋_GBK"/>
          <w:b w:val="0"/>
          <w:sz w:val="36"/>
          <w:szCs w:val="30"/>
        </w:rPr>
        <w:t xml:space="preserve">第三篇  </w:t>
      </w:r>
      <w:bookmarkEnd w:id="28"/>
      <w:r>
        <w:rPr>
          <w:rFonts w:hint="eastAsia" w:ascii="方正小标宋_GBK" w:hAnsi="宋体" w:eastAsia="方正小标宋_GBK"/>
          <w:b w:val="0"/>
          <w:sz w:val="36"/>
          <w:szCs w:val="30"/>
        </w:rPr>
        <w:t>项目商务需求</w:t>
      </w:r>
      <w:bookmarkEnd w:id="29"/>
      <w:bookmarkEnd w:id="30"/>
    </w:p>
    <w:p>
      <w:pPr>
        <w:pStyle w:val="5"/>
        <w:adjustRightInd w:val="0"/>
        <w:snapToGrid w:val="0"/>
        <w:spacing w:before="0" w:after="0" w:line="400" w:lineRule="exact"/>
        <w:ind w:firstLine="482" w:firstLineChars="200"/>
        <w:rPr>
          <w:rFonts w:ascii="方正仿宋_GBK" w:hAnsi="宋体" w:eastAsia="方正仿宋_GBK"/>
          <w:sz w:val="24"/>
        </w:rPr>
      </w:pPr>
      <w:bookmarkStart w:id="31" w:name="_Toc106030883"/>
      <w:bookmarkStart w:id="32" w:name="_Toc76462328"/>
      <w:bookmarkStart w:id="33" w:name="_Toc344475120"/>
      <w:r>
        <w:rPr>
          <w:rFonts w:hint="eastAsia" w:ascii="方正仿宋_GBK" w:hAnsi="宋体" w:eastAsia="方正仿宋_GBK"/>
          <w:sz w:val="24"/>
        </w:rPr>
        <w:t>一、</w:t>
      </w:r>
      <w:r>
        <w:rPr>
          <w:rFonts w:hint="eastAsia" w:ascii="方正仿宋_GBK" w:hAnsi="宋体" w:eastAsia="方正仿宋_GBK"/>
          <w:sz w:val="24"/>
          <w:lang w:eastAsia="zh-CN"/>
        </w:rPr>
        <w:t>交货</w:t>
      </w:r>
      <w:r>
        <w:rPr>
          <w:rFonts w:hint="eastAsia" w:ascii="方正仿宋_GBK" w:hAnsi="宋体" w:eastAsia="方正仿宋_GBK"/>
          <w:sz w:val="24"/>
        </w:rPr>
        <w:t>期、地点及验收方式</w:t>
      </w:r>
      <w:bookmarkEnd w:id="31"/>
      <w:bookmarkEnd w:id="32"/>
      <w:bookmarkEnd w:id="33"/>
    </w:p>
    <w:p>
      <w:pPr>
        <w:pStyle w:val="34"/>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交货</w:t>
      </w:r>
      <w:r>
        <w:rPr>
          <w:rFonts w:hint="eastAsia" w:ascii="方正仿宋_GBK" w:hAnsi="宋体" w:eastAsia="方正仿宋_GBK"/>
          <w:sz w:val="24"/>
          <w:szCs w:val="24"/>
        </w:rPr>
        <w:t>期：</w:t>
      </w:r>
      <w:r>
        <w:rPr>
          <w:rFonts w:hint="eastAsia" w:ascii="方正仿宋_GBK" w:hAnsi="宋体" w:eastAsia="方正仿宋_GBK"/>
          <w:sz w:val="24"/>
          <w:szCs w:val="24"/>
          <w:lang w:val="en-US" w:eastAsia="zh-CN"/>
        </w:rPr>
        <w:t>疏浚工程达到竣工测量条件后7</w:t>
      </w:r>
      <w:r>
        <w:rPr>
          <w:rFonts w:hint="eastAsia" w:ascii="方正仿宋_GBK" w:hAnsi="宋体" w:eastAsia="方正仿宋_GBK"/>
          <w:sz w:val="24"/>
          <w:szCs w:val="24"/>
        </w:rPr>
        <w:t>个日历日内提交项目成果</w:t>
      </w:r>
      <w:r>
        <w:rPr>
          <w:rFonts w:hint="eastAsia" w:ascii="方正仿宋_GBK" w:hAnsi="宋体" w:eastAsia="方正仿宋_GBK"/>
          <w:sz w:val="24"/>
          <w:szCs w:val="24"/>
          <w:lang w:eastAsia="zh-CN"/>
        </w:rPr>
        <w:t>。</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eastAsia="zh-CN"/>
        </w:rPr>
        <w:t>实施</w:t>
      </w:r>
      <w:r>
        <w:rPr>
          <w:rFonts w:hint="eastAsia" w:ascii="方正仿宋_GBK" w:hAnsi="宋体" w:eastAsia="方正仿宋_GBK"/>
          <w:sz w:val="24"/>
          <w:szCs w:val="24"/>
        </w:rPr>
        <w:t>地点：</w:t>
      </w:r>
      <w:r>
        <w:rPr>
          <w:rFonts w:hint="eastAsia" w:ascii="方正仿宋_GBK" w:hAnsi="宋体" w:eastAsia="方正仿宋_GBK"/>
          <w:sz w:val="24"/>
          <w:szCs w:val="24"/>
          <w:lang w:val="en-US" w:eastAsia="zh-CN"/>
        </w:rPr>
        <w:t>武隆滩段。</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（三）验收方式：</w:t>
      </w:r>
    </w:p>
    <w:p>
      <w:pPr>
        <w:pStyle w:val="5"/>
        <w:adjustRightInd w:val="0"/>
        <w:snapToGrid w:val="0"/>
        <w:spacing w:before="0" w:after="0" w:line="400" w:lineRule="exact"/>
        <w:ind w:firstLine="480" w:firstLineChars="200"/>
        <w:rPr>
          <w:rFonts w:hint="eastAsia" w:ascii="方正仿宋_GBK" w:hAnsi="宋体" w:eastAsia="方正仿宋_GBK"/>
          <w:b w:val="0"/>
          <w:bCs/>
          <w:sz w:val="24"/>
        </w:rPr>
      </w:pPr>
      <w:bookmarkStart w:id="34" w:name="_Toc344475121"/>
      <w:bookmarkStart w:id="35" w:name="_Toc106030884"/>
      <w:bookmarkStart w:id="36" w:name="_Toc76462329"/>
      <w:r>
        <w:rPr>
          <w:rFonts w:hint="eastAsia" w:ascii="方正仿宋_GBK" w:hAnsi="宋体" w:eastAsia="方正仿宋_GBK"/>
          <w:b w:val="0"/>
          <w:bCs/>
          <w:sz w:val="24"/>
          <w:lang w:val="en-US" w:eastAsia="zh-CN"/>
        </w:rPr>
        <w:t>3.1</w:t>
      </w:r>
      <w:r>
        <w:rPr>
          <w:rFonts w:hint="eastAsia" w:ascii="方正仿宋_GBK" w:hAnsi="宋体" w:eastAsia="方正仿宋_GBK"/>
          <w:b w:val="0"/>
          <w:bCs/>
          <w:sz w:val="24"/>
        </w:rPr>
        <w:t>本项目为</w:t>
      </w:r>
      <w:r>
        <w:rPr>
          <w:rFonts w:hint="eastAsia" w:ascii="方正仿宋_GBK" w:hAnsi="宋体" w:eastAsia="方正仿宋_GBK"/>
          <w:b w:val="0"/>
          <w:bCs/>
          <w:sz w:val="24"/>
          <w:lang w:val="en-US" w:eastAsia="zh-CN"/>
        </w:rPr>
        <w:t>总价承包</w:t>
      </w:r>
      <w:r>
        <w:rPr>
          <w:rFonts w:hint="eastAsia" w:ascii="方正仿宋_GBK" w:hAnsi="宋体" w:eastAsia="方正仿宋_GBK"/>
          <w:b w:val="0"/>
          <w:bCs/>
          <w:sz w:val="24"/>
        </w:rPr>
        <w:t>，承包人须负责完成老君滩、葫芦碛维护性疏浚工程施工测量的相关项目，发包人参照询价项目内容及要求进行验收。</w:t>
      </w:r>
    </w:p>
    <w:p>
      <w:pPr>
        <w:pStyle w:val="5"/>
        <w:adjustRightInd w:val="0"/>
        <w:snapToGrid w:val="0"/>
        <w:spacing w:before="0" w:after="0" w:line="400" w:lineRule="exact"/>
        <w:ind w:firstLine="480" w:firstLineChars="200"/>
        <w:rPr>
          <w:rFonts w:hint="eastAsia" w:ascii="方正仿宋_GBK" w:hAnsi="宋体" w:eastAsia="方正仿宋_GBK"/>
          <w:b w:val="0"/>
          <w:bCs/>
          <w:sz w:val="24"/>
        </w:rPr>
      </w:pPr>
      <w:r>
        <w:rPr>
          <w:rFonts w:hint="eastAsia" w:ascii="方正仿宋_GBK" w:hAnsi="宋体" w:eastAsia="方正仿宋_GBK"/>
          <w:b w:val="0"/>
          <w:bCs/>
          <w:sz w:val="24"/>
          <w:lang w:val="en-US" w:eastAsia="zh-CN"/>
        </w:rPr>
        <w:t>3.2</w:t>
      </w:r>
      <w:r>
        <w:rPr>
          <w:rFonts w:hint="eastAsia" w:ascii="方正仿宋_GBK" w:hAnsi="宋体" w:eastAsia="方正仿宋_GBK"/>
          <w:b w:val="0"/>
          <w:bCs/>
          <w:sz w:val="24"/>
        </w:rPr>
        <w:t>竣工验收程序：发包人收到</w:t>
      </w:r>
      <w:r>
        <w:rPr>
          <w:rFonts w:hint="eastAsia" w:ascii="方正仿宋_GBK" w:hAnsi="宋体" w:eastAsia="方正仿宋_GBK"/>
          <w:b w:val="0"/>
          <w:bCs/>
          <w:sz w:val="24"/>
          <w:lang w:val="en-US" w:eastAsia="zh-CN"/>
        </w:rPr>
        <w:t>项目资料成果</w:t>
      </w:r>
      <w:r>
        <w:rPr>
          <w:rFonts w:hint="eastAsia" w:ascii="方正仿宋_GBK" w:hAnsi="宋体" w:eastAsia="方正仿宋_GBK"/>
          <w:b w:val="0"/>
          <w:bCs/>
          <w:sz w:val="24"/>
        </w:rPr>
        <w:t>后15天内组织有关单位验收，并在验收后15天内给予认可或提出整改意见。承包人按要求整改，并承担由自身原因造成整改的费用。</w:t>
      </w:r>
    </w:p>
    <w:p>
      <w:pPr>
        <w:pStyle w:val="5"/>
        <w:adjustRightInd w:val="0"/>
        <w:snapToGrid w:val="0"/>
        <w:spacing w:before="0" w:after="0" w:line="400" w:lineRule="exact"/>
        <w:ind w:firstLine="480" w:firstLineChars="200"/>
        <w:rPr>
          <w:rFonts w:hint="eastAsia" w:ascii="方正仿宋_GBK" w:hAnsi="宋体" w:eastAsia="方正仿宋_GBK"/>
          <w:b w:val="0"/>
          <w:bCs/>
          <w:sz w:val="24"/>
        </w:rPr>
      </w:pPr>
      <w:r>
        <w:rPr>
          <w:rFonts w:hint="eastAsia" w:ascii="方正仿宋_GBK" w:hAnsi="宋体" w:eastAsia="方正仿宋_GBK"/>
          <w:b w:val="0"/>
          <w:bCs/>
          <w:sz w:val="24"/>
          <w:lang w:val="en-US" w:eastAsia="zh-CN"/>
        </w:rPr>
        <w:t>3</w:t>
      </w:r>
      <w:r>
        <w:rPr>
          <w:rFonts w:hint="eastAsia" w:ascii="方正仿宋_GBK" w:hAnsi="宋体" w:eastAsia="方正仿宋_GBK"/>
          <w:b w:val="0"/>
          <w:bCs/>
          <w:sz w:val="24"/>
        </w:rPr>
        <w:t>.3验收合格后供应商在应在30天内办理结算手续，逾期给发包方造成的损失由供应商承担。</w:t>
      </w:r>
    </w:p>
    <w:p>
      <w:pPr>
        <w:pStyle w:val="5"/>
        <w:adjustRightInd w:val="0"/>
        <w:snapToGrid w:val="0"/>
        <w:spacing w:before="0" w:after="0" w:line="400" w:lineRule="exact"/>
        <w:ind w:firstLine="480" w:firstLineChars="200"/>
        <w:rPr>
          <w:rFonts w:hint="eastAsia" w:ascii="方正仿宋_GBK" w:hAnsi="宋体" w:eastAsia="方正仿宋_GBK"/>
          <w:b w:val="0"/>
          <w:bCs/>
          <w:sz w:val="24"/>
        </w:rPr>
      </w:pPr>
      <w:r>
        <w:rPr>
          <w:rFonts w:hint="eastAsia" w:ascii="方正仿宋_GBK" w:hAnsi="宋体" w:eastAsia="方正仿宋_GBK"/>
          <w:b w:val="0"/>
          <w:bCs/>
          <w:sz w:val="24"/>
          <w:lang w:val="en-US" w:eastAsia="zh-CN"/>
        </w:rPr>
        <w:t>3.3</w:t>
      </w:r>
      <w:r>
        <w:rPr>
          <w:rFonts w:hint="eastAsia" w:ascii="方正仿宋_GBK" w:hAnsi="宋体" w:eastAsia="方正仿宋_GBK"/>
          <w:b w:val="0"/>
          <w:bCs/>
          <w:sz w:val="24"/>
        </w:rPr>
        <w:t>质量要求、质量保修期及缺陷责任期</w:t>
      </w:r>
    </w:p>
    <w:p>
      <w:pPr>
        <w:pStyle w:val="5"/>
        <w:adjustRightInd w:val="0"/>
        <w:snapToGrid w:val="0"/>
        <w:spacing w:before="0" w:after="0" w:line="400" w:lineRule="exact"/>
        <w:ind w:firstLine="480" w:firstLineChars="200"/>
        <w:rPr>
          <w:rFonts w:hint="eastAsia" w:ascii="方正仿宋_GBK" w:hAnsi="宋体" w:eastAsia="方正仿宋_GBK"/>
          <w:sz w:val="24"/>
        </w:rPr>
      </w:pPr>
      <w:r>
        <w:rPr>
          <w:rFonts w:hint="eastAsia" w:ascii="方正仿宋_GBK" w:hAnsi="宋体" w:eastAsia="方正仿宋_GBK"/>
          <w:b w:val="0"/>
          <w:bCs/>
          <w:sz w:val="24"/>
          <w:lang w:val="en-US" w:eastAsia="zh-CN"/>
        </w:rPr>
        <w:t>3.1</w:t>
      </w:r>
      <w:r>
        <w:rPr>
          <w:rFonts w:hint="eastAsia" w:ascii="方正仿宋_GBK" w:hAnsi="宋体" w:eastAsia="方正仿宋_GBK"/>
          <w:b w:val="0"/>
          <w:bCs/>
          <w:sz w:val="24"/>
        </w:rPr>
        <w:t>质量要求：达到《水运工程测量规范》（JTS131-2012）及其它国家相关标准、要求</w:t>
      </w:r>
      <w:r>
        <w:rPr>
          <w:rFonts w:hint="eastAsia" w:ascii="方正仿宋_GBK" w:hAnsi="宋体" w:eastAsia="方正仿宋_GBK"/>
          <w:b w:val="0"/>
          <w:bCs/>
          <w:sz w:val="24"/>
          <w:lang w:eastAsia="zh-CN"/>
        </w:rPr>
        <w:t>，</w:t>
      </w:r>
      <w:r>
        <w:rPr>
          <w:rFonts w:hint="eastAsia" w:ascii="方正仿宋_GBK" w:hAnsi="宋体" w:eastAsia="方正仿宋_GBK"/>
          <w:b w:val="0"/>
          <w:bCs/>
          <w:sz w:val="24"/>
        </w:rPr>
        <w:t>并达到合格标准。</w:t>
      </w:r>
    </w:p>
    <w:p>
      <w:pPr>
        <w:pStyle w:val="5"/>
        <w:adjustRightInd w:val="0"/>
        <w:snapToGrid w:val="0"/>
        <w:spacing w:before="0" w:after="0" w:line="400" w:lineRule="exact"/>
        <w:ind w:firstLine="482" w:firstLineChars="200"/>
        <w:rPr>
          <w:rFonts w:hint="eastAsia" w:ascii="方正仿宋_GBK" w:hAnsi="宋体" w:eastAsia="方正仿宋_GBK"/>
          <w:sz w:val="24"/>
        </w:rPr>
      </w:pPr>
      <w:r>
        <w:rPr>
          <w:rFonts w:hint="eastAsia" w:ascii="方正仿宋_GBK" w:hAnsi="宋体" w:eastAsia="方正仿宋_GBK"/>
          <w:sz w:val="24"/>
        </w:rPr>
        <w:t>二、</w:t>
      </w:r>
      <w:bookmarkEnd w:id="34"/>
      <w:r>
        <w:rPr>
          <w:rFonts w:hint="eastAsia" w:ascii="方正仿宋_GBK" w:hAnsi="宋体" w:eastAsia="方正仿宋_GBK"/>
          <w:sz w:val="24"/>
        </w:rPr>
        <w:t>报价要求</w:t>
      </w:r>
      <w:bookmarkEnd w:id="35"/>
      <w:bookmarkEnd w:id="36"/>
    </w:p>
    <w:p>
      <w:pPr>
        <w:snapToGrid w:val="0"/>
        <w:spacing w:line="400" w:lineRule="exact"/>
        <w:ind w:firstLine="540"/>
        <w:rPr>
          <w:rFonts w:hint="eastAsia"/>
        </w:rPr>
      </w:pPr>
      <w:r>
        <w:rPr>
          <w:rFonts w:hint="eastAsia" w:ascii="方正仿宋_GBK" w:hAnsi="宋体" w:eastAsia="方正仿宋_GBK"/>
          <w:sz w:val="24"/>
          <w:szCs w:val="24"/>
        </w:rPr>
        <w:t>本次项目为总价包干，供应商应充分考虑项目的</w:t>
      </w:r>
      <w:r>
        <w:rPr>
          <w:rFonts w:hint="eastAsia" w:ascii="方正仿宋_GBK" w:hAnsi="宋体" w:eastAsia="方正仿宋_GBK"/>
          <w:sz w:val="24"/>
          <w:szCs w:val="24"/>
          <w:lang w:val="en-US" w:eastAsia="zh-CN"/>
        </w:rPr>
        <w:t>实施</w:t>
      </w:r>
      <w:r>
        <w:rPr>
          <w:rFonts w:hint="eastAsia" w:ascii="方正仿宋_GBK" w:hAnsi="宋体" w:eastAsia="方正仿宋_GBK"/>
          <w:sz w:val="24"/>
          <w:szCs w:val="24"/>
        </w:rPr>
        <w:t>条件、</w:t>
      </w:r>
      <w:r>
        <w:rPr>
          <w:rFonts w:hint="eastAsia" w:ascii="方正仿宋_GBK" w:hAnsi="宋体" w:eastAsia="方正仿宋_GBK"/>
          <w:sz w:val="24"/>
          <w:szCs w:val="24"/>
          <w:lang w:val="en-US" w:eastAsia="zh-CN"/>
        </w:rPr>
        <w:t>测量</w:t>
      </w:r>
      <w:r>
        <w:rPr>
          <w:rFonts w:hint="eastAsia" w:ascii="方正仿宋_GBK" w:hAnsi="宋体" w:eastAsia="方正仿宋_GBK"/>
          <w:sz w:val="24"/>
          <w:szCs w:val="24"/>
        </w:rPr>
        <w:t>难度、</w:t>
      </w:r>
      <w:r>
        <w:rPr>
          <w:rFonts w:hint="eastAsia" w:ascii="方正仿宋_GBK" w:hAnsi="宋体" w:eastAsia="方正仿宋_GBK"/>
          <w:sz w:val="24"/>
          <w:szCs w:val="24"/>
          <w:lang w:val="en-US" w:eastAsia="zh-CN"/>
        </w:rPr>
        <w:t>设备</w:t>
      </w:r>
      <w:r>
        <w:rPr>
          <w:rFonts w:hint="eastAsia" w:ascii="方正仿宋_GBK" w:hAnsi="宋体" w:eastAsia="方正仿宋_GBK"/>
          <w:sz w:val="24"/>
          <w:szCs w:val="24"/>
        </w:rPr>
        <w:t>转运等因素对工程费用的影响，供应商的报价应包括本项目的直接费、间接费、</w:t>
      </w:r>
      <w:r>
        <w:rPr>
          <w:rFonts w:hint="eastAsia" w:ascii="方正仿宋_GBK" w:hAnsi="宋体" w:eastAsia="方正仿宋_GBK"/>
          <w:sz w:val="24"/>
          <w:szCs w:val="24"/>
          <w:lang w:val="en-US" w:eastAsia="zh-CN"/>
        </w:rPr>
        <w:t>测量</w:t>
      </w:r>
      <w:r>
        <w:rPr>
          <w:rFonts w:hint="eastAsia" w:ascii="方正仿宋_GBK" w:hAnsi="宋体" w:eastAsia="方正仿宋_GBK"/>
          <w:sz w:val="24"/>
          <w:szCs w:val="24"/>
        </w:rPr>
        <w:t>设备、劳务、管理、材料、水、电、二次转运、利润、税金及政策性文件规定的完成本</w:t>
      </w:r>
      <w:r>
        <w:rPr>
          <w:rFonts w:hint="eastAsia" w:ascii="方正仿宋_GBK" w:hAnsi="宋体" w:eastAsia="方正仿宋_GBK"/>
          <w:sz w:val="24"/>
          <w:szCs w:val="24"/>
          <w:lang w:val="en-US" w:eastAsia="zh-CN"/>
        </w:rPr>
        <w:t>项目</w:t>
      </w:r>
      <w:r>
        <w:rPr>
          <w:rFonts w:hint="eastAsia" w:ascii="方正仿宋_GBK" w:hAnsi="宋体" w:eastAsia="方正仿宋_GBK"/>
          <w:sz w:val="24"/>
          <w:szCs w:val="24"/>
        </w:rPr>
        <w:t>所需的全部费用。未明列需求的，由供应商自行计算。因供应商自身原因造成漏报、少报皆由其自行承担责任，采购人不再补偿。</w:t>
      </w:r>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37" w:name="_Toc76462330"/>
      <w:bookmarkStart w:id="38" w:name="_Toc106030885"/>
      <w:bookmarkStart w:id="39" w:name="_Toc344475122"/>
      <w:r>
        <w:rPr>
          <w:rFonts w:hint="eastAsia" w:ascii="方正仿宋_GBK" w:hAnsi="宋体" w:eastAsia="方正仿宋_GBK"/>
          <w:sz w:val="24"/>
        </w:rPr>
        <w:t>三、付款方式</w:t>
      </w:r>
      <w:bookmarkEnd w:id="37"/>
      <w:bookmarkEnd w:id="38"/>
      <w:bookmarkEnd w:id="39"/>
    </w:p>
    <w:p>
      <w:pPr>
        <w:snapToGrid w:val="0"/>
        <w:spacing w:line="400" w:lineRule="exact"/>
        <w:ind w:firstLine="480" w:firstLineChars="200"/>
        <w:rPr>
          <w:rFonts w:hint="eastAsia" w:ascii="方正仿宋_GBK" w:hAnsi="宋体" w:eastAsia="方正仿宋_GBK" w:cs="宋体"/>
          <w:kern w:val="0"/>
          <w:sz w:val="24"/>
          <w:szCs w:val="24"/>
        </w:rPr>
      </w:pPr>
      <w:bookmarkStart w:id="40" w:name="_Toc76462331"/>
      <w:bookmarkStart w:id="41" w:name="_Toc106030886"/>
      <w:bookmarkStart w:id="42" w:name="_Toc344475124"/>
      <w:r>
        <w:rPr>
          <w:rFonts w:hint="eastAsia" w:ascii="方正仿宋_GBK" w:hAnsi="宋体" w:eastAsia="方正仿宋_GBK" w:cs="宋体"/>
          <w:kern w:val="0"/>
          <w:sz w:val="24"/>
          <w:szCs w:val="24"/>
          <w:lang w:val="en-US" w:eastAsia="zh-CN"/>
        </w:rPr>
        <w:t>测量成果验收合格后</w:t>
      </w:r>
      <w:r>
        <w:rPr>
          <w:rFonts w:hint="eastAsia" w:ascii="方正仿宋_GBK" w:hAnsi="宋体" w:eastAsia="方正仿宋_GBK" w:cs="宋体"/>
          <w:kern w:val="0"/>
          <w:sz w:val="24"/>
          <w:szCs w:val="24"/>
        </w:rPr>
        <w:t>，乙方提供正式发票，甲方于10个工作日内一次付清所有费用</w:t>
      </w:r>
      <w:r>
        <w:rPr>
          <w:rFonts w:ascii="方正仿宋_GBK" w:hAnsi="宋体" w:eastAsia="方正仿宋_GBK" w:cs="宋体"/>
          <w:kern w:val="0"/>
          <w:sz w:val="24"/>
          <w:szCs w:val="24"/>
        </w:rPr>
        <w:t>。</w:t>
      </w:r>
    </w:p>
    <w:bookmarkEnd w:id="40"/>
    <w:bookmarkEnd w:id="41"/>
    <w:bookmarkEnd w:id="42"/>
    <w:p>
      <w:pPr>
        <w:pStyle w:val="5"/>
        <w:adjustRightInd w:val="0"/>
        <w:snapToGrid w:val="0"/>
        <w:spacing w:before="0" w:after="0" w:line="400" w:lineRule="exact"/>
        <w:ind w:firstLine="482" w:firstLineChars="200"/>
        <w:rPr>
          <w:rFonts w:hint="eastAsia" w:ascii="方正仿宋_GBK" w:hAnsi="宋体" w:eastAsia="方正仿宋_GBK"/>
          <w:sz w:val="24"/>
        </w:rPr>
      </w:pPr>
      <w:bookmarkStart w:id="43" w:name="_Toc106034637"/>
      <w:bookmarkStart w:id="44" w:name="_Toc7228"/>
      <w:bookmarkStart w:id="45" w:name="_Toc24751"/>
      <w:bookmarkStart w:id="46" w:name="_Toc65660346"/>
      <w:r>
        <w:rPr>
          <w:rFonts w:hint="eastAsia" w:ascii="方正仿宋_GBK" w:hAnsi="宋体" w:eastAsia="方正仿宋_GBK"/>
          <w:sz w:val="24"/>
          <w:lang w:eastAsia="zh-CN"/>
        </w:rPr>
        <w:t>四</w:t>
      </w:r>
      <w:r>
        <w:rPr>
          <w:rFonts w:hint="eastAsia" w:ascii="方正仿宋_GBK" w:hAnsi="宋体" w:eastAsia="方正仿宋_GBK"/>
          <w:sz w:val="24"/>
        </w:rPr>
        <w:t>、知识产权</w:t>
      </w:r>
      <w:bookmarkEnd w:id="43"/>
      <w:bookmarkEnd w:id="44"/>
      <w:bookmarkEnd w:id="45"/>
      <w:bookmarkEnd w:id="46"/>
    </w:p>
    <w:p>
      <w:pPr>
        <w:snapToGrid w:val="0"/>
        <w:spacing w:line="400" w:lineRule="exact"/>
        <w:ind w:firstLine="540"/>
        <w:rPr>
          <w:rFonts w:hint="eastAsia" w:ascii="方正仿宋_GBK" w:hAnsi="宋体" w:eastAsia="方正仿宋_GBK"/>
          <w:sz w:val="24"/>
        </w:rPr>
      </w:pPr>
      <w:r>
        <w:rPr>
          <w:rFonts w:hint="eastAsia" w:ascii="方正仿宋_GBK" w:hAnsi="宋体" w:eastAsia="方正仿宋_GBK"/>
          <w:sz w:val="24"/>
          <w:szCs w:val="24"/>
        </w:rPr>
        <w:t>本项目知识产权归采购人所有。</w:t>
      </w:r>
    </w:p>
    <w:p>
      <w:pPr>
        <w:snapToGrid w:val="0"/>
        <w:spacing w:line="400" w:lineRule="exact"/>
        <w:ind w:firstLine="540"/>
        <w:rPr>
          <w:rFonts w:hint="eastAsia"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numPr>
          <w:ilvl w:val="0"/>
          <w:numId w:val="13"/>
        </w:numPr>
        <w:ind w:firstLine="480"/>
        <w:rPr>
          <w:rFonts w:hint="eastAsia" w:ascii="方正仿宋_GBK" w:hAnsi="宋体" w:eastAsia="方正仿宋_GBK" w:cs="Times New Roman"/>
          <w:b/>
          <w:kern w:val="2"/>
          <w:sz w:val="24"/>
          <w:lang w:val="en-US" w:eastAsia="zh-CN" w:bidi="ar-SA"/>
        </w:rPr>
      </w:pPr>
      <w:bookmarkStart w:id="47" w:name="_Toc19427"/>
      <w:bookmarkStart w:id="48" w:name="_Toc18104"/>
      <w:bookmarkStart w:id="49" w:name="_Toc25707"/>
      <w:bookmarkStart w:id="50" w:name="_Toc108013105"/>
      <w:bookmarkStart w:id="51" w:name="_Toc31910"/>
      <w:bookmarkStart w:id="52" w:name="_Toc947"/>
      <w:bookmarkStart w:id="53" w:name="_Toc2954"/>
      <w:bookmarkStart w:id="54" w:name="_Toc466546918"/>
      <w:bookmarkStart w:id="55" w:name="_Toc31659"/>
      <w:bookmarkStart w:id="56" w:name="_Toc65660348"/>
      <w:bookmarkStart w:id="57" w:name="_Toc106034788"/>
      <w:bookmarkStart w:id="58" w:name="_Toc23902"/>
      <w:bookmarkStart w:id="59" w:name="_Toc21248"/>
      <w:r>
        <w:rPr>
          <w:rFonts w:hint="eastAsia" w:ascii="方正仿宋_GBK" w:hAnsi="宋体" w:eastAsia="方正仿宋_GBK" w:cs="Times New Roman"/>
          <w:b/>
          <w:kern w:val="2"/>
          <w:sz w:val="24"/>
          <w:lang w:val="en-US" w:eastAsia="zh-CN" w:bidi="ar-SA"/>
        </w:rPr>
        <w:t>履约担保</w:t>
      </w:r>
    </w:p>
    <w:p>
      <w:pPr>
        <w:numPr>
          <w:ilvl w:val="0"/>
          <w:numId w:val="14"/>
        </w:numPr>
        <w:ind w:firstLine="480" w:firstLineChars="200"/>
        <w:rPr>
          <w:rFonts w:hint="eastAsia" w:ascii="方正仿宋_GBK" w:hAnsi="宋体" w:eastAsia="方正仿宋_GBK"/>
          <w:sz w:val="24"/>
          <w:lang w:val="en-US" w:eastAsia="zh-CN"/>
        </w:rPr>
      </w:pPr>
      <w:r>
        <w:rPr>
          <w:rFonts w:hint="eastAsia" w:ascii="方正仿宋_GBK" w:hAnsi="宋体" w:eastAsia="方正仿宋_GBK"/>
          <w:sz w:val="24"/>
          <w:lang w:val="en-US" w:eastAsia="zh-CN"/>
        </w:rPr>
        <w:t>履约担保形式：转账或者保函。</w:t>
      </w:r>
    </w:p>
    <w:p>
      <w:pPr>
        <w:numPr>
          <w:ilvl w:val="0"/>
          <w:numId w:val="14"/>
        </w:numPr>
        <w:ind w:left="0" w:leftChars="0" w:firstLine="480" w:firstLineChars="200"/>
        <w:rPr>
          <w:rFonts w:hint="eastAsia" w:ascii="方正仿宋_GBK" w:hAnsi="宋体" w:eastAsia="方正仿宋_GBK"/>
          <w:sz w:val="24"/>
          <w:lang w:val="en-US" w:eastAsia="zh-CN"/>
        </w:rPr>
      </w:pPr>
      <w:r>
        <w:rPr>
          <w:rFonts w:hint="eastAsia" w:ascii="方正仿宋_GBK" w:hAnsi="宋体" w:eastAsia="方正仿宋_GBK"/>
          <w:sz w:val="24"/>
          <w:lang w:val="en-US" w:eastAsia="zh-CN"/>
        </w:rPr>
        <w:t>金额：合同金额的10%。</w:t>
      </w:r>
    </w:p>
    <w:p>
      <w:pPr>
        <w:numPr>
          <w:ilvl w:val="0"/>
          <w:numId w:val="14"/>
        </w:numPr>
        <w:ind w:left="0" w:leftChars="0" w:firstLine="480" w:firstLineChars="200"/>
        <w:rPr>
          <w:rFonts w:hint="eastAsia" w:ascii="方正仿宋_GBK" w:hAnsi="方正仿宋_GBK" w:eastAsia="方正仿宋_GBK" w:cs="方正仿宋_GBK"/>
          <w:sz w:val="24"/>
          <w:lang w:eastAsia="zh-CN"/>
        </w:rPr>
      </w:pPr>
      <w:r>
        <w:rPr>
          <w:rFonts w:hint="eastAsia" w:ascii="方正仿宋_GBK" w:hAnsi="宋体" w:eastAsia="方正仿宋_GBK"/>
          <w:sz w:val="24"/>
          <w:lang w:val="en-US" w:eastAsia="zh-CN"/>
        </w:rPr>
        <w:t>提交方式：成交供应商应在公告发布后10个日历日，按成交金额的10%向采购人提交履约保证金或者提交履约保函。</w:t>
      </w:r>
    </w:p>
    <w:p>
      <w:pPr>
        <w:numPr>
          <w:ilvl w:val="0"/>
          <w:numId w:val="14"/>
        </w:numPr>
        <w:ind w:left="0" w:leftChars="0" w:firstLine="480" w:firstLineChars="200"/>
        <w:rPr>
          <w:rFonts w:hint="eastAsia" w:ascii="方正仿宋_GBK" w:hAnsi="方正仿宋_GBK" w:eastAsia="方正仿宋_GBK" w:cs="方正仿宋_GBK"/>
          <w:sz w:val="24"/>
          <w:lang w:eastAsia="zh-CN"/>
        </w:rPr>
      </w:pPr>
      <w:r>
        <w:rPr>
          <w:rFonts w:hint="eastAsia" w:ascii="方正仿宋_GBK" w:hAnsi="宋体" w:eastAsia="方正仿宋_GBK"/>
          <w:sz w:val="24"/>
          <w:lang w:val="en-US" w:eastAsia="zh-CN"/>
        </w:rPr>
        <w:t>退还方式：项目验收合格后10个工作日内一次性无息退还。</w:t>
      </w:r>
    </w:p>
    <w:p>
      <w:pPr>
        <w:pStyle w:val="5"/>
        <w:adjustRightInd w:val="0"/>
        <w:snapToGrid w:val="0"/>
        <w:spacing w:before="0" w:after="0" w:line="400" w:lineRule="exact"/>
        <w:ind w:firstLine="482"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eastAsia="zh-CN"/>
        </w:rPr>
        <w:t>六</w:t>
      </w:r>
      <w:r>
        <w:rPr>
          <w:rFonts w:hint="eastAsia" w:ascii="方正仿宋_GBK" w:hAnsi="方正仿宋_GBK" w:eastAsia="方正仿宋_GBK" w:cs="方正仿宋_GBK"/>
          <w:sz w:val="24"/>
        </w:rPr>
        <w:t>、项目风险管控</w:t>
      </w:r>
      <w:bookmarkEnd w:id="47"/>
      <w:bookmarkEnd w:id="48"/>
      <w:bookmarkEnd w:id="49"/>
      <w:bookmarkEnd w:id="50"/>
      <w:bookmarkEnd w:id="51"/>
      <w:bookmarkEnd w:id="52"/>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bookmarkStart w:id="60"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53"/>
      <w:bookmarkEnd w:id="54"/>
      <w:bookmarkEnd w:id="60"/>
    </w:p>
    <w:p>
      <w:pPr>
        <w:pStyle w:val="5"/>
        <w:adjustRightInd w:val="0"/>
        <w:snapToGrid w:val="0"/>
        <w:spacing w:before="0" w:after="0" w:line="400" w:lineRule="exact"/>
        <w:ind w:firstLine="482" w:firstLineChars="200"/>
        <w:rPr>
          <w:rFonts w:hint="eastAsia" w:ascii="方正仿宋_GBK" w:hAnsi="方正仿宋_GBK" w:eastAsia="方正仿宋_GBK" w:cs="方正仿宋_GBK"/>
          <w:sz w:val="24"/>
          <w:lang w:eastAsia="zh-CN"/>
        </w:rPr>
      </w:pPr>
      <w:r>
        <w:rPr>
          <w:rFonts w:hint="eastAsia" w:ascii="方正仿宋_GBK" w:hAnsi="宋体" w:eastAsia="方正仿宋_GBK"/>
          <w:sz w:val="24"/>
          <w:lang w:eastAsia="zh-CN"/>
        </w:rPr>
        <w:t>七、</w:t>
      </w:r>
      <w:r>
        <w:rPr>
          <w:rFonts w:hint="eastAsia" w:ascii="方正仿宋_GBK" w:hAnsi="方正仿宋_GBK" w:eastAsia="方正仿宋_GBK" w:cs="方正仿宋_GBK"/>
          <w:sz w:val="24"/>
        </w:rPr>
        <w:t>违约责任</w:t>
      </w:r>
    </w:p>
    <w:p>
      <w:pPr>
        <w:pStyle w:val="5"/>
        <w:adjustRightInd w:val="0"/>
        <w:snapToGrid w:val="0"/>
        <w:spacing w:before="0" w:after="0" w:line="400" w:lineRule="exact"/>
        <w:ind w:firstLine="480" w:firstLineChars="200"/>
        <w:rPr>
          <w:rFonts w:hint="eastAsia" w:ascii="方正仿宋_GBK" w:hAnsi="宋体" w:eastAsia="方正仿宋_GBK"/>
          <w:b w:val="0"/>
          <w:bCs/>
          <w:sz w:val="24"/>
          <w:lang w:eastAsia="zh-CN"/>
        </w:rPr>
      </w:pPr>
      <w:r>
        <w:rPr>
          <w:rFonts w:hint="eastAsia" w:ascii="方正仿宋_GBK" w:hAnsi="宋体" w:eastAsia="方正仿宋_GBK"/>
          <w:b w:val="0"/>
          <w:bCs/>
          <w:sz w:val="24"/>
          <w:lang w:eastAsia="zh-CN"/>
        </w:rPr>
        <w:t>1、</w:t>
      </w:r>
      <w:r>
        <w:rPr>
          <w:rFonts w:hint="eastAsia" w:ascii="方正仿宋_GBK" w:hAnsi="宋体" w:eastAsia="方正仿宋_GBK"/>
          <w:b w:val="0"/>
          <w:bCs/>
          <w:sz w:val="24"/>
          <w:lang w:val="en-US" w:eastAsia="zh-CN"/>
        </w:rPr>
        <w:t>由于成交供应商原因导致项目超出约定工期的，每迟交一天,按1000元/日扣除成交供应商违约金，累计违约金上限为签约合同价的10%，逾期满【30】日的，采购人有权解除合同，成交供应商应赔偿给采购人造成的损失，并自行承担相关费用。</w:t>
      </w:r>
    </w:p>
    <w:p>
      <w:pPr>
        <w:pStyle w:val="5"/>
        <w:adjustRightInd w:val="0"/>
        <w:snapToGrid w:val="0"/>
        <w:spacing w:before="0" w:after="0" w:line="400" w:lineRule="exact"/>
        <w:ind w:firstLine="480" w:firstLineChars="200"/>
        <w:rPr>
          <w:rFonts w:hint="eastAsia" w:ascii="方正仿宋_GBK" w:hAnsi="宋体" w:eastAsia="方正仿宋_GBK"/>
          <w:b w:val="0"/>
          <w:bCs/>
          <w:sz w:val="24"/>
          <w:lang w:eastAsia="zh-CN"/>
        </w:rPr>
      </w:pPr>
      <w:r>
        <w:rPr>
          <w:rFonts w:hint="eastAsia" w:ascii="方正仿宋_GBK" w:hAnsi="宋体" w:eastAsia="方正仿宋_GBK"/>
          <w:b w:val="0"/>
          <w:bCs/>
          <w:sz w:val="24"/>
          <w:lang w:eastAsia="zh-CN"/>
        </w:rPr>
        <w:t>2、</w:t>
      </w:r>
      <w:r>
        <w:rPr>
          <w:rFonts w:hint="eastAsia" w:ascii="方正仿宋_GBK" w:hAnsi="宋体" w:eastAsia="方正仿宋_GBK"/>
          <w:b w:val="0"/>
          <w:bCs/>
          <w:sz w:val="24"/>
          <w:lang w:val="en-US" w:eastAsia="zh-CN"/>
        </w:rPr>
        <w:t>成交供应商实施项目未达到本项目要求的，成交供应商应及时予以整改。成交供应商未及时整改或者整改后仍不符合要求的，采购人有权扣除履约保证金、解除合同，成交供应商自行承担相关费用。</w:t>
      </w:r>
    </w:p>
    <w:p>
      <w:pPr>
        <w:pStyle w:val="5"/>
        <w:adjustRightInd w:val="0"/>
        <w:snapToGrid w:val="0"/>
        <w:spacing w:before="0" w:after="0" w:line="400" w:lineRule="exact"/>
        <w:ind w:firstLine="480" w:firstLineChars="200"/>
        <w:rPr>
          <w:rFonts w:hint="eastAsia" w:ascii="方正仿宋_GBK" w:hAnsi="方正仿宋_GBK" w:eastAsia="方正仿宋_GBK" w:cs="方正仿宋_GBK"/>
          <w:sz w:val="24"/>
          <w:szCs w:val="24"/>
        </w:rPr>
      </w:pPr>
      <w:r>
        <w:rPr>
          <w:rFonts w:hint="eastAsia" w:ascii="方正仿宋_GBK" w:hAnsi="宋体" w:eastAsia="方正仿宋_GBK"/>
          <w:b w:val="0"/>
          <w:bCs/>
          <w:sz w:val="24"/>
          <w:lang w:eastAsia="zh-CN"/>
        </w:rPr>
        <w:t>3、</w:t>
      </w:r>
      <w:r>
        <w:rPr>
          <w:rFonts w:hint="eastAsia" w:ascii="方正仿宋_GBK" w:hAnsi="宋体" w:eastAsia="方正仿宋_GBK"/>
          <w:b w:val="0"/>
          <w:bCs/>
          <w:sz w:val="24"/>
          <w:lang w:val="en-US" w:eastAsia="zh-CN"/>
        </w:rPr>
        <w:t>成交供应商违反项目合同和采购文件约定的有关质量保证及售后服务的，采购人有权委托第三方进行保修，所产生的费用由成交供应商承担。若因项目缺陷或质量等问题造成采购人或任何人员人身、财产损害的，成交供应商应承担有关责任并作出相应赔偿。</w:t>
      </w:r>
    </w:p>
    <w:p>
      <w:pPr>
        <w:pStyle w:val="5"/>
        <w:adjustRightInd w:val="0"/>
        <w:snapToGrid w:val="0"/>
        <w:spacing w:before="0" w:after="0" w:line="400" w:lineRule="exact"/>
        <w:ind w:firstLine="482" w:firstLineChars="200"/>
        <w:rPr>
          <w:rFonts w:hint="eastAsia" w:ascii="方正仿宋_GBK" w:hAnsi="宋体" w:eastAsia="方正仿宋_GBK"/>
          <w:sz w:val="24"/>
          <w:lang w:eastAsia="zh-CN"/>
        </w:rPr>
      </w:pPr>
      <w:r>
        <w:rPr>
          <w:rFonts w:hint="eastAsia" w:ascii="方正仿宋_GBK" w:hAnsi="宋体" w:eastAsia="方正仿宋_GBK"/>
          <w:sz w:val="24"/>
          <w:lang w:eastAsia="zh-CN"/>
        </w:rPr>
        <w:t>八、合同争议</w:t>
      </w:r>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5"/>
        <w:adjustRightInd w:val="0"/>
        <w:snapToGrid w:val="0"/>
        <w:spacing w:before="0" w:after="0" w:line="400" w:lineRule="exact"/>
        <w:ind w:firstLine="482" w:firstLineChars="200"/>
        <w:rPr>
          <w:rFonts w:hint="eastAsia" w:ascii="方正仿宋_GBK" w:hAnsi="宋体" w:eastAsia="方正仿宋_GBK"/>
          <w:sz w:val="24"/>
        </w:rPr>
      </w:pPr>
      <w:r>
        <w:rPr>
          <w:rFonts w:hint="eastAsia" w:ascii="方正仿宋_GBK" w:hAnsi="宋体" w:eastAsia="方正仿宋_GBK"/>
          <w:sz w:val="24"/>
          <w:lang w:eastAsia="zh-CN"/>
        </w:rPr>
        <w:t>九</w:t>
      </w:r>
      <w:r>
        <w:rPr>
          <w:rFonts w:hint="eastAsia" w:ascii="方正仿宋_GBK" w:hAnsi="宋体" w:eastAsia="方正仿宋_GBK"/>
          <w:sz w:val="24"/>
        </w:rPr>
        <w:t>、其他</w:t>
      </w:r>
      <w:bookmarkEnd w:id="55"/>
      <w:bookmarkEnd w:id="56"/>
      <w:bookmarkEnd w:id="57"/>
      <w:bookmarkEnd w:id="58"/>
      <w:bookmarkEnd w:id="59"/>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pStyle w:val="3"/>
        <w:ind w:left="0" w:leftChars="0" w:firstLine="480" w:firstLineChars="200"/>
        <w:jc w:val="left"/>
        <w:rPr>
          <w:rFonts w:hint="eastAsia" w:ascii="方正仿宋_GBK" w:hAnsi="方正仿宋_GBK" w:eastAsia="方正仿宋_GBK" w:cs="方正仿宋_GBK"/>
          <w:kern w:val="2"/>
          <w:sz w:val="24"/>
          <w:szCs w:val="24"/>
          <w:lang w:val="en-US" w:eastAsia="zh-CN" w:bidi="ar-SA"/>
        </w:rPr>
        <w:sectPr>
          <w:footerReference r:id="rId17" w:type="default"/>
          <w:footerReference r:id="rId18" w:type="even"/>
          <w:pgSz w:w="11907" w:h="16840"/>
          <w:pgMar w:top="1134" w:right="1191" w:bottom="1134" w:left="1304" w:header="964" w:footer="992" w:gutter="0"/>
          <w:pgNumType w:fmt="numberInDash"/>
          <w:cols w:space="720" w:num="1"/>
          <w:docGrid w:linePitch="312" w:charSpace="0"/>
        </w:sectPr>
      </w:pPr>
      <w:r>
        <w:rPr>
          <w:rFonts w:hint="eastAsia" w:ascii="方正仿宋_GBK" w:hAnsi="方正仿宋_GBK" w:eastAsia="方正仿宋_GBK" w:cs="方正仿宋_GBK"/>
          <w:kern w:val="2"/>
          <w:sz w:val="24"/>
          <w:szCs w:val="24"/>
          <w:lang w:val="en-US" w:eastAsia="zh-CN" w:bidi="ar-SA"/>
        </w:rPr>
        <w:t>注：以上要求均为实质性要求。</w:t>
      </w:r>
    </w:p>
    <w:p>
      <w:pPr>
        <w:pStyle w:val="5"/>
        <w:pageBreakBefore/>
        <w:spacing w:before="0" w:after="0" w:line="360" w:lineRule="auto"/>
        <w:jc w:val="both"/>
        <w:rPr>
          <w:rFonts w:hint="eastAsia" w:ascii="方正小标宋_GBK" w:hAnsi="宋体" w:eastAsia="方正小标宋_GBK"/>
          <w:b w:val="0"/>
          <w:sz w:val="36"/>
          <w:szCs w:val="30"/>
        </w:rPr>
      </w:pPr>
      <w:bookmarkStart w:id="61" w:name="_Toc76462332"/>
      <w:bookmarkStart w:id="62" w:name="_Toc106030887"/>
      <w:r>
        <w:rPr>
          <w:rFonts w:hint="eastAsia" w:ascii="方正小标宋_GBK" w:hAnsi="宋体" w:eastAsia="方正小标宋_GBK"/>
          <w:b w:val="0"/>
          <w:sz w:val="36"/>
          <w:szCs w:val="30"/>
        </w:rPr>
        <w:t xml:space="preserve">第四篇  </w:t>
      </w:r>
      <w:r>
        <w:rPr>
          <w:rFonts w:hint="eastAsia" w:ascii="方正小标宋_GBK" w:hAnsi="宋体" w:eastAsia="方正小标宋_GBK"/>
          <w:b w:val="0"/>
          <w:sz w:val="36"/>
          <w:szCs w:val="30"/>
          <w:lang w:eastAsia="zh-CN"/>
        </w:rPr>
        <w:t>评分</w:t>
      </w:r>
      <w:r>
        <w:rPr>
          <w:rFonts w:hint="eastAsia" w:ascii="方正小标宋_GBK" w:hAnsi="宋体" w:eastAsia="方正小标宋_GBK"/>
          <w:b w:val="0"/>
          <w:sz w:val="36"/>
          <w:szCs w:val="30"/>
        </w:rPr>
        <w:t>程序及方法、评审标准、无效响应和</w:t>
      </w:r>
      <w:r>
        <w:rPr>
          <w:rFonts w:hint="eastAsia" w:ascii="方正小标宋_GBK" w:eastAsia="方正小标宋_GBK"/>
          <w:b w:val="0"/>
          <w:sz w:val="36"/>
          <w:szCs w:val="36"/>
        </w:rPr>
        <w:t>采购终止</w:t>
      </w:r>
      <w:bookmarkEnd w:id="61"/>
      <w:bookmarkEnd w:id="62"/>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63" w:name="_Toc76462333"/>
      <w:bookmarkStart w:id="64" w:name="_Toc106030888"/>
      <w:r>
        <w:rPr>
          <w:rFonts w:hint="eastAsia" w:ascii="方正仿宋_GBK" w:hAnsi="宋体" w:eastAsia="方正仿宋_GBK"/>
          <w:sz w:val="24"/>
        </w:rPr>
        <w:t>一、</w:t>
      </w:r>
      <w:r>
        <w:rPr>
          <w:rFonts w:hint="eastAsia" w:ascii="方正仿宋_GBK" w:hAnsi="宋体" w:eastAsia="方正仿宋_GBK"/>
          <w:sz w:val="24"/>
          <w:lang w:eastAsia="zh-CN"/>
        </w:rPr>
        <w:t>评分</w:t>
      </w:r>
      <w:r>
        <w:rPr>
          <w:rFonts w:hint="eastAsia" w:ascii="方正仿宋_GBK" w:hAnsi="宋体" w:eastAsia="方正仿宋_GBK"/>
          <w:sz w:val="24"/>
        </w:rPr>
        <w:t>程序及方法</w:t>
      </w:r>
      <w:bookmarkEnd w:id="63"/>
      <w:bookmarkEnd w:id="64"/>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（一）评分按采购文件规定的时间和地点进行，供应商须有法定代表人（或其授权代表）或自然人参加并签到。限额以下磋商评分以抽签的形式确定磋商顺序，由本项目评审小组分别与各供应商进行磋商。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（二）评审小组对各供应商的资格条件、响应文件的有效性、完整性和响应程度进行审查。各供应商只有在完全符合要求的前提下，才能参与正式磋商。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资格性审查。依据法律法规和采购文件的规定，对响应文件中的资格证明、等进行审查，以确定供应商是否具备磋商资格。资格性审查资料表如下：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3118"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4984"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3118" w:type="dxa"/>
            <w:noWrap w:val="0"/>
            <w:vAlign w:val="center"/>
          </w:tcPr>
          <w:p>
            <w:pPr>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4984" w:type="dxa"/>
            <w:vMerge w:val="restart"/>
            <w:noWrap w:val="0"/>
            <w:vAlign w:val="center"/>
          </w:tcPr>
          <w:p>
            <w:pPr>
              <w:rPr>
                <w:rFonts w:hint="eastAsia"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3118"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4984"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3118"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4984"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3118"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4984" w:type="dxa"/>
            <w:vMerge w:val="continue"/>
            <w:noWrap w:val="0"/>
            <w:vAlign w:val="center"/>
          </w:tcPr>
          <w:p>
            <w:pPr>
              <w:rPr>
                <w:rFonts w:hint="eastAsia"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3118"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4984" w:type="dxa"/>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3118"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4984"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hint="eastAsia"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以联合体形式参与评分的，共同联合协议中应确定主办方（主体），</w:t>
      </w:r>
      <w:r>
        <w:rPr>
          <w:rFonts w:hint="eastAsia" w:ascii="方正仿宋_GBK" w:hAnsi="宋体" w:eastAsia="方正仿宋_GBK"/>
          <w:sz w:val="24"/>
        </w:rPr>
        <w:t>代表联合体进行磋商和澄清。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hint="eastAsia" w:ascii="方正仿宋_GBK" w:eastAsia="方正仿宋_GBK"/>
          <w:kern w:val="0"/>
          <w:sz w:val="24"/>
          <w:szCs w:val="24"/>
        </w:rPr>
      </w:pPr>
      <w:r>
        <w:rPr>
          <w:rFonts w:hint="eastAsia" w:ascii="方正仿宋_GBK" w:hAnsi="宋体" w:eastAsia="方正仿宋_GBK" w:cs="宋体"/>
          <w:kern w:val="0"/>
          <w:sz w:val="24"/>
          <w:szCs w:val="24"/>
        </w:rPr>
        <w:t>2.符合性审查。依据采购文件的规定，从响应文件的有效性、完整性和对采购文件的响应程度进行审查，以确定是否对采购文件的实质性要求作出响应。</w:t>
      </w:r>
      <w:r>
        <w:rPr>
          <w:rFonts w:hint="eastAsia" w:ascii="方正仿宋_GBK" w:eastAsia="方正仿宋_GBK"/>
          <w:kern w:val="0"/>
          <w:sz w:val="24"/>
          <w:szCs w:val="24"/>
        </w:rPr>
        <w:t>符合性审查资料表如下：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540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按限额以下磋商评分文件“第七篇响应文件编制要求”要求签署或盖章。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1560" w:type="dxa"/>
            <w:vMerge w:val="continue"/>
            <w:noWrap w:val="0"/>
            <w:vAlign w:val="center"/>
          </w:tcPr>
          <w:p>
            <w:pPr>
              <w:rPr>
                <w:rFonts w:hint="eastAsia" w:ascii="方正仿宋_GBK" w:hAnsi="宋体" w:eastAsia="方正仿宋_GBK" w:cs="宋体"/>
                <w:kern w:val="0"/>
                <w:sz w:val="21"/>
                <w:szCs w:val="21"/>
              </w:rPr>
            </w:pPr>
          </w:p>
        </w:tc>
        <w:tc>
          <w:tcPr>
            <w:tcW w:w="1984" w:type="dxa"/>
            <w:noWrap w:val="0"/>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noWrap w:val="0"/>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1560" w:type="dxa"/>
            <w:vMerge w:val="continue"/>
            <w:noWrap w:val="0"/>
            <w:vAlign w:val="center"/>
          </w:tcPr>
          <w:p>
            <w:pPr>
              <w:rPr>
                <w:rFonts w:hint="eastAsia" w:ascii="方正仿宋_GBK" w:hAnsi="宋体" w:eastAsia="方正仿宋_GBK" w:cs="宋体"/>
                <w:kern w:val="0"/>
                <w:sz w:val="21"/>
                <w:szCs w:val="21"/>
              </w:rPr>
            </w:pPr>
          </w:p>
        </w:tc>
        <w:tc>
          <w:tcPr>
            <w:tcW w:w="1984" w:type="dxa"/>
            <w:noWrap w:val="0"/>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每个包只能有一个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1560" w:type="dxa"/>
            <w:vMerge w:val="continue"/>
            <w:noWrap w:val="0"/>
            <w:vAlign w:val="center"/>
          </w:tcPr>
          <w:p>
            <w:pPr>
              <w:rPr>
                <w:rFonts w:hint="eastAsia" w:ascii="方正仿宋_GBK" w:hAnsi="宋体" w:eastAsia="方正仿宋_GBK" w:cs="宋体"/>
                <w:kern w:val="0"/>
                <w:sz w:val="21"/>
                <w:szCs w:val="21"/>
              </w:rPr>
            </w:pPr>
          </w:p>
        </w:tc>
        <w:tc>
          <w:tcPr>
            <w:tcW w:w="1984" w:type="dxa"/>
            <w:noWrap w:val="0"/>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文件正、副本数量符合</w:t>
            </w:r>
            <w:r>
              <w:rPr>
                <w:rFonts w:hint="eastAsia" w:ascii="方正仿宋_GBK" w:hAnsi="宋体" w:eastAsia="方正仿宋_GBK" w:cs="仿宋_GB2312"/>
                <w:sz w:val="21"/>
                <w:szCs w:val="21"/>
              </w:rPr>
              <w:t>竞采购</w:t>
            </w:r>
            <w:r>
              <w:rPr>
                <w:rFonts w:hint="eastAsia" w:ascii="方正仿宋_GBK" w:hAnsi="宋体" w:eastAsia="方正仿宋_GBK" w:cs="仿宋_GB2312"/>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noWrap w:val="0"/>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cs="宋体"/>
                <w:kern w:val="0"/>
                <w:sz w:val="21"/>
                <w:szCs w:val="21"/>
              </w:rPr>
              <w:t>响应程度审查</w:t>
            </w:r>
          </w:p>
        </w:tc>
        <w:tc>
          <w:tcPr>
            <w:tcW w:w="198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实质性响应</w:t>
            </w:r>
          </w:p>
        </w:tc>
        <w:tc>
          <w:tcPr>
            <w:tcW w:w="5409" w:type="dxa"/>
            <w:noWrap w:val="0"/>
            <w:vAlign w:val="center"/>
          </w:tcPr>
          <w:p>
            <w:pPr>
              <w:pStyle w:val="33"/>
              <w:rPr>
                <w:rFonts w:hint="eastAsia" w:ascii="方正仿宋_GBK" w:hAnsi="宋体" w:eastAsia="方正仿宋_GBK" w:cs="宋体"/>
                <w:kern w:val="0"/>
                <w:sz w:val="21"/>
                <w:szCs w:val="21"/>
                <w:lang w:val="en-US" w:eastAsia="zh-CN"/>
              </w:rPr>
            </w:pPr>
            <w:r>
              <w:rPr>
                <w:rFonts w:hint="eastAsia" w:ascii="方正仿宋_GBK" w:hAnsi="宋体" w:eastAsia="方正仿宋_GBK" w:cs="宋体"/>
                <w:kern w:val="0"/>
                <w:sz w:val="21"/>
                <w:szCs w:val="21"/>
                <w:lang w:val="en-US" w:eastAsia="zh-CN"/>
              </w:rPr>
              <w:t>对采购文件第二篇、第三篇规定的内容进行实质性响应。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1560" w:type="dxa"/>
            <w:vMerge w:val="continue"/>
            <w:noWrap w:val="0"/>
            <w:vAlign w:val="center"/>
          </w:tcPr>
          <w:p>
            <w:pPr>
              <w:rPr>
                <w:rFonts w:hint="eastAsia" w:ascii="方正仿宋_GBK" w:hAnsi="宋体" w:eastAsia="方正仿宋_GBK" w:cs="仿宋_GB2312"/>
                <w:sz w:val="21"/>
                <w:szCs w:val="21"/>
                <w:lang w:val="zh-CN"/>
              </w:rPr>
            </w:pPr>
          </w:p>
        </w:tc>
        <w:tc>
          <w:tcPr>
            <w:tcW w:w="198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响应文件有效期</w:t>
            </w:r>
          </w:p>
        </w:tc>
        <w:tc>
          <w:tcPr>
            <w:tcW w:w="540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（五）在评审过程中磋商的任何一方不得向他人透露与磋商有关的服务资料、价格或其他信息。</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六）在评审过程中，评审小组可以根据采购文件和磋商情况实质性变动采购需求中的服务、商务要求以及合同草案条款，但不得变动采购文件中的其他内容。实质性变动的内容，须经采购人代表确认。对采购文件作出的实质性变动是采购文件的有效组成部分，评审小组应当及时以书面形式同时通知所有参加的供应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（七）供应商在磋商时作出的所有书面承诺须由法定代表人（或其授权代表）或自然人（供应商为自然人）签署。</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八）经磋商确定最终采购需求且磋商结束后，供应商应当按照采购文件的变动情况和评审小组的要求重新提交响应文件或重新做出相关的书面承诺，最后书面提交最后报价及有关承诺（《最后报价表》在磋商现场向供应商提供）。</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（九）评审小组采用综合评分法对提交最后报价的供应商的响应文件和最后报价（含有效书面承诺）进行综合评分。</w:t>
      </w:r>
      <w:r>
        <w:rPr>
          <w:rFonts w:hint="eastAsia" w:ascii="方正仿宋_GBK" w:hAnsi="宋体" w:eastAsia="方正仿宋_GBK" w:cs="宋体"/>
          <w:kern w:val="0"/>
          <w:sz w:val="24"/>
          <w:szCs w:val="24"/>
        </w:rPr>
        <w:t>综合评分法，是指响应</w:t>
      </w:r>
      <w:r>
        <w:rPr>
          <w:rFonts w:ascii="方正仿宋_GBK" w:hAnsi="宋体" w:eastAsia="方正仿宋_GBK" w:cs="宋体"/>
          <w:kern w:val="0"/>
          <w:sz w:val="24"/>
          <w:szCs w:val="24"/>
        </w:rPr>
        <w:t>文件满足</w:t>
      </w:r>
      <w:r>
        <w:rPr>
          <w:rFonts w:hint="eastAsia" w:ascii="方正仿宋_GBK" w:hAnsi="宋体" w:eastAsia="方正仿宋_GBK" w:cs="宋体"/>
          <w:kern w:val="0"/>
          <w:sz w:val="24"/>
          <w:szCs w:val="24"/>
        </w:rPr>
        <w:t>竞采购</w:t>
      </w:r>
      <w:r>
        <w:rPr>
          <w:rFonts w:ascii="方正仿宋_GBK" w:hAnsi="宋体" w:eastAsia="方正仿宋_GBK" w:cs="宋体"/>
          <w:kern w:val="0"/>
          <w:sz w:val="24"/>
          <w:szCs w:val="24"/>
        </w:rPr>
        <w:t>文件全部实质性要求且按照评审因素的量化指标评审得分最高的供应商为</w:t>
      </w:r>
      <w:r>
        <w:rPr>
          <w:rFonts w:hint="eastAsia" w:ascii="方正仿宋_GBK" w:hAnsi="宋体" w:eastAsia="方正仿宋_GBK" w:cs="宋体"/>
          <w:kern w:val="0"/>
          <w:sz w:val="24"/>
          <w:szCs w:val="24"/>
        </w:rPr>
        <w:t>成交</w:t>
      </w:r>
      <w:r>
        <w:rPr>
          <w:rFonts w:ascii="方正仿宋_GBK" w:hAnsi="宋体" w:eastAsia="方正仿宋_GBK" w:cs="宋体"/>
          <w:kern w:val="0"/>
          <w:sz w:val="24"/>
          <w:szCs w:val="24"/>
        </w:rPr>
        <w:t>候选</w:t>
      </w:r>
      <w:r>
        <w:rPr>
          <w:rFonts w:hint="eastAsia" w:ascii="方正仿宋_GBK" w:hAnsi="宋体" w:eastAsia="方正仿宋_GBK" w:cs="宋体"/>
          <w:kern w:val="0"/>
          <w:sz w:val="24"/>
          <w:szCs w:val="24"/>
        </w:rPr>
        <w:t>供应商</w:t>
      </w:r>
      <w:r>
        <w:rPr>
          <w:rFonts w:ascii="方正仿宋_GBK" w:hAnsi="宋体" w:eastAsia="方正仿宋_GBK" w:cs="宋体"/>
          <w:kern w:val="0"/>
          <w:sz w:val="24"/>
          <w:szCs w:val="24"/>
        </w:rPr>
        <w:t>的</w:t>
      </w:r>
      <w:r>
        <w:rPr>
          <w:rFonts w:hint="eastAsia" w:ascii="方正仿宋_GBK" w:hAnsi="宋体" w:eastAsia="方正仿宋_GBK" w:cs="宋体"/>
          <w:kern w:val="0"/>
          <w:sz w:val="24"/>
          <w:szCs w:val="24"/>
        </w:rPr>
        <w:t>评审</w:t>
      </w:r>
      <w:r>
        <w:rPr>
          <w:rFonts w:ascii="方正仿宋_GBK" w:hAnsi="宋体" w:eastAsia="方正仿宋_GBK" w:cs="宋体"/>
          <w:kern w:val="0"/>
          <w:sz w:val="24"/>
          <w:szCs w:val="24"/>
        </w:rPr>
        <w:t>方法</w:t>
      </w:r>
      <w:r>
        <w:rPr>
          <w:rFonts w:hint="eastAsia" w:ascii="方正仿宋_GBK" w:hAnsi="宋体" w:eastAsia="方正仿宋_GBK" w:cs="宋体"/>
          <w:kern w:val="0"/>
          <w:sz w:val="24"/>
          <w:szCs w:val="24"/>
        </w:rPr>
        <w:t>。供应商总得分为价格、服务、商务等评定因素分别按照相应权重值计算分项得分后相加，满分为100分</w:t>
      </w:r>
      <w:r>
        <w:rPr>
          <w:rFonts w:hint="eastAsia" w:ascii="方正仿宋_GBK" w:hAnsi="宋体" w:eastAsia="方正仿宋_GBK"/>
          <w:sz w:val="24"/>
          <w:szCs w:val="24"/>
        </w:rPr>
        <w:t>。</w:t>
      </w:r>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sz w:val="24"/>
          <w:szCs w:val="24"/>
        </w:rPr>
        <w:t>（十）评审小组各成员独立对每个有效响应（通过资格性审查、</w:t>
      </w:r>
      <w:r>
        <w:rPr>
          <w:rFonts w:hint="eastAsia" w:ascii="方正仿宋_GBK" w:hAnsi="宋体" w:eastAsia="方正仿宋_GBK" w:cs="宋体"/>
          <w:kern w:val="0"/>
          <w:sz w:val="24"/>
          <w:szCs w:val="24"/>
        </w:rPr>
        <w:t>符合性审查的供应商</w:t>
      </w:r>
      <w:r>
        <w:rPr>
          <w:rFonts w:hint="eastAsia" w:ascii="方正仿宋_GBK" w:hAnsi="宋体" w:eastAsia="方正仿宋_GBK"/>
          <w:sz w:val="24"/>
          <w:szCs w:val="24"/>
        </w:rPr>
        <w:t>）的文件进行评价、打分，然后汇总每个供应商每项评分因素的得分，并根据综合评分情况按照评审得分由高到低顺序推荐3名以上成交候选供应商，并编写结论意见。若供应商的评审得分相同的，按照最后报价由低到高的顺序排列推荐。评审得分且最后报价相同的，按现场随机抽取的方式确定顺序排列。</w:t>
      </w:r>
      <w:r>
        <w:rPr>
          <w:rFonts w:hint="eastAsia" w:ascii="方正仿宋_GBK" w:hAnsi="宋体" w:eastAsia="方正仿宋_GBK"/>
          <w:b/>
          <w:sz w:val="24"/>
          <w:szCs w:val="24"/>
        </w:rPr>
        <w:t>服务部分</w:t>
      </w:r>
      <w:r>
        <w:rPr>
          <w:rFonts w:ascii="方正仿宋_GBK" w:hAnsi="宋体" w:eastAsia="方正仿宋_GBK"/>
          <w:b/>
          <w:sz w:val="24"/>
          <w:szCs w:val="24"/>
        </w:rPr>
        <w:t>得分为</w:t>
      </w:r>
      <w:r>
        <w:rPr>
          <w:rFonts w:hint="eastAsia" w:ascii="方正仿宋_GBK" w:hAnsi="宋体" w:eastAsia="方正仿宋_GBK"/>
          <w:b/>
          <w:sz w:val="24"/>
          <w:szCs w:val="24"/>
        </w:rPr>
        <w:t>0分</w:t>
      </w:r>
      <w:r>
        <w:rPr>
          <w:rFonts w:ascii="方正仿宋_GBK" w:hAnsi="宋体" w:eastAsia="方正仿宋_GBK"/>
          <w:b/>
          <w:sz w:val="24"/>
          <w:szCs w:val="24"/>
        </w:rPr>
        <w:t>的</w:t>
      </w:r>
      <w:r>
        <w:rPr>
          <w:rFonts w:hint="eastAsia" w:ascii="方正仿宋_GBK" w:hAnsi="宋体" w:eastAsia="方正仿宋_GBK"/>
          <w:b/>
          <w:sz w:val="24"/>
          <w:szCs w:val="24"/>
        </w:rPr>
        <w:t>供应商不得推荐</w:t>
      </w:r>
      <w:r>
        <w:rPr>
          <w:rFonts w:ascii="方正仿宋_GBK" w:hAnsi="宋体" w:eastAsia="方正仿宋_GBK"/>
          <w:b/>
          <w:sz w:val="24"/>
          <w:szCs w:val="24"/>
        </w:rPr>
        <w:t>成为</w:t>
      </w:r>
      <w:r>
        <w:rPr>
          <w:rFonts w:hint="eastAsia" w:ascii="方正仿宋_GBK" w:hAnsi="宋体" w:eastAsia="方正仿宋_GBK"/>
          <w:b/>
          <w:sz w:val="24"/>
          <w:szCs w:val="24"/>
        </w:rPr>
        <w:t>成交候选供应商</w:t>
      </w:r>
      <w:r>
        <w:rPr>
          <w:rFonts w:ascii="方正仿宋_GBK" w:hAnsi="宋体" w:eastAsia="方正仿宋_GBK"/>
          <w:b/>
          <w:sz w:val="24"/>
          <w:szCs w:val="24"/>
        </w:rPr>
        <w:t>。</w:t>
      </w:r>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65" w:name="_Toc76462334"/>
      <w:bookmarkStart w:id="66" w:name="_Toc106030889"/>
      <w:r>
        <w:rPr>
          <w:rFonts w:hint="eastAsia" w:ascii="方正仿宋_GBK" w:hAnsi="宋体" w:eastAsia="方正仿宋_GBK"/>
          <w:sz w:val="24"/>
        </w:rPr>
        <w:t>二、</w:t>
      </w:r>
      <w:bookmarkStart w:id="67" w:name="_Toc342913394"/>
      <w:bookmarkStart w:id="68" w:name="_Toc102227320"/>
      <w:r>
        <w:rPr>
          <w:rFonts w:hint="eastAsia" w:ascii="方正仿宋_GBK" w:hAnsi="宋体" w:eastAsia="方正仿宋_GBK"/>
          <w:sz w:val="24"/>
        </w:rPr>
        <w:t>评审标准</w:t>
      </w:r>
      <w:bookmarkEnd w:id="65"/>
      <w:bookmarkEnd w:id="66"/>
    </w:p>
    <w:tbl>
      <w:tblPr>
        <w:tblStyle w:val="58"/>
        <w:tblW w:w="5000"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1339"/>
        <w:gridCol w:w="824"/>
        <w:gridCol w:w="4820"/>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noWrap w:val="0"/>
            <w:vAlign w:val="center"/>
          </w:tcPr>
          <w:p>
            <w:pPr>
              <w:spacing w:line="240" w:lineRule="atLeast"/>
              <w:ind w:firstLine="28"/>
              <w:jc w:val="center"/>
              <w:rPr>
                <w:rFonts w:hint="eastAsia" w:ascii="仿宋" w:hAnsi="仿宋" w:eastAsia="仿宋" w:cs="仿宋"/>
                <w:b/>
                <w:sz w:val="21"/>
                <w:szCs w:val="21"/>
              </w:rPr>
            </w:pPr>
            <w:bookmarkStart w:id="69" w:name="_Toc106030890"/>
            <w:bookmarkStart w:id="70" w:name="_Toc76462335"/>
            <w:r>
              <w:rPr>
                <w:rFonts w:hint="eastAsia" w:ascii="仿宋" w:hAnsi="仿宋" w:eastAsia="仿宋" w:cs="仿宋"/>
                <w:b/>
                <w:sz w:val="21"/>
                <w:szCs w:val="21"/>
              </w:rPr>
              <w:t>序号</w:t>
            </w:r>
          </w:p>
        </w:tc>
        <w:tc>
          <w:tcPr>
            <w:tcW w:w="695" w:type="pct"/>
            <w:noWrap w:val="0"/>
            <w:vAlign w:val="center"/>
          </w:tcPr>
          <w:p>
            <w:pPr>
              <w:spacing w:line="240" w:lineRule="atLeast"/>
              <w:ind w:firstLine="28"/>
              <w:jc w:val="center"/>
              <w:rPr>
                <w:rFonts w:hint="eastAsia" w:ascii="仿宋" w:hAnsi="仿宋" w:eastAsia="仿宋" w:cs="仿宋"/>
                <w:b/>
                <w:sz w:val="21"/>
                <w:szCs w:val="21"/>
              </w:rPr>
            </w:pPr>
            <w:r>
              <w:rPr>
                <w:rFonts w:hint="eastAsia" w:ascii="仿宋" w:hAnsi="仿宋" w:eastAsia="仿宋" w:cs="仿宋"/>
                <w:b/>
                <w:sz w:val="21"/>
                <w:szCs w:val="21"/>
              </w:rPr>
              <w:t>评分因素</w:t>
            </w:r>
          </w:p>
          <w:p>
            <w:pPr>
              <w:spacing w:line="240" w:lineRule="atLeast"/>
              <w:ind w:firstLine="28"/>
              <w:jc w:val="center"/>
              <w:rPr>
                <w:rFonts w:hint="eastAsia" w:ascii="仿宋" w:hAnsi="仿宋" w:eastAsia="仿宋" w:cs="仿宋"/>
                <w:b/>
                <w:sz w:val="21"/>
                <w:szCs w:val="21"/>
              </w:rPr>
            </w:pPr>
            <w:r>
              <w:rPr>
                <w:rFonts w:hint="eastAsia" w:ascii="仿宋" w:hAnsi="仿宋" w:eastAsia="仿宋" w:cs="仿宋"/>
                <w:b/>
                <w:sz w:val="21"/>
                <w:szCs w:val="21"/>
              </w:rPr>
              <w:t>及权重</w:t>
            </w:r>
          </w:p>
        </w:tc>
        <w:tc>
          <w:tcPr>
            <w:tcW w:w="428" w:type="pct"/>
            <w:noWrap w:val="0"/>
            <w:vAlign w:val="center"/>
          </w:tcPr>
          <w:p>
            <w:pPr>
              <w:spacing w:line="240" w:lineRule="atLeast"/>
              <w:ind w:firstLine="28"/>
              <w:jc w:val="center"/>
              <w:rPr>
                <w:rFonts w:hint="eastAsia" w:ascii="仿宋" w:hAnsi="仿宋" w:eastAsia="仿宋" w:cs="仿宋"/>
                <w:b/>
                <w:sz w:val="21"/>
                <w:szCs w:val="21"/>
              </w:rPr>
            </w:pPr>
            <w:r>
              <w:rPr>
                <w:rFonts w:hint="eastAsia" w:ascii="仿宋" w:hAnsi="仿宋" w:eastAsia="仿宋" w:cs="仿宋"/>
                <w:b/>
                <w:sz w:val="21"/>
                <w:szCs w:val="21"/>
              </w:rPr>
              <w:t>分值</w:t>
            </w:r>
          </w:p>
        </w:tc>
        <w:tc>
          <w:tcPr>
            <w:tcW w:w="2502" w:type="pct"/>
            <w:noWrap w:val="0"/>
            <w:vAlign w:val="center"/>
          </w:tcPr>
          <w:p>
            <w:pPr>
              <w:spacing w:line="240" w:lineRule="atLeast"/>
              <w:ind w:firstLine="28"/>
              <w:jc w:val="center"/>
              <w:rPr>
                <w:rFonts w:hint="eastAsia" w:ascii="仿宋" w:hAnsi="仿宋" w:eastAsia="仿宋" w:cs="仿宋"/>
                <w:b/>
                <w:sz w:val="21"/>
                <w:szCs w:val="21"/>
              </w:rPr>
            </w:pPr>
            <w:r>
              <w:rPr>
                <w:rFonts w:hint="eastAsia" w:ascii="仿宋" w:hAnsi="仿宋" w:eastAsia="仿宋" w:cs="仿宋"/>
                <w:b/>
                <w:sz w:val="21"/>
                <w:szCs w:val="21"/>
              </w:rPr>
              <w:t>评分标准</w:t>
            </w:r>
          </w:p>
        </w:tc>
        <w:tc>
          <w:tcPr>
            <w:tcW w:w="1117" w:type="pct"/>
            <w:noWrap w:val="0"/>
            <w:vAlign w:val="center"/>
          </w:tcPr>
          <w:p>
            <w:pPr>
              <w:spacing w:line="240" w:lineRule="atLeast"/>
              <w:jc w:val="center"/>
              <w:rPr>
                <w:rFonts w:hint="eastAsia" w:ascii="仿宋" w:hAnsi="仿宋" w:eastAsia="仿宋" w:cs="仿宋"/>
                <w:b/>
                <w:sz w:val="21"/>
                <w:szCs w:val="21"/>
              </w:rPr>
            </w:pPr>
            <w:r>
              <w:rPr>
                <w:rFonts w:hint="eastAsia" w:ascii="仿宋" w:hAnsi="仿宋" w:eastAsia="仿宋" w:cs="仿宋"/>
                <w:b/>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56" w:type="pct"/>
            <w:noWrap w:val="0"/>
            <w:vAlign w:val="center"/>
          </w:tcPr>
          <w:p>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1</w:t>
            </w:r>
          </w:p>
        </w:tc>
        <w:tc>
          <w:tcPr>
            <w:tcW w:w="695" w:type="pct"/>
            <w:noWrap w:val="0"/>
            <w:vAlign w:val="center"/>
          </w:tcPr>
          <w:p>
            <w:pPr>
              <w:spacing w:line="240" w:lineRule="atLeast"/>
              <w:ind w:firstLine="28"/>
              <w:jc w:val="center"/>
              <w:rPr>
                <w:rFonts w:hint="eastAsia" w:ascii="仿宋" w:hAnsi="仿宋" w:eastAsia="仿宋"/>
                <w:sz w:val="21"/>
                <w:szCs w:val="21"/>
              </w:rPr>
            </w:pPr>
            <w:r>
              <w:rPr>
                <w:rFonts w:hint="eastAsia" w:ascii="仿宋" w:hAnsi="仿宋" w:eastAsia="仿宋"/>
                <w:sz w:val="21"/>
                <w:szCs w:val="21"/>
              </w:rPr>
              <w:t>磋商报价</w:t>
            </w:r>
          </w:p>
          <w:p>
            <w:pPr>
              <w:spacing w:line="240" w:lineRule="atLeast"/>
              <w:ind w:firstLine="28"/>
              <w:jc w:val="center"/>
              <w:rPr>
                <w:rFonts w:hint="eastAsia" w:ascii="仿宋" w:hAnsi="仿宋" w:eastAsia="仿宋"/>
                <w:sz w:val="21"/>
                <w:szCs w:val="21"/>
              </w:rPr>
            </w:pPr>
            <w:r>
              <w:rPr>
                <w:rFonts w:hint="eastAsia" w:ascii="仿宋" w:hAnsi="仿宋" w:eastAsia="仿宋"/>
                <w:sz w:val="21"/>
                <w:szCs w:val="21"/>
              </w:rPr>
              <w:t>（</w:t>
            </w:r>
            <w:r>
              <w:rPr>
                <w:rFonts w:hint="eastAsia" w:ascii="仿宋" w:hAnsi="仿宋" w:eastAsia="仿宋"/>
                <w:sz w:val="21"/>
                <w:szCs w:val="21"/>
                <w:lang w:val="en-US" w:eastAsia="zh-CN"/>
              </w:rPr>
              <w:t>2</w:t>
            </w:r>
            <w:r>
              <w:rPr>
                <w:rFonts w:hint="eastAsia" w:ascii="仿宋" w:hAnsi="仿宋" w:eastAsia="仿宋"/>
                <w:sz w:val="21"/>
                <w:szCs w:val="21"/>
                <w:lang w:eastAsia="zh-CN"/>
              </w:rPr>
              <w:t>0</w:t>
            </w:r>
            <w:r>
              <w:rPr>
                <w:rFonts w:hint="eastAsia" w:ascii="仿宋" w:hAnsi="仿宋" w:eastAsia="仿宋"/>
                <w:sz w:val="21"/>
                <w:szCs w:val="21"/>
              </w:rPr>
              <w:t>%）</w:t>
            </w:r>
          </w:p>
        </w:tc>
        <w:tc>
          <w:tcPr>
            <w:tcW w:w="428" w:type="pct"/>
            <w:noWrap w:val="0"/>
            <w:vAlign w:val="center"/>
          </w:tcPr>
          <w:p>
            <w:pPr>
              <w:spacing w:line="240" w:lineRule="atLeast"/>
              <w:ind w:firstLine="28"/>
              <w:jc w:val="center"/>
              <w:rPr>
                <w:rFonts w:hint="eastAsia" w:ascii="仿宋" w:hAnsi="仿宋" w:eastAsia="仿宋"/>
                <w:sz w:val="21"/>
                <w:szCs w:val="21"/>
              </w:rPr>
            </w:pPr>
            <w:r>
              <w:rPr>
                <w:rFonts w:hint="eastAsia" w:ascii="仿宋" w:hAnsi="仿宋" w:eastAsia="仿宋"/>
                <w:sz w:val="21"/>
                <w:szCs w:val="21"/>
                <w:lang w:val="en-US" w:eastAsia="zh-CN"/>
              </w:rPr>
              <w:t>2</w:t>
            </w:r>
            <w:r>
              <w:rPr>
                <w:rFonts w:hint="eastAsia" w:ascii="仿宋" w:hAnsi="仿宋" w:eastAsia="仿宋"/>
                <w:sz w:val="21"/>
                <w:szCs w:val="21"/>
                <w:lang w:eastAsia="zh-CN"/>
              </w:rPr>
              <w:t>0</w:t>
            </w:r>
            <w:r>
              <w:rPr>
                <w:rFonts w:hint="eastAsia" w:ascii="仿宋" w:hAnsi="仿宋" w:eastAsia="仿宋"/>
                <w:sz w:val="21"/>
                <w:szCs w:val="21"/>
              </w:rPr>
              <w:t>分</w:t>
            </w:r>
          </w:p>
        </w:tc>
        <w:tc>
          <w:tcPr>
            <w:tcW w:w="2502" w:type="pct"/>
            <w:noWrap w:val="0"/>
            <w:vAlign w:val="center"/>
          </w:tcPr>
          <w:p>
            <w:pPr>
              <w:spacing w:line="320" w:lineRule="exact"/>
              <w:rPr>
                <w:rFonts w:ascii="仿宋" w:hAnsi="仿宋" w:eastAsia="仿宋"/>
                <w:sz w:val="21"/>
                <w:szCs w:val="21"/>
              </w:rPr>
            </w:pPr>
            <w:r>
              <w:rPr>
                <w:rFonts w:hint="eastAsia" w:ascii="仿宋" w:hAnsi="仿宋" w:eastAsia="仿宋"/>
                <w:sz w:val="21"/>
                <w:szCs w:val="21"/>
              </w:rPr>
              <w:t>满足资格性、符合性要求且最后报价最低的投标人的价格为磋商基准价，其价格分为满分。其他供应商的价格分统一按照下列公式计算：</w:t>
            </w:r>
          </w:p>
          <w:p>
            <w:pPr>
              <w:spacing w:line="320" w:lineRule="exact"/>
              <w:rPr>
                <w:rFonts w:hint="eastAsia" w:ascii="仿宋" w:hAnsi="仿宋" w:eastAsia="仿宋"/>
                <w:sz w:val="21"/>
                <w:szCs w:val="21"/>
              </w:rPr>
            </w:pPr>
            <w:r>
              <w:rPr>
                <w:rFonts w:hint="eastAsia" w:ascii="仿宋" w:hAnsi="仿宋" w:eastAsia="仿宋"/>
                <w:sz w:val="21"/>
                <w:szCs w:val="21"/>
              </w:rPr>
              <w:t>磋商报价得分=（磋商基准价/最后磋商报价）×价格权重×100</w:t>
            </w:r>
          </w:p>
        </w:tc>
        <w:tc>
          <w:tcPr>
            <w:tcW w:w="1117" w:type="pct"/>
            <w:noWrap w:val="0"/>
            <w:vAlign w:val="center"/>
          </w:tcPr>
          <w:p>
            <w:pPr>
              <w:spacing w:line="240" w:lineRule="exact"/>
              <w:ind w:left="-39" w:leftChars="-14"/>
              <w:rPr>
                <w:rFonts w:hint="eastAsia" w:ascii="仿宋" w:hAnsi="仿宋" w:eastAsia="仿宋"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56" w:type="pct"/>
            <w:vMerge w:val="restart"/>
            <w:noWrap w:val="0"/>
            <w:vAlign w:val="center"/>
          </w:tcPr>
          <w:p>
            <w:pPr>
              <w:spacing w:line="240" w:lineRule="atLeast"/>
              <w:ind w:firstLine="28" w:firstLineChars="0"/>
              <w:jc w:val="center"/>
              <w:rPr>
                <w:rFonts w:hint="eastAsia" w:ascii="仿宋" w:hAnsi="仿宋" w:eastAsia="仿宋"/>
                <w:kern w:val="2"/>
                <w:sz w:val="21"/>
                <w:szCs w:val="21"/>
                <w:lang w:val="en-US" w:eastAsia="zh-CN" w:bidi="ar-SA"/>
              </w:rPr>
            </w:pPr>
            <w:r>
              <w:rPr>
                <w:rFonts w:hint="eastAsia" w:ascii="仿宋" w:hAnsi="仿宋" w:eastAsia="仿宋"/>
                <w:sz w:val="21"/>
                <w:szCs w:val="21"/>
              </w:rPr>
              <w:t>2</w:t>
            </w:r>
          </w:p>
        </w:tc>
        <w:tc>
          <w:tcPr>
            <w:tcW w:w="695" w:type="pct"/>
            <w:vMerge w:val="restart"/>
            <w:noWrap w:val="0"/>
            <w:vAlign w:val="center"/>
          </w:tcPr>
          <w:p>
            <w:pPr>
              <w:spacing w:line="240" w:lineRule="atLeast"/>
              <w:ind w:firstLine="28" w:firstLineChars="0"/>
              <w:jc w:val="center"/>
              <w:rPr>
                <w:rFonts w:hint="eastAsia" w:ascii="仿宋" w:hAnsi="仿宋" w:eastAsia="仿宋"/>
                <w:kern w:val="2"/>
                <w:sz w:val="21"/>
                <w:szCs w:val="21"/>
                <w:lang w:val="en-US" w:eastAsia="zh-CN" w:bidi="ar-SA"/>
              </w:rPr>
            </w:pPr>
            <w:r>
              <w:rPr>
                <w:rFonts w:hint="eastAsia" w:ascii="仿宋" w:hAnsi="仿宋" w:eastAsia="仿宋"/>
                <w:sz w:val="21"/>
                <w:szCs w:val="21"/>
              </w:rPr>
              <w:t>服务部分（</w:t>
            </w:r>
            <w:r>
              <w:rPr>
                <w:rFonts w:hint="eastAsia" w:ascii="仿宋" w:hAnsi="仿宋" w:eastAsia="仿宋"/>
                <w:sz w:val="21"/>
                <w:szCs w:val="21"/>
                <w:lang w:val="en-US" w:eastAsia="zh-CN"/>
              </w:rPr>
              <w:t>5</w:t>
            </w:r>
            <w:r>
              <w:rPr>
                <w:rFonts w:hint="eastAsia" w:ascii="仿宋" w:hAnsi="仿宋" w:eastAsia="仿宋"/>
                <w:sz w:val="21"/>
                <w:szCs w:val="21"/>
              </w:rPr>
              <w:t>0%）</w:t>
            </w:r>
          </w:p>
        </w:tc>
        <w:tc>
          <w:tcPr>
            <w:tcW w:w="428" w:type="pct"/>
            <w:vMerge w:val="restart"/>
            <w:noWrap w:val="0"/>
            <w:vAlign w:val="center"/>
          </w:tcPr>
          <w:p>
            <w:pPr>
              <w:spacing w:line="240" w:lineRule="atLeast"/>
              <w:ind w:firstLine="28" w:firstLineChars="0"/>
              <w:jc w:val="center"/>
              <w:rPr>
                <w:rFonts w:hint="eastAsia" w:ascii="仿宋" w:hAnsi="仿宋" w:eastAsia="仿宋"/>
                <w:kern w:val="2"/>
                <w:sz w:val="21"/>
                <w:szCs w:val="21"/>
                <w:lang w:val="en-US" w:eastAsia="zh-CN" w:bidi="ar-SA"/>
              </w:rPr>
            </w:pPr>
            <w:r>
              <w:rPr>
                <w:rFonts w:hint="eastAsia" w:ascii="仿宋" w:hAnsi="仿宋" w:eastAsia="仿宋"/>
                <w:sz w:val="21"/>
                <w:szCs w:val="21"/>
                <w:lang w:val="en-US" w:eastAsia="zh-CN"/>
              </w:rPr>
              <w:t>5</w:t>
            </w:r>
            <w:r>
              <w:rPr>
                <w:rFonts w:hint="eastAsia" w:ascii="仿宋" w:hAnsi="仿宋" w:eastAsia="仿宋"/>
                <w:sz w:val="21"/>
                <w:szCs w:val="21"/>
              </w:rPr>
              <w:t>0</w:t>
            </w:r>
          </w:p>
        </w:tc>
        <w:tc>
          <w:tcPr>
            <w:tcW w:w="2502" w:type="pct"/>
            <w:noWrap w:val="0"/>
            <w:vAlign w:val="center"/>
          </w:tcPr>
          <w:p>
            <w:pPr>
              <w:spacing w:line="240" w:lineRule="atLeast"/>
              <w:rPr>
                <w:rFonts w:hint="eastAsia" w:ascii="仿宋" w:hAnsi="仿宋" w:eastAsia="仿宋"/>
                <w:sz w:val="21"/>
                <w:szCs w:val="21"/>
              </w:rPr>
            </w:pPr>
            <w:r>
              <w:rPr>
                <w:rFonts w:hint="eastAsia" w:ascii="仿宋" w:hAnsi="仿宋" w:eastAsia="仿宋"/>
                <w:sz w:val="21"/>
                <w:szCs w:val="21"/>
              </w:rPr>
              <w:t>1.针对本项目的测量方案及措施方案（10分）</w:t>
            </w:r>
          </w:p>
          <w:p>
            <w:pPr>
              <w:spacing w:line="240" w:lineRule="atLeast"/>
              <w:rPr>
                <w:rFonts w:hint="eastAsia" w:ascii="仿宋" w:hAnsi="仿宋" w:eastAsia="仿宋"/>
                <w:sz w:val="21"/>
                <w:szCs w:val="21"/>
              </w:rPr>
            </w:pPr>
            <w:r>
              <w:rPr>
                <w:rFonts w:hint="eastAsia" w:ascii="仿宋" w:hAnsi="仿宋" w:eastAsia="仿宋"/>
                <w:sz w:val="21"/>
                <w:szCs w:val="21"/>
              </w:rPr>
              <w:t>优（10分）：对项目认识深刻、表述全面准确，测量方案科学、系统、安全、经济，可操作性强，保障措施得力，对关键技术把握准确，应用到位，阐释清晰；</w:t>
            </w:r>
          </w:p>
          <w:p>
            <w:pPr>
              <w:spacing w:line="240" w:lineRule="atLeast"/>
              <w:rPr>
                <w:rFonts w:hint="eastAsia" w:ascii="仿宋" w:hAnsi="仿宋" w:eastAsia="仿宋"/>
                <w:sz w:val="21"/>
                <w:szCs w:val="21"/>
              </w:rPr>
            </w:pPr>
            <w:r>
              <w:rPr>
                <w:rFonts w:hint="eastAsia" w:ascii="仿宋" w:hAnsi="仿宋" w:eastAsia="仿宋"/>
                <w:sz w:val="21"/>
                <w:szCs w:val="21"/>
              </w:rPr>
              <w:t>良（6分）：对项目认识比较深刻、表述比较全面准确，测量方案比较科学、系统、安全、经济，可操作性比较强，保障措施比较得力，对关键技术、工艺把握比较准确，应用到位，阐释比较清晰；</w:t>
            </w:r>
          </w:p>
          <w:p>
            <w:pPr>
              <w:spacing w:line="240" w:lineRule="atLeast"/>
              <w:rPr>
                <w:rFonts w:hint="eastAsia" w:ascii="仿宋" w:hAnsi="仿宋" w:eastAsia="仿宋"/>
                <w:sz w:val="21"/>
                <w:szCs w:val="21"/>
              </w:rPr>
            </w:pPr>
            <w:r>
              <w:rPr>
                <w:rFonts w:hint="eastAsia" w:ascii="仿宋" w:hAnsi="仿宋" w:eastAsia="仿宋"/>
                <w:sz w:val="21"/>
                <w:szCs w:val="21"/>
              </w:rPr>
              <w:t>一般（4分）：对项目认识、表述一般，测量方案、措施方案一般；</w:t>
            </w:r>
          </w:p>
          <w:p>
            <w:pPr>
              <w:spacing w:line="240" w:lineRule="atLeast"/>
              <w:rPr>
                <w:rFonts w:hint="eastAsia" w:ascii="仿宋" w:hAnsi="仿宋" w:eastAsia="仿宋"/>
                <w:kern w:val="2"/>
                <w:sz w:val="21"/>
                <w:szCs w:val="21"/>
                <w:lang w:val="en-US" w:eastAsia="zh-CN" w:bidi="ar-SA"/>
              </w:rPr>
            </w:pPr>
            <w:r>
              <w:rPr>
                <w:rFonts w:hint="eastAsia" w:ascii="仿宋" w:hAnsi="仿宋" w:eastAsia="仿宋"/>
                <w:sz w:val="21"/>
                <w:szCs w:val="21"/>
              </w:rPr>
              <w:t>差或未提供不得分。</w:t>
            </w:r>
          </w:p>
        </w:tc>
        <w:tc>
          <w:tcPr>
            <w:tcW w:w="1117" w:type="pct"/>
            <w:noWrap w:val="0"/>
            <w:vAlign w:val="center"/>
          </w:tcPr>
          <w:p>
            <w:pPr>
              <w:spacing w:line="240" w:lineRule="atLeast"/>
              <w:rPr>
                <w:rFonts w:hint="eastAsia" w:ascii="仿宋" w:hAnsi="仿宋" w:eastAsia="仿宋"/>
                <w:kern w:val="2"/>
                <w:sz w:val="21"/>
                <w:szCs w:val="21"/>
                <w:lang w:val="en-US" w:eastAsia="zh-CN" w:bidi="ar-SA"/>
              </w:rPr>
            </w:pPr>
            <w:r>
              <w:rPr>
                <w:rFonts w:hint="eastAsia" w:ascii="仿宋" w:hAnsi="仿宋" w:eastAsia="仿宋"/>
                <w:sz w:val="21"/>
                <w:szCs w:val="21"/>
              </w:rPr>
              <w:t>提供测量方案及措施方案，格式自定。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56" w:type="pct"/>
            <w:vMerge w:val="continue"/>
            <w:noWrap w:val="0"/>
            <w:vAlign w:val="center"/>
          </w:tcPr>
          <w:p>
            <w:pPr>
              <w:spacing w:line="240" w:lineRule="atLeast"/>
              <w:ind w:firstLine="28"/>
              <w:jc w:val="center"/>
              <w:rPr>
                <w:rFonts w:hint="eastAsia" w:ascii="仿宋" w:hAnsi="仿宋" w:eastAsia="仿宋" w:cs="仿宋"/>
                <w:sz w:val="21"/>
                <w:szCs w:val="21"/>
              </w:rPr>
            </w:pPr>
          </w:p>
        </w:tc>
        <w:tc>
          <w:tcPr>
            <w:tcW w:w="695" w:type="pct"/>
            <w:vMerge w:val="continue"/>
            <w:noWrap w:val="0"/>
            <w:vAlign w:val="center"/>
          </w:tcPr>
          <w:p>
            <w:pPr>
              <w:spacing w:line="240" w:lineRule="atLeast"/>
              <w:ind w:firstLine="28"/>
              <w:jc w:val="center"/>
              <w:rPr>
                <w:rFonts w:hint="eastAsia" w:ascii="仿宋" w:hAnsi="仿宋" w:eastAsia="仿宋"/>
                <w:sz w:val="21"/>
                <w:szCs w:val="21"/>
              </w:rPr>
            </w:pPr>
          </w:p>
        </w:tc>
        <w:tc>
          <w:tcPr>
            <w:tcW w:w="428" w:type="pct"/>
            <w:vMerge w:val="continue"/>
            <w:noWrap w:val="0"/>
            <w:vAlign w:val="center"/>
          </w:tcPr>
          <w:p>
            <w:pPr>
              <w:spacing w:line="240" w:lineRule="atLeast"/>
              <w:ind w:firstLine="28"/>
              <w:jc w:val="center"/>
              <w:rPr>
                <w:rFonts w:hint="eastAsia" w:ascii="仿宋" w:hAnsi="仿宋" w:eastAsia="仿宋"/>
                <w:sz w:val="21"/>
                <w:szCs w:val="21"/>
                <w:lang w:val="en-US" w:eastAsia="zh-CN"/>
              </w:rPr>
            </w:pPr>
          </w:p>
        </w:tc>
        <w:tc>
          <w:tcPr>
            <w:tcW w:w="2502" w:type="pct"/>
            <w:noWrap w:val="0"/>
            <w:vAlign w:val="center"/>
          </w:tcPr>
          <w:p>
            <w:pPr>
              <w:spacing w:line="240" w:lineRule="atLeast"/>
              <w:rPr>
                <w:rFonts w:hint="eastAsia" w:ascii="仿宋" w:hAnsi="仿宋" w:eastAsia="仿宋"/>
                <w:sz w:val="21"/>
                <w:szCs w:val="21"/>
              </w:rPr>
            </w:pPr>
            <w:r>
              <w:rPr>
                <w:rFonts w:hint="eastAsia" w:ascii="仿宋" w:hAnsi="仿宋" w:eastAsia="仿宋"/>
                <w:sz w:val="21"/>
                <w:szCs w:val="21"/>
              </w:rPr>
              <w:t>2.针对本项目的项目重点、难点分析与解决措施方案（</w:t>
            </w:r>
            <w:r>
              <w:rPr>
                <w:rFonts w:hint="eastAsia" w:ascii="仿宋" w:hAnsi="仿宋" w:eastAsia="仿宋"/>
                <w:sz w:val="21"/>
                <w:szCs w:val="21"/>
                <w:lang w:val="en-US" w:eastAsia="zh-CN"/>
              </w:rPr>
              <w:t>10</w:t>
            </w:r>
            <w:r>
              <w:rPr>
                <w:rFonts w:hint="eastAsia" w:ascii="仿宋" w:hAnsi="仿宋" w:eastAsia="仿宋"/>
                <w:sz w:val="21"/>
                <w:szCs w:val="21"/>
              </w:rPr>
              <w:t>分）</w:t>
            </w:r>
          </w:p>
          <w:p>
            <w:pPr>
              <w:spacing w:line="240" w:lineRule="atLeast"/>
              <w:rPr>
                <w:rFonts w:hint="eastAsia" w:ascii="仿宋" w:hAnsi="仿宋" w:eastAsia="仿宋"/>
                <w:sz w:val="21"/>
                <w:szCs w:val="21"/>
              </w:rPr>
            </w:pPr>
            <w:r>
              <w:rPr>
                <w:rFonts w:hint="eastAsia" w:ascii="仿宋" w:hAnsi="仿宋" w:eastAsia="仿宋"/>
                <w:sz w:val="21"/>
                <w:szCs w:val="21"/>
              </w:rPr>
              <w:t>优（</w:t>
            </w:r>
            <w:r>
              <w:rPr>
                <w:rFonts w:hint="eastAsia" w:ascii="仿宋" w:hAnsi="仿宋" w:eastAsia="仿宋"/>
                <w:sz w:val="21"/>
                <w:szCs w:val="21"/>
                <w:lang w:val="en-US" w:eastAsia="zh-CN"/>
              </w:rPr>
              <w:t>10</w:t>
            </w:r>
            <w:r>
              <w:rPr>
                <w:rFonts w:hint="eastAsia" w:ascii="仿宋" w:hAnsi="仿宋" w:eastAsia="仿宋"/>
                <w:sz w:val="21"/>
                <w:szCs w:val="21"/>
              </w:rPr>
              <w:t>分）：对项目重点、难点认识全面，论述完整清晰，解决措施符合实际、规范，计划合理，综合措施科学；</w:t>
            </w:r>
          </w:p>
          <w:p>
            <w:pPr>
              <w:spacing w:line="240" w:lineRule="atLeast"/>
              <w:rPr>
                <w:rFonts w:hint="eastAsia" w:ascii="仿宋" w:hAnsi="仿宋" w:eastAsia="仿宋"/>
                <w:sz w:val="21"/>
                <w:szCs w:val="21"/>
              </w:rPr>
            </w:pPr>
            <w:r>
              <w:rPr>
                <w:rFonts w:hint="eastAsia" w:ascii="仿宋" w:hAnsi="仿宋" w:eastAsia="仿宋"/>
                <w:sz w:val="21"/>
                <w:szCs w:val="21"/>
              </w:rPr>
              <w:t>良（6分）：对项目重点、难点认识比较全面，论述比较完整清晰，解决措施比较符合实际、规范，计划比较合理，综合措施比较科学；</w:t>
            </w:r>
          </w:p>
          <w:p>
            <w:pPr>
              <w:spacing w:line="240" w:lineRule="atLeast"/>
              <w:rPr>
                <w:rFonts w:hint="eastAsia" w:ascii="仿宋" w:hAnsi="仿宋" w:eastAsia="仿宋"/>
                <w:sz w:val="21"/>
                <w:szCs w:val="21"/>
              </w:rPr>
            </w:pPr>
            <w:r>
              <w:rPr>
                <w:rFonts w:hint="eastAsia" w:ascii="仿宋" w:hAnsi="仿宋" w:eastAsia="仿宋"/>
                <w:sz w:val="21"/>
                <w:szCs w:val="21"/>
              </w:rPr>
              <w:t>一般（</w:t>
            </w:r>
            <w:r>
              <w:rPr>
                <w:rFonts w:hint="eastAsia" w:ascii="仿宋" w:hAnsi="仿宋" w:eastAsia="仿宋"/>
                <w:sz w:val="21"/>
                <w:szCs w:val="21"/>
                <w:lang w:val="en-US" w:eastAsia="zh-CN"/>
              </w:rPr>
              <w:t>4</w:t>
            </w:r>
            <w:r>
              <w:rPr>
                <w:rFonts w:hint="eastAsia" w:ascii="仿宋" w:hAnsi="仿宋" w:eastAsia="仿宋"/>
                <w:sz w:val="21"/>
                <w:szCs w:val="21"/>
              </w:rPr>
              <w:t>分）：对项目重点、难点认识一般，解决措施、计划基本合理；</w:t>
            </w:r>
          </w:p>
          <w:p>
            <w:pPr>
              <w:spacing w:line="240" w:lineRule="atLeast"/>
              <w:rPr>
                <w:rFonts w:hint="eastAsia" w:ascii="仿宋" w:hAnsi="仿宋" w:eastAsia="仿宋"/>
                <w:kern w:val="2"/>
                <w:sz w:val="21"/>
                <w:szCs w:val="21"/>
                <w:lang w:val="en-US" w:eastAsia="zh-CN" w:bidi="ar-SA"/>
              </w:rPr>
            </w:pPr>
            <w:r>
              <w:rPr>
                <w:rFonts w:hint="eastAsia" w:ascii="仿宋" w:hAnsi="仿宋" w:eastAsia="仿宋"/>
                <w:sz w:val="21"/>
                <w:szCs w:val="21"/>
              </w:rPr>
              <w:t>差或未提供不得分。</w:t>
            </w:r>
          </w:p>
        </w:tc>
        <w:tc>
          <w:tcPr>
            <w:tcW w:w="1117" w:type="pct"/>
            <w:noWrap w:val="0"/>
            <w:vAlign w:val="center"/>
          </w:tcPr>
          <w:p>
            <w:pPr>
              <w:spacing w:line="240" w:lineRule="atLeast"/>
              <w:rPr>
                <w:rFonts w:hint="eastAsia" w:ascii="仿宋" w:hAnsi="仿宋" w:eastAsia="仿宋"/>
                <w:kern w:val="2"/>
                <w:sz w:val="21"/>
                <w:szCs w:val="21"/>
                <w:lang w:val="en-US" w:eastAsia="zh-CN" w:bidi="ar-SA"/>
              </w:rPr>
            </w:pPr>
            <w:r>
              <w:rPr>
                <w:rFonts w:hint="eastAsia" w:ascii="仿宋" w:hAnsi="仿宋" w:eastAsia="仿宋"/>
                <w:sz w:val="21"/>
                <w:szCs w:val="21"/>
              </w:rPr>
              <w:t>提供项目重点、难点分析与解决措施方案，格式自定。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56" w:type="pct"/>
            <w:vMerge w:val="continue"/>
            <w:noWrap w:val="0"/>
            <w:vAlign w:val="center"/>
          </w:tcPr>
          <w:p>
            <w:pPr>
              <w:spacing w:line="240" w:lineRule="atLeast"/>
              <w:ind w:firstLine="28"/>
              <w:jc w:val="center"/>
              <w:rPr>
                <w:rFonts w:hint="eastAsia" w:ascii="仿宋" w:hAnsi="仿宋" w:eastAsia="仿宋" w:cs="仿宋"/>
                <w:sz w:val="21"/>
                <w:szCs w:val="21"/>
              </w:rPr>
            </w:pPr>
          </w:p>
        </w:tc>
        <w:tc>
          <w:tcPr>
            <w:tcW w:w="695" w:type="pct"/>
            <w:vMerge w:val="continue"/>
            <w:noWrap w:val="0"/>
            <w:vAlign w:val="center"/>
          </w:tcPr>
          <w:p>
            <w:pPr>
              <w:spacing w:line="240" w:lineRule="atLeast"/>
              <w:ind w:firstLine="28"/>
              <w:jc w:val="center"/>
              <w:rPr>
                <w:rFonts w:hint="eastAsia" w:ascii="仿宋" w:hAnsi="仿宋" w:eastAsia="仿宋"/>
                <w:sz w:val="21"/>
                <w:szCs w:val="21"/>
              </w:rPr>
            </w:pPr>
          </w:p>
        </w:tc>
        <w:tc>
          <w:tcPr>
            <w:tcW w:w="428" w:type="pct"/>
            <w:vMerge w:val="continue"/>
            <w:noWrap w:val="0"/>
            <w:vAlign w:val="center"/>
          </w:tcPr>
          <w:p>
            <w:pPr>
              <w:spacing w:line="240" w:lineRule="atLeast"/>
              <w:ind w:firstLine="28"/>
              <w:jc w:val="center"/>
              <w:rPr>
                <w:rFonts w:hint="eastAsia" w:ascii="仿宋" w:hAnsi="仿宋" w:eastAsia="仿宋"/>
                <w:sz w:val="21"/>
                <w:szCs w:val="21"/>
                <w:lang w:val="en-US" w:eastAsia="zh-CN"/>
              </w:rPr>
            </w:pPr>
          </w:p>
        </w:tc>
        <w:tc>
          <w:tcPr>
            <w:tcW w:w="2502" w:type="pct"/>
            <w:noWrap w:val="0"/>
            <w:vAlign w:val="center"/>
          </w:tcPr>
          <w:p>
            <w:pPr>
              <w:spacing w:line="240" w:lineRule="atLeast"/>
              <w:rPr>
                <w:rFonts w:hint="eastAsia" w:ascii="仿宋" w:hAnsi="仿宋" w:eastAsia="仿宋"/>
                <w:sz w:val="21"/>
                <w:szCs w:val="21"/>
              </w:rPr>
            </w:pPr>
            <w:r>
              <w:rPr>
                <w:rFonts w:hint="eastAsia" w:ascii="仿宋" w:hAnsi="仿宋" w:eastAsia="仿宋"/>
                <w:sz w:val="21"/>
                <w:szCs w:val="21"/>
              </w:rPr>
              <w:t>3.针对本项目的项目组织机构设置方案（</w:t>
            </w:r>
            <w:r>
              <w:rPr>
                <w:rFonts w:hint="eastAsia" w:ascii="仿宋" w:hAnsi="仿宋" w:eastAsia="仿宋"/>
                <w:sz w:val="21"/>
                <w:szCs w:val="21"/>
                <w:lang w:val="en-US" w:eastAsia="zh-CN"/>
              </w:rPr>
              <w:t>10</w:t>
            </w:r>
            <w:r>
              <w:rPr>
                <w:rFonts w:hint="eastAsia" w:ascii="仿宋" w:hAnsi="仿宋" w:eastAsia="仿宋"/>
                <w:sz w:val="21"/>
                <w:szCs w:val="21"/>
              </w:rPr>
              <w:t>分）</w:t>
            </w:r>
          </w:p>
          <w:p>
            <w:pPr>
              <w:spacing w:line="240" w:lineRule="atLeast"/>
              <w:rPr>
                <w:rFonts w:hint="eastAsia" w:ascii="仿宋" w:hAnsi="仿宋" w:eastAsia="仿宋"/>
                <w:sz w:val="21"/>
                <w:szCs w:val="21"/>
              </w:rPr>
            </w:pPr>
            <w:r>
              <w:rPr>
                <w:rFonts w:hint="eastAsia" w:ascii="仿宋" w:hAnsi="仿宋" w:eastAsia="仿宋"/>
                <w:sz w:val="21"/>
                <w:szCs w:val="21"/>
              </w:rPr>
              <w:t>优（</w:t>
            </w:r>
            <w:r>
              <w:rPr>
                <w:rFonts w:hint="eastAsia" w:ascii="仿宋" w:hAnsi="仿宋" w:eastAsia="仿宋"/>
                <w:sz w:val="21"/>
                <w:szCs w:val="21"/>
                <w:lang w:val="en-US" w:eastAsia="zh-CN"/>
              </w:rPr>
              <w:t>10</w:t>
            </w:r>
            <w:r>
              <w:rPr>
                <w:rFonts w:hint="eastAsia" w:ascii="仿宋" w:hAnsi="仿宋" w:eastAsia="仿宋"/>
                <w:sz w:val="21"/>
                <w:szCs w:val="21"/>
              </w:rPr>
              <w:t>分）：项目人员组织机构合理，管理先进，班子成员岗位设置合理且符合项目情况；</w:t>
            </w:r>
          </w:p>
          <w:p>
            <w:pPr>
              <w:spacing w:line="240" w:lineRule="atLeast"/>
              <w:rPr>
                <w:rFonts w:hint="eastAsia" w:ascii="仿宋" w:hAnsi="仿宋" w:eastAsia="仿宋"/>
                <w:sz w:val="21"/>
                <w:szCs w:val="21"/>
              </w:rPr>
            </w:pPr>
            <w:r>
              <w:rPr>
                <w:rFonts w:hint="eastAsia" w:ascii="仿宋" w:hAnsi="仿宋" w:eastAsia="仿宋"/>
                <w:sz w:val="21"/>
                <w:szCs w:val="21"/>
              </w:rPr>
              <w:t>良（6分）：项目人员组织机构比较合理，管理比较先进，班子成员岗位设置比较合理且比较符合项目情况；</w:t>
            </w:r>
          </w:p>
          <w:p>
            <w:pPr>
              <w:spacing w:line="240" w:lineRule="atLeast"/>
              <w:rPr>
                <w:rFonts w:hint="eastAsia" w:ascii="仿宋" w:hAnsi="仿宋" w:eastAsia="仿宋"/>
                <w:sz w:val="21"/>
                <w:szCs w:val="21"/>
              </w:rPr>
            </w:pPr>
            <w:r>
              <w:rPr>
                <w:rFonts w:hint="eastAsia" w:ascii="仿宋" w:hAnsi="仿宋" w:eastAsia="仿宋"/>
                <w:sz w:val="21"/>
                <w:szCs w:val="21"/>
              </w:rPr>
              <w:t>一般（4分）：项目人员组织、管理一般，班子成员岗位设置基本符合项目情况；</w:t>
            </w:r>
          </w:p>
          <w:p>
            <w:pPr>
              <w:spacing w:line="240" w:lineRule="atLeast"/>
              <w:rPr>
                <w:rFonts w:hint="eastAsia" w:ascii="仿宋" w:hAnsi="仿宋" w:eastAsia="仿宋"/>
                <w:kern w:val="2"/>
                <w:sz w:val="21"/>
                <w:szCs w:val="21"/>
                <w:lang w:val="en-US" w:eastAsia="zh-CN" w:bidi="ar-SA"/>
              </w:rPr>
            </w:pPr>
            <w:r>
              <w:rPr>
                <w:rFonts w:hint="eastAsia" w:ascii="仿宋" w:hAnsi="仿宋" w:eastAsia="仿宋"/>
                <w:sz w:val="21"/>
                <w:szCs w:val="21"/>
              </w:rPr>
              <w:t>差或未提供不得分。</w:t>
            </w:r>
          </w:p>
        </w:tc>
        <w:tc>
          <w:tcPr>
            <w:tcW w:w="1117" w:type="pct"/>
            <w:noWrap w:val="0"/>
            <w:vAlign w:val="center"/>
          </w:tcPr>
          <w:p>
            <w:pPr>
              <w:spacing w:line="240" w:lineRule="atLeast"/>
              <w:rPr>
                <w:rFonts w:hint="eastAsia" w:ascii="仿宋" w:hAnsi="仿宋" w:eastAsia="仿宋"/>
                <w:kern w:val="2"/>
                <w:sz w:val="21"/>
                <w:szCs w:val="21"/>
                <w:lang w:val="en-US" w:eastAsia="zh-CN" w:bidi="ar-SA"/>
              </w:rPr>
            </w:pPr>
            <w:r>
              <w:rPr>
                <w:rFonts w:hint="eastAsia" w:ascii="仿宋" w:hAnsi="仿宋" w:eastAsia="仿宋"/>
                <w:sz w:val="21"/>
                <w:szCs w:val="21"/>
              </w:rPr>
              <w:t>提供项目组织机构及人员岗位设置方案，格式自定。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56" w:type="pct"/>
            <w:vMerge w:val="continue"/>
            <w:noWrap w:val="0"/>
            <w:vAlign w:val="center"/>
          </w:tcPr>
          <w:p>
            <w:pPr>
              <w:spacing w:line="240" w:lineRule="atLeast"/>
              <w:ind w:firstLine="28"/>
              <w:jc w:val="center"/>
              <w:rPr>
                <w:rFonts w:hint="eastAsia" w:ascii="仿宋" w:hAnsi="仿宋" w:eastAsia="仿宋" w:cs="仿宋"/>
                <w:sz w:val="21"/>
                <w:szCs w:val="21"/>
              </w:rPr>
            </w:pPr>
          </w:p>
        </w:tc>
        <w:tc>
          <w:tcPr>
            <w:tcW w:w="695" w:type="pct"/>
            <w:vMerge w:val="continue"/>
            <w:noWrap w:val="0"/>
            <w:vAlign w:val="center"/>
          </w:tcPr>
          <w:p>
            <w:pPr>
              <w:spacing w:line="240" w:lineRule="atLeast"/>
              <w:ind w:firstLine="28"/>
              <w:jc w:val="center"/>
              <w:rPr>
                <w:rFonts w:hint="eastAsia" w:ascii="仿宋" w:hAnsi="仿宋" w:eastAsia="仿宋"/>
                <w:sz w:val="21"/>
                <w:szCs w:val="21"/>
              </w:rPr>
            </w:pPr>
          </w:p>
        </w:tc>
        <w:tc>
          <w:tcPr>
            <w:tcW w:w="428" w:type="pct"/>
            <w:vMerge w:val="continue"/>
            <w:noWrap w:val="0"/>
            <w:vAlign w:val="center"/>
          </w:tcPr>
          <w:p>
            <w:pPr>
              <w:spacing w:line="240" w:lineRule="atLeast"/>
              <w:ind w:firstLine="28"/>
              <w:jc w:val="center"/>
              <w:rPr>
                <w:rFonts w:hint="eastAsia" w:ascii="仿宋" w:hAnsi="仿宋" w:eastAsia="仿宋"/>
                <w:sz w:val="21"/>
                <w:szCs w:val="21"/>
                <w:lang w:val="en-US" w:eastAsia="zh-CN"/>
              </w:rPr>
            </w:pPr>
          </w:p>
        </w:tc>
        <w:tc>
          <w:tcPr>
            <w:tcW w:w="2502" w:type="pct"/>
            <w:noWrap w:val="0"/>
            <w:vAlign w:val="center"/>
          </w:tcPr>
          <w:p>
            <w:pPr>
              <w:spacing w:line="240" w:lineRule="atLeast"/>
              <w:rPr>
                <w:rFonts w:hint="eastAsia" w:ascii="仿宋" w:hAnsi="仿宋" w:eastAsia="仿宋"/>
                <w:sz w:val="21"/>
                <w:szCs w:val="21"/>
              </w:rPr>
            </w:pPr>
            <w:r>
              <w:rPr>
                <w:rFonts w:hint="eastAsia" w:ascii="仿宋" w:hAnsi="仿宋" w:eastAsia="仿宋"/>
                <w:sz w:val="21"/>
                <w:szCs w:val="21"/>
              </w:rPr>
              <w:t>4.针对本项目的质量、工期的保证措施方案（</w:t>
            </w:r>
            <w:r>
              <w:rPr>
                <w:rFonts w:hint="eastAsia" w:ascii="仿宋" w:hAnsi="仿宋" w:eastAsia="仿宋"/>
                <w:sz w:val="21"/>
                <w:szCs w:val="21"/>
                <w:lang w:val="en-US" w:eastAsia="zh-CN"/>
              </w:rPr>
              <w:t>10</w:t>
            </w:r>
            <w:r>
              <w:rPr>
                <w:rFonts w:hint="eastAsia" w:ascii="仿宋" w:hAnsi="仿宋" w:eastAsia="仿宋"/>
                <w:sz w:val="21"/>
                <w:szCs w:val="21"/>
              </w:rPr>
              <w:t>分）</w:t>
            </w:r>
          </w:p>
          <w:p>
            <w:pPr>
              <w:spacing w:line="240" w:lineRule="atLeast"/>
              <w:rPr>
                <w:rFonts w:hint="eastAsia" w:ascii="仿宋" w:hAnsi="仿宋" w:eastAsia="仿宋"/>
                <w:sz w:val="21"/>
                <w:szCs w:val="21"/>
              </w:rPr>
            </w:pPr>
            <w:r>
              <w:rPr>
                <w:rFonts w:hint="eastAsia" w:ascii="仿宋" w:hAnsi="仿宋" w:eastAsia="仿宋"/>
                <w:sz w:val="21"/>
                <w:szCs w:val="21"/>
              </w:rPr>
              <w:t>优（</w:t>
            </w:r>
            <w:r>
              <w:rPr>
                <w:rFonts w:hint="eastAsia" w:ascii="仿宋" w:hAnsi="仿宋" w:eastAsia="仿宋"/>
                <w:sz w:val="21"/>
                <w:szCs w:val="21"/>
                <w:lang w:val="en-US" w:eastAsia="zh-CN"/>
              </w:rPr>
              <w:t>10</w:t>
            </w:r>
            <w:r>
              <w:rPr>
                <w:rFonts w:hint="eastAsia" w:ascii="仿宋" w:hAnsi="仿宋" w:eastAsia="仿宋"/>
                <w:sz w:val="21"/>
                <w:szCs w:val="21"/>
              </w:rPr>
              <w:t>分）：施工进度计划编制合理、可行，关键线路清晰、准确、完整，关键节点控制措施得力、可操作性强，保证措施可靠；</w:t>
            </w:r>
          </w:p>
          <w:p>
            <w:pPr>
              <w:spacing w:line="240" w:lineRule="atLeast"/>
              <w:rPr>
                <w:rFonts w:hint="eastAsia" w:ascii="仿宋" w:hAnsi="仿宋" w:eastAsia="仿宋"/>
                <w:sz w:val="21"/>
                <w:szCs w:val="21"/>
              </w:rPr>
            </w:pPr>
            <w:r>
              <w:rPr>
                <w:rFonts w:hint="eastAsia" w:ascii="仿宋" w:hAnsi="仿宋" w:eastAsia="仿宋"/>
                <w:sz w:val="21"/>
                <w:szCs w:val="21"/>
              </w:rPr>
              <w:t>良（5分）：施工进度计划编制比较合理、可行，关键线路比较清晰、准确、完整，关键节点控制措施比较得力、可操作性比较强，保证措施比较可靠；</w:t>
            </w:r>
          </w:p>
          <w:p>
            <w:pPr>
              <w:spacing w:line="240" w:lineRule="atLeast"/>
              <w:rPr>
                <w:rFonts w:hint="eastAsia" w:ascii="仿宋" w:hAnsi="仿宋" w:eastAsia="仿宋"/>
                <w:sz w:val="21"/>
                <w:szCs w:val="21"/>
              </w:rPr>
            </w:pPr>
            <w:r>
              <w:rPr>
                <w:rFonts w:hint="eastAsia" w:ascii="仿宋" w:hAnsi="仿宋" w:eastAsia="仿宋"/>
                <w:sz w:val="21"/>
                <w:szCs w:val="21"/>
              </w:rPr>
              <w:t>一般（</w:t>
            </w:r>
            <w:r>
              <w:rPr>
                <w:rFonts w:hint="eastAsia" w:ascii="仿宋" w:hAnsi="仿宋" w:eastAsia="仿宋"/>
                <w:sz w:val="21"/>
                <w:szCs w:val="21"/>
                <w:lang w:val="en-US" w:eastAsia="zh-CN"/>
              </w:rPr>
              <w:t>4</w:t>
            </w:r>
            <w:r>
              <w:rPr>
                <w:rFonts w:hint="eastAsia" w:ascii="仿宋" w:hAnsi="仿宋" w:eastAsia="仿宋"/>
                <w:sz w:val="21"/>
                <w:szCs w:val="21"/>
              </w:rPr>
              <w:t>分）：施工进度计划编制基本合理、可行，关键线路基本清晰、完整，关键节点控制措施基本合理；</w:t>
            </w:r>
          </w:p>
          <w:p>
            <w:pPr>
              <w:spacing w:line="240" w:lineRule="atLeast"/>
              <w:rPr>
                <w:rFonts w:hint="eastAsia" w:ascii="仿宋" w:hAnsi="仿宋" w:eastAsia="仿宋"/>
                <w:kern w:val="2"/>
                <w:sz w:val="21"/>
                <w:szCs w:val="21"/>
                <w:lang w:val="en-US" w:eastAsia="zh-CN" w:bidi="ar-SA"/>
              </w:rPr>
            </w:pPr>
            <w:r>
              <w:rPr>
                <w:rFonts w:hint="eastAsia" w:ascii="仿宋" w:hAnsi="仿宋" w:eastAsia="仿宋"/>
                <w:sz w:val="21"/>
                <w:szCs w:val="21"/>
              </w:rPr>
              <w:t>差或未提供不得分。</w:t>
            </w:r>
          </w:p>
        </w:tc>
        <w:tc>
          <w:tcPr>
            <w:tcW w:w="1117" w:type="pct"/>
            <w:noWrap w:val="0"/>
            <w:vAlign w:val="center"/>
          </w:tcPr>
          <w:p>
            <w:pPr>
              <w:spacing w:line="240" w:lineRule="atLeast"/>
              <w:rPr>
                <w:rFonts w:hint="eastAsia" w:ascii="仿宋" w:hAnsi="仿宋" w:eastAsia="仿宋"/>
                <w:kern w:val="2"/>
                <w:sz w:val="21"/>
                <w:szCs w:val="21"/>
                <w:lang w:val="en-US" w:eastAsia="zh-CN" w:bidi="ar-SA"/>
              </w:rPr>
            </w:pPr>
            <w:r>
              <w:rPr>
                <w:rFonts w:hint="eastAsia" w:ascii="仿宋" w:hAnsi="仿宋" w:eastAsia="仿宋"/>
                <w:sz w:val="21"/>
                <w:szCs w:val="21"/>
              </w:rPr>
              <w:t>提供质量、工期的保证措施方案，格式自定。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56" w:type="pct"/>
            <w:vMerge w:val="continue"/>
            <w:noWrap w:val="0"/>
            <w:vAlign w:val="center"/>
          </w:tcPr>
          <w:p>
            <w:pPr>
              <w:spacing w:line="240" w:lineRule="atLeast"/>
              <w:ind w:firstLine="28"/>
              <w:jc w:val="center"/>
              <w:rPr>
                <w:rFonts w:hint="eastAsia" w:ascii="仿宋" w:hAnsi="仿宋" w:eastAsia="仿宋" w:cs="仿宋"/>
                <w:sz w:val="21"/>
                <w:szCs w:val="21"/>
              </w:rPr>
            </w:pPr>
          </w:p>
        </w:tc>
        <w:tc>
          <w:tcPr>
            <w:tcW w:w="695" w:type="pct"/>
            <w:vMerge w:val="continue"/>
            <w:noWrap w:val="0"/>
            <w:vAlign w:val="center"/>
          </w:tcPr>
          <w:p>
            <w:pPr>
              <w:spacing w:line="240" w:lineRule="atLeast"/>
              <w:ind w:firstLine="28"/>
              <w:jc w:val="center"/>
              <w:rPr>
                <w:rFonts w:hint="eastAsia" w:ascii="仿宋" w:hAnsi="仿宋" w:eastAsia="仿宋"/>
                <w:sz w:val="21"/>
                <w:szCs w:val="21"/>
              </w:rPr>
            </w:pPr>
          </w:p>
        </w:tc>
        <w:tc>
          <w:tcPr>
            <w:tcW w:w="428" w:type="pct"/>
            <w:vMerge w:val="continue"/>
            <w:noWrap w:val="0"/>
            <w:vAlign w:val="center"/>
          </w:tcPr>
          <w:p>
            <w:pPr>
              <w:spacing w:line="240" w:lineRule="atLeast"/>
              <w:ind w:firstLine="28"/>
              <w:jc w:val="center"/>
              <w:rPr>
                <w:rFonts w:hint="eastAsia" w:ascii="仿宋" w:hAnsi="仿宋" w:eastAsia="仿宋"/>
                <w:sz w:val="21"/>
                <w:szCs w:val="21"/>
                <w:lang w:val="en-US" w:eastAsia="zh-CN"/>
              </w:rPr>
            </w:pPr>
          </w:p>
        </w:tc>
        <w:tc>
          <w:tcPr>
            <w:tcW w:w="2502" w:type="pct"/>
            <w:noWrap w:val="0"/>
            <w:vAlign w:val="center"/>
          </w:tcPr>
          <w:p>
            <w:pPr>
              <w:spacing w:line="240" w:lineRule="atLeast"/>
              <w:rPr>
                <w:rFonts w:hint="eastAsia" w:ascii="仿宋" w:hAnsi="仿宋" w:eastAsia="仿宋"/>
                <w:sz w:val="21"/>
                <w:szCs w:val="21"/>
              </w:rPr>
            </w:pPr>
            <w:r>
              <w:rPr>
                <w:rFonts w:hint="eastAsia" w:ascii="仿宋" w:hAnsi="仿宋" w:eastAsia="仿宋"/>
                <w:sz w:val="21"/>
                <w:szCs w:val="21"/>
              </w:rPr>
              <w:t>5.针对本项目的仪器投入方案（</w:t>
            </w:r>
            <w:r>
              <w:rPr>
                <w:rFonts w:hint="eastAsia" w:ascii="仿宋" w:hAnsi="仿宋" w:eastAsia="仿宋"/>
                <w:sz w:val="21"/>
                <w:szCs w:val="21"/>
                <w:lang w:val="en-US" w:eastAsia="zh-CN"/>
              </w:rPr>
              <w:t>10</w:t>
            </w:r>
            <w:r>
              <w:rPr>
                <w:rFonts w:hint="eastAsia" w:ascii="仿宋" w:hAnsi="仿宋" w:eastAsia="仿宋"/>
                <w:sz w:val="21"/>
                <w:szCs w:val="21"/>
              </w:rPr>
              <w:t>分）</w:t>
            </w:r>
          </w:p>
          <w:p>
            <w:pPr>
              <w:spacing w:line="240" w:lineRule="atLeast"/>
              <w:rPr>
                <w:rFonts w:hint="eastAsia" w:ascii="仿宋" w:hAnsi="仿宋" w:eastAsia="仿宋"/>
                <w:sz w:val="21"/>
                <w:szCs w:val="21"/>
              </w:rPr>
            </w:pPr>
            <w:r>
              <w:rPr>
                <w:rFonts w:hint="eastAsia" w:ascii="仿宋" w:hAnsi="仿宋" w:eastAsia="仿宋"/>
                <w:sz w:val="21"/>
                <w:szCs w:val="21"/>
              </w:rPr>
              <w:t>优（</w:t>
            </w:r>
            <w:r>
              <w:rPr>
                <w:rFonts w:hint="eastAsia" w:ascii="仿宋" w:hAnsi="仿宋" w:eastAsia="仿宋"/>
                <w:sz w:val="21"/>
                <w:szCs w:val="21"/>
                <w:lang w:val="en-US" w:eastAsia="zh-CN"/>
              </w:rPr>
              <w:t>10</w:t>
            </w:r>
            <w:r>
              <w:rPr>
                <w:rFonts w:hint="eastAsia" w:ascii="仿宋" w:hAnsi="仿宋" w:eastAsia="仿宋"/>
                <w:sz w:val="21"/>
                <w:szCs w:val="21"/>
              </w:rPr>
              <w:t>分）：投入的设备先进，投入计划与进度计划协调，调配计划合理，保证措施具体；</w:t>
            </w:r>
          </w:p>
          <w:p>
            <w:pPr>
              <w:spacing w:line="240" w:lineRule="atLeast"/>
              <w:rPr>
                <w:rFonts w:hint="eastAsia" w:ascii="仿宋" w:hAnsi="仿宋" w:eastAsia="仿宋"/>
                <w:sz w:val="21"/>
                <w:szCs w:val="21"/>
              </w:rPr>
            </w:pPr>
            <w:r>
              <w:rPr>
                <w:rFonts w:hint="eastAsia" w:ascii="仿宋" w:hAnsi="仿宋" w:eastAsia="仿宋"/>
                <w:sz w:val="21"/>
                <w:szCs w:val="21"/>
              </w:rPr>
              <w:t>良（</w:t>
            </w:r>
            <w:r>
              <w:rPr>
                <w:rFonts w:hint="eastAsia" w:ascii="仿宋" w:hAnsi="仿宋" w:eastAsia="仿宋"/>
                <w:sz w:val="21"/>
                <w:szCs w:val="21"/>
                <w:lang w:val="en-US" w:eastAsia="zh-CN"/>
              </w:rPr>
              <w:t>6</w:t>
            </w:r>
            <w:r>
              <w:rPr>
                <w:rFonts w:hint="eastAsia" w:ascii="仿宋" w:hAnsi="仿宋" w:eastAsia="仿宋"/>
                <w:sz w:val="21"/>
                <w:szCs w:val="21"/>
              </w:rPr>
              <w:t>分）：投入的设备基本需要，投入计划与进度计划比较协调，调配计划比较合理，保证措施比较具体；</w:t>
            </w:r>
          </w:p>
          <w:p>
            <w:pPr>
              <w:spacing w:line="240" w:lineRule="atLeast"/>
              <w:rPr>
                <w:rFonts w:hint="eastAsia" w:ascii="仿宋" w:hAnsi="仿宋" w:eastAsia="仿宋"/>
                <w:sz w:val="21"/>
                <w:szCs w:val="21"/>
              </w:rPr>
            </w:pPr>
            <w:r>
              <w:rPr>
                <w:rFonts w:hint="eastAsia" w:ascii="仿宋" w:hAnsi="仿宋" w:eastAsia="仿宋"/>
                <w:sz w:val="21"/>
                <w:szCs w:val="21"/>
              </w:rPr>
              <w:t>一般（</w:t>
            </w:r>
            <w:r>
              <w:rPr>
                <w:rFonts w:hint="eastAsia" w:ascii="仿宋" w:hAnsi="仿宋" w:eastAsia="仿宋"/>
                <w:sz w:val="21"/>
                <w:szCs w:val="21"/>
                <w:lang w:val="en-US" w:eastAsia="zh-CN"/>
              </w:rPr>
              <w:t>4</w:t>
            </w:r>
            <w:r>
              <w:rPr>
                <w:rFonts w:hint="eastAsia" w:ascii="仿宋" w:hAnsi="仿宋" w:eastAsia="仿宋"/>
                <w:sz w:val="21"/>
                <w:szCs w:val="21"/>
              </w:rPr>
              <w:t>分）：投入的设备基本需要，投入计划与进度计划基本协调，调配计划基本合理，保证措施一般；</w:t>
            </w:r>
          </w:p>
          <w:p>
            <w:pPr>
              <w:spacing w:line="240" w:lineRule="atLeast"/>
              <w:rPr>
                <w:rFonts w:hint="eastAsia" w:ascii="仿宋" w:hAnsi="仿宋" w:eastAsia="仿宋"/>
                <w:kern w:val="2"/>
                <w:sz w:val="21"/>
                <w:szCs w:val="21"/>
                <w:lang w:val="en-US" w:eastAsia="zh-CN" w:bidi="ar-SA"/>
              </w:rPr>
            </w:pPr>
            <w:r>
              <w:rPr>
                <w:rFonts w:hint="eastAsia" w:ascii="仿宋" w:hAnsi="仿宋" w:eastAsia="仿宋"/>
                <w:sz w:val="21"/>
                <w:szCs w:val="21"/>
              </w:rPr>
              <w:t>差或未提供不得分。</w:t>
            </w:r>
          </w:p>
        </w:tc>
        <w:tc>
          <w:tcPr>
            <w:tcW w:w="1117" w:type="pct"/>
            <w:noWrap w:val="0"/>
            <w:vAlign w:val="center"/>
          </w:tcPr>
          <w:p>
            <w:pPr>
              <w:spacing w:line="240" w:lineRule="atLeast"/>
              <w:rPr>
                <w:rFonts w:hint="eastAsia" w:ascii="仿宋" w:hAnsi="仿宋" w:eastAsia="仿宋"/>
                <w:kern w:val="2"/>
                <w:sz w:val="21"/>
                <w:szCs w:val="21"/>
                <w:lang w:val="en-US" w:eastAsia="zh-CN" w:bidi="ar-SA"/>
              </w:rPr>
            </w:pPr>
            <w:r>
              <w:rPr>
                <w:rFonts w:hint="eastAsia" w:ascii="仿宋" w:hAnsi="仿宋" w:eastAsia="仿宋"/>
                <w:sz w:val="21"/>
                <w:szCs w:val="21"/>
              </w:rPr>
              <w:t>提供仪器投入方案，格式自定。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256" w:type="pct"/>
            <w:vMerge w:val="restart"/>
            <w:noWrap w:val="0"/>
            <w:vAlign w:val="center"/>
          </w:tcPr>
          <w:p>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3</w:t>
            </w:r>
          </w:p>
        </w:tc>
        <w:tc>
          <w:tcPr>
            <w:tcW w:w="695" w:type="pct"/>
            <w:vMerge w:val="restart"/>
            <w:noWrap w:val="0"/>
            <w:vAlign w:val="center"/>
          </w:tcPr>
          <w:p>
            <w:pPr>
              <w:spacing w:line="240" w:lineRule="exact"/>
              <w:jc w:val="center"/>
              <w:rPr>
                <w:rFonts w:hint="eastAsia" w:ascii="仿宋" w:hAnsi="仿宋" w:eastAsia="仿宋" w:cs="仿宋"/>
                <w:sz w:val="21"/>
                <w:szCs w:val="21"/>
              </w:rPr>
            </w:pPr>
            <w:r>
              <w:rPr>
                <w:rFonts w:hint="eastAsia" w:ascii="仿宋" w:hAnsi="仿宋" w:eastAsia="仿宋" w:cs="仿宋"/>
                <w:sz w:val="21"/>
                <w:szCs w:val="21"/>
              </w:rPr>
              <w:t>商务部分</w:t>
            </w:r>
          </w:p>
          <w:p>
            <w:pPr>
              <w:spacing w:line="240" w:lineRule="exact"/>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30</w:t>
            </w:r>
            <w:r>
              <w:rPr>
                <w:rFonts w:hint="eastAsia" w:ascii="仿宋" w:hAnsi="仿宋" w:eastAsia="仿宋" w:cs="仿宋"/>
                <w:sz w:val="21"/>
                <w:szCs w:val="21"/>
              </w:rPr>
              <w:t>%）</w:t>
            </w:r>
          </w:p>
        </w:tc>
        <w:tc>
          <w:tcPr>
            <w:tcW w:w="428" w:type="pct"/>
            <w:noWrap w:val="0"/>
            <w:vAlign w:val="center"/>
          </w:tcPr>
          <w:p>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业绩</w:t>
            </w:r>
          </w:p>
          <w:p>
            <w:pPr>
              <w:spacing w:line="240" w:lineRule="atLeast"/>
              <w:jc w:val="center"/>
              <w:rPr>
                <w:rFonts w:hint="eastAsia"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分</w:t>
            </w:r>
          </w:p>
        </w:tc>
        <w:tc>
          <w:tcPr>
            <w:tcW w:w="2502" w:type="pct"/>
            <w:noWrap w:val="0"/>
            <w:vAlign w:val="center"/>
          </w:tcPr>
          <w:p>
            <w:pPr>
              <w:spacing w:line="240" w:lineRule="atLeast"/>
              <w:ind w:firstLine="420" w:firstLineChars="200"/>
              <w:rPr>
                <w:rFonts w:hint="eastAsia" w:ascii="仿宋" w:hAnsi="仿宋" w:eastAsia="仿宋" w:cs="仿宋"/>
                <w:sz w:val="21"/>
                <w:szCs w:val="21"/>
              </w:rPr>
            </w:pPr>
            <w:r>
              <w:rPr>
                <w:rFonts w:hint="eastAsia" w:ascii="仿宋" w:hAnsi="仿宋" w:eastAsia="仿宋" w:cs="仿宋"/>
                <w:sz w:val="21"/>
                <w:szCs w:val="21"/>
              </w:rPr>
              <w:t>近</w:t>
            </w:r>
            <w:r>
              <w:rPr>
                <w:rFonts w:hint="eastAsia" w:ascii="仿宋" w:hAnsi="仿宋" w:eastAsia="仿宋" w:cs="仿宋"/>
                <w:sz w:val="21"/>
                <w:szCs w:val="21"/>
                <w:lang w:val="en-US" w:eastAsia="zh-CN"/>
              </w:rPr>
              <w:t>3</w:t>
            </w:r>
            <w:r>
              <w:rPr>
                <w:rFonts w:hint="eastAsia" w:ascii="仿宋" w:hAnsi="仿宋" w:eastAsia="仿宋" w:cs="仿宋"/>
                <w:sz w:val="21"/>
                <w:szCs w:val="21"/>
              </w:rPr>
              <w:t>年（2</w:t>
            </w:r>
            <w:r>
              <w:rPr>
                <w:rFonts w:hint="eastAsia" w:ascii="仿宋" w:hAnsi="仿宋" w:eastAsia="仿宋" w:cs="仿宋"/>
                <w:sz w:val="21"/>
                <w:szCs w:val="21"/>
                <w:lang w:val="en-US" w:eastAsia="zh-CN"/>
              </w:rPr>
              <w:t>021</w:t>
            </w:r>
            <w:r>
              <w:rPr>
                <w:rFonts w:hint="eastAsia" w:ascii="仿宋" w:hAnsi="仿宋" w:eastAsia="仿宋" w:cs="仿宋"/>
                <w:sz w:val="21"/>
                <w:szCs w:val="21"/>
              </w:rPr>
              <w:t>年1月1日至今，以合同签订时间为准）供应商承担过省级（含直辖市、自治区）及以上</w:t>
            </w:r>
            <w:r>
              <w:rPr>
                <w:rFonts w:hint="eastAsia" w:ascii="仿宋" w:hAnsi="仿宋" w:eastAsia="仿宋" w:cs="仿宋"/>
                <w:sz w:val="21"/>
                <w:szCs w:val="21"/>
                <w:lang w:val="en-US" w:eastAsia="zh-CN"/>
              </w:rPr>
              <w:t>河床地形测量</w:t>
            </w:r>
            <w:r>
              <w:rPr>
                <w:rFonts w:hint="eastAsia" w:ascii="仿宋" w:hAnsi="仿宋" w:eastAsia="仿宋"/>
                <w:sz w:val="21"/>
                <w:szCs w:val="21"/>
              </w:rPr>
              <w:t>的</w:t>
            </w:r>
            <w:r>
              <w:rPr>
                <w:rFonts w:hint="eastAsia" w:ascii="仿宋" w:hAnsi="仿宋" w:eastAsia="仿宋" w:cs="仿宋"/>
                <w:sz w:val="21"/>
                <w:szCs w:val="21"/>
              </w:rPr>
              <w:t>，</w:t>
            </w:r>
            <w:r>
              <w:rPr>
                <w:rFonts w:ascii="仿宋" w:hAnsi="仿宋" w:eastAsia="仿宋" w:cs="方正仿宋_GBK"/>
                <w:sz w:val="21"/>
                <w:szCs w:val="21"/>
              </w:rPr>
              <w:t>每一项</w:t>
            </w:r>
            <w:r>
              <w:rPr>
                <w:rFonts w:hint="eastAsia" w:ascii="仿宋" w:hAnsi="仿宋" w:eastAsia="仿宋" w:cs="方正仿宋_GBK"/>
                <w:sz w:val="21"/>
                <w:szCs w:val="21"/>
              </w:rPr>
              <w:t>业绩</w:t>
            </w:r>
            <w:r>
              <w:rPr>
                <w:rFonts w:hint="eastAsia" w:ascii="仿宋" w:hAnsi="仿宋" w:eastAsia="仿宋" w:cs="仿宋"/>
                <w:sz w:val="21"/>
                <w:szCs w:val="21"/>
              </w:rPr>
              <w:t>得</w:t>
            </w:r>
            <w:r>
              <w:rPr>
                <w:rFonts w:hint="default" w:ascii="仿宋" w:hAnsi="仿宋" w:eastAsia="仿宋" w:cs="仿宋"/>
                <w:sz w:val="21"/>
                <w:szCs w:val="21"/>
                <w:lang w:val="en-US" w:eastAsia="zh-CN"/>
              </w:rPr>
              <w:t>5</w:t>
            </w:r>
            <w:r>
              <w:rPr>
                <w:rFonts w:hint="eastAsia" w:ascii="仿宋" w:hAnsi="仿宋" w:eastAsia="仿宋" w:cs="仿宋"/>
                <w:sz w:val="21"/>
                <w:szCs w:val="21"/>
              </w:rPr>
              <w:t>分</w:t>
            </w:r>
            <w:r>
              <w:rPr>
                <w:rFonts w:ascii="仿宋" w:hAnsi="仿宋" w:eastAsia="仿宋" w:cs="仿宋"/>
                <w:sz w:val="21"/>
                <w:szCs w:val="21"/>
              </w:rPr>
              <w:t>，</w:t>
            </w:r>
            <w:r>
              <w:rPr>
                <w:rFonts w:hint="eastAsia" w:ascii="仿宋" w:hAnsi="仿宋" w:eastAsia="仿宋" w:cs="仿宋"/>
                <w:sz w:val="21"/>
                <w:szCs w:val="21"/>
              </w:rPr>
              <w:t>最多得</w:t>
            </w:r>
            <w:r>
              <w:rPr>
                <w:rFonts w:hint="eastAsia" w:ascii="仿宋" w:hAnsi="仿宋" w:eastAsia="仿宋" w:cs="仿宋"/>
                <w:sz w:val="21"/>
                <w:szCs w:val="21"/>
                <w:lang w:val="en-US" w:eastAsia="zh-CN"/>
              </w:rPr>
              <w:t>10</w:t>
            </w:r>
            <w:r>
              <w:rPr>
                <w:rFonts w:hint="eastAsia" w:ascii="仿宋" w:hAnsi="仿宋" w:eastAsia="仿宋" w:cs="仿宋"/>
                <w:sz w:val="21"/>
                <w:szCs w:val="21"/>
              </w:rPr>
              <w:t>分。</w:t>
            </w:r>
          </w:p>
        </w:tc>
        <w:tc>
          <w:tcPr>
            <w:tcW w:w="1117" w:type="pct"/>
            <w:noWrap w:val="0"/>
            <w:vAlign w:val="center"/>
          </w:tcPr>
          <w:p>
            <w:pPr>
              <w:spacing w:line="240" w:lineRule="exact"/>
              <w:ind w:left="-39" w:leftChars="-14"/>
              <w:jc w:val="center"/>
              <w:rPr>
                <w:rFonts w:hint="eastAsia" w:ascii="仿宋" w:hAnsi="仿宋" w:eastAsia="仿宋" w:cs="仿宋"/>
                <w:sz w:val="21"/>
                <w:szCs w:val="21"/>
              </w:rPr>
            </w:pPr>
            <w:r>
              <w:rPr>
                <w:rFonts w:hint="eastAsia" w:ascii="仿宋" w:hAnsi="仿宋" w:eastAsia="仿宋"/>
                <w:sz w:val="21"/>
                <w:szCs w:val="21"/>
              </w:rPr>
              <w:t>须在响应文件中提供项目合同复印件加盖供应商公章。（合同需包含项目名称，内容，双方签章清晰。因内容不完整或不清晰导致磋商小组无法判定的，单个合同不得分。未提供的不得分）注：每个业绩不得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256" w:type="pct"/>
            <w:vMerge w:val="continue"/>
            <w:noWrap w:val="0"/>
            <w:vAlign w:val="center"/>
          </w:tcPr>
          <w:p>
            <w:pPr>
              <w:spacing w:line="240" w:lineRule="atLeast"/>
              <w:ind w:firstLine="28"/>
              <w:jc w:val="center"/>
              <w:rPr>
                <w:rFonts w:hint="eastAsia" w:ascii="仿宋" w:hAnsi="仿宋" w:eastAsia="仿宋" w:cs="仿宋"/>
                <w:sz w:val="21"/>
                <w:szCs w:val="21"/>
              </w:rPr>
            </w:pPr>
          </w:p>
        </w:tc>
        <w:tc>
          <w:tcPr>
            <w:tcW w:w="695" w:type="pct"/>
            <w:vMerge w:val="continue"/>
            <w:noWrap w:val="0"/>
            <w:vAlign w:val="center"/>
          </w:tcPr>
          <w:p>
            <w:pPr>
              <w:spacing w:line="240" w:lineRule="exact"/>
              <w:jc w:val="center"/>
              <w:rPr>
                <w:rFonts w:hint="eastAsia" w:ascii="仿宋" w:hAnsi="仿宋" w:eastAsia="仿宋" w:cs="仿宋"/>
                <w:sz w:val="21"/>
                <w:szCs w:val="21"/>
              </w:rPr>
            </w:pPr>
          </w:p>
        </w:tc>
        <w:tc>
          <w:tcPr>
            <w:tcW w:w="428" w:type="pct"/>
            <w:noWrap w:val="0"/>
            <w:vAlign w:val="center"/>
          </w:tcPr>
          <w:p>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团队</w:t>
            </w:r>
          </w:p>
          <w:p>
            <w:pPr>
              <w:spacing w:line="240" w:lineRule="atLeast"/>
              <w:jc w:val="center"/>
              <w:rPr>
                <w:rFonts w:hint="eastAsia" w:ascii="仿宋" w:hAnsi="仿宋" w:eastAsia="仿宋" w:cs="仿宋"/>
                <w:sz w:val="21"/>
                <w:szCs w:val="21"/>
              </w:rPr>
            </w:pPr>
            <w:r>
              <w:rPr>
                <w:rFonts w:hint="eastAsia" w:ascii="仿宋" w:hAnsi="仿宋" w:eastAsia="仿宋" w:cs="仿宋"/>
                <w:sz w:val="21"/>
                <w:szCs w:val="21"/>
                <w:lang w:val="en-US" w:eastAsia="zh-CN"/>
              </w:rPr>
              <w:t>15</w:t>
            </w:r>
            <w:r>
              <w:rPr>
                <w:rFonts w:hint="eastAsia" w:ascii="仿宋" w:hAnsi="仿宋" w:eastAsia="仿宋" w:cs="仿宋"/>
                <w:sz w:val="21"/>
                <w:szCs w:val="21"/>
              </w:rPr>
              <w:t>分</w:t>
            </w:r>
          </w:p>
        </w:tc>
        <w:tc>
          <w:tcPr>
            <w:tcW w:w="2502" w:type="pct"/>
            <w:noWrap w:val="0"/>
            <w:vAlign w:val="center"/>
          </w:tcPr>
          <w:p>
            <w:pPr>
              <w:spacing w:line="240" w:lineRule="atLeast"/>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投入本项目的人员须为本单位人员。 </w:t>
            </w:r>
            <w:r>
              <w:rPr>
                <w:rFonts w:hint="default" w:ascii="仿宋" w:hAnsi="仿宋" w:eastAsia="仿宋" w:cs="仿宋"/>
                <w:sz w:val="21"/>
                <w:szCs w:val="21"/>
                <w:lang w:val="en-US" w:eastAsia="zh-CN"/>
              </w:rPr>
              <w:t xml:space="preserve">  </w:t>
            </w:r>
            <w:r>
              <w:rPr>
                <w:rFonts w:hint="eastAsia" w:ascii="仿宋" w:hAnsi="仿宋" w:eastAsia="仿宋" w:cs="仿宋"/>
                <w:sz w:val="21"/>
                <w:szCs w:val="21"/>
                <w:lang w:val="en-US" w:eastAsia="zh-CN"/>
              </w:rPr>
              <w:t xml:space="preserve"> </w:t>
            </w:r>
            <w:r>
              <w:rPr>
                <w:rFonts w:hint="default" w:ascii="仿宋" w:hAnsi="仿宋" w:eastAsia="仿宋" w:cs="仿宋"/>
                <w:sz w:val="21"/>
                <w:szCs w:val="21"/>
                <w:lang w:val="en-US" w:eastAsia="zh-CN"/>
              </w:rPr>
              <w:t xml:space="preserve">  </w:t>
            </w:r>
            <w:r>
              <w:rPr>
                <w:rFonts w:hint="eastAsia" w:ascii="仿宋" w:hAnsi="仿宋" w:eastAsia="仿宋" w:cs="仿宋"/>
                <w:sz w:val="21"/>
                <w:szCs w:val="21"/>
                <w:lang w:val="en-US" w:eastAsia="zh-CN"/>
              </w:rPr>
              <w:t xml:space="preserve"> </w:t>
            </w:r>
            <w:r>
              <w:rPr>
                <w:rFonts w:hint="default" w:ascii="仿宋" w:hAnsi="仿宋" w:eastAsia="仿宋" w:cs="仿宋"/>
                <w:sz w:val="21"/>
                <w:szCs w:val="21"/>
                <w:lang w:val="en-US" w:eastAsia="zh-CN"/>
              </w:rPr>
              <w:t xml:space="preserve"> </w:t>
            </w:r>
            <w:r>
              <w:rPr>
                <w:rFonts w:hint="eastAsia" w:ascii="仿宋" w:hAnsi="仿宋" w:eastAsia="仿宋" w:cs="仿宋"/>
                <w:sz w:val="21"/>
                <w:szCs w:val="21"/>
                <w:lang w:val="en-US" w:eastAsia="zh-CN"/>
              </w:rPr>
              <w:t xml:space="preserve"> </w:t>
            </w:r>
            <w:r>
              <w:rPr>
                <w:rFonts w:hint="default" w:ascii="仿宋" w:hAnsi="仿宋" w:eastAsia="仿宋" w:cs="仿宋"/>
                <w:sz w:val="21"/>
                <w:szCs w:val="21"/>
                <w:lang w:val="en-US" w:eastAsia="zh-CN"/>
              </w:rPr>
              <w:t xml:space="preserve"> </w:t>
            </w:r>
            <w:r>
              <w:rPr>
                <w:rFonts w:hint="eastAsia" w:ascii="仿宋" w:hAnsi="仿宋" w:eastAsia="仿宋" w:cs="仿宋"/>
                <w:sz w:val="21"/>
                <w:szCs w:val="21"/>
                <w:lang w:val="en-US" w:eastAsia="zh-CN"/>
              </w:rPr>
              <w:t xml:space="preserve">   </w:t>
            </w:r>
            <w:r>
              <w:rPr>
                <w:rFonts w:hint="default" w:ascii="仿宋" w:hAnsi="仿宋" w:eastAsia="仿宋" w:cs="仿宋"/>
                <w:sz w:val="21"/>
                <w:szCs w:val="21"/>
                <w:lang w:val="en-US" w:eastAsia="zh-CN"/>
              </w:rPr>
              <w:t xml:space="preserve">  </w:t>
            </w:r>
            <w:r>
              <w:rPr>
                <w:rFonts w:hint="eastAsia" w:ascii="仿宋" w:hAnsi="仿宋" w:eastAsia="仿宋" w:cs="仿宋"/>
                <w:sz w:val="21"/>
                <w:szCs w:val="21"/>
                <w:lang w:val="en-US" w:eastAsia="zh-CN"/>
              </w:rPr>
              <w:t xml:space="preserve"> </w:t>
            </w:r>
            <w:r>
              <w:rPr>
                <w:rFonts w:hint="default" w:ascii="仿宋" w:hAnsi="仿宋" w:eastAsia="仿宋" w:cs="仿宋"/>
                <w:sz w:val="21"/>
                <w:szCs w:val="21"/>
                <w:lang w:val="en-US" w:eastAsia="zh-CN"/>
              </w:rPr>
              <w:t xml:space="preserve">         </w:t>
            </w:r>
            <w:r>
              <w:rPr>
                <w:rFonts w:hint="eastAsia" w:ascii="仿宋" w:hAnsi="仿宋" w:eastAsia="仿宋" w:cs="仿宋"/>
                <w:sz w:val="21"/>
                <w:szCs w:val="21"/>
                <w:lang w:val="en-US" w:eastAsia="zh-CN"/>
              </w:rPr>
              <w:t xml:space="preserve"> </w:t>
            </w:r>
            <w:r>
              <w:rPr>
                <w:rFonts w:hint="default" w:ascii="仿宋" w:hAnsi="仿宋" w:eastAsia="仿宋" w:cs="仿宋"/>
                <w:sz w:val="21"/>
                <w:szCs w:val="21"/>
                <w:lang w:val="en-US" w:eastAsia="zh-CN"/>
              </w:rPr>
              <w:t xml:space="preserve">   </w:t>
            </w:r>
          </w:p>
          <w:p>
            <w:pPr>
              <w:spacing w:line="240" w:lineRule="atLeast"/>
              <w:ind w:firstLine="420" w:firstLineChars="200"/>
              <w:rPr>
                <w:rFonts w:hint="default" w:ascii="仿宋" w:hAnsi="仿宋" w:eastAsia="仿宋" w:cs="仿宋"/>
                <w:sz w:val="21"/>
                <w:szCs w:val="21"/>
                <w:lang w:val="en-US"/>
              </w:rPr>
            </w:pPr>
            <w:r>
              <w:rPr>
                <w:rFonts w:hint="eastAsia" w:ascii="仿宋" w:hAnsi="仿宋" w:eastAsia="仿宋" w:cs="仿宋"/>
                <w:sz w:val="21"/>
                <w:szCs w:val="21"/>
              </w:rPr>
              <w:t>1、拟派项目负责人具有注册测绘师证书的得</w:t>
            </w:r>
            <w:r>
              <w:rPr>
                <w:rFonts w:hint="eastAsia" w:ascii="仿宋" w:hAnsi="仿宋" w:eastAsia="仿宋" w:cs="仿宋"/>
                <w:sz w:val="21"/>
                <w:szCs w:val="21"/>
                <w:lang w:val="en-US" w:eastAsia="zh-CN"/>
              </w:rPr>
              <w:t>4</w:t>
            </w:r>
            <w:r>
              <w:rPr>
                <w:rFonts w:hint="eastAsia" w:ascii="仿宋" w:hAnsi="仿宋" w:eastAsia="仿宋" w:cs="仿宋"/>
                <w:sz w:val="21"/>
                <w:szCs w:val="21"/>
              </w:rPr>
              <w:t>分</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 xml:space="preserve">项目负责人近5年内（2018年1月1日至今，以签订合同时间为准）以来参加过水下测绘项目工作的一个得2分，最多6分。 </w:t>
            </w:r>
            <w:r>
              <w:rPr>
                <w:rFonts w:hint="default" w:ascii="仿宋" w:hAnsi="仿宋" w:eastAsia="仿宋" w:cs="仿宋"/>
                <w:sz w:val="21"/>
                <w:szCs w:val="21"/>
                <w:lang w:val="en-US" w:eastAsia="zh-CN"/>
              </w:rPr>
              <w:t xml:space="preserve"> </w:t>
            </w:r>
            <w:r>
              <w:rPr>
                <w:rFonts w:hint="eastAsia" w:ascii="仿宋" w:hAnsi="仿宋" w:eastAsia="仿宋" w:cs="仿宋"/>
                <w:sz w:val="21"/>
                <w:szCs w:val="21"/>
                <w:lang w:val="en-US" w:eastAsia="zh-CN"/>
              </w:rPr>
              <w:t xml:space="preserve"> </w:t>
            </w:r>
            <w:r>
              <w:rPr>
                <w:rFonts w:hint="default" w:ascii="仿宋" w:hAnsi="仿宋" w:eastAsia="仿宋" w:cs="仿宋"/>
                <w:sz w:val="21"/>
                <w:szCs w:val="21"/>
                <w:lang w:val="en-US" w:eastAsia="zh-CN"/>
              </w:rPr>
              <w:t xml:space="preserve"> </w:t>
            </w:r>
            <w:r>
              <w:rPr>
                <w:rFonts w:hint="eastAsia" w:ascii="仿宋" w:hAnsi="仿宋" w:eastAsia="仿宋" w:cs="仿宋"/>
                <w:sz w:val="21"/>
                <w:szCs w:val="21"/>
                <w:lang w:val="en-US" w:eastAsia="zh-CN"/>
              </w:rPr>
              <w:t xml:space="preserve"> </w:t>
            </w:r>
            <w:r>
              <w:rPr>
                <w:rFonts w:hint="default" w:ascii="仿宋" w:hAnsi="仿宋" w:eastAsia="仿宋" w:cs="仿宋"/>
                <w:sz w:val="21"/>
                <w:szCs w:val="21"/>
                <w:lang w:val="en-US" w:eastAsia="zh-CN"/>
              </w:rPr>
              <w:t xml:space="preserve">  </w:t>
            </w:r>
            <w:r>
              <w:rPr>
                <w:rFonts w:hint="eastAsia" w:ascii="仿宋" w:hAnsi="仿宋" w:eastAsia="仿宋" w:cs="仿宋"/>
                <w:sz w:val="21"/>
                <w:szCs w:val="21"/>
                <w:lang w:val="en-US" w:eastAsia="zh-CN"/>
              </w:rPr>
              <w:t xml:space="preserve"> </w:t>
            </w:r>
            <w:r>
              <w:rPr>
                <w:rFonts w:hint="default" w:ascii="仿宋" w:hAnsi="仿宋" w:eastAsia="仿宋" w:cs="仿宋"/>
                <w:sz w:val="21"/>
                <w:szCs w:val="21"/>
                <w:lang w:val="en-US" w:eastAsia="zh-CN"/>
              </w:rPr>
              <w:t xml:space="preserve"> </w:t>
            </w:r>
            <w:r>
              <w:rPr>
                <w:rFonts w:hint="eastAsia" w:ascii="仿宋" w:hAnsi="仿宋" w:eastAsia="仿宋" w:cs="仿宋"/>
                <w:sz w:val="21"/>
                <w:szCs w:val="21"/>
                <w:lang w:val="en-US" w:eastAsia="zh-CN"/>
              </w:rPr>
              <w:t xml:space="preserve">  </w:t>
            </w:r>
            <w:r>
              <w:rPr>
                <w:rFonts w:hint="default" w:ascii="仿宋" w:hAnsi="仿宋" w:eastAsia="仿宋" w:cs="仿宋"/>
                <w:sz w:val="21"/>
                <w:szCs w:val="21"/>
                <w:lang w:val="en-US" w:eastAsia="zh-CN"/>
              </w:rPr>
              <w:t xml:space="preserve"> </w:t>
            </w:r>
            <w:r>
              <w:rPr>
                <w:rFonts w:hint="eastAsia" w:ascii="仿宋" w:hAnsi="仿宋" w:eastAsia="仿宋" w:cs="仿宋"/>
                <w:sz w:val="21"/>
                <w:szCs w:val="21"/>
                <w:lang w:val="en-US" w:eastAsia="zh-CN"/>
              </w:rPr>
              <w:t xml:space="preserve"> </w:t>
            </w:r>
            <w:r>
              <w:rPr>
                <w:rFonts w:hint="default" w:ascii="仿宋" w:hAnsi="仿宋" w:eastAsia="仿宋" w:cs="仿宋"/>
                <w:sz w:val="21"/>
                <w:szCs w:val="21"/>
                <w:lang w:val="en-US" w:eastAsia="zh-CN"/>
              </w:rPr>
              <w:t xml:space="preserve">   </w:t>
            </w:r>
            <w:r>
              <w:rPr>
                <w:rFonts w:hint="eastAsia" w:ascii="仿宋" w:hAnsi="仿宋" w:eastAsia="仿宋" w:cs="仿宋"/>
                <w:sz w:val="21"/>
                <w:szCs w:val="21"/>
                <w:lang w:val="en-US" w:eastAsia="zh-CN"/>
              </w:rPr>
              <w:t xml:space="preserve"> </w:t>
            </w:r>
            <w:r>
              <w:rPr>
                <w:rFonts w:hint="default" w:ascii="仿宋" w:hAnsi="仿宋" w:eastAsia="仿宋" w:cs="仿宋"/>
                <w:sz w:val="21"/>
                <w:szCs w:val="21"/>
                <w:lang w:val="en-US" w:eastAsia="zh-CN"/>
              </w:rPr>
              <w:t xml:space="preserve">     </w:t>
            </w:r>
            <w:r>
              <w:rPr>
                <w:rFonts w:hint="eastAsia" w:ascii="仿宋" w:hAnsi="仿宋" w:eastAsia="仿宋" w:cs="仿宋"/>
                <w:sz w:val="21"/>
                <w:szCs w:val="21"/>
                <w:lang w:val="en-US" w:eastAsia="zh-CN"/>
              </w:rPr>
              <w:t xml:space="preserve"> </w:t>
            </w:r>
            <w:r>
              <w:rPr>
                <w:rFonts w:hint="default" w:ascii="仿宋" w:hAnsi="仿宋" w:eastAsia="仿宋" w:cs="仿宋"/>
                <w:sz w:val="21"/>
                <w:szCs w:val="21"/>
                <w:lang w:val="en-US" w:eastAsia="zh-CN"/>
              </w:rPr>
              <w:t xml:space="preserve">   </w:t>
            </w:r>
            <w:r>
              <w:rPr>
                <w:rFonts w:hint="eastAsia" w:ascii="仿宋" w:hAnsi="仿宋" w:eastAsia="仿宋" w:cs="仿宋"/>
                <w:sz w:val="21"/>
                <w:szCs w:val="21"/>
                <w:lang w:val="en-US" w:eastAsia="zh-CN"/>
              </w:rPr>
              <w:t xml:space="preserve"> </w:t>
            </w:r>
            <w:r>
              <w:rPr>
                <w:rFonts w:hint="default" w:ascii="仿宋" w:hAnsi="仿宋" w:eastAsia="仿宋" w:cs="仿宋"/>
                <w:sz w:val="21"/>
                <w:szCs w:val="21"/>
                <w:lang w:val="en-US" w:eastAsia="zh-CN"/>
              </w:rPr>
              <w:t xml:space="preserve">     </w:t>
            </w:r>
            <w:r>
              <w:rPr>
                <w:rFonts w:hint="eastAsia" w:ascii="仿宋" w:hAnsi="仿宋" w:eastAsia="仿宋" w:cs="仿宋"/>
                <w:sz w:val="21"/>
                <w:szCs w:val="21"/>
                <w:lang w:val="en-US" w:eastAsia="zh-CN"/>
              </w:rPr>
              <w:t xml:space="preserve"> </w:t>
            </w:r>
            <w:r>
              <w:rPr>
                <w:rFonts w:hint="default" w:ascii="仿宋" w:hAnsi="仿宋" w:eastAsia="仿宋" w:cs="仿宋"/>
                <w:sz w:val="21"/>
                <w:szCs w:val="21"/>
                <w:lang w:val="en-US" w:eastAsia="zh-CN"/>
              </w:rPr>
              <w:t xml:space="preserve"> </w:t>
            </w:r>
            <w:r>
              <w:rPr>
                <w:rFonts w:hint="eastAsia" w:ascii="仿宋" w:hAnsi="仿宋" w:eastAsia="仿宋" w:cs="仿宋"/>
                <w:sz w:val="21"/>
                <w:szCs w:val="21"/>
                <w:lang w:val="en-US" w:eastAsia="zh-CN"/>
              </w:rPr>
              <w:t xml:space="preserve"> </w:t>
            </w:r>
            <w:r>
              <w:rPr>
                <w:rFonts w:hint="default" w:ascii="仿宋" w:hAnsi="仿宋" w:eastAsia="仿宋" w:cs="仿宋"/>
                <w:sz w:val="21"/>
                <w:szCs w:val="21"/>
                <w:lang w:val="en-US" w:eastAsia="zh-CN"/>
              </w:rPr>
              <w:t xml:space="preserve">  </w:t>
            </w:r>
            <w:r>
              <w:rPr>
                <w:rFonts w:hint="eastAsia" w:ascii="仿宋" w:hAnsi="仿宋" w:eastAsia="仿宋" w:cs="仿宋"/>
                <w:sz w:val="21"/>
                <w:szCs w:val="21"/>
                <w:lang w:val="en-US" w:eastAsia="zh-CN"/>
              </w:rPr>
              <w:t xml:space="preserve"> </w:t>
            </w:r>
            <w:r>
              <w:rPr>
                <w:rFonts w:hint="default" w:ascii="仿宋" w:hAnsi="仿宋" w:eastAsia="仿宋" w:cs="仿宋"/>
                <w:sz w:val="21"/>
                <w:szCs w:val="21"/>
                <w:lang w:val="en-US" w:eastAsia="zh-CN"/>
              </w:rPr>
              <w:t xml:space="preserve"> </w:t>
            </w:r>
            <w:r>
              <w:rPr>
                <w:rFonts w:hint="eastAsia" w:ascii="仿宋" w:hAnsi="仿宋" w:eastAsia="仿宋" w:cs="仿宋"/>
                <w:sz w:val="21"/>
                <w:szCs w:val="21"/>
                <w:lang w:val="en-US" w:eastAsia="zh-CN"/>
              </w:rPr>
              <w:t xml:space="preserve">  </w:t>
            </w:r>
            <w:r>
              <w:rPr>
                <w:rFonts w:hint="default" w:ascii="仿宋" w:hAnsi="仿宋" w:eastAsia="仿宋" w:cs="仿宋"/>
                <w:sz w:val="21"/>
                <w:szCs w:val="21"/>
                <w:lang w:val="en-US" w:eastAsia="zh-CN"/>
              </w:rPr>
              <w:t xml:space="preserve"> </w:t>
            </w:r>
            <w:r>
              <w:rPr>
                <w:rFonts w:hint="eastAsia" w:ascii="仿宋" w:hAnsi="仿宋" w:eastAsia="仿宋" w:cs="仿宋"/>
                <w:sz w:val="21"/>
                <w:szCs w:val="21"/>
                <w:lang w:val="en-US" w:eastAsia="zh-CN"/>
              </w:rPr>
              <w:t xml:space="preserve"> </w:t>
            </w:r>
            <w:r>
              <w:rPr>
                <w:rFonts w:hint="default" w:ascii="仿宋" w:hAnsi="仿宋" w:eastAsia="仿宋" w:cs="仿宋"/>
                <w:sz w:val="21"/>
                <w:szCs w:val="21"/>
                <w:lang w:val="en-US" w:eastAsia="zh-CN"/>
              </w:rPr>
              <w:t xml:space="preserve">  </w:t>
            </w:r>
          </w:p>
          <w:p>
            <w:pPr>
              <w:spacing w:line="240" w:lineRule="atLeast"/>
              <w:ind w:firstLine="420" w:firstLineChars="200"/>
              <w:rPr>
                <w:rFonts w:hint="default" w:ascii="仿宋" w:hAnsi="仿宋" w:eastAsia="仿宋" w:cs="仿宋"/>
                <w:sz w:val="21"/>
                <w:szCs w:val="21"/>
                <w:lang w:val="en-US"/>
              </w:rPr>
            </w:pPr>
            <w:r>
              <w:rPr>
                <w:rFonts w:hint="eastAsia" w:ascii="仿宋" w:hAnsi="仿宋" w:eastAsia="仿宋" w:cs="仿宋"/>
                <w:sz w:val="21"/>
                <w:szCs w:val="21"/>
              </w:rPr>
              <w:t>2、项目组成员中具有注册测绘师证书</w:t>
            </w:r>
            <w:r>
              <w:rPr>
                <w:rFonts w:hint="eastAsia" w:ascii="仿宋" w:hAnsi="仿宋" w:eastAsia="仿宋" w:cs="仿宋"/>
                <w:sz w:val="21"/>
                <w:szCs w:val="21"/>
                <w:lang w:val="en-US" w:eastAsia="zh-CN"/>
              </w:rPr>
              <w:t>，具备1名</w:t>
            </w:r>
            <w:r>
              <w:rPr>
                <w:rFonts w:hint="eastAsia" w:ascii="仿宋" w:hAnsi="仿宋" w:eastAsia="仿宋"/>
                <w:sz w:val="21"/>
                <w:szCs w:val="21"/>
              </w:rPr>
              <w:t>得2分，最多得</w:t>
            </w:r>
            <w:r>
              <w:rPr>
                <w:rFonts w:hint="eastAsia" w:ascii="仿宋" w:hAnsi="仿宋" w:eastAsia="仿宋"/>
                <w:sz w:val="21"/>
                <w:szCs w:val="21"/>
                <w:lang w:val="en-US" w:eastAsia="zh-CN"/>
              </w:rPr>
              <w:t>10分。</w:t>
            </w:r>
          </w:p>
        </w:tc>
        <w:tc>
          <w:tcPr>
            <w:tcW w:w="1117" w:type="pct"/>
            <w:noWrap w:val="0"/>
            <w:vAlign w:val="center"/>
          </w:tcPr>
          <w:p>
            <w:pPr>
              <w:spacing w:line="240" w:lineRule="exact"/>
              <w:ind w:left="-39" w:leftChars="-14"/>
              <w:jc w:val="center"/>
              <w:rPr>
                <w:rFonts w:hint="eastAsia" w:ascii="仿宋" w:hAnsi="仿宋" w:eastAsia="仿宋"/>
                <w:sz w:val="21"/>
                <w:szCs w:val="21"/>
              </w:rPr>
            </w:pPr>
            <w:r>
              <w:rPr>
                <w:rFonts w:hint="eastAsia" w:ascii="仿宋" w:hAnsi="仿宋" w:eastAsia="仿宋"/>
                <w:sz w:val="21"/>
                <w:szCs w:val="21"/>
              </w:rPr>
              <w:t>人员不得相互兼任，不得重复得分。需提供资格证书、服务合同（或相关证明材料）</w:t>
            </w:r>
            <w:r>
              <w:rPr>
                <w:rFonts w:hint="eastAsia" w:ascii="仿宋" w:hAnsi="仿宋" w:eastAsia="仿宋" w:cs="方正仿宋_GBK"/>
                <w:sz w:val="21"/>
                <w:szCs w:val="21"/>
              </w:rPr>
              <w:t>及社会保险参保证明</w:t>
            </w:r>
            <w:r>
              <w:rPr>
                <w:rFonts w:hint="eastAsia" w:ascii="仿宋" w:hAnsi="仿宋" w:eastAsia="仿宋"/>
                <w:sz w:val="21"/>
                <w:szCs w:val="21"/>
              </w:rPr>
              <w:t>复印件并加盖供应商单位公章。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256" w:type="pct"/>
            <w:vMerge w:val="continue"/>
            <w:noWrap w:val="0"/>
            <w:vAlign w:val="center"/>
          </w:tcPr>
          <w:p>
            <w:pPr>
              <w:spacing w:line="240" w:lineRule="atLeast"/>
              <w:ind w:firstLine="28"/>
              <w:jc w:val="center"/>
              <w:rPr>
                <w:rFonts w:hint="eastAsia" w:ascii="仿宋" w:hAnsi="仿宋" w:eastAsia="仿宋" w:cs="仿宋"/>
                <w:sz w:val="21"/>
                <w:szCs w:val="21"/>
              </w:rPr>
            </w:pPr>
          </w:p>
        </w:tc>
        <w:tc>
          <w:tcPr>
            <w:tcW w:w="695" w:type="pct"/>
            <w:vMerge w:val="continue"/>
            <w:noWrap w:val="0"/>
            <w:vAlign w:val="center"/>
          </w:tcPr>
          <w:p>
            <w:pPr>
              <w:spacing w:line="240" w:lineRule="exact"/>
              <w:jc w:val="center"/>
              <w:rPr>
                <w:rFonts w:hint="eastAsia" w:ascii="仿宋" w:hAnsi="仿宋" w:eastAsia="仿宋" w:cs="仿宋"/>
                <w:sz w:val="21"/>
                <w:szCs w:val="21"/>
              </w:rPr>
            </w:pPr>
          </w:p>
        </w:tc>
        <w:tc>
          <w:tcPr>
            <w:tcW w:w="428" w:type="pct"/>
            <w:noWrap w:val="0"/>
            <w:vAlign w:val="center"/>
          </w:tcPr>
          <w:p>
            <w:pPr>
              <w:spacing w:line="240" w:lineRule="atLeast"/>
              <w:jc w:val="center"/>
              <w:rPr>
                <w:rFonts w:hint="default" w:ascii="仿宋" w:hAnsi="仿宋" w:eastAsia="仿宋" w:cs="仿宋"/>
                <w:sz w:val="21"/>
                <w:szCs w:val="21"/>
                <w:lang w:val="en-US"/>
              </w:rPr>
            </w:pPr>
            <w:r>
              <w:rPr>
                <w:rFonts w:hint="eastAsia" w:ascii="仿宋" w:hAnsi="仿宋" w:eastAsia="仿宋" w:cs="仿宋"/>
                <w:sz w:val="21"/>
                <w:szCs w:val="21"/>
                <w:lang w:val="en-US" w:eastAsia="zh-CN"/>
              </w:rPr>
              <w:t xml:space="preserve">设备情况 </w:t>
            </w:r>
            <w:r>
              <w:rPr>
                <w:rFonts w:hint="default" w:ascii="仿宋" w:hAnsi="仿宋" w:eastAsia="仿宋" w:cs="仿宋"/>
                <w:sz w:val="21"/>
                <w:szCs w:val="21"/>
                <w:lang w:val="en-US" w:eastAsia="zh-CN"/>
              </w:rPr>
              <w:t xml:space="preserve">   </w:t>
            </w:r>
            <w:r>
              <w:rPr>
                <w:rFonts w:hint="eastAsia" w:ascii="仿宋" w:hAnsi="仿宋" w:eastAsia="仿宋" w:cs="仿宋"/>
                <w:sz w:val="21"/>
                <w:szCs w:val="21"/>
                <w:lang w:val="en-US" w:eastAsia="zh-CN"/>
              </w:rPr>
              <w:t xml:space="preserve"> </w:t>
            </w:r>
            <w:r>
              <w:rPr>
                <w:rFonts w:hint="default" w:ascii="仿宋" w:hAnsi="仿宋" w:eastAsia="仿宋" w:cs="仿宋"/>
                <w:sz w:val="21"/>
                <w:szCs w:val="21"/>
                <w:lang w:val="en-US" w:eastAsia="zh-CN"/>
              </w:rPr>
              <w:t xml:space="preserve">  </w:t>
            </w:r>
            <w:r>
              <w:rPr>
                <w:rFonts w:hint="eastAsia" w:ascii="仿宋" w:hAnsi="仿宋" w:eastAsia="仿宋" w:cs="仿宋"/>
                <w:sz w:val="21"/>
                <w:szCs w:val="21"/>
                <w:lang w:val="en-US" w:eastAsia="zh-CN"/>
              </w:rPr>
              <w:t xml:space="preserve"> </w:t>
            </w:r>
            <w:r>
              <w:rPr>
                <w:rFonts w:hint="default" w:ascii="仿宋" w:hAnsi="仿宋" w:eastAsia="仿宋" w:cs="仿宋"/>
                <w:sz w:val="21"/>
                <w:szCs w:val="21"/>
                <w:lang w:val="en-US" w:eastAsia="zh-CN"/>
              </w:rPr>
              <w:t xml:space="preserve"> </w:t>
            </w:r>
            <w:r>
              <w:rPr>
                <w:rFonts w:hint="eastAsia" w:ascii="仿宋" w:hAnsi="仿宋" w:eastAsia="仿宋" w:cs="仿宋"/>
                <w:sz w:val="21"/>
                <w:szCs w:val="21"/>
                <w:lang w:val="en-US" w:eastAsia="zh-CN"/>
              </w:rPr>
              <w:t xml:space="preserve"> </w:t>
            </w:r>
            <w:r>
              <w:rPr>
                <w:rFonts w:hint="default" w:ascii="仿宋" w:hAnsi="仿宋" w:eastAsia="仿宋" w:cs="仿宋"/>
                <w:sz w:val="21"/>
                <w:szCs w:val="21"/>
                <w:lang w:val="en-US" w:eastAsia="zh-CN"/>
              </w:rPr>
              <w:t xml:space="preserve">   </w:t>
            </w:r>
          </w:p>
          <w:p>
            <w:pPr>
              <w:spacing w:line="240" w:lineRule="atLeast"/>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w:t>
            </w:r>
            <w:r>
              <w:rPr>
                <w:rFonts w:hint="eastAsia" w:ascii="仿宋" w:hAnsi="仿宋" w:eastAsia="仿宋" w:cs="仿宋"/>
                <w:sz w:val="21"/>
                <w:szCs w:val="21"/>
              </w:rPr>
              <w:t>分</w:t>
            </w:r>
          </w:p>
        </w:tc>
        <w:tc>
          <w:tcPr>
            <w:tcW w:w="2502" w:type="pct"/>
            <w:noWrap w:val="0"/>
            <w:vAlign w:val="center"/>
          </w:tcPr>
          <w:p>
            <w:pPr>
              <w:numPr>
                <w:ilvl w:val="0"/>
                <w:numId w:val="0"/>
              </w:numPr>
              <w:spacing w:line="240" w:lineRule="atLeast"/>
              <w:jc w:val="left"/>
              <w:rPr>
                <w:rFonts w:hint="default" w:eastAsia="仿宋"/>
                <w:lang w:val="en-US" w:eastAsia="zh-CN"/>
              </w:rPr>
            </w:pPr>
            <w:r>
              <w:rPr>
                <w:rFonts w:hint="eastAsia" w:ascii="仿宋" w:hAnsi="仿宋" w:eastAsia="仿宋" w:cs="仿宋"/>
                <w:sz w:val="21"/>
                <w:szCs w:val="21"/>
                <w:lang w:val="en-US" w:eastAsia="zh-CN"/>
              </w:rPr>
              <w:t>有测量船舶1艘以上的得5分</w:t>
            </w:r>
            <w:r>
              <w:rPr>
                <w:rFonts w:hint="eastAsia" w:ascii="仿宋" w:hAnsi="仿宋" w:eastAsia="仿宋" w:cs="仿宋"/>
                <w:sz w:val="21"/>
                <w:szCs w:val="21"/>
              </w:rPr>
              <w:t>。</w:t>
            </w:r>
            <w:r>
              <w:rPr>
                <w:rFonts w:hint="default" w:ascii="仿宋" w:hAnsi="仿宋" w:eastAsia="仿宋" w:cs="仿宋"/>
                <w:sz w:val="21"/>
                <w:szCs w:val="21"/>
                <w:lang w:val="en-US" w:eastAsia="zh-CN"/>
              </w:rPr>
              <w:t xml:space="preserve"> </w:t>
            </w:r>
            <w:r>
              <w:rPr>
                <w:rFonts w:hint="eastAsia" w:ascii="仿宋" w:hAnsi="仿宋" w:eastAsia="仿宋" w:cs="仿宋"/>
                <w:sz w:val="21"/>
                <w:szCs w:val="21"/>
                <w:lang w:val="en-US" w:eastAsia="zh-CN"/>
              </w:rPr>
              <w:t xml:space="preserve">  </w:t>
            </w:r>
            <w:r>
              <w:rPr>
                <w:rFonts w:hint="default" w:ascii="仿宋" w:hAnsi="仿宋" w:eastAsia="仿宋" w:cs="仿宋"/>
                <w:sz w:val="21"/>
                <w:szCs w:val="21"/>
                <w:lang w:val="en-US" w:eastAsia="zh-CN"/>
              </w:rPr>
              <w:t xml:space="preserve">  </w:t>
            </w:r>
            <w:r>
              <w:rPr>
                <w:rFonts w:hint="eastAsia" w:ascii="仿宋" w:hAnsi="仿宋" w:eastAsia="仿宋" w:cs="仿宋"/>
                <w:sz w:val="21"/>
                <w:szCs w:val="21"/>
                <w:lang w:val="en-US" w:eastAsia="zh-CN"/>
              </w:rPr>
              <w:t xml:space="preserve"> </w:t>
            </w:r>
            <w:r>
              <w:rPr>
                <w:rFonts w:hint="default" w:ascii="仿宋" w:hAnsi="仿宋" w:eastAsia="仿宋" w:cs="仿宋"/>
                <w:sz w:val="21"/>
                <w:szCs w:val="21"/>
                <w:lang w:val="en-US" w:eastAsia="zh-CN"/>
              </w:rPr>
              <w:t xml:space="preserve">  </w:t>
            </w:r>
            <w:r>
              <w:rPr>
                <w:rFonts w:hint="eastAsia" w:ascii="仿宋" w:hAnsi="仿宋" w:eastAsia="仿宋" w:cs="仿宋"/>
                <w:sz w:val="21"/>
                <w:szCs w:val="21"/>
                <w:lang w:val="en-US" w:eastAsia="zh-CN"/>
              </w:rPr>
              <w:t xml:space="preserve"> </w:t>
            </w:r>
            <w:r>
              <w:rPr>
                <w:rFonts w:hint="default" w:ascii="仿宋" w:hAnsi="仿宋" w:eastAsia="仿宋" w:cs="仿宋"/>
                <w:sz w:val="21"/>
                <w:szCs w:val="21"/>
                <w:lang w:val="en-US" w:eastAsia="zh-CN"/>
              </w:rPr>
              <w:t xml:space="preserve">   </w:t>
            </w:r>
            <w:r>
              <w:rPr>
                <w:rFonts w:hint="eastAsia" w:ascii="仿宋" w:hAnsi="仿宋" w:eastAsia="仿宋" w:cs="仿宋"/>
                <w:sz w:val="21"/>
                <w:szCs w:val="21"/>
                <w:lang w:val="en-US" w:eastAsia="zh-CN"/>
              </w:rPr>
              <w:t xml:space="preserve"> </w:t>
            </w:r>
            <w:r>
              <w:rPr>
                <w:rFonts w:hint="default" w:ascii="仿宋" w:hAnsi="仿宋" w:eastAsia="仿宋" w:cs="仿宋"/>
                <w:sz w:val="21"/>
                <w:szCs w:val="21"/>
                <w:lang w:val="en-US" w:eastAsia="zh-CN"/>
              </w:rPr>
              <w:t xml:space="preserve">  </w:t>
            </w:r>
            <w:r>
              <w:rPr>
                <w:rFonts w:hint="eastAsia" w:ascii="仿宋" w:hAnsi="仿宋" w:eastAsia="仿宋" w:cs="仿宋"/>
                <w:sz w:val="21"/>
                <w:szCs w:val="21"/>
                <w:lang w:val="en-US" w:eastAsia="zh-CN"/>
              </w:rPr>
              <w:t xml:space="preserve"> </w:t>
            </w:r>
            <w:r>
              <w:rPr>
                <w:rFonts w:hint="default" w:ascii="仿宋" w:hAnsi="仿宋" w:eastAsia="仿宋" w:cs="仿宋"/>
                <w:sz w:val="21"/>
                <w:szCs w:val="21"/>
                <w:lang w:val="en-US" w:eastAsia="zh-CN"/>
              </w:rPr>
              <w:t xml:space="preserve">   </w:t>
            </w:r>
          </w:p>
          <w:p>
            <w:pPr>
              <w:spacing w:line="240" w:lineRule="atLeast"/>
              <w:ind w:firstLine="560" w:firstLineChars="200"/>
              <w:rPr>
                <w:rFonts w:hint="default"/>
                <w:lang w:val="en-US" w:eastAsia="zh-CN"/>
              </w:rPr>
            </w:pPr>
          </w:p>
        </w:tc>
        <w:tc>
          <w:tcPr>
            <w:tcW w:w="1117" w:type="pct"/>
            <w:noWrap w:val="0"/>
            <w:vAlign w:val="center"/>
          </w:tcPr>
          <w:p>
            <w:pPr>
              <w:spacing w:line="240" w:lineRule="exact"/>
              <w:ind w:left="-39" w:leftChars="-14"/>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 xml:space="preserve">须提供船舶航行证书及检验报告，加盖供应商公章 </w:t>
            </w:r>
            <w:r>
              <w:rPr>
                <w:rFonts w:hint="default" w:ascii="仿宋" w:hAnsi="仿宋" w:eastAsia="仿宋"/>
                <w:sz w:val="21"/>
                <w:szCs w:val="21"/>
                <w:lang w:val="en-US" w:eastAsia="zh-CN"/>
              </w:rPr>
              <w:t xml:space="preserve">   </w:t>
            </w:r>
            <w:r>
              <w:rPr>
                <w:rFonts w:hint="eastAsia" w:ascii="仿宋" w:hAnsi="仿宋" w:eastAsia="仿宋"/>
                <w:sz w:val="21"/>
                <w:szCs w:val="21"/>
                <w:lang w:val="en-US" w:eastAsia="zh-CN"/>
              </w:rPr>
              <w:t xml:space="preserve"> </w:t>
            </w:r>
            <w:r>
              <w:rPr>
                <w:rFonts w:hint="default" w:ascii="仿宋" w:hAnsi="仿宋" w:eastAsia="仿宋"/>
                <w:sz w:val="21"/>
                <w:szCs w:val="21"/>
                <w:lang w:val="en-US" w:eastAsia="zh-CN"/>
              </w:rPr>
              <w:t xml:space="preserve">    </w:t>
            </w:r>
            <w:r>
              <w:rPr>
                <w:rFonts w:hint="eastAsia" w:ascii="仿宋" w:hAnsi="仿宋" w:eastAsia="仿宋"/>
                <w:sz w:val="21"/>
                <w:szCs w:val="21"/>
                <w:lang w:val="en-US" w:eastAsia="zh-CN"/>
              </w:rPr>
              <w:t xml:space="preserve"> </w:t>
            </w:r>
            <w:r>
              <w:rPr>
                <w:rFonts w:hint="default" w:ascii="仿宋" w:hAnsi="仿宋" w:eastAsia="仿宋"/>
                <w:sz w:val="21"/>
                <w:szCs w:val="21"/>
                <w:lang w:val="en-US" w:eastAsia="zh-CN"/>
              </w:rPr>
              <w:t xml:space="preserve">    </w:t>
            </w:r>
            <w:r>
              <w:rPr>
                <w:rFonts w:hint="eastAsia" w:ascii="仿宋" w:hAnsi="仿宋" w:eastAsia="仿宋"/>
                <w:sz w:val="21"/>
                <w:szCs w:val="21"/>
                <w:lang w:val="en-US" w:eastAsia="zh-CN"/>
              </w:rPr>
              <w:t xml:space="preserve"> </w:t>
            </w:r>
            <w:r>
              <w:rPr>
                <w:rFonts w:hint="default" w:ascii="仿宋" w:hAnsi="仿宋" w:eastAsia="仿宋"/>
                <w:sz w:val="21"/>
                <w:szCs w:val="21"/>
                <w:lang w:val="en-US" w:eastAsia="zh-CN"/>
              </w:rPr>
              <w:t xml:space="preserve"> </w:t>
            </w:r>
            <w:r>
              <w:rPr>
                <w:rFonts w:hint="eastAsia" w:ascii="仿宋" w:hAnsi="仿宋" w:eastAsia="仿宋"/>
                <w:sz w:val="21"/>
                <w:szCs w:val="21"/>
                <w:lang w:val="en-US" w:eastAsia="zh-CN"/>
              </w:rPr>
              <w:t xml:space="preserve">  </w:t>
            </w:r>
            <w:r>
              <w:rPr>
                <w:rFonts w:hint="default" w:ascii="仿宋" w:hAnsi="仿宋" w:eastAsia="仿宋"/>
                <w:sz w:val="21"/>
                <w:szCs w:val="21"/>
                <w:lang w:val="en-US" w:eastAsia="zh-CN"/>
              </w:rPr>
              <w:t xml:space="preserve"> </w:t>
            </w:r>
            <w:r>
              <w:rPr>
                <w:rFonts w:hint="eastAsia" w:ascii="仿宋" w:hAnsi="仿宋" w:eastAsia="仿宋"/>
                <w:sz w:val="21"/>
                <w:szCs w:val="21"/>
                <w:lang w:val="en-US" w:eastAsia="zh-CN"/>
              </w:rPr>
              <w:t xml:space="preserve"> </w:t>
            </w:r>
            <w:r>
              <w:rPr>
                <w:rFonts w:hint="default" w:ascii="仿宋" w:hAnsi="仿宋" w:eastAsia="仿宋"/>
                <w:sz w:val="21"/>
                <w:szCs w:val="21"/>
                <w:lang w:val="en-US" w:eastAsia="zh-CN"/>
              </w:rPr>
              <w:t xml:space="preserve">  </w:t>
            </w:r>
            <w:r>
              <w:rPr>
                <w:rFonts w:hint="eastAsia" w:ascii="仿宋" w:hAnsi="仿宋" w:eastAsia="仿宋"/>
                <w:sz w:val="21"/>
                <w:szCs w:val="21"/>
                <w:lang w:val="en-US" w:eastAsia="zh-CN"/>
              </w:rPr>
              <w:t xml:space="preserve"> </w:t>
            </w:r>
            <w:r>
              <w:rPr>
                <w:rFonts w:hint="default" w:ascii="仿宋" w:hAnsi="仿宋" w:eastAsia="仿宋"/>
                <w:sz w:val="21"/>
                <w:szCs w:val="21"/>
                <w:lang w:val="en-US" w:eastAsia="zh-CN"/>
              </w:rPr>
              <w:t xml:space="preserve">   </w:t>
            </w:r>
            <w:r>
              <w:rPr>
                <w:rFonts w:hint="eastAsia" w:ascii="仿宋" w:hAnsi="仿宋" w:eastAsia="仿宋"/>
                <w:sz w:val="21"/>
                <w:szCs w:val="21"/>
                <w:lang w:val="en-US" w:eastAsia="zh-CN"/>
              </w:rPr>
              <w:t xml:space="preserve"> </w:t>
            </w:r>
            <w:r>
              <w:rPr>
                <w:rFonts w:hint="default" w:ascii="仿宋" w:hAnsi="仿宋" w:eastAsia="仿宋"/>
                <w:sz w:val="21"/>
                <w:szCs w:val="21"/>
                <w:lang w:val="en-US" w:eastAsia="zh-CN"/>
              </w:rPr>
              <w:t xml:space="preserve"> </w:t>
            </w:r>
            <w:r>
              <w:rPr>
                <w:rFonts w:hint="eastAsia" w:ascii="仿宋" w:hAnsi="仿宋" w:eastAsia="仿宋"/>
                <w:sz w:val="21"/>
                <w:szCs w:val="21"/>
                <w:lang w:val="en-US" w:eastAsia="zh-CN"/>
              </w:rPr>
              <w:t xml:space="preserve"> </w:t>
            </w:r>
            <w:r>
              <w:rPr>
                <w:rFonts w:hint="default" w:ascii="仿宋" w:hAnsi="仿宋" w:eastAsia="仿宋"/>
                <w:sz w:val="21"/>
                <w:szCs w:val="21"/>
                <w:lang w:val="en-US" w:eastAsia="zh-CN"/>
              </w:rPr>
              <w:t xml:space="preserve"> </w:t>
            </w:r>
            <w:r>
              <w:rPr>
                <w:rFonts w:hint="eastAsia" w:ascii="仿宋" w:hAnsi="仿宋" w:eastAsia="仿宋"/>
                <w:sz w:val="21"/>
                <w:szCs w:val="21"/>
                <w:lang w:val="en-US" w:eastAsia="zh-CN"/>
              </w:rPr>
              <w:t xml:space="preserve"> </w:t>
            </w:r>
            <w:r>
              <w:rPr>
                <w:rFonts w:hint="default" w:ascii="仿宋" w:hAnsi="仿宋" w:eastAsia="仿宋"/>
                <w:sz w:val="21"/>
                <w:szCs w:val="21"/>
                <w:lang w:val="en-US" w:eastAsia="zh-CN"/>
              </w:rPr>
              <w:t xml:space="preserve">    </w:t>
            </w:r>
            <w:r>
              <w:rPr>
                <w:rFonts w:hint="eastAsia" w:ascii="仿宋" w:hAnsi="仿宋" w:eastAsia="仿宋"/>
                <w:sz w:val="21"/>
                <w:szCs w:val="21"/>
                <w:lang w:val="en-US" w:eastAsia="zh-CN"/>
              </w:rPr>
              <w:t xml:space="preserve"> </w:t>
            </w:r>
            <w:r>
              <w:rPr>
                <w:rFonts w:hint="default" w:ascii="仿宋" w:hAnsi="仿宋" w:eastAsia="仿宋"/>
                <w:sz w:val="21"/>
                <w:szCs w:val="21"/>
                <w:lang w:val="en-US" w:eastAsia="zh-CN"/>
              </w:rPr>
              <w:t xml:space="preserve">      </w:t>
            </w:r>
            <w:r>
              <w:rPr>
                <w:rFonts w:hint="eastAsia" w:ascii="仿宋" w:hAnsi="仿宋" w:eastAsia="仿宋"/>
                <w:sz w:val="21"/>
                <w:szCs w:val="21"/>
                <w:lang w:val="en-US" w:eastAsia="zh-CN"/>
              </w:rPr>
              <w:t xml:space="preserve"> </w:t>
            </w:r>
            <w:r>
              <w:rPr>
                <w:rFonts w:hint="default" w:ascii="仿宋" w:hAnsi="仿宋" w:eastAsia="仿宋"/>
                <w:sz w:val="21"/>
                <w:szCs w:val="21"/>
                <w:lang w:val="en-US" w:eastAsia="zh-CN"/>
              </w:rPr>
              <w:t xml:space="preserve"> </w:t>
            </w:r>
            <w:r>
              <w:rPr>
                <w:rFonts w:hint="eastAsia" w:ascii="仿宋" w:hAnsi="仿宋" w:eastAsia="仿宋"/>
                <w:sz w:val="21"/>
                <w:szCs w:val="21"/>
                <w:lang w:val="en-US" w:eastAsia="zh-CN"/>
              </w:rPr>
              <w:t xml:space="preserve">  </w:t>
            </w:r>
            <w:r>
              <w:rPr>
                <w:rFonts w:hint="default" w:ascii="仿宋" w:hAnsi="仿宋" w:eastAsia="仿宋"/>
                <w:sz w:val="21"/>
                <w:szCs w:val="21"/>
                <w:lang w:val="en-US" w:eastAsia="zh-CN"/>
              </w:rPr>
              <w:t xml:space="preserve"> </w:t>
            </w:r>
            <w:r>
              <w:rPr>
                <w:rFonts w:hint="eastAsia" w:ascii="仿宋" w:hAnsi="仿宋" w:eastAsia="仿宋"/>
                <w:sz w:val="21"/>
                <w:szCs w:val="21"/>
                <w:lang w:val="en-US" w:eastAsia="zh-CN"/>
              </w:rPr>
              <w:t xml:space="preserve"> </w:t>
            </w:r>
            <w:r>
              <w:rPr>
                <w:rFonts w:hint="default" w:ascii="仿宋" w:hAnsi="仿宋" w:eastAsia="仿宋"/>
                <w:sz w:val="21"/>
                <w:szCs w:val="21"/>
                <w:lang w:val="en-US" w:eastAsia="zh-CN"/>
              </w:rPr>
              <w:t xml:space="preserve">  </w:t>
            </w:r>
            <w:r>
              <w:rPr>
                <w:rFonts w:hint="eastAsia" w:ascii="仿宋" w:hAnsi="仿宋" w:eastAsia="仿宋"/>
                <w:sz w:val="21"/>
                <w:szCs w:val="21"/>
                <w:lang w:val="en-US" w:eastAsia="zh-CN"/>
              </w:rPr>
              <w:t xml:space="preserve"> </w:t>
            </w:r>
            <w:r>
              <w:rPr>
                <w:rFonts w:hint="default" w:ascii="仿宋" w:hAnsi="仿宋" w:eastAsia="仿宋"/>
                <w:sz w:val="21"/>
                <w:szCs w:val="21"/>
                <w:lang w:val="en-US" w:eastAsia="zh-CN"/>
              </w:rPr>
              <w:t xml:space="preserve">     </w:t>
            </w:r>
            <w:r>
              <w:rPr>
                <w:rFonts w:hint="eastAsia" w:ascii="仿宋" w:hAnsi="仿宋" w:eastAsia="仿宋"/>
                <w:sz w:val="21"/>
                <w:szCs w:val="21"/>
                <w:lang w:val="en-US" w:eastAsia="zh-CN"/>
              </w:rPr>
              <w:t xml:space="preserve">  </w:t>
            </w:r>
            <w:r>
              <w:rPr>
                <w:rFonts w:hint="default" w:ascii="仿宋" w:hAnsi="仿宋" w:eastAsia="仿宋"/>
                <w:sz w:val="21"/>
                <w:szCs w:val="21"/>
                <w:lang w:val="en-US" w:eastAsia="zh-CN"/>
              </w:rPr>
              <w:t xml:space="preserve">    </w:t>
            </w:r>
            <w:r>
              <w:rPr>
                <w:rFonts w:hint="eastAsia" w:ascii="仿宋" w:hAnsi="仿宋" w:eastAsia="仿宋"/>
                <w:sz w:val="21"/>
                <w:szCs w:val="21"/>
                <w:lang w:val="en-US" w:eastAsia="zh-CN"/>
              </w:rPr>
              <w:t xml:space="preserve"> </w:t>
            </w:r>
            <w:r>
              <w:rPr>
                <w:rFonts w:hint="default" w:ascii="仿宋" w:hAnsi="仿宋" w:eastAsia="仿宋"/>
                <w:sz w:val="21"/>
                <w:szCs w:val="21"/>
                <w:lang w:val="en-US" w:eastAsia="zh-CN"/>
              </w:rPr>
              <w:t xml:space="preserve">     </w:t>
            </w:r>
            <w:r>
              <w:rPr>
                <w:rFonts w:hint="eastAsia" w:ascii="仿宋" w:hAnsi="仿宋" w:eastAsia="仿宋"/>
                <w:sz w:val="21"/>
                <w:szCs w:val="21"/>
                <w:lang w:val="en-US" w:eastAsia="zh-CN"/>
              </w:rPr>
              <w:t xml:space="preserve"> </w:t>
            </w:r>
            <w:r>
              <w:rPr>
                <w:rFonts w:hint="default" w:ascii="仿宋" w:hAnsi="仿宋" w:eastAsia="仿宋"/>
                <w:sz w:val="21"/>
                <w:szCs w:val="21"/>
                <w:lang w:val="en-US" w:eastAsia="zh-CN"/>
              </w:rPr>
              <w:t xml:space="preserve">    </w:t>
            </w:r>
            <w:r>
              <w:rPr>
                <w:rFonts w:hint="eastAsia" w:ascii="仿宋" w:hAnsi="仿宋" w:eastAsia="仿宋"/>
                <w:sz w:val="21"/>
                <w:szCs w:val="21"/>
                <w:lang w:val="en-US" w:eastAsia="zh-CN"/>
              </w:rPr>
              <w:t xml:space="preserve"> </w:t>
            </w:r>
            <w:r>
              <w:rPr>
                <w:rFonts w:hint="default" w:ascii="仿宋" w:hAnsi="仿宋" w:eastAsia="仿宋"/>
                <w:sz w:val="21"/>
                <w:szCs w:val="21"/>
                <w:lang w:val="en-US" w:eastAsia="zh-CN"/>
              </w:rPr>
              <w:t xml:space="preserve"> </w:t>
            </w:r>
            <w:r>
              <w:rPr>
                <w:rFonts w:hint="eastAsia" w:ascii="仿宋" w:hAnsi="仿宋" w:eastAsia="仿宋"/>
                <w:sz w:val="21"/>
                <w:szCs w:val="21"/>
                <w:lang w:val="en-US" w:eastAsia="zh-CN"/>
              </w:rPr>
              <w:t xml:space="preserve"> </w:t>
            </w:r>
          </w:p>
        </w:tc>
      </w:tr>
    </w:tbl>
    <w:p>
      <w:pPr>
        <w:pStyle w:val="5"/>
        <w:adjustRightInd w:val="0"/>
        <w:snapToGrid w:val="0"/>
        <w:spacing w:before="0" w:after="0" w:line="400" w:lineRule="exact"/>
        <w:ind w:firstLine="482" w:firstLineChars="200"/>
        <w:rPr>
          <w:rFonts w:hint="eastAsia" w:ascii="方正仿宋_GBK" w:hAnsi="宋体" w:eastAsia="方正仿宋_GBK"/>
          <w:sz w:val="24"/>
        </w:rPr>
      </w:pPr>
    </w:p>
    <w:p>
      <w:pPr>
        <w:pStyle w:val="5"/>
        <w:adjustRightInd w:val="0"/>
        <w:snapToGrid w:val="0"/>
        <w:spacing w:before="0" w:after="0" w:line="400" w:lineRule="exact"/>
        <w:ind w:firstLine="482" w:firstLineChars="200"/>
        <w:rPr>
          <w:rFonts w:hint="eastAsia" w:ascii="方正仿宋_GBK" w:hAnsi="宋体" w:eastAsia="方正仿宋_GBK"/>
          <w:sz w:val="24"/>
        </w:rPr>
      </w:pPr>
      <w:r>
        <w:rPr>
          <w:rFonts w:hint="eastAsia" w:ascii="方正仿宋_GBK" w:hAnsi="宋体" w:eastAsia="方正仿宋_GBK"/>
          <w:sz w:val="24"/>
        </w:rPr>
        <w:t>三、无效响应</w:t>
      </w:r>
      <w:bookmarkEnd w:id="69"/>
      <w:bookmarkEnd w:id="70"/>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（二）供应商的法定代表人（或其授权代表）或自然人未参加磋商；</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（三）供应商所提交的响应文件不按“第七篇响应文件编制要求”要求签署或盖章；</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（四）供应商的最后报价超过采购预算或最高限价的；</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（五）法定代表人为同一个人的两个及两个以上法人，母公司、全资子公司及其控股公司，在同一包采购中同时参与竞争；</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（六）单位负责人为同一人或者存在直接控股、管理关系的不同供应商，参加同一合同项下的政府采购活动的；</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（七）</w:t>
      </w:r>
      <w:r>
        <w:rPr>
          <w:rFonts w:ascii="方正仿宋_GBK" w:hAnsi="宋体" w:eastAsia="方正仿宋_GBK"/>
          <w:sz w:val="24"/>
          <w:szCs w:val="24"/>
        </w:rPr>
        <w:t>为采购项目提供整体设计、规范编制或者项目管理、监理、检测等服务的供应商，再参加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（八）供应商限额以下磋商评分有效期不满足采购文件要求的；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（九）供应商响应文件内容有与国家现行法律法规相违背的内容，或附有采购人无法接受的条件；</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（十）法律、法规和采购文件规定的其他无效情形。</w:t>
      </w:r>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71" w:name="_Toc106030891"/>
      <w:bookmarkStart w:id="72" w:name="_Toc76462336"/>
      <w:r>
        <w:rPr>
          <w:rFonts w:hint="eastAsia" w:ascii="方正仿宋_GBK" w:hAnsi="宋体" w:eastAsia="方正仿宋_GBK"/>
          <w:sz w:val="24"/>
        </w:rPr>
        <w:t>四、</w:t>
      </w:r>
      <w:bookmarkEnd w:id="67"/>
      <w:bookmarkEnd w:id="68"/>
      <w:r>
        <w:rPr>
          <w:rFonts w:hint="eastAsia" w:ascii="方正仿宋_GBK" w:hAnsi="宋体" w:eastAsia="方正仿宋_GBK"/>
          <w:sz w:val="24"/>
        </w:rPr>
        <w:t>采购终止</w:t>
      </w:r>
      <w:bookmarkEnd w:id="71"/>
      <w:bookmarkEnd w:id="72"/>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出现下列情形之一的，采购人或者采购代理机构应当终止采购活动，发布项目终止公告并说明原因，重新开展采购活动：</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（一）因情况变化，不再符合规定的限额以下磋商评分采购方式适用情形的；</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spacing w:line="400" w:lineRule="exact"/>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p>
      <w:pPr>
        <w:pStyle w:val="5"/>
        <w:pageBreakBefore/>
        <w:spacing w:before="0" w:after="0" w:line="360" w:lineRule="auto"/>
        <w:jc w:val="center"/>
        <w:rPr>
          <w:rFonts w:hint="eastAsia" w:ascii="方正小标宋_GBK" w:hAnsi="宋体" w:eastAsia="方正小标宋_GBK"/>
          <w:b w:val="0"/>
          <w:bCs/>
          <w:sz w:val="36"/>
          <w:szCs w:val="30"/>
        </w:rPr>
      </w:pPr>
      <w:bookmarkStart w:id="73" w:name="_Toc76462337"/>
      <w:bookmarkStart w:id="74" w:name="_Toc102227313"/>
      <w:bookmarkStart w:id="75" w:name="_Toc106030892"/>
      <w:r>
        <w:rPr>
          <w:rFonts w:hint="eastAsia" w:ascii="方正小标宋_GBK" w:hAnsi="宋体" w:eastAsia="方正小标宋_GBK"/>
          <w:b w:val="0"/>
          <w:bCs/>
          <w:sz w:val="36"/>
          <w:szCs w:val="30"/>
        </w:rPr>
        <w:t>第五篇  供应商须知</w:t>
      </w:r>
      <w:bookmarkEnd w:id="73"/>
      <w:bookmarkEnd w:id="74"/>
      <w:bookmarkEnd w:id="75"/>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76" w:name="_Toc76462338"/>
      <w:bookmarkStart w:id="77" w:name="_Toc106030893"/>
      <w:bookmarkStart w:id="78" w:name="_Toc342913389"/>
      <w:r>
        <w:rPr>
          <w:rFonts w:hint="eastAsia" w:ascii="方正仿宋_GBK" w:hAnsi="宋体" w:eastAsia="方正仿宋_GBK"/>
          <w:sz w:val="24"/>
        </w:rPr>
        <w:t>一、</w:t>
      </w:r>
      <w:r>
        <w:rPr>
          <w:rFonts w:hint="eastAsia" w:ascii="方正仿宋_GBK" w:hAnsi="宋体" w:eastAsia="方正仿宋_GBK"/>
          <w:sz w:val="24"/>
          <w:lang w:eastAsia="zh-CN"/>
        </w:rPr>
        <w:t>限额以下磋商评分</w:t>
      </w:r>
      <w:r>
        <w:rPr>
          <w:rFonts w:hint="eastAsia" w:ascii="方正仿宋_GBK" w:hAnsi="宋体" w:eastAsia="方正仿宋_GBK"/>
          <w:sz w:val="24"/>
        </w:rPr>
        <w:t>费用</w:t>
      </w:r>
      <w:bookmarkEnd w:id="76"/>
      <w:bookmarkEnd w:id="77"/>
      <w:bookmarkEnd w:id="78"/>
    </w:p>
    <w:p>
      <w:pPr>
        <w:pStyle w:val="141"/>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参与竞争的供应商应承担其编制响应文件与递交响应文件所涉及的一切费用，不论结果如何，采购人和采购代理机构在任何情况下无义务也无责任承担这些费用。</w:t>
      </w:r>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79" w:name="_Toc76462339"/>
      <w:bookmarkStart w:id="80" w:name="_Toc342913391"/>
      <w:bookmarkStart w:id="81" w:name="_Toc106030894"/>
      <w:r>
        <w:rPr>
          <w:rFonts w:hint="eastAsia" w:ascii="方正仿宋_GBK" w:hAnsi="宋体" w:eastAsia="方正仿宋_GBK"/>
          <w:sz w:val="24"/>
        </w:rPr>
        <w:t>二、限额以下磋商评分文件</w:t>
      </w:r>
      <w:bookmarkEnd w:id="79"/>
      <w:bookmarkEnd w:id="80"/>
      <w:bookmarkEnd w:id="81"/>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（一）限额以下磋商评分文件由采购邀请书、项目服务需求、项目商务需求、评分程序及方法、评审标准、无效响应和采购终止、供应商须知、政府采购合同</w:t>
      </w:r>
      <w:r>
        <w:rPr>
          <w:rFonts w:hint="eastAsia" w:ascii="方正仿宋_GBK" w:hAnsi="宋体" w:eastAsia="方正仿宋_GBK"/>
          <w:b/>
          <w:sz w:val="24"/>
          <w:szCs w:val="24"/>
        </w:rPr>
        <w:t>、</w:t>
      </w:r>
      <w:r>
        <w:rPr>
          <w:rFonts w:hint="eastAsia" w:ascii="方正仿宋_GBK" w:hAnsi="宋体" w:eastAsia="方正仿宋_GBK"/>
          <w:sz w:val="24"/>
          <w:szCs w:val="24"/>
        </w:rPr>
        <w:t>响应文件编制要求七部分组成。</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（三）限额以下磋商评分文件的解释</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如对限额以下磋商评分文件有疑问，必须以书面形式在提交响应文件截止时间前向采购人（或采购代理机构）要求澄清，采购人（或采购代理机构）可视具体情况做出处理或答复。如供应商未提出疑问，视为完全理解并同意本限额以下磋商评分文件。一经进入评审程序，即视为供应商已详细阅读全部文件资料，完全理解限额以下磋商评分文件所有条款内容并同意放弃对这方面有不明白及误解的权利。</w:t>
      </w:r>
      <w:bookmarkStart w:id="82" w:name="_Toc318166429"/>
      <w:bookmarkStart w:id="83" w:name="_Toc318159160"/>
      <w:bookmarkStart w:id="84" w:name="_Toc318159780"/>
      <w:bookmarkStart w:id="85" w:name="_Toc31815934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（四）本限额以下磋商评分文件中，评审小组根据与供应商进行磋商可能实质性变动的内容为限额以下磋商评分文件第二、三、六篇全部内容。</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（五）评审的依据为限额以下磋商评分文件和响应文件（含有效的书面承诺）。评审小组判断响应文件对限额以下磋商评分文件的响应，仅基于响应文件本身而不靠外部证据。</w:t>
      </w:r>
    </w:p>
    <w:bookmarkEnd w:id="82"/>
    <w:bookmarkEnd w:id="83"/>
    <w:bookmarkEnd w:id="84"/>
    <w:bookmarkEnd w:id="85"/>
    <w:p>
      <w:pPr>
        <w:pStyle w:val="5"/>
        <w:adjustRightInd w:val="0"/>
        <w:snapToGrid w:val="0"/>
        <w:spacing w:before="0" w:after="0" w:line="400" w:lineRule="exact"/>
        <w:ind w:firstLine="482" w:firstLineChars="200"/>
        <w:rPr>
          <w:rFonts w:hint="eastAsia" w:ascii="方正仿宋_GBK" w:hAnsi="宋体" w:eastAsia="方正仿宋_GBK"/>
          <w:sz w:val="24"/>
        </w:rPr>
      </w:pPr>
      <w:bookmarkStart w:id="86" w:name="_Toc102227318"/>
      <w:bookmarkStart w:id="87" w:name="_Toc106030895"/>
      <w:bookmarkStart w:id="88" w:name="_Toc76462340"/>
      <w:bookmarkStart w:id="89" w:name="_Toc342913392"/>
      <w:bookmarkStart w:id="90" w:name="_Toc179714297"/>
      <w:r>
        <w:rPr>
          <w:rFonts w:hint="eastAsia" w:ascii="方正仿宋_GBK" w:hAnsi="宋体" w:eastAsia="方正仿宋_GBK"/>
          <w:sz w:val="24"/>
        </w:rPr>
        <w:t>三、</w:t>
      </w:r>
      <w:r>
        <w:rPr>
          <w:rFonts w:hint="eastAsia" w:ascii="方正仿宋_GBK" w:hAnsi="宋体" w:eastAsia="方正仿宋_GBK"/>
          <w:sz w:val="24"/>
          <w:lang w:eastAsia="zh-CN"/>
        </w:rPr>
        <w:t>限额以下磋商评分</w:t>
      </w:r>
      <w:r>
        <w:rPr>
          <w:rFonts w:hint="eastAsia" w:ascii="方正仿宋_GBK" w:hAnsi="宋体" w:eastAsia="方正仿宋_GBK"/>
          <w:sz w:val="24"/>
        </w:rPr>
        <w:t>要求</w:t>
      </w:r>
      <w:bookmarkEnd w:id="86"/>
      <w:bookmarkEnd w:id="87"/>
      <w:bookmarkEnd w:id="88"/>
      <w:bookmarkEnd w:id="89"/>
      <w:bookmarkEnd w:id="90"/>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1.供应商应当按照采购文件的要求编制响应文件，并对采购文件提出的要求和条件作出实质性响应，响应文件原则上应装订成册提交，同时应编制完整的页码、目录。</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2.响应文件组成</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（二）联合体</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1.两个以上供应商可以组成一个联合体，以一个供应商的身份共同参与竞争。</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2.以联合体形式参加竞争的，联合体各方均应满足</w:t>
      </w:r>
      <w:r>
        <w:rPr>
          <w:rFonts w:hint="eastAsia" w:ascii="方正仿宋_GBK" w:eastAsia="方正仿宋_GBK"/>
          <w:sz w:val="24"/>
          <w:szCs w:val="24"/>
        </w:rPr>
        <w:t>供应商资格条件</w:t>
      </w:r>
      <w:r>
        <w:rPr>
          <w:rFonts w:hint="eastAsia" w:ascii="方正仿宋_GBK" w:hAnsi="宋体" w:eastAsia="方正仿宋_GBK"/>
          <w:sz w:val="24"/>
          <w:szCs w:val="24"/>
        </w:rPr>
        <w:t>（详见“第一篇”）</w:t>
      </w:r>
      <w:r>
        <w:rPr>
          <w:rFonts w:ascii="方正仿宋_GBK" w:hAnsi="宋体" w:eastAsia="方正仿宋_GBK"/>
          <w:sz w:val="24"/>
        </w:rPr>
        <w:t>联合体中有同类资质的供应商按照联合体分工承担相同工作的，应当按照资质等级较低的供应商确定资质等级。</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w:t>
      </w:r>
      <w:r>
        <w:rPr>
          <w:rFonts w:ascii="方正仿宋_GBK" w:hAnsi="宋体" w:eastAsia="方正仿宋_GBK"/>
          <w:sz w:val="24"/>
        </w:rPr>
        <w:t>以联合体形式参加政府采购活动的，联合体各方不得再单独参加或者与其他供应商另外组成联合体参加同一合同项下的政府采购活动。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5.联合体业绩计算，按照共同联合协议分工认定。</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w:t>
      </w:r>
      <w:r>
        <w:rPr>
          <w:rFonts w:ascii="方正仿宋_GBK" w:hAnsi="宋体" w:eastAsia="方正仿宋_GBK"/>
          <w:sz w:val="24"/>
          <w:szCs w:val="24"/>
        </w:rPr>
        <w:t>两个以上的自然人、法人或者其他组织组成一个联合体，以一个供应商的身份共同参加政府采购活动的，联合体成员存在不良信用记录的，视同联合体存在不良信用记录</w:t>
      </w:r>
      <w:r>
        <w:rPr>
          <w:rFonts w:hint="eastAsia" w:ascii="方正仿宋_GBK" w:hAnsi="宋体" w:eastAsia="方正仿宋_GBK"/>
          <w:sz w:val="24"/>
          <w:szCs w:val="24"/>
        </w:rPr>
        <w:t>，将</w:t>
      </w:r>
      <w:r>
        <w:rPr>
          <w:rFonts w:ascii="方正仿宋_GBK" w:hAnsi="宋体" w:eastAsia="方正仿宋_GBK"/>
          <w:sz w:val="24"/>
          <w:szCs w:val="24"/>
        </w:rPr>
        <w:t>拒绝</w:t>
      </w:r>
      <w:r>
        <w:rPr>
          <w:rFonts w:hint="eastAsia" w:ascii="方正仿宋_GBK" w:hAnsi="宋体" w:eastAsia="方正仿宋_GBK"/>
          <w:sz w:val="24"/>
          <w:szCs w:val="24"/>
        </w:rPr>
        <w:t>该联合体</w:t>
      </w:r>
      <w:r>
        <w:rPr>
          <w:rFonts w:ascii="方正仿宋_GBK" w:hAnsi="宋体" w:eastAsia="方正仿宋_GBK"/>
          <w:sz w:val="24"/>
          <w:szCs w:val="24"/>
        </w:rPr>
        <w:t>参与政府采购活动。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（三）限额以下磋商评分有效期：响应文件及有关承诺文件有效期为提交响应文件截止时间起90天。</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（四）修正错误</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2.评审小组按上述修正错误的原则及方法修正供应商的报价，供应商同意并签字确认后，修正后的报价对供应商具有约束作用。如果供应商不接受修正后的价格，将失去成为成交供应商的资格。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（五）提交响应文件的份数和签署</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1.响应文件一式</w:t>
      </w:r>
      <w:r>
        <w:rPr>
          <w:rFonts w:hint="eastAsia" w:ascii="方正仿宋_GBK" w:hAnsi="宋体" w:eastAsia="方正仿宋_GBK"/>
          <w:sz w:val="24"/>
          <w:szCs w:val="24"/>
          <w:lang w:eastAsia="zh-CN"/>
        </w:rPr>
        <w:t>三</w:t>
      </w:r>
      <w:r>
        <w:rPr>
          <w:rFonts w:hint="eastAsia" w:ascii="方正仿宋_GBK" w:hAnsi="宋体" w:eastAsia="方正仿宋_GBK"/>
          <w:sz w:val="24"/>
          <w:szCs w:val="24"/>
        </w:rPr>
        <w:t>份，其中正本一份，副本</w:t>
      </w:r>
      <w:r>
        <w:rPr>
          <w:rFonts w:hint="eastAsia" w:ascii="方正仿宋_GBK" w:hAnsi="宋体" w:eastAsia="方正仿宋_GBK"/>
          <w:sz w:val="24"/>
          <w:szCs w:val="24"/>
          <w:lang w:eastAsia="zh-CN"/>
        </w:rPr>
        <w:t>二</w:t>
      </w:r>
      <w:r>
        <w:rPr>
          <w:rFonts w:hint="eastAsia" w:ascii="方正仿宋_GBK" w:hAnsi="宋体" w:eastAsia="方正仿宋_GBK"/>
          <w:sz w:val="24"/>
          <w:szCs w:val="24"/>
        </w:rPr>
        <w:t>份，副本可为正本的复印件，应与正本一致，如出现不一致情况以正本为准。</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响应文件按采购文件“第七篇响应文件编制要求”要求签署或盖章。</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（六）响应文件的递交</w:t>
      </w:r>
    </w:p>
    <w:p>
      <w:pPr>
        <w:pStyle w:val="31"/>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响应文件的正本、副本均应密封送达限额以下磋商评分地点，应在封套上注明限额以下磋商评分项目名称、供应商名称。若正本、副本分别进行密封的，还应在封套上注明“正本”、“副本”字样。</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（七）供应商参与人员</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各个供应商应当派1-2名代表参与磋商，至少1人应为法定代表人（或其授权代表）或自然人（供应商为自然人）。</w:t>
      </w:r>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91" w:name="_Toc76462341"/>
      <w:bookmarkStart w:id="92" w:name="_Toc106030896"/>
      <w:r>
        <w:rPr>
          <w:rFonts w:hint="eastAsia" w:ascii="方正仿宋_GBK" w:hAnsi="宋体" w:eastAsia="方正仿宋_GBK"/>
          <w:sz w:val="24"/>
        </w:rPr>
        <w:t>四、成交供应商的确认和变更</w:t>
      </w:r>
      <w:bookmarkEnd w:id="91"/>
      <w:bookmarkEnd w:id="92"/>
    </w:p>
    <w:p>
      <w:pPr>
        <w:snapToGrid w:val="0"/>
        <w:spacing w:line="400" w:lineRule="exact"/>
        <w:ind w:firstLine="480" w:firstLineChars="200"/>
        <w:outlineLvl w:val="2"/>
        <w:rPr>
          <w:rFonts w:hint="eastAsia" w:ascii="方正仿宋_GBK" w:hAnsi="宋体" w:eastAsia="方正仿宋_GBK"/>
          <w:sz w:val="24"/>
          <w:szCs w:val="24"/>
        </w:rPr>
      </w:pPr>
      <w:r>
        <w:rPr>
          <w:rFonts w:hint="eastAsia" w:ascii="方正仿宋_GBK" w:hAnsi="宋体" w:eastAsia="方正仿宋_GBK"/>
          <w:sz w:val="24"/>
          <w:szCs w:val="24"/>
        </w:rPr>
        <w:t>（一）成交供应商的确认</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采购结果</w:t>
      </w:r>
      <w:r>
        <w:rPr>
          <w:rFonts w:ascii="方正仿宋_GBK" w:hAnsi="宋体" w:eastAsia="方正仿宋_GBK"/>
          <w:sz w:val="24"/>
          <w:szCs w:val="24"/>
        </w:rPr>
        <w:t>应当在评审结束后</w:t>
      </w:r>
      <w:r>
        <w:rPr>
          <w:rFonts w:hint="eastAsia" w:ascii="方正仿宋_GBK" w:hAnsi="宋体" w:eastAsia="方正仿宋_GBK"/>
          <w:sz w:val="24"/>
          <w:szCs w:val="24"/>
        </w:rPr>
        <w:t>5</w:t>
      </w:r>
      <w:r>
        <w:rPr>
          <w:rFonts w:ascii="方正仿宋_GBK" w:hAnsi="宋体" w:eastAsia="方正仿宋_GBK"/>
          <w:sz w:val="24"/>
          <w:szCs w:val="24"/>
        </w:rPr>
        <w:t>个工作日内</w:t>
      </w:r>
      <w:r>
        <w:rPr>
          <w:rFonts w:hint="eastAsia" w:ascii="方正仿宋_GBK" w:hAnsi="宋体" w:eastAsia="方正仿宋_GBK"/>
          <w:sz w:val="24"/>
          <w:szCs w:val="24"/>
        </w:rPr>
        <w:t>发布</w:t>
      </w:r>
      <w:r>
        <w:rPr>
          <w:rFonts w:ascii="方正仿宋_GBK" w:hAnsi="宋体" w:eastAsia="方正仿宋_GBK"/>
          <w:sz w:val="24"/>
          <w:szCs w:val="24"/>
        </w:rPr>
        <w:t>。采购人应当</w:t>
      </w:r>
      <w:r>
        <w:rPr>
          <w:rFonts w:hint="eastAsia" w:ascii="方正仿宋_GBK" w:hAnsi="宋体" w:eastAsia="方正仿宋_GBK"/>
          <w:sz w:val="24"/>
          <w:szCs w:val="24"/>
        </w:rPr>
        <w:t>从评审结论意见提出的成交候选供应商中，按照排序由高到低的原则确定成交供应商。采购人逾期未确定成交供应商且不提出异议的，视为确定评审结论意见提出的排序第一的供应商为成交供应商。</w:t>
      </w:r>
    </w:p>
    <w:p>
      <w:pPr>
        <w:snapToGrid w:val="0"/>
        <w:spacing w:line="400" w:lineRule="exact"/>
        <w:ind w:firstLine="480" w:firstLineChars="200"/>
        <w:outlineLvl w:val="2"/>
        <w:rPr>
          <w:rFonts w:hint="eastAsia"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eastAsia="方正仿宋_GBK"/>
          <w:sz w:val="24"/>
        </w:rPr>
        <w:t>成交供应商拒绝与采购人签订合同的，采购人可以按照评审意见推荐的成交候选供应商顺序，确定排名下一位的候选人为成交供应商，也可以重新开展政府采购活动。</w:t>
      </w:r>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93" w:name="_Toc102227321"/>
      <w:bookmarkStart w:id="94" w:name="_Toc76462342"/>
      <w:bookmarkStart w:id="95" w:name="_Toc106030897"/>
      <w:bookmarkStart w:id="96" w:name="_Toc342913395"/>
      <w:r>
        <w:rPr>
          <w:rFonts w:hint="eastAsia" w:ascii="方正仿宋_GBK" w:hAnsi="宋体" w:eastAsia="方正仿宋_GBK"/>
          <w:sz w:val="24"/>
        </w:rPr>
        <w:t>五、成交通知</w:t>
      </w:r>
      <w:bookmarkEnd w:id="93"/>
      <w:bookmarkEnd w:id="94"/>
      <w:bookmarkEnd w:id="95"/>
      <w:bookmarkEnd w:id="96"/>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（一）成交供应商确定后，采购代理机构将在重庆市交通局官网上发布成交结果公告。</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（三）成交结果公告将作为签订合同的依据。</w:t>
      </w:r>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97" w:name="_Toc106030898"/>
      <w:bookmarkStart w:id="98" w:name="_Toc76462343"/>
      <w:r>
        <w:rPr>
          <w:rFonts w:hint="eastAsia" w:ascii="方正仿宋_GBK" w:hAnsi="宋体" w:eastAsia="方正仿宋_GBK"/>
          <w:sz w:val="24"/>
        </w:rPr>
        <w:t>六、关于质疑和投诉</w:t>
      </w:r>
      <w:bookmarkEnd w:id="97"/>
      <w:bookmarkEnd w:id="98"/>
    </w:p>
    <w:p>
      <w:pPr>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（一）质疑</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供应商认为采购文件、采购过程和成交结果使自己的权益收到伤害的，可向采购人或采购代理机构以书面形式提出质疑。</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提出质疑的应当是参与所质疑项目采购活动的供应商。 </w:t>
      </w:r>
    </w:p>
    <w:p>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1.2.2质疑项目的名称、项目号以及采购执行编号；</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99" w:name="_Toc102227322"/>
      <w:bookmarkStart w:id="100" w:name="_Toc76462346"/>
      <w:bookmarkStart w:id="101" w:name="_Toc342913396"/>
      <w:bookmarkStart w:id="102" w:name="_Toc106030901"/>
      <w:bookmarkStart w:id="103" w:name="_Toc12789059"/>
      <w:bookmarkStart w:id="104" w:name="_Toc11641055"/>
      <w:r>
        <w:rPr>
          <w:rFonts w:hint="eastAsia" w:ascii="方正仿宋_GBK" w:hAnsi="宋体" w:eastAsia="方正仿宋_GBK"/>
          <w:sz w:val="24"/>
          <w:lang w:eastAsia="zh-CN"/>
        </w:rPr>
        <w:t>七</w:t>
      </w:r>
      <w:r>
        <w:rPr>
          <w:rFonts w:hint="eastAsia" w:ascii="方正仿宋_GBK" w:hAnsi="宋体" w:eastAsia="方正仿宋_GBK"/>
          <w:sz w:val="24"/>
        </w:rPr>
        <w:t>、签订</w:t>
      </w:r>
      <w:bookmarkEnd w:id="99"/>
      <w:r>
        <w:rPr>
          <w:rFonts w:hint="eastAsia" w:ascii="方正仿宋_GBK" w:hAnsi="宋体" w:eastAsia="方正仿宋_GBK"/>
          <w:sz w:val="24"/>
        </w:rPr>
        <w:t>合同</w:t>
      </w:r>
      <w:bookmarkEnd w:id="100"/>
      <w:bookmarkEnd w:id="101"/>
      <w:bookmarkEnd w:id="102"/>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105" w:name="_Toc106030902"/>
      <w:r>
        <w:rPr>
          <w:rFonts w:hint="eastAsia" w:ascii="方正仿宋_GBK" w:hAnsi="宋体" w:eastAsia="方正仿宋_GBK"/>
          <w:sz w:val="24"/>
          <w:lang w:eastAsia="zh-CN"/>
        </w:rPr>
        <w:t>八</w:t>
      </w:r>
      <w:r>
        <w:rPr>
          <w:rFonts w:hint="eastAsia" w:ascii="方正仿宋_GBK" w:hAnsi="宋体" w:eastAsia="方正仿宋_GBK"/>
          <w:sz w:val="24"/>
        </w:rPr>
        <w:t>、项目验收</w:t>
      </w:r>
      <w:bookmarkEnd w:id="105"/>
    </w:p>
    <w:p>
      <w:pPr>
        <w:spacing w:line="400" w:lineRule="exact"/>
        <w:ind w:firstLine="480" w:firstLineChars="200"/>
        <w:rPr>
          <w:rFonts w:hint="eastAsia" w:ascii="方正仿宋_GBK" w:hAnsi="宋体" w:eastAsia="方正仿宋_GBK"/>
          <w:sz w:val="24"/>
          <w:szCs w:val="24"/>
        </w:rPr>
      </w:pPr>
      <w:r>
        <w:rPr>
          <w:rFonts w:hint="eastAsia" w:ascii="方正仿宋_GBK" w:hAnsi="方正仿宋_GBK" w:eastAsia="方正仿宋_GBK"/>
          <w:sz w:val="24"/>
        </w:rPr>
        <w:t>合同执行完毕，采购人或采购代理机构原则上应在7个工作日内组织履约情况验收，不得无故拖延或附加额外条件。</w:t>
      </w:r>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106" w:name="_Toc76462344"/>
      <w:bookmarkStart w:id="107" w:name="_Toc106030899"/>
      <w:r>
        <w:rPr>
          <w:rFonts w:hint="eastAsia" w:ascii="方正仿宋_GBK" w:hAnsi="宋体" w:eastAsia="方正仿宋_GBK"/>
          <w:sz w:val="24"/>
          <w:lang w:eastAsia="zh-CN"/>
        </w:rPr>
        <w:t>九</w:t>
      </w:r>
      <w:r>
        <w:rPr>
          <w:rFonts w:hint="eastAsia" w:ascii="方正仿宋_GBK" w:hAnsi="宋体" w:eastAsia="方正仿宋_GBK"/>
          <w:sz w:val="24"/>
        </w:rPr>
        <w:t>、采购代理服务费</w:t>
      </w:r>
      <w:bookmarkEnd w:id="106"/>
      <w:bookmarkEnd w:id="107"/>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供应商成交后向采购代理机构缴纳采购代理服务费，服务费的收取标准为按照计价格[2002]1980号文件规定下浮36%计取，但不低于2700元。</w:t>
      </w:r>
    </w:p>
    <w:p>
      <w:pPr>
        <w:pStyle w:val="5"/>
        <w:spacing w:before="0" w:after="0" w:line="360" w:lineRule="auto"/>
        <w:jc w:val="center"/>
        <w:rPr>
          <w:rFonts w:hint="eastAsia" w:ascii="方正小标宋_GBK" w:hAnsi="宋体" w:eastAsia="方正小标宋_GBK"/>
          <w:b w:val="0"/>
          <w:sz w:val="36"/>
          <w:szCs w:val="30"/>
        </w:rPr>
      </w:pPr>
      <w:r>
        <w:rPr>
          <w:rFonts w:ascii="宋体" w:hAnsi="宋体" w:eastAsia="宋体"/>
          <w:sz w:val="36"/>
          <w:szCs w:val="30"/>
        </w:rPr>
        <w:br w:type="page"/>
      </w:r>
      <w:bookmarkStart w:id="108" w:name="_Toc76462348"/>
      <w:bookmarkStart w:id="109" w:name="_Toc106030904"/>
      <w:r>
        <w:rPr>
          <w:rFonts w:hint="eastAsia" w:ascii="方正小标宋_GBK" w:hAnsi="宋体" w:eastAsia="方正小标宋_GBK"/>
          <w:b w:val="0"/>
          <w:sz w:val="36"/>
          <w:szCs w:val="30"/>
        </w:rPr>
        <w:t xml:space="preserve">第六篇  </w:t>
      </w:r>
      <w:bookmarkEnd w:id="103"/>
      <w:bookmarkEnd w:id="104"/>
      <w:r>
        <w:rPr>
          <w:rFonts w:hint="eastAsia" w:ascii="方正小标宋_GBK" w:hAnsi="宋体" w:eastAsia="方正小标宋_GBK"/>
          <w:b w:val="0"/>
          <w:sz w:val="36"/>
          <w:szCs w:val="30"/>
        </w:rPr>
        <w:t>政府采购合同</w:t>
      </w:r>
      <w:bookmarkEnd w:id="108"/>
      <w:bookmarkEnd w:id="109"/>
    </w:p>
    <w:p>
      <w:pPr>
        <w:spacing w:line="500" w:lineRule="exact"/>
        <w:jc w:val="center"/>
        <w:rPr>
          <w:rFonts w:hint="eastAsia" w:ascii="方正仿宋_GBK" w:eastAsia="方正仿宋_GBK"/>
          <w:b/>
          <w:sz w:val="44"/>
        </w:rPr>
      </w:pPr>
      <w:r>
        <w:rPr>
          <w:rFonts w:hint="eastAsia" w:ascii="方正仿宋_GBK" w:eastAsia="方正仿宋_GBK"/>
          <w:b/>
          <w:sz w:val="44"/>
        </w:rPr>
        <w:t>重庆市政府采购合同</w:t>
      </w:r>
    </w:p>
    <w:p>
      <w:pPr>
        <w:spacing w:line="500" w:lineRule="exact"/>
        <w:rPr>
          <w:rFonts w:hint="eastAsia" w:ascii="方正仿宋_GBK" w:eastAsia="方正仿宋_GBK"/>
        </w:rPr>
      </w:pPr>
    </w:p>
    <w:p>
      <w:pPr>
        <w:spacing w:line="500" w:lineRule="exact"/>
        <w:rPr>
          <w:rFonts w:hint="eastAsia"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hint="eastAsia"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hint="eastAsia" w:ascii="方正仿宋_GBK" w:eastAsia="方正仿宋_GBK"/>
          <w:sz w:val="24"/>
        </w:rPr>
      </w:pPr>
      <w:r>
        <w:rPr>
          <w:rFonts w:hint="eastAsia" w:ascii="方正仿宋_GBK" w:eastAsia="方正仿宋_GBK"/>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项目名称</w:t>
            </w:r>
          </w:p>
        </w:tc>
        <w:tc>
          <w:tcPr>
            <w:tcW w:w="984" w:type="dxa"/>
            <w:noWrap w:val="0"/>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数量</w:t>
            </w:r>
          </w:p>
        </w:tc>
        <w:tc>
          <w:tcPr>
            <w:tcW w:w="1298" w:type="dxa"/>
            <w:gridSpan w:val="2"/>
            <w:noWrap w:val="0"/>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综合单价</w:t>
            </w:r>
          </w:p>
        </w:tc>
        <w:tc>
          <w:tcPr>
            <w:tcW w:w="1134" w:type="dxa"/>
            <w:noWrap w:val="0"/>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总价</w:t>
            </w:r>
          </w:p>
        </w:tc>
        <w:tc>
          <w:tcPr>
            <w:tcW w:w="1559" w:type="dxa"/>
            <w:noWrap w:val="0"/>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服务时间</w:t>
            </w:r>
          </w:p>
        </w:tc>
        <w:tc>
          <w:tcPr>
            <w:tcW w:w="1567" w:type="dxa"/>
            <w:noWrap w:val="0"/>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方正仿宋_GBK" w:eastAsia="方正仿宋_GBK"/>
                <w:sz w:val="21"/>
                <w:szCs w:val="21"/>
              </w:rPr>
            </w:pPr>
          </w:p>
        </w:tc>
        <w:tc>
          <w:tcPr>
            <w:tcW w:w="984" w:type="dxa"/>
            <w:noWrap w:val="0"/>
            <w:vAlign w:val="center"/>
          </w:tcPr>
          <w:p>
            <w:pPr>
              <w:spacing w:line="240" w:lineRule="atLeast"/>
              <w:jc w:val="center"/>
              <w:rPr>
                <w:rFonts w:hint="eastAsia" w:ascii="方正仿宋_GBK" w:eastAsia="方正仿宋_GBK"/>
                <w:sz w:val="21"/>
                <w:szCs w:val="21"/>
              </w:rPr>
            </w:pPr>
          </w:p>
        </w:tc>
        <w:tc>
          <w:tcPr>
            <w:tcW w:w="1298" w:type="dxa"/>
            <w:gridSpan w:val="2"/>
            <w:noWrap w:val="0"/>
            <w:vAlign w:val="center"/>
          </w:tcPr>
          <w:p>
            <w:pPr>
              <w:spacing w:line="240" w:lineRule="atLeast"/>
              <w:jc w:val="center"/>
              <w:rPr>
                <w:rFonts w:hint="eastAsia" w:ascii="方正仿宋_GBK" w:eastAsia="方正仿宋_GBK"/>
                <w:sz w:val="21"/>
                <w:szCs w:val="21"/>
              </w:rPr>
            </w:pPr>
          </w:p>
        </w:tc>
        <w:tc>
          <w:tcPr>
            <w:tcW w:w="1134" w:type="dxa"/>
            <w:noWrap w:val="0"/>
            <w:vAlign w:val="center"/>
          </w:tcPr>
          <w:p>
            <w:pPr>
              <w:spacing w:line="240" w:lineRule="atLeast"/>
              <w:jc w:val="center"/>
              <w:rPr>
                <w:rFonts w:hint="eastAsia" w:ascii="方正仿宋_GBK" w:eastAsia="方正仿宋_GBK"/>
                <w:sz w:val="21"/>
                <w:szCs w:val="21"/>
              </w:rPr>
            </w:pPr>
          </w:p>
        </w:tc>
        <w:tc>
          <w:tcPr>
            <w:tcW w:w="1559" w:type="dxa"/>
            <w:noWrap w:val="0"/>
            <w:vAlign w:val="center"/>
          </w:tcPr>
          <w:p>
            <w:pPr>
              <w:spacing w:line="240" w:lineRule="atLeast"/>
              <w:jc w:val="center"/>
              <w:rPr>
                <w:rFonts w:hint="eastAsia" w:ascii="方正仿宋_GBK" w:eastAsia="方正仿宋_GBK"/>
                <w:sz w:val="21"/>
                <w:szCs w:val="21"/>
              </w:rPr>
            </w:pPr>
          </w:p>
        </w:tc>
        <w:tc>
          <w:tcPr>
            <w:tcW w:w="1567" w:type="dxa"/>
            <w:noWrap w:val="0"/>
            <w:vAlign w:val="center"/>
          </w:tcPr>
          <w:p>
            <w:pPr>
              <w:spacing w:line="240" w:lineRule="atLeast"/>
              <w:jc w:val="center"/>
              <w:rPr>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pPr>
              <w:spacing w:line="240" w:lineRule="atLeast"/>
              <w:jc w:val="center"/>
              <w:rPr>
                <w:rFonts w:hint="eastAsia" w:ascii="方正仿宋_GBK" w:eastAsia="方正仿宋_GBK"/>
                <w:sz w:val="21"/>
                <w:szCs w:val="21"/>
              </w:rPr>
            </w:pPr>
          </w:p>
        </w:tc>
        <w:tc>
          <w:tcPr>
            <w:tcW w:w="984" w:type="dxa"/>
            <w:noWrap w:val="0"/>
            <w:vAlign w:val="center"/>
          </w:tcPr>
          <w:p>
            <w:pPr>
              <w:spacing w:line="240" w:lineRule="atLeast"/>
              <w:jc w:val="center"/>
              <w:rPr>
                <w:rFonts w:hint="eastAsia" w:ascii="方正仿宋_GBK" w:eastAsia="方正仿宋_GBK"/>
                <w:sz w:val="21"/>
                <w:szCs w:val="21"/>
              </w:rPr>
            </w:pPr>
          </w:p>
        </w:tc>
        <w:tc>
          <w:tcPr>
            <w:tcW w:w="1298" w:type="dxa"/>
            <w:gridSpan w:val="2"/>
            <w:noWrap w:val="0"/>
            <w:vAlign w:val="center"/>
          </w:tcPr>
          <w:p>
            <w:pPr>
              <w:spacing w:line="240" w:lineRule="atLeast"/>
              <w:jc w:val="center"/>
              <w:rPr>
                <w:rFonts w:hint="eastAsia" w:ascii="方正仿宋_GBK" w:eastAsia="方正仿宋_GBK"/>
                <w:sz w:val="21"/>
                <w:szCs w:val="21"/>
              </w:rPr>
            </w:pPr>
          </w:p>
        </w:tc>
        <w:tc>
          <w:tcPr>
            <w:tcW w:w="1134" w:type="dxa"/>
            <w:noWrap w:val="0"/>
            <w:vAlign w:val="center"/>
          </w:tcPr>
          <w:p>
            <w:pPr>
              <w:spacing w:line="240" w:lineRule="atLeast"/>
              <w:jc w:val="center"/>
              <w:rPr>
                <w:rFonts w:hint="eastAsia" w:ascii="方正仿宋_GBK" w:eastAsia="方正仿宋_GBK"/>
                <w:sz w:val="21"/>
                <w:szCs w:val="21"/>
              </w:rPr>
            </w:pPr>
          </w:p>
        </w:tc>
        <w:tc>
          <w:tcPr>
            <w:tcW w:w="1559" w:type="dxa"/>
            <w:noWrap w:val="0"/>
            <w:vAlign w:val="center"/>
          </w:tcPr>
          <w:p>
            <w:pPr>
              <w:spacing w:line="240" w:lineRule="atLeast"/>
              <w:jc w:val="center"/>
              <w:rPr>
                <w:rFonts w:hint="eastAsia" w:ascii="方正仿宋_GBK" w:eastAsia="方正仿宋_GBK"/>
                <w:sz w:val="21"/>
                <w:szCs w:val="21"/>
              </w:rPr>
            </w:pPr>
          </w:p>
        </w:tc>
        <w:tc>
          <w:tcPr>
            <w:tcW w:w="1567" w:type="dxa"/>
            <w:noWrap w:val="0"/>
            <w:vAlign w:val="center"/>
          </w:tcPr>
          <w:p>
            <w:pPr>
              <w:spacing w:line="240" w:lineRule="atLeast"/>
              <w:jc w:val="center"/>
              <w:rPr>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pPr>
              <w:spacing w:line="240" w:lineRule="atLeast"/>
              <w:rPr>
                <w:rFonts w:hint="eastAsia"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0"/>
            <w:vAlign w:val="center"/>
          </w:tcPr>
          <w:p>
            <w:pPr>
              <w:spacing w:line="240" w:lineRule="atLeast"/>
              <w:rPr>
                <w:rFonts w:hint="eastAsia"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val="0"/>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val="0"/>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val="0"/>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noWrap w:val="0"/>
            <w:vAlign w:val="top"/>
          </w:tcPr>
          <w:p>
            <w:pPr>
              <w:rPr>
                <w:rFonts w:hint="eastAsia"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pPr>
              <w:rPr>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五、违约责任：</w:t>
            </w:r>
          </w:p>
          <w:p>
            <w:pPr>
              <w:spacing w:line="240" w:lineRule="atLeast"/>
              <w:rPr>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六、其他约定事项：</w:t>
            </w:r>
          </w:p>
          <w:p>
            <w:pPr>
              <w:spacing w:line="240" w:lineRule="atLeast"/>
              <w:rPr>
                <w:rFonts w:hint="eastAsia"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hint="eastAsia"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hint="eastAsia"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hint="eastAsia"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需方：</w:t>
            </w:r>
          </w:p>
          <w:p>
            <w:pPr>
              <w:spacing w:line="240" w:lineRule="atLeast"/>
              <w:rPr>
                <w:rFonts w:hint="eastAsia" w:ascii="方正仿宋_GBK" w:eastAsia="方正仿宋_GBK"/>
                <w:sz w:val="21"/>
                <w:szCs w:val="21"/>
              </w:rPr>
            </w:pPr>
            <w:r>
              <w:rPr>
                <w:rFonts w:hint="eastAsia" w:ascii="方正仿宋_GBK" w:eastAsia="方正仿宋_GBK"/>
                <w:sz w:val="21"/>
                <w:szCs w:val="21"/>
              </w:rPr>
              <w:t>地址：</w:t>
            </w:r>
          </w:p>
          <w:p>
            <w:pPr>
              <w:spacing w:line="240" w:lineRule="atLeast"/>
              <w:rPr>
                <w:rFonts w:hint="eastAsia" w:ascii="方正仿宋_GBK" w:eastAsia="方正仿宋_GBK"/>
                <w:sz w:val="21"/>
                <w:szCs w:val="21"/>
              </w:rPr>
            </w:pPr>
            <w:r>
              <w:rPr>
                <w:rFonts w:hint="eastAsia" w:ascii="方正仿宋_GBK" w:eastAsia="方正仿宋_GBK"/>
                <w:sz w:val="21"/>
                <w:szCs w:val="21"/>
              </w:rPr>
              <w:t>联系电话：</w:t>
            </w:r>
          </w:p>
          <w:p>
            <w:pPr>
              <w:spacing w:line="240" w:lineRule="atLeast"/>
              <w:rPr>
                <w:rFonts w:hint="eastAsia" w:ascii="方正仿宋_GBK" w:eastAsia="方正仿宋_GBK"/>
                <w:sz w:val="21"/>
                <w:szCs w:val="21"/>
              </w:rPr>
            </w:pPr>
            <w:r>
              <w:rPr>
                <w:rFonts w:hint="eastAsia" w:ascii="方正仿宋_GBK" w:eastAsia="方正仿宋_GBK"/>
                <w:sz w:val="21"/>
                <w:szCs w:val="21"/>
              </w:rPr>
              <w:t>授权代表：</w:t>
            </w:r>
          </w:p>
        </w:tc>
        <w:tc>
          <w:tcPr>
            <w:tcW w:w="4984" w:type="dxa"/>
            <w:gridSpan w:val="5"/>
            <w:noWrap w:val="0"/>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供方：</w:t>
            </w:r>
          </w:p>
          <w:p>
            <w:pPr>
              <w:spacing w:line="240" w:lineRule="atLeast"/>
              <w:rPr>
                <w:rFonts w:hint="eastAsia" w:ascii="方正仿宋_GBK" w:eastAsia="方正仿宋_GBK"/>
                <w:sz w:val="21"/>
                <w:szCs w:val="21"/>
              </w:rPr>
            </w:pPr>
            <w:r>
              <w:rPr>
                <w:rFonts w:hint="eastAsia" w:ascii="方正仿宋_GBK" w:eastAsia="方正仿宋_GBK"/>
                <w:sz w:val="21"/>
                <w:szCs w:val="21"/>
              </w:rPr>
              <w:t>地址：</w:t>
            </w:r>
          </w:p>
          <w:p>
            <w:pPr>
              <w:spacing w:line="240" w:lineRule="atLeast"/>
              <w:rPr>
                <w:rFonts w:hint="eastAsia" w:ascii="方正仿宋_GBK" w:eastAsia="方正仿宋_GBK"/>
                <w:sz w:val="21"/>
                <w:szCs w:val="21"/>
              </w:rPr>
            </w:pPr>
            <w:r>
              <w:rPr>
                <w:rFonts w:hint="eastAsia" w:ascii="方正仿宋_GBK" w:eastAsia="方正仿宋_GBK"/>
                <w:sz w:val="21"/>
                <w:szCs w:val="21"/>
              </w:rPr>
              <w:t>电话：</w:t>
            </w:r>
          </w:p>
          <w:p>
            <w:pPr>
              <w:spacing w:line="240" w:lineRule="atLeast"/>
              <w:rPr>
                <w:rFonts w:hint="eastAsia" w:ascii="方正仿宋_GBK" w:eastAsia="方正仿宋_GBK"/>
                <w:sz w:val="21"/>
                <w:szCs w:val="21"/>
              </w:rPr>
            </w:pPr>
            <w:r>
              <w:rPr>
                <w:rFonts w:hint="eastAsia" w:ascii="方正仿宋_GBK" w:eastAsia="方正仿宋_GBK"/>
                <w:sz w:val="21"/>
                <w:szCs w:val="21"/>
              </w:rPr>
              <w:t>传真：</w:t>
            </w:r>
          </w:p>
          <w:p>
            <w:pPr>
              <w:spacing w:line="240" w:lineRule="atLeast"/>
              <w:rPr>
                <w:rFonts w:hint="eastAsia" w:ascii="方正仿宋_GBK" w:eastAsia="方正仿宋_GBK"/>
                <w:sz w:val="21"/>
                <w:szCs w:val="21"/>
              </w:rPr>
            </w:pPr>
            <w:r>
              <w:rPr>
                <w:rFonts w:hint="eastAsia" w:ascii="方正仿宋_GBK" w:eastAsia="方正仿宋_GBK"/>
                <w:sz w:val="21"/>
                <w:szCs w:val="21"/>
              </w:rPr>
              <w:t>开户银行：</w:t>
            </w:r>
          </w:p>
          <w:p>
            <w:pPr>
              <w:spacing w:line="240" w:lineRule="atLeast"/>
              <w:rPr>
                <w:rFonts w:hint="eastAsia" w:ascii="方正仿宋_GBK" w:eastAsia="方正仿宋_GBK"/>
                <w:sz w:val="21"/>
                <w:szCs w:val="21"/>
              </w:rPr>
            </w:pPr>
            <w:r>
              <w:rPr>
                <w:rFonts w:hint="eastAsia" w:ascii="方正仿宋_GBK" w:eastAsia="方正仿宋_GBK"/>
                <w:sz w:val="21"/>
                <w:szCs w:val="21"/>
              </w:rPr>
              <w:t>账号：</w:t>
            </w:r>
          </w:p>
          <w:p>
            <w:pPr>
              <w:spacing w:line="240" w:lineRule="atLeast"/>
              <w:rPr>
                <w:rFonts w:hint="eastAsia"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hint="eastAsia"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val="0"/>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备注：</w:t>
            </w:r>
          </w:p>
          <w:p>
            <w:pPr>
              <w:spacing w:line="240" w:lineRule="atLeast"/>
              <w:rPr>
                <w:rFonts w:hint="eastAsia" w:ascii="方正仿宋_GBK" w:eastAsia="方正仿宋_GBK"/>
                <w:sz w:val="21"/>
                <w:szCs w:val="21"/>
              </w:rPr>
            </w:pPr>
          </w:p>
          <w:p>
            <w:pPr>
              <w:spacing w:line="240" w:lineRule="atLeast"/>
              <w:rPr>
                <w:rFonts w:hint="eastAsia" w:ascii="方正仿宋_GBK" w:eastAsia="方正仿宋_GBK"/>
                <w:sz w:val="21"/>
                <w:szCs w:val="21"/>
              </w:rPr>
            </w:pPr>
          </w:p>
        </w:tc>
      </w:tr>
    </w:tbl>
    <w:p>
      <w:pPr>
        <w:rPr>
          <w:rFonts w:hint="eastAsia"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hint="eastAsia" w:ascii="方正仿宋_GBK" w:eastAsia="方正仿宋_GBK"/>
          <w:sz w:val="21"/>
          <w:szCs w:val="21"/>
        </w:rPr>
        <w:sectPr>
          <w:footerReference r:id="rId19" w:type="default"/>
          <w:footerReference r:id="rId20" w:type="even"/>
          <w:pgSz w:w="11907" w:h="16840"/>
          <w:pgMar w:top="1134" w:right="1191" w:bottom="1134" w:left="1304" w:header="964" w:footer="992" w:gutter="0"/>
          <w:pgNumType w:fmt="numberInDash"/>
          <w:cols w:space="720" w:num="1"/>
          <w:docGrid w:linePitch="312" w:charSpace="0"/>
        </w:sectPr>
      </w:pPr>
    </w:p>
    <w:p>
      <w:pPr>
        <w:pStyle w:val="5"/>
        <w:spacing w:before="0" w:after="0" w:line="360" w:lineRule="auto"/>
        <w:jc w:val="center"/>
        <w:rPr>
          <w:rFonts w:hint="eastAsia" w:ascii="方正小标宋_GBK" w:hAnsi="宋体" w:eastAsia="方正小标宋_GBK"/>
          <w:b w:val="0"/>
          <w:sz w:val="36"/>
          <w:szCs w:val="30"/>
        </w:rPr>
      </w:pPr>
      <w:bookmarkStart w:id="110" w:name="_Hlt41879464"/>
      <w:bookmarkEnd w:id="110"/>
      <w:bookmarkStart w:id="111" w:name="_Toc106030905"/>
      <w:bookmarkStart w:id="112" w:name="_Toc76462349"/>
      <w:r>
        <w:rPr>
          <w:rFonts w:hint="eastAsia" w:ascii="方正小标宋_GBK" w:hAnsi="宋体" w:eastAsia="方正小标宋_GBK"/>
          <w:b w:val="0"/>
          <w:sz w:val="36"/>
          <w:szCs w:val="30"/>
        </w:rPr>
        <w:t>第七篇  响应文件编制要求</w:t>
      </w:r>
      <w:bookmarkEnd w:id="111"/>
      <w:bookmarkEnd w:id="11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一、经济部分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（二）明细报价表（对老君滩、葫芦碛地形图测量、成图及报告编制进行明细报价）</w:t>
      </w:r>
    </w:p>
    <w:p>
      <w:pPr>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二、服务</w:t>
      </w:r>
      <w:r>
        <w:rPr>
          <w:rFonts w:hint="eastAsia" w:ascii="方正仿宋_GBK" w:hAnsi="宋体" w:eastAsia="方正仿宋_GBK"/>
          <w:sz w:val="24"/>
          <w:szCs w:val="24"/>
          <w:lang w:eastAsia="zh-CN"/>
        </w:rPr>
        <w:t>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三、商务</w:t>
      </w:r>
      <w:r>
        <w:rPr>
          <w:rFonts w:hint="eastAsia" w:ascii="方正仿宋_GBK" w:hAnsi="宋体" w:eastAsia="方正仿宋_GBK"/>
          <w:sz w:val="24"/>
          <w:szCs w:val="24"/>
          <w:lang w:eastAsia="zh-CN"/>
        </w:rPr>
        <w:t>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（一）商务响应偏离表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四、资格条件及其他</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五、其他资料</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一</w:t>
      </w:r>
      <w:r>
        <w:rPr>
          <w:rFonts w:hint="eastAsia" w:ascii="方正仿宋_GBK" w:hAnsi="宋体" w:eastAsia="方正仿宋_GBK"/>
          <w:sz w:val="24"/>
          <w:szCs w:val="24"/>
        </w:rPr>
        <w:t>）其他与项目有关的资料（自附）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113" w:name="_Toc313008356"/>
      <w:bookmarkStart w:id="114" w:name="_Toc342913419"/>
      <w:bookmarkStart w:id="115" w:name="_Toc106030906"/>
      <w:bookmarkStart w:id="116" w:name="_Toc76462350"/>
      <w:bookmarkStart w:id="117" w:name="_Toc313888360"/>
      <w:bookmarkStart w:id="118" w:name="_Toc12789073"/>
      <w:bookmarkStart w:id="119" w:name="_Toc283382454"/>
      <w:r>
        <w:rPr>
          <w:rFonts w:hint="eastAsia" w:ascii="方正仿宋_GBK" w:hAnsi="宋体" w:eastAsia="方正仿宋_GBK"/>
          <w:sz w:val="24"/>
        </w:rPr>
        <w:t>一、经济部分</w:t>
      </w:r>
      <w:bookmarkEnd w:id="113"/>
      <w:bookmarkEnd w:id="114"/>
      <w:bookmarkEnd w:id="115"/>
      <w:bookmarkEnd w:id="116"/>
      <w:bookmarkEnd w:id="117"/>
    </w:p>
    <w:bookmarkEnd w:id="118"/>
    <w:bookmarkEnd w:id="119"/>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jc w:val="center"/>
        <w:rPr>
          <w:rFonts w:hint="eastAsia" w:ascii="方正仿宋_GBK" w:eastAsia="方正仿宋_GBK"/>
          <w:b/>
          <w:szCs w:val="28"/>
        </w:rPr>
      </w:pPr>
      <w:r>
        <w:rPr>
          <w:rFonts w:hint="eastAsia" w:ascii="方正仿宋_GBK" w:eastAsia="方正仿宋_GBK"/>
          <w:b/>
          <w:szCs w:val="28"/>
        </w:rPr>
        <w:t>报价函</w:t>
      </w:r>
    </w:p>
    <w:p>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我方收到____________________________（项目名称）的限额以下磋商评分文件，经详细研究，决定参加该项目的竞争。</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1.愿意按照限额以下磋商评分文件中的一切要求，提供本项目的服务，初始报价为人民币大写：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3.我方承诺：本次限额以下磋商评分的有效期为提交响应文件截止时间起90天。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4.我方完全理解和接受贵方限额以下磋商评分文件的一切规定和要求及评审办法。</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5.在整个限额以下磋商评分过程中，我方若有违规行为，接受按照《中华人民共和国政府采购法》和《限额以下磋商评分文件》之规定给予惩罚。</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7.如果我方成为成交供应商，保证在接到成交通知书后，向采购代理机构</w:t>
      </w:r>
      <w:r>
        <w:rPr>
          <w:rFonts w:hint="eastAsia" w:ascii="方正仿宋_GBK" w:hAnsi="宋体" w:eastAsia="方正仿宋_GBK"/>
          <w:sz w:val="24"/>
        </w:rPr>
        <w:t>缴纳</w:t>
      </w:r>
      <w:r>
        <w:rPr>
          <w:rFonts w:hint="eastAsia" w:ascii="方正仿宋_GBK" w:hAnsi="宋体" w:eastAsia="方正仿宋_GBK"/>
          <w:sz w:val="24"/>
          <w:szCs w:val="24"/>
        </w:rPr>
        <w:t>采购文件规定的采购代理服务费。</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sz w:val="24"/>
          <w:szCs w:val="24"/>
        </w:rPr>
      </w:pP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tabs>
          <w:tab w:val="left" w:pos="2895"/>
        </w:tabs>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（二）明细报价表（对老君滩、葫芦碛地形图测量、成图及报告编制进行明细报价）</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br w:type="page"/>
      </w:r>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120" w:name="_Toc76462351"/>
      <w:bookmarkStart w:id="121" w:name="_Toc313888361"/>
      <w:bookmarkStart w:id="122" w:name="_Toc342913420"/>
      <w:bookmarkStart w:id="123" w:name="_Toc313008357"/>
      <w:bookmarkStart w:id="124" w:name="_Toc106030907"/>
      <w:r>
        <w:rPr>
          <w:rFonts w:hint="eastAsia" w:ascii="方正仿宋_GBK" w:hAnsi="宋体" w:eastAsia="方正仿宋_GBK"/>
          <w:sz w:val="24"/>
        </w:rPr>
        <w:t>二、服务部分</w:t>
      </w:r>
      <w:bookmarkEnd w:id="120"/>
      <w:bookmarkEnd w:id="121"/>
      <w:bookmarkEnd w:id="122"/>
      <w:bookmarkEnd w:id="123"/>
      <w:bookmarkEnd w:id="124"/>
    </w:p>
    <w:p>
      <w:pPr>
        <w:tabs>
          <w:tab w:val="left" w:pos="6300"/>
        </w:tabs>
        <w:snapToGrid w:val="0"/>
        <w:spacing w:line="400" w:lineRule="exact"/>
        <w:ind w:firstLine="480" w:firstLineChars="200"/>
        <w:rPr>
          <w:rFonts w:hint="eastAsia" w:ascii="方正仿宋_GBK" w:hAnsi="宋体" w:eastAsia="方正仿宋_GBK"/>
          <w:szCs w:val="24"/>
        </w:rPr>
      </w:pPr>
      <w:r>
        <w:rPr>
          <w:rFonts w:hint="eastAsia" w:ascii="方正仿宋_GBK" w:hAnsi="宋体" w:eastAsia="方正仿宋_GBK"/>
          <w:sz w:val="24"/>
          <w:szCs w:val="24"/>
        </w:rPr>
        <w:t xml:space="preserve">（一）服务响应偏离表                                </w:t>
      </w: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5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序号</w:t>
            </w: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采购需求</w:t>
            </w: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响应情况</w:t>
            </w: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600" w:type="pct"/>
            <w:noWrap w:val="0"/>
            <w:vAlign w:val="center"/>
          </w:tcPr>
          <w:p>
            <w:pPr>
              <w:tabs>
                <w:tab w:val="left" w:pos="6300"/>
              </w:tabs>
              <w:snapToGrid w:val="0"/>
              <w:spacing w:line="500" w:lineRule="exact"/>
              <w:outlineLvl w:val="0"/>
              <w:rPr>
                <w:rFonts w:hint="eastAsia" w:ascii="方正仿宋_GBK" w:hAnsi="宋体" w:eastAsia="方正仿宋_GBK"/>
                <w:sz w:val="21"/>
                <w:szCs w:val="21"/>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w:t>
            </w:r>
            <w:r>
              <w:rPr>
                <w:rFonts w:hint="eastAsia" w:ascii="方正仿宋_GBK" w:hAnsi="仿宋" w:eastAsia="方正仿宋_GBK"/>
                <w:sz w:val="21"/>
                <w:szCs w:val="21"/>
              </w:rPr>
              <w:t>技术参数</w:t>
            </w:r>
            <w:r>
              <w:rPr>
                <w:rFonts w:ascii="方正仿宋_GBK" w:hAnsi="仿宋" w:eastAsia="方正仿宋_GBK"/>
                <w:sz w:val="21"/>
                <w:szCs w:val="21"/>
              </w:rPr>
              <w:t>或具体内容以及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技术参数</w:t>
            </w:r>
            <w:r>
              <w:rPr>
                <w:rFonts w:ascii="方正仿宋_GBK" w:hAnsi="仿宋" w:eastAsia="方正仿宋_GBK"/>
                <w:sz w:val="21"/>
                <w:szCs w:val="21"/>
              </w:rPr>
              <w:t>或</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项目服务需求”中所列条款进行比较和响应；</w:t>
      </w:r>
    </w:p>
    <w:p>
      <w:pPr>
        <w:snapToGrid w:val="0"/>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rPr>
        <w:t>2.本表可扩展。</w:t>
      </w:r>
    </w:p>
    <w:p>
      <w:pPr>
        <w:tabs>
          <w:tab w:val="left" w:pos="6300"/>
        </w:tabs>
        <w:snapToGrid w:val="0"/>
        <w:spacing w:line="400" w:lineRule="exact"/>
        <w:ind w:firstLine="560" w:firstLineChars="200"/>
        <w:rPr>
          <w:rFonts w:hint="eastAsia" w:ascii="方正仿宋_GBK" w:hAnsi="宋体" w:eastAsia="方正仿宋_GBK"/>
          <w:szCs w:val="24"/>
        </w:rPr>
      </w:pPr>
      <w:r>
        <w:rPr>
          <w:rFonts w:ascii="方正仿宋_GBK" w:hAnsi="宋体" w:eastAsia="方正仿宋_GBK"/>
          <w:szCs w:val="24"/>
        </w:rPr>
        <w:br w:type="page"/>
      </w:r>
      <w:r>
        <w:rPr>
          <w:rFonts w:hint="eastAsia" w:ascii="方正仿宋_GBK" w:hAnsi="宋体" w:eastAsia="方正仿宋_GBK"/>
          <w:sz w:val="24"/>
          <w:szCs w:val="24"/>
        </w:rPr>
        <w:t>（二）其他资料（格式自定）</w:t>
      </w:r>
    </w:p>
    <w:p>
      <w:pPr>
        <w:pStyle w:val="5"/>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125" w:name="_Toc313888362"/>
      <w:bookmarkStart w:id="126" w:name="_Toc313008358"/>
      <w:bookmarkStart w:id="127" w:name="_Toc76462352"/>
      <w:bookmarkStart w:id="128" w:name="_Toc342913421"/>
      <w:bookmarkStart w:id="129" w:name="_Toc106030908"/>
      <w:r>
        <w:rPr>
          <w:rFonts w:hint="eastAsia" w:ascii="方正仿宋_GBK" w:hAnsi="宋体" w:eastAsia="方正仿宋_GBK"/>
          <w:sz w:val="24"/>
        </w:rPr>
        <w:t>三、商务部分</w:t>
      </w:r>
      <w:bookmarkEnd w:id="125"/>
      <w:bookmarkEnd w:id="126"/>
      <w:bookmarkEnd w:id="127"/>
      <w:bookmarkEnd w:id="128"/>
      <w:bookmarkEnd w:id="129"/>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（一）商务响应偏离表                           </w:t>
      </w:r>
    </w:p>
    <w:p>
      <w:pPr>
        <w:snapToGrid w:val="0"/>
        <w:spacing w:line="400" w:lineRule="exact"/>
        <w:ind w:firstLine="480" w:firstLineChars="200"/>
        <w:rPr>
          <w:rFonts w:hint="eastAsia" w:ascii="方正仿宋_GBK" w:hAnsi="宋体" w:eastAsia="方正仿宋_GBK"/>
          <w:sz w:val="24"/>
          <w:szCs w:val="24"/>
        </w:rPr>
      </w:pP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项目名称： </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pPr>
              <w:snapToGrid w:val="0"/>
              <w:spacing w:line="360" w:lineRule="auto"/>
              <w:ind w:firstLine="465"/>
              <w:rPr>
                <w:rFonts w:hint="eastAsia" w:ascii="方正仿宋_GBK" w:hAnsi="宋体" w:eastAsia="方正仿宋_GBK"/>
                <w:sz w:val="21"/>
                <w:szCs w:val="24"/>
              </w:rPr>
            </w:pPr>
            <w:r>
              <w:rPr>
                <w:rFonts w:hint="eastAsia" w:ascii="方正仿宋_GBK" w:hAnsi="宋体" w:eastAsia="方正仿宋_GBK"/>
                <w:sz w:val="21"/>
                <w:szCs w:val="24"/>
              </w:rPr>
              <w:t>序号</w:t>
            </w:r>
          </w:p>
        </w:tc>
        <w:tc>
          <w:tcPr>
            <w:tcW w:w="3179"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r>
              <w:rPr>
                <w:rFonts w:hint="eastAsia" w:ascii="方正仿宋_GBK" w:hAnsi="宋体" w:eastAsia="方正仿宋_GBK"/>
                <w:sz w:val="21"/>
                <w:szCs w:val="24"/>
              </w:rPr>
              <w:t>项目商务需求</w:t>
            </w:r>
          </w:p>
        </w:tc>
        <w:tc>
          <w:tcPr>
            <w:tcW w:w="2434"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r>
              <w:rPr>
                <w:rFonts w:hint="eastAsia" w:ascii="方正仿宋_GBK" w:hAnsi="宋体" w:eastAsia="方正仿宋_GBK"/>
                <w:sz w:val="21"/>
                <w:szCs w:val="24"/>
              </w:rPr>
              <w:t>响应情况</w:t>
            </w:r>
          </w:p>
        </w:tc>
        <w:tc>
          <w:tcPr>
            <w:tcW w:w="2355"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r>
              <w:rPr>
                <w:rFonts w:hint="eastAsia" w:ascii="方正仿宋_GBK" w:hAnsi="宋体" w:eastAsia="方正仿宋_GBK"/>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3179"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434" w:type="dxa"/>
            <w:noWrap w:val="0"/>
            <w:vAlign w:val="center"/>
          </w:tcPr>
          <w:p>
            <w:pPr>
              <w:tabs>
                <w:tab w:val="left" w:pos="6300"/>
              </w:tabs>
              <w:snapToGrid w:val="0"/>
              <w:spacing w:line="360" w:lineRule="auto"/>
              <w:outlineLvl w:val="0"/>
              <w:rPr>
                <w:rFonts w:hint="eastAsia" w:ascii="方正仿宋_GBK" w:hAnsi="宋体" w:eastAsia="方正仿宋_GBK"/>
                <w:sz w:val="21"/>
                <w:szCs w:val="24"/>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55"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3179"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434"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355"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3179"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434"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355"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3179"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434"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355"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3179"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434"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355"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3179"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434"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355"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r>
    </w:tbl>
    <w:p>
      <w:pPr>
        <w:snapToGrid w:val="0"/>
        <w:spacing w:line="360" w:lineRule="auto"/>
        <w:ind w:firstLine="465"/>
        <w:rPr>
          <w:rFonts w:hint="eastAsia" w:ascii="方正仿宋_GBK" w:hAnsi="宋体" w:eastAsia="方正仿宋_GBK"/>
          <w:sz w:val="24"/>
          <w:szCs w:val="24"/>
        </w:rPr>
      </w:pPr>
    </w:p>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snapToGrid w:val="0"/>
        <w:spacing w:line="400" w:lineRule="exact"/>
        <w:ind w:firstLine="480" w:firstLineChars="200"/>
        <w:rPr>
          <w:rFonts w:hint="eastAsia" w:ascii="方正仿宋_GBK" w:eastAsia="方正仿宋_GBK"/>
          <w:b/>
        </w:rPr>
        <w:sectPr>
          <w:headerReference r:id="rId21" w:type="default"/>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2.本表可扩展。</w:t>
      </w:r>
    </w:p>
    <w:p>
      <w:pPr>
        <w:snapToGrid w:val="0"/>
        <w:spacing w:line="400" w:lineRule="exact"/>
        <w:ind w:firstLine="480" w:firstLineChars="200"/>
        <w:rPr>
          <w:rFonts w:hint="eastAsia" w:ascii="方正仿宋_GBK" w:hAnsi="宋体" w:eastAsia="方正仿宋_GBK"/>
          <w:sz w:val="24"/>
          <w:szCs w:val="24"/>
        </w:rPr>
      </w:pPr>
      <w:bookmarkStart w:id="130" w:name="_Toc283382459"/>
      <w:r>
        <w:rPr>
          <w:rFonts w:hint="eastAsia" w:ascii="方正仿宋_GBK" w:hAnsi="宋体" w:eastAsia="方正仿宋_GBK"/>
          <w:sz w:val="24"/>
          <w:szCs w:val="24"/>
        </w:rPr>
        <w:t>（二）其它优惠承诺（格式自定）</w:t>
      </w:r>
    </w:p>
    <w:p>
      <w:pPr>
        <w:snapToGrid w:val="0"/>
        <w:spacing w:line="400" w:lineRule="exact"/>
        <w:ind w:firstLine="480" w:firstLineChars="200"/>
        <w:rPr>
          <w:rFonts w:hint="eastAsia" w:ascii="方正仿宋_GBK" w:hAnsi="宋体" w:eastAsia="方正仿宋_GBK"/>
          <w:sz w:val="24"/>
          <w:szCs w:val="24"/>
        </w:rPr>
      </w:pPr>
    </w:p>
    <w:p>
      <w:pPr>
        <w:pStyle w:val="5"/>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End w:id="130"/>
      <w:bookmarkStart w:id="131" w:name="_Toc106030909"/>
      <w:bookmarkStart w:id="132" w:name="_Toc313008359"/>
      <w:bookmarkStart w:id="133" w:name="_Toc76462353"/>
      <w:bookmarkStart w:id="134" w:name="_Toc313888363"/>
      <w:bookmarkStart w:id="135" w:name="_Toc342913422"/>
      <w:r>
        <w:rPr>
          <w:rFonts w:hint="eastAsia" w:ascii="方正仿宋_GBK" w:hAnsi="宋体" w:eastAsia="方正仿宋_GBK"/>
          <w:sz w:val="24"/>
        </w:rPr>
        <w:t>四、资格条件</w:t>
      </w:r>
      <w:bookmarkEnd w:id="131"/>
      <w:bookmarkEnd w:id="132"/>
      <w:bookmarkEnd w:id="133"/>
      <w:bookmarkEnd w:id="134"/>
      <w:bookmarkEnd w:id="135"/>
    </w:p>
    <w:p>
      <w:pPr>
        <w:tabs>
          <w:tab w:val="left" w:pos="6300"/>
        </w:tabs>
        <w:snapToGrid w:val="0"/>
        <w:spacing w:line="400" w:lineRule="exact"/>
        <w:ind w:firstLine="57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snapToGrid w:val="0"/>
        <w:spacing w:line="400" w:lineRule="exact"/>
        <w:ind w:firstLine="560" w:firstLineChars="200"/>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snapToGrid w:val="0"/>
        <w:spacing w:line="400" w:lineRule="exact"/>
        <w:ind w:firstLine="560" w:firstLineChars="200"/>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（被授权人姓名及身份证代码）代表我单位全权办理上述项目的竞争、签约等具体工作，并签署全部有关文件、协议及合同。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hint="eastAsia" w:ascii="方正仿宋_GBK" w:hAnsi="宋体" w:eastAsia="方正仿宋_GBK"/>
          <w:sz w:val="24"/>
          <w:szCs w:val="28"/>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tabs>
          <w:tab w:val="left" w:pos="6300"/>
        </w:tabs>
        <w:snapToGrid w:val="0"/>
        <w:spacing w:line="500" w:lineRule="exact"/>
        <w:ind w:firstLine="570"/>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w:t>
      </w:r>
      <w:r>
        <w:rPr>
          <w:rFonts w:hint="eastAsia" w:ascii="方正仿宋_GBK" w:hAnsi="宋体" w:eastAsia="方正仿宋_GBK"/>
          <w:sz w:val="24"/>
          <w:szCs w:val="28"/>
        </w:rPr>
        <w:t>基本资格条件承诺函</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pPr>
        <w:tabs>
          <w:tab w:val="left" w:pos="6300"/>
        </w:tabs>
        <w:snapToGrid w:val="0"/>
        <w:spacing w:line="500" w:lineRule="exact"/>
        <w:ind w:firstLine="7920" w:firstLineChars="3300"/>
        <w:rPr>
          <w:rFonts w:hint="eastAsia" w:ascii="方正仿宋_GBK" w:hAnsi="宋体" w:eastAsia="方正仿宋_GBK"/>
          <w:sz w:val="24"/>
          <w:szCs w:val="24"/>
        </w:rPr>
      </w:pPr>
      <w:r>
        <w:rPr>
          <w:rFonts w:hint="eastAsia" w:ascii="方正仿宋_GBK" w:hAnsi="仿宋" w:eastAsia="方正仿宋_GBK"/>
          <w:sz w:val="24"/>
        </w:rPr>
        <w:t>年   月   日</w:t>
      </w:r>
    </w:p>
    <w:p>
      <w:pPr>
        <w:snapToGrid w:val="0"/>
        <w:spacing w:line="400" w:lineRule="exact"/>
        <w:ind w:firstLine="560" w:firstLineChars="200"/>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（五）特定资格条件证明文件</w:t>
      </w:r>
    </w:p>
    <w:p>
      <w:pPr>
        <w:tabs>
          <w:tab w:val="left" w:pos="6300"/>
        </w:tabs>
        <w:snapToGrid w:val="0"/>
        <w:spacing w:line="400" w:lineRule="exact"/>
        <w:ind w:firstLine="480" w:firstLineChars="200"/>
        <w:rPr>
          <w:rFonts w:hint="eastAsia" w:ascii="方正仿宋_GBK" w:hAnsi="宋体" w:eastAsia="方正仿宋_GBK"/>
          <w:sz w:val="24"/>
          <w:szCs w:val="24"/>
        </w:rPr>
      </w:pPr>
    </w:p>
    <w:p>
      <w:pPr>
        <w:pStyle w:val="5"/>
        <w:adjustRightInd w:val="0"/>
        <w:snapToGrid w:val="0"/>
        <w:spacing w:before="0" w:after="0" w:line="400" w:lineRule="exact"/>
        <w:ind w:firstLine="560" w:firstLineChars="200"/>
        <w:rPr>
          <w:rFonts w:hint="eastAsia" w:ascii="方正仿宋_GBK" w:hAnsi="宋体" w:eastAsia="方正仿宋_GBK"/>
          <w:sz w:val="24"/>
        </w:rPr>
      </w:pPr>
      <w:bookmarkStart w:id="136" w:name="_Toc14422"/>
      <w:r>
        <w:rPr>
          <w:rFonts w:ascii="方正仿宋_GBK" w:hAnsi="宋体" w:eastAsia="方正仿宋_GBK"/>
          <w:b w:val="0"/>
          <w:sz w:val="28"/>
        </w:rPr>
        <w:br w:type="page"/>
      </w:r>
      <w:bookmarkStart w:id="137" w:name="_Toc76462354"/>
      <w:bookmarkStart w:id="138" w:name="_Toc106030910"/>
      <w:r>
        <w:rPr>
          <w:rFonts w:hint="eastAsia" w:ascii="方正仿宋_GBK" w:hAnsi="宋体" w:eastAsia="方正仿宋_GBK"/>
          <w:sz w:val="24"/>
        </w:rPr>
        <w:t>五、其他资料</w:t>
      </w:r>
      <w:bookmarkEnd w:id="136"/>
      <w:bookmarkEnd w:id="137"/>
      <w:bookmarkEnd w:id="138"/>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一</w:t>
      </w:r>
      <w:r>
        <w:rPr>
          <w:rFonts w:hint="eastAsia" w:ascii="方正仿宋_GBK" w:hAnsi="宋体" w:eastAsia="方正仿宋_GBK"/>
          <w:sz w:val="24"/>
          <w:szCs w:val="24"/>
        </w:rPr>
        <w:t xml:space="preserve">）其他与项目有关的资料（自附） </w:t>
      </w:r>
    </w:p>
    <w:p>
      <w:pPr>
        <w:spacing w:line="360" w:lineRule="auto"/>
        <w:ind w:firstLine="480" w:firstLineChars="200"/>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outlineLvl w:val="0"/>
        <w:rPr>
          <w:rFonts w:hint="eastAsia" w:ascii="方正仿宋_GBK" w:hAnsi="宋体" w:eastAsia="方正仿宋_GBK"/>
        </w:rPr>
      </w:pPr>
      <w:r>
        <w:rPr>
          <w:rFonts w:hint="eastAsia" w:ascii="方正仿宋_GBK" w:hAnsi="宋体" w:eastAsia="方正仿宋_GBK"/>
          <w:sz w:val="24"/>
          <w:szCs w:val="24"/>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文鼎粗黑">
    <w:altName w:val="黑体"/>
    <w:panose1 w:val="020B0609010101010101"/>
    <w:charset w:val="86"/>
    <w:family w:val="modern"/>
    <w:pitch w:val="default"/>
    <w:sig w:usb0="00000000" w:usb1="00000000" w:usb2="00000010" w:usb3="00000000" w:csb0="00040000" w:csb1="00000000"/>
  </w:font>
  <w:font w:name="昆仑楷体">
    <w:altName w:val="宋体"/>
    <w:panose1 w:val="0201060900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- 28 -</w:t>
    </w:r>
    <w:r>
      <w:rPr>
        <w:rFonts w:ascii="宋体" w:hAnsi="宋体"/>
        <w:sz w:val="21"/>
        <w:szCs w:val="21"/>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hint="eastAsia" w:ascii="宋体" w:hAnsi="宋体"/>
        <w:sz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- 4 -</w:t>
    </w:r>
    <w:r>
      <w:rPr>
        <w:rFonts w:ascii="宋体" w:hAnsi="宋体"/>
        <w:sz w:val="21"/>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- 4 -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eastAsia"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eastAsia"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868276"/>
    <w:multiLevelType w:val="singleLevel"/>
    <w:tmpl w:val="FD868276"/>
    <w:lvl w:ilvl="0" w:tentative="0">
      <w:start w:val="1"/>
      <w:numFmt w:val="decimal"/>
      <w:suff w:val="nothing"/>
      <w:lvlText w:val="%1、"/>
      <w:lvlJc w:val="left"/>
    </w:lvl>
  </w:abstractNum>
  <w:abstractNum w:abstractNumId="1">
    <w:nsid w:val="00000009"/>
    <w:multiLevelType w:val="multilevel"/>
    <w:tmpl w:val="00000009"/>
    <w:lvl w:ilvl="0" w:tentative="0">
      <w:start w:val="1"/>
      <w:numFmt w:val="upperLetter"/>
      <w:pStyle w:val="12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4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3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9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33"/>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3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7736509"/>
    <w:multiLevelType w:val="singleLevel"/>
    <w:tmpl w:val="47736509"/>
    <w:lvl w:ilvl="0" w:tentative="0">
      <w:start w:val="5"/>
      <w:numFmt w:val="chineseCounting"/>
      <w:suff w:val="nothing"/>
      <w:lvlText w:val="%1、"/>
      <w:lvlJc w:val="left"/>
      <w:rPr>
        <w:rFonts w:hint="eastAsia"/>
      </w:rPr>
    </w:lvl>
  </w:abstractNum>
  <w:num w:numId="1">
    <w:abstractNumId w:val="9"/>
  </w:num>
  <w:num w:numId="2">
    <w:abstractNumId w:val="6"/>
  </w:num>
  <w:num w:numId="3">
    <w:abstractNumId w:val="4"/>
  </w:num>
  <w:num w:numId="4">
    <w:abstractNumId w:val="10"/>
  </w:num>
  <w:num w:numId="5">
    <w:abstractNumId w:val="1"/>
  </w:num>
  <w:num w:numId="6">
    <w:abstractNumId w:val="7"/>
  </w:num>
  <w:num w:numId="7">
    <w:abstractNumId w:val="12"/>
  </w:num>
  <w:num w:numId="8">
    <w:abstractNumId w:val="2"/>
  </w:num>
  <w:num w:numId="9">
    <w:abstractNumId w:val="3"/>
  </w:num>
  <w:num w:numId="10">
    <w:abstractNumId w:val="8"/>
  </w:num>
  <w:num w:numId="11">
    <w:abstractNumId w:val="5"/>
  </w:num>
  <w:num w:numId="12">
    <w:abstractNumId w:val="11"/>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6BEF01CC"/>
    <w:rsid w:val="000014C5"/>
    <w:rsid w:val="00002AE4"/>
    <w:rsid w:val="00003626"/>
    <w:rsid w:val="000040DE"/>
    <w:rsid w:val="000070F0"/>
    <w:rsid w:val="000075E8"/>
    <w:rsid w:val="00011B4B"/>
    <w:rsid w:val="00016B79"/>
    <w:rsid w:val="00017816"/>
    <w:rsid w:val="00032ACA"/>
    <w:rsid w:val="0003632F"/>
    <w:rsid w:val="00043835"/>
    <w:rsid w:val="0004739C"/>
    <w:rsid w:val="00051E02"/>
    <w:rsid w:val="000523C9"/>
    <w:rsid w:val="0005298B"/>
    <w:rsid w:val="0005417C"/>
    <w:rsid w:val="000576E1"/>
    <w:rsid w:val="00061A7C"/>
    <w:rsid w:val="00063981"/>
    <w:rsid w:val="00074C38"/>
    <w:rsid w:val="000816AD"/>
    <w:rsid w:val="00082CC1"/>
    <w:rsid w:val="00090C5A"/>
    <w:rsid w:val="00091B1C"/>
    <w:rsid w:val="00091D22"/>
    <w:rsid w:val="000A164E"/>
    <w:rsid w:val="000A201E"/>
    <w:rsid w:val="000A3057"/>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AB0"/>
    <w:rsid w:val="000F302A"/>
    <w:rsid w:val="000F3D5B"/>
    <w:rsid w:val="000F64D7"/>
    <w:rsid w:val="000F7DBF"/>
    <w:rsid w:val="0010014A"/>
    <w:rsid w:val="00100639"/>
    <w:rsid w:val="0010088E"/>
    <w:rsid w:val="001028FD"/>
    <w:rsid w:val="00105638"/>
    <w:rsid w:val="0010716D"/>
    <w:rsid w:val="001140DC"/>
    <w:rsid w:val="00114CFE"/>
    <w:rsid w:val="00115337"/>
    <w:rsid w:val="001166B8"/>
    <w:rsid w:val="0011683E"/>
    <w:rsid w:val="00116856"/>
    <w:rsid w:val="00116C42"/>
    <w:rsid w:val="0011780F"/>
    <w:rsid w:val="00117B26"/>
    <w:rsid w:val="00120259"/>
    <w:rsid w:val="00122F9D"/>
    <w:rsid w:val="001264A8"/>
    <w:rsid w:val="001266BF"/>
    <w:rsid w:val="00133D16"/>
    <w:rsid w:val="00134037"/>
    <w:rsid w:val="001342AC"/>
    <w:rsid w:val="00135BAE"/>
    <w:rsid w:val="00145224"/>
    <w:rsid w:val="00146EC3"/>
    <w:rsid w:val="00147FB4"/>
    <w:rsid w:val="0015011C"/>
    <w:rsid w:val="00150204"/>
    <w:rsid w:val="0015033B"/>
    <w:rsid w:val="00150429"/>
    <w:rsid w:val="001523C5"/>
    <w:rsid w:val="00152B00"/>
    <w:rsid w:val="00152CAD"/>
    <w:rsid w:val="00153556"/>
    <w:rsid w:val="0016265A"/>
    <w:rsid w:val="00171E05"/>
    <w:rsid w:val="00171E3D"/>
    <w:rsid w:val="00180ACB"/>
    <w:rsid w:val="00181A6C"/>
    <w:rsid w:val="00183B60"/>
    <w:rsid w:val="00186623"/>
    <w:rsid w:val="001879FD"/>
    <w:rsid w:val="0019571D"/>
    <w:rsid w:val="001963A2"/>
    <w:rsid w:val="00196465"/>
    <w:rsid w:val="001A1B93"/>
    <w:rsid w:val="001A64A1"/>
    <w:rsid w:val="001A6DCC"/>
    <w:rsid w:val="001A773E"/>
    <w:rsid w:val="001B0396"/>
    <w:rsid w:val="001B1400"/>
    <w:rsid w:val="001B3DBD"/>
    <w:rsid w:val="001B4377"/>
    <w:rsid w:val="001D0DF7"/>
    <w:rsid w:val="001D1038"/>
    <w:rsid w:val="001D2321"/>
    <w:rsid w:val="001D2DCD"/>
    <w:rsid w:val="001D5055"/>
    <w:rsid w:val="001D630C"/>
    <w:rsid w:val="001E1467"/>
    <w:rsid w:val="001E1A2F"/>
    <w:rsid w:val="001E201B"/>
    <w:rsid w:val="001E5CAC"/>
    <w:rsid w:val="001E64A9"/>
    <w:rsid w:val="001E6841"/>
    <w:rsid w:val="001E725F"/>
    <w:rsid w:val="001F1AF5"/>
    <w:rsid w:val="001F1AF7"/>
    <w:rsid w:val="001F4964"/>
    <w:rsid w:val="001F4A96"/>
    <w:rsid w:val="001F7063"/>
    <w:rsid w:val="00202B04"/>
    <w:rsid w:val="00203052"/>
    <w:rsid w:val="00204469"/>
    <w:rsid w:val="00204936"/>
    <w:rsid w:val="002049D5"/>
    <w:rsid w:val="00206AE4"/>
    <w:rsid w:val="002100EE"/>
    <w:rsid w:val="00210168"/>
    <w:rsid w:val="00210ED7"/>
    <w:rsid w:val="00212A06"/>
    <w:rsid w:val="00214E7A"/>
    <w:rsid w:val="00215DEE"/>
    <w:rsid w:val="0021618E"/>
    <w:rsid w:val="0021704D"/>
    <w:rsid w:val="002216C7"/>
    <w:rsid w:val="00222097"/>
    <w:rsid w:val="002227DB"/>
    <w:rsid w:val="00227202"/>
    <w:rsid w:val="00227377"/>
    <w:rsid w:val="00227851"/>
    <w:rsid w:val="002339D3"/>
    <w:rsid w:val="00234257"/>
    <w:rsid w:val="002348E0"/>
    <w:rsid w:val="00245C08"/>
    <w:rsid w:val="00254CD4"/>
    <w:rsid w:val="00254E1A"/>
    <w:rsid w:val="00262555"/>
    <w:rsid w:val="002643C1"/>
    <w:rsid w:val="00265203"/>
    <w:rsid w:val="0026790A"/>
    <w:rsid w:val="00270223"/>
    <w:rsid w:val="0027199E"/>
    <w:rsid w:val="00271D47"/>
    <w:rsid w:val="002721EA"/>
    <w:rsid w:val="002752BA"/>
    <w:rsid w:val="00280E8A"/>
    <w:rsid w:val="00285164"/>
    <w:rsid w:val="002855B0"/>
    <w:rsid w:val="00286959"/>
    <w:rsid w:val="00295FA5"/>
    <w:rsid w:val="00297A6F"/>
    <w:rsid w:val="002A4956"/>
    <w:rsid w:val="002A6710"/>
    <w:rsid w:val="002A7778"/>
    <w:rsid w:val="002B1FDA"/>
    <w:rsid w:val="002B2ACF"/>
    <w:rsid w:val="002B578B"/>
    <w:rsid w:val="002B5ECC"/>
    <w:rsid w:val="002B7904"/>
    <w:rsid w:val="002C1859"/>
    <w:rsid w:val="002C2507"/>
    <w:rsid w:val="002C2E6E"/>
    <w:rsid w:val="002C3A3D"/>
    <w:rsid w:val="002C7927"/>
    <w:rsid w:val="002D0D19"/>
    <w:rsid w:val="002D41FF"/>
    <w:rsid w:val="002D608F"/>
    <w:rsid w:val="002D7053"/>
    <w:rsid w:val="002D7208"/>
    <w:rsid w:val="002D7725"/>
    <w:rsid w:val="002E0CC2"/>
    <w:rsid w:val="002E3527"/>
    <w:rsid w:val="002E3824"/>
    <w:rsid w:val="002E78F7"/>
    <w:rsid w:val="002F031F"/>
    <w:rsid w:val="002F0ED3"/>
    <w:rsid w:val="002F3278"/>
    <w:rsid w:val="002F3DE3"/>
    <w:rsid w:val="002F632E"/>
    <w:rsid w:val="003021BC"/>
    <w:rsid w:val="0030440F"/>
    <w:rsid w:val="00310AF9"/>
    <w:rsid w:val="00310DAA"/>
    <w:rsid w:val="0031465E"/>
    <w:rsid w:val="00315742"/>
    <w:rsid w:val="003163B3"/>
    <w:rsid w:val="003200C6"/>
    <w:rsid w:val="00322A7A"/>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3702"/>
    <w:rsid w:val="0036458B"/>
    <w:rsid w:val="003703E8"/>
    <w:rsid w:val="00371D2F"/>
    <w:rsid w:val="00373122"/>
    <w:rsid w:val="0037612E"/>
    <w:rsid w:val="0038033A"/>
    <w:rsid w:val="003816ED"/>
    <w:rsid w:val="003840E9"/>
    <w:rsid w:val="00384161"/>
    <w:rsid w:val="00387610"/>
    <w:rsid w:val="0039432A"/>
    <w:rsid w:val="003953EA"/>
    <w:rsid w:val="00395C2F"/>
    <w:rsid w:val="003973D3"/>
    <w:rsid w:val="00397F89"/>
    <w:rsid w:val="003A0495"/>
    <w:rsid w:val="003A0892"/>
    <w:rsid w:val="003A3162"/>
    <w:rsid w:val="003A422B"/>
    <w:rsid w:val="003A449E"/>
    <w:rsid w:val="003A71F3"/>
    <w:rsid w:val="003B19F5"/>
    <w:rsid w:val="003D0E0A"/>
    <w:rsid w:val="003D3B22"/>
    <w:rsid w:val="003D7B3D"/>
    <w:rsid w:val="003E0348"/>
    <w:rsid w:val="003F3DB1"/>
    <w:rsid w:val="003F451E"/>
    <w:rsid w:val="003F4939"/>
    <w:rsid w:val="003F626F"/>
    <w:rsid w:val="003F6794"/>
    <w:rsid w:val="00402B32"/>
    <w:rsid w:val="0040519F"/>
    <w:rsid w:val="0040781E"/>
    <w:rsid w:val="00410C93"/>
    <w:rsid w:val="004115FB"/>
    <w:rsid w:val="00411B4A"/>
    <w:rsid w:val="004134DD"/>
    <w:rsid w:val="00417E99"/>
    <w:rsid w:val="00421507"/>
    <w:rsid w:val="00424D02"/>
    <w:rsid w:val="00424D74"/>
    <w:rsid w:val="0042525A"/>
    <w:rsid w:val="0042733C"/>
    <w:rsid w:val="0044185A"/>
    <w:rsid w:val="0044193A"/>
    <w:rsid w:val="00453B8F"/>
    <w:rsid w:val="004556B7"/>
    <w:rsid w:val="00460489"/>
    <w:rsid w:val="004608C7"/>
    <w:rsid w:val="00462878"/>
    <w:rsid w:val="00465B7A"/>
    <w:rsid w:val="00471121"/>
    <w:rsid w:val="00472AA2"/>
    <w:rsid w:val="00473B39"/>
    <w:rsid w:val="00474175"/>
    <w:rsid w:val="00481309"/>
    <w:rsid w:val="004928A2"/>
    <w:rsid w:val="00494610"/>
    <w:rsid w:val="004953EC"/>
    <w:rsid w:val="00497ADD"/>
    <w:rsid w:val="004A0D29"/>
    <w:rsid w:val="004A0DE1"/>
    <w:rsid w:val="004A2410"/>
    <w:rsid w:val="004A27AC"/>
    <w:rsid w:val="004A3995"/>
    <w:rsid w:val="004B3AB3"/>
    <w:rsid w:val="004C1DD0"/>
    <w:rsid w:val="004C2685"/>
    <w:rsid w:val="004C64E4"/>
    <w:rsid w:val="004C6673"/>
    <w:rsid w:val="004C7A90"/>
    <w:rsid w:val="004D2334"/>
    <w:rsid w:val="004D433D"/>
    <w:rsid w:val="004D4410"/>
    <w:rsid w:val="004E156F"/>
    <w:rsid w:val="004E2F88"/>
    <w:rsid w:val="004E550E"/>
    <w:rsid w:val="004E55DB"/>
    <w:rsid w:val="004E67C6"/>
    <w:rsid w:val="004F5959"/>
    <w:rsid w:val="004F670C"/>
    <w:rsid w:val="00502B2F"/>
    <w:rsid w:val="00512D00"/>
    <w:rsid w:val="00512D44"/>
    <w:rsid w:val="00514179"/>
    <w:rsid w:val="00516243"/>
    <w:rsid w:val="005164D4"/>
    <w:rsid w:val="005406A0"/>
    <w:rsid w:val="00540E03"/>
    <w:rsid w:val="00541D5F"/>
    <w:rsid w:val="00544BEA"/>
    <w:rsid w:val="005460D5"/>
    <w:rsid w:val="00553CF0"/>
    <w:rsid w:val="00557C75"/>
    <w:rsid w:val="005641EB"/>
    <w:rsid w:val="00566A85"/>
    <w:rsid w:val="00570C78"/>
    <w:rsid w:val="00573AE3"/>
    <w:rsid w:val="00581EF9"/>
    <w:rsid w:val="00583690"/>
    <w:rsid w:val="005902D9"/>
    <w:rsid w:val="0059075F"/>
    <w:rsid w:val="00596AB7"/>
    <w:rsid w:val="005A1B5C"/>
    <w:rsid w:val="005A1EA7"/>
    <w:rsid w:val="005A479F"/>
    <w:rsid w:val="005A6A12"/>
    <w:rsid w:val="005B0724"/>
    <w:rsid w:val="005B1E46"/>
    <w:rsid w:val="005B5AA4"/>
    <w:rsid w:val="005C3F4B"/>
    <w:rsid w:val="005C42AC"/>
    <w:rsid w:val="005C4F84"/>
    <w:rsid w:val="005C588F"/>
    <w:rsid w:val="005D2EC6"/>
    <w:rsid w:val="005D37D0"/>
    <w:rsid w:val="005D41E8"/>
    <w:rsid w:val="005D703E"/>
    <w:rsid w:val="005E35E9"/>
    <w:rsid w:val="005E5525"/>
    <w:rsid w:val="005F38BB"/>
    <w:rsid w:val="005F7895"/>
    <w:rsid w:val="0060003E"/>
    <w:rsid w:val="00602BBE"/>
    <w:rsid w:val="0060315D"/>
    <w:rsid w:val="00613410"/>
    <w:rsid w:val="00617986"/>
    <w:rsid w:val="006256CA"/>
    <w:rsid w:val="00627729"/>
    <w:rsid w:val="00627F21"/>
    <w:rsid w:val="0063025A"/>
    <w:rsid w:val="0064583B"/>
    <w:rsid w:val="006468B8"/>
    <w:rsid w:val="00651127"/>
    <w:rsid w:val="0065190C"/>
    <w:rsid w:val="006542F1"/>
    <w:rsid w:val="00654A48"/>
    <w:rsid w:val="0065651B"/>
    <w:rsid w:val="00664607"/>
    <w:rsid w:val="00665941"/>
    <w:rsid w:val="0066755F"/>
    <w:rsid w:val="00670089"/>
    <w:rsid w:val="00670C89"/>
    <w:rsid w:val="00671233"/>
    <w:rsid w:val="00673763"/>
    <w:rsid w:val="006763DC"/>
    <w:rsid w:val="00680AE4"/>
    <w:rsid w:val="00682205"/>
    <w:rsid w:val="006822B0"/>
    <w:rsid w:val="00684E51"/>
    <w:rsid w:val="0068793C"/>
    <w:rsid w:val="00694288"/>
    <w:rsid w:val="00694F91"/>
    <w:rsid w:val="006A100B"/>
    <w:rsid w:val="006A143A"/>
    <w:rsid w:val="006A3285"/>
    <w:rsid w:val="006A4C56"/>
    <w:rsid w:val="006B0567"/>
    <w:rsid w:val="006B4535"/>
    <w:rsid w:val="006B72DE"/>
    <w:rsid w:val="006B75CB"/>
    <w:rsid w:val="006C2079"/>
    <w:rsid w:val="006C5FC1"/>
    <w:rsid w:val="006D44E1"/>
    <w:rsid w:val="006D51DC"/>
    <w:rsid w:val="006D5BB8"/>
    <w:rsid w:val="006D6350"/>
    <w:rsid w:val="006D6662"/>
    <w:rsid w:val="006E21FA"/>
    <w:rsid w:val="006E477D"/>
    <w:rsid w:val="006E6D5F"/>
    <w:rsid w:val="006F0FB7"/>
    <w:rsid w:val="006F5925"/>
    <w:rsid w:val="006F5E40"/>
    <w:rsid w:val="006F6E4A"/>
    <w:rsid w:val="00704E5D"/>
    <w:rsid w:val="00705739"/>
    <w:rsid w:val="007073D6"/>
    <w:rsid w:val="00710AE5"/>
    <w:rsid w:val="00712E83"/>
    <w:rsid w:val="00712FF5"/>
    <w:rsid w:val="0071464D"/>
    <w:rsid w:val="00714BF1"/>
    <w:rsid w:val="00715327"/>
    <w:rsid w:val="00715FB5"/>
    <w:rsid w:val="00716C50"/>
    <w:rsid w:val="007171A6"/>
    <w:rsid w:val="0071799D"/>
    <w:rsid w:val="00726088"/>
    <w:rsid w:val="00730B6A"/>
    <w:rsid w:val="00731B91"/>
    <w:rsid w:val="00736D88"/>
    <w:rsid w:val="00736DD2"/>
    <w:rsid w:val="00736EE0"/>
    <w:rsid w:val="0074681C"/>
    <w:rsid w:val="00746EC2"/>
    <w:rsid w:val="007504DE"/>
    <w:rsid w:val="00762B70"/>
    <w:rsid w:val="007636FE"/>
    <w:rsid w:val="0077408E"/>
    <w:rsid w:val="00776989"/>
    <w:rsid w:val="00780577"/>
    <w:rsid w:val="00781AD3"/>
    <w:rsid w:val="00781BFB"/>
    <w:rsid w:val="00786FA7"/>
    <w:rsid w:val="0079177C"/>
    <w:rsid w:val="00794382"/>
    <w:rsid w:val="007959AC"/>
    <w:rsid w:val="00796323"/>
    <w:rsid w:val="007A20E0"/>
    <w:rsid w:val="007A60FA"/>
    <w:rsid w:val="007B2204"/>
    <w:rsid w:val="007B4B60"/>
    <w:rsid w:val="007B7278"/>
    <w:rsid w:val="007C1691"/>
    <w:rsid w:val="007C6B0F"/>
    <w:rsid w:val="007D0625"/>
    <w:rsid w:val="007D7A44"/>
    <w:rsid w:val="007D7E65"/>
    <w:rsid w:val="007E19E0"/>
    <w:rsid w:val="007E517D"/>
    <w:rsid w:val="007F6769"/>
    <w:rsid w:val="008041D4"/>
    <w:rsid w:val="00806938"/>
    <w:rsid w:val="00807818"/>
    <w:rsid w:val="0081156A"/>
    <w:rsid w:val="00827398"/>
    <w:rsid w:val="008275B6"/>
    <w:rsid w:val="0083653E"/>
    <w:rsid w:val="008369DC"/>
    <w:rsid w:val="00837546"/>
    <w:rsid w:val="00842974"/>
    <w:rsid w:val="00842F87"/>
    <w:rsid w:val="00843A88"/>
    <w:rsid w:val="00843D2E"/>
    <w:rsid w:val="0085550A"/>
    <w:rsid w:val="008616EF"/>
    <w:rsid w:val="00863C25"/>
    <w:rsid w:val="008641B7"/>
    <w:rsid w:val="00864D80"/>
    <w:rsid w:val="00864DC1"/>
    <w:rsid w:val="00870530"/>
    <w:rsid w:val="008705BC"/>
    <w:rsid w:val="00871999"/>
    <w:rsid w:val="00872E27"/>
    <w:rsid w:val="00875A42"/>
    <w:rsid w:val="0088192C"/>
    <w:rsid w:val="008904A8"/>
    <w:rsid w:val="00891D94"/>
    <w:rsid w:val="00896589"/>
    <w:rsid w:val="00896EF5"/>
    <w:rsid w:val="008A0CEE"/>
    <w:rsid w:val="008A19AF"/>
    <w:rsid w:val="008A20FB"/>
    <w:rsid w:val="008A4D88"/>
    <w:rsid w:val="008C1B22"/>
    <w:rsid w:val="008C4C84"/>
    <w:rsid w:val="008C510F"/>
    <w:rsid w:val="008D067F"/>
    <w:rsid w:val="008D3283"/>
    <w:rsid w:val="008D56F3"/>
    <w:rsid w:val="008D5BBB"/>
    <w:rsid w:val="008E437B"/>
    <w:rsid w:val="008E4D3F"/>
    <w:rsid w:val="008E66B8"/>
    <w:rsid w:val="008F0A2E"/>
    <w:rsid w:val="008F1988"/>
    <w:rsid w:val="008F2B05"/>
    <w:rsid w:val="008F5E76"/>
    <w:rsid w:val="008F6252"/>
    <w:rsid w:val="008F76DB"/>
    <w:rsid w:val="009023F3"/>
    <w:rsid w:val="0090383C"/>
    <w:rsid w:val="00905D85"/>
    <w:rsid w:val="00912132"/>
    <w:rsid w:val="0091346B"/>
    <w:rsid w:val="00913CAA"/>
    <w:rsid w:val="009226D2"/>
    <w:rsid w:val="00922FAD"/>
    <w:rsid w:val="00924F0A"/>
    <w:rsid w:val="00925082"/>
    <w:rsid w:val="00925726"/>
    <w:rsid w:val="00926904"/>
    <w:rsid w:val="0092708B"/>
    <w:rsid w:val="0093049D"/>
    <w:rsid w:val="00936A01"/>
    <w:rsid w:val="00937713"/>
    <w:rsid w:val="009404E7"/>
    <w:rsid w:val="009409CD"/>
    <w:rsid w:val="0094759E"/>
    <w:rsid w:val="00952C13"/>
    <w:rsid w:val="0095455D"/>
    <w:rsid w:val="00954CF7"/>
    <w:rsid w:val="00962BF1"/>
    <w:rsid w:val="00963237"/>
    <w:rsid w:val="00966820"/>
    <w:rsid w:val="00971E57"/>
    <w:rsid w:val="009723CF"/>
    <w:rsid w:val="00972F46"/>
    <w:rsid w:val="00973D3A"/>
    <w:rsid w:val="009741DC"/>
    <w:rsid w:val="0097652A"/>
    <w:rsid w:val="00980037"/>
    <w:rsid w:val="00983B43"/>
    <w:rsid w:val="00984742"/>
    <w:rsid w:val="0099161D"/>
    <w:rsid w:val="00991B37"/>
    <w:rsid w:val="00997855"/>
    <w:rsid w:val="009B6208"/>
    <w:rsid w:val="009B71FF"/>
    <w:rsid w:val="009C3034"/>
    <w:rsid w:val="009C4BFF"/>
    <w:rsid w:val="009C7522"/>
    <w:rsid w:val="009D0FDD"/>
    <w:rsid w:val="009D3162"/>
    <w:rsid w:val="009D3181"/>
    <w:rsid w:val="009D7B9B"/>
    <w:rsid w:val="009E067B"/>
    <w:rsid w:val="009E717E"/>
    <w:rsid w:val="009E737D"/>
    <w:rsid w:val="009F18FA"/>
    <w:rsid w:val="00A0197B"/>
    <w:rsid w:val="00A02768"/>
    <w:rsid w:val="00A03977"/>
    <w:rsid w:val="00A06013"/>
    <w:rsid w:val="00A104A7"/>
    <w:rsid w:val="00A12904"/>
    <w:rsid w:val="00A15FBF"/>
    <w:rsid w:val="00A1616D"/>
    <w:rsid w:val="00A1783B"/>
    <w:rsid w:val="00A224AC"/>
    <w:rsid w:val="00A26FF7"/>
    <w:rsid w:val="00A27159"/>
    <w:rsid w:val="00A33FF0"/>
    <w:rsid w:val="00A37A20"/>
    <w:rsid w:val="00A445DC"/>
    <w:rsid w:val="00A44BEA"/>
    <w:rsid w:val="00A47C22"/>
    <w:rsid w:val="00A50E79"/>
    <w:rsid w:val="00A55B14"/>
    <w:rsid w:val="00A5689C"/>
    <w:rsid w:val="00A569E8"/>
    <w:rsid w:val="00A57FAF"/>
    <w:rsid w:val="00A601C4"/>
    <w:rsid w:val="00A61D6E"/>
    <w:rsid w:val="00A70193"/>
    <w:rsid w:val="00A711C6"/>
    <w:rsid w:val="00A730F3"/>
    <w:rsid w:val="00A74B68"/>
    <w:rsid w:val="00A77EE1"/>
    <w:rsid w:val="00A84863"/>
    <w:rsid w:val="00A91750"/>
    <w:rsid w:val="00A95D95"/>
    <w:rsid w:val="00A977EC"/>
    <w:rsid w:val="00AA3FD1"/>
    <w:rsid w:val="00AA4543"/>
    <w:rsid w:val="00AA52DE"/>
    <w:rsid w:val="00AB11B3"/>
    <w:rsid w:val="00AB1DAF"/>
    <w:rsid w:val="00AB40EF"/>
    <w:rsid w:val="00AB43D9"/>
    <w:rsid w:val="00AB5ED3"/>
    <w:rsid w:val="00AB6B0C"/>
    <w:rsid w:val="00AB70CD"/>
    <w:rsid w:val="00AB7800"/>
    <w:rsid w:val="00AC1860"/>
    <w:rsid w:val="00AC4898"/>
    <w:rsid w:val="00AC48B3"/>
    <w:rsid w:val="00AC7893"/>
    <w:rsid w:val="00AC7AC9"/>
    <w:rsid w:val="00AD0B4D"/>
    <w:rsid w:val="00AD1C54"/>
    <w:rsid w:val="00AE1920"/>
    <w:rsid w:val="00AE76F8"/>
    <w:rsid w:val="00AF01B3"/>
    <w:rsid w:val="00AF0F13"/>
    <w:rsid w:val="00AF6887"/>
    <w:rsid w:val="00AF7992"/>
    <w:rsid w:val="00AF7CDD"/>
    <w:rsid w:val="00B00AB3"/>
    <w:rsid w:val="00B14C52"/>
    <w:rsid w:val="00B200AA"/>
    <w:rsid w:val="00B203A9"/>
    <w:rsid w:val="00B229A5"/>
    <w:rsid w:val="00B23F48"/>
    <w:rsid w:val="00B2488E"/>
    <w:rsid w:val="00B25EB3"/>
    <w:rsid w:val="00B42056"/>
    <w:rsid w:val="00B478C3"/>
    <w:rsid w:val="00B52715"/>
    <w:rsid w:val="00B52D2A"/>
    <w:rsid w:val="00B61348"/>
    <w:rsid w:val="00B6263F"/>
    <w:rsid w:val="00B67114"/>
    <w:rsid w:val="00B678C7"/>
    <w:rsid w:val="00B70368"/>
    <w:rsid w:val="00B7097C"/>
    <w:rsid w:val="00B72BCC"/>
    <w:rsid w:val="00B75449"/>
    <w:rsid w:val="00B81284"/>
    <w:rsid w:val="00B835F1"/>
    <w:rsid w:val="00B86DA1"/>
    <w:rsid w:val="00B87401"/>
    <w:rsid w:val="00B96B1E"/>
    <w:rsid w:val="00BA1937"/>
    <w:rsid w:val="00BA527C"/>
    <w:rsid w:val="00BA5B9C"/>
    <w:rsid w:val="00BA7D51"/>
    <w:rsid w:val="00BA7F31"/>
    <w:rsid w:val="00BB4AD5"/>
    <w:rsid w:val="00BB7494"/>
    <w:rsid w:val="00BB76A5"/>
    <w:rsid w:val="00BC089B"/>
    <w:rsid w:val="00BC183F"/>
    <w:rsid w:val="00BC1C37"/>
    <w:rsid w:val="00BC2390"/>
    <w:rsid w:val="00BC775D"/>
    <w:rsid w:val="00BD0051"/>
    <w:rsid w:val="00BD2939"/>
    <w:rsid w:val="00BD5A75"/>
    <w:rsid w:val="00BD6BF7"/>
    <w:rsid w:val="00BE07A9"/>
    <w:rsid w:val="00BE1700"/>
    <w:rsid w:val="00BE2E36"/>
    <w:rsid w:val="00BE4D8F"/>
    <w:rsid w:val="00BF0A3E"/>
    <w:rsid w:val="00BF26AC"/>
    <w:rsid w:val="00BF46A7"/>
    <w:rsid w:val="00BF5230"/>
    <w:rsid w:val="00BF551A"/>
    <w:rsid w:val="00BF6DA8"/>
    <w:rsid w:val="00C00289"/>
    <w:rsid w:val="00C1090C"/>
    <w:rsid w:val="00C201FC"/>
    <w:rsid w:val="00C240C8"/>
    <w:rsid w:val="00C249AF"/>
    <w:rsid w:val="00C26513"/>
    <w:rsid w:val="00C328C9"/>
    <w:rsid w:val="00C339ED"/>
    <w:rsid w:val="00C3416C"/>
    <w:rsid w:val="00C35BA8"/>
    <w:rsid w:val="00C37F72"/>
    <w:rsid w:val="00C40246"/>
    <w:rsid w:val="00C420C1"/>
    <w:rsid w:val="00C43FEE"/>
    <w:rsid w:val="00C45963"/>
    <w:rsid w:val="00C472B8"/>
    <w:rsid w:val="00C50723"/>
    <w:rsid w:val="00C529FD"/>
    <w:rsid w:val="00C53124"/>
    <w:rsid w:val="00C538A9"/>
    <w:rsid w:val="00C53B2E"/>
    <w:rsid w:val="00C6160A"/>
    <w:rsid w:val="00C62B51"/>
    <w:rsid w:val="00C65711"/>
    <w:rsid w:val="00C66460"/>
    <w:rsid w:val="00C76ECD"/>
    <w:rsid w:val="00C8221C"/>
    <w:rsid w:val="00C84B63"/>
    <w:rsid w:val="00C84E04"/>
    <w:rsid w:val="00C86DC6"/>
    <w:rsid w:val="00C910BE"/>
    <w:rsid w:val="00C922BE"/>
    <w:rsid w:val="00CA10F9"/>
    <w:rsid w:val="00CA14F4"/>
    <w:rsid w:val="00CA583F"/>
    <w:rsid w:val="00CA5844"/>
    <w:rsid w:val="00CA7415"/>
    <w:rsid w:val="00CB265C"/>
    <w:rsid w:val="00CB2BDD"/>
    <w:rsid w:val="00CB32BC"/>
    <w:rsid w:val="00CB4540"/>
    <w:rsid w:val="00CB4951"/>
    <w:rsid w:val="00CB7A07"/>
    <w:rsid w:val="00CC59BB"/>
    <w:rsid w:val="00CD1B93"/>
    <w:rsid w:val="00CD3BD4"/>
    <w:rsid w:val="00CD3CC8"/>
    <w:rsid w:val="00CD4915"/>
    <w:rsid w:val="00CD60BD"/>
    <w:rsid w:val="00CD635D"/>
    <w:rsid w:val="00CD6DEE"/>
    <w:rsid w:val="00CD7C5B"/>
    <w:rsid w:val="00CD7CED"/>
    <w:rsid w:val="00CE04C7"/>
    <w:rsid w:val="00CE2AC9"/>
    <w:rsid w:val="00CE2AFE"/>
    <w:rsid w:val="00CE7B14"/>
    <w:rsid w:val="00CF156B"/>
    <w:rsid w:val="00CF1E02"/>
    <w:rsid w:val="00CF4BD6"/>
    <w:rsid w:val="00CF597A"/>
    <w:rsid w:val="00D00228"/>
    <w:rsid w:val="00D00DA0"/>
    <w:rsid w:val="00D0103F"/>
    <w:rsid w:val="00D03E34"/>
    <w:rsid w:val="00D05BAA"/>
    <w:rsid w:val="00D07F26"/>
    <w:rsid w:val="00D11A09"/>
    <w:rsid w:val="00D11BCD"/>
    <w:rsid w:val="00D13B7A"/>
    <w:rsid w:val="00D17FD1"/>
    <w:rsid w:val="00D22C4B"/>
    <w:rsid w:val="00D230C7"/>
    <w:rsid w:val="00D23583"/>
    <w:rsid w:val="00D23E7D"/>
    <w:rsid w:val="00D2405F"/>
    <w:rsid w:val="00D26C71"/>
    <w:rsid w:val="00D30C7F"/>
    <w:rsid w:val="00D32DFB"/>
    <w:rsid w:val="00D41421"/>
    <w:rsid w:val="00D41998"/>
    <w:rsid w:val="00D41BA9"/>
    <w:rsid w:val="00D44059"/>
    <w:rsid w:val="00D4511A"/>
    <w:rsid w:val="00D51813"/>
    <w:rsid w:val="00D52376"/>
    <w:rsid w:val="00D53EE6"/>
    <w:rsid w:val="00D612C2"/>
    <w:rsid w:val="00D64D38"/>
    <w:rsid w:val="00D745E0"/>
    <w:rsid w:val="00D76AA3"/>
    <w:rsid w:val="00D80604"/>
    <w:rsid w:val="00D86529"/>
    <w:rsid w:val="00D86A86"/>
    <w:rsid w:val="00D8791E"/>
    <w:rsid w:val="00D92438"/>
    <w:rsid w:val="00DA0040"/>
    <w:rsid w:val="00DA03F8"/>
    <w:rsid w:val="00DA086B"/>
    <w:rsid w:val="00DA1D7A"/>
    <w:rsid w:val="00DA5DD7"/>
    <w:rsid w:val="00DA5E0A"/>
    <w:rsid w:val="00DA6834"/>
    <w:rsid w:val="00DA7145"/>
    <w:rsid w:val="00DA78D8"/>
    <w:rsid w:val="00DA7E05"/>
    <w:rsid w:val="00DB012E"/>
    <w:rsid w:val="00DB4794"/>
    <w:rsid w:val="00DB5C3E"/>
    <w:rsid w:val="00DB628E"/>
    <w:rsid w:val="00DC4070"/>
    <w:rsid w:val="00DE1DE6"/>
    <w:rsid w:val="00DE1E39"/>
    <w:rsid w:val="00DE513D"/>
    <w:rsid w:val="00DF235C"/>
    <w:rsid w:val="00DF426D"/>
    <w:rsid w:val="00DF47D6"/>
    <w:rsid w:val="00DF4D5A"/>
    <w:rsid w:val="00DF5425"/>
    <w:rsid w:val="00DF782C"/>
    <w:rsid w:val="00E030A0"/>
    <w:rsid w:val="00E04F16"/>
    <w:rsid w:val="00E075A1"/>
    <w:rsid w:val="00E0797A"/>
    <w:rsid w:val="00E11D5D"/>
    <w:rsid w:val="00E124E3"/>
    <w:rsid w:val="00E12F81"/>
    <w:rsid w:val="00E14812"/>
    <w:rsid w:val="00E15231"/>
    <w:rsid w:val="00E15DDE"/>
    <w:rsid w:val="00E17B19"/>
    <w:rsid w:val="00E2339E"/>
    <w:rsid w:val="00E26F65"/>
    <w:rsid w:val="00E300BB"/>
    <w:rsid w:val="00E31D0A"/>
    <w:rsid w:val="00E3245B"/>
    <w:rsid w:val="00E32DCD"/>
    <w:rsid w:val="00E32DF0"/>
    <w:rsid w:val="00E3707B"/>
    <w:rsid w:val="00E50685"/>
    <w:rsid w:val="00E57F6B"/>
    <w:rsid w:val="00E609CE"/>
    <w:rsid w:val="00E6234F"/>
    <w:rsid w:val="00E67AC7"/>
    <w:rsid w:val="00E7134F"/>
    <w:rsid w:val="00E7342C"/>
    <w:rsid w:val="00E736E9"/>
    <w:rsid w:val="00E76363"/>
    <w:rsid w:val="00E80AFB"/>
    <w:rsid w:val="00E90BE3"/>
    <w:rsid w:val="00E91374"/>
    <w:rsid w:val="00E91D81"/>
    <w:rsid w:val="00E92BC2"/>
    <w:rsid w:val="00EA010E"/>
    <w:rsid w:val="00EA28AB"/>
    <w:rsid w:val="00EA6FBF"/>
    <w:rsid w:val="00EB1E33"/>
    <w:rsid w:val="00EB4DA6"/>
    <w:rsid w:val="00EB7B0A"/>
    <w:rsid w:val="00EC0881"/>
    <w:rsid w:val="00EC74F9"/>
    <w:rsid w:val="00ED13DE"/>
    <w:rsid w:val="00ED1996"/>
    <w:rsid w:val="00ED2843"/>
    <w:rsid w:val="00ED2F55"/>
    <w:rsid w:val="00ED5ED8"/>
    <w:rsid w:val="00EE0C95"/>
    <w:rsid w:val="00EE3F0F"/>
    <w:rsid w:val="00EF0199"/>
    <w:rsid w:val="00F0263C"/>
    <w:rsid w:val="00F0402A"/>
    <w:rsid w:val="00F07266"/>
    <w:rsid w:val="00F16313"/>
    <w:rsid w:val="00F1700E"/>
    <w:rsid w:val="00F20820"/>
    <w:rsid w:val="00F20FF1"/>
    <w:rsid w:val="00F24317"/>
    <w:rsid w:val="00F27AC7"/>
    <w:rsid w:val="00F32641"/>
    <w:rsid w:val="00F34974"/>
    <w:rsid w:val="00F35457"/>
    <w:rsid w:val="00F3595B"/>
    <w:rsid w:val="00F367F3"/>
    <w:rsid w:val="00F36A26"/>
    <w:rsid w:val="00F41F54"/>
    <w:rsid w:val="00F426A6"/>
    <w:rsid w:val="00F429FD"/>
    <w:rsid w:val="00F4623C"/>
    <w:rsid w:val="00F46AD7"/>
    <w:rsid w:val="00F56399"/>
    <w:rsid w:val="00F606BB"/>
    <w:rsid w:val="00F70113"/>
    <w:rsid w:val="00F746E3"/>
    <w:rsid w:val="00F76C17"/>
    <w:rsid w:val="00F7709C"/>
    <w:rsid w:val="00F7750A"/>
    <w:rsid w:val="00F80006"/>
    <w:rsid w:val="00F80084"/>
    <w:rsid w:val="00F95676"/>
    <w:rsid w:val="00F96401"/>
    <w:rsid w:val="00F9690B"/>
    <w:rsid w:val="00FA3F8B"/>
    <w:rsid w:val="00FA56FF"/>
    <w:rsid w:val="00FA767D"/>
    <w:rsid w:val="00FB693B"/>
    <w:rsid w:val="00FC3C96"/>
    <w:rsid w:val="00FD2470"/>
    <w:rsid w:val="00FD5823"/>
    <w:rsid w:val="00FD7BE0"/>
    <w:rsid w:val="00FE1C27"/>
    <w:rsid w:val="00FE326F"/>
    <w:rsid w:val="00FE5C31"/>
    <w:rsid w:val="00FF0F20"/>
    <w:rsid w:val="00FF1B0E"/>
    <w:rsid w:val="00FF268A"/>
    <w:rsid w:val="00FF748B"/>
    <w:rsid w:val="012D66CB"/>
    <w:rsid w:val="147A5E14"/>
    <w:rsid w:val="17A1211B"/>
    <w:rsid w:val="184468A9"/>
    <w:rsid w:val="18ED7A84"/>
    <w:rsid w:val="21864056"/>
    <w:rsid w:val="2AA01F44"/>
    <w:rsid w:val="3CB47E40"/>
    <w:rsid w:val="406334F2"/>
    <w:rsid w:val="452C7897"/>
    <w:rsid w:val="497B7CB3"/>
    <w:rsid w:val="4B2D12E0"/>
    <w:rsid w:val="4BEB6B31"/>
    <w:rsid w:val="4DD36371"/>
    <w:rsid w:val="52D92ACB"/>
    <w:rsid w:val="53B4776F"/>
    <w:rsid w:val="5CA67F0E"/>
    <w:rsid w:val="68BF2DF5"/>
    <w:rsid w:val="6BEF01CC"/>
    <w:rsid w:val="6DF63CF2"/>
    <w:rsid w:val="6FE969BF"/>
    <w:rsid w:val="74D70DF7"/>
    <w:rsid w:val="789F3DA6"/>
    <w:rsid w:val="78A52377"/>
    <w:rsid w:val="7B5B7497"/>
    <w:rsid w:val="7F7A210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39" w:semiHidden="0" w:name="toc 2"/>
    <w:lsdException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8"/>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link w:val="69"/>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uiPriority w:val="0"/>
  </w:style>
  <w:style w:type="table" w:default="1" w:styleId="58">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index 7"/>
    <w:basedOn w:val="1"/>
    <w:next w:val="1"/>
    <w:qFormat/>
    <w:uiPriority w:val="0"/>
    <w:pPr>
      <w:ind w:left="1200" w:leftChars="1200" w:firstLine="0"/>
    </w:pPr>
    <w:rPr>
      <w:rFonts w:ascii="Times New Roman" w:hAnsi="Times New Roman" w:eastAsia="宋体" w:cs="Times New Roman"/>
    </w:rPr>
  </w:style>
  <w:style w:type="paragraph" w:styleId="13">
    <w:name w:val="List 3"/>
    <w:basedOn w:val="1"/>
    <w:uiPriority w:val="0"/>
    <w:pPr>
      <w:adjustRightInd w:val="0"/>
      <w:snapToGrid w:val="0"/>
      <w:spacing w:line="360" w:lineRule="auto"/>
      <w:ind w:left="100" w:leftChars="400" w:hanging="200" w:hangingChars="200"/>
    </w:pPr>
    <w:rPr>
      <w:sz w:val="24"/>
    </w:rPr>
  </w:style>
  <w:style w:type="paragraph" w:styleId="14">
    <w:name w:val="toc 7"/>
    <w:basedOn w:val="1"/>
    <w:next w:val="1"/>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7">
    <w:name w:val="Normal Indent"/>
    <w:basedOn w:val="1"/>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uiPriority w:val="0"/>
    <w:pPr>
      <w:shd w:val="clear" w:color="auto" w:fill="000080"/>
    </w:pPr>
  </w:style>
  <w:style w:type="paragraph" w:styleId="20">
    <w:name w:val="toa heading"/>
    <w:basedOn w:val="1"/>
    <w:next w:val="1"/>
    <w:qFormat/>
    <w:uiPriority w:val="0"/>
    <w:pPr>
      <w:spacing w:before="120" w:beforeLines="0"/>
    </w:pPr>
    <w:rPr>
      <w:rFonts w:ascii="Arial" w:hAnsi="Arial"/>
      <w:sz w:val="24"/>
    </w:rPr>
  </w:style>
  <w:style w:type="paragraph" w:styleId="21">
    <w:name w:val="annotation text"/>
    <w:basedOn w:val="1"/>
    <w:link w:val="70"/>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afterLines="0" w:afterAutospacing="0" w:line="360" w:lineRule="auto"/>
    </w:pPr>
    <w:rPr>
      <w:sz w:val="16"/>
    </w:rPr>
  </w:style>
  <w:style w:type="paragraph" w:styleId="23">
    <w:name w:val="List Bullet 3"/>
    <w:basedOn w:val="1"/>
    <w:qFormat/>
    <w:uiPriority w:val="0"/>
    <w:pPr>
      <w:numPr>
        <w:ilvl w:val="0"/>
        <w:numId w:val="3"/>
      </w:numPr>
      <w:adjustRightInd w:val="0"/>
      <w:snapToGrid w:val="0"/>
      <w:spacing w:line="360" w:lineRule="auto"/>
    </w:pPr>
    <w:rPr>
      <w:sz w:val="24"/>
    </w:rPr>
  </w:style>
  <w:style w:type="paragraph" w:styleId="24">
    <w:name w:val="Body Text Indent"/>
    <w:basedOn w:val="1"/>
    <w:link w:val="71"/>
    <w:uiPriority w:val="0"/>
    <w:pPr>
      <w:spacing w:line="700" w:lineRule="exact"/>
      <w:ind w:left="960"/>
    </w:pPr>
    <w:rPr>
      <w:sz w:val="44"/>
    </w:rPr>
  </w:style>
  <w:style w:type="paragraph" w:styleId="25">
    <w:name w:val="List Number 3"/>
    <w:basedOn w:val="1"/>
    <w:uiPriority w:val="0"/>
    <w:pPr>
      <w:tabs>
        <w:tab w:val="left" w:pos="2120"/>
      </w:tabs>
      <w:adjustRightInd w:val="0"/>
      <w:snapToGrid w:val="0"/>
      <w:spacing w:line="360" w:lineRule="auto"/>
      <w:ind w:left="2120" w:hanging="720"/>
    </w:pPr>
    <w:rPr>
      <w:sz w:val="24"/>
    </w:rPr>
  </w:style>
  <w:style w:type="paragraph" w:styleId="26">
    <w:name w:val="List 2"/>
    <w:basedOn w:val="1"/>
    <w:uiPriority w:val="0"/>
    <w:pPr>
      <w:adjustRightInd w:val="0"/>
      <w:snapToGrid w:val="0"/>
      <w:spacing w:line="360" w:lineRule="auto"/>
      <w:ind w:left="100" w:leftChars="200" w:hanging="200" w:hangingChars="200"/>
    </w:pPr>
    <w:rPr>
      <w:sz w:val="24"/>
    </w:rPr>
  </w:style>
  <w:style w:type="paragraph" w:styleId="27">
    <w:name w:val="List Continue"/>
    <w:basedOn w:val="1"/>
    <w:uiPriority w:val="0"/>
    <w:pPr>
      <w:adjustRightInd w:val="0"/>
      <w:snapToGrid w:val="0"/>
      <w:spacing w:after="120" w:afterLines="0" w:afterAutospacing="0" w:line="360" w:lineRule="auto"/>
      <w:ind w:left="420" w:leftChars="200"/>
    </w:pPr>
    <w:rPr>
      <w:sz w:val="24"/>
    </w:rPr>
  </w:style>
  <w:style w:type="paragraph" w:styleId="28">
    <w:name w:val="List Bullet 2"/>
    <w:basedOn w:val="1"/>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uiPriority w:val="39"/>
    <w:pPr>
      <w:ind w:left="840" w:leftChars="400"/>
    </w:pPr>
  </w:style>
  <w:style w:type="paragraph" w:styleId="31">
    <w:name w:val="Plain Text"/>
    <w:basedOn w:val="1"/>
    <w:uiPriority w:val="0"/>
    <w:rPr>
      <w:rFonts w:ascii="宋体" w:hAnsi="Courier New"/>
      <w:sz w:val="21"/>
    </w:rPr>
  </w:style>
  <w:style w:type="paragraph" w:styleId="32">
    <w:name w:val="toc 8"/>
    <w:basedOn w:val="1"/>
    <w:next w:val="1"/>
    <w:uiPriority w:val="0"/>
    <w:pPr>
      <w:ind w:left="2940" w:leftChars="1400"/>
    </w:pPr>
  </w:style>
  <w:style w:type="paragraph" w:styleId="33">
    <w:name w:val="Date"/>
    <w:basedOn w:val="1"/>
    <w:next w:val="1"/>
    <w:link w:val="72"/>
    <w:uiPriority w:val="0"/>
  </w:style>
  <w:style w:type="paragraph" w:styleId="34">
    <w:name w:val="Body Text Indent 2"/>
    <w:basedOn w:val="1"/>
    <w:link w:val="73"/>
    <w:uiPriority w:val="0"/>
    <w:pPr>
      <w:snapToGrid w:val="0"/>
      <w:spacing w:line="560" w:lineRule="atLeast"/>
      <w:ind w:firstLine="540"/>
    </w:pPr>
  </w:style>
  <w:style w:type="paragraph" w:styleId="35">
    <w:name w:val="Balloon Text"/>
    <w:basedOn w:val="1"/>
    <w:uiPriority w:val="0"/>
    <w:rPr>
      <w:sz w:val="18"/>
    </w:rPr>
  </w:style>
  <w:style w:type="paragraph" w:styleId="36">
    <w:name w:val="footer"/>
    <w:basedOn w:val="1"/>
    <w:uiPriority w:val="0"/>
    <w:pPr>
      <w:tabs>
        <w:tab w:val="center" w:pos="4153"/>
        <w:tab w:val="right" w:pos="8306"/>
      </w:tabs>
      <w:snapToGrid w:val="0"/>
      <w:jc w:val="left"/>
    </w:pPr>
    <w:rPr>
      <w:sz w:val="18"/>
    </w:rPr>
  </w:style>
  <w:style w:type="paragraph" w:styleId="37">
    <w:name w:val="header"/>
    <w:basedOn w:val="1"/>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uiPriority w:val="0"/>
    <w:pPr>
      <w:spacing w:line="180" w:lineRule="auto"/>
      <w:jc w:val="center"/>
    </w:pPr>
    <w:rPr>
      <w:sz w:val="30"/>
    </w:rPr>
  </w:style>
  <w:style w:type="paragraph" w:styleId="39">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0">
    <w:name w:val="toc 4"/>
    <w:basedOn w:val="1"/>
    <w:next w:val="1"/>
    <w:uiPriority w:val="0"/>
    <w:pPr>
      <w:ind w:left="1260" w:leftChars="600"/>
    </w:pPr>
  </w:style>
  <w:style w:type="paragraph" w:styleId="41">
    <w:name w:val="footnote text"/>
    <w:basedOn w:val="1"/>
    <w:link w:val="74"/>
    <w:uiPriority w:val="0"/>
    <w:pPr>
      <w:spacing w:line="360" w:lineRule="auto"/>
    </w:pPr>
    <w:rPr>
      <w:sz w:val="18"/>
    </w:rPr>
  </w:style>
  <w:style w:type="paragraph" w:styleId="42">
    <w:name w:val="toc 6"/>
    <w:basedOn w:val="1"/>
    <w:next w:val="1"/>
    <w:uiPriority w:val="0"/>
    <w:pPr>
      <w:ind w:left="2100" w:leftChars="1000"/>
    </w:pPr>
  </w:style>
  <w:style w:type="paragraph" w:styleId="43">
    <w:name w:val="List 5"/>
    <w:basedOn w:val="1"/>
    <w:uiPriority w:val="0"/>
    <w:pPr>
      <w:adjustRightInd w:val="0"/>
      <w:snapToGrid w:val="0"/>
      <w:spacing w:line="360" w:lineRule="auto"/>
      <w:ind w:left="100" w:leftChars="800" w:hanging="200" w:hangingChars="200"/>
    </w:pPr>
    <w:rPr>
      <w:sz w:val="24"/>
    </w:rPr>
  </w:style>
  <w:style w:type="paragraph" w:styleId="44">
    <w:name w:val="Body Text Indent 3"/>
    <w:basedOn w:val="1"/>
    <w:uiPriority w:val="0"/>
    <w:pPr>
      <w:spacing w:line="360" w:lineRule="auto"/>
      <w:ind w:firstLine="632"/>
    </w:pPr>
    <w:rPr>
      <w:rFonts w:ascii="黑体" w:eastAsia="黑体"/>
    </w:rPr>
  </w:style>
  <w:style w:type="paragraph" w:styleId="45">
    <w:name w:val="table of figures"/>
    <w:basedOn w:val="1"/>
    <w:next w:val="1"/>
    <w:uiPriority w:val="0"/>
    <w:pPr>
      <w:tabs>
        <w:tab w:val="right" w:leader="dot" w:pos="8640"/>
      </w:tabs>
      <w:spacing w:line="360" w:lineRule="auto"/>
      <w:ind w:left="400" w:hanging="400"/>
    </w:pPr>
    <w:rPr>
      <w:sz w:val="24"/>
    </w:rPr>
  </w:style>
  <w:style w:type="paragraph" w:styleId="46">
    <w:name w:val="toc 2"/>
    <w:basedOn w:val="1"/>
    <w:next w:val="1"/>
    <w:uiPriority w:val="39"/>
    <w:pPr>
      <w:ind w:left="420" w:leftChars="200"/>
    </w:pPr>
  </w:style>
  <w:style w:type="paragraph" w:styleId="47">
    <w:name w:val="toc 9"/>
    <w:basedOn w:val="1"/>
    <w:next w:val="1"/>
    <w:uiPriority w:val="0"/>
    <w:pPr>
      <w:ind w:left="3360" w:leftChars="1600"/>
    </w:pPr>
  </w:style>
  <w:style w:type="paragraph" w:styleId="48">
    <w:name w:val="Body Text 2"/>
    <w:basedOn w:val="1"/>
    <w:uiPriority w:val="0"/>
    <w:pPr>
      <w:adjustRightInd w:val="0"/>
      <w:snapToGrid w:val="0"/>
      <w:spacing w:after="120" w:afterLines="0" w:afterAutospacing="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2">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5">
    <w:name w:val="annotation subject"/>
    <w:basedOn w:val="21"/>
    <w:next w:val="21"/>
    <w:link w:val="75"/>
    <w:uiPriority w:val="0"/>
    <w:pPr>
      <w:adjustRightInd/>
      <w:spacing w:line="240" w:lineRule="auto"/>
      <w:textAlignment w:val="auto"/>
    </w:pPr>
  </w:style>
  <w:style w:type="paragraph" w:styleId="56">
    <w:name w:val="Body Text First Indent"/>
    <w:basedOn w:val="1"/>
    <w:uiPriority w:val="0"/>
    <w:pPr>
      <w:spacing w:line="360" w:lineRule="auto"/>
      <w:ind w:firstLine="420"/>
    </w:pPr>
    <w:rPr>
      <w:rFonts w:ascii="宋体" w:hAnsi="宋体"/>
      <w:sz w:val="24"/>
    </w:rPr>
  </w:style>
  <w:style w:type="paragraph" w:styleId="57">
    <w:name w:val="Body Text First Indent 2"/>
    <w:basedOn w:val="24"/>
    <w:link w:val="76"/>
    <w:uiPriority w:val="0"/>
    <w:pPr>
      <w:spacing w:after="120" w:afterLines="0" w:line="240" w:lineRule="auto"/>
      <w:ind w:left="420" w:leftChars="200" w:firstLine="420" w:firstLineChars="200"/>
    </w:p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uiPriority w:val="0"/>
  </w:style>
  <w:style w:type="character" w:styleId="63">
    <w:name w:val="FollowedHyperlink"/>
    <w:uiPriority w:val="0"/>
    <w:rPr>
      <w:color w:val="800080"/>
      <w:u w:val="single"/>
    </w:rPr>
  </w:style>
  <w:style w:type="character" w:styleId="64">
    <w:name w:val="Emphasis"/>
    <w:qFormat/>
    <w:uiPriority w:val="0"/>
    <w:rPr>
      <w:i/>
    </w:rPr>
  </w:style>
  <w:style w:type="character" w:styleId="65">
    <w:name w:val="Hyperlink"/>
    <w:uiPriority w:val="99"/>
    <w:rPr>
      <w:color w:val="0000FF"/>
      <w:u w:val="single"/>
    </w:rPr>
  </w:style>
  <w:style w:type="character" w:styleId="66">
    <w:name w:val="annotation reference"/>
    <w:uiPriority w:val="0"/>
    <w:rPr>
      <w:sz w:val="21"/>
      <w:szCs w:val="21"/>
    </w:rPr>
  </w:style>
  <w:style w:type="character" w:styleId="67">
    <w:name w:val="footnote reference"/>
    <w:uiPriority w:val="0"/>
    <w:rPr>
      <w:position w:val="6"/>
      <w:sz w:val="14"/>
      <w:vertAlign w:val="superscript"/>
    </w:rPr>
  </w:style>
  <w:style w:type="character" w:customStyle="1" w:styleId="68">
    <w:name w:val="标题 2 Char"/>
    <w:link w:val="5"/>
    <w:qFormat/>
    <w:uiPriority w:val="0"/>
    <w:rPr>
      <w:rFonts w:ascii="Arial" w:hAnsi="Arial" w:eastAsia="黑体"/>
      <w:b/>
      <w:kern w:val="2"/>
      <w:sz w:val="32"/>
    </w:rPr>
  </w:style>
  <w:style w:type="character" w:customStyle="1" w:styleId="69">
    <w:name w:val="标题 3 Char"/>
    <w:link w:val="6"/>
    <w:qFormat/>
    <w:uiPriority w:val="0"/>
    <w:rPr>
      <w:rFonts w:eastAsia="宋体"/>
      <w:b/>
      <w:kern w:val="2"/>
      <w:sz w:val="32"/>
      <w:lang w:val="en-US" w:eastAsia="zh-CN"/>
    </w:rPr>
  </w:style>
  <w:style w:type="character" w:customStyle="1" w:styleId="70">
    <w:name w:val="批注文字 Char"/>
    <w:link w:val="21"/>
    <w:qFormat/>
    <w:uiPriority w:val="0"/>
    <w:rPr>
      <w:sz w:val="24"/>
    </w:rPr>
  </w:style>
  <w:style w:type="character" w:customStyle="1" w:styleId="71">
    <w:name w:val="正文文本缩进 Char"/>
    <w:link w:val="24"/>
    <w:uiPriority w:val="0"/>
    <w:rPr>
      <w:kern w:val="2"/>
      <w:sz w:val="44"/>
    </w:rPr>
  </w:style>
  <w:style w:type="character" w:customStyle="1" w:styleId="72">
    <w:name w:val="日期 Char"/>
    <w:link w:val="33"/>
    <w:uiPriority w:val="0"/>
    <w:rPr>
      <w:kern w:val="2"/>
      <w:sz w:val="28"/>
    </w:rPr>
  </w:style>
  <w:style w:type="character" w:customStyle="1" w:styleId="73">
    <w:name w:val="正文文本缩进 2 Char"/>
    <w:link w:val="34"/>
    <w:uiPriority w:val="0"/>
    <w:rPr>
      <w:kern w:val="2"/>
      <w:sz w:val="28"/>
    </w:rPr>
  </w:style>
  <w:style w:type="character" w:customStyle="1" w:styleId="74">
    <w:name w:val="脚注文本 Char"/>
    <w:link w:val="41"/>
    <w:uiPriority w:val="0"/>
    <w:rPr>
      <w:kern w:val="2"/>
      <w:sz w:val="18"/>
    </w:rPr>
  </w:style>
  <w:style w:type="character" w:customStyle="1" w:styleId="75">
    <w:name w:val="批注主题 Char"/>
    <w:link w:val="55"/>
    <w:qFormat/>
    <w:uiPriority w:val="0"/>
  </w:style>
  <w:style w:type="character" w:customStyle="1" w:styleId="76">
    <w:name w:val="正文首行缩进 2 Char"/>
    <w:link w:val="57"/>
    <w:qFormat/>
    <w:uiPriority w:val="0"/>
  </w:style>
  <w:style w:type="character" w:customStyle="1" w:styleId="77">
    <w:name w:val="v151"/>
    <w:qFormat/>
    <w:uiPriority w:val="0"/>
    <w:rPr>
      <w:sz w:val="18"/>
    </w:rPr>
  </w:style>
  <w:style w:type="character" w:customStyle="1" w:styleId="78">
    <w:name w:val=" Char Char7"/>
    <w:qFormat/>
    <w:uiPriority w:val="0"/>
    <w:rPr>
      <w:rFonts w:ascii="宋体" w:hAnsi="宋体" w:eastAsia="宋体"/>
      <w:kern w:val="2"/>
      <w:sz w:val="28"/>
    </w:rPr>
  </w:style>
  <w:style w:type="character" w:customStyle="1" w:styleId="79">
    <w:name w:val="小 Char"/>
    <w:qFormat/>
    <w:uiPriority w:val="0"/>
    <w:rPr>
      <w:rFonts w:ascii="宋体" w:hAnsi="Courier New" w:eastAsia="宋体"/>
      <w:kern w:val="2"/>
      <w:sz w:val="21"/>
      <w:lang w:val="en-US" w:eastAsia="zh-CN" w:bidi="ar-SA"/>
    </w:rPr>
  </w:style>
  <w:style w:type="character" w:customStyle="1" w:styleId="80">
    <w:name w:val="文字 Char"/>
    <w:link w:val="81"/>
    <w:qFormat/>
    <w:uiPriority w:val="0"/>
    <w:rPr>
      <w:rFonts w:ascii="宋体"/>
      <w:kern w:val="2"/>
      <w:sz w:val="28"/>
    </w:rPr>
  </w:style>
  <w:style w:type="paragraph" w:customStyle="1" w:styleId="81">
    <w:name w:val="文字"/>
    <w:basedOn w:val="1"/>
    <w:link w:val="80"/>
    <w:uiPriority w:val="0"/>
    <w:pPr>
      <w:tabs>
        <w:tab w:val="left" w:pos="8520"/>
      </w:tabs>
      <w:spacing w:line="312" w:lineRule="auto"/>
      <w:ind w:right="-210" w:firstLine="556"/>
    </w:pPr>
    <w:rPr>
      <w:rFonts w:ascii="宋体"/>
    </w:rPr>
  </w:style>
  <w:style w:type="character" w:customStyle="1" w:styleId="82">
    <w:name w:val="content-white1"/>
    <w:qFormat/>
    <w:uiPriority w:val="0"/>
    <w:rPr>
      <w:rFonts w:ascii="_x000B__x000C_" w:hAnsi="_x000B__x000C_"/>
      <w:color w:val="auto"/>
      <w:sz w:val="18"/>
      <w:u w:val="none"/>
    </w:rPr>
  </w:style>
  <w:style w:type="character" w:customStyle="1" w:styleId="83">
    <w:name w:val="正文 + 三号 Char"/>
    <w:qFormat/>
    <w:uiPriority w:val="0"/>
    <w:rPr>
      <w:rFonts w:eastAsia="宋体"/>
      <w:kern w:val="2"/>
      <w:sz w:val="21"/>
      <w:lang w:val="en-US" w:eastAsia="zh-CN"/>
    </w:rPr>
  </w:style>
  <w:style w:type="character" w:customStyle="1" w:styleId="84">
    <w:name w:val="H2 Char"/>
    <w:qFormat/>
    <w:uiPriority w:val="0"/>
    <w:rPr>
      <w:rFonts w:ascii="Arial" w:hAnsi="Arial" w:eastAsia="宋体"/>
      <w:kern w:val="2"/>
      <w:sz w:val="28"/>
      <w:lang w:val="en-US" w:eastAsia="zh-CN"/>
    </w:rPr>
  </w:style>
  <w:style w:type="character" w:customStyle="1" w:styleId="85">
    <w:name w:val=" Char Char3"/>
    <w:qFormat/>
    <w:uiPriority w:val="0"/>
    <w:rPr>
      <w:rFonts w:eastAsia="宋体"/>
      <w:kern w:val="2"/>
      <w:sz w:val="18"/>
      <w:lang w:val="en-US" w:eastAsia="zh-CN"/>
    </w:rPr>
  </w:style>
  <w:style w:type="character" w:customStyle="1" w:styleId="86">
    <w:name w:val=" Char Char4"/>
    <w:qFormat/>
    <w:uiPriority w:val="0"/>
    <w:rPr>
      <w:rFonts w:eastAsia="宋体"/>
      <w:b/>
      <w:kern w:val="2"/>
      <w:sz w:val="21"/>
      <w:lang w:val="en-US" w:eastAsia="zh-CN"/>
    </w:rPr>
  </w:style>
  <w:style w:type="character" w:customStyle="1" w:styleId="87">
    <w:name w:val="Table Text Char1 Char"/>
    <w:qFormat/>
    <w:uiPriority w:val="0"/>
    <w:rPr>
      <w:rFonts w:ascii="Arial" w:hAnsi="Arial"/>
      <w:kern w:val="2"/>
      <w:sz w:val="18"/>
      <w:lang w:val="en-US" w:eastAsia="zh-CN" w:bidi="ar-SA"/>
    </w:rPr>
  </w:style>
  <w:style w:type="character" w:customStyle="1" w:styleId="88">
    <w:name w:val=" Char Char5"/>
    <w:qFormat/>
    <w:uiPriority w:val="0"/>
    <w:rPr>
      <w:rFonts w:ascii="Arial" w:hAnsi="Arial" w:eastAsia="宋体"/>
      <w:b/>
      <w:smallCaps/>
      <w:kern w:val="28"/>
      <w:sz w:val="36"/>
      <w:lang w:val="en-US" w:eastAsia="en-US"/>
    </w:rPr>
  </w:style>
  <w:style w:type="character" w:customStyle="1" w:styleId="89">
    <w:name w:val=" Char Char"/>
    <w:qFormat/>
    <w:uiPriority w:val="0"/>
    <w:rPr>
      <w:rFonts w:ascii="宋体" w:hAnsi="宋体" w:eastAsia="宋体"/>
      <w:kern w:val="2"/>
      <w:sz w:val="24"/>
      <w:lang w:val="en-US" w:eastAsia="zh-CN" w:bidi="ar-SA"/>
    </w:rPr>
  </w:style>
  <w:style w:type="character" w:customStyle="1" w:styleId="90">
    <w:name w:val="Table Heading Char Char"/>
    <w:qFormat/>
    <w:uiPriority w:val="0"/>
    <w:rPr>
      <w:rFonts w:ascii="Arial" w:hAnsi="Arial" w:eastAsia="黑体"/>
      <w:kern w:val="2"/>
      <w:sz w:val="18"/>
      <w:lang w:val="en-US" w:eastAsia="zh-CN"/>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Char Char Char"/>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Table Text Char"/>
    <w:link w:val="94"/>
    <w:qFormat/>
    <w:uiPriority w:val="0"/>
    <w:rPr>
      <w:rFonts w:ascii="Arial" w:hAnsi="Arial"/>
      <w:kern w:val="2"/>
      <w:sz w:val="18"/>
      <w:lang w:val="en-US" w:eastAsia="zh-CN" w:bidi="ar-SA"/>
    </w:rPr>
  </w:style>
  <w:style w:type="paragraph" w:customStyle="1" w:styleId="94">
    <w:name w:val="Table Text"/>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 Char Char2"/>
    <w:qFormat/>
    <w:uiPriority w:val="0"/>
    <w:rPr>
      <w:rFonts w:eastAsia="宋体"/>
      <w:kern w:val="2"/>
      <w:sz w:val="18"/>
      <w:lang w:val="en-US" w:eastAsia="zh-CN"/>
    </w:rPr>
  </w:style>
  <w:style w:type="character" w:customStyle="1" w:styleId="96">
    <w:name w:val="标书正文:  0.74 厘米 Char1"/>
    <w:qFormat/>
    <w:uiPriority w:val="0"/>
    <w:rPr>
      <w:rFonts w:eastAsia="宋体"/>
      <w:kern w:val="2"/>
      <w:sz w:val="24"/>
      <w:lang w:val="en-US" w:eastAsia="zh-CN"/>
    </w:rPr>
  </w:style>
  <w:style w:type="character" w:customStyle="1" w:styleId="97">
    <w:name w:val="样式 宋体"/>
    <w:qFormat/>
    <w:uiPriority w:val="0"/>
    <w:rPr>
      <w:rFonts w:ascii="宋体" w:hAnsi="宋体" w:eastAsia="宋体"/>
      <w:sz w:val="28"/>
    </w:rPr>
  </w:style>
  <w:style w:type="character" w:customStyle="1" w:styleId="98">
    <w:name w:val="未命名11"/>
    <w:qFormat/>
    <w:uiPriority w:val="0"/>
    <w:rPr>
      <w:color w:val="77FFFF"/>
      <w:sz w:val="24"/>
    </w:rPr>
  </w:style>
  <w:style w:type="character" w:customStyle="1" w:styleId="99">
    <w:name w:val="crowed11"/>
    <w:qFormat/>
    <w:uiPriority w:val="0"/>
    <w:rPr>
      <w:rFonts w:hint="default" w:ascii="_x000B__x000C_" w:hAnsi="_x000B__x000C_"/>
      <w:sz w:val="24"/>
    </w:rPr>
  </w:style>
  <w:style w:type="character" w:customStyle="1" w:styleId="100">
    <w:name w:val=" Char Char6"/>
    <w:qFormat/>
    <w:uiPriority w:val="0"/>
    <w:rPr>
      <w:rFonts w:ascii="仿宋_GB2312" w:eastAsia="仿宋_GB2312"/>
      <w:kern w:val="2"/>
      <w:sz w:val="32"/>
    </w:rPr>
  </w:style>
  <w:style w:type="character" w:customStyle="1" w:styleId="101">
    <w:name w:val="title_emph1"/>
    <w:qFormat/>
    <w:uiPriority w:val="0"/>
    <w:rPr>
      <w:rFonts w:hint="default" w:ascii="Arial" w:hAnsi="Arial"/>
      <w:b/>
      <w:sz w:val="20"/>
    </w:rPr>
  </w:style>
  <w:style w:type="character" w:customStyle="1" w:styleId="102">
    <w:name w:val="font1"/>
    <w:qFormat/>
    <w:uiPriority w:val="0"/>
    <w:rPr>
      <w:color w:val="000000"/>
      <w:sz w:val="18"/>
    </w:rPr>
  </w:style>
  <w:style w:type="character" w:customStyle="1" w:styleId="103">
    <w:name w:val=" Char Char11"/>
    <w:qFormat/>
    <w:uiPriority w:val="0"/>
    <w:rPr>
      <w:rFonts w:ascii="宋体"/>
      <w:kern w:val="2"/>
      <w:sz w:val="28"/>
    </w:rPr>
  </w:style>
  <w:style w:type="character" w:customStyle="1" w:styleId="104">
    <w:name w:val="top-det1"/>
    <w:qFormat/>
    <w:uiPriority w:val="0"/>
    <w:rPr>
      <w:b/>
      <w:color w:val="000000"/>
    </w:rPr>
  </w:style>
  <w:style w:type="paragraph" w:customStyle="1" w:styleId="105">
    <w:name w:val="二级列表"/>
    <w:basedOn w:val="106"/>
    <w:next w:val="106"/>
    <w:qFormat/>
    <w:uiPriority w:val="0"/>
    <w:pPr>
      <w:tabs>
        <w:tab w:val="left" w:pos="2120"/>
      </w:tabs>
      <w:ind w:firstLine="0" w:firstLineChars="0"/>
    </w:pPr>
    <w:rPr>
      <w:b/>
    </w:rPr>
  </w:style>
  <w:style w:type="paragraph" w:customStyle="1" w:styleId="106">
    <w:name w:val="段落正文"/>
    <w:basedOn w:val="1"/>
    <w:uiPriority w:val="0"/>
    <w:pPr>
      <w:spacing w:before="156" w:beforeLines="50" w:beforeAutospacing="0" w:line="360" w:lineRule="auto"/>
      <w:ind w:firstLine="200" w:firstLineChars="200"/>
    </w:pPr>
    <w:rPr>
      <w:spacing w:val="2"/>
      <w:sz w:val="24"/>
    </w:rPr>
  </w:style>
  <w:style w:type="paragraph" w:customStyle="1" w:styleId="107">
    <w:name w:val="标题3——2"/>
    <w:basedOn w:val="6"/>
    <w:next w:val="56"/>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08">
    <w:name w:val="文本1"/>
    <w:basedOn w:val="1"/>
    <w:uiPriority w:val="0"/>
    <w:pPr>
      <w:adjustRightInd w:val="0"/>
      <w:spacing w:line="312" w:lineRule="atLeast"/>
      <w:jc w:val="center"/>
      <w:textAlignment w:val="baseline"/>
    </w:pPr>
    <w:rPr>
      <w:kern w:val="0"/>
      <w:sz w:val="18"/>
    </w:rPr>
  </w:style>
  <w:style w:type="paragraph" w:customStyle="1" w:styleId="109">
    <w:name w:val="Title - Revision"/>
    <w:basedOn w:val="54"/>
    <w:uiPriority w:val="0"/>
    <w:pPr>
      <w:spacing w:before="720" w:beforeLines="0" w:beforeAutospacing="0"/>
    </w:pPr>
  </w:style>
  <w:style w:type="paragraph" w:customStyle="1" w:styleId="110">
    <w:name w:val="Table Text Char1"/>
    <w:uiPriority w:val="0"/>
    <w:pPr>
      <w:snapToGrid w:val="0"/>
      <w:spacing w:before="80" w:after="80"/>
    </w:pPr>
    <w:rPr>
      <w:rFonts w:ascii="Arial" w:hAnsi="Arial" w:eastAsia="宋体" w:cs="Times New Roman"/>
      <w:kern w:val="2"/>
      <w:sz w:val="18"/>
      <w:lang w:val="en-US" w:eastAsia="zh-CN" w:bidi="ar-SA"/>
    </w:rPr>
  </w:style>
  <w:style w:type="paragraph" w:customStyle="1" w:styleId="111">
    <w:name w:val="项目"/>
    <w:basedOn w:val="1"/>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12">
    <w:name w:val="二级条标题"/>
    <w:basedOn w:val="113"/>
    <w:next w:val="115"/>
    <w:uiPriority w:val="0"/>
    <w:pPr>
      <w:ind w:left="840"/>
      <w:outlineLvl w:val="3"/>
    </w:pPr>
  </w:style>
  <w:style w:type="paragraph" w:customStyle="1" w:styleId="113">
    <w:name w:val="一级条标题"/>
    <w:basedOn w:val="114"/>
    <w:next w:val="115"/>
    <w:uiPriority w:val="0"/>
    <w:pPr>
      <w:numPr>
        <w:ilvl w:val="1"/>
        <w:numId w:val="0"/>
      </w:numPr>
      <w:spacing w:before="0" w:beforeLines="0" w:beforeAutospacing="0" w:after="0" w:afterLines="0" w:afterAutospacing="0"/>
      <w:ind w:left="525"/>
      <w:outlineLvl w:val="2"/>
    </w:pPr>
    <w:rPr>
      <w:sz w:val="21"/>
    </w:rPr>
  </w:style>
  <w:style w:type="paragraph" w:customStyle="1" w:styleId="114">
    <w:name w:val="章标题"/>
    <w:next w:val="1"/>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5">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6">
    <w:name w:val="1.正文"/>
    <w:basedOn w:val="1"/>
    <w:uiPriority w:val="0"/>
    <w:pPr>
      <w:spacing w:line="360" w:lineRule="auto"/>
      <w:ind w:left="540" w:leftChars="225" w:firstLine="540" w:firstLineChars="225"/>
    </w:pPr>
    <w:rPr>
      <w:sz w:val="24"/>
    </w:rPr>
  </w:style>
  <w:style w:type="paragraph" w:customStyle="1" w:styleId="117">
    <w:name w:val="tabletext"/>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18">
    <w:name w:val="编号正文"/>
    <w:basedOn w:val="119"/>
    <w:uiPriority w:val="0"/>
    <w:pPr>
      <w:snapToGrid/>
      <w:spacing w:line="360" w:lineRule="auto"/>
      <w:ind w:left="1407" w:hanging="1047"/>
      <w:jc w:val="left"/>
    </w:pPr>
    <w:rPr>
      <w:rFonts w:eastAsia="仿宋_GB2312"/>
    </w:rPr>
  </w:style>
  <w:style w:type="paragraph" w:customStyle="1" w:styleId="119">
    <w:name w:val="文档正文"/>
    <w:basedOn w:val="1"/>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0">
    <w:name w:val="样式3"/>
    <w:basedOn w:val="4"/>
    <w:next w:val="4"/>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21">
    <w:name w:val="Item Step in Table"/>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22">
    <w:name w:val="默认段落字体 Para Char Char Char Char Char Char Char Char Char1 Char Char Char Char"/>
    <w:basedOn w:val="1"/>
    <w:qFormat/>
    <w:uiPriority w:val="0"/>
    <w:rPr>
      <w:rFonts w:ascii="Tahoma" w:hAnsi="Tahoma"/>
      <w:sz w:val="24"/>
    </w:rPr>
  </w:style>
  <w:style w:type="paragraph" w:customStyle="1" w:styleId="123">
    <w:name w:val="AA Numbering"/>
    <w:basedOn w:val="1"/>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4">
    <w:name w:val=" Char Char Char1 Char Char Char Char Char Char Char Char Char Char Char Char Char"/>
    <w:basedOn w:val="1"/>
    <w:uiPriority w:val="0"/>
    <w:pPr>
      <w:widowControl/>
      <w:spacing w:after="160" w:afterLines="0" w:line="240" w:lineRule="exact"/>
      <w:jc w:val="left"/>
    </w:pPr>
    <w:rPr>
      <w:rFonts w:ascii="Verdana" w:hAnsi="Verdana"/>
      <w:kern w:val="0"/>
      <w:sz w:val="18"/>
      <w:lang w:eastAsia="en-US"/>
    </w:rPr>
  </w:style>
  <w:style w:type="paragraph" w:customStyle="1" w:styleId="125">
    <w:name w:val=" Char Char14 Char Char"/>
    <w:basedOn w:val="1"/>
    <w:uiPriority w:val="0"/>
    <w:rPr>
      <w:sz w:val="21"/>
      <w:szCs w:val="24"/>
    </w:rPr>
  </w:style>
  <w:style w:type="paragraph" w:customStyle="1" w:styleId="126">
    <w:name w:val=" Char Char Char Char Char"/>
    <w:basedOn w:val="1"/>
    <w:uiPriority w:val="0"/>
    <w:pPr>
      <w:numPr>
        <w:ilvl w:val="0"/>
        <w:numId w:val="2"/>
      </w:numPr>
      <w:tabs>
        <w:tab w:val="left" w:pos="425"/>
        <w:tab w:val="clear" w:pos="1620"/>
      </w:tabs>
    </w:pPr>
    <w:rPr>
      <w:rFonts w:ascii="Tahoma" w:hAnsi="Tahoma"/>
      <w:sz w:val="24"/>
    </w:rPr>
  </w:style>
  <w:style w:type="paragraph" w:customStyle="1" w:styleId="127">
    <w:name w:val=" Char2 Char Char Char Char Char Char"/>
    <w:basedOn w:val="1"/>
    <w:uiPriority w:val="0"/>
    <w:rPr>
      <w:rFonts w:ascii="仿宋_GB2312"/>
      <w:b/>
      <w:sz w:val="30"/>
    </w:rPr>
  </w:style>
  <w:style w:type="paragraph" w:customStyle="1" w:styleId="128">
    <w:name w:val="_Style 127"/>
    <w:uiPriority w:val="0"/>
    <w:rPr>
      <w:rFonts w:ascii="Times New Roman" w:hAnsi="Times New Roman" w:eastAsia="宋体" w:cs="Times New Roman"/>
      <w:kern w:val="2"/>
      <w:sz w:val="21"/>
      <w:lang w:val="en-US" w:eastAsia="zh-CN" w:bidi="ar-SA"/>
    </w:rPr>
  </w:style>
  <w:style w:type="paragraph" w:customStyle="1" w:styleId="129">
    <w:name w:val="正文格式 Char"/>
    <w:basedOn w:val="1"/>
    <w:uiPriority w:val="0"/>
    <w:pPr>
      <w:widowControl/>
      <w:adjustRightInd w:val="0"/>
      <w:spacing w:line="440" w:lineRule="atLeast"/>
      <w:ind w:firstLine="510"/>
      <w:textAlignment w:val="baseline"/>
    </w:pPr>
    <w:rPr>
      <w:kern w:val="0"/>
      <w:sz w:val="24"/>
    </w:rPr>
  </w:style>
  <w:style w:type="paragraph" w:customStyle="1" w:styleId="130">
    <w:name w:val="正文 + 三号"/>
    <w:basedOn w:val="1"/>
    <w:uiPriority w:val="0"/>
    <w:rPr>
      <w:sz w:val="21"/>
    </w:rPr>
  </w:style>
  <w:style w:type="paragraph" w:customStyle="1" w:styleId="131">
    <w:name w:val="样式 首行缩进:  0.74 厘米"/>
    <w:basedOn w:val="1"/>
    <w:uiPriority w:val="0"/>
    <w:pPr>
      <w:spacing w:line="360" w:lineRule="auto"/>
      <w:ind w:firstLine="420"/>
    </w:pPr>
    <w:rPr>
      <w:sz w:val="24"/>
    </w:rPr>
  </w:style>
  <w:style w:type="paragraph" w:customStyle="1" w:styleId="132">
    <w:name w:val="样式 样式 首行缩进:  2 字符 + 首行缩进:  2 字符"/>
    <w:basedOn w:val="1"/>
    <w:uiPriority w:val="0"/>
    <w:pPr>
      <w:numPr>
        <w:ilvl w:val="0"/>
        <w:numId w:val="6"/>
      </w:numPr>
      <w:tabs>
        <w:tab w:val="clear" w:pos="1230"/>
      </w:tabs>
      <w:spacing w:line="360" w:lineRule="auto"/>
      <w:ind w:firstLine="480" w:firstLineChars="200"/>
    </w:pPr>
    <w:rPr>
      <w:sz w:val="24"/>
    </w:rPr>
  </w:style>
  <w:style w:type="paragraph" w:customStyle="1" w:styleId="133">
    <w:name w:val="标题2"/>
    <w:basedOn w:val="5"/>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34">
    <w:name w:val="Item Step"/>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5">
    <w:name w:val="Table Contents"/>
    <w:basedOn w:val="2"/>
    <w:qFormat/>
    <w:uiPriority w:val="0"/>
    <w:pPr>
      <w:suppressAutoHyphens/>
      <w:jc w:val="left"/>
    </w:pPr>
    <w:rPr>
      <w:rFonts w:ascii="Times New Roman" w:eastAsia="Times New Roman"/>
      <w:kern w:val="0"/>
      <w:sz w:val="24"/>
    </w:rPr>
  </w:style>
  <w:style w:type="paragraph" w:customStyle="1" w:styleId="136">
    <w:name w:val="表格文本"/>
    <w:uiPriority w:val="0"/>
    <w:pPr>
      <w:tabs>
        <w:tab w:val="decimal" w:pos="0"/>
      </w:tabs>
    </w:pPr>
    <w:rPr>
      <w:rFonts w:ascii="Arial" w:hAnsi="Arial" w:eastAsia="宋体" w:cs="Times New Roman"/>
      <w:sz w:val="21"/>
      <w:lang w:val="en-US" w:eastAsia="zh-CN" w:bidi="ar-SA"/>
    </w:rPr>
  </w:style>
  <w:style w:type="paragraph" w:customStyle="1" w:styleId="137">
    <w:name w:val=" Char Char Char Char Char Char Char"/>
    <w:basedOn w:val="1"/>
    <w:uiPriority w:val="0"/>
    <w:rPr>
      <w:rFonts w:ascii="Tahoma" w:hAnsi="Tahoma"/>
      <w:sz w:val="24"/>
    </w:rPr>
  </w:style>
  <w:style w:type="paragraph" w:customStyle="1" w:styleId="138">
    <w:name w:val="样式2"/>
    <w:basedOn w:val="7"/>
    <w:uiPriority w:val="0"/>
    <w:pPr>
      <w:numPr>
        <w:ilvl w:val="0"/>
        <w:numId w:val="7"/>
      </w:numPr>
      <w:spacing w:before="560" w:beforeLines="0" w:line="400" w:lineRule="exact"/>
      <w:jc w:val="center"/>
      <w:outlineLvl w:val="0"/>
    </w:pPr>
    <w:rPr>
      <w:b w:val="0"/>
      <w:sz w:val="44"/>
    </w:rPr>
  </w:style>
  <w:style w:type="paragraph" w:customStyle="1" w:styleId="139">
    <w:name w:val="内容标题"/>
    <w:basedOn w:val="19"/>
    <w:uiPriority w:val="0"/>
    <w:rPr>
      <w:rFonts w:ascii="Tahoma" w:hAnsi="Tahoma"/>
      <w:sz w:val="24"/>
    </w:rPr>
  </w:style>
  <w:style w:type="paragraph" w:customStyle="1" w:styleId="140">
    <w:name w:val="xl40"/>
    <w:basedOn w:val="1"/>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41">
    <w:name w:val="1"/>
    <w:basedOn w:val="1"/>
    <w:next w:val="31"/>
    <w:uiPriority w:val="0"/>
    <w:rPr>
      <w:rFonts w:ascii="宋体" w:hAnsi="Courier New"/>
      <w:sz w:val="21"/>
    </w:rPr>
  </w:style>
  <w:style w:type="paragraph" w:customStyle="1" w:styleId="142">
    <w:name w:val="列表项目"/>
    <w:basedOn w:val="1"/>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43">
    <w:name w:val="style1"/>
    <w:basedOn w:val="1"/>
    <w:uiPriority w:val="0"/>
    <w:pPr>
      <w:widowControl/>
      <w:spacing w:before="100" w:beforeLines="0" w:beforeAutospacing="1" w:after="100" w:afterLines="0" w:afterAutospacing="1"/>
      <w:jc w:val="left"/>
    </w:pPr>
    <w:rPr>
      <w:rFonts w:ascii="宋体" w:hAnsi="宋体"/>
      <w:kern w:val="0"/>
      <w:sz w:val="21"/>
    </w:rPr>
  </w:style>
  <w:style w:type="paragraph" w:customStyle="1" w:styleId="144">
    <w:name w:val="Char Char Char Char Char Char Char"/>
    <w:basedOn w:val="19"/>
    <w:uiPriority w:val="0"/>
    <w:rPr>
      <w:rFonts w:ascii="宋体" w:hAnsi="Tahoma"/>
    </w:rPr>
  </w:style>
  <w:style w:type="paragraph" w:customStyle="1" w:styleId="145">
    <w:name w:val="样式 标题 6第五层条 + 三号 段前: 0.5 行"/>
    <w:basedOn w:val="9"/>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46">
    <w:name w:val="段 Char"/>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7">
    <w:name w:val="样式 正文首行缩进 2 + 首行缩进:  2 字符"/>
    <w:basedOn w:val="1"/>
    <w:uiPriority w:val="0"/>
    <w:pPr>
      <w:numPr>
        <w:ilvl w:val="0"/>
        <w:numId w:val="8"/>
      </w:numPr>
      <w:adjustRightInd w:val="0"/>
      <w:snapToGrid w:val="0"/>
      <w:spacing w:line="360" w:lineRule="auto"/>
    </w:pPr>
    <w:rPr>
      <w:rFonts w:ascii="Arial" w:hAnsi="Arial"/>
      <w:b/>
      <w:sz w:val="24"/>
    </w:rPr>
  </w:style>
  <w:style w:type="paragraph" w:customStyle="1" w:styleId="148">
    <w:name w:val="样式 行距: 1.5 倍行距1"/>
    <w:basedOn w:val="1"/>
    <w:uiPriority w:val="0"/>
    <w:pPr>
      <w:snapToGrid w:val="0"/>
    </w:pPr>
    <w:rPr>
      <w:sz w:val="21"/>
    </w:rPr>
  </w:style>
  <w:style w:type="paragraph" w:customStyle="1" w:styleId="149">
    <w:name w:val="样式 仿宋_GB2312 首行缩进:  2 字符"/>
    <w:basedOn w:val="1"/>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50">
    <w:name w:val="00"/>
    <w:basedOn w:val="1"/>
    <w:uiPriority w:val="0"/>
    <w:pPr>
      <w:autoSpaceDE w:val="0"/>
      <w:autoSpaceDN w:val="0"/>
      <w:adjustRightInd w:val="0"/>
      <w:jc w:val="left"/>
    </w:pPr>
    <w:rPr>
      <w:rFonts w:ascii="黑体" w:eastAsia="黑体"/>
      <w:b/>
      <w:kern w:val="0"/>
      <w:sz w:val="20"/>
    </w:rPr>
  </w:style>
  <w:style w:type="paragraph" w:customStyle="1" w:styleId="151">
    <w:name w:val="xl27"/>
    <w:basedOn w:val="1"/>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52">
    <w:name w:val="Char Char Char Char"/>
    <w:basedOn w:val="1"/>
    <w:uiPriority w:val="0"/>
    <w:pPr>
      <w:pageBreakBefore/>
      <w:widowControl/>
      <w:spacing w:after="160" w:afterLines="0" w:line="240" w:lineRule="exact"/>
      <w:jc w:val="left"/>
    </w:pPr>
    <w:rPr>
      <w:rFonts w:ascii="Verdana" w:hAnsi="Verdana"/>
      <w:kern w:val="0"/>
      <w:sz w:val="20"/>
      <w:lang w:eastAsia="en-US"/>
    </w:rPr>
  </w:style>
  <w:style w:type="paragraph" w:customStyle="1" w:styleId="153">
    <w:name w:val=" Char Char Char Char Char Char1 Char"/>
    <w:basedOn w:val="1"/>
    <w:uiPriority w:val="0"/>
    <w:pPr>
      <w:widowControl/>
      <w:spacing w:after="160" w:afterLines="0" w:afterAutospacing="0" w:line="240" w:lineRule="exact"/>
      <w:jc w:val="left"/>
    </w:pPr>
    <w:rPr>
      <w:rFonts w:ascii="Verdana" w:hAnsi="Verdana"/>
      <w:kern w:val="0"/>
      <w:sz w:val="21"/>
      <w:lang w:eastAsia="en-US"/>
    </w:rPr>
  </w:style>
  <w:style w:type="paragraph" w:customStyle="1" w:styleId="154">
    <w:name w:val="标准正文"/>
    <w:basedOn w:val="24"/>
    <w:uiPriority w:val="0"/>
    <w:pPr>
      <w:spacing w:before="60" w:beforeLines="0" w:after="60" w:afterLines="0" w:line="360" w:lineRule="auto"/>
      <w:ind w:left="0" w:firstLine="482"/>
    </w:pPr>
    <w:rPr>
      <w:rFonts w:ascii="Arial" w:hAnsi="Arial"/>
      <w:sz w:val="24"/>
    </w:rPr>
  </w:style>
  <w:style w:type="paragraph" w:customStyle="1" w:styleId="155">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56">
    <w:name w:val="样式1"/>
    <w:basedOn w:val="7"/>
    <w:uiPriority w:val="0"/>
    <w:pPr>
      <w:tabs>
        <w:tab w:val="left" w:pos="720"/>
      </w:tabs>
      <w:spacing w:before="500" w:beforeLines="0" w:beforeAutospacing="0" w:after="260" w:afterLines="0" w:afterAutospacing="0" w:line="560" w:lineRule="atLeast"/>
      <w:ind w:left="420" w:hanging="420"/>
    </w:pPr>
  </w:style>
  <w:style w:type="paragraph" w:customStyle="1" w:styleId="157">
    <w:name w:val="正文4"/>
    <w:basedOn w:val="1"/>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58">
    <w:name w:val=" Char Char1"/>
    <w:basedOn w:val="1"/>
    <w:uiPriority w:val="0"/>
    <w:pPr>
      <w:widowControl/>
      <w:spacing w:after="160" w:afterLines="0" w:afterAutospacing="0" w:line="240" w:lineRule="exact"/>
      <w:jc w:val="left"/>
    </w:pPr>
    <w:rPr>
      <w:rFonts w:ascii="Verdana" w:hAnsi="Verdana"/>
      <w:kern w:val="0"/>
      <w:sz w:val="20"/>
      <w:lang w:eastAsia="en-US"/>
    </w:rPr>
  </w:style>
  <w:style w:type="paragraph" w:customStyle="1" w:styleId="159">
    <w:name w:val="正文格式"/>
    <w:basedOn w:val="1"/>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60">
    <w:name w:val="文本框样式1"/>
    <w:basedOn w:val="1"/>
    <w:uiPriority w:val="0"/>
    <w:pPr>
      <w:adjustRightInd w:val="0"/>
      <w:snapToGrid w:val="0"/>
      <w:spacing w:before="60" w:beforeLines="0" w:beforeAutospacing="0" w:line="180" w:lineRule="exact"/>
      <w:jc w:val="center"/>
    </w:pPr>
    <w:rPr>
      <w:sz w:val="21"/>
    </w:rPr>
  </w:style>
  <w:style w:type="paragraph" w:customStyle="1" w:styleId="161">
    <w:name w:val="附录2"/>
    <w:basedOn w:val="1"/>
    <w:next w:val="1"/>
    <w:uiPriority w:val="0"/>
    <w:pPr>
      <w:tabs>
        <w:tab w:val="left" w:pos="420"/>
        <w:tab w:val="left" w:pos="624"/>
      </w:tabs>
      <w:ind w:left="420" w:hanging="420"/>
      <w:outlineLvl w:val="1"/>
    </w:pPr>
    <w:rPr>
      <w:rFonts w:ascii="黑体" w:hAnsi="黑体" w:eastAsia="黑体"/>
      <w:b/>
      <w:sz w:val="32"/>
    </w:rPr>
  </w:style>
  <w:style w:type="paragraph" w:customStyle="1" w:styleId="162">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3">
    <w:name w:val="附录1"/>
    <w:basedOn w:val="1"/>
    <w:next w:val="1"/>
    <w:uiPriority w:val="0"/>
    <w:pPr>
      <w:tabs>
        <w:tab w:val="left" w:pos="1304"/>
      </w:tabs>
      <w:ind w:left="425" w:hanging="425"/>
      <w:outlineLvl w:val="0"/>
    </w:pPr>
    <w:rPr>
      <w:rFonts w:ascii="黑体" w:hAnsi="黑体" w:eastAsia="黑体"/>
      <w:b/>
      <w:sz w:val="44"/>
    </w:rPr>
  </w:style>
  <w:style w:type="paragraph" w:customStyle="1" w:styleId="164">
    <w:name w:val=" Char Char Char Char Char Char Char Char Char Char Char Char Char"/>
    <w:basedOn w:val="1"/>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6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Title - Date"/>
    <w:basedOn w:val="54"/>
    <w:next w:val="1"/>
    <w:qFormat/>
    <w:uiPriority w:val="0"/>
    <w:pPr>
      <w:spacing w:before="240" w:beforeLines="0" w:beforeAutospacing="0" w:after="720" w:afterLines="0" w:afterAutospacing="0"/>
    </w:pPr>
    <w:rPr>
      <w:sz w:val="28"/>
    </w:rPr>
  </w:style>
  <w:style w:type="paragraph" w:customStyle="1" w:styleId="168">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69">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7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1">
    <w:name w:val="表号"/>
    <w:basedOn w:val="1"/>
    <w:qFormat/>
    <w:uiPriority w:val="0"/>
    <w:pPr>
      <w:numPr>
        <w:ilvl w:val="0"/>
        <w:numId w:val="9"/>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7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3">
    <w:name w:val="Style Heading 3h3Heading 3 - oldLevel 3 HeadH3level_3PIM 3se..."/>
    <w:basedOn w:val="6"/>
    <w:qFormat/>
    <w:uiPriority w:val="0"/>
    <w:pPr>
      <w:numPr>
        <w:ilvl w:val="2"/>
        <w:numId w:val="2"/>
      </w:numPr>
      <w:tabs>
        <w:tab w:val="left" w:pos="709"/>
        <w:tab w:val="left" w:pos="1620"/>
      </w:tabs>
      <w:spacing w:line="413" w:lineRule="auto"/>
    </w:pPr>
  </w:style>
  <w:style w:type="paragraph" w:customStyle="1" w:styleId="174">
    <w:name w:val="样式4"/>
    <w:basedOn w:val="7"/>
    <w:qFormat/>
    <w:uiPriority w:val="0"/>
    <w:pPr>
      <w:adjustRightInd w:val="0"/>
      <w:snapToGrid w:val="0"/>
    </w:pPr>
  </w:style>
  <w:style w:type="paragraph" w:customStyle="1" w:styleId="175">
    <w:name w:val="摘要"/>
    <w:basedOn w:val="1"/>
    <w:next w:val="5"/>
    <w:qFormat/>
    <w:uiPriority w:val="0"/>
    <w:pPr>
      <w:spacing w:line="360" w:lineRule="auto"/>
    </w:pPr>
    <w:rPr>
      <w:rFonts w:eastAsia="黑体"/>
      <w:sz w:val="20"/>
    </w:rPr>
  </w:style>
  <w:style w:type="paragraph" w:customStyle="1" w:styleId="176">
    <w:name w:val=" Char Char 字元 字元 字元 Char Char Char Char"/>
    <w:basedOn w:val="1"/>
    <w:qFormat/>
    <w:uiPriority w:val="0"/>
    <w:pPr>
      <w:adjustRightInd w:val="0"/>
      <w:spacing w:line="360" w:lineRule="auto"/>
    </w:pPr>
    <w:rPr>
      <w:kern w:val="0"/>
      <w:sz w:val="24"/>
    </w:rPr>
  </w:style>
  <w:style w:type="paragraph" w:customStyle="1" w:styleId="177">
    <w:name w:val="可研正文"/>
    <w:basedOn w:val="2"/>
    <w:uiPriority w:val="0"/>
    <w:pPr>
      <w:adjustRightInd w:val="0"/>
      <w:snapToGrid w:val="0"/>
      <w:spacing w:line="440" w:lineRule="exact"/>
      <w:ind w:firstLine="567"/>
    </w:pPr>
    <w:rPr>
      <w:sz w:val="28"/>
    </w:rPr>
  </w:style>
  <w:style w:type="paragraph" w:customStyle="1" w:styleId="178">
    <w:name w:val="没有缩进（为图形使用）"/>
    <w:basedOn w:val="1"/>
    <w:uiPriority w:val="0"/>
    <w:pPr>
      <w:spacing w:before="120" w:beforeLines="0" w:beforeAutospacing="0" w:after="120" w:afterLines="0" w:afterAutospacing="0" w:line="360" w:lineRule="auto"/>
    </w:pPr>
    <w:rPr>
      <w:sz w:val="24"/>
    </w:rPr>
  </w:style>
  <w:style w:type="paragraph" w:customStyle="1" w:styleId="179">
    <w:name w:val="样式 样式 正文首行缩进 2 + 左  0 字符 + 首行缩进:  2.57 字符"/>
    <w:basedOn w:val="1"/>
    <w:next w:val="1"/>
    <w:uiPriority w:val="0"/>
    <w:pPr>
      <w:adjustRightInd w:val="0"/>
      <w:snapToGrid w:val="0"/>
      <w:spacing w:after="120" w:afterLines="0" w:afterAutospacing="0"/>
      <w:ind w:firstLine="540" w:firstLineChars="257"/>
    </w:pPr>
    <w:rPr>
      <w:sz w:val="21"/>
    </w:rPr>
  </w:style>
  <w:style w:type="paragraph" w:customStyle="1" w:styleId="180">
    <w:name w:val="标题5"/>
    <w:basedOn w:val="1"/>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1">
    <w:name w:val="标书正文:  0.74 厘米"/>
    <w:basedOn w:val="1"/>
    <w:uiPriority w:val="0"/>
    <w:pPr>
      <w:snapToGrid w:val="0"/>
      <w:spacing w:line="360" w:lineRule="auto"/>
      <w:ind w:firstLine="420"/>
    </w:pPr>
    <w:rPr>
      <w:sz w:val="24"/>
    </w:rPr>
  </w:style>
  <w:style w:type="paragraph" w:customStyle="1" w:styleId="182">
    <w:name w:val="样式 正文缩进正文（首行缩进两字）表正文正文非缩进特点标题4段1 + 首行缩进:  2 字符"/>
    <w:basedOn w:val="17"/>
    <w:qFormat/>
    <w:uiPriority w:val="0"/>
    <w:pPr>
      <w:ind w:firstLine="480" w:firstLineChars="200"/>
    </w:pPr>
  </w:style>
  <w:style w:type="paragraph" w:customStyle="1" w:styleId="183">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84">
    <w:name w:val=" Char1 Char Char Char"/>
    <w:basedOn w:val="1"/>
    <w:uiPriority w:val="0"/>
    <w:rPr>
      <w:rFonts w:ascii="Tahoma" w:hAnsi="Tahoma"/>
      <w:sz w:val="24"/>
    </w:rPr>
  </w:style>
  <w:style w:type="paragraph" w:customStyle="1" w:styleId="185">
    <w:name w:val="样式 标题 1章标题Heading 0Section HeadPIM 1H1h11st levell11H1..."/>
    <w:basedOn w:val="4"/>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86">
    <w:name w:val="文章正文"/>
    <w:basedOn w:val="1"/>
    <w:uiPriority w:val="0"/>
    <w:pPr>
      <w:ind w:firstLine="560" w:firstLineChars="200"/>
    </w:pPr>
    <w:rPr>
      <w:rFonts w:ascii="仿宋_GB2312" w:hAnsi="宋体" w:eastAsia="仿宋_GB2312"/>
      <w:color w:val="000000"/>
    </w:rPr>
  </w:style>
  <w:style w:type="paragraph" w:customStyle="1" w:styleId="187">
    <w:name w:val="样式 宋体 五号 两端对齐 行距: 单倍行距"/>
    <w:basedOn w:val="1"/>
    <w:uiPriority w:val="0"/>
    <w:pPr>
      <w:adjustRightInd w:val="0"/>
      <w:textAlignment w:val="baseline"/>
    </w:pPr>
    <w:rPr>
      <w:rFonts w:ascii="宋体" w:hAnsi="宋体"/>
      <w:kern w:val="0"/>
      <w:sz w:val="21"/>
    </w:rPr>
  </w:style>
  <w:style w:type="paragraph" w:customStyle="1" w:styleId="188">
    <w:name w:val="xl53"/>
    <w:basedOn w:val="1"/>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89">
    <w:name w:val=" Char Char1 Char"/>
    <w:basedOn w:val="1"/>
    <w:uiPriority w:val="0"/>
    <w:rPr>
      <w:rFonts w:ascii="Tahoma" w:hAnsi="Tahoma"/>
      <w:sz w:val="24"/>
      <w:szCs w:val="24"/>
    </w:rPr>
  </w:style>
  <w:style w:type="paragraph" w:customStyle="1" w:styleId="190">
    <w:name w:val="Item Lis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91">
    <w:name w:val="附录4"/>
    <w:basedOn w:val="1"/>
    <w:next w:val="1"/>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92">
    <w:name w:val="Char"/>
    <w:basedOn w:val="1"/>
    <w:uiPriority w:val="0"/>
    <w:pPr>
      <w:spacing w:line="240" w:lineRule="atLeast"/>
      <w:ind w:left="420" w:firstLine="420"/>
    </w:pPr>
    <w:rPr>
      <w:kern w:val="0"/>
      <w:sz w:val="21"/>
    </w:rPr>
  </w:style>
  <w:style w:type="paragraph" w:customStyle="1" w:styleId="193">
    <w:name w:val="_"/>
    <w:basedOn w:val="1"/>
    <w:uiPriority w:val="0"/>
    <w:pPr>
      <w:adjustRightInd w:val="0"/>
      <w:spacing w:line="360" w:lineRule="auto"/>
      <w:ind w:left="480" w:firstLine="200" w:firstLineChars="200"/>
      <w:textAlignment w:val="baseline"/>
    </w:pPr>
    <w:rPr>
      <w:kern w:val="0"/>
      <w:sz w:val="24"/>
    </w:rPr>
  </w:style>
  <w:style w:type="paragraph" w:customStyle="1" w:styleId="194">
    <w:name w:val="Char1 Char Char Char"/>
    <w:basedOn w:val="1"/>
    <w:qFormat/>
    <w:uiPriority w:val="0"/>
    <w:rPr>
      <w:rFonts w:ascii="Tahoma" w:hAnsi="Tahoma"/>
      <w:sz w:val="30"/>
    </w:rPr>
  </w:style>
  <w:style w:type="paragraph" w:customStyle="1" w:styleId="195">
    <w:name w:val="表头文本"/>
    <w:uiPriority w:val="0"/>
    <w:pPr>
      <w:jc w:val="center"/>
    </w:pPr>
    <w:rPr>
      <w:rFonts w:ascii="Arial" w:hAnsi="Arial" w:eastAsia="宋体" w:cs="Times New Roman"/>
      <w:b/>
      <w:sz w:val="21"/>
      <w:lang w:val="en-US" w:eastAsia="zh-CN" w:bidi="ar-SA"/>
    </w:rPr>
  </w:style>
  <w:style w:type="paragraph" w:customStyle="1" w:styleId="196">
    <w:name w:val="CSS1级正文 Char"/>
    <w:basedOn w:val="2"/>
    <w:uiPriority w:val="0"/>
    <w:pPr>
      <w:adjustRightInd w:val="0"/>
      <w:snapToGrid w:val="0"/>
      <w:spacing w:line="360" w:lineRule="auto"/>
      <w:ind w:firstLine="480"/>
    </w:pPr>
    <w:rPr>
      <w:rFonts w:ascii="Times New Roman" w:eastAsia="宋体"/>
      <w:sz w:val="24"/>
    </w:rPr>
  </w:style>
  <w:style w:type="paragraph" w:customStyle="1" w:styleId="197">
    <w:name w:val=" Char Char Char"/>
    <w:basedOn w:val="1"/>
    <w:uiPriority w:val="0"/>
    <w:rPr>
      <w:rFonts w:ascii="Tahoma" w:hAnsi="Tahoma"/>
      <w:sz w:val="24"/>
    </w:rPr>
  </w:style>
  <w:style w:type="paragraph" w:customStyle="1" w:styleId="198">
    <w:name w:val=" Char Char1 Char Char Char Char Char Char Char Char Char Char Char Char Char Char"/>
    <w:basedOn w:val="1"/>
    <w:uiPriority w:val="0"/>
    <w:pPr>
      <w:widowControl/>
      <w:spacing w:after="160" w:afterLines="0" w:afterAutospacing="0" w:line="240" w:lineRule="exact"/>
      <w:jc w:val="left"/>
    </w:pPr>
    <w:rPr>
      <w:rFonts w:ascii="Verdana" w:hAnsi="Verdana"/>
      <w:kern w:val="0"/>
      <w:sz w:val="20"/>
      <w:lang w:eastAsia="en-US"/>
    </w:rPr>
  </w:style>
  <w:style w:type="paragraph" w:customStyle="1" w:styleId="199">
    <w:name w:val="Table Description"/>
    <w:next w:val="1"/>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0">
    <w:name w:val="样式 标题 1 + 居中 段前: 6 磅 段后: 6 磅 行距: 1.5 倍行距"/>
    <w:basedOn w:val="4"/>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201">
    <w:name w:val="默认段落字体 Para Char Char Char Char Char Char Char"/>
    <w:basedOn w:val="1"/>
    <w:uiPriority w:val="0"/>
    <w:rPr>
      <w:rFonts w:ascii="Tahoma" w:hAnsi="Tahoma"/>
      <w:sz w:val="24"/>
    </w:rPr>
  </w:style>
  <w:style w:type="paragraph" w:customStyle="1" w:styleId="202">
    <w:name w:val="IN Feature"/>
    <w:next w:val="203"/>
    <w:uiPriority w:val="0"/>
    <w:pPr>
      <w:keepNext/>
      <w:keepLines/>
      <w:spacing w:before="240" w:after="240"/>
      <w:outlineLvl w:val="7"/>
    </w:pPr>
    <w:rPr>
      <w:rFonts w:ascii="Arial" w:hAnsi="Arial" w:eastAsia="黑体" w:cs="Times New Roman"/>
      <w:sz w:val="21"/>
      <w:lang w:val="en-US" w:eastAsia="zh-CN" w:bidi="ar-SA"/>
    </w:rPr>
  </w:style>
  <w:style w:type="paragraph" w:customStyle="1" w:styleId="203">
    <w:name w:val="IN Step"/>
    <w:basedOn w:val="1"/>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204">
    <w:name w:val="首行缩进"/>
    <w:basedOn w:val="1"/>
    <w:uiPriority w:val="0"/>
    <w:pPr>
      <w:numPr>
        <w:ilvl w:val="0"/>
        <w:numId w:val="11"/>
      </w:numPr>
      <w:spacing w:line="360" w:lineRule="auto"/>
    </w:pPr>
    <w:rPr>
      <w:rFonts w:eastAsia="仿宋_GB2312"/>
    </w:rPr>
  </w:style>
  <w:style w:type="paragraph" w:customStyle="1" w:styleId="205">
    <w:name w:val="正文字缩2字"/>
    <w:basedOn w:val="1"/>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06">
    <w:name w:val="正文表格"/>
    <w:basedOn w:val="1"/>
    <w:uiPriority w:val="0"/>
    <w:pPr>
      <w:adjustRightInd w:val="0"/>
      <w:spacing w:before="40" w:beforeLines="0" w:beforeAutospacing="0" w:after="40" w:afterLines="0" w:afterAutospacing="0"/>
    </w:pPr>
    <w:rPr>
      <w:sz w:val="24"/>
    </w:rPr>
  </w:style>
  <w:style w:type="paragraph" w:customStyle="1" w:styleId="207">
    <w:name w:val="表文字"/>
    <w:uiPriority w:val="0"/>
    <w:rPr>
      <w:rFonts w:ascii="宋体" w:hAnsi="Times New Roman" w:eastAsia="宋体" w:cs="Times New Roman"/>
      <w:kern w:val="2"/>
      <w:lang w:val="en-US" w:eastAsia="zh-CN" w:bidi="ar-SA"/>
    </w:rPr>
  </w:style>
  <w:style w:type="paragraph" w:customStyle="1" w:styleId="208">
    <w:name w:val="表格内文字"/>
    <w:basedOn w:val="31"/>
    <w:uiPriority w:val="0"/>
    <w:pPr>
      <w:adjustRightInd w:val="0"/>
    </w:pPr>
    <w:rPr>
      <w:color w:val="000000"/>
      <w:lang w:val="en-GB"/>
    </w:rPr>
  </w:style>
  <w:style w:type="paragraph" w:customStyle="1" w:styleId="209">
    <w:name w:val="Body Text Indent 2"/>
    <w:basedOn w:val="1"/>
    <w:uiPriority w:val="0"/>
    <w:pPr>
      <w:adjustRightInd w:val="0"/>
      <w:spacing w:before="120" w:beforeLines="0" w:beforeAutospacing="0"/>
      <w:ind w:firstLine="420"/>
      <w:textAlignment w:val="baseline"/>
    </w:pPr>
    <w:rPr>
      <w:sz w:val="24"/>
    </w:rPr>
  </w:style>
  <w:style w:type="paragraph" w:customStyle="1" w:styleId="210">
    <w:name w:val="标题无"/>
    <w:basedOn w:val="1"/>
    <w:uiPriority w:val="0"/>
    <w:pPr>
      <w:spacing w:line="360" w:lineRule="auto"/>
    </w:pPr>
    <w:rPr>
      <w:sz w:val="24"/>
    </w:rPr>
  </w:style>
  <w:style w:type="paragraph" w:customStyle="1" w:styleId="211">
    <w:name w:val="af"/>
    <w:basedOn w:val="1"/>
    <w:uiPriority w:val="0"/>
    <w:pPr>
      <w:widowControl/>
      <w:spacing w:line="300" w:lineRule="atLeast"/>
      <w:jc w:val="left"/>
    </w:pPr>
    <w:rPr>
      <w:rFonts w:ascii="宋体" w:hAnsi="宋体"/>
      <w:kern w:val="0"/>
      <w:sz w:val="18"/>
    </w:rPr>
  </w:style>
  <w:style w:type="paragraph" w:customStyle="1" w:styleId="212">
    <w:name w:val="简单回函地址"/>
    <w:basedOn w:val="1"/>
    <w:uiPriority w:val="0"/>
    <w:pPr>
      <w:adjustRightInd w:val="0"/>
      <w:snapToGrid w:val="0"/>
      <w:spacing w:line="360" w:lineRule="auto"/>
    </w:pPr>
    <w:rPr>
      <w:sz w:val="24"/>
    </w:rPr>
  </w:style>
  <w:style w:type="paragraph" w:customStyle="1" w:styleId="213">
    <w:name w:val="文档正文 Char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214">
    <w:name w:val="正文（首行不缩进）"/>
    <w:basedOn w:val="1"/>
    <w:uiPriority w:val="0"/>
    <w:pPr>
      <w:autoSpaceDE w:val="0"/>
      <w:autoSpaceDN w:val="0"/>
      <w:adjustRightInd w:val="0"/>
      <w:spacing w:line="360" w:lineRule="auto"/>
      <w:jc w:val="left"/>
    </w:pPr>
    <w:rPr>
      <w:kern w:val="0"/>
      <w:sz w:val="21"/>
    </w:rPr>
  </w:style>
  <w:style w:type="paragraph" w:customStyle="1" w:styleId="215">
    <w:name w:val="正文1"/>
    <w:basedOn w:val="1"/>
    <w:uiPriority w:val="0"/>
    <w:pPr>
      <w:spacing w:line="300" w:lineRule="auto"/>
      <w:ind w:firstLine="200" w:firstLineChars="200"/>
    </w:pPr>
    <w:rPr>
      <w:sz w:val="24"/>
    </w:rPr>
  </w:style>
  <w:style w:type="paragraph" w:customStyle="1" w:styleId="216">
    <w:name w:val="Figure Description"/>
    <w:next w:val="1"/>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7">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18">
    <w:name w:val="表头样式"/>
    <w:basedOn w:val="1"/>
    <w:uiPriority w:val="0"/>
    <w:pPr>
      <w:autoSpaceDE w:val="0"/>
      <w:autoSpaceDN w:val="0"/>
      <w:adjustRightInd w:val="0"/>
      <w:spacing w:line="360" w:lineRule="auto"/>
      <w:jc w:val="left"/>
    </w:pPr>
    <w:rPr>
      <w:b/>
      <w:kern w:val="0"/>
      <w:sz w:val="21"/>
    </w:rPr>
  </w:style>
  <w:style w:type="paragraph" w:customStyle="1" w:styleId="219">
    <w:name w:val="图片文字"/>
    <w:basedOn w:val="1"/>
    <w:uiPriority w:val="0"/>
    <w:pPr>
      <w:spacing w:line="240" w:lineRule="atLeast"/>
      <w:jc w:val="center"/>
    </w:pPr>
    <w:rPr>
      <w:sz w:val="21"/>
    </w:rPr>
  </w:style>
  <w:style w:type="paragraph" w:customStyle="1" w:styleId="220">
    <w:name w:val="xl23"/>
    <w:basedOn w:val="1"/>
    <w:uiPriority w:val="0"/>
    <w:pPr>
      <w:widowControl/>
      <w:spacing w:before="100" w:beforeLines="0" w:beforeAutospacing="1" w:after="100" w:afterLines="0" w:afterAutospacing="1" w:line="360" w:lineRule="auto"/>
      <w:textAlignment w:val="top"/>
    </w:pPr>
    <w:rPr>
      <w:kern w:val="0"/>
      <w:sz w:val="24"/>
    </w:rPr>
  </w:style>
  <w:style w:type="paragraph" w:customStyle="1" w:styleId="221">
    <w:name w:val="附录3"/>
    <w:basedOn w:val="1"/>
    <w:next w:val="1"/>
    <w:uiPriority w:val="0"/>
    <w:pPr>
      <w:numPr>
        <w:ilvl w:val="0"/>
        <w:numId w:val="0"/>
      </w:numPr>
      <w:tabs>
        <w:tab w:val="left" w:pos="851"/>
      </w:tabs>
      <w:ind w:left="425" w:hanging="425"/>
      <w:outlineLvl w:val="2"/>
    </w:pPr>
    <w:rPr>
      <w:rFonts w:eastAsia="黑体"/>
      <w:b/>
      <w:sz w:val="32"/>
    </w:rPr>
  </w:style>
  <w:style w:type="paragraph" w:customStyle="1" w:styleId="222">
    <w:name w:val="È±Ê¡ÎÄ±¾"/>
    <w:basedOn w:val="1"/>
    <w:uiPriority w:val="0"/>
    <w:pPr>
      <w:widowControl/>
      <w:overflowPunct w:val="0"/>
      <w:autoSpaceDE w:val="0"/>
      <w:autoSpaceDN w:val="0"/>
      <w:adjustRightInd w:val="0"/>
      <w:jc w:val="left"/>
      <w:textAlignment w:val="baseline"/>
    </w:pPr>
    <w:rPr>
      <w:kern w:val="0"/>
      <w:sz w:val="24"/>
    </w:rPr>
  </w:style>
  <w:style w:type="paragraph" w:customStyle="1" w:styleId="223">
    <w:name w:val="首行缩进 1"/>
    <w:basedOn w:val="1"/>
    <w:uiPriority w:val="0"/>
    <w:pPr>
      <w:spacing w:after="120" w:afterLines="0" w:afterAutospacing="0" w:line="360" w:lineRule="auto"/>
      <w:ind w:firstLine="200" w:firstLineChars="200"/>
    </w:pPr>
    <w:rPr>
      <w:sz w:val="24"/>
    </w:rPr>
  </w:style>
  <w:style w:type="paragraph" w:customStyle="1" w:styleId="224">
    <w:name w:val=" Char"/>
    <w:basedOn w:val="1"/>
    <w:uiPriority w:val="0"/>
    <w:pPr>
      <w:spacing w:line="240" w:lineRule="atLeast"/>
      <w:ind w:left="420" w:firstLine="420"/>
    </w:pPr>
    <w:rPr>
      <w:kern w:val="0"/>
      <w:sz w:val="21"/>
    </w:rPr>
  </w:style>
  <w:style w:type="paragraph" w:customStyle="1" w:styleId="225">
    <w:name w:val="司法正文"/>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6">
    <w:name w:val="Table Text Char Char"/>
    <w:uiPriority w:val="0"/>
    <w:pPr>
      <w:snapToGrid w:val="0"/>
      <w:spacing w:before="80" w:after="80"/>
    </w:pPr>
    <w:rPr>
      <w:rFonts w:ascii="Arial" w:hAnsi="Arial" w:eastAsia="宋体" w:cs="Times New Roman"/>
      <w:kern w:val="2"/>
      <w:sz w:val="18"/>
      <w:lang w:val="en-US" w:eastAsia="zh-CN" w:bidi="ar-SA"/>
    </w:rPr>
  </w:style>
  <w:style w:type="paragraph" w:customStyle="1" w:styleId="227">
    <w:name w:val="样式1xz"/>
    <w:basedOn w:val="1"/>
    <w:uiPriority w:val="0"/>
    <w:pPr>
      <w:tabs>
        <w:tab w:val="left" w:pos="1050"/>
        <w:tab w:val="right" w:leader="dot" w:pos="8296"/>
      </w:tabs>
    </w:pPr>
    <w:rPr>
      <w:caps/>
      <w:spacing w:val="20"/>
      <w:sz w:val="24"/>
    </w:rPr>
  </w:style>
  <w:style w:type="paragraph" w:customStyle="1" w:styleId="228">
    <w:name w:val="缺省文本"/>
    <w:basedOn w:val="1"/>
    <w:uiPriority w:val="0"/>
    <w:pPr>
      <w:tabs>
        <w:tab w:val="left" w:pos="1260"/>
      </w:tabs>
      <w:autoSpaceDE w:val="0"/>
      <w:autoSpaceDN w:val="0"/>
      <w:adjustRightInd w:val="0"/>
      <w:spacing w:line="360" w:lineRule="auto"/>
      <w:jc w:val="left"/>
    </w:pPr>
    <w:rPr>
      <w:kern w:val="0"/>
      <w:sz w:val="24"/>
    </w:rPr>
  </w:style>
  <w:style w:type="paragraph" w:customStyle="1" w:styleId="229">
    <w:name w:val=" Char1"/>
    <w:basedOn w:val="1"/>
    <w:uiPriority w:val="0"/>
    <w:rPr>
      <w:sz w:val="21"/>
    </w:rPr>
  </w:style>
  <w:style w:type="paragraph" w:customStyle="1" w:styleId="230">
    <w:name w:val="Note"/>
    <w:basedOn w:val="1"/>
    <w:uiPriority w:val="0"/>
    <w:pPr>
      <w:pBdr>
        <w:top w:val="single" w:color="auto" w:sz="12" w:space="3"/>
        <w:bottom w:val="single" w:color="auto" w:sz="12" w:space="3"/>
      </w:pBdr>
      <w:spacing w:line="360" w:lineRule="auto"/>
    </w:pPr>
    <w:rPr>
      <w:sz w:val="24"/>
    </w:rPr>
  </w:style>
  <w:style w:type="paragraph" w:customStyle="1" w:styleId="231">
    <w:name w:val=" Char Char Char Char Char Char Char Char Char Char Char Char Char Char Char Char"/>
    <w:basedOn w:val="1"/>
    <w:uiPriority w:val="0"/>
    <w:pPr>
      <w:tabs>
        <w:tab w:val="left" w:pos="360"/>
      </w:tabs>
    </w:pPr>
    <w:rPr>
      <w:sz w:val="24"/>
    </w:rPr>
  </w:style>
  <w:style w:type="paragraph" w:customStyle="1" w:styleId="232">
    <w:name w:val="样式 宋体 五号 行距: 单倍行距"/>
    <w:basedOn w:val="1"/>
    <w:uiPriority w:val="0"/>
    <w:pPr>
      <w:adjustRightInd w:val="0"/>
      <w:jc w:val="left"/>
    </w:pPr>
    <w:rPr>
      <w:rFonts w:ascii="宋体" w:hAnsi="宋体"/>
      <w:kern w:val="0"/>
      <w:sz w:val="21"/>
    </w:rPr>
  </w:style>
  <w:style w:type="paragraph" w:customStyle="1" w:styleId="233">
    <w:name w:val="操作步骤"/>
    <w:basedOn w:val="1"/>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4">
    <w:name w:val="Table Heading"/>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bt"/>
    <w:basedOn w:val="1"/>
    <w:next w:val="2"/>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236">
    <w:name w:val="图例"/>
    <w:basedOn w:val="1"/>
    <w:uiPriority w:val="0"/>
    <w:pPr>
      <w:spacing w:before="120" w:beforeLines="0" w:beforeAutospacing="0" w:after="120" w:afterLines="0" w:afterAutospacing="0" w:line="360" w:lineRule="auto"/>
      <w:jc w:val="center"/>
    </w:pPr>
    <w:rPr>
      <w:rFonts w:eastAsia="仿宋_GB2312"/>
      <w:b/>
      <w:sz w:val="24"/>
    </w:rPr>
  </w:style>
  <w:style w:type="character" w:customStyle="1" w:styleId="237">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theme" Target="theme/theme1.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1016;&#20025;2021\&#25919;&#31574;&#27861;&#35268;&#12289;&#36164;&#36136;&#26631;&#20934;\&#38480;&#39069;&#20197;&#19979;&#30340;&#37319;&#36141;&#29256;&#26412;\&#38468;&#20214;3&#65306;&#38480;&#39069;&#20197;&#19979;&#30923;&#21830;&#35780;&#20998;&#37319;&#36141;&#25991;&#20214;&#31034;&#33539;&#25991;&#26412;.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附件3：限额以下磋商评分采购文件示范文本.doc</Template>
  <Manager>罗成</Manager>
  <Pages>29</Pages>
  <Words>10300</Words>
  <Characters>10695</Characters>
  <Lines>89</Lines>
  <Paragraphs>25</Paragraphs>
  <TotalTime>9</TotalTime>
  <ScaleCrop>false</ScaleCrop>
  <LinksUpToDate>false</LinksUpToDate>
  <CharactersWithSpaces>11834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2023-11-27T06:13:00Z</dcterms:created>
  <dc:creator>剪夏罗</dc:creator>
  <cp:lastModifiedBy>jtj</cp:lastModifiedBy>
  <dcterms:modified xsi:type="dcterms:W3CDTF">2024-02-18T06:54:50Z</dcterms:modified>
  <dc:title>竞争性谈判文件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42AC51DC83434903B09C0D4216B8C8BF_11</vt:lpwstr>
  </property>
</Properties>
</file>