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olor w:val="auto"/>
          <w:sz w:val="84"/>
          <w:szCs w:val="84"/>
        </w:rPr>
      </w:pPr>
    </w:p>
    <w:p>
      <w:pPr>
        <w:spacing w:line="1600" w:lineRule="exact"/>
        <w:jc w:val="center"/>
        <w:outlineLvl w:val="0"/>
        <w:rPr>
          <w:rFonts w:ascii="方正黑体_GBK" w:eastAsia="方正黑体_GBK"/>
          <w:color w:val="auto"/>
          <w:sz w:val="84"/>
          <w:szCs w:val="84"/>
        </w:rPr>
      </w:pPr>
      <w:r>
        <w:rPr>
          <w:rFonts w:hint="eastAsia" w:ascii="方正黑体_GBK" w:eastAsia="方正黑体_GBK"/>
          <w:color w:val="auto"/>
          <w:sz w:val="84"/>
          <w:szCs w:val="84"/>
        </w:rPr>
        <w:t>重庆市乌</w:t>
      </w:r>
      <w:bookmarkStart w:id="238" w:name="_GoBack"/>
      <w:bookmarkEnd w:id="238"/>
      <w:r>
        <w:rPr>
          <w:rFonts w:hint="eastAsia" w:ascii="方正黑体_GBK" w:eastAsia="方正黑体_GBK"/>
          <w:color w:val="auto"/>
          <w:sz w:val="84"/>
          <w:szCs w:val="84"/>
        </w:rPr>
        <w:t>江航道管理处</w:t>
      </w:r>
    </w:p>
    <w:p>
      <w:pPr>
        <w:spacing w:line="1600" w:lineRule="exact"/>
        <w:jc w:val="center"/>
        <w:outlineLvl w:val="0"/>
        <w:rPr>
          <w:rFonts w:ascii="方正黑体_GBK" w:eastAsia="方正黑体_GBK"/>
          <w:color w:val="auto"/>
          <w:sz w:val="84"/>
          <w:szCs w:val="84"/>
        </w:rPr>
      </w:pPr>
      <w:r>
        <w:rPr>
          <w:rFonts w:hint="eastAsia" w:ascii="方正黑体_GBK" w:eastAsia="方正黑体_GBK"/>
          <w:color w:val="auto"/>
          <w:sz w:val="84"/>
          <w:szCs w:val="84"/>
        </w:rPr>
        <w:t>政府采购</w:t>
      </w:r>
    </w:p>
    <w:p>
      <w:pPr>
        <w:jc w:val="center"/>
        <w:rPr>
          <w:rFonts w:ascii="宋体" w:hAnsi="宋体"/>
          <w:color w:val="auto"/>
          <w:sz w:val="84"/>
          <w:szCs w:val="84"/>
        </w:rPr>
      </w:pPr>
    </w:p>
    <w:p>
      <w:pPr>
        <w:spacing w:line="1600" w:lineRule="exact"/>
        <w:jc w:val="center"/>
        <w:outlineLvl w:val="0"/>
        <w:rPr>
          <w:rFonts w:ascii="方正黑体_GBK" w:hAnsi="宋体" w:eastAsia="方正黑体_GBK"/>
          <w:color w:val="auto"/>
          <w:sz w:val="84"/>
          <w:szCs w:val="84"/>
        </w:rPr>
      </w:pPr>
      <w:r>
        <w:rPr>
          <w:rFonts w:hint="eastAsia" w:ascii="方正黑体_GBK" w:hAnsi="宋体" w:eastAsia="方正黑体_GBK"/>
          <w:color w:val="auto"/>
          <w:sz w:val="84"/>
          <w:szCs w:val="84"/>
        </w:rPr>
        <w:t>限额以下比价采购文件</w:t>
      </w:r>
    </w:p>
    <w:p>
      <w:pPr>
        <w:spacing w:line="700" w:lineRule="exact"/>
        <w:jc w:val="center"/>
        <w:rPr>
          <w:rFonts w:ascii="黑体" w:eastAsia="黑体"/>
          <w:color w:val="auto"/>
          <w:sz w:val="32"/>
        </w:rPr>
      </w:pPr>
    </w:p>
    <w:p>
      <w:pPr>
        <w:spacing w:line="700" w:lineRule="exact"/>
        <w:jc w:val="center"/>
        <w:rPr>
          <w:rFonts w:ascii="黑体" w:eastAsia="黑体"/>
          <w:color w:val="auto"/>
          <w:sz w:val="32"/>
        </w:rPr>
      </w:pPr>
    </w:p>
    <w:p>
      <w:pPr>
        <w:spacing w:line="700" w:lineRule="exact"/>
        <w:jc w:val="center"/>
        <w:rPr>
          <w:rFonts w:ascii="黑体" w:eastAsia="黑体"/>
          <w:color w:val="auto"/>
          <w:sz w:val="32"/>
        </w:rPr>
      </w:pPr>
    </w:p>
    <w:p>
      <w:pPr>
        <w:spacing w:line="500" w:lineRule="exact"/>
        <w:ind w:firstLine="1440" w:firstLineChars="400"/>
        <w:jc w:val="left"/>
        <w:outlineLvl w:val="0"/>
        <w:rPr>
          <w:rFonts w:ascii="方正小标宋_GBK" w:hAnsi="宋体" w:eastAsia="方正小标宋_GBK"/>
          <w:color w:val="auto"/>
          <w:sz w:val="36"/>
          <w:szCs w:val="36"/>
        </w:rPr>
      </w:pPr>
      <w:r>
        <w:rPr>
          <w:rFonts w:hint="eastAsia" w:ascii="方正小标宋_GBK" w:hAnsi="宋体" w:eastAsia="方正小标宋_GBK"/>
          <w:color w:val="auto"/>
          <w:sz w:val="36"/>
          <w:szCs w:val="36"/>
        </w:rPr>
        <w:t>采购执行编号：WJ2023019</w:t>
      </w:r>
    </w:p>
    <w:p>
      <w:pPr>
        <w:spacing w:line="500" w:lineRule="exact"/>
        <w:ind w:left="3234" w:leftChars="512" w:hanging="1800" w:hangingChars="500"/>
        <w:jc w:val="left"/>
        <w:outlineLvl w:val="0"/>
        <w:rPr>
          <w:rFonts w:ascii="方正小标宋_GBK" w:hAnsi="宋体" w:eastAsia="方正小标宋_GBK"/>
          <w:color w:val="auto"/>
          <w:sz w:val="36"/>
          <w:szCs w:val="36"/>
        </w:rPr>
      </w:pPr>
      <w:r>
        <w:rPr>
          <w:rFonts w:hint="eastAsia" w:ascii="方正小标宋_GBK" w:hAnsi="宋体" w:eastAsia="方正小标宋_GBK"/>
          <w:color w:val="auto"/>
          <w:sz w:val="36"/>
          <w:szCs w:val="36"/>
        </w:rPr>
        <w:t>项目名称：重庆市乌江航道管理处档案整理及数字化项目</w:t>
      </w:r>
    </w:p>
    <w:p>
      <w:pPr>
        <w:spacing w:line="500" w:lineRule="exact"/>
        <w:ind w:firstLine="1440" w:firstLineChars="400"/>
        <w:jc w:val="left"/>
        <w:outlineLvl w:val="0"/>
        <w:rPr>
          <w:rFonts w:ascii="方正小标宋_GBK" w:eastAsia="方正小标宋_GBK"/>
          <w:color w:val="auto"/>
          <w:sz w:val="36"/>
          <w:szCs w:val="36"/>
        </w:rPr>
      </w:pPr>
      <w:r>
        <w:rPr>
          <w:rFonts w:hint="eastAsia" w:ascii="方正小标宋_GBK" w:eastAsia="方正小标宋_GBK"/>
          <w:color w:val="auto"/>
          <w:sz w:val="36"/>
          <w:szCs w:val="36"/>
        </w:rPr>
        <w:t>采购人：重庆市乌江航道管理处</w:t>
      </w:r>
    </w:p>
    <w:p>
      <w:pPr>
        <w:spacing w:line="500" w:lineRule="exact"/>
        <w:ind w:firstLine="1440" w:firstLineChars="400"/>
        <w:jc w:val="left"/>
        <w:outlineLvl w:val="0"/>
        <w:rPr>
          <w:rFonts w:ascii="方正小标宋_GBK" w:eastAsia="方正小标宋_GBK"/>
          <w:color w:val="auto"/>
          <w:sz w:val="36"/>
          <w:szCs w:val="36"/>
        </w:rPr>
      </w:pPr>
      <w:r>
        <w:rPr>
          <w:rFonts w:hint="eastAsia" w:ascii="方正小标宋_GBK" w:eastAsia="方正小标宋_GBK"/>
          <w:color w:val="auto"/>
          <w:sz w:val="36"/>
          <w:szCs w:val="36"/>
        </w:rPr>
        <w:t>采购代理机构：重庆华大工程管理有限公司</w:t>
      </w:r>
    </w:p>
    <w:p>
      <w:pPr>
        <w:spacing w:line="500" w:lineRule="exact"/>
        <w:outlineLvl w:val="0"/>
        <w:rPr>
          <w:rFonts w:ascii="方正小标宋_GBK" w:eastAsia="方正小标宋_GBK"/>
          <w:color w:val="auto"/>
          <w:sz w:val="36"/>
          <w:szCs w:val="36"/>
        </w:rPr>
      </w:pPr>
    </w:p>
    <w:p>
      <w:pPr>
        <w:spacing w:line="500" w:lineRule="exact"/>
        <w:outlineLvl w:val="0"/>
        <w:rPr>
          <w:rFonts w:ascii="方正小标宋_GBK" w:eastAsia="方正小标宋_GBK"/>
          <w:color w:val="auto"/>
          <w:sz w:val="36"/>
          <w:szCs w:val="36"/>
        </w:rPr>
      </w:pPr>
    </w:p>
    <w:p>
      <w:pPr>
        <w:spacing w:line="500" w:lineRule="exact"/>
        <w:outlineLvl w:val="0"/>
        <w:rPr>
          <w:rFonts w:ascii="方正小标宋_GBK" w:eastAsia="方正小标宋_GBK"/>
          <w:color w:val="auto"/>
          <w:sz w:val="36"/>
          <w:szCs w:val="36"/>
        </w:rPr>
      </w:pPr>
    </w:p>
    <w:p>
      <w:pPr>
        <w:spacing w:line="720" w:lineRule="exact"/>
        <w:jc w:val="center"/>
        <w:outlineLvl w:val="0"/>
        <w:rPr>
          <w:rFonts w:ascii="方正黑体_GBK" w:hAnsi="宋体" w:eastAsia="方正黑体_GBK"/>
          <w:color w:val="auto"/>
          <w:sz w:val="48"/>
          <w:szCs w:val="32"/>
        </w:rPr>
      </w:pPr>
      <w:r>
        <w:rPr>
          <w:rFonts w:hint="eastAsia" w:ascii="方正小标宋_GBK" w:hAnsi="宋体" w:eastAsia="方正小标宋_GBK"/>
          <w:color w:val="auto"/>
          <w:sz w:val="36"/>
          <w:szCs w:val="36"/>
        </w:rPr>
        <w:t>二〇二三年十月</w:t>
      </w:r>
    </w:p>
    <w:p>
      <w:pPr>
        <w:spacing w:line="480" w:lineRule="exact"/>
        <w:outlineLvl w:val="0"/>
        <w:rPr>
          <w:rFonts w:ascii="方正黑体_GBK" w:eastAsia="方正黑体_GBK"/>
          <w:color w:val="auto"/>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3"/>
        <w:spacing w:line="360" w:lineRule="auto"/>
        <w:jc w:val="center"/>
        <w:rPr>
          <w:rFonts w:ascii="方正小标宋_GBK" w:eastAsia="方正小标宋_GBK"/>
          <w:b w:val="0"/>
          <w:color w:val="auto"/>
          <w:sz w:val="36"/>
          <w:szCs w:val="30"/>
        </w:rPr>
      </w:pPr>
      <w:bookmarkStart w:id="0" w:name="_Toc65660329"/>
      <w:bookmarkStart w:id="1" w:name="_Toc24173"/>
      <w:bookmarkStart w:id="2" w:name="_Toc11641050"/>
      <w:bookmarkStart w:id="3" w:name="_Toc24817"/>
      <w:bookmarkStart w:id="4" w:name="_Toc15726"/>
      <w:bookmarkStart w:id="5" w:name="_Toc106034769"/>
      <w:bookmarkStart w:id="6" w:name="_Toc12789052"/>
      <w:r>
        <w:rPr>
          <w:rFonts w:hint="eastAsia" w:ascii="方正小标宋_GBK" w:eastAsia="方正小标宋_GBK"/>
          <w:b w:val="0"/>
          <w:color w:val="auto"/>
          <w:sz w:val="36"/>
          <w:szCs w:val="30"/>
        </w:rPr>
        <w:t xml:space="preserve">第一篇  </w:t>
      </w:r>
      <w:r>
        <w:rPr>
          <w:rFonts w:hint="eastAsia" w:ascii="方正小标宋_GBK" w:eastAsia="方正小标宋_GBK" w:cs="Arial"/>
          <w:b w:val="0"/>
          <w:color w:val="auto"/>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重庆华大工程管理有限公司（以下简称：采购代理机构）接受重庆市乌江航道管理处（以下简称：采购人）的委托，对重庆市乌江航道管理处档案整理及数字化项目进行限额以下比价采购。欢迎有资格的供应商前来参加报价。</w:t>
      </w:r>
    </w:p>
    <w:p>
      <w:pPr>
        <w:pStyle w:val="3"/>
        <w:adjustRightInd w:val="0"/>
        <w:snapToGrid w:val="0"/>
        <w:spacing w:line="400" w:lineRule="exact"/>
        <w:ind w:firstLine="480" w:firstLineChars="200"/>
        <w:rPr>
          <w:rFonts w:ascii="方正仿宋_GBK" w:hAnsi="宋体" w:eastAsia="方正仿宋_GBK"/>
          <w:color w:val="auto"/>
          <w:sz w:val="24"/>
        </w:rPr>
      </w:pPr>
      <w:bookmarkStart w:id="7" w:name="_Toc18246"/>
      <w:bookmarkStart w:id="8" w:name="_Toc26091"/>
      <w:bookmarkStart w:id="9" w:name="_Toc106034770"/>
      <w:bookmarkStart w:id="10" w:name="_Toc313893526"/>
      <w:bookmarkStart w:id="11" w:name="_Toc65660330"/>
      <w:bookmarkStart w:id="12" w:name="_Toc7758"/>
      <w:bookmarkStart w:id="13" w:name="_Toc317775175"/>
      <w:r>
        <w:rPr>
          <w:rFonts w:hint="eastAsia" w:ascii="方正仿宋_GBK" w:hAnsi="宋体" w:eastAsia="方正仿宋_GBK"/>
          <w:color w:val="auto"/>
          <w:sz w:val="24"/>
        </w:rPr>
        <w:t>一、比价内容</w:t>
      </w:r>
      <w:bookmarkEnd w:id="7"/>
      <w:bookmarkEnd w:id="8"/>
      <w:bookmarkEnd w:id="9"/>
      <w:bookmarkEnd w:id="10"/>
      <w:bookmarkEnd w:id="11"/>
      <w:bookmarkEnd w:id="12"/>
      <w:bookmarkEnd w:id="13"/>
    </w:p>
    <w:tbl>
      <w:tblPr>
        <w:tblStyle w:val="57"/>
        <w:tblW w:w="4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1498"/>
        <w:gridCol w:w="1407"/>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604" w:type="pct"/>
            <w:tcBorders>
              <w:top w:val="single" w:color="auto" w:sz="4" w:space="0"/>
              <w:left w:val="single" w:color="auto" w:sz="4" w:space="0"/>
              <w:right w:val="single" w:color="auto" w:sz="4" w:space="0"/>
            </w:tcBorders>
            <w:noWrap/>
            <w:vAlign w:val="center"/>
          </w:tcPr>
          <w:p>
            <w:pPr>
              <w:widowControl/>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包号及名称</w:t>
            </w:r>
          </w:p>
        </w:tc>
        <w:tc>
          <w:tcPr>
            <w:tcW w:w="957" w:type="pct"/>
            <w:tcBorders>
              <w:top w:val="single" w:color="auto" w:sz="4" w:space="0"/>
              <w:left w:val="single" w:color="auto" w:sz="4" w:space="0"/>
              <w:right w:val="single" w:color="auto" w:sz="4" w:space="0"/>
            </w:tcBorders>
            <w:noWrap/>
            <w:vAlign w:val="center"/>
          </w:tcPr>
          <w:p>
            <w:pPr>
              <w:widowControl/>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最高限价（万元）</w:t>
            </w:r>
          </w:p>
        </w:tc>
        <w:tc>
          <w:tcPr>
            <w:tcW w:w="898" w:type="pct"/>
            <w:tcBorders>
              <w:top w:val="single" w:color="auto" w:sz="4" w:space="0"/>
              <w:left w:val="single" w:color="auto" w:sz="4" w:space="0"/>
              <w:right w:val="single" w:color="auto" w:sz="4" w:space="0"/>
            </w:tcBorders>
            <w:noWrap/>
            <w:vAlign w:val="center"/>
          </w:tcPr>
          <w:p>
            <w:pPr>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成交供应商数量（名）</w:t>
            </w:r>
          </w:p>
        </w:tc>
        <w:tc>
          <w:tcPr>
            <w:tcW w:w="1538" w:type="pct"/>
            <w:tcBorders>
              <w:top w:val="single" w:color="auto" w:sz="4" w:space="0"/>
              <w:left w:val="single" w:color="auto" w:sz="4" w:space="0"/>
              <w:right w:val="single" w:color="auto" w:sz="4" w:space="0"/>
            </w:tcBorders>
            <w:noWrap/>
            <w:vAlign w:val="center"/>
          </w:tcPr>
          <w:p>
            <w:pPr>
              <w:jc w:val="center"/>
              <w:rPr>
                <w:rFonts w:ascii="方正仿宋_GBK" w:hAnsi="宋体" w:eastAsia="方正仿宋_GBK" w:cs="宋体"/>
                <w:b/>
                <w:bCs/>
                <w:color w:val="auto"/>
                <w:kern w:val="0"/>
                <w:sz w:val="21"/>
                <w:szCs w:val="24"/>
              </w:rPr>
            </w:pPr>
            <w:r>
              <w:rPr>
                <w:rFonts w:hint="eastAsia" w:ascii="方正仿宋_GBK" w:hAnsi="宋体" w:eastAsia="方正仿宋_GBK" w:cs="宋体"/>
                <w:b/>
                <w:bCs/>
                <w:color w:val="auto"/>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仿宋_GBK" w:hAnsi="宋体" w:eastAsia="方正仿宋_GBK" w:cs="宋体"/>
                <w:color w:val="auto"/>
                <w:kern w:val="0"/>
                <w:sz w:val="21"/>
                <w:szCs w:val="24"/>
              </w:rPr>
            </w:pPr>
            <w:bookmarkStart w:id="14" w:name="_Hlk344477914"/>
            <w:r>
              <w:rPr>
                <w:rFonts w:hint="eastAsia" w:ascii="方正仿宋_GBK" w:hAnsi="宋体" w:eastAsia="方正仿宋_GBK" w:cs="宋体"/>
                <w:color w:val="auto"/>
                <w:kern w:val="0"/>
                <w:sz w:val="21"/>
                <w:szCs w:val="24"/>
              </w:rPr>
              <w:t>重庆市乌江航道管理处档案整理及数字化项目</w:t>
            </w:r>
          </w:p>
        </w:tc>
        <w:tc>
          <w:tcPr>
            <w:tcW w:w="95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auto"/>
                <w:sz w:val="24"/>
                <w:szCs w:val="24"/>
              </w:rPr>
            </w:pPr>
            <w:r>
              <w:rPr>
                <w:rFonts w:hint="eastAsia" w:ascii="宋体" w:hAnsi="宋体" w:cs="宋体"/>
                <w:color w:val="auto"/>
                <w:kern w:val="0"/>
                <w:sz w:val="24"/>
                <w:szCs w:val="24"/>
              </w:rPr>
              <w:t>25.539</w:t>
            </w:r>
          </w:p>
        </w:tc>
        <w:tc>
          <w:tcPr>
            <w:tcW w:w="898" w:type="pct"/>
            <w:tcBorders>
              <w:top w:val="single" w:color="auto" w:sz="4" w:space="0"/>
              <w:left w:val="single" w:color="auto" w:sz="4" w:space="0"/>
              <w:bottom w:val="single" w:color="auto" w:sz="4" w:space="0"/>
              <w:right w:val="single" w:color="auto" w:sz="4" w:space="0"/>
            </w:tcBorders>
            <w:noWrap/>
            <w:vAlign w:val="center"/>
          </w:tcPr>
          <w:p>
            <w:pPr>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1</w:t>
            </w:r>
          </w:p>
        </w:tc>
        <w:tc>
          <w:tcPr>
            <w:tcW w:w="1538" w:type="pct"/>
            <w:tcBorders>
              <w:top w:val="single" w:color="auto" w:sz="4" w:space="0"/>
              <w:left w:val="single" w:color="auto" w:sz="4" w:space="0"/>
              <w:bottom w:val="single" w:color="auto" w:sz="4" w:space="0"/>
              <w:right w:val="single" w:color="auto" w:sz="4" w:space="0"/>
            </w:tcBorders>
            <w:noWrap/>
            <w:vAlign w:val="center"/>
          </w:tcPr>
          <w:p>
            <w:pPr>
              <w:jc w:val="left"/>
              <w:rPr>
                <w:rFonts w:ascii="方正仿宋_GBK" w:hAnsi="宋体" w:eastAsia="方正仿宋_GBK"/>
                <w:b/>
                <w:color w:val="auto"/>
                <w:sz w:val="21"/>
                <w:szCs w:val="21"/>
              </w:rPr>
            </w:pPr>
          </w:p>
        </w:tc>
      </w:tr>
      <w:bookmarkEnd w:id="14"/>
    </w:tbl>
    <w:p>
      <w:pPr>
        <w:pStyle w:val="3"/>
        <w:adjustRightInd w:val="0"/>
        <w:snapToGrid w:val="0"/>
        <w:spacing w:line="400" w:lineRule="exact"/>
        <w:ind w:firstLine="480" w:firstLineChars="200"/>
        <w:rPr>
          <w:rFonts w:ascii="方正仿宋_GBK" w:hAnsi="宋体" w:eastAsia="方正仿宋_GBK"/>
          <w:color w:val="auto"/>
          <w:sz w:val="24"/>
        </w:rPr>
      </w:pPr>
      <w:bookmarkStart w:id="15" w:name="_Toc3256"/>
      <w:bookmarkStart w:id="16" w:name="_Toc4424"/>
      <w:bookmarkStart w:id="17" w:name="_Toc106034771"/>
      <w:bookmarkStart w:id="18" w:name="_Toc65660331"/>
      <w:bookmarkStart w:id="19" w:name="_Toc27028"/>
      <w:bookmarkStart w:id="20" w:name="_Toc373860293"/>
      <w:bookmarkStart w:id="21" w:name="_Toc317775178"/>
      <w:r>
        <w:rPr>
          <w:rFonts w:hint="eastAsia" w:ascii="方正仿宋_GBK" w:hAnsi="宋体" w:eastAsia="方正仿宋_GBK"/>
          <w:color w:val="auto"/>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color w:val="auto"/>
          <w:sz w:val="24"/>
          <w:szCs w:val="24"/>
        </w:rPr>
      </w:pPr>
      <w:r>
        <w:rPr>
          <w:rFonts w:hint="eastAsia" w:ascii="方正仿宋_GBK" w:hAnsi="仿宋" w:eastAsia="方正仿宋_GBK"/>
          <w:color w:val="auto"/>
          <w:sz w:val="24"/>
          <w:szCs w:val="24"/>
        </w:rPr>
        <w:t>财政预算资金，采购预算25.539万元。</w:t>
      </w:r>
    </w:p>
    <w:p>
      <w:pPr>
        <w:pStyle w:val="3"/>
        <w:adjustRightInd w:val="0"/>
        <w:snapToGrid w:val="0"/>
        <w:spacing w:line="400" w:lineRule="exact"/>
        <w:ind w:firstLine="480" w:firstLineChars="200"/>
        <w:rPr>
          <w:rFonts w:ascii="方正仿宋_GBK" w:hAnsi="宋体" w:eastAsia="方正仿宋_GBK"/>
          <w:color w:val="auto"/>
          <w:sz w:val="24"/>
        </w:rPr>
      </w:pPr>
      <w:bookmarkStart w:id="22" w:name="_Toc106034772"/>
      <w:bookmarkStart w:id="23" w:name="_Toc64731996"/>
      <w:bookmarkStart w:id="24" w:name="_Toc18548"/>
      <w:bookmarkStart w:id="25" w:name="_Toc13541"/>
      <w:bookmarkStart w:id="26" w:name="_Toc65660332"/>
      <w:bookmarkStart w:id="27" w:name="_Toc20867"/>
      <w:r>
        <w:rPr>
          <w:rFonts w:hint="eastAsia" w:ascii="方正仿宋_GBK" w:hAnsi="宋体" w:eastAsia="方正仿宋_GBK"/>
          <w:color w:val="auto"/>
          <w:sz w:val="24"/>
        </w:rPr>
        <w:t>三、供应商资格条件</w:t>
      </w:r>
      <w:bookmarkEnd w:id="22"/>
      <w:bookmarkEnd w:id="23"/>
      <w:bookmarkEnd w:id="24"/>
      <w:bookmarkEnd w:id="25"/>
      <w:bookmarkEnd w:id="26"/>
      <w:bookmarkEnd w:id="27"/>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（一）满足《中华人民共和国政府采购法》第二十二条规定；</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（二）本项目的特定资格要求： 无</w:t>
      </w:r>
    </w:p>
    <w:p>
      <w:pPr>
        <w:pStyle w:val="3"/>
        <w:adjustRightInd w:val="0"/>
        <w:snapToGrid w:val="0"/>
        <w:spacing w:line="400" w:lineRule="exact"/>
        <w:ind w:firstLine="480" w:firstLineChars="200"/>
        <w:rPr>
          <w:rFonts w:ascii="方正仿宋_GBK" w:hAnsi="宋体" w:eastAsia="方正仿宋_GBK"/>
          <w:color w:val="auto"/>
          <w:sz w:val="24"/>
        </w:rPr>
      </w:pPr>
      <w:bookmarkStart w:id="28" w:name="_Toc1386"/>
      <w:bookmarkStart w:id="29" w:name="_Toc13903"/>
      <w:bookmarkStart w:id="30" w:name="_Toc11908"/>
      <w:bookmarkStart w:id="31" w:name="_Toc106034773"/>
      <w:bookmarkStart w:id="32" w:name="_Toc65660333"/>
      <w:r>
        <w:rPr>
          <w:rFonts w:hint="eastAsia" w:ascii="方正仿宋_GBK" w:hAnsi="宋体" w:eastAsia="方正仿宋_GBK"/>
          <w:color w:val="auto"/>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（一）凡有意参加比价的供应商，请在重庆市交通局官网</w:t>
      </w:r>
      <w:r>
        <w:rPr>
          <w:rFonts w:hint="eastAsia" w:ascii="宋体" w:hAnsi="宋体" w:cs="宋体"/>
          <w:color w:val="auto"/>
          <w:sz w:val="24"/>
          <w:szCs w:val="24"/>
        </w:rPr>
        <w:t>（https://jtj.cq.gov.cn）</w:t>
      </w:r>
      <w:r>
        <w:rPr>
          <w:rFonts w:hint="eastAsia" w:ascii="方正仿宋_GBK" w:hAnsi="宋体" w:eastAsia="方正仿宋_GBK"/>
          <w:color w:val="auto"/>
          <w:sz w:val="24"/>
          <w:szCs w:val="24"/>
        </w:rPr>
        <w:t>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（二）采购公告期限：</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szCs w:val="24"/>
        </w:rPr>
        <w:t>自采购公告发布之日起三个工作日（2023年10月</w:t>
      </w:r>
      <w:r>
        <w:rPr>
          <w:rFonts w:hint="eastAsia" w:ascii="方正仿宋_GBK" w:hAnsi="宋体" w:eastAsia="方正仿宋_GBK"/>
          <w:color w:val="auto"/>
          <w:sz w:val="24"/>
          <w:szCs w:val="24"/>
          <w:lang w:val="en-US" w:eastAsia="zh-CN"/>
        </w:rPr>
        <w:t>20</w:t>
      </w:r>
      <w:r>
        <w:rPr>
          <w:rFonts w:hint="eastAsia" w:ascii="方正仿宋_GBK" w:hAnsi="宋体" w:eastAsia="方正仿宋_GBK"/>
          <w:color w:val="auto"/>
          <w:sz w:val="24"/>
          <w:szCs w:val="24"/>
        </w:rPr>
        <w:t>日-10月</w:t>
      </w:r>
      <w:r>
        <w:rPr>
          <w:rFonts w:hint="eastAsia" w:ascii="方正仿宋_GBK" w:hAnsi="宋体" w:eastAsia="方正仿宋_GBK"/>
          <w:color w:val="auto"/>
          <w:sz w:val="24"/>
          <w:szCs w:val="24"/>
          <w:lang w:val="en-US" w:eastAsia="zh-CN"/>
        </w:rPr>
        <w:t>25</w:t>
      </w:r>
      <w:r>
        <w:rPr>
          <w:rFonts w:hint="eastAsia" w:ascii="方正仿宋_GBK" w:hAnsi="宋体" w:eastAsia="方正仿宋_GBK"/>
          <w:color w:val="auto"/>
          <w:sz w:val="24"/>
          <w:szCs w:val="24"/>
        </w:rPr>
        <w:t>日17:30）。</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2.报名方式：</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（1）在采购公告期限内到重庆华大工程管理有限公司报名并领取采购文件。</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方式一：将《发售登记表》递交现场报名。</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方式二：将《发售登记表》盖章后发送至526225547@qq.com。</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（2）供应商须满足以下两种要求，其响应文件才被接受：</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1、按时递交了响应文件；</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2、按时报名签到；</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（3）本采购文件规定的时间为北京时间。</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（4）超过采购截止时间、不按本采购文件规定密封的响应文件，或不按采购文件规定提交有效足额采购保证金的供应商，均视为不响应采购文件要求，为无效响应。</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3.采购文件售价：人民币500元/包。</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提交方式：现金或微信或转账。</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转账信息：</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1、单位名称：重庆华大工程管理有限公司</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2、单位开户行及账号：中国工商银行股份有限公司重庆枳城支行      3100234409000002238</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（三）递交响应文件地点：重庆华大工程管理有限公司（涪陵区新城区建筑大厦3楼）</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（四）提交响应文件截止时间：2023年10月</w:t>
      </w:r>
      <w:r>
        <w:rPr>
          <w:rFonts w:hint="eastAsia" w:ascii="方正仿宋_GBK" w:hAnsi="宋体" w:eastAsia="方正仿宋_GBK"/>
          <w:color w:val="auto"/>
          <w:sz w:val="24"/>
          <w:szCs w:val="24"/>
          <w:lang w:val="en-US" w:eastAsia="zh-CN"/>
        </w:rPr>
        <w:t>26</w:t>
      </w:r>
      <w:r>
        <w:rPr>
          <w:rFonts w:hint="eastAsia" w:ascii="方正仿宋_GBK" w:hAnsi="宋体" w:eastAsia="方正仿宋_GBK"/>
          <w:color w:val="auto"/>
          <w:sz w:val="24"/>
          <w:szCs w:val="24"/>
        </w:rPr>
        <w:t xml:space="preserve"> 日北京时间</w:t>
      </w:r>
      <w:r>
        <w:rPr>
          <w:rFonts w:hint="eastAsia" w:ascii="方正仿宋_GBK" w:hAnsi="宋体" w:eastAsia="方正仿宋_GBK"/>
          <w:color w:val="auto"/>
          <w:sz w:val="24"/>
          <w:szCs w:val="24"/>
          <w:lang w:val="en-US" w:eastAsia="zh-CN"/>
        </w:rPr>
        <w:t>10:30</w:t>
      </w:r>
      <w:r>
        <w:rPr>
          <w:rFonts w:hint="eastAsia" w:ascii="方正仿宋_GBK" w:hAnsi="宋体" w:eastAsia="方正仿宋_GBK"/>
          <w:color w:val="auto"/>
          <w:sz w:val="24"/>
          <w:szCs w:val="24"/>
        </w:rPr>
        <w:t>时至</w:t>
      </w:r>
      <w:r>
        <w:rPr>
          <w:rFonts w:hint="eastAsia" w:ascii="方正仿宋_GBK" w:hAnsi="宋体" w:eastAsia="方正仿宋_GBK"/>
          <w:color w:val="auto"/>
          <w:sz w:val="24"/>
          <w:szCs w:val="24"/>
          <w:lang w:val="en-US" w:eastAsia="zh-CN"/>
        </w:rPr>
        <w:t>11:00</w:t>
      </w:r>
      <w:r>
        <w:rPr>
          <w:rFonts w:hint="eastAsia" w:ascii="方正仿宋_GBK" w:hAnsi="宋体" w:eastAsia="方正仿宋_GBK"/>
          <w:color w:val="auto"/>
          <w:sz w:val="24"/>
          <w:szCs w:val="24"/>
        </w:rPr>
        <w:t>时</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（五）评审开始时间：2023年10月</w:t>
      </w:r>
      <w:r>
        <w:rPr>
          <w:rFonts w:hint="eastAsia" w:ascii="方正仿宋_GBK" w:hAnsi="宋体" w:eastAsia="方正仿宋_GBK"/>
          <w:color w:val="auto"/>
          <w:sz w:val="24"/>
          <w:szCs w:val="24"/>
          <w:lang w:val="en-US" w:eastAsia="zh-CN"/>
        </w:rPr>
        <w:t>26</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11:00</w:t>
      </w:r>
      <w:r>
        <w:rPr>
          <w:rFonts w:hint="eastAsia" w:ascii="方正仿宋_GBK" w:hAnsi="宋体" w:eastAsia="方正仿宋_GBK"/>
          <w:color w:val="auto"/>
          <w:sz w:val="24"/>
          <w:szCs w:val="24"/>
        </w:rPr>
        <w:t>时</w:t>
      </w:r>
    </w:p>
    <w:bookmarkEnd w:id="21"/>
    <w:p>
      <w:pPr>
        <w:pStyle w:val="3"/>
        <w:adjustRightInd w:val="0"/>
        <w:snapToGrid w:val="0"/>
        <w:spacing w:line="400" w:lineRule="exact"/>
        <w:ind w:firstLine="480" w:firstLineChars="200"/>
        <w:rPr>
          <w:rFonts w:ascii="方正仿宋_GBK" w:hAnsi="宋体" w:eastAsia="方正仿宋_GBK"/>
          <w:color w:val="auto"/>
          <w:sz w:val="24"/>
        </w:rPr>
      </w:pPr>
      <w:bookmarkStart w:id="33" w:name="_Toc16269"/>
      <w:bookmarkStart w:id="34" w:name="_Toc65660336"/>
      <w:bookmarkStart w:id="35" w:name="_Toc525047163"/>
      <w:bookmarkStart w:id="36" w:name="_Toc106034776"/>
      <w:bookmarkStart w:id="37" w:name="_Toc521053055"/>
      <w:bookmarkStart w:id="38" w:name="_Toc4728"/>
      <w:bookmarkStart w:id="39" w:name="_Toc6563"/>
      <w:r>
        <w:rPr>
          <w:rFonts w:hint="eastAsia" w:ascii="方正仿宋_GBK" w:hAnsi="宋体" w:eastAsia="方正仿宋_GBK"/>
          <w:color w:val="auto"/>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（一）单位负责人为同一人或者存在直接控股、管理关系的不同供应商，</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下的政府采购活动</w:t>
      </w:r>
      <w:r>
        <w:rPr>
          <w:rFonts w:hint="eastAsia" w:ascii="方正仿宋_GBK" w:hAnsi="宋体" w:eastAsia="方正仿宋_GBK"/>
          <w:color w:val="auto"/>
          <w:sz w:val="24"/>
          <w:szCs w:val="24"/>
        </w:rPr>
        <w:t>，否则均为无效报价。</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（二）为采购项目提供整体设计、规范编制或者项目管理、监理、检测等服务的供应商，不得再</w:t>
      </w:r>
      <w:r>
        <w:rPr>
          <w:rFonts w:ascii="方正仿宋_GBK" w:hAnsi="宋体" w:eastAsia="方正仿宋_GBK"/>
          <w:color w:val="auto"/>
          <w:sz w:val="24"/>
          <w:szCs w:val="24"/>
        </w:rPr>
        <w:t>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（八）本项目不接受联合体参与报价，否则按无效处理。</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（九）本项目不接受合同分包，否则按无效处理。</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bCs/>
          <w:color w:val="auto"/>
          <w:sz w:val="24"/>
          <w:szCs w:val="24"/>
        </w:rPr>
        <w:t>（十）</w:t>
      </w:r>
      <w:r>
        <w:rPr>
          <w:rFonts w:hint="eastAsia" w:ascii="方正仿宋_GBK" w:hAnsi="宋体" w:eastAsia="方正仿宋_GBK"/>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bookmarkStart w:id="40" w:name="_Toc106034777"/>
      <w:bookmarkStart w:id="41" w:name="_Toc10415"/>
      <w:bookmarkStart w:id="42" w:name="_Toc521053056"/>
      <w:bookmarkStart w:id="43" w:name="_Toc1733"/>
      <w:bookmarkStart w:id="44" w:name="_Toc525047164"/>
      <w:bookmarkStart w:id="45" w:name="_Toc65660337"/>
      <w:bookmarkStart w:id="46" w:name="_Toc1552"/>
    </w:p>
    <w:p>
      <w:pPr>
        <w:pStyle w:val="3"/>
        <w:adjustRightInd w:val="0"/>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六、联系方式</w:t>
      </w:r>
      <w:bookmarkEnd w:id="40"/>
      <w:bookmarkEnd w:id="41"/>
      <w:bookmarkEnd w:id="42"/>
      <w:bookmarkEnd w:id="43"/>
      <w:bookmarkEnd w:id="44"/>
      <w:bookmarkEnd w:id="45"/>
      <w:bookmarkEnd w:id="46"/>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（一）采购人：重庆市乌江航道管理处</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联系人：王老师</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电  话：72300403</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地  址：重庆市涪陵区顺江大道望江路99号</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（二）采购代理机构：重庆华大工程管理有限公司</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联系人：陈老师</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电  话：13618390331</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地  址：重庆市涪陵区新城区建筑业大厦3楼</w:t>
      </w:r>
    </w:p>
    <w:p>
      <w:pPr>
        <w:snapToGrid w:val="0"/>
        <w:spacing w:line="380" w:lineRule="exact"/>
        <w:ind w:firstLine="480" w:firstLineChars="200"/>
        <w:rPr>
          <w:rFonts w:ascii="方正仿宋_GBK" w:hAnsi="宋体" w:eastAsia="方正仿宋_GBK"/>
          <w:color w:val="auto"/>
          <w:sz w:val="24"/>
          <w:szCs w:val="24"/>
        </w:rPr>
        <w:sectPr>
          <w:pgSz w:w="11907" w:h="16840"/>
          <w:pgMar w:top="1134" w:right="1361" w:bottom="1134" w:left="1361" w:header="964" w:footer="992" w:gutter="0"/>
          <w:pgNumType w:fmt="numberInDash"/>
          <w:cols w:space="720" w:num="1"/>
          <w:docGrid w:linePitch="312" w:charSpace="0"/>
        </w:sectPr>
      </w:pPr>
    </w:p>
    <w:p>
      <w:pPr>
        <w:pStyle w:val="3"/>
        <w:spacing w:line="360" w:lineRule="auto"/>
        <w:jc w:val="center"/>
        <w:rPr>
          <w:rFonts w:ascii="方正小标宋_GBK" w:eastAsia="方正小标宋_GBK"/>
          <w:b w:val="0"/>
          <w:color w:val="auto"/>
          <w:sz w:val="36"/>
          <w:szCs w:val="30"/>
        </w:rPr>
      </w:pPr>
      <w:bookmarkStart w:id="47" w:name="_Toc1292"/>
      <w:bookmarkStart w:id="48" w:name="_Toc14516"/>
      <w:bookmarkStart w:id="49" w:name="_Toc65660338"/>
      <w:bookmarkStart w:id="50" w:name="_Toc106034778"/>
      <w:bookmarkStart w:id="51" w:name="_Toc11327"/>
      <w:bookmarkStart w:id="52" w:name="_Toc102227313"/>
      <w:r>
        <w:rPr>
          <w:rFonts w:hint="eastAsia" w:ascii="方正小标宋_GBK" w:eastAsia="方正小标宋_GBK"/>
          <w:b w:val="0"/>
          <w:color w:val="auto"/>
          <w:sz w:val="36"/>
          <w:szCs w:val="30"/>
        </w:rPr>
        <w:t>第二篇  项目技术（质量）需求</w:t>
      </w:r>
      <w:bookmarkEnd w:id="47"/>
      <w:bookmarkEnd w:id="48"/>
      <w:bookmarkEnd w:id="49"/>
      <w:bookmarkEnd w:id="50"/>
      <w:bookmarkEnd w:id="51"/>
    </w:p>
    <w:p>
      <w:pPr>
        <w:rPr>
          <w:b/>
          <w:color w:val="auto"/>
        </w:rPr>
      </w:pPr>
    </w:p>
    <w:p>
      <w:pPr>
        <w:pStyle w:val="3"/>
        <w:numPr>
          <w:ilvl w:val="0"/>
          <w:numId w:val="14"/>
        </w:numPr>
        <w:adjustRightInd w:val="0"/>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项目基本概况介绍</w:t>
      </w:r>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6"/>
        <w:gridCol w:w="1279"/>
        <w:gridCol w:w="3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55" w:type="pct"/>
            <w:noWrap/>
            <w:vAlign w:val="center"/>
          </w:tcPr>
          <w:p>
            <w:pPr>
              <w:spacing w:line="360"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包号及名称</w:t>
            </w:r>
          </w:p>
        </w:tc>
        <w:tc>
          <w:tcPr>
            <w:tcW w:w="1178" w:type="pct"/>
            <w:noWrap/>
            <w:vAlign w:val="center"/>
          </w:tcPr>
          <w:p>
            <w:pPr>
              <w:spacing w:line="360"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数量/单位</w:t>
            </w:r>
          </w:p>
        </w:tc>
        <w:tc>
          <w:tcPr>
            <w:tcW w:w="2367" w:type="pct"/>
            <w:noWrap/>
            <w:vAlign w:val="center"/>
          </w:tcPr>
          <w:p>
            <w:pPr>
              <w:spacing w:line="360"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pct"/>
            <w:noWrap/>
            <w:vAlign w:val="center"/>
          </w:tcPr>
          <w:p>
            <w:pPr>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重庆市乌江航道管理处档案整理及数字化项目</w:t>
            </w:r>
          </w:p>
        </w:tc>
        <w:tc>
          <w:tcPr>
            <w:tcW w:w="1178" w:type="pct"/>
            <w:noWrap/>
            <w:vAlign w:val="center"/>
          </w:tcPr>
          <w:p>
            <w:pPr>
              <w:spacing w:line="360" w:lineRule="auto"/>
              <w:jc w:val="center"/>
              <w:rPr>
                <w:rFonts w:ascii="方正仿宋_GBK" w:hAnsi="宋体" w:eastAsia="方正仿宋_GBK"/>
                <w:color w:val="auto"/>
                <w:sz w:val="24"/>
                <w:szCs w:val="24"/>
              </w:rPr>
            </w:pPr>
            <w:r>
              <w:rPr>
                <w:rFonts w:hint="eastAsia" w:ascii="方正仿宋_GBK" w:hAnsi="宋体" w:eastAsia="方正仿宋_GBK"/>
                <w:color w:val="auto"/>
                <w:sz w:val="24"/>
                <w:szCs w:val="24"/>
              </w:rPr>
              <w:t>1</w:t>
            </w:r>
          </w:p>
        </w:tc>
        <w:tc>
          <w:tcPr>
            <w:tcW w:w="2367" w:type="pct"/>
            <w:noWrap/>
            <w:vAlign w:val="center"/>
          </w:tcPr>
          <w:p>
            <w:pPr>
              <w:spacing w:line="400" w:lineRule="exact"/>
              <w:jc w:val="center"/>
              <w:rPr>
                <w:rFonts w:ascii="方正仿宋_GBK" w:hAnsi="宋体" w:eastAsia="方正仿宋_GBK"/>
                <w:color w:val="auto"/>
                <w:sz w:val="24"/>
                <w:szCs w:val="24"/>
              </w:rPr>
            </w:pPr>
          </w:p>
        </w:tc>
      </w:tr>
    </w:tbl>
    <w:p>
      <w:pPr>
        <w:rPr>
          <w:color w:val="auto"/>
        </w:rPr>
      </w:pPr>
    </w:p>
    <w:p>
      <w:pPr>
        <w:pStyle w:val="3"/>
        <w:adjustRightInd w:val="0"/>
        <w:snapToGrid w:val="0"/>
        <w:spacing w:line="400" w:lineRule="exact"/>
        <w:ind w:firstLine="480" w:firstLineChars="200"/>
        <w:rPr>
          <w:rFonts w:ascii="方正仿宋_GBK" w:hAnsi="宋体" w:eastAsia="方正仿宋_GBK"/>
          <w:color w:val="auto"/>
          <w:sz w:val="24"/>
        </w:rPr>
      </w:pPr>
      <w:bookmarkStart w:id="53" w:name="_Toc106030880"/>
      <w:bookmarkStart w:id="54" w:name="_Toc106034780"/>
      <w:bookmarkStart w:id="55" w:name="_Toc11439"/>
      <w:bookmarkStart w:id="56" w:name="_Toc65660340"/>
      <w:bookmarkStart w:id="57" w:name="_Toc10723"/>
      <w:bookmarkStart w:id="58" w:name="_Toc2119"/>
      <w:r>
        <w:rPr>
          <w:rFonts w:hint="eastAsia" w:ascii="方正仿宋_GBK" w:hAnsi="宋体" w:eastAsia="方正仿宋_GBK"/>
          <w:color w:val="auto"/>
          <w:sz w:val="24"/>
        </w:rPr>
        <w:t>二、服务范围、要求及标准</w:t>
      </w:r>
      <w:bookmarkEnd w:id="53"/>
    </w:p>
    <w:p>
      <w:pPr>
        <w:pStyle w:val="3"/>
        <w:adjustRightInd w:val="0"/>
        <w:snapToGrid w:val="0"/>
        <w:spacing w:line="400" w:lineRule="exact"/>
        <w:ind w:firstLine="480" w:firstLineChars="200"/>
        <w:rPr>
          <w:rFonts w:ascii="方正仿宋_GBK" w:hAnsi="宋体" w:eastAsia="方正仿宋_GBK"/>
          <w:color w:val="auto"/>
          <w:sz w:val="24"/>
        </w:rPr>
      </w:pPr>
    </w:p>
    <w:tbl>
      <w:tblPr>
        <w:tblStyle w:val="57"/>
        <w:tblW w:w="9292" w:type="dxa"/>
        <w:tblInd w:w="93" w:type="dxa"/>
        <w:tblLayout w:type="fixed"/>
        <w:tblCellMar>
          <w:top w:w="0" w:type="dxa"/>
          <w:left w:w="108" w:type="dxa"/>
          <w:bottom w:w="0" w:type="dxa"/>
          <w:right w:w="108" w:type="dxa"/>
        </w:tblCellMar>
      </w:tblPr>
      <w:tblGrid>
        <w:gridCol w:w="479"/>
        <w:gridCol w:w="1178"/>
        <w:gridCol w:w="840"/>
        <w:gridCol w:w="960"/>
        <w:gridCol w:w="1455"/>
        <w:gridCol w:w="2340"/>
        <w:gridCol w:w="1020"/>
        <w:gridCol w:w="1020"/>
      </w:tblGrid>
      <w:tr>
        <w:tblPrEx>
          <w:tblCellMar>
            <w:top w:w="0" w:type="dxa"/>
            <w:left w:w="108" w:type="dxa"/>
            <w:bottom w:w="0" w:type="dxa"/>
            <w:right w:w="108" w:type="dxa"/>
          </w:tblCellMar>
        </w:tblPrEx>
        <w:trPr>
          <w:trHeight w:val="682" w:hRule="atLeast"/>
        </w:trPr>
        <w:tc>
          <w:tcPr>
            <w:tcW w:w="4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序号</w:t>
            </w:r>
          </w:p>
        </w:tc>
        <w:tc>
          <w:tcPr>
            <w:tcW w:w="117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单位名称</w:t>
            </w:r>
          </w:p>
        </w:tc>
        <w:tc>
          <w:tcPr>
            <w:tcW w:w="84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档案类别</w:t>
            </w:r>
          </w:p>
        </w:tc>
        <w:tc>
          <w:tcPr>
            <w:tcW w:w="96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年度</w:t>
            </w:r>
          </w:p>
        </w:tc>
        <w:tc>
          <w:tcPr>
            <w:tcW w:w="145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预估数量</w:t>
            </w:r>
          </w:p>
        </w:tc>
        <w:tc>
          <w:tcPr>
            <w:tcW w:w="234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服务内容</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整理</w:t>
            </w:r>
            <w:r>
              <w:rPr>
                <w:rFonts w:hint="eastAsia" w:ascii="宋体" w:hAnsi="宋体" w:cs="宋体"/>
                <w:b/>
                <w:bCs/>
                <w:color w:val="auto"/>
                <w:kern w:val="0"/>
                <w:sz w:val="22"/>
                <w:szCs w:val="22"/>
              </w:rPr>
              <w:br w:type="textWrapping"/>
            </w:r>
            <w:r>
              <w:rPr>
                <w:rFonts w:hint="eastAsia" w:ascii="宋体" w:hAnsi="宋体" w:cs="宋体"/>
                <w:b/>
                <w:bCs/>
                <w:color w:val="auto"/>
                <w:kern w:val="0"/>
                <w:sz w:val="22"/>
                <w:szCs w:val="22"/>
              </w:rPr>
              <w:t>单价</w:t>
            </w:r>
          </w:p>
        </w:tc>
        <w:tc>
          <w:tcPr>
            <w:tcW w:w="102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kern w:val="0"/>
                <w:sz w:val="22"/>
                <w:szCs w:val="22"/>
              </w:rPr>
            </w:pPr>
            <w:r>
              <w:rPr>
                <w:rFonts w:hint="eastAsia" w:ascii="宋体" w:hAnsi="宋体" w:cs="宋体"/>
                <w:b/>
                <w:bCs/>
                <w:color w:val="auto"/>
                <w:kern w:val="0"/>
                <w:sz w:val="22"/>
                <w:szCs w:val="22"/>
              </w:rPr>
              <w:t>数字化</w:t>
            </w:r>
          </w:p>
          <w:p>
            <w:pPr>
              <w:widowControl/>
              <w:jc w:val="center"/>
              <w:textAlignment w:val="center"/>
              <w:rPr>
                <w:rFonts w:ascii="宋体" w:hAnsi="宋体" w:cs="宋体"/>
                <w:b/>
                <w:bCs/>
                <w:color w:val="auto"/>
                <w:kern w:val="0"/>
                <w:sz w:val="22"/>
                <w:szCs w:val="22"/>
              </w:rPr>
            </w:pPr>
            <w:r>
              <w:rPr>
                <w:rFonts w:hint="eastAsia" w:ascii="宋体" w:hAnsi="宋体" w:cs="宋体"/>
                <w:b/>
                <w:bCs/>
                <w:color w:val="auto"/>
                <w:kern w:val="0"/>
                <w:sz w:val="22"/>
                <w:szCs w:val="22"/>
              </w:rPr>
              <w:t>单价</w:t>
            </w:r>
          </w:p>
        </w:tc>
      </w:tr>
      <w:tr>
        <w:tblPrEx>
          <w:tblCellMar>
            <w:top w:w="0" w:type="dxa"/>
            <w:left w:w="108" w:type="dxa"/>
            <w:bottom w:w="0" w:type="dxa"/>
            <w:right w:w="108" w:type="dxa"/>
          </w:tblCellMar>
        </w:tblPrEx>
        <w:trPr>
          <w:trHeight w:val="2224" w:hRule="atLeast"/>
        </w:trPr>
        <w:tc>
          <w:tcPr>
            <w:tcW w:w="47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w:t>
            </w:r>
          </w:p>
        </w:tc>
        <w:tc>
          <w:tcPr>
            <w:tcW w:w="117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重庆市乌江航道管理处</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文书档案（传统组卷）</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1985-2009</w:t>
            </w:r>
          </w:p>
        </w:tc>
        <w:tc>
          <w:tcPr>
            <w:tcW w:w="145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整理约300卷、数字化约45000页</w:t>
            </w:r>
          </w:p>
        </w:tc>
        <w:tc>
          <w:tcPr>
            <w:tcW w:w="234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b/>
                <w:bCs/>
                <w:color w:val="auto"/>
                <w:sz w:val="22"/>
                <w:szCs w:val="22"/>
              </w:rPr>
            </w:pPr>
            <w:r>
              <w:rPr>
                <w:rFonts w:hint="eastAsia" w:ascii="宋体" w:hAnsi="宋体" w:cs="宋体"/>
                <w:b/>
                <w:bCs/>
                <w:color w:val="auto"/>
                <w:kern w:val="0"/>
                <w:sz w:val="22"/>
                <w:szCs w:val="22"/>
              </w:rPr>
              <w:t>整理</w:t>
            </w:r>
            <w:r>
              <w:rPr>
                <w:rFonts w:hint="eastAsia" w:ascii="宋体" w:hAnsi="宋体" w:cs="宋体"/>
                <w:color w:val="auto"/>
                <w:kern w:val="0"/>
                <w:sz w:val="22"/>
                <w:szCs w:val="22"/>
              </w:rPr>
              <w:t>（收集、分年度、确定归档范围、归档分类、整理成卷、分保管期限、文件排序、装订、编号、书写卷皮内容、编目、打印目录、装订）、</w:t>
            </w:r>
            <w:r>
              <w:rPr>
                <w:rFonts w:hint="eastAsia" w:ascii="宋体" w:hAnsi="宋体" w:cs="宋体"/>
                <w:b/>
                <w:bCs/>
                <w:color w:val="auto"/>
                <w:kern w:val="0"/>
                <w:sz w:val="22"/>
                <w:szCs w:val="22"/>
              </w:rPr>
              <w:t>数字化</w:t>
            </w:r>
            <w:r>
              <w:rPr>
                <w:rFonts w:hint="eastAsia" w:ascii="宋体" w:hAnsi="宋体" w:cs="宋体"/>
                <w:color w:val="auto"/>
                <w:kern w:val="0"/>
                <w:sz w:val="22"/>
                <w:szCs w:val="22"/>
              </w:rPr>
              <w:t>（扫描、录入、优化、装订、编码、挂接、质检））</w:t>
            </w:r>
          </w:p>
        </w:tc>
        <w:tc>
          <w:tcPr>
            <w:tcW w:w="10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70元/卷</w:t>
            </w:r>
          </w:p>
        </w:tc>
        <w:tc>
          <w:tcPr>
            <w:tcW w:w="10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0.35元/页</w:t>
            </w:r>
          </w:p>
        </w:tc>
      </w:tr>
      <w:tr>
        <w:tblPrEx>
          <w:tblCellMar>
            <w:top w:w="0" w:type="dxa"/>
            <w:left w:w="108" w:type="dxa"/>
            <w:bottom w:w="0" w:type="dxa"/>
            <w:right w:w="108" w:type="dxa"/>
          </w:tblCellMar>
        </w:tblPrEx>
        <w:trPr>
          <w:trHeight w:val="2776" w:hRule="atLeast"/>
        </w:trPr>
        <w:tc>
          <w:tcPr>
            <w:tcW w:w="47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w:t>
            </w:r>
          </w:p>
        </w:tc>
        <w:tc>
          <w:tcPr>
            <w:tcW w:w="117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重庆市乌江航道管理处</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文书档案（新方法组件）</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2010-2022</w:t>
            </w:r>
          </w:p>
        </w:tc>
        <w:tc>
          <w:tcPr>
            <w:tcW w:w="145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整理约10000件，数字化约100000页</w:t>
            </w:r>
          </w:p>
        </w:tc>
        <w:tc>
          <w:tcPr>
            <w:tcW w:w="23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b/>
                <w:bCs/>
                <w:color w:val="auto"/>
                <w:sz w:val="22"/>
                <w:szCs w:val="22"/>
              </w:rPr>
            </w:pPr>
            <w:r>
              <w:rPr>
                <w:rFonts w:hint="eastAsia" w:ascii="宋体" w:hAnsi="宋体" w:cs="宋体"/>
                <w:b/>
                <w:bCs/>
                <w:color w:val="auto"/>
                <w:kern w:val="0"/>
                <w:sz w:val="22"/>
                <w:szCs w:val="22"/>
              </w:rPr>
              <w:t>整理</w:t>
            </w:r>
            <w:r>
              <w:rPr>
                <w:rFonts w:hint="eastAsia" w:ascii="宋体" w:hAnsi="宋体" w:cs="宋体"/>
                <w:color w:val="auto"/>
                <w:kern w:val="0"/>
                <w:sz w:val="22"/>
                <w:szCs w:val="22"/>
              </w:rPr>
              <w:t>（收集、分年度、确定归档范围、归档分类、整理成件、分保管期限、文件排序、装订、编页码、盖归档章及书写归档内容、装盒及书写盒面内容、编目、打印目录）、</w:t>
            </w:r>
            <w:r>
              <w:rPr>
                <w:rFonts w:hint="eastAsia" w:ascii="宋体" w:hAnsi="宋体" w:cs="宋体"/>
                <w:b/>
                <w:bCs/>
                <w:color w:val="auto"/>
                <w:kern w:val="0"/>
                <w:sz w:val="22"/>
                <w:szCs w:val="22"/>
              </w:rPr>
              <w:t>数字化</w:t>
            </w:r>
            <w:r>
              <w:rPr>
                <w:rFonts w:hint="eastAsia" w:ascii="宋体" w:hAnsi="宋体" w:cs="宋体"/>
                <w:color w:val="auto"/>
                <w:kern w:val="0"/>
                <w:sz w:val="22"/>
                <w:szCs w:val="22"/>
              </w:rPr>
              <w:t xml:space="preserve">（扫描、录入、优化、分件、装订、编码、挂接、质检）） </w:t>
            </w:r>
          </w:p>
        </w:tc>
        <w:tc>
          <w:tcPr>
            <w:tcW w:w="10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4.5元/件</w:t>
            </w:r>
          </w:p>
        </w:tc>
        <w:tc>
          <w:tcPr>
            <w:tcW w:w="10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0.35元/页</w:t>
            </w:r>
          </w:p>
        </w:tc>
      </w:tr>
      <w:tr>
        <w:tblPrEx>
          <w:tblCellMar>
            <w:top w:w="0" w:type="dxa"/>
            <w:left w:w="108" w:type="dxa"/>
            <w:bottom w:w="0" w:type="dxa"/>
            <w:right w:w="108" w:type="dxa"/>
          </w:tblCellMar>
        </w:tblPrEx>
        <w:trPr>
          <w:trHeight w:val="1687" w:hRule="atLeast"/>
        </w:trPr>
        <w:tc>
          <w:tcPr>
            <w:tcW w:w="47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w:t>
            </w:r>
          </w:p>
        </w:tc>
        <w:tc>
          <w:tcPr>
            <w:tcW w:w="117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重庆市乌江航道管理处</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人事档案</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1985-2022</w:t>
            </w:r>
          </w:p>
        </w:tc>
        <w:tc>
          <w:tcPr>
            <w:tcW w:w="145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整理及数字化330人</w:t>
            </w:r>
          </w:p>
        </w:tc>
        <w:tc>
          <w:tcPr>
            <w:tcW w:w="234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b/>
                <w:bCs/>
                <w:color w:val="auto"/>
                <w:sz w:val="22"/>
                <w:szCs w:val="22"/>
              </w:rPr>
            </w:pPr>
            <w:r>
              <w:rPr>
                <w:rFonts w:hint="eastAsia" w:ascii="宋体" w:hAnsi="宋体" w:cs="宋体"/>
                <w:b/>
                <w:bCs/>
                <w:color w:val="auto"/>
                <w:kern w:val="0"/>
                <w:sz w:val="22"/>
                <w:szCs w:val="22"/>
              </w:rPr>
              <w:t>整理</w:t>
            </w:r>
            <w:r>
              <w:rPr>
                <w:rFonts w:hint="eastAsia" w:ascii="宋体" w:hAnsi="宋体" w:cs="宋体"/>
                <w:color w:val="auto"/>
                <w:kern w:val="0"/>
                <w:sz w:val="22"/>
                <w:szCs w:val="22"/>
              </w:rPr>
              <w:t>（按照《干部人事档案工作条例》分十大类、排序、编目、裱糊及折叠、装订、）、</w:t>
            </w:r>
            <w:r>
              <w:rPr>
                <w:rFonts w:hint="eastAsia" w:ascii="宋体" w:hAnsi="宋体" w:cs="宋体"/>
                <w:b/>
                <w:bCs/>
                <w:color w:val="auto"/>
                <w:kern w:val="0"/>
                <w:sz w:val="22"/>
                <w:szCs w:val="22"/>
              </w:rPr>
              <w:t>数字化</w:t>
            </w:r>
            <w:r>
              <w:rPr>
                <w:rFonts w:hint="eastAsia" w:ascii="宋体" w:hAnsi="宋体" w:cs="宋体"/>
                <w:color w:val="auto"/>
                <w:kern w:val="0"/>
                <w:sz w:val="22"/>
                <w:szCs w:val="22"/>
              </w:rPr>
              <w:t>（扫描、录入、优化、分件、装订、编码、挂接、质检）</w:t>
            </w:r>
          </w:p>
        </w:tc>
        <w:tc>
          <w:tcPr>
            <w:tcW w:w="204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150元/人</w:t>
            </w:r>
          </w:p>
        </w:tc>
      </w:tr>
      <w:tr>
        <w:tblPrEx>
          <w:tblCellMar>
            <w:top w:w="0" w:type="dxa"/>
            <w:left w:w="108" w:type="dxa"/>
            <w:bottom w:w="0" w:type="dxa"/>
            <w:right w:w="108" w:type="dxa"/>
          </w:tblCellMar>
        </w:tblPrEx>
        <w:trPr>
          <w:trHeight w:val="1209" w:hRule="atLeast"/>
        </w:trPr>
        <w:tc>
          <w:tcPr>
            <w:tcW w:w="47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w:t>
            </w:r>
          </w:p>
        </w:tc>
        <w:tc>
          <w:tcPr>
            <w:tcW w:w="117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重庆市乌江航道管理处（撤销单位）</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会计凭证</w:t>
            </w:r>
          </w:p>
        </w:tc>
        <w:tc>
          <w:tcPr>
            <w:tcW w:w="960"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auto"/>
                <w:sz w:val="22"/>
                <w:szCs w:val="22"/>
              </w:rPr>
            </w:pPr>
          </w:p>
        </w:tc>
        <w:tc>
          <w:tcPr>
            <w:tcW w:w="145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600卷，数字化约10000页</w:t>
            </w:r>
          </w:p>
        </w:tc>
        <w:tc>
          <w:tcPr>
            <w:tcW w:w="234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整理（鉴定）、拆出工资表组卷、装盒、盒内容填写、凭证目录录入</w:t>
            </w:r>
          </w:p>
        </w:tc>
        <w:tc>
          <w:tcPr>
            <w:tcW w:w="10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25元/卷</w:t>
            </w:r>
          </w:p>
        </w:tc>
        <w:tc>
          <w:tcPr>
            <w:tcW w:w="10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0.35元/页</w:t>
            </w:r>
          </w:p>
        </w:tc>
      </w:tr>
      <w:tr>
        <w:tblPrEx>
          <w:tblCellMar>
            <w:top w:w="0" w:type="dxa"/>
            <w:left w:w="108" w:type="dxa"/>
            <w:bottom w:w="0" w:type="dxa"/>
            <w:right w:w="108" w:type="dxa"/>
          </w:tblCellMar>
        </w:tblPrEx>
        <w:trPr>
          <w:trHeight w:val="971" w:hRule="atLeast"/>
        </w:trPr>
        <w:tc>
          <w:tcPr>
            <w:tcW w:w="47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5</w:t>
            </w:r>
          </w:p>
        </w:tc>
        <w:tc>
          <w:tcPr>
            <w:tcW w:w="117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重庆市乌江航道管理处</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项目档案</w:t>
            </w:r>
          </w:p>
        </w:tc>
        <w:tc>
          <w:tcPr>
            <w:tcW w:w="96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1991-2022</w:t>
            </w:r>
          </w:p>
        </w:tc>
        <w:tc>
          <w:tcPr>
            <w:tcW w:w="145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400卷，数字化约60000页</w:t>
            </w:r>
          </w:p>
        </w:tc>
        <w:tc>
          <w:tcPr>
            <w:tcW w:w="234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整理、数字化</w:t>
            </w:r>
          </w:p>
        </w:tc>
        <w:tc>
          <w:tcPr>
            <w:tcW w:w="10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70元/卷</w:t>
            </w:r>
          </w:p>
        </w:tc>
        <w:tc>
          <w:tcPr>
            <w:tcW w:w="10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0.35元/页</w:t>
            </w:r>
          </w:p>
        </w:tc>
      </w:tr>
      <w:tr>
        <w:tblPrEx>
          <w:tblCellMar>
            <w:top w:w="0" w:type="dxa"/>
            <w:left w:w="108" w:type="dxa"/>
            <w:bottom w:w="0" w:type="dxa"/>
            <w:right w:w="108" w:type="dxa"/>
          </w:tblCellMar>
        </w:tblPrEx>
        <w:trPr>
          <w:trHeight w:val="971" w:hRule="atLeast"/>
        </w:trPr>
        <w:tc>
          <w:tcPr>
            <w:tcW w:w="47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6</w:t>
            </w:r>
          </w:p>
        </w:tc>
        <w:tc>
          <w:tcPr>
            <w:tcW w:w="117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重庆市乌江航道管理处</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文书、会计档案盒</w:t>
            </w:r>
          </w:p>
        </w:tc>
        <w:tc>
          <w:tcPr>
            <w:tcW w:w="960"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auto"/>
                <w:sz w:val="22"/>
                <w:szCs w:val="22"/>
              </w:rPr>
            </w:pPr>
          </w:p>
        </w:tc>
        <w:tc>
          <w:tcPr>
            <w:tcW w:w="145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1500个</w:t>
            </w:r>
          </w:p>
        </w:tc>
        <w:tc>
          <w:tcPr>
            <w:tcW w:w="2340" w:type="dxa"/>
            <w:tcBorders>
              <w:top w:val="nil"/>
              <w:left w:val="nil"/>
              <w:bottom w:val="single" w:color="000000" w:sz="8" w:space="0"/>
              <w:right w:val="single" w:color="000000" w:sz="8" w:space="0"/>
            </w:tcBorders>
            <w:shd w:val="clear" w:color="auto" w:fill="auto"/>
            <w:vAlign w:val="center"/>
          </w:tcPr>
          <w:p>
            <w:pPr>
              <w:jc w:val="left"/>
              <w:rPr>
                <w:rFonts w:ascii="宋体" w:hAnsi="宋体" w:cs="宋体"/>
                <w:color w:val="auto"/>
                <w:sz w:val="22"/>
                <w:szCs w:val="22"/>
              </w:rPr>
            </w:pPr>
          </w:p>
        </w:tc>
        <w:tc>
          <w:tcPr>
            <w:tcW w:w="204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4元/个</w:t>
            </w:r>
          </w:p>
        </w:tc>
      </w:tr>
      <w:tr>
        <w:tblPrEx>
          <w:tblCellMar>
            <w:top w:w="0" w:type="dxa"/>
            <w:left w:w="108" w:type="dxa"/>
            <w:bottom w:w="0" w:type="dxa"/>
            <w:right w:w="108" w:type="dxa"/>
          </w:tblCellMar>
        </w:tblPrEx>
        <w:trPr>
          <w:trHeight w:val="971" w:hRule="atLeast"/>
        </w:trPr>
        <w:tc>
          <w:tcPr>
            <w:tcW w:w="47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7</w:t>
            </w:r>
          </w:p>
        </w:tc>
        <w:tc>
          <w:tcPr>
            <w:tcW w:w="117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重庆市乌江航道管理处</w:t>
            </w:r>
          </w:p>
        </w:tc>
        <w:tc>
          <w:tcPr>
            <w:tcW w:w="84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人事档案盒</w:t>
            </w:r>
          </w:p>
        </w:tc>
        <w:tc>
          <w:tcPr>
            <w:tcW w:w="960" w:type="dxa"/>
            <w:tcBorders>
              <w:top w:val="nil"/>
              <w:left w:val="nil"/>
              <w:bottom w:val="single" w:color="000000" w:sz="8" w:space="0"/>
              <w:right w:val="single" w:color="000000" w:sz="8" w:space="0"/>
            </w:tcBorders>
            <w:shd w:val="clear" w:color="auto" w:fill="auto"/>
            <w:vAlign w:val="center"/>
          </w:tcPr>
          <w:p>
            <w:pPr>
              <w:jc w:val="center"/>
              <w:rPr>
                <w:rFonts w:ascii="宋体" w:hAnsi="宋体" w:cs="宋体"/>
                <w:color w:val="auto"/>
                <w:sz w:val="22"/>
                <w:szCs w:val="22"/>
              </w:rPr>
            </w:pPr>
          </w:p>
        </w:tc>
        <w:tc>
          <w:tcPr>
            <w:tcW w:w="145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330个</w:t>
            </w:r>
          </w:p>
        </w:tc>
        <w:tc>
          <w:tcPr>
            <w:tcW w:w="2340" w:type="dxa"/>
            <w:tcBorders>
              <w:top w:val="nil"/>
              <w:left w:val="nil"/>
              <w:bottom w:val="single" w:color="000000" w:sz="8" w:space="0"/>
              <w:right w:val="single" w:color="000000" w:sz="8" w:space="0"/>
            </w:tcBorders>
            <w:shd w:val="clear" w:color="auto" w:fill="auto"/>
            <w:vAlign w:val="center"/>
          </w:tcPr>
          <w:p>
            <w:pPr>
              <w:jc w:val="left"/>
              <w:rPr>
                <w:rFonts w:ascii="宋体" w:hAnsi="宋体" w:cs="宋体"/>
                <w:color w:val="auto"/>
                <w:sz w:val="22"/>
                <w:szCs w:val="22"/>
              </w:rPr>
            </w:pPr>
          </w:p>
        </w:tc>
        <w:tc>
          <w:tcPr>
            <w:tcW w:w="204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8元/个</w:t>
            </w:r>
          </w:p>
        </w:tc>
      </w:tr>
      <w:tr>
        <w:tblPrEx>
          <w:tblCellMar>
            <w:top w:w="0" w:type="dxa"/>
            <w:left w:w="108" w:type="dxa"/>
            <w:bottom w:w="0" w:type="dxa"/>
            <w:right w:w="108" w:type="dxa"/>
          </w:tblCellMar>
        </w:tblPrEx>
        <w:trPr>
          <w:trHeight w:val="971" w:hRule="atLeast"/>
        </w:trPr>
        <w:tc>
          <w:tcPr>
            <w:tcW w:w="47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8</w:t>
            </w:r>
          </w:p>
        </w:tc>
        <w:tc>
          <w:tcPr>
            <w:tcW w:w="1178"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重庆市乌江航道管理处</w:t>
            </w:r>
          </w:p>
        </w:tc>
        <w:tc>
          <w:tcPr>
            <w:tcW w:w="3255" w:type="dxa"/>
            <w:gridSpan w:val="3"/>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主要涉及进馆部分档案的运输及人力（档案搬运、车辆运输、消毒杀虫、上下架）</w:t>
            </w:r>
          </w:p>
        </w:tc>
        <w:tc>
          <w:tcPr>
            <w:tcW w:w="234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施工方完成</w:t>
            </w:r>
          </w:p>
        </w:tc>
        <w:tc>
          <w:tcPr>
            <w:tcW w:w="204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3000元</w:t>
            </w:r>
          </w:p>
        </w:tc>
      </w:tr>
      <w:tr>
        <w:tblPrEx>
          <w:tblCellMar>
            <w:top w:w="0" w:type="dxa"/>
            <w:left w:w="108" w:type="dxa"/>
            <w:bottom w:w="0" w:type="dxa"/>
            <w:right w:w="108" w:type="dxa"/>
          </w:tblCellMar>
        </w:tblPrEx>
        <w:trPr>
          <w:trHeight w:val="988" w:hRule="atLeast"/>
        </w:trPr>
        <w:tc>
          <w:tcPr>
            <w:tcW w:w="479"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sz w:val="22"/>
                <w:szCs w:val="22"/>
              </w:rPr>
            </w:pPr>
            <w:r>
              <w:rPr>
                <w:rFonts w:hint="eastAsia" w:ascii="宋体" w:hAnsi="宋体" w:cs="宋体"/>
                <w:color w:val="auto"/>
                <w:kern w:val="0"/>
                <w:sz w:val="22"/>
                <w:szCs w:val="22"/>
              </w:rPr>
              <w:t>9</w:t>
            </w:r>
          </w:p>
        </w:tc>
        <w:tc>
          <w:tcPr>
            <w:tcW w:w="1178"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重庆市乌江航道管理处</w:t>
            </w:r>
          </w:p>
        </w:tc>
        <w:tc>
          <w:tcPr>
            <w:tcW w:w="3255" w:type="dxa"/>
            <w:gridSpan w:val="3"/>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单位成立以来每年《大事记》、《组织机构沿革》、《全宗介绍》、档案馆验收材料、目录打印装订成册三套</w:t>
            </w:r>
          </w:p>
        </w:tc>
        <w:tc>
          <w:tcPr>
            <w:tcW w:w="234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rPr>
              <w:t>施工方完成</w:t>
            </w:r>
          </w:p>
        </w:tc>
        <w:tc>
          <w:tcPr>
            <w:tcW w:w="2040"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10000元/批</w:t>
            </w:r>
          </w:p>
        </w:tc>
      </w:tr>
    </w:tbl>
    <w:p>
      <w:pPr>
        <w:rPr>
          <w:color w:val="auto"/>
        </w:rPr>
      </w:pPr>
    </w:p>
    <w:bookmarkEnd w:id="54"/>
    <w:bookmarkEnd w:id="55"/>
    <w:bookmarkEnd w:id="56"/>
    <w:bookmarkEnd w:id="57"/>
    <w:bookmarkEnd w:id="58"/>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实施标准：</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1.档案条目拟定及录入应符合DA/T 18-1999《档案著录规则》</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2.《建设工程档案管理规范》（DA/T-2018）</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3.《建设工程档案信息数据采集标准》（DBJ50/T-275-2017）</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4.《技术制图复制图的折叠方式》(GB/T 10609.3-2009）</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5.《科学技术档案案卷构成的一般要求》(GB/T 11822)</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6.国家标准GB/T18894-2002《电子文件归档与管理》</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7.《档案数字化外包安全管理规范》（档办发[2014]7号）</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8.《重庆市纸质档案数字化实施细则》（渝档发[2018]5号）</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9.国家档案局DA/T31-2017《纸质档案数字化技术规范》</w:t>
      </w:r>
    </w:p>
    <w:p>
      <w:pPr>
        <w:spacing w:line="400" w:lineRule="exact"/>
        <w:ind w:firstLine="480" w:firstLineChars="200"/>
        <w:rPr>
          <w:rFonts w:ascii="方正仿宋_GBK" w:hAnsi="宋体" w:eastAsia="方正仿宋_GBK"/>
          <w:color w:val="auto"/>
          <w:sz w:val="24"/>
          <w:szCs w:val="24"/>
        </w:rPr>
      </w:pPr>
    </w:p>
    <w:p>
      <w:pPr>
        <w:pStyle w:val="3"/>
        <w:spacing w:line="360" w:lineRule="auto"/>
        <w:jc w:val="center"/>
        <w:rPr>
          <w:rFonts w:ascii="方正小标宋_GBK" w:eastAsia="方正小标宋_GBK"/>
          <w:b w:val="0"/>
          <w:color w:val="auto"/>
          <w:sz w:val="36"/>
          <w:szCs w:val="30"/>
        </w:rPr>
      </w:pPr>
      <w:r>
        <w:rPr>
          <w:rFonts w:ascii="方正小标宋_GBK" w:hAnsi="宋体" w:eastAsia="方正小标宋_GBK"/>
          <w:b w:val="0"/>
          <w:color w:val="auto"/>
          <w:sz w:val="36"/>
          <w:szCs w:val="30"/>
        </w:rPr>
        <w:br w:type="page"/>
      </w:r>
      <w:bookmarkStart w:id="59" w:name="_Toc523"/>
      <w:bookmarkStart w:id="60" w:name="_Toc15492"/>
      <w:bookmarkStart w:id="61" w:name="_Toc65660341"/>
      <w:bookmarkStart w:id="62" w:name="_Toc13356"/>
      <w:bookmarkStart w:id="63" w:name="_Toc106034781"/>
      <w:r>
        <w:rPr>
          <w:rFonts w:hint="eastAsia" w:ascii="方正小标宋_GBK" w:eastAsia="方正小标宋_GBK"/>
          <w:b w:val="0"/>
          <w:color w:val="auto"/>
          <w:sz w:val="36"/>
          <w:szCs w:val="30"/>
        </w:rPr>
        <w:t xml:space="preserve">第三篇  </w:t>
      </w:r>
      <w:bookmarkEnd w:id="52"/>
      <w:r>
        <w:rPr>
          <w:rFonts w:hint="eastAsia" w:ascii="方正小标宋_GBK" w:eastAsia="方正小标宋_GBK"/>
          <w:b w:val="0"/>
          <w:color w:val="auto"/>
          <w:sz w:val="36"/>
          <w:szCs w:val="30"/>
        </w:rPr>
        <w:t>项目</w:t>
      </w:r>
      <w:bookmarkEnd w:id="59"/>
      <w:bookmarkEnd w:id="60"/>
      <w:bookmarkEnd w:id="61"/>
      <w:bookmarkEnd w:id="62"/>
      <w:r>
        <w:rPr>
          <w:rFonts w:hint="eastAsia" w:ascii="方正小标宋_GBK" w:eastAsia="方正小标宋_GBK"/>
          <w:b w:val="0"/>
          <w:color w:val="auto"/>
          <w:sz w:val="36"/>
          <w:szCs w:val="30"/>
        </w:rPr>
        <w:t>商务需求</w:t>
      </w:r>
      <w:bookmarkEnd w:id="63"/>
    </w:p>
    <w:p>
      <w:pPr>
        <w:pStyle w:val="3"/>
        <w:adjustRightInd w:val="0"/>
        <w:snapToGrid w:val="0"/>
        <w:spacing w:line="400" w:lineRule="exact"/>
        <w:ind w:firstLine="480" w:firstLineChars="200"/>
        <w:rPr>
          <w:rFonts w:ascii="方正仿宋_GBK" w:hAnsi="宋体" w:eastAsia="方正仿宋_GBK"/>
          <w:color w:val="auto"/>
          <w:sz w:val="24"/>
        </w:rPr>
      </w:pPr>
      <w:bookmarkStart w:id="64" w:name="_Toc13555"/>
      <w:bookmarkStart w:id="65" w:name="_Toc106034782"/>
      <w:bookmarkStart w:id="66" w:name="_Toc65660342"/>
      <w:bookmarkStart w:id="67" w:name="_Toc12935"/>
      <w:bookmarkStart w:id="68" w:name="_Toc17750"/>
      <w:bookmarkStart w:id="69" w:name="_Toc342913389"/>
      <w:r>
        <w:rPr>
          <w:rFonts w:hint="eastAsia" w:ascii="方正仿宋_GBK" w:hAnsi="宋体" w:eastAsia="方正仿宋_GBK"/>
          <w:color w:val="auto"/>
          <w:sz w:val="24"/>
        </w:rPr>
        <w:t>一、服务时间、地点及验收方式</w:t>
      </w:r>
      <w:bookmarkEnd w:id="64"/>
      <w:bookmarkEnd w:id="65"/>
      <w:bookmarkEnd w:id="66"/>
      <w:bookmarkEnd w:id="67"/>
      <w:bookmarkEnd w:id="68"/>
    </w:p>
    <w:p>
      <w:pPr>
        <w:pStyle w:val="33"/>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宋体" w:eastAsia="方正仿宋_GBK"/>
          <w:color w:val="auto"/>
          <w:sz w:val="24"/>
          <w:szCs w:val="24"/>
        </w:rPr>
        <w:t>服务时间：12月20日前完成并向涪陵区档案馆办理移交，完成档案移交进馆。</w:t>
      </w:r>
    </w:p>
    <w:p>
      <w:pPr>
        <w:pStyle w:val="33"/>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（二）服务地点：采购人指定地点。</w:t>
      </w:r>
    </w:p>
    <w:p>
      <w:pPr>
        <w:pStyle w:val="33"/>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（三）验收方式：</w:t>
      </w:r>
    </w:p>
    <w:p>
      <w:pPr>
        <w:pStyle w:val="33"/>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.由采购人依法组织验收，验收组织方必要时可以邀请档案主管部门或上级部门相关人员参加验收工作。</w:t>
      </w:r>
    </w:p>
    <w:p>
      <w:pPr>
        <w:pStyle w:val="3"/>
        <w:adjustRightInd w:val="0"/>
        <w:snapToGrid w:val="0"/>
        <w:spacing w:line="400" w:lineRule="exact"/>
        <w:ind w:firstLine="480" w:firstLineChars="200"/>
        <w:rPr>
          <w:rFonts w:ascii="方正仿宋_GBK" w:hAnsi="宋体" w:eastAsia="方正仿宋_GBK"/>
          <w:color w:val="auto"/>
          <w:sz w:val="24"/>
        </w:rPr>
      </w:pPr>
      <w:bookmarkStart w:id="70" w:name="_Toc1838"/>
      <w:bookmarkStart w:id="71" w:name="_Toc106034783"/>
      <w:bookmarkStart w:id="72" w:name="_Toc8103"/>
      <w:bookmarkStart w:id="73" w:name="_Toc65660343"/>
      <w:bookmarkStart w:id="74" w:name="_Toc24110"/>
      <w:r>
        <w:rPr>
          <w:rFonts w:hint="eastAsia" w:ascii="方正仿宋_GBK" w:hAnsi="宋体" w:eastAsia="方正仿宋_GBK"/>
          <w:color w:val="auto"/>
          <w:sz w:val="24"/>
        </w:rPr>
        <w:t>二、</w:t>
      </w:r>
      <w:bookmarkEnd w:id="70"/>
      <w:bookmarkEnd w:id="71"/>
      <w:bookmarkEnd w:id="72"/>
      <w:bookmarkEnd w:id="73"/>
      <w:bookmarkEnd w:id="74"/>
      <w:r>
        <w:rPr>
          <w:rFonts w:hint="eastAsia" w:ascii="方正仿宋_GBK" w:hAnsi="宋体" w:eastAsia="方正仿宋_GBK"/>
          <w:color w:val="auto"/>
          <w:sz w:val="24"/>
        </w:rPr>
        <w:t>质量保证及售后服务</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为采购人提供为期自验收合格之日起两年的数据质保期</w:t>
      </w:r>
      <w:r>
        <w:rPr>
          <w:rFonts w:hint="eastAsia" w:ascii="方正仿宋_GBK" w:hAnsi="宋体" w:eastAsia="方正仿宋_GBK"/>
          <w:color w:val="auto"/>
          <w:sz w:val="24"/>
          <w:szCs w:val="24"/>
        </w:rPr>
        <w:t>，在两年内档案数字化数据错误应由数字加工单位无偿整改。</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（一）电话咨询</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投标人应当为用户提供技术援助电话，解答用户在使用中遇到的问题，及时为用户提出解决问题的建议和操作方法。</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（二）现场响应</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用户遇到使用及技术问题，电话咨询不能解决的，数字化加工单位应在2小时内采取相应措施，6小时内做出故障诊断报告，48小时内提供上门服务，确保产品正常工作；无法12小时内解决的，应在48小时内提供备用产品，保证用户能够正常使用。</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（三）成交供应商在项目完成后需协助采购人完善各门类全宗卷数据的统计汇总工作，并完成该批档案的全宗介绍和组织机构沿革。</w:t>
      </w:r>
    </w:p>
    <w:p>
      <w:pPr>
        <w:pStyle w:val="3"/>
        <w:adjustRightInd w:val="0"/>
        <w:snapToGrid w:val="0"/>
        <w:spacing w:line="400" w:lineRule="exact"/>
        <w:ind w:firstLine="480" w:firstLineChars="200"/>
        <w:rPr>
          <w:rFonts w:ascii="方正仿宋_GBK" w:hAnsi="宋体" w:eastAsia="方正仿宋_GBK"/>
          <w:color w:val="auto"/>
          <w:sz w:val="24"/>
        </w:rPr>
      </w:pPr>
      <w:bookmarkStart w:id="75" w:name="_Toc16974"/>
      <w:bookmarkStart w:id="76" w:name="_Toc12184"/>
      <w:bookmarkStart w:id="77" w:name="_Toc122"/>
      <w:bookmarkStart w:id="78" w:name="_Toc106034784"/>
      <w:bookmarkStart w:id="79" w:name="_Toc65660344"/>
      <w:r>
        <w:rPr>
          <w:rFonts w:hint="eastAsia" w:ascii="方正仿宋_GBK" w:hAnsi="宋体" w:eastAsia="方正仿宋_GBK"/>
          <w:color w:val="auto"/>
          <w:sz w:val="24"/>
        </w:rPr>
        <w:t>三、报价要求</w:t>
      </w:r>
      <w:bookmarkEnd w:id="75"/>
      <w:bookmarkEnd w:id="76"/>
      <w:bookmarkEnd w:id="77"/>
      <w:bookmarkEnd w:id="78"/>
      <w:bookmarkEnd w:id="79"/>
    </w:p>
    <w:p>
      <w:pPr>
        <w:adjustRightInd w:val="0"/>
        <w:snapToGrid w:val="0"/>
        <w:spacing w:line="400" w:lineRule="exact"/>
        <w:ind w:firstLine="480" w:firstLineChars="200"/>
        <w:jc w:val="left"/>
        <w:rPr>
          <w:rFonts w:ascii="方正仿宋_GBK" w:hAnsi="方正仿宋_GBK" w:eastAsia="方正仿宋_GBK" w:cs="方正仿宋_GBK"/>
          <w:color w:val="auto"/>
          <w:kern w:val="0"/>
          <w:sz w:val="24"/>
          <w:szCs w:val="24"/>
          <w:lang w:val="zh-TW"/>
        </w:rPr>
      </w:pPr>
      <w:r>
        <w:rPr>
          <w:rFonts w:hint="eastAsia" w:ascii="方正仿宋_GBK" w:hAnsi="方正仿宋_GBK" w:eastAsia="方正仿宋_GBK" w:cs="方正仿宋_GBK"/>
          <w:color w:val="auto"/>
          <w:kern w:val="0"/>
          <w:sz w:val="24"/>
          <w:szCs w:val="24"/>
          <w:lang w:val="zh-TW"/>
        </w:rPr>
        <w:t>（一）本次报价须为人民币总价报价。投标报价包括完成本项目所需的服务费、材料费、器具费、耗材费、软硬件购买及使用费、软件的升级改版费、人工费、税费、返工费、车辆费、住宿费、餐饮费等一切为完成本项目的所有费用。因投标人自身原因造成漏报、少报皆由其自行承担责任，采购人不再补偿。</w:t>
      </w:r>
    </w:p>
    <w:p>
      <w:pPr>
        <w:adjustRightInd w:val="0"/>
        <w:snapToGrid w:val="0"/>
        <w:spacing w:line="400" w:lineRule="exact"/>
        <w:ind w:firstLine="480" w:firstLineChars="200"/>
        <w:jc w:val="left"/>
        <w:rPr>
          <w:rFonts w:ascii="方正仿宋_GBK" w:hAnsi="方正仿宋_GBK" w:eastAsia="方正仿宋_GBK" w:cs="方正仿宋_GBK"/>
          <w:color w:val="auto"/>
          <w:kern w:val="0"/>
          <w:sz w:val="24"/>
          <w:szCs w:val="24"/>
          <w:lang w:val="zh-TW"/>
        </w:rPr>
      </w:pPr>
      <w:r>
        <w:rPr>
          <w:rFonts w:hint="eastAsia" w:ascii="方正仿宋_GBK" w:hAnsi="方正仿宋_GBK" w:eastAsia="方正仿宋_GBK" w:cs="方正仿宋_GBK"/>
          <w:color w:val="auto"/>
          <w:kern w:val="0"/>
          <w:sz w:val="24"/>
          <w:szCs w:val="24"/>
          <w:lang w:val="zh-TW"/>
        </w:rPr>
        <w:t>（二）投标人须在分项报价明细表中，按要求对本次采购内容的分项进行填报，其价格为综合价格，包括完成本项目所需的服务费、材料费、器具费、耗材费、软硬件购买及使用费、软件的升级改版费、人工费、税费、返工费、车辆费、住宿费、餐饮费等一切为完成本项目的所有费用。</w:t>
      </w:r>
    </w:p>
    <w:p>
      <w:pPr>
        <w:pStyle w:val="3"/>
        <w:adjustRightInd w:val="0"/>
        <w:snapToGrid w:val="0"/>
        <w:spacing w:line="400" w:lineRule="exact"/>
        <w:ind w:firstLine="480" w:firstLineChars="200"/>
        <w:rPr>
          <w:rFonts w:ascii="方正仿宋_GBK" w:hAnsi="宋体" w:eastAsia="方正仿宋_GBK"/>
          <w:color w:val="auto"/>
          <w:sz w:val="24"/>
        </w:rPr>
      </w:pPr>
      <w:bookmarkStart w:id="80" w:name="_Toc9192"/>
      <w:bookmarkStart w:id="81" w:name="_Toc7562"/>
      <w:bookmarkStart w:id="82" w:name="_Toc11000"/>
      <w:bookmarkStart w:id="83" w:name="_Toc65660345"/>
      <w:bookmarkStart w:id="84" w:name="_Toc106034785"/>
      <w:r>
        <w:rPr>
          <w:rFonts w:hint="eastAsia" w:ascii="方正仿宋_GBK" w:hAnsi="宋体" w:eastAsia="方正仿宋_GBK"/>
          <w:color w:val="auto"/>
          <w:sz w:val="24"/>
        </w:rPr>
        <w:t>四、付款方式</w:t>
      </w:r>
      <w:bookmarkEnd w:id="80"/>
      <w:bookmarkEnd w:id="81"/>
      <w:bookmarkEnd w:id="82"/>
      <w:bookmarkEnd w:id="83"/>
      <w:bookmarkEnd w:id="84"/>
    </w:p>
    <w:p>
      <w:pPr>
        <w:snapToGrid w:val="0"/>
        <w:spacing w:line="400" w:lineRule="exact"/>
        <w:ind w:firstLine="480" w:firstLineChars="200"/>
        <w:rPr>
          <w:rFonts w:ascii="方正仿宋_GBK" w:hAnsi="宋体" w:eastAsia="方正仿宋_GBK" w:cs="宋体"/>
          <w:color w:val="auto"/>
          <w:kern w:val="0"/>
          <w:sz w:val="24"/>
          <w:szCs w:val="24"/>
        </w:rPr>
      </w:pPr>
      <w:bookmarkStart w:id="85" w:name="_Toc24751"/>
      <w:bookmarkStart w:id="86" w:name="_Toc106034786"/>
      <w:bookmarkStart w:id="87" w:name="_Toc7228"/>
      <w:bookmarkStart w:id="88" w:name="_Toc3786"/>
      <w:bookmarkStart w:id="89" w:name="_Toc65660346"/>
      <w:r>
        <w:rPr>
          <w:rFonts w:hint="eastAsia" w:ascii="方正仿宋_GBK" w:hAnsi="宋体" w:eastAsia="方正仿宋_GBK" w:cs="宋体"/>
          <w:color w:val="auto"/>
          <w:kern w:val="0"/>
          <w:sz w:val="24"/>
          <w:szCs w:val="24"/>
        </w:rPr>
        <w:t>合同约定</w:t>
      </w:r>
    </w:p>
    <w:p>
      <w:pPr>
        <w:numPr>
          <w:ilvl w:val="0"/>
          <w:numId w:val="15"/>
        </w:numPr>
        <w:ind w:firstLine="480"/>
        <w:rPr>
          <w:rFonts w:ascii="方正仿宋_GBK" w:hAnsi="宋体" w:eastAsia="方正仿宋_GBK"/>
          <w:b/>
          <w:color w:val="auto"/>
          <w:sz w:val="24"/>
        </w:rPr>
      </w:pPr>
      <w:r>
        <w:rPr>
          <w:rFonts w:hint="eastAsia" w:ascii="方正仿宋_GBK" w:hAnsi="宋体" w:eastAsia="方正仿宋_GBK"/>
          <w:b/>
          <w:color w:val="auto"/>
          <w:sz w:val="24"/>
        </w:rPr>
        <w:t>履约担保</w:t>
      </w:r>
    </w:p>
    <w:p>
      <w:pPr>
        <w:numPr>
          <w:ilvl w:val="0"/>
          <w:numId w:val="16"/>
        </w:numPr>
        <w:ind w:firstLine="480" w:firstLineChars="200"/>
        <w:rPr>
          <w:rFonts w:ascii="方正仿宋_GBK" w:hAnsi="宋体" w:eastAsia="方正仿宋_GBK"/>
          <w:color w:val="auto"/>
          <w:sz w:val="24"/>
        </w:rPr>
      </w:pPr>
      <w:r>
        <w:rPr>
          <w:rFonts w:hint="eastAsia" w:ascii="方正仿宋_GBK" w:hAnsi="宋体" w:eastAsia="方正仿宋_GBK"/>
          <w:color w:val="auto"/>
          <w:sz w:val="24"/>
        </w:rPr>
        <w:t>履约担保形式：转账或者保函。</w:t>
      </w:r>
    </w:p>
    <w:p>
      <w:pPr>
        <w:numPr>
          <w:ilvl w:val="0"/>
          <w:numId w:val="16"/>
        </w:numPr>
        <w:ind w:firstLine="480" w:firstLineChars="200"/>
        <w:rPr>
          <w:rFonts w:ascii="方正仿宋_GBK" w:hAnsi="宋体" w:eastAsia="方正仿宋_GBK"/>
          <w:color w:val="auto"/>
          <w:sz w:val="24"/>
        </w:rPr>
      </w:pPr>
      <w:r>
        <w:rPr>
          <w:rFonts w:hint="eastAsia" w:ascii="方正仿宋_GBK" w:hAnsi="宋体" w:eastAsia="方正仿宋_GBK"/>
          <w:color w:val="auto"/>
          <w:sz w:val="24"/>
        </w:rPr>
        <w:t>金额：合同金额的10%。</w:t>
      </w:r>
    </w:p>
    <w:p>
      <w:pPr>
        <w:numPr>
          <w:ilvl w:val="0"/>
          <w:numId w:val="16"/>
        </w:numPr>
        <w:ind w:firstLine="480" w:firstLineChars="200"/>
        <w:rPr>
          <w:rFonts w:ascii="方正仿宋_GBK" w:hAnsi="宋体" w:eastAsia="方正仿宋_GBK"/>
          <w:color w:val="auto"/>
          <w:sz w:val="24"/>
        </w:rPr>
      </w:pPr>
      <w:r>
        <w:rPr>
          <w:rFonts w:hint="eastAsia" w:ascii="方正仿宋_GBK" w:hAnsi="宋体" w:eastAsia="方正仿宋_GBK"/>
          <w:color w:val="auto"/>
          <w:sz w:val="24"/>
        </w:rPr>
        <w:t>提交方式：成交供应商应在公告发布后10个日历日，按成交金额的10%向采购人提交履约保证金或者提交履约保函。</w:t>
      </w:r>
    </w:p>
    <w:p>
      <w:pPr>
        <w:ind w:firstLine="480" w:firstLineChars="200"/>
        <w:rPr>
          <w:rFonts w:ascii="方正仿宋_GBK" w:hAnsi="宋体" w:eastAsia="方正仿宋_GBK"/>
          <w:color w:val="auto"/>
          <w:sz w:val="24"/>
        </w:rPr>
      </w:pPr>
      <w:r>
        <w:rPr>
          <w:rFonts w:hint="eastAsia" w:ascii="方正仿宋_GBK" w:hAnsi="宋体" w:eastAsia="方正仿宋_GBK"/>
          <w:color w:val="auto"/>
          <w:sz w:val="24"/>
        </w:rPr>
        <w:t>4、退还方式：项目验收合格后10个工作日内一次性无息退还。</w:t>
      </w:r>
    </w:p>
    <w:p>
      <w:pPr>
        <w:pStyle w:val="3"/>
        <w:adjustRightInd w:val="0"/>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六、知识产权</w:t>
      </w:r>
      <w:bookmarkEnd w:id="85"/>
      <w:bookmarkEnd w:id="86"/>
      <w:bookmarkEnd w:id="87"/>
      <w:bookmarkEnd w:id="88"/>
      <w:bookmarkEnd w:id="89"/>
    </w:p>
    <w:p>
      <w:pPr>
        <w:snapToGrid w:val="0"/>
        <w:spacing w:line="400" w:lineRule="exact"/>
        <w:ind w:firstLine="540"/>
        <w:rPr>
          <w:rFonts w:ascii="方正仿宋_GBK" w:hAnsi="宋体" w:eastAsia="方正仿宋_GBK"/>
          <w:color w:val="auto"/>
          <w:sz w:val="24"/>
          <w:szCs w:val="24"/>
        </w:rPr>
      </w:pPr>
      <w:r>
        <w:rPr>
          <w:rFonts w:hint="eastAsia" w:ascii="方正仿宋_GBK" w:hAnsi="宋体" w:eastAsia="方正仿宋_GBK"/>
          <w:color w:val="auto"/>
          <w:sz w:val="24"/>
          <w:szCs w:val="24"/>
        </w:rPr>
        <w:t>本项目知识产权归采购人所有。</w:t>
      </w:r>
    </w:p>
    <w:p>
      <w:pPr>
        <w:snapToGrid w:val="0"/>
        <w:spacing w:line="400" w:lineRule="exact"/>
        <w:ind w:firstLine="540"/>
        <w:rPr>
          <w:rFonts w:ascii="方正仿宋_GBK" w:hAnsi="宋体" w:eastAsia="方正仿宋_GBK"/>
          <w:color w:val="auto"/>
          <w:sz w:val="24"/>
          <w:szCs w:val="24"/>
        </w:rPr>
      </w:pPr>
      <w:r>
        <w:rPr>
          <w:rFonts w:hint="eastAsia" w:ascii="方正仿宋_GBK" w:hAnsi="宋体" w:eastAsia="方正仿宋_GBK"/>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line="400" w:lineRule="exact"/>
        <w:ind w:firstLine="480" w:firstLineChars="200"/>
        <w:rPr>
          <w:rFonts w:ascii="方正仿宋_GBK" w:hAnsi="宋体" w:eastAsia="方正仿宋_GBK"/>
          <w:color w:val="auto"/>
          <w:sz w:val="24"/>
        </w:rPr>
      </w:pPr>
      <w:bookmarkStart w:id="90" w:name="_Toc65660347"/>
      <w:bookmarkStart w:id="91" w:name="_Toc6869"/>
      <w:bookmarkStart w:id="92" w:name="_Toc6565"/>
      <w:bookmarkStart w:id="93" w:name="_Toc106034787"/>
      <w:bookmarkStart w:id="94" w:name="_Toc5555"/>
      <w:r>
        <w:rPr>
          <w:rFonts w:hint="eastAsia" w:ascii="方正仿宋_GBK" w:hAnsi="宋体" w:eastAsia="方正仿宋_GBK"/>
          <w:color w:val="auto"/>
          <w:sz w:val="24"/>
        </w:rPr>
        <w:t>七、培训</w:t>
      </w:r>
      <w:bookmarkEnd w:id="90"/>
      <w:bookmarkEnd w:id="91"/>
      <w:bookmarkEnd w:id="92"/>
      <w:bookmarkEnd w:id="93"/>
      <w:bookmarkEnd w:id="94"/>
    </w:p>
    <w:p>
      <w:pPr>
        <w:snapToGrid w:val="0"/>
        <w:spacing w:line="400" w:lineRule="exact"/>
        <w:ind w:firstLine="540"/>
        <w:rPr>
          <w:rFonts w:ascii="方正仿宋_GBK" w:hAnsi="宋体" w:eastAsia="方正仿宋_GBK"/>
          <w:color w:val="auto"/>
          <w:sz w:val="24"/>
          <w:szCs w:val="24"/>
        </w:rPr>
      </w:pPr>
      <w:r>
        <w:rPr>
          <w:rFonts w:hint="eastAsia" w:ascii="方正仿宋_GBK" w:hAnsi="宋体" w:eastAsia="方正仿宋_GBK"/>
          <w:color w:val="auto"/>
          <w:sz w:val="24"/>
          <w:szCs w:val="24"/>
        </w:rPr>
        <w:t>成交供应商须提供对设备的操作培训，使相关使用人员能够正常操作相关设备。</w:t>
      </w:r>
    </w:p>
    <w:p>
      <w:pPr>
        <w:pStyle w:val="3"/>
        <w:adjustRightInd w:val="0"/>
        <w:snapToGrid w:val="0"/>
        <w:spacing w:line="400" w:lineRule="exact"/>
        <w:ind w:firstLine="480" w:firstLineChars="200"/>
        <w:jc w:val="left"/>
        <w:rPr>
          <w:rFonts w:ascii="方正仿宋_GBK" w:hAnsi="方正仿宋_GBK" w:eastAsia="方正仿宋_GBK" w:cs="方正仿宋_GBK"/>
          <w:color w:val="auto"/>
          <w:sz w:val="24"/>
        </w:rPr>
      </w:pPr>
      <w:bookmarkStart w:id="95" w:name="_Toc31910"/>
      <w:bookmarkStart w:id="96" w:name="_Toc108013105"/>
      <w:bookmarkStart w:id="97" w:name="_Toc19427"/>
      <w:bookmarkStart w:id="98" w:name="_Toc18104"/>
      <w:bookmarkStart w:id="99" w:name="_Toc947"/>
      <w:bookmarkStart w:id="100" w:name="_Toc25707"/>
      <w:bookmarkStart w:id="101" w:name="_Toc466546918"/>
      <w:bookmarkStart w:id="102" w:name="_Toc2954"/>
      <w:bookmarkStart w:id="103" w:name="_Toc31659"/>
      <w:bookmarkStart w:id="104" w:name="_Toc23902"/>
      <w:bookmarkStart w:id="105" w:name="_Toc21248"/>
      <w:bookmarkStart w:id="106" w:name="_Toc106034788"/>
      <w:bookmarkStart w:id="107" w:name="_Toc65660348"/>
      <w:r>
        <w:rPr>
          <w:rFonts w:hint="eastAsia" w:ascii="方正仿宋_GBK" w:hAnsi="方正仿宋_GBK" w:eastAsia="方正仿宋_GBK" w:cs="方正仿宋_GBK"/>
          <w:color w:val="auto"/>
          <w:sz w:val="24"/>
        </w:rPr>
        <w:t>八、项目风险管控</w:t>
      </w:r>
      <w:bookmarkEnd w:id="95"/>
      <w:bookmarkEnd w:id="96"/>
      <w:bookmarkEnd w:id="97"/>
      <w:bookmarkEnd w:id="98"/>
      <w:bookmarkEnd w:id="99"/>
      <w:bookmarkEnd w:id="100"/>
    </w:p>
    <w:p>
      <w:pPr>
        <w:adjustRightInd w:val="0"/>
        <w:snapToGrid w:val="0"/>
        <w:spacing w:line="400" w:lineRule="exact"/>
        <w:ind w:firstLine="480" w:firstLineChars="20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color w:val="auto"/>
          <w:sz w:val="24"/>
          <w:szCs w:val="24"/>
        </w:rPr>
      </w:pPr>
      <w:bookmarkStart w:id="108" w:name="_Toc6830"/>
      <w:r>
        <w:rPr>
          <w:rFonts w:hint="eastAsia" w:ascii="方正仿宋_GBK" w:hAnsi="方正仿宋_GBK" w:eastAsia="方正仿宋_GBK" w:cs="方正仿宋_GBK"/>
          <w:color w:val="auto"/>
          <w:sz w:val="24"/>
          <w:szCs w:val="24"/>
        </w:rPr>
        <w:t>3.合同已签订的，如果相关变化导致不能实现合同目的或合同价款等实质性条款变化，针对变化部分按不可抗力事件处理，采购人与供应商协商后解除合同或签订补充协议。</w:t>
      </w:r>
      <w:bookmarkEnd w:id="101"/>
      <w:bookmarkEnd w:id="102"/>
      <w:bookmarkEnd w:id="108"/>
    </w:p>
    <w:p>
      <w:pPr>
        <w:pStyle w:val="3"/>
        <w:adjustRightInd w:val="0"/>
        <w:snapToGrid w:val="0"/>
        <w:spacing w:line="400" w:lineRule="exact"/>
        <w:ind w:firstLine="480" w:firstLineChars="200"/>
        <w:rPr>
          <w:rFonts w:ascii="方正仿宋_GBK" w:hAnsi="方正仿宋_GBK" w:eastAsia="方正仿宋_GBK" w:cs="方正仿宋_GBK"/>
          <w:color w:val="auto"/>
          <w:sz w:val="24"/>
        </w:rPr>
      </w:pPr>
      <w:r>
        <w:rPr>
          <w:rFonts w:hint="eastAsia" w:ascii="方正仿宋_GBK" w:hAnsi="宋体" w:eastAsia="方正仿宋_GBK"/>
          <w:color w:val="auto"/>
          <w:sz w:val="24"/>
        </w:rPr>
        <w:t>九、</w:t>
      </w:r>
      <w:r>
        <w:rPr>
          <w:rFonts w:hint="eastAsia" w:ascii="方正仿宋_GBK" w:hAnsi="方正仿宋_GBK" w:eastAsia="方正仿宋_GBK" w:cs="方正仿宋_GBK"/>
          <w:color w:val="auto"/>
          <w:sz w:val="24"/>
        </w:rPr>
        <w:t>违约责任</w:t>
      </w:r>
    </w:p>
    <w:p>
      <w:pPr>
        <w:pStyle w:val="3"/>
        <w:adjustRightInd w:val="0"/>
        <w:snapToGrid w:val="0"/>
        <w:spacing w:line="400" w:lineRule="exact"/>
        <w:ind w:firstLine="480" w:firstLineChars="200"/>
        <w:rPr>
          <w:rFonts w:ascii="方正仿宋_GBK" w:hAnsi="宋体" w:eastAsia="方正仿宋_GBK"/>
          <w:b w:val="0"/>
          <w:bCs/>
          <w:color w:val="auto"/>
          <w:sz w:val="24"/>
        </w:rPr>
      </w:pPr>
      <w:r>
        <w:rPr>
          <w:rFonts w:hint="eastAsia" w:ascii="方正仿宋_GBK" w:hAnsi="宋体" w:eastAsia="方正仿宋_GBK"/>
          <w:b w:val="0"/>
          <w:bCs/>
          <w:color w:val="auto"/>
          <w:sz w:val="24"/>
        </w:rPr>
        <w:t>1、由于成交供应商原因导致项目超出约定工期的，每迟交一天,按1000元/日扣除成交供应商违约金，累计违约金上限为签约合同价的10%，逾期满【30】日的，采购人有权解除合同，成交供应商应赔偿给采购人造成的损失，并自行承担相关费用。</w:t>
      </w:r>
    </w:p>
    <w:p>
      <w:pPr>
        <w:pStyle w:val="3"/>
        <w:adjustRightInd w:val="0"/>
        <w:snapToGrid w:val="0"/>
        <w:spacing w:line="400" w:lineRule="exact"/>
        <w:ind w:firstLine="480" w:firstLineChars="200"/>
        <w:rPr>
          <w:rFonts w:ascii="方正仿宋_GBK" w:hAnsi="宋体" w:eastAsia="方正仿宋_GBK"/>
          <w:b w:val="0"/>
          <w:bCs/>
          <w:color w:val="auto"/>
          <w:sz w:val="24"/>
        </w:rPr>
      </w:pPr>
      <w:r>
        <w:rPr>
          <w:rFonts w:hint="eastAsia" w:ascii="方正仿宋_GBK" w:hAnsi="宋体" w:eastAsia="方正仿宋_GBK"/>
          <w:b w:val="0"/>
          <w:bCs/>
          <w:color w:val="auto"/>
          <w:sz w:val="24"/>
        </w:rPr>
        <w:t>2、成交供应商实施项目未达到本项目要求的，成交供应商应及时予以整改。成交供应商未及时整改或者整改后仍不符合要求的，采购人有权扣除履约保证金、解除合同，成交供应商自行承担相关费用。</w:t>
      </w:r>
    </w:p>
    <w:p>
      <w:pPr>
        <w:pStyle w:val="3"/>
        <w:adjustRightInd w:val="0"/>
        <w:snapToGrid w:val="0"/>
        <w:spacing w:line="400" w:lineRule="exact"/>
        <w:ind w:firstLine="480" w:firstLineChars="200"/>
        <w:rPr>
          <w:rFonts w:ascii="方正仿宋_GBK" w:hAnsi="宋体" w:eastAsia="方正仿宋_GBK"/>
          <w:b w:val="0"/>
          <w:bCs/>
          <w:color w:val="auto"/>
          <w:sz w:val="24"/>
        </w:rPr>
      </w:pPr>
      <w:r>
        <w:rPr>
          <w:rFonts w:hint="eastAsia" w:ascii="方正仿宋_GBK" w:hAnsi="宋体" w:eastAsia="方正仿宋_GBK"/>
          <w:b w:val="0"/>
          <w:bCs/>
          <w:color w:val="auto"/>
          <w:sz w:val="24"/>
        </w:rPr>
        <w:t>3、成交供应商违反项目合同和采购文件约定的有关质量保证及售后服务的，采购人有权委托第三方进行保修，所产生的费用由成交供应商承担。若因项目缺陷或质量等问题造成采购人或任何人员人身、财产损害的，成交供应商应承担有关责任并作出相应赔偿。</w:t>
      </w:r>
    </w:p>
    <w:p>
      <w:pPr>
        <w:pStyle w:val="3"/>
        <w:adjustRightInd w:val="0"/>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十、合同争议</w:t>
      </w:r>
    </w:p>
    <w:p>
      <w:pPr>
        <w:adjustRightInd w:val="0"/>
        <w:snapToGrid w:val="0"/>
        <w:spacing w:line="400" w:lineRule="exact"/>
        <w:ind w:firstLine="480" w:firstLineChars="20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项目执行中，如发生争议由双方协商解决，协商不成向甲方所在地具有管辖权人民法院提请诉讼。</w:t>
      </w:r>
    </w:p>
    <w:p>
      <w:pPr>
        <w:pStyle w:val="3"/>
        <w:adjustRightInd w:val="0"/>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十一、其他</w:t>
      </w:r>
      <w:bookmarkEnd w:id="103"/>
      <w:bookmarkEnd w:id="104"/>
      <w:bookmarkEnd w:id="105"/>
      <w:bookmarkEnd w:id="106"/>
      <w:bookmarkEnd w:id="107"/>
    </w:p>
    <w:p>
      <w:pPr>
        <w:adjustRightInd w:val="0"/>
        <w:snapToGrid w:val="0"/>
        <w:spacing w:line="400" w:lineRule="exact"/>
        <w:ind w:firstLine="480" w:firstLineChars="200"/>
        <w:jc w:val="left"/>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其他未尽事宜由供需双方在采购合同中详细约定。</w:t>
      </w:r>
    </w:p>
    <w:p>
      <w:pPr>
        <w:snapToGrid w:val="0"/>
        <w:spacing w:line="400" w:lineRule="exact"/>
        <w:ind w:firstLine="540"/>
        <w:rPr>
          <w:rFonts w:ascii="方正仿宋_GBK" w:eastAsia="方正仿宋_GBK"/>
          <w:color w:val="auto"/>
          <w:sz w:val="24"/>
          <w:szCs w:val="24"/>
        </w:rPr>
      </w:pPr>
      <w:r>
        <w:rPr>
          <w:rFonts w:hint="eastAsia" w:ascii="方正仿宋_GBK" w:eastAsia="方正仿宋_GBK"/>
          <w:color w:val="auto"/>
          <w:sz w:val="24"/>
          <w:szCs w:val="24"/>
        </w:rPr>
        <w:t>注：以上要求均为实质性要求。</w:t>
      </w:r>
    </w:p>
    <w:p>
      <w:pPr>
        <w:snapToGrid w:val="0"/>
        <w:spacing w:line="400" w:lineRule="exact"/>
        <w:ind w:firstLine="540"/>
        <w:rPr>
          <w:rFonts w:ascii="方正仿宋_GBK" w:eastAsia="方正仿宋_GBK"/>
          <w:color w:val="auto"/>
          <w:sz w:val="24"/>
          <w:szCs w:val="24"/>
        </w:rPr>
      </w:pPr>
    </w:p>
    <w:p>
      <w:pPr>
        <w:pStyle w:val="3"/>
        <w:spacing w:line="360" w:lineRule="auto"/>
        <w:jc w:val="center"/>
        <w:rPr>
          <w:rFonts w:ascii="方正小标宋_GBK" w:eastAsia="方正小标宋_GBK"/>
          <w:b w:val="0"/>
          <w:color w:val="auto"/>
          <w:sz w:val="36"/>
          <w:szCs w:val="30"/>
        </w:rPr>
      </w:pPr>
      <w:r>
        <w:rPr>
          <w:rFonts w:ascii="方正小标宋_GBK" w:eastAsia="方正小标宋_GBK"/>
          <w:b w:val="0"/>
          <w:color w:val="auto"/>
          <w:sz w:val="36"/>
          <w:szCs w:val="30"/>
        </w:rPr>
        <w:br w:type="page"/>
      </w:r>
      <w:bookmarkStart w:id="109" w:name="_Toc106034789"/>
      <w:bookmarkStart w:id="110" w:name="_Toc24195"/>
      <w:bookmarkStart w:id="111" w:name="_Toc16123"/>
      <w:bookmarkStart w:id="112" w:name="_Toc65660349"/>
      <w:bookmarkStart w:id="113" w:name="_Toc31282"/>
      <w:r>
        <w:rPr>
          <w:rFonts w:hint="eastAsia" w:ascii="方正小标宋_GBK" w:eastAsia="方正小标宋_GBK"/>
          <w:b w:val="0"/>
          <w:color w:val="auto"/>
          <w:sz w:val="36"/>
          <w:szCs w:val="30"/>
        </w:rPr>
        <w:t>第四篇  采购程序、评定成交的标准、无效报价及采购终止</w:t>
      </w:r>
      <w:bookmarkEnd w:id="109"/>
      <w:bookmarkEnd w:id="110"/>
      <w:bookmarkEnd w:id="111"/>
      <w:bookmarkEnd w:id="112"/>
      <w:bookmarkEnd w:id="113"/>
    </w:p>
    <w:p>
      <w:pPr>
        <w:pStyle w:val="3"/>
        <w:adjustRightInd w:val="0"/>
        <w:snapToGrid w:val="0"/>
        <w:spacing w:line="400" w:lineRule="exact"/>
        <w:ind w:firstLine="480" w:firstLineChars="200"/>
        <w:rPr>
          <w:rFonts w:ascii="方正仿宋_GBK" w:hAnsi="宋体" w:eastAsia="方正仿宋_GBK"/>
          <w:color w:val="auto"/>
          <w:sz w:val="24"/>
        </w:rPr>
      </w:pPr>
      <w:bookmarkStart w:id="114" w:name="_Toc5167"/>
      <w:bookmarkStart w:id="115" w:name="_Toc64732012"/>
      <w:bookmarkStart w:id="116" w:name="_Toc27932"/>
      <w:bookmarkStart w:id="117" w:name="_Toc9361"/>
      <w:bookmarkStart w:id="118" w:name="_Toc106034790"/>
      <w:bookmarkStart w:id="119" w:name="_Toc65660350"/>
      <w:r>
        <w:rPr>
          <w:rFonts w:hint="eastAsia" w:ascii="方正仿宋_GBK" w:hAnsi="宋体" w:eastAsia="方正仿宋_GBK"/>
          <w:color w:val="auto"/>
          <w:sz w:val="24"/>
        </w:rPr>
        <w:t>一、采购程序</w:t>
      </w:r>
      <w:bookmarkEnd w:id="114"/>
      <w:bookmarkEnd w:id="115"/>
      <w:bookmarkEnd w:id="116"/>
      <w:bookmarkEnd w:id="117"/>
      <w:bookmarkEnd w:id="118"/>
      <w:bookmarkEnd w:id="119"/>
    </w:p>
    <w:p>
      <w:pPr>
        <w:pStyle w:val="33"/>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（一）比价按采购文件规定的时间和地点进行。供应商须有法定代表人（或其授权代表）或自然人参加并签到。</w:t>
      </w:r>
    </w:p>
    <w:p>
      <w:pPr>
        <w:pStyle w:val="33"/>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olor w:val="auto"/>
          <w:sz w:val="24"/>
          <w:szCs w:val="24"/>
        </w:rPr>
        <w:t>1.资格性审查。依据法律法规和采购文件的规定，对响应文件中的资格证明材料等进行审查。资格性审查内容如下：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ign w:val="center"/>
          </w:tcPr>
          <w:p>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ign w:val="center"/>
          </w:tcPr>
          <w:p>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（一）</w:t>
            </w:r>
          </w:p>
        </w:tc>
        <w:tc>
          <w:tcPr>
            <w:tcW w:w="709" w:type="dxa"/>
            <w:vMerge w:val="restart"/>
            <w:noWrap/>
            <w:vAlign w:val="center"/>
          </w:tcPr>
          <w:p>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《中华人民共和国政府采购法》第二十二条规定</w:t>
            </w:r>
          </w:p>
        </w:tc>
        <w:tc>
          <w:tcPr>
            <w:tcW w:w="2835" w:type="dxa"/>
            <w:noWrap/>
            <w:vAlign w:val="center"/>
          </w:tcPr>
          <w:p>
            <w:pPr>
              <w:rPr>
                <w:rFonts w:ascii="方正仿宋_GBK" w:hAnsi="仿宋" w:eastAsia="方正仿宋_GBK"/>
                <w:color w:val="auto"/>
                <w:sz w:val="21"/>
                <w:szCs w:val="21"/>
              </w:rPr>
            </w:pPr>
            <w:r>
              <w:rPr>
                <w:rFonts w:hint="eastAsia" w:ascii="方正仿宋_GBK" w:hAnsi="仿宋" w:eastAsia="方正仿宋_GBK"/>
                <w:color w:val="auto"/>
                <w:sz w:val="21"/>
                <w:szCs w:val="21"/>
              </w:rPr>
              <w:t>1.具有独立承担民事责任的能力</w:t>
            </w:r>
          </w:p>
        </w:tc>
        <w:tc>
          <w:tcPr>
            <w:tcW w:w="5267" w:type="dxa"/>
            <w:noWrap/>
            <w:vAlign w:val="center"/>
          </w:tcPr>
          <w:p>
            <w:pPr>
              <w:rPr>
                <w:rFonts w:ascii="方正仿宋_GBK" w:hAnsi="仿宋" w:eastAsia="方正仿宋_GBK"/>
                <w:color w:val="auto"/>
                <w:sz w:val="21"/>
                <w:szCs w:val="21"/>
              </w:rPr>
            </w:pPr>
            <w:r>
              <w:rPr>
                <w:rFonts w:hint="eastAsia" w:ascii="方正仿宋_GBK" w:hAnsi="仿宋" w:eastAsia="方正仿宋_GBK"/>
                <w:color w:val="auto"/>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color w:val="auto"/>
                <w:sz w:val="21"/>
                <w:szCs w:val="21"/>
              </w:rPr>
            </w:pPr>
            <w:r>
              <w:rPr>
                <w:rFonts w:hint="eastAsia" w:ascii="方正仿宋_GBK" w:hAnsi="仿宋" w:eastAsia="方正仿宋_GBK"/>
                <w:color w:val="auto"/>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pPr>
              <w:jc w:val="center"/>
              <w:rPr>
                <w:rFonts w:ascii="方正仿宋_GBK" w:hAnsi="仿宋" w:eastAsia="方正仿宋_GBK"/>
                <w:color w:val="auto"/>
                <w:sz w:val="21"/>
                <w:szCs w:val="21"/>
              </w:rPr>
            </w:pPr>
          </w:p>
        </w:tc>
        <w:tc>
          <w:tcPr>
            <w:tcW w:w="709" w:type="dxa"/>
            <w:vMerge w:val="continue"/>
            <w:noWrap/>
            <w:vAlign w:val="center"/>
          </w:tcPr>
          <w:p>
            <w:pPr>
              <w:rPr>
                <w:rFonts w:ascii="方正仿宋_GBK" w:hAnsi="仿宋" w:eastAsia="方正仿宋_GBK" w:cs="仿宋_GB2312"/>
                <w:color w:val="auto"/>
                <w:sz w:val="21"/>
                <w:szCs w:val="21"/>
                <w:lang w:val="zh-CN"/>
              </w:rPr>
            </w:pPr>
          </w:p>
        </w:tc>
        <w:tc>
          <w:tcPr>
            <w:tcW w:w="2835" w:type="dxa"/>
            <w:noWrap/>
            <w:vAlign w:val="center"/>
          </w:tcPr>
          <w:p>
            <w:pPr>
              <w:rPr>
                <w:rFonts w:ascii="方正仿宋_GBK" w:hAnsi="仿宋" w:eastAsia="方正仿宋_GBK"/>
                <w:color w:val="auto"/>
                <w:sz w:val="21"/>
                <w:szCs w:val="21"/>
              </w:rPr>
            </w:pPr>
            <w:r>
              <w:rPr>
                <w:rFonts w:hint="eastAsia" w:ascii="方正仿宋_GBK" w:hAnsi="仿宋" w:eastAsia="方正仿宋_GBK" w:cs="仿宋_GB2312"/>
                <w:color w:val="auto"/>
                <w:sz w:val="21"/>
                <w:szCs w:val="21"/>
                <w:lang w:val="zh-CN"/>
              </w:rPr>
              <w:t>2.</w:t>
            </w:r>
            <w:r>
              <w:rPr>
                <w:rFonts w:hint="eastAsia" w:ascii="方正仿宋_GBK" w:hAnsi="仿宋" w:eastAsia="方正仿宋_GBK"/>
                <w:color w:val="auto"/>
                <w:sz w:val="21"/>
                <w:szCs w:val="21"/>
              </w:rPr>
              <w:t>具有良好的商业信誉和健全的财务会计制度</w:t>
            </w:r>
          </w:p>
        </w:tc>
        <w:tc>
          <w:tcPr>
            <w:tcW w:w="5267" w:type="dxa"/>
            <w:vMerge w:val="restart"/>
            <w:noWrap/>
            <w:vAlign w:val="center"/>
          </w:tcPr>
          <w:p>
            <w:pPr>
              <w:rPr>
                <w:rFonts w:ascii="方正仿宋_GBK" w:hAnsi="仿宋" w:eastAsia="方正仿宋_GBK"/>
                <w:b/>
                <w:color w:val="auto"/>
                <w:sz w:val="21"/>
                <w:szCs w:val="21"/>
              </w:rPr>
            </w:pPr>
            <w:r>
              <w:rPr>
                <w:rFonts w:hint="eastAsia" w:ascii="方正仿宋_GBK" w:hAnsi="仿宋" w:eastAsia="方正仿宋_GBK"/>
                <w:color w:val="auto"/>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pPr>
              <w:jc w:val="center"/>
              <w:rPr>
                <w:rFonts w:ascii="方正仿宋_GBK" w:hAnsi="仿宋" w:eastAsia="方正仿宋_GBK"/>
                <w:color w:val="auto"/>
                <w:sz w:val="21"/>
                <w:szCs w:val="21"/>
              </w:rPr>
            </w:pPr>
          </w:p>
        </w:tc>
        <w:tc>
          <w:tcPr>
            <w:tcW w:w="709" w:type="dxa"/>
            <w:vMerge w:val="continue"/>
            <w:noWrap/>
            <w:vAlign w:val="center"/>
          </w:tcPr>
          <w:p>
            <w:pPr>
              <w:rPr>
                <w:rFonts w:ascii="方正仿宋_GBK" w:hAnsi="仿宋" w:eastAsia="方正仿宋_GBK" w:cs="仿宋_GB2312"/>
                <w:color w:val="auto"/>
                <w:sz w:val="21"/>
                <w:szCs w:val="21"/>
                <w:lang w:val="zh-CN"/>
              </w:rPr>
            </w:pPr>
          </w:p>
        </w:tc>
        <w:tc>
          <w:tcPr>
            <w:tcW w:w="2835" w:type="dxa"/>
            <w:noWrap/>
            <w:vAlign w:val="center"/>
          </w:tcPr>
          <w:p>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3.具有履行合同所必需的设备和专业技术能力</w:t>
            </w:r>
          </w:p>
        </w:tc>
        <w:tc>
          <w:tcPr>
            <w:tcW w:w="5267" w:type="dxa"/>
            <w:vMerge w:val="continue"/>
            <w:noWrap/>
            <w:vAlign w:val="center"/>
          </w:tcPr>
          <w:p>
            <w:pPr>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pPr>
              <w:jc w:val="center"/>
              <w:rPr>
                <w:rFonts w:ascii="方正仿宋_GBK" w:hAnsi="仿宋" w:eastAsia="方正仿宋_GBK"/>
                <w:color w:val="auto"/>
                <w:sz w:val="21"/>
                <w:szCs w:val="21"/>
              </w:rPr>
            </w:pPr>
          </w:p>
        </w:tc>
        <w:tc>
          <w:tcPr>
            <w:tcW w:w="709" w:type="dxa"/>
            <w:vMerge w:val="continue"/>
            <w:noWrap/>
            <w:vAlign w:val="center"/>
          </w:tcPr>
          <w:p>
            <w:pPr>
              <w:rPr>
                <w:rFonts w:ascii="方正仿宋_GBK" w:hAnsi="仿宋" w:eastAsia="方正仿宋_GBK" w:cs="仿宋_GB2312"/>
                <w:color w:val="auto"/>
                <w:sz w:val="21"/>
                <w:szCs w:val="21"/>
                <w:lang w:val="zh-CN"/>
              </w:rPr>
            </w:pPr>
          </w:p>
        </w:tc>
        <w:tc>
          <w:tcPr>
            <w:tcW w:w="2835" w:type="dxa"/>
            <w:noWrap/>
            <w:vAlign w:val="center"/>
          </w:tcPr>
          <w:p>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4.有依法缴纳税收和社会保障金的良好记录</w:t>
            </w:r>
          </w:p>
        </w:tc>
        <w:tc>
          <w:tcPr>
            <w:tcW w:w="5267" w:type="dxa"/>
            <w:vMerge w:val="continue"/>
            <w:noWrap/>
            <w:vAlign w:val="center"/>
          </w:tcPr>
          <w:p>
            <w:pPr>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pPr>
              <w:jc w:val="center"/>
              <w:rPr>
                <w:rFonts w:ascii="方正仿宋_GBK" w:hAnsi="仿宋" w:eastAsia="方正仿宋_GBK"/>
                <w:color w:val="auto"/>
                <w:sz w:val="21"/>
                <w:szCs w:val="21"/>
              </w:rPr>
            </w:pPr>
          </w:p>
        </w:tc>
        <w:tc>
          <w:tcPr>
            <w:tcW w:w="709" w:type="dxa"/>
            <w:vMerge w:val="continue"/>
            <w:noWrap/>
            <w:vAlign w:val="center"/>
          </w:tcPr>
          <w:p>
            <w:pPr>
              <w:rPr>
                <w:rFonts w:ascii="方正仿宋_GBK" w:hAnsi="仿宋" w:eastAsia="方正仿宋_GBK" w:cs="仿宋_GB2312"/>
                <w:color w:val="auto"/>
                <w:sz w:val="21"/>
                <w:szCs w:val="21"/>
                <w:lang w:val="zh-CN"/>
              </w:rPr>
            </w:pPr>
          </w:p>
        </w:tc>
        <w:tc>
          <w:tcPr>
            <w:tcW w:w="2835" w:type="dxa"/>
            <w:noWrap/>
            <w:vAlign w:val="center"/>
          </w:tcPr>
          <w:p>
            <w:pPr>
              <w:rPr>
                <w:rFonts w:ascii="方正仿宋_GBK" w:hAnsi="仿宋" w:eastAsia="方正仿宋_GBK" w:cs="仿宋_GB2312"/>
                <w:color w:val="auto"/>
                <w:sz w:val="21"/>
                <w:szCs w:val="21"/>
                <w:lang w:val="zh-CN"/>
              </w:rPr>
            </w:pPr>
            <w:r>
              <w:rPr>
                <w:rFonts w:hint="eastAsia" w:ascii="方正仿宋_GBK" w:hAnsi="仿宋" w:eastAsia="方正仿宋_GBK"/>
                <w:color w:val="auto"/>
                <w:sz w:val="21"/>
                <w:szCs w:val="21"/>
              </w:rPr>
              <w:t>5.参加政府采购活动前三年内，在经营活动中没有重大违法记录</w:t>
            </w:r>
          </w:p>
        </w:tc>
        <w:tc>
          <w:tcPr>
            <w:tcW w:w="5267" w:type="dxa"/>
            <w:vMerge w:val="continue"/>
            <w:noWrap/>
            <w:vAlign w:val="center"/>
          </w:tcPr>
          <w:p>
            <w:pPr>
              <w:rPr>
                <w:rFonts w:ascii="方正仿宋_GBK" w:hAnsi="仿宋" w:eastAsia="方正仿宋_GBK"/>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pPr>
              <w:jc w:val="center"/>
              <w:rPr>
                <w:rFonts w:ascii="方正仿宋_GBK" w:hAnsi="仿宋" w:eastAsia="方正仿宋_GBK"/>
                <w:color w:val="auto"/>
                <w:sz w:val="21"/>
                <w:szCs w:val="21"/>
              </w:rPr>
            </w:pPr>
          </w:p>
        </w:tc>
        <w:tc>
          <w:tcPr>
            <w:tcW w:w="709" w:type="dxa"/>
            <w:vMerge w:val="continue"/>
            <w:noWrap/>
            <w:vAlign w:val="center"/>
          </w:tcPr>
          <w:p>
            <w:pPr>
              <w:rPr>
                <w:rFonts w:ascii="方正仿宋_GBK" w:hAnsi="仿宋" w:eastAsia="方正仿宋_GBK" w:cs="仿宋_GB2312"/>
                <w:color w:val="auto"/>
                <w:sz w:val="21"/>
                <w:szCs w:val="21"/>
              </w:rPr>
            </w:pPr>
          </w:p>
        </w:tc>
        <w:tc>
          <w:tcPr>
            <w:tcW w:w="2835" w:type="dxa"/>
            <w:noWrap/>
            <w:vAlign w:val="center"/>
          </w:tcPr>
          <w:p>
            <w:pPr>
              <w:rPr>
                <w:rFonts w:ascii="方正仿宋_GBK" w:hAnsi="仿宋" w:eastAsia="方正仿宋_GBK"/>
                <w:color w:val="auto"/>
                <w:sz w:val="21"/>
                <w:szCs w:val="21"/>
              </w:rPr>
            </w:pPr>
            <w:r>
              <w:rPr>
                <w:rFonts w:hint="eastAsia" w:ascii="方正仿宋_GBK" w:hAnsi="仿宋" w:eastAsia="方正仿宋_GBK"/>
                <w:color w:val="auto"/>
                <w:sz w:val="21"/>
                <w:szCs w:val="21"/>
              </w:rPr>
              <w:t>6.法律、行政法规规定的其他条件</w:t>
            </w:r>
          </w:p>
        </w:tc>
        <w:tc>
          <w:tcPr>
            <w:tcW w:w="5267" w:type="dxa"/>
            <w:noWrap/>
            <w:vAlign w:val="center"/>
          </w:tcPr>
          <w:p>
            <w:pPr>
              <w:rPr>
                <w:rFonts w:ascii="方正仿宋_GBK" w:hAnsi="仿宋"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pPr>
              <w:jc w:val="center"/>
              <w:rPr>
                <w:rFonts w:ascii="方正仿宋_GBK" w:hAnsi="仿宋" w:eastAsia="方正仿宋_GBK"/>
                <w:color w:val="auto"/>
                <w:sz w:val="21"/>
                <w:szCs w:val="21"/>
              </w:rPr>
            </w:pPr>
          </w:p>
        </w:tc>
        <w:tc>
          <w:tcPr>
            <w:tcW w:w="709" w:type="dxa"/>
            <w:vMerge w:val="continue"/>
            <w:noWrap/>
            <w:vAlign w:val="center"/>
          </w:tcPr>
          <w:p>
            <w:pPr>
              <w:rPr>
                <w:rFonts w:ascii="方正仿宋_GBK" w:hAnsi="仿宋" w:eastAsia="方正仿宋_GBK" w:cs="仿宋_GB2312"/>
                <w:color w:val="auto"/>
                <w:sz w:val="21"/>
                <w:szCs w:val="21"/>
              </w:rPr>
            </w:pPr>
          </w:p>
        </w:tc>
        <w:tc>
          <w:tcPr>
            <w:tcW w:w="2835" w:type="dxa"/>
            <w:noWrap/>
            <w:vAlign w:val="center"/>
          </w:tcPr>
          <w:p>
            <w:pPr>
              <w:rPr>
                <w:rFonts w:ascii="方正仿宋_GBK" w:hAnsi="仿宋" w:eastAsia="方正仿宋_GBK"/>
                <w:color w:val="auto"/>
                <w:sz w:val="21"/>
                <w:szCs w:val="21"/>
              </w:rPr>
            </w:pPr>
            <w:r>
              <w:rPr>
                <w:rFonts w:hint="eastAsia" w:ascii="方正仿宋_GBK" w:hAnsi="仿宋" w:eastAsia="方正仿宋_GBK"/>
                <w:color w:val="auto"/>
                <w:sz w:val="21"/>
                <w:szCs w:val="21"/>
              </w:rPr>
              <w:t>7.本项目的特定资格要求</w:t>
            </w:r>
          </w:p>
        </w:tc>
        <w:tc>
          <w:tcPr>
            <w:tcW w:w="5267" w:type="dxa"/>
            <w:noWrap/>
            <w:vAlign w:val="center"/>
          </w:tcPr>
          <w:p>
            <w:pPr>
              <w:rPr>
                <w:rFonts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按“第一篇三、供应商资格要求（二）本项目的特定资格要求”的要求提交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bl>
    <w:p>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注：</w:t>
      </w:r>
    </w:p>
    <w:p>
      <w:pPr>
        <w:snapToGrid w:val="0"/>
        <w:spacing w:line="400" w:lineRule="exact"/>
        <w:ind w:firstLine="480" w:firstLineChars="200"/>
        <w:rPr>
          <w:rFonts w:ascii="方正仿宋_GBK" w:hAnsi="宋体" w:eastAsia="方正仿宋_GBK" w:cs="宋体"/>
          <w:color w:val="auto"/>
          <w:kern w:val="0"/>
          <w:sz w:val="24"/>
          <w:szCs w:val="24"/>
        </w:rPr>
      </w:pPr>
      <w:r>
        <w:rPr>
          <w:rFonts w:ascii="方正仿宋_GBK" w:hAnsi="宋体" w:eastAsia="方正仿宋_GBK" w:cs="宋体"/>
          <w:color w:val="auto"/>
          <w:kern w:val="0"/>
          <w:sz w:val="24"/>
          <w:szCs w:val="24"/>
        </w:rPr>
        <w:fldChar w:fldCharType="begin"/>
      </w:r>
      <w:r>
        <w:rPr>
          <w:rFonts w:ascii="方正仿宋_GBK" w:hAnsi="宋体" w:eastAsia="方正仿宋_GBK" w:cs="宋体"/>
          <w:color w:val="auto"/>
          <w:kern w:val="0"/>
          <w:sz w:val="24"/>
          <w:szCs w:val="24"/>
        </w:rPr>
        <w:instrText xml:space="preserve"> </w:instrText>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1</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根据《</w:t>
      </w:r>
      <w:r>
        <w:rPr>
          <w:rFonts w:ascii="方正仿宋_GBK" w:hAnsi="宋体" w:eastAsia="方正仿宋_GBK" w:cs="宋体"/>
          <w:color w:val="auto"/>
          <w:kern w:val="0"/>
          <w:sz w:val="24"/>
          <w:szCs w:val="24"/>
        </w:rPr>
        <w:t>中华人民共和国政府采购法实施条例</w:t>
      </w:r>
      <w:r>
        <w:rPr>
          <w:rFonts w:hint="eastAsia" w:ascii="方正仿宋_GBK" w:hAnsi="宋体" w:eastAsia="方正仿宋_GBK" w:cs="宋体"/>
          <w:color w:val="auto"/>
          <w:kern w:val="0"/>
          <w:sz w:val="24"/>
          <w:szCs w:val="24"/>
        </w:rPr>
        <w:t>》第十九条“参加政府采购活动前三年内，在经营活动中没有重大违法记录”中“重大违法记录”</w:t>
      </w:r>
      <w:r>
        <w:rPr>
          <w:rFonts w:ascii="方正仿宋_GBK" w:hAnsi="宋体" w:eastAsia="方正仿宋_GBK" w:cs="宋体"/>
          <w:color w:val="auto"/>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rPr>
        <w:t>行政处罚中“较大数额”的认定标准，按照“</w:t>
      </w:r>
      <w:r>
        <w:rPr>
          <w:rFonts w:ascii="方正仿宋_GBK" w:hAnsi="宋体" w:eastAsia="方正仿宋_GBK" w:cs="宋体"/>
          <w:color w:val="auto"/>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color w:val="auto"/>
          <w:kern w:val="0"/>
          <w:sz w:val="24"/>
          <w:szCs w:val="24"/>
        </w:rPr>
      </w:pPr>
      <w:r>
        <w:rPr>
          <w:rFonts w:ascii="方正仿宋_GBK" w:hAnsi="宋体" w:eastAsia="方正仿宋_GBK" w:cs="宋体"/>
          <w:color w:val="auto"/>
          <w:kern w:val="0"/>
          <w:sz w:val="24"/>
          <w:szCs w:val="24"/>
        </w:rPr>
        <w:fldChar w:fldCharType="begin"/>
      </w:r>
      <w:r>
        <w:rPr>
          <w:rFonts w:ascii="方正仿宋_GBK" w:hAnsi="宋体" w:eastAsia="方正仿宋_GBK" w:cs="宋体"/>
          <w:color w:val="auto"/>
          <w:kern w:val="0"/>
          <w:sz w:val="24"/>
          <w:szCs w:val="24"/>
        </w:rPr>
        <w:instrText xml:space="preserve"> </w:instrText>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2</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以联合体形式参与比价的，共同联合协议中应确定主办方（主体），</w:t>
      </w:r>
      <w:r>
        <w:rPr>
          <w:rFonts w:hint="eastAsia" w:ascii="方正仿宋_GBK" w:hAnsi="宋体" w:eastAsia="方正仿宋_GBK"/>
          <w:color w:val="auto"/>
          <w:sz w:val="24"/>
        </w:rPr>
        <w:t>代表联合体进行报价和澄清。</w:t>
      </w:r>
      <w:r>
        <w:rPr>
          <w:rFonts w:hint="eastAsia" w:ascii="方正仿宋_GBK" w:hAnsi="宋体" w:eastAsia="方正仿宋_GBK" w:cs="宋体"/>
          <w:color w:val="auto"/>
          <w:kern w:val="0"/>
          <w:sz w:val="24"/>
          <w:szCs w:val="24"/>
        </w:rPr>
        <w:t>联合体各方均应满足供应商资格要求（详见“第一篇”）。</w:t>
      </w:r>
    </w:p>
    <w:p>
      <w:pPr>
        <w:snapToGrid w:val="0"/>
        <w:spacing w:line="400" w:lineRule="exact"/>
        <w:ind w:firstLine="480" w:firstLineChars="200"/>
        <w:rPr>
          <w:rFonts w:ascii="方正仿宋_GBK" w:eastAsia="方正仿宋_GBK"/>
          <w:color w:val="auto"/>
          <w:kern w:val="0"/>
          <w:sz w:val="24"/>
          <w:szCs w:val="24"/>
        </w:rPr>
      </w:pPr>
      <w:r>
        <w:rPr>
          <w:rFonts w:hint="eastAsia" w:ascii="方正仿宋_GBK" w:hAnsi="宋体" w:eastAsia="方正仿宋_GBK"/>
          <w:color w:val="auto"/>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2694" w:type="dxa"/>
            <w:noWrap/>
            <w:vAlign w:val="center"/>
          </w:tcPr>
          <w:p>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审查因素</w:t>
            </w:r>
          </w:p>
        </w:tc>
        <w:tc>
          <w:tcPr>
            <w:tcW w:w="6259" w:type="dxa"/>
            <w:noWrap/>
            <w:vAlign w:val="center"/>
          </w:tcPr>
          <w:p>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ign w:val="center"/>
          </w:tcPr>
          <w:p>
            <w:pPr>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w:t>
            </w:r>
          </w:p>
        </w:tc>
        <w:tc>
          <w:tcPr>
            <w:tcW w:w="2694" w:type="dxa"/>
            <w:noWrap/>
            <w:vAlign w:val="center"/>
          </w:tcPr>
          <w:p>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响应文件签署或盖章</w:t>
            </w:r>
          </w:p>
        </w:tc>
        <w:tc>
          <w:tcPr>
            <w:tcW w:w="6259" w:type="dxa"/>
            <w:noWrap/>
            <w:vAlign w:val="center"/>
          </w:tcPr>
          <w:p>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ign w:val="center"/>
          </w:tcPr>
          <w:p>
            <w:pPr>
              <w:jc w:val="center"/>
              <w:rPr>
                <w:rFonts w:ascii="方正仿宋_GBK" w:hAnsi="宋体" w:eastAsia="方正仿宋_GBK" w:cs="宋体"/>
                <w:color w:val="auto"/>
                <w:kern w:val="0"/>
                <w:sz w:val="21"/>
                <w:szCs w:val="21"/>
              </w:rPr>
            </w:pPr>
          </w:p>
        </w:tc>
        <w:tc>
          <w:tcPr>
            <w:tcW w:w="2694" w:type="dxa"/>
            <w:noWrap/>
            <w:vAlign w:val="center"/>
          </w:tcPr>
          <w:p>
            <w:pPr>
              <w:rPr>
                <w:rFonts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w:t>
            </w:r>
          </w:p>
        </w:tc>
        <w:tc>
          <w:tcPr>
            <w:tcW w:w="6259" w:type="dxa"/>
            <w:noWrap/>
            <w:vAlign w:val="center"/>
          </w:tcPr>
          <w:p>
            <w:pPr>
              <w:rPr>
                <w:rFonts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pPr>
              <w:jc w:val="center"/>
              <w:rPr>
                <w:rFonts w:ascii="方正仿宋_GBK" w:hAnsi="宋体" w:eastAsia="方正仿宋_GBK" w:cs="宋体"/>
                <w:color w:val="auto"/>
                <w:kern w:val="0"/>
                <w:sz w:val="21"/>
                <w:szCs w:val="21"/>
              </w:rPr>
            </w:pPr>
          </w:p>
        </w:tc>
        <w:tc>
          <w:tcPr>
            <w:tcW w:w="2694" w:type="dxa"/>
            <w:noWrap/>
            <w:vAlign w:val="center"/>
          </w:tcPr>
          <w:p>
            <w:pPr>
              <w:rPr>
                <w:rFonts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c>
          <w:tcPr>
            <w:tcW w:w="6259" w:type="dxa"/>
            <w:noWrap/>
            <w:vAlign w:val="center"/>
          </w:tcPr>
          <w:p>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只能有一个</w:t>
            </w: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ign w:val="center"/>
          </w:tcPr>
          <w:p>
            <w:pPr>
              <w:jc w:val="center"/>
              <w:rPr>
                <w:rFonts w:ascii="方正仿宋_GBK" w:hAnsi="宋体" w:eastAsia="方正仿宋_GBK" w:cs="宋体"/>
                <w:color w:val="auto"/>
                <w:kern w:val="0"/>
                <w:sz w:val="21"/>
                <w:szCs w:val="21"/>
              </w:rPr>
            </w:pPr>
          </w:p>
        </w:tc>
        <w:tc>
          <w:tcPr>
            <w:tcW w:w="2694" w:type="dxa"/>
            <w:noWrap/>
            <w:vAlign w:val="center"/>
          </w:tcPr>
          <w:p>
            <w:pPr>
              <w:rPr>
                <w:rFonts w:ascii="方正仿宋_GBK" w:hAnsi="宋体" w:eastAsia="方正仿宋_GBK" w:cs="仿宋_GB2312"/>
                <w:color w:val="auto"/>
                <w:sz w:val="21"/>
                <w:szCs w:val="21"/>
                <w:lang w:val="zh-CN"/>
              </w:rPr>
            </w:pPr>
            <w:r>
              <w:rPr>
                <w:rFonts w:hint="eastAsia" w:ascii="方正仿宋_GBK" w:hAnsi="宋体" w:eastAsia="方正仿宋_GBK"/>
                <w:color w:val="auto"/>
                <w:sz w:val="21"/>
                <w:szCs w:val="21"/>
              </w:rPr>
              <w:t>报价唯一</w:t>
            </w:r>
          </w:p>
        </w:tc>
        <w:tc>
          <w:tcPr>
            <w:tcW w:w="6259" w:type="dxa"/>
            <w:noWrap/>
            <w:vAlign w:val="center"/>
          </w:tcPr>
          <w:p>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ign w:val="center"/>
          </w:tcPr>
          <w:p>
            <w:pPr>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w:t>
            </w:r>
          </w:p>
        </w:tc>
        <w:tc>
          <w:tcPr>
            <w:tcW w:w="2694" w:type="dxa"/>
            <w:noWrap/>
            <w:vAlign w:val="center"/>
          </w:tcPr>
          <w:p>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份数</w:t>
            </w:r>
          </w:p>
        </w:tc>
        <w:tc>
          <w:tcPr>
            <w:tcW w:w="6259" w:type="dxa"/>
            <w:noWrap/>
            <w:vAlign w:val="center"/>
          </w:tcPr>
          <w:p>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ign w:val="center"/>
          </w:tcPr>
          <w:p>
            <w:pPr>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w:t>
            </w:r>
          </w:p>
        </w:tc>
        <w:tc>
          <w:tcPr>
            <w:tcW w:w="2694" w:type="dxa"/>
            <w:noWrap/>
            <w:vAlign w:val="center"/>
          </w:tcPr>
          <w:p>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响应文件内容</w:t>
            </w:r>
          </w:p>
        </w:tc>
        <w:tc>
          <w:tcPr>
            <w:tcW w:w="6259" w:type="dxa"/>
            <w:noWrap/>
            <w:vAlign w:val="center"/>
          </w:tcPr>
          <w:p>
            <w:pPr>
              <w:pStyle w:val="32"/>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对</w:t>
            </w:r>
            <w:r>
              <w:rPr>
                <w:rFonts w:hint="eastAsia" w:ascii="方正仿宋_GBK" w:hAnsi="宋体" w:eastAsia="方正仿宋_GBK" w:cs="仿宋_GB2312"/>
                <w:color w:val="auto"/>
                <w:sz w:val="21"/>
                <w:szCs w:val="21"/>
                <w:lang w:val="zh-CN"/>
              </w:rPr>
              <w:t>采购文件</w:t>
            </w:r>
            <w:r>
              <w:rPr>
                <w:rFonts w:hint="eastAsia" w:ascii="方正仿宋_GBK" w:hAnsi="宋体" w:eastAsia="方正仿宋_GBK" w:cs="宋体"/>
                <w:color w:val="auto"/>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ign w:val="center"/>
          </w:tcPr>
          <w:p>
            <w:pPr>
              <w:jc w:val="center"/>
              <w:rPr>
                <w:rFonts w:ascii="方正仿宋_GBK" w:hAnsi="宋体" w:eastAsia="方正仿宋_GBK" w:cs="宋体"/>
                <w:color w:val="auto"/>
                <w:kern w:val="0"/>
                <w:sz w:val="21"/>
                <w:szCs w:val="21"/>
              </w:rPr>
            </w:pPr>
          </w:p>
        </w:tc>
        <w:tc>
          <w:tcPr>
            <w:tcW w:w="2694" w:type="dxa"/>
            <w:noWrap/>
            <w:vAlign w:val="center"/>
          </w:tcPr>
          <w:p>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比价有效期</w:t>
            </w:r>
          </w:p>
        </w:tc>
        <w:tc>
          <w:tcPr>
            <w:tcW w:w="6259" w:type="dxa"/>
            <w:noWrap/>
            <w:vAlign w:val="center"/>
          </w:tcPr>
          <w:p>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响应文件及有关承诺文件有效期为提交响应文件截止时间起90天。</w:t>
            </w:r>
          </w:p>
        </w:tc>
      </w:tr>
    </w:tbl>
    <w:p>
      <w:pPr>
        <w:pStyle w:val="33"/>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（四）评审的依据为采购文件和响应文件（含有效的补充文件）。评审小组判断响应文件对采购文件的响应，仅基于响应文件本身而不靠外部证据。</w:t>
      </w:r>
    </w:p>
    <w:p>
      <w:pPr>
        <w:pStyle w:val="3"/>
        <w:adjustRightInd w:val="0"/>
        <w:snapToGrid w:val="0"/>
        <w:spacing w:line="400" w:lineRule="exact"/>
        <w:ind w:firstLine="480" w:firstLineChars="200"/>
        <w:rPr>
          <w:rFonts w:ascii="方正仿宋_GBK" w:hAnsi="宋体" w:eastAsia="方正仿宋_GBK"/>
          <w:color w:val="auto"/>
          <w:sz w:val="24"/>
        </w:rPr>
      </w:pPr>
      <w:bookmarkStart w:id="120" w:name="_Toc11713"/>
      <w:bookmarkStart w:id="121" w:name="_Toc106034791"/>
      <w:bookmarkStart w:id="122" w:name="_Toc5149"/>
      <w:bookmarkStart w:id="123" w:name="_Toc30639"/>
      <w:bookmarkStart w:id="124" w:name="_Toc64732013"/>
      <w:bookmarkStart w:id="125" w:name="_Toc65660351"/>
      <w:r>
        <w:rPr>
          <w:rFonts w:hint="eastAsia" w:ascii="方正仿宋_GBK" w:hAnsi="宋体" w:eastAsia="方正仿宋_GBK"/>
          <w:color w:val="auto"/>
          <w:sz w:val="24"/>
        </w:rPr>
        <w:t>二、评定成交的标准</w:t>
      </w:r>
      <w:bookmarkEnd w:id="120"/>
      <w:bookmarkEnd w:id="121"/>
      <w:bookmarkEnd w:id="122"/>
      <w:bookmarkEnd w:id="123"/>
      <w:bookmarkEnd w:id="124"/>
      <w:bookmarkEnd w:id="125"/>
    </w:p>
    <w:p>
      <w:pPr>
        <w:pStyle w:val="33"/>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33"/>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（三）成交价格=成交供应商的报价。</w:t>
      </w:r>
    </w:p>
    <w:p>
      <w:pPr>
        <w:pStyle w:val="3"/>
        <w:adjustRightInd w:val="0"/>
        <w:snapToGrid w:val="0"/>
        <w:spacing w:line="400" w:lineRule="exact"/>
        <w:ind w:firstLine="480" w:firstLineChars="200"/>
        <w:rPr>
          <w:rFonts w:ascii="方正仿宋_GBK" w:hAnsi="宋体" w:eastAsia="方正仿宋_GBK"/>
          <w:color w:val="auto"/>
          <w:sz w:val="24"/>
        </w:rPr>
      </w:pPr>
      <w:bookmarkStart w:id="126" w:name="_Toc12644"/>
      <w:bookmarkStart w:id="127" w:name="_Toc65660352"/>
      <w:bookmarkStart w:id="128" w:name="_Toc29113"/>
      <w:bookmarkStart w:id="129" w:name="_Toc106034792"/>
      <w:bookmarkStart w:id="130" w:name="_Toc19473"/>
      <w:r>
        <w:rPr>
          <w:rFonts w:hint="eastAsia" w:ascii="方正仿宋_GBK" w:hAnsi="宋体" w:eastAsia="方正仿宋_GBK"/>
          <w:color w:val="auto"/>
          <w:sz w:val="24"/>
        </w:rPr>
        <w:t>三、无效</w:t>
      </w:r>
      <w:bookmarkEnd w:id="126"/>
      <w:bookmarkEnd w:id="127"/>
      <w:bookmarkEnd w:id="128"/>
      <w:r>
        <w:rPr>
          <w:rFonts w:hint="eastAsia" w:ascii="方正仿宋_GBK" w:hAnsi="宋体" w:eastAsia="方正仿宋_GBK"/>
          <w:color w:val="auto"/>
          <w:sz w:val="24"/>
        </w:rPr>
        <w:t>报价</w:t>
      </w:r>
      <w:bookmarkEnd w:id="129"/>
      <w:bookmarkEnd w:id="130"/>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供应商发生以下条款情况之一者，视为无效报价：</w:t>
      </w:r>
    </w:p>
    <w:p>
      <w:pPr>
        <w:pStyle w:val="33"/>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（一）供应商不符合规定的资格条件的；</w:t>
      </w:r>
    </w:p>
    <w:p>
      <w:pPr>
        <w:pStyle w:val="33"/>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（二）供应商未通过实质性响应审查的；</w:t>
      </w:r>
    </w:p>
    <w:p>
      <w:pPr>
        <w:pStyle w:val="33"/>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（三）供应商的法定代表人（或其授权代表）或自然人未参加谈判的；</w:t>
      </w:r>
    </w:p>
    <w:p>
      <w:pPr>
        <w:pStyle w:val="33"/>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（四）供应商所提交的响应文件未按“第七篇响应文件格式要求”要求签署或盖章的；</w:t>
      </w:r>
    </w:p>
    <w:p>
      <w:pPr>
        <w:pStyle w:val="33"/>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（五）供应商的报价超过采购预算或最高限价的；</w:t>
      </w:r>
    </w:p>
    <w:p>
      <w:pPr>
        <w:pStyle w:val="33"/>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（六）供应商不接受评审小组修正后的价格的；</w:t>
      </w:r>
    </w:p>
    <w:p>
      <w:pPr>
        <w:pStyle w:val="33"/>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（七）单位负责人为同一人或者存在直接控股、管理关系的不同供应商，</w:t>
      </w:r>
      <w:r>
        <w:rPr>
          <w:rFonts w:ascii="方正仿宋_GBK" w:hAnsi="宋体" w:eastAsia="方正仿宋_GBK"/>
          <w:color w:val="auto"/>
          <w:sz w:val="24"/>
          <w:szCs w:val="24"/>
        </w:rPr>
        <w:t>参加同一合同项</w:t>
      </w:r>
      <w:r>
        <w:rPr>
          <w:rFonts w:hint="eastAsia" w:ascii="方正仿宋_GBK" w:hAnsi="宋体" w:eastAsia="方正仿宋_GBK"/>
          <w:color w:val="auto"/>
          <w:sz w:val="24"/>
          <w:szCs w:val="24"/>
        </w:rPr>
        <w:t>（包）报价的；</w:t>
      </w:r>
    </w:p>
    <w:p>
      <w:pPr>
        <w:pStyle w:val="33"/>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（八）为采购项目提供整体设计、规范编制或者项目管理、监理、检测等服务的供应商再参加该采购项目的其他采购活动的；</w:t>
      </w:r>
    </w:p>
    <w:p>
      <w:pPr>
        <w:pStyle w:val="33"/>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（九）同一</w:t>
      </w:r>
      <w:r>
        <w:rPr>
          <w:rFonts w:ascii="方正仿宋_GBK" w:hAnsi="宋体" w:eastAsia="方正仿宋_GBK"/>
          <w:color w:val="auto"/>
          <w:sz w:val="24"/>
          <w:szCs w:val="24"/>
        </w:rPr>
        <w:t>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w:t>
      </w:r>
      <w:r>
        <w:rPr>
          <w:rFonts w:hint="eastAsia" w:ascii="方正仿宋_GBK" w:hAnsi="宋体" w:eastAsia="方正仿宋_GBK"/>
          <w:color w:val="auto"/>
          <w:sz w:val="24"/>
          <w:szCs w:val="24"/>
        </w:rPr>
        <w:t>的货物，制造商参与报价，再委托代理商参与报价的；</w:t>
      </w:r>
    </w:p>
    <w:p>
      <w:pPr>
        <w:pStyle w:val="33"/>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（十）供应商响应文件内容有与国家现行法律法规相违背的内容，或附有采购人无法接受条件的；</w:t>
      </w:r>
    </w:p>
    <w:p>
      <w:pPr>
        <w:pStyle w:val="33"/>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（十一）法律、法规和采购文件规定的其他无效情形。</w:t>
      </w:r>
    </w:p>
    <w:p>
      <w:pPr>
        <w:pStyle w:val="3"/>
        <w:adjustRightInd w:val="0"/>
        <w:snapToGrid w:val="0"/>
        <w:spacing w:line="400" w:lineRule="exact"/>
        <w:ind w:firstLine="480" w:firstLineChars="200"/>
        <w:rPr>
          <w:rFonts w:ascii="方正仿宋_GBK" w:hAnsi="宋体" w:eastAsia="方正仿宋_GBK"/>
          <w:color w:val="auto"/>
          <w:sz w:val="24"/>
        </w:rPr>
      </w:pPr>
      <w:bookmarkStart w:id="131" w:name="_Toc106034793"/>
      <w:bookmarkStart w:id="132" w:name="_Toc28422"/>
      <w:bookmarkStart w:id="133" w:name="_Toc65660353"/>
      <w:bookmarkStart w:id="134" w:name="_Toc29298"/>
      <w:bookmarkStart w:id="135" w:name="_Toc22716"/>
      <w:r>
        <w:rPr>
          <w:rFonts w:hint="eastAsia" w:ascii="方正仿宋_GBK" w:hAnsi="宋体" w:eastAsia="方正仿宋_GBK"/>
          <w:color w:val="auto"/>
          <w:sz w:val="24"/>
        </w:rPr>
        <w:t>四、采购终止</w:t>
      </w:r>
      <w:bookmarkEnd w:id="131"/>
      <w:bookmarkEnd w:id="132"/>
      <w:bookmarkEnd w:id="133"/>
      <w:bookmarkEnd w:id="134"/>
      <w:bookmarkEnd w:id="135"/>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（二）出现影响采购公正的违法、违规行为的；</w:t>
      </w:r>
    </w:p>
    <w:p>
      <w:pPr>
        <w:spacing w:line="520" w:lineRule="exact"/>
        <w:ind w:firstLine="480" w:firstLineChars="200"/>
        <w:rPr>
          <w:rFonts w:ascii="方正仿宋_GBK" w:hAnsi="宋体" w:eastAsia="方正仿宋_GBK"/>
          <w:color w:val="auto"/>
          <w:szCs w:val="28"/>
        </w:rPr>
      </w:pPr>
      <w:r>
        <w:rPr>
          <w:rFonts w:hint="eastAsia" w:ascii="方正仿宋_GBK" w:hAnsi="宋体" w:eastAsia="方正仿宋_GBK"/>
          <w:color w:val="auto"/>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3"/>
        <w:spacing w:line="360" w:lineRule="auto"/>
        <w:jc w:val="center"/>
        <w:rPr>
          <w:rFonts w:ascii="方正小标宋_GBK" w:eastAsia="方正小标宋_GBK"/>
          <w:b w:val="0"/>
          <w:color w:val="auto"/>
          <w:sz w:val="36"/>
          <w:szCs w:val="30"/>
        </w:rPr>
      </w:pPr>
      <w:r>
        <w:rPr>
          <w:rFonts w:ascii="方正仿宋_GBK" w:hAnsi="宋体" w:eastAsia="方正仿宋_GBK"/>
          <w:color w:val="auto"/>
          <w:sz w:val="24"/>
          <w:szCs w:val="24"/>
        </w:rPr>
        <w:br w:type="page"/>
      </w:r>
      <w:bookmarkStart w:id="136" w:name="_Toc20055"/>
      <w:bookmarkStart w:id="137" w:name="_Toc106034794"/>
      <w:bookmarkStart w:id="138" w:name="_Toc65660354"/>
      <w:bookmarkStart w:id="139" w:name="_Toc10768"/>
      <w:bookmarkStart w:id="140" w:name="_Toc8916"/>
      <w:r>
        <w:rPr>
          <w:rFonts w:hint="eastAsia" w:ascii="方正小标宋_GBK" w:eastAsia="方正小标宋_GBK"/>
          <w:b w:val="0"/>
          <w:color w:val="auto"/>
          <w:sz w:val="36"/>
          <w:szCs w:val="30"/>
        </w:rPr>
        <w:t>第五篇  供应商须知</w:t>
      </w:r>
      <w:bookmarkEnd w:id="136"/>
      <w:bookmarkEnd w:id="137"/>
      <w:bookmarkEnd w:id="138"/>
      <w:bookmarkEnd w:id="139"/>
      <w:bookmarkEnd w:id="140"/>
    </w:p>
    <w:p>
      <w:pPr>
        <w:pStyle w:val="3"/>
        <w:adjustRightInd w:val="0"/>
        <w:snapToGrid w:val="0"/>
        <w:spacing w:line="400" w:lineRule="exact"/>
        <w:ind w:firstLine="480" w:firstLineChars="200"/>
        <w:rPr>
          <w:rFonts w:ascii="方正仿宋_GBK" w:hAnsi="宋体" w:eastAsia="方正仿宋_GBK"/>
          <w:color w:val="auto"/>
          <w:sz w:val="24"/>
        </w:rPr>
      </w:pPr>
      <w:bookmarkStart w:id="141" w:name="_Toc65660355"/>
      <w:bookmarkStart w:id="142" w:name="_Toc16524"/>
      <w:bookmarkStart w:id="143" w:name="_Toc5290"/>
      <w:bookmarkStart w:id="144" w:name="_Toc2864"/>
      <w:bookmarkStart w:id="145" w:name="_Toc106034795"/>
      <w:r>
        <w:rPr>
          <w:rFonts w:hint="eastAsia" w:ascii="方正仿宋_GBK" w:hAnsi="宋体" w:eastAsia="方正仿宋_GBK"/>
          <w:color w:val="auto"/>
          <w:sz w:val="24"/>
        </w:rPr>
        <w:t>一、限额以下比价费用</w:t>
      </w:r>
      <w:bookmarkEnd w:id="141"/>
      <w:bookmarkEnd w:id="142"/>
      <w:bookmarkEnd w:id="143"/>
      <w:bookmarkEnd w:id="144"/>
      <w:bookmarkEnd w:id="145"/>
    </w:p>
    <w:p>
      <w:pPr>
        <w:pStyle w:val="142"/>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参与报价的供应商应承担其编制响应文件与递交响应文件所涉及的一切费用，不论比价结果如何，采购人和采购代理机构在任何情况下无义务也无责任承担这些费用。</w:t>
      </w:r>
    </w:p>
    <w:p>
      <w:pPr>
        <w:pStyle w:val="3"/>
        <w:adjustRightInd w:val="0"/>
        <w:snapToGrid w:val="0"/>
        <w:spacing w:line="400" w:lineRule="exact"/>
        <w:ind w:firstLine="480" w:firstLineChars="200"/>
        <w:rPr>
          <w:rFonts w:ascii="方正仿宋_GBK" w:hAnsi="宋体" w:eastAsia="方正仿宋_GBK"/>
          <w:color w:val="auto"/>
          <w:sz w:val="24"/>
        </w:rPr>
      </w:pPr>
      <w:bookmarkStart w:id="146" w:name="_Toc65660356"/>
      <w:bookmarkStart w:id="147" w:name="_Toc31070"/>
      <w:bookmarkStart w:id="148" w:name="_Toc31739"/>
      <w:bookmarkStart w:id="149" w:name="_Toc106034796"/>
      <w:bookmarkStart w:id="150" w:name="_Toc5915"/>
      <w:r>
        <w:rPr>
          <w:rFonts w:hint="eastAsia" w:ascii="方正仿宋_GBK" w:hAnsi="宋体" w:eastAsia="方正仿宋_GBK"/>
          <w:color w:val="auto"/>
          <w:sz w:val="24"/>
        </w:rPr>
        <w:t>二、限额以下比价</w:t>
      </w:r>
      <w:bookmarkEnd w:id="146"/>
      <w:bookmarkEnd w:id="147"/>
      <w:bookmarkEnd w:id="148"/>
      <w:bookmarkEnd w:id="149"/>
      <w:bookmarkEnd w:id="150"/>
      <w:r>
        <w:rPr>
          <w:rFonts w:hint="eastAsia" w:ascii="方正仿宋_GBK" w:hAnsi="宋体" w:eastAsia="方正仿宋_GBK"/>
          <w:color w:val="auto"/>
          <w:sz w:val="24"/>
        </w:rPr>
        <w:t>采购文件</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（二）采购人（或采购代理机构）所作的一切有效的书面通知、修改及补充，都是采购文件不可分割的部分。</w:t>
      </w:r>
    </w:p>
    <w:p>
      <w:pPr>
        <w:pStyle w:val="3"/>
        <w:adjustRightInd w:val="0"/>
        <w:snapToGrid w:val="0"/>
        <w:spacing w:line="400" w:lineRule="exact"/>
        <w:ind w:firstLine="480" w:firstLineChars="200"/>
        <w:rPr>
          <w:rFonts w:ascii="方正仿宋_GBK" w:hAnsi="宋体" w:eastAsia="方正仿宋_GBK"/>
          <w:color w:val="auto"/>
          <w:sz w:val="24"/>
        </w:rPr>
      </w:pPr>
      <w:bookmarkStart w:id="151" w:name="_Toc9532"/>
      <w:bookmarkStart w:id="152" w:name="_Toc1922"/>
      <w:bookmarkStart w:id="153" w:name="_Toc106034797"/>
      <w:bookmarkStart w:id="154" w:name="_Toc65660357"/>
      <w:bookmarkStart w:id="155" w:name="_Toc3061"/>
      <w:r>
        <w:rPr>
          <w:rFonts w:hint="eastAsia" w:ascii="方正仿宋_GBK" w:hAnsi="宋体" w:eastAsia="方正仿宋_GBK"/>
          <w:color w:val="auto"/>
          <w:sz w:val="24"/>
        </w:rPr>
        <w:t>三、报价要求</w:t>
      </w:r>
      <w:bookmarkEnd w:id="151"/>
      <w:bookmarkEnd w:id="152"/>
      <w:bookmarkEnd w:id="153"/>
      <w:bookmarkEnd w:id="154"/>
      <w:bookmarkEnd w:id="155"/>
    </w:p>
    <w:p>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（一）响应文件</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1.响应文件组成</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2.联合体</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2.1两个以上供应商可以组成一个联合体，以一个供应商的身份参与报价。</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2.2以联合体形式参加报价的，联合体各方均应</w:t>
      </w:r>
      <w:r>
        <w:rPr>
          <w:rFonts w:hint="eastAsia" w:ascii="方正仿宋_GBK" w:hAnsi="宋体" w:eastAsia="方正仿宋_GBK" w:cs="宋体"/>
          <w:color w:val="auto"/>
          <w:kern w:val="0"/>
          <w:sz w:val="24"/>
          <w:szCs w:val="24"/>
        </w:rPr>
        <w:t>满足供应商资格要求（详见“第一篇”）</w:t>
      </w:r>
      <w:r>
        <w:rPr>
          <w:rFonts w:hint="eastAsia" w:ascii="方正仿宋_GBK" w:hAnsi="宋体" w:eastAsia="方正仿宋_GBK"/>
          <w:color w:val="auto"/>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2.5联合体业绩计算，按照共同联合协议分工认定。</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（二）修正错误</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（三）提交响应文件的份数和签署</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3.若供应商对响应文件的错处作必要修改，则应在修改处加盖供应商公章或由法定代表人（或其授权代表）或自然人</w:t>
      </w:r>
      <w:r>
        <w:rPr>
          <w:rFonts w:hint="eastAsia" w:ascii="方正仿宋_GBK" w:hAnsi="宋体" w:eastAsia="方正仿宋_GBK"/>
          <w:color w:val="auto"/>
          <w:sz w:val="24"/>
          <w:szCs w:val="24"/>
        </w:rPr>
        <w:t>（供应商为自然人）签署</w:t>
      </w:r>
      <w:r>
        <w:rPr>
          <w:rFonts w:hint="eastAsia" w:ascii="方正仿宋_GBK" w:hAnsi="宋体" w:eastAsia="方正仿宋_GBK"/>
          <w:color w:val="auto"/>
          <w:sz w:val="24"/>
        </w:rPr>
        <w:t>确认。</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4.电报、电话、传真形式的响应文件概不接受。</w:t>
      </w:r>
    </w:p>
    <w:p>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（四）响应文件的递交</w:t>
      </w:r>
    </w:p>
    <w:p>
      <w:pPr>
        <w:pStyle w:val="3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响应文件的正本、副本均应密封送达报价地点，应在封套上注明采购项目名称、供应商名称。若正本、副本分别进行密封的，还应在封套上注明“正本”、“副本”字样。</w:t>
      </w:r>
    </w:p>
    <w:p>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（五）响应文件语言：简体中文</w:t>
      </w:r>
    </w:p>
    <w:p>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（六）供应商参与人员</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各供应商应当派1-2名代表参与报价，至少1人应为法定代表人（或其授权代表）或自然人（供应商为自然人）。</w:t>
      </w:r>
    </w:p>
    <w:p>
      <w:pPr>
        <w:pStyle w:val="3"/>
        <w:adjustRightInd w:val="0"/>
        <w:snapToGrid w:val="0"/>
        <w:spacing w:line="400" w:lineRule="exact"/>
        <w:ind w:firstLine="480" w:firstLineChars="200"/>
        <w:rPr>
          <w:rFonts w:ascii="方正仿宋_GBK" w:hAnsi="宋体" w:eastAsia="方正仿宋_GBK"/>
          <w:color w:val="auto"/>
          <w:sz w:val="24"/>
        </w:rPr>
      </w:pPr>
      <w:bookmarkStart w:id="156" w:name="_Toc14702"/>
      <w:bookmarkStart w:id="157" w:name="_Toc10172"/>
      <w:bookmarkStart w:id="158" w:name="_Toc6242"/>
      <w:bookmarkStart w:id="159" w:name="_Toc65660358"/>
      <w:bookmarkStart w:id="160" w:name="_Toc106034798"/>
      <w:r>
        <w:rPr>
          <w:rFonts w:hint="eastAsia" w:ascii="方正仿宋_GBK" w:hAnsi="宋体" w:eastAsia="方正仿宋_GBK"/>
          <w:color w:val="auto"/>
          <w:sz w:val="24"/>
        </w:rPr>
        <w:t>四、成交供应商的确定和变更</w:t>
      </w:r>
      <w:bookmarkEnd w:id="156"/>
      <w:bookmarkEnd w:id="157"/>
      <w:bookmarkEnd w:id="158"/>
      <w:bookmarkEnd w:id="159"/>
      <w:bookmarkEnd w:id="160"/>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（二）成交供应商的变更</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3"/>
        <w:adjustRightInd w:val="0"/>
        <w:snapToGrid w:val="0"/>
        <w:spacing w:line="400" w:lineRule="exact"/>
        <w:ind w:firstLine="480" w:firstLineChars="200"/>
        <w:rPr>
          <w:rFonts w:ascii="方正仿宋_GBK" w:hAnsi="宋体" w:eastAsia="方正仿宋_GBK"/>
          <w:color w:val="auto"/>
          <w:sz w:val="24"/>
        </w:rPr>
      </w:pPr>
      <w:bookmarkStart w:id="161" w:name="_Toc65660359"/>
      <w:bookmarkStart w:id="162" w:name="_Toc29821"/>
      <w:bookmarkStart w:id="163" w:name="_Toc1092"/>
      <w:bookmarkStart w:id="164" w:name="_Toc106034799"/>
      <w:bookmarkStart w:id="165" w:name="_Toc10504"/>
      <w:r>
        <w:rPr>
          <w:rFonts w:hint="eastAsia" w:ascii="方正仿宋_GBK" w:hAnsi="宋体" w:eastAsia="方正仿宋_GBK"/>
          <w:color w:val="auto"/>
          <w:sz w:val="24"/>
        </w:rPr>
        <w:t>五、成交通知</w:t>
      </w:r>
      <w:bookmarkEnd w:id="161"/>
      <w:bookmarkEnd w:id="162"/>
      <w:bookmarkEnd w:id="163"/>
      <w:bookmarkEnd w:id="164"/>
      <w:bookmarkEnd w:id="165"/>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（一）成交供应商确定后，采购代理机构将在重庆市交通局官网上发布成交结果公告。</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（二）成交结果公告将作为签订合同的依据。</w:t>
      </w:r>
    </w:p>
    <w:p>
      <w:pPr>
        <w:pStyle w:val="3"/>
        <w:adjustRightInd w:val="0"/>
        <w:snapToGrid w:val="0"/>
        <w:spacing w:line="400" w:lineRule="exact"/>
        <w:ind w:firstLine="480" w:firstLineChars="200"/>
        <w:rPr>
          <w:rFonts w:ascii="方正仿宋_GBK" w:hAnsi="宋体" w:eastAsia="方正仿宋_GBK"/>
          <w:color w:val="auto"/>
          <w:sz w:val="24"/>
        </w:rPr>
      </w:pPr>
      <w:bookmarkStart w:id="166" w:name="_Toc31082"/>
      <w:bookmarkStart w:id="167" w:name="_Toc106034800"/>
      <w:bookmarkStart w:id="168" w:name="_Toc1010"/>
      <w:bookmarkStart w:id="169" w:name="_Toc65660360"/>
      <w:bookmarkStart w:id="170" w:name="_Toc30909"/>
      <w:r>
        <w:rPr>
          <w:rFonts w:hint="eastAsia" w:ascii="方正仿宋_GBK" w:hAnsi="宋体" w:eastAsia="方正仿宋_GBK"/>
          <w:color w:val="auto"/>
          <w:sz w:val="24"/>
        </w:rPr>
        <w:t>六、关于质疑和投诉</w:t>
      </w:r>
      <w:bookmarkEnd w:id="166"/>
      <w:bookmarkEnd w:id="167"/>
      <w:bookmarkEnd w:id="168"/>
      <w:bookmarkEnd w:id="169"/>
      <w:bookmarkEnd w:id="170"/>
    </w:p>
    <w:p>
      <w:pPr>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（一）质疑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 xml:space="preserve">提出质疑的应当是参与所质疑项目采购活动的供应商。 </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1.质疑时限、内容</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1.2.1供应商的姓名或者名称、地址、邮编、联系人及联系电话；</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1.2.2</w:t>
      </w:r>
      <w:r>
        <w:rPr>
          <w:rFonts w:hint="eastAsia" w:ascii="方正仿宋_GBK" w:hAnsi="宋体" w:eastAsia="方正仿宋_GBK"/>
          <w:color w:val="auto"/>
          <w:sz w:val="24"/>
          <w:szCs w:val="24"/>
        </w:rPr>
        <w:t>质疑项目的项目名称</w:t>
      </w:r>
      <w:r>
        <w:rPr>
          <w:rFonts w:hint="eastAsia" w:ascii="方正仿宋_GBK" w:hAnsi="仿宋" w:eastAsia="方正仿宋_GBK" w:cs="仿宋"/>
          <w:color w:val="auto"/>
          <w:sz w:val="24"/>
        </w:rPr>
        <w:t>；</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1.2.3具体、明确的质疑事项和与质疑事项相关的请求；</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1.2.4事实依据；</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1.2.5必要的法律依据；</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1.2.6提出质疑的日期；</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2.质疑答复</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3.其他</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3.2质疑函范本可在财政部门户网站和中国政府采购网下载。</w:t>
      </w:r>
    </w:p>
    <w:p>
      <w:pPr>
        <w:pStyle w:val="3"/>
        <w:adjustRightInd w:val="0"/>
        <w:snapToGrid w:val="0"/>
        <w:spacing w:line="400" w:lineRule="exact"/>
        <w:ind w:firstLine="480" w:firstLineChars="200"/>
        <w:rPr>
          <w:rFonts w:ascii="方正仿宋_GBK" w:hAnsi="宋体" w:eastAsia="方正仿宋_GBK"/>
          <w:color w:val="auto"/>
          <w:sz w:val="24"/>
        </w:rPr>
      </w:pPr>
      <w:bookmarkStart w:id="171" w:name="_Toc106034801"/>
      <w:bookmarkStart w:id="172" w:name="_Toc16648"/>
      <w:bookmarkStart w:id="173" w:name="_Toc23778"/>
      <w:bookmarkStart w:id="174" w:name="_Toc3127"/>
      <w:bookmarkStart w:id="175" w:name="_Toc65660361"/>
      <w:r>
        <w:rPr>
          <w:rFonts w:hint="eastAsia" w:ascii="方正仿宋_GBK" w:hAnsi="宋体" w:eastAsia="方正仿宋_GBK"/>
          <w:color w:val="auto"/>
          <w:sz w:val="24"/>
        </w:rPr>
        <w:t>七、签订合同</w:t>
      </w:r>
      <w:bookmarkEnd w:id="171"/>
      <w:bookmarkEnd w:id="172"/>
      <w:bookmarkEnd w:id="173"/>
      <w:bookmarkEnd w:id="174"/>
      <w:bookmarkEnd w:id="175"/>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方正仿宋_GBK" w:eastAsia="方正仿宋_GBK"/>
          <w:color w:val="auto"/>
          <w:sz w:val="24"/>
        </w:rPr>
        <w:t>采购人原则上应在成交结果公告发出之日起二十日内和成交供应商签订政府采购合同，无正当理由不得拒绝或拖延合同签订</w:t>
      </w:r>
      <w:r>
        <w:rPr>
          <w:rFonts w:hint="eastAsia" w:ascii="方正仿宋_GBK" w:hAnsi="宋体" w:eastAsia="方正仿宋_GBK"/>
          <w:color w:val="auto"/>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（三）合同生效条款由供需双方约定，法律、行政法规规定应当办理批准、登记等手续后生效的合同，依照其规定。</w:t>
      </w:r>
    </w:p>
    <w:p>
      <w:pPr>
        <w:pStyle w:val="3"/>
        <w:adjustRightInd w:val="0"/>
        <w:snapToGrid w:val="0"/>
        <w:spacing w:line="400" w:lineRule="exact"/>
        <w:ind w:firstLine="480" w:firstLineChars="200"/>
        <w:rPr>
          <w:rFonts w:ascii="方正仿宋_GBK" w:hAnsi="宋体" w:eastAsia="方正仿宋_GBK"/>
          <w:color w:val="auto"/>
          <w:sz w:val="24"/>
        </w:rPr>
      </w:pPr>
      <w:bookmarkStart w:id="176" w:name="_Toc77"/>
      <w:bookmarkStart w:id="177" w:name="_Toc106034802"/>
      <w:r>
        <w:rPr>
          <w:rFonts w:hint="eastAsia" w:ascii="方正仿宋_GBK" w:hAnsi="宋体" w:eastAsia="方正仿宋_GBK"/>
          <w:color w:val="auto"/>
          <w:sz w:val="24"/>
        </w:rPr>
        <w:t>八、项目验收</w:t>
      </w:r>
      <w:bookmarkEnd w:id="176"/>
      <w:bookmarkEnd w:id="177"/>
    </w:p>
    <w:p>
      <w:pPr>
        <w:spacing w:line="400" w:lineRule="exact"/>
        <w:ind w:firstLine="360" w:firstLineChars="150"/>
        <w:rPr>
          <w:rFonts w:ascii="方正仿宋_GBK" w:hAnsi="宋体" w:eastAsia="方正仿宋_GBK"/>
          <w:color w:val="auto"/>
          <w:sz w:val="24"/>
          <w:szCs w:val="24"/>
        </w:rPr>
      </w:pPr>
      <w:r>
        <w:rPr>
          <w:rFonts w:hint="eastAsia" w:ascii="方正仿宋_GBK" w:hAnsi="方正仿宋_GBK" w:eastAsia="方正仿宋_GBK"/>
          <w:color w:val="auto"/>
          <w:sz w:val="24"/>
        </w:rPr>
        <w:t>合同执行完毕，采购人原则上在收到验收申请后，应在7个工作日内组织履约情况验收，不得无故拖延或附加额外条件。</w:t>
      </w:r>
    </w:p>
    <w:p>
      <w:pPr>
        <w:pStyle w:val="3"/>
        <w:adjustRightInd w:val="0"/>
        <w:snapToGrid w:val="0"/>
        <w:spacing w:line="400" w:lineRule="exact"/>
        <w:ind w:firstLine="480" w:firstLineChars="200"/>
        <w:rPr>
          <w:rFonts w:ascii="方正仿宋_GBK" w:hAnsi="宋体" w:eastAsia="方正仿宋_GBK"/>
          <w:color w:val="auto"/>
          <w:sz w:val="24"/>
        </w:rPr>
      </w:pPr>
      <w:bookmarkStart w:id="178" w:name="_Toc2438"/>
      <w:bookmarkStart w:id="179" w:name="_Toc65660362"/>
      <w:bookmarkStart w:id="180" w:name="_Toc106034803"/>
      <w:bookmarkStart w:id="181" w:name="_Toc32594"/>
      <w:bookmarkStart w:id="182" w:name="_Toc29513"/>
      <w:r>
        <w:rPr>
          <w:rFonts w:hint="eastAsia" w:ascii="方正仿宋_GBK" w:hAnsi="宋体" w:eastAsia="方正仿宋_GBK"/>
          <w:color w:val="auto"/>
          <w:sz w:val="24"/>
        </w:rPr>
        <w:t>九、采购代理服务费</w:t>
      </w:r>
      <w:bookmarkEnd w:id="178"/>
      <w:bookmarkEnd w:id="179"/>
      <w:bookmarkEnd w:id="180"/>
      <w:bookmarkEnd w:id="181"/>
      <w:bookmarkEnd w:id="182"/>
    </w:p>
    <w:p>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供应商成交后向采购代理机构缴纳采购代理服务费，服务费的收取标准为按照计价格[2002]1980号文件规定下浮36%计取，但不低于2700元。</w:t>
      </w:r>
    </w:p>
    <w:p>
      <w:pPr>
        <w:spacing w:line="360" w:lineRule="auto"/>
        <w:ind w:firstLine="480" w:firstLineChars="200"/>
        <w:rPr>
          <w:rFonts w:ascii="宋体" w:hAnsi="宋体"/>
          <w:color w:val="auto"/>
          <w:sz w:val="24"/>
          <w:szCs w:val="24"/>
        </w:rPr>
        <w:sectPr>
          <w:pgSz w:w="11907" w:h="16840"/>
          <w:pgMar w:top="1134" w:right="1191" w:bottom="1134" w:left="1304" w:header="964" w:footer="992" w:gutter="0"/>
          <w:pgNumType w:fmt="numberInDash"/>
          <w:cols w:space="720" w:num="1"/>
          <w:docGrid w:linePitch="312" w:charSpace="0"/>
        </w:sectPr>
      </w:pPr>
    </w:p>
    <w:bookmarkEnd w:id="69"/>
    <w:p>
      <w:pPr>
        <w:pStyle w:val="3"/>
        <w:spacing w:line="360" w:lineRule="auto"/>
        <w:jc w:val="center"/>
        <w:rPr>
          <w:rFonts w:ascii="方正小标宋_GBK" w:eastAsia="方正小标宋_GBK"/>
          <w:b w:val="0"/>
          <w:color w:val="auto"/>
          <w:sz w:val="36"/>
          <w:szCs w:val="30"/>
        </w:rPr>
      </w:pPr>
      <w:bookmarkStart w:id="183" w:name="_Toc12789059"/>
      <w:bookmarkStart w:id="184" w:name="_Toc11641055"/>
      <w:bookmarkStart w:id="185" w:name="_Toc65660365"/>
      <w:bookmarkStart w:id="186" w:name="_Toc10599"/>
      <w:bookmarkStart w:id="187" w:name="_Toc28162"/>
      <w:bookmarkStart w:id="188" w:name="_Toc14861"/>
      <w:bookmarkStart w:id="189" w:name="_Toc106034806"/>
      <w:r>
        <w:rPr>
          <w:rFonts w:hint="eastAsia" w:ascii="方正小标宋_GBK" w:eastAsia="方正小标宋_GBK"/>
          <w:b w:val="0"/>
          <w:color w:val="auto"/>
          <w:sz w:val="36"/>
          <w:szCs w:val="30"/>
        </w:rPr>
        <w:t xml:space="preserve">第六篇  </w:t>
      </w:r>
      <w:bookmarkEnd w:id="183"/>
      <w:bookmarkEnd w:id="184"/>
      <w:r>
        <w:rPr>
          <w:rFonts w:hint="eastAsia" w:ascii="方正小标宋_GBK" w:eastAsia="方正小标宋_GBK"/>
          <w:b w:val="0"/>
          <w:color w:val="auto"/>
          <w:sz w:val="36"/>
          <w:szCs w:val="30"/>
        </w:rPr>
        <w:t>合同草案条款</w:t>
      </w:r>
      <w:bookmarkEnd w:id="185"/>
      <w:bookmarkEnd w:id="186"/>
      <w:bookmarkEnd w:id="187"/>
      <w:bookmarkEnd w:id="188"/>
      <w:bookmarkEnd w:id="189"/>
    </w:p>
    <w:p>
      <w:pPr>
        <w:spacing w:line="400" w:lineRule="exact"/>
        <w:ind w:right="12" w:firstLine="480"/>
        <w:rPr>
          <w:rFonts w:ascii="方正仿宋_GBK" w:hAnsi="仿宋" w:eastAsia="方正仿宋_GBK" w:cs="仿宋"/>
          <w:color w:val="auto"/>
          <w:sz w:val="24"/>
        </w:rPr>
      </w:pPr>
    </w:p>
    <w:p>
      <w:pPr>
        <w:spacing w:line="400" w:lineRule="exact"/>
        <w:ind w:right="12" w:firstLine="480"/>
        <w:rPr>
          <w:rFonts w:ascii="方正仿宋_GBK" w:hAnsi="仿宋" w:eastAsia="方正仿宋_GBK" w:cs="仿宋"/>
          <w:color w:val="auto"/>
          <w:sz w:val="24"/>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rPr>
          <w:rFonts w:ascii="方正仿宋_GBK" w:eastAsia="方正仿宋_GBK"/>
          <w:color w:val="auto"/>
          <w:sz w:val="24"/>
        </w:rPr>
      </w:pPr>
      <w:bookmarkStart w:id="190" w:name="_Toc303945820"/>
      <w:bookmarkStart w:id="191" w:name="_Toc148265480"/>
      <w:r>
        <w:rPr>
          <w:rFonts w:hint="eastAsia" w:ascii="方正仿宋_GBK" w:eastAsia="方正仿宋_GBK"/>
          <w:color w:val="auto"/>
          <w:sz w:val="24"/>
        </w:rPr>
        <w:t>附页：合同格式</w:t>
      </w:r>
      <w:bookmarkEnd w:id="190"/>
      <w:bookmarkEnd w:id="191"/>
    </w:p>
    <w:p>
      <w:pPr>
        <w:tabs>
          <w:tab w:val="left" w:pos="9000"/>
        </w:tabs>
        <w:spacing w:line="276" w:lineRule="auto"/>
        <w:jc w:val="center"/>
        <w:rPr>
          <w:color w:val="auto"/>
        </w:rPr>
      </w:pPr>
    </w:p>
    <w:p>
      <w:pPr>
        <w:tabs>
          <w:tab w:val="left" w:pos="9000"/>
        </w:tabs>
        <w:spacing w:line="276" w:lineRule="auto"/>
        <w:jc w:val="center"/>
        <w:rPr>
          <w:color w:val="auto"/>
        </w:rPr>
      </w:pPr>
    </w:p>
    <w:p>
      <w:pPr>
        <w:spacing w:line="500" w:lineRule="exact"/>
        <w:jc w:val="center"/>
        <w:rPr>
          <w:rFonts w:ascii="方正仿宋_GBK" w:eastAsia="方正仿宋_GBK"/>
          <w:b/>
          <w:color w:val="auto"/>
          <w:sz w:val="44"/>
        </w:rPr>
      </w:pPr>
      <w:r>
        <w:rPr>
          <w:rFonts w:hint="eastAsia" w:ascii="方正仿宋_GBK" w:eastAsia="方正仿宋_GBK"/>
          <w:b/>
          <w:color w:val="auto"/>
          <w:sz w:val="44"/>
        </w:rPr>
        <w:t>重庆市政府采购合同</w:t>
      </w:r>
    </w:p>
    <w:p>
      <w:pPr>
        <w:spacing w:line="500" w:lineRule="exact"/>
        <w:jc w:val="center"/>
        <w:outlineLvl w:val="1"/>
        <w:rPr>
          <w:rFonts w:ascii="方正仿宋_GBK" w:eastAsia="方正仿宋_GBK"/>
          <w:b/>
          <w:color w:val="auto"/>
          <w:sz w:val="44"/>
        </w:rPr>
      </w:pPr>
      <w:r>
        <w:rPr>
          <w:rFonts w:hint="eastAsia" w:ascii="方正仿宋_GBK" w:eastAsia="方正仿宋_GBK"/>
          <w:b/>
          <w:color w:val="auto"/>
          <w:sz w:val="44"/>
        </w:rPr>
        <w:t>（服务类）</w:t>
      </w:r>
    </w:p>
    <w:p>
      <w:pPr>
        <w:spacing w:line="500" w:lineRule="exact"/>
        <w:jc w:val="center"/>
        <w:outlineLvl w:val="1"/>
        <w:rPr>
          <w:rFonts w:ascii="方正仿宋_GBK" w:eastAsia="方正仿宋_GBK"/>
          <w:b/>
          <w:color w:val="auto"/>
          <w:sz w:val="44"/>
        </w:rPr>
      </w:pPr>
    </w:p>
    <w:p>
      <w:pPr>
        <w:spacing w:line="500" w:lineRule="exact"/>
        <w:rPr>
          <w:rFonts w:ascii="方正仿宋_GBK" w:eastAsia="方正仿宋_GBK"/>
          <w:color w:val="auto"/>
          <w:sz w:val="24"/>
        </w:rPr>
      </w:pPr>
      <w:r>
        <w:rPr>
          <w:rFonts w:hint="eastAsia" w:ascii="方正仿宋_GBK" w:eastAsia="方正仿宋_GBK"/>
          <w:color w:val="auto"/>
          <w:sz w:val="24"/>
        </w:rPr>
        <w:t>甲方（需方）：___________________________      计价单位：____________</w:t>
      </w:r>
    </w:p>
    <w:p>
      <w:pPr>
        <w:spacing w:line="500" w:lineRule="exact"/>
        <w:rPr>
          <w:rFonts w:ascii="方正仿宋_GBK" w:eastAsia="方正仿宋_GBK"/>
          <w:color w:val="auto"/>
          <w:sz w:val="24"/>
        </w:rPr>
      </w:pPr>
      <w:r>
        <w:rPr>
          <w:rFonts w:hint="eastAsia" w:ascii="方正仿宋_GBK" w:eastAsia="方正仿宋_GBK"/>
          <w:color w:val="auto"/>
          <w:sz w:val="24"/>
        </w:rPr>
        <w:t>乙方（供方）：___________________________      计量单位：_____________</w:t>
      </w:r>
    </w:p>
    <w:p>
      <w:pPr>
        <w:spacing w:line="500" w:lineRule="exact"/>
        <w:rPr>
          <w:rFonts w:ascii="方正仿宋_GBK" w:eastAsia="方正仿宋_GBK"/>
          <w:color w:val="auto"/>
          <w:sz w:val="24"/>
        </w:rPr>
      </w:pPr>
    </w:p>
    <w:p>
      <w:pPr>
        <w:spacing w:line="500" w:lineRule="exact"/>
        <w:rPr>
          <w:rFonts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项目名称</w:t>
            </w:r>
          </w:p>
        </w:tc>
        <w:tc>
          <w:tcPr>
            <w:tcW w:w="984" w:type="dxa"/>
            <w:noWrap/>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数量</w:t>
            </w:r>
          </w:p>
        </w:tc>
        <w:tc>
          <w:tcPr>
            <w:tcW w:w="1298" w:type="dxa"/>
            <w:gridSpan w:val="2"/>
            <w:noWrap/>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综合单价</w:t>
            </w:r>
          </w:p>
        </w:tc>
        <w:tc>
          <w:tcPr>
            <w:tcW w:w="1134" w:type="dxa"/>
            <w:noWrap/>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总价</w:t>
            </w:r>
          </w:p>
        </w:tc>
        <w:tc>
          <w:tcPr>
            <w:tcW w:w="1559" w:type="dxa"/>
            <w:noWrap/>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服务时间/工期</w:t>
            </w:r>
          </w:p>
        </w:tc>
        <w:tc>
          <w:tcPr>
            <w:tcW w:w="1567" w:type="dxa"/>
            <w:noWrap/>
            <w:vAlign w:val="center"/>
          </w:tcPr>
          <w:p>
            <w:pPr>
              <w:spacing w:line="240" w:lineRule="atLeast"/>
              <w:jc w:val="center"/>
              <w:rPr>
                <w:rFonts w:ascii="方正仿宋_GBK" w:eastAsia="方正仿宋_GBK"/>
                <w:color w:val="auto"/>
                <w:sz w:val="21"/>
                <w:szCs w:val="21"/>
              </w:rPr>
            </w:pPr>
            <w:r>
              <w:rPr>
                <w:rFonts w:hint="eastAsia" w:ascii="方正仿宋_GBK" w:eastAsia="方正仿宋_GBK"/>
                <w:color w:val="auto"/>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ign w:val="center"/>
          </w:tcPr>
          <w:p>
            <w:pPr>
              <w:spacing w:line="240" w:lineRule="atLeast"/>
              <w:jc w:val="center"/>
              <w:rPr>
                <w:rFonts w:ascii="方正仿宋_GBK" w:eastAsia="方正仿宋_GBK"/>
                <w:color w:val="auto"/>
                <w:sz w:val="21"/>
                <w:szCs w:val="21"/>
              </w:rPr>
            </w:pPr>
          </w:p>
        </w:tc>
        <w:tc>
          <w:tcPr>
            <w:tcW w:w="984" w:type="dxa"/>
            <w:noWrap/>
            <w:vAlign w:val="center"/>
          </w:tcPr>
          <w:p>
            <w:pPr>
              <w:spacing w:line="240" w:lineRule="atLeast"/>
              <w:jc w:val="center"/>
              <w:rPr>
                <w:rFonts w:ascii="方正仿宋_GBK" w:eastAsia="方正仿宋_GBK"/>
                <w:color w:val="auto"/>
                <w:sz w:val="21"/>
                <w:szCs w:val="21"/>
              </w:rPr>
            </w:pPr>
          </w:p>
        </w:tc>
        <w:tc>
          <w:tcPr>
            <w:tcW w:w="1298" w:type="dxa"/>
            <w:gridSpan w:val="2"/>
            <w:noWrap/>
            <w:vAlign w:val="center"/>
          </w:tcPr>
          <w:p>
            <w:pPr>
              <w:spacing w:line="240" w:lineRule="atLeast"/>
              <w:jc w:val="center"/>
              <w:rPr>
                <w:rFonts w:ascii="方正仿宋_GBK" w:eastAsia="方正仿宋_GBK"/>
                <w:color w:val="auto"/>
                <w:sz w:val="21"/>
                <w:szCs w:val="21"/>
              </w:rPr>
            </w:pPr>
          </w:p>
        </w:tc>
        <w:tc>
          <w:tcPr>
            <w:tcW w:w="1134" w:type="dxa"/>
            <w:noWrap/>
            <w:vAlign w:val="center"/>
          </w:tcPr>
          <w:p>
            <w:pPr>
              <w:spacing w:line="240" w:lineRule="atLeast"/>
              <w:jc w:val="center"/>
              <w:rPr>
                <w:rFonts w:ascii="方正仿宋_GBK" w:eastAsia="方正仿宋_GBK"/>
                <w:color w:val="auto"/>
                <w:sz w:val="21"/>
                <w:szCs w:val="21"/>
              </w:rPr>
            </w:pPr>
          </w:p>
        </w:tc>
        <w:tc>
          <w:tcPr>
            <w:tcW w:w="1559" w:type="dxa"/>
            <w:noWrap/>
            <w:vAlign w:val="center"/>
          </w:tcPr>
          <w:p>
            <w:pPr>
              <w:spacing w:line="240" w:lineRule="atLeast"/>
              <w:jc w:val="center"/>
              <w:rPr>
                <w:rFonts w:ascii="方正仿宋_GBK" w:eastAsia="方正仿宋_GBK"/>
                <w:color w:val="auto"/>
                <w:sz w:val="21"/>
                <w:szCs w:val="21"/>
              </w:rPr>
            </w:pPr>
          </w:p>
        </w:tc>
        <w:tc>
          <w:tcPr>
            <w:tcW w:w="1567" w:type="dxa"/>
            <w:noWrap/>
            <w:vAlign w:val="center"/>
          </w:tcPr>
          <w:p>
            <w:pPr>
              <w:spacing w:line="240" w:lineRule="atLeast"/>
              <w:jc w:val="center"/>
              <w:rPr>
                <w:rFonts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ign w:val="center"/>
          </w:tcPr>
          <w:p>
            <w:pPr>
              <w:spacing w:line="240" w:lineRule="atLeast"/>
              <w:jc w:val="center"/>
              <w:rPr>
                <w:rFonts w:ascii="方正仿宋_GBK" w:eastAsia="方正仿宋_GBK"/>
                <w:color w:val="auto"/>
                <w:sz w:val="21"/>
                <w:szCs w:val="21"/>
              </w:rPr>
            </w:pPr>
          </w:p>
        </w:tc>
        <w:tc>
          <w:tcPr>
            <w:tcW w:w="984" w:type="dxa"/>
            <w:noWrap/>
            <w:vAlign w:val="center"/>
          </w:tcPr>
          <w:p>
            <w:pPr>
              <w:spacing w:line="240" w:lineRule="atLeast"/>
              <w:jc w:val="center"/>
              <w:rPr>
                <w:rFonts w:ascii="方正仿宋_GBK" w:eastAsia="方正仿宋_GBK"/>
                <w:color w:val="auto"/>
                <w:sz w:val="21"/>
                <w:szCs w:val="21"/>
              </w:rPr>
            </w:pPr>
          </w:p>
        </w:tc>
        <w:tc>
          <w:tcPr>
            <w:tcW w:w="1298" w:type="dxa"/>
            <w:gridSpan w:val="2"/>
            <w:noWrap/>
            <w:vAlign w:val="center"/>
          </w:tcPr>
          <w:p>
            <w:pPr>
              <w:spacing w:line="240" w:lineRule="atLeast"/>
              <w:jc w:val="center"/>
              <w:rPr>
                <w:rFonts w:ascii="方正仿宋_GBK" w:eastAsia="方正仿宋_GBK"/>
                <w:color w:val="auto"/>
                <w:sz w:val="21"/>
                <w:szCs w:val="21"/>
              </w:rPr>
            </w:pPr>
          </w:p>
        </w:tc>
        <w:tc>
          <w:tcPr>
            <w:tcW w:w="1134" w:type="dxa"/>
            <w:noWrap/>
            <w:vAlign w:val="center"/>
          </w:tcPr>
          <w:p>
            <w:pPr>
              <w:spacing w:line="240" w:lineRule="atLeast"/>
              <w:jc w:val="center"/>
              <w:rPr>
                <w:rFonts w:ascii="方正仿宋_GBK" w:eastAsia="方正仿宋_GBK"/>
                <w:color w:val="auto"/>
                <w:sz w:val="21"/>
                <w:szCs w:val="21"/>
              </w:rPr>
            </w:pPr>
          </w:p>
        </w:tc>
        <w:tc>
          <w:tcPr>
            <w:tcW w:w="1559" w:type="dxa"/>
            <w:noWrap/>
            <w:vAlign w:val="center"/>
          </w:tcPr>
          <w:p>
            <w:pPr>
              <w:spacing w:line="240" w:lineRule="atLeast"/>
              <w:jc w:val="center"/>
              <w:rPr>
                <w:rFonts w:ascii="方正仿宋_GBK" w:eastAsia="方正仿宋_GBK"/>
                <w:color w:val="auto"/>
                <w:sz w:val="21"/>
                <w:szCs w:val="21"/>
              </w:rPr>
            </w:pPr>
          </w:p>
        </w:tc>
        <w:tc>
          <w:tcPr>
            <w:tcW w:w="1567" w:type="dxa"/>
            <w:noWrap/>
            <w:vAlign w:val="center"/>
          </w:tcPr>
          <w:p>
            <w:pPr>
              <w:spacing w:line="240" w:lineRule="atLeast"/>
              <w:jc w:val="center"/>
              <w:rPr>
                <w:rFonts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ign w:val="center"/>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noWrap/>
            <w:vAlign w:val="center"/>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noWrap/>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noWrap/>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noWrap/>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noWrap/>
          </w:tcPr>
          <w:p>
            <w:pPr>
              <w:rPr>
                <w:rFonts w:ascii="方正仿宋_GBK" w:eastAsia="方正仿宋_GBK"/>
                <w:color w:val="auto"/>
                <w:sz w:val="21"/>
                <w:szCs w:val="21"/>
              </w:rPr>
            </w:pPr>
            <w:r>
              <w:rPr>
                <w:rFonts w:hint="eastAsia" w:ascii="方正仿宋_GBK" w:eastAsia="方正仿宋_GBK"/>
                <w:color w:val="auto"/>
                <w:sz w:val="21"/>
                <w:szCs w:val="21"/>
              </w:rPr>
              <w:t>四、付款方式</w:t>
            </w:r>
            <w:r>
              <w:rPr>
                <w:rFonts w:ascii="方正仿宋_GBK" w:eastAsia="方正仿宋_GBK"/>
                <w:color w:val="auto"/>
                <w:sz w:val="21"/>
                <w:szCs w:val="21"/>
              </w:rPr>
              <w:t>：</w:t>
            </w:r>
          </w:p>
          <w:p>
            <w:pPr>
              <w:rPr>
                <w:rFonts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五、违约责任：</w:t>
            </w:r>
          </w:p>
          <w:p>
            <w:pPr>
              <w:spacing w:line="240" w:lineRule="atLeast"/>
              <w:rPr>
                <w:rFonts w:ascii="方正仿宋_GBK"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六、其他约定事项：</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1.采购文件及其澄清文件、响应文件和承诺是本合同不可分割的部分。</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2.本合同如发生争议由双方协商解决，协商不成向需方所在人民法院提请诉讼。</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3.本合同一式__份， 需方__份，供方__份，具同等法律效力。</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需方：</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地址：</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联系电话：</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授权代表：</w:t>
            </w:r>
          </w:p>
        </w:tc>
        <w:tc>
          <w:tcPr>
            <w:tcW w:w="4984" w:type="dxa"/>
            <w:gridSpan w:val="5"/>
            <w:noWrap/>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供方：</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地址：</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电话：</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传真：</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开户银行：</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账号：</w:t>
            </w:r>
          </w:p>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授权代表：</w:t>
            </w:r>
          </w:p>
          <w:p>
            <w:pPr>
              <w:widowControl/>
              <w:spacing w:line="240" w:lineRule="atLeast"/>
              <w:jc w:val="left"/>
              <w:rPr>
                <w:rFonts w:ascii="方正仿宋_GBK" w:eastAsia="方正仿宋_GBK"/>
                <w:color w:val="auto"/>
                <w:sz w:val="21"/>
                <w:szCs w:val="21"/>
              </w:rPr>
            </w:pPr>
            <w:r>
              <w:rPr>
                <w:rFonts w:hint="eastAsia" w:ascii="方正仿宋_GBK" w:eastAsia="方正仿宋_GBK"/>
                <w:color w:val="auto"/>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noWrap/>
          </w:tcPr>
          <w:p>
            <w:pPr>
              <w:spacing w:line="240" w:lineRule="atLeast"/>
              <w:rPr>
                <w:rFonts w:ascii="方正仿宋_GBK" w:eastAsia="方正仿宋_GBK"/>
                <w:color w:val="auto"/>
                <w:sz w:val="21"/>
                <w:szCs w:val="21"/>
              </w:rPr>
            </w:pPr>
            <w:r>
              <w:rPr>
                <w:rFonts w:hint="eastAsia" w:ascii="方正仿宋_GBK" w:eastAsia="方正仿宋_GBK"/>
                <w:color w:val="auto"/>
                <w:sz w:val="21"/>
                <w:szCs w:val="21"/>
              </w:rPr>
              <w:t>备注：</w:t>
            </w:r>
          </w:p>
          <w:p>
            <w:pPr>
              <w:spacing w:line="240" w:lineRule="atLeast"/>
              <w:rPr>
                <w:rFonts w:ascii="方正仿宋_GBK" w:eastAsia="方正仿宋_GBK"/>
                <w:color w:val="auto"/>
                <w:sz w:val="21"/>
                <w:szCs w:val="21"/>
              </w:rPr>
            </w:pPr>
          </w:p>
          <w:p>
            <w:pPr>
              <w:spacing w:line="240" w:lineRule="atLeast"/>
              <w:rPr>
                <w:rFonts w:ascii="方正仿宋_GBK" w:eastAsia="方正仿宋_GBK"/>
                <w:color w:val="auto"/>
                <w:sz w:val="21"/>
                <w:szCs w:val="21"/>
              </w:rPr>
            </w:pPr>
          </w:p>
        </w:tc>
      </w:tr>
    </w:tbl>
    <w:p>
      <w:pPr>
        <w:rPr>
          <w:rFonts w:ascii="方正仿宋_GBK" w:eastAsia="方正仿宋_GBK"/>
          <w:color w:val="auto"/>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rPr>
        <w:t>签约时间：           年   月   日      签约地点：</w:t>
      </w:r>
    </w:p>
    <w:p>
      <w:pPr>
        <w:pStyle w:val="3"/>
        <w:spacing w:line="360" w:lineRule="auto"/>
        <w:jc w:val="center"/>
        <w:rPr>
          <w:rFonts w:ascii="方正小标宋_GBK" w:eastAsia="方正小标宋_GBK"/>
          <w:b w:val="0"/>
          <w:color w:val="auto"/>
          <w:sz w:val="36"/>
          <w:szCs w:val="30"/>
        </w:rPr>
      </w:pPr>
      <w:bookmarkStart w:id="192" w:name="_Hlt41879464"/>
      <w:bookmarkEnd w:id="192"/>
      <w:bookmarkStart w:id="193" w:name="_Toc6968"/>
      <w:bookmarkStart w:id="194" w:name="_Toc12789072"/>
      <w:bookmarkStart w:id="195" w:name="_Toc18521"/>
      <w:bookmarkStart w:id="196" w:name="_Toc65660378"/>
      <w:bookmarkStart w:id="197" w:name="_Toc9538"/>
      <w:bookmarkStart w:id="198" w:name="_Toc106034807"/>
      <w:r>
        <w:rPr>
          <w:rFonts w:hint="eastAsia" w:ascii="方正小标宋_GBK" w:eastAsia="方正小标宋_GBK"/>
          <w:b w:val="0"/>
          <w:color w:val="auto"/>
          <w:sz w:val="36"/>
          <w:szCs w:val="30"/>
        </w:rPr>
        <w:t>第七篇  响应文件格式要求</w:t>
      </w:r>
      <w:bookmarkEnd w:id="193"/>
      <w:bookmarkEnd w:id="194"/>
      <w:bookmarkEnd w:id="195"/>
      <w:bookmarkEnd w:id="196"/>
      <w:bookmarkEnd w:id="197"/>
      <w:bookmarkEnd w:id="198"/>
    </w:p>
    <w:p>
      <w:pPr>
        <w:spacing w:line="400" w:lineRule="exact"/>
        <w:ind w:firstLine="480"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一、经济部分</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pPr>
        <w:spacing w:line="400" w:lineRule="exact"/>
        <w:ind w:firstLine="480"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二、技术（质量）部分</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（一）技术（质量）响应偏离表</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pPr>
        <w:spacing w:line="400" w:lineRule="exact"/>
        <w:ind w:firstLine="480"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三、服务部分</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（一）服务响应偏离表</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pPr>
        <w:spacing w:line="400" w:lineRule="exact"/>
        <w:ind w:firstLine="480"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四、资格条件及其他</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pPr>
        <w:spacing w:line="400" w:lineRule="exact"/>
        <w:ind w:firstLine="480"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五、其他资料</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（一）其他与项目有关的资料（自附）</w:t>
      </w:r>
    </w:p>
    <w:p>
      <w:pPr>
        <w:snapToGrid w:val="0"/>
        <w:spacing w:line="360" w:lineRule="auto"/>
        <w:rPr>
          <w:rFonts w:ascii="宋体" w:hAnsi="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line="400" w:lineRule="exact"/>
        <w:ind w:firstLine="480" w:firstLineChars="200"/>
        <w:rPr>
          <w:rFonts w:ascii="方正仿宋_GBK" w:hAnsi="宋体" w:eastAsia="方正仿宋_GBK"/>
          <w:color w:val="auto"/>
          <w:sz w:val="24"/>
        </w:rPr>
      </w:pPr>
      <w:bookmarkStart w:id="199" w:name="_Toc313888360"/>
      <w:bookmarkStart w:id="200" w:name="_Toc342913419"/>
      <w:bookmarkStart w:id="201" w:name="_Toc30982"/>
      <w:bookmarkStart w:id="202" w:name="_Toc106034808"/>
      <w:bookmarkStart w:id="203" w:name="_Toc14244"/>
      <w:bookmarkStart w:id="204" w:name="_Toc26343"/>
      <w:bookmarkStart w:id="205" w:name="_Toc313008356"/>
      <w:bookmarkStart w:id="206" w:name="_Toc65660379"/>
      <w:bookmarkStart w:id="207" w:name="_Toc12789073"/>
      <w:bookmarkStart w:id="208" w:name="_Toc283382454"/>
      <w:r>
        <w:rPr>
          <w:rFonts w:hint="eastAsia" w:ascii="方正仿宋_GBK" w:hAnsi="宋体" w:eastAsia="方正仿宋_GBK"/>
          <w:color w:val="auto"/>
          <w:sz w:val="24"/>
        </w:rPr>
        <w:t>一、经济部分</w:t>
      </w:r>
      <w:bookmarkEnd w:id="199"/>
      <w:bookmarkEnd w:id="200"/>
      <w:bookmarkEnd w:id="201"/>
      <w:bookmarkEnd w:id="202"/>
      <w:bookmarkEnd w:id="203"/>
      <w:bookmarkEnd w:id="204"/>
      <w:bookmarkEnd w:id="205"/>
      <w:bookmarkEnd w:id="206"/>
    </w:p>
    <w:bookmarkEnd w:id="207"/>
    <w:bookmarkEnd w:id="208"/>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pPr>
        <w:tabs>
          <w:tab w:val="left" w:pos="6300"/>
        </w:tabs>
        <w:snapToGrid w:val="0"/>
        <w:spacing w:line="312" w:lineRule="auto"/>
        <w:ind w:firstLine="560" w:firstLineChars="200"/>
        <w:jc w:val="center"/>
        <w:rPr>
          <w:rFonts w:ascii="方正仿宋_GBK" w:hAnsi="宋体" w:eastAsia="方正仿宋_GBK"/>
          <w:b/>
          <w:color w:val="auto"/>
          <w:szCs w:val="28"/>
        </w:rPr>
      </w:pPr>
      <w:r>
        <w:rPr>
          <w:rFonts w:hint="eastAsia" w:ascii="方正仿宋_GBK" w:hAnsi="宋体" w:eastAsia="方正仿宋_GBK"/>
          <w:b/>
          <w:color w:val="auto"/>
          <w:szCs w:val="28"/>
        </w:rPr>
        <w:t>报价函</w:t>
      </w:r>
    </w:p>
    <w:p>
      <w:pPr>
        <w:tabs>
          <w:tab w:val="left" w:pos="6300"/>
        </w:tabs>
        <w:snapToGrid w:val="0"/>
        <w:spacing w:line="312" w:lineRule="auto"/>
        <w:rPr>
          <w:rFonts w:ascii="方正仿宋_GBK" w:hAnsi="宋体" w:eastAsia="方正仿宋_GBK"/>
          <w:color w:val="auto"/>
          <w:sz w:val="24"/>
          <w:szCs w:val="24"/>
        </w:rPr>
      </w:pPr>
      <w:r>
        <w:rPr>
          <w:rFonts w:hint="eastAsia" w:ascii="方正仿宋_GBK" w:hAnsi="宋体" w:eastAsia="方正仿宋_GBK"/>
          <w:color w:val="auto"/>
          <w:sz w:val="24"/>
          <w:szCs w:val="24"/>
          <w:u w:val="single"/>
        </w:rPr>
        <w:t>（采购人或采购代理机构名称）</w:t>
      </w:r>
      <w:r>
        <w:rPr>
          <w:rFonts w:hint="eastAsia" w:ascii="方正仿宋_GBK" w:hAnsi="宋体" w:eastAsia="方正仿宋_GBK"/>
          <w:color w:val="auto"/>
          <w:sz w:val="24"/>
          <w:szCs w:val="24"/>
        </w:rPr>
        <w:t>：</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1.愿意按照采购文件中的一切要求，提供本项目的交货及技术服务，项目报价（总价）为人民币大写：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元。以我公司报价为准。</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2.我方现提交的响应文件为：响应文件正本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份，副本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color w:val="auto"/>
          <w:sz w:val="24"/>
          <w:szCs w:val="24"/>
        </w:rPr>
      </w:pPr>
    </w:p>
    <w:p>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电话：                           传真：</w:t>
      </w:r>
    </w:p>
    <w:p>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网址：                           邮编：</w:t>
      </w:r>
    </w:p>
    <w:p>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联系人：</w:t>
      </w:r>
    </w:p>
    <w:p>
      <w:pPr>
        <w:snapToGrid w:val="0"/>
        <w:spacing w:line="312" w:lineRule="auto"/>
        <w:ind w:firstLine="480" w:firstLineChars="200"/>
        <w:rPr>
          <w:rFonts w:ascii="方正仿宋_GBK" w:hAnsi="宋体" w:eastAsia="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szCs w:val="24"/>
        </w:rPr>
        <w:t xml:space="preserve">                               年   月   日</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（二）明细报价表（格式自定）                           </w:t>
      </w:r>
    </w:p>
    <w:p>
      <w:pPr>
        <w:snapToGrid w:val="0"/>
        <w:spacing w:line="500" w:lineRule="exact"/>
        <w:rPr>
          <w:rFonts w:ascii="方正仿宋_GBK" w:hAnsi="宋体" w:eastAsia="方正仿宋_GBK"/>
          <w:color w:val="auto"/>
          <w:sz w:val="24"/>
          <w:szCs w:val="28"/>
        </w:rPr>
      </w:pPr>
    </w:p>
    <w:p>
      <w:pPr>
        <w:pStyle w:val="3"/>
        <w:adjustRightInd w:val="0"/>
        <w:snapToGrid w:val="0"/>
        <w:spacing w:line="400" w:lineRule="exact"/>
        <w:ind w:firstLine="480" w:firstLineChars="200"/>
        <w:rPr>
          <w:rFonts w:ascii="方正仿宋_GBK" w:hAnsi="宋体" w:eastAsia="方正仿宋_GBK"/>
          <w:color w:val="auto"/>
          <w:sz w:val="24"/>
        </w:rPr>
      </w:pPr>
      <w:r>
        <w:rPr>
          <w:rFonts w:ascii="方正仿宋_GBK" w:hAnsi="宋体" w:eastAsia="方正仿宋_GBK"/>
          <w:color w:val="auto"/>
          <w:sz w:val="24"/>
          <w:szCs w:val="24"/>
          <w:bdr w:val="single" w:color="auto" w:sz="4" w:space="0"/>
        </w:rPr>
        <w:br w:type="page"/>
      </w:r>
      <w:bookmarkStart w:id="209" w:name="_Toc313888361"/>
      <w:bookmarkStart w:id="210" w:name="_Toc65660380"/>
      <w:bookmarkStart w:id="211" w:name="_Toc14073"/>
      <w:bookmarkStart w:id="212" w:name="_Toc313008357"/>
      <w:bookmarkStart w:id="213" w:name="_Toc342913420"/>
      <w:bookmarkStart w:id="214" w:name="_Toc26085"/>
      <w:bookmarkStart w:id="215" w:name="_Toc22655"/>
      <w:bookmarkStart w:id="216" w:name="_Toc106034809"/>
      <w:r>
        <w:rPr>
          <w:rFonts w:hint="eastAsia" w:ascii="方正仿宋_GBK" w:hAnsi="宋体" w:eastAsia="方正仿宋_GBK"/>
          <w:color w:val="auto"/>
          <w:sz w:val="24"/>
        </w:rPr>
        <w:t>二、技术（质量）部分</w:t>
      </w:r>
      <w:bookmarkEnd w:id="209"/>
      <w:bookmarkEnd w:id="210"/>
      <w:bookmarkEnd w:id="211"/>
      <w:bookmarkEnd w:id="212"/>
      <w:bookmarkEnd w:id="213"/>
      <w:bookmarkEnd w:id="214"/>
      <w:bookmarkEnd w:id="215"/>
      <w:bookmarkEnd w:id="216"/>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（一）技术（质量）响应偏离表                               </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ign w:val="center"/>
          </w:tcPr>
          <w:p>
            <w:pPr>
              <w:tabs>
                <w:tab w:val="left" w:pos="6300"/>
              </w:tabs>
              <w:snapToGrid w:val="0"/>
              <w:jc w:val="center"/>
              <w:outlineLvl w:val="0"/>
              <w:rPr>
                <w:rFonts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2844" w:type="dxa"/>
            <w:noWrap/>
            <w:vAlign w:val="center"/>
          </w:tcPr>
          <w:p>
            <w:pPr>
              <w:tabs>
                <w:tab w:val="left" w:pos="6300"/>
              </w:tabs>
              <w:snapToGrid w:val="0"/>
              <w:jc w:val="center"/>
              <w:outlineLvl w:val="0"/>
              <w:rPr>
                <w:rFonts w:ascii="方正仿宋_GBK" w:hAnsi="宋体" w:eastAsia="方正仿宋_GBK"/>
                <w:b/>
                <w:color w:val="auto"/>
                <w:sz w:val="21"/>
                <w:szCs w:val="21"/>
              </w:rPr>
            </w:pPr>
            <w:r>
              <w:rPr>
                <w:rFonts w:hint="eastAsia" w:ascii="方正仿宋_GBK" w:hAnsi="宋体" w:eastAsia="方正仿宋_GBK"/>
                <w:b/>
                <w:color w:val="auto"/>
                <w:sz w:val="21"/>
                <w:szCs w:val="21"/>
              </w:rPr>
              <w:t>采购需求</w:t>
            </w:r>
          </w:p>
        </w:tc>
        <w:tc>
          <w:tcPr>
            <w:tcW w:w="2952" w:type="dxa"/>
            <w:noWrap/>
            <w:vAlign w:val="center"/>
          </w:tcPr>
          <w:p>
            <w:pPr>
              <w:tabs>
                <w:tab w:val="left" w:pos="6300"/>
              </w:tabs>
              <w:snapToGrid w:val="0"/>
              <w:jc w:val="center"/>
              <w:outlineLvl w:val="0"/>
              <w:rPr>
                <w:rFonts w:ascii="方正仿宋_GBK" w:hAnsi="宋体" w:eastAsia="方正仿宋_GBK"/>
                <w:b/>
                <w:color w:val="auto"/>
                <w:sz w:val="21"/>
                <w:szCs w:val="21"/>
              </w:rPr>
            </w:pPr>
            <w:r>
              <w:rPr>
                <w:rFonts w:hint="eastAsia" w:ascii="方正仿宋_GBK" w:hAnsi="宋体" w:eastAsia="方正仿宋_GBK"/>
                <w:b/>
                <w:color w:val="auto"/>
                <w:sz w:val="21"/>
                <w:szCs w:val="21"/>
              </w:rPr>
              <w:t>响应情况</w:t>
            </w:r>
          </w:p>
        </w:tc>
        <w:tc>
          <w:tcPr>
            <w:tcW w:w="2212" w:type="dxa"/>
            <w:noWrap/>
            <w:vAlign w:val="center"/>
          </w:tcPr>
          <w:p>
            <w:pPr>
              <w:tabs>
                <w:tab w:val="left" w:pos="6300"/>
              </w:tabs>
              <w:snapToGrid w:val="0"/>
              <w:jc w:val="center"/>
              <w:outlineLvl w:val="0"/>
              <w:rPr>
                <w:rFonts w:ascii="方正仿宋_GBK" w:hAnsi="宋体" w:eastAsia="方正仿宋_GBK"/>
                <w:b/>
                <w:color w:val="auto"/>
                <w:sz w:val="21"/>
                <w:szCs w:val="21"/>
              </w:rPr>
            </w:pPr>
            <w:r>
              <w:rPr>
                <w:rFonts w:hint="eastAsia" w:ascii="方正仿宋_GBK" w:hAnsi="宋体" w:eastAsia="方正仿宋_GBK"/>
                <w:b/>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844"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952" w:type="dxa"/>
            <w:noWrap/>
            <w:vAlign w:val="center"/>
          </w:tcPr>
          <w:p>
            <w:pPr>
              <w:tabs>
                <w:tab w:val="left" w:pos="6300"/>
              </w:tabs>
              <w:snapToGrid w:val="0"/>
              <w:jc w:val="center"/>
              <w:outlineLvl w:val="0"/>
              <w:rPr>
                <w:rFonts w:ascii="方正仿宋_GBK" w:hAnsi="宋体" w:eastAsia="方正仿宋_GBK"/>
                <w:color w:val="auto"/>
                <w:sz w:val="21"/>
                <w:szCs w:val="21"/>
              </w:rPr>
            </w:pPr>
            <w:r>
              <w:rPr>
                <w:rFonts w:hint="eastAsia" w:ascii="方正仿宋_GBK" w:hAnsi="仿宋" w:eastAsia="方正仿宋_GBK"/>
                <w:color w:val="auto"/>
                <w:sz w:val="21"/>
                <w:szCs w:val="21"/>
              </w:rPr>
              <w:t>提醒：请注明技术参数或具体内容以及响应文件中技术参数或具体内容的位置（页码）</w:t>
            </w:r>
          </w:p>
        </w:tc>
        <w:tc>
          <w:tcPr>
            <w:tcW w:w="2212" w:type="dxa"/>
            <w:noWrap/>
            <w:vAlign w:val="center"/>
          </w:tcPr>
          <w:p>
            <w:pPr>
              <w:tabs>
                <w:tab w:val="left" w:pos="6300"/>
              </w:tabs>
              <w:snapToGrid w:val="0"/>
              <w:jc w:val="center"/>
              <w:outlineLvl w:val="0"/>
              <w:rPr>
                <w:rFonts w:ascii="方正仿宋_GBK" w:hAnsi="宋体" w:eastAsia="方正仿宋_GBK"/>
                <w:color w:val="auto"/>
                <w:sz w:val="21"/>
                <w:szCs w:val="21"/>
              </w:rPr>
            </w:pPr>
            <w:r>
              <w:rPr>
                <w:rFonts w:hint="eastAsia" w:ascii="方正仿宋_GBK" w:hAnsi="仿宋" w:eastAsia="方正仿宋_GBK"/>
                <w:color w:val="auto"/>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844"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952"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212" w:type="dxa"/>
            <w:noWrap/>
            <w:vAlign w:val="center"/>
          </w:tcPr>
          <w:p>
            <w:pPr>
              <w:tabs>
                <w:tab w:val="left" w:pos="6300"/>
              </w:tabs>
              <w:snapToGrid w:val="0"/>
              <w:jc w:val="center"/>
              <w:outlineLvl w:val="0"/>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844"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952"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212" w:type="dxa"/>
            <w:noWrap/>
            <w:vAlign w:val="center"/>
          </w:tcPr>
          <w:p>
            <w:pPr>
              <w:tabs>
                <w:tab w:val="left" w:pos="6300"/>
              </w:tabs>
              <w:snapToGrid w:val="0"/>
              <w:jc w:val="center"/>
              <w:outlineLvl w:val="0"/>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844"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952"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212" w:type="dxa"/>
            <w:noWrap/>
            <w:vAlign w:val="center"/>
          </w:tcPr>
          <w:p>
            <w:pPr>
              <w:tabs>
                <w:tab w:val="left" w:pos="6300"/>
              </w:tabs>
              <w:snapToGrid w:val="0"/>
              <w:jc w:val="center"/>
              <w:outlineLvl w:val="0"/>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844"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952"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212" w:type="dxa"/>
            <w:noWrap/>
            <w:vAlign w:val="center"/>
          </w:tcPr>
          <w:p>
            <w:pPr>
              <w:tabs>
                <w:tab w:val="left" w:pos="6300"/>
              </w:tabs>
              <w:snapToGrid w:val="0"/>
              <w:jc w:val="center"/>
              <w:outlineLvl w:val="0"/>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844"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952"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212" w:type="dxa"/>
            <w:noWrap/>
            <w:vAlign w:val="center"/>
          </w:tcPr>
          <w:p>
            <w:pPr>
              <w:tabs>
                <w:tab w:val="left" w:pos="6300"/>
              </w:tabs>
              <w:snapToGrid w:val="0"/>
              <w:jc w:val="center"/>
              <w:outlineLvl w:val="0"/>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844"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952"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212" w:type="dxa"/>
            <w:noWrap/>
            <w:vAlign w:val="center"/>
          </w:tcPr>
          <w:p>
            <w:pPr>
              <w:tabs>
                <w:tab w:val="left" w:pos="6300"/>
              </w:tabs>
              <w:snapToGrid w:val="0"/>
              <w:jc w:val="center"/>
              <w:outlineLvl w:val="0"/>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844"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952"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212" w:type="dxa"/>
            <w:noWrap/>
            <w:vAlign w:val="center"/>
          </w:tcPr>
          <w:p>
            <w:pPr>
              <w:tabs>
                <w:tab w:val="left" w:pos="6300"/>
              </w:tabs>
              <w:snapToGrid w:val="0"/>
              <w:jc w:val="center"/>
              <w:outlineLvl w:val="0"/>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844"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952"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212" w:type="dxa"/>
            <w:noWrap/>
            <w:vAlign w:val="center"/>
          </w:tcPr>
          <w:p>
            <w:pPr>
              <w:tabs>
                <w:tab w:val="left" w:pos="6300"/>
              </w:tabs>
              <w:snapToGrid w:val="0"/>
              <w:jc w:val="center"/>
              <w:outlineLvl w:val="0"/>
              <w:rPr>
                <w:rFonts w:ascii="方正仿宋_GBK" w:hAnsi="宋体" w:eastAsia="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844"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952" w:type="dxa"/>
            <w:noWrap/>
            <w:vAlign w:val="center"/>
          </w:tcPr>
          <w:p>
            <w:pPr>
              <w:tabs>
                <w:tab w:val="left" w:pos="6300"/>
              </w:tabs>
              <w:snapToGrid w:val="0"/>
              <w:jc w:val="center"/>
              <w:outlineLvl w:val="0"/>
              <w:rPr>
                <w:rFonts w:ascii="方正仿宋_GBK" w:hAnsi="宋体" w:eastAsia="方正仿宋_GBK"/>
                <w:color w:val="auto"/>
                <w:sz w:val="21"/>
                <w:szCs w:val="21"/>
              </w:rPr>
            </w:pPr>
          </w:p>
        </w:tc>
        <w:tc>
          <w:tcPr>
            <w:tcW w:w="2212" w:type="dxa"/>
            <w:noWrap/>
            <w:vAlign w:val="center"/>
          </w:tcPr>
          <w:p>
            <w:pPr>
              <w:tabs>
                <w:tab w:val="left" w:pos="6300"/>
              </w:tabs>
              <w:snapToGrid w:val="0"/>
              <w:jc w:val="center"/>
              <w:outlineLvl w:val="0"/>
              <w:rPr>
                <w:rFonts w:ascii="方正仿宋_GBK" w:hAnsi="宋体" w:eastAsia="方正仿宋_GBK"/>
                <w:color w:val="auto"/>
                <w:sz w:val="21"/>
                <w:szCs w:val="21"/>
              </w:rPr>
            </w:pPr>
          </w:p>
        </w:tc>
      </w:tr>
    </w:tbl>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r>
        <w:rPr>
          <w:rFonts w:hint="eastAsia" w:ascii="方正仿宋_GBK" w:hAnsi="宋体" w:eastAsia="方正仿宋_GBK"/>
          <w:color w:val="auto"/>
          <w:sz w:val="24"/>
          <w:szCs w:val="28"/>
        </w:rPr>
        <w:t>：</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720" w:firstLineChars="30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w:t>
      </w:r>
      <w:r>
        <w:rPr>
          <w:rFonts w:hint="eastAsia" w:ascii="方正仿宋_GBK" w:hAnsi="宋体" w:eastAsia="方正仿宋_GBK"/>
          <w:color w:val="auto"/>
          <w:sz w:val="24"/>
          <w:szCs w:val="24"/>
        </w:rPr>
        <w:t>签署</w:t>
      </w:r>
      <w:r>
        <w:rPr>
          <w:rFonts w:hint="eastAsia" w:ascii="方正仿宋_GBK" w:hAnsi="宋体" w:eastAsia="方正仿宋_GBK"/>
          <w:color w:val="auto"/>
          <w:sz w:val="24"/>
          <w:szCs w:val="28"/>
        </w:rPr>
        <w:t>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2.本表可扩展。</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br w:type="page"/>
      </w:r>
      <w:r>
        <w:rPr>
          <w:rFonts w:hint="eastAsia" w:ascii="方正仿宋_GBK" w:hAnsi="宋体" w:eastAsia="方正仿宋_GBK"/>
          <w:color w:val="auto"/>
          <w:sz w:val="24"/>
          <w:szCs w:val="24"/>
        </w:rPr>
        <w:t>（二）其他资料（格式自定）</w:t>
      </w:r>
    </w:p>
    <w:p>
      <w:pPr>
        <w:tabs>
          <w:tab w:val="left" w:pos="6300"/>
        </w:tabs>
        <w:snapToGrid w:val="0"/>
        <w:spacing w:line="500" w:lineRule="exact"/>
        <w:ind w:firstLine="480" w:firstLineChars="200"/>
        <w:rPr>
          <w:rFonts w:ascii="方正仿宋_GBK" w:hAnsi="宋体" w:eastAsia="方正仿宋_GBK"/>
          <w:color w:val="auto"/>
          <w:sz w:val="24"/>
          <w:szCs w:val="24"/>
        </w:rPr>
      </w:pPr>
    </w:p>
    <w:p>
      <w:pPr>
        <w:pStyle w:val="3"/>
        <w:adjustRightInd w:val="0"/>
        <w:snapToGrid w:val="0"/>
        <w:spacing w:line="400" w:lineRule="exact"/>
        <w:ind w:firstLine="640" w:firstLineChars="200"/>
        <w:rPr>
          <w:rFonts w:ascii="方正仿宋_GBK" w:hAnsi="宋体" w:eastAsia="方正仿宋_GBK"/>
          <w:color w:val="auto"/>
          <w:sz w:val="24"/>
        </w:rPr>
      </w:pPr>
      <w:r>
        <w:rPr>
          <w:rFonts w:ascii="方正仿宋_GBK" w:eastAsia="方正仿宋_GBK"/>
          <w:b w:val="0"/>
          <w:color w:val="auto"/>
        </w:rPr>
        <w:br w:type="page"/>
      </w:r>
      <w:bookmarkStart w:id="217" w:name="_Toc32339"/>
      <w:bookmarkStart w:id="218" w:name="_Toc32158"/>
      <w:bookmarkStart w:id="219" w:name="_Toc27717"/>
      <w:bookmarkStart w:id="220" w:name="_Toc106034810"/>
      <w:bookmarkStart w:id="221" w:name="_Toc65660381"/>
      <w:bookmarkStart w:id="222" w:name="_Toc313008358"/>
      <w:bookmarkStart w:id="223" w:name="_Toc313888362"/>
      <w:bookmarkStart w:id="224" w:name="_Toc342913421"/>
      <w:r>
        <w:rPr>
          <w:rFonts w:hint="eastAsia" w:ascii="方正仿宋_GBK" w:hAnsi="宋体" w:eastAsia="方正仿宋_GBK"/>
          <w:color w:val="auto"/>
          <w:sz w:val="24"/>
        </w:rPr>
        <w:t>三、商务服务部分</w:t>
      </w:r>
      <w:bookmarkEnd w:id="217"/>
      <w:bookmarkEnd w:id="218"/>
      <w:bookmarkEnd w:id="219"/>
      <w:bookmarkEnd w:id="220"/>
      <w:bookmarkEnd w:id="221"/>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（一）商务服务响应偏离表                              </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ign w:val="center"/>
          </w:tcPr>
          <w:p>
            <w:pPr>
              <w:tabs>
                <w:tab w:val="left" w:pos="6300"/>
              </w:tabs>
              <w:snapToGrid w:val="0"/>
              <w:jc w:val="center"/>
              <w:outlineLvl w:val="0"/>
              <w:rPr>
                <w:rFonts w:ascii="方正仿宋_GBK" w:hAnsi="宋体" w:eastAsia="方正仿宋_GBK"/>
                <w:b/>
                <w:color w:val="auto"/>
                <w:sz w:val="21"/>
                <w:szCs w:val="24"/>
              </w:rPr>
            </w:pPr>
            <w:r>
              <w:rPr>
                <w:rFonts w:hint="eastAsia" w:ascii="方正仿宋_GBK" w:hAnsi="宋体" w:eastAsia="方正仿宋_GBK"/>
                <w:b/>
                <w:color w:val="auto"/>
                <w:sz w:val="21"/>
                <w:szCs w:val="24"/>
              </w:rPr>
              <w:t>序号</w:t>
            </w:r>
          </w:p>
        </w:tc>
        <w:tc>
          <w:tcPr>
            <w:tcW w:w="3184" w:type="dxa"/>
            <w:noWrap/>
            <w:vAlign w:val="center"/>
          </w:tcPr>
          <w:p>
            <w:pPr>
              <w:tabs>
                <w:tab w:val="left" w:pos="6300"/>
              </w:tabs>
              <w:snapToGrid w:val="0"/>
              <w:jc w:val="center"/>
              <w:outlineLvl w:val="0"/>
              <w:rPr>
                <w:rFonts w:ascii="方正仿宋_GBK" w:hAnsi="宋体" w:eastAsia="方正仿宋_GBK"/>
                <w:b/>
                <w:color w:val="auto"/>
                <w:sz w:val="21"/>
                <w:szCs w:val="24"/>
              </w:rPr>
            </w:pPr>
            <w:r>
              <w:rPr>
                <w:rFonts w:hint="eastAsia" w:ascii="方正仿宋_GBK" w:hAnsi="宋体" w:eastAsia="方正仿宋_GBK"/>
                <w:b/>
                <w:color w:val="auto"/>
                <w:sz w:val="21"/>
                <w:szCs w:val="24"/>
              </w:rPr>
              <w:t>项目商务需求</w:t>
            </w:r>
          </w:p>
        </w:tc>
        <w:tc>
          <w:tcPr>
            <w:tcW w:w="2438" w:type="dxa"/>
            <w:noWrap/>
            <w:vAlign w:val="center"/>
          </w:tcPr>
          <w:p>
            <w:pPr>
              <w:tabs>
                <w:tab w:val="left" w:pos="6300"/>
              </w:tabs>
              <w:snapToGrid w:val="0"/>
              <w:jc w:val="center"/>
              <w:outlineLvl w:val="0"/>
              <w:rPr>
                <w:rFonts w:ascii="方正仿宋_GBK" w:hAnsi="宋体" w:eastAsia="方正仿宋_GBK"/>
                <w:b/>
                <w:color w:val="auto"/>
                <w:sz w:val="21"/>
                <w:szCs w:val="24"/>
              </w:rPr>
            </w:pPr>
            <w:r>
              <w:rPr>
                <w:rFonts w:hint="eastAsia" w:ascii="方正仿宋_GBK" w:hAnsi="宋体" w:eastAsia="方正仿宋_GBK"/>
                <w:b/>
                <w:color w:val="auto"/>
                <w:sz w:val="21"/>
                <w:szCs w:val="24"/>
              </w:rPr>
              <w:t>响应情况</w:t>
            </w:r>
          </w:p>
        </w:tc>
        <w:tc>
          <w:tcPr>
            <w:tcW w:w="2359" w:type="dxa"/>
            <w:noWrap/>
            <w:vAlign w:val="center"/>
          </w:tcPr>
          <w:p>
            <w:pPr>
              <w:tabs>
                <w:tab w:val="left" w:pos="6300"/>
              </w:tabs>
              <w:snapToGrid w:val="0"/>
              <w:jc w:val="center"/>
              <w:outlineLvl w:val="0"/>
              <w:rPr>
                <w:rFonts w:ascii="方正仿宋_GBK" w:hAnsi="宋体" w:eastAsia="方正仿宋_GBK"/>
                <w:b/>
                <w:color w:val="auto"/>
                <w:sz w:val="21"/>
                <w:szCs w:val="24"/>
              </w:rPr>
            </w:pPr>
            <w:r>
              <w:rPr>
                <w:rFonts w:hint="eastAsia" w:ascii="方正仿宋_GBK" w:hAnsi="宋体" w:eastAsia="方正仿宋_GBK"/>
                <w:b/>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3184"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2438" w:type="dxa"/>
            <w:noWrap/>
            <w:vAlign w:val="center"/>
          </w:tcPr>
          <w:p>
            <w:pPr>
              <w:tabs>
                <w:tab w:val="left" w:pos="6300"/>
              </w:tabs>
              <w:snapToGrid w:val="0"/>
              <w:outlineLvl w:val="0"/>
              <w:rPr>
                <w:rFonts w:ascii="方正仿宋_GBK" w:hAnsi="宋体" w:eastAsia="方正仿宋_GBK"/>
                <w:color w:val="auto"/>
                <w:sz w:val="21"/>
                <w:szCs w:val="24"/>
              </w:rPr>
            </w:pPr>
            <w:r>
              <w:rPr>
                <w:rFonts w:hint="eastAsia" w:ascii="方正仿宋_GBK" w:hAnsi="仿宋" w:eastAsia="方正仿宋_GBK"/>
                <w:color w:val="auto"/>
                <w:sz w:val="21"/>
                <w:szCs w:val="21"/>
              </w:rPr>
              <w:t>提醒：请注明具体内容以及响应文件中具体内容的位置（页码）</w:t>
            </w:r>
          </w:p>
        </w:tc>
        <w:tc>
          <w:tcPr>
            <w:tcW w:w="2359" w:type="dxa"/>
            <w:noWrap/>
            <w:vAlign w:val="center"/>
          </w:tcPr>
          <w:p>
            <w:pPr>
              <w:tabs>
                <w:tab w:val="left" w:pos="6300"/>
              </w:tabs>
              <w:snapToGrid w:val="0"/>
              <w:jc w:val="center"/>
              <w:outlineLvl w:val="0"/>
              <w:rPr>
                <w:rFonts w:ascii="方正仿宋_GBK" w:hAnsi="宋体" w:eastAsia="方正仿宋_GBK"/>
                <w:color w:val="auto"/>
                <w:sz w:val="21"/>
                <w:szCs w:val="24"/>
              </w:rPr>
            </w:pPr>
            <w:r>
              <w:rPr>
                <w:rFonts w:hint="eastAsia" w:ascii="方正仿宋_GBK" w:hAnsi="仿宋" w:eastAsia="方正仿宋_GBK"/>
                <w:color w:val="auto"/>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3184"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2438"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2359" w:type="dxa"/>
            <w:noWrap/>
            <w:vAlign w:val="center"/>
          </w:tcPr>
          <w:p>
            <w:pPr>
              <w:tabs>
                <w:tab w:val="left" w:pos="6300"/>
              </w:tabs>
              <w:snapToGrid w:val="0"/>
              <w:jc w:val="center"/>
              <w:outlineLvl w:val="0"/>
              <w:rPr>
                <w:rFonts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3184"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2438"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2359" w:type="dxa"/>
            <w:noWrap/>
            <w:vAlign w:val="center"/>
          </w:tcPr>
          <w:p>
            <w:pPr>
              <w:tabs>
                <w:tab w:val="left" w:pos="6300"/>
              </w:tabs>
              <w:snapToGrid w:val="0"/>
              <w:jc w:val="center"/>
              <w:outlineLvl w:val="0"/>
              <w:rPr>
                <w:rFonts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3184"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2438"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2359" w:type="dxa"/>
            <w:noWrap/>
            <w:vAlign w:val="center"/>
          </w:tcPr>
          <w:p>
            <w:pPr>
              <w:tabs>
                <w:tab w:val="left" w:pos="6300"/>
              </w:tabs>
              <w:snapToGrid w:val="0"/>
              <w:jc w:val="center"/>
              <w:outlineLvl w:val="0"/>
              <w:rPr>
                <w:rFonts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3184"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2438"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2359" w:type="dxa"/>
            <w:noWrap/>
            <w:vAlign w:val="center"/>
          </w:tcPr>
          <w:p>
            <w:pPr>
              <w:tabs>
                <w:tab w:val="left" w:pos="6300"/>
              </w:tabs>
              <w:snapToGrid w:val="0"/>
              <w:jc w:val="center"/>
              <w:outlineLvl w:val="0"/>
              <w:rPr>
                <w:rFonts w:ascii="方正仿宋_GBK" w:hAnsi="宋体" w:eastAsia="方正仿宋_GBK"/>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3184"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2438" w:type="dxa"/>
            <w:noWrap/>
            <w:vAlign w:val="center"/>
          </w:tcPr>
          <w:p>
            <w:pPr>
              <w:tabs>
                <w:tab w:val="left" w:pos="6300"/>
              </w:tabs>
              <w:snapToGrid w:val="0"/>
              <w:jc w:val="center"/>
              <w:outlineLvl w:val="0"/>
              <w:rPr>
                <w:rFonts w:ascii="方正仿宋_GBK" w:hAnsi="宋体" w:eastAsia="方正仿宋_GBK"/>
                <w:color w:val="auto"/>
                <w:sz w:val="21"/>
                <w:szCs w:val="24"/>
              </w:rPr>
            </w:pPr>
          </w:p>
        </w:tc>
        <w:tc>
          <w:tcPr>
            <w:tcW w:w="2359" w:type="dxa"/>
            <w:noWrap/>
            <w:vAlign w:val="center"/>
          </w:tcPr>
          <w:p>
            <w:pPr>
              <w:tabs>
                <w:tab w:val="left" w:pos="6300"/>
              </w:tabs>
              <w:snapToGrid w:val="0"/>
              <w:jc w:val="center"/>
              <w:outlineLvl w:val="0"/>
              <w:rPr>
                <w:rFonts w:ascii="方正仿宋_GBK" w:hAnsi="宋体" w:eastAsia="方正仿宋_GBK"/>
                <w:color w:val="auto"/>
                <w:sz w:val="21"/>
                <w:szCs w:val="24"/>
              </w:rPr>
            </w:pPr>
          </w:p>
        </w:tc>
      </w:tr>
    </w:tbl>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法定代表人（或其授权代表）或自然人</w:t>
      </w:r>
      <w:r>
        <w:rPr>
          <w:rFonts w:hint="eastAsia" w:ascii="方正仿宋_GBK" w:hAnsi="宋体" w:eastAsia="方正仿宋_GBK"/>
          <w:color w:val="auto"/>
          <w:sz w:val="24"/>
          <w:szCs w:val="28"/>
        </w:rPr>
        <w:t>：</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360" w:firstLineChars="15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rPr>
        <w:t>2.本表可扩展</w:t>
      </w:r>
      <w:r>
        <w:rPr>
          <w:rFonts w:hint="eastAsia" w:ascii="方正仿宋_GBK" w:hAnsi="宋体" w:eastAsia="方正仿宋_GBK"/>
          <w:color w:val="auto"/>
          <w:sz w:val="24"/>
          <w:szCs w:val="24"/>
        </w:rPr>
        <w:t>。</w:t>
      </w:r>
    </w:p>
    <w:p>
      <w:pPr>
        <w:tabs>
          <w:tab w:val="left" w:pos="6300"/>
        </w:tabs>
        <w:snapToGrid w:val="0"/>
        <w:spacing w:line="480" w:lineRule="exact"/>
        <w:ind w:firstLine="480" w:firstLineChars="200"/>
        <w:rPr>
          <w:rFonts w:ascii="方正仿宋_GBK" w:hAnsi="宋体" w:eastAsia="方正仿宋_GBK"/>
          <w:color w:val="auto"/>
          <w:sz w:val="24"/>
          <w:szCs w:val="24"/>
        </w:rPr>
      </w:pPr>
    </w:p>
    <w:p>
      <w:pPr>
        <w:tabs>
          <w:tab w:val="left" w:pos="6300"/>
        </w:tabs>
        <w:snapToGrid w:val="0"/>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br w:type="page"/>
      </w:r>
      <w:r>
        <w:rPr>
          <w:rFonts w:hint="eastAsia" w:ascii="方正仿宋_GBK" w:hAnsi="宋体" w:eastAsia="方正仿宋_GBK"/>
          <w:color w:val="auto"/>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color w:val="auto"/>
          <w:sz w:val="24"/>
          <w:szCs w:val="24"/>
        </w:rPr>
      </w:pPr>
    </w:p>
    <w:p>
      <w:pPr>
        <w:pStyle w:val="3"/>
        <w:adjustRightInd w:val="0"/>
        <w:snapToGrid w:val="0"/>
        <w:spacing w:line="400" w:lineRule="exact"/>
        <w:ind w:firstLine="480" w:firstLineChars="200"/>
        <w:rPr>
          <w:rFonts w:ascii="方正仿宋_GBK" w:hAnsi="宋体" w:eastAsia="方正仿宋_GBK"/>
          <w:color w:val="auto"/>
          <w:sz w:val="24"/>
        </w:rPr>
      </w:pPr>
      <w:r>
        <w:rPr>
          <w:rFonts w:ascii="方正仿宋_GBK" w:hAnsi="宋体" w:eastAsia="方正仿宋_GBK"/>
          <w:color w:val="auto"/>
          <w:sz w:val="24"/>
          <w:szCs w:val="24"/>
        </w:rPr>
        <w:br w:type="page"/>
      </w:r>
      <w:bookmarkStart w:id="225" w:name="_Toc21793"/>
      <w:bookmarkStart w:id="226" w:name="_Toc106034811"/>
      <w:bookmarkStart w:id="227" w:name="_Toc65660382"/>
      <w:bookmarkStart w:id="228" w:name="_Toc2082"/>
      <w:bookmarkStart w:id="229" w:name="_Toc20162"/>
      <w:r>
        <w:rPr>
          <w:rFonts w:hint="eastAsia" w:ascii="方正仿宋_GBK" w:hAnsi="宋体" w:eastAsia="方正仿宋_GBK"/>
          <w:color w:val="auto"/>
          <w:sz w:val="24"/>
        </w:rPr>
        <w:t>四、</w:t>
      </w:r>
      <w:bookmarkEnd w:id="222"/>
      <w:bookmarkEnd w:id="223"/>
      <w:bookmarkEnd w:id="224"/>
      <w:r>
        <w:rPr>
          <w:rFonts w:hint="eastAsia" w:ascii="方正仿宋_GBK" w:hAnsi="宋体" w:eastAsia="方正仿宋_GBK"/>
          <w:color w:val="auto"/>
          <w:sz w:val="24"/>
        </w:rPr>
        <w:t>资格条件及其他</w:t>
      </w:r>
      <w:bookmarkEnd w:id="225"/>
      <w:bookmarkEnd w:id="226"/>
      <w:bookmarkEnd w:id="227"/>
      <w:bookmarkEnd w:id="228"/>
      <w:bookmarkEnd w:id="229"/>
      <w:bookmarkStart w:id="230" w:name="_Toc342913422"/>
      <w:bookmarkStart w:id="231" w:name="_Toc313888363"/>
      <w:bookmarkStart w:id="232" w:name="_Toc313008359"/>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color w:val="auto"/>
          <w:sz w:val="24"/>
          <w:szCs w:val="24"/>
        </w:rPr>
      </w:pP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widowControl/>
        <w:spacing w:line="400" w:lineRule="exact"/>
        <w:ind w:firstLine="56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宋体" w:eastAsia="方正仿宋_GBK"/>
          <w:color w:val="auto"/>
          <w:sz w:val="24"/>
          <w:szCs w:val="24"/>
          <w:u w:val="single"/>
        </w:rPr>
        <w:t>采购人或采购代理机构名称</w:t>
      </w:r>
      <w:r>
        <w:rPr>
          <w:rFonts w:hint="eastAsia" w:ascii="方正仿宋_GBK" w:hAnsi="宋体" w:eastAsia="方正仿宋_GBK"/>
          <w:color w:val="auto"/>
          <w:sz w:val="24"/>
        </w:rPr>
        <w:t>）：</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widowControl/>
        <w:spacing w:line="400" w:lineRule="exact"/>
        <w:ind w:firstLine="560" w:firstLineChars="200"/>
        <w:jc w:val="left"/>
        <w:rPr>
          <w:rFonts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宋体" w:eastAsia="方正仿宋_GBK"/>
          <w:color w:val="auto"/>
          <w:sz w:val="24"/>
          <w:szCs w:val="24"/>
          <w:u w:val="single"/>
        </w:rPr>
        <w:t>采购人或采购代理机构名称</w:t>
      </w:r>
      <w:r>
        <w:rPr>
          <w:rFonts w:hint="eastAsia" w:ascii="方正仿宋_GBK" w:hAnsi="宋体" w:eastAsia="方正仿宋_GBK"/>
          <w:color w:val="auto"/>
          <w:sz w:val="24"/>
        </w:rPr>
        <w:t>）：</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被授权人：                                 供应商法定代表人：</w:t>
      </w:r>
    </w:p>
    <w:p>
      <w:pPr>
        <w:tabs>
          <w:tab w:val="left" w:pos="6300"/>
        </w:tabs>
        <w:snapToGrid w:val="0"/>
        <w:spacing w:line="500" w:lineRule="exact"/>
        <w:ind w:firstLine="570"/>
        <w:rPr>
          <w:rFonts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pPr>
        <w:tabs>
          <w:tab w:val="left" w:pos="6300"/>
        </w:tabs>
        <w:snapToGrid w:val="0"/>
        <w:spacing w:line="500" w:lineRule="exact"/>
        <w:ind w:firstLine="570"/>
        <w:rPr>
          <w:rFonts w:ascii="方正仿宋_GBK" w:hAnsi="宋体" w:eastAsia="方正仿宋_GBK"/>
          <w:color w:val="auto"/>
          <w:sz w:val="24"/>
          <w:szCs w:val="28"/>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注：</w:t>
      </w:r>
    </w:p>
    <w:p>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color w:val="auto"/>
          <w:sz w:val="24"/>
        </w:rPr>
      </w:pPr>
      <w:r>
        <w:rPr>
          <w:rFonts w:hint="eastAsia" w:ascii="方正仿宋_GBK" w:hAnsi="仿宋" w:eastAsia="方正仿宋_GBK"/>
          <w:color w:val="auto"/>
          <w:sz w:val="24"/>
        </w:rPr>
        <w:t>2.若为联合体参与的，法定代表人授权委托书由联合体主办方</w:t>
      </w:r>
      <w:r>
        <w:rPr>
          <w:rFonts w:hint="eastAsia" w:ascii="方正仿宋_GBK" w:hAnsi="仿宋" w:eastAsia="方正仿宋_GBK" w:cs="宋体"/>
          <w:color w:val="auto"/>
          <w:kern w:val="0"/>
          <w:sz w:val="24"/>
          <w:szCs w:val="24"/>
        </w:rPr>
        <w:t>（主体）</w:t>
      </w:r>
      <w:r>
        <w:rPr>
          <w:rFonts w:hint="eastAsia" w:ascii="方正仿宋_GBK" w:hAnsi="仿宋" w:eastAsia="方正仿宋_GBK"/>
          <w:color w:val="auto"/>
          <w:sz w:val="24"/>
        </w:rPr>
        <w:t>出具。</w:t>
      </w:r>
    </w:p>
    <w:p>
      <w:pPr>
        <w:widowControl/>
        <w:spacing w:line="400" w:lineRule="exact"/>
        <w:ind w:firstLine="560" w:firstLineChars="200"/>
        <w:jc w:val="left"/>
        <w:rPr>
          <w:rFonts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（四）基本资格条件承诺函（格式）</w:t>
      </w:r>
    </w:p>
    <w:p>
      <w:pPr>
        <w:tabs>
          <w:tab w:val="left" w:pos="6300"/>
        </w:tabs>
        <w:snapToGrid w:val="0"/>
        <w:spacing w:line="500" w:lineRule="exact"/>
        <w:ind w:firstLine="640" w:firstLineChars="200"/>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pPr>
        <w:tabs>
          <w:tab w:val="left" w:pos="6300"/>
        </w:tabs>
        <w:snapToGrid w:val="0"/>
        <w:spacing w:line="530" w:lineRule="exact"/>
        <w:rPr>
          <w:color w:val="auto"/>
          <w:sz w:val="24"/>
        </w:rPr>
      </w:pP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（采购人或采购代理机构名称）：</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特此承诺。</w:t>
      </w:r>
    </w:p>
    <w:p>
      <w:pPr>
        <w:tabs>
          <w:tab w:val="left" w:pos="6300"/>
        </w:tabs>
        <w:snapToGrid w:val="0"/>
        <w:spacing w:line="500" w:lineRule="exact"/>
        <w:ind w:firstLine="480" w:firstLineChars="200"/>
        <w:rPr>
          <w:rFonts w:ascii="方正仿宋_GBK" w:hAnsi="仿宋" w:eastAsia="方正仿宋_GBK"/>
          <w:color w:val="auto"/>
          <w:sz w:val="24"/>
        </w:rPr>
      </w:pPr>
    </w:p>
    <w:p>
      <w:pPr>
        <w:tabs>
          <w:tab w:val="left" w:pos="6300"/>
        </w:tabs>
        <w:snapToGrid w:val="0"/>
        <w:spacing w:line="500" w:lineRule="exact"/>
        <w:ind w:firstLine="480" w:firstLineChars="200"/>
        <w:jc w:val="right"/>
        <w:rPr>
          <w:rFonts w:ascii="方正仿宋_GBK" w:hAnsi="仿宋" w:eastAsia="方正仿宋_GBK"/>
          <w:color w:val="auto"/>
          <w:sz w:val="24"/>
        </w:rPr>
      </w:pPr>
      <w:r>
        <w:rPr>
          <w:rFonts w:hint="eastAsia" w:ascii="方正仿宋_GBK" w:hAnsi="仿宋" w:eastAsia="方正仿宋_GBK"/>
          <w:color w:val="auto"/>
          <w:sz w:val="24"/>
        </w:rPr>
        <w:t>（供应商公章）</w:t>
      </w:r>
    </w:p>
    <w:p>
      <w:pPr>
        <w:widowControl/>
        <w:spacing w:line="400" w:lineRule="exact"/>
        <w:ind w:firstLine="7920" w:firstLineChars="3300"/>
        <w:jc w:val="left"/>
        <w:rPr>
          <w:rFonts w:ascii="方正仿宋_GBK" w:hAnsi="宋体" w:eastAsia="方正仿宋_GBK"/>
          <w:color w:val="auto"/>
          <w:sz w:val="24"/>
          <w:szCs w:val="24"/>
        </w:rPr>
      </w:pPr>
      <w:r>
        <w:rPr>
          <w:rFonts w:hint="eastAsia" w:ascii="方正仿宋_GBK" w:hAnsi="仿宋" w:eastAsia="方正仿宋_GBK"/>
          <w:color w:val="auto"/>
          <w:sz w:val="24"/>
        </w:rPr>
        <w:t>年   月   日</w:t>
      </w:r>
    </w:p>
    <w:p>
      <w:pPr>
        <w:widowControl/>
        <w:spacing w:line="400" w:lineRule="exact"/>
        <w:ind w:firstLine="56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（五）特定资格条件证书或证明文件</w:t>
      </w:r>
    </w:p>
    <w:p>
      <w:pPr>
        <w:widowControl/>
        <w:spacing w:line="400" w:lineRule="exact"/>
        <w:ind w:firstLine="480" w:firstLineChars="200"/>
        <w:jc w:val="left"/>
        <w:rPr>
          <w:rFonts w:ascii="方正仿宋_GBK" w:hAnsi="宋体" w:eastAsia="方正仿宋_GBK"/>
          <w:color w:val="auto"/>
          <w:sz w:val="24"/>
          <w:szCs w:val="24"/>
        </w:rPr>
      </w:pPr>
    </w:p>
    <w:p>
      <w:pPr>
        <w:pStyle w:val="3"/>
        <w:adjustRightInd w:val="0"/>
        <w:snapToGrid w:val="0"/>
        <w:spacing w:line="400" w:lineRule="exact"/>
        <w:ind w:firstLine="480" w:firstLineChars="200"/>
        <w:rPr>
          <w:rFonts w:ascii="方正仿宋_GBK" w:hAnsi="宋体" w:eastAsia="方正仿宋_GBK"/>
          <w:color w:val="auto"/>
          <w:sz w:val="24"/>
        </w:rPr>
      </w:pPr>
      <w:r>
        <w:rPr>
          <w:rFonts w:ascii="方正仿宋_GBK" w:hAnsi="宋体" w:eastAsia="方正仿宋_GBK"/>
          <w:color w:val="auto"/>
          <w:sz w:val="24"/>
          <w:szCs w:val="24"/>
        </w:rPr>
        <w:br w:type="page"/>
      </w:r>
      <w:bookmarkStart w:id="233" w:name="_Toc17010"/>
      <w:bookmarkStart w:id="234" w:name="_Toc106034812"/>
      <w:bookmarkStart w:id="235" w:name="_Toc65660383"/>
      <w:bookmarkStart w:id="236" w:name="_Toc15815"/>
      <w:bookmarkStart w:id="237" w:name="_Toc2080"/>
      <w:r>
        <w:rPr>
          <w:rFonts w:hint="eastAsia" w:ascii="方正仿宋_GBK" w:hAnsi="宋体" w:eastAsia="方正仿宋_GBK"/>
          <w:color w:val="auto"/>
          <w:sz w:val="24"/>
        </w:rPr>
        <w:t>五、</w:t>
      </w:r>
      <w:bookmarkEnd w:id="230"/>
      <w:bookmarkEnd w:id="231"/>
      <w:bookmarkEnd w:id="232"/>
      <w:r>
        <w:rPr>
          <w:rFonts w:hint="eastAsia" w:ascii="方正仿宋_GBK" w:hAnsi="宋体" w:eastAsia="方正仿宋_GBK"/>
          <w:color w:val="auto"/>
          <w:sz w:val="24"/>
        </w:rPr>
        <w:t>其他资料</w:t>
      </w:r>
      <w:bookmarkEnd w:id="233"/>
      <w:bookmarkEnd w:id="234"/>
      <w:bookmarkEnd w:id="235"/>
      <w:bookmarkEnd w:id="236"/>
      <w:bookmarkEnd w:id="237"/>
    </w:p>
    <w:p>
      <w:pPr>
        <w:widowControl/>
        <w:spacing w:line="400" w:lineRule="exact"/>
        <w:ind w:firstLine="480" w:firstLineChars="200"/>
        <w:jc w:val="left"/>
        <w:rPr>
          <w:rFonts w:ascii="方正仿宋_GBK" w:hAnsi="宋体" w:eastAsia="方正仿宋_GBK"/>
          <w:color w:val="auto"/>
          <w:sz w:val="24"/>
          <w:szCs w:val="24"/>
        </w:rPr>
      </w:pPr>
      <w:r>
        <w:rPr>
          <w:rFonts w:hint="eastAsia" w:ascii="方正仿宋_GBK" w:hAnsi="宋体" w:eastAsia="方正仿宋_GBK"/>
          <w:color w:val="auto"/>
          <w:sz w:val="24"/>
          <w:szCs w:val="24"/>
        </w:rPr>
        <w:t>（一）其他与项目有关的资料（自附）</w:t>
      </w:r>
    </w:p>
    <w:p>
      <w:pPr>
        <w:jc w:val="left"/>
        <w:rPr>
          <w:rFonts w:ascii="宋体" w:hAnsi="宋体" w:cs="宋体"/>
          <w:b/>
          <w:bCs/>
          <w:color w:val="auto"/>
          <w:sz w:val="32"/>
          <w:szCs w:val="32"/>
        </w:rPr>
      </w:pPr>
      <w:r>
        <w:rPr>
          <w:rFonts w:hint="eastAsia" w:ascii="方正仿宋_GBK" w:hAnsi="宋体" w:eastAsia="方正仿宋_GBK"/>
          <w:color w:val="auto"/>
          <w:sz w:val="24"/>
          <w:szCs w:val="24"/>
        </w:rPr>
        <w:br w:type="page"/>
      </w:r>
      <w:r>
        <w:rPr>
          <w:rFonts w:hint="eastAsia" w:ascii="宋体" w:hAnsi="宋体" w:cs="宋体"/>
          <w:b/>
          <w:bCs/>
          <w:color w:val="auto"/>
          <w:sz w:val="32"/>
          <w:szCs w:val="32"/>
        </w:rPr>
        <w:t>附件：重庆华大工程管理有限公司采购文件发售登记表</w:t>
      </w:r>
    </w:p>
    <w:p>
      <w:pPr>
        <w:jc w:val="left"/>
        <w:rPr>
          <w:rFonts w:ascii="宋体" w:hAnsi="宋体" w:cs="宋体"/>
          <w:b/>
          <w:bCs/>
          <w:color w:val="auto"/>
          <w:spacing w:val="40"/>
          <w:sz w:val="32"/>
          <w:szCs w:val="32"/>
        </w:rPr>
      </w:pPr>
    </w:p>
    <w:tbl>
      <w:tblPr>
        <w:tblStyle w:val="57"/>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noWrap/>
            <w:vAlign w:val="center"/>
          </w:tcPr>
          <w:p>
            <w:pPr>
              <w:jc w:val="center"/>
              <w:rPr>
                <w:rFonts w:ascii="宋体" w:hAnsi="宋体" w:cs="宋体"/>
                <w:color w:val="auto"/>
                <w:sz w:val="30"/>
                <w:szCs w:val="30"/>
              </w:rPr>
            </w:pPr>
            <w:r>
              <w:rPr>
                <w:rFonts w:hint="eastAsia" w:ascii="宋体" w:hAnsi="宋体" w:cs="宋体"/>
                <w:color w:val="auto"/>
                <w:sz w:val="30"/>
                <w:szCs w:val="30"/>
              </w:rPr>
              <w:t>项目编号</w:t>
            </w:r>
          </w:p>
        </w:tc>
        <w:tc>
          <w:tcPr>
            <w:tcW w:w="8280" w:type="dxa"/>
            <w:gridSpan w:val="3"/>
            <w:noWrap/>
            <w:vAlign w:val="center"/>
          </w:tcPr>
          <w:p>
            <w:pPr>
              <w:jc w:val="center"/>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noWrap/>
            <w:vAlign w:val="center"/>
          </w:tcPr>
          <w:p>
            <w:pPr>
              <w:jc w:val="center"/>
              <w:rPr>
                <w:rFonts w:ascii="宋体" w:hAnsi="宋体" w:cs="宋体"/>
                <w:color w:val="auto"/>
                <w:sz w:val="30"/>
                <w:szCs w:val="30"/>
              </w:rPr>
            </w:pPr>
            <w:r>
              <w:rPr>
                <w:rFonts w:hint="eastAsia" w:ascii="宋体" w:hAnsi="宋体" w:cs="宋体"/>
                <w:color w:val="auto"/>
                <w:sz w:val="30"/>
                <w:szCs w:val="30"/>
              </w:rPr>
              <w:t>项目名称</w:t>
            </w:r>
          </w:p>
        </w:tc>
        <w:tc>
          <w:tcPr>
            <w:tcW w:w="8280" w:type="dxa"/>
            <w:gridSpan w:val="3"/>
            <w:noWrap/>
            <w:vAlign w:val="center"/>
          </w:tcPr>
          <w:p>
            <w:pPr>
              <w:jc w:val="center"/>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noWrap/>
            <w:vAlign w:val="center"/>
          </w:tcPr>
          <w:p>
            <w:pPr>
              <w:jc w:val="center"/>
              <w:rPr>
                <w:rFonts w:ascii="宋体" w:hAnsi="宋体" w:cs="宋体"/>
                <w:color w:val="auto"/>
                <w:sz w:val="30"/>
                <w:szCs w:val="30"/>
              </w:rPr>
            </w:pPr>
            <w:r>
              <w:rPr>
                <w:rFonts w:hint="eastAsia" w:ascii="宋体" w:hAnsi="宋体" w:cs="宋体"/>
                <w:color w:val="auto"/>
                <w:sz w:val="30"/>
                <w:szCs w:val="30"/>
              </w:rPr>
              <w:t>投标人名称</w:t>
            </w:r>
          </w:p>
        </w:tc>
        <w:tc>
          <w:tcPr>
            <w:tcW w:w="8280" w:type="dxa"/>
            <w:gridSpan w:val="3"/>
            <w:noWrap/>
            <w:vAlign w:val="bottom"/>
          </w:tcPr>
          <w:p>
            <w:pPr>
              <w:jc w:val="right"/>
              <w:rPr>
                <w:rFonts w:ascii="宋体" w:hAnsi="宋体" w:cs="宋体"/>
                <w:color w:val="auto"/>
                <w:sz w:val="30"/>
                <w:szCs w:val="30"/>
              </w:rPr>
            </w:pPr>
            <w:r>
              <w:rPr>
                <w:rFonts w:hint="eastAsia" w:ascii="宋体" w:hAnsi="宋体" w:cs="宋体"/>
                <w:color w:val="auto"/>
                <w:sz w:val="30"/>
                <w:szCs w:val="30"/>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ign w:val="center"/>
          </w:tcPr>
          <w:p>
            <w:pPr>
              <w:jc w:val="center"/>
              <w:rPr>
                <w:rFonts w:ascii="宋体" w:hAnsi="宋体" w:cs="宋体"/>
                <w:color w:val="auto"/>
                <w:sz w:val="30"/>
                <w:szCs w:val="30"/>
              </w:rPr>
            </w:pPr>
            <w:r>
              <w:rPr>
                <w:rFonts w:hint="eastAsia" w:ascii="宋体" w:hAnsi="宋体" w:cs="宋体"/>
                <w:color w:val="auto"/>
                <w:sz w:val="30"/>
                <w:szCs w:val="30"/>
              </w:rPr>
              <w:t>联系人</w:t>
            </w:r>
          </w:p>
        </w:tc>
        <w:tc>
          <w:tcPr>
            <w:tcW w:w="1964" w:type="dxa"/>
            <w:noWrap/>
            <w:vAlign w:val="center"/>
          </w:tcPr>
          <w:p>
            <w:pPr>
              <w:jc w:val="left"/>
              <w:rPr>
                <w:rFonts w:ascii="宋体" w:hAnsi="宋体" w:cs="宋体"/>
                <w:color w:val="auto"/>
                <w:sz w:val="30"/>
                <w:szCs w:val="30"/>
              </w:rPr>
            </w:pPr>
          </w:p>
        </w:tc>
        <w:tc>
          <w:tcPr>
            <w:tcW w:w="1305" w:type="dxa"/>
            <w:noWrap/>
            <w:vAlign w:val="center"/>
          </w:tcPr>
          <w:p>
            <w:pPr>
              <w:jc w:val="left"/>
              <w:rPr>
                <w:rFonts w:ascii="宋体" w:hAnsi="宋体" w:cs="宋体"/>
                <w:color w:val="auto"/>
                <w:sz w:val="30"/>
                <w:szCs w:val="30"/>
              </w:rPr>
            </w:pPr>
            <w:r>
              <w:rPr>
                <w:rFonts w:hint="eastAsia" w:ascii="宋体" w:hAnsi="宋体" w:cs="宋体"/>
                <w:color w:val="auto"/>
                <w:sz w:val="30"/>
                <w:szCs w:val="30"/>
              </w:rPr>
              <w:t>手机</w:t>
            </w:r>
          </w:p>
        </w:tc>
        <w:tc>
          <w:tcPr>
            <w:tcW w:w="5011" w:type="dxa"/>
            <w:noWrap/>
            <w:vAlign w:val="center"/>
          </w:tcPr>
          <w:p>
            <w:pPr>
              <w:jc w:val="left"/>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ign w:val="center"/>
          </w:tcPr>
          <w:p>
            <w:pPr>
              <w:jc w:val="center"/>
              <w:rPr>
                <w:rFonts w:ascii="宋体" w:hAnsi="宋体" w:cs="宋体"/>
                <w:color w:val="auto"/>
                <w:sz w:val="30"/>
                <w:szCs w:val="30"/>
              </w:rPr>
            </w:pPr>
            <w:r>
              <w:rPr>
                <w:rFonts w:hint="eastAsia" w:ascii="宋体" w:hAnsi="宋体" w:cs="宋体"/>
                <w:color w:val="auto"/>
                <w:sz w:val="30"/>
                <w:szCs w:val="30"/>
              </w:rPr>
              <w:t>办公电话</w:t>
            </w:r>
          </w:p>
        </w:tc>
        <w:tc>
          <w:tcPr>
            <w:tcW w:w="1964" w:type="dxa"/>
            <w:noWrap/>
            <w:vAlign w:val="center"/>
          </w:tcPr>
          <w:p>
            <w:pPr>
              <w:jc w:val="left"/>
              <w:rPr>
                <w:rFonts w:ascii="宋体" w:hAnsi="宋体" w:cs="宋体"/>
                <w:color w:val="auto"/>
                <w:sz w:val="30"/>
                <w:szCs w:val="30"/>
              </w:rPr>
            </w:pPr>
          </w:p>
        </w:tc>
        <w:tc>
          <w:tcPr>
            <w:tcW w:w="1305" w:type="dxa"/>
            <w:noWrap/>
            <w:vAlign w:val="center"/>
          </w:tcPr>
          <w:p>
            <w:pPr>
              <w:jc w:val="left"/>
              <w:rPr>
                <w:rFonts w:ascii="宋体" w:hAnsi="宋体" w:cs="宋体"/>
                <w:color w:val="auto"/>
                <w:sz w:val="30"/>
                <w:szCs w:val="30"/>
              </w:rPr>
            </w:pPr>
            <w:r>
              <w:rPr>
                <w:rFonts w:hint="eastAsia" w:ascii="宋体" w:hAnsi="宋体" w:cs="宋体"/>
                <w:color w:val="auto"/>
                <w:sz w:val="30"/>
                <w:szCs w:val="30"/>
              </w:rPr>
              <w:t>传真</w:t>
            </w:r>
          </w:p>
        </w:tc>
        <w:tc>
          <w:tcPr>
            <w:tcW w:w="5011" w:type="dxa"/>
            <w:noWrap/>
            <w:vAlign w:val="center"/>
          </w:tcPr>
          <w:p>
            <w:pPr>
              <w:jc w:val="left"/>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ign w:val="center"/>
          </w:tcPr>
          <w:p>
            <w:pPr>
              <w:jc w:val="center"/>
              <w:rPr>
                <w:rFonts w:ascii="宋体" w:hAnsi="宋体" w:cs="宋体"/>
                <w:color w:val="auto"/>
                <w:sz w:val="30"/>
                <w:szCs w:val="30"/>
              </w:rPr>
            </w:pPr>
            <w:r>
              <w:rPr>
                <w:rFonts w:hint="eastAsia" w:ascii="宋体" w:hAnsi="宋体" w:cs="宋体"/>
                <w:color w:val="auto"/>
                <w:sz w:val="30"/>
                <w:szCs w:val="30"/>
              </w:rPr>
              <w:t>E-mail</w:t>
            </w:r>
          </w:p>
        </w:tc>
        <w:tc>
          <w:tcPr>
            <w:tcW w:w="8280" w:type="dxa"/>
            <w:gridSpan w:val="3"/>
            <w:noWrap/>
            <w:vAlign w:val="center"/>
          </w:tcPr>
          <w:p>
            <w:pPr>
              <w:jc w:val="left"/>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ign w:val="center"/>
          </w:tcPr>
          <w:p>
            <w:pPr>
              <w:jc w:val="center"/>
              <w:rPr>
                <w:rFonts w:ascii="宋体" w:hAnsi="宋体" w:cs="宋体"/>
                <w:color w:val="auto"/>
                <w:sz w:val="30"/>
                <w:szCs w:val="30"/>
              </w:rPr>
            </w:pPr>
            <w:r>
              <w:rPr>
                <w:rFonts w:hint="eastAsia" w:ascii="宋体" w:hAnsi="宋体" w:cs="宋体"/>
                <w:color w:val="auto"/>
                <w:sz w:val="30"/>
                <w:szCs w:val="30"/>
              </w:rPr>
              <w:t>单位地址</w:t>
            </w:r>
          </w:p>
        </w:tc>
        <w:tc>
          <w:tcPr>
            <w:tcW w:w="8280" w:type="dxa"/>
            <w:gridSpan w:val="3"/>
            <w:noWrap/>
            <w:vAlign w:val="center"/>
          </w:tcPr>
          <w:p>
            <w:pPr>
              <w:jc w:val="left"/>
              <w:rPr>
                <w:rFonts w:ascii="宋体" w:hAnsi="宋体" w:cs="宋体"/>
                <w:color w:val="auto"/>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noWrap/>
            <w:vAlign w:val="center"/>
          </w:tcPr>
          <w:p>
            <w:pPr>
              <w:jc w:val="left"/>
              <w:rPr>
                <w:rFonts w:ascii="宋体" w:hAnsi="宋体" w:cs="宋体"/>
                <w:color w:val="auto"/>
                <w:sz w:val="30"/>
                <w:szCs w:val="30"/>
              </w:rPr>
            </w:pPr>
            <w:r>
              <w:rPr>
                <w:rFonts w:hint="eastAsia" w:ascii="宋体" w:hAnsi="宋体" w:cs="宋体"/>
                <w:color w:val="auto"/>
                <w:sz w:val="30"/>
                <w:szCs w:val="30"/>
              </w:rPr>
              <w:t xml:space="preserve">    日期：</w:t>
            </w:r>
            <w:r>
              <w:rPr>
                <w:rFonts w:hint="eastAsia" w:ascii="宋体" w:hAnsi="宋体" w:cs="宋体"/>
                <w:color w:val="auto"/>
                <w:sz w:val="30"/>
                <w:szCs w:val="30"/>
                <w:u w:val="single"/>
              </w:rPr>
              <w:t xml:space="preserve">     </w:t>
            </w:r>
            <w:r>
              <w:rPr>
                <w:rFonts w:hint="eastAsia" w:ascii="宋体" w:hAnsi="宋体" w:cs="宋体"/>
                <w:color w:val="auto"/>
                <w:sz w:val="30"/>
                <w:szCs w:val="30"/>
              </w:rPr>
              <w:t xml:space="preserve"> 年</w:t>
            </w:r>
            <w:r>
              <w:rPr>
                <w:rFonts w:hint="eastAsia" w:ascii="宋体" w:hAnsi="宋体" w:cs="宋体"/>
                <w:color w:val="auto"/>
                <w:sz w:val="30"/>
                <w:szCs w:val="30"/>
                <w:u w:val="single"/>
              </w:rPr>
              <w:t xml:space="preserve">    </w:t>
            </w:r>
            <w:r>
              <w:rPr>
                <w:rFonts w:hint="eastAsia" w:ascii="宋体" w:hAnsi="宋体" w:cs="宋体"/>
                <w:color w:val="auto"/>
                <w:sz w:val="30"/>
                <w:szCs w:val="30"/>
              </w:rPr>
              <w:t>月</w:t>
            </w:r>
            <w:r>
              <w:rPr>
                <w:rFonts w:hint="eastAsia" w:ascii="宋体" w:hAnsi="宋体" w:cs="宋体"/>
                <w:color w:val="auto"/>
                <w:sz w:val="30"/>
                <w:szCs w:val="30"/>
                <w:u w:val="single"/>
              </w:rPr>
              <w:t xml:space="preserve">    </w:t>
            </w:r>
            <w:r>
              <w:rPr>
                <w:rFonts w:hint="eastAsia" w:ascii="宋体" w:hAnsi="宋体" w:cs="宋体"/>
                <w:color w:val="auto"/>
                <w:sz w:val="30"/>
                <w:szCs w:val="30"/>
              </w:rPr>
              <w:t xml:space="preserve">日    </w:t>
            </w:r>
          </w:p>
        </w:tc>
      </w:tr>
    </w:tbl>
    <w:p>
      <w:pPr>
        <w:widowControl/>
        <w:spacing w:line="400" w:lineRule="exact"/>
        <w:ind w:firstLine="480" w:firstLineChars="200"/>
        <w:jc w:val="left"/>
        <w:rPr>
          <w:rFonts w:ascii="方正仿宋_GBK" w:hAnsi="宋体" w:eastAsia="方正仿宋_GBK"/>
          <w:color w:val="auto"/>
          <w:sz w:val="24"/>
          <w:szCs w:val="24"/>
        </w:rPr>
      </w:pPr>
    </w:p>
    <w:p>
      <w:pPr>
        <w:spacing w:line="360" w:lineRule="auto"/>
        <w:ind w:firstLine="480" w:firstLineChars="200"/>
        <w:rPr>
          <w:rFonts w:ascii="方正仿宋_GBK" w:hAnsi="宋体" w:eastAsia="方正仿宋_GBK"/>
          <w:color w:val="auto"/>
          <w:sz w:val="24"/>
          <w:szCs w:val="24"/>
        </w:rPr>
      </w:pPr>
    </w:p>
    <w:p>
      <w:pPr>
        <w:spacing w:line="360" w:lineRule="auto"/>
        <w:jc w:val="center"/>
        <w:rPr>
          <w:rFonts w:ascii="方正仿宋_GBK" w:hAnsi="仿宋" w:eastAsia="方正仿宋_GBK"/>
          <w:color w:val="auto"/>
        </w:rPr>
      </w:pPr>
    </w:p>
    <w:p>
      <w:pPr>
        <w:spacing w:line="360" w:lineRule="auto"/>
        <w:jc w:val="center"/>
        <w:rPr>
          <w:rFonts w:ascii="方正仿宋_GBK" w:hAnsi="仿宋" w:eastAsia="方正仿宋_GBK"/>
          <w:color w:val="auto"/>
        </w:rPr>
      </w:pPr>
      <w:r>
        <w:rPr>
          <w:rFonts w:hint="eastAsia" w:ascii="方正仿宋_GBK" w:hAnsi="仿宋" w:eastAsia="方正仿宋_GBK"/>
          <w:color w:val="auto"/>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- 6 -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68276"/>
    <w:multiLevelType w:val="singleLevel"/>
    <w:tmpl w:val="FD868276"/>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4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2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4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47736509"/>
    <w:multiLevelType w:val="singleLevel"/>
    <w:tmpl w:val="47736509"/>
    <w:lvl w:ilvl="0" w:tentative="0">
      <w:start w:val="5"/>
      <w:numFmt w:val="chineseCounting"/>
      <w:suff w:val="nothing"/>
      <w:lvlText w:val="%1、"/>
      <w:lvlJc w:val="left"/>
      <w:rPr>
        <w:rFonts w:hint="eastAsia"/>
      </w:rPr>
    </w:lvl>
  </w:abstractNum>
  <w:abstractNum w:abstractNumId="15">
    <w:nsid w:val="51F07E8E"/>
    <w:multiLevelType w:val="singleLevel"/>
    <w:tmpl w:val="51F07E8E"/>
    <w:lvl w:ilvl="0" w:tentative="0">
      <w:start w:val="1"/>
      <w:numFmt w:val="chineseCounting"/>
      <w:suff w:val="nothing"/>
      <w:lvlText w:val="%1、"/>
      <w:lvlJc w:val="left"/>
      <w:rPr>
        <w:rFonts w:hint="eastAsia"/>
      </w:rPr>
    </w:lvl>
  </w:abstractNum>
  <w:num w:numId="1">
    <w:abstractNumId w:val="9"/>
  </w:num>
  <w:num w:numId="2">
    <w:abstractNumId w:val="4"/>
  </w:num>
  <w:num w:numId="3">
    <w:abstractNumId w:val="10"/>
  </w:num>
  <w:num w:numId="4">
    <w:abstractNumId w:val="1"/>
  </w:num>
  <w:num w:numId="5">
    <w:abstractNumId w:val="12"/>
  </w:num>
  <w:num w:numId="6">
    <w:abstractNumId w:val="3"/>
  </w:num>
  <w:num w:numId="7">
    <w:abstractNumId w:val="5"/>
  </w:num>
  <w:num w:numId="8">
    <w:abstractNumId w:val="2"/>
  </w:num>
  <w:num w:numId="9">
    <w:abstractNumId w:val="11"/>
  </w:num>
  <w:num w:numId="10">
    <w:abstractNumId w:val="7"/>
  </w:num>
  <w:num w:numId="11">
    <w:abstractNumId w:val="8"/>
  </w:num>
  <w:num w:numId="12">
    <w:abstractNumId w:val="6"/>
  </w:num>
  <w:num w:numId="13">
    <w:abstractNumId w:val="13"/>
  </w:num>
  <w:num w:numId="14">
    <w:abstractNumId w:val="15"/>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2ZDQxOTg2MmQ4MDFmNTMxZjg0YTg5Zjc0NDhjZTEifQ=="/>
  </w:docVars>
  <w:rsids>
    <w:rsidRoot w:val="01C7700A"/>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4D47"/>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76ADB"/>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941D3"/>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0D649F"/>
    <w:rsid w:val="01C7700A"/>
    <w:rsid w:val="037F1AAB"/>
    <w:rsid w:val="0480254A"/>
    <w:rsid w:val="04D46D43"/>
    <w:rsid w:val="08C52A1E"/>
    <w:rsid w:val="0DAB64B5"/>
    <w:rsid w:val="10211A16"/>
    <w:rsid w:val="10766728"/>
    <w:rsid w:val="107752B0"/>
    <w:rsid w:val="11A92009"/>
    <w:rsid w:val="12D62551"/>
    <w:rsid w:val="15C1696D"/>
    <w:rsid w:val="1976008A"/>
    <w:rsid w:val="1B6E01C3"/>
    <w:rsid w:val="1BA4182E"/>
    <w:rsid w:val="1BD27C4D"/>
    <w:rsid w:val="1C746C70"/>
    <w:rsid w:val="1DF1193F"/>
    <w:rsid w:val="1ED03CC7"/>
    <w:rsid w:val="21E738ED"/>
    <w:rsid w:val="245B32B8"/>
    <w:rsid w:val="25F15DB5"/>
    <w:rsid w:val="266A7FA7"/>
    <w:rsid w:val="28356835"/>
    <w:rsid w:val="2B286BC5"/>
    <w:rsid w:val="2C2D2523"/>
    <w:rsid w:val="2F57706B"/>
    <w:rsid w:val="36EA2EF3"/>
    <w:rsid w:val="3A9E5DDE"/>
    <w:rsid w:val="3B0D2CD2"/>
    <w:rsid w:val="3D396C7C"/>
    <w:rsid w:val="402E2983"/>
    <w:rsid w:val="414C48A8"/>
    <w:rsid w:val="4311195E"/>
    <w:rsid w:val="446366DB"/>
    <w:rsid w:val="44637395"/>
    <w:rsid w:val="45C1250B"/>
    <w:rsid w:val="461F6313"/>
    <w:rsid w:val="4A0C2326"/>
    <w:rsid w:val="4AB71F04"/>
    <w:rsid w:val="4D6F2A8C"/>
    <w:rsid w:val="4E3F2D9E"/>
    <w:rsid w:val="51BB25F2"/>
    <w:rsid w:val="52F460A0"/>
    <w:rsid w:val="531E68CD"/>
    <w:rsid w:val="545C6AF1"/>
    <w:rsid w:val="59D9651C"/>
    <w:rsid w:val="5BD75000"/>
    <w:rsid w:val="5D1B313B"/>
    <w:rsid w:val="5E910B3F"/>
    <w:rsid w:val="666A0BEA"/>
    <w:rsid w:val="68BC1DF1"/>
    <w:rsid w:val="69E52920"/>
    <w:rsid w:val="72026C0C"/>
    <w:rsid w:val="721C3F61"/>
    <w:rsid w:val="75123F8E"/>
    <w:rsid w:val="789E5C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0"/>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75"/>
    <w:qFormat/>
    <w:uiPriority w:val="0"/>
    <w:pPr>
      <w:adjustRightInd/>
      <w:spacing w:line="240" w:lineRule="auto"/>
      <w:textAlignment w:val="auto"/>
    </w:pPr>
  </w:style>
  <w:style w:type="paragraph" w:styleId="55">
    <w:name w:val="Body Text First Indent"/>
    <w:basedOn w:val="22"/>
    <w:qFormat/>
    <w:uiPriority w:val="0"/>
    <w:pPr>
      <w:spacing w:line="360" w:lineRule="auto"/>
      <w:ind w:firstLine="420"/>
    </w:pPr>
    <w:rPr>
      <w:rFonts w:ascii="宋体" w:hAnsi="宋体"/>
      <w:sz w:val="24"/>
    </w:rPr>
  </w:style>
  <w:style w:type="paragraph" w:styleId="56">
    <w:name w:val="Body Text First Indent 2"/>
    <w:basedOn w:val="23"/>
    <w:link w:val="76"/>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纯文本 Char"/>
    <w:link w:val="30"/>
    <w:qFormat/>
    <w:uiPriority w:val="0"/>
    <w:rPr>
      <w:rFonts w:ascii="宋体" w:hAnsi="Courier New"/>
      <w:kern w:val="2"/>
      <w:sz w:val="21"/>
    </w:rPr>
  </w:style>
  <w:style w:type="character" w:customStyle="1" w:styleId="72">
    <w:name w:val="日期 Char"/>
    <w:link w:val="32"/>
    <w:qFormat/>
    <w:uiPriority w:val="0"/>
    <w:rPr>
      <w:kern w:val="2"/>
      <w:sz w:val="28"/>
    </w:rPr>
  </w:style>
  <w:style w:type="character" w:customStyle="1" w:styleId="73">
    <w:name w:val="正文文本缩进 2 Char"/>
    <w:link w:val="33"/>
    <w:qFormat/>
    <w:uiPriority w:val="0"/>
    <w:rPr>
      <w:kern w:val="2"/>
      <w:sz w:val="28"/>
    </w:rPr>
  </w:style>
  <w:style w:type="character" w:customStyle="1" w:styleId="74">
    <w:name w:val="脚注文本 Char"/>
    <w:link w:val="40"/>
    <w:qFormat/>
    <w:uiPriority w:val="0"/>
    <w:rPr>
      <w:kern w:val="2"/>
      <w:sz w:val="18"/>
    </w:rPr>
  </w:style>
  <w:style w:type="character" w:customStyle="1" w:styleId="75">
    <w:name w:val="批注主题 Char"/>
    <w:link w:val="54"/>
    <w:qFormat/>
    <w:uiPriority w:val="0"/>
  </w:style>
  <w:style w:type="character" w:customStyle="1" w:styleId="76">
    <w:name w:val="正文首行缩进 2 Char"/>
    <w:link w:val="56"/>
    <w:qFormat/>
    <w:uiPriority w:val="0"/>
  </w:style>
  <w:style w:type="character" w:customStyle="1" w:styleId="77">
    <w:name w:val="content-white1"/>
    <w:qFormat/>
    <w:uiPriority w:val="0"/>
    <w:rPr>
      <w:rFonts w:ascii="_x000B__x000C_" w:hAnsi="_x000B__x000C_"/>
      <w:color w:val="auto"/>
      <w:sz w:val="18"/>
      <w:u w:val="none"/>
    </w:rPr>
  </w:style>
  <w:style w:type="character" w:customStyle="1" w:styleId="78">
    <w:name w:val="Char Char3"/>
    <w:qFormat/>
    <w:uiPriority w:val="0"/>
    <w:rPr>
      <w:rFonts w:eastAsia="宋体"/>
      <w:kern w:val="2"/>
      <w:sz w:val="18"/>
      <w:lang w:val="en-US" w:eastAsia="zh-CN"/>
    </w:rPr>
  </w:style>
  <w:style w:type="character" w:customStyle="1" w:styleId="79">
    <w:name w:val="Table Text Char Char Char Char"/>
    <w:link w:val="80"/>
    <w:qFormat/>
    <w:uiPriority w:val="0"/>
    <w:rPr>
      <w:rFonts w:ascii="Arial" w:hAnsi="Arial"/>
      <w:kern w:val="2"/>
      <w:sz w:val="18"/>
      <w:lang w:val="en-US" w:eastAsia="zh-CN" w:bidi="ar-SA"/>
    </w:rPr>
  </w:style>
  <w:style w:type="paragraph" w:customStyle="1" w:styleId="80">
    <w:name w:val="Table Text Char Char Char"/>
    <w:link w:val="79"/>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Char Char7"/>
    <w:qFormat/>
    <w:uiPriority w:val="0"/>
    <w:rPr>
      <w:rFonts w:ascii="宋体" w:hAnsi="宋体" w:eastAsia="宋体"/>
      <w:kern w:val="2"/>
      <w:sz w:val="28"/>
    </w:rPr>
  </w:style>
  <w:style w:type="character" w:customStyle="1" w:styleId="82">
    <w:name w:val="未命名11"/>
    <w:qFormat/>
    <w:uiPriority w:val="0"/>
    <w:rPr>
      <w:color w:val="77FFFF"/>
      <w:sz w:val="24"/>
    </w:rPr>
  </w:style>
  <w:style w:type="character" w:customStyle="1" w:styleId="83">
    <w:name w:val="小 Char"/>
    <w:qFormat/>
    <w:uiPriority w:val="0"/>
    <w:rPr>
      <w:rFonts w:ascii="宋体" w:hAnsi="Courier New" w:eastAsia="宋体"/>
      <w:kern w:val="2"/>
      <w:sz w:val="21"/>
      <w:lang w:val="en-US" w:eastAsia="zh-CN" w:bidi="ar-SA"/>
    </w:rPr>
  </w:style>
  <w:style w:type="character" w:customStyle="1" w:styleId="84">
    <w:name w:val="文字 Char"/>
    <w:link w:val="85"/>
    <w:qFormat/>
    <w:uiPriority w:val="0"/>
    <w:rPr>
      <w:rFonts w:ascii="宋体"/>
      <w:kern w:val="2"/>
      <w:sz w:val="28"/>
    </w:rPr>
  </w:style>
  <w:style w:type="paragraph" w:customStyle="1" w:styleId="85">
    <w:name w:val="文字"/>
    <w:basedOn w:val="1"/>
    <w:link w:val="84"/>
    <w:qFormat/>
    <w:uiPriority w:val="0"/>
    <w:pPr>
      <w:tabs>
        <w:tab w:val="left" w:pos="8520"/>
      </w:tabs>
      <w:spacing w:line="312" w:lineRule="auto"/>
      <w:ind w:right="-210" w:firstLine="556"/>
    </w:pPr>
    <w:rPr>
      <w:rFonts w:ascii="宋体"/>
    </w:rPr>
  </w:style>
  <w:style w:type="character" w:customStyle="1" w:styleId="86">
    <w:name w:val="v151"/>
    <w:qFormat/>
    <w:uiPriority w:val="0"/>
    <w:rPr>
      <w:sz w:val="18"/>
    </w:rPr>
  </w:style>
  <w:style w:type="character" w:customStyle="1" w:styleId="87">
    <w:name w:val="Char Char2"/>
    <w:qFormat/>
    <w:uiPriority w:val="0"/>
    <w:rPr>
      <w:rFonts w:eastAsia="宋体"/>
      <w:kern w:val="2"/>
      <w:sz w:val="18"/>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Char Char11"/>
    <w:qFormat/>
    <w:uiPriority w:val="0"/>
    <w:rPr>
      <w:rFonts w:ascii="宋体"/>
      <w:kern w:val="2"/>
      <w:sz w:val="28"/>
    </w:rPr>
  </w:style>
  <w:style w:type="character" w:customStyle="1" w:styleId="92">
    <w:name w:val="样式 宋体"/>
    <w:qFormat/>
    <w:uiPriority w:val="0"/>
    <w:rPr>
      <w:rFonts w:ascii="宋体" w:hAnsi="宋体" w:eastAsia="宋体"/>
      <w:sz w:val="28"/>
    </w:rPr>
  </w:style>
  <w:style w:type="character" w:customStyle="1" w:styleId="93">
    <w:name w:val="正文 + 三号 Char"/>
    <w:qFormat/>
    <w:uiPriority w:val="0"/>
    <w:rPr>
      <w:rFonts w:eastAsia="宋体"/>
      <w:kern w:val="2"/>
      <w:sz w:val="21"/>
      <w:lang w:val="en-US" w:eastAsia="zh-CN"/>
    </w:rPr>
  </w:style>
  <w:style w:type="character" w:customStyle="1" w:styleId="94">
    <w:name w:val="crowed11"/>
    <w:qFormat/>
    <w:uiPriority w:val="0"/>
    <w:rPr>
      <w:rFonts w:hint="default" w:ascii="_x000B__x000C_" w:hAnsi="_x000B__x000C_"/>
      <w:sz w:val="24"/>
    </w:rPr>
  </w:style>
  <w:style w:type="character" w:customStyle="1" w:styleId="95">
    <w:name w:val="font1"/>
    <w:qFormat/>
    <w:uiPriority w:val="0"/>
    <w:rPr>
      <w:color w:val="000000"/>
      <w:sz w:val="18"/>
    </w:rPr>
  </w:style>
  <w:style w:type="character" w:customStyle="1" w:styleId="96">
    <w:name w:val="H2 Char"/>
    <w:qFormat/>
    <w:uiPriority w:val="0"/>
    <w:rPr>
      <w:rFonts w:ascii="Arial" w:hAnsi="Arial" w:eastAsia="宋体"/>
      <w:kern w:val="2"/>
      <w:sz w:val="28"/>
      <w:lang w:val="en-US" w:eastAsia="zh-CN"/>
    </w:rPr>
  </w:style>
  <w:style w:type="character" w:customStyle="1" w:styleId="97">
    <w:name w:val="Char Char4"/>
    <w:qFormat/>
    <w:uiPriority w:val="0"/>
    <w:rPr>
      <w:rFonts w:eastAsia="宋体"/>
      <w:b/>
      <w:kern w:val="2"/>
      <w:sz w:val="21"/>
      <w:lang w:val="en-US" w:eastAsia="zh-CN"/>
    </w:rPr>
  </w:style>
  <w:style w:type="character" w:customStyle="1" w:styleId="98">
    <w:name w:val="title_emph1"/>
    <w:qFormat/>
    <w:uiPriority w:val="0"/>
    <w:rPr>
      <w:rFonts w:hint="default" w:ascii="Arial" w:hAnsi="Arial"/>
      <w:b/>
      <w:sz w:val="20"/>
    </w:rPr>
  </w:style>
  <w:style w:type="character" w:customStyle="1" w:styleId="99">
    <w:name w:val="Char Char6"/>
    <w:qFormat/>
    <w:uiPriority w:val="0"/>
    <w:rPr>
      <w:rFonts w:ascii="仿宋_GB2312" w:eastAsia="仿宋_GB2312"/>
      <w:kern w:val="2"/>
      <w:sz w:val="32"/>
    </w:rPr>
  </w:style>
  <w:style w:type="character" w:customStyle="1" w:styleId="100">
    <w:name w:val="top-det1"/>
    <w:qFormat/>
    <w:uiPriority w:val="0"/>
    <w:rPr>
      <w:b/>
      <w:color w:val="000000"/>
    </w:rPr>
  </w:style>
  <w:style w:type="character" w:customStyle="1" w:styleId="101">
    <w:name w:val="Char Char5"/>
    <w:qFormat/>
    <w:uiPriority w:val="0"/>
    <w:rPr>
      <w:rFonts w:ascii="Arial" w:hAnsi="Arial" w:eastAsia="宋体"/>
      <w:b/>
      <w:smallCaps/>
      <w:kern w:val="28"/>
      <w:sz w:val="36"/>
      <w:lang w:val="en-US" w:eastAsia="en-US"/>
    </w:rPr>
  </w:style>
  <w:style w:type="character" w:customStyle="1" w:styleId="102">
    <w:name w:val="标书正文:  0.74 厘米 Char1"/>
    <w:qFormat/>
    <w:uiPriority w:val="0"/>
    <w:rPr>
      <w:rFonts w:eastAsia="宋体"/>
      <w:kern w:val="2"/>
      <w:sz w:val="24"/>
      <w:lang w:val="en-US" w:eastAsia="zh-CN"/>
    </w:rPr>
  </w:style>
  <w:style w:type="character" w:customStyle="1" w:styleId="103">
    <w:name w:val="Table Text Char1 Char"/>
    <w:qFormat/>
    <w:uiPriority w:val="0"/>
    <w:rPr>
      <w:rFonts w:ascii="Arial" w:hAnsi="Arial"/>
      <w:kern w:val="2"/>
      <w:sz w:val="18"/>
      <w:lang w:val="en-US" w:eastAsia="zh-CN" w:bidi="ar-SA"/>
    </w:rPr>
  </w:style>
  <w:style w:type="character" w:customStyle="1" w:styleId="104">
    <w:name w:val="Char Char"/>
    <w:qFormat/>
    <w:uiPriority w:val="0"/>
    <w:rPr>
      <w:rFonts w:ascii="宋体" w:hAnsi="宋体" w:eastAsia="宋体"/>
      <w:kern w:val="2"/>
      <w:sz w:val="24"/>
      <w:lang w:val="en-US" w:eastAsia="zh-CN" w:bidi="ar-SA"/>
    </w:rPr>
  </w:style>
  <w:style w:type="paragraph" w:customStyle="1" w:styleId="105">
    <w:name w:val="IN Feature"/>
    <w:next w:val="10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6">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07">
    <w:name w:val="表文字"/>
    <w:qFormat/>
    <w:uiPriority w:val="0"/>
    <w:rPr>
      <w:rFonts w:ascii="宋体" w:hAnsi="Times New Roman" w:eastAsia="宋体" w:cs="Times New Roman"/>
      <w:kern w:val="2"/>
      <w:lang w:val="en-US" w:eastAsia="zh-CN" w:bidi="ar-SA"/>
    </w:rPr>
  </w:style>
  <w:style w:type="paragraph" w:customStyle="1" w:styleId="10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9">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0">
    <w:name w:val="Char1 Char Char Char"/>
    <w:basedOn w:val="1"/>
    <w:qFormat/>
    <w:uiPriority w:val="0"/>
    <w:rPr>
      <w:rFonts w:ascii="Tahoma" w:hAnsi="Tahoma"/>
      <w:sz w:val="30"/>
    </w:rPr>
  </w:style>
  <w:style w:type="paragraph" w:customStyle="1" w:styleId="111">
    <w:name w:val="二级列表"/>
    <w:basedOn w:val="112"/>
    <w:next w:val="112"/>
    <w:qFormat/>
    <w:uiPriority w:val="0"/>
    <w:pPr>
      <w:tabs>
        <w:tab w:val="left" w:pos="2120"/>
      </w:tabs>
      <w:ind w:firstLine="0" w:firstLineChars="0"/>
    </w:pPr>
    <w:rPr>
      <w:b/>
    </w:rPr>
  </w:style>
  <w:style w:type="paragraph" w:customStyle="1" w:styleId="112">
    <w:name w:val="段落正文"/>
    <w:basedOn w:val="1"/>
    <w:qFormat/>
    <w:uiPriority w:val="0"/>
    <w:pPr>
      <w:spacing w:beforeLines="50" w:line="360" w:lineRule="auto"/>
      <w:ind w:firstLine="200" w:firstLineChars="200"/>
    </w:pPr>
    <w:rPr>
      <w:spacing w:val="2"/>
      <w:sz w:val="24"/>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1.正文"/>
    <w:basedOn w:val="1"/>
    <w:qFormat/>
    <w:uiPriority w:val="0"/>
    <w:pPr>
      <w:spacing w:line="360" w:lineRule="auto"/>
      <w:ind w:left="540" w:leftChars="225" w:firstLine="540" w:firstLineChars="225"/>
    </w:pPr>
    <w:rPr>
      <w:sz w:val="24"/>
    </w:rPr>
  </w:style>
  <w:style w:type="paragraph" w:customStyle="1" w:styleId="115">
    <w:name w:val="内容标题"/>
    <w:basedOn w:val="17"/>
    <w:qFormat/>
    <w:uiPriority w:val="0"/>
    <w:rPr>
      <w:rFonts w:ascii="Tahoma" w:hAnsi="Tahoma"/>
      <w:sz w:val="24"/>
    </w:rPr>
  </w:style>
  <w:style w:type="paragraph" w:customStyle="1" w:styleId="11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7">
    <w:name w:val="表头"/>
    <w:basedOn w:val="118"/>
    <w:qFormat/>
    <w:uiPriority w:val="0"/>
    <w:pPr>
      <w:jc w:val="center"/>
    </w:pPr>
    <w:rPr>
      <w:b/>
      <w:bCs/>
    </w:rPr>
  </w:style>
  <w:style w:type="paragraph" w:customStyle="1" w:styleId="118">
    <w:name w:val="表格正文"/>
    <w:basedOn w:val="1"/>
    <w:qFormat/>
    <w:uiPriority w:val="0"/>
    <w:rPr>
      <w:rFonts w:ascii="Calibri" w:hAnsi="Calibri" w:eastAsia="仿宋" w:cs="宋体"/>
      <w:sz w:val="24"/>
    </w:rPr>
  </w:style>
  <w:style w:type="paragraph" w:customStyle="1" w:styleId="119">
    <w:name w:val="正文1"/>
    <w:basedOn w:val="1"/>
    <w:qFormat/>
    <w:uiPriority w:val="0"/>
    <w:pPr>
      <w:spacing w:line="300" w:lineRule="auto"/>
      <w:ind w:firstLine="200" w:firstLineChars="200"/>
    </w:pPr>
    <w:rPr>
      <w:sz w:val="24"/>
    </w:rPr>
  </w:style>
  <w:style w:type="paragraph" w:customStyle="1" w:styleId="12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1">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22">
    <w:name w:val="正文字缩2字"/>
    <w:basedOn w:val="1"/>
    <w:qFormat/>
    <w:uiPriority w:val="0"/>
    <w:pPr>
      <w:spacing w:line="360" w:lineRule="auto"/>
      <w:ind w:left="200" w:leftChars="200" w:firstLine="200" w:firstLineChars="200"/>
    </w:pPr>
    <w:rPr>
      <w:sz w:val="24"/>
    </w:rPr>
  </w:style>
  <w:style w:type="paragraph" w:customStyle="1" w:styleId="1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2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Title - Date"/>
    <w:basedOn w:val="53"/>
    <w:next w:val="1"/>
    <w:qFormat/>
    <w:uiPriority w:val="0"/>
    <w:rPr>
      <w:sz w:val="28"/>
    </w:rPr>
  </w:style>
  <w:style w:type="paragraph" w:customStyle="1" w:styleId="126">
    <w:name w:val="xl23"/>
    <w:basedOn w:val="1"/>
    <w:qFormat/>
    <w:uiPriority w:val="0"/>
    <w:pPr>
      <w:widowControl/>
      <w:spacing w:beforeAutospacing="1" w:afterAutospacing="1" w:line="360" w:lineRule="auto"/>
      <w:textAlignment w:val="top"/>
    </w:pPr>
    <w:rPr>
      <w:kern w:val="0"/>
      <w:sz w:val="24"/>
    </w:rPr>
  </w:style>
  <w:style w:type="paragraph" w:customStyle="1" w:styleId="127">
    <w:name w:val="没有缩进（为图形使用）"/>
    <w:basedOn w:val="1"/>
    <w:qFormat/>
    <w:uiPriority w:val="0"/>
    <w:pPr>
      <w:spacing w:line="360" w:lineRule="auto"/>
    </w:pPr>
    <w:rPr>
      <w:sz w:val="24"/>
    </w:rPr>
  </w:style>
  <w:style w:type="paragraph" w:customStyle="1" w:styleId="128">
    <w:name w:val="Char1 Char Char Char1"/>
    <w:basedOn w:val="1"/>
    <w:qFormat/>
    <w:uiPriority w:val="0"/>
    <w:rPr>
      <w:rFonts w:ascii="Tahoma" w:hAnsi="Tahoma"/>
      <w:sz w:val="24"/>
    </w:rPr>
  </w:style>
  <w:style w:type="paragraph" w:customStyle="1" w:styleId="129">
    <w:name w:val="Char1"/>
    <w:basedOn w:val="1"/>
    <w:qFormat/>
    <w:uiPriority w:val="0"/>
    <w:rPr>
      <w:sz w:val="21"/>
    </w:rPr>
  </w:style>
  <w:style w:type="paragraph" w:customStyle="1" w:styleId="130">
    <w:name w:val="表头样式"/>
    <w:basedOn w:val="1"/>
    <w:qFormat/>
    <w:uiPriority w:val="0"/>
    <w:pPr>
      <w:autoSpaceDE w:val="0"/>
      <w:autoSpaceDN w:val="0"/>
      <w:adjustRightInd w:val="0"/>
      <w:spacing w:line="360" w:lineRule="auto"/>
      <w:jc w:val="left"/>
    </w:pPr>
    <w:rPr>
      <w:b/>
      <w:kern w:val="0"/>
      <w:sz w:val="21"/>
    </w:rPr>
  </w:style>
  <w:style w:type="paragraph" w:customStyle="1" w:styleId="131">
    <w:name w:val="样式 正文缩进正文（首行缩进两字）表正文正文非缩进特点标题4段1 + 首行缩进:  2 字符"/>
    <w:basedOn w:val="15"/>
    <w:qFormat/>
    <w:uiPriority w:val="0"/>
    <w:pPr>
      <w:ind w:firstLine="480" w:firstLineChars="200"/>
    </w:pPr>
  </w:style>
  <w:style w:type="paragraph" w:customStyle="1" w:styleId="132">
    <w:name w:val="样式4"/>
    <w:basedOn w:val="5"/>
    <w:qFormat/>
    <w:uiPriority w:val="0"/>
    <w:pPr>
      <w:adjustRightInd w:val="0"/>
      <w:snapToGrid w:val="0"/>
    </w:pPr>
  </w:style>
  <w:style w:type="paragraph" w:customStyle="1" w:styleId="133">
    <w:name w:val="正文文本缩进 21"/>
    <w:basedOn w:val="1"/>
    <w:qFormat/>
    <w:uiPriority w:val="0"/>
    <w:pPr>
      <w:adjustRightInd w:val="0"/>
      <w:ind w:firstLine="420"/>
      <w:textAlignment w:val="baseline"/>
    </w:pPr>
    <w:rPr>
      <w:sz w:val="24"/>
    </w:rPr>
  </w:style>
  <w:style w:type="paragraph" w:customStyle="1" w:styleId="134">
    <w:name w:val="首行缩进 1"/>
    <w:basedOn w:val="1"/>
    <w:qFormat/>
    <w:uiPriority w:val="0"/>
    <w:pPr>
      <w:spacing w:line="360" w:lineRule="auto"/>
      <w:ind w:firstLine="200" w:firstLineChars="200"/>
    </w:pPr>
    <w:rPr>
      <w:sz w:val="24"/>
    </w:rPr>
  </w:style>
  <w:style w:type="paragraph" w:customStyle="1" w:styleId="135">
    <w:name w:val="样式 首行缩进:  0.74 厘米"/>
    <w:basedOn w:val="1"/>
    <w:qFormat/>
    <w:uiPriority w:val="0"/>
    <w:pPr>
      <w:spacing w:line="360" w:lineRule="auto"/>
      <w:ind w:firstLine="420"/>
    </w:pPr>
    <w:rPr>
      <w:sz w:val="24"/>
    </w:rPr>
  </w:style>
  <w:style w:type="paragraph" w:customStyle="1" w:styleId="13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39">
    <w:name w:val="Title - Revision"/>
    <w:basedOn w:val="53"/>
    <w:qFormat/>
    <w:uiPriority w:val="0"/>
  </w:style>
  <w:style w:type="paragraph" w:customStyle="1" w:styleId="140">
    <w:name w:val="文本框样式1"/>
    <w:basedOn w:val="1"/>
    <w:qFormat/>
    <w:uiPriority w:val="0"/>
    <w:pPr>
      <w:adjustRightInd w:val="0"/>
      <w:snapToGrid w:val="0"/>
      <w:spacing w:line="180" w:lineRule="exact"/>
      <w:jc w:val="center"/>
    </w:pPr>
    <w:rPr>
      <w:sz w:val="21"/>
    </w:rPr>
  </w:style>
  <w:style w:type="paragraph" w:customStyle="1" w:styleId="14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1"/>
    <w:basedOn w:val="1"/>
    <w:next w:val="30"/>
    <w:qFormat/>
    <w:uiPriority w:val="0"/>
    <w:rPr>
      <w:rFonts w:ascii="宋体" w:hAnsi="Courier New"/>
      <w:sz w:val="21"/>
    </w:rPr>
  </w:style>
  <w:style w:type="paragraph" w:customStyle="1" w:styleId="143">
    <w:name w:val="Table Contents"/>
    <w:basedOn w:val="22"/>
    <w:qFormat/>
    <w:uiPriority w:val="0"/>
    <w:pPr>
      <w:suppressAutoHyphens/>
      <w:jc w:val="left"/>
    </w:pPr>
    <w:rPr>
      <w:rFonts w:ascii="Times New Roman" w:eastAsia="Times New Roman"/>
      <w:kern w:val="0"/>
      <w:sz w:val="24"/>
    </w:rPr>
  </w:style>
  <w:style w:type="paragraph" w:customStyle="1" w:styleId="144">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5">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6">
    <w:name w:val="Char Char Char Char Char Char Char"/>
    <w:basedOn w:val="17"/>
    <w:qFormat/>
    <w:uiPriority w:val="0"/>
    <w:rPr>
      <w:rFonts w:ascii="宋体" w:hAnsi="Tahoma"/>
    </w:rPr>
  </w:style>
  <w:style w:type="paragraph" w:customStyle="1" w:styleId="147">
    <w:name w:val="默认段落字体 Para Char Char Char Char Char Char Char Char Char1 Char Char Char Char"/>
    <w:basedOn w:val="1"/>
    <w:qFormat/>
    <w:uiPriority w:val="0"/>
    <w:rPr>
      <w:rFonts w:ascii="Tahoma" w:hAnsi="Tahoma"/>
      <w:sz w:val="24"/>
    </w:rPr>
  </w:style>
  <w:style w:type="paragraph" w:customStyle="1" w:styleId="148">
    <w:name w:val="标题无"/>
    <w:basedOn w:val="1"/>
    <w:qFormat/>
    <w:uiPriority w:val="0"/>
    <w:pPr>
      <w:spacing w:line="360" w:lineRule="auto"/>
    </w:pPr>
    <w:rPr>
      <w:sz w:val="24"/>
    </w:rPr>
  </w:style>
  <w:style w:type="paragraph" w:customStyle="1" w:styleId="149">
    <w:name w:val="样式1"/>
    <w:basedOn w:val="5"/>
    <w:qFormat/>
    <w:uiPriority w:val="0"/>
    <w:pPr>
      <w:tabs>
        <w:tab w:val="left" w:pos="720"/>
      </w:tabs>
      <w:spacing w:line="560" w:lineRule="atLeast"/>
      <w:ind w:left="420" w:hanging="420"/>
    </w:pPr>
  </w:style>
  <w:style w:type="paragraph" w:customStyle="1" w:styleId="150">
    <w:name w:val="二级条标题"/>
    <w:basedOn w:val="151"/>
    <w:next w:val="153"/>
    <w:qFormat/>
    <w:uiPriority w:val="0"/>
    <w:pPr>
      <w:ind w:left="840"/>
      <w:outlineLvl w:val="3"/>
    </w:pPr>
  </w:style>
  <w:style w:type="paragraph" w:customStyle="1" w:styleId="151">
    <w:name w:val="一级条标题"/>
    <w:basedOn w:val="152"/>
    <w:next w:val="153"/>
    <w:qFormat/>
    <w:uiPriority w:val="0"/>
    <w:pPr>
      <w:numPr>
        <w:numId w:val="0"/>
      </w:numPr>
      <w:spacing w:beforeLines="0" w:afterLines="0"/>
      <w:ind w:left="525"/>
      <w:outlineLvl w:val="2"/>
    </w:pPr>
    <w:rPr>
      <w:sz w:val="21"/>
    </w:rPr>
  </w:style>
  <w:style w:type="paragraph" w:customStyle="1" w:styleId="152">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5">
    <w:name w:val="关键词"/>
    <w:basedOn w:val="1"/>
    <w:next w:val="1"/>
    <w:qFormat/>
    <w:uiPriority w:val="0"/>
    <w:pPr>
      <w:spacing w:line="360" w:lineRule="auto"/>
    </w:pPr>
    <w:rPr>
      <w:rFonts w:eastAsia="黑体"/>
      <w:sz w:val="20"/>
    </w:rPr>
  </w:style>
  <w:style w:type="paragraph" w:customStyle="1" w:styleId="156">
    <w:name w:val="样式2"/>
    <w:basedOn w:val="5"/>
    <w:qFormat/>
    <w:uiPriority w:val="0"/>
    <w:pPr>
      <w:numPr>
        <w:ilvl w:val="0"/>
        <w:numId w:val="5"/>
      </w:numPr>
      <w:spacing w:line="400" w:lineRule="exact"/>
      <w:jc w:val="center"/>
      <w:outlineLvl w:val="0"/>
    </w:pPr>
    <w:rPr>
      <w:b w:val="0"/>
      <w:sz w:val="44"/>
    </w:rPr>
  </w:style>
  <w:style w:type="paragraph" w:customStyle="1" w:styleId="157">
    <w:name w:val="表头文本"/>
    <w:qFormat/>
    <w:uiPriority w:val="0"/>
    <w:pPr>
      <w:jc w:val="center"/>
    </w:pPr>
    <w:rPr>
      <w:rFonts w:ascii="Arial" w:hAnsi="Arial" w:eastAsia="宋体" w:cs="Times New Roman"/>
      <w:b/>
      <w:sz w:val="21"/>
      <w:lang w:val="en-US" w:eastAsia="zh-CN" w:bidi="ar-SA"/>
    </w:rPr>
  </w:style>
  <w:style w:type="paragraph" w:customStyle="1" w:styleId="158">
    <w:name w:val="_Style 157"/>
    <w:qFormat/>
    <w:uiPriority w:val="0"/>
    <w:rPr>
      <w:rFonts w:ascii="Times New Roman" w:hAnsi="Times New Roman" w:eastAsia="宋体" w:cs="Times New Roman"/>
      <w:kern w:val="2"/>
      <w:sz w:val="21"/>
      <w:lang w:val="en-US" w:eastAsia="zh-CN" w:bidi="ar-SA"/>
    </w:rPr>
  </w:style>
  <w:style w:type="paragraph" w:customStyle="1" w:styleId="159">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60">
    <w:name w:val="样式 标题 1 + 居中 段前: 6 磅 段后: 6 磅 行距: 1.5 倍行距"/>
    <w:basedOn w:val="2"/>
    <w:qFormat/>
    <w:uiPriority w:val="0"/>
    <w:pPr>
      <w:keepLines/>
      <w:adjustRightInd w:val="0"/>
      <w:spacing w:line="360" w:lineRule="auto"/>
      <w:jc w:val="center"/>
    </w:pPr>
    <w:rPr>
      <w:rFonts w:ascii="Times New Roman"/>
      <w:b/>
      <w:kern w:val="44"/>
      <w:sz w:val="32"/>
    </w:rPr>
  </w:style>
  <w:style w:type="paragraph" w:customStyle="1" w:styleId="16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6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66">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67">
    <w:name w:val="样式1xz"/>
    <w:basedOn w:val="1"/>
    <w:qFormat/>
    <w:uiPriority w:val="0"/>
    <w:pPr>
      <w:tabs>
        <w:tab w:val="left" w:pos="1050"/>
        <w:tab w:val="right" w:leader="dot" w:pos="8296"/>
      </w:tabs>
    </w:pPr>
    <w:rPr>
      <w:caps/>
      <w:spacing w:val="20"/>
      <w:sz w:val="24"/>
    </w:rPr>
  </w:style>
  <w:style w:type="paragraph" w:customStyle="1" w:styleId="168">
    <w:name w:val="样式 宋体 五号 行距: 单倍行距"/>
    <w:basedOn w:val="1"/>
    <w:qFormat/>
    <w:uiPriority w:val="0"/>
    <w:pPr>
      <w:adjustRightInd w:val="0"/>
      <w:jc w:val="left"/>
    </w:pPr>
    <w:rPr>
      <w:rFonts w:ascii="宋体" w:hAnsi="宋体"/>
      <w:kern w:val="0"/>
      <w:sz w:val="21"/>
    </w:rPr>
  </w:style>
  <w:style w:type="paragraph" w:customStyle="1" w:styleId="169">
    <w:name w:val="图片文字"/>
    <w:basedOn w:val="1"/>
    <w:qFormat/>
    <w:uiPriority w:val="0"/>
    <w:pPr>
      <w:spacing w:line="240" w:lineRule="atLeast"/>
      <w:jc w:val="center"/>
    </w:pPr>
    <w:rPr>
      <w:sz w:val="21"/>
    </w:rPr>
  </w:style>
  <w:style w:type="paragraph" w:customStyle="1" w:styleId="170">
    <w:name w:val="Char"/>
    <w:basedOn w:val="1"/>
    <w:qFormat/>
    <w:uiPriority w:val="0"/>
    <w:pPr>
      <w:spacing w:line="240" w:lineRule="atLeast"/>
      <w:ind w:left="420" w:firstLine="420"/>
    </w:pPr>
    <w:rPr>
      <w:kern w:val="0"/>
      <w:sz w:val="21"/>
    </w:rPr>
  </w:style>
  <w:style w:type="paragraph" w:customStyle="1" w:styleId="171">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72">
    <w:name w:val="Note"/>
    <w:basedOn w:val="1"/>
    <w:qFormat/>
    <w:uiPriority w:val="0"/>
    <w:pPr>
      <w:pBdr>
        <w:top w:val="single" w:color="auto" w:sz="12" w:space="3"/>
        <w:bottom w:val="single" w:color="auto" w:sz="12" w:space="3"/>
      </w:pBdr>
      <w:spacing w:line="360" w:lineRule="auto"/>
    </w:pPr>
    <w:rPr>
      <w:sz w:val="24"/>
    </w:rPr>
  </w:style>
  <w:style w:type="paragraph" w:customStyle="1" w:styleId="173">
    <w:name w:val="Char2"/>
    <w:basedOn w:val="1"/>
    <w:qFormat/>
    <w:uiPriority w:val="0"/>
    <w:pPr>
      <w:spacing w:line="240" w:lineRule="atLeast"/>
      <w:ind w:left="420" w:firstLine="420"/>
    </w:pPr>
    <w:rPr>
      <w:kern w:val="0"/>
      <w:sz w:val="21"/>
    </w:rPr>
  </w:style>
  <w:style w:type="paragraph" w:customStyle="1" w:styleId="174">
    <w:name w:val="Char Char Char"/>
    <w:basedOn w:val="1"/>
    <w:qFormat/>
    <w:uiPriority w:val="0"/>
    <w:rPr>
      <w:rFonts w:ascii="Tahoma" w:hAnsi="Tahoma"/>
      <w:sz w:val="24"/>
    </w:rPr>
  </w:style>
  <w:style w:type="paragraph" w:customStyle="1" w:styleId="175">
    <w:name w:val="Char Char1"/>
    <w:basedOn w:val="1"/>
    <w:qFormat/>
    <w:uiPriority w:val="0"/>
    <w:pPr>
      <w:widowControl/>
      <w:spacing w:line="240" w:lineRule="exact"/>
      <w:jc w:val="left"/>
    </w:pPr>
    <w:rPr>
      <w:rFonts w:ascii="Verdana" w:hAnsi="Verdana"/>
      <w:kern w:val="0"/>
      <w:sz w:val="20"/>
      <w:lang w:eastAsia="en-US"/>
    </w:rPr>
  </w:style>
  <w:style w:type="paragraph" w:customStyle="1" w:styleId="176">
    <w:name w:val="标书正文:  0.74 厘米"/>
    <w:basedOn w:val="1"/>
    <w:qFormat/>
    <w:uiPriority w:val="0"/>
    <w:pPr>
      <w:snapToGrid w:val="0"/>
      <w:spacing w:line="360" w:lineRule="auto"/>
      <w:ind w:firstLine="420"/>
    </w:pPr>
    <w:rPr>
      <w:sz w:val="24"/>
    </w:rPr>
  </w:style>
  <w:style w:type="paragraph" w:customStyle="1" w:styleId="177">
    <w:name w:val="Char Char 字元 字元 字元 Char Char Char Char"/>
    <w:basedOn w:val="1"/>
    <w:qFormat/>
    <w:uiPriority w:val="0"/>
    <w:pPr>
      <w:adjustRightInd w:val="0"/>
      <w:spacing w:line="360" w:lineRule="auto"/>
    </w:pPr>
    <w:rPr>
      <w:kern w:val="0"/>
      <w:sz w:val="24"/>
    </w:rPr>
  </w:style>
  <w:style w:type="paragraph" w:customStyle="1" w:styleId="178">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9">
    <w:name w:val="列表项目"/>
    <w:basedOn w:val="1"/>
    <w:qFormat/>
    <w:uiPriority w:val="0"/>
    <w:pPr>
      <w:tabs>
        <w:tab w:val="left" w:pos="420"/>
      </w:tabs>
      <w:spacing w:line="288" w:lineRule="auto"/>
      <w:ind w:left="840" w:leftChars="200" w:hanging="420" w:hangingChars="200"/>
    </w:pPr>
    <w:rPr>
      <w:sz w:val="21"/>
    </w:rPr>
  </w:style>
  <w:style w:type="paragraph" w:customStyle="1" w:styleId="180">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181">
    <w:name w:val="Char Char14 Char Char"/>
    <w:basedOn w:val="1"/>
    <w:qFormat/>
    <w:uiPriority w:val="0"/>
    <w:rPr>
      <w:sz w:val="21"/>
      <w:szCs w:val="24"/>
    </w:rPr>
  </w:style>
  <w:style w:type="paragraph" w:customStyle="1" w:styleId="182">
    <w:name w:val="表号"/>
    <w:basedOn w:val="1"/>
    <w:qFormat/>
    <w:uiPriority w:val="0"/>
    <w:pPr>
      <w:numPr>
        <w:ilvl w:val="0"/>
        <w:numId w:val="6"/>
      </w:numPr>
      <w:tabs>
        <w:tab w:val="left" w:pos="648"/>
        <w:tab w:val="clear" w:pos="360"/>
      </w:tabs>
      <w:autoSpaceDE w:val="0"/>
      <w:autoSpaceDN w:val="0"/>
      <w:adjustRightInd w:val="0"/>
      <w:ind w:left="425" w:hanging="137"/>
      <w:jc w:val="center"/>
    </w:pPr>
    <w:rPr>
      <w:kern w:val="0"/>
      <w:sz w:val="21"/>
      <w:lang w:eastAsia="en-US"/>
    </w:rPr>
  </w:style>
  <w:style w:type="paragraph" w:customStyle="1" w:styleId="183">
    <w:name w:val="可研正文"/>
    <w:basedOn w:val="22"/>
    <w:qFormat/>
    <w:uiPriority w:val="0"/>
    <w:pPr>
      <w:adjustRightInd w:val="0"/>
      <w:snapToGrid w:val="0"/>
      <w:spacing w:line="440" w:lineRule="exact"/>
      <w:ind w:firstLine="567"/>
    </w:pPr>
    <w:rPr>
      <w:sz w:val="28"/>
    </w:rPr>
  </w:style>
  <w:style w:type="paragraph" w:customStyle="1" w:styleId="184">
    <w:name w:val="标题2"/>
    <w:basedOn w:val="3"/>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85">
    <w:name w:val="首行缩进"/>
    <w:basedOn w:val="1"/>
    <w:qFormat/>
    <w:uiPriority w:val="0"/>
    <w:pPr>
      <w:numPr>
        <w:ilvl w:val="0"/>
        <w:numId w:val="7"/>
      </w:numPr>
      <w:spacing w:line="360" w:lineRule="auto"/>
    </w:pPr>
    <w:rPr>
      <w:rFonts w:eastAsia="仿宋_GB2312"/>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正文 + 三号"/>
    <w:basedOn w:val="1"/>
    <w:qFormat/>
    <w:uiPriority w:val="0"/>
    <w:rPr>
      <w:sz w:val="21"/>
    </w:rPr>
  </w:style>
  <w:style w:type="paragraph" w:customStyle="1" w:styleId="188">
    <w:name w:val="Char Char1 Char"/>
    <w:basedOn w:val="1"/>
    <w:qFormat/>
    <w:uiPriority w:val="0"/>
    <w:rPr>
      <w:rFonts w:ascii="Tahoma" w:hAnsi="Tahoma"/>
      <w:sz w:val="24"/>
      <w:szCs w:val="24"/>
    </w:rPr>
  </w:style>
  <w:style w:type="paragraph" w:customStyle="1" w:styleId="189">
    <w:name w:val="style1"/>
    <w:basedOn w:val="1"/>
    <w:qFormat/>
    <w:uiPriority w:val="0"/>
    <w:pPr>
      <w:widowControl/>
      <w:spacing w:beforeAutospacing="1" w:afterAutospacing="1"/>
      <w:jc w:val="left"/>
    </w:pPr>
    <w:rPr>
      <w:rFonts w:ascii="宋体" w:hAnsi="宋体"/>
      <w:kern w:val="0"/>
      <w:sz w:val="21"/>
    </w:rPr>
  </w:style>
  <w:style w:type="paragraph" w:customStyle="1" w:styleId="19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1">
    <w:name w:val="正文文本 21"/>
    <w:basedOn w:val="1"/>
    <w:qFormat/>
    <w:uiPriority w:val="0"/>
    <w:pPr>
      <w:adjustRightInd w:val="0"/>
      <w:spacing w:line="360" w:lineRule="auto"/>
      <w:ind w:firstLine="480"/>
      <w:textAlignment w:val="baseline"/>
    </w:pPr>
    <w:rPr>
      <w:sz w:val="24"/>
    </w:rPr>
  </w:style>
  <w:style w:type="paragraph" w:customStyle="1" w:styleId="192">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93">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94">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摘要"/>
    <w:basedOn w:val="1"/>
    <w:next w:val="3"/>
    <w:qFormat/>
    <w:uiPriority w:val="0"/>
    <w:pPr>
      <w:spacing w:line="360" w:lineRule="auto"/>
    </w:pPr>
    <w:rPr>
      <w:rFonts w:eastAsia="黑体"/>
      <w:sz w:val="20"/>
    </w:rPr>
  </w:style>
  <w:style w:type="paragraph" w:customStyle="1" w:styleId="19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7">
    <w:name w:val="正文（首行不缩进）"/>
    <w:basedOn w:val="1"/>
    <w:qFormat/>
    <w:uiPriority w:val="0"/>
    <w:pPr>
      <w:autoSpaceDE w:val="0"/>
      <w:autoSpaceDN w:val="0"/>
      <w:adjustRightInd w:val="0"/>
      <w:spacing w:line="360" w:lineRule="auto"/>
      <w:jc w:val="left"/>
    </w:pPr>
    <w:rPr>
      <w:kern w:val="0"/>
      <w:sz w:val="21"/>
    </w:rPr>
  </w:style>
  <w:style w:type="paragraph" w:customStyle="1" w:styleId="19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0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Char2 Char Char Char Char Char Char"/>
    <w:basedOn w:val="1"/>
    <w:qFormat/>
    <w:uiPriority w:val="0"/>
    <w:rPr>
      <w:rFonts w:ascii="仿宋_GB2312"/>
      <w:b/>
      <w:sz w:val="30"/>
    </w:rPr>
  </w:style>
  <w:style w:type="paragraph" w:customStyle="1" w:styleId="203">
    <w:name w:val="简单回函地址"/>
    <w:basedOn w:val="1"/>
    <w:qFormat/>
    <w:uiPriority w:val="0"/>
    <w:pPr>
      <w:adjustRightInd w:val="0"/>
      <w:snapToGrid w:val="0"/>
      <w:spacing w:line="360" w:lineRule="auto"/>
    </w:pPr>
    <w:rPr>
      <w:sz w:val="24"/>
    </w:rPr>
  </w:style>
  <w:style w:type="paragraph" w:customStyle="1" w:styleId="204">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5">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206">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20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8">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9">
    <w:name w:val="Style Heading 3h3Heading 3 - oldLevel 3 HeadH3level_3PIM 3se..."/>
    <w:basedOn w:val="4"/>
    <w:qFormat/>
    <w:uiPriority w:val="0"/>
    <w:pPr>
      <w:tabs>
        <w:tab w:val="left" w:pos="709"/>
        <w:tab w:val="left" w:pos="1620"/>
      </w:tabs>
      <w:ind w:left="1620" w:hanging="360"/>
    </w:pPr>
  </w:style>
  <w:style w:type="paragraph" w:customStyle="1" w:styleId="210">
    <w:name w:val="文本1"/>
    <w:basedOn w:val="1"/>
    <w:qFormat/>
    <w:uiPriority w:val="0"/>
    <w:pPr>
      <w:adjustRightInd w:val="0"/>
      <w:spacing w:line="312" w:lineRule="atLeast"/>
      <w:jc w:val="center"/>
      <w:textAlignment w:val="baseline"/>
    </w:pPr>
    <w:rPr>
      <w:kern w:val="0"/>
      <w:sz w:val="18"/>
    </w:rPr>
  </w:style>
  <w:style w:type="paragraph" w:customStyle="1" w:styleId="211">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212">
    <w:name w:val="样式3"/>
    <w:basedOn w:val="2"/>
    <w:next w:val="2"/>
    <w:qFormat/>
    <w:uiPriority w:val="0"/>
    <w:pPr>
      <w:keepLines/>
      <w:adjustRightInd w:val="0"/>
      <w:spacing w:line="576" w:lineRule="auto"/>
    </w:pPr>
    <w:rPr>
      <w:rFonts w:ascii="Times New Roman" w:eastAsia="黑体"/>
      <w:b/>
      <w:kern w:val="44"/>
      <w:sz w:val="44"/>
    </w:rPr>
  </w:style>
  <w:style w:type="paragraph" w:customStyle="1" w:styleId="21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4">
    <w:name w:val="标题3——2"/>
    <w:basedOn w:val="4"/>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215">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216">
    <w:name w:val="附录3"/>
    <w:basedOn w:val="1"/>
    <w:next w:val="1"/>
    <w:qFormat/>
    <w:uiPriority w:val="0"/>
    <w:pPr>
      <w:tabs>
        <w:tab w:val="left" w:pos="851"/>
      </w:tabs>
      <w:ind w:left="425" w:hanging="425"/>
      <w:outlineLvl w:val="2"/>
    </w:pPr>
    <w:rPr>
      <w:rFonts w:eastAsia="黑体"/>
      <w:b/>
      <w:sz w:val="32"/>
    </w:rPr>
  </w:style>
  <w:style w:type="paragraph" w:customStyle="1" w:styleId="217">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1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9">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220">
    <w:name w:val="af"/>
    <w:basedOn w:val="1"/>
    <w:qFormat/>
    <w:uiPriority w:val="0"/>
    <w:pPr>
      <w:widowControl/>
      <w:spacing w:line="300" w:lineRule="atLeast"/>
      <w:jc w:val="left"/>
    </w:pPr>
    <w:rPr>
      <w:rFonts w:ascii="宋体" w:hAnsi="宋体"/>
      <w:kern w:val="0"/>
      <w:sz w:val="18"/>
    </w:rPr>
  </w:style>
  <w:style w:type="paragraph" w:customStyle="1" w:styleId="221">
    <w:name w:val="文章正文"/>
    <w:basedOn w:val="1"/>
    <w:qFormat/>
    <w:uiPriority w:val="0"/>
    <w:pPr>
      <w:ind w:firstLine="560" w:firstLineChars="200"/>
    </w:pPr>
    <w:rPr>
      <w:rFonts w:ascii="仿宋_GB2312" w:hAnsi="宋体" w:eastAsia="仿宋_GB2312"/>
      <w:color w:val="000000"/>
    </w:rPr>
  </w:style>
  <w:style w:type="paragraph" w:customStyle="1" w:styleId="222">
    <w:name w:val="图例"/>
    <w:basedOn w:val="1"/>
    <w:qFormat/>
    <w:uiPriority w:val="0"/>
    <w:pPr>
      <w:spacing w:line="360" w:lineRule="auto"/>
      <w:jc w:val="center"/>
    </w:pPr>
    <w:rPr>
      <w:rFonts w:eastAsia="仿宋_GB2312"/>
      <w:b/>
      <w:sz w:val="24"/>
    </w:rPr>
  </w:style>
  <w:style w:type="paragraph" w:customStyle="1" w:styleId="22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4">
    <w:name w:val="Char Char Char Char Char"/>
    <w:basedOn w:val="1"/>
    <w:qFormat/>
    <w:uiPriority w:val="0"/>
    <w:pPr>
      <w:numPr>
        <w:ilvl w:val="0"/>
        <w:numId w:val="12"/>
      </w:numPr>
      <w:tabs>
        <w:tab w:val="left" w:pos="425"/>
        <w:tab w:val="clear" w:pos="1620"/>
      </w:tabs>
    </w:pPr>
    <w:rPr>
      <w:rFonts w:ascii="Tahoma" w:hAnsi="Tahoma"/>
      <w:sz w:val="24"/>
    </w:rPr>
  </w:style>
  <w:style w:type="paragraph" w:customStyle="1" w:styleId="225">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2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7">
    <w:name w:val="正文4"/>
    <w:basedOn w:val="1"/>
    <w:qFormat/>
    <w:uiPriority w:val="0"/>
    <w:pPr>
      <w:tabs>
        <w:tab w:val="left" w:pos="1275"/>
      </w:tabs>
      <w:spacing w:line="360" w:lineRule="auto"/>
      <w:ind w:left="820" w:leftChars="400" w:hanging="705"/>
    </w:pPr>
    <w:rPr>
      <w:sz w:val="24"/>
    </w:rPr>
  </w:style>
  <w:style w:type="paragraph" w:customStyle="1" w:styleId="228">
    <w:name w:val="默认段落字体 Para Char Char Char Char Char Char Char"/>
    <w:basedOn w:val="1"/>
    <w:qFormat/>
    <w:uiPriority w:val="0"/>
    <w:rPr>
      <w:rFonts w:ascii="Tahoma" w:hAnsi="Tahoma"/>
      <w:sz w:val="24"/>
    </w:rPr>
  </w:style>
  <w:style w:type="paragraph" w:customStyle="1" w:styleId="229">
    <w:name w:val="编号正文"/>
    <w:basedOn w:val="198"/>
    <w:qFormat/>
    <w:uiPriority w:val="0"/>
    <w:pPr>
      <w:snapToGrid/>
      <w:spacing w:line="360" w:lineRule="auto"/>
      <w:ind w:left="1407" w:hanging="1047"/>
      <w:jc w:val="left"/>
    </w:pPr>
    <w:rPr>
      <w:rFonts w:eastAsia="仿宋_GB2312"/>
    </w:rPr>
  </w:style>
  <w:style w:type="paragraph" w:customStyle="1" w:styleId="230">
    <w:name w:val="表格内文字"/>
    <w:basedOn w:val="30"/>
    <w:qFormat/>
    <w:uiPriority w:val="0"/>
    <w:pPr>
      <w:adjustRightInd w:val="0"/>
    </w:pPr>
    <w:rPr>
      <w:color w:val="000000"/>
      <w:lang w:val="en-GB"/>
    </w:rPr>
  </w:style>
  <w:style w:type="paragraph" w:customStyle="1" w:styleId="231">
    <w:name w:val="样式 行距: 1.5 倍行距1"/>
    <w:basedOn w:val="1"/>
    <w:qFormat/>
    <w:uiPriority w:val="0"/>
    <w:pPr>
      <w:snapToGrid w:val="0"/>
    </w:pPr>
    <w:rPr>
      <w:sz w:val="21"/>
    </w:rPr>
  </w:style>
  <w:style w:type="paragraph" w:customStyle="1" w:styleId="232">
    <w:name w:val="Char Char Char Char Char Char Char1"/>
    <w:basedOn w:val="1"/>
    <w:qFormat/>
    <w:uiPriority w:val="0"/>
    <w:rPr>
      <w:rFonts w:ascii="Tahoma" w:hAnsi="Tahoma"/>
      <w:sz w:val="24"/>
    </w:rPr>
  </w:style>
  <w:style w:type="paragraph" w:customStyle="1" w:styleId="233">
    <w:name w:val="表格文本"/>
    <w:qFormat/>
    <w:uiPriority w:val="0"/>
    <w:pPr>
      <w:tabs>
        <w:tab w:val="decimal" w:pos="0"/>
      </w:tabs>
    </w:pPr>
    <w:rPr>
      <w:rFonts w:ascii="Arial" w:hAnsi="Arial" w:eastAsia="宋体" w:cs="Times New Roman"/>
      <w:sz w:val="21"/>
      <w:lang w:val="en-US" w:eastAsia="zh-CN" w:bidi="ar-SA"/>
    </w:rPr>
  </w:style>
  <w:style w:type="paragraph" w:customStyle="1" w:styleId="234">
    <w:name w:val="正文表格"/>
    <w:basedOn w:val="1"/>
    <w:qFormat/>
    <w:uiPriority w:val="0"/>
    <w:pPr>
      <w:adjustRightInd w:val="0"/>
    </w:pPr>
    <w:rPr>
      <w:sz w:val="24"/>
    </w:rPr>
  </w:style>
  <w:style w:type="paragraph" w:customStyle="1" w:styleId="235">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236">
    <w:name w:val="Char Char Char Char Char Char Char Char Char Char Char Char Char Char Char Char"/>
    <w:basedOn w:val="1"/>
    <w:qFormat/>
    <w:uiPriority w:val="0"/>
    <w:pPr>
      <w:tabs>
        <w:tab w:val="left" w:pos="360"/>
      </w:tabs>
    </w:pPr>
    <w:rPr>
      <w:sz w:val="24"/>
    </w:rPr>
  </w:style>
  <w:style w:type="paragraph" w:customStyle="1" w:styleId="23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8">
    <w:name w:val="标准正文"/>
    <w:basedOn w:val="23"/>
    <w:qFormat/>
    <w:uiPriority w:val="0"/>
    <w:pPr>
      <w:spacing w:line="360" w:lineRule="auto"/>
      <w:ind w:left="0" w:firstLine="482"/>
    </w:pPr>
    <w:rPr>
      <w:rFonts w:ascii="Arial" w:hAnsi="Arial"/>
      <w:sz w:val="24"/>
    </w:rPr>
  </w:style>
  <w:style w:type="character" w:customStyle="1" w:styleId="239">
    <w:name w:val="无"/>
    <w:qFormat/>
    <w:uiPriority w:val="0"/>
  </w:style>
  <w:style w:type="character" w:customStyle="1" w:styleId="240">
    <w:name w:val="font41"/>
    <w:basedOn w:val="58"/>
    <w:qFormat/>
    <w:uiPriority w:val="0"/>
    <w:rPr>
      <w:rFonts w:hint="eastAsia" w:ascii="宋体" w:hAnsi="宋体" w:eastAsia="宋体" w:cs="宋体"/>
      <w:b/>
      <w:bCs/>
      <w:color w:val="000000"/>
      <w:sz w:val="22"/>
      <w:szCs w:val="22"/>
      <w:u w:val="none"/>
    </w:rPr>
  </w:style>
  <w:style w:type="character" w:customStyle="1" w:styleId="241">
    <w:name w:val="font31"/>
    <w:basedOn w:val="58"/>
    <w:qFormat/>
    <w:uiPriority w:val="0"/>
    <w:rPr>
      <w:rFonts w:hint="eastAsia" w:ascii="宋体" w:hAnsi="宋体" w:eastAsia="宋体" w:cs="宋体"/>
      <w:color w:val="000000"/>
      <w:sz w:val="22"/>
      <w:szCs w:val="22"/>
      <w:u w:val="none"/>
    </w:rPr>
  </w:style>
  <w:style w:type="paragraph" w:customStyle="1" w:styleId="242">
    <w:name w:val="标题 5（有编号）（绿盟科技）"/>
    <w:basedOn w:val="1"/>
    <w:next w:val="243"/>
    <w:qFormat/>
    <w:uiPriority w:val="0"/>
    <w:pPr>
      <w:keepNext/>
      <w:keepLines/>
      <w:numPr>
        <w:ilvl w:val="4"/>
        <w:numId w:val="13"/>
      </w:numPr>
      <w:spacing w:before="280" w:after="156" w:line="377" w:lineRule="auto"/>
      <w:jc w:val="left"/>
      <w:outlineLvl w:val="4"/>
    </w:pPr>
    <w:rPr>
      <w:rFonts w:ascii="Arial" w:hAnsi="Arial" w:eastAsia="黑体"/>
      <w:b/>
      <w:kern w:val="0"/>
      <w:sz w:val="24"/>
      <w:szCs w:val="28"/>
    </w:rPr>
  </w:style>
  <w:style w:type="paragraph" w:customStyle="1" w:styleId="243">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134;&#30424;&#12289;&#39640;&#35895;&#33322;&#36947;&#22522;&#22320;&#33337;&#29992;&#23478;&#20855;&#37319;&#36141;&#39033;&#30446;WJ2023018\&#37325;&#24198;&#24066;&#20044;&#27743;&#33322;&#36947;&#31649;&#29702;&#22788;&#20851;&#20110;&#38134;&#30424;&#12289;&#39640;&#35895;&#33322;&#36947;&#22522;&#22320;&#33337;&#29992;&#23478;&#20855;&#37319;&#36141;&#38480;&#39069;&#20197;&#19979;&#27604;&#20215;&#37319;&#36141;&#25991;&#20214;(1).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重庆市乌江航道管理处关于银盘、高谷航道基地船用家具采购限额以下比价采购文件(1)</Template>
  <Company>Microsoft</Company>
  <Pages>31</Pages>
  <Words>2085</Words>
  <Characters>11889</Characters>
  <Lines>99</Lines>
  <Paragraphs>27</Paragraphs>
  <TotalTime>1</TotalTime>
  <ScaleCrop>false</ScaleCrop>
  <LinksUpToDate>false</LinksUpToDate>
  <CharactersWithSpaces>13947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2023-10-20T01:57:00Z</dcterms:created>
  <dc:creator>剪夏罗</dc:creator>
  <cp:lastModifiedBy>剪夏罗</cp:lastModifiedBy>
  <dcterms:modified xsi:type="dcterms:W3CDTF">2023-10-20T03:27:15Z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E149ACDF03D14B4B9760F86903259B46_11</vt:lpwstr>
  </property>
</Properties>
</file>