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both"/>
        <w:outlineLvl w:val="0"/>
        <w:rPr>
          <w:rFonts w:ascii="宋体" w:hAnsi="宋体" w:cs="宋体"/>
          <w:color w:val="auto"/>
          <w:sz w:val="100"/>
        </w:rPr>
      </w:pPr>
    </w:p>
    <w:p>
      <w:pPr>
        <w:jc w:val="center"/>
        <w:rPr>
          <w:rFonts w:ascii="宋体" w:hAnsi="宋体" w:cs="宋体"/>
          <w:color w:val="auto"/>
        </w:rPr>
      </w:pPr>
    </w:p>
    <w:p>
      <w:pPr>
        <w:spacing w:line="1600" w:lineRule="exact"/>
        <w:jc w:val="center"/>
        <w:outlineLvl w:val="0"/>
        <w:rPr>
          <w:rFonts w:hint="eastAsia" w:ascii="宋体" w:hAnsi="宋体" w:cs="宋体"/>
          <w:color w:val="auto"/>
          <w:sz w:val="96"/>
          <w:szCs w:val="96"/>
          <w:lang w:eastAsia="zh-CN"/>
        </w:rPr>
      </w:pPr>
      <w:r>
        <w:rPr>
          <w:rFonts w:hint="eastAsia" w:ascii="宋体" w:hAnsi="宋体" w:cs="宋体"/>
          <w:color w:val="auto"/>
          <w:sz w:val="96"/>
          <w:szCs w:val="96"/>
          <w:lang w:eastAsia="zh-CN"/>
        </w:rPr>
        <w:t>询比采购文件</w:t>
      </w:r>
    </w:p>
    <w:p>
      <w:pPr>
        <w:pStyle w:val="57"/>
        <w:jc w:val="center"/>
        <w:rPr>
          <w:rFonts w:hint="eastAsia"/>
          <w:color w:val="auto"/>
          <w:lang w:eastAsia="zh-CN"/>
        </w:rPr>
      </w:pPr>
      <w:r>
        <w:rPr>
          <w:rFonts w:hint="eastAsia" w:ascii="宋体" w:hAnsi="宋体" w:eastAsia="宋体" w:cs="宋体"/>
          <w:b/>
          <w:bCs/>
          <w:color w:val="auto"/>
          <w:sz w:val="48"/>
          <w:szCs w:val="28"/>
        </w:rPr>
        <w:t>(综合评分法)</w:t>
      </w:r>
    </w:p>
    <w:p>
      <w:pPr>
        <w:spacing w:line="700" w:lineRule="exact"/>
        <w:jc w:val="center"/>
        <w:rPr>
          <w:rFonts w:ascii="宋体" w:hAnsi="宋体" w:cs="宋体"/>
          <w:color w:val="auto"/>
          <w:sz w:val="32"/>
        </w:rPr>
      </w:pPr>
      <w:r>
        <w:rPr>
          <w:rFonts w:hint="eastAsia" w:ascii="宋体" w:hAnsi="宋体" w:cs="宋体"/>
          <w:color w:val="auto"/>
          <w:sz w:val="72"/>
          <w:szCs w:val="72"/>
        </w:rPr>
        <w:t xml:space="preserve"> </w:t>
      </w:r>
    </w:p>
    <w:p>
      <w:pPr>
        <w:spacing w:line="700" w:lineRule="exact"/>
        <w:jc w:val="center"/>
        <w:rPr>
          <w:rFonts w:ascii="宋体" w:hAnsi="宋体" w:cs="宋体"/>
          <w:color w:val="auto"/>
          <w:sz w:val="32"/>
        </w:rPr>
      </w:pPr>
    </w:p>
    <w:p>
      <w:pPr>
        <w:spacing w:line="700" w:lineRule="exact"/>
        <w:jc w:val="center"/>
        <w:rPr>
          <w:rFonts w:ascii="宋体" w:hAnsi="宋体" w:cs="宋体"/>
          <w:color w:val="auto"/>
          <w:sz w:val="32"/>
        </w:rPr>
      </w:pPr>
    </w:p>
    <w:p>
      <w:pPr>
        <w:spacing w:line="500" w:lineRule="exact"/>
        <w:ind w:firstLine="2340" w:firstLineChars="650"/>
        <w:outlineLvl w:val="0"/>
        <w:rPr>
          <w:rFonts w:ascii="宋体" w:hAnsi="宋体" w:cs="宋体"/>
          <w:color w:val="auto"/>
          <w:sz w:val="36"/>
          <w:szCs w:val="36"/>
        </w:rPr>
      </w:pPr>
      <w:r>
        <w:rPr>
          <w:rFonts w:hint="eastAsia" w:ascii="宋体" w:hAnsi="宋体" w:cs="宋体"/>
          <w:color w:val="auto"/>
          <w:sz w:val="36"/>
          <w:szCs w:val="36"/>
        </w:rPr>
        <w:t xml:space="preserve">  </w:t>
      </w:r>
    </w:p>
    <w:p>
      <w:pPr>
        <w:spacing w:line="500" w:lineRule="exact"/>
        <w:ind w:firstLine="2340" w:firstLineChars="650"/>
        <w:outlineLvl w:val="0"/>
        <w:rPr>
          <w:rFonts w:hint="eastAsia" w:ascii="宋体" w:hAnsi="宋体" w:eastAsia="宋体" w:cs="宋体"/>
          <w:color w:val="auto"/>
          <w:sz w:val="36"/>
          <w:szCs w:val="36"/>
          <w:lang w:val="en-US" w:eastAsia="zh-CN"/>
        </w:rPr>
      </w:pPr>
      <w:r>
        <w:rPr>
          <w:rFonts w:hint="eastAsia" w:ascii="宋体" w:hAnsi="宋体" w:cs="宋体"/>
          <w:color w:val="auto"/>
          <w:sz w:val="36"/>
          <w:szCs w:val="36"/>
        </w:rPr>
        <w:t>采购执行编号：WJ202301</w:t>
      </w:r>
      <w:r>
        <w:rPr>
          <w:rFonts w:hint="eastAsia" w:ascii="宋体" w:hAnsi="宋体" w:cs="宋体"/>
          <w:color w:val="auto"/>
          <w:sz w:val="36"/>
          <w:szCs w:val="36"/>
          <w:lang w:val="en-US" w:eastAsia="zh-CN"/>
        </w:rPr>
        <w:t>3</w:t>
      </w:r>
    </w:p>
    <w:p>
      <w:pPr>
        <w:spacing w:line="500" w:lineRule="exact"/>
        <w:ind w:left="4320" w:hanging="4320" w:hangingChars="1200"/>
        <w:jc w:val="center"/>
        <w:outlineLvl w:val="0"/>
        <w:rPr>
          <w:rFonts w:hint="eastAsia" w:ascii="宋体" w:hAnsi="宋体" w:eastAsia="宋体" w:cs="宋体"/>
          <w:color w:val="auto"/>
          <w:sz w:val="36"/>
          <w:szCs w:val="36"/>
          <w:lang w:eastAsia="zh-CN"/>
        </w:rPr>
      </w:pPr>
      <w:r>
        <w:rPr>
          <w:rFonts w:hint="eastAsia" w:ascii="宋体" w:hAnsi="宋体" w:cs="宋体"/>
          <w:color w:val="auto"/>
          <w:sz w:val="36"/>
          <w:szCs w:val="36"/>
          <w:lang w:eastAsia="zh-CN"/>
        </w:rPr>
        <w:t>询比</w:t>
      </w:r>
      <w:r>
        <w:rPr>
          <w:rFonts w:hint="eastAsia" w:ascii="宋体" w:hAnsi="宋体" w:cs="宋体"/>
          <w:color w:val="auto"/>
          <w:sz w:val="36"/>
          <w:szCs w:val="36"/>
        </w:rPr>
        <w:t>项目名称：</w:t>
      </w:r>
      <w:r>
        <w:rPr>
          <w:rFonts w:hint="eastAsia" w:ascii="宋体" w:hAnsi="宋体" w:cs="宋体"/>
          <w:color w:val="auto"/>
          <w:sz w:val="36"/>
          <w:szCs w:val="36"/>
          <w:lang w:eastAsia="zh-CN"/>
        </w:rPr>
        <w:t>单位内部控制建设咨询服务（第二次）</w:t>
      </w:r>
    </w:p>
    <w:p>
      <w:pPr>
        <w:spacing w:line="700" w:lineRule="exact"/>
        <w:jc w:val="center"/>
        <w:rPr>
          <w:rFonts w:ascii="宋体" w:hAnsi="宋体" w:cs="宋体"/>
          <w:b/>
          <w:color w:val="auto"/>
          <w:sz w:val="36"/>
          <w:szCs w:val="36"/>
        </w:rPr>
      </w:pPr>
    </w:p>
    <w:p>
      <w:pPr>
        <w:spacing w:line="700" w:lineRule="exact"/>
        <w:jc w:val="center"/>
        <w:rPr>
          <w:rFonts w:ascii="宋体" w:hAnsi="宋体" w:cs="宋体"/>
          <w:b/>
          <w:color w:val="auto"/>
          <w:sz w:val="36"/>
          <w:szCs w:val="36"/>
        </w:rPr>
      </w:pPr>
    </w:p>
    <w:p>
      <w:pPr>
        <w:spacing w:line="700" w:lineRule="exact"/>
        <w:jc w:val="center"/>
        <w:rPr>
          <w:rFonts w:ascii="宋体" w:hAnsi="宋体" w:cs="宋体"/>
          <w:b/>
          <w:color w:val="auto"/>
          <w:sz w:val="36"/>
          <w:szCs w:val="36"/>
        </w:rPr>
      </w:pPr>
    </w:p>
    <w:p>
      <w:pPr>
        <w:spacing w:line="700" w:lineRule="exact"/>
        <w:rPr>
          <w:rFonts w:ascii="宋体" w:hAnsi="宋体" w:cs="宋体"/>
          <w:b/>
          <w:color w:val="auto"/>
          <w:sz w:val="36"/>
          <w:szCs w:val="36"/>
        </w:rPr>
      </w:pPr>
    </w:p>
    <w:p>
      <w:pPr>
        <w:spacing w:line="700" w:lineRule="exact"/>
        <w:rPr>
          <w:rFonts w:ascii="宋体" w:hAnsi="宋体" w:cs="宋体"/>
          <w:b/>
          <w:color w:val="auto"/>
          <w:sz w:val="36"/>
          <w:szCs w:val="36"/>
        </w:rPr>
      </w:pPr>
    </w:p>
    <w:p>
      <w:pPr>
        <w:spacing w:line="500" w:lineRule="exact"/>
        <w:jc w:val="center"/>
        <w:outlineLvl w:val="0"/>
        <w:rPr>
          <w:rFonts w:ascii="宋体" w:hAnsi="宋体" w:cs="宋体"/>
          <w:color w:val="auto"/>
          <w:sz w:val="36"/>
          <w:szCs w:val="36"/>
        </w:rPr>
      </w:pPr>
      <w:r>
        <w:rPr>
          <w:rFonts w:hint="eastAsia" w:ascii="宋体" w:hAnsi="宋体" w:cs="宋体"/>
          <w:color w:val="auto"/>
          <w:sz w:val="36"/>
          <w:szCs w:val="36"/>
        </w:rPr>
        <w:t>采购人：重庆市乌江航道管理处</w:t>
      </w:r>
    </w:p>
    <w:p>
      <w:pPr>
        <w:spacing w:line="500" w:lineRule="exact"/>
        <w:jc w:val="center"/>
        <w:outlineLvl w:val="0"/>
        <w:rPr>
          <w:rFonts w:ascii="宋体" w:hAnsi="宋体" w:cs="宋体"/>
          <w:color w:val="auto"/>
          <w:sz w:val="36"/>
          <w:szCs w:val="36"/>
        </w:rPr>
      </w:pPr>
      <w:r>
        <w:rPr>
          <w:rFonts w:hint="eastAsia" w:ascii="宋体" w:hAnsi="宋体" w:cs="宋体"/>
          <w:color w:val="auto"/>
          <w:sz w:val="36"/>
          <w:szCs w:val="36"/>
        </w:rPr>
        <w:t>采购代理机构：重庆华大工程管理有限公司</w:t>
      </w:r>
    </w:p>
    <w:p>
      <w:pPr>
        <w:spacing w:line="720" w:lineRule="exact"/>
        <w:jc w:val="center"/>
        <w:outlineLvl w:val="0"/>
        <w:rPr>
          <w:rFonts w:ascii="宋体" w:hAnsi="宋体" w:cs="宋体"/>
          <w:color w:val="auto"/>
          <w:sz w:val="48"/>
          <w:szCs w:val="32"/>
        </w:rPr>
      </w:pPr>
      <w:r>
        <w:rPr>
          <w:rFonts w:hint="eastAsia" w:ascii="宋体" w:hAnsi="宋体" w:cs="宋体"/>
          <w:color w:val="auto"/>
          <w:sz w:val="36"/>
          <w:szCs w:val="36"/>
        </w:rPr>
        <w:t>二〇二三年</w:t>
      </w:r>
      <w:r>
        <w:rPr>
          <w:rFonts w:hint="eastAsia" w:ascii="宋体" w:hAnsi="宋体" w:cs="宋体"/>
          <w:color w:val="auto"/>
          <w:sz w:val="36"/>
          <w:szCs w:val="36"/>
          <w:lang w:eastAsia="zh-CN"/>
        </w:rPr>
        <w:t>九</w:t>
      </w:r>
      <w:r>
        <w:rPr>
          <w:rFonts w:hint="eastAsia" w:ascii="宋体" w:hAnsi="宋体" w:cs="宋体"/>
          <w:color w:val="auto"/>
          <w:sz w:val="36"/>
          <w:szCs w:val="36"/>
        </w:rPr>
        <w:t>月</w:t>
      </w:r>
    </w:p>
    <w:p>
      <w:pPr>
        <w:spacing w:line="480" w:lineRule="exact"/>
        <w:outlineLvl w:val="0"/>
        <w:rPr>
          <w:rFonts w:ascii="宋体" w:hAnsi="宋体" w:cs="宋体"/>
          <w:color w:val="auto"/>
          <w:sz w:val="44"/>
          <w:szCs w:val="28"/>
        </w:rPr>
        <w:sectPr>
          <w:headerReference r:id="rId4" w:type="first"/>
          <w:footerReference r:id="rId7" w:type="first"/>
          <w:headerReference r:id="rId3" w:type="default"/>
          <w:footerReference r:id="rId5" w:type="default"/>
          <w:footerReference r:id="rId6" w:type="even"/>
          <w:pgSz w:w="11907" w:h="16840"/>
          <w:pgMar w:top="1134" w:right="1417" w:bottom="1134" w:left="1417" w:header="851" w:footer="992" w:gutter="0"/>
          <w:pgNumType w:fmt="numberInDash" w:start="1"/>
          <w:cols w:space="720" w:num="1"/>
          <w:titlePg/>
          <w:docGrid w:linePitch="381" w:charSpace="-5735"/>
        </w:sectPr>
      </w:pPr>
    </w:p>
    <w:p>
      <w:pPr>
        <w:spacing w:line="480" w:lineRule="exact"/>
        <w:jc w:val="center"/>
        <w:outlineLvl w:val="0"/>
        <w:rPr>
          <w:rFonts w:ascii="宋体" w:hAnsi="宋体" w:cs="宋体"/>
          <w:color w:val="auto"/>
          <w:sz w:val="44"/>
          <w:szCs w:val="28"/>
        </w:rPr>
      </w:pPr>
      <w:r>
        <w:rPr>
          <w:rFonts w:hint="eastAsia" w:ascii="宋体" w:hAnsi="宋体" w:cs="宋体"/>
          <w:color w:val="auto"/>
          <w:sz w:val="44"/>
          <w:szCs w:val="28"/>
        </w:rPr>
        <w:t>目   录</w:t>
      </w:r>
    </w:p>
    <w:p>
      <w:pPr>
        <w:pStyle w:val="47"/>
        <w:tabs>
          <w:tab w:val="right" w:leader="dot" w:pos="9412"/>
        </w:tabs>
        <w:rPr>
          <w:color w:val="auto"/>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_Toc6145 </w:instrText>
      </w:r>
      <w:r>
        <w:rPr>
          <w:rFonts w:hint="eastAsia" w:ascii="宋体" w:hAnsi="宋体" w:cs="宋体"/>
          <w:color w:val="auto"/>
          <w:szCs w:val="21"/>
        </w:rPr>
        <w:fldChar w:fldCharType="separate"/>
      </w:r>
      <w:r>
        <w:rPr>
          <w:rFonts w:hint="eastAsia" w:ascii="宋体" w:hAnsi="宋体" w:eastAsia="宋体" w:cs="宋体"/>
          <w:color w:val="auto"/>
          <w:szCs w:val="30"/>
        </w:rPr>
        <w:t xml:space="preserve">第一篇  </w:t>
      </w:r>
      <w:r>
        <w:rPr>
          <w:rFonts w:hint="eastAsia" w:ascii="宋体" w:hAnsi="宋体" w:cs="宋体"/>
          <w:color w:val="auto"/>
          <w:lang w:eastAsia="zh-CN"/>
        </w:rPr>
        <w:t>询比</w:t>
      </w:r>
      <w:r>
        <w:rPr>
          <w:rFonts w:hint="eastAsia" w:ascii="宋体" w:hAnsi="宋体" w:eastAsia="宋体" w:cs="宋体"/>
          <w:color w:val="auto"/>
        </w:rPr>
        <w:t>采购邀请书</w:t>
      </w:r>
      <w:r>
        <w:rPr>
          <w:color w:val="auto"/>
        </w:rPr>
        <w:tab/>
      </w:r>
      <w:r>
        <w:rPr>
          <w:color w:val="auto"/>
        </w:rPr>
        <w:fldChar w:fldCharType="begin"/>
      </w:r>
      <w:r>
        <w:rPr>
          <w:color w:val="auto"/>
        </w:rPr>
        <w:instrText xml:space="preserve"> PAGEREF _Toc6145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_Toc5923 </w:instrText>
      </w:r>
      <w:r>
        <w:rPr>
          <w:rFonts w:hint="eastAsia" w:ascii="宋体" w:hAnsi="宋体" w:cs="宋体"/>
          <w:color w:val="auto"/>
          <w:szCs w:val="21"/>
        </w:rPr>
        <w:fldChar w:fldCharType="separate"/>
      </w:r>
      <w:r>
        <w:rPr>
          <w:rFonts w:hint="eastAsia" w:ascii="宋体" w:hAnsi="宋体" w:eastAsia="宋体" w:cs="宋体"/>
          <w:color w:val="auto"/>
        </w:rPr>
        <w:t>一、</w:t>
      </w:r>
      <w:r>
        <w:rPr>
          <w:rFonts w:hint="eastAsia" w:ascii="宋体" w:hAnsi="宋体" w:cs="宋体"/>
          <w:color w:val="auto"/>
          <w:lang w:eastAsia="zh-CN"/>
        </w:rPr>
        <w:t>询比</w:t>
      </w:r>
      <w:r>
        <w:rPr>
          <w:rFonts w:hint="eastAsia" w:ascii="宋体" w:hAnsi="宋体" w:eastAsia="宋体" w:cs="宋体"/>
          <w:color w:val="auto"/>
        </w:rPr>
        <w:t>内容</w:t>
      </w:r>
      <w:r>
        <w:rPr>
          <w:color w:val="auto"/>
        </w:rPr>
        <w:tab/>
      </w:r>
      <w:r>
        <w:rPr>
          <w:color w:val="auto"/>
        </w:rPr>
        <w:fldChar w:fldCharType="begin"/>
      </w:r>
      <w:r>
        <w:rPr>
          <w:color w:val="auto"/>
        </w:rPr>
        <w:instrText xml:space="preserve"> PAGEREF _Toc5923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_Toc22796 </w:instrText>
      </w:r>
      <w:r>
        <w:rPr>
          <w:rFonts w:hint="eastAsia" w:ascii="宋体" w:hAnsi="宋体" w:cs="宋体"/>
          <w:color w:val="auto"/>
          <w:szCs w:val="21"/>
        </w:rPr>
        <w:fldChar w:fldCharType="separate"/>
      </w:r>
      <w:r>
        <w:rPr>
          <w:rFonts w:hint="eastAsia" w:ascii="宋体" w:hAnsi="宋体" w:eastAsia="宋体" w:cs="宋体"/>
          <w:color w:val="auto"/>
        </w:rPr>
        <w:t>二、资金来源</w:t>
      </w:r>
      <w:r>
        <w:rPr>
          <w:color w:val="auto"/>
        </w:rPr>
        <w:tab/>
      </w:r>
      <w:r>
        <w:rPr>
          <w:color w:val="auto"/>
        </w:rPr>
        <w:fldChar w:fldCharType="begin"/>
      </w:r>
      <w:r>
        <w:rPr>
          <w:color w:val="auto"/>
        </w:rPr>
        <w:instrText xml:space="preserve"> PAGEREF _Toc22796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_Toc19480 </w:instrText>
      </w:r>
      <w:r>
        <w:rPr>
          <w:rFonts w:hint="eastAsia" w:ascii="宋体" w:hAnsi="宋体" w:cs="宋体"/>
          <w:color w:val="auto"/>
          <w:szCs w:val="21"/>
        </w:rPr>
        <w:fldChar w:fldCharType="separate"/>
      </w:r>
      <w:r>
        <w:rPr>
          <w:rFonts w:hint="eastAsia" w:ascii="宋体" w:hAnsi="宋体" w:eastAsia="宋体" w:cs="宋体"/>
          <w:color w:val="auto"/>
        </w:rPr>
        <w:t>三、供应商资格条件</w:t>
      </w:r>
      <w:r>
        <w:rPr>
          <w:color w:val="auto"/>
        </w:rPr>
        <w:tab/>
      </w:r>
      <w:r>
        <w:rPr>
          <w:color w:val="auto"/>
        </w:rPr>
        <w:fldChar w:fldCharType="begin"/>
      </w:r>
      <w:r>
        <w:rPr>
          <w:color w:val="auto"/>
        </w:rPr>
        <w:instrText xml:space="preserve"> PAGEREF _Toc19480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_Toc9360 </w:instrText>
      </w:r>
      <w:r>
        <w:rPr>
          <w:rFonts w:hint="eastAsia" w:ascii="宋体" w:hAnsi="宋体" w:cs="宋体"/>
          <w:color w:val="auto"/>
          <w:szCs w:val="21"/>
        </w:rPr>
        <w:fldChar w:fldCharType="separate"/>
      </w:r>
      <w:r>
        <w:rPr>
          <w:rFonts w:hint="eastAsia" w:ascii="宋体" w:hAnsi="宋体" w:eastAsia="宋体" w:cs="宋体"/>
          <w:color w:val="auto"/>
        </w:rPr>
        <w:t>四、</w:t>
      </w:r>
      <w:r>
        <w:rPr>
          <w:rFonts w:hint="eastAsia" w:ascii="宋体" w:hAnsi="宋体" w:cs="宋体"/>
          <w:color w:val="auto"/>
          <w:lang w:eastAsia="zh-CN"/>
        </w:rPr>
        <w:t>询比</w:t>
      </w:r>
      <w:r>
        <w:rPr>
          <w:rFonts w:hint="eastAsia" w:ascii="宋体" w:hAnsi="宋体" w:eastAsia="宋体" w:cs="宋体"/>
          <w:color w:val="auto"/>
        </w:rPr>
        <w:t>有关说明</w:t>
      </w:r>
      <w:r>
        <w:rPr>
          <w:color w:val="auto"/>
        </w:rPr>
        <w:tab/>
      </w:r>
      <w:r>
        <w:rPr>
          <w:color w:val="auto"/>
        </w:rPr>
        <w:fldChar w:fldCharType="begin"/>
      </w:r>
      <w:r>
        <w:rPr>
          <w:color w:val="auto"/>
        </w:rPr>
        <w:instrText xml:space="preserve"> PAGEREF _Toc9360 \h </w:instrText>
      </w:r>
      <w:r>
        <w:rPr>
          <w:color w:val="auto"/>
        </w:rPr>
        <w:fldChar w:fldCharType="separate"/>
      </w:r>
      <w:r>
        <w:rPr>
          <w:color w:val="auto"/>
        </w:rPr>
        <w:t>- 2 -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_Toc9360 </w:instrText>
      </w:r>
      <w:r>
        <w:rPr>
          <w:rFonts w:hint="eastAsia" w:ascii="宋体" w:hAnsi="宋体" w:cs="宋体"/>
          <w:color w:val="auto"/>
          <w:szCs w:val="21"/>
        </w:rPr>
        <w:fldChar w:fldCharType="separate"/>
      </w:r>
      <w:r>
        <w:rPr>
          <w:rFonts w:hint="eastAsia" w:ascii="宋体" w:hAnsi="宋体" w:eastAsia="宋体" w:cs="宋体"/>
          <w:color w:val="auto"/>
          <w:lang w:eastAsia="zh-CN"/>
        </w:rPr>
        <w:t>五</w:t>
      </w:r>
      <w:r>
        <w:rPr>
          <w:rFonts w:hint="eastAsia" w:ascii="宋体" w:hAnsi="宋体" w:eastAsia="宋体" w:cs="宋体"/>
          <w:color w:val="auto"/>
        </w:rPr>
        <w:t>、</w:t>
      </w:r>
      <w:r>
        <w:rPr>
          <w:rFonts w:hint="eastAsia" w:ascii="宋体" w:hAnsi="宋体" w:eastAsia="宋体" w:cs="宋体"/>
          <w:color w:val="auto"/>
          <w:lang w:eastAsia="zh-CN"/>
        </w:rPr>
        <w:t>其它</w:t>
      </w:r>
      <w:r>
        <w:rPr>
          <w:rFonts w:hint="eastAsia" w:ascii="宋体" w:hAnsi="宋体" w:eastAsia="宋体" w:cs="宋体"/>
          <w:color w:val="auto"/>
        </w:rPr>
        <w:t>有关</w:t>
      </w:r>
      <w:r>
        <w:rPr>
          <w:rFonts w:hint="eastAsia" w:ascii="宋体" w:hAnsi="宋体" w:eastAsia="宋体" w:cs="宋体"/>
          <w:color w:val="auto"/>
          <w:lang w:eastAsia="zh-CN"/>
        </w:rPr>
        <w:t>规定</w:t>
      </w:r>
      <w:r>
        <w:rPr>
          <w:color w:val="auto"/>
        </w:rPr>
        <w:tab/>
      </w:r>
      <w:r>
        <w:rPr>
          <w:color w:val="auto"/>
        </w:rPr>
        <w:fldChar w:fldCharType="begin"/>
      </w:r>
      <w:r>
        <w:rPr>
          <w:color w:val="auto"/>
        </w:rPr>
        <w:instrText xml:space="preserve"> PAGEREF _Toc9360 \h </w:instrText>
      </w:r>
      <w:r>
        <w:rPr>
          <w:color w:val="auto"/>
        </w:rPr>
        <w:fldChar w:fldCharType="separate"/>
      </w:r>
      <w:r>
        <w:rPr>
          <w:color w:val="auto"/>
        </w:rPr>
        <w:t xml:space="preserve">- </w:t>
      </w:r>
      <w:r>
        <w:rPr>
          <w:rFonts w:hint="eastAsia"/>
          <w:color w:val="auto"/>
          <w:lang w:val="en-US" w:eastAsia="zh-CN"/>
        </w:rPr>
        <w:t>3</w:t>
      </w:r>
      <w:r>
        <w:rPr>
          <w:color w:val="auto"/>
        </w:rPr>
        <w:t xml:space="preserve">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_Toc12927 </w:instrText>
      </w:r>
      <w:r>
        <w:rPr>
          <w:rFonts w:hint="eastAsia" w:ascii="宋体" w:hAnsi="宋体" w:cs="宋体"/>
          <w:color w:val="auto"/>
          <w:szCs w:val="21"/>
        </w:rPr>
        <w:fldChar w:fldCharType="separate"/>
      </w:r>
      <w:r>
        <w:rPr>
          <w:rFonts w:hint="eastAsia" w:ascii="宋体" w:hAnsi="宋体" w:eastAsia="宋体" w:cs="宋体"/>
          <w:color w:val="auto"/>
        </w:rPr>
        <w:t>六、联系方式</w:t>
      </w:r>
      <w:r>
        <w:rPr>
          <w:color w:val="auto"/>
        </w:rPr>
        <w:tab/>
      </w:r>
      <w:r>
        <w:rPr>
          <w:color w:val="auto"/>
        </w:rPr>
        <w:fldChar w:fldCharType="begin"/>
      </w:r>
      <w:r>
        <w:rPr>
          <w:color w:val="auto"/>
        </w:rPr>
        <w:instrText xml:space="preserve"> PAGEREF _Toc12927 \h </w:instrText>
      </w:r>
      <w:r>
        <w:rPr>
          <w:color w:val="auto"/>
        </w:rPr>
        <w:fldChar w:fldCharType="separate"/>
      </w:r>
      <w:r>
        <w:rPr>
          <w:color w:val="auto"/>
        </w:rPr>
        <w:t>- 3 -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_Toc32282 </w:instrText>
      </w:r>
      <w:r>
        <w:rPr>
          <w:rFonts w:hint="eastAsia" w:ascii="宋体" w:hAnsi="宋体" w:cs="宋体"/>
          <w:color w:val="auto"/>
          <w:szCs w:val="21"/>
        </w:rPr>
        <w:fldChar w:fldCharType="separate"/>
      </w:r>
      <w:r>
        <w:rPr>
          <w:rFonts w:hint="eastAsia" w:ascii="宋体" w:hAnsi="宋体" w:eastAsia="宋体" w:cs="宋体"/>
          <w:color w:val="auto"/>
          <w:szCs w:val="30"/>
        </w:rPr>
        <w:t xml:space="preserve">第二篇 </w:t>
      </w:r>
      <w:r>
        <w:rPr>
          <w:rFonts w:hint="eastAsia" w:ascii="宋体" w:hAnsi="宋体" w:cs="宋体"/>
          <w:color w:val="auto"/>
          <w:szCs w:val="30"/>
          <w:lang w:eastAsia="zh-CN"/>
        </w:rPr>
        <w:t>询比</w:t>
      </w:r>
      <w:r>
        <w:rPr>
          <w:rFonts w:hint="eastAsia" w:ascii="宋体" w:hAnsi="宋体" w:eastAsia="宋体" w:cs="宋体"/>
          <w:color w:val="auto"/>
          <w:szCs w:val="30"/>
        </w:rPr>
        <w:t>项目服务需求</w:t>
      </w:r>
      <w:r>
        <w:rPr>
          <w:color w:val="auto"/>
        </w:rPr>
        <w:tab/>
      </w:r>
      <w:r>
        <w:rPr>
          <w:color w:val="auto"/>
        </w:rPr>
        <w:fldChar w:fldCharType="begin"/>
      </w:r>
      <w:r>
        <w:rPr>
          <w:color w:val="auto"/>
        </w:rPr>
        <w:instrText xml:space="preserve"> PAGEREF _Toc32282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_Toc18627 </w:instrText>
      </w:r>
      <w:r>
        <w:rPr>
          <w:rFonts w:hint="eastAsia" w:ascii="宋体" w:hAnsi="宋体" w:cs="宋体"/>
          <w:color w:val="auto"/>
          <w:szCs w:val="21"/>
        </w:rPr>
        <w:fldChar w:fldCharType="separate"/>
      </w:r>
      <w:r>
        <w:rPr>
          <w:rFonts w:hint="eastAsia" w:ascii="宋体" w:hAnsi="宋体" w:eastAsia="宋体" w:cs="宋体"/>
          <w:color w:val="auto"/>
          <w:szCs w:val="28"/>
        </w:rPr>
        <w:t>一、</w:t>
      </w:r>
      <w:r>
        <w:rPr>
          <w:rFonts w:hint="eastAsia" w:ascii="宋体" w:hAnsi="宋体" w:eastAsia="宋体" w:cs="宋体"/>
          <w:color w:val="auto"/>
          <w:szCs w:val="28"/>
          <w:lang w:eastAsia="zh-CN"/>
        </w:rPr>
        <w:t>项目概况</w:t>
      </w:r>
      <w:r>
        <w:rPr>
          <w:color w:val="auto"/>
        </w:rPr>
        <w:tab/>
      </w:r>
      <w:r>
        <w:rPr>
          <w:color w:val="auto"/>
        </w:rPr>
        <w:fldChar w:fldCharType="begin"/>
      </w:r>
      <w:r>
        <w:rPr>
          <w:color w:val="auto"/>
        </w:rPr>
        <w:instrText xml:space="preserve"> PAGEREF _Toc18627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_Toc18627 </w:instrText>
      </w:r>
      <w:r>
        <w:rPr>
          <w:rFonts w:hint="eastAsia" w:ascii="宋体" w:hAnsi="宋体" w:cs="宋体"/>
          <w:color w:val="auto"/>
          <w:szCs w:val="21"/>
        </w:rPr>
        <w:fldChar w:fldCharType="separate"/>
      </w:r>
      <w:r>
        <w:rPr>
          <w:rFonts w:hint="eastAsia" w:ascii="宋体" w:hAnsi="宋体" w:eastAsia="宋体" w:cs="宋体"/>
          <w:color w:val="auto"/>
          <w:szCs w:val="28"/>
          <w:lang w:eastAsia="zh-CN"/>
        </w:rPr>
        <w:t>二</w:t>
      </w:r>
      <w:r>
        <w:rPr>
          <w:rFonts w:hint="eastAsia" w:ascii="宋体" w:hAnsi="宋体" w:eastAsia="宋体" w:cs="宋体"/>
          <w:color w:val="auto"/>
          <w:szCs w:val="28"/>
        </w:rPr>
        <w:t>、</w:t>
      </w:r>
      <w:r>
        <w:rPr>
          <w:rFonts w:hint="eastAsia" w:ascii="宋体" w:hAnsi="宋体" w:eastAsia="宋体" w:cs="宋体"/>
          <w:color w:val="auto"/>
          <w:szCs w:val="28"/>
          <w:lang w:eastAsia="zh-CN"/>
        </w:rPr>
        <w:t>项目需求</w:t>
      </w:r>
      <w:r>
        <w:rPr>
          <w:color w:val="auto"/>
        </w:rPr>
        <w:tab/>
      </w:r>
      <w:r>
        <w:rPr>
          <w:color w:val="auto"/>
        </w:rPr>
        <w:fldChar w:fldCharType="begin"/>
      </w:r>
      <w:r>
        <w:rPr>
          <w:color w:val="auto"/>
        </w:rPr>
        <w:instrText xml:space="preserve"> PAGEREF _Toc18627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_Toc30541 </w:instrText>
      </w:r>
      <w:r>
        <w:rPr>
          <w:rFonts w:hint="eastAsia" w:ascii="宋体" w:hAnsi="宋体" w:cs="宋体"/>
          <w:color w:val="auto"/>
          <w:szCs w:val="21"/>
        </w:rPr>
        <w:fldChar w:fldCharType="separate"/>
      </w:r>
      <w:r>
        <w:rPr>
          <w:rFonts w:hint="eastAsia" w:ascii="宋体" w:hAnsi="宋体" w:eastAsia="宋体" w:cs="宋体"/>
          <w:color w:val="auto"/>
          <w:szCs w:val="30"/>
        </w:rPr>
        <w:t xml:space="preserve">第三篇  </w:t>
      </w:r>
      <w:r>
        <w:rPr>
          <w:rFonts w:hint="eastAsia" w:ascii="宋体" w:hAnsi="宋体" w:cs="宋体"/>
          <w:color w:val="auto"/>
          <w:szCs w:val="30"/>
          <w:lang w:eastAsia="zh-CN"/>
        </w:rPr>
        <w:t>询比</w:t>
      </w:r>
      <w:r>
        <w:rPr>
          <w:rFonts w:hint="eastAsia" w:ascii="宋体" w:hAnsi="宋体" w:eastAsia="宋体" w:cs="宋体"/>
          <w:color w:val="auto"/>
          <w:szCs w:val="30"/>
        </w:rPr>
        <w:t>项目</w:t>
      </w:r>
      <w:r>
        <w:rPr>
          <w:rFonts w:hint="eastAsia" w:ascii="宋体" w:hAnsi="宋体" w:cs="宋体"/>
          <w:color w:val="auto"/>
          <w:szCs w:val="30"/>
          <w:lang w:eastAsia="zh-CN"/>
        </w:rPr>
        <w:t>商务</w:t>
      </w:r>
      <w:r>
        <w:rPr>
          <w:rFonts w:hint="eastAsia" w:ascii="宋体" w:hAnsi="宋体" w:eastAsia="宋体" w:cs="宋体"/>
          <w:color w:val="auto"/>
          <w:szCs w:val="30"/>
        </w:rPr>
        <w:t>需求</w:t>
      </w:r>
      <w:r>
        <w:rPr>
          <w:color w:val="auto"/>
        </w:rPr>
        <w:tab/>
      </w:r>
      <w:r>
        <w:rPr>
          <w:color w:val="auto"/>
        </w:rPr>
        <w:fldChar w:fldCharType="begin"/>
      </w:r>
      <w:r>
        <w:rPr>
          <w:color w:val="auto"/>
        </w:rPr>
        <w:instrText xml:space="preserve"> PAGEREF _Toc30541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_Toc15183 </w:instrText>
      </w:r>
      <w:r>
        <w:rPr>
          <w:rFonts w:hint="eastAsia" w:ascii="宋体" w:hAnsi="宋体" w:cs="宋体"/>
          <w:color w:val="auto"/>
          <w:szCs w:val="21"/>
        </w:rPr>
        <w:fldChar w:fldCharType="separate"/>
      </w:r>
      <w:r>
        <w:rPr>
          <w:rFonts w:hint="eastAsia" w:ascii="宋体" w:hAnsi="宋体" w:eastAsia="宋体" w:cs="宋体"/>
          <w:color w:val="auto"/>
        </w:rPr>
        <w:t>一、服务时间、地点及验收方式</w:t>
      </w:r>
      <w:r>
        <w:rPr>
          <w:color w:val="auto"/>
        </w:rPr>
        <w:tab/>
      </w:r>
      <w:r>
        <w:rPr>
          <w:color w:val="auto"/>
        </w:rPr>
        <w:fldChar w:fldCharType="begin"/>
      </w:r>
      <w:r>
        <w:rPr>
          <w:color w:val="auto"/>
        </w:rPr>
        <w:instrText xml:space="preserve"> PAGEREF _Toc15183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_Toc15183 </w:instrText>
      </w:r>
      <w:r>
        <w:rPr>
          <w:rFonts w:hint="eastAsia" w:ascii="宋体" w:hAnsi="宋体" w:cs="宋体"/>
          <w:color w:val="auto"/>
          <w:szCs w:val="21"/>
        </w:rPr>
        <w:fldChar w:fldCharType="separate"/>
      </w:r>
      <w:r>
        <w:rPr>
          <w:rFonts w:hint="eastAsia" w:ascii="宋体" w:hAnsi="宋体" w:eastAsia="宋体" w:cs="宋体"/>
          <w:color w:val="auto"/>
          <w:lang w:eastAsia="zh-CN"/>
        </w:rPr>
        <w:t>二</w:t>
      </w:r>
      <w:r>
        <w:rPr>
          <w:rFonts w:hint="eastAsia" w:ascii="宋体" w:hAnsi="宋体" w:eastAsia="宋体" w:cs="宋体"/>
          <w:color w:val="auto"/>
        </w:rPr>
        <w:t>、</w:t>
      </w:r>
      <w:r>
        <w:rPr>
          <w:rFonts w:hint="eastAsia" w:ascii="宋体" w:hAnsi="宋体" w:eastAsia="宋体" w:cs="宋体"/>
          <w:color w:val="auto"/>
          <w:lang w:eastAsia="zh-CN"/>
        </w:rPr>
        <w:t>报价要求</w:t>
      </w:r>
      <w:r>
        <w:rPr>
          <w:color w:val="auto"/>
        </w:rPr>
        <w:tab/>
      </w:r>
      <w:r>
        <w:rPr>
          <w:color w:val="auto"/>
        </w:rPr>
        <w:fldChar w:fldCharType="begin"/>
      </w:r>
      <w:r>
        <w:rPr>
          <w:color w:val="auto"/>
        </w:rPr>
        <w:instrText xml:space="preserve"> PAGEREF _Toc15183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_Toc20183 </w:instrText>
      </w:r>
      <w:r>
        <w:rPr>
          <w:rFonts w:hint="eastAsia" w:ascii="宋体" w:hAnsi="宋体" w:cs="宋体"/>
          <w:color w:val="auto"/>
          <w:szCs w:val="21"/>
        </w:rPr>
        <w:fldChar w:fldCharType="separate"/>
      </w:r>
      <w:r>
        <w:rPr>
          <w:rFonts w:hint="eastAsia" w:ascii="宋体" w:hAnsi="宋体" w:eastAsia="宋体" w:cs="宋体"/>
          <w:color w:val="auto"/>
        </w:rPr>
        <w:t>三、</w:t>
      </w:r>
      <w:r>
        <w:rPr>
          <w:rFonts w:hint="eastAsia" w:ascii="宋体" w:hAnsi="宋体" w:cs="宋体"/>
          <w:color w:val="auto"/>
          <w:lang w:eastAsia="zh-CN"/>
        </w:rPr>
        <w:t>付款方式</w:t>
      </w:r>
      <w:r>
        <w:rPr>
          <w:color w:val="auto"/>
        </w:rPr>
        <w:tab/>
      </w:r>
      <w:r>
        <w:rPr>
          <w:color w:val="auto"/>
        </w:rPr>
        <w:fldChar w:fldCharType="begin"/>
      </w:r>
      <w:r>
        <w:rPr>
          <w:color w:val="auto"/>
        </w:rPr>
        <w:instrText xml:space="preserve"> PAGEREF _Toc20183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_Toc19015 </w:instrText>
      </w:r>
      <w:r>
        <w:rPr>
          <w:rFonts w:hint="eastAsia" w:ascii="宋体" w:hAnsi="宋体" w:cs="宋体"/>
          <w:color w:val="auto"/>
          <w:szCs w:val="21"/>
        </w:rPr>
        <w:fldChar w:fldCharType="separate"/>
      </w:r>
      <w:r>
        <w:rPr>
          <w:rFonts w:hint="eastAsia" w:ascii="宋体" w:hAnsi="宋体" w:eastAsia="宋体" w:cs="宋体"/>
          <w:color w:val="auto"/>
        </w:rPr>
        <w:t>四、</w:t>
      </w:r>
      <w:r>
        <w:rPr>
          <w:rFonts w:hint="eastAsia" w:ascii="宋体" w:hAnsi="宋体" w:cs="宋体"/>
          <w:color w:val="auto"/>
          <w:lang w:eastAsia="zh-CN"/>
        </w:rPr>
        <w:t>履约担保</w:t>
      </w:r>
      <w:r>
        <w:rPr>
          <w:color w:val="auto"/>
        </w:rPr>
        <w:tab/>
      </w:r>
      <w:r>
        <w:rPr>
          <w:color w:val="auto"/>
        </w:rPr>
        <w:fldChar w:fldCharType="begin"/>
      </w:r>
      <w:r>
        <w:rPr>
          <w:color w:val="auto"/>
        </w:rPr>
        <w:instrText xml:space="preserve"> PAGEREF _Toc19015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_Toc19015 </w:instrText>
      </w:r>
      <w:r>
        <w:rPr>
          <w:rFonts w:hint="eastAsia" w:ascii="宋体" w:hAnsi="宋体" w:cs="宋体"/>
          <w:color w:val="auto"/>
          <w:szCs w:val="21"/>
        </w:rPr>
        <w:fldChar w:fldCharType="separate"/>
      </w:r>
      <w:r>
        <w:rPr>
          <w:rFonts w:hint="eastAsia" w:ascii="宋体" w:hAnsi="宋体" w:eastAsia="宋体" w:cs="宋体"/>
          <w:color w:val="auto"/>
          <w:lang w:eastAsia="zh-CN"/>
        </w:rPr>
        <w:t>五</w:t>
      </w:r>
      <w:r>
        <w:rPr>
          <w:rFonts w:hint="eastAsia" w:ascii="宋体" w:hAnsi="宋体" w:eastAsia="宋体" w:cs="宋体"/>
          <w:color w:val="auto"/>
        </w:rPr>
        <w:t>、</w:t>
      </w:r>
      <w:r>
        <w:rPr>
          <w:rFonts w:hint="eastAsia" w:ascii="宋体" w:hAnsi="宋体" w:eastAsia="宋体" w:cs="宋体"/>
          <w:color w:val="auto"/>
          <w:lang w:eastAsia="zh-CN"/>
        </w:rPr>
        <w:t>知识产权</w:t>
      </w:r>
      <w:r>
        <w:rPr>
          <w:color w:val="auto"/>
        </w:rPr>
        <w:tab/>
      </w:r>
      <w:r>
        <w:rPr>
          <w:color w:val="auto"/>
        </w:rPr>
        <w:fldChar w:fldCharType="begin"/>
      </w:r>
      <w:r>
        <w:rPr>
          <w:color w:val="auto"/>
        </w:rPr>
        <w:instrText xml:space="preserve"> PAGEREF _Toc19015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_Toc19015 </w:instrText>
      </w:r>
      <w:r>
        <w:rPr>
          <w:rFonts w:hint="eastAsia" w:ascii="宋体" w:hAnsi="宋体" w:cs="宋体"/>
          <w:color w:val="auto"/>
          <w:szCs w:val="21"/>
        </w:rPr>
        <w:fldChar w:fldCharType="separate"/>
      </w:r>
      <w:r>
        <w:rPr>
          <w:rFonts w:hint="eastAsia" w:ascii="宋体" w:hAnsi="宋体" w:cs="宋体"/>
          <w:color w:val="auto"/>
          <w:lang w:eastAsia="zh-CN"/>
        </w:rPr>
        <w:t>六</w:t>
      </w:r>
      <w:r>
        <w:rPr>
          <w:rFonts w:hint="eastAsia" w:ascii="宋体" w:hAnsi="宋体" w:eastAsia="宋体" w:cs="宋体"/>
          <w:color w:val="auto"/>
        </w:rPr>
        <w:t>、</w:t>
      </w:r>
      <w:r>
        <w:rPr>
          <w:rFonts w:hint="eastAsia" w:ascii="宋体" w:hAnsi="宋体" w:cs="宋体"/>
          <w:color w:val="auto"/>
          <w:lang w:eastAsia="zh-CN"/>
        </w:rPr>
        <w:t>工期违约责任</w:t>
      </w:r>
      <w:r>
        <w:rPr>
          <w:color w:val="auto"/>
        </w:rPr>
        <w:tab/>
      </w:r>
      <w:r>
        <w:rPr>
          <w:color w:val="auto"/>
        </w:rPr>
        <w:fldChar w:fldCharType="begin"/>
      </w:r>
      <w:r>
        <w:rPr>
          <w:color w:val="auto"/>
        </w:rPr>
        <w:instrText xml:space="preserve"> PAGEREF _Toc19015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_Toc30672 </w:instrText>
      </w:r>
      <w:r>
        <w:rPr>
          <w:rFonts w:hint="eastAsia" w:ascii="宋体" w:hAnsi="宋体" w:cs="宋体"/>
          <w:color w:val="auto"/>
          <w:szCs w:val="21"/>
        </w:rPr>
        <w:fldChar w:fldCharType="separate"/>
      </w:r>
      <w:r>
        <w:rPr>
          <w:rFonts w:hint="eastAsia" w:ascii="宋体" w:hAnsi="宋体" w:eastAsia="宋体" w:cs="宋体"/>
          <w:color w:val="auto"/>
          <w:szCs w:val="30"/>
        </w:rPr>
        <w:t>第四篇  采购程序、评定成交的标准、无效报价及采购终止</w:t>
      </w:r>
      <w:r>
        <w:rPr>
          <w:color w:val="auto"/>
        </w:rPr>
        <w:tab/>
      </w:r>
      <w:r>
        <w:rPr>
          <w:color w:val="auto"/>
        </w:rPr>
        <w:fldChar w:fldCharType="begin"/>
      </w:r>
      <w:r>
        <w:rPr>
          <w:color w:val="auto"/>
        </w:rPr>
        <w:instrText xml:space="preserve"> PAGEREF _Toc30672 \h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_Toc2521 </w:instrText>
      </w:r>
      <w:r>
        <w:rPr>
          <w:rFonts w:hint="eastAsia" w:ascii="宋体" w:hAnsi="宋体" w:cs="宋体"/>
          <w:color w:val="auto"/>
          <w:szCs w:val="21"/>
        </w:rPr>
        <w:fldChar w:fldCharType="separate"/>
      </w:r>
      <w:r>
        <w:rPr>
          <w:rFonts w:hint="eastAsia" w:ascii="宋体" w:hAnsi="宋体" w:eastAsia="宋体" w:cs="宋体"/>
          <w:color w:val="auto"/>
        </w:rPr>
        <w:t>一、采购程序</w:t>
      </w:r>
      <w:r>
        <w:rPr>
          <w:color w:val="auto"/>
        </w:rPr>
        <w:tab/>
      </w:r>
      <w:r>
        <w:rPr>
          <w:color w:val="auto"/>
        </w:rPr>
        <w:fldChar w:fldCharType="begin"/>
      </w:r>
      <w:r>
        <w:rPr>
          <w:color w:val="auto"/>
        </w:rPr>
        <w:instrText xml:space="preserve"> PAGEREF _Toc2521 \h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_Toc21823 </w:instrText>
      </w:r>
      <w:r>
        <w:rPr>
          <w:rFonts w:hint="eastAsia" w:ascii="宋体" w:hAnsi="宋体" w:cs="宋体"/>
          <w:color w:val="auto"/>
          <w:szCs w:val="21"/>
        </w:rPr>
        <w:fldChar w:fldCharType="separate"/>
      </w:r>
      <w:r>
        <w:rPr>
          <w:rFonts w:hint="eastAsia" w:ascii="宋体" w:hAnsi="宋体" w:eastAsia="宋体" w:cs="宋体"/>
          <w:color w:val="auto"/>
        </w:rPr>
        <w:t>二、评定成交的标准</w:t>
      </w:r>
      <w:r>
        <w:rPr>
          <w:color w:val="auto"/>
        </w:rPr>
        <w:tab/>
      </w:r>
      <w:r>
        <w:rPr>
          <w:color w:val="auto"/>
        </w:rPr>
        <w:fldChar w:fldCharType="begin"/>
      </w:r>
      <w:r>
        <w:rPr>
          <w:color w:val="auto"/>
        </w:rPr>
        <w:instrText xml:space="preserve"> PAGEREF _Toc21823 \h </w:instrText>
      </w:r>
      <w:r>
        <w:rPr>
          <w:color w:val="auto"/>
        </w:rPr>
        <w:fldChar w:fldCharType="separate"/>
      </w:r>
      <w:r>
        <w:rPr>
          <w:color w:val="auto"/>
        </w:rPr>
        <w:t>- 8 -</w:t>
      </w:r>
      <w:r>
        <w:rPr>
          <w:color w:val="auto"/>
        </w:rPr>
        <w:fldChar w:fldCharType="end"/>
      </w:r>
      <w:r>
        <w:rPr>
          <w:rFonts w:hint="eastAsia" w:ascii="宋体" w:hAnsi="宋体" w:cs="宋体"/>
          <w:color w:val="auto"/>
          <w:szCs w:val="21"/>
        </w:rPr>
        <w:fldChar w:fldCharType="end"/>
      </w:r>
    </w:p>
    <w:p>
      <w:pPr>
        <w:pStyle w:val="47"/>
        <w:tabs>
          <w:tab w:val="right" w:leader="dot" w:pos="9412"/>
        </w:tabs>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_Toc21823 </w:instrText>
      </w:r>
      <w:r>
        <w:rPr>
          <w:rFonts w:hint="eastAsia" w:ascii="宋体" w:hAnsi="宋体" w:cs="宋体"/>
          <w:color w:val="auto"/>
          <w:szCs w:val="21"/>
        </w:rPr>
        <w:fldChar w:fldCharType="separate"/>
      </w:r>
      <w:r>
        <w:rPr>
          <w:rFonts w:hint="eastAsia" w:ascii="宋体" w:hAnsi="宋体" w:eastAsia="宋体" w:cs="宋体"/>
          <w:color w:val="auto"/>
          <w:lang w:eastAsia="zh-CN"/>
        </w:rPr>
        <w:t>三</w:t>
      </w:r>
      <w:r>
        <w:rPr>
          <w:rFonts w:hint="eastAsia" w:ascii="宋体" w:hAnsi="宋体" w:eastAsia="宋体" w:cs="宋体"/>
          <w:color w:val="auto"/>
        </w:rPr>
        <w:t>、</w:t>
      </w:r>
      <w:r>
        <w:rPr>
          <w:rFonts w:hint="eastAsia" w:ascii="宋体" w:hAnsi="宋体" w:eastAsia="宋体" w:cs="宋体"/>
          <w:color w:val="auto"/>
          <w:lang w:eastAsia="zh-CN"/>
        </w:rPr>
        <w:t>无效报价</w:t>
      </w:r>
      <w:r>
        <w:rPr>
          <w:color w:val="auto"/>
        </w:rPr>
        <w:tab/>
      </w:r>
      <w:r>
        <w:rPr>
          <w:color w:val="auto"/>
        </w:rPr>
        <w:fldChar w:fldCharType="begin"/>
      </w:r>
      <w:r>
        <w:rPr>
          <w:color w:val="auto"/>
        </w:rPr>
        <w:instrText xml:space="preserve"> PAGEREF _Toc21823 \h </w:instrText>
      </w:r>
      <w:r>
        <w:rPr>
          <w:color w:val="auto"/>
        </w:rPr>
        <w:fldChar w:fldCharType="separate"/>
      </w:r>
      <w:r>
        <w:rPr>
          <w:color w:val="auto"/>
        </w:rPr>
        <w:t xml:space="preserve">- </w:t>
      </w:r>
      <w:r>
        <w:rPr>
          <w:rFonts w:hint="eastAsia"/>
          <w:color w:val="auto"/>
          <w:lang w:val="en-US" w:eastAsia="zh-CN"/>
        </w:rPr>
        <w:t>9</w:t>
      </w:r>
      <w:r>
        <w:rPr>
          <w:color w:val="auto"/>
        </w:rPr>
        <w:t xml:space="preserve">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_Toc14909 </w:instrText>
      </w:r>
      <w:r>
        <w:rPr>
          <w:rFonts w:hint="eastAsia" w:ascii="宋体" w:hAnsi="宋体" w:cs="宋体"/>
          <w:color w:val="auto"/>
          <w:szCs w:val="21"/>
        </w:rPr>
        <w:fldChar w:fldCharType="separate"/>
      </w:r>
      <w:r>
        <w:rPr>
          <w:rFonts w:hint="eastAsia" w:ascii="宋体" w:hAnsi="宋体" w:eastAsia="宋体" w:cs="宋体"/>
          <w:color w:val="auto"/>
        </w:rPr>
        <w:t>四、采购终止</w:t>
      </w:r>
      <w:r>
        <w:rPr>
          <w:color w:val="auto"/>
        </w:rPr>
        <w:tab/>
      </w:r>
      <w:r>
        <w:rPr>
          <w:color w:val="auto"/>
        </w:rPr>
        <w:fldChar w:fldCharType="begin"/>
      </w:r>
      <w:r>
        <w:rPr>
          <w:color w:val="auto"/>
        </w:rPr>
        <w:instrText xml:space="preserve"> PAGEREF _Toc14909 \h </w:instrText>
      </w:r>
      <w:r>
        <w:rPr>
          <w:color w:val="auto"/>
        </w:rPr>
        <w:fldChar w:fldCharType="separate"/>
      </w:r>
      <w:r>
        <w:rPr>
          <w:color w:val="auto"/>
        </w:rPr>
        <w:t>- 10 -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_Toc4764 </w:instrText>
      </w:r>
      <w:r>
        <w:rPr>
          <w:rFonts w:hint="eastAsia" w:ascii="宋体" w:hAnsi="宋体" w:cs="宋体"/>
          <w:color w:val="auto"/>
          <w:szCs w:val="21"/>
        </w:rPr>
        <w:fldChar w:fldCharType="separate"/>
      </w:r>
      <w:r>
        <w:rPr>
          <w:rFonts w:hint="eastAsia" w:ascii="宋体" w:hAnsi="宋体" w:eastAsia="宋体" w:cs="宋体"/>
          <w:color w:val="auto"/>
          <w:szCs w:val="30"/>
        </w:rPr>
        <w:t>第五篇  供应商须知</w:t>
      </w:r>
      <w:r>
        <w:rPr>
          <w:color w:val="auto"/>
        </w:rPr>
        <w:tab/>
      </w:r>
      <w:r>
        <w:rPr>
          <w:color w:val="auto"/>
        </w:rPr>
        <w:fldChar w:fldCharType="begin"/>
      </w:r>
      <w:r>
        <w:rPr>
          <w:color w:val="auto"/>
        </w:rPr>
        <w:instrText xml:space="preserve"> PAGEREF _Toc4764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_Toc7335 </w:instrText>
      </w:r>
      <w:r>
        <w:rPr>
          <w:rFonts w:hint="eastAsia" w:ascii="宋体" w:hAnsi="宋体" w:cs="宋体"/>
          <w:color w:val="auto"/>
          <w:szCs w:val="21"/>
        </w:rPr>
        <w:fldChar w:fldCharType="separate"/>
      </w:r>
      <w:r>
        <w:rPr>
          <w:rFonts w:hint="eastAsia" w:ascii="宋体" w:hAnsi="宋体" w:eastAsia="宋体" w:cs="宋体"/>
          <w:color w:val="auto"/>
        </w:rPr>
        <w:t>一、</w:t>
      </w:r>
      <w:r>
        <w:rPr>
          <w:rFonts w:hint="eastAsia" w:ascii="宋体" w:hAnsi="宋体" w:cs="宋体"/>
          <w:color w:val="auto"/>
          <w:lang w:eastAsia="zh-CN"/>
        </w:rPr>
        <w:t>询比</w:t>
      </w:r>
      <w:r>
        <w:rPr>
          <w:rFonts w:hint="eastAsia" w:ascii="宋体" w:hAnsi="宋体" w:eastAsia="宋体" w:cs="宋体"/>
          <w:color w:val="auto"/>
        </w:rPr>
        <w:t>费用</w:t>
      </w:r>
      <w:r>
        <w:rPr>
          <w:color w:val="auto"/>
        </w:rPr>
        <w:tab/>
      </w:r>
      <w:r>
        <w:rPr>
          <w:color w:val="auto"/>
        </w:rPr>
        <w:fldChar w:fldCharType="begin"/>
      </w:r>
      <w:r>
        <w:rPr>
          <w:color w:val="auto"/>
        </w:rPr>
        <w:instrText xml:space="preserve"> PAGEREF _Toc7335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_Toc2435 </w:instrText>
      </w:r>
      <w:r>
        <w:rPr>
          <w:rFonts w:hint="eastAsia" w:ascii="宋体" w:hAnsi="宋体" w:cs="宋体"/>
          <w:color w:val="auto"/>
          <w:szCs w:val="21"/>
        </w:rPr>
        <w:fldChar w:fldCharType="separate"/>
      </w:r>
      <w:r>
        <w:rPr>
          <w:rFonts w:hint="eastAsia" w:ascii="宋体" w:hAnsi="宋体" w:eastAsia="宋体" w:cs="宋体"/>
          <w:color w:val="auto"/>
        </w:rPr>
        <w:t>二、</w:t>
      </w:r>
      <w:r>
        <w:rPr>
          <w:rFonts w:hint="eastAsia" w:ascii="宋体" w:hAnsi="宋体" w:cs="宋体"/>
          <w:color w:val="auto"/>
          <w:lang w:eastAsia="zh-CN"/>
        </w:rPr>
        <w:t>询比采购文件</w:t>
      </w:r>
      <w:r>
        <w:rPr>
          <w:color w:val="auto"/>
        </w:rPr>
        <w:tab/>
      </w:r>
      <w:r>
        <w:rPr>
          <w:color w:val="auto"/>
        </w:rPr>
        <w:fldChar w:fldCharType="begin"/>
      </w:r>
      <w:r>
        <w:rPr>
          <w:color w:val="auto"/>
        </w:rPr>
        <w:instrText xml:space="preserve"> PAGEREF _Toc2435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_Toc5288 </w:instrText>
      </w:r>
      <w:r>
        <w:rPr>
          <w:rFonts w:hint="eastAsia" w:ascii="宋体" w:hAnsi="宋体" w:cs="宋体"/>
          <w:color w:val="auto"/>
          <w:szCs w:val="21"/>
        </w:rPr>
        <w:fldChar w:fldCharType="separate"/>
      </w:r>
      <w:r>
        <w:rPr>
          <w:rFonts w:hint="eastAsia" w:ascii="宋体" w:hAnsi="宋体" w:eastAsia="宋体" w:cs="宋体"/>
          <w:color w:val="auto"/>
        </w:rPr>
        <w:t>三、报价要求</w:t>
      </w:r>
      <w:r>
        <w:rPr>
          <w:color w:val="auto"/>
        </w:rPr>
        <w:tab/>
      </w:r>
      <w:r>
        <w:rPr>
          <w:color w:val="auto"/>
        </w:rPr>
        <w:fldChar w:fldCharType="begin"/>
      </w:r>
      <w:r>
        <w:rPr>
          <w:color w:val="auto"/>
        </w:rPr>
        <w:instrText xml:space="preserve"> PAGEREF _Toc5288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_Toc26111 </w:instrText>
      </w:r>
      <w:r>
        <w:rPr>
          <w:rFonts w:hint="eastAsia" w:ascii="宋体" w:hAnsi="宋体" w:cs="宋体"/>
          <w:color w:val="auto"/>
          <w:szCs w:val="21"/>
        </w:rPr>
        <w:fldChar w:fldCharType="separate"/>
      </w:r>
      <w:r>
        <w:rPr>
          <w:rFonts w:hint="eastAsia" w:ascii="宋体" w:hAnsi="宋体" w:eastAsia="宋体" w:cs="宋体"/>
          <w:color w:val="auto"/>
        </w:rPr>
        <w:t>四、成交供应商的确定和变更</w:t>
      </w:r>
      <w:r>
        <w:rPr>
          <w:color w:val="auto"/>
        </w:rPr>
        <w:tab/>
      </w:r>
      <w:r>
        <w:rPr>
          <w:color w:val="auto"/>
        </w:rPr>
        <w:fldChar w:fldCharType="begin"/>
      </w:r>
      <w:r>
        <w:rPr>
          <w:color w:val="auto"/>
        </w:rPr>
        <w:instrText xml:space="preserve"> PAGEREF _Toc26111 \h </w:instrText>
      </w:r>
      <w:r>
        <w:rPr>
          <w:color w:val="auto"/>
        </w:rPr>
        <w:fldChar w:fldCharType="separate"/>
      </w:r>
      <w:r>
        <w:rPr>
          <w:color w:val="auto"/>
        </w:rPr>
        <w:t>- 12 -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_Toc8669 </w:instrText>
      </w:r>
      <w:r>
        <w:rPr>
          <w:rFonts w:hint="eastAsia" w:ascii="宋体" w:hAnsi="宋体" w:cs="宋体"/>
          <w:color w:val="auto"/>
          <w:szCs w:val="21"/>
        </w:rPr>
        <w:fldChar w:fldCharType="separate"/>
      </w:r>
      <w:r>
        <w:rPr>
          <w:rFonts w:hint="eastAsia" w:ascii="宋体" w:hAnsi="宋体" w:eastAsia="宋体" w:cs="宋体"/>
          <w:color w:val="auto"/>
        </w:rPr>
        <w:t>五、成交通知</w:t>
      </w:r>
      <w:r>
        <w:rPr>
          <w:color w:val="auto"/>
        </w:rPr>
        <w:tab/>
      </w:r>
      <w:r>
        <w:rPr>
          <w:color w:val="auto"/>
        </w:rPr>
        <w:fldChar w:fldCharType="begin"/>
      </w:r>
      <w:r>
        <w:rPr>
          <w:color w:val="auto"/>
        </w:rPr>
        <w:instrText xml:space="preserve"> PAGEREF _Toc8669 \h </w:instrText>
      </w:r>
      <w:r>
        <w:rPr>
          <w:color w:val="auto"/>
        </w:rPr>
        <w:fldChar w:fldCharType="separate"/>
      </w:r>
      <w:r>
        <w:rPr>
          <w:color w:val="auto"/>
        </w:rPr>
        <w:t>- 13 -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_Toc1545 </w:instrText>
      </w:r>
      <w:r>
        <w:rPr>
          <w:rFonts w:hint="eastAsia" w:ascii="宋体" w:hAnsi="宋体" w:cs="宋体"/>
          <w:color w:val="auto"/>
          <w:szCs w:val="21"/>
        </w:rPr>
        <w:fldChar w:fldCharType="separate"/>
      </w:r>
      <w:r>
        <w:rPr>
          <w:rFonts w:hint="eastAsia" w:ascii="宋体" w:hAnsi="宋体" w:eastAsia="宋体" w:cs="宋体"/>
          <w:color w:val="auto"/>
        </w:rPr>
        <w:t>六、关于质疑和投诉</w:t>
      </w:r>
      <w:r>
        <w:rPr>
          <w:color w:val="auto"/>
        </w:rPr>
        <w:tab/>
      </w:r>
      <w:r>
        <w:rPr>
          <w:color w:val="auto"/>
        </w:rPr>
        <w:fldChar w:fldCharType="begin"/>
      </w:r>
      <w:r>
        <w:rPr>
          <w:color w:val="auto"/>
        </w:rPr>
        <w:instrText xml:space="preserve"> PAGEREF _Toc1545 \h </w:instrText>
      </w:r>
      <w:r>
        <w:rPr>
          <w:color w:val="auto"/>
        </w:rPr>
        <w:fldChar w:fldCharType="separate"/>
      </w:r>
      <w:r>
        <w:rPr>
          <w:color w:val="auto"/>
        </w:rPr>
        <w:t>- 13 -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_Toc23519 </w:instrText>
      </w:r>
      <w:r>
        <w:rPr>
          <w:rFonts w:hint="eastAsia" w:ascii="宋体" w:hAnsi="宋体" w:cs="宋体"/>
          <w:color w:val="auto"/>
          <w:szCs w:val="21"/>
        </w:rPr>
        <w:fldChar w:fldCharType="separate"/>
      </w:r>
      <w:r>
        <w:rPr>
          <w:rFonts w:hint="eastAsia" w:ascii="宋体" w:hAnsi="宋体" w:eastAsia="宋体" w:cs="宋体"/>
          <w:color w:val="auto"/>
        </w:rPr>
        <w:t>七、签订合同</w:t>
      </w:r>
      <w:r>
        <w:rPr>
          <w:color w:val="auto"/>
        </w:rPr>
        <w:tab/>
      </w:r>
      <w:r>
        <w:rPr>
          <w:color w:val="auto"/>
        </w:rPr>
        <w:fldChar w:fldCharType="begin"/>
      </w:r>
      <w:r>
        <w:rPr>
          <w:color w:val="auto"/>
        </w:rPr>
        <w:instrText xml:space="preserve"> PAGEREF _Toc23519 \h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_Toc13881 </w:instrText>
      </w:r>
      <w:r>
        <w:rPr>
          <w:rFonts w:hint="eastAsia" w:ascii="宋体" w:hAnsi="宋体" w:cs="宋体"/>
          <w:color w:val="auto"/>
          <w:szCs w:val="21"/>
        </w:rPr>
        <w:fldChar w:fldCharType="separate"/>
      </w:r>
      <w:r>
        <w:rPr>
          <w:rFonts w:hint="eastAsia" w:ascii="宋体" w:hAnsi="宋体" w:eastAsia="宋体" w:cs="宋体"/>
          <w:color w:val="auto"/>
        </w:rPr>
        <w:t>八、项目验收</w:t>
      </w:r>
      <w:r>
        <w:rPr>
          <w:color w:val="auto"/>
        </w:rPr>
        <w:tab/>
      </w:r>
      <w:r>
        <w:rPr>
          <w:color w:val="auto"/>
        </w:rPr>
        <w:fldChar w:fldCharType="begin"/>
      </w:r>
      <w:r>
        <w:rPr>
          <w:color w:val="auto"/>
        </w:rPr>
        <w:instrText xml:space="preserve"> PAGEREF _Toc13881 \h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_Toc10953 </w:instrText>
      </w:r>
      <w:r>
        <w:rPr>
          <w:rFonts w:hint="eastAsia" w:ascii="宋体" w:hAnsi="宋体" w:cs="宋体"/>
          <w:color w:val="auto"/>
          <w:szCs w:val="21"/>
        </w:rPr>
        <w:fldChar w:fldCharType="separate"/>
      </w:r>
      <w:r>
        <w:rPr>
          <w:rFonts w:hint="eastAsia" w:ascii="宋体" w:hAnsi="宋体" w:eastAsia="宋体" w:cs="宋体"/>
          <w:color w:val="auto"/>
        </w:rPr>
        <w:t>九、采购代理服务费</w:t>
      </w:r>
      <w:r>
        <w:rPr>
          <w:color w:val="auto"/>
        </w:rPr>
        <w:tab/>
      </w:r>
      <w:r>
        <w:rPr>
          <w:color w:val="auto"/>
        </w:rPr>
        <w:fldChar w:fldCharType="begin"/>
      </w:r>
      <w:r>
        <w:rPr>
          <w:color w:val="auto"/>
        </w:rPr>
        <w:instrText xml:space="preserve"> PAGEREF _Toc10953 \h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_Toc15540 </w:instrText>
      </w:r>
      <w:r>
        <w:rPr>
          <w:rFonts w:hint="eastAsia" w:ascii="宋体" w:hAnsi="宋体" w:cs="宋体"/>
          <w:color w:val="auto"/>
          <w:szCs w:val="21"/>
        </w:rPr>
        <w:fldChar w:fldCharType="separate"/>
      </w:r>
      <w:r>
        <w:rPr>
          <w:rFonts w:hint="eastAsia" w:ascii="宋体" w:hAnsi="宋体" w:eastAsia="宋体" w:cs="宋体"/>
          <w:color w:val="auto"/>
          <w:szCs w:val="30"/>
        </w:rPr>
        <w:t>第六篇  合同草案条款</w:t>
      </w:r>
      <w:r>
        <w:rPr>
          <w:color w:val="auto"/>
        </w:rPr>
        <w:tab/>
      </w:r>
      <w:r>
        <w:rPr>
          <w:color w:val="auto"/>
        </w:rPr>
        <w:fldChar w:fldCharType="begin"/>
      </w:r>
      <w:r>
        <w:rPr>
          <w:color w:val="auto"/>
        </w:rPr>
        <w:instrText xml:space="preserve"> PAGEREF _Toc15540 \h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_Toc2254 </w:instrText>
      </w:r>
      <w:r>
        <w:rPr>
          <w:rFonts w:hint="eastAsia" w:ascii="宋体" w:hAnsi="宋体" w:cs="宋体"/>
          <w:color w:val="auto"/>
          <w:szCs w:val="21"/>
        </w:rPr>
        <w:fldChar w:fldCharType="separate"/>
      </w:r>
      <w:r>
        <w:rPr>
          <w:rFonts w:hint="eastAsia" w:ascii="宋体" w:hAnsi="宋体" w:eastAsia="宋体" w:cs="宋体"/>
          <w:color w:val="auto"/>
          <w:szCs w:val="30"/>
        </w:rPr>
        <w:t>第七篇  响应文件格式要求</w:t>
      </w:r>
      <w:r>
        <w:rPr>
          <w:color w:val="auto"/>
        </w:rPr>
        <w:tab/>
      </w:r>
      <w:r>
        <w:rPr>
          <w:color w:val="auto"/>
        </w:rPr>
        <w:fldChar w:fldCharType="begin"/>
      </w:r>
      <w:r>
        <w:rPr>
          <w:color w:val="auto"/>
        </w:rPr>
        <w:instrText xml:space="preserve"> PAGEREF _Toc2254 \h </w:instrText>
      </w:r>
      <w:r>
        <w:rPr>
          <w:color w:val="auto"/>
        </w:rPr>
        <w:fldChar w:fldCharType="separate"/>
      </w:r>
      <w:r>
        <w:rPr>
          <w:color w:val="auto"/>
        </w:rPr>
        <w:t>- 20 -</w:t>
      </w:r>
      <w:r>
        <w:rPr>
          <w:color w:val="auto"/>
        </w:rPr>
        <w:fldChar w:fldCharType="end"/>
      </w:r>
      <w:r>
        <w:rPr>
          <w:rFonts w:hint="eastAsia" w:ascii="宋体" w:hAnsi="宋体" w:cs="宋体"/>
          <w:color w:val="auto"/>
          <w:szCs w:val="21"/>
        </w:rPr>
        <w:fldChar w:fldCharType="end"/>
      </w:r>
    </w:p>
    <w:p>
      <w:pPr>
        <w:pStyle w:val="47"/>
        <w:tabs>
          <w:tab w:val="right" w:leader="dot" w:pos="9412"/>
        </w:tabs>
        <w:rPr>
          <w:color w:val="auto"/>
        </w:rPr>
      </w:pPr>
    </w:p>
    <w:p>
      <w:pPr>
        <w:pStyle w:val="47"/>
        <w:tabs>
          <w:tab w:val="right" w:leader="dot" w:pos="9402"/>
        </w:tabs>
        <w:spacing w:line="480" w:lineRule="exact"/>
        <w:ind w:left="560"/>
        <w:rPr>
          <w:rFonts w:ascii="宋体" w:hAnsi="宋体" w:cs="宋体"/>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auto"/>
          <w:szCs w:val="21"/>
        </w:rPr>
        <w:fldChar w:fldCharType="end"/>
      </w:r>
    </w:p>
    <w:p>
      <w:pPr>
        <w:pStyle w:val="4"/>
        <w:spacing w:before="0" w:after="0" w:line="360" w:lineRule="auto"/>
        <w:jc w:val="center"/>
        <w:rPr>
          <w:rFonts w:ascii="宋体" w:hAnsi="宋体" w:eastAsia="宋体" w:cs="宋体"/>
          <w:b w:val="0"/>
          <w:color w:val="auto"/>
          <w:sz w:val="36"/>
          <w:szCs w:val="30"/>
        </w:rPr>
      </w:pPr>
      <w:bookmarkStart w:id="0" w:name="_Toc12789052"/>
      <w:bookmarkStart w:id="1" w:name="_Toc24817"/>
      <w:bookmarkStart w:id="2" w:name="_Toc15726"/>
      <w:bookmarkStart w:id="3" w:name="_Toc24173"/>
      <w:bookmarkStart w:id="4" w:name="_Toc65660329"/>
      <w:bookmarkStart w:id="5" w:name="_Toc11641050"/>
      <w:bookmarkStart w:id="6" w:name="_Toc106034769"/>
      <w:bookmarkStart w:id="7" w:name="_Toc6145"/>
      <w:r>
        <w:rPr>
          <w:rFonts w:hint="eastAsia" w:ascii="宋体" w:hAnsi="宋体" w:eastAsia="宋体" w:cs="宋体"/>
          <w:b w:val="0"/>
          <w:color w:val="auto"/>
          <w:sz w:val="36"/>
          <w:szCs w:val="30"/>
        </w:rPr>
        <w:t xml:space="preserve">第一篇  </w:t>
      </w:r>
      <w:r>
        <w:rPr>
          <w:rFonts w:hint="eastAsia" w:ascii="宋体" w:hAnsi="宋体" w:eastAsia="宋体" w:cs="宋体"/>
          <w:b w:val="0"/>
          <w:color w:val="auto"/>
          <w:sz w:val="36"/>
          <w:lang w:eastAsia="zh-CN"/>
        </w:rPr>
        <w:t>询比</w:t>
      </w:r>
      <w:r>
        <w:rPr>
          <w:rFonts w:hint="eastAsia" w:ascii="宋体" w:hAnsi="宋体" w:eastAsia="宋体" w:cs="宋体"/>
          <w:b w:val="0"/>
          <w:color w:val="auto"/>
          <w:sz w:val="36"/>
        </w:rPr>
        <w:t>邀请书</w:t>
      </w:r>
      <w:bookmarkEnd w:id="0"/>
      <w:bookmarkEnd w:id="1"/>
      <w:bookmarkEnd w:id="2"/>
      <w:bookmarkEnd w:id="3"/>
      <w:bookmarkEnd w:id="4"/>
      <w:bookmarkEnd w:id="5"/>
      <w:bookmarkEnd w:id="6"/>
      <w:bookmarkEnd w:id="7"/>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重庆华大工程管理有限公司（以下简称：采购代理机构）接受重庆市乌江航道管理处（以下简称：采购人）的委托，对</w:t>
      </w:r>
      <w:r>
        <w:rPr>
          <w:rFonts w:hint="eastAsia" w:ascii="宋体" w:hAnsi="宋体" w:cs="宋体"/>
          <w:color w:val="auto"/>
          <w:sz w:val="24"/>
          <w:szCs w:val="24"/>
          <w:lang w:eastAsia="zh-CN"/>
        </w:rPr>
        <w:t>单位内部控制建设咨询服务（第二次）</w:t>
      </w:r>
      <w:r>
        <w:rPr>
          <w:rFonts w:hint="eastAsia" w:ascii="宋体" w:hAnsi="宋体" w:cs="宋体"/>
          <w:color w:val="auto"/>
          <w:sz w:val="24"/>
          <w:szCs w:val="24"/>
        </w:rPr>
        <w:t>项目进行</w:t>
      </w:r>
      <w:r>
        <w:rPr>
          <w:rFonts w:hint="eastAsia" w:ascii="宋体" w:hAnsi="宋体" w:cs="宋体"/>
          <w:color w:val="auto"/>
          <w:sz w:val="24"/>
          <w:szCs w:val="24"/>
          <w:lang w:eastAsia="zh-CN"/>
        </w:rPr>
        <w:t>询比</w:t>
      </w:r>
      <w:r>
        <w:rPr>
          <w:rFonts w:hint="eastAsia" w:ascii="宋体" w:hAnsi="宋体" w:cs="宋体"/>
          <w:color w:val="auto"/>
          <w:sz w:val="24"/>
          <w:szCs w:val="24"/>
        </w:rPr>
        <w:t>采购。欢迎有资格的供应商前来参加报价。</w:t>
      </w:r>
    </w:p>
    <w:p>
      <w:pPr>
        <w:pStyle w:val="4"/>
        <w:adjustRightInd w:val="0"/>
        <w:snapToGrid w:val="0"/>
        <w:spacing w:before="0" w:after="0" w:line="400" w:lineRule="exact"/>
        <w:ind w:firstLine="482" w:firstLineChars="200"/>
        <w:rPr>
          <w:rFonts w:ascii="宋体" w:hAnsi="宋体" w:eastAsia="宋体" w:cs="宋体"/>
          <w:color w:val="auto"/>
          <w:sz w:val="24"/>
        </w:rPr>
      </w:pPr>
      <w:bookmarkStart w:id="8" w:name="_Toc65660330"/>
      <w:bookmarkStart w:id="9" w:name="_Toc317775175"/>
      <w:bookmarkStart w:id="10" w:name="_Toc313893526"/>
      <w:bookmarkStart w:id="11" w:name="_Toc7758"/>
      <w:bookmarkStart w:id="12" w:name="_Toc18246"/>
      <w:bookmarkStart w:id="13" w:name="_Toc106034770"/>
      <w:bookmarkStart w:id="14" w:name="_Toc26091"/>
      <w:bookmarkStart w:id="15" w:name="_Toc5923"/>
      <w:r>
        <w:rPr>
          <w:rFonts w:hint="eastAsia" w:ascii="宋体" w:hAnsi="宋体" w:eastAsia="宋体" w:cs="宋体"/>
          <w:color w:val="auto"/>
          <w:sz w:val="24"/>
        </w:rPr>
        <w:t>一、</w:t>
      </w:r>
      <w:r>
        <w:rPr>
          <w:rFonts w:hint="eastAsia" w:ascii="宋体" w:hAnsi="宋体" w:eastAsia="宋体" w:cs="宋体"/>
          <w:color w:val="auto"/>
          <w:sz w:val="24"/>
          <w:lang w:eastAsia="zh-CN"/>
        </w:rPr>
        <w:t>询比采购</w:t>
      </w:r>
      <w:r>
        <w:rPr>
          <w:rFonts w:hint="eastAsia" w:ascii="宋体" w:hAnsi="宋体" w:eastAsia="宋体" w:cs="宋体"/>
          <w:color w:val="auto"/>
          <w:sz w:val="24"/>
        </w:rPr>
        <w:t>内容</w:t>
      </w:r>
      <w:bookmarkEnd w:id="8"/>
      <w:bookmarkEnd w:id="9"/>
      <w:bookmarkEnd w:id="10"/>
      <w:bookmarkEnd w:id="11"/>
      <w:bookmarkEnd w:id="12"/>
      <w:bookmarkEnd w:id="13"/>
      <w:bookmarkEnd w:id="14"/>
      <w:bookmarkEnd w:id="15"/>
    </w:p>
    <w:tbl>
      <w:tblPr>
        <w:tblStyle w:val="59"/>
        <w:tblW w:w="4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1"/>
        <w:gridCol w:w="1669"/>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1"/>
                <w:szCs w:val="24"/>
              </w:rPr>
            </w:pPr>
            <w:r>
              <w:rPr>
                <w:rFonts w:hint="eastAsia" w:ascii="宋体" w:hAnsi="宋体" w:cs="宋体"/>
                <w:b/>
                <w:bCs/>
                <w:color w:val="auto"/>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4"/>
                <w:lang w:eastAsia="zh-CN"/>
              </w:rPr>
            </w:pPr>
            <w:bookmarkStart w:id="16" w:name="_Hlk344477914"/>
            <w:r>
              <w:rPr>
                <w:rFonts w:hint="eastAsia" w:ascii="宋体" w:hAnsi="宋体" w:cs="宋体"/>
                <w:color w:val="auto"/>
                <w:kern w:val="0"/>
                <w:sz w:val="21"/>
                <w:szCs w:val="24"/>
                <w:lang w:eastAsia="zh-CN"/>
              </w:rPr>
              <w:t>单位内部控制建设咨询服务（第二次）</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1"/>
                <w:szCs w:val="24"/>
                <w:lang w:val="en-US" w:eastAsia="zh-CN"/>
              </w:rPr>
            </w:pPr>
            <w:r>
              <w:rPr>
                <w:rFonts w:hint="eastAsia" w:ascii="宋体" w:hAnsi="宋体" w:cs="宋体"/>
                <w:color w:val="auto"/>
                <w:kern w:val="0"/>
                <w:sz w:val="21"/>
                <w:szCs w:val="24"/>
                <w:lang w:val="en-US" w:eastAsia="zh-CN"/>
              </w:rPr>
              <w:t>3.6</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1</w:t>
            </w:r>
          </w:p>
        </w:tc>
      </w:tr>
      <w:bookmarkEnd w:id="16"/>
    </w:tbl>
    <w:p>
      <w:pPr>
        <w:pStyle w:val="4"/>
        <w:adjustRightInd w:val="0"/>
        <w:snapToGrid w:val="0"/>
        <w:spacing w:before="0" w:after="0" w:line="400" w:lineRule="exact"/>
        <w:ind w:firstLine="482" w:firstLineChars="200"/>
        <w:rPr>
          <w:rFonts w:ascii="宋体" w:hAnsi="宋体" w:eastAsia="宋体" w:cs="宋体"/>
          <w:color w:val="auto"/>
          <w:sz w:val="24"/>
        </w:rPr>
      </w:pPr>
      <w:bookmarkStart w:id="17" w:name="_Toc65660331"/>
      <w:bookmarkStart w:id="18" w:name="_Toc4424"/>
      <w:bookmarkStart w:id="19" w:name="_Toc3256"/>
      <w:bookmarkStart w:id="20" w:name="_Toc22796"/>
      <w:bookmarkStart w:id="21" w:name="_Toc106034771"/>
      <w:bookmarkStart w:id="22" w:name="_Toc27028"/>
      <w:bookmarkStart w:id="23" w:name="_Toc373860293"/>
      <w:bookmarkStart w:id="24" w:name="_Toc317775178"/>
      <w:r>
        <w:rPr>
          <w:rFonts w:hint="eastAsia" w:ascii="宋体" w:hAnsi="宋体" w:eastAsia="宋体" w:cs="宋体"/>
          <w:color w:val="auto"/>
          <w:sz w:val="24"/>
        </w:rPr>
        <w:t>二、资金来源</w:t>
      </w:r>
      <w:bookmarkEnd w:id="17"/>
      <w:bookmarkEnd w:id="18"/>
      <w:bookmarkEnd w:id="19"/>
      <w:bookmarkEnd w:id="20"/>
      <w:bookmarkEnd w:id="21"/>
      <w:bookmarkEnd w:id="22"/>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财政预算资金，采购预算</w:t>
      </w:r>
      <w:r>
        <w:rPr>
          <w:rFonts w:hint="eastAsia" w:ascii="宋体" w:hAnsi="宋体" w:cs="宋体"/>
          <w:color w:val="auto"/>
          <w:sz w:val="24"/>
          <w:szCs w:val="24"/>
          <w:lang w:val="en-US" w:eastAsia="zh-CN"/>
        </w:rPr>
        <w:t>3.6</w:t>
      </w:r>
      <w:r>
        <w:rPr>
          <w:rFonts w:hint="eastAsia" w:ascii="宋体" w:hAnsi="宋体" w:cs="宋体"/>
          <w:color w:val="auto"/>
          <w:sz w:val="24"/>
          <w:szCs w:val="24"/>
        </w:rPr>
        <w:t>万元。</w:t>
      </w:r>
    </w:p>
    <w:p>
      <w:pPr>
        <w:pStyle w:val="4"/>
        <w:adjustRightInd w:val="0"/>
        <w:snapToGrid w:val="0"/>
        <w:spacing w:before="0" w:after="0" w:line="400" w:lineRule="exact"/>
        <w:ind w:firstLine="482" w:firstLineChars="200"/>
        <w:rPr>
          <w:rFonts w:ascii="宋体" w:hAnsi="宋体" w:eastAsia="宋体" w:cs="宋体"/>
          <w:color w:val="auto"/>
          <w:sz w:val="24"/>
        </w:rPr>
      </w:pPr>
      <w:bookmarkStart w:id="25" w:name="_Toc13541"/>
      <w:bookmarkStart w:id="26" w:name="_Toc19480"/>
      <w:bookmarkStart w:id="27" w:name="_Toc18548"/>
      <w:bookmarkStart w:id="28" w:name="_Toc20867"/>
      <w:bookmarkStart w:id="29" w:name="_Toc65660332"/>
      <w:bookmarkStart w:id="30" w:name="_Toc106034772"/>
      <w:bookmarkStart w:id="31" w:name="_Toc64731996"/>
      <w:r>
        <w:rPr>
          <w:rFonts w:hint="eastAsia" w:ascii="宋体" w:hAnsi="宋体" w:eastAsia="宋体" w:cs="宋体"/>
          <w:color w:val="auto"/>
          <w:sz w:val="24"/>
        </w:rPr>
        <w:t>三、供应商资格条件</w:t>
      </w:r>
      <w:bookmarkEnd w:id="25"/>
      <w:bookmarkEnd w:id="26"/>
      <w:bookmarkEnd w:id="27"/>
      <w:bookmarkEnd w:id="28"/>
      <w:bookmarkEnd w:id="29"/>
      <w:bookmarkEnd w:id="30"/>
      <w:bookmarkEnd w:id="31"/>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（二）本项目的特定资格要求：</w:t>
      </w:r>
      <w:r>
        <w:rPr>
          <w:rFonts w:hint="eastAsia" w:ascii="宋体" w:hAnsi="宋体" w:cs="宋体"/>
          <w:color w:val="auto"/>
          <w:sz w:val="24"/>
          <w:szCs w:val="24"/>
          <w:u w:val="single"/>
        </w:rPr>
        <w:t xml:space="preserve"> 无 </w:t>
      </w:r>
      <w:r>
        <w:rPr>
          <w:rFonts w:ascii="宋体" w:hAnsi="宋体" w:cs="宋体"/>
          <w:color w:val="auto"/>
          <w:sz w:val="24"/>
          <w:szCs w:val="24"/>
          <w:u w:val="single"/>
        </w:rPr>
        <w:t xml:space="preserve"> </w:t>
      </w:r>
    </w:p>
    <w:p>
      <w:pPr>
        <w:pStyle w:val="4"/>
        <w:adjustRightInd w:val="0"/>
        <w:snapToGrid w:val="0"/>
        <w:spacing w:before="0" w:after="0" w:line="400" w:lineRule="exact"/>
        <w:ind w:firstLine="482" w:firstLineChars="200"/>
        <w:rPr>
          <w:rFonts w:ascii="宋体" w:hAnsi="宋体" w:eastAsia="宋体" w:cs="宋体"/>
          <w:color w:val="auto"/>
          <w:sz w:val="24"/>
        </w:rPr>
      </w:pPr>
      <w:bookmarkStart w:id="32" w:name="_Toc13903"/>
      <w:bookmarkStart w:id="33" w:name="_Toc65660333"/>
      <w:bookmarkStart w:id="34" w:name="_Toc106034773"/>
      <w:bookmarkStart w:id="35" w:name="_Toc9360"/>
      <w:bookmarkStart w:id="36" w:name="_Toc11908"/>
      <w:bookmarkStart w:id="37" w:name="_Toc1386"/>
      <w:r>
        <w:rPr>
          <w:rFonts w:hint="eastAsia" w:ascii="宋体" w:hAnsi="宋体" w:eastAsia="宋体" w:cs="宋体"/>
          <w:color w:val="auto"/>
          <w:sz w:val="24"/>
        </w:rPr>
        <w:t>四、</w:t>
      </w:r>
      <w:r>
        <w:rPr>
          <w:rFonts w:hint="eastAsia" w:ascii="宋体" w:hAnsi="宋体" w:eastAsia="宋体" w:cs="宋体"/>
          <w:color w:val="auto"/>
          <w:sz w:val="24"/>
          <w:lang w:eastAsia="zh-CN"/>
        </w:rPr>
        <w:t>询比采购</w:t>
      </w:r>
      <w:r>
        <w:rPr>
          <w:rFonts w:hint="eastAsia" w:ascii="宋体" w:hAnsi="宋体" w:eastAsia="宋体" w:cs="宋体"/>
          <w:color w:val="auto"/>
          <w:sz w:val="24"/>
        </w:rPr>
        <w:t>有关说明</w:t>
      </w:r>
      <w:bookmarkEnd w:id="23"/>
      <w:bookmarkEnd w:id="32"/>
      <w:bookmarkEnd w:id="33"/>
      <w:bookmarkEnd w:id="34"/>
      <w:bookmarkEnd w:id="35"/>
      <w:bookmarkEnd w:id="36"/>
      <w:bookmarkEnd w:id="37"/>
    </w:p>
    <w:p>
      <w:pPr>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（一）供应商应通过重庆市政府采购网（</w:t>
      </w:r>
      <w:r>
        <w:rPr>
          <w:color w:val="auto"/>
        </w:rPr>
        <w:fldChar w:fldCharType="begin"/>
      </w:r>
      <w:r>
        <w:rPr>
          <w:color w:val="auto"/>
        </w:rPr>
        <w:instrText xml:space="preserve"> HYPERLINK "http://www.cqgp.gov.cn" </w:instrText>
      </w:r>
      <w:r>
        <w:rPr>
          <w:color w:val="auto"/>
        </w:rPr>
        <w:fldChar w:fldCharType="separate"/>
      </w:r>
      <w:r>
        <w:rPr>
          <w:rFonts w:hint="eastAsia" w:ascii="宋体" w:hAnsi="宋体" w:cs="宋体"/>
          <w:color w:val="auto"/>
          <w:sz w:val="24"/>
          <w:szCs w:val="24"/>
        </w:rPr>
        <w:t>www.ccgp-chongqing.gov.cn</w:t>
      </w:r>
      <w:r>
        <w:rPr>
          <w:rFonts w:hint="eastAsia" w:ascii="宋体" w:hAnsi="宋体" w:cs="宋体"/>
          <w:color w:val="auto"/>
          <w:sz w:val="24"/>
          <w:szCs w:val="24"/>
        </w:rPr>
        <w:fldChar w:fldCharType="end"/>
      </w:r>
      <w:r>
        <w:rPr>
          <w:rFonts w:hint="eastAsia" w:ascii="宋体" w:hAnsi="宋体" w:cs="宋体"/>
          <w:color w:val="auto"/>
          <w:sz w:val="24"/>
          <w:szCs w:val="24"/>
        </w:rPr>
        <w:t>）登记加入“重庆市政府采购供应商库”。</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w:t>
      </w:r>
      <w:r>
        <w:rPr>
          <w:rFonts w:hint="eastAsia" w:ascii="宋体" w:hAnsi="宋体" w:cs="宋体"/>
          <w:color w:val="auto"/>
          <w:sz w:val="24"/>
          <w:szCs w:val="24"/>
          <w:lang w:eastAsia="zh-CN"/>
        </w:rPr>
        <w:t>询比</w:t>
      </w:r>
      <w:r>
        <w:rPr>
          <w:rFonts w:hint="eastAsia" w:ascii="宋体" w:hAnsi="宋体" w:cs="宋体"/>
          <w:color w:val="auto"/>
          <w:sz w:val="24"/>
          <w:szCs w:val="24"/>
        </w:rPr>
        <w:t>的供应商，请</w:t>
      </w:r>
      <w:r>
        <w:rPr>
          <w:rFonts w:hint="eastAsia" w:ascii="宋体" w:hAnsi="宋体" w:cs="宋体"/>
          <w:color w:val="auto"/>
          <w:sz w:val="24"/>
          <w:szCs w:val="24"/>
          <w:lang w:eastAsia="zh-CN"/>
        </w:rPr>
        <w:t>自行在重庆市交通局网站（https://jtj.cq.gov.cn）下载或</w:t>
      </w:r>
      <w:r>
        <w:rPr>
          <w:rFonts w:hint="eastAsia" w:ascii="宋体" w:hAnsi="宋体" w:cs="宋体"/>
          <w:color w:val="auto"/>
          <w:sz w:val="24"/>
          <w:szCs w:val="24"/>
        </w:rPr>
        <w:t>到重庆华大工程管理有限公司领取本项目</w:t>
      </w:r>
      <w:r>
        <w:rPr>
          <w:rFonts w:hint="eastAsia" w:ascii="宋体" w:hAnsi="宋体" w:cs="宋体"/>
          <w:color w:val="auto"/>
          <w:sz w:val="24"/>
          <w:szCs w:val="24"/>
          <w:lang w:eastAsia="zh-CN"/>
        </w:rPr>
        <w:t>询比文件</w:t>
      </w:r>
      <w:r>
        <w:rPr>
          <w:rFonts w:hint="eastAsia" w:ascii="宋体" w:hAnsi="宋体" w:cs="宋体"/>
          <w:color w:val="auto"/>
          <w:sz w:val="24"/>
          <w:szCs w:val="24"/>
        </w:rPr>
        <w:t>以及图纸、补遗文件等开标前公布的所有项目资料，无论供应商领取或下载与否，均视为已知晓所有</w:t>
      </w:r>
      <w:r>
        <w:rPr>
          <w:rFonts w:hint="eastAsia" w:ascii="宋体" w:hAnsi="宋体" w:cs="宋体"/>
          <w:color w:val="auto"/>
          <w:sz w:val="24"/>
          <w:szCs w:val="24"/>
          <w:lang w:eastAsia="zh-CN"/>
        </w:rPr>
        <w:t>询比</w:t>
      </w:r>
      <w:r>
        <w:rPr>
          <w:rFonts w:hint="eastAsia" w:ascii="宋体" w:hAnsi="宋体" w:cs="宋体"/>
          <w:color w:val="auto"/>
          <w:sz w:val="24"/>
          <w:szCs w:val="24"/>
        </w:rPr>
        <w:t>内容。</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（三）</w:t>
      </w:r>
      <w:r>
        <w:rPr>
          <w:rFonts w:hint="eastAsia" w:ascii="宋体" w:hAnsi="宋体" w:cs="宋体"/>
          <w:color w:val="auto"/>
          <w:sz w:val="24"/>
          <w:szCs w:val="24"/>
          <w:lang w:eastAsia="zh-CN"/>
        </w:rPr>
        <w:t>询比采购</w:t>
      </w:r>
      <w:r>
        <w:rPr>
          <w:rFonts w:hint="eastAsia" w:ascii="宋体" w:hAnsi="宋体" w:cs="宋体"/>
          <w:color w:val="auto"/>
          <w:sz w:val="24"/>
          <w:szCs w:val="24"/>
        </w:rPr>
        <w:t>公告期限：</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1.自</w:t>
      </w:r>
      <w:r>
        <w:rPr>
          <w:rFonts w:hint="eastAsia" w:ascii="宋体" w:hAnsi="宋体" w:cs="宋体"/>
          <w:color w:val="auto"/>
          <w:sz w:val="24"/>
          <w:szCs w:val="24"/>
          <w:lang w:eastAsia="zh-CN"/>
        </w:rPr>
        <w:t>询比采购公告</w:t>
      </w:r>
      <w:r>
        <w:rPr>
          <w:rFonts w:hint="eastAsia" w:ascii="宋体" w:hAnsi="宋体" w:cs="宋体"/>
          <w:color w:val="auto"/>
          <w:sz w:val="24"/>
          <w:szCs w:val="24"/>
        </w:rPr>
        <w:t>发布之日起三个工作日（2023年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4</w:t>
      </w:r>
      <w:r>
        <w:rPr>
          <w:rFonts w:hint="eastAsia" w:ascii="宋体" w:hAnsi="宋体" w:cs="宋体"/>
          <w:color w:val="auto"/>
          <w:sz w:val="24"/>
          <w:szCs w:val="24"/>
        </w:rPr>
        <w:t>日-</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6</w:t>
      </w:r>
      <w:r>
        <w:rPr>
          <w:rFonts w:hint="eastAsia" w:ascii="宋体" w:hAnsi="宋体" w:cs="宋体"/>
          <w:color w:val="auto"/>
          <w:sz w:val="24"/>
          <w:szCs w:val="24"/>
        </w:rPr>
        <w:t>日17:30）。</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（1）在</w:t>
      </w:r>
      <w:r>
        <w:rPr>
          <w:rFonts w:hint="eastAsia" w:ascii="宋体" w:hAnsi="宋体" w:cs="宋体"/>
          <w:color w:val="auto"/>
          <w:sz w:val="24"/>
          <w:szCs w:val="24"/>
          <w:lang w:eastAsia="zh-CN"/>
        </w:rPr>
        <w:t>询比采购</w:t>
      </w:r>
      <w:r>
        <w:rPr>
          <w:rFonts w:hint="eastAsia" w:ascii="宋体" w:hAnsi="宋体" w:cs="宋体"/>
          <w:color w:val="auto"/>
          <w:sz w:val="24"/>
          <w:szCs w:val="24"/>
        </w:rPr>
        <w:t>公告期限内到重庆华大工程管理有限公司报名并领取采购文件。</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方式一：将《发售登记表》递交现场报名。</w:t>
      </w:r>
    </w:p>
    <w:p>
      <w:pPr>
        <w:spacing w:line="360" w:lineRule="exact"/>
        <w:ind w:firstLine="480" w:firstLineChars="200"/>
        <w:rPr>
          <w:rFonts w:ascii="宋体" w:hAnsi="宋体" w:cs="宋体"/>
          <w:color w:val="auto"/>
        </w:rPr>
      </w:pPr>
      <w:r>
        <w:rPr>
          <w:rFonts w:hint="eastAsia" w:ascii="宋体" w:hAnsi="宋体" w:cs="宋体"/>
          <w:color w:val="auto"/>
          <w:sz w:val="24"/>
          <w:szCs w:val="24"/>
        </w:rPr>
        <w:t>方式二：将《发售登记表》盖章后发送至526225547@qq.com。</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（2）供应商须满足以下两种要求，其响应文件才被接受：</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1、按时递交了响应文件；</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2、按时报名签到；</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（3）本</w:t>
      </w:r>
      <w:r>
        <w:rPr>
          <w:rFonts w:hint="eastAsia" w:ascii="宋体" w:hAnsi="宋体" w:cs="宋体"/>
          <w:color w:val="auto"/>
          <w:sz w:val="24"/>
          <w:szCs w:val="24"/>
          <w:lang w:eastAsia="zh-CN"/>
        </w:rPr>
        <w:t>询比</w:t>
      </w:r>
      <w:r>
        <w:rPr>
          <w:rFonts w:hint="eastAsia" w:ascii="宋体" w:hAnsi="宋体" w:cs="宋体"/>
          <w:color w:val="auto"/>
          <w:sz w:val="24"/>
          <w:szCs w:val="24"/>
        </w:rPr>
        <w:t>文件规定的时间为北京时间。</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（4）超过</w:t>
      </w:r>
      <w:r>
        <w:rPr>
          <w:rFonts w:hint="eastAsia" w:ascii="宋体" w:hAnsi="宋体" w:cs="宋体"/>
          <w:color w:val="auto"/>
          <w:sz w:val="24"/>
          <w:szCs w:val="24"/>
          <w:lang w:eastAsia="zh-CN"/>
        </w:rPr>
        <w:t>询比</w:t>
      </w:r>
      <w:r>
        <w:rPr>
          <w:rFonts w:hint="eastAsia" w:ascii="宋体" w:hAnsi="宋体" w:cs="宋体"/>
          <w:color w:val="auto"/>
          <w:sz w:val="24"/>
          <w:szCs w:val="24"/>
        </w:rPr>
        <w:t>截止时间、不按本</w:t>
      </w:r>
      <w:r>
        <w:rPr>
          <w:rFonts w:hint="eastAsia" w:ascii="宋体" w:hAnsi="宋体" w:cs="宋体"/>
          <w:color w:val="auto"/>
          <w:sz w:val="24"/>
          <w:szCs w:val="24"/>
          <w:lang w:eastAsia="zh-CN"/>
        </w:rPr>
        <w:t>询比</w:t>
      </w:r>
      <w:r>
        <w:rPr>
          <w:rFonts w:hint="eastAsia" w:ascii="宋体" w:hAnsi="宋体" w:cs="宋体"/>
          <w:color w:val="auto"/>
          <w:sz w:val="24"/>
          <w:szCs w:val="24"/>
        </w:rPr>
        <w:t>文件规定密封的响应文件，或不按</w:t>
      </w:r>
      <w:r>
        <w:rPr>
          <w:rFonts w:hint="eastAsia" w:ascii="宋体" w:hAnsi="宋体" w:cs="宋体"/>
          <w:color w:val="auto"/>
          <w:sz w:val="24"/>
          <w:szCs w:val="24"/>
          <w:lang w:eastAsia="zh-CN"/>
        </w:rPr>
        <w:t>询比</w:t>
      </w:r>
      <w:r>
        <w:rPr>
          <w:rFonts w:hint="eastAsia" w:ascii="宋体" w:hAnsi="宋体" w:cs="宋体"/>
          <w:color w:val="auto"/>
          <w:sz w:val="24"/>
          <w:szCs w:val="24"/>
        </w:rPr>
        <w:t>文件规定提交有效足额</w:t>
      </w:r>
      <w:r>
        <w:rPr>
          <w:rFonts w:hint="eastAsia" w:ascii="宋体" w:hAnsi="宋体" w:cs="宋体"/>
          <w:color w:val="auto"/>
          <w:sz w:val="24"/>
          <w:szCs w:val="24"/>
          <w:lang w:eastAsia="zh-CN"/>
        </w:rPr>
        <w:t>询比</w:t>
      </w:r>
      <w:r>
        <w:rPr>
          <w:rFonts w:hint="eastAsia" w:ascii="宋体" w:hAnsi="宋体" w:cs="宋体"/>
          <w:color w:val="auto"/>
          <w:sz w:val="24"/>
          <w:szCs w:val="24"/>
        </w:rPr>
        <w:t>保证金的供应商，均视为不响应谈判文件要求，为无效响应。</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询比文件</w:t>
      </w:r>
      <w:r>
        <w:rPr>
          <w:rFonts w:hint="eastAsia" w:ascii="宋体" w:hAnsi="宋体" w:cs="宋体"/>
          <w:color w:val="auto"/>
          <w:sz w:val="24"/>
          <w:szCs w:val="24"/>
        </w:rPr>
        <w:t>售价：人民币500元/包。</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提交方式：现金或微信或转账。</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转账信息：</w:t>
      </w:r>
    </w:p>
    <w:p>
      <w:pPr>
        <w:pStyle w:val="57"/>
        <w:rPr>
          <w:rFonts w:eastAsia="宋体" w:cs="宋体"/>
          <w:color w:val="auto"/>
          <w:szCs w:val="24"/>
        </w:rPr>
      </w:pPr>
      <w:r>
        <w:rPr>
          <w:rFonts w:hint="eastAsia" w:eastAsia="宋体" w:cs="宋体"/>
          <w:color w:val="auto"/>
          <w:szCs w:val="24"/>
        </w:rPr>
        <w:t>1、单位名称：重庆华大工程管理有限公司</w:t>
      </w:r>
    </w:p>
    <w:p>
      <w:pPr>
        <w:pStyle w:val="57"/>
        <w:rPr>
          <w:rFonts w:eastAsia="宋体" w:cs="宋体"/>
          <w:color w:val="auto"/>
          <w:szCs w:val="24"/>
        </w:rPr>
      </w:pPr>
      <w:r>
        <w:rPr>
          <w:rFonts w:hint="eastAsia" w:eastAsia="宋体" w:cs="宋体"/>
          <w:color w:val="auto"/>
          <w:szCs w:val="24"/>
        </w:rPr>
        <w:t>2、单位开户行及账号：中国工商银行股份有限公司重庆枳城支行      3100234409000002238</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（四）</w:t>
      </w:r>
      <w:r>
        <w:rPr>
          <w:rFonts w:hint="eastAsia" w:ascii="宋体" w:hAnsi="宋体" w:cs="宋体"/>
          <w:color w:val="auto"/>
          <w:sz w:val="24"/>
          <w:szCs w:val="24"/>
          <w:lang w:eastAsia="zh-CN"/>
        </w:rPr>
        <w:t>询比</w:t>
      </w:r>
      <w:r>
        <w:rPr>
          <w:rFonts w:hint="eastAsia" w:ascii="宋体" w:hAnsi="宋体" w:cs="宋体"/>
          <w:color w:val="auto"/>
          <w:sz w:val="24"/>
          <w:szCs w:val="24"/>
        </w:rPr>
        <w:t>地点：重庆华大工程管理有限公司（涪陵区新城区建筑大厦3楼）。</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（五）递交响应文件开始时间：2023年</w:t>
      </w:r>
      <w:r>
        <w:rPr>
          <w:rFonts w:hint="eastAsia" w:ascii="宋体" w:hAnsi="宋体" w:cs="宋体"/>
          <w:color w:val="auto"/>
          <w:sz w:val="24"/>
          <w:szCs w:val="24"/>
          <w:lang w:val="en-US" w:eastAsia="zh-CN"/>
        </w:rPr>
        <w:t>9</w:t>
      </w:r>
      <w:r>
        <w:rPr>
          <w:rFonts w:hint="eastAsia" w:ascii="宋体" w:hAnsi="宋体" w:cs="宋体"/>
          <w:color w:val="auto"/>
          <w:sz w:val="24"/>
          <w:szCs w:val="24"/>
        </w:rPr>
        <w:t xml:space="preserve">月 </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 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0时。</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（六）递交响应文件截止时间及开标时间：2023年 </w:t>
      </w:r>
      <w:r>
        <w:rPr>
          <w:rFonts w:hint="eastAsia" w:ascii="宋体" w:hAnsi="宋体" w:cs="宋体"/>
          <w:color w:val="auto"/>
          <w:sz w:val="24"/>
          <w:szCs w:val="24"/>
          <w:lang w:val="en-US" w:eastAsia="zh-CN"/>
        </w:rPr>
        <w:t>9</w:t>
      </w:r>
      <w:r>
        <w:rPr>
          <w:rFonts w:hint="eastAsia" w:ascii="宋体" w:hAnsi="宋体" w:cs="宋体"/>
          <w:color w:val="auto"/>
          <w:sz w:val="24"/>
          <w:szCs w:val="24"/>
        </w:rPr>
        <w:t xml:space="preserve">月 </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 日北京时间</w:t>
      </w: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0时。</w:t>
      </w:r>
    </w:p>
    <w:p>
      <w:pPr>
        <w:spacing w:line="360" w:lineRule="exact"/>
        <w:ind w:firstLine="480" w:firstLineChars="200"/>
        <w:rPr>
          <w:rFonts w:ascii="宋体" w:hAnsi="宋体" w:cs="宋体"/>
          <w:color w:val="auto"/>
          <w:sz w:val="24"/>
          <w:szCs w:val="24"/>
        </w:rPr>
      </w:pPr>
      <w:r>
        <w:rPr>
          <w:rFonts w:hint="eastAsia" w:ascii="宋体" w:hAnsi="宋体" w:cs="宋体"/>
          <w:color w:val="auto"/>
          <w:sz w:val="24"/>
          <w:szCs w:val="24"/>
        </w:rPr>
        <w:t>（七）递交响应文件及开标地点：同</w:t>
      </w:r>
      <w:r>
        <w:rPr>
          <w:rFonts w:hint="eastAsia" w:ascii="宋体" w:hAnsi="宋体" w:cs="宋体"/>
          <w:color w:val="auto"/>
          <w:sz w:val="24"/>
          <w:szCs w:val="24"/>
          <w:lang w:eastAsia="zh-CN"/>
        </w:rPr>
        <w:t>询比</w:t>
      </w:r>
      <w:r>
        <w:rPr>
          <w:rFonts w:hint="eastAsia" w:ascii="宋体" w:hAnsi="宋体" w:cs="宋体"/>
          <w:color w:val="auto"/>
          <w:sz w:val="24"/>
          <w:szCs w:val="24"/>
        </w:rPr>
        <w:t>地点。</w:t>
      </w:r>
    </w:p>
    <w:bookmarkEnd w:id="24"/>
    <w:p>
      <w:pPr>
        <w:ind w:firstLine="480"/>
        <w:rPr>
          <w:rFonts w:ascii="宋体" w:hAnsi="宋体" w:cs="宋体"/>
          <w:b/>
          <w:bCs/>
          <w:color w:val="auto"/>
          <w:sz w:val="24"/>
        </w:rPr>
      </w:pPr>
      <w:bookmarkStart w:id="38" w:name="_Toc6563"/>
      <w:bookmarkStart w:id="39" w:name="_Toc525047163"/>
      <w:bookmarkStart w:id="40" w:name="_Toc521053055"/>
      <w:bookmarkStart w:id="41" w:name="_Toc16269"/>
      <w:bookmarkStart w:id="42" w:name="_Toc4728"/>
      <w:bookmarkStart w:id="43" w:name="_Toc106034776"/>
      <w:bookmarkStart w:id="44" w:name="_Toc65660336"/>
      <w:r>
        <w:rPr>
          <w:rFonts w:hint="eastAsia" w:ascii="宋体" w:hAnsi="宋体" w:cs="宋体"/>
          <w:b/>
          <w:bCs/>
          <w:color w:val="auto"/>
          <w:sz w:val="24"/>
        </w:rPr>
        <w:t>五、其它有关规定</w:t>
      </w:r>
      <w:bookmarkEnd w:id="38"/>
      <w:bookmarkEnd w:id="39"/>
      <w:bookmarkEnd w:id="40"/>
      <w:bookmarkEnd w:id="41"/>
      <w:bookmarkEnd w:id="42"/>
      <w:bookmarkEnd w:id="43"/>
      <w:bookmarkEnd w:id="44"/>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（三）同一合同项（包）下的货物，制造商参与报价的，不得再委托代理商参与报价。</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（五）超过响应文件截止时间递交的响应文件，恕不接收。</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（六）</w:t>
      </w:r>
      <w:r>
        <w:rPr>
          <w:rFonts w:hint="eastAsia" w:ascii="宋体" w:hAnsi="宋体" w:cs="宋体"/>
          <w:color w:val="auto"/>
          <w:sz w:val="24"/>
          <w:szCs w:val="24"/>
          <w:lang w:eastAsia="zh-CN"/>
        </w:rPr>
        <w:t>询比</w:t>
      </w:r>
      <w:r>
        <w:rPr>
          <w:rFonts w:hint="eastAsia" w:ascii="宋体" w:hAnsi="宋体" w:cs="宋体"/>
          <w:color w:val="auto"/>
          <w:sz w:val="24"/>
          <w:szCs w:val="24"/>
        </w:rPr>
        <w:t>费用：无论</w:t>
      </w:r>
      <w:r>
        <w:rPr>
          <w:rFonts w:hint="eastAsia" w:ascii="宋体" w:hAnsi="宋体" w:cs="宋体"/>
          <w:color w:val="auto"/>
          <w:sz w:val="24"/>
          <w:szCs w:val="24"/>
          <w:lang w:eastAsia="zh-CN"/>
        </w:rPr>
        <w:t>询比</w:t>
      </w:r>
      <w:r>
        <w:rPr>
          <w:rFonts w:hint="eastAsia" w:ascii="宋体" w:hAnsi="宋体" w:cs="宋体"/>
          <w:color w:val="auto"/>
          <w:sz w:val="24"/>
          <w:szCs w:val="24"/>
        </w:rPr>
        <w:t>结果如何，供应商参与本项目</w:t>
      </w:r>
      <w:r>
        <w:rPr>
          <w:rFonts w:hint="eastAsia" w:ascii="宋体" w:hAnsi="宋体" w:cs="宋体"/>
          <w:color w:val="auto"/>
          <w:sz w:val="24"/>
          <w:szCs w:val="24"/>
          <w:lang w:eastAsia="zh-CN"/>
        </w:rPr>
        <w:t>询比</w:t>
      </w:r>
      <w:r>
        <w:rPr>
          <w:rFonts w:hint="eastAsia" w:ascii="宋体" w:hAnsi="宋体" w:cs="宋体"/>
          <w:color w:val="auto"/>
          <w:sz w:val="24"/>
          <w:szCs w:val="24"/>
        </w:rPr>
        <w:t>的所有费用均应由供应商自行承担。</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（七）本项目不接受联合体参与报价，否则按无效处理。</w:t>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（八）本项目不接受合同分包，否则按无效处理。</w:t>
      </w:r>
    </w:p>
    <w:p>
      <w:pPr>
        <w:snapToGrid w:val="0"/>
        <w:spacing w:line="400" w:lineRule="exact"/>
        <w:ind w:firstLine="360" w:firstLineChars="150"/>
        <w:rPr>
          <w:rFonts w:ascii="宋体" w:hAnsi="宋体" w:cs="宋体"/>
          <w:color w:val="auto"/>
          <w:sz w:val="24"/>
          <w:szCs w:val="24"/>
        </w:rPr>
      </w:pPr>
      <w:r>
        <w:rPr>
          <w:rFonts w:hint="eastAsia" w:ascii="宋体" w:hAnsi="宋体" w:cs="宋体"/>
          <w:bCs/>
          <w:color w:val="auto"/>
          <w:sz w:val="24"/>
          <w:szCs w:val="24"/>
        </w:rPr>
        <w:t>（九）</w:t>
      </w:r>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45" w:name="_Toc10415"/>
      <w:bookmarkStart w:id="46" w:name="_Toc65660337"/>
      <w:bookmarkStart w:id="47" w:name="_Toc106034777"/>
      <w:bookmarkStart w:id="48" w:name="_Toc1552"/>
      <w:bookmarkStart w:id="49" w:name="_Toc521053056"/>
      <w:bookmarkStart w:id="50" w:name="_Toc1733"/>
      <w:bookmarkStart w:id="51" w:name="_Toc525047164"/>
    </w:p>
    <w:p>
      <w:pPr>
        <w:pStyle w:val="4"/>
        <w:adjustRightInd w:val="0"/>
        <w:snapToGrid w:val="0"/>
        <w:spacing w:before="0" w:after="0" w:line="400" w:lineRule="exact"/>
        <w:ind w:firstLine="482" w:firstLineChars="200"/>
        <w:rPr>
          <w:rFonts w:ascii="宋体" w:hAnsi="宋体" w:eastAsia="宋体" w:cs="宋体"/>
          <w:color w:val="auto"/>
          <w:sz w:val="24"/>
        </w:rPr>
      </w:pPr>
      <w:bookmarkStart w:id="52" w:name="_Toc12927"/>
      <w:r>
        <w:rPr>
          <w:rFonts w:hint="eastAsia" w:ascii="宋体" w:hAnsi="宋体" w:eastAsia="宋体" w:cs="宋体"/>
          <w:color w:val="auto"/>
          <w:sz w:val="24"/>
        </w:rPr>
        <w:t>六、联系方式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（一）采购人：重庆市乌江航道管理处</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联系人：王老师</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电  话：023-72300403</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地  址：重庆市涪陵区顺江大道望江路99号</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（二）采购代理机构：重庆华大工程管理有限公司</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联系人：陈老师</w:t>
      </w:r>
    </w:p>
    <w:p>
      <w:pPr>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电  话：13618390331</w:t>
      </w:r>
    </w:p>
    <w:p>
      <w:pPr>
        <w:snapToGrid w:val="0"/>
        <w:spacing w:line="380" w:lineRule="exact"/>
        <w:ind w:firstLine="480" w:firstLineChars="200"/>
        <w:rPr>
          <w:rFonts w:ascii="宋体" w:hAnsi="宋体" w:cs="宋体"/>
          <w:color w:val="auto"/>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color w:val="auto"/>
          <w:sz w:val="24"/>
          <w:szCs w:val="24"/>
        </w:rPr>
        <w:t>地  址：重庆市涪陵区新城区建筑业大厦3楼</w:t>
      </w:r>
    </w:p>
    <w:p>
      <w:pPr>
        <w:pStyle w:val="4"/>
        <w:numPr>
          <w:ilvl w:val="0"/>
          <w:numId w:val="13"/>
        </w:numPr>
        <w:spacing w:before="0" w:after="0" w:line="360" w:lineRule="auto"/>
        <w:jc w:val="center"/>
        <w:rPr>
          <w:rFonts w:ascii="宋体" w:hAnsi="宋体" w:eastAsia="宋体" w:cs="宋体"/>
          <w:b w:val="0"/>
          <w:color w:val="auto"/>
          <w:sz w:val="36"/>
          <w:szCs w:val="30"/>
        </w:rPr>
      </w:pPr>
      <w:bookmarkStart w:id="53" w:name="_Toc106034778"/>
      <w:bookmarkStart w:id="54" w:name="_Toc14516"/>
      <w:bookmarkStart w:id="55" w:name="_Toc65660338"/>
      <w:bookmarkStart w:id="56" w:name="_Toc11327"/>
      <w:bookmarkStart w:id="57" w:name="_Toc1292"/>
      <w:bookmarkStart w:id="58" w:name="_Toc102227313"/>
      <w:r>
        <w:rPr>
          <w:rFonts w:hint="eastAsia" w:ascii="宋体" w:hAnsi="宋体" w:eastAsia="宋体" w:cs="宋体"/>
          <w:b w:val="0"/>
          <w:color w:val="auto"/>
          <w:sz w:val="36"/>
          <w:szCs w:val="30"/>
        </w:rPr>
        <w:t xml:space="preserve"> </w:t>
      </w:r>
      <w:bookmarkStart w:id="59" w:name="_Toc32282"/>
      <w:r>
        <w:rPr>
          <w:rFonts w:hint="eastAsia" w:ascii="宋体" w:hAnsi="宋体" w:eastAsia="宋体" w:cs="宋体"/>
          <w:b w:val="0"/>
          <w:color w:val="auto"/>
          <w:sz w:val="36"/>
          <w:szCs w:val="30"/>
          <w:lang w:eastAsia="zh-CN"/>
        </w:rPr>
        <w:t>询比</w:t>
      </w:r>
      <w:r>
        <w:rPr>
          <w:rFonts w:hint="eastAsia" w:ascii="宋体" w:hAnsi="宋体" w:eastAsia="宋体" w:cs="宋体"/>
          <w:b w:val="0"/>
          <w:color w:val="auto"/>
          <w:sz w:val="36"/>
          <w:szCs w:val="30"/>
        </w:rPr>
        <w:t>项目服务需求</w:t>
      </w:r>
      <w:bookmarkEnd w:id="53"/>
      <w:bookmarkEnd w:id="54"/>
      <w:bookmarkEnd w:id="55"/>
      <w:bookmarkEnd w:id="56"/>
      <w:bookmarkEnd w:id="57"/>
      <w:bookmarkEnd w:id="59"/>
    </w:p>
    <w:p>
      <w:pPr>
        <w:pStyle w:val="4"/>
        <w:spacing w:before="0" w:after="0" w:line="360" w:lineRule="exact"/>
        <w:rPr>
          <w:rFonts w:hint="eastAsia" w:ascii="宋体" w:hAnsi="宋体" w:eastAsia="宋体" w:cs="宋体"/>
          <w:b w:val="0"/>
          <w:color w:val="auto"/>
          <w:sz w:val="28"/>
          <w:szCs w:val="28"/>
          <w:lang w:eastAsia="zh-CN"/>
        </w:rPr>
      </w:pPr>
      <w:bookmarkStart w:id="60" w:name="_Toc18627"/>
      <w:r>
        <w:rPr>
          <w:rFonts w:hint="eastAsia" w:ascii="宋体" w:hAnsi="宋体" w:eastAsia="宋体" w:cs="宋体"/>
          <w:b w:val="0"/>
          <w:color w:val="auto"/>
          <w:sz w:val="28"/>
          <w:szCs w:val="28"/>
        </w:rPr>
        <w:t>一、</w:t>
      </w:r>
      <w:r>
        <w:rPr>
          <w:rFonts w:hint="eastAsia" w:ascii="宋体" w:hAnsi="宋体" w:eastAsia="宋体" w:cs="宋体"/>
          <w:b w:val="0"/>
          <w:color w:val="auto"/>
          <w:sz w:val="28"/>
          <w:szCs w:val="28"/>
          <w:lang w:eastAsia="zh-CN"/>
        </w:rPr>
        <w:t>项目概况</w:t>
      </w:r>
      <w:bookmarkEnd w:id="60"/>
    </w:p>
    <w:p>
      <w:pPr>
        <w:rPr>
          <w:rFonts w:hint="eastAsia" w:ascii="宋体" w:hAnsi="宋体" w:eastAsia="宋体" w:cs="宋体"/>
          <w:color w:val="auto"/>
        </w:rPr>
      </w:pPr>
    </w:p>
    <w:tbl>
      <w:tblPr>
        <w:tblStyle w:val="59"/>
        <w:tblW w:w="4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1"/>
        <w:gridCol w:w="1730"/>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4"/>
              </w:rPr>
            </w:pPr>
            <w:r>
              <w:rPr>
                <w:rFonts w:hint="eastAsia" w:ascii="宋体" w:hAnsi="宋体" w:eastAsia="宋体" w:cs="宋体"/>
                <w:b/>
                <w:bCs/>
                <w:color w:val="auto"/>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4"/>
              </w:rPr>
            </w:pPr>
            <w:r>
              <w:rPr>
                <w:rFonts w:hint="eastAsia" w:ascii="宋体" w:hAnsi="宋体" w:eastAsia="宋体" w:cs="宋体"/>
                <w:b/>
                <w:bCs/>
                <w:color w:val="auto"/>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kern w:val="0"/>
                <w:sz w:val="21"/>
                <w:szCs w:val="24"/>
              </w:rPr>
            </w:pPr>
            <w:r>
              <w:rPr>
                <w:rFonts w:hint="eastAsia" w:ascii="宋体" w:hAnsi="宋体" w:eastAsia="宋体" w:cs="宋体"/>
                <w:b/>
                <w:bCs/>
                <w:color w:val="auto"/>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4"/>
                <w:lang w:eastAsia="zh-CN"/>
              </w:rPr>
            </w:pPr>
            <w:r>
              <w:rPr>
                <w:rFonts w:hint="eastAsia" w:ascii="宋体" w:hAnsi="宋体" w:cs="宋体"/>
                <w:color w:val="auto"/>
                <w:kern w:val="0"/>
                <w:sz w:val="21"/>
                <w:szCs w:val="24"/>
                <w:lang w:eastAsia="zh-CN"/>
              </w:rPr>
              <w:t>单位内部控制建设咨询服务（第二次）</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4"/>
                <w:lang w:val="en-US" w:eastAsia="zh-CN"/>
              </w:rPr>
            </w:pPr>
            <w:r>
              <w:rPr>
                <w:rFonts w:hint="eastAsia" w:ascii="宋体" w:hAnsi="宋体" w:eastAsia="宋体" w:cs="宋体"/>
                <w:color w:val="auto"/>
                <w:kern w:val="0"/>
                <w:sz w:val="21"/>
                <w:szCs w:val="24"/>
                <w:lang w:val="en-US" w:eastAsia="zh-CN"/>
              </w:rPr>
              <w:t>3.6</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spacing w:line="560" w:lineRule="exact"/>
        <w:rPr>
          <w:rFonts w:hint="eastAsia" w:ascii="宋体" w:hAnsi="宋体" w:eastAsia="宋体" w:cs="宋体"/>
          <w:b/>
          <w:bCs/>
          <w:color w:val="auto"/>
          <w:szCs w:val="28"/>
          <w:lang w:eastAsia="zh-CN"/>
        </w:rPr>
      </w:pPr>
      <w:r>
        <w:rPr>
          <w:rFonts w:hint="eastAsia" w:ascii="宋体" w:hAnsi="宋体" w:eastAsia="宋体" w:cs="宋体"/>
          <w:b/>
          <w:bCs/>
          <w:color w:val="auto"/>
          <w:szCs w:val="28"/>
        </w:rPr>
        <w:t>二、</w:t>
      </w:r>
      <w:r>
        <w:rPr>
          <w:rFonts w:hint="eastAsia" w:ascii="宋体" w:hAnsi="宋体" w:eastAsia="宋体" w:cs="宋体"/>
          <w:color w:val="auto"/>
          <w:szCs w:val="28"/>
          <w:lang w:eastAsia="zh-CN"/>
        </w:rPr>
        <w:t>项目需求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（一）项目概况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为进一步加强单位内部控制建设，健全完善内部控制制度程序，提高单位管理服务水平和风险防范能力，按照行政事业单位内控条例要求，从单位层面和业务层面等，完成内控手册编制工作，包含但不限于：前期调研、出具风险评估报告、制度汇编、流程再造、制定手册、培训等。其中应包括业务制度相关六大经济业务和单位运行所需相关制度建设和完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（二）工作内容及要求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按照《重庆市财政局关于进一步加强行政事业单位内部控制建设的通知》（渝财会〔2019〕15号）文件精神，结合审计建议及《重庆市财政局关于开展2020年度行政事业单位内部控制现场检查工作的通知》（渝财会〔2021〕18号）内控复合性检查要求，对单位内部控制建设及运行情况开展风险评估，对经济业务进行合规性抽查，出具风险评估报告。对单位现有内控制度进行全面清理、梳理，进行合规性审核，修订完善内部控制制度、流程图及配套表单。编制内部控制制度手册，提供电子版手册成果；开展内部控制业务培训。</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cs="宋体"/>
          <w:b/>
          <w:bCs w:val="0"/>
          <w:color w:val="auto"/>
          <w:sz w:val="24"/>
          <w:szCs w:val="24"/>
          <w:lang w:eastAsia="zh-CN"/>
        </w:rPr>
        <w:t>单位内部控制建设咨询服务（第二次）</w:t>
      </w:r>
      <w:r>
        <w:rPr>
          <w:rFonts w:hint="eastAsia" w:ascii="宋体" w:hAnsi="宋体" w:eastAsia="宋体" w:cs="宋体"/>
          <w:b/>
          <w:bCs w:val="0"/>
          <w:color w:val="auto"/>
          <w:sz w:val="24"/>
          <w:szCs w:val="24"/>
        </w:rPr>
        <w:t>明细表</w:t>
      </w:r>
    </w:p>
    <w:tbl>
      <w:tblPr>
        <w:tblStyle w:val="59"/>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239"/>
        <w:gridCol w:w="4842"/>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bookmarkStart w:id="61" w:name="_Hlk128925482"/>
            <w:r>
              <w:rPr>
                <w:rFonts w:hint="eastAsia" w:ascii="宋体" w:hAnsi="宋体" w:eastAsia="宋体" w:cs="宋体"/>
                <w:bCs/>
                <w:color w:val="auto"/>
                <w:sz w:val="24"/>
                <w:szCs w:val="24"/>
              </w:rPr>
              <w:t>序号</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服务项目</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服务内容</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内部控制风险评估</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1.单位经济业务合规性检查，检查3个月度会计凭证；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2.出具内部控制风险评估报告。</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22"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223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内部控制制度建设</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单位层面部分（含三重一大议事决策机制、岗位职责边界等）清理、梳理，进行合法性审核，修订完善制度、流程图及配套表单；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预决算管理部分清理、梳理，进行合法性审核，修订完善制度、流程图及配套表单；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收支管理部分清理、梳理，进行合法性审核，修订完善制度、流程图及配套表单；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国有资产管理部分清理、梳理，进行合法性审核，修订完善制度、流程图及配套表单；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政府采购管理部分（含招标投标管理）清理、梳理，进行合法性审核，修订完善制度、流程图及配套表单；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合同管理部分清理、梳理，进行合法性审核，修订完善制度、流程图及配套表单；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项目管理部分（含建设项目管理）清理、梳理，进行合法性审核，修订完善制度、流程图及配套表单；</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其它：</w:t>
            </w:r>
            <w:r>
              <w:rPr>
                <w:rFonts w:hint="eastAsia" w:ascii="宋体" w:hAnsi="宋体" w:eastAsia="宋体" w:cs="宋体"/>
                <w:bCs/>
                <w:color w:val="auto"/>
                <w:sz w:val="24"/>
                <w:szCs w:val="24"/>
              </w:rPr>
              <w:t>完善修订单位车辆管理、食堂管理等内部制度；</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内部控制制度手册编制</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编制内部控制制度手册，交付装订纸质版手册10册，电子版文档1份。</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内部控制业务培训</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根据内部控制风险评估情况和内部控制制度运行情况开展一次内部控制业务培训，培训时长不少于2.5小时</w:t>
            </w:r>
          </w:p>
        </w:tc>
        <w:tc>
          <w:tcPr>
            <w:tcW w:w="1611" w:type="dxa"/>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tc>
      </w:tr>
      <w:bookmarkEnd w:id="61"/>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※（三）对此项工作需提供书面实施方案，且承诺能够随时响应采购人要求开展现场内控咨询服务工作（格式自拟，加盖供应商鲜章）。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）人员配备要求：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1.项目组长：需从事行政事业单位内控咨询两年以上且具有编制内控手册及内控风险评估报告的工作经验，须提供近期缴纳社保证明；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2.小组成员：工作小组其他人员不得少于2人，须提供近期缴纳社保证明。</w:t>
      </w:r>
    </w:p>
    <w:p>
      <w:pPr>
        <w:pStyle w:val="4"/>
        <w:spacing w:before="0" w:after="0" w:line="360" w:lineRule="auto"/>
        <w:jc w:val="center"/>
        <w:rPr>
          <w:rFonts w:ascii="宋体" w:hAnsi="宋体" w:eastAsia="宋体" w:cs="宋体"/>
          <w:b w:val="0"/>
          <w:color w:val="auto"/>
          <w:sz w:val="36"/>
          <w:szCs w:val="30"/>
        </w:rPr>
      </w:pPr>
      <w:r>
        <w:rPr>
          <w:rFonts w:hint="eastAsia" w:ascii="宋体" w:hAnsi="宋体" w:eastAsia="宋体" w:cs="宋体"/>
          <w:b w:val="0"/>
          <w:color w:val="auto"/>
          <w:sz w:val="36"/>
          <w:szCs w:val="30"/>
        </w:rPr>
        <w:br w:type="page"/>
      </w:r>
      <w:bookmarkStart w:id="62" w:name="_Toc65660341"/>
      <w:bookmarkStart w:id="63" w:name="_Toc13356"/>
      <w:bookmarkStart w:id="64" w:name="_Toc523"/>
      <w:bookmarkStart w:id="65" w:name="_Toc15492"/>
      <w:bookmarkStart w:id="66" w:name="_Toc30541"/>
      <w:bookmarkStart w:id="67" w:name="_Toc106034781"/>
      <w:r>
        <w:rPr>
          <w:rFonts w:hint="eastAsia" w:ascii="宋体" w:hAnsi="宋体" w:eastAsia="宋体" w:cs="宋体"/>
          <w:b w:val="0"/>
          <w:color w:val="auto"/>
          <w:sz w:val="36"/>
          <w:szCs w:val="30"/>
        </w:rPr>
        <w:t xml:space="preserve">第三篇  </w:t>
      </w:r>
      <w:bookmarkEnd w:id="58"/>
      <w:r>
        <w:rPr>
          <w:rFonts w:hint="eastAsia" w:ascii="宋体" w:hAnsi="宋体" w:eastAsia="宋体" w:cs="宋体"/>
          <w:b w:val="0"/>
          <w:color w:val="auto"/>
          <w:sz w:val="36"/>
          <w:szCs w:val="30"/>
          <w:lang w:eastAsia="zh-CN"/>
        </w:rPr>
        <w:t>询比</w:t>
      </w:r>
      <w:r>
        <w:rPr>
          <w:rFonts w:hint="eastAsia" w:ascii="宋体" w:hAnsi="宋体" w:eastAsia="宋体" w:cs="宋体"/>
          <w:b w:val="0"/>
          <w:color w:val="auto"/>
          <w:sz w:val="36"/>
          <w:szCs w:val="30"/>
        </w:rPr>
        <w:t>项目</w:t>
      </w:r>
      <w:bookmarkEnd w:id="62"/>
      <w:bookmarkEnd w:id="63"/>
      <w:bookmarkEnd w:id="64"/>
      <w:bookmarkEnd w:id="65"/>
      <w:r>
        <w:rPr>
          <w:rFonts w:hint="eastAsia" w:ascii="宋体" w:hAnsi="宋体" w:eastAsia="宋体" w:cs="宋体"/>
          <w:b w:val="0"/>
          <w:color w:val="auto"/>
          <w:sz w:val="36"/>
          <w:szCs w:val="30"/>
          <w:lang w:eastAsia="zh-CN"/>
        </w:rPr>
        <w:t>商务</w:t>
      </w:r>
      <w:r>
        <w:rPr>
          <w:rFonts w:hint="eastAsia" w:ascii="宋体" w:hAnsi="宋体" w:eastAsia="宋体" w:cs="宋体"/>
          <w:b w:val="0"/>
          <w:color w:val="auto"/>
          <w:sz w:val="36"/>
          <w:szCs w:val="30"/>
        </w:rPr>
        <w:t>需求</w:t>
      </w:r>
      <w:bookmarkEnd w:id="66"/>
      <w:bookmarkEnd w:id="67"/>
    </w:p>
    <w:p>
      <w:pPr>
        <w:pStyle w:val="4"/>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ascii="宋体" w:hAnsi="宋体" w:eastAsia="宋体" w:cs="宋体"/>
          <w:color w:val="auto"/>
          <w:sz w:val="24"/>
        </w:rPr>
      </w:pPr>
      <w:bookmarkStart w:id="68" w:name="_Toc17750"/>
      <w:bookmarkStart w:id="69" w:name="_Toc106034782"/>
      <w:bookmarkStart w:id="70" w:name="_Toc13555"/>
      <w:bookmarkStart w:id="71" w:name="_Toc65660342"/>
      <w:bookmarkStart w:id="72" w:name="_Toc12935"/>
      <w:bookmarkStart w:id="73" w:name="_Toc15183"/>
      <w:bookmarkStart w:id="74" w:name="_Toc342913389"/>
      <w:r>
        <w:rPr>
          <w:rFonts w:hint="eastAsia" w:ascii="宋体" w:hAnsi="宋体" w:eastAsia="宋体" w:cs="宋体"/>
          <w:color w:val="auto"/>
          <w:sz w:val="24"/>
        </w:rPr>
        <w:t>一、</w:t>
      </w:r>
      <w:bookmarkEnd w:id="68"/>
      <w:bookmarkEnd w:id="69"/>
      <w:bookmarkEnd w:id="70"/>
      <w:bookmarkEnd w:id="71"/>
      <w:bookmarkEnd w:id="72"/>
      <w:r>
        <w:rPr>
          <w:rFonts w:hint="eastAsia" w:ascii="宋体" w:hAnsi="宋体" w:eastAsia="宋体" w:cs="宋体"/>
          <w:color w:val="auto"/>
          <w:sz w:val="24"/>
        </w:rPr>
        <w:t>服务时间、地点及验收方式</w:t>
      </w:r>
      <w:bookmarkEnd w:id="73"/>
    </w:p>
    <w:p>
      <w:pPr>
        <w:pageBreakBefore w:val="0"/>
        <w:widowControl w:val="0"/>
        <w:kinsoku/>
        <w:wordWrap/>
        <w:overflowPunct/>
        <w:topLinePunct w:val="0"/>
        <w:autoSpaceDE/>
        <w:autoSpaceDN/>
        <w:bidi w:val="0"/>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1.服务期：现场工作时间不少于15个工作日,自</w:t>
      </w:r>
      <w:r>
        <w:rPr>
          <w:rFonts w:hint="eastAsia" w:ascii="宋体" w:hAnsi="宋体" w:cs="宋体"/>
          <w:color w:val="auto"/>
          <w:sz w:val="24"/>
          <w:szCs w:val="24"/>
          <w:lang w:eastAsia="zh-CN"/>
        </w:rPr>
        <w:t>签订</w:t>
      </w:r>
      <w:bookmarkStart w:id="242" w:name="_GoBack"/>
      <w:bookmarkEnd w:id="242"/>
      <w:r>
        <w:rPr>
          <w:rFonts w:hint="eastAsia" w:ascii="宋体" w:hAnsi="宋体" w:cs="宋体"/>
          <w:color w:val="auto"/>
          <w:sz w:val="24"/>
          <w:szCs w:val="24"/>
        </w:rPr>
        <w:t>合同之日起</w:t>
      </w:r>
      <w:r>
        <w:rPr>
          <w:rFonts w:hint="eastAsia" w:ascii="宋体" w:hAnsi="宋体" w:cs="宋体"/>
          <w:color w:val="auto"/>
          <w:sz w:val="24"/>
          <w:szCs w:val="24"/>
          <w:lang w:val="en-US" w:eastAsia="zh-CN"/>
        </w:rPr>
        <w:t>6</w:t>
      </w:r>
      <w:r>
        <w:rPr>
          <w:rFonts w:hint="eastAsia" w:ascii="宋体" w:hAnsi="宋体" w:cs="宋体"/>
          <w:color w:val="auto"/>
          <w:sz w:val="24"/>
          <w:szCs w:val="24"/>
        </w:rPr>
        <w:t>0日历日内完成</w:t>
      </w:r>
      <w:r>
        <w:rPr>
          <w:rFonts w:hint="eastAsia" w:ascii="宋体" w:hAnsi="宋体" w:cs="宋体"/>
          <w:color w:val="auto"/>
          <w:sz w:val="24"/>
          <w:szCs w:val="24"/>
          <w:lang w:eastAsia="zh-CN"/>
        </w:rPr>
        <w:t>，并出具《内控风险评估报告》和《重庆市乌江航道管理处内控手册》（提供工作期限承诺函，格式自拟，加盖供应商鲜章）</w:t>
      </w:r>
      <w:r>
        <w:rPr>
          <w:rFonts w:hint="eastAsia" w:ascii="宋体" w:hAnsi="宋体" w:cs="宋体"/>
          <w:color w:val="auto"/>
          <w:sz w:val="24"/>
          <w:szCs w:val="24"/>
        </w:rPr>
        <w:t>。</w:t>
      </w:r>
    </w:p>
    <w:p>
      <w:pPr>
        <w:pageBreakBefore w:val="0"/>
        <w:widowControl w:val="0"/>
        <w:kinsoku/>
        <w:wordWrap/>
        <w:overflowPunct/>
        <w:topLinePunct w:val="0"/>
        <w:autoSpaceDE/>
        <w:autoSpaceDN/>
        <w:bidi w:val="0"/>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2.服务地点：重庆市涪陵区顺江大道望江路99号。</w:t>
      </w:r>
    </w:p>
    <w:p>
      <w:pPr>
        <w:pageBreakBefore w:val="0"/>
        <w:widowControl w:val="0"/>
        <w:kinsoku/>
        <w:wordWrap/>
        <w:overflowPunct/>
        <w:topLinePunct w:val="0"/>
        <w:autoSpaceDE/>
        <w:autoSpaceDN/>
        <w:bidi w:val="0"/>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3.验收方式：按照项目内容验收。</w:t>
      </w:r>
    </w:p>
    <w:p>
      <w:pPr>
        <w:pStyle w:val="4"/>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ascii="宋体" w:hAnsi="宋体" w:eastAsia="宋体" w:cs="宋体"/>
          <w:color w:val="auto"/>
          <w:sz w:val="24"/>
        </w:rPr>
      </w:pPr>
      <w:bookmarkStart w:id="75" w:name="_Toc106034784"/>
      <w:bookmarkStart w:id="76" w:name="_Toc65660344"/>
      <w:bookmarkStart w:id="77" w:name="_Toc16974"/>
      <w:bookmarkStart w:id="78" w:name="_Toc122"/>
      <w:bookmarkStart w:id="79" w:name="_Toc12184"/>
      <w:bookmarkStart w:id="80" w:name="_Toc20183"/>
      <w:r>
        <w:rPr>
          <w:rFonts w:hint="eastAsia" w:ascii="宋体" w:hAnsi="宋体" w:eastAsia="宋体" w:cs="宋体"/>
          <w:color w:val="auto"/>
          <w:sz w:val="24"/>
          <w:lang w:eastAsia="zh-CN"/>
        </w:rPr>
        <w:t>二</w:t>
      </w:r>
      <w:r>
        <w:rPr>
          <w:rFonts w:hint="eastAsia" w:ascii="宋体" w:hAnsi="宋体" w:eastAsia="宋体" w:cs="宋体"/>
          <w:color w:val="auto"/>
          <w:sz w:val="24"/>
        </w:rPr>
        <w:t>、报价要求</w:t>
      </w:r>
      <w:bookmarkEnd w:id="75"/>
      <w:bookmarkEnd w:id="76"/>
      <w:bookmarkEnd w:id="77"/>
      <w:bookmarkEnd w:id="78"/>
      <w:bookmarkEnd w:id="79"/>
      <w:bookmarkEnd w:id="80"/>
    </w:p>
    <w:p>
      <w:pPr>
        <w:pageBreakBefore w:val="0"/>
        <w:widowControl w:val="0"/>
        <w:kinsoku/>
        <w:wordWrap/>
        <w:overflowPunct/>
        <w:topLinePunct w:val="0"/>
        <w:autoSpaceDE/>
        <w:autoSpaceDN/>
        <w:bidi w:val="0"/>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本次采购报价为一次性报价，最高限价3.</w:t>
      </w:r>
      <w:r>
        <w:rPr>
          <w:rFonts w:ascii="宋体" w:hAnsi="宋体" w:cs="宋体"/>
          <w:color w:val="auto"/>
          <w:sz w:val="24"/>
          <w:szCs w:val="24"/>
        </w:rPr>
        <w:t>6</w:t>
      </w:r>
      <w:r>
        <w:rPr>
          <w:rFonts w:hint="eastAsia" w:ascii="宋体" w:hAnsi="宋体" w:cs="宋体"/>
          <w:color w:val="auto"/>
          <w:sz w:val="24"/>
          <w:szCs w:val="24"/>
        </w:rPr>
        <w:t>万元人民币，所有参加投标的供应商报价不得超过3.</w:t>
      </w:r>
      <w:r>
        <w:rPr>
          <w:rFonts w:ascii="宋体" w:hAnsi="宋体" w:cs="宋体"/>
          <w:color w:val="auto"/>
          <w:sz w:val="24"/>
          <w:szCs w:val="24"/>
        </w:rPr>
        <w:t>6</w:t>
      </w:r>
      <w:r>
        <w:rPr>
          <w:rFonts w:hint="eastAsia" w:ascii="宋体" w:hAnsi="宋体" w:cs="宋体"/>
          <w:color w:val="auto"/>
          <w:sz w:val="24"/>
          <w:szCs w:val="24"/>
        </w:rPr>
        <w:t>万元人民币。报价包括项目服务期间所需的服务费、人工费和提供服务所需的其他费用及各种应纳的税费等。因成交供应商自身原因造成漏报、少报皆由其自行承担责任，采购人不再补偿。</w:t>
      </w:r>
    </w:p>
    <w:p>
      <w:pPr>
        <w:pStyle w:val="4"/>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ascii="宋体" w:hAnsi="宋体" w:eastAsia="宋体" w:cs="宋体"/>
          <w:color w:val="auto"/>
          <w:sz w:val="24"/>
        </w:rPr>
      </w:pPr>
      <w:bookmarkStart w:id="81" w:name="_Toc19015"/>
      <w:bookmarkStart w:id="82" w:name="_Toc11000"/>
      <w:bookmarkStart w:id="83" w:name="_Toc65660345"/>
      <w:bookmarkStart w:id="84" w:name="_Toc106034785"/>
      <w:bookmarkStart w:id="85" w:name="_Toc9192"/>
      <w:bookmarkStart w:id="86" w:name="_Toc7562"/>
      <w:r>
        <w:rPr>
          <w:rFonts w:hint="eastAsia" w:ascii="宋体" w:hAnsi="宋体" w:eastAsia="宋体" w:cs="宋体"/>
          <w:color w:val="auto"/>
          <w:sz w:val="24"/>
          <w:lang w:eastAsia="zh-CN"/>
        </w:rPr>
        <w:t>三</w:t>
      </w:r>
      <w:r>
        <w:rPr>
          <w:rFonts w:hint="eastAsia" w:ascii="宋体" w:hAnsi="宋体" w:eastAsia="宋体" w:cs="宋体"/>
          <w:color w:val="auto"/>
          <w:sz w:val="24"/>
        </w:rPr>
        <w:t>、付款方式</w:t>
      </w:r>
      <w:bookmarkEnd w:id="81"/>
      <w:bookmarkEnd w:id="82"/>
      <w:bookmarkEnd w:id="83"/>
      <w:bookmarkEnd w:id="84"/>
      <w:bookmarkEnd w:id="85"/>
      <w:bookmarkEnd w:id="86"/>
    </w:p>
    <w:p>
      <w:pPr>
        <w:pageBreakBefore w:val="0"/>
        <w:widowControl w:val="0"/>
        <w:kinsoku/>
        <w:wordWrap/>
        <w:overflowPunct/>
        <w:topLinePunct w:val="0"/>
        <w:autoSpaceDE/>
        <w:autoSpaceDN/>
        <w:bidi w:val="0"/>
        <w:snapToGrid w:val="0"/>
        <w:spacing w:line="460" w:lineRule="exact"/>
        <w:ind w:firstLine="480" w:firstLineChars="200"/>
        <w:textAlignment w:val="auto"/>
        <w:rPr>
          <w:rFonts w:ascii="宋体" w:hAnsi="宋体" w:cs="宋体"/>
          <w:color w:val="auto"/>
          <w:sz w:val="24"/>
        </w:rPr>
      </w:pPr>
      <w:bookmarkStart w:id="87" w:name="_Toc3786"/>
      <w:bookmarkStart w:id="88" w:name="_Toc65660346"/>
      <w:bookmarkStart w:id="89" w:name="_Toc106034786"/>
      <w:bookmarkStart w:id="90" w:name="_Toc7228"/>
      <w:bookmarkStart w:id="91" w:name="_Toc24751"/>
      <w:r>
        <w:rPr>
          <w:rFonts w:hint="eastAsia" w:ascii="宋体" w:hAnsi="宋体" w:cs="宋体"/>
          <w:color w:val="auto"/>
          <w:sz w:val="24"/>
        </w:rPr>
        <w:t>签订合同且咨询人员进场后，供应商出具正式发票，采购人十个工作日内转账支付</w:t>
      </w:r>
      <w:r>
        <w:rPr>
          <w:rFonts w:ascii="宋体" w:hAnsi="宋体" w:cs="宋体"/>
          <w:color w:val="auto"/>
          <w:sz w:val="24"/>
        </w:rPr>
        <w:t>40</w:t>
      </w:r>
      <w:r>
        <w:rPr>
          <w:rFonts w:hint="eastAsia" w:ascii="宋体" w:hAnsi="宋体" w:cs="宋体"/>
          <w:color w:val="auto"/>
          <w:sz w:val="24"/>
        </w:rPr>
        <w:t>%合同款，待出具《内控风险评估报告》和《重庆市乌江航道管理处内控手册》（试行稿）并通过采购人验收后转账支付60%合同款。</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四、履约担保</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1.履约担保形式：转账或者保函。</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2.金额：合同金额的10%。</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3.提交方式：成交供应商应在公告发布后10个日历日，按成交金额的10%向采购人提交履约保证金或者提交履约保函。</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cs="宋体"/>
          <w:b w:val="0"/>
          <w:bCs/>
          <w:color w:val="auto"/>
          <w:sz w:val="24"/>
          <w:lang w:eastAsia="zh-CN"/>
        </w:rPr>
      </w:pPr>
      <w:r>
        <w:rPr>
          <w:rFonts w:hint="eastAsia" w:ascii="宋体" w:hAnsi="宋体" w:cs="宋体"/>
          <w:b w:val="0"/>
          <w:bCs/>
          <w:color w:val="auto"/>
          <w:sz w:val="24"/>
          <w:lang w:val="en-US" w:eastAsia="zh-CN"/>
        </w:rPr>
        <w:t>4.退还方式：项目验收合格后10个工作日内一次性无息退还。</w:t>
      </w:r>
    </w:p>
    <w:p>
      <w:pPr>
        <w:pageBreakBefore w:val="0"/>
        <w:widowControl w:val="0"/>
        <w:kinsoku/>
        <w:wordWrap/>
        <w:overflowPunct/>
        <w:topLinePunct w:val="0"/>
        <w:autoSpaceDE/>
        <w:autoSpaceDN/>
        <w:bidi w:val="0"/>
        <w:spacing w:line="460" w:lineRule="exact"/>
        <w:ind w:firstLine="480"/>
        <w:textAlignment w:val="auto"/>
        <w:rPr>
          <w:rFonts w:ascii="宋体" w:hAnsi="宋体" w:cs="宋体"/>
          <w:b/>
          <w:color w:val="auto"/>
          <w:sz w:val="24"/>
        </w:rPr>
      </w:pPr>
      <w:r>
        <w:rPr>
          <w:rFonts w:hint="eastAsia" w:ascii="宋体" w:hAnsi="宋体" w:cs="宋体"/>
          <w:b/>
          <w:color w:val="auto"/>
          <w:sz w:val="24"/>
          <w:lang w:eastAsia="zh-CN"/>
        </w:rPr>
        <w:t>五</w:t>
      </w:r>
      <w:r>
        <w:rPr>
          <w:rFonts w:hint="eastAsia" w:ascii="宋体" w:hAnsi="宋体" w:cs="宋体"/>
          <w:b/>
          <w:color w:val="auto"/>
          <w:sz w:val="24"/>
        </w:rPr>
        <w:t>、知识产权</w:t>
      </w:r>
      <w:bookmarkEnd w:id="87"/>
      <w:bookmarkEnd w:id="88"/>
      <w:bookmarkEnd w:id="89"/>
      <w:bookmarkEnd w:id="90"/>
      <w:bookmarkEnd w:id="91"/>
    </w:p>
    <w:p>
      <w:pPr>
        <w:pageBreakBefore w:val="0"/>
        <w:widowControl w:val="0"/>
        <w:kinsoku/>
        <w:wordWrap/>
        <w:overflowPunct/>
        <w:topLinePunct w:val="0"/>
        <w:autoSpaceDE/>
        <w:autoSpaceDN/>
        <w:bidi w:val="0"/>
        <w:snapToGrid w:val="0"/>
        <w:spacing w:line="460" w:lineRule="exact"/>
        <w:ind w:firstLine="540"/>
        <w:textAlignment w:val="auto"/>
        <w:rPr>
          <w:rFonts w:ascii="宋体" w:hAnsi="宋体" w:cs="宋体"/>
          <w:color w:val="auto"/>
          <w:sz w:val="24"/>
          <w:szCs w:val="24"/>
        </w:rPr>
      </w:pPr>
      <w:r>
        <w:rPr>
          <w:rFonts w:hint="eastAsia" w:ascii="宋体" w:hAnsi="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ageBreakBefore w:val="0"/>
        <w:widowControl w:val="0"/>
        <w:kinsoku/>
        <w:wordWrap/>
        <w:overflowPunct/>
        <w:topLinePunct w:val="0"/>
        <w:autoSpaceDE/>
        <w:autoSpaceDN/>
        <w:bidi w:val="0"/>
        <w:snapToGrid w:val="0"/>
        <w:spacing w:line="460" w:lineRule="exact"/>
        <w:ind w:firstLine="540"/>
        <w:textAlignment w:val="auto"/>
        <w:rPr>
          <w:rFonts w:ascii="宋体" w:hAnsi="宋体" w:cs="宋体"/>
          <w:b/>
          <w:bCs/>
          <w:color w:val="auto"/>
          <w:sz w:val="24"/>
          <w:szCs w:val="24"/>
        </w:rPr>
      </w:pPr>
      <w:r>
        <w:rPr>
          <w:rFonts w:hint="eastAsia" w:ascii="宋体" w:hAnsi="宋体" w:cs="宋体"/>
          <w:b/>
          <w:bCs/>
          <w:color w:val="auto"/>
          <w:sz w:val="24"/>
          <w:szCs w:val="24"/>
          <w:lang w:eastAsia="zh-CN"/>
        </w:rPr>
        <w:t>六、</w:t>
      </w:r>
      <w:r>
        <w:rPr>
          <w:rFonts w:hint="eastAsia" w:ascii="宋体" w:hAnsi="宋体" w:cs="宋体"/>
          <w:b/>
          <w:bCs/>
          <w:color w:val="auto"/>
          <w:sz w:val="24"/>
          <w:szCs w:val="24"/>
        </w:rPr>
        <w:t>工期违约责任</w:t>
      </w:r>
    </w:p>
    <w:p>
      <w:pPr>
        <w:pageBreakBefore w:val="0"/>
        <w:widowControl w:val="0"/>
        <w:kinsoku/>
        <w:wordWrap/>
        <w:overflowPunct/>
        <w:topLinePunct w:val="0"/>
        <w:autoSpaceDE/>
        <w:autoSpaceDN/>
        <w:bidi w:val="0"/>
        <w:snapToGrid w:val="0"/>
        <w:spacing w:line="460" w:lineRule="exact"/>
        <w:ind w:firstLine="540"/>
        <w:textAlignment w:val="auto"/>
        <w:rPr>
          <w:rFonts w:ascii="宋体" w:hAnsi="宋体" w:cs="宋体"/>
          <w:color w:val="auto"/>
          <w:sz w:val="24"/>
          <w:szCs w:val="24"/>
        </w:rPr>
      </w:pPr>
      <w:r>
        <w:rPr>
          <w:rFonts w:hint="eastAsia" w:ascii="宋体" w:hAnsi="宋体" w:cs="宋体"/>
          <w:color w:val="auto"/>
          <w:sz w:val="24"/>
          <w:szCs w:val="24"/>
        </w:rPr>
        <w:t>由于成交供应商原因导致项目超出约定工期的，每迟交一天,按1000元/日扣除成交供应商违约金。累计违约金上限为签约合同价的10%。</w:t>
      </w:r>
    </w:p>
    <w:p>
      <w:pPr>
        <w:pStyle w:val="4"/>
        <w:spacing w:before="0" w:after="0" w:line="360" w:lineRule="auto"/>
        <w:jc w:val="center"/>
        <w:rPr>
          <w:rFonts w:ascii="宋体" w:hAnsi="宋体" w:eastAsia="宋体" w:cs="宋体"/>
          <w:b w:val="0"/>
          <w:color w:val="auto"/>
          <w:sz w:val="36"/>
          <w:szCs w:val="30"/>
        </w:rPr>
      </w:pPr>
      <w:r>
        <w:rPr>
          <w:rFonts w:hint="eastAsia" w:ascii="宋体" w:hAnsi="宋体" w:eastAsia="宋体" w:cs="宋体"/>
          <w:b w:val="0"/>
          <w:color w:val="auto"/>
          <w:sz w:val="36"/>
          <w:szCs w:val="30"/>
        </w:rPr>
        <w:br w:type="page"/>
      </w:r>
      <w:bookmarkStart w:id="92" w:name="_Toc106034789"/>
      <w:bookmarkStart w:id="93" w:name="_Toc24195"/>
      <w:bookmarkStart w:id="94" w:name="_Toc65660349"/>
      <w:bookmarkStart w:id="95" w:name="_Toc31282"/>
      <w:bookmarkStart w:id="96" w:name="_Toc30672"/>
      <w:bookmarkStart w:id="97" w:name="_Toc16123"/>
      <w:r>
        <w:rPr>
          <w:rFonts w:hint="eastAsia" w:ascii="宋体" w:hAnsi="宋体" w:eastAsia="宋体" w:cs="宋体"/>
          <w:b w:val="0"/>
          <w:color w:val="auto"/>
          <w:sz w:val="36"/>
          <w:szCs w:val="30"/>
        </w:rPr>
        <w:t>第四篇  采购程序、评定成交的标准、无效报价及采购终止</w:t>
      </w:r>
      <w:bookmarkEnd w:id="92"/>
      <w:bookmarkEnd w:id="93"/>
      <w:bookmarkEnd w:id="94"/>
      <w:bookmarkEnd w:id="95"/>
      <w:bookmarkEnd w:id="96"/>
      <w:bookmarkEnd w:id="97"/>
    </w:p>
    <w:p>
      <w:pPr>
        <w:pStyle w:val="4"/>
        <w:adjustRightInd w:val="0"/>
        <w:snapToGrid w:val="0"/>
        <w:spacing w:before="0" w:after="0" w:line="400" w:lineRule="exact"/>
        <w:ind w:firstLine="482" w:firstLineChars="200"/>
        <w:rPr>
          <w:rFonts w:ascii="宋体" w:hAnsi="宋体" w:eastAsia="宋体" w:cs="宋体"/>
          <w:color w:val="auto"/>
          <w:sz w:val="24"/>
        </w:rPr>
      </w:pPr>
      <w:bookmarkStart w:id="98" w:name="_Toc9361"/>
      <w:bookmarkStart w:id="99" w:name="_Toc27932"/>
      <w:bookmarkStart w:id="100" w:name="_Toc65660350"/>
      <w:bookmarkStart w:id="101" w:name="_Toc106034790"/>
      <w:bookmarkStart w:id="102" w:name="_Toc5167"/>
      <w:bookmarkStart w:id="103" w:name="_Toc64732012"/>
      <w:bookmarkStart w:id="104" w:name="_Toc2521"/>
      <w:r>
        <w:rPr>
          <w:rFonts w:hint="eastAsia" w:ascii="宋体" w:hAnsi="宋体" w:eastAsia="宋体" w:cs="宋体"/>
          <w:color w:val="auto"/>
          <w:sz w:val="24"/>
        </w:rPr>
        <w:t>一、采购程序</w:t>
      </w:r>
      <w:bookmarkEnd w:id="98"/>
      <w:bookmarkEnd w:id="99"/>
      <w:bookmarkEnd w:id="100"/>
      <w:bookmarkEnd w:id="101"/>
      <w:bookmarkEnd w:id="102"/>
      <w:bookmarkEnd w:id="103"/>
      <w:bookmarkEnd w:id="104"/>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询比</w:t>
      </w:r>
      <w:r>
        <w:rPr>
          <w:rFonts w:hint="eastAsia" w:ascii="宋体" w:hAnsi="宋体" w:cs="宋体"/>
          <w:color w:val="auto"/>
          <w:sz w:val="24"/>
          <w:szCs w:val="24"/>
        </w:rPr>
        <w:t>按</w:t>
      </w:r>
      <w:r>
        <w:rPr>
          <w:rFonts w:hint="eastAsia" w:ascii="宋体" w:hAnsi="宋体" w:cs="宋体"/>
          <w:color w:val="auto"/>
          <w:sz w:val="24"/>
          <w:szCs w:val="24"/>
          <w:lang w:eastAsia="zh-CN"/>
        </w:rPr>
        <w:t>询比采购文件</w:t>
      </w:r>
      <w:r>
        <w:rPr>
          <w:rFonts w:hint="eastAsia" w:ascii="宋体" w:hAnsi="宋体" w:cs="宋体"/>
          <w:color w:val="auto"/>
          <w:sz w:val="24"/>
          <w:szCs w:val="24"/>
        </w:rPr>
        <w:t>规定的时间和地点进行。</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（二）由本项目</w:t>
      </w:r>
      <w:r>
        <w:rPr>
          <w:rFonts w:hint="eastAsia" w:ascii="宋体" w:hAnsi="宋体" w:cs="宋体"/>
          <w:color w:val="auto"/>
          <w:sz w:val="24"/>
          <w:szCs w:val="24"/>
          <w:lang w:eastAsia="zh-CN"/>
        </w:rPr>
        <w:t>询比</w:t>
      </w:r>
      <w:r>
        <w:rPr>
          <w:rFonts w:hint="eastAsia" w:ascii="宋体" w:hAnsi="宋体" w:cs="宋体"/>
          <w:color w:val="auto"/>
          <w:sz w:val="24"/>
          <w:szCs w:val="24"/>
        </w:rPr>
        <w:t xml:space="preserve">小组对各供应商的资格条件、实质性响应等进行审查。 </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1.资格性审查。依据法律法规和</w:t>
      </w:r>
      <w:r>
        <w:rPr>
          <w:rFonts w:hint="eastAsia" w:ascii="宋体" w:hAnsi="宋体" w:cs="宋体"/>
          <w:color w:val="auto"/>
          <w:sz w:val="24"/>
          <w:szCs w:val="24"/>
          <w:lang w:eastAsia="zh-CN"/>
        </w:rPr>
        <w:t>询比采购文件</w:t>
      </w:r>
      <w:r>
        <w:rPr>
          <w:rFonts w:hint="eastAsia" w:ascii="宋体" w:hAnsi="宋体" w:cs="宋体"/>
          <w:color w:val="auto"/>
          <w:sz w:val="24"/>
          <w:szCs w:val="24"/>
        </w:rPr>
        <w:t>的规定，对响应文件中的资格证明材料、保证金等进行审查。资格性审查内容如下：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pPr>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2835" w:type="dxa"/>
            <w:vAlign w:val="center"/>
          </w:tcPr>
          <w:p>
            <w:pPr>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5267" w:type="dxa"/>
            <w:vAlign w:val="center"/>
          </w:tcPr>
          <w:p>
            <w:pPr>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lang w:val="zh-CN"/>
              </w:rPr>
            </w:pPr>
          </w:p>
        </w:tc>
        <w:tc>
          <w:tcPr>
            <w:tcW w:w="2835" w:type="dxa"/>
            <w:vAlign w:val="center"/>
          </w:tcPr>
          <w:p>
            <w:pPr>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5267" w:type="dxa"/>
            <w:vMerge w:val="restart"/>
            <w:vAlign w:val="center"/>
          </w:tcPr>
          <w:p>
            <w:pPr>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lang w:val="zh-CN"/>
              </w:rPr>
            </w:pPr>
          </w:p>
        </w:tc>
        <w:tc>
          <w:tcPr>
            <w:tcW w:w="2835" w:type="dxa"/>
            <w:vAlign w:val="center"/>
          </w:tcPr>
          <w:p>
            <w:pPr>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5267" w:type="dxa"/>
            <w:vMerge w:val="continue"/>
            <w:vAlign w:val="center"/>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lang w:val="zh-CN"/>
              </w:rPr>
            </w:pPr>
          </w:p>
        </w:tc>
        <w:tc>
          <w:tcPr>
            <w:tcW w:w="2835" w:type="dxa"/>
            <w:vAlign w:val="center"/>
          </w:tcPr>
          <w:p>
            <w:pPr>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5267" w:type="dxa"/>
            <w:vMerge w:val="continue"/>
            <w:vAlign w:val="center"/>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lang w:val="zh-CN"/>
              </w:rPr>
            </w:pPr>
          </w:p>
        </w:tc>
        <w:tc>
          <w:tcPr>
            <w:tcW w:w="2835" w:type="dxa"/>
            <w:vAlign w:val="center"/>
          </w:tcPr>
          <w:p>
            <w:pPr>
              <w:rPr>
                <w:rFonts w:ascii="宋体" w:hAnsi="宋体" w:cs="宋体"/>
                <w:color w:val="auto"/>
                <w:sz w:val="21"/>
                <w:szCs w:val="21"/>
                <w:lang w:val="zh-CN"/>
              </w:rPr>
            </w:pPr>
            <w:r>
              <w:rPr>
                <w:rFonts w:hint="eastAsia" w:ascii="宋体" w:hAnsi="宋体" w:cs="宋体"/>
                <w:color w:val="auto"/>
                <w:sz w:val="21"/>
                <w:szCs w:val="21"/>
              </w:rPr>
              <w:t>5.参加政府采购活动前三年内，在经营活动中没有重大违法记录</w:t>
            </w:r>
          </w:p>
        </w:tc>
        <w:tc>
          <w:tcPr>
            <w:tcW w:w="5267" w:type="dxa"/>
            <w:vMerge w:val="continue"/>
            <w:vAlign w:val="center"/>
          </w:tcPr>
          <w:p>
            <w:pPr>
              <w:rPr>
                <w:rFonts w:ascii="宋体"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rPr>
            </w:pPr>
          </w:p>
        </w:tc>
        <w:tc>
          <w:tcPr>
            <w:tcW w:w="2835" w:type="dxa"/>
            <w:vAlign w:val="center"/>
          </w:tcPr>
          <w:p>
            <w:pPr>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5267" w:type="dxa"/>
            <w:vAlign w:val="center"/>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color w:val="auto"/>
                <w:sz w:val="21"/>
                <w:szCs w:val="21"/>
              </w:rPr>
            </w:pPr>
          </w:p>
        </w:tc>
        <w:tc>
          <w:tcPr>
            <w:tcW w:w="709" w:type="dxa"/>
            <w:vMerge w:val="continue"/>
            <w:vAlign w:val="center"/>
          </w:tcPr>
          <w:p>
            <w:pPr>
              <w:rPr>
                <w:rFonts w:ascii="宋体" w:hAnsi="宋体" w:cs="宋体"/>
                <w:color w:val="auto"/>
                <w:sz w:val="21"/>
                <w:szCs w:val="21"/>
              </w:rPr>
            </w:pPr>
          </w:p>
        </w:tc>
        <w:tc>
          <w:tcPr>
            <w:tcW w:w="2835" w:type="dxa"/>
            <w:vAlign w:val="center"/>
          </w:tcPr>
          <w:p>
            <w:pPr>
              <w:rPr>
                <w:rFonts w:ascii="宋体" w:hAnsi="宋体" w:cs="宋体"/>
                <w:color w:val="auto"/>
                <w:sz w:val="21"/>
                <w:szCs w:val="21"/>
              </w:rPr>
            </w:pPr>
            <w:r>
              <w:rPr>
                <w:rFonts w:hint="eastAsia" w:ascii="宋体" w:hAnsi="宋体" w:cs="宋体"/>
                <w:color w:val="auto"/>
                <w:sz w:val="21"/>
                <w:szCs w:val="21"/>
              </w:rPr>
              <w:t>7.本项目的特定资格要求</w:t>
            </w:r>
          </w:p>
        </w:tc>
        <w:tc>
          <w:tcPr>
            <w:tcW w:w="5267" w:type="dxa"/>
            <w:vAlign w:val="center"/>
          </w:tcPr>
          <w:p>
            <w:pPr>
              <w:rPr>
                <w:rFonts w:ascii="宋体" w:hAnsi="宋体" w:cs="宋体"/>
                <w:color w:val="auto"/>
                <w:sz w:val="21"/>
                <w:szCs w:val="21"/>
              </w:rPr>
            </w:pPr>
            <w:r>
              <w:rPr>
                <w:rFonts w:hint="eastAsia" w:ascii="宋体" w:hAnsi="宋体" w:cs="宋体"/>
                <w:color w:val="auto"/>
                <w:sz w:val="21"/>
                <w:szCs w:val="21"/>
              </w:rPr>
              <w:t>按“第一篇三、供应商资格要求（</w:t>
            </w:r>
            <w:r>
              <w:rPr>
                <w:rFonts w:hint="eastAsia" w:ascii="宋体" w:hAnsi="宋体" w:cs="宋体"/>
                <w:color w:val="auto"/>
                <w:sz w:val="21"/>
                <w:szCs w:val="21"/>
                <w:lang w:eastAsia="zh-CN"/>
              </w:rPr>
              <w:t>二</w:t>
            </w:r>
            <w:r>
              <w:rPr>
                <w:rFonts w:hint="eastAsia" w:ascii="宋体" w:hAnsi="宋体" w:cs="宋体"/>
                <w:color w:val="auto"/>
                <w:sz w:val="21"/>
                <w:szCs w:val="21"/>
              </w:rPr>
              <w:t>）本项目的特定资格要求”的要求提交（如果有）。</w:t>
            </w:r>
          </w:p>
        </w:tc>
      </w:tr>
    </w:tbl>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2</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以联合体形式参与</w:t>
      </w:r>
      <w:r>
        <w:rPr>
          <w:rFonts w:hint="eastAsia" w:ascii="宋体" w:hAnsi="宋体" w:cs="宋体"/>
          <w:color w:val="auto"/>
          <w:kern w:val="0"/>
          <w:sz w:val="24"/>
          <w:szCs w:val="24"/>
          <w:lang w:eastAsia="zh-CN"/>
        </w:rPr>
        <w:t>询比</w:t>
      </w:r>
      <w:r>
        <w:rPr>
          <w:rFonts w:hint="eastAsia" w:ascii="宋体" w:hAnsi="宋体" w:cs="宋体"/>
          <w:color w:val="auto"/>
          <w:kern w:val="0"/>
          <w:sz w:val="24"/>
          <w:szCs w:val="24"/>
        </w:rPr>
        <w:t>的，共同联合协议中应确定主办方（主体），</w:t>
      </w:r>
      <w:r>
        <w:rPr>
          <w:rFonts w:hint="eastAsia" w:ascii="宋体" w:hAnsi="宋体" w:cs="宋体"/>
          <w:color w:val="auto"/>
          <w:sz w:val="24"/>
        </w:rPr>
        <w:t>代表联合体进行报价和澄清。</w:t>
      </w:r>
      <w:r>
        <w:rPr>
          <w:rFonts w:hint="eastAsia" w:ascii="宋体" w:hAnsi="宋体" w:cs="宋体"/>
          <w:color w:val="auto"/>
          <w:kern w:val="0"/>
          <w:sz w:val="24"/>
          <w:szCs w:val="24"/>
        </w:rPr>
        <w:t>联合体各方均应满足供应商资格要求（详见“第一篇”）。</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3</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sz w:val="24"/>
        </w:rPr>
        <w:t>以联合体形式参加本项目的，联合体各方均为中小企业的，联合体视同中小企业（其中，联合体各方均为小微企业的，联合体视同小微企业</w:t>
      </w:r>
      <w:r>
        <w:rPr>
          <w:rFonts w:hint="eastAsia" w:ascii="宋体" w:hAnsi="宋体" w:cs="宋体"/>
          <w:color w:val="auto"/>
          <w:kern w:val="0"/>
          <w:sz w:val="24"/>
          <w:szCs w:val="24"/>
        </w:rPr>
        <w:t>）。</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2.实质性响应审查。</w:t>
      </w:r>
      <w:r>
        <w:rPr>
          <w:rFonts w:hint="eastAsia" w:ascii="宋体" w:hAnsi="宋体" w:cs="宋体"/>
          <w:color w:val="auto"/>
          <w:sz w:val="24"/>
          <w:szCs w:val="24"/>
          <w:lang w:eastAsia="zh-CN"/>
        </w:rPr>
        <w:t>询比</w:t>
      </w:r>
      <w:r>
        <w:rPr>
          <w:rFonts w:hint="eastAsia" w:ascii="宋体" w:hAnsi="宋体" w:cs="宋体"/>
          <w:color w:val="auto"/>
          <w:sz w:val="24"/>
          <w:szCs w:val="24"/>
        </w:rPr>
        <w:t>小组应当对响应文件进行评审，并根据</w:t>
      </w:r>
      <w:r>
        <w:rPr>
          <w:rFonts w:hint="eastAsia" w:ascii="宋体" w:hAnsi="宋体" w:cs="宋体"/>
          <w:color w:val="auto"/>
          <w:sz w:val="24"/>
          <w:szCs w:val="24"/>
          <w:lang w:eastAsia="zh-CN"/>
        </w:rPr>
        <w:t>询比采购文件</w:t>
      </w:r>
      <w:r>
        <w:rPr>
          <w:rFonts w:hint="eastAsia" w:ascii="宋体" w:hAnsi="宋体" w:cs="宋体"/>
          <w:color w:val="auto"/>
          <w:sz w:val="24"/>
          <w:szCs w:val="24"/>
        </w:rPr>
        <w:t>规定的采购程序、评定成交的标准等事项与实质性响应</w:t>
      </w:r>
      <w:r>
        <w:rPr>
          <w:rFonts w:hint="eastAsia" w:ascii="宋体" w:hAnsi="宋体" w:cs="宋体"/>
          <w:color w:val="auto"/>
          <w:sz w:val="24"/>
          <w:szCs w:val="24"/>
          <w:lang w:eastAsia="zh-CN"/>
        </w:rPr>
        <w:t>询比采购文件</w:t>
      </w:r>
      <w:r>
        <w:rPr>
          <w:rFonts w:hint="eastAsia" w:ascii="宋体" w:hAnsi="宋体" w:cs="宋体"/>
          <w:color w:val="auto"/>
          <w:sz w:val="24"/>
          <w:szCs w:val="24"/>
        </w:rPr>
        <w:t>要求的供应商进行评审。未实质性响应</w:t>
      </w:r>
      <w:r>
        <w:rPr>
          <w:rFonts w:hint="eastAsia" w:ascii="宋体" w:hAnsi="宋体" w:cs="宋体"/>
          <w:color w:val="auto"/>
          <w:sz w:val="24"/>
          <w:szCs w:val="24"/>
          <w:lang w:eastAsia="zh-CN"/>
        </w:rPr>
        <w:t>询比采购文件</w:t>
      </w:r>
      <w:r>
        <w:rPr>
          <w:rFonts w:hint="eastAsia" w:ascii="宋体" w:hAnsi="宋体" w:cs="宋体"/>
          <w:color w:val="auto"/>
          <w:sz w:val="24"/>
          <w:szCs w:val="24"/>
        </w:rPr>
        <w:t>的响应文件按无效处理，</w:t>
      </w:r>
      <w:r>
        <w:rPr>
          <w:rFonts w:hint="eastAsia" w:ascii="宋体" w:hAnsi="宋体" w:cs="宋体"/>
          <w:color w:val="auto"/>
          <w:sz w:val="24"/>
          <w:szCs w:val="24"/>
          <w:lang w:eastAsia="zh-CN"/>
        </w:rPr>
        <w:t>询比</w:t>
      </w:r>
      <w:r>
        <w:rPr>
          <w:rFonts w:hint="eastAsia" w:ascii="宋体" w:hAnsi="宋体" w:cs="宋体"/>
          <w:color w:val="auto"/>
          <w:sz w:val="24"/>
          <w:szCs w:val="24"/>
        </w:rPr>
        <w:t>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2694" w:type="dxa"/>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审查因素</w:t>
            </w:r>
          </w:p>
        </w:tc>
        <w:tc>
          <w:tcPr>
            <w:tcW w:w="6259" w:type="dxa"/>
            <w:vAlign w:val="center"/>
          </w:tcPr>
          <w:p>
            <w:pPr>
              <w:jc w:val="center"/>
              <w:rPr>
                <w:rFonts w:ascii="宋体" w:hAnsi="宋体" w:cs="宋体"/>
                <w:b/>
                <w:color w:val="auto"/>
                <w:kern w:val="0"/>
                <w:sz w:val="21"/>
                <w:szCs w:val="21"/>
              </w:rPr>
            </w:pPr>
            <w:r>
              <w:rPr>
                <w:rFonts w:hint="eastAsia" w:ascii="宋体" w:hAnsi="宋体" w:cs="宋体"/>
                <w:b/>
                <w:color w:val="auto"/>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694" w:type="dxa"/>
            <w:vAlign w:val="center"/>
          </w:tcPr>
          <w:p>
            <w:pPr>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6259" w:type="dxa"/>
            <w:vAlign w:val="center"/>
          </w:tcPr>
          <w:p>
            <w:pPr>
              <w:rPr>
                <w:rFonts w:ascii="宋体" w:hAnsi="宋体" w:cs="宋体"/>
                <w:color w:val="auto"/>
                <w:kern w:val="0"/>
                <w:sz w:val="21"/>
                <w:szCs w:val="21"/>
              </w:rPr>
            </w:pPr>
            <w:r>
              <w:rPr>
                <w:rFonts w:hint="eastAsia" w:ascii="宋体" w:hAnsi="宋体" w:cs="宋体"/>
                <w:color w:val="auto"/>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color w:val="auto"/>
                <w:kern w:val="0"/>
                <w:sz w:val="21"/>
                <w:szCs w:val="21"/>
              </w:rPr>
            </w:pPr>
          </w:p>
        </w:tc>
        <w:tc>
          <w:tcPr>
            <w:tcW w:w="2694" w:type="dxa"/>
            <w:vAlign w:val="center"/>
          </w:tcPr>
          <w:p>
            <w:pPr>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6259" w:type="dxa"/>
            <w:vAlign w:val="center"/>
          </w:tcPr>
          <w:p>
            <w:pPr>
              <w:rPr>
                <w:rFonts w:ascii="宋体" w:hAnsi="宋体" w:cs="宋体"/>
                <w:color w:val="auto"/>
                <w:sz w:val="21"/>
                <w:szCs w:val="21"/>
              </w:rPr>
            </w:pPr>
            <w:r>
              <w:rPr>
                <w:rFonts w:hint="eastAsia" w:ascii="宋体" w:hAnsi="宋体" w:cs="宋体"/>
                <w:color w:val="auto"/>
                <w:sz w:val="21"/>
                <w:szCs w:val="21"/>
              </w:rPr>
              <w:t>法定代表人身份证明及授权委托书有效，符合</w:t>
            </w:r>
            <w:r>
              <w:rPr>
                <w:rFonts w:hint="eastAsia" w:ascii="宋体" w:hAnsi="宋体" w:cs="宋体"/>
                <w:color w:val="auto"/>
                <w:sz w:val="21"/>
                <w:szCs w:val="21"/>
                <w:lang w:eastAsia="zh-CN"/>
              </w:rPr>
              <w:t>询比采购文件</w:t>
            </w:r>
            <w:r>
              <w:rPr>
                <w:rFonts w:hint="eastAsia" w:ascii="宋体" w:hAnsi="宋体" w:cs="宋体"/>
                <w:color w:val="auto"/>
                <w:sz w:val="21"/>
                <w:szCs w:val="21"/>
              </w:rPr>
              <w:t>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color w:val="auto"/>
                <w:kern w:val="0"/>
                <w:sz w:val="21"/>
                <w:szCs w:val="21"/>
              </w:rPr>
            </w:pPr>
          </w:p>
        </w:tc>
        <w:tc>
          <w:tcPr>
            <w:tcW w:w="2694" w:type="dxa"/>
            <w:vAlign w:val="center"/>
          </w:tcPr>
          <w:p>
            <w:pPr>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6259" w:type="dxa"/>
            <w:vAlign w:val="center"/>
          </w:tcPr>
          <w:p>
            <w:pPr>
              <w:rPr>
                <w:rFonts w:ascii="宋体" w:hAnsi="宋体" w:cs="宋体"/>
                <w:color w:val="auto"/>
                <w:kern w:val="0"/>
                <w:sz w:val="21"/>
                <w:szCs w:val="21"/>
              </w:rPr>
            </w:pPr>
            <w:r>
              <w:rPr>
                <w:rFonts w:hint="eastAsia" w:ascii="宋体" w:hAnsi="宋体" w:cs="宋体"/>
                <w:color w:val="auto"/>
                <w:sz w:val="21"/>
                <w:szCs w:val="21"/>
                <w:lang w:val="zh-CN"/>
              </w:rPr>
              <w:t>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color w:val="auto"/>
                <w:kern w:val="0"/>
                <w:sz w:val="21"/>
                <w:szCs w:val="21"/>
              </w:rPr>
            </w:pPr>
          </w:p>
        </w:tc>
        <w:tc>
          <w:tcPr>
            <w:tcW w:w="2694" w:type="dxa"/>
            <w:vAlign w:val="center"/>
          </w:tcPr>
          <w:p>
            <w:pPr>
              <w:rPr>
                <w:rFonts w:ascii="宋体" w:hAnsi="宋体" w:cs="宋体"/>
                <w:color w:val="auto"/>
                <w:sz w:val="21"/>
                <w:szCs w:val="21"/>
                <w:lang w:val="zh-CN"/>
              </w:rPr>
            </w:pPr>
            <w:r>
              <w:rPr>
                <w:rFonts w:hint="eastAsia" w:ascii="宋体" w:hAnsi="宋体" w:cs="宋体"/>
                <w:color w:val="auto"/>
                <w:sz w:val="21"/>
                <w:szCs w:val="21"/>
              </w:rPr>
              <w:t>报价唯一</w:t>
            </w:r>
          </w:p>
        </w:tc>
        <w:tc>
          <w:tcPr>
            <w:tcW w:w="6259" w:type="dxa"/>
            <w:vAlign w:val="center"/>
          </w:tcPr>
          <w:p>
            <w:pPr>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694" w:type="dxa"/>
            <w:vAlign w:val="center"/>
          </w:tcPr>
          <w:p>
            <w:pPr>
              <w:rPr>
                <w:rFonts w:ascii="宋体" w:hAnsi="宋体" w:cs="宋体"/>
                <w:color w:val="auto"/>
                <w:kern w:val="0"/>
                <w:sz w:val="21"/>
                <w:szCs w:val="21"/>
              </w:rPr>
            </w:pPr>
            <w:r>
              <w:rPr>
                <w:rFonts w:hint="eastAsia" w:ascii="宋体" w:hAnsi="宋体" w:cs="宋体"/>
                <w:color w:val="auto"/>
                <w:sz w:val="21"/>
                <w:szCs w:val="21"/>
              </w:rPr>
              <w:t>响应文件</w:t>
            </w:r>
            <w:r>
              <w:rPr>
                <w:rFonts w:hint="eastAsia" w:ascii="宋体" w:hAnsi="宋体" w:cs="宋体"/>
                <w:color w:val="auto"/>
                <w:sz w:val="21"/>
                <w:szCs w:val="21"/>
                <w:lang w:val="zh-CN"/>
              </w:rPr>
              <w:t>份数</w:t>
            </w:r>
          </w:p>
        </w:tc>
        <w:tc>
          <w:tcPr>
            <w:tcW w:w="6259" w:type="dxa"/>
            <w:vAlign w:val="center"/>
          </w:tcPr>
          <w:p>
            <w:pPr>
              <w:rPr>
                <w:rFonts w:ascii="宋体" w:hAnsi="宋体" w:cs="宋体"/>
                <w:color w:val="auto"/>
                <w:kern w:val="0"/>
                <w:sz w:val="21"/>
                <w:szCs w:val="21"/>
              </w:rPr>
            </w:pPr>
            <w:r>
              <w:rPr>
                <w:rFonts w:hint="eastAsia" w:ascii="宋体" w:hAnsi="宋体" w:cs="宋体"/>
                <w:color w:val="auto"/>
                <w:sz w:val="21"/>
                <w:szCs w:val="21"/>
              </w:rPr>
              <w:t>响应文件</w:t>
            </w:r>
            <w:r>
              <w:rPr>
                <w:rFonts w:hint="eastAsia" w:ascii="宋体" w:hAnsi="宋体" w:cs="宋体"/>
                <w:color w:val="auto"/>
                <w:sz w:val="21"/>
                <w:szCs w:val="21"/>
                <w:lang w:val="zh-CN"/>
              </w:rPr>
              <w:t>正、副本数量（含电子文档）符合</w:t>
            </w:r>
            <w:r>
              <w:rPr>
                <w:rFonts w:hint="eastAsia" w:ascii="宋体" w:hAnsi="宋体" w:cs="宋体"/>
                <w:color w:val="auto"/>
                <w:sz w:val="21"/>
                <w:szCs w:val="21"/>
                <w:lang w:eastAsia="zh-CN"/>
              </w:rPr>
              <w:t>询比采购文件</w:t>
            </w:r>
            <w:r>
              <w:rPr>
                <w:rFonts w:hint="eastAsia" w:ascii="宋体" w:hAnsi="宋体" w:cs="宋体"/>
                <w:color w:val="auto"/>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694" w:type="dxa"/>
            <w:vAlign w:val="center"/>
          </w:tcPr>
          <w:p>
            <w:pPr>
              <w:rPr>
                <w:rFonts w:ascii="宋体" w:hAnsi="宋体" w:cs="宋体"/>
                <w:color w:val="auto"/>
                <w:kern w:val="0"/>
                <w:sz w:val="21"/>
                <w:szCs w:val="21"/>
              </w:rPr>
            </w:pPr>
            <w:r>
              <w:rPr>
                <w:rFonts w:hint="eastAsia" w:ascii="宋体" w:hAnsi="宋体" w:cs="宋体"/>
                <w:color w:val="auto"/>
                <w:kern w:val="0"/>
                <w:sz w:val="21"/>
                <w:szCs w:val="21"/>
              </w:rPr>
              <w:t>响应文件内容</w:t>
            </w:r>
          </w:p>
        </w:tc>
        <w:tc>
          <w:tcPr>
            <w:tcW w:w="6259" w:type="dxa"/>
            <w:vAlign w:val="center"/>
          </w:tcPr>
          <w:p>
            <w:pPr>
              <w:pStyle w:val="34"/>
              <w:rPr>
                <w:rFonts w:ascii="宋体" w:hAnsi="宋体" w:cs="宋体"/>
                <w:color w:val="auto"/>
                <w:kern w:val="0"/>
                <w:sz w:val="21"/>
                <w:szCs w:val="21"/>
              </w:rPr>
            </w:pPr>
            <w:r>
              <w:rPr>
                <w:rFonts w:hint="eastAsia" w:ascii="宋体" w:hAnsi="宋体" w:cs="宋体"/>
                <w:color w:val="auto"/>
                <w:kern w:val="0"/>
                <w:sz w:val="21"/>
                <w:szCs w:val="21"/>
              </w:rPr>
              <w:t>对</w:t>
            </w:r>
            <w:r>
              <w:rPr>
                <w:rFonts w:hint="eastAsia" w:ascii="宋体" w:hAnsi="宋体" w:cs="宋体"/>
                <w:color w:val="auto"/>
                <w:kern w:val="0"/>
                <w:sz w:val="21"/>
                <w:szCs w:val="21"/>
                <w:lang w:eastAsia="zh-CN"/>
              </w:rPr>
              <w:t>询比采购文件</w:t>
            </w:r>
            <w:r>
              <w:rPr>
                <w:rFonts w:hint="eastAsia" w:ascii="宋体" w:hAnsi="宋体" w:cs="宋体"/>
                <w:color w:val="auto"/>
                <w:kern w:val="0"/>
                <w:sz w:val="21"/>
                <w:szCs w:val="21"/>
              </w:rPr>
              <w:t>第二篇、第三篇规定的</w:t>
            </w:r>
            <w:r>
              <w:rPr>
                <w:rFonts w:hint="eastAsia" w:ascii="宋体" w:hAnsi="宋体" w:cs="宋体"/>
                <w:color w:val="auto"/>
                <w:kern w:val="0"/>
                <w:sz w:val="21"/>
                <w:szCs w:val="21"/>
                <w:lang w:eastAsia="zh-CN"/>
              </w:rPr>
              <w:t>询比</w:t>
            </w:r>
            <w:r>
              <w:rPr>
                <w:rFonts w:hint="eastAsia" w:ascii="宋体" w:hAnsi="宋体" w:cs="宋体"/>
                <w:color w:val="auto"/>
                <w:kern w:val="0"/>
                <w:sz w:val="21"/>
                <w:szCs w:val="21"/>
              </w:rPr>
              <w:t>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color w:val="auto"/>
                <w:kern w:val="0"/>
                <w:sz w:val="21"/>
                <w:szCs w:val="21"/>
              </w:rPr>
            </w:pPr>
          </w:p>
        </w:tc>
        <w:tc>
          <w:tcPr>
            <w:tcW w:w="2694" w:type="dxa"/>
            <w:vAlign w:val="center"/>
          </w:tcPr>
          <w:p>
            <w:pPr>
              <w:rPr>
                <w:rFonts w:ascii="宋体" w:hAnsi="宋体" w:cs="宋体"/>
                <w:color w:val="auto"/>
                <w:kern w:val="0"/>
                <w:sz w:val="21"/>
                <w:szCs w:val="21"/>
              </w:rPr>
            </w:pPr>
            <w:r>
              <w:rPr>
                <w:rFonts w:hint="eastAsia" w:ascii="宋体" w:hAnsi="宋体" w:cs="宋体"/>
                <w:color w:val="auto"/>
                <w:kern w:val="0"/>
                <w:sz w:val="21"/>
                <w:szCs w:val="21"/>
                <w:lang w:eastAsia="zh-CN"/>
              </w:rPr>
              <w:t>询比</w:t>
            </w:r>
            <w:r>
              <w:rPr>
                <w:rFonts w:hint="eastAsia" w:ascii="宋体" w:hAnsi="宋体" w:cs="宋体"/>
                <w:color w:val="auto"/>
                <w:kern w:val="0"/>
                <w:sz w:val="21"/>
                <w:szCs w:val="21"/>
              </w:rPr>
              <w:t>有效期</w:t>
            </w:r>
          </w:p>
        </w:tc>
        <w:tc>
          <w:tcPr>
            <w:tcW w:w="6259" w:type="dxa"/>
            <w:vAlign w:val="center"/>
          </w:tcPr>
          <w:p>
            <w:pPr>
              <w:rPr>
                <w:rFonts w:ascii="宋体" w:hAnsi="宋体" w:cs="宋体"/>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w:t>
      </w:r>
      <w:r>
        <w:rPr>
          <w:rFonts w:hint="eastAsia" w:ascii="宋体" w:hAnsi="宋体" w:cs="宋体"/>
          <w:color w:val="auto"/>
          <w:sz w:val="24"/>
          <w:szCs w:val="24"/>
          <w:lang w:eastAsia="zh-CN"/>
        </w:rPr>
        <w:t>询比</w:t>
      </w:r>
      <w:r>
        <w:rPr>
          <w:rFonts w:hint="eastAsia" w:ascii="宋体" w:hAnsi="宋体" w:cs="宋体"/>
          <w:color w:val="auto"/>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（四）询比</w:t>
      </w:r>
      <w:r>
        <w:rPr>
          <w:rFonts w:hint="eastAsia" w:ascii="宋体" w:hAnsi="宋体" w:cs="宋体"/>
          <w:color w:val="auto"/>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（五）在</w:t>
      </w:r>
      <w:r>
        <w:rPr>
          <w:rFonts w:hint="eastAsia" w:ascii="宋体" w:hAnsi="宋体" w:cs="宋体"/>
          <w:color w:val="auto"/>
          <w:sz w:val="24"/>
          <w:szCs w:val="24"/>
          <w:lang w:eastAsia="zh-CN"/>
        </w:rPr>
        <w:t>询比</w:t>
      </w:r>
      <w:r>
        <w:rPr>
          <w:rFonts w:hint="eastAsia" w:ascii="宋体" w:hAnsi="宋体" w:cs="宋体"/>
          <w:color w:val="auto"/>
          <w:sz w:val="24"/>
          <w:szCs w:val="24"/>
        </w:rPr>
        <w:t>采购过程中</w:t>
      </w:r>
      <w:r>
        <w:rPr>
          <w:rFonts w:hint="eastAsia" w:ascii="宋体" w:hAnsi="宋体" w:cs="宋体"/>
          <w:color w:val="auto"/>
          <w:sz w:val="24"/>
          <w:szCs w:val="24"/>
          <w:lang w:eastAsia="zh-CN"/>
        </w:rPr>
        <w:t>询比</w:t>
      </w:r>
      <w:r>
        <w:rPr>
          <w:rFonts w:hint="eastAsia" w:ascii="宋体" w:hAnsi="宋体" w:cs="宋体"/>
          <w:color w:val="auto"/>
          <w:sz w:val="24"/>
          <w:szCs w:val="24"/>
        </w:rPr>
        <w:t>采购的任何一方不得向他人透露与</w:t>
      </w:r>
      <w:r>
        <w:rPr>
          <w:rFonts w:hint="eastAsia" w:ascii="宋体" w:hAnsi="宋体" w:cs="宋体"/>
          <w:color w:val="auto"/>
          <w:sz w:val="24"/>
          <w:szCs w:val="24"/>
          <w:lang w:eastAsia="zh-CN"/>
        </w:rPr>
        <w:t>询比</w:t>
      </w:r>
      <w:r>
        <w:rPr>
          <w:rFonts w:hint="eastAsia" w:ascii="宋体" w:hAnsi="宋体" w:cs="宋体"/>
          <w:color w:val="auto"/>
          <w:sz w:val="24"/>
          <w:szCs w:val="24"/>
        </w:rPr>
        <w:t>采购有关的服务资料、价格或其他信息。</w:t>
      </w:r>
    </w:p>
    <w:p>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（六）</w:t>
      </w:r>
      <w:r>
        <w:rPr>
          <w:rFonts w:hint="eastAsia" w:ascii="宋体" w:hAnsi="宋体" w:cs="宋体"/>
          <w:color w:val="auto"/>
          <w:sz w:val="24"/>
          <w:szCs w:val="24"/>
          <w:lang w:eastAsia="zh-CN"/>
        </w:rPr>
        <w:t>询比</w:t>
      </w:r>
      <w:r>
        <w:rPr>
          <w:rFonts w:hint="eastAsia" w:ascii="宋体" w:hAnsi="宋体" w:cs="宋体"/>
          <w:color w:val="auto"/>
          <w:sz w:val="24"/>
          <w:szCs w:val="24"/>
        </w:rPr>
        <w:t>采购小组采用综合评分法对每个有效响应（通过资格性检查、符合性检查的供应商）的响应文件进行综合评分。综合评分法，是指响应文件满足</w:t>
      </w:r>
      <w:r>
        <w:rPr>
          <w:rFonts w:hint="eastAsia" w:ascii="宋体" w:hAnsi="宋体" w:cs="宋体"/>
          <w:color w:val="auto"/>
          <w:sz w:val="24"/>
          <w:szCs w:val="24"/>
          <w:lang w:eastAsia="zh-CN"/>
        </w:rPr>
        <w:t>询比</w:t>
      </w:r>
      <w:r>
        <w:rPr>
          <w:rFonts w:hint="eastAsia" w:ascii="宋体" w:hAnsi="宋体" w:cs="宋体"/>
          <w:color w:val="auto"/>
          <w:sz w:val="24"/>
          <w:szCs w:val="24"/>
        </w:rPr>
        <w:t>采购文件全部实质性要求且按照评审因素的量化指标评审得分最高的供应商为成交候选供应商的评审方法。供应商总得分为价格、服务、商务等评定因素分别按照相应权重值计算分项得分后相加，满分为100分。</w:t>
      </w:r>
    </w:p>
    <w:p>
      <w:pPr>
        <w:spacing w:line="400" w:lineRule="exact"/>
        <w:ind w:firstLine="360" w:firstLineChars="150"/>
        <w:rPr>
          <w:rFonts w:hint="eastAsia" w:ascii="宋体" w:hAnsi="宋体" w:eastAsia="宋体" w:cs="宋体"/>
          <w:color w:val="auto"/>
          <w:sz w:val="24"/>
        </w:rPr>
      </w:pPr>
      <w:r>
        <w:rPr>
          <w:rFonts w:hint="eastAsia" w:ascii="宋体" w:hAnsi="宋体" w:cs="宋体"/>
          <w:color w:val="auto"/>
          <w:sz w:val="24"/>
          <w:szCs w:val="24"/>
        </w:rPr>
        <w:t>（七）</w:t>
      </w:r>
      <w:r>
        <w:rPr>
          <w:rFonts w:hint="eastAsia" w:ascii="宋体" w:hAnsi="宋体" w:cs="宋体"/>
          <w:color w:val="auto"/>
          <w:sz w:val="24"/>
          <w:szCs w:val="24"/>
          <w:lang w:eastAsia="zh-CN"/>
        </w:rPr>
        <w:t>询比</w:t>
      </w:r>
      <w:r>
        <w:rPr>
          <w:rFonts w:hint="eastAsia" w:ascii="宋体" w:hAnsi="宋体" w:cs="宋体"/>
          <w:color w:val="auto"/>
          <w:sz w:val="24"/>
          <w:szCs w:val="24"/>
        </w:rPr>
        <w:t>采购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部分得分高低顺序排列推荐。以上都相同的，按商务部分得分高低顺序排列推荐。</w:t>
      </w:r>
      <w:bookmarkStart w:id="105" w:name="_Toc30639"/>
      <w:bookmarkStart w:id="106" w:name="_Toc11713"/>
      <w:bookmarkStart w:id="107" w:name="_Toc5149"/>
      <w:bookmarkStart w:id="108" w:name="_Toc106034791"/>
      <w:bookmarkStart w:id="109" w:name="_Toc65660351"/>
      <w:bookmarkStart w:id="110" w:name="_Toc64732013"/>
    </w:p>
    <w:p>
      <w:pPr>
        <w:pStyle w:val="4"/>
        <w:adjustRightInd w:val="0"/>
        <w:snapToGrid w:val="0"/>
        <w:spacing w:before="0" w:after="0" w:line="400" w:lineRule="exact"/>
        <w:ind w:firstLine="482" w:firstLineChars="200"/>
        <w:rPr>
          <w:rFonts w:ascii="宋体" w:hAnsi="宋体" w:eastAsia="宋体" w:cs="宋体"/>
          <w:color w:val="auto"/>
          <w:sz w:val="24"/>
        </w:rPr>
      </w:pPr>
      <w:bookmarkStart w:id="111" w:name="_Toc21823"/>
      <w:r>
        <w:rPr>
          <w:rFonts w:hint="eastAsia" w:ascii="宋体" w:hAnsi="宋体" w:eastAsia="宋体" w:cs="宋体"/>
          <w:color w:val="auto"/>
          <w:sz w:val="24"/>
        </w:rPr>
        <w:t>二、评定成交的标准</w:t>
      </w:r>
      <w:bookmarkEnd w:id="105"/>
      <w:bookmarkEnd w:id="106"/>
      <w:bookmarkEnd w:id="107"/>
      <w:bookmarkEnd w:id="108"/>
      <w:bookmarkEnd w:id="109"/>
      <w:bookmarkEnd w:id="110"/>
      <w:bookmarkEnd w:id="111"/>
    </w:p>
    <w:tbl>
      <w:tblPr>
        <w:tblStyle w:val="5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83"/>
        <w:gridCol w:w="1559"/>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6" w:type="dxa"/>
            <w:vAlign w:val="center"/>
          </w:tcPr>
          <w:p>
            <w:pPr>
              <w:pStyle w:val="35"/>
              <w:spacing w:line="400" w:lineRule="exact"/>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183"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投标报价</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（20分）</w:t>
            </w:r>
          </w:p>
        </w:tc>
        <w:tc>
          <w:tcPr>
            <w:tcW w:w="7204" w:type="dxa"/>
            <w:gridSpan w:val="2"/>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1.评标基准价：所有通过资格评审合格的投标人的有效投标报价的最低报价数为本项目的评标基准价。</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询比</w:t>
            </w:r>
            <w:r>
              <w:rPr>
                <w:rFonts w:hint="eastAsia" w:ascii="宋体" w:hAnsi="宋体" w:eastAsia="宋体" w:cs="宋体"/>
                <w:color w:val="auto"/>
                <w:kern w:val="2"/>
                <w:sz w:val="21"/>
                <w:szCs w:val="21"/>
                <w:lang w:val="en-US" w:eastAsia="zh-CN" w:bidi="ar-SA"/>
              </w:rPr>
              <w:t>报价得分=（评标基准价/</w:t>
            </w:r>
            <w:r>
              <w:rPr>
                <w:rFonts w:hint="eastAsia" w:ascii="宋体" w:hAnsi="宋体" w:cs="宋体"/>
                <w:color w:val="auto"/>
                <w:kern w:val="2"/>
                <w:sz w:val="21"/>
                <w:szCs w:val="21"/>
                <w:lang w:val="en-US" w:eastAsia="zh-CN" w:bidi="ar-SA"/>
              </w:rPr>
              <w:t>询比</w:t>
            </w:r>
            <w:r>
              <w:rPr>
                <w:rFonts w:hint="eastAsia" w:ascii="宋体" w:hAnsi="宋体" w:eastAsia="宋体" w:cs="宋体"/>
                <w:color w:val="auto"/>
                <w:kern w:val="2"/>
                <w:sz w:val="21"/>
                <w:szCs w:val="21"/>
                <w:lang w:val="en-US" w:eastAsia="zh-CN" w:bidi="ar-SA"/>
              </w:rPr>
              <w:t>报价）×价格权值×100</w:t>
            </w:r>
            <w:r>
              <w:rPr>
                <w:rFonts w:hint="eastAsia" w:ascii="宋体" w:hAnsi="宋体" w:eastAsia="宋体" w:cs="宋体"/>
                <w:color w:val="auto"/>
                <w:sz w:val="21"/>
                <w:szCs w:val="21"/>
              </w:rPr>
              <w:t>（按四舍五入法保留2位小数）</w:t>
            </w:r>
            <w:r>
              <w:rPr>
                <w:rFonts w:hint="eastAsia" w:ascii="宋体" w:hAnsi="宋体" w:eastAsia="宋体" w:cs="宋体"/>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546" w:type="dxa"/>
            <w:vMerge w:val="restart"/>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p>
        </w:tc>
        <w:tc>
          <w:tcPr>
            <w:tcW w:w="1183" w:type="dxa"/>
            <w:vMerge w:val="restart"/>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技术部分</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（50分）</w:t>
            </w:r>
          </w:p>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559"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项目服务团队</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（10分）</w:t>
            </w:r>
          </w:p>
        </w:tc>
        <w:tc>
          <w:tcPr>
            <w:tcW w:w="5645" w:type="dxa"/>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拟投入本项目的人员具有从事行政机关、事业单位内控建设咨询工作2年以上经历的，投入1人得5分，最多得10分，未投入不得分（提供证明材料，加盖供应商鲜章）。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6" w:type="dxa"/>
            <w:vMerge w:val="continue"/>
            <w:vAlign w:val="center"/>
          </w:tcPr>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183" w:type="dxa"/>
            <w:vMerge w:val="continue"/>
            <w:vAlign w:val="center"/>
          </w:tcPr>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559"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项目实施方案</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（40分）</w:t>
            </w:r>
          </w:p>
        </w:tc>
        <w:tc>
          <w:tcPr>
            <w:tcW w:w="5645" w:type="dxa"/>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供应商应针对本项目编制内控咨询服务实施方案，格式自定，内容应包括：</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1.咨询流程表达清晰，组织机构、人员安排、工作职责明确合理，优得10分，良得6分，一般得3分，差得0分；</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2.项目管理及目标明确，质量管理层级责任清晰，质量考核体系健全，优得10分，良得6分，一般得3分，差得0分；</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3.有针对本项目特点的分析及优化方案，能够体现出针对本项目财政预算一体化单位改革情况下内控管理要点的理解与同类项目的履行经验，优得10分，良得6分，一般得3分，差得0分；</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4.投标人的服务方案中进度计划合理得10分，良得6分，一般得3分，差得0分。</w:t>
            </w:r>
          </w:p>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（以上提供项目实施方案，由评审小组根据各投标人针对本项目提出的项目具体咨询实施方案进行综合评分。）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6" w:type="dxa"/>
            <w:vMerge w:val="restart"/>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1183" w:type="dxa"/>
            <w:vMerge w:val="restart"/>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商务部分</w:t>
            </w:r>
          </w:p>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（30分）</w:t>
            </w:r>
          </w:p>
        </w:tc>
        <w:tc>
          <w:tcPr>
            <w:tcW w:w="1559"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供应商业绩（20分）</w:t>
            </w:r>
          </w:p>
        </w:tc>
        <w:tc>
          <w:tcPr>
            <w:tcW w:w="5645" w:type="dxa"/>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近三年以内（2020年1月1日至递交响应文件截止日止，以合同签订时间为准）具有行政机关、事业单位内控建设咨询服务的业绩证明（须提供有效合同复印件，加盖供应商鲜章），每提供1份合同得4分，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46" w:type="dxa"/>
            <w:vMerge w:val="continue"/>
            <w:vAlign w:val="center"/>
          </w:tcPr>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183" w:type="dxa"/>
            <w:vMerge w:val="continue"/>
            <w:vAlign w:val="center"/>
          </w:tcPr>
          <w:p>
            <w:pPr>
              <w:pStyle w:val="35"/>
              <w:spacing w:line="400" w:lineRule="exact"/>
              <w:ind w:firstLine="420" w:firstLineChars="200"/>
              <w:jc w:val="center"/>
              <w:rPr>
                <w:rFonts w:hint="eastAsia" w:ascii="宋体" w:hAnsi="宋体" w:eastAsia="宋体" w:cs="宋体"/>
                <w:color w:val="auto"/>
                <w:kern w:val="2"/>
                <w:sz w:val="21"/>
                <w:szCs w:val="21"/>
                <w:lang w:val="en-US" w:eastAsia="zh-CN" w:bidi="ar-SA"/>
              </w:rPr>
            </w:pPr>
          </w:p>
        </w:tc>
        <w:tc>
          <w:tcPr>
            <w:tcW w:w="1559" w:type="dxa"/>
            <w:vAlign w:val="center"/>
          </w:tcPr>
          <w:p>
            <w:pPr>
              <w:pStyle w:val="35"/>
              <w:spacing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供应商服务能力（10分）</w:t>
            </w:r>
          </w:p>
        </w:tc>
        <w:tc>
          <w:tcPr>
            <w:tcW w:w="5645" w:type="dxa"/>
            <w:vAlign w:val="center"/>
          </w:tcPr>
          <w:p>
            <w:pPr>
              <w:pStyle w:val="35"/>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供应商自2020年1月1日起，承接过市、区级财政部门组织的行政事业单位内部控制评价指标制定或内部控制监督检查项目的，1个得5分，最多得10分。</w:t>
            </w:r>
          </w:p>
        </w:tc>
      </w:tr>
    </w:tbl>
    <w:p>
      <w:pPr>
        <w:pStyle w:val="35"/>
        <w:spacing w:line="400" w:lineRule="exact"/>
        <w:ind w:firstLine="420" w:firstLineChars="200"/>
        <w:rPr>
          <w:rFonts w:hint="eastAsia" w:ascii="宋体" w:hAnsi="宋体" w:eastAsia="宋体" w:cs="宋体"/>
          <w:color w:val="auto"/>
          <w:kern w:val="2"/>
          <w:sz w:val="21"/>
          <w:szCs w:val="21"/>
          <w:lang w:val="en-US" w:eastAsia="zh-CN" w:bidi="ar-SA"/>
        </w:rPr>
      </w:pPr>
    </w:p>
    <w:p>
      <w:pPr>
        <w:ind w:firstLine="480"/>
        <w:rPr>
          <w:rFonts w:ascii="宋体" w:hAnsi="宋体" w:cs="宋体"/>
          <w:b/>
          <w:bCs/>
          <w:color w:val="auto"/>
          <w:sz w:val="24"/>
        </w:rPr>
      </w:pPr>
      <w:bookmarkStart w:id="112" w:name="_Toc29113"/>
      <w:bookmarkStart w:id="113" w:name="_Toc65660352"/>
      <w:bookmarkStart w:id="114" w:name="_Toc12644"/>
      <w:bookmarkStart w:id="115" w:name="_Toc106034792"/>
      <w:bookmarkStart w:id="116" w:name="_Toc19473"/>
      <w:r>
        <w:rPr>
          <w:rFonts w:hint="eastAsia" w:ascii="宋体" w:hAnsi="宋体" w:cs="宋体"/>
          <w:b/>
          <w:bCs/>
          <w:color w:val="auto"/>
          <w:sz w:val="24"/>
        </w:rPr>
        <w:t>三、无效</w:t>
      </w:r>
      <w:bookmarkEnd w:id="112"/>
      <w:bookmarkEnd w:id="113"/>
      <w:bookmarkEnd w:id="114"/>
      <w:r>
        <w:rPr>
          <w:rFonts w:hint="eastAsia" w:ascii="宋体" w:hAnsi="宋体" w:cs="宋体"/>
          <w:b/>
          <w:bCs/>
          <w:color w:val="auto"/>
          <w:sz w:val="24"/>
        </w:rPr>
        <w:t>报价</w:t>
      </w:r>
      <w:bookmarkEnd w:id="115"/>
      <w:bookmarkEnd w:id="116"/>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供应商发生以下条款情况之一者，视为无效报价：</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（一）供应商不符合规定的资格条件的；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（二）供应商未通过实质性响应审查的；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（三）供应商未在保证金到账截止时间前足额交纳所参与包保证金的；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（四）供应商所提交的响应文件未按“第七篇响应文件格式要求”要求签署或盖章的；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（五）供应商的报价超过采购预算或最高限价的；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（六）供应商不接受</w:t>
      </w:r>
      <w:r>
        <w:rPr>
          <w:rFonts w:hint="eastAsia" w:ascii="宋体" w:hAnsi="宋体" w:cs="宋体"/>
          <w:color w:val="auto"/>
          <w:sz w:val="24"/>
          <w:szCs w:val="24"/>
          <w:lang w:eastAsia="zh-CN"/>
        </w:rPr>
        <w:t>询比</w:t>
      </w:r>
      <w:r>
        <w:rPr>
          <w:rFonts w:hint="eastAsia" w:ascii="宋体" w:hAnsi="宋体" w:cs="宋体"/>
          <w:color w:val="auto"/>
          <w:sz w:val="24"/>
          <w:szCs w:val="24"/>
        </w:rPr>
        <w:t>小组修正后的价格的；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（七）单位负责人为同一人或者存在直接控股、管理关系的不同供应商，参加同一合同项（包）报价的；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（九）同一合同项（包）下的货物，制造商参与报价，再委托代理商参与报价的；</w:t>
      </w:r>
    </w:p>
    <w:p>
      <w:pPr>
        <w:pStyle w:val="35"/>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（十）供应商响应文件内容有与国家现行法律法规相违背的内容，或附有采购人无法接受条件的；</w:t>
      </w:r>
    </w:p>
    <w:p>
      <w:pPr>
        <w:pStyle w:val="35"/>
        <w:spacing w:line="400" w:lineRule="exact"/>
        <w:rPr>
          <w:rFonts w:ascii="宋体" w:hAnsi="宋体" w:cs="宋体"/>
          <w:color w:val="auto"/>
          <w:sz w:val="24"/>
          <w:szCs w:val="24"/>
        </w:rPr>
      </w:pPr>
      <w:r>
        <w:rPr>
          <w:rFonts w:hint="eastAsia" w:ascii="宋体" w:hAnsi="宋体" w:cs="宋体"/>
          <w:color w:val="auto"/>
          <w:sz w:val="24"/>
          <w:szCs w:val="24"/>
        </w:rPr>
        <w:t>（十一）法律、法规和</w:t>
      </w:r>
      <w:r>
        <w:rPr>
          <w:rFonts w:hint="eastAsia" w:ascii="宋体" w:hAnsi="宋体" w:cs="宋体"/>
          <w:color w:val="auto"/>
          <w:sz w:val="24"/>
          <w:szCs w:val="24"/>
          <w:lang w:eastAsia="zh-CN"/>
        </w:rPr>
        <w:t>询比采购文件</w:t>
      </w:r>
      <w:r>
        <w:rPr>
          <w:rFonts w:hint="eastAsia" w:ascii="宋体" w:hAnsi="宋体" w:cs="宋体"/>
          <w:color w:val="auto"/>
          <w:sz w:val="24"/>
          <w:szCs w:val="24"/>
        </w:rPr>
        <w:t>规定的其他无效情形。</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17" w:name="_Toc65660353"/>
      <w:bookmarkStart w:id="118" w:name="_Toc28422"/>
      <w:bookmarkStart w:id="119" w:name="_Toc14909"/>
      <w:bookmarkStart w:id="120" w:name="_Toc106034793"/>
      <w:bookmarkStart w:id="121" w:name="_Toc22716"/>
      <w:bookmarkStart w:id="122" w:name="_Toc29298"/>
      <w:r>
        <w:rPr>
          <w:rFonts w:hint="eastAsia" w:ascii="宋体" w:hAnsi="宋体" w:eastAsia="宋体" w:cs="宋体"/>
          <w:color w:val="auto"/>
          <w:sz w:val="24"/>
        </w:rPr>
        <w:t>四、采购终止</w:t>
      </w:r>
      <w:bookmarkEnd w:id="117"/>
      <w:bookmarkEnd w:id="118"/>
      <w:bookmarkEnd w:id="119"/>
      <w:bookmarkEnd w:id="120"/>
      <w:bookmarkEnd w:id="121"/>
      <w:bookmarkEnd w:id="122"/>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w:t>
      </w:r>
      <w:r>
        <w:rPr>
          <w:rFonts w:hint="eastAsia" w:ascii="宋体" w:hAnsi="宋体" w:cs="宋体"/>
          <w:color w:val="auto"/>
          <w:sz w:val="24"/>
          <w:szCs w:val="24"/>
          <w:lang w:eastAsia="zh-CN"/>
        </w:rPr>
        <w:t>询比</w:t>
      </w:r>
      <w:r>
        <w:rPr>
          <w:rFonts w:hint="eastAsia" w:ascii="宋体" w:hAnsi="宋体" w:cs="宋体"/>
          <w:color w:val="auto"/>
          <w:sz w:val="24"/>
          <w:szCs w:val="24"/>
        </w:rPr>
        <w:t>采购活动，发布项目终止公告并说明原因，重新开展采购活动：</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（一）因情况变化，不再符合规定的</w:t>
      </w:r>
      <w:r>
        <w:rPr>
          <w:rFonts w:hint="eastAsia" w:ascii="宋体" w:hAnsi="宋体" w:cs="宋体"/>
          <w:color w:val="auto"/>
          <w:sz w:val="24"/>
          <w:szCs w:val="24"/>
          <w:lang w:eastAsia="zh-CN"/>
        </w:rPr>
        <w:t>询比</w:t>
      </w:r>
      <w:r>
        <w:rPr>
          <w:rFonts w:hint="eastAsia" w:ascii="宋体" w:hAnsi="宋体" w:cs="宋体"/>
          <w:color w:val="auto"/>
          <w:sz w:val="24"/>
          <w:szCs w:val="24"/>
        </w:rPr>
        <w:t>采购方式适用情形的；</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（二）出现影响采购公正的违法、违规行为的；</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（三）在采购过程中符合竞争要求的供应商或者报价未超过采购预算的供应商不足3家的。（若项目第一次招标失败，第二次等后续招标则不足3家可以继续开标）</w:t>
      </w:r>
    </w:p>
    <w:p>
      <w:pPr>
        <w:pStyle w:val="4"/>
        <w:spacing w:before="0" w:after="0" w:line="360" w:lineRule="auto"/>
        <w:jc w:val="center"/>
        <w:rPr>
          <w:rFonts w:ascii="宋体" w:hAnsi="宋体" w:eastAsia="宋体" w:cs="宋体"/>
          <w:b w:val="0"/>
          <w:color w:val="auto"/>
          <w:sz w:val="36"/>
          <w:szCs w:val="30"/>
        </w:rPr>
      </w:pPr>
      <w:r>
        <w:rPr>
          <w:rFonts w:hint="eastAsia" w:ascii="宋体" w:hAnsi="宋体" w:eastAsia="宋体" w:cs="宋体"/>
          <w:color w:val="auto"/>
          <w:sz w:val="24"/>
          <w:szCs w:val="24"/>
        </w:rPr>
        <w:br w:type="page"/>
      </w:r>
      <w:bookmarkStart w:id="123" w:name="_Toc106034794"/>
      <w:bookmarkStart w:id="124" w:name="_Toc8916"/>
      <w:bookmarkStart w:id="125" w:name="_Toc10768"/>
      <w:bookmarkStart w:id="126" w:name="_Toc20055"/>
      <w:bookmarkStart w:id="127" w:name="_Toc4764"/>
      <w:bookmarkStart w:id="128" w:name="_Toc65660354"/>
      <w:r>
        <w:rPr>
          <w:rFonts w:hint="eastAsia" w:ascii="宋体" w:hAnsi="宋体" w:eastAsia="宋体" w:cs="宋体"/>
          <w:b w:val="0"/>
          <w:color w:val="auto"/>
          <w:sz w:val="36"/>
          <w:szCs w:val="30"/>
        </w:rPr>
        <w:t>第五篇  供应商须知</w:t>
      </w:r>
      <w:bookmarkEnd w:id="123"/>
      <w:bookmarkEnd w:id="124"/>
      <w:bookmarkEnd w:id="125"/>
      <w:bookmarkEnd w:id="126"/>
      <w:bookmarkEnd w:id="127"/>
      <w:bookmarkEnd w:id="128"/>
    </w:p>
    <w:p>
      <w:pPr>
        <w:pStyle w:val="4"/>
        <w:adjustRightInd w:val="0"/>
        <w:snapToGrid w:val="0"/>
        <w:spacing w:before="0" w:after="0" w:line="400" w:lineRule="exact"/>
        <w:ind w:firstLine="482" w:firstLineChars="200"/>
        <w:rPr>
          <w:rFonts w:ascii="宋体" w:hAnsi="宋体" w:eastAsia="宋体" w:cs="宋体"/>
          <w:color w:val="auto"/>
          <w:sz w:val="24"/>
        </w:rPr>
      </w:pPr>
      <w:bookmarkStart w:id="129" w:name="_Toc16524"/>
      <w:bookmarkStart w:id="130" w:name="_Toc5290"/>
      <w:bookmarkStart w:id="131" w:name="_Toc65660355"/>
      <w:bookmarkStart w:id="132" w:name="_Toc2864"/>
      <w:bookmarkStart w:id="133" w:name="_Toc106034795"/>
      <w:bookmarkStart w:id="134" w:name="_Toc7335"/>
      <w:r>
        <w:rPr>
          <w:rFonts w:hint="eastAsia" w:ascii="宋体" w:hAnsi="宋体" w:eastAsia="宋体" w:cs="宋体"/>
          <w:color w:val="auto"/>
          <w:sz w:val="24"/>
        </w:rPr>
        <w:t>一、</w:t>
      </w:r>
      <w:r>
        <w:rPr>
          <w:rFonts w:hint="eastAsia" w:ascii="宋体" w:hAnsi="宋体" w:eastAsia="宋体" w:cs="宋体"/>
          <w:color w:val="auto"/>
          <w:sz w:val="24"/>
          <w:lang w:eastAsia="zh-CN"/>
        </w:rPr>
        <w:t>询比</w:t>
      </w:r>
      <w:r>
        <w:rPr>
          <w:rFonts w:hint="eastAsia" w:ascii="宋体" w:hAnsi="宋体" w:eastAsia="宋体" w:cs="宋体"/>
          <w:color w:val="auto"/>
          <w:sz w:val="24"/>
        </w:rPr>
        <w:t>费用</w:t>
      </w:r>
      <w:bookmarkEnd w:id="129"/>
      <w:bookmarkEnd w:id="130"/>
      <w:bookmarkEnd w:id="131"/>
      <w:bookmarkEnd w:id="132"/>
      <w:bookmarkEnd w:id="133"/>
      <w:bookmarkEnd w:id="134"/>
    </w:p>
    <w:p>
      <w:pPr>
        <w:pStyle w:val="143"/>
        <w:spacing w:line="400" w:lineRule="exact"/>
        <w:ind w:firstLine="480" w:firstLineChars="200"/>
        <w:rPr>
          <w:rFonts w:hAnsi="宋体" w:cs="宋体"/>
          <w:color w:val="auto"/>
          <w:sz w:val="24"/>
          <w:szCs w:val="24"/>
        </w:rPr>
      </w:pPr>
      <w:r>
        <w:rPr>
          <w:rFonts w:hint="eastAsia" w:hAnsi="宋体" w:cs="宋体"/>
          <w:color w:val="auto"/>
          <w:sz w:val="24"/>
          <w:szCs w:val="24"/>
        </w:rPr>
        <w:t>参与报价的供应商应承担其编制响应文件与递交响应文件所涉及的一切费用，不论</w:t>
      </w:r>
      <w:r>
        <w:rPr>
          <w:rFonts w:hint="eastAsia" w:hAnsi="宋体" w:cs="宋体"/>
          <w:color w:val="auto"/>
          <w:sz w:val="24"/>
          <w:szCs w:val="24"/>
          <w:lang w:eastAsia="zh-CN"/>
        </w:rPr>
        <w:t>询比</w:t>
      </w:r>
      <w:r>
        <w:rPr>
          <w:rFonts w:hint="eastAsia" w:hAnsi="宋体" w:cs="宋体"/>
          <w:color w:val="auto"/>
          <w:sz w:val="24"/>
          <w:szCs w:val="24"/>
        </w:rPr>
        <w:t>结果如何，采购人和采购代理机构在任何情况下无义务也无责任承担这些费用。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35" w:name="_Toc5915"/>
      <w:bookmarkStart w:id="136" w:name="_Toc106034796"/>
      <w:bookmarkStart w:id="137" w:name="_Toc2435"/>
      <w:bookmarkStart w:id="138" w:name="_Toc65660356"/>
      <w:bookmarkStart w:id="139" w:name="_Toc31070"/>
      <w:bookmarkStart w:id="140" w:name="_Toc31739"/>
      <w:r>
        <w:rPr>
          <w:rFonts w:hint="eastAsia" w:ascii="宋体" w:hAnsi="宋体" w:eastAsia="宋体" w:cs="宋体"/>
          <w:color w:val="auto"/>
          <w:sz w:val="24"/>
        </w:rPr>
        <w:t>二、</w:t>
      </w:r>
      <w:r>
        <w:rPr>
          <w:rFonts w:hint="eastAsia" w:ascii="宋体" w:hAnsi="宋体" w:eastAsia="宋体" w:cs="宋体"/>
          <w:color w:val="auto"/>
          <w:sz w:val="24"/>
          <w:lang w:eastAsia="zh-CN"/>
        </w:rPr>
        <w:t>询比采购文件</w:t>
      </w:r>
      <w:bookmarkEnd w:id="135"/>
      <w:bookmarkEnd w:id="136"/>
      <w:bookmarkEnd w:id="137"/>
      <w:bookmarkEnd w:id="138"/>
      <w:bookmarkEnd w:id="139"/>
      <w:bookmarkEnd w:id="140"/>
      <w:r>
        <w:rPr>
          <w:rFonts w:hint="eastAsia" w:ascii="宋体" w:hAnsi="宋体" w:eastAsia="宋体" w:cs="宋体"/>
          <w:color w:val="auto"/>
          <w:sz w:val="24"/>
        </w:rPr>
        <w:tab/>
      </w:r>
    </w:p>
    <w:p>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询比采购文件</w:t>
      </w:r>
      <w:r>
        <w:rPr>
          <w:rFonts w:hint="eastAsia" w:ascii="宋体" w:hAnsi="宋体" w:cs="宋体"/>
          <w:color w:val="auto"/>
          <w:sz w:val="24"/>
          <w:szCs w:val="24"/>
        </w:rPr>
        <w:t>由</w:t>
      </w:r>
      <w:r>
        <w:rPr>
          <w:rFonts w:hint="eastAsia" w:ascii="宋体" w:hAnsi="宋体" w:cs="宋体"/>
          <w:color w:val="auto"/>
          <w:sz w:val="24"/>
          <w:szCs w:val="24"/>
          <w:lang w:eastAsia="zh-CN"/>
        </w:rPr>
        <w:t>询比</w:t>
      </w:r>
      <w:r>
        <w:rPr>
          <w:rFonts w:hint="eastAsia" w:ascii="宋体" w:hAnsi="宋体" w:cs="宋体"/>
          <w:color w:val="auto"/>
          <w:sz w:val="24"/>
          <w:szCs w:val="24"/>
        </w:rPr>
        <w:t>采购邀请书、</w:t>
      </w:r>
      <w:r>
        <w:rPr>
          <w:rFonts w:hint="eastAsia" w:ascii="宋体" w:hAnsi="宋体" w:cs="宋体"/>
          <w:color w:val="auto"/>
          <w:sz w:val="24"/>
          <w:szCs w:val="24"/>
          <w:lang w:eastAsia="zh-CN"/>
        </w:rPr>
        <w:t>询比</w:t>
      </w:r>
      <w:r>
        <w:rPr>
          <w:rFonts w:hint="eastAsia" w:ascii="宋体" w:hAnsi="宋体" w:cs="宋体"/>
          <w:color w:val="auto"/>
          <w:sz w:val="24"/>
          <w:szCs w:val="24"/>
        </w:rPr>
        <w:t>项目</w:t>
      </w:r>
      <w:r>
        <w:rPr>
          <w:rFonts w:hint="eastAsia" w:ascii="宋体" w:hAnsi="宋体" w:cs="宋体"/>
          <w:color w:val="auto"/>
          <w:sz w:val="24"/>
          <w:szCs w:val="24"/>
          <w:lang w:eastAsia="zh-CN"/>
        </w:rPr>
        <w:t>服务</w:t>
      </w:r>
      <w:r>
        <w:rPr>
          <w:rFonts w:hint="eastAsia" w:ascii="宋体" w:hAnsi="宋体" w:cs="宋体"/>
          <w:color w:val="auto"/>
          <w:sz w:val="24"/>
          <w:szCs w:val="24"/>
        </w:rPr>
        <w:t>需求、</w:t>
      </w:r>
      <w:r>
        <w:rPr>
          <w:rFonts w:hint="eastAsia" w:ascii="宋体" w:hAnsi="宋体" w:cs="宋体"/>
          <w:color w:val="auto"/>
          <w:sz w:val="24"/>
          <w:szCs w:val="24"/>
          <w:lang w:eastAsia="zh-CN"/>
        </w:rPr>
        <w:t>询比</w:t>
      </w:r>
      <w:r>
        <w:rPr>
          <w:rFonts w:hint="eastAsia" w:ascii="宋体" w:hAnsi="宋体" w:cs="宋体"/>
          <w:color w:val="auto"/>
          <w:sz w:val="24"/>
          <w:szCs w:val="24"/>
        </w:rPr>
        <w:t>项目</w:t>
      </w:r>
      <w:r>
        <w:rPr>
          <w:rFonts w:hint="eastAsia" w:ascii="宋体" w:hAnsi="宋体" w:cs="宋体"/>
          <w:color w:val="auto"/>
          <w:sz w:val="24"/>
          <w:szCs w:val="24"/>
          <w:lang w:eastAsia="zh-CN"/>
        </w:rPr>
        <w:t>商务</w:t>
      </w:r>
      <w:r>
        <w:rPr>
          <w:rFonts w:hint="eastAsia" w:ascii="宋体" w:hAnsi="宋体" w:cs="宋体"/>
          <w:color w:val="auto"/>
          <w:sz w:val="24"/>
          <w:szCs w:val="24"/>
        </w:rPr>
        <w:t>需求、采购程序、评定成交的标准、无效报价及采购终止、供应商须知、合同草案条款、响应文件格式要求七部分组成。</w:t>
      </w:r>
    </w:p>
    <w:p>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w:t>
      </w:r>
      <w:r>
        <w:rPr>
          <w:rFonts w:hint="eastAsia" w:ascii="宋体" w:hAnsi="宋体" w:cs="宋体"/>
          <w:color w:val="auto"/>
          <w:sz w:val="24"/>
          <w:szCs w:val="24"/>
          <w:lang w:eastAsia="zh-CN"/>
        </w:rPr>
        <w:t>询比采购文件</w:t>
      </w:r>
      <w:r>
        <w:rPr>
          <w:rFonts w:hint="eastAsia" w:ascii="宋体" w:hAnsi="宋体" w:cs="宋体"/>
          <w:color w:val="auto"/>
          <w:sz w:val="24"/>
          <w:szCs w:val="24"/>
        </w:rPr>
        <w:t>不可分割的部分。</w:t>
      </w:r>
    </w:p>
    <w:p>
      <w:pPr>
        <w:spacing w:line="4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rPr>
        <w:t>（三）</w:t>
      </w: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询比采购</w:t>
      </w:r>
      <w:r>
        <w:rPr>
          <w:rFonts w:hint="eastAsia" w:ascii="宋体" w:hAnsi="宋体" w:eastAsia="宋体" w:cs="宋体"/>
          <w:color w:val="auto"/>
          <w:sz w:val="24"/>
          <w:szCs w:val="24"/>
        </w:rPr>
        <w:t>文件中，询比小组根据与供应商进行网询可能实质性变动的内容为</w:t>
      </w:r>
      <w:r>
        <w:rPr>
          <w:rFonts w:hint="eastAsia" w:ascii="宋体" w:hAnsi="宋体" w:eastAsia="宋体" w:cs="宋体"/>
          <w:color w:val="auto"/>
          <w:sz w:val="24"/>
          <w:szCs w:val="24"/>
          <w:lang w:eastAsia="zh-CN"/>
        </w:rPr>
        <w:t>询比采购</w:t>
      </w:r>
      <w:r>
        <w:rPr>
          <w:rFonts w:hint="eastAsia" w:ascii="宋体" w:hAnsi="宋体" w:eastAsia="宋体" w:cs="宋体"/>
          <w:color w:val="auto"/>
          <w:sz w:val="24"/>
          <w:szCs w:val="24"/>
        </w:rPr>
        <w:t>文件第二、三、六篇全部内容。</w:t>
      </w:r>
    </w:p>
    <w:p>
      <w:pPr>
        <w:pStyle w:val="57"/>
        <w:rPr>
          <w:color w:val="auto"/>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评审的依据为</w:t>
      </w:r>
      <w:r>
        <w:rPr>
          <w:rFonts w:hint="eastAsia" w:ascii="宋体" w:hAnsi="宋体" w:eastAsia="宋体" w:cs="宋体"/>
          <w:color w:val="auto"/>
          <w:sz w:val="24"/>
          <w:szCs w:val="24"/>
          <w:lang w:eastAsia="zh-CN"/>
        </w:rPr>
        <w:t>询比采购</w:t>
      </w:r>
      <w:r>
        <w:rPr>
          <w:rFonts w:hint="eastAsia" w:ascii="宋体" w:hAnsi="宋体" w:eastAsia="宋体" w:cs="宋体"/>
          <w:color w:val="auto"/>
          <w:sz w:val="24"/>
          <w:szCs w:val="24"/>
        </w:rPr>
        <w:t>文件和响应文件（含有效的书面承诺）。询比小组判断响应文件对</w:t>
      </w:r>
      <w:r>
        <w:rPr>
          <w:rFonts w:hint="eastAsia" w:ascii="宋体" w:hAnsi="宋体" w:eastAsia="宋体" w:cs="宋体"/>
          <w:color w:val="auto"/>
          <w:sz w:val="24"/>
          <w:szCs w:val="24"/>
          <w:lang w:eastAsia="zh-CN"/>
        </w:rPr>
        <w:t>询比采购</w:t>
      </w:r>
      <w:r>
        <w:rPr>
          <w:rFonts w:hint="eastAsia" w:ascii="宋体" w:hAnsi="宋体" w:eastAsia="宋体" w:cs="宋体"/>
          <w:color w:val="auto"/>
          <w:sz w:val="24"/>
          <w:szCs w:val="24"/>
        </w:rPr>
        <w:t>文件的响应，仅基于响应文件本身而不靠外部证据。</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41" w:name="_Toc1922"/>
      <w:bookmarkStart w:id="142" w:name="_Toc3061"/>
      <w:bookmarkStart w:id="143" w:name="_Toc9532"/>
      <w:bookmarkStart w:id="144" w:name="_Toc106034797"/>
      <w:bookmarkStart w:id="145" w:name="_Toc5288"/>
      <w:bookmarkStart w:id="146" w:name="_Toc65660357"/>
      <w:r>
        <w:rPr>
          <w:rFonts w:hint="eastAsia" w:ascii="宋体" w:hAnsi="宋体" w:eastAsia="宋体" w:cs="宋体"/>
          <w:color w:val="auto"/>
          <w:sz w:val="24"/>
        </w:rPr>
        <w:t>三、报价要求</w:t>
      </w:r>
      <w:bookmarkEnd w:id="141"/>
      <w:bookmarkEnd w:id="142"/>
      <w:bookmarkEnd w:id="143"/>
      <w:bookmarkEnd w:id="144"/>
      <w:bookmarkEnd w:id="145"/>
      <w:bookmarkEnd w:id="146"/>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（一）响应文件</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供应商应当按照</w:t>
      </w:r>
      <w:r>
        <w:rPr>
          <w:rFonts w:hint="eastAsia" w:ascii="宋体" w:hAnsi="宋体" w:cs="宋体"/>
          <w:color w:val="auto"/>
          <w:sz w:val="24"/>
          <w:szCs w:val="24"/>
          <w:lang w:eastAsia="zh-CN"/>
        </w:rPr>
        <w:t>询比采购文件</w:t>
      </w:r>
      <w:r>
        <w:rPr>
          <w:rFonts w:hint="eastAsia" w:ascii="宋体" w:hAnsi="宋体" w:cs="宋体"/>
          <w:color w:val="auto"/>
          <w:sz w:val="24"/>
          <w:szCs w:val="24"/>
        </w:rPr>
        <w:t>的要求编制响应文件，并对</w:t>
      </w:r>
      <w:r>
        <w:rPr>
          <w:rFonts w:hint="eastAsia" w:ascii="宋体" w:hAnsi="宋体" w:cs="宋体"/>
          <w:color w:val="auto"/>
          <w:sz w:val="24"/>
          <w:szCs w:val="24"/>
          <w:lang w:eastAsia="zh-CN"/>
        </w:rPr>
        <w:t>询比采购文件</w:t>
      </w:r>
      <w:r>
        <w:rPr>
          <w:rFonts w:hint="eastAsia" w:ascii="宋体" w:hAnsi="宋体" w:cs="宋体"/>
          <w:color w:val="auto"/>
          <w:sz w:val="24"/>
          <w:szCs w:val="24"/>
        </w:rPr>
        <w:t>提出的要求和条件作出实质性响应，响应文件原则上采用软面订本。</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1.响应文件组成</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2.联合体</w:t>
      </w:r>
    </w:p>
    <w:p>
      <w:pPr>
        <w:spacing w:line="400" w:lineRule="exact"/>
        <w:ind w:firstLine="480" w:firstLineChars="200"/>
        <w:rPr>
          <w:rFonts w:ascii="宋体" w:hAnsi="宋体" w:cs="宋体"/>
          <w:color w:val="auto"/>
          <w:sz w:val="24"/>
        </w:rPr>
      </w:pPr>
      <w:r>
        <w:rPr>
          <w:rFonts w:hint="eastAsia" w:ascii="宋体" w:hAnsi="宋体" w:cs="宋体"/>
          <w:color w:val="auto"/>
          <w:sz w:val="24"/>
        </w:rPr>
        <w:t>2.1两个以上供应商可以组成一个联合体，以一个供应商的身份参与报价。</w:t>
      </w:r>
    </w:p>
    <w:p>
      <w:pPr>
        <w:spacing w:line="400" w:lineRule="exact"/>
        <w:ind w:firstLine="480" w:firstLineChars="200"/>
        <w:rPr>
          <w:rFonts w:ascii="宋体" w:hAnsi="宋体" w:cs="宋体"/>
          <w:color w:val="auto"/>
          <w:sz w:val="24"/>
        </w:rPr>
      </w:pPr>
      <w:r>
        <w:rPr>
          <w:rFonts w:hint="eastAsia" w:ascii="宋体" w:hAnsi="宋体" w:cs="宋体"/>
          <w:color w:val="auto"/>
          <w:sz w:val="24"/>
        </w:rPr>
        <w:t>2.2以联合体形式参加报价的，联合体各方均应</w:t>
      </w:r>
      <w:r>
        <w:rPr>
          <w:rFonts w:hint="eastAsia" w:ascii="宋体" w:hAnsi="宋体" w:cs="宋体"/>
          <w:color w:val="auto"/>
          <w:kern w:val="0"/>
          <w:sz w:val="24"/>
          <w:szCs w:val="24"/>
        </w:rPr>
        <w:t>满足供应商资格要求（详见“第一篇”）</w:t>
      </w:r>
      <w:r>
        <w:rPr>
          <w:rFonts w:hint="eastAsia" w:ascii="宋体" w:hAnsi="宋体" w:cs="宋体"/>
          <w:color w:val="auto"/>
          <w:sz w:val="24"/>
        </w:rPr>
        <w:t>。联合体中有同类资质的供应商按照联合体分工承担相同工作的，应当按照资质等级较低的供应商确定资质等级。</w:t>
      </w:r>
    </w:p>
    <w:p>
      <w:pPr>
        <w:spacing w:line="400" w:lineRule="exact"/>
        <w:ind w:firstLine="480" w:firstLineChars="200"/>
        <w:rPr>
          <w:rFonts w:ascii="宋体" w:hAnsi="宋体" w:cs="宋体"/>
          <w:color w:val="auto"/>
          <w:sz w:val="24"/>
        </w:rPr>
      </w:pPr>
      <w:r>
        <w:rPr>
          <w:rFonts w:hint="eastAsia" w:ascii="宋体" w:hAnsi="宋体" w:cs="宋体"/>
          <w:color w:val="auto"/>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ascii="宋体" w:hAnsi="宋体" w:cs="宋体"/>
          <w:color w:val="auto"/>
          <w:sz w:val="24"/>
        </w:rPr>
      </w:pPr>
      <w:r>
        <w:rPr>
          <w:rFonts w:hint="eastAsia" w:ascii="宋体" w:hAnsi="宋体" w:cs="宋体"/>
          <w:color w:val="auto"/>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宋体" w:hAnsi="宋体" w:cs="宋体"/>
          <w:color w:val="auto"/>
          <w:sz w:val="24"/>
        </w:rPr>
      </w:pPr>
      <w:r>
        <w:rPr>
          <w:rFonts w:hint="eastAsia" w:ascii="宋体" w:hAnsi="宋体" w:cs="宋体"/>
          <w:color w:val="auto"/>
          <w:sz w:val="24"/>
        </w:rPr>
        <w:t>2.5联合体业绩计算，按照共同联合协议分工认定。</w:t>
      </w:r>
    </w:p>
    <w:p>
      <w:pPr>
        <w:spacing w:line="400" w:lineRule="exact"/>
        <w:ind w:firstLine="480" w:firstLineChars="200"/>
        <w:rPr>
          <w:rFonts w:ascii="宋体" w:hAnsi="宋体" w:cs="宋体"/>
          <w:color w:val="auto"/>
          <w:sz w:val="24"/>
        </w:rPr>
      </w:pPr>
      <w:r>
        <w:rPr>
          <w:rFonts w:hint="eastAsia" w:ascii="宋体" w:hAnsi="宋体" w:cs="宋体"/>
          <w:color w:val="auto"/>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3.报价有效期：响应文件及有关承诺文件有效期为提交响应文件截止时间起90天。</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（二）保证金：</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w:t>
      </w:r>
      <w:r>
        <w:rPr>
          <w:rFonts w:hint="eastAsia" w:ascii="宋体" w:hAnsi="宋体" w:cs="宋体"/>
          <w:b/>
          <w:color w:val="auto"/>
          <w:sz w:val="24"/>
          <w:szCs w:val="24"/>
          <w:u w:val="single"/>
        </w:rPr>
        <w:t>第一篇  保证金”</w:t>
      </w:r>
      <w:r>
        <w:rPr>
          <w:rFonts w:hint="eastAsia" w:ascii="宋体" w:hAnsi="宋体" w:cs="宋体"/>
          <w:color w:val="auto"/>
          <w:sz w:val="24"/>
          <w:szCs w:val="24"/>
        </w:rPr>
        <w:t>；</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w:t>
      </w:r>
      <w:r>
        <w:rPr>
          <w:rFonts w:hint="eastAsia" w:ascii="宋体" w:hAnsi="宋体" w:cs="宋体"/>
          <w:color w:val="auto"/>
          <w:sz w:val="24"/>
          <w:szCs w:val="24"/>
          <w:lang w:eastAsia="zh-CN"/>
        </w:rPr>
        <w:t>询比采购文件</w:t>
      </w:r>
      <w:r>
        <w:rPr>
          <w:rFonts w:hint="eastAsia" w:ascii="宋体" w:hAnsi="宋体" w:cs="宋体"/>
          <w:color w:val="auto"/>
          <w:sz w:val="24"/>
          <w:szCs w:val="24"/>
        </w:rPr>
        <w:t>认可的情形以外，成交供应商不与采购人签订合同的；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rPr>
        <w:t>保证金的有效期限在</w:t>
      </w:r>
      <w:r>
        <w:rPr>
          <w:rFonts w:hint="eastAsia" w:ascii="宋体" w:hAnsi="宋体" w:cs="宋体"/>
          <w:color w:val="auto"/>
          <w:sz w:val="24"/>
          <w:szCs w:val="24"/>
        </w:rPr>
        <w:t>报价有效期</w:t>
      </w:r>
      <w:r>
        <w:rPr>
          <w:rFonts w:hint="eastAsia" w:ascii="宋体" w:hAnsi="宋体" w:cs="宋体"/>
          <w:color w:val="auto"/>
          <w:sz w:val="24"/>
        </w:rPr>
        <w:t>过后三十天继续有效。</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（三）修正错误</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若供应商所递交的响应文件或报价中的价格出现大写金额和小写金额不一致的错误，以大写金额修正为准。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询比</w:t>
      </w:r>
      <w:r>
        <w:rPr>
          <w:rFonts w:hint="eastAsia" w:ascii="宋体" w:hAnsi="宋体" w:cs="宋体"/>
          <w:color w:val="auto"/>
          <w:sz w:val="24"/>
          <w:szCs w:val="24"/>
        </w:rPr>
        <w:t>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（四）提交响应文件的份数和签署</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szCs w:val="24"/>
        </w:rPr>
        <w:t>2.</w:t>
      </w:r>
      <w:r>
        <w:rPr>
          <w:rFonts w:hint="eastAsia" w:ascii="宋体" w:hAnsi="宋体" w:cs="宋体"/>
          <w:color w:val="auto"/>
          <w:sz w:val="24"/>
        </w:rPr>
        <w:t>在响应文件正本中，</w:t>
      </w:r>
      <w:r>
        <w:rPr>
          <w:rFonts w:hint="eastAsia" w:ascii="宋体" w:hAnsi="宋体" w:cs="宋体"/>
          <w:color w:val="auto"/>
          <w:sz w:val="24"/>
          <w:lang w:eastAsia="zh-CN"/>
        </w:rPr>
        <w:t>询比采购文件</w:t>
      </w:r>
      <w:r>
        <w:rPr>
          <w:rFonts w:hint="eastAsia" w:ascii="宋体" w:hAnsi="宋体" w:cs="宋体"/>
          <w:color w:val="auto"/>
          <w:sz w:val="24"/>
        </w:rPr>
        <w:t>第七篇响应文件格式中规定签署、盖章的地方必须按其规定签署、盖章。</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3.若供应商对响应文件的错处作必要修改，则应在修改处加盖供应商公章或由法定代表人（或其授权代表）或自然人</w:t>
      </w:r>
      <w:r>
        <w:rPr>
          <w:rFonts w:hint="eastAsia" w:ascii="宋体" w:hAnsi="宋体" w:cs="宋体"/>
          <w:color w:val="auto"/>
          <w:sz w:val="24"/>
          <w:szCs w:val="24"/>
        </w:rPr>
        <w:t>（供应商为自然人）签署</w:t>
      </w:r>
      <w:r>
        <w:rPr>
          <w:rFonts w:hint="eastAsia" w:ascii="宋体" w:hAnsi="宋体" w:cs="宋体"/>
          <w:color w:val="auto"/>
          <w:sz w:val="24"/>
        </w:rPr>
        <w:t>确认。</w:t>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4.电报、电话、传真形式的响应文件概不接受。</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（五）响应文件的递交</w:t>
      </w:r>
    </w:p>
    <w:p>
      <w:pPr>
        <w:pStyle w:val="32"/>
        <w:spacing w:line="400" w:lineRule="exact"/>
        <w:ind w:firstLine="480" w:firstLineChars="200"/>
        <w:rPr>
          <w:rFonts w:hAnsi="宋体" w:cs="宋体"/>
          <w:color w:val="auto"/>
          <w:sz w:val="24"/>
        </w:rPr>
      </w:pPr>
      <w:r>
        <w:rPr>
          <w:rFonts w:hint="eastAsia" w:hAnsi="宋体" w:cs="宋体"/>
          <w:color w:val="auto"/>
          <w:sz w:val="24"/>
          <w:szCs w:val="24"/>
        </w:rPr>
        <w:t>响应文件的正本、副本以及电子文档均应密封送达报价地点，应在封套上注明</w:t>
      </w:r>
      <w:r>
        <w:rPr>
          <w:rFonts w:hint="eastAsia" w:hAnsi="宋体" w:cs="宋体"/>
          <w:color w:val="auto"/>
          <w:sz w:val="24"/>
          <w:szCs w:val="24"/>
          <w:lang w:eastAsia="zh-CN"/>
        </w:rPr>
        <w:t>询比</w:t>
      </w:r>
      <w:r>
        <w:rPr>
          <w:rFonts w:hint="eastAsia" w:hAnsi="宋体" w:cs="宋体"/>
          <w:color w:val="auto"/>
          <w:sz w:val="24"/>
          <w:szCs w:val="24"/>
        </w:rPr>
        <w:t>项目名称、供应商名称。若正本、副本以及电子文档分别进行密封的，还应在封套上注明“正本”、“副本”、“电子文档”字样。</w:t>
      </w:r>
    </w:p>
    <w:p>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（六）响应文件语言：简体中文</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47" w:name="_Toc10172"/>
      <w:bookmarkStart w:id="148" w:name="_Toc14702"/>
      <w:bookmarkStart w:id="149" w:name="_Toc106034798"/>
      <w:bookmarkStart w:id="150" w:name="_Toc6242"/>
      <w:bookmarkStart w:id="151" w:name="_Toc65660358"/>
      <w:bookmarkStart w:id="152" w:name="_Toc26111"/>
      <w:r>
        <w:rPr>
          <w:rFonts w:hint="eastAsia" w:ascii="宋体" w:hAnsi="宋体" w:eastAsia="宋体" w:cs="宋体"/>
          <w:color w:val="auto"/>
          <w:sz w:val="24"/>
        </w:rPr>
        <w:t>四、成交供应商的确定和变更</w:t>
      </w:r>
      <w:bookmarkEnd w:id="147"/>
      <w:bookmarkEnd w:id="148"/>
      <w:bookmarkEnd w:id="149"/>
      <w:bookmarkEnd w:id="150"/>
      <w:bookmarkEnd w:id="151"/>
      <w:bookmarkEnd w:id="152"/>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宋体" w:hAnsi="宋体" w:cs="宋体"/>
          <w:color w:val="auto"/>
          <w:sz w:val="24"/>
          <w:szCs w:val="24"/>
          <w:lang w:eastAsia="zh-CN"/>
        </w:rPr>
        <w:t>询比</w:t>
      </w:r>
      <w:r>
        <w:rPr>
          <w:rFonts w:hint="eastAsia" w:ascii="宋体" w:hAnsi="宋体" w:cs="宋体"/>
          <w:color w:val="auto"/>
          <w:sz w:val="24"/>
          <w:szCs w:val="24"/>
        </w:rPr>
        <w:t>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53" w:name="_Toc106034799"/>
      <w:bookmarkStart w:id="154" w:name="_Toc8669"/>
      <w:bookmarkStart w:id="155" w:name="_Toc65660359"/>
      <w:bookmarkStart w:id="156" w:name="_Toc1092"/>
      <w:bookmarkStart w:id="157" w:name="_Toc10504"/>
      <w:bookmarkStart w:id="158" w:name="_Toc29821"/>
      <w:r>
        <w:rPr>
          <w:rFonts w:hint="eastAsia" w:ascii="宋体" w:hAnsi="宋体" w:eastAsia="宋体" w:cs="宋体"/>
          <w:color w:val="auto"/>
          <w:sz w:val="24"/>
        </w:rPr>
        <w:t>五、成交通知</w:t>
      </w:r>
      <w:bookmarkEnd w:id="153"/>
      <w:bookmarkEnd w:id="154"/>
      <w:bookmarkEnd w:id="155"/>
      <w:bookmarkEnd w:id="156"/>
      <w:bookmarkEnd w:id="157"/>
      <w:bookmarkEnd w:id="158"/>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（一）成交供应商确定后，采购代理机构将在重庆市交通局网站上发布成交结果公告。</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（三）《成交通知书》将作为签订合同的依据。</w:t>
      </w:r>
    </w:p>
    <w:p>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（四）如有供应商对成交结果提出质疑的，在质疑处理完毕后发出成交通知书。</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59" w:name="_Toc31082"/>
      <w:bookmarkStart w:id="160" w:name="_Toc30909"/>
      <w:bookmarkStart w:id="161" w:name="_Toc1545"/>
      <w:bookmarkStart w:id="162" w:name="_Toc65660360"/>
      <w:bookmarkStart w:id="163" w:name="_Toc106034800"/>
      <w:bookmarkStart w:id="164" w:name="_Toc1010"/>
      <w:r>
        <w:rPr>
          <w:rFonts w:hint="eastAsia" w:ascii="宋体" w:hAnsi="宋体" w:eastAsia="宋体" w:cs="宋体"/>
          <w:color w:val="auto"/>
          <w:sz w:val="24"/>
        </w:rPr>
        <w:t>六、关于质疑和投诉</w:t>
      </w:r>
      <w:bookmarkEnd w:id="159"/>
      <w:bookmarkEnd w:id="160"/>
      <w:bookmarkEnd w:id="161"/>
      <w:bookmarkEnd w:id="162"/>
      <w:bookmarkEnd w:id="163"/>
      <w:bookmarkEnd w:id="164"/>
    </w:p>
    <w:p>
      <w:pPr>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 xml:space="preserve"> （一）质疑</w:t>
      </w:r>
    </w:p>
    <w:p>
      <w:pPr>
        <w:spacing w:line="400" w:lineRule="exact"/>
        <w:ind w:right="12" w:firstLine="480"/>
        <w:rPr>
          <w:rFonts w:ascii="宋体" w:hAnsi="宋体" w:cs="宋体"/>
          <w:color w:val="auto"/>
          <w:sz w:val="24"/>
        </w:rPr>
      </w:pPr>
      <w:r>
        <w:rPr>
          <w:rFonts w:hint="eastAsia" w:ascii="宋体" w:hAnsi="宋体" w:cs="宋体"/>
          <w:color w:val="auto"/>
          <w:sz w:val="24"/>
        </w:rPr>
        <w:t>供应商认为采购文件、采购过程和成交结果使自己的权益收到伤害的，可向采购人或采购代理机构以书面形式提出质疑。</w:t>
      </w:r>
    </w:p>
    <w:p>
      <w:pPr>
        <w:spacing w:line="400" w:lineRule="exact"/>
        <w:ind w:right="12" w:firstLine="480"/>
        <w:rPr>
          <w:rFonts w:ascii="宋体" w:hAnsi="宋体" w:cs="宋体"/>
          <w:color w:val="auto"/>
          <w:sz w:val="24"/>
        </w:rPr>
      </w:pPr>
      <w:r>
        <w:rPr>
          <w:rFonts w:hint="eastAsia" w:ascii="宋体" w:hAnsi="宋体" w:cs="宋体"/>
          <w:color w:val="auto"/>
          <w:sz w:val="24"/>
        </w:rPr>
        <w:t xml:space="preserve">提出质疑的应当是参与所质疑项目采购活动的供应商。 </w:t>
      </w:r>
    </w:p>
    <w:p>
      <w:pPr>
        <w:spacing w:line="400" w:lineRule="exact"/>
        <w:ind w:right="12" w:firstLine="480"/>
        <w:rPr>
          <w:rFonts w:ascii="宋体" w:hAnsi="宋体" w:cs="宋体"/>
          <w:color w:val="auto"/>
          <w:sz w:val="24"/>
        </w:rPr>
      </w:pPr>
      <w:r>
        <w:rPr>
          <w:rFonts w:hint="eastAsia" w:ascii="宋体" w:hAnsi="宋体" w:cs="宋体"/>
          <w:color w:val="auto"/>
          <w:sz w:val="24"/>
        </w:rPr>
        <w:t>1.质疑时限、内容</w:t>
      </w:r>
    </w:p>
    <w:p>
      <w:pPr>
        <w:spacing w:line="400" w:lineRule="exact"/>
        <w:ind w:right="12" w:firstLine="480"/>
        <w:rPr>
          <w:rFonts w:ascii="宋体" w:hAnsi="宋体" w:cs="宋体"/>
          <w:color w:val="auto"/>
          <w:sz w:val="24"/>
        </w:rPr>
      </w:pPr>
      <w:r>
        <w:rPr>
          <w:rFonts w:hint="eastAsia" w:ascii="宋体" w:hAnsi="宋体" w:cs="宋体"/>
          <w:color w:val="auto"/>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pPr>
        <w:spacing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pPr>
        <w:spacing w:line="400" w:lineRule="exact"/>
        <w:ind w:right="12" w:firstLine="480"/>
        <w:rPr>
          <w:rFonts w:ascii="宋体" w:hAnsi="宋体" w:cs="宋体"/>
          <w:color w:val="auto"/>
          <w:sz w:val="24"/>
        </w:rPr>
      </w:pPr>
      <w:r>
        <w:rPr>
          <w:rFonts w:hint="eastAsia" w:ascii="宋体" w:hAnsi="宋体" w:cs="宋体"/>
          <w:color w:val="auto"/>
          <w:sz w:val="24"/>
        </w:rPr>
        <w:t>1.2.2</w:t>
      </w:r>
      <w:r>
        <w:rPr>
          <w:rFonts w:hint="eastAsia" w:ascii="宋体" w:hAnsi="宋体" w:cs="宋体"/>
          <w:color w:val="auto"/>
          <w:sz w:val="24"/>
          <w:szCs w:val="24"/>
        </w:rPr>
        <w:t>质疑项目的项目名称、项目号以及采购执行编号</w:t>
      </w:r>
      <w:r>
        <w:rPr>
          <w:rFonts w:hint="eastAsia" w:ascii="宋体" w:hAnsi="宋体" w:cs="宋体"/>
          <w:color w:val="auto"/>
          <w:sz w:val="24"/>
        </w:rPr>
        <w:t>；</w:t>
      </w:r>
    </w:p>
    <w:p>
      <w:pPr>
        <w:spacing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pPr>
        <w:spacing w:line="400" w:lineRule="exact"/>
        <w:ind w:right="12" w:firstLine="480"/>
        <w:rPr>
          <w:rFonts w:ascii="宋体" w:hAnsi="宋体" w:cs="宋体"/>
          <w:color w:val="auto"/>
          <w:sz w:val="24"/>
        </w:rPr>
      </w:pPr>
      <w:r>
        <w:rPr>
          <w:rFonts w:hint="eastAsia" w:ascii="宋体" w:hAnsi="宋体" w:cs="宋体"/>
          <w:color w:val="auto"/>
          <w:sz w:val="24"/>
        </w:rPr>
        <w:t>1.2.4事实依据；</w:t>
      </w:r>
    </w:p>
    <w:p>
      <w:pPr>
        <w:spacing w:line="400" w:lineRule="exact"/>
        <w:ind w:right="12" w:firstLine="480"/>
        <w:rPr>
          <w:rFonts w:ascii="宋体" w:hAnsi="宋体" w:cs="宋体"/>
          <w:color w:val="auto"/>
          <w:sz w:val="24"/>
        </w:rPr>
      </w:pPr>
      <w:r>
        <w:rPr>
          <w:rFonts w:hint="eastAsia" w:ascii="宋体" w:hAnsi="宋体" w:cs="宋体"/>
          <w:color w:val="auto"/>
          <w:sz w:val="24"/>
        </w:rPr>
        <w:t>1.2.5必要的法律依据；</w:t>
      </w:r>
    </w:p>
    <w:p>
      <w:pPr>
        <w:spacing w:line="400" w:lineRule="exact"/>
        <w:ind w:right="12" w:firstLine="480"/>
        <w:rPr>
          <w:rFonts w:ascii="宋体" w:hAnsi="宋体" w:cs="宋体"/>
          <w:color w:val="auto"/>
          <w:sz w:val="24"/>
        </w:rPr>
      </w:pPr>
      <w:r>
        <w:rPr>
          <w:rFonts w:hint="eastAsia" w:ascii="宋体" w:hAnsi="宋体" w:cs="宋体"/>
          <w:color w:val="auto"/>
          <w:sz w:val="24"/>
        </w:rPr>
        <w:t>1.2.6提出质疑的日期；</w:t>
      </w:r>
    </w:p>
    <w:p>
      <w:pPr>
        <w:spacing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pPr>
        <w:spacing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color w:val="auto"/>
          <w:sz w:val="24"/>
        </w:rPr>
      </w:pPr>
      <w:r>
        <w:rPr>
          <w:rFonts w:hint="eastAsia" w:ascii="宋体" w:hAnsi="宋体" w:cs="宋体"/>
          <w:color w:val="auto"/>
          <w:sz w:val="24"/>
        </w:rPr>
        <w:t>2.质疑答复</w:t>
      </w:r>
    </w:p>
    <w:p>
      <w:pPr>
        <w:spacing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color w:val="auto"/>
          <w:sz w:val="24"/>
        </w:rPr>
      </w:pPr>
      <w:r>
        <w:rPr>
          <w:rFonts w:hint="eastAsia" w:ascii="宋体" w:hAnsi="宋体" w:cs="宋体"/>
          <w:color w:val="auto"/>
          <w:sz w:val="24"/>
        </w:rPr>
        <w:t>3.其他</w:t>
      </w:r>
    </w:p>
    <w:p>
      <w:pPr>
        <w:spacing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pPr>
        <w:spacing w:line="400" w:lineRule="exact"/>
        <w:ind w:right="12" w:firstLine="480"/>
        <w:outlineLvl w:val="2"/>
        <w:rPr>
          <w:rFonts w:ascii="宋体" w:hAnsi="宋体" w:cs="宋体"/>
          <w:color w:val="auto"/>
          <w:sz w:val="24"/>
        </w:rPr>
      </w:pPr>
      <w:r>
        <w:rPr>
          <w:rFonts w:hint="eastAsia" w:ascii="宋体" w:hAnsi="宋体" w:cs="宋体"/>
          <w:color w:val="auto"/>
          <w:sz w:val="24"/>
        </w:rPr>
        <w:t>（二）投诉</w:t>
      </w:r>
    </w:p>
    <w:p>
      <w:pPr>
        <w:spacing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65" w:name="_Toc16648"/>
      <w:bookmarkStart w:id="166" w:name="_Toc3127"/>
      <w:bookmarkStart w:id="167" w:name="_Toc23778"/>
      <w:bookmarkStart w:id="168" w:name="_Toc23519"/>
      <w:bookmarkStart w:id="169" w:name="_Toc106034801"/>
      <w:bookmarkStart w:id="170" w:name="_Toc65660361"/>
      <w:r>
        <w:rPr>
          <w:rFonts w:hint="eastAsia" w:ascii="宋体" w:hAnsi="宋体" w:eastAsia="宋体" w:cs="宋体"/>
          <w:color w:val="auto"/>
          <w:sz w:val="24"/>
        </w:rPr>
        <w:t>七、签订合同</w:t>
      </w:r>
      <w:bookmarkEnd w:id="165"/>
      <w:bookmarkEnd w:id="166"/>
      <w:bookmarkEnd w:id="167"/>
      <w:bookmarkEnd w:id="168"/>
      <w:bookmarkEnd w:id="169"/>
      <w:bookmarkEnd w:id="170"/>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采购人原则上应在成交通知书发出之日起二十日内和成交供应商签订政府采购合同，无正当理由不得拒绝或拖延合同签订</w:t>
      </w:r>
      <w:r>
        <w:rPr>
          <w:rFonts w:hint="eastAsia" w:ascii="宋体" w:hAnsi="宋体" w:cs="宋体"/>
          <w:color w:val="auto"/>
          <w:sz w:val="24"/>
          <w:szCs w:val="24"/>
        </w:rPr>
        <w:t>。所签订的合同不得对</w:t>
      </w:r>
      <w:r>
        <w:rPr>
          <w:rFonts w:hint="eastAsia" w:ascii="宋体" w:hAnsi="宋体" w:cs="宋体"/>
          <w:color w:val="auto"/>
          <w:sz w:val="24"/>
          <w:szCs w:val="24"/>
          <w:lang w:eastAsia="zh-CN"/>
        </w:rPr>
        <w:t>询比采购文件</w:t>
      </w:r>
      <w:r>
        <w:rPr>
          <w:rFonts w:hint="eastAsia" w:ascii="宋体" w:hAnsi="宋体" w:cs="宋体"/>
          <w:color w:val="auto"/>
          <w:sz w:val="24"/>
          <w:szCs w:val="24"/>
        </w:rPr>
        <w:t>和供应商的响应文件作实质性修改。其他未尽事宜由采购人和成交供应商在采购合同中详细约定。</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询比采购文件</w:t>
      </w:r>
      <w:r>
        <w:rPr>
          <w:rFonts w:hint="eastAsia" w:ascii="宋体" w:hAnsi="宋体" w:cs="宋体"/>
          <w:color w:val="auto"/>
          <w:sz w:val="24"/>
          <w:szCs w:val="24"/>
        </w:rPr>
        <w:t>、供应商的响应文件及澄清文件等，均为签订政府采购合同的依据。</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w:t>
      </w:r>
      <w:r>
        <w:rPr>
          <w:rFonts w:hint="eastAsia" w:ascii="宋体" w:hAnsi="宋体" w:cs="宋体"/>
          <w:color w:val="auto"/>
          <w:sz w:val="24"/>
          <w:szCs w:val="24"/>
          <w:lang w:eastAsia="zh-CN"/>
        </w:rPr>
        <w:t>询比采购文件</w:t>
      </w:r>
      <w:r>
        <w:rPr>
          <w:rFonts w:hint="eastAsia" w:ascii="宋体" w:hAnsi="宋体" w:cs="宋体"/>
          <w:color w:val="auto"/>
          <w:sz w:val="24"/>
          <w:szCs w:val="24"/>
        </w:rPr>
        <w:t>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71" w:name="_Toc106034802"/>
      <w:bookmarkStart w:id="172" w:name="_Toc77"/>
      <w:bookmarkStart w:id="173" w:name="_Toc13881"/>
      <w:r>
        <w:rPr>
          <w:rFonts w:hint="eastAsia" w:ascii="宋体" w:hAnsi="宋体" w:eastAsia="宋体" w:cs="宋体"/>
          <w:color w:val="auto"/>
          <w:sz w:val="24"/>
        </w:rPr>
        <w:t>八、项目验收</w:t>
      </w:r>
      <w:bookmarkEnd w:id="171"/>
      <w:bookmarkEnd w:id="172"/>
      <w:bookmarkEnd w:id="173"/>
    </w:p>
    <w:p>
      <w:pPr>
        <w:spacing w:line="400" w:lineRule="exact"/>
        <w:ind w:firstLine="360" w:firstLineChars="150"/>
        <w:rPr>
          <w:rFonts w:ascii="宋体" w:hAnsi="宋体" w:cs="宋体"/>
          <w:color w:val="auto"/>
          <w:sz w:val="24"/>
          <w:szCs w:val="24"/>
        </w:rPr>
      </w:pPr>
      <w:r>
        <w:rPr>
          <w:rFonts w:hint="eastAsia" w:ascii="宋体" w:hAnsi="宋体" w:cs="宋体"/>
          <w:color w:val="auto"/>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宋体" w:hAnsi="宋体" w:eastAsia="宋体" w:cs="宋体"/>
          <w:color w:val="auto"/>
          <w:sz w:val="24"/>
        </w:rPr>
      </w:pPr>
      <w:bookmarkStart w:id="174" w:name="_Toc106034803"/>
      <w:bookmarkStart w:id="175" w:name="_Toc32594"/>
      <w:bookmarkStart w:id="176" w:name="_Toc2438"/>
      <w:bookmarkStart w:id="177" w:name="_Toc29513"/>
      <w:bookmarkStart w:id="178" w:name="_Toc10953"/>
      <w:bookmarkStart w:id="179" w:name="_Toc65660362"/>
      <w:r>
        <w:rPr>
          <w:rFonts w:hint="eastAsia" w:ascii="宋体" w:hAnsi="宋体" w:eastAsia="宋体" w:cs="宋体"/>
          <w:color w:val="auto"/>
          <w:sz w:val="24"/>
        </w:rPr>
        <w:t>九、采购代理服务费</w:t>
      </w:r>
      <w:bookmarkEnd w:id="174"/>
      <w:bookmarkEnd w:id="175"/>
      <w:bookmarkEnd w:id="176"/>
      <w:bookmarkEnd w:id="177"/>
      <w:bookmarkEnd w:id="178"/>
      <w:bookmarkEnd w:id="179"/>
    </w:p>
    <w:p>
      <w:pPr>
        <w:spacing w:line="400" w:lineRule="exact"/>
        <w:ind w:firstLine="480" w:firstLineChars="200"/>
        <w:rPr>
          <w:rFonts w:ascii="宋体" w:hAnsi="宋体" w:cs="宋体"/>
          <w:color w:val="auto"/>
          <w:sz w:val="24"/>
          <w:szCs w:val="24"/>
        </w:rPr>
      </w:pPr>
      <w:r>
        <w:rPr>
          <w:rFonts w:hint="eastAsia" w:ascii="宋体" w:hAnsi="宋体" w:cs="宋体"/>
          <w:color w:val="auto"/>
          <w:sz w:val="24"/>
        </w:rPr>
        <w:t>（一）供应商成交后向采购代理机构缴纳</w:t>
      </w:r>
      <w:r>
        <w:rPr>
          <w:rFonts w:hint="eastAsia" w:ascii="宋体" w:hAnsi="宋体" w:cs="宋体"/>
          <w:color w:val="auto"/>
          <w:sz w:val="24"/>
          <w:szCs w:val="24"/>
        </w:rPr>
        <w:t>采购</w:t>
      </w:r>
      <w:r>
        <w:rPr>
          <w:rFonts w:hint="eastAsia" w:ascii="宋体" w:hAnsi="宋体" w:cs="宋体"/>
          <w:color w:val="auto"/>
          <w:sz w:val="24"/>
        </w:rPr>
        <w:t>代理服务费，</w:t>
      </w:r>
      <w:r>
        <w:rPr>
          <w:rFonts w:hint="eastAsia" w:ascii="宋体" w:hAnsi="宋体" w:cs="宋体"/>
          <w:color w:val="auto"/>
          <w:sz w:val="24"/>
          <w:szCs w:val="24"/>
        </w:rPr>
        <w:t>采购</w:t>
      </w:r>
      <w:r>
        <w:rPr>
          <w:rFonts w:hint="eastAsia" w:ascii="宋体" w:hAnsi="宋体" w:cs="宋体"/>
          <w:color w:val="auto"/>
          <w:sz w:val="24"/>
        </w:rPr>
        <w:t>代理服务费的收取标准按照以下标准执行:按照计划价格〔2002〕1980号文件下浮36%计取，但不低于2700元。</w:t>
      </w:r>
    </w:p>
    <w:p>
      <w:pPr>
        <w:spacing w:line="400" w:lineRule="exact"/>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sectPr>
          <w:pgSz w:w="11907" w:h="16840"/>
          <w:pgMar w:top="1134" w:right="1191" w:bottom="1134" w:left="1304" w:header="964" w:footer="992" w:gutter="0"/>
          <w:pgNumType w:fmt="numberInDash"/>
          <w:cols w:space="720" w:num="1"/>
          <w:docGrid w:linePitch="312" w:charSpace="0"/>
        </w:sectPr>
      </w:pPr>
    </w:p>
    <w:bookmarkEnd w:id="74"/>
    <w:p>
      <w:pPr>
        <w:pStyle w:val="4"/>
        <w:spacing w:before="0" w:after="0" w:line="360" w:lineRule="auto"/>
        <w:jc w:val="center"/>
        <w:rPr>
          <w:rFonts w:ascii="宋体" w:hAnsi="宋体" w:eastAsia="宋体" w:cs="宋体"/>
          <w:b w:val="0"/>
          <w:color w:val="auto"/>
          <w:sz w:val="36"/>
          <w:szCs w:val="30"/>
        </w:rPr>
      </w:pPr>
      <w:bookmarkStart w:id="180" w:name="_Toc12789059"/>
      <w:bookmarkStart w:id="181" w:name="_Toc11641055"/>
      <w:bookmarkStart w:id="182" w:name="_Toc14861"/>
      <w:bookmarkStart w:id="183" w:name="_Toc65660365"/>
      <w:bookmarkStart w:id="184" w:name="_Toc28162"/>
      <w:bookmarkStart w:id="185" w:name="_Toc106034806"/>
      <w:bookmarkStart w:id="186" w:name="_Toc10599"/>
      <w:bookmarkStart w:id="187" w:name="_Toc15540"/>
      <w:r>
        <w:rPr>
          <w:rFonts w:hint="eastAsia" w:ascii="宋体" w:hAnsi="宋体" w:eastAsia="宋体" w:cs="宋体"/>
          <w:b w:val="0"/>
          <w:color w:val="auto"/>
          <w:sz w:val="36"/>
          <w:szCs w:val="30"/>
        </w:rPr>
        <w:t xml:space="preserve">第六篇  </w:t>
      </w:r>
      <w:bookmarkEnd w:id="180"/>
      <w:bookmarkEnd w:id="181"/>
      <w:r>
        <w:rPr>
          <w:rFonts w:hint="eastAsia" w:ascii="宋体" w:hAnsi="宋体" w:eastAsia="宋体" w:cs="宋体"/>
          <w:b w:val="0"/>
          <w:color w:val="auto"/>
          <w:sz w:val="36"/>
          <w:szCs w:val="30"/>
        </w:rPr>
        <w:t>合同草案条款</w:t>
      </w:r>
      <w:bookmarkEnd w:id="182"/>
      <w:bookmarkEnd w:id="183"/>
      <w:bookmarkEnd w:id="184"/>
      <w:bookmarkEnd w:id="185"/>
      <w:bookmarkEnd w:id="186"/>
      <w:bookmarkEnd w:id="187"/>
    </w:p>
    <w:p>
      <w:pPr>
        <w:spacing w:line="400" w:lineRule="exact"/>
        <w:ind w:right="12" w:firstLine="480"/>
        <w:rPr>
          <w:rFonts w:ascii="宋体" w:hAnsi="宋体" w:cs="宋体"/>
          <w:color w:val="auto"/>
          <w:sz w:val="24"/>
        </w:rPr>
      </w:pPr>
    </w:p>
    <w:p>
      <w:pPr>
        <w:spacing w:line="400" w:lineRule="exact"/>
        <w:ind w:right="12" w:firstLine="480"/>
        <w:rPr>
          <w:rFonts w:ascii="宋体" w:hAnsi="宋体" w:cs="宋体"/>
          <w:color w:val="auto"/>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宋体" w:hAnsi="宋体" w:cs="宋体"/>
          <w:color w:val="auto"/>
          <w:sz w:val="24"/>
        </w:rPr>
      </w:pPr>
      <w:bookmarkStart w:id="188" w:name="_Toc303945820"/>
      <w:bookmarkStart w:id="189" w:name="_Toc148265480"/>
      <w:r>
        <w:rPr>
          <w:rFonts w:hint="eastAsia" w:ascii="宋体" w:hAnsi="宋体" w:cs="宋体"/>
          <w:color w:val="auto"/>
          <w:sz w:val="24"/>
        </w:rPr>
        <w:t>附页：合同格式</w:t>
      </w:r>
      <w:bookmarkEnd w:id="188"/>
      <w:bookmarkEnd w:id="189"/>
    </w:p>
    <w:p>
      <w:pPr>
        <w:tabs>
          <w:tab w:val="left" w:pos="9000"/>
        </w:tabs>
        <w:spacing w:line="276" w:lineRule="auto"/>
        <w:jc w:val="center"/>
        <w:rPr>
          <w:rFonts w:ascii="宋体" w:hAnsi="宋体" w:cs="宋体"/>
          <w:color w:val="auto"/>
        </w:rPr>
      </w:pPr>
    </w:p>
    <w:p>
      <w:pPr>
        <w:tabs>
          <w:tab w:val="left" w:pos="9000"/>
        </w:tabs>
        <w:spacing w:line="276" w:lineRule="auto"/>
        <w:jc w:val="center"/>
        <w:rPr>
          <w:rFonts w:ascii="宋体" w:hAnsi="宋体" w:cs="宋体"/>
          <w:color w:val="auto"/>
        </w:rPr>
      </w:pPr>
    </w:p>
    <w:p>
      <w:pPr>
        <w:spacing w:line="500" w:lineRule="exact"/>
        <w:jc w:val="center"/>
        <w:outlineLvl w:val="1"/>
        <w:rPr>
          <w:rFonts w:ascii="宋体" w:hAnsi="宋体" w:cs="宋体"/>
          <w:b/>
          <w:color w:val="auto"/>
          <w:sz w:val="44"/>
        </w:rPr>
      </w:pPr>
      <w:r>
        <w:rPr>
          <w:rFonts w:hint="eastAsia" w:ascii="宋体" w:hAnsi="宋体" w:cs="宋体"/>
          <w:b/>
          <w:color w:val="auto"/>
          <w:sz w:val="44"/>
        </w:rPr>
        <w:t>重庆市政府采购购销合同</w:t>
      </w:r>
    </w:p>
    <w:p>
      <w:pPr>
        <w:spacing w:line="500" w:lineRule="exact"/>
        <w:jc w:val="center"/>
        <w:outlineLvl w:val="1"/>
        <w:rPr>
          <w:rFonts w:ascii="宋体" w:hAnsi="宋体" w:cs="宋体"/>
          <w:color w:val="auto"/>
          <w:sz w:val="36"/>
          <w:szCs w:val="36"/>
        </w:rPr>
      </w:pPr>
      <w:r>
        <w:rPr>
          <w:rFonts w:hint="eastAsia" w:ascii="宋体" w:hAnsi="宋体" w:cs="宋体"/>
          <w:color w:val="auto"/>
          <w:sz w:val="36"/>
          <w:szCs w:val="36"/>
        </w:rPr>
        <w:t>（</w:t>
      </w:r>
      <w:r>
        <w:rPr>
          <w:rFonts w:hint="eastAsia" w:ascii="宋体" w:hAnsi="宋体" w:cs="宋体"/>
          <w:color w:val="auto"/>
          <w:sz w:val="36"/>
          <w:szCs w:val="36"/>
          <w:lang w:eastAsia="zh-CN"/>
        </w:rPr>
        <w:t>询比</w:t>
      </w:r>
      <w:r>
        <w:rPr>
          <w:rFonts w:hint="eastAsia" w:ascii="宋体" w:hAnsi="宋体" w:cs="宋体"/>
          <w:color w:val="auto"/>
          <w:sz w:val="36"/>
          <w:szCs w:val="36"/>
        </w:rPr>
        <w:t>）</w:t>
      </w:r>
    </w:p>
    <w:p>
      <w:pPr>
        <w:spacing w:line="500" w:lineRule="exact"/>
        <w:jc w:val="center"/>
        <w:outlineLvl w:val="1"/>
        <w:rPr>
          <w:rFonts w:ascii="宋体" w:hAnsi="宋体" w:cs="宋体"/>
          <w:color w:val="auto"/>
        </w:rPr>
      </w:pPr>
      <w:r>
        <w:rPr>
          <w:rFonts w:hint="eastAsia" w:ascii="宋体" w:hAnsi="宋体" w:cs="宋体"/>
          <w:color w:val="auto"/>
        </w:rPr>
        <w:t>（项目号：     ）</w:t>
      </w:r>
    </w:p>
    <w:p>
      <w:pPr>
        <w:spacing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pPr>
        <w:spacing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pPr>
        <w:spacing w:line="500" w:lineRule="exact"/>
        <w:rPr>
          <w:rFonts w:ascii="宋体" w:hAnsi="宋体" w:cs="宋体"/>
          <w:color w:val="auto"/>
          <w:sz w:val="24"/>
        </w:rPr>
      </w:pPr>
    </w:p>
    <w:p>
      <w:pPr>
        <w:spacing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宋体" w:hAnsi="宋体" w:cs="宋体"/>
                <w:color w:val="auto"/>
                <w:sz w:val="24"/>
              </w:rPr>
            </w:pPr>
            <w:r>
              <w:rPr>
                <w:rFonts w:hint="eastAsia" w:ascii="宋体" w:hAnsi="宋体" w:cs="宋体"/>
                <w:color w:val="auto"/>
                <w:sz w:val="24"/>
              </w:rPr>
              <w:t>商品名称</w:t>
            </w:r>
          </w:p>
        </w:tc>
        <w:tc>
          <w:tcPr>
            <w:tcW w:w="1741" w:type="dxa"/>
            <w:vAlign w:val="center"/>
          </w:tcPr>
          <w:p>
            <w:pPr>
              <w:spacing w:line="500" w:lineRule="exact"/>
              <w:jc w:val="center"/>
              <w:rPr>
                <w:rFonts w:ascii="宋体" w:hAnsi="宋体" w:cs="宋体"/>
                <w:color w:val="auto"/>
                <w:sz w:val="24"/>
              </w:rPr>
            </w:pPr>
            <w:r>
              <w:rPr>
                <w:rFonts w:hint="eastAsia" w:ascii="宋体" w:hAnsi="宋体" w:cs="宋体"/>
                <w:color w:val="auto"/>
                <w:sz w:val="24"/>
              </w:rPr>
              <w:t>规格型号</w:t>
            </w:r>
          </w:p>
        </w:tc>
        <w:tc>
          <w:tcPr>
            <w:tcW w:w="984" w:type="dxa"/>
            <w:vAlign w:val="center"/>
          </w:tcPr>
          <w:p>
            <w:pPr>
              <w:spacing w:line="500" w:lineRule="exact"/>
              <w:jc w:val="center"/>
              <w:rPr>
                <w:rFonts w:ascii="宋体" w:hAnsi="宋体" w:cs="宋体"/>
                <w:color w:val="auto"/>
                <w:sz w:val="24"/>
              </w:rPr>
            </w:pPr>
            <w:r>
              <w:rPr>
                <w:rFonts w:hint="eastAsia" w:ascii="宋体" w:hAnsi="宋体" w:cs="宋体"/>
                <w:color w:val="auto"/>
                <w:sz w:val="24"/>
              </w:rPr>
              <w:t>数量</w:t>
            </w:r>
          </w:p>
        </w:tc>
        <w:tc>
          <w:tcPr>
            <w:tcW w:w="873" w:type="dxa"/>
            <w:vAlign w:val="center"/>
          </w:tcPr>
          <w:p>
            <w:pPr>
              <w:spacing w:line="500" w:lineRule="exact"/>
              <w:jc w:val="center"/>
              <w:rPr>
                <w:rFonts w:ascii="宋体" w:hAnsi="宋体" w:cs="宋体"/>
                <w:color w:val="auto"/>
                <w:sz w:val="24"/>
              </w:rPr>
            </w:pPr>
            <w:r>
              <w:rPr>
                <w:rFonts w:hint="eastAsia" w:ascii="宋体" w:hAnsi="宋体" w:cs="宋体"/>
                <w:color w:val="auto"/>
                <w:sz w:val="24"/>
              </w:rPr>
              <w:t>单价</w:t>
            </w:r>
          </w:p>
        </w:tc>
        <w:tc>
          <w:tcPr>
            <w:tcW w:w="899" w:type="dxa"/>
            <w:vAlign w:val="center"/>
          </w:tcPr>
          <w:p>
            <w:pPr>
              <w:spacing w:line="500" w:lineRule="exact"/>
              <w:jc w:val="center"/>
              <w:rPr>
                <w:rFonts w:ascii="宋体" w:hAnsi="宋体" w:cs="宋体"/>
                <w:color w:val="auto"/>
                <w:sz w:val="24"/>
              </w:rPr>
            </w:pPr>
            <w:r>
              <w:rPr>
                <w:rFonts w:hint="eastAsia" w:ascii="宋体" w:hAnsi="宋体" w:cs="宋体"/>
                <w:color w:val="auto"/>
                <w:sz w:val="24"/>
              </w:rPr>
              <w:t>总价</w:t>
            </w:r>
          </w:p>
        </w:tc>
        <w:tc>
          <w:tcPr>
            <w:tcW w:w="1575" w:type="dxa"/>
            <w:vAlign w:val="center"/>
          </w:tcPr>
          <w:p>
            <w:pPr>
              <w:spacing w:line="500" w:lineRule="exact"/>
              <w:jc w:val="center"/>
              <w:rPr>
                <w:rFonts w:ascii="宋体" w:hAnsi="宋体" w:cs="宋体"/>
                <w:color w:val="auto"/>
                <w:sz w:val="24"/>
              </w:rPr>
            </w:pPr>
            <w:r>
              <w:rPr>
                <w:rFonts w:hint="eastAsia" w:ascii="宋体" w:hAnsi="宋体" w:cs="宋体"/>
                <w:color w:val="auto"/>
                <w:sz w:val="24"/>
              </w:rPr>
              <w:t>交货时间</w:t>
            </w:r>
          </w:p>
        </w:tc>
        <w:tc>
          <w:tcPr>
            <w:tcW w:w="2211" w:type="dxa"/>
            <w:vAlign w:val="center"/>
          </w:tcPr>
          <w:p>
            <w:pPr>
              <w:spacing w:line="500" w:lineRule="exact"/>
              <w:jc w:val="center"/>
              <w:rPr>
                <w:rFonts w:ascii="宋体" w:hAnsi="宋体" w:cs="宋体"/>
                <w:color w:val="auto"/>
                <w:sz w:val="24"/>
              </w:rPr>
            </w:pPr>
            <w:r>
              <w:rPr>
                <w:rFonts w:hint="eastAsia" w:ascii="宋体" w:hAnsi="宋体" w:cs="宋体"/>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宋体" w:hAnsi="宋体" w:cs="宋体"/>
                <w:color w:val="auto"/>
                <w:sz w:val="24"/>
              </w:rPr>
            </w:pPr>
          </w:p>
        </w:tc>
        <w:tc>
          <w:tcPr>
            <w:tcW w:w="1741" w:type="dxa"/>
            <w:tcBorders>
              <w:bottom w:val="single" w:color="auto" w:sz="4" w:space="0"/>
            </w:tcBorders>
            <w:vAlign w:val="center"/>
          </w:tcPr>
          <w:p>
            <w:pPr>
              <w:spacing w:line="500" w:lineRule="exact"/>
              <w:jc w:val="center"/>
              <w:rPr>
                <w:rFonts w:ascii="宋体" w:hAnsi="宋体" w:cs="宋体"/>
                <w:color w:val="auto"/>
                <w:sz w:val="24"/>
              </w:rPr>
            </w:pPr>
          </w:p>
        </w:tc>
        <w:tc>
          <w:tcPr>
            <w:tcW w:w="984" w:type="dxa"/>
            <w:tcBorders>
              <w:bottom w:val="single" w:color="auto" w:sz="4" w:space="0"/>
            </w:tcBorders>
            <w:vAlign w:val="center"/>
          </w:tcPr>
          <w:p>
            <w:pPr>
              <w:spacing w:line="500" w:lineRule="exact"/>
              <w:jc w:val="center"/>
              <w:rPr>
                <w:rFonts w:ascii="宋体" w:hAnsi="宋体" w:cs="宋体"/>
                <w:color w:val="auto"/>
                <w:sz w:val="24"/>
              </w:rPr>
            </w:pPr>
          </w:p>
        </w:tc>
        <w:tc>
          <w:tcPr>
            <w:tcW w:w="873" w:type="dxa"/>
            <w:tcBorders>
              <w:bottom w:val="single" w:color="auto" w:sz="4" w:space="0"/>
            </w:tcBorders>
            <w:vAlign w:val="center"/>
          </w:tcPr>
          <w:p>
            <w:pPr>
              <w:spacing w:line="500" w:lineRule="exact"/>
              <w:jc w:val="center"/>
              <w:rPr>
                <w:rFonts w:ascii="宋体" w:hAnsi="宋体" w:cs="宋体"/>
                <w:color w:val="auto"/>
                <w:sz w:val="24"/>
              </w:rPr>
            </w:pPr>
          </w:p>
        </w:tc>
        <w:tc>
          <w:tcPr>
            <w:tcW w:w="899" w:type="dxa"/>
            <w:tcBorders>
              <w:bottom w:val="single" w:color="auto" w:sz="4" w:space="0"/>
            </w:tcBorders>
            <w:vAlign w:val="center"/>
          </w:tcPr>
          <w:p>
            <w:pPr>
              <w:spacing w:line="500" w:lineRule="exact"/>
              <w:jc w:val="center"/>
              <w:rPr>
                <w:rFonts w:ascii="宋体" w:hAnsi="宋体" w:cs="宋体"/>
                <w:color w:val="auto"/>
                <w:sz w:val="24"/>
              </w:rPr>
            </w:pPr>
          </w:p>
        </w:tc>
        <w:tc>
          <w:tcPr>
            <w:tcW w:w="1575" w:type="dxa"/>
            <w:tcBorders>
              <w:bottom w:val="single" w:color="auto" w:sz="4" w:space="0"/>
            </w:tcBorders>
            <w:vAlign w:val="center"/>
          </w:tcPr>
          <w:p>
            <w:pPr>
              <w:spacing w:line="500" w:lineRule="exact"/>
              <w:jc w:val="center"/>
              <w:rPr>
                <w:rFonts w:ascii="宋体" w:hAnsi="宋体" w:cs="宋体"/>
                <w:color w:val="auto"/>
                <w:sz w:val="24"/>
              </w:rPr>
            </w:pPr>
          </w:p>
        </w:tc>
        <w:tc>
          <w:tcPr>
            <w:tcW w:w="2211" w:type="dxa"/>
            <w:tcBorders>
              <w:bottom w:val="single" w:color="auto" w:sz="4" w:space="0"/>
            </w:tcBorders>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color w:val="auto"/>
                <w:sz w:val="24"/>
              </w:rPr>
            </w:pPr>
          </w:p>
        </w:tc>
        <w:tc>
          <w:tcPr>
            <w:tcW w:w="1741" w:type="dxa"/>
            <w:vAlign w:val="center"/>
          </w:tcPr>
          <w:p>
            <w:pPr>
              <w:spacing w:line="500" w:lineRule="exact"/>
              <w:jc w:val="center"/>
              <w:rPr>
                <w:rFonts w:ascii="宋体" w:hAnsi="宋体" w:cs="宋体"/>
                <w:color w:val="auto"/>
                <w:sz w:val="24"/>
              </w:rPr>
            </w:pPr>
          </w:p>
        </w:tc>
        <w:tc>
          <w:tcPr>
            <w:tcW w:w="984" w:type="dxa"/>
            <w:vAlign w:val="center"/>
          </w:tcPr>
          <w:p>
            <w:pPr>
              <w:spacing w:line="500" w:lineRule="exact"/>
              <w:jc w:val="center"/>
              <w:rPr>
                <w:rFonts w:ascii="宋体" w:hAnsi="宋体" w:cs="宋体"/>
                <w:color w:val="auto"/>
                <w:sz w:val="24"/>
              </w:rPr>
            </w:pPr>
          </w:p>
        </w:tc>
        <w:tc>
          <w:tcPr>
            <w:tcW w:w="873" w:type="dxa"/>
            <w:vAlign w:val="center"/>
          </w:tcPr>
          <w:p>
            <w:pPr>
              <w:spacing w:line="500" w:lineRule="exact"/>
              <w:jc w:val="center"/>
              <w:rPr>
                <w:rFonts w:ascii="宋体" w:hAnsi="宋体" w:cs="宋体"/>
                <w:color w:val="auto"/>
                <w:sz w:val="24"/>
              </w:rPr>
            </w:pPr>
          </w:p>
        </w:tc>
        <w:tc>
          <w:tcPr>
            <w:tcW w:w="899" w:type="dxa"/>
            <w:vAlign w:val="center"/>
          </w:tcPr>
          <w:p>
            <w:pPr>
              <w:spacing w:line="500" w:lineRule="exact"/>
              <w:jc w:val="center"/>
              <w:rPr>
                <w:rFonts w:ascii="宋体" w:hAnsi="宋体" w:cs="宋体"/>
                <w:color w:val="auto"/>
                <w:sz w:val="24"/>
              </w:rPr>
            </w:pPr>
          </w:p>
        </w:tc>
        <w:tc>
          <w:tcPr>
            <w:tcW w:w="1575" w:type="dxa"/>
            <w:vAlign w:val="center"/>
          </w:tcPr>
          <w:p>
            <w:pPr>
              <w:spacing w:line="500" w:lineRule="exact"/>
              <w:jc w:val="center"/>
              <w:rPr>
                <w:rFonts w:ascii="宋体" w:hAnsi="宋体" w:cs="宋体"/>
                <w:color w:val="auto"/>
                <w:sz w:val="24"/>
              </w:rPr>
            </w:pPr>
          </w:p>
        </w:tc>
        <w:tc>
          <w:tcPr>
            <w:tcW w:w="2211" w:type="dxa"/>
            <w:vAlign w:val="center"/>
          </w:tcPr>
          <w:p>
            <w:pPr>
              <w:spacing w:line="5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color w:val="auto"/>
                <w:sz w:val="24"/>
              </w:rPr>
            </w:pPr>
            <w:r>
              <w:rPr>
                <w:rFonts w:hint="eastAsia" w:ascii="宋体" w:hAnsi="宋体" w:cs="宋体"/>
                <w:color w:val="auto"/>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color w:val="auto"/>
                <w:sz w:val="24"/>
              </w:rPr>
            </w:pPr>
            <w:r>
              <w:rPr>
                <w:rFonts w:hint="eastAsia" w:ascii="宋体" w:hAnsi="宋体" w:cs="宋体"/>
                <w:color w:val="auto"/>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宋体" w:hAnsi="宋体" w:cs="宋体"/>
                <w:color w:val="auto"/>
                <w:sz w:val="24"/>
              </w:rPr>
            </w:pPr>
            <w:r>
              <w:rPr>
                <w:rFonts w:hint="eastAsia" w:ascii="宋体" w:hAnsi="宋体" w:cs="宋体"/>
                <w:color w:val="auto"/>
                <w:sz w:val="24"/>
              </w:rPr>
              <w:t>一、质量要求和技术标准。供方提供的商品必须是全新的，完全符合国家有关技术标准，供方的质量保证及售后服务承诺如下：</w:t>
            </w:r>
          </w:p>
          <w:p>
            <w:pPr>
              <w:spacing w:line="500" w:lineRule="exact"/>
              <w:rPr>
                <w:rFonts w:ascii="宋体" w:hAnsi="宋体" w:cs="宋体"/>
                <w:color w:val="auto"/>
                <w:sz w:val="24"/>
              </w:rPr>
            </w:pPr>
            <w:r>
              <w:rPr>
                <w:rFonts w:hint="eastAsia" w:ascii="宋体" w:hAnsi="宋体" w:cs="宋体"/>
                <w:color w:val="auto"/>
                <w:sz w:val="24"/>
              </w:rPr>
              <w:t>1.质保期限：</w:t>
            </w:r>
          </w:p>
          <w:p>
            <w:pPr>
              <w:spacing w:line="500" w:lineRule="exact"/>
              <w:rPr>
                <w:rFonts w:ascii="宋体" w:hAnsi="宋体" w:cs="宋体"/>
                <w:color w:val="auto"/>
                <w:sz w:val="24"/>
              </w:rPr>
            </w:pPr>
            <w:r>
              <w:rPr>
                <w:rFonts w:hint="eastAsia" w:ascii="宋体" w:hAnsi="宋体" w:cs="宋体"/>
                <w:color w:val="auto"/>
                <w:sz w:val="24"/>
              </w:rPr>
              <w:t>2.保修范围：</w:t>
            </w:r>
          </w:p>
          <w:p>
            <w:pPr>
              <w:spacing w:line="500" w:lineRule="exact"/>
              <w:rPr>
                <w:rFonts w:ascii="宋体" w:hAnsi="宋体" w:cs="宋体"/>
                <w:color w:val="auto"/>
                <w:sz w:val="24"/>
              </w:rPr>
            </w:pPr>
            <w:r>
              <w:rPr>
                <w:rFonts w:hint="eastAsia" w:ascii="宋体" w:hAnsi="宋体" w:cs="宋体"/>
                <w:color w:val="auto"/>
                <w:sz w:val="24"/>
              </w:rPr>
              <w:t>3.服务措施：</w:t>
            </w:r>
          </w:p>
          <w:p>
            <w:pPr>
              <w:spacing w:line="500" w:lineRule="exact"/>
              <w:rPr>
                <w:rFonts w:ascii="宋体" w:hAnsi="宋体" w:cs="宋体"/>
                <w:color w:val="auto"/>
                <w:sz w:val="24"/>
              </w:rPr>
            </w:pPr>
            <w:r>
              <w:rPr>
                <w:rFonts w:hint="eastAsia" w:ascii="宋体" w:hAnsi="宋体" w:cs="宋体"/>
                <w:color w:val="auto"/>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宋体" w:hAnsi="宋体" w:cs="宋体"/>
                <w:color w:val="auto"/>
                <w:sz w:val="24"/>
              </w:rPr>
            </w:pPr>
            <w:r>
              <w:rPr>
                <w:rFonts w:hint="eastAsia" w:ascii="宋体" w:hAnsi="宋体" w:cs="宋体"/>
                <w:color w:val="auto"/>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宋体" w:hAnsi="宋体" w:cs="宋体"/>
                <w:color w:val="auto"/>
                <w:sz w:val="24"/>
              </w:rPr>
            </w:pPr>
            <w:r>
              <w:rPr>
                <w:rFonts w:hint="eastAsia" w:ascii="宋体" w:hAnsi="宋体" w:cs="宋体"/>
                <w:color w:val="auto"/>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四、验收标准、方法：</w:t>
            </w:r>
          </w:p>
          <w:p>
            <w:pPr>
              <w:spacing w:line="500" w:lineRule="exact"/>
              <w:rPr>
                <w:rFonts w:ascii="宋体" w:hAnsi="宋体" w:cs="宋体"/>
                <w:color w:val="auto"/>
                <w:sz w:val="24"/>
              </w:rPr>
            </w:pPr>
            <w:r>
              <w:rPr>
                <w:rFonts w:hint="eastAsia" w:ascii="宋体" w:hAnsi="宋体" w:cs="宋体"/>
                <w:color w:val="auto"/>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34"/>
              <w:spacing w:line="500" w:lineRule="exact"/>
              <w:rPr>
                <w:rFonts w:ascii="宋体" w:hAnsi="宋体" w:cs="宋体"/>
                <w:color w:val="auto"/>
                <w:sz w:val="24"/>
              </w:rPr>
            </w:pPr>
            <w:r>
              <w:rPr>
                <w:rFonts w:hint="eastAsia" w:ascii="宋体" w:hAnsi="宋体" w:cs="宋体"/>
                <w:color w:val="auto"/>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六、付款方式：</w:t>
            </w:r>
          </w:p>
          <w:p>
            <w:pPr>
              <w:pStyle w:val="34"/>
              <w:spacing w:line="500" w:lineRule="exact"/>
              <w:rPr>
                <w:rFonts w:ascii="宋体" w:hAnsi="宋体" w:cs="宋体"/>
                <w:color w:val="auto"/>
                <w:sz w:val="24"/>
              </w:rPr>
            </w:pPr>
            <w:r>
              <w:rPr>
                <w:rFonts w:hint="eastAsia" w:ascii="宋体" w:hAnsi="宋体" w:cs="宋体"/>
                <w:color w:val="auto"/>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七、违约责任：</w:t>
            </w:r>
          </w:p>
          <w:p>
            <w:pPr>
              <w:spacing w:line="500" w:lineRule="exact"/>
              <w:rPr>
                <w:rFonts w:ascii="宋体" w:hAnsi="宋体" w:cs="宋体"/>
                <w:color w:val="auto"/>
                <w:sz w:val="24"/>
              </w:rPr>
            </w:pPr>
            <w:r>
              <w:rPr>
                <w:rFonts w:hint="eastAsia" w:ascii="宋体" w:hAnsi="宋体" w:cs="宋体"/>
                <w:color w:val="auto"/>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八、其他约定事项：</w:t>
            </w:r>
          </w:p>
          <w:p>
            <w:pPr>
              <w:tabs>
                <w:tab w:val="left" w:pos="360"/>
              </w:tabs>
              <w:spacing w:line="500" w:lineRule="exac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询比采购文件</w:t>
            </w:r>
            <w:r>
              <w:rPr>
                <w:rFonts w:hint="eastAsia" w:ascii="宋体" w:hAnsi="宋体" w:cs="宋体"/>
                <w:color w:val="auto"/>
                <w:sz w:val="24"/>
              </w:rPr>
              <w:t>及其澄清文件、响应文件和承诺是本合同不可分割的部分。</w:t>
            </w:r>
          </w:p>
          <w:p>
            <w:pPr>
              <w:tabs>
                <w:tab w:val="left" w:pos="360"/>
              </w:tabs>
              <w:spacing w:line="500" w:lineRule="exact"/>
              <w:rPr>
                <w:rFonts w:ascii="宋体" w:hAnsi="宋体" w:cs="宋体"/>
                <w:color w:val="auto"/>
                <w:sz w:val="24"/>
              </w:rPr>
            </w:pPr>
            <w:r>
              <w:rPr>
                <w:rFonts w:hint="eastAsia" w:ascii="宋体" w:hAnsi="宋体" w:cs="宋体"/>
                <w:color w:val="auto"/>
                <w:sz w:val="24"/>
              </w:rPr>
              <w:t>2.本合同如发生争议由双方协商解决，协商不成向需方所在地仲裁机构提请仲裁。</w:t>
            </w:r>
          </w:p>
          <w:p>
            <w:pPr>
              <w:tabs>
                <w:tab w:val="left" w:pos="360"/>
              </w:tabs>
              <w:spacing w:line="500" w:lineRule="exact"/>
              <w:rPr>
                <w:rFonts w:ascii="宋体" w:hAnsi="宋体" w:cs="宋体"/>
                <w:color w:val="auto"/>
                <w:sz w:val="24"/>
              </w:rPr>
            </w:pPr>
            <w:r>
              <w:rPr>
                <w:rFonts w:hint="eastAsia" w:ascii="宋体" w:hAnsi="宋体" w:cs="宋体"/>
                <w:color w:val="auto"/>
                <w:sz w:val="24"/>
              </w:rPr>
              <w:t>3.本合同一式__份， 需方__份，供方__份，具同等法律效力。</w:t>
            </w:r>
          </w:p>
          <w:p>
            <w:pPr>
              <w:tabs>
                <w:tab w:val="left" w:pos="360"/>
              </w:tabs>
              <w:spacing w:line="500" w:lineRule="exact"/>
              <w:rPr>
                <w:rFonts w:ascii="宋体" w:hAnsi="宋体" w:cs="宋体"/>
                <w:color w:val="auto"/>
                <w:sz w:val="24"/>
              </w:rPr>
            </w:pPr>
            <w:r>
              <w:rPr>
                <w:rFonts w:hint="eastAsia" w:ascii="宋体" w:hAnsi="宋体" w:cs="宋体"/>
                <w:color w:val="auto"/>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宋体" w:hAnsi="宋体" w:cs="宋体"/>
                <w:color w:val="auto"/>
                <w:sz w:val="24"/>
              </w:rPr>
            </w:pPr>
            <w:r>
              <w:rPr>
                <w:rFonts w:hint="eastAsia" w:ascii="宋体" w:hAnsi="宋体" w:cs="宋体"/>
                <w:color w:val="auto"/>
                <w:sz w:val="24"/>
              </w:rPr>
              <w:t>需方：</w:t>
            </w:r>
          </w:p>
          <w:p>
            <w:pPr>
              <w:spacing w:line="500" w:lineRule="exact"/>
              <w:rPr>
                <w:rFonts w:ascii="宋体" w:hAnsi="宋体" w:cs="宋体"/>
                <w:color w:val="auto"/>
                <w:sz w:val="24"/>
              </w:rPr>
            </w:pPr>
            <w:r>
              <w:rPr>
                <w:rFonts w:hint="eastAsia" w:ascii="宋体" w:hAnsi="宋体" w:cs="宋体"/>
                <w:color w:val="auto"/>
                <w:sz w:val="24"/>
              </w:rPr>
              <w:t>地址：</w:t>
            </w:r>
          </w:p>
          <w:p>
            <w:pPr>
              <w:spacing w:line="500" w:lineRule="exact"/>
              <w:rPr>
                <w:rFonts w:ascii="宋体" w:hAnsi="宋体" w:cs="宋体"/>
                <w:color w:val="auto"/>
                <w:sz w:val="24"/>
              </w:rPr>
            </w:pPr>
            <w:r>
              <w:rPr>
                <w:rFonts w:hint="eastAsia" w:ascii="宋体" w:hAnsi="宋体" w:cs="宋体"/>
                <w:color w:val="auto"/>
                <w:sz w:val="24"/>
              </w:rPr>
              <w:t>联系电话：</w:t>
            </w:r>
          </w:p>
          <w:p>
            <w:pPr>
              <w:spacing w:line="500" w:lineRule="exact"/>
              <w:rPr>
                <w:rFonts w:ascii="宋体" w:hAnsi="宋体" w:cs="宋体"/>
                <w:color w:val="auto"/>
                <w:sz w:val="24"/>
              </w:rPr>
            </w:pPr>
            <w:r>
              <w:rPr>
                <w:rFonts w:hint="eastAsia" w:ascii="宋体" w:hAnsi="宋体" w:cs="宋体"/>
                <w:color w:val="auto"/>
                <w:sz w:val="24"/>
              </w:rPr>
              <w:t>授权代表：</w:t>
            </w:r>
          </w:p>
        </w:tc>
        <w:tc>
          <w:tcPr>
            <w:tcW w:w="4700" w:type="dxa"/>
            <w:gridSpan w:val="4"/>
          </w:tcPr>
          <w:p>
            <w:pPr>
              <w:spacing w:line="500" w:lineRule="exact"/>
              <w:rPr>
                <w:rFonts w:ascii="宋体" w:hAnsi="宋体" w:cs="宋体"/>
                <w:color w:val="auto"/>
                <w:sz w:val="24"/>
              </w:rPr>
            </w:pPr>
            <w:r>
              <w:rPr>
                <w:rFonts w:hint="eastAsia" w:ascii="宋体" w:hAnsi="宋体" w:cs="宋体"/>
                <w:color w:val="auto"/>
                <w:sz w:val="24"/>
              </w:rPr>
              <w:t>供方：</w:t>
            </w:r>
          </w:p>
          <w:p>
            <w:pPr>
              <w:spacing w:line="500" w:lineRule="exact"/>
              <w:rPr>
                <w:rFonts w:ascii="宋体" w:hAnsi="宋体" w:cs="宋体"/>
                <w:color w:val="auto"/>
                <w:sz w:val="24"/>
              </w:rPr>
            </w:pPr>
            <w:r>
              <w:rPr>
                <w:rFonts w:hint="eastAsia" w:ascii="宋体" w:hAnsi="宋体" w:cs="宋体"/>
                <w:color w:val="auto"/>
                <w:sz w:val="24"/>
              </w:rPr>
              <w:t>地址：</w:t>
            </w:r>
          </w:p>
          <w:p>
            <w:pPr>
              <w:spacing w:line="500" w:lineRule="exact"/>
              <w:rPr>
                <w:rFonts w:ascii="宋体" w:hAnsi="宋体" w:cs="宋体"/>
                <w:color w:val="auto"/>
                <w:sz w:val="24"/>
              </w:rPr>
            </w:pPr>
            <w:r>
              <w:rPr>
                <w:rFonts w:hint="eastAsia" w:ascii="宋体" w:hAnsi="宋体" w:cs="宋体"/>
                <w:color w:val="auto"/>
                <w:sz w:val="24"/>
              </w:rPr>
              <w:t>电话：</w:t>
            </w:r>
          </w:p>
          <w:p>
            <w:pPr>
              <w:spacing w:line="500" w:lineRule="exact"/>
              <w:rPr>
                <w:rFonts w:ascii="宋体" w:hAnsi="宋体" w:cs="宋体"/>
                <w:color w:val="auto"/>
                <w:sz w:val="24"/>
              </w:rPr>
            </w:pPr>
            <w:r>
              <w:rPr>
                <w:rFonts w:hint="eastAsia" w:ascii="宋体" w:hAnsi="宋体" w:cs="宋体"/>
                <w:color w:val="auto"/>
                <w:sz w:val="24"/>
              </w:rPr>
              <w:t>传真：</w:t>
            </w:r>
          </w:p>
          <w:p>
            <w:pPr>
              <w:spacing w:line="500" w:lineRule="exact"/>
              <w:rPr>
                <w:rFonts w:ascii="宋体" w:hAnsi="宋体" w:cs="宋体"/>
                <w:color w:val="auto"/>
                <w:sz w:val="24"/>
              </w:rPr>
            </w:pPr>
            <w:r>
              <w:rPr>
                <w:rFonts w:hint="eastAsia" w:ascii="宋体" w:hAnsi="宋体" w:cs="宋体"/>
                <w:color w:val="auto"/>
                <w:sz w:val="24"/>
              </w:rPr>
              <w:t>开户银行：</w:t>
            </w:r>
          </w:p>
          <w:p>
            <w:pPr>
              <w:spacing w:line="500" w:lineRule="exact"/>
              <w:rPr>
                <w:rFonts w:ascii="宋体" w:hAnsi="宋体" w:cs="宋体"/>
                <w:color w:val="auto"/>
                <w:sz w:val="24"/>
              </w:rPr>
            </w:pPr>
            <w:r>
              <w:rPr>
                <w:rFonts w:hint="eastAsia" w:ascii="宋体" w:hAnsi="宋体" w:cs="宋体"/>
                <w:color w:val="auto"/>
                <w:sz w:val="24"/>
              </w:rPr>
              <w:t>账号：</w:t>
            </w:r>
          </w:p>
          <w:p>
            <w:pPr>
              <w:spacing w:line="500" w:lineRule="exact"/>
              <w:rPr>
                <w:rFonts w:ascii="宋体" w:hAnsi="宋体" w:cs="宋体"/>
                <w:color w:val="auto"/>
                <w:sz w:val="24"/>
              </w:rPr>
            </w:pPr>
            <w:r>
              <w:rPr>
                <w:rFonts w:hint="eastAsia" w:ascii="宋体" w:hAnsi="宋体" w:cs="宋体"/>
                <w:color w:val="auto"/>
                <w:sz w:val="24"/>
              </w:rPr>
              <w:t>授权代表：</w:t>
            </w:r>
          </w:p>
          <w:p>
            <w:pPr>
              <w:spacing w:line="500" w:lineRule="exact"/>
              <w:rPr>
                <w:rFonts w:ascii="宋体" w:hAnsi="宋体" w:cs="宋体"/>
                <w:color w:val="auto"/>
                <w:sz w:val="24"/>
              </w:rPr>
            </w:pPr>
            <w:r>
              <w:rPr>
                <w:rFonts w:hint="eastAsia" w:ascii="宋体" w:hAnsi="宋体" w:cs="宋体"/>
                <w:color w:val="auto"/>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宋体" w:hAnsi="宋体" w:cs="宋体"/>
                <w:color w:val="auto"/>
                <w:sz w:val="24"/>
              </w:rPr>
            </w:pPr>
            <w:r>
              <w:rPr>
                <w:rFonts w:hint="eastAsia" w:ascii="宋体" w:hAnsi="宋体" w:cs="宋体"/>
                <w:color w:val="auto"/>
                <w:sz w:val="24"/>
              </w:rPr>
              <w:t>备注：</w:t>
            </w:r>
          </w:p>
          <w:p>
            <w:pPr>
              <w:spacing w:line="500" w:lineRule="exact"/>
              <w:rPr>
                <w:rFonts w:ascii="宋体" w:hAnsi="宋体" w:cs="宋体"/>
                <w:color w:val="auto"/>
                <w:sz w:val="24"/>
              </w:rPr>
            </w:pPr>
          </w:p>
          <w:p>
            <w:pPr>
              <w:spacing w:line="500" w:lineRule="exact"/>
              <w:rPr>
                <w:rFonts w:ascii="宋体" w:hAnsi="宋体" w:cs="宋体"/>
                <w:color w:val="auto"/>
                <w:sz w:val="24"/>
              </w:rPr>
            </w:pPr>
          </w:p>
        </w:tc>
      </w:tr>
    </w:tbl>
    <w:p>
      <w:pPr>
        <w:tabs>
          <w:tab w:val="left" w:pos="9000"/>
        </w:tabs>
        <w:spacing w:line="276" w:lineRule="auto"/>
        <w:jc w:val="center"/>
        <w:rPr>
          <w:rFonts w:ascii="宋体" w:hAnsi="宋体" w:cs="宋体"/>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cs="宋体"/>
          <w:color w:val="auto"/>
          <w:sz w:val="24"/>
        </w:rPr>
        <w:t>签约时间：           年   月   日      签约地点：</w:t>
      </w:r>
    </w:p>
    <w:p>
      <w:pPr>
        <w:pStyle w:val="4"/>
        <w:spacing w:before="0" w:after="0" w:line="360" w:lineRule="auto"/>
        <w:jc w:val="center"/>
        <w:rPr>
          <w:rFonts w:ascii="宋体" w:hAnsi="宋体" w:eastAsia="宋体" w:cs="宋体"/>
          <w:b w:val="0"/>
          <w:color w:val="auto"/>
          <w:sz w:val="36"/>
          <w:szCs w:val="30"/>
        </w:rPr>
      </w:pPr>
      <w:bookmarkStart w:id="190" w:name="_Hlt41879464"/>
      <w:bookmarkEnd w:id="190"/>
      <w:bookmarkStart w:id="191" w:name="_Toc6968"/>
      <w:bookmarkStart w:id="192" w:name="_Toc18521"/>
      <w:bookmarkStart w:id="193" w:name="_Toc9538"/>
      <w:bookmarkStart w:id="194" w:name="_Toc2254"/>
      <w:bookmarkStart w:id="195" w:name="_Toc12789072"/>
      <w:bookmarkStart w:id="196" w:name="_Toc106034807"/>
      <w:bookmarkStart w:id="197" w:name="_Toc65660378"/>
      <w:r>
        <w:rPr>
          <w:rFonts w:hint="eastAsia" w:ascii="宋体" w:hAnsi="宋体" w:eastAsia="宋体" w:cs="宋体"/>
          <w:b w:val="0"/>
          <w:color w:val="auto"/>
          <w:sz w:val="36"/>
          <w:szCs w:val="30"/>
        </w:rPr>
        <w:t>第七篇  响应文件格式要求</w:t>
      </w:r>
      <w:bookmarkEnd w:id="191"/>
      <w:bookmarkEnd w:id="192"/>
      <w:bookmarkEnd w:id="193"/>
      <w:bookmarkEnd w:id="194"/>
      <w:bookmarkEnd w:id="195"/>
      <w:bookmarkEnd w:id="196"/>
      <w:bookmarkEnd w:id="197"/>
    </w:p>
    <w:p>
      <w:pPr>
        <w:spacing w:line="400" w:lineRule="exact"/>
        <w:ind w:firstLine="482" w:firstLineChars="200"/>
        <w:jc w:val="center"/>
        <w:outlineLvl w:val="0"/>
        <w:rPr>
          <w:rFonts w:ascii="宋体" w:hAnsi="宋体" w:cs="宋体"/>
          <w:b/>
          <w:color w:val="auto"/>
          <w:sz w:val="24"/>
          <w:szCs w:val="24"/>
        </w:rPr>
      </w:pPr>
      <w:r>
        <w:rPr>
          <w:rFonts w:hint="eastAsia" w:ascii="宋体" w:hAnsi="宋体" w:cs="宋体"/>
          <w:b/>
          <w:color w:val="auto"/>
          <w:sz w:val="24"/>
          <w:szCs w:val="24"/>
        </w:rPr>
        <w:t xml:space="preserve"> </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一、经济部分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（一）报价函</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二、技术部分</w:t>
      </w:r>
    </w:p>
    <w:p>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（一）</w:t>
      </w:r>
      <w:r>
        <w:rPr>
          <w:rFonts w:hint="eastAsia" w:ascii="宋体" w:hAnsi="宋体" w:cs="宋体"/>
          <w:color w:val="auto"/>
          <w:sz w:val="24"/>
          <w:szCs w:val="24"/>
          <w:lang w:eastAsia="zh-CN"/>
        </w:rPr>
        <w:t>技术方案</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（二）技术响应偏离表</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三、</w:t>
      </w:r>
      <w:r>
        <w:rPr>
          <w:rFonts w:hint="eastAsia" w:ascii="宋体" w:hAnsi="宋体" w:cs="宋体"/>
          <w:b/>
          <w:color w:val="auto"/>
          <w:sz w:val="24"/>
          <w:szCs w:val="24"/>
          <w:lang w:eastAsia="zh-CN"/>
        </w:rPr>
        <w:t>商务</w:t>
      </w:r>
      <w:r>
        <w:rPr>
          <w:rFonts w:hint="eastAsia" w:ascii="宋体" w:hAnsi="宋体" w:cs="宋体"/>
          <w:b/>
          <w:color w:val="auto"/>
          <w:sz w:val="24"/>
          <w:szCs w:val="24"/>
        </w:rPr>
        <w:t>部分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w:t>
      </w:r>
      <w:r>
        <w:rPr>
          <w:rFonts w:hint="eastAsia" w:ascii="宋体" w:hAnsi="宋体" w:cs="宋体"/>
          <w:color w:val="auto"/>
          <w:sz w:val="24"/>
          <w:szCs w:val="24"/>
          <w:lang w:eastAsia="zh-CN"/>
        </w:rPr>
        <w:t>商务资料</w:t>
      </w:r>
      <w:r>
        <w:rPr>
          <w:rFonts w:hint="eastAsia" w:ascii="宋体" w:hAnsi="宋体" w:cs="宋体"/>
          <w:color w:val="auto"/>
          <w:sz w:val="24"/>
          <w:szCs w:val="24"/>
        </w:rPr>
        <w:t>（</w:t>
      </w:r>
      <w:r>
        <w:rPr>
          <w:rFonts w:hint="eastAsia" w:ascii="宋体" w:hAnsi="宋体" w:cs="宋体"/>
          <w:color w:val="auto"/>
          <w:sz w:val="24"/>
          <w:szCs w:val="24"/>
          <w:lang w:eastAsia="zh-CN"/>
        </w:rPr>
        <w:t>如有</w:t>
      </w:r>
      <w:r>
        <w:rPr>
          <w:rFonts w:hint="eastAsia" w:ascii="宋体" w:hAnsi="宋体" w:cs="宋体"/>
          <w:color w:val="auto"/>
          <w:sz w:val="24"/>
          <w:szCs w:val="24"/>
        </w:rPr>
        <w:t>）</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四、资格条件及其他</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五、其他资料</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（一）其他与项目有关的资料（自附）</w:t>
      </w:r>
    </w:p>
    <w:p>
      <w:pPr>
        <w:snapToGrid w:val="0"/>
        <w:spacing w:line="360" w:lineRule="auto"/>
        <w:rPr>
          <w:rFonts w:ascii="宋体" w:hAnsi="宋体" w:cs="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宋体" w:hAnsi="宋体" w:eastAsia="宋体" w:cs="宋体"/>
          <w:color w:val="auto"/>
          <w:sz w:val="24"/>
        </w:rPr>
      </w:pPr>
      <w:bookmarkStart w:id="198" w:name="_Toc26343"/>
      <w:bookmarkStart w:id="199" w:name="_Toc30982"/>
      <w:bookmarkStart w:id="200" w:name="_Toc342913419"/>
      <w:bookmarkStart w:id="201" w:name="_Toc106034808"/>
      <w:bookmarkStart w:id="202" w:name="_Toc313888360"/>
      <w:bookmarkStart w:id="203" w:name="_Toc313008356"/>
      <w:bookmarkStart w:id="204" w:name="_Toc65660379"/>
      <w:bookmarkStart w:id="205" w:name="_Toc14244"/>
      <w:bookmarkStart w:id="206" w:name="_Toc27872"/>
      <w:bookmarkStart w:id="207" w:name="_Toc12789073"/>
      <w:bookmarkStart w:id="208" w:name="_Toc283382454"/>
      <w:r>
        <w:rPr>
          <w:rFonts w:hint="eastAsia" w:ascii="宋体" w:hAnsi="宋体" w:eastAsia="宋体" w:cs="宋体"/>
          <w:color w:val="auto"/>
          <w:sz w:val="24"/>
        </w:rPr>
        <w:t>一、经济部分</w:t>
      </w:r>
      <w:bookmarkEnd w:id="198"/>
      <w:bookmarkEnd w:id="199"/>
      <w:bookmarkEnd w:id="200"/>
      <w:bookmarkEnd w:id="201"/>
      <w:bookmarkEnd w:id="202"/>
      <w:bookmarkEnd w:id="203"/>
      <w:bookmarkEnd w:id="204"/>
      <w:bookmarkEnd w:id="205"/>
      <w:bookmarkEnd w:id="206"/>
    </w:p>
    <w:bookmarkEnd w:id="207"/>
    <w:bookmarkEnd w:id="208"/>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（一）报价函</w:t>
      </w:r>
    </w:p>
    <w:p>
      <w:pPr>
        <w:tabs>
          <w:tab w:val="left" w:pos="6300"/>
        </w:tabs>
        <w:snapToGrid w:val="0"/>
        <w:spacing w:line="312" w:lineRule="auto"/>
        <w:ind w:firstLine="562" w:firstLineChars="200"/>
        <w:jc w:val="center"/>
        <w:rPr>
          <w:rFonts w:ascii="宋体" w:hAnsi="宋体" w:cs="宋体"/>
          <w:b/>
          <w:color w:val="auto"/>
          <w:szCs w:val="28"/>
        </w:rPr>
      </w:pPr>
      <w:r>
        <w:rPr>
          <w:rFonts w:hint="eastAsia" w:ascii="宋体" w:hAnsi="宋体" w:cs="宋体"/>
          <w:b/>
          <w:color w:val="auto"/>
          <w:szCs w:val="28"/>
        </w:rPr>
        <w:t>报价函</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w:t>
      </w:r>
      <w:r>
        <w:rPr>
          <w:rFonts w:hint="eastAsia" w:ascii="宋体" w:hAnsi="宋体" w:cs="宋体"/>
          <w:color w:val="auto"/>
          <w:sz w:val="24"/>
          <w:szCs w:val="24"/>
          <w:lang w:eastAsia="zh-CN"/>
        </w:rPr>
        <w:t>询比</w:t>
      </w:r>
      <w:r>
        <w:rPr>
          <w:rFonts w:hint="eastAsia" w:ascii="宋体" w:hAnsi="宋体" w:cs="宋体"/>
          <w:color w:val="auto"/>
          <w:sz w:val="24"/>
          <w:szCs w:val="24"/>
        </w:rPr>
        <w:t>项目名称）的</w:t>
      </w:r>
      <w:r>
        <w:rPr>
          <w:rFonts w:hint="eastAsia" w:ascii="宋体" w:hAnsi="宋体" w:cs="宋体"/>
          <w:color w:val="auto"/>
          <w:sz w:val="24"/>
          <w:szCs w:val="24"/>
          <w:lang w:eastAsia="zh-CN"/>
        </w:rPr>
        <w:t>询比文件</w:t>
      </w:r>
      <w:r>
        <w:rPr>
          <w:rFonts w:hint="eastAsia" w:ascii="宋体" w:hAnsi="宋体" w:cs="宋体"/>
          <w:color w:val="auto"/>
          <w:sz w:val="24"/>
          <w:szCs w:val="24"/>
        </w:rPr>
        <w:t>，经详细研究，决定参加该</w:t>
      </w:r>
      <w:r>
        <w:rPr>
          <w:rFonts w:hint="eastAsia" w:ascii="宋体" w:hAnsi="宋体" w:cs="宋体"/>
          <w:color w:val="auto"/>
          <w:sz w:val="24"/>
          <w:szCs w:val="24"/>
          <w:lang w:eastAsia="zh-CN"/>
        </w:rPr>
        <w:t>询比</w:t>
      </w:r>
      <w:r>
        <w:rPr>
          <w:rFonts w:hint="eastAsia" w:ascii="宋体" w:hAnsi="宋体" w:cs="宋体"/>
          <w:color w:val="auto"/>
          <w:sz w:val="24"/>
          <w:szCs w:val="24"/>
        </w:rPr>
        <w:t>项目的报价。</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w:t>
      </w:r>
      <w:r>
        <w:rPr>
          <w:rFonts w:hint="eastAsia" w:ascii="宋体" w:hAnsi="宋体" w:cs="宋体"/>
          <w:color w:val="auto"/>
          <w:sz w:val="24"/>
          <w:szCs w:val="24"/>
          <w:lang w:eastAsia="zh-CN"/>
        </w:rPr>
        <w:t>询比文件</w:t>
      </w:r>
      <w:r>
        <w:rPr>
          <w:rFonts w:hint="eastAsia" w:ascii="宋体" w:hAnsi="宋体" w:cs="宋体"/>
          <w:color w:val="auto"/>
          <w:sz w:val="24"/>
          <w:szCs w:val="24"/>
        </w:rPr>
        <w:t>中的一切要求，提供本项目技术服务，</w:t>
      </w:r>
      <w:r>
        <w:rPr>
          <w:rFonts w:hint="eastAsia" w:ascii="宋体" w:hAnsi="宋体" w:eastAsia="宋体" w:cs="宋体"/>
          <w:sz w:val="24"/>
          <w:szCs w:val="24"/>
        </w:rPr>
        <w:t>报价为人民币</w:t>
      </w:r>
      <w:r>
        <w:rPr>
          <w:rFonts w:hint="eastAsia" w:ascii="宋体" w:hAnsi="宋体" w:eastAsia="宋体" w:cs="宋体"/>
          <w:b/>
          <w:bCs/>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w:t>
      </w:r>
      <w:r>
        <w:rPr>
          <w:rFonts w:hint="eastAsia" w:ascii="宋体" w:hAnsi="宋体" w:eastAsia="宋体" w:cs="宋体"/>
          <w:b/>
          <w:bCs/>
          <w:sz w:val="24"/>
          <w:szCs w:val="24"/>
        </w:rPr>
        <w:t>小写</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cs="宋体"/>
          <w:color w:val="auto"/>
          <w:sz w:val="24"/>
          <w:szCs w:val="24"/>
        </w:rPr>
        <w:t>。</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3.我方承诺：本次报价的有效期为提交响应文件截止时间起90天。</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w:t>
      </w:r>
      <w:r>
        <w:rPr>
          <w:rFonts w:hint="eastAsia" w:ascii="宋体" w:hAnsi="宋体" w:cs="宋体"/>
          <w:color w:val="auto"/>
          <w:sz w:val="24"/>
          <w:szCs w:val="24"/>
          <w:lang w:eastAsia="zh-CN"/>
        </w:rPr>
        <w:t>询比采购文件</w:t>
      </w:r>
      <w:r>
        <w:rPr>
          <w:rFonts w:hint="eastAsia" w:ascii="宋体" w:hAnsi="宋体" w:cs="宋体"/>
          <w:color w:val="auto"/>
          <w:sz w:val="24"/>
          <w:szCs w:val="24"/>
        </w:rPr>
        <w:t>的一切规定和要求及评审办法。</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w:t>
      </w:r>
      <w:r>
        <w:rPr>
          <w:rFonts w:hint="eastAsia" w:ascii="宋体" w:hAnsi="宋体" w:cs="宋体"/>
          <w:color w:val="auto"/>
          <w:sz w:val="24"/>
          <w:szCs w:val="24"/>
          <w:lang w:eastAsia="zh-CN"/>
        </w:rPr>
        <w:t>询比</w:t>
      </w:r>
      <w:r>
        <w:rPr>
          <w:rFonts w:hint="eastAsia" w:ascii="宋体" w:hAnsi="宋体" w:cs="宋体"/>
          <w:color w:val="auto"/>
          <w:sz w:val="24"/>
          <w:szCs w:val="24"/>
        </w:rPr>
        <w:t>过程中，我方若有违规行为，接受按照《中华人民共和国政府采购法》和《</w:t>
      </w:r>
      <w:r>
        <w:rPr>
          <w:rFonts w:hint="eastAsia" w:ascii="宋体" w:hAnsi="宋体" w:cs="宋体"/>
          <w:color w:val="auto"/>
          <w:sz w:val="24"/>
          <w:szCs w:val="24"/>
          <w:lang w:eastAsia="zh-CN"/>
        </w:rPr>
        <w:t>询比文件</w:t>
      </w:r>
      <w:r>
        <w:rPr>
          <w:rFonts w:hint="eastAsia" w:ascii="宋体" w:hAnsi="宋体" w:cs="宋体"/>
          <w:color w:val="auto"/>
          <w:sz w:val="24"/>
          <w:szCs w:val="24"/>
        </w:rPr>
        <w:t>》之规定给予惩罚。</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eastAsia="宋体" w:cs="宋体"/>
          <w:color w:val="auto"/>
          <w:sz w:val="24"/>
          <w:szCs w:val="24"/>
        </w:rPr>
        <w:t>7.我方理解，最低报价不是成交的唯一条件。</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.我方同意按</w:t>
      </w:r>
      <w:r>
        <w:rPr>
          <w:rFonts w:hint="eastAsia" w:ascii="宋体" w:hAnsi="宋体" w:cs="宋体"/>
          <w:color w:val="auto"/>
          <w:sz w:val="24"/>
          <w:szCs w:val="24"/>
          <w:lang w:eastAsia="zh-CN"/>
        </w:rPr>
        <w:t>询比文件</w:t>
      </w:r>
      <w:r>
        <w:rPr>
          <w:rFonts w:hint="eastAsia" w:ascii="宋体" w:hAnsi="宋体" w:cs="宋体"/>
          <w:color w:val="auto"/>
          <w:sz w:val="24"/>
          <w:szCs w:val="24"/>
        </w:rPr>
        <w:t>规定，交纳</w:t>
      </w:r>
      <w:r>
        <w:rPr>
          <w:rFonts w:hint="eastAsia" w:ascii="宋体" w:hAnsi="宋体" w:cs="宋体"/>
          <w:color w:val="auto"/>
          <w:sz w:val="24"/>
          <w:szCs w:val="24"/>
          <w:lang w:eastAsia="zh-CN"/>
        </w:rPr>
        <w:t>询比文件</w:t>
      </w:r>
      <w:r>
        <w:rPr>
          <w:rFonts w:hint="eastAsia" w:ascii="宋体" w:hAnsi="宋体" w:cs="宋体"/>
          <w:color w:val="auto"/>
          <w:sz w:val="24"/>
          <w:szCs w:val="24"/>
        </w:rPr>
        <w:t>要求的保证金。如果我方成为成交供应商，保证在接到成交通知书后，向采购代理机构缴纳</w:t>
      </w:r>
      <w:r>
        <w:rPr>
          <w:rFonts w:hint="eastAsia" w:ascii="宋体" w:hAnsi="宋体" w:cs="宋体"/>
          <w:color w:val="auto"/>
          <w:sz w:val="24"/>
          <w:szCs w:val="24"/>
          <w:lang w:eastAsia="zh-CN"/>
        </w:rPr>
        <w:t>询比采购文件</w:t>
      </w:r>
      <w:r>
        <w:rPr>
          <w:rFonts w:hint="eastAsia" w:ascii="宋体" w:hAnsi="宋体" w:cs="宋体"/>
          <w:color w:val="auto"/>
          <w:sz w:val="24"/>
          <w:szCs w:val="24"/>
        </w:rPr>
        <w:t>规定的采购代理服务费。</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联系人：</w:t>
      </w:r>
    </w:p>
    <w:p>
      <w:pPr>
        <w:snapToGrid w:val="0"/>
        <w:spacing w:line="312" w:lineRule="auto"/>
        <w:ind w:firstLine="480" w:firstLineChars="200"/>
        <w:rPr>
          <w:rFonts w:ascii="宋体" w:hAnsi="宋体" w:cs="宋体"/>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rPr>
        <w:t xml:space="preserve">                               年   月   日</w:t>
      </w:r>
    </w:p>
    <w:p>
      <w:pPr>
        <w:pStyle w:val="4"/>
        <w:adjustRightInd w:val="0"/>
        <w:snapToGrid w:val="0"/>
        <w:spacing w:before="0" w:after="0" w:line="400" w:lineRule="exact"/>
        <w:ind w:firstLine="482" w:firstLineChars="200"/>
        <w:rPr>
          <w:rFonts w:ascii="宋体" w:hAnsi="宋体" w:eastAsia="宋体" w:cs="宋体"/>
          <w:color w:val="auto"/>
          <w:sz w:val="24"/>
        </w:rPr>
      </w:pPr>
      <w:bookmarkStart w:id="209" w:name="_Toc65660380"/>
      <w:bookmarkStart w:id="210" w:name="_Toc313008357"/>
      <w:bookmarkStart w:id="211" w:name="_Toc313888361"/>
      <w:bookmarkStart w:id="212" w:name="_Toc22655"/>
      <w:bookmarkStart w:id="213" w:name="_Toc106034809"/>
      <w:bookmarkStart w:id="214" w:name="_Toc26085"/>
      <w:bookmarkStart w:id="215" w:name="_Toc15804"/>
      <w:bookmarkStart w:id="216" w:name="_Toc14073"/>
      <w:bookmarkStart w:id="217" w:name="_Toc342913420"/>
      <w:r>
        <w:rPr>
          <w:rFonts w:hint="eastAsia" w:ascii="宋体" w:hAnsi="宋体" w:eastAsia="宋体" w:cs="宋体"/>
          <w:color w:val="auto"/>
          <w:sz w:val="24"/>
        </w:rPr>
        <w:t>二、技术部分</w:t>
      </w:r>
      <w:bookmarkEnd w:id="209"/>
      <w:bookmarkEnd w:id="210"/>
      <w:bookmarkEnd w:id="211"/>
      <w:bookmarkEnd w:id="212"/>
      <w:bookmarkEnd w:id="213"/>
      <w:bookmarkEnd w:id="214"/>
      <w:bookmarkEnd w:id="215"/>
      <w:bookmarkEnd w:id="216"/>
      <w:bookmarkEnd w:id="217"/>
    </w:p>
    <w:p>
      <w:pPr>
        <w:spacing w:line="360" w:lineRule="auto"/>
        <w:jc w:val="center"/>
        <w:rPr>
          <w:rFonts w:hint="eastAsia" w:ascii="宋体" w:hAnsi="宋体" w:eastAsia="宋体" w:cs="宋体"/>
          <w:color w:val="auto"/>
          <w:szCs w:val="28"/>
        </w:rPr>
      </w:pPr>
      <w:r>
        <w:rPr>
          <w:rFonts w:hint="eastAsia" w:ascii="宋体" w:hAnsi="宋体" w:eastAsia="宋体" w:cs="宋体"/>
          <w:color w:val="auto"/>
          <w:szCs w:val="28"/>
        </w:rPr>
        <w:t>（一）</w:t>
      </w:r>
      <w:r>
        <w:rPr>
          <w:rFonts w:hint="eastAsia" w:ascii="宋体" w:hAnsi="宋体" w:cs="宋体"/>
          <w:color w:val="auto"/>
          <w:szCs w:val="28"/>
          <w:lang w:eastAsia="zh-CN"/>
        </w:rPr>
        <w:t>技术</w:t>
      </w:r>
      <w:r>
        <w:rPr>
          <w:rFonts w:hint="eastAsia" w:ascii="宋体" w:hAnsi="宋体" w:eastAsia="宋体" w:cs="宋体"/>
          <w:color w:val="auto"/>
          <w:szCs w:val="28"/>
        </w:rPr>
        <w:t>方案（格式自定）</w:t>
      </w:r>
    </w:p>
    <w:p>
      <w:pPr>
        <w:pStyle w:val="23"/>
        <w:rPr>
          <w:rFonts w:hint="eastAsia" w:ascii="宋体" w:hAnsi="宋体" w:eastAsia="宋体" w:cs="宋体"/>
          <w:color w:val="auto"/>
          <w:sz w:val="28"/>
          <w:szCs w:val="28"/>
        </w:rPr>
      </w:pPr>
    </w:p>
    <w:p>
      <w:pPr>
        <w:pStyle w:val="24"/>
        <w:ind w:left="0" w:leftChars="0" w:firstLine="0" w:firstLineChars="0"/>
        <w:jc w:val="center"/>
        <w:rPr>
          <w:rFonts w:hint="eastAsia" w:ascii="宋体" w:hAnsi="宋体" w:eastAsia="宋体" w:cs="宋体"/>
          <w:color w:val="auto"/>
          <w:szCs w:val="28"/>
        </w:rPr>
      </w:pPr>
      <w:r>
        <w:rPr>
          <w:rFonts w:hint="eastAsia" w:ascii="宋体" w:hAnsi="宋体" w:eastAsia="宋体" w:cs="宋体"/>
          <w:color w:val="auto"/>
          <w:szCs w:val="28"/>
        </w:rPr>
        <w:t>按</w:t>
      </w:r>
      <w:r>
        <w:rPr>
          <w:rFonts w:hint="eastAsia" w:ascii="宋体" w:hAnsi="宋体" w:cs="宋体"/>
          <w:color w:val="auto"/>
          <w:szCs w:val="28"/>
          <w:lang w:eastAsia="zh-CN"/>
        </w:rPr>
        <w:t>询比</w:t>
      </w:r>
      <w:r>
        <w:rPr>
          <w:rFonts w:hint="eastAsia" w:ascii="宋体" w:hAnsi="宋体" w:eastAsia="宋体" w:cs="宋体"/>
          <w:color w:val="auto"/>
          <w:szCs w:val="28"/>
        </w:rPr>
        <w:t>文件中技术服务部分评分要求提供相关资料。</w:t>
      </w:r>
    </w:p>
    <w:p>
      <w:pPr>
        <w:rPr>
          <w:rFonts w:hint="eastAsia" w:ascii="宋体" w:hAnsi="宋体" w:cs="宋体"/>
          <w:color w:val="auto"/>
          <w:sz w:val="24"/>
          <w:szCs w:val="24"/>
        </w:rPr>
      </w:pPr>
      <w:r>
        <w:rPr>
          <w:rFonts w:hint="eastAsia" w:ascii="宋体" w:hAnsi="宋体" w:cs="宋体"/>
          <w:color w:val="auto"/>
          <w:sz w:val="24"/>
          <w:szCs w:val="24"/>
        </w:rPr>
        <w:br w:type="page"/>
      </w:r>
    </w:p>
    <w:p>
      <w:pPr>
        <w:spacing w:line="400" w:lineRule="exac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二</w:t>
      </w:r>
      <w:r>
        <w:rPr>
          <w:rFonts w:hint="eastAsia" w:ascii="宋体" w:hAnsi="宋体" w:cs="宋体"/>
          <w:color w:val="auto"/>
          <w:sz w:val="24"/>
          <w:szCs w:val="24"/>
        </w:rPr>
        <w:t>）技术响应偏离表</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询比</w:t>
      </w:r>
      <w:r>
        <w:rPr>
          <w:rFonts w:hint="eastAsia" w:ascii="宋体" w:hAnsi="宋体" w:cs="宋体"/>
          <w:color w:val="auto"/>
          <w:sz w:val="24"/>
          <w:szCs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序号</w:t>
            </w:r>
          </w:p>
        </w:tc>
        <w:tc>
          <w:tcPr>
            <w:tcW w:w="2844" w:type="dxa"/>
            <w:vAlign w:val="center"/>
          </w:tcPr>
          <w:p>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采购需求</w:t>
            </w:r>
          </w:p>
        </w:tc>
        <w:tc>
          <w:tcPr>
            <w:tcW w:w="2952" w:type="dxa"/>
            <w:vAlign w:val="center"/>
          </w:tcPr>
          <w:p>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响应情况</w:t>
            </w:r>
          </w:p>
        </w:tc>
        <w:tc>
          <w:tcPr>
            <w:tcW w:w="2212" w:type="dxa"/>
            <w:vAlign w:val="center"/>
          </w:tcPr>
          <w:p>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r>
              <w:rPr>
                <w:rFonts w:hint="eastAsia" w:ascii="宋体" w:hAnsi="宋体" w:cs="宋体"/>
                <w:color w:val="auto"/>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color w:val="auto"/>
                <w:sz w:val="21"/>
                <w:szCs w:val="21"/>
              </w:rPr>
            </w:pPr>
          </w:p>
        </w:tc>
        <w:tc>
          <w:tcPr>
            <w:tcW w:w="2844" w:type="dxa"/>
            <w:vAlign w:val="center"/>
          </w:tcPr>
          <w:p>
            <w:pPr>
              <w:tabs>
                <w:tab w:val="left" w:pos="6300"/>
              </w:tabs>
              <w:snapToGrid w:val="0"/>
              <w:jc w:val="center"/>
              <w:outlineLvl w:val="0"/>
              <w:rPr>
                <w:rFonts w:ascii="宋体" w:hAnsi="宋体" w:cs="宋体"/>
                <w:color w:val="auto"/>
                <w:sz w:val="21"/>
                <w:szCs w:val="21"/>
              </w:rPr>
            </w:pPr>
          </w:p>
        </w:tc>
        <w:tc>
          <w:tcPr>
            <w:tcW w:w="2952" w:type="dxa"/>
            <w:vAlign w:val="center"/>
          </w:tcPr>
          <w:p>
            <w:pPr>
              <w:tabs>
                <w:tab w:val="left" w:pos="6300"/>
              </w:tabs>
              <w:snapToGrid w:val="0"/>
              <w:jc w:val="center"/>
              <w:outlineLvl w:val="0"/>
              <w:rPr>
                <w:rFonts w:ascii="宋体" w:hAnsi="宋体" w:cs="宋体"/>
                <w:color w:val="auto"/>
                <w:sz w:val="21"/>
                <w:szCs w:val="21"/>
              </w:rPr>
            </w:pPr>
          </w:p>
        </w:tc>
        <w:tc>
          <w:tcPr>
            <w:tcW w:w="2212" w:type="dxa"/>
            <w:vAlign w:val="center"/>
          </w:tcPr>
          <w:p>
            <w:pPr>
              <w:tabs>
                <w:tab w:val="left" w:pos="6300"/>
              </w:tabs>
              <w:snapToGrid w:val="0"/>
              <w:jc w:val="center"/>
              <w:outlineLvl w:val="0"/>
              <w:rPr>
                <w:rFonts w:ascii="宋体" w:hAnsi="宋体" w:cs="宋体"/>
                <w:color w:val="auto"/>
                <w:sz w:val="21"/>
                <w:szCs w:val="21"/>
              </w:rPr>
            </w:pPr>
          </w:p>
        </w:tc>
      </w:tr>
    </w:tbl>
    <w:p>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pPr>
        <w:spacing w:line="500" w:lineRule="exact"/>
        <w:rPr>
          <w:rFonts w:ascii="宋体" w:hAnsi="宋体" w:cs="宋体"/>
          <w:color w:val="auto"/>
          <w:sz w:val="24"/>
          <w:szCs w:val="28"/>
        </w:rPr>
      </w:pPr>
      <w:r>
        <w:rPr>
          <w:rFonts w:hint="eastAsia" w:ascii="宋体" w:hAnsi="宋体" w:cs="宋体"/>
          <w:color w:val="auto"/>
          <w:sz w:val="24"/>
          <w:szCs w:val="28"/>
        </w:rPr>
        <w:t xml:space="preserve">    </w:t>
      </w:r>
    </w:p>
    <w:p>
      <w:pPr>
        <w:spacing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w:t>
      </w:r>
      <w:r>
        <w:rPr>
          <w:rFonts w:hint="eastAsia" w:ascii="宋体" w:hAnsi="宋体" w:cs="宋体"/>
          <w:color w:val="auto"/>
          <w:sz w:val="24"/>
          <w:szCs w:val="24"/>
        </w:rPr>
        <w:t>签署</w:t>
      </w:r>
      <w:r>
        <w:rPr>
          <w:rFonts w:hint="eastAsia" w:ascii="宋体" w:hAnsi="宋体" w:cs="宋体"/>
          <w:color w:val="auto"/>
          <w:sz w:val="24"/>
          <w:szCs w:val="28"/>
        </w:rPr>
        <w:t>或盖章）</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rPr>
        <w:t>注：</w:t>
      </w:r>
    </w:p>
    <w:p>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 xml:space="preserve">本表即为对本项目“第二篇  </w:t>
      </w:r>
      <w:r>
        <w:rPr>
          <w:rFonts w:hint="eastAsia" w:ascii="宋体" w:hAnsi="宋体" w:cs="宋体"/>
          <w:color w:val="auto"/>
          <w:sz w:val="24"/>
          <w:szCs w:val="24"/>
          <w:lang w:eastAsia="zh-CN"/>
        </w:rPr>
        <w:t>询比</w:t>
      </w:r>
      <w:r>
        <w:rPr>
          <w:rFonts w:hint="eastAsia" w:ascii="宋体" w:hAnsi="宋体" w:cs="宋体"/>
          <w:color w:val="auto"/>
          <w:sz w:val="24"/>
          <w:szCs w:val="24"/>
        </w:rPr>
        <w:t>项目</w:t>
      </w:r>
      <w:r>
        <w:rPr>
          <w:rFonts w:hint="eastAsia" w:ascii="宋体" w:hAnsi="宋体" w:cs="宋体"/>
          <w:color w:val="auto"/>
          <w:sz w:val="24"/>
          <w:szCs w:val="24"/>
          <w:lang w:eastAsia="zh-CN"/>
        </w:rPr>
        <w:t>服务</w:t>
      </w:r>
      <w:r>
        <w:rPr>
          <w:rFonts w:hint="eastAsia" w:ascii="宋体" w:hAnsi="宋体" w:cs="宋体"/>
          <w:color w:val="auto"/>
          <w:sz w:val="24"/>
          <w:szCs w:val="24"/>
        </w:rPr>
        <w:t>需求”中所列条款进行比较和响应；</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2.本表可扩展。</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br w:type="page"/>
      </w:r>
    </w:p>
    <w:p>
      <w:pPr>
        <w:pStyle w:val="4"/>
        <w:adjustRightInd w:val="0"/>
        <w:snapToGrid w:val="0"/>
        <w:spacing w:before="0" w:after="0" w:line="400" w:lineRule="exact"/>
        <w:rPr>
          <w:rFonts w:ascii="宋体" w:hAnsi="宋体" w:eastAsia="宋体" w:cs="宋体"/>
          <w:color w:val="auto"/>
          <w:sz w:val="24"/>
        </w:rPr>
      </w:pPr>
      <w:bookmarkStart w:id="218" w:name="_Toc106034810"/>
      <w:bookmarkStart w:id="219" w:name="_Toc4453"/>
      <w:bookmarkStart w:id="220" w:name="_Toc65660381"/>
      <w:bookmarkStart w:id="221" w:name="_Toc32339"/>
      <w:bookmarkStart w:id="222" w:name="_Toc27717"/>
      <w:bookmarkStart w:id="223" w:name="_Toc32158"/>
      <w:bookmarkStart w:id="224" w:name="_Toc313008358"/>
      <w:bookmarkStart w:id="225" w:name="_Toc313888362"/>
      <w:bookmarkStart w:id="226" w:name="_Toc342913421"/>
      <w:r>
        <w:rPr>
          <w:rFonts w:hint="eastAsia" w:ascii="宋体" w:hAnsi="宋体" w:eastAsia="宋体" w:cs="宋体"/>
          <w:color w:val="auto"/>
          <w:sz w:val="24"/>
        </w:rPr>
        <w:t>三、</w:t>
      </w:r>
      <w:r>
        <w:rPr>
          <w:rFonts w:hint="eastAsia" w:ascii="宋体" w:hAnsi="宋体" w:eastAsia="宋体" w:cs="宋体"/>
          <w:color w:val="auto"/>
          <w:sz w:val="24"/>
          <w:lang w:eastAsia="zh-CN"/>
        </w:rPr>
        <w:t>商务</w:t>
      </w:r>
      <w:r>
        <w:rPr>
          <w:rFonts w:hint="eastAsia" w:ascii="宋体" w:hAnsi="宋体" w:eastAsia="宋体" w:cs="宋体"/>
          <w:color w:val="auto"/>
          <w:sz w:val="24"/>
        </w:rPr>
        <w:t>部分</w:t>
      </w:r>
      <w:bookmarkEnd w:id="218"/>
      <w:bookmarkEnd w:id="219"/>
      <w:bookmarkEnd w:id="220"/>
      <w:bookmarkEnd w:id="221"/>
      <w:bookmarkEnd w:id="222"/>
      <w:bookmarkEnd w:id="223"/>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询比</w:t>
      </w:r>
      <w:r>
        <w:rPr>
          <w:rFonts w:hint="eastAsia" w:ascii="宋体" w:hAnsi="宋体" w:cs="宋体"/>
          <w:color w:val="auto"/>
          <w:sz w:val="24"/>
          <w:szCs w:val="24"/>
        </w:rPr>
        <w:t>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4"/>
              </w:rPr>
              <w:t>序号</w:t>
            </w:r>
          </w:p>
        </w:tc>
        <w:tc>
          <w:tcPr>
            <w:tcW w:w="3184" w:type="dxa"/>
            <w:vAlign w:val="center"/>
          </w:tcPr>
          <w:p>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4"/>
              </w:rPr>
              <w:t>采购需求</w:t>
            </w:r>
          </w:p>
        </w:tc>
        <w:tc>
          <w:tcPr>
            <w:tcW w:w="2438" w:type="dxa"/>
            <w:vAlign w:val="center"/>
          </w:tcPr>
          <w:p>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4"/>
              </w:rPr>
              <w:t>响应情况</w:t>
            </w:r>
          </w:p>
        </w:tc>
        <w:tc>
          <w:tcPr>
            <w:tcW w:w="2359" w:type="dxa"/>
            <w:vAlign w:val="center"/>
          </w:tcPr>
          <w:p>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outlineLvl w:val="0"/>
              <w:rPr>
                <w:rFonts w:ascii="宋体" w:hAnsi="宋体" w:cs="宋体"/>
                <w:color w:val="auto"/>
                <w:sz w:val="21"/>
                <w:szCs w:val="24"/>
              </w:rPr>
            </w:pPr>
            <w:r>
              <w:rPr>
                <w:rFonts w:hint="eastAsia" w:ascii="宋体" w:hAnsi="宋体" w:cs="宋体"/>
                <w:color w:val="auto"/>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color w:val="auto"/>
                <w:sz w:val="21"/>
                <w:szCs w:val="24"/>
              </w:rPr>
            </w:pPr>
          </w:p>
        </w:tc>
        <w:tc>
          <w:tcPr>
            <w:tcW w:w="3184" w:type="dxa"/>
            <w:vAlign w:val="center"/>
          </w:tcPr>
          <w:p>
            <w:pPr>
              <w:tabs>
                <w:tab w:val="left" w:pos="6300"/>
              </w:tabs>
              <w:snapToGrid w:val="0"/>
              <w:jc w:val="center"/>
              <w:outlineLvl w:val="0"/>
              <w:rPr>
                <w:rFonts w:ascii="宋体" w:hAnsi="宋体" w:cs="宋体"/>
                <w:color w:val="auto"/>
                <w:sz w:val="21"/>
                <w:szCs w:val="24"/>
              </w:rPr>
            </w:pPr>
          </w:p>
        </w:tc>
        <w:tc>
          <w:tcPr>
            <w:tcW w:w="2438" w:type="dxa"/>
            <w:vAlign w:val="center"/>
          </w:tcPr>
          <w:p>
            <w:pPr>
              <w:tabs>
                <w:tab w:val="left" w:pos="6300"/>
              </w:tabs>
              <w:snapToGrid w:val="0"/>
              <w:jc w:val="center"/>
              <w:outlineLvl w:val="0"/>
              <w:rPr>
                <w:rFonts w:ascii="宋体" w:hAnsi="宋体" w:cs="宋体"/>
                <w:color w:val="auto"/>
                <w:sz w:val="21"/>
                <w:szCs w:val="24"/>
              </w:rPr>
            </w:pPr>
          </w:p>
        </w:tc>
        <w:tc>
          <w:tcPr>
            <w:tcW w:w="2359" w:type="dxa"/>
            <w:vAlign w:val="center"/>
          </w:tcPr>
          <w:p>
            <w:pPr>
              <w:tabs>
                <w:tab w:val="left" w:pos="6300"/>
              </w:tabs>
              <w:snapToGrid w:val="0"/>
              <w:jc w:val="center"/>
              <w:outlineLvl w:val="0"/>
              <w:rPr>
                <w:rFonts w:ascii="宋体" w:hAnsi="宋体" w:cs="宋体"/>
                <w:color w:val="auto"/>
                <w:sz w:val="21"/>
                <w:szCs w:val="24"/>
              </w:rPr>
            </w:pPr>
          </w:p>
        </w:tc>
      </w:tr>
    </w:tbl>
    <w:p>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pPr>
        <w:spacing w:line="500" w:lineRule="exact"/>
        <w:rPr>
          <w:rFonts w:ascii="宋体" w:hAnsi="宋体" w:cs="宋体"/>
          <w:color w:val="auto"/>
          <w:sz w:val="24"/>
          <w:szCs w:val="28"/>
        </w:rPr>
      </w:pPr>
      <w:r>
        <w:rPr>
          <w:rFonts w:hint="eastAsia" w:ascii="宋体" w:hAnsi="宋体" w:cs="宋体"/>
          <w:color w:val="auto"/>
          <w:sz w:val="24"/>
          <w:szCs w:val="28"/>
        </w:rPr>
        <w:t xml:space="preserve">    </w:t>
      </w:r>
    </w:p>
    <w:p>
      <w:pPr>
        <w:spacing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rPr>
        <w:t>注：</w:t>
      </w:r>
    </w:p>
    <w:p>
      <w:pPr>
        <w:tabs>
          <w:tab w:val="left" w:pos="6300"/>
        </w:tabs>
        <w:snapToGrid w:val="0"/>
        <w:spacing w:line="400" w:lineRule="exact"/>
        <w:ind w:firstLine="480" w:firstLineChars="200"/>
        <w:rPr>
          <w:rFonts w:ascii="宋体" w:hAnsi="宋体" w:cs="宋体"/>
          <w:color w:val="auto"/>
          <w:sz w:val="24"/>
        </w:rPr>
      </w:pPr>
      <w:r>
        <w:rPr>
          <w:rFonts w:hint="eastAsia" w:ascii="宋体" w:hAnsi="宋体" w:eastAsia="宋体" w:cs="宋体"/>
          <w:color w:val="auto"/>
          <w:sz w:val="24"/>
          <w:szCs w:val="24"/>
        </w:rPr>
        <w:t>1.本表即为对本项目“第三篇 询比项目商务需求”中所列条款进行比较和响应；该表必须按照询比文件要求逐条如实填写，</w:t>
      </w:r>
      <w:r>
        <w:rPr>
          <w:rFonts w:hint="eastAsia" w:ascii="宋体" w:hAnsi="宋体" w:eastAsia="宋体" w:cs="宋体"/>
          <w:b/>
          <w:bCs/>
          <w:color w:val="auto"/>
          <w:szCs w:val="28"/>
        </w:rPr>
        <w:t>“响应情况”中必须列出具体数值或内容。如供应商未应答或只注明“符合”、“满足”等类似无具体数值或内容的表述，视为不满足相应条款；</w:t>
      </w:r>
      <w:r>
        <w:rPr>
          <w:rFonts w:hint="eastAsia" w:ascii="宋体" w:hAnsi="宋体" w:eastAsia="宋体" w:cs="宋体"/>
          <w:color w:val="auto"/>
          <w:sz w:val="24"/>
          <w:szCs w:val="24"/>
        </w:rPr>
        <w:t>根据响应情况在“差异说明”项填写正偏离或负偏离及原因，完全符合的填写“无差异”；</w:t>
      </w:r>
    </w:p>
    <w:p>
      <w:pPr>
        <w:tabs>
          <w:tab w:val="left" w:pos="6300"/>
        </w:tabs>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rPr>
        <w:t>2.本表可扩展</w:t>
      </w:r>
      <w:r>
        <w:rPr>
          <w:rFonts w:hint="eastAsia" w:ascii="宋体" w:hAnsi="宋体" w:cs="宋体"/>
          <w:color w:val="auto"/>
          <w:sz w:val="24"/>
          <w:szCs w:val="24"/>
        </w:rPr>
        <w:t>。</w:t>
      </w:r>
    </w:p>
    <w:p>
      <w:pPr>
        <w:tabs>
          <w:tab w:val="left" w:pos="6300"/>
        </w:tabs>
        <w:snapToGrid w:val="0"/>
        <w:spacing w:line="480" w:lineRule="exact"/>
        <w:ind w:firstLine="480" w:firstLineChars="200"/>
        <w:rPr>
          <w:rFonts w:ascii="宋体" w:hAnsi="宋体" w:cs="宋体"/>
          <w:color w:val="auto"/>
          <w:sz w:val="24"/>
          <w:szCs w:val="24"/>
        </w:rPr>
      </w:pPr>
    </w:p>
    <w:p>
      <w:pPr>
        <w:tabs>
          <w:tab w:val="left" w:pos="6300"/>
        </w:tabs>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（二）其它</w:t>
      </w:r>
      <w:r>
        <w:rPr>
          <w:rFonts w:hint="eastAsia" w:ascii="宋体" w:hAnsi="宋体" w:cs="宋体"/>
          <w:color w:val="auto"/>
          <w:sz w:val="24"/>
          <w:szCs w:val="24"/>
          <w:lang w:eastAsia="zh-CN"/>
        </w:rPr>
        <w:t>商务资料</w:t>
      </w:r>
      <w:r>
        <w:rPr>
          <w:rFonts w:hint="eastAsia" w:ascii="宋体" w:hAnsi="宋体" w:cs="宋体"/>
          <w:color w:val="auto"/>
          <w:sz w:val="24"/>
          <w:szCs w:val="24"/>
        </w:rPr>
        <w:t>（</w:t>
      </w:r>
      <w:r>
        <w:rPr>
          <w:rFonts w:hint="eastAsia" w:ascii="宋体" w:hAnsi="宋体" w:cs="宋体"/>
          <w:color w:val="auto"/>
          <w:sz w:val="24"/>
          <w:szCs w:val="24"/>
          <w:lang w:eastAsia="zh-CN"/>
        </w:rPr>
        <w:t>如有</w:t>
      </w:r>
      <w:r>
        <w:rPr>
          <w:rFonts w:hint="eastAsia" w:ascii="宋体" w:hAnsi="宋体" w:cs="宋体"/>
          <w:color w:val="auto"/>
          <w:sz w:val="24"/>
          <w:szCs w:val="24"/>
        </w:rPr>
        <w:t>）</w:t>
      </w:r>
    </w:p>
    <w:p>
      <w:pPr>
        <w:tabs>
          <w:tab w:val="left" w:pos="6300"/>
        </w:tabs>
        <w:snapToGrid w:val="0"/>
        <w:spacing w:line="480" w:lineRule="exact"/>
        <w:ind w:firstLine="480" w:firstLineChars="200"/>
        <w:rPr>
          <w:rFonts w:ascii="宋体" w:hAnsi="宋体" w:cs="宋体"/>
          <w:color w:val="auto"/>
          <w:sz w:val="24"/>
          <w:szCs w:val="24"/>
        </w:rPr>
      </w:pPr>
    </w:p>
    <w:p>
      <w:pPr>
        <w:pStyle w:val="4"/>
        <w:adjustRightInd w:val="0"/>
        <w:snapToGrid w:val="0"/>
        <w:spacing w:before="0" w:after="0" w:line="400" w:lineRule="exact"/>
        <w:ind w:firstLine="482" w:firstLineChars="200"/>
        <w:rPr>
          <w:rFonts w:ascii="宋体" w:hAnsi="宋体" w:eastAsia="宋体" w:cs="宋体"/>
          <w:color w:val="auto"/>
          <w:sz w:val="24"/>
        </w:rPr>
      </w:pPr>
      <w:r>
        <w:rPr>
          <w:rFonts w:hint="eastAsia" w:ascii="宋体" w:hAnsi="宋体" w:eastAsia="宋体" w:cs="宋体"/>
          <w:color w:val="auto"/>
          <w:sz w:val="24"/>
          <w:szCs w:val="24"/>
        </w:rPr>
        <w:br w:type="page"/>
      </w:r>
      <w:bookmarkStart w:id="227" w:name="_Toc20162"/>
      <w:bookmarkStart w:id="228" w:name="_Toc106034811"/>
      <w:bookmarkStart w:id="229" w:name="_Toc19294"/>
      <w:bookmarkStart w:id="230" w:name="_Toc2082"/>
      <w:bookmarkStart w:id="231" w:name="_Toc65660382"/>
      <w:bookmarkStart w:id="232" w:name="_Toc21793"/>
      <w:r>
        <w:rPr>
          <w:rFonts w:hint="eastAsia" w:ascii="宋体" w:hAnsi="宋体" w:eastAsia="宋体" w:cs="宋体"/>
          <w:color w:val="auto"/>
          <w:sz w:val="24"/>
        </w:rPr>
        <w:t>四、</w:t>
      </w:r>
      <w:bookmarkEnd w:id="224"/>
      <w:bookmarkEnd w:id="225"/>
      <w:bookmarkEnd w:id="226"/>
      <w:r>
        <w:rPr>
          <w:rFonts w:hint="eastAsia" w:ascii="宋体" w:hAnsi="宋体" w:eastAsia="宋体" w:cs="宋体"/>
          <w:color w:val="auto"/>
          <w:sz w:val="24"/>
        </w:rPr>
        <w:t>资格条件及其他</w:t>
      </w:r>
      <w:bookmarkEnd w:id="227"/>
      <w:bookmarkEnd w:id="228"/>
      <w:bookmarkEnd w:id="229"/>
      <w:bookmarkEnd w:id="230"/>
      <w:bookmarkEnd w:id="231"/>
      <w:bookmarkEnd w:id="232"/>
      <w:bookmarkStart w:id="233" w:name="_Toc313888363"/>
      <w:bookmarkStart w:id="234" w:name="_Toc342913422"/>
      <w:bookmarkStart w:id="235" w:name="_Toc313008359"/>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color w:val="auto"/>
          <w:sz w:val="24"/>
          <w:szCs w:val="24"/>
        </w:rPr>
      </w:pP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tabs>
          <w:tab w:val="left" w:pos="6300"/>
        </w:tabs>
        <w:snapToGrid w:val="0"/>
        <w:spacing w:line="500" w:lineRule="exact"/>
        <w:ind w:firstLine="570"/>
        <w:rPr>
          <w:rFonts w:ascii="宋体" w:hAnsi="宋体" w:cs="宋体"/>
          <w:color w:val="auto"/>
        </w:rPr>
      </w:pPr>
    </w:p>
    <w:p>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lang w:eastAsia="zh-CN"/>
        </w:rPr>
        <w:t>询比</w:t>
      </w:r>
      <w:r>
        <w:rPr>
          <w:rFonts w:hint="eastAsia" w:ascii="宋体" w:hAnsi="宋体" w:cs="宋体"/>
          <w:color w:val="auto"/>
          <w:sz w:val="24"/>
        </w:rPr>
        <w:t>项目名称：</w:t>
      </w:r>
      <w:r>
        <w:rPr>
          <w:rFonts w:hint="eastAsia" w:ascii="宋体" w:hAnsi="宋体" w:cs="宋体"/>
          <w:color w:val="auto"/>
          <w:sz w:val="24"/>
          <w:u w:val="single"/>
        </w:rPr>
        <w:t xml:space="preserve">                                                </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特此证明。</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（供应商公章）</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（三）法定代表人授权委托书（格式）</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8"/>
          <w:lang w:eastAsia="zh-CN"/>
        </w:rPr>
        <w:t>询比</w:t>
      </w: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u w:val="single"/>
        </w:rPr>
        <w:t xml:space="preserve">                                                </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pPr>
        <w:tabs>
          <w:tab w:val="left" w:pos="6300"/>
        </w:tabs>
        <w:snapToGrid w:val="0"/>
        <w:spacing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pPr>
        <w:tabs>
          <w:tab w:val="left" w:pos="6300"/>
        </w:tabs>
        <w:snapToGrid w:val="0"/>
        <w:spacing w:line="500" w:lineRule="exact"/>
        <w:ind w:firstLine="570"/>
        <w:rPr>
          <w:rFonts w:ascii="宋体" w:hAnsi="宋体" w:cs="宋体"/>
          <w:color w:val="auto"/>
          <w:sz w:val="24"/>
          <w:szCs w:val="28"/>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注：</w:t>
      </w:r>
    </w:p>
    <w:p>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1.若为法定代表人办理并签署响应文件的，不提供此文件。</w:t>
      </w:r>
    </w:p>
    <w:p>
      <w:pPr>
        <w:tabs>
          <w:tab w:val="left" w:pos="6300"/>
        </w:tabs>
        <w:snapToGrid w:val="0"/>
        <w:spacing w:line="400" w:lineRule="exact"/>
        <w:ind w:firstLine="573"/>
        <w:rPr>
          <w:rFonts w:ascii="宋体" w:hAnsi="宋体" w:cs="宋体"/>
          <w:color w:val="auto"/>
          <w:sz w:val="24"/>
        </w:rPr>
      </w:pPr>
      <w:r>
        <w:rPr>
          <w:rFonts w:hint="eastAsia" w:ascii="宋体" w:hAnsi="宋体" w:cs="宋体"/>
          <w:color w:val="auto"/>
          <w:sz w:val="24"/>
        </w:rPr>
        <w:t>2.若为联合体参与的，法定代表人授权委托书由联合体主办方</w:t>
      </w:r>
      <w:r>
        <w:rPr>
          <w:rFonts w:hint="eastAsia" w:ascii="宋体" w:hAnsi="宋体" w:cs="宋体"/>
          <w:color w:val="auto"/>
          <w:kern w:val="0"/>
          <w:sz w:val="24"/>
          <w:szCs w:val="24"/>
        </w:rPr>
        <w:t>（主体）</w:t>
      </w:r>
      <w:r>
        <w:rPr>
          <w:rFonts w:hint="eastAsia" w:ascii="宋体" w:hAnsi="宋体" w:cs="宋体"/>
          <w:color w:val="auto"/>
          <w:sz w:val="24"/>
        </w:rPr>
        <w:t>出具。</w:t>
      </w:r>
    </w:p>
    <w:p>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pPr>
        <w:tabs>
          <w:tab w:val="left" w:pos="6300"/>
        </w:tabs>
        <w:snapToGrid w:val="0"/>
        <w:spacing w:line="530" w:lineRule="exact"/>
        <w:rPr>
          <w:rFonts w:ascii="宋体" w:hAnsi="宋体" w:cs="宋体"/>
          <w:color w:val="auto"/>
          <w:sz w:val="24"/>
        </w:rPr>
      </w:pP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特此承诺。</w:t>
      </w:r>
    </w:p>
    <w:p>
      <w:pPr>
        <w:tabs>
          <w:tab w:val="left" w:pos="6300"/>
        </w:tabs>
        <w:snapToGrid w:val="0"/>
        <w:spacing w:line="500" w:lineRule="exact"/>
        <w:ind w:firstLine="480" w:firstLineChars="200"/>
        <w:rPr>
          <w:rFonts w:ascii="宋体" w:hAnsi="宋体" w:cs="宋体"/>
          <w:color w:val="auto"/>
          <w:sz w:val="24"/>
        </w:rPr>
      </w:pPr>
    </w:p>
    <w:p>
      <w:pPr>
        <w:tabs>
          <w:tab w:val="left" w:pos="6300"/>
        </w:tabs>
        <w:snapToGrid w:val="0"/>
        <w:spacing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pPr>
        <w:widowControl/>
        <w:spacing w:line="400" w:lineRule="exact"/>
        <w:ind w:firstLine="7920" w:firstLineChars="3300"/>
        <w:jc w:val="left"/>
        <w:rPr>
          <w:rFonts w:ascii="宋体" w:hAnsi="宋体" w:cs="宋体"/>
          <w:color w:val="auto"/>
          <w:sz w:val="24"/>
          <w:szCs w:val="24"/>
        </w:rPr>
      </w:pPr>
      <w:r>
        <w:rPr>
          <w:rFonts w:hint="eastAsia" w:ascii="宋体" w:hAnsi="宋体" w:cs="宋体"/>
          <w:color w:val="auto"/>
          <w:sz w:val="24"/>
        </w:rPr>
        <w:t>年   月   日</w:t>
      </w:r>
    </w:p>
    <w:p>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w:t>
      </w:r>
    </w:p>
    <w:p>
      <w:pPr>
        <w:widowControl/>
        <w:spacing w:line="400" w:lineRule="exact"/>
        <w:ind w:firstLine="480" w:firstLineChars="200"/>
        <w:jc w:val="left"/>
        <w:rPr>
          <w:rFonts w:ascii="宋体" w:hAnsi="宋体" w:cs="宋体"/>
          <w:color w:val="auto"/>
          <w:sz w:val="24"/>
          <w:szCs w:val="24"/>
        </w:rPr>
      </w:pPr>
    </w:p>
    <w:p>
      <w:pPr>
        <w:pStyle w:val="4"/>
        <w:adjustRightInd w:val="0"/>
        <w:snapToGrid w:val="0"/>
        <w:spacing w:before="0" w:after="0" w:line="400" w:lineRule="exact"/>
        <w:ind w:firstLine="482" w:firstLineChars="200"/>
        <w:rPr>
          <w:rFonts w:ascii="宋体" w:hAnsi="宋体" w:eastAsia="宋体" w:cs="宋体"/>
          <w:color w:val="auto"/>
          <w:sz w:val="24"/>
        </w:rPr>
      </w:pPr>
      <w:r>
        <w:rPr>
          <w:rFonts w:hint="eastAsia" w:ascii="宋体" w:hAnsi="宋体" w:eastAsia="宋体" w:cs="宋体"/>
          <w:color w:val="auto"/>
          <w:sz w:val="24"/>
          <w:szCs w:val="24"/>
        </w:rPr>
        <w:br w:type="page"/>
      </w:r>
      <w:bookmarkStart w:id="236" w:name="_Toc65660383"/>
      <w:bookmarkStart w:id="237" w:name="_Toc2080"/>
      <w:bookmarkStart w:id="238" w:name="_Toc17010"/>
      <w:bookmarkStart w:id="239" w:name="_Toc106034812"/>
      <w:bookmarkStart w:id="240" w:name="_Toc15815"/>
      <w:bookmarkStart w:id="241" w:name="_Toc10114"/>
      <w:r>
        <w:rPr>
          <w:rFonts w:hint="eastAsia" w:ascii="宋体" w:hAnsi="宋体" w:eastAsia="宋体" w:cs="宋体"/>
          <w:color w:val="auto"/>
          <w:sz w:val="24"/>
        </w:rPr>
        <w:t>五、</w:t>
      </w:r>
      <w:bookmarkEnd w:id="233"/>
      <w:bookmarkEnd w:id="234"/>
      <w:bookmarkEnd w:id="235"/>
      <w:r>
        <w:rPr>
          <w:rFonts w:hint="eastAsia" w:ascii="宋体" w:hAnsi="宋体" w:eastAsia="宋体" w:cs="宋体"/>
          <w:color w:val="auto"/>
          <w:sz w:val="24"/>
        </w:rPr>
        <w:t>其他资料</w:t>
      </w:r>
      <w:bookmarkEnd w:id="236"/>
      <w:bookmarkEnd w:id="237"/>
      <w:bookmarkEnd w:id="238"/>
      <w:bookmarkEnd w:id="239"/>
      <w:bookmarkEnd w:id="240"/>
      <w:bookmarkEnd w:id="241"/>
    </w:p>
    <w:p>
      <w:pPr>
        <w:widowControl/>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（一）其他与项目有关的资料（自附）</w:t>
      </w:r>
    </w:p>
    <w:p>
      <w:pPr>
        <w:spacing w:line="360" w:lineRule="auto"/>
        <w:ind w:firstLine="480" w:firstLineChars="200"/>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spacing w:line="360" w:lineRule="auto"/>
        <w:ind w:firstLine="480" w:firstLineChars="200"/>
        <w:jc w:val="center"/>
        <w:rPr>
          <w:rFonts w:ascii="宋体" w:hAnsi="宋体" w:cs="宋体"/>
          <w:color w:val="auto"/>
          <w:sz w:val="24"/>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pStyle w:val="57"/>
        <w:rPr>
          <w:rFonts w:eastAsia="宋体" w:cs="宋体"/>
          <w:color w:val="auto"/>
          <w:szCs w:val="24"/>
        </w:rPr>
      </w:pPr>
    </w:p>
    <w:p>
      <w:pPr>
        <w:jc w:val="left"/>
        <w:rPr>
          <w:rFonts w:ascii="宋体" w:hAnsi="宋体" w:cs="宋体"/>
          <w:b/>
          <w:bCs/>
          <w:color w:val="auto"/>
          <w:sz w:val="32"/>
          <w:szCs w:val="32"/>
        </w:rPr>
      </w:pPr>
      <w:r>
        <w:rPr>
          <w:rFonts w:hint="eastAsia" w:ascii="宋体" w:hAnsi="宋体" w:cs="宋体"/>
          <w:b/>
          <w:bCs/>
          <w:color w:val="auto"/>
          <w:sz w:val="32"/>
          <w:szCs w:val="32"/>
        </w:rPr>
        <w:t>附件：重庆华大工程管理有限公司采购文件发售登记表</w:t>
      </w:r>
    </w:p>
    <w:p>
      <w:pPr>
        <w:jc w:val="left"/>
        <w:rPr>
          <w:rFonts w:ascii="宋体" w:hAnsi="宋体" w:cs="宋体"/>
          <w:b/>
          <w:bCs/>
          <w:color w:val="auto"/>
          <w:spacing w:val="40"/>
          <w:sz w:val="32"/>
          <w:szCs w:val="32"/>
        </w:rPr>
      </w:pPr>
    </w:p>
    <w:tbl>
      <w:tblPr>
        <w:tblStyle w:val="59"/>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项目编号</w:t>
            </w:r>
          </w:p>
        </w:tc>
        <w:tc>
          <w:tcPr>
            <w:tcW w:w="8280" w:type="dxa"/>
            <w:gridSpan w:val="3"/>
            <w:vAlign w:val="center"/>
          </w:tcPr>
          <w:p>
            <w:pPr>
              <w:jc w:val="center"/>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项目名称</w:t>
            </w:r>
          </w:p>
        </w:tc>
        <w:tc>
          <w:tcPr>
            <w:tcW w:w="8280" w:type="dxa"/>
            <w:gridSpan w:val="3"/>
            <w:vAlign w:val="center"/>
          </w:tcPr>
          <w:p>
            <w:pPr>
              <w:jc w:val="center"/>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投标人名称</w:t>
            </w:r>
          </w:p>
        </w:tc>
        <w:tc>
          <w:tcPr>
            <w:tcW w:w="8280" w:type="dxa"/>
            <w:gridSpan w:val="3"/>
            <w:vAlign w:val="bottom"/>
          </w:tcPr>
          <w:p>
            <w:pPr>
              <w:jc w:val="right"/>
              <w:rPr>
                <w:rFonts w:ascii="宋体" w:hAnsi="宋体" w:cs="宋体"/>
                <w:color w:val="auto"/>
                <w:sz w:val="30"/>
                <w:szCs w:val="30"/>
              </w:rPr>
            </w:pPr>
            <w:r>
              <w:rPr>
                <w:rFonts w:hint="eastAsia" w:ascii="宋体" w:hAnsi="宋体" w:cs="宋体"/>
                <w:color w:val="auto"/>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联系人</w:t>
            </w:r>
          </w:p>
        </w:tc>
        <w:tc>
          <w:tcPr>
            <w:tcW w:w="1964" w:type="dxa"/>
            <w:vAlign w:val="center"/>
          </w:tcPr>
          <w:p>
            <w:pPr>
              <w:jc w:val="left"/>
              <w:rPr>
                <w:rFonts w:ascii="宋体" w:hAnsi="宋体" w:cs="宋体"/>
                <w:color w:val="auto"/>
                <w:sz w:val="30"/>
                <w:szCs w:val="30"/>
              </w:rPr>
            </w:pPr>
          </w:p>
        </w:tc>
        <w:tc>
          <w:tcPr>
            <w:tcW w:w="1305" w:type="dxa"/>
            <w:vAlign w:val="center"/>
          </w:tcPr>
          <w:p>
            <w:pPr>
              <w:jc w:val="left"/>
              <w:rPr>
                <w:rFonts w:ascii="宋体" w:hAnsi="宋体" w:cs="宋体"/>
                <w:color w:val="auto"/>
                <w:sz w:val="30"/>
                <w:szCs w:val="30"/>
              </w:rPr>
            </w:pPr>
            <w:r>
              <w:rPr>
                <w:rFonts w:hint="eastAsia" w:ascii="宋体" w:hAnsi="宋体" w:cs="宋体"/>
                <w:color w:val="auto"/>
                <w:sz w:val="30"/>
                <w:szCs w:val="30"/>
              </w:rPr>
              <w:t>手机</w:t>
            </w:r>
          </w:p>
        </w:tc>
        <w:tc>
          <w:tcPr>
            <w:tcW w:w="5011" w:type="dxa"/>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办公电话</w:t>
            </w:r>
          </w:p>
        </w:tc>
        <w:tc>
          <w:tcPr>
            <w:tcW w:w="1964" w:type="dxa"/>
            <w:vAlign w:val="center"/>
          </w:tcPr>
          <w:p>
            <w:pPr>
              <w:jc w:val="left"/>
              <w:rPr>
                <w:rFonts w:ascii="宋体" w:hAnsi="宋体" w:cs="宋体"/>
                <w:color w:val="auto"/>
                <w:sz w:val="30"/>
                <w:szCs w:val="30"/>
              </w:rPr>
            </w:pPr>
          </w:p>
        </w:tc>
        <w:tc>
          <w:tcPr>
            <w:tcW w:w="1305" w:type="dxa"/>
            <w:vAlign w:val="center"/>
          </w:tcPr>
          <w:p>
            <w:pPr>
              <w:jc w:val="left"/>
              <w:rPr>
                <w:rFonts w:ascii="宋体" w:hAnsi="宋体" w:cs="宋体"/>
                <w:color w:val="auto"/>
                <w:sz w:val="30"/>
                <w:szCs w:val="30"/>
              </w:rPr>
            </w:pPr>
            <w:r>
              <w:rPr>
                <w:rFonts w:hint="eastAsia" w:ascii="宋体" w:hAnsi="宋体" w:cs="宋体"/>
                <w:color w:val="auto"/>
                <w:sz w:val="30"/>
                <w:szCs w:val="30"/>
              </w:rPr>
              <w:t>传真</w:t>
            </w:r>
          </w:p>
        </w:tc>
        <w:tc>
          <w:tcPr>
            <w:tcW w:w="5011" w:type="dxa"/>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E-mail</w:t>
            </w:r>
          </w:p>
        </w:tc>
        <w:tc>
          <w:tcPr>
            <w:tcW w:w="8280" w:type="dxa"/>
            <w:gridSpan w:val="3"/>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color w:val="auto"/>
                <w:sz w:val="30"/>
                <w:szCs w:val="30"/>
              </w:rPr>
            </w:pPr>
            <w:r>
              <w:rPr>
                <w:rFonts w:hint="eastAsia" w:ascii="宋体" w:hAnsi="宋体" w:cs="宋体"/>
                <w:color w:val="auto"/>
                <w:sz w:val="30"/>
                <w:szCs w:val="30"/>
              </w:rPr>
              <w:t>单位地址</w:t>
            </w:r>
          </w:p>
        </w:tc>
        <w:tc>
          <w:tcPr>
            <w:tcW w:w="8280" w:type="dxa"/>
            <w:gridSpan w:val="3"/>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vAlign w:val="center"/>
          </w:tcPr>
          <w:p>
            <w:pPr>
              <w:jc w:val="left"/>
              <w:rPr>
                <w:rFonts w:ascii="宋体" w:hAnsi="宋体" w:cs="宋体"/>
                <w:color w:val="auto"/>
                <w:sz w:val="30"/>
                <w:szCs w:val="30"/>
              </w:rPr>
            </w:pPr>
            <w:r>
              <w:rPr>
                <w:rFonts w:hint="eastAsia" w:ascii="宋体" w:hAnsi="宋体" w:cs="宋体"/>
                <w:color w:val="auto"/>
                <w:sz w:val="30"/>
                <w:szCs w:val="30"/>
              </w:rPr>
              <w:t xml:space="preserve">    日期：</w:t>
            </w:r>
            <w:r>
              <w:rPr>
                <w:rFonts w:hint="eastAsia" w:ascii="宋体" w:hAnsi="宋体" w:cs="宋体"/>
                <w:color w:val="auto"/>
                <w:sz w:val="30"/>
                <w:szCs w:val="30"/>
                <w:u w:val="single"/>
              </w:rPr>
              <w:t xml:space="preserve">     </w:t>
            </w:r>
            <w:r>
              <w:rPr>
                <w:rFonts w:hint="eastAsia" w:ascii="宋体" w:hAnsi="宋体" w:cs="宋体"/>
                <w:color w:val="auto"/>
                <w:sz w:val="30"/>
                <w:szCs w:val="30"/>
              </w:rPr>
              <w:t xml:space="preserve"> 年</w:t>
            </w:r>
            <w:r>
              <w:rPr>
                <w:rFonts w:hint="eastAsia" w:ascii="宋体" w:hAnsi="宋体" w:cs="宋体"/>
                <w:color w:val="auto"/>
                <w:sz w:val="30"/>
                <w:szCs w:val="30"/>
                <w:u w:val="single"/>
              </w:rPr>
              <w:t xml:space="preserve">    </w:t>
            </w:r>
            <w:r>
              <w:rPr>
                <w:rFonts w:hint="eastAsia" w:ascii="宋体" w:hAnsi="宋体" w:cs="宋体"/>
                <w:color w:val="auto"/>
                <w:sz w:val="30"/>
                <w:szCs w:val="30"/>
              </w:rPr>
              <w:t>月</w:t>
            </w:r>
            <w:r>
              <w:rPr>
                <w:rFonts w:hint="eastAsia" w:ascii="宋体" w:hAnsi="宋体" w:cs="宋体"/>
                <w:color w:val="auto"/>
                <w:sz w:val="30"/>
                <w:szCs w:val="30"/>
                <w:u w:val="single"/>
              </w:rPr>
              <w:t xml:space="preserve">    </w:t>
            </w:r>
            <w:r>
              <w:rPr>
                <w:rFonts w:hint="eastAsia" w:ascii="宋体" w:hAnsi="宋体" w:cs="宋体"/>
                <w:color w:val="auto"/>
                <w:sz w:val="30"/>
                <w:szCs w:val="30"/>
              </w:rPr>
              <w:t xml:space="preserve">日    </w:t>
            </w:r>
          </w:p>
        </w:tc>
      </w:tr>
    </w:tbl>
    <w:p>
      <w:pPr>
        <w:rPr>
          <w:rFonts w:ascii="宋体" w:hAnsi="宋体" w:cs="宋体"/>
          <w:color w:val="auto"/>
          <w:sz w:val="24"/>
        </w:rPr>
      </w:pPr>
    </w:p>
    <w:p>
      <w:pPr>
        <w:rPr>
          <w:rFonts w:ascii="宋体" w:hAnsi="宋体" w:cs="宋体"/>
          <w:color w:val="auto"/>
          <w:szCs w:val="28"/>
        </w:rPr>
      </w:pPr>
    </w:p>
    <w:p>
      <w:pPr>
        <w:pStyle w:val="57"/>
        <w:rPr>
          <w:rFonts w:eastAsia="宋体" w:cs="宋体"/>
          <w:color w:val="auto"/>
          <w:szCs w:val="24"/>
        </w:rPr>
      </w:pPr>
    </w:p>
    <w:p>
      <w:pPr>
        <w:spacing w:line="360" w:lineRule="auto"/>
        <w:ind w:firstLine="480" w:firstLineChars="200"/>
        <w:jc w:val="center"/>
        <w:rPr>
          <w:rFonts w:ascii="宋体" w:hAnsi="宋体" w:cs="宋体"/>
          <w:color w:val="auto"/>
          <w:sz w:val="24"/>
          <w:szCs w:val="24"/>
        </w:rPr>
      </w:pPr>
    </w:p>
    <w:p>
      <w:pPr>
        <w:ind w:firstLine="560" w:firstLineChars="200"/>
        <w:jc w:val="center"/>
        <w:rPr>
          <w:rFonts w:ascii="宋体" w:hAnsi="宋体" w:cs="宋体"/>
          <w:color w:val="auto"/>
        </w:rPr>
      </w:pPr>
      <w:r>
        <w:rPr>
          <w:rFonts w:hint="eastAsia" w:ascii="宋体" w:hAnsi="宋体" w:cs="宋体"/>
          <w:color w:val="auto"/>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p>
  <w:p>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询比采购文件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27C58C4"/>
    <w:multiLevelType w:val="singleLevel"/>
    <w:tmpl w:val="627C58C4"/>
    <w:lvl w:ilvl="0" w:tentative="0">
      <w:start w:val="2"/>
      <w:numFmt w:val="chineseCounting"/>
      <w:suff w:val="space"/>
      <w:lvlText w:val="第%1篇"/>
      <w:lvlJc w:val="left"/>
      <w:rPr>
        <w:rFonts w:hint="eastAsia"/>
      </w:rPr>
    </w:lvl>
  </w:abstractNum>
  <w:num w:numId="1">
    <w:abstractNumId w:val="8"/>
  </w:num>
  <w:num w:numId="2">
    <w:abstractNumId w:val="3"/>
  </w:num>
  <w:num w:numId="3">
    <w:abstractNumId w:val="9"/>
  </w:num>
  <w:num w:numId="4">
    <w:abstractNumId w:val="0"/>
  </w:num>
  <w:num w:numId="5">
    <w:abstractNumId w:val="11"/>
  </w:num>
  <w:num w:numId="6">
    <w:abstractNumId w:val="2"/>
  </w:num>
  <w:num w:numId="7">
    <w:abstractNumId w:val="4"/>
  </w:num>
  <w:num w:numId="8">
    <w:abstractNumId w:val="1"/>
  </w:num>
  <w:num w:numId="9">
    <w:abstractNumId w:val="10"/>
  </w:num>
  <w:num w:numId="10">
    <w:abstractNumId w:val="6"/>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5DC64318"/>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D65F1"/>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D2AFF"/>
    <w:rsid w:val="002E632A"/>
    <w:rsid w:val="002F159B"/>
    <w:rsid w:val="002F1B06"/>
    <w:rsid w:val="002F26FF"/>
    <w:rsid w:val="002F3DE3"/>
    <w:rsid w:val="002F5060"/>
    <w:rsid w:val="002F632E"/>
    <w:rsid w:val="002F761B"/>
    <w:rsid w:val="00310AF9"/>
    <w:rsid w:val="00312897"/>
    <w:rsid w:val="00312A52"/>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43D8"/>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18B"/>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DCE"/>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77A"/>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63B8"/>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8F578F"/>
    <w:rsid w:val="05942874"/>
    <w:rsid w:val="0609794D"/>
    <w:rsid w:val="06D753FF"/>
    <w:rsid w:val="074131FB"/>
    <w:rsid w:val="075B5D40"/>
    <w:rsid w:val="08C52A1E"/>
    <w:rsid w:val="0D0C19E1"/>
    <w:rsid w:val="0DAB64B5"/>
    <w:rsid w:val="0EA0672E"/>
    <w:rsid w:val="0F0D5446"/>
    <w:rsid w:val="0F5C0006"/>
    <w:rsid w:val="10211A16"/>
    <w:rsid w:val="107752B0"/>
    <w:rsid w:val="10A963B5"/>
    <w:rsid w:val="11031288"/>
    <w:rsid w:val="11A92009"/>
    <w:rsid w:val="128F643E"/>
    <w:rsid w:val="12D62551"/>
    <w:rsid w:val="13B8364F"/>
    <w:rsid w:val="142F3385"/>
    <w:rsid w:val="14A85F1C"/>
    <w:rsid w:val="14AC2AF2"/>
    <w:rsid w:val="171A1B1E"/>
    <w:rsid w:val="17300027"/>
    <w:rsid w:val="180C3899"/>
    <w:rsid w:val="19E9549C"/>
    <w:rsid w:val="1A5F56EF"/>
    <w:rsid w:val="1B6E01C3"/>
    <w:rsid w:val="1BA4182E"/>
    <w:rsid w:val="1BEF2D2A"/>
    <w:rsid w:val="1C746C70"/>
    <w:rsid w:val="1C975F69"/>
    <w:rsid w:val="1D593844"/>
    <w:rsid w:val="1DF1193F"/>
    <w:rsid w:val="1ED03CC7"/>
    <w:rsid w:val="1FCA5A5B"/>
    <w:rsid w:val="1FF57210"/>
    <w:rsid w:val="200563F1"/>
    <w:rsid w:val="21C347B6"/>
    <w:rsid w:val="21E738ED"/>
    <w:rsid w:val="23205257"/>
    <w:rsid w:val="232C638A"/>
    <w:rsid w:val="245B32B8"/>
    <w:rsid w:val="251A4103"/>
    <w:rsid w:val="25462371"/>
    <w:rsid w:val="25E40D26"/>
    <w:rsid w:val="25F15DB5"/>
    <w:rsid w:val="26216BA5"/>
    <w:rsid w:val="266A7FA7"/>
    <w:rsid w:val="27224BBC"/>
    <w:rsid w:val="2758220F"/>
    <w:rsid w:val="27982D07"/>
    <w:rsid w:val="286B02B7"/>
    <w:rsid w:val="291E7E47"/>
    <w:rsid w:val="296B6E95"/>
    <w:rsid w:val="2B286BC5"/>
    <w:rsid w:val="2C2D2523"/>
    <w:rsid w:val="2C3C416C"/>
    <w:rsid w:val="2CAE6BE6"/>
    <w:rsid w:val="2F57706B"/>
    <w:rsid w:val="2FB74F2F"/>
    <w:rsid w:val="30625C67"/>
    <w:rsid w:val="33D15DFC"/>
    <w:rsid w:val="3577745A"/>
    <w:rsid w:val="36EA2EF3"/>
    <w:rsid w:val="375B253A"/>
    <w:rsid w:val="3765481F"/>
    <w:rsid w:val="37B06CB9"/>
    <w:rsid w:val="39992224"/>
    <w:rsid w:val="39C46996"/>
    <w:rsid w:val="3A907F7C"/>
    <w:rsid w:val="3A9E5DDE"/>
    <w:rsid w:val="3AF63F19"/>
    <w:rsid w:val="3B0D2CD2"/>
    <w:rsid w:val="3B1B7A63"/>
    <w:rsid w:val="3CA5540E"/>
    <w:rsid w:val="3CFA7063"/>
    <w:rsid w:val="3CFC2659"/>
    <w:rsid w:val="3D396C7C"/>
    <w:rsid w:val="3F032C8F"/>
    <w:rsid w:val="3F446ADE"/>
    <w:rsid w:val="401B6436"/>
    <w:rsid w:val="40B51316"/>
    <w:rsid w:val="414C48A8"/>
    <w:rsid w:val="41A84C78"/>
    <w:rsid w:val="41C95286"/>
    <w:rsid w:val="4311195E"/>
    <w:rsid w:val="44600D78"/>
    <w:rsid w:val="446366DB"/>
    <w:rsid w:val="44637395"/>
    <w:rsid w:val="456837CB"/>
    <w:rsid w:val="45C21C56"/>
    <w:rsid w:val="461F6313"/>
    <w:rsid w:val="47A24B4A"/>
    <w:rsid w:val="48CF29DD"/>
    <w:rsid w:val="48F038D6"/>
    <w:rsid w:val="4A0C2326"/>
    <w:rsid w:val="4AB71F04"/>
    <w:rsid w:val="4BC56E7C"/>
    <w:rsid w:val="4D6F2A8C"/>
    <w:rsid w:val="4E3F2D9E"/>
    <w:rsid w:val="50E807BE"/>
    <w:rsid w:val="518B5691"/>
    <w:rsid w:val="51BB25F2"/>
    <w:rsid w:val="52EA461C"/>
    <w:rsid w:val="52F460A0"/>
    <w:rsid w:val="531E68CD"/>
    <w:rsid w:val="54443AA7"/>
    <w:rsid w:val="545C6AF1"/>
    <w:rsid w:val="54DC3669"/>
    <w:rsid w:val="57B974E6"/>
    <w:rsid w:val="58D152BD"/>
    <w:rsid w:val="58D75E75"/>
    <w:rsid w:val="59244AC5"/>
    <w:rsid w:val="59D9651C"/>
    <w:rsid w:val="5B1A64ED"/>
    <w:rsid w:val="5BA5225B"/>
    <w:rsid w:val="5BD75000"/>
    <w:rsid w:val="5C182A2D"/>
    <w:rsid w:val="5C713B4F"/>
    <w:rsid w:val="5C775650"/>
    <w:rsid w:val="5CEB3CAF"/>
    <w:rsid w:val="5D1B313B"/>
    <w:rsid w:val="5DC64318"/>
    <w:rsid w:val="5E161133"/>
    <w:rsid w:val="5E5B78C3"/>
    <w:rsid w:val="5E910B3F"/>
    <w:rsid w:val="62BE4E4E"/>
    <w:rsid w:val="62C31B1E"/>
    <w:rsid w:val="63453EF9"/>
    <w:rsid w:val="65F92715"/>
    <w:rsid w:val="666A0BEA"/>
    <w:rsid w:val="66EA1075"/>
    <w:rsid w:val="67917EEF"/>
    <w:rsid w:val="68D221B5"/>
    <w:rsid w:val="69106A53"/>
    <w:rsid w:val="69735438"/>
    <w:rsid w:val="69E52920"/>
    <w:rsid w:val="6AE82164"/>
    <w:rsid w:val="6C6306A9"/>
    <w:rsid w:val="6CA56345"/>
    <w:rsid w:val="6DE54E6C"/>
    <w:rsid w:val="6ED27E5C"/>
    <w:rsid w:val="706838E7"/>
    <w:rsid w:val="71C65434"/>
    <w:rsid w:val="72026C0C"/>
    <w:rsid w:val="721C3F61"/>
    <w:rsid w:val="72B50B7E"/>
    <w:rsid w:val="72ED2E0A"/>
    <w:rsid w:val="744D6383"/>
    <w:rsid w:val="74A61D47"/>
    <w:rsid w:val="75123F8E"/>
    <w:rsid w:val="7585454D"/>
    <w:rsid w:val="767E515F"/>
    <w:rsid w:val="77F647DE"/>
    <w:rsid w:val="78146346"/>
    <w:rsid w:val="78280DDD"/>
    <w:rsid w:val="789E5CA1"/>
    <w:rsid w:val="7A2C6A10"/>
    <w:rsid w:val="7A3507F6"/>
    <w:rsid w:val="7AEB0570"/>
    <w:rsid w:val="7DAB25CC"/>
    <w:rsid w:val="7E924469"/>
    <w:rsid w:val="7EAD12A3"/>
    <w:rsid w:val="7ED93E46"/>
    <w:rsid w:val="7F0973CD"/>
    <w:rsid w:val="7F91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next w:val="24"/>
    <w:qFormat/>
    <w:uiPriority w:val="0"/>
    <w:rPr>
      <w:rFonts w:ascii="仿宋_GB2312" w:eastAsia="仿宋_GB2312"/>
      <w:sz w:val="32"/>
    </w:rPr>
  </w:style>
  <w:style w:type="paragraph" w:styleId="24">
    <w:name w:val="index 7"/>
    <w:basedOn w:val="1"/>
    <w:next w:val="1"/>
    <w:qFormat/>
    <w:uiPriority w:val="0"/>
    <w:pPr>
      <w:ind w:left="2520"/>
    </w:pPr>
  </w:style>
  <w:style w:type="paragraph" w:styleId="25">
    <w:name w:val="Body Text Indent"/>
    <w:basedOn w:val="1"/>
    <w:link w:val="7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72"/>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3"/>
    <w:qFormat/>
    <w:uiPriority w:val="0"/>
  </w:style>
  <w:style w:type="paragraph" w:styleId="35">
    <w:name w:val="Body Text Indent 2"/>
    <w:basedOn w:val="1"/>
    <w:link w:val="74"/>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76"/>
    <w:qFormat/>
    <w:uiPriority w:val="0"/>
    <w:pPr>
      <w:adjustRightInd/>
      <w:spacing w:line="240" w:lineRule="auto"/>
      <w:textAlignment w:val="auto"/>
    </w:p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5"/>
    <w:link w:val="77"/>
    <w:qFormat/>
    <w:uiPriority w:val="0"/>
    <w:pPr>
      <w:spacing w:after="120" w:line="240" w:lineRule="auto"/>
      <w:ind w:left="420" w:leftChars="200" w:firstLine="420" w:firstLineChars="200"/>
    </w:p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5"/>
    <w:qFormat/>
    <w:uiPriority w:val="0"/>
    <w:rPr>
      <w:kern w:val="2"/>
      <w:sz w:val="44"/>
    </w:rPr>
  </w:style>
  <w:style w:type="character" w:customStyle="1" w:styleId="72">
    <w:name w:val="纯文本 字符"/>
    <w:link w:val="32"/>
    <w:qFormat/>
    <w:uiPriority w:val="0"/>
    <w:rPr>
      <w:rFonts w:ascii="宋体" w:hAnsi="Courier New"/>
      <w:kern w:val="2"/>
      <w:sz w:val="21"/>
    </w:rPr>
  </w:style>
  <w:style w:type="character" w:customStyle="1" w:styleId="73">
    <w:name w:val="日期 字符"/>
    <w:link w:val="34"/>
    <w:qFormat/>
    <w:uiPriority w:val="0"/>
    <w:rPr>
      <w:kern w:val="2"/>
      <w:sz w:val="28"/>
    </w:rPr>
  </w:style>
  <w:style w:type="character" w:customStyle="1" w:styleId="74">
    <w:name w:val="正文文本缩进 2 字符"/>
    <w:link w:val="35"/>
    <w:qFormat/>
    <w:uiPriority w:val="0"/>
    <w:rPr>
      <w:kern w:val="2"/>
      <w:sz w:val="28"/>
    </w:rPr>
  </w:style>
  <w:style w:type="character" w:customStyle="1" w:styleId="75">
    <w:name w:val="脚注文本 字符"/>
    <w:link w:val="42"/>
    <w:qFormat/>
    <w:uiPriority w:val="0"/>
    <w:rPr>
      <w:kern w:val="2"/>
      <w:sz w:val="18"/>
    </w:rPr>
  </w:style>
  <w:style w:type="character" w:customStyle="1" w:styleId="76">
    <w:name w:val="批注主题 字符"/>
    <w:link w:val="56"/>
    <w:qFormat/>
    <w:uiPriority w:val="0"/>
  </w:style>
  <w:style w:type="character" w:customStyle="1" w:styleId="77">
    <w:name w:val="正文首行缩进 2 字符"/>
    <w:link w:val="58"/>
    <w:qFormat/>
    <w:uiPriority w:val="0"/>
  </w:style>
  <w:style w:type="character" w:customStyle="1" w:styleId="78">
    <w:name w:val="content-white1"/>
    <w:qFormat/>
    <w:uiPriority w:val="0"/>
    <w:rPr>
      <w:rFonts w:ascii="_x000B__x000C_" w:hAnsi="_x000B__x000C_"/>
      <w:color w:val="auto"/>
      <w:sz w:val="18"/>
      <w:u w:val="none"/>
    </w:rPr>
  </w:style>
  <w:style w:type="character" w:customStyle="1" w:styleId="79">
    <w:name w:val="Char Char3"/>
    <w:qFormat/>
    <w:uiPriority w:val="0"/>
    <w:rPr>
      <w:rFonts w:eastAsia="宋体"/>
      <w:kern w:val="2"/>
      <w:sz w:val="18"/>
      <w:lang w:val="en-US" w:eastAsia="zh-CN"/>
    </w:rPr>
  </w:style>
  <w:style w:type="character" w:customStyle="1" w:styleId="80">
    <w:name w:val="Table Text Char Char Char Char"/>
    <w:link w:val="81"/>
    <w:qFormat/>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Char Char7"/>
    <w:qFormat/>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qFormat/>
    <w:uiPriority w:val="0"/>
    <w:rPr>
      <w:sz w:val="18"/>
    </w:rPr>
  </w:style>
  <w:style w:type="character" w:customStyle="1" w:styleId="88">
    <w:name w:val="Char Char2"/>
    <w:qFormat/>
    <w:uiPriority w:val="0"/>
    <w:rPr>
      <w:rFonts w:eastAsia="宋体"/>
      <w:kern w:val="2"/>
      <w:sz w:val="18"/>
      <w:lang w:val="en-US" w:eastAsia="zh-CN"/>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11"/>
    <w:qFormat/>
    <w:uiPriority w:val="0"/>
    <w:rPr>
      <w:rFonts w:ascii="宋体"/>
      <w:kern w:val="2"/>
      <w:sz w:val="28"/>
    </w:rPr>
  </w:style>
  <w:style w:type="character" w:customStyle="1" w:styleId="93">
    <w:name w:val="样式 宋体"/>
    <w:qFormat/>
    <w:uiPriority w:val="0"/>
    <w:rPr>
      <w:rFonts w:ascii="宋体" w:hAnsi="宋体" w:eastAsia="宋体"/>
      <w:sz w:val="28"/>
    </w:rPr>
  </w:style>
  <w:style w:type="character" w:customStyle="1" w:styleId="94">
    <w:name w:val="正文 + 三号 Char"/>
    <w:qFormat/>
    <w:uiPriority w:val="0"/>
    <w:rPr>
      <w:rFonts w:eastAsia="宋体"/>
      <w:kern w:val="2"/>
      <w:sz w:val="21"/>
      <w:lang w:val="en-US" w:eastAsia="zh-CN"/>
    </w:rPr>
  </w:style>
  <w:style w:type="character" w:customStyle="1" w:styleId="95">
    <w:name w:val="crowed11"/>
    <w:qFormat/>
    <w:uiPriority w:val="0"/>
    <w:rPr>
      <w:rFonts w:hint="default" w:ascii="_x000B__x000C_" w:hAnsi="_x000B__x000C_"/>
      <w:sz w:val="24"/>
    </w:rPr>
  </w:style>
  <w:style w:type="character" w:customStyle="1" w:styleId="96">
    <w:name w:val="font1"/>
    <w:qFormat/>
    <w:uiPriority w:val="0"/>
    <w:rPr>
      <w:color w:val="000000"/>
      <w:sz w:val="1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Char Char6"/>
    <w:qFormat/>
    <w:uiPriority w:val="0"/>
    <w:rPr>
      <w:rFonts w:ascii="仿宋_GB2312" w:eastAsia="仿宋_GB2312"/>
      <w:kern w:val="2"/>
      <w:sz w:val="32"/>
    </w:rPr>
  </w:style>
  <w:style w:type="character" w:customStyle="1" w:styleId="101">
    <w:name w:val="top-det1"/>
    <w:qFormat/>
    <w:uiPriority w:val="0"/>
    <w:rPr>
      <w:b/>
      <w:color w:val="000000"/>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标书正文:  0.74 厘米 Char1"/>
    <w:qFormat/>
    <w:uiPriority w:val="0"/>
    <w:rPr>
      <w:rFonts w:eastAsia="宋体"/>
      <w:kern w:val="2"/>
      <w:sz w:val="24"/>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Char Char"/>
    <w:qFormat/>
    <w:uiPriority w:val="0"/>
    <w:rPr>
      <w:rFonts w:ascii="宋体" w:hAnsi="宋体" w:eastAsia="宋体"/>
      <w:kern w:val="2"/>
      <w:sz w:val="24"/>
      <w:lang w:val="en-US" w:eastAsia="zh-CN" w:bidi="ar-SA"/>
    </w:rPr>
  </w:style>
  <w:style w:type="paragraph" w:customStyle="1" w:styleId="106">
    <w:name w:val="IN Feature"/>
    <w:next w:val="1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8">
    <w:name w:val="表文字"/>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qFormat/>
    <w:uiPriority w:val="0"/>
    <w:rPr>
      <w:rFonts w:ascii="Tahoma" w:hAnsi="Tahoma"/>
      <w:sz w:val="30"/>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156" w:beforeLines="50" w:line="360" w:lineRule="auto"/>
      <w:ind w:firstLine="200" w:firstLineChars="200"/>
    </w:pPr>
    <w:rPr>
      <w:spacing w:val="2"/>
      <w:sz w:val="24"/>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内容标题"/>
    <w:basedOn w:val="18"/>
    <w:qFormat/>
    <w:uiPriority w:val="0"/>
    <w:rPr>
      <w:rFonts w:ascii="Tahoma" w:hAnsi="Tahoma"/>
      <w:sz w:val="24"/>
    </w:rPr>
  </w:style>
  <w:style w:type="paragraph" w:customStyle="1" w:styleId="1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qFormat/>
    <w:uiPriority w:val="0"/>
    <w:pPr>
      <w:jc w:val="center"/>
    </w:pPr>
    <w:rPr>
      <w:b/>
      <w:bCs/>
    </w:rPr>
  </w:style>
  <w:style w:type="paragraph" w:customStyle="1" w:styleId="119">
    <w:name w:val="表格正文"/>
    <w:basedOn w:val="1"/>
    <w:qFormat/>
    <w:uiPriority w:val="0"/>
    <w:rPr>
      <w:rFonts w:ascii="Calibri" w:hAnsi="Calibri" w:eastAsia="仿宋" w:cs="宋体"/>
      <w:sz w:val="24"/>
    </w:rPr>
  </w:style>
  <w:style w:type="paragraph" w:customStyle="1" w:styleId="120">
    <w:name w:val="正文1"/>
    <w:basedOn w:val="1"/>
    <w:qFormat/>
    <w:uiPriority w:val="0"/>
    <w:pPr>
      <w:spacing w:line="300" w:lineRule="auto"/>
      <w:ind w:firstLine="200" w:firstLineChars="200"/>
    </w:pPr>
    <w:rPr>
      <w:sz w:val="24"/>
    </w:rPr>
  </w:style>
  <w:style w:type="paragraph" w:customStyle="1" w:styleId="12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3">
    <w:name w:val="正文字缩2字"/>
    <w:basedOn w:val="1"/>
    <w:qFormat/>
    <w:uiPriority w:val="0"/>
    <w:pPr>
      <w:spacing w:before="60" w:after="60" w:line="360" w:lineRule="auto"/>
      <w:ind w:left="200" w:leftChars="200" w:firstLine="200" w:firstLineChars="200"/>
    </w:pPr>
    <w:rPr>
      <w:sz w:val="24"/>
    </w:rPr>
  </w:style>
  <w:style w:type="paragraph" w:customStyle="1" w:styleId="1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5"/>
    <w:next w:val="1"/>
    <w:qFormat/>
    <w:uiPriority w:val="0"/>
    <w:pPr>
      <w:spacing w:before="240" w:after="720"/>
    </w:pPr>
    <w:rPr>
      <w:sz w:val="28"/>
    </w:rPr>
  </w:style>
  <w:style w:type="paragraph" w:customStyle="1" w:styleId="1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8">
    <w:name w:val="没有缩进（为图形使用）"/>
    <w:basedOn w:val="1"/>
    <w:qFormat/>
    <w:uiPriority w:val="0"/>
    <w:pPr>
      <w:spacing w:before="120" w:after="120" w:line="360" w:lineRule="auto"/>
    </w:pPr>
    <w:rPr>
      <w:sz w:val="24"/>
    </w:rPr>
  </w:style>
  <w:style w:type="paragraph" w:customStyle="1" w:styleId="129">
    <w:name w:val="Char1 Char Char Char1"/>
    <w:basedOn w:val="1"/>
    <w:qFormat/>
    <w:uiPriority w:val="0"/>
    <w:rPr>
      <w:rFonts w:ascii="Tahoma" w:hAnsi="Tahoma"/>
      <w:sz w:val="24"/>
    </w:rPr>
  </w:style>
  <w:style w:type="paragraph" w:customStyle="1" w:styleId="130">
    <w:name w:val="Char1"/>
    <w:basedOn w:val="1"/>
    <w:qFormat/>
    <w:uiPriority w:val="0"/>
    <w:rPr>
      <w:sz w:val="21"/>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6"/>
    <w:qFormat/>
    <w:uiPriority w:val="0"/>
    <w:pPr>
      <w:ind w:firstLine="480" w:firstLineChars="200"/>
    </w:pPr>
  </w:style>
  <w:style w:type="paragraph" w:customStyle="1" w:styleId="133">
    <w:name w:val="样式4"/>
    <w:basedOn w:val="6"/>
    <w:qFormat/>
    <w:uiPriority w:val="0"/>
    <w:pPr>
      <w:adjustRightInd w:val="0"/>
      <w:snapToGrid w:val="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首行缩进 1"/>
    <w:basedOn w:val="1"/>
    <w:qFormat/>
    <w:uiPriority w:val="0"/>
    <w:pPr>
      <w:spacing w:after="12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0">
    <w:name w:val="Title - Revision"/>
    <w:basedOn w:val="55"/>
    <w:qFormat/>
    <w:uiPriority w:val="0"/>
    <w:pPr>
      <w:spacing w:before="720"/>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2"/>
    <w:qFormat/>
    <w:uiPriority w:val="0"/>
    <w:rPr>
      <w:rFonts w:ascii="宋体" w:hAnsi="Courier New"/>
      <w:sz w:val="21"/>
    </w:rPr>
  </w:style>
  <w:style w:type="paragraph" w:customStyle="1" w:styleId="144">
    <w:name w:val="Table Contents"/>
    <w:basedOn w:val="23"/>
    <w:qFormat/>
    <w:uiPriority w:val="0"/>
    <w:pPr>
      <w:suppressAutoHyphens/>
      <w:jc w:val="left"/>
    </w:pPr>
    <w:rPr>
      <w:rFonts w:ascii="Times New Roman" w:eastAsia="Times New Roman"/>
      <w:kern w:val="0"/>
      <w:sz w:val="24"/>
    </w:rPr>
  </w:style>
  <w:style w:type="paragraph" w:customStyle="1" w:styleId="145">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Char Char Char Char Char Char Char"/>
    <w:basedOn w:val="18"/>
    <w:qFormat/>
    <w:uiPriority w:val="0"/>
    <w:rPr>
      <w:rFonts w:ascii="宋体" w:hAnsi="Tahoma"/>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标题无"/>
    <w:basedOn w:val="1"/>
    <w:qFormat/>
    <w:uiPriority w:val="0"/>
    <w:pPr>
      <w:spacing w:line="360" w:lineRule="auto"/>
    </w:pPr>
    <w:rPr>
      <w:sz w:val="24"/>
    </w:rPr>
  </w:style>
  <w:style w:type="paragraph" w:customStyle="1" w:styleId="150">
    <w:name w:val="样式1"/>
    <w:basedOn w:val="6"/>
    <w:qFormat/>
    <w:uiPriority w:val="0"/>
    <w:pPr>
      <w:tabs>
        <w:tab w:val="left" w:pos="720"/>
      </w:tabs>
      <w:spacing w:before="500" w:after="260" w:line="560" w:lineRule="atLeast"/>
      <w:ind w:left="420" w:hanging="420"/>
    </w:pPr>
  </w:style>
  <w:style w:type="paragraph" w:customStyle="1" w:styleId="151">
    <w:name w:val="二级条标题"/>
    <w:basedOn w:val="152"/>
    <w:next w:val="154"/>
    <w:qFormat/>
    <w:uiPriority w:val="0"/>
    <w:pPr>
      <w:ind w:left="840"/>
      <w:outlineLvl w:val="3"/>
    </w:pPr>
  </w:style>
  <w:style w:type="paragraph" w:customStyle="1" w:styleId="152">
    <w:name w:val="一级条标题"/>
    <w:basedOn w:val="153"/>
    <w:next w:val="154"/>
    <w:qFormat/>
    <w:uiPriority w:val="0"/>
    <w:pPr>
      <w:numPr>
        <w:numId w:val="0"/>
      </w:numPr>
      <w:spacing w:before="0" w:beforeLines="0" w:after="0" w:afterLines="0"/>
      <w:ind w:left="525"/>
      <w:outlineLvl w:val="2"/>
    </w:pPr>
    <w:rPr>
      <w:sz w:val="21"/>
    </w:rPr>
  </w:style>
  <w:style w:type="paragraph" w:customStyle="1" w:styleId="15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qFormat/>
    <w:uiPriority w:val="0"/>
    <w:pPr>
      <w:spacing w:line="360" w:lineRule="auto"/>
    </w:pPr>
    <w:rPr>
      <w:rFonts w:eastAsia="黑体"/>
      <w:sz w:val="20"/>
    </w:rPr>
  </w:style>
  <w:style w:type="paragraph" w:customStyle="1" w:styleId="157">
    <w:name w:val="样式2"/>
    <w:basedOn w:val="6"/>
    <w:qFormat/>
    <w:uiPriority w:val="0"/>
    <w:pPr>
      <w:numPr>
        <w:ilvl w:val="0"/>
        <w:numId w:val="5"/>
      </w:numPr>
      <w:spacing w:before="560" w:line="400" w:lineRule="exact"/>
      <w:jc w:val="center"/>
      <w:outlineLvl w:val="0"/>
    </w:pPr>
    <w:rPr>
      <w:b w:val="0"/>
      <w:sz w:val="44"/>
    </w:rPr>
  </w:style>
  <w:style w:type="paragraph" w:customStyle="1" w:styleId="158">
    <w:name w:val="表头文本"/>
    <w:qFormat/>
    <w:uiPriority w:val="0"/>
    <w:pPr>
      <w:jc w:val="center"/>
    </w:pPr>
    <w:rPr>
      <w:rFonts w:ascii="Arial" w:hAnsi="Arial" w:eastAsia="宋体" w:cs="Times New Roman"/>
      <w:b/>
      <w:sz w:val="21"/>
      <w:lang w:val="en-US" w:eastAsia="zh-CN" w:bidi="ar-SA"/>
    </w:rPr>
  </w:style>
  <w:style w:type="paragraph" w:customStyle="1" w:styleId="159">
    <w:name w:val="_Style 157"/>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样式1xz"/>
    <w:basedOn w:val="1"/>
    <w:qFormat/>
    <w:uiPriority w:val="0"/>
    <w:pPr>
      <w:tabs>
        <w:tab w:val="left" w:pos="1050"/>
        <w:tab w:val="right" w:leader="dot" w:pos="8296"/>
      </w:tabs>
    </w:pPr>
    <w:rPr>
      <w:caps/>
      <w:spacing w:val="2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图片文字"/>
    <w:basedOn w:val="1"/>
    <w:qFormat/>
    <w:uiPriority w:val="0"/>
    <w:pPr>
      <w:spacing w:line="240" w:lineRule="atLeast"/>
      <w:jc w:val="center"/>
    </w:pPr>
    <w:rPr>
      <w:sz w:val="21"/>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2"/>
    <w:basedOn w:val="1"/>
    <w:qFormat/>
    <w:uiPriority w:val="0"/>
    <w:pPr>
      <w:spacing w:line="240" w:lineRule="atLeast"/>
      <w:ind w:left="420" w:firstLine="420"/>
    </w:pPr>
    <w:rPr>
      <w:kern w:val="0"/>
      <w:sz w:val="21"/>
    </w:rPr>
  </w:style>
  <w:style w:type="paragraph" w:customStyle="1" w:styleId="175">
    <w:name w:val="Char Char Char"/>
    <w:basedOn w:val="1"/>
    <w:qFormat/>
    <w:uiPriority w:val="0"/>
    <w:rPr>
      <w:rFonts w:ascii="Tahoma" w:hAnsi="Tahoma"/>
      <w:sz w:val="24"/>
    </w:rPr>
  </w:style>
  <w:style w:type="paragraph" w:customStyle="1" w:styleId="17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80">
    <w:name w:val="列表项目"/>
    <w:basedOn w:val="1"/>
    <w:qFormat/>
    <w:uiPriority w:val="0"/>
    <w:pPr>
      <w:tabs>
        <w:tab w:val="left" w:pos="420"/>
      </w:tabs>
      <w:spacing w:line="288" w:lineRule="auto"/>
      <w:ind w:left="840" w:leftChars="200" w:hanging="420" w:hangingChars="200"/>
    </w:pPr>
    <w:rPr>
      <w:sz w:val="21"/>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2">
    <w:name w:val="Char Char14 Char Char"/>
    <w:basedOn w:val="1"/>
    <w:qFormat/>
    <w:uiPriority w:val="0"/>
    <w:rPr>
      <w:sz w:val="21"/>
      <w:szCs w:val="24"/>
    </w:rPr>
  </w:style>
  <w:style w:type="paragraph" w:customStyle="1" w:styleId="183">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可研正文"/>
    <w:basedOn w:val="23"/>
    <w:qFormat/>
    <w:uiPriority w:val="0"/>
    <w:pPr>
      <w:adjustRightInd w:val="0"/>
      <w:snapToGrid w:val="0"/>
      <w:spacing w:line="440" w:lineRule="exact"/>
      <w:ind w:firstLine="567"/>
    </w:pPr>
    <w:rPr>
      <w:sz w:val="28"/>
    </w:rPr>
  </w:style>
  <w:style w:type="paragraph" w:customStyle="1" w:styleId="185">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qFormat/>
    <w:uiPriority w:val="0"/>
    <w:pPr>
      <w:numPr>
        <w:ilvl w:val="0"/>
        <w:numId w:val="7"/>
      </w:numPr>
      <w:spacing w:line="360" w:lineRule="auto"/>
    </w:pPr>
    <w:rPr>
      <w:rFonts w:eastAsia="仿宋_GB2312"/>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 + 三号"/>
    <w:basedOn w:val="1"/>
    <w:qFormat/>
    <w:uiPriority w:val="0"/>
    <w:rPr>
      <w:sz w:val="21"/>
    </w:rPr>
  </w:style>
  <w:style w:type="paragraph" w:customStyle="1" w:styleId="189">
    <w:name w:val="Char Char1 Char"/>
    <w:basedOn w:val="1"/>
    <w:qFormat/>
    <w:uiPriority w:val="0"/>
    <w:rPr>
      <w:rFonts w:ascii="Tahoma" w:hAnsi="Tahoma"/>
      <w:sz w:val="24"/>
      <w:szCs w:val="24"/>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2">
    <w:name w:val="正文文本 21"/>
    <w:basedOn w:val="1"/>
    <w:qFormat/>
    <w:uiPriority w:val="0"/>
    <w:pPr>
      <w:adjustRightInd w:val="0"/>
      <w:spacing w:before="120" w:line="360" w:lineRule="auto"/>
      <w:ind w:firstLine="480"/>
      <w:textAlignment w:val="baseline"/>
    </w:pPr>
    <w:rPr>
      <w:sz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4"/>
    <w:qFormat/>
    <w:uiPriority w:val="0"/>
    <w:pPr>
      <w:spacing w:line="360" w:lineRule="auto"/>
    </w:pPr>
    <w:rPr>
      <w:rFonts w:eastAsia="黑体"/>
      <w:sz w:val="20"/>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Char2 Char Char Char Char Char Char"/>
    <w:basedOn w:val="1"/>
    <w:qFormat/>
    <w:uiPriority w:val="0"/>
    <w:rPr>
      <w:rFonts w:ascii="仿宋_GB2312"/>
      <w:b/>
      <w:sz w:val="30"/>
    </w:rPr>
  </w:style>
  <w:style w:type="paragraph" w:customStyle="1" w:styleId="204">
    <w:name w:val="简单回函地址"/>
    <w:basedOn w:val="1"/>
    <w:qFormat/>
    <w:uiPriority w:val="0"/>
    <w:pPr>
      <w:adjustRightInd w:val="0"/>
      <w:snapToGrid w:val="0"/>
      <w:spacing w:line="360" w:lineRule="auto"/>
    </w:pPr>
    <w:rPr>
      <w:sz w:val="24"/>
    </w:rPr>
  </w:style>
  <w:style w:type="paragraph" w:customStyle="1" w:styleId="20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5"/>
    <w:qFormat/>
    <w:uiPriority w:val="0"/>
    <w:pPr>
      <w:numPr>
        <w:ilvl w:val="2"/>
        <w:numId w:val="11"/>
      </w:numPr>
      <w:tabs>
        <w:tab w:val="left" w:pos="709"/>
        <w:tab w:val="left" w:pos="1620"/>
      </w:tabs>
    </w:p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3">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5"/>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qFormat/>
    <w:uiPriority w:val="0"/>
    <w:p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qFormat/>
    <w:uiPriority w:val="0"/>
    <w:pPr>
      <w:spacing w:before="120" w:after="12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Char Char Char Char Char"/>
    <w:basedOn w:val="1"/>
    <w:qFormat/>
    <w:uiPriority w:val="0"/>
    <w:pPr>
      <w:tabs>
        <w:tab w:val="left" w:pos="425"/>
      </w:tabs>
      <w:ind w:left="1620" w:hanging="360"/>
    </w:pPr>
    <w:rPr>
      <w:rFonts w:ascii="Tahoma" w:hAnsi="Tahoma"/>
      <w:sz w:val="24"/>
    </w:rPr>
  </w:style>
  <w:style w:type="paragraph" w:customStyle="1" w:styleId="22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qFormat/>
    <w:uiPriority w:val="0"/>
    <w:pPr>
      <w:tabs>
        <w:tab w:val="left" w:pos="1275"/>
      </w:tabs>
      <w:spacing w:before="60" w:after="60" w:line="360" w:lineRule="auto"/>
      <w:ind w:left="820" w:leftChars="400" w:hanging="705"/>
    </w:pPr>
    <w:rPr>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编号正文"/>
    <w:basedOn w:val="199"/>
    <w:qFormat/>
    <w:uiPriority w:val="0"/>
    <w:pPr>
      <w:snapToGrid/>
      <w:spacing w:line="360" w:lineRule="auto"/>
      <w:ind w:left="1407" w:hanging="1047"/>
      <w:jc w:val="left"/>
    </w:pPr>
    <w:rPr>
      <w:rFonts w:eastAsia="仿宋_GB2312"/>
    </w:rPr>
  </w:style>
  <w:style w:type="paragraph" w:customStyle="1" w:styleId="231">
    <w:name w:val="表格内文字"/>
    <w:basedOn w:val="32"/>
    <w:qFormat/>
    <w:uiPriority w:val="0"/>
    <w:pPr>
      <w:adjustRightInd w:val="0"/>
    </w:pPr>
    <w:rPr>
      <w:color w:val="000000"/>
      <w:lang w:val="en-GB"/>
    </w:rPr>
  </w:style>
  <w:style w:type="paragraph" w:customStyle="1" w:styleId="232">
    <w:name w:val="样式 行距: 1.5 倍行距1"/>
    <w:basedOn w:val="1"/>
    <w:qFormat/>
    <w:uiPriority w:val="0"/>
    <w:pPr>
      <w:snapToGrid w:val="0"/>
    </w:pPr>
    <w:rPr>
      <w:sz w:val="21"/>
    </w:rPr>
  </w:style>
  <w:style w:type="paragraph" w:customStyle="1" w:styleId="233">
    <w:name w:val="Char Char Char Char Char Char Char1"/>
    <w:basedOn w:val="1"/>
    <w:qFormat/>
    <w:uiPriority w:val="0"/>
    <w:rPr>
      <w:rFonts w:ascii="Tahoma" w:hAnsi="Tahoma"/>
      <w:sz w:val="24"/>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qFormat/>
    <w:uiPriority w:val="0"/>
    <w:pPr>
      <w:adjustRightInd w:val="0"/>
      <w:spacing w:before="40" w:after="40"/>
    </w:pPr>
    <w:rPr>
      <w:sz w:val="24"/>
    </w:rPr>
  </w:style>
  <w:style w:type="paragraph" w:customStyle="1" w:styleId="2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7">
    <w:name w:val="Char Char Char Char Char Char Char Char Char Char Char Char Char Char Char Char"/>
    <w:basedOn w:val="1"/>
    <w:qFormat/>
    <w:uiPriority w:val="0"/>
    <w:pPr>
      <w:tabs>
        <w:tab w:val="left" w:pos="360"/>
      </w:tabs>
    </w:pPr>
    <w:rPr>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5"/>
    <w:qFormat/>
    <w:uiPriority w:val="0"/>
    <w:pPr>
      <w:spacing w:before="60" w:after="60" w:line="360" w:lineRule="auto"/>
      <w:ind w:left="0" w:firstLine="482"/>
    </w:pPr>
    <w:rPr>
      <w:rFonts w:ascii="Arial" w:hAnsi="Arial"/>
      <w:sz w:val="24"/>
    </w:rPr>
  </w:style>
  <w:style w:type="paragraph" w:styleId="240">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33;&#20301;&#20869;&#37096;&#25511;&#21046;&#24314;&#35774;&#21672;&#35810;&#26381;&#21153;\&#21333;&#20301;&#20869;&#37096;&#25511;&#21046;&#24314;&#35774;&#21672;&#35810;&#26381;&#21153;%20&#35810;&#27604;&#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单位内部控制建设咨询服务 询比文件.docx</Template>
  <Pages>33</Pages>
  <Words>13457</Words>
  <Characters>14074</Characters>
  <Lines>113</Lines>
  <Paragraphs>31</Paragraphs>
  <TotalTime>5</TotalTime>
  <ScaleCrop>false</ScaleCrop>
  <LinksUpToDate>false</LinksUpToDate>
  <CharactersWithSpaces>15222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2023-09-04T01:47:00Z</dcterms:created>
  <dc:creator>剪夏罗</dc:creator>
  <cp:lastModifiedBy>jtj</cp:lastModifiedBy>
  <dcterms:modified xsi:type="dcterms:W3CDTF">2024-12-04T10:01:04Z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229F38BB458E40A2B6013E32F367B8CD_11</vt:lpwstr>
  </property>
</Properties>
</file>