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560"/>
        <w:rPr>
          <w:rFonts w:ascii="Times New Roman" w:hAnsi="Times New Roman" w:eastAsia="宋体" w:cs="Times New Roman"/>
          <w:sz w:val="28"/>
          <w:szCs w:val="28"/>
          <w:u w:val="thick"/>
          <w14:ligatures w14:val="none"/>
        </w:rPr>
      </w:pPr>
      <w:bookmarkStart w:id="0" w:name="_Toc79490041"/>
      <w:bookmarkStart w:id="1" w:name="_Hlk79423390"/>
    </w:p>
    <w:p>
      <w:pPr>
        <w:widowControl/>
        <w:spacing w:line="400" w:lineRule="exact"/>
        <w:jc w:val="center"/>
        <w:rPr>
          <w:rFonts w:ascii="Times New Roman" w:hAnsi="Times New Roman" w:eastAsia="黑体" w:cs="Times New Roman"/>
          <w:sz w:val="52"/>
          <w:szCs w:val="52"/>
          <w14:ligatures w14:val="none"/>
        </w:rPr>
      </w:pPr>
    </w:p>
    <w:p>
      <w:pPr>
        <w:widowControl/>
        <w:spacing w:before="100" w:beforeAutospacing="1" w:line="400" w:lineRule="exact"/>
        <w:jc w:val="right"/>
        <w:rPr>
          <w:rFonts w:ascii="Times New Roman" w:hAnsi="Times New Roman" w:eastAsia="黑体" w:cs="Times New Roman"/>
          <w:sz w:val="84"/>
          <w:szCs w:val="84"/>
          <w14:ligatures w14:val="none"/>
        </w:rPr>
      </w:pPr>
      <w:r>
        <w:rPr>
          <w:rFonts w:hint="eastAsia" w:ascii="Times New Roman" w:hAnsi="Times New Roman" w:eastAsia="黑体" w:cs="Times New Roman"/>
          <w:sz w:val="84"/>
          <w:szCs w:val="84"/>
          <w14:ligatures w14:val="none"/>
        </w:rPr>
        <w:t>CQJTZ</w:t>
      </w:r>
    </w:p>
    <w:p>
      <w:pPr>
        <w:widowControl/>
        <w:spacing w:line="400" w:lineRule="exact"/>
        <w:jc w:val="center"/>
        <w:rPr>
          <w:rFonts w:ascii="Times New Roman" w:hAnsi="Times New Roman" w:eastAsia="黑体" w:cs="Times New Roman"/>
          <w:sz w:val="30"/>
          <w:szCs w:val="30"/>
          <w14:ligatures w14:val="none"/>
        </w:rPr>
      </w:pPr>
    </w:p>
    <w:p>
      <w:pPr>
        <w:widowControl/>
        <w:spacing w:line="400" w:lineRule="exact"/>
        <w:rPr>
          <w:rFonts w:ascii="Times New Roman" w:hAnsi="Times New Roman" w:eastAsia="黑体" w:cs="Times New Roman"/>
          <w:sz w:val="30"/>
          <w:szCs w:val="30"/>
          <w14:ligatures w14:val="none"/>
        </w:rPr>
      </w:pPr>
      <w:r>
        <w:rPr>
          <w:rFonts w:ascii="Times New Roman" w:hAnsi="Times New Roman" w:eastAsia="黑体" w:cs="Times New Roman"/>
          <w:sz w:val="30"/>
          <w:szCs w:val="30"/>
          <w14:ligatures w14:val="none"/>
        </w:rPr>
        <w:t>重庆市交通运输行业技术指南</w:t>
      </w:r>
      <w:r>
        <w:rPr>
          <w:rFonts w:hint="eastAsia" w:ascii="Times New Roman" w:hAnsi="Times New Roman" w:eastAsia="黑体" w:cs="Times New Roman"/>
          <w:sz w:val="30"/>
          <w:szCs w:val="30"/>
          <w14:ligatures w14:val="none"/>
        </w:rPr>
        <w:t xml:space="preserve">           CQJTZ/T XXX-202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  <w14:ligatures w14:val="none"/>
        </w:rPr>
        <w:t>5</w:t>
      </w:r>
      <w:bookmarkStart w:id="10" w:name="_GoBack"/>
      <w:bookmarkEnd w:id="10"/>
    </w:p>
    <w:p>
      <w:pPr>
        <w:spacing w:line="400" w:lineRule="exact"/>
        <w:rPr>
          <w:rFonts w:ascii="Times New Roman" w:hAnsi="Times New Roman" w:eastAsia="宋体" w:cs="Times New Roman"/>
          <w:sz w:val="28"/>
          <w:szCs w:val="28"/>
          <w:u w:val="thick"/>
          <w14:ligatures w14:val="none"/>
        </w:rPr>
      </w:pPr>
      <w:r>
        <w:rPr>
          <w:rFonts w:ascii="Times New Roman" w:hAnsi="Times New Roman" w:eastAsia="宋体" w:cs="Times New Roman"/>
          <w:b/>
          <w:bCs/>
          <w:sz w:val="52"/>
          <w:szCs w:val="5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26670</wp:posOffset>
                </wp:positionV>
                <wp:extent cx="5257800" cy="0"/>
                <wp:effectExtent l="9525" t="17145" r="9525" b="11430"/>
                <wp:wrapNone/>
                <wp:docPr id="1463968570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75pt;margin-top:2.1pt;height:0pt;width:414pt;z-index:251659264;mso-width-relative:page;mso-height-relative:page;" filled="f" stroked="t" coordsize="21600,21600" o:gfxdata="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F4sM&#10;ddIAAAAGAQAADwAAAAAAAAABACAAAAAiAAAAZHJzL2Rvd25yZXYueG1sUEsBAhQAFAAAAAgAh07i&#10;QP890XW2AQAAWwMAAA4AAAAAAAAAAQAgAAAAIQEAAGRycy9lMm9Eb2MueG1sUEsFBgAAAAAGAAYA&#10;WQEAAEk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rPr>
          <w:rFonts w:ascii="Times New Roman" w:hAnsi="Times New Roman" w:eastAsia="宋体" w:cs="Times New Roman"/>
          <w:sz w:val="28"/>
          <w:szCs w:val="28"/>
          <w:u w:val="thick"/>
          <w14:ligatures w14:val="none"/>
        </w:rPr>
      </w:pPr>
    </w:p>
    <w:p>
      <w:pPr>
        <w:spacing w:line="400" w:lineRule="exact"/>
        <w:rPr>
          <w:rFonts w:ascii="Times New Roman" w:hAnsi="Times New Roman" w:eastAsia="宋体" w:cs="Times New Roman"/>
          <w:sz w:val="28"/>
          <w:szCs w:val="28"/>
          <w:u w:val="thick"/>
          <w14:ligatures w14:val="none"/>
        </w:rPr>
      </w:pPr>
    </w:p>
    <w:p>
      <w:pPr>
        <w:spacing w:line="400" w:lineRule="exact"/>
        <w:rPr>
          <w:rFonts w:ascii="Times New Roman" w:hAnsi="Times New Roman" w:eastAsia="宋体" w:cs="Times New Roman"/>
          <w:sz w:val="24"/>
          <w14:ligatures w14:val="none"/>
        </w:rPr>
      </w:pPr>
    </w:p>
    <w:p>
      <w:pPr>
        <w:spacing w:line="400" w:lineRule="exact"/>
        <w:rPr>
          <w:rFonts w:ascii="Times New Roman" w:hAnsi="Times New Roman" w:eastAsia="宋体" w:cs="Times New Roman"/>
          <w:sz w:val="24"/>
          <w14:ligatures w14:val="none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pacing w:val="20"/>
          <w:sz w:val="52"/>
          <w:szCs w:val="52"/>
          <w14:ligatures w14:val="none"/>
        </w:rPr>
      </w:pPr>
      <w:r>
        <w:rPr>
          <w:rFonts w:hint="eastAsia" w:ascii="Times New Roman" w:hAnsi="Times New Roman" w:eastAsia="宋体" w:cs="Times New Roman"/>
          <w:b/>
          <w:bCs/>
          <w:spacing w:val="20"/>
          <w:sz w:val="52"/>
          <w:szCs w:val="52"/>
          <w14:ligatures w14:val="none"/>
        </w:rPr>
        <w:t>小巷公交运营服务指南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36"/>
          <w:szCs w:val="36"/>
          <w14:ligatures w14:val="none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  <w14:ligatures w14:val="none"/>
        </w:rPr>
        <w:t xml:space="preserve">Guide for </w:t>
      </w:r>
      <w:r>
        <w:rPr>
          <w:rFonts w:ascii="Times New Roman" w:hAnsi="Times New Roman" w:eastAsia="宋体" w:cs="Times New Roman"/>
          <w:b/>
          <w:sz w:val="36"/>
          <w:szCs w:val="36"/>
          <w14:ligatures w14:val="none"/>
        </w:rPr>
        <w:t>Micro-Transit Buses</w:t>
      </w:r>
      <w:r>
        <w:rPr>
          <w:rFonts w:ascii="Times New Roman" w:hAnsi="Times New Roman" w:eastAsia="宋体" w:cs="Times New Roman"/>
          <w:b/>
          <w:bCs/>
          <w:sz w:val="36"/>
          <w:szCs w:val="36"/>
          <w14:ligatures w14:val="none"/>
        </w:rPr>
        <w:t xml:space="preserve"> Operation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14:ligatures w14:val="none"/>
        </w:rPr>
        <w:t xml:space="preserve"> and</w:t>
      </w:r>
      <w:r>
        <w:rPr>
          <w:rFonts w:ascii="Times New Roman" w:hAnsi="Times New Roman" w:eastAsia="宋体" w:cs="Times New Roman"/>
          <w:b/>
          <w:bCs/>
          <w:sz w:val="36"/>
          <w:szCs w:val="36"/>
          <w14:ligatures w14:val="none"/>
        </w:rPr>
        <w:t xml:space="preserve"> Service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36"/>
          <w:szCs w:val="36"/>
          <w14:ligatures w14:val="none"/>
        </w:rPr>
      </w:pPr>
    </w:p>
    <w:p>
      <w:pPr>
        <w:spacing w:line="400" w:lineRule="exact"/>
        <w:rPr>
          <w:rFonts w:ascii="Times New Roman" w:hAnsi="Times New Roman" w:eastAsia="宋体" w:cs="Times New Roman"/>
          <w:sz w:val="24"/>
          <w14:ligatures w14:val="none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52"/>
          <w:szCs w:val="52"/>
          <w14:ligatures w14:val="none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sz w:val="44"/>
          <w:szCs w:val="44"/>
          <w14:ligatures w14:val="none"/>
        </w:rPr>
      </w:pPr>
    </w:p>
    <w:p>
      <w:pPr>
        <w:spacing w:line="400" w:lineRule="exact"/>
        <w:rPr>
          <w:rFonts w:ascii="Times New Roman" w:hAnsi="Times New Roman" w:eastAsia="宋体" w:cs="Times New Roman"/>
          <w:sz w:val="24"/>
          <w14:ligatures w14:val="none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sz w:val="44"/>
          <w:szCs w:val="44"/>
          <w14:ligatures w14:val="none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sz w:val="44"/>
          <w:szCs w:val="44"/>
          <w14:ligatures w14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44"/>
          <w:szCs w:val="44"/>
          <w14:ligatures w14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  <w14:ligatures w14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  <w14:ligatures w14:val="none"/>
        </w:rPr>
      </w:pPr>
    </w:p>
    <w:p>
      <w:pPr>
        <w:rPr>
          <w:rFonts w:ascii="Times New Roman" w:hAnsi="Times New Roman" w:eastAsia="宋体" w:cs="Times New Roman"/>
          <w:b/>
          <w:sz w:val="28"/>
          <w:szCs w:val="28"/>
          <w14:ligatures w14:val="none"/>
        </w:rPr>
      </w:pPr>
      <w:r>
        <w:rPr>
          <w:rFonts w:ascii="Times New Roman" w:hAnsi="Times New Roman" w:eastAsia="宋体" w:cs="Times New Roman"/>
          <w:b/>
          <w:sz w:val="28"/>
          <w:szCs w:val="28"/>
          <w14:ligatures w14:val="none"/>
        </w:rPr>
        <w:t>202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  <w14:ligatures w14:val="none"/>
        </w:rPr>
        <w:t>5</w:t>
      </w:r>
      <w:r>
        <w:rPr>
          <w:rFonts w:ascii="Times New Roman" w:hAnsi="Times New Roman" w:eastAsia="宋体" w:cs="Times New Roman"/>
          <w:b/>
          <w:sz w:val="28"/>
          <w:szCs w:val="28"/>
          <w14:ligatures w14:val="none"/>
        </w:rPr>
        <w:t>-</w:t>
      </w:r>
      <w:r>
        <w:rPr>
          <w:rFonts w:hint="eastAsia" w:ascii="Times New Roman" w:hAnsi="Times New Roman" w:eastAsia="宋体" w:cs="Times New Roman"/>
          <w:b/>
          <w:sz w:val="28"/>
          <w:szCs w:val="28"/>
          <w14:ligatures w14:val="none"/>
        </w:rPr>
        <w:t>XX</w:t>
      </w:r>
      <w:r>
        <w:rPr>
          <w:rFonts w:ascii="Times New Roman" w:hAnsi="Times New Roman" w:eastAsia="宋体" w:cs="Times New Roman"/>
          <w:b/>
          <w:sz w:val="28"/>
          <w:szCs w:val="28"/>
          <w14:ligatures w14:val="none"/>
        </w:rPr>
        <w:t>-</w:t>
      </w:r>
      <w:r>
        <w:rPr>
          <w:rFonts w:hint="eastAsia" w:ascii="Times New Roman" w:hAnsi="Times New Roman" w:eastAsia="宋体" w:cs="Times New Roman"/>
          <w:b/>
          <w:sz w:val="28"/>
          <w:szCs w:val="28"/>
          <w14:ligatures w14:val="none"/>
        </w:rPr>
        <w:t>XX</w:t>
      </w:r>
      <w:r>
        <w:rPr>
          <w:rFonts w:ascii="Times New Roman" w:hAnsi="Times New Roman" w:eastAsia="宋体" w:cs="Times New Roman"/>
          <w:b/>
          <w:sz w:val="28"/>
          <w:szCs w:val="28"/>
          <w14:ligatures w14:val="none"/>
        </w:rPr>
        <w:t>发布                          202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  <w14:ligatures w14:val="none"/>
        </w:rPr>
        <w:t>5</w:t>
      </w:r>
      <w:r>
        <w:rPr>
          <w:rFonts w:ascii="Times New Roman" w:hAnsi="Times New Roman" w:eastAsia="宋体" w:cs="Times New Roman"/>
          <w:b/>
          <w:sz w:val="28"/>
          <w:szCs w:val="28"/>
          <w14:ligatures w14:val="none"/>
        </w:rPr>
        <w:t>-</w:t>
      </w:r>
      <w:r>
        <w:rPr>
          <w:rFonts w:hint="eastAsia" w:ascii="Times New Roman" w:hAnsi="Times New Roman" w:eastAsia="宋体" w:cs="Times New Roman"/>
          <w:b/>
          <w:sz w:val="28"/>
          <w:szCs w:val="28"/>
          <w14:ligatures w14:val="none"/>
        </w:rPr>
        <w:t>XX</w:t>
      </w:r>
      <w:r>
        <w:rPr>
          <w:rFonts w:ascii="Times New Roman" w:hAnsi="Times New Roman" w:eastAsia="宋体" w:cs="Times New Roman"/>
          <w:b/>
          <w:sz w:val="28"/>
          <w:szCs w:val="28"/>
          <w14:ligatures w14:val="none"/>
        </w:rPr>
        <w:t>-</w:t>
      </w:r>
      <w:r>
        <w:rPr>
          <w:rFonts w:hint="eastAsia" w:ascii="Times New Roman" w:hAnsi="Times New Roman" w:eastAsia="宋体" w:cs="Times New Roman"/>
          <w:b/>
          <w:sz w:val="28"/>
          <w:szCs w:val="28"/>
          <w14:ligatures w14:val="none"/>
        </w:rPr>
        <w:t>XX</w:t>
      </w:r>
      <w:r>
        <w:rPr>
          <w:rFonts w:ascii="Times New Roman" w:hAnsi="Times New Roman" w:eastAsia="宋体" w:cs="Times New Roman"/>
          <w:b/>
          <w:sz w:val="28"/>
          <w:szCs w:val="28"/>
          <w14:ligatures w14:val="none"/>
        </w:rPr>
        <w:t>实施</w:t>
      </w:r>
    </w:p>
    <w:p>
      <w:pPr>
        <w:jc w:val="center"/>
        <w:rPr>
          <w:rFonts w:ascii="Times New Roman" w:hAnsi="Times New Roman" w:eastAsia="黑体" w:cs="Times New Roman"/>
          <w:szCs w:val="21"/>
          <w14:ligatures w14:val="none"/>
        </w:rPr>
      </w:pPr>
      <w:r>
        <w:rPr>
          <w:rFonts w:ascii="Times New Roman" w:hAnsi="Times New Roman" w:eastAsia="宋体" w:cs="Times New Roman"/>
          <w:szCs w:val="21"/>
          <w:u w:val="thick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34290</wp:posOffset>
                </wp:positionV>
                <wp:extent cx="5257800" cy="0"/>
                <wp:effectExtent l="13335" t="14605" r="15240" b="13970"/>
                <wp:wrapNone/>
                <wp:docPr id="156994093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2.7pt;margin-top:2.7pt;height:0pt;width:414pt;z-index:251660288;mso-width-relative:page;mso-height-relative:page;" filled="f" stroked="t" coordsize="21600,21600" o:gfxdata="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a&#10;ygEh0wAAAAYBAAAPAAAAAAAAAAEAIAAAACIAAABkcnMvZG93bnJldi54bWxQSwECFAAUAAAACACH&#10;TuJAK/CpO7cBAABbAwAADgAAAAAAAAABACAAAAAiAQAAZHJzL2Uyb0RvYy54bWxQSwUGAAAAAAYA&#10;BgBZAQAAS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Times New Roman" w:hAnsi="Times New Roman" w:eastAsia="黑体" w:cs="Times New Roman"/>
          <w:sz w:val="32"/>
          <w:szCs w:val="32"/>
          <w14:ligatures w14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AndChars" w:linePitch="312" w:charSpace="0"/>
        </w:sectPr>
      </w:pPr>
      <w:r>
        <w:rPr>
          <w:rFonts w:ascii="Times New Roman" w:hAnsi="Times New Roman" w:eastAsia="黑体" w:cs="Times New Roman"/>
          <w:sz w:val="32"/>
          <w:szCs w:val="32"/>
          <w14:ligatures w14:val="none"/>
        </w:rPr>
        <w:t>重庆市</w:t>
      </w:r>
      <w:r>
        <w:rPr>
          <w:rFonts w:hint="eastAsia" w:ascii="Times New Roman" w:hAnsi="Times New Roman" w:eastAsia="黑体" w:cs="Times New Roman"/>
          <w:sz w:val="32"/>
          <w:szCs w:val="32"/>
          <w14:ligatures w14:val="none"/>
        </w:rPr>
        <w:t>交通运输委员会</w:t>
      </w:r>
      <w:r>
        <w:rPr>
          <w:rFonts w:ascii="Times New Roman" w:hAnsi="Times New Roman" w:eastAsia="黑体" w:cs="Times New Roman"/>
          <w:sz w:val="32"/>
          <w:szCs w:val="32"/>
          <w14:ligatures w14:val="none"/>
        </w:rPr>
        <w:t xml:space="preserve">  发布</w:t>
      </w:r>
    </w:p>
    <w:p>
      <w:pPr>
        <w:pStyle w:val="26"/>
        <w:outlineLvl w:val="9"/>
      </w:pPr>
      <w:r>
        <w:rPr>
          <w:rFonts w:hint="eastAsia"/>
        </w:rPr>
        <w:t xml:space="preserve">目 </w:t>
      </w:r>
      <w:r>
        <w:t xml:space="preserve"> </w:t>
      </w:r>
      <w:r>
        <w:rPr>
          <w:rFonts w:hint="eastAsia"/>
        </w:rPr>
        <w:t>次</w:t>
      </w:r>
      <w:bookmarkEnd w:id="0"/>
    </w:p>
    <w:bookmarkEnd w:id="1"/>
    <w:p>
      <w:pPr>
        <w:pStyle w:val="9"/>
        <w:rPr>
          <w:rFonts w:hint="eastAsia" w:asciiTheme="minorHAnsi" w:hAnsiTheme="minorHAnsi" w:eastAsiaTheme="minorEastAsia" w:cstheme="minorBidi"/>
          <w14:ligatures w14:val="standardContextual"/>
        </w:rPr>
      </w:pPr>
      <w:r>
        <w:rPr>
          <w:rFonts w:hint="eastAsia" w:ascii="黑体" w:hAnsi="黑体" w:eastAsia="黑体" w:cs="Times New Roman"/>
          <w:bCs/>
          <w:szCs w:val="21"/>
        </w:rPr>
        <w:fldChar w:fldCharType="begin"/>
      </w:r>
      <w:r>
        <w:rPr>
          <w:rFonts w:hint="eastAsia" w:ascii="黑体" w:hAnsi="黑体" w:eastAsia="黑体" w:cs="Times New Roman"/>
          <w:bCs/>
          <w:szCs w:val="21"/>
        </w:rPr>
        <w:instrText xml:space="preserve"> TOC \o "1-1" \h \z \u </w:instrText>
      </w:r>
      <w:r>
        <w:rPr>
          <w:rFonts w:hint="eastAsia" w:ascii="黑体" w:hAnsi="黑体" w:eastAsia="黑体" w:cs="Times New Roman"/>
          <w:bCs/>
          <w:szCs w:val="21"/>
        </w:rPr>
        <w:fldChar w:fldCharType="separate"/>
      </w:r>
      <w:r>
        <w:fldChar w:fldCharType="begin"/>
      </w:r>
      <w:r>
        <w:instrText xml:space="preserve"> HYPERLINK \l "_Toc184656745" </w:instrText>
      </w:r>
      <w:r>
        <w:fldChar w:fldCharType="separate"/>
      </w:r>
      <w:r>
        <w:rPr>
          <w:rStyle w:val="12"/>
          <w:rFonts w:hint="eastAsia" w:ascii="黑体" w:hAnsi="黑体" w:eastAsia="黑体" w:cs="Times New Roman"/>
        </w:rPr>
        <w:t>1 范围</w:t>
      </w:r>
      <w:r>
        <w:rPr>
          <w:rFonts w:hint="eastAsia"/>
        </w:rPr>
        <w:tab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PAGEREF _Toc184656745 \h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9"/>
        <w:rPr>
          <w:rFonts w:hint="eastAsia" w:asciiTheme="minorHAnsi" w:hAnsiTheme="minorHAnsi" w:eastAsiaTheme="minorEastAsia" w:cstheme="minorBidi"/>
          <w14:ligatures w14:val="standardContextual"/>
        </w:rPr>
      </w:pPr>
      <w:r>
        <w:fldChar w:fldCharType="begin"/>
      </w:r>
      <w:r>
        <w:instrText xml:space="preserve"> HYPERLINK \l "_Toc184656746" </w:instrText>
      </w:r>
      <w:r>
        <w:fldChar w:fldCharType="separate"/>
      </w:r>
      <w:r>
        <w:rPr>
          <w:rStyle w:val="12"/>
          <w:rFonts w:hint="eastAsia" w:ascii="黑体" w:hAnsi="黑体" w:eastAsia="黑体"/>
        </w:rPr>
        <w:t>2 规范性引用文件</w:t>
      </w:r>
      <w:r>
        <w:rPr>
          <w:rFonts w:hint="eastAsia"/>
        </w:rPr>
        <w:tab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PAGEREF _Toc184656746 \h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9"/>
        <w:rPr>
          <w:rFonts w:hint="eastAsia" w:asciiTheme="minorHAnsi" w:hAnsiTheme="minorHAnsi" w:eastAsiaTheme="minorEastAsia" w:cstheme="minorBidi"/>
          <w14:ligatures w14:val="standardContextual"/>
        </w:rPr>
      </w:pPr>
      <w:r>
        <w:fldChar w:fldCharType="begin"/>
      </w:r>
      <w:r>
        <w:instrText xml:space="preserve"> HYPERLINK \l "_Toc184656747" </w:instrText>
      </w:r>
      <w:r>
        <w:fldChar w:fldCharType="separate"/>
      </w:r>
      <w:r>
        <w:rPr>
          <w:rStyle w:val="12"/>
          <w:rFonts w:hint="eastAsia" w:ascii="黑体" w:hAnsi="黑体" w:eastAsia="黑体"/>
        </w:rPr>
        <w:t>3 术语和定义</w:t>
      </w:r>
      <w:r>
        <w:rPr>
          <w:rFonts w:hint="eastAsia"/>
        </w:rPr>
        <w:tab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PAGEREF _Toc184656747 \h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9"/>
        <w:rPr>
          <w:rFonts w:hint="eastAsia" w:asciiTheme="minorHAnsi" w:hAnsiTheme="minorHAnsi" w:eastAsiaTheme="minorEastAsia" w:cstheme="minorBidi"/>
          <w14:ligatures w14:val="standardContextual"/>
        </w:rPr>
      </w:pPr>
      <w:r>
        <w:fldChar w:fldCharType="begin"/>
      </w:r>
      <w:r>
        <w:instrText xml:space="preserve"> HYPERLINK \l "_Toc184656748" </w:instrText>
      </w:r>
      <w:r>
        <w:fldChar w:fldCharType="separate"/>
      </w:r>
      <w:r>
        <w:rPr>
          <w:rStyle w:val="12"/>
          <w:rFonts w:hint="eastAsia" w:ascii="黑体" w:hAnsi="黑体" w:eastAsia="黑体"/>
        </w:rPr>
        <w:t>4 实施条件</w:t>
      </w:r>
      <w:r>
        <w:rPr>
          <w:rFonts w:hint="eastAsia"/>
        </w:rPr>
        <w:tab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PAGEREF _Toc184656748 \h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9"/>
        <w:rPr>
          <w:rFonts w:hint="eastAsia" w:asciiTheme="minorHAnsi" w:hAnsiTheme="minorHAnsi" w:eastAsiaTheme="minorEastAsia" w:cstheme="minorBidi"/>
          <w14:ligatures w14:val="standardContextual"/>
        </w:rPr>
      </w:pPr>
      <w:r>
        <w:fldChar w:fldCharType="begin"/>
      </w:r>
      <w:r>
        <w:instrText xml:space="preserve"> HYPERLINK \l "_Toc184656749" </w:instrText>
      </w:r>
      <w:r>
        <w:fldChar w:fldCharType="separate"/>
      </w:r>
      <w:r>
        <w:rPr>
          <w:rStyle w:val="12"/>
          <w:rFonts w:hint="eastAsia" w:ascii="黑体" w:hAnsi="黑体" w:eastAsia="黑体"/>
        </w:rPr>
        <w:t>5 小巷公交线路分级及指标体系</w:t>
      </w:r>
      <w:r>
        <w:rPr>
          <w:rFonts w:hint="eastAsia"/>
        </w:rPr>
        <w:tab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PAGEREF _Toc184656749 \h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widowControl/>
        <w:jc w:val="left"/>
        <w:rPr>
          <w:rFonts w:ascii="Times New Roman" w:hAnsi="Times New Roman" w:cs="Times New Roman" w:eastAsiaTheme="majorEastAsia"/>
          <w:bCs/>
          <w:szCs w:val="21"/>
        </w:rPr>
        <w:sectPr>
          <w:footerReference r:id="rId4" w:type="default"/>
          <w:type w:val="continuous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AndChars" w:linePitch="312" w:charSpace="0"/>
        </w:sectPr>
      </w:pPr>
      <w:r>
        <w:rPr>
          <w:rFonts w:hint="eastAsia" w:ascii="黑体" w:hAnsi="黑体" w:eastAsia="黑体" w:cs="Times New Roman"/>
          <w:bCs/>
          <w:szCs w:val="21"/>
        </w:rPr>
        <w:fldChar w:fldCharType="end"/>
      </w:r>
    </w:p>
    <w:p>
      <w:pPr>
        <w:pStyle w:val="26"/>
        <w:outlineLvl w:val="9"/>
      </w:pPr>
      <w:r>
        <w:rPr>
          <w:rFonts w:hint="eastAsia"/>
        </w:rPr>
        <w:t xml:space="preserve">前 </w:t>
      </w:r>
      <w:r>
        <w:t xml:space="preserve">  </w:t>
      </w:r>
      <w:r>
        <w:rPr>
          <w:rFonts w:hint="eastAsia"/>
        </w:rPr>
        <w:t>言</w:t>
      </w:r>
    </w:p>
    <w:p>
      <w:pPr>
        <w:ind w:firstLine="420" w:firstLineChars="200"/>
        <w:rPr>
          <w:rFonts w:hint="eastAsia"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本标准按照</w:t>
      </w:r>
      <w:r>
        <w:rPr>
          <w:rFonts w:ascii="Times New Roman" w:hAnsi="Times New Roman" w:eastAsia="宋体" w:cs="Times New Roman"/>
          <w:kern w:val="0"/>
          <w:szCs w:val="21"/>
        </w:rPr>
        <w:t>GB/T 1.1-2020《标准化工作导则 第1部分：标准化文件的结构和起草规则》的规定起草。</w:t>
      </w:r>
    </w:p>
    <w:p>
      <w:pPr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本标准由重庆市交通运输委员会提出、归口并组织实施。</w:t>
      </w:r>
    </w:p>
    <w:p>
      <w:pPr>
        <w:tabs>
          <w:tab w:val="center" w:pos="4153"/>
        </w:tabs>
        <w:ind w:firstLine="420" w:firstLineChars="200"/>
        <w:rPr>
          <w:rFonts w:hint="eastAsia"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/>
          <w:szCs w:val="21"/>
        </w:rPr>
        <w:t>本标准起草单位：</w:t>
      </w:r>
      <w:r>
        <w:rPr>
          <w:rFonts w:hint="eastAsia" w:ascii="宋体" w:hAnsi="宋体" w:eastAsia="宋体" w:cs="Times New Roman"/>
          <w:bCs/>
          <w:szCs w:val="21"/>
        </w:rPr>
        <w:t>重庆市公共交通控股（集团）有限公司、大连海事大学。</w:t>
      </w:r>
    </w:p>
    <w:p>
      <w:pPr>
        <w:tabs>
          <w:tab w:val="center" w:pos="4153"/>
        </w:tabs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本标准主要起草人：程龙、周正、张卫红、李欣。</w:t>
      </w:r>
    </w:p>
    <w:p>
      <w:pPr>
        <w:widowControl/>
        <w:jc w:val="left"/>
        <w:rPr>
          <w:rFonts w:hint="eastAsia"/>
        </w:rPr>
        <w:sectPr>
          <w:pgSz w:w="11906" w:h="16838"/>
          <w:pgMar w:top="1440" w:right="1800" w:bottom="1440" w:left="1800" w:header="851" w:footer="992" w:gutter="0"/>
          <w:pgNumType w:fmt="upperRoman"/>
          <w:cols w:space="425" w:num="1"/>
          <w:docGrid w:type="lines" w:linePitch="312" w:charSpace="0"/>
        </w:sectPr>
      </w:pPr>
    </w:p>
    <w:p>
      <w:pPr>
        <w:pStyle w:val="26"/>
        <w:spacing w:before="0" w:after="312" w:afterLines="100"/>
        <w:outlineLvl w:val="9"/>
      </w:pPr>
      <w:r>
        <w:rPr>
          <w:rFonts w:hint="eastAsia"/>
        </w:rPr>
        <w:t>小巷公交运营服务指南</w:t>
      </w:r>
    </w:p>
    <w:p>
      <w:pPr>
        <w:outlineLvl w:val="0"/>
        <w:rPr>
          <w:rFonts w:ascii="Times New Roman" w:hAnsi="Times New Roman" w:eastAsia="宋体" w:cs="Times New Roman"/>
          <w:szCs w:val="21"/>
        </w:rPr>
      </w:pPr>
      <w:bookmarkStart w:id="2" w:name="_Toc184656745"/>
      <w:r>
        <w:rPr>
          <w:rFonts w:ascii="黑体" w:hAnsi="黑体" w:eastAsia="黑体" w:cs="Times New Roman"/>
          <w:szCs w:val="21"/>
          <w14:ligatures w14:val="none"/>
        </w:rPr>
        <w:t xml:space="preserve">1 </w:t>
      </w:r>
      <w:r>
        <w:rPr>
          <w:rFonts w:hint="eastAsia" w:ascii="黑体" w:hAnsi="黑体" w:eastAsia="黑体" w:cs="Times New Roman"/>
          <w:szCs w:val="21"/>
          <w14:ligatures w14:val="none"/>
        </w:rPr>
        <w:t>范围</w:t>
      </w:r>
      <w:bookmarkEnd w:id="2"/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本</w:t>
      </w:r>
      <w:r>
        <w:rPr>
          <w:rFonts w:hint="eastAsia" w:ascii="Times New Roman" w:hAnsi="Times New Roman" w:eastAsia="宋体" w:cs="Times New Roman"/>
          <w:szCs w:val="21"/>
        </w:rPr>
        <w:t>文件</w:t>
      </w:r>
      <w:r>
        <w:rPr>
          <w:rFonts w:ascii="Times New Roman" w:hAnsi="Times New Roman" w:eastAsia="宋体" w:cs="Times New Roman"/>
          <w:szCs w:val="21"/>
        </w:rPr>
        <w:t>规定了小巷公交运营服务的术语和定义、实施条件、</w:t>
      </w:r>
      <w:r>
        <w:rPr>
          <w:rFonts w:hint="eastAsia" w:ascii="Times New Roman" w:hAnsi="Times New Roman" w:eastAsia="宋体" w:cs="Times New Roman"/>
          <w:szCs w:val="21"/>
        </w:rPr>
        <w:t>标准体系</w:t>
      </w:r>
      <w:r>
        <w:rPr>
          <w:rFonts w:ascii="Times New Roman" w:hAnsi="Times New Roman" w:eastAsia="宋体" w:cs="Times New Roman"/>
          <w:szCs w:val="21"/>
        </w:rPr>
        <w:t>的技术要求。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本</w:t>
      </w:r>
      <w:r>
        <w:rPr>
          <w:rFonts w:hint="eastAsia" w:ascii="Times New Roman" w:hAnsi="Times New Roman" w:eastAsia="宋体" w:cs="Times New Roman"/>
          <w:szCs w:val="21"/>
        </w:rPr>
        <w:t>文件</w:t>
      </w:r>
      <w:r>
        <w:rPr>
          <w:rFonts w:ascii="Times New Roman" w:hAnsi="Times New Roman" w:eastAsia="宋体" w:cs="Times New Roman"/>
          <w:szCs w:val="21"/>
        </w:rPr>
        <w:t>适用于重庆市</w:t>
      </w:r>
      <w:r>
        <w:rPr>
          <w:rFonts w:hint="eastAsia" w:ascii="Times New Roman" w:hAnsi="Times New Roman" w:eastAsia="宋体" w:cs="Times New Roman"/>
          <w:szCs w:val="21"/>
        </w:rPr>
        <w:t>中心</w:t>
      </w:r>
      <w:r>
        <w:rPr>
          <w:rFonts w:ascii="Times New Roman" w:hAnsi="Times New Roman" w:eastAsia="宋体" w:cs="Times New Roman"/>
          <w:szCs w:val="21"/>
        </w:rPr>
        <w:t>城区范围内小巷公交的</w:t>
      </w:r>
      <w:r>
        <w:rPr>
          <w:rFonts w:hint="eastAsia" w:ascii="Times New Roman" w:hAnsi="Times New Roman" w:eastAsia="宋体" w:cs="Times New Roman"/>
          <w:szCs w:val="21"/>
        </w:rPr>
        <w:t>线路设计与运营组织</w:t>
      </w:r>
      <w:r>
        <w:rPr>
          <w:rFonts w:ascii="Times New Roman" w:hAnsi="Times New Roman" w:eastAsia="宋体" w:cs="Times New Roman"/>
          <w:szCs w:val="21"/>
        </w:rPr>
        <w:t>，其他区县可参照执行。</w:t>
      </w:r>
    </w:p>
    <w:p>
      <w:pPr>
        <w:pStyle w:val="5"/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before="312" w:beforeLines="100" w:after="312" w:afterLines="100" w:line="240" w:lineRule="auto"/>
        <w:outlineLvl w:val="0"/>
        <w:rPr>
          <w:rFonts w:hint="eastAsia" w:ascii="黑体" w:hAnsi="黑体" w:eastAsia="黑体"/>
          <w:sz w:val="21"/>
          <w:szCs w:val="21"/>
        </w:rPr>
      </w:pPr>
      <w:bookmarkStart w:id="3" w:name="_Toc184656746"/>
      <w:r>
        <w:rPr>
          <w:rFonts w:ascii="黑体" w:hAnsi="黑体" w:eastAsia="黑体"/>
          <w:sz w:val="21"/>
          <w:szCs w:val="21"/>
        </w:rPr>
        <w:t>2 规范性引用文件</w:t>
      </w:r>
      <w:bookmarkEnd w:id="3"/>
    </w:p>
    <w:p>
      <w:pPr>
        <w:pStyle w:val="21"/>
        <w:rPr>
          <w:rFonts w:ascii="Times New Roman"/>
        </w:rPr>
      </w:pPr>
      <w:r>
        <w:rPr>
          <w:rFonts w:ascii="Times New Roman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GB/T 32852.1-</w:t>
      </w:r>
      <w:r>
        <w:rPr>
          <w:rFonts w:hint="eastAsia" w:ascii="Times New Roman" w:hAnsi="Times New Roman" w:eastAsia="宋体" w:cs="Times New Roman"/>
          <w:szCs w:val="21"/>
        </w:rPr>
        <w:t>2016 《城市客运术语 第1部分：通用术语》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GB/T 32852.2-2018 《城市客运术语 第2部分：公共汽电车</w:t>
      </w:r>
      <w:r>
        <w:rPr>
          <w:rFonts w:ascii="Times New Roman" w:hAnsi="Times New Roman" w:eastAsia="宋体" w:cs="Times New Roman"/>
          <w:szCs w:val="21"/>
        </w:rPr>
        <w:t>》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GB 50220-95 《城市道路交通规划设计规范》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CJJ 37-2012 《城市道路工程设计规范》</w:t>
      </w:r>
    </w:p>
    <w:p>
      <w:pPr>
        <w:pStyle w:val="5"/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before="312" w:beforeLines="100" w:after="312" w:afterLines="100" w:line="240" w:lineRule="auto"/>
        <w:outlineLvl w:val="0"/>
        <w:rPr>
          <w:rFonts w:hint="eastAsia" w:ascii="黑体" w:hAnsi="黑体" w:eastAsia="黑体"/>
          <w:sz w:val="21"/>
          <w:szCs w:val="21"/>
        </w:rPr>
      </w:pPr>
      <w:bookmarkStart w:id="4" w:name="_Toc184656747"/>
      <w:r>
        <w:rPr>
          <w:rFonts w:ascii="黑体" w:hAnsi="黑体" w:eastAsia="黑体"/>
          <w:sz w:val="21"/>
          <w:szCs w:val="21"/>
        </w:rPr>
        <w:t>3 术语和定义</w:t>
      </w:r>
      <w:bookmarkEnd w:id="4"/>
    </w:p>
    <w:p>
      <w:pPr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GB/T 32852.1-</w:t>
      </w:r>
      <w:r>
        <w:rPr>
          <w:rFonts w:hint="eastAsia" w:ascii="Times New Roman" w:hAnsi="Times New Roman" w:eastAsia="宋体" w:cs="Times New Roman"/>
          <w:szCs w:val="21"/>
        </w:rPr>
        <w:t>2016、GB/T 32852.2-2018、</w:t>
      </w:r>
      <w:r>
        <w:rPr>
          <w:rFonts w:ascii="Times New Roman" w:hAnsi="Times New Roman" w:eastAsia="宋体" w:cs="Times New Roman"/>
          <w:szCs w:val="21"/>
        </w:rPr>
        <w:t>GB 50220-95</w: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t>CJJ 37-2012</w:t>
      </w:r>
      <w:r>
        <w:rPr>
          <w:rFonts w:hint="eastAsia" w:ascii="Times New Roman" w:hAnsi="Times New Roman" w:eastAsia="宋体" w:cs="Times New Roman"/>
          <w:szCs w:val="21"/>
        </w:rPr>
        <w:t>界定的以及下列术语和定义适用于本文件。</w:t>
      </w:r>
    </w:p>
    <w:p>
      <w:pPr>
        <w:pStyle w:val="16"/>
        <w:numPr>
          <w:ilvl w:val="2"/>
          <w:numId w:val="1"/>
        </w:numPr>
        <w:spacing w:before="156" w:beforeLines="50" w:after="156" w:afterLines="50"/>
        <w:ind w:left="0" w:firstLine="0" w:firstLineChars="0"/>
        <w:rPr>
          <w:rFonts w:hint="eastAsia" w:ascii="黑体" w:hAnsi="黑体" w:eastAsia="黑体"/>
          <w:szCs w:val="21"/>
        </w:rPr>
      </w:pPr>
    </w:p>
    <w:p>
      <w:pPr>
        <w:ind w:firstLine="420" w:firstLineChars="200"/>
        <w:outlineLvl w:val="1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小巷公交 micro-transit buses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运用中小型公共汽电车，主要</w:t>
      </w:r>
      <w:r>
        <w:rPr>
          <w:rFonts w:ascii="Times New Roman" w:hAnsi="Times New Roman" w:eastAsia="宋体" w:cs="Times New Roman"/>
          <w:szCs w:val="21"/>
        </w:rPr>
        <w:t>服务于</w:t>
      </w:r>
      <w:r>
        <w:rPr>
          <w:rFonts w:hint="eastAsia" w:ascii="Times New Roman" w:hAnsi="Times New Roman" w:eastAsia="宋体" w:cs="Times New Roman"/>
          <w:szCs w:val="21"/>
        </w:rPr>
        <w:t>中心城区</w:t>
      </w:r>
      <w:r>
        <w:rPr>
          <w:rFonts w:ascii="Times New Roman" w:hAnsi="Times New Roman" w:eastAsia="宋体" w:cs="Times New Roman"/>
          <w:szCs w:val="21"/>
        </w:rPr>
        <w:t>背街小巷的公共交通服务，旨在解决常规公交无法覆盖的狭窄、弯曲道路上的出行问题</w:t>
      </w:r>
      <w:r>
        <w:rPr>
          <w:rFonts w:hint="eastAsia" w:ascii="Times New Roman" w:hAnsi="Times New Roman" w:eastAsia="宋体" w:cs="Times New Roman"/>
          <w:szCs w:val="21"/>
        </w:rPr>
        <w:t>；</w:t>
      </w:r>
      <w:r>
        <w:rPr>
          <w:rFonts w:ascii="Times New Roman" w:hAnsi="Times New Roman" w:eastAsia="宋体" w:cs="Times New Roman"/>
          <w:szCs w:val="21"/>
        </w:rPr>
        <w:t>具有灵活性强、站间距短、发班频次高的特点，满足居民</w:t>
      </w:r>
      <w:r>
        <w:rPr>
          <w:rFonts w:hint="eastAsia" w:ascii="Times New Roman" w:hAnsi="Times New Roman" w:eastAsia="宋体" w:cs="Times New Roman"/>
          <w:szCs w:val="21"/>
        </w:rPr>
        <w:t>“第一/最后一公里”</w:t>
      </w:r>
      <w:r>
        <w:rPr>
          <w:rFonts w:ascii="Times New Roman" w:hAnsi="Times New Roman" w:eastAsia="宋体" w:cs="Times New Roman"/>
          <w:szCs w:val="21"/>
        </w:rPr>
        <w:t>出行需求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pStyle w:val="16"/>
        <w:numPr>
          <w:ilvl w:val="2"/>
          <w:numId w:val="1"/>
        </w:numPr>
        <w:spacing w:before="156" w:beforeLines="50" w:after="156" w:afterLines="50"/>
        <w:ind w:left="0" w:firstLine="0" w:firstLineChars="0"/>
        <w:rPr>
          <w:rFonts w:hint="eastAsia" w:ascii="黑体" w:hAnsi="黑体" w:eastAsia="黑体"/>
          <w:szCs w:val="21"/>
        </w:rPr>
      </w:pPr>
    </w:p>
    <w:p>
      <w:pPr>
        <w:ind w:firstLine="420" w:firstLineChars="200"/>
        <w:outlineLvl w:val="1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公共设施 public facilities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学校、医院、商超、农贸市场、公园、景点等服务公众生产生活的设施。</w:t>
      </w:r>
    </w:p>
    <w:p>
      <w:pPr>
        <w:pStyle w:val="16"/>
        <w:numPr>
          <w:ilvl w:val="2"/>
          <w:numId w:val="1"/>
        </w:numPr>
        <w:spacing w:before="156" w:beforeLines="50" w:after="156" w:afterLines="50"/>
        <w:ind w:left="0" w:firstLine="0" w:firstLineChars="0"/>
        <w:rPr>
          <w:rFonts w:hint="eastAsia" w:ascii="黑体" w:hAnsi="黑体" w:eastAsia="黑体"/>
          <w:szCs w:val="21"/>
        </w:rPr>
      </w:pPr>
    </w:p>
    <w:p>
      <w:pPr>
        <w:ind w:firstLine="420" w:firstLineChars="200"/>
        <w:outlineLvl w:val="1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每公里途经小区与公共设施数 number of residential and public facilities per kilometer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线路途经的小区、公共设施数量的总和与线路长度的比值。</w:t>
      </w:r>
    </w:p>
    <w:p>
      <w:pPr>
        <w:pStyle w:val="16"/>
        <w:numPr>
          <w:ilvl w:val="2"/>
          <w:numId w:val="1"/>
        </w:numPr>
        <w:spacing w:before="156" w:beforeLines="50" w:after="156" w:afterLines="50"/>
        <w:ind w:left="0" w:firstLine="0" w:firstLineChars="0"/>
        <w:rPr>
          <w:rFonts w:hint="eastAsia" w:ascii="黑体" w:hAnsi="黑体" w:eastAsia="黑体"/>
          <w:szCs w:val="21"/>
        </w:rPr>
      </w:pPr>
    </w:p>
    <w:p>
      <w:pPr>
        <w:ind w:firstLine="420" w:firstLineChars="200"/>
        <w:outlineLvl w:val="1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次支路占比 ratio of secondary trunk road and branch road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线路长度中次干路与支路长度总和的占比。</w:t>
      </w:r>
    </w:p>
    <w:p>
      <w:pPr>
        <w:pStyle w:val="16"/>
        <w:numPr>
          <w:ilvl w:val="2"/>
          <w:numId w:val="1"/>
        </w:numPr>
        <w:spacing w:before="156" w:beforeLines="50" w:after="156" w:afterLines="50"/>
        <w:ind w:left="0" w:firstLine="0" w:firstLineChars="0"/>
        <w:rPr>
          <w:rFonts w:hint="eastAsia" w:ascii="黑体" w:hAnsi="黑体" w:eastAsia="黑体"/>
          <w:szCs w:val="21"/>
        </w:rPr>
      </w:pPr>
    </w:p>
    <w:p>
      <w:pPr>
        <w:ind w:firstLine="420" w:firstLineChars="200"/>
        <w:outlineLvl w:val="1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车公里人次数 passengers per vehicle-</w:t>
      </w:r>
      <w:r>
        <w:rPr>
          <w:rFonts w:ascii="黑体" w:hAnsi="黑体" w:eastAsia="黑体"/>
          <w:szCs w:val="21"/>
        </w:rPr>
        <w:t>kilometer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单车运营一公里所服务的平均人次数。</w:t>
      </w:r>
    </w:p>
    <w:p>
      <w:pPr>
        <w:pStyle w:val="16"/>
        <w:numPr>
          <w:ilvl w:val="2"/>
          <w:numId w:val="1"/>
        </w:numPr>
        <w:spacing w:before="156" w:beforeLines="50" w:after="156" w:afterLines="50"/>
        <w:ind w:left="0" w:firstLine="0" w:firstLineChars="0"/>
        <w:rPr>
          <w:rFonts w:hint="eastAsia" w:ascii="黑体" w:hAnsi="黑体" w:eastAsia="黑体"/>
          <w:szCs w:val="21"/>
        </w:rPr>
      </w:pPr>
    </w:p>
    <w:p>
      <w:pPr>
        <w:ind w:firstLine="420" w:firstLineChars="200"/>
        <w:outlineLvl w:val="1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公交线路非直线系数 nonlinear factor for bus line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公交线路长度与首末站间最短可驾驶距离之比。</w:t>
      </w:r>
    </w:p>
    <w:p>
      <w:pPr>
        <w:pStyle w:val="16"/>
        <w:numPr>
          <w:ilvl w:val="2"/>
          <w:numId w:val="1"/>
        </w:numPr>
        <w:spacing w:before="156" w:beforeLines="50" w:after="156" w:afterLines="50"/>
        <w:ind w:left="0" w:firstLine="0" w:firstLineChars="0"/>
        <w:rPr>
          <w:rFonts w:hint="eastAsia" w:ascii="黑体" w:hAnsi="黑体" w:eastAsia="黑体"/>
          <w:szCs w:val="21"/>
        </w:rPr>
      </w:pPr>
    </w:p>
    <w:p>
      <w:pPr>
        <w:ind w:firstLine="420" w:firstLineChars="200"/>
        <w:outlineLvl w:val="1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车桩比 vehicle-to-pile ratio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充电</w:t>
      </w:r>
      <w:r>
        <w:rPr>
          <w:rFonts w:ascii="Times New Roman" w:hAnsi="Times New Roman" w:eastAsia="宋体" w:cs="Times New Roman"/>
          <w:szCs w:val="21"/>
        </w:rPr>
        <w:t>公交车辆数与</w:t>
      </w:r>
      <w:r>
        <w:rPr>
          <w:rFonts w:hint="eastAsia" w:ascii="Times New Roman" w:hAnsi="Times New Roman" w:eastAsia="宋体" w:cs="Times New Roman"/>
          <w:szCs w:val="21"/>
        </w:rPr>
        <w:t>充电桩</w:t>
      </w:r>
      <w:r>
        <w:rPr>
          <w:rFonts w:ascii="Times New Roman" w:hAnsi="Times New Roman" w:eastAsia="宋体" w:cs="Times New Roman"/>
          <w:szCs w:val="21"/>
        </w:rPr>
        <w:t>数的比值。</w:t>
      </w:r>
    </w:p>
    <w:p>
      <w:pPr>
        <w:pStyle w:val="16"/>
        <w:numPr>
          <w:ilvl w:val="2"/>
          <w:numId w:val="1"/>
        </w:numPr>
        <w:spacing w:before="156" w:beforeLines="50" w:after="156" w:afterLines="50"/>
        <w:ind w:left="0" w:firstLine="0" w:firstLineChars="0"/>
        <w:rPr>
          <w:rFonts w:hint="eastAsia" w:ascii="黑体" w:hAnsi="黑体" w:eastAsia="黑体"/>
          <w:szCs w:val="21"/>
        </w:rPr>
      </w:pPr>
    </w:p>
    <w:p>
      <w:pPr>
        <w:ind w:firstLine="420" w:firstLineChars="200"/>
        <w:outlineLvl w:val="1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定线定点运营模式 fixed-route transit service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按照固定站点固定线路运营的模式。</w:t>
      </w:r>
    </w:p>
    <w:p>
      <w:pPr>
        <w:pStyle w:val="16"/>
        <w:numPr>
          <w:ilvl w:val="2"/>
          <w:numId w:val="1"/>
        </w:numPr>
        <w:spacing w:before="156" w:beforeLines="50" w:after="156" w:afterLines="50"/>
        <w:ind w:left="0" w:firstLine="0" w:firstLineChars="0"/>
        <w:rPr>
          <w:rFonts w:hint="eastAsia" w:ascii="黑体" w:hAnsi="黑体" w:eastAsia="黑体"/>
          <w:szCs w:val="21"/>
        </w:rPr>
      </w:pPr>
    </w:p>
    <w:p>
      <w:pPr>
        <w:ind w:firstLine="420" w:firstLineChars="200"/>
        <w:outlineLvl w:val="1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响应式停靠运营模式 stop on request service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站点无乘客上下时可不停靠通过的运营模式。</w:t>
      </w:r>
    </w:p>
    <w:p>
      <w:pPr>
        <w:pStyle w:val="16"/>
        <w:numPr>
          <w:ilvl w:val="2"/>
          <w:numId w:val="1"/>
        </w:numPr>
        <w:spacing w:before="156" w:beforeLines="50" w:after="156" w:afterLines="50"/>
        <w:ind w:left="0" w:firstLine="0" w:firstLineChars="0"/>
        <w:rPr>
          <w:rFonts w:hint="eastAsia" w:ascii="黑体" w:hAnsi="黑体" w:eastAsia="黑体"/>
          <w:szCs w:val="21"/>
        </w:rPr>
      </w:pPr>
    </w:p>
    <w:p>
      <w:pPr>
        <w:ind w:firstLine="420" w:firstLineChars="200"/>
        <w:outlineLvl w:val="1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响应式公交站点 demand-responsive bus stops</w:t>
      </w:r>
    </w:p>
    <w:p>
      <w:pPr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在定线定点模式下，根据乘客实时需求来判定是否停靠的站点。</w:t>
      </w:r>
    </w:p>
    <w:p>
      <w:pPr>
        <w:pStyle w:val="16"/>
        <w:numPr>
          <w:ilvl w:val="2"/>
          <w:numId w:val="1"/>
        </w:numPr>
        <w:spacing w:before="156" w:beforeLines="50" w:after="156" w:afterLines="50"/>
        <w:ind w:left="0" w:firstLine="0" w:firstLineChars="0"/>
        <w:rPr>
          <w:rFonts w:hint="eastAsia" w:ascii="黑体" w:hAnsi="黑体" w:eastAsia="黑体"/>
          <w:szCs w:val="21"/>
        </w:rPr>
      </w:pPr>
    </w:p>
    <w:p>
      <w:pPr>
        <w:ind w:firstLine="420" w:firstLineChars="200"/>
        <w:outlineLvl w:val="1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响应式灵活运营模式 demand-responsive flex-route deviation service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在定线定点模式下，设置线路外响应式公交站点，当线外站点有需求时，在审批范围内可适度偏离服务。</w:t>
      </w:r>
    </w:p>
    <w:p>
      <w:pPr>
        <w:pStyle w:val="16"/>
        <w:numPr>
          <w:ilvl w:val="2"/>
          <w:numId w:val="1"/>
        </w:numPr>
        <w:spacing w:before="156" w:beforeLines="50" w:after="156" w:afterLines="50"/>
        <w:ind w:left="0" w:firstLine="0" w:firstLineChars="0"/>
        <w:rPr>
          <w:rFonts w:hint="eastAsia" w:ascii="黑体" w:hAnsi="黑体" w:eastAsia="黑体"/>
          <w:szCs w:val="21"/>
        </w:rPr>
      </w:pPr>
    </w:p>
    <w:p>
      <w:pPr>
        <w:ind w:firstLine="420" w:firstLineChars="200"/>
        <w:outlineLvl w:val="1"/>
        <w:rPr>
          <w:rFonts w:hint="eastAsia" w:ascii="黑体" w:hAnsi="黑体" w:eastAsia="黑体"/>
          <w:szCs w:val="21"/>
        </w:rPr>
      </w:pPr>
      <w:bookmarkStart w:id="5" w:name="_Hlk175130812"/>
      <w:r>
        <w:rPr>
          <w:rFonts w:hint="eastAsia" w:ascii="黑体" w:hAnsi="黑体" w:eastAsia="黑体"/>
          <w:szCs w:val="21"/>
        </w:rPr>
        <w:t>乘客建议率 suggestion rate of passenger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每月乘客建议件数与乘客人次数的比值。</w:t>
      </w:r>
    </w:p>
    <w:bookmarkEnd w:id="5"/>
    <w:p>
      <w:pPr>
        <w:pStyle w:val="16"/>
        <w:numPr>
          <w:ilvl w:val="2"/>
          <w:numId w:val="1"/>
        </w:numPr>
        <w:spacing w:before="156" w:beforeLines="50" w:after="156" w:afterLines="50"/>
        <w:ind w:left="0" w:firstLine="0" w:firstLineChars="0"/>
        <w:rPr>
          <w:rFonts w:hint="eastAsia" w:ascii="黑体" w:hAnsi="黑体" w:eastAsia="黑体"/>
          <w:szCs w:val="21"/>
        </w:rPr>
      </w:pPr>
    </w:p>
    <w:p>
      <w:pPr>
        <w:ind w:firstLine="420" w:firstLineChars="200"/>
        <w:outlineLvl w:val="1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乘客投诉率 complaints rate of passenger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每月乘客投诉件数与乘客人次数的比值。</w:t>
      </w:r>
    </w:p>
    <w:p>
      <w:pPr>
        <w:pStyle w:val="5"/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before="312" w:beforeLines="100" w:after="312" w:afterLines="100" w:line="240" w:lineRule="auto"/>
        <w:outlineLvl w:val="0"/>
        <w:rPr>
          <w:rFonts w:hint="eastAsia" w:ascii="黑体" w:hAnsi="黑体" w:eastAsia="黑体"/>
          <w:sz w:val="21"/>
          <w:szCs w:val="21"/>
        </w:rPr>
      </w:pPr>
      <w:bookmarkStart w:id="6" w:name="_Toc184656748"/>
      <w:r>
        <w:rPr>
          <w:rFonts w:ascii="黑体" w:hAnsi="黑体" w:eastAsia="黑体"/>
          <w:sz w:val="21"/>
          <w:szCs w:val="21"/>
        </w:rPr>
        <w:t>4</w:t>
      </w:r>
      <w:r>
        <w:rPr>
          <w:rFonts w:hint="eastAsia" w:ascii="黑体" w:hAnsi="黑体" w:eastAsia="黑体"/>
          <w:sz w:val="21"/>
          <w:szCs w:val="21"/>
        </w:rPr>
        <w:t xml:space="preserve"> </w:t>
      </w:r>
      <w:r>
        <w:rPr>
          <w:rFonts w:ascii="黑体" w:hAnsi="黑体" w:eastAsia="黑体"/>
          <w:sz w:val="21"/>
          <w:szCs w:val="21"/>
        </w:rPr>
        <w:t>实施条件</w:t>
      </w:r>
      <w:bookmarkEnd w:id="6"/>
    </w:p>
    <w:p>
      <w:pPr>
        <w:pStyle w:val="5"/>
        <w:numPr>
          <w:ilvl w:val="0"/>
          <w:numId w:val="2"/>
        </w:numPr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adjustRightInd w:val="0"/>
        <w:spacing w:before="156" w:beforeLines="50" w:after="156" w:afterLines="50" w:line="240" w:lineRule="auto"/>
        <w:ind w:left="0" w:firstLine="0"/>
        <w:outlineLvl w:val="1"/>
        <w:rPr>
          <w:sz w:val="21"/>
          <w:szCs w:val="21"/>
        </w:rPr>
      </w:pPr>
      <w:r>
        <w:rPr>
          <w:rFonts w:hint="eastAsia"/>
          <w:sz w:val="21"/>
          <w:szCs w:val="21"/>
        </w:rPr>
        <w:t>运行途经道路应满足8.5m及以下公交车辆安全通行条件。</w:t>
      </w:r>
    </w:p>
    <w:p>
      <w:pPr>
        <w:pStyle w:val="5"/>
        <w:numPr>
          <w:ilvl w:val="0"/>
          <w:numId w:val="2"/>
        </w:numPr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adjustRightInd w:val="0"/>
        <w:spacing w:before="156" w:beforeLines="50" w:after="156" w:afterLines="50" w:line="240" w:lineRule="auto"/>
        <w:ind w:left="0" w:firstLine="0"/>
        <w:outlineLvl w:val="1"/>
        <w:rPr>
          <w:sz w:val="21"/>
          <w:szCs w:val="21"/>
        </w:rPr>
      </w:pPr>
      <w:r>
        <w:rPr>
          <w:rFonts w:hint="eastAsia"/>
          <w:sz w:val="21"/>
          <w:szCs w:val="21"/>
        </w:rPr>
        <w:t>应具备开设首末站的基础条件。首末站在大型社区与轨道站周边的，应具备设置场站的条件，并配置充电桩。</w:t>
      </w:r>
    </w:p>
    <w:p>
      <w:pPr>
        <w:pStyle w:val="5"/>
        <w:numPr>
          <w:ilvl w:val="0"/>
          <w:numId w:val="2"/>
        </w:numPr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adjustRightInd w:val="0"/>
        <w:spacing w:before="156" w:beforeLines="50" w:after="156" w:afterLines="50" w:line="240" w:lineRule="auto"/>
        <w:ind w:left="0" w:firstLine="0"/>
        <w:outlineLvl w:val="1"/>
        <w:rPr>
          <w:sz w:val="21"/>
          <w:szCs w:val="21"/>
        </w:rPr>
      </w:pPr>
      <w:r>
        <w:rPr>
          <w:rFonts w:hint="eastAsia"/>
          <w:sz w:val="21"/>
          <w:szCs w:val="21"/>
        </w:rPr>
        <w:t>场站设施规模应与服务规模相匹配。</w:t>
      </w:r>
    </w:p>
    <w:p>
      <w:pPr>
        <w:pStyle w:val="5"/>
        <w:numPr>
          <w:ilvl w:val="0"/>
          <w:numId w:val="2"/>
        </w:numPr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adjustRightInd w:val="0"/>
        <w:spacing w:before="156" w:beforeLines="50" w:after="156" w:afterLines="50" w:line="240" w:lineRule="auto"/>
        <w:ind w:left="0" w:firstLine="0"/>
        <w:outlineLvl w:val="1"/>
        <w:rPr>
          <w:szCs w:val="21"/>
        </w:rPr>
      </w:pPr>
      <w:r>
        <w:rPr>
          <w:rFonts w:hint="eastAsia"/>
          <w:sz w:val="21"/>
          <w:szCs w:val="21"/>
        </w:rPr>
        <w:t>应结合公众出行需求，建立适时开设、优化调整小巷公交运行线路的机制。</w:t>
      </w:r>
    </w:p>
    <w:p>
      <w:pPr>
        <w:pStyle w:val="5"/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before="312" w:beforeLines="100" w:after="312" w:afterLines="100" w:line="240" w:lineRule="auto"/>
        <w:outlineLvl w:val="0"/>
        <w:rPr>
          <w:rFonts w:hint="eastAsia" w:ascii="黑体" w:hAnsi="黑体" w:eastAsia="黑体"/>
          <w:sz w:val="21"/>
          <w:szCs w:val="21"/>
        </w:rPr>
      </w:pPr>
      <w:bookmarkStart w:id="7" w:name="_Toc184656749"/>
      <w:r>
        <w:rPr>
          <w:rFonts w:ascii="黑体" w:hAnsi="黑体" w:eastAsia="黑体"/>
          <w:sz w:val="21"/>
          <w:szCs w:val="21"/>
        </w:rPr>
        <w:t xml:space="preserve">5 </w:t>
      </w:r>
      <w:r>
        <w:rPr>
          <w:rFonts w:hint="eastAsia" w:ascii="黑体" w:hAnsi="黑体" w:eastAsia="黑体"/>
          <w:sz w:val="21"/>
          <w:szCs w:val="21"/>
        </w:rPr>
        <w:t>小巷公交线路分级及指标体系</w:t>
      </w:r>
      <w:bookmarkEnd w:id="7"/>
    </w:p>
    <w:p>
      <w:pPr>
        <w:pStyle w:val="16"/>
        <w:numPr>
          <w:ilvl w:val="0"/>
          <w:numId w:val="3"/>
        </w:numPr>
        <w:spacing w:before="156" w:beforeLines="50" w:after="156" w:afterLines="50"/>
        <w:ind w:firstLineChars="0"/>
        <w:outlineLvl w:val="1"/>
        <w:rPr>
          <w:rFonts w:hint="eastAsia" w:ascii="黑体" w:hAnsi="黑体" w:eastAsia="黑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指标体系包括约束性指标与普适性指标</w:t>
      </w:r>
      <w:r>
        <w:rPr>
          <w:rFonts w:hint="eastAsia" w:ascii="黑体" w:hAnsi="黑体" w:eastAsia="黑体" w:cs="Times New Roman"/>
          <w:bCs/>
          <w:szCs w:val="21"/>
        </w:rPr>
        <w:t>。</w:t>
      </w:r>
    </w:p>
    <w:p>
      <w:pPr>
        <w:pStyle w:val="16"/>
        <w:numPr>
          <w:ilvl w:val="0"/>
          <w:numId w:val="3"/>
        </w:numPr>
        <w:spacing w:before="156" w:beforeLines="50" w:after="156" w:afterLines="50"/>
        <w:ind w:firstLineChars="0"/>
        <w:outlineLvl w:val="1"/>
        <w:rPr>
          <w:rFonts w:hint="eastAsia"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约束性指标见表</w:t>
      </w:r>
      <w:r>
        <w:rPr>
          <w:rFonts w:hint="eastAsia" w:ascii="Times New Roman" w:hAnsi="Times New Roman" w:eastAsia="宋体" w:cs="Times New Roman"/>
          <w:bCs/>
          <w:szCs w:val="21"/>
        </w:rPr>
        <w:t>5.1</w:t>
      </w:r>
      <w:r>
        <w:rPr>
          <w:rFonts w:hint="eastAsia" w:ascii="宋体" w:hAnsi="宋体" w:eastAsia="宋体" w:cs="Times New Roman"/>
          <w:bCs/>
          <w:szCs w:val="21"/>
        </w:rPr>
        <w:t>。</w:t>
      </w:r>
    </w:p>
    <w:p>
      <w:pPr>
        <w:pStyle w:val="16"/>
        <w:spacing w:before="156" w:beforeLines="50" w:after="156" w:afterLines="50"/>
        <w:rPr>
          <w:rFonts w:hint="eastAsia"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小巷公交根据约束性指标进行分类，分为一类线路、二类线路。其中：</w:t>
      </w:r>
    </w:p>
    <w:p>
      <w:pPr>
        <w:pStyle w:val="16"/>
        <w:spacing w:before="156" w:beforeLines="50" w:after="156" w:afterLines="50"/>
        <w:ind w:firstLine="422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一类线路</w:t>
      </w:r>
      <w:r>
        <w:rPr>
          <w:rFonts w:hint="eastAsia" w:ascii="宋体" w:hAnsi="宋体" w:eastAsia="宋体" w:cs="Times New Roman"/>
          <w:bCs/>
          <w:szCs w:val="21"/>
        </w:rPr>
        <w:t>：途经服务住宅小区与公共设施较为密集，出行需求量较大的区域，配备</w:t>
      </w:r>
      <w:r>
        <w:rPr>
          <w:rFonts w:ascii="Times New Roman" w:hAnsi="Times New Roman" w:eastAsia="宋体" w:cs="Times New Roman"/>
          <w:bCs/>
          <w:szCs w:val="21"/>
        </w:rPr>
        <w:t>8.5米及以下车型，发车间隔小于等于15分钟，提供区域内短距离出行和接驳周转的服务功能；</w:t>
      </w:r>
    </w:p>
    <w:p>
      <w:pPr>
        <w:pStyle w:val="16"/>
        <w:spacing w:before="156" w:beforeLines="50" w:after="156" w:afterLines="50"/>
        <w:ind w:firstLine="422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二类线路</w:t>
      </w:r>
      <w:r>
        <w:rPr>
          <w:rFonts w:ascii="Times New Roman" w:hAnsi="Times New Roman" w:eastAsia="宋体" w:cs="Times New Roman"/>
          <w:bCs/>
          <w:szCs w:val="21"/>
        </w:rPr>
        <w:t>：途经服务住宅小区与公共设施相对稀疏，具备一定出行需求的区域，配置6.5米及以下车型，发车间隔小于等于20分钟，提供区域内短距离和接驳周转的服务功能。</w:t>
      </w:r>
    </w:p>
    <w:p>
      <w:pPr>
        <w:pStyle w:val="4"/>
        <w:keepNext/>
        <w:spacing w:before="156" w:beforeLines="50" w:after="0"/>
        <w:jc w:val="center"/>
        <w:rPr>
          <w:rFonts w:hint="eastAsia" w:ascii="黑体" w:hAnsi="黑体"/>
          <w:sz w:val="21"/>
          <w:szCs w:val="21"/>
        </w:rPr>
      </w:pPr>
      <w:r>
        <w:rPr>
          <w:rFonts w:ascii="黑体" w:hAnsi="黑体"/>
          <w:sz w:val="21"/>
          <w:szCs w:val="21"/>
        </w:rPr>
        <w:t>表 5.</w:t>
      </w:r>
      <w:r>
        <w:rPr>
          <w:rFonts w:hint="eastAsia" w:ascii="黑体" w:hAnsi="黑体"/>
          <w:sz w:val="21"/>
          <w:szCs w:val="21"/>
        </w:rPr>
        <w:t>1</w:t>
      </w:r>
      <w:r>
        <w:rPr>
          <w:rFonts w:ascii="黑体" w:hAnsi="黑体"/>
          <w:sz w:val="21"/>
          <w:szCs w:val="21"/>
        </w:rPr>
        <w:t xml:space="preserve"> </w:t>
      </w:r>
      <w:r>
        <w:rPr>
          <w:rFonts w:hint="eastAsia" w:ascii="黑体" w:hAnsi="黑体"/>
          <w:sz w:val="21"/>
          <w:szCs w:val="21"/>
        </w:rPr>
        <w:t>小巷公交线路约束性指标</w:t>
      </w:r>
    </w:p>
    <w:tbl>
      <w:tblPr>
        <w:tblStyle w:val="15"/>
        <w:tblW w:w="83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768"/>
        <w:gridCol w:w="2138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Times New Roman" w:hAnsi="Times New Roman" w:eastAsia="宋体" w:cs="Times New Roman"/>
                <w:b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18"/>
                <w:szCs w:val="18"/>
                <w14:ligatures w14:val="none"/>
              </w:rPr>
              <w:t>指标分类</w:t>
            </w:r>
          </w:p>
        </w:tc>
        <w:tc>
          <w:tcPr>
            <w:tcW w:w="27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Times New Roman" w:hAnsi="Times New Roman" w:eastAsia="宋体" w:cs="Times New Roman"/>
                <w:b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18"/>
                <w:szCs w:val="18"/>
                <w14:ligatures w14:val="none"/>
              </w:rPr>
              <w:t>指标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18"/>
                <w:szCs w:val="18"/>
                <w14:ligatures w14:val="none"/>
              </w:rPr>
              <w:t>名称</w:t>
            </w:r>
          </w:p>
        </w:tc>
        <w:tc>
          <w:tcPr>
            <w:tcW w:w="213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Times New Roman" w:hAnsi="Times New Roman" w:eastAsia="宋体" w:cs="Times New Roman"/>
                <w:b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18"/>
                <w:szCs w:val="18"/>
                <w14:ligatures w14:val="none"/>
              </w:rPr>
              <w:t>一类线路</w:t>
            </w:r>
          </w:p>
        </w:tc>
        <w:tc>
          <w:tcPr>
            <w:tcW w:w="203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Times New Roman" w:hAnsi="Times New Roman" w:eastAsia="宋体" w:cs="Times New Roman"/>
                <w:b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18"/>
                <w:szCs w:val="18"/>
                <w14:ligatures w14:val="none"/>
              </w:rPr>
              <w:t>二类线路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vMerge w:val="restart"/>
            <w:vAlign w:val="center"/>
          </w:tcPr>
          <w:p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布局类指标</w:t>
            </w:r>
          </w:p>
        </w:tc>
        <w:tc>
          <w:tcPr>
            <w:tcW w:w="27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14:ligatures w14:val="none"/>
              </w:rPr>
              <w:t>每公里途经小区与公共设施数</w:t>
            </w:r>
          </w:p>
        </w:tc>
        <w:tc>
          <w:tcPr>
            <w:tcW w:w="213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≥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个/公里</w:t>
            </w:r>
          </w:p>
        </w:tc>
        <w:tc>
          <w:tcPr>
            <w:tcW w:w="203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≥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个/公里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14:ligatures w14:val="none"/>
              </w:rPr>
              <w:t>次支路占比</w:t>
            </w:r>
          </w:p>
        </w:tc>
        <w:tc>
          <w:tcPr>
            <w:tcW w:w="21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≥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6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0%</w:t>
            </w:r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≥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运营类指标</w:t>
            </w:r>
          </w:p>
        </w:tc>
        <w:tc>
          <w:tcPr>
            <w:tcW w:w="276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14:ligatures w14:val="none"/>
              </w:rPr>
              <w:t>车辆长度</w:t>
            </w:r>
          </w:p>
        </w:tc>
        <w:tc>
          <w:tcPr>
            <w:tcW w:w="213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≤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 xml:space="preserve">8.5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203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≤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 xml:space="preserve">6.5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vMerge w:val="continue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Times New Roman" w:hAnsi="Times New Roman" w:eastAsia="宋体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14:ligatures w14:val="none"/>
              </w:rPr>
              <w:t>高峰发车间隔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≤5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min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≤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 xml:space="preserve">15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vMerge w:val="continue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Times New Roman" w:hAnsi="Times New Roman" w:eastAsia="宋体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14:ligatures w14:val="none"/>
              </w:rPr>
              <w:t>平峰发车间隔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≤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min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≤20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vMerge w:val="continue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Times New Roman" w:hAnsi="Times New Roman" w:eastAsia="宋体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14:ligatures w14:val="none"/>
              </w:rPr>
              <w:t>车公里人次数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≥5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≥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</w:tbl>
    <w:p>
      <w:pPr>
        <w:pStyle w:val="16"/>
        <w:numPr>
          <w:ilvl w:val="0"/>
          <w:numId w:val="3"/>
        </w:numPr>
        <w:spacing w:before="156" w:beforeLines="50" w:after="156" w:afterLines="50"/>
        <w:ind w:firstLineChars="0"/>
        <w:outlineLvl w:val="1"/>
        <w:rPr>
          <w:rFonts w:hint="eastAsia"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普适性指标见表</w:t>
      </w:r>
      <w:r>
        <w:rPr>
          <w:rFonts w:hint="eastAsia" w:ascii="Times New Roman" w:hAnsi="Times New Roman" w:eastAsia="宋体" w:cs="Times New Roman"/>
          <w:bCs/>
          <w:szCs w:val="21"/>
        </w:rPr>
        <w:t>5.2</w:t>
      </w:r>
      <w:r>
        <w:rPr>
          <w:rFonts w:hint="eastAsia" w:ascii="宋体" w:hAnsi="宋体" w:eastAsia="宋体" w:cs="Times New Roman"/>
          <w:bCs/>
          <w:szCs w:val="21"/>
        </w:rPr>
        <w:t xml:space="preserve">。 </w:t>
      </w:r>
    </w:p>
    <w:p>
      <w:pPr>
        <w:pStyle w:val="16"/>
        <w:spacing w:before="156" w:beforeLines="50" w:after="156" w:afterLines="50"/>
        <w:rPr>
          <w:rFonts w:hint="eastAsia"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基于重庆市小巷公交运营与服务特点，从布局、运营、服务和安全四个层次构建小巷公交运营服务普适性指标。</w:t>
      </w:r>
    </w:p>
    <w:p>
      <w:pPr>
        <w:pStyle w:val="4"/>
        <w:keepNext/>
        <w:spacing w:before="156" w:beforeLines="50" w:after="0"/>
        <w:jc w:val="center"/>
        <w:rPr>
          <w:rFonts w:hint="eastAsia" w:ascii="黑体" w:hAnsi="黑体"/>
          <w:sz w:val="21"/>
          <w:szCs w:val="21"/>
        </w:rPr>
      </w:pPr>
      <w:r>
        <w:rPr>
          <w:rFonts w:ascii="黑体" w:hAnsi="黑体"/>
          <w:sz w:val="21"/>
          <w:szCs w:val="21"/>
        </w:rPr>
        <w:t>表 5.</w:t>
      </w:r>
      <w:r>
        <w:rPr>
          <w:rFonts w:hint="eastAsia" w:ascii="黑体" w:hAnsi="黑体"/>
          <w:sz w:val="21"/>
          <w:szCs w:val="21"/>
        </w:rPr>
        <w:t>2小巷公交运营服务普适性指标</w:t>
      </w:r>
    </w:p>
    <w:tbl>
      <w:tblPr>
        <w:tblStyle w:val="1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9" w:type="dxa"/>
            <w:vAlign w:val="center"/>
          </w:tcPr>
          <w:p>
            <w:pPr>
              <w:pStyle w:val="16"/>
              <w:ind w:firstLine="0" w:firstLineChars="0"/>
              <w:outlineLvl w:val="1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指标分类</w:t>
            </w:r>
          </w:p>
        </w:tc>
        <w:tc>
          <w:tcPr>
            <w:tcW w:w="7230" w:type="dxa"/>
            <w:vAlign w:val="center"/>
          </w:tcPr>
          <w:p>
            <w:pPr>
              <w:pStyle w:val="16"/>
              <w:ind w:firstLine="0" w:firstLineChars="0"/>
              <w:outlineLvl w:val="1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具体指标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9" w:type="dxa"/>
            <w:vAlign w:val="center"/>
          </w:tcPr>
          <w:p>
            <w:pPr>
              <w:pStyle w:val="16"/>
              <w:ind w:firstLine="0" w:firstLineChars="0"/>
              <w:outlineLvl w:val="1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14:ligatures w14:val="none"/>
              </w:rPr>
            </w:pPr>
            <w:bookmarkStart w:id="8" w:name="_Hlk184564085"/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14:ligatures w14:val="none"/>
              </w:rPr>
              <w:t>布局类指标</w:t>
            </w:r>
          </w:p>
        </w:tc>
        <w:tc>
          <w:tcPr>
            <w:tcW w:w="7230" w:type="dxa"/>
            <w:vAlign w:val="center"/>
          </w:tcPr>
          <w:p>
            <w:pPr>
              <w:pStyle w:val="16"/>
              <w:ind w:firstLine="0" w:firstLineChars="0"/>
              <w:outlineLvl w:val="1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14:ligatures w14:val="none"/>
              </w:rPr>
              <w:t>线路长度、平均站距、公交线路非直线系数、车桩比、站点设置、站牌规范、适老化设施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9" w:type="dxa"/>
            <w:vAlign w:val="center"/>
          </w:tcPr>
          <w:p>
            <w:pPr>
              <w:pStyle w:val="16"/>
              <w:ind w:firstLine="0" w:firstLineChars="0"/>
              <w:outlineLvl w:val="1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14:ligatures w14:val="none"/>
              </w:rPr>
              <w:t>运营类指标</w:t>
            </w:r>
          </w:p>
        </w:tc>
        <w:tc>
          <w:tcPr>
            <w:tcW w:w="7230" w:type="dxa"/>
            <w:vAlign w:val="center"/>
          </w:tcPr>
          <w:p>
            <w:pPr>
              <w:outlineLvl w:val="1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14:ligatures w14:val="none"/>
              </w:rPr>
              <w:t>首末班车正点率、高峰班次正点率、运营时长、运营模式、动态调整机制、路号规则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9" w:type="dxa"/>
            <w:vAlign w:val="center"/>
          </w:tcPr>
          <w:p>
            <w:pPr>
              <w:pStyle w:val="16"/>
              <w:ind w:firstLine="0" w:firstLineChars="0"/>
              <w:outlineLvl w:val="1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14:ligatures w14:val="none"/>
              </w:rPr>
              <w:t>服务类指标</w:t>
            </w:r>
          </w:p>
        </w:tc>
        <w:tc>
          <w:tcPr>
            <w:tcW w:w="7230" w:type="dxa"/>
            <w:vAlign w:val="center"/>
          </w:tcPr>
          <w:p>
            <w:pPr>
              <w:outlineLvl w:val="1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14:ligatures w14:val="none"/>
              </w:rPr>
              <w:t>乘客建议率、乘客投诉率、投诉按时回复率、投诉按时办结率、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14:ligatures w14:val="none"/>
              </w:rPr>
              <w:t>投诉回复满意率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14:ligatures w14:val="none"/>
              </w:rPr>
              <w:t>、司乘人员服务规范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14:ligatures w14:val="none"/>
              </w:rPr>
              <w:t>、车容车貌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9" w:type="dxa"/>
            <w:vAlign w:val="center"/>
          </w:tcPr>
          <w:p>
            <w:pPr>
              <w:pStyle w:val="16"/>
              <w:ind w:firstLine="0" w:firstLineChars="0"/>
              <w:outlineLvl w:val="1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14:ligatures w14:val="none"/>
              </w:rPr>
              <w:t>安全类指标</w:t>
            </w:r>
          </w:p>
        </w:tc>
        <w:tc>
          <w:tcPr>
            <w:tcW w:w="7230" w:type="dxa"/>
            <w:vAlign w:val="center"/>
          </w:tcPr>
          <w:p>
            <w:pPr>
              <w:outlineLvl w:val="1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14:ligatures w14:val="none"/>
              </w:rPr>
              <w:t>每月道路交通运输违法（章）率、公共汽电车责任事故率、车辆周检合格率</w:t>
            </w:r>
          </w:p>
        </w:tc>
      </w:tr>
      <w:bookmarkEnd w:id="8"/>
    </w:tbl>
    <w:p>
      <w:pPr>
        <w:snapToGrid w:val="0"/>
        <w:spacing w:before="156" w:beforeLines="50" w:after="156" w:afterLines="50"/>
        <w:outlineLvl w:val="1"/>
        <w:rPr>
          <w:rFonts w:hint="eastAsia"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5.3.1 布局类指标</w:t>
      </w:r>
    </w:p>
    <w:p>
      <w:pPr>
        <w:pStyle w:val="16"/>
        <w:numPr>
          <w:ilvl w:val="2"/>
          <w:numId w:val="4"/>
        </w:numPr>
        <w:snapToGrid w:val="0"/>
        <w:spacing w:before="156" w:beforeLines="50" w:after="156" w:afterLines="50"/>
        <w:ind w:left="0" w:firstLine="0" w:firstLineChars="0"/>
        <w:outlineLvl w:val="3"/>
        <w:rPr>
          <w:rFonts w:hint="eastAsia"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线路长度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宜≤5km。</w:t>
      </w:r>
    </w:p>
    <w:p>
      <w:pPr>
        <w:pStyle w:val="16"/>
        <w:numPr>
          <w:ilvl w:val="2"/>
          <w:numId w:val="4"/>
        </w:numPr>
        <w:snapToGrid w:val="0"/>
        <w:spacing w:before="156" w:beforeLines="50" w:after="156" w:afterLines="50"/>
        <w:ind w:left="0" w:firstLine="0" w:firstLineChars="0"/>
        <w:outlineLvl w:val="3"/>
        <w:rPr>
          <w:rFonts w:hint="eastAsia"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平均站距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应≤3</w:t>
      </w:r>
      <w:r>
        <w:rPr>
          <w:rFonts w:ascii="Times New Roman" w:hAnsi="Times New Roman" w:eastAsia="宋体" w:cs="Times New Roman"/>
          <w:szCs w:val="21"/>
        </w:rPr>
        <w:t>00</w:t>
      </w:r>
      <w:r>
        <w:rPr>
          <w:rFonts w:hint="eastAsia" w:ascii="Times New Roman" w:hAnsi="Times New Roman" w:eastAsia="宋体" w:cs="Times New Roman"/>
          <w:szCs w:val="21"/>
        </w:rPr>
        <w:t>m。</w:t>
      </w:r>
    </w:p>
    <w:p>
      <w:pPr>
        <w:pStyle w:val="16"/>
        <w:numPr>
          <w:ilvl w:val="2"/>
          <w:numId w:val="4"/>
        </w:numPr>
        <w:snapToGrid w:val="0"/>
        <w:spacing w:before="156" w:beforeLines="50" w:after="156" w:afterLines="50"/>
        <w:ind w:left="0" w:firstLine="0" w:firstLineChars="0"/>
        <w:outlineLvl w:val="3"/>
        <w:rPr>
          <w:rFonts w:hint="eastAsia"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公交线路非直线系数</w:t>
      </w:r>
    </w:p>
    <w:p>
      <w:pPr>
        <w:snapToGrid w:val="0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应在1-1.5范围内。</w:t>
      </w:r>
    </w:p>
    <w:p>
      <w:pPr>
        <w:pStyle w:val="16"/>
        <w:numPr>
          <w:ilvl w:val="2"/>
          <w:numId w:val="4"/>
        </w:numPr>
        <w:snapToGrid w:val="0"/>
        <w:spacing w:before="156" w:beforeLines="50" w:after="156" w:afterLines="50"/>
        <w:ind w:left="0" w:firstLine="0" w:firstLineChars="0"/>
        <w:outlineLvl w:val="3"/>
        <w:rPr>
          <w:rFonts w:hint="eastAsia"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车桩比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具备安装条件的场站，车桩比应≤3:1。</w:t>
      </w:r>
    </w:p>
    <w:p>
      <w:pPr>
        <w:pStyle w:val="16"/>
        <w:numPr>
          <w:ilvl w:val="2"/>
          <w:numId w:val="4"/>
        </w:numPr>
        <w:snapToGrid w:val="0"/>
        <w:spacing w:before="156" w:beforeLines="50" w:after="156" w:afterLines="50"/>
        <w:ind w:left="0" w:firstLine="0" w:firstLineChars="0"/>
        <w:outlineLvl w:val="3"/>
        <w:rPr>
          <w:rFonts w:hint="eastAsia"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站点设置</w:t>
      </w:r>
    </w:p>
    <w:p>
      <w:pPr>
        <w:pStyle w:val="16"/>
        <w:numPr>
          <w:ilvl w:val="0"/>
          <w:numId w:val="5"/>
        </w:numPr>
        <w:ind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站点距轨道站接驳距离应不大于100m。</w:t>
      </w:r>
    </w:p>
    <w:p>
      <w:pPr>
        <w:pStyle w:val="16"/>
        <w:numPr>
          <w:ilvl w:val="0"/>
          <w:numId w:val="5"/>
        </w:numPr>
        <w:ind w:left="0" w:firstLine="42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在保证与相邻道路交叉口保持50m距离的基础上，站点宜尽量贴近小区、公共设施主要出入口，二者间步行距离宜不大于50m。</w:t>
      </w:r>
    </w:p>
    <w:p>
      <w:pPr>
        <w:pStyle w:val="16"/>
        <w:numPr>
          <w:ilvl w:val="2"/>
          <w:numId w:val="4"/>
        </w:numPr>
        <w:snapToGrid w:val="0"/>
        <w:spacing w:before="156" w:beforeLines="50" w:after="156" w:afterLines="50"/>
        <w:ind w:left="0" w:firstLine="0" w:firstLineChars="0"/>
        <w:outlineLvl w:val="3"/>
        <w:rPr>
          <w:rFonts w:hint="eastAsia"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站牌规范</w:t>
      </w:r>
    </w:p>
    <w:p>
      <w:pPr>
        <w:pStyle w:val="16"/>
        <w:numPr>
          <w:ilvl w:val="0"/>
          <w:numId w:val="6"/>
        </w:numPr>
        <w:ind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站牌应明确、清晰地显示线路路号、站点、运营模式等相关信息。</w:t>
      </w:r>
    </w:p>
    <w:p>
      <w:pPr>
        <w:pStyle w:val="16"/>
        <w:numPr>
          <w:ilvl w:val="0"/>
          <w:numId w:val="6"/>
        </w:numPr>
        <w:ind w:left="0" w:firstLine="42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站牌应具有鲜明特色，应配合路号规则，与行政区、地名、主要服务轨道站或地标建筑搭配设计。</w:t>
      </w:r>
    </w:p>
    <w:p>
      <w:pPr>
        <w:pStyle w:val="16"/>
        <w:numPr>
          <w:ilvl w:val="2"/>
          <w:numId w:val="4"/>
        </w:numPr>
        <w:snapToGrid w:val="0"/>
        <w:spacing w:before="156" w:beforeLines="50" w:after="156" w:afterLines="50"/>
        <w:ind w:left="0" w:firstLine="0" w:firstLineChars="0"/>
        <w:outlineLvl w:val="3"/>
        <w:rPr>
          <w:rFonts w:hint="eastAsia"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适老化设施</w:t>
      </w:r>
    </w:p>
    <w:p>
      <w:pPr>
        <w:pStyle w:val="16"/>
        <w:numPr>
          <w:ilvl w:val="0"/>
          <w:numId w:val="7"/>
        </w:numPr>
        <w:spacing w:before="156" w:beforeLines="50" w:line="360" w:lineRule="auto"/>
        <w:ind w:left="0" w:firstLine="420"/>
        <w:outlineLvl w:val="4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车辆配置</w:t>
      </w:r>
    </w:p>
    <w:p>
      <w:pPr>
        <w:pStyle w:val="16"/>
        <w:numPr>
          <w:ilvl w:val="0"/>
          <w:numId w:val="8"/>
        </w:numPr>
        <w:ind w:left="630" w:leftChars="200" w:hanging="210" w:hanging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应使用新能源车辆，减少污染和噪音，提升乘车舒适度。</w:t>
      </w:r>
    </w:p>
    <w:p>
      <w:pPr>
        <w:pStyle w:val="16"/>
        <w:numPr>
          <w:ilvl w:val="0"/>
          <w:numId w:val="8"/>
        </w:numPr>
        <w:ind w:left="630" w:leftChars="200" w:hanging="210" w:hanging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宜采用低地板、低入口车辆，方便老年人和行动不便者上下车。</w:t>
      </w:r>
    </w:p>
    <w:p>
      <w:pPr>
        <w:pStyle w:val="16"/>
        <w:numPr>
          <w:ilvl w:val="0"/>
          <w:numId w:val="8"/>
        </w:numPr>
        <w:ind w:left="630" w:leftChars="200" w:hanging="210" w:hanging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宜配置无障碍踏板，提供轮椅下车翻板等设施。</w:t>
      </w:r>
    </w:p>
    <w:p>
      <w:pPr>
        <w:pStyle w:val="16"/>
        <w:numPr>
          <w:ilvl w:val="0"/>
          <w:numId w:val="8"/>
        </w:numPr>
        <w:ind w:left="630" w:leftChars="200" w:hanging="210" w:hanging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车厢内应设置爱心专座、爱心敬老便民箱，内置常用药品和应急物品。</w:t>
      </w:r>
    </w:p>
    <w:p>
      <w:pPr>
        <w:pStyle w:val="16"/>
        <w:numPr>
          <w:ilvl w:val="0"/>
          <w:numId w:val="8"/>
        </w:numPr>
        <w:ind w:left="630" w:leftChars="200" w:hanging="210" w:hanging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车厢内应张贴适老爱心标志与敬老服务提示语。</w:t>
      </w:r>
    </w:p>
    <w:p>
      <w:pPr>
        <w:pStyle w:val="16"/>
        <w:numPr>
          <w:ilvl w:val="0"/>
          <w:numId w:val="8"/>
        </w:numPr>
        <w:ind w:left="630" w:leftChars="200" w:hanging="210" w:hanging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车厢内应配备清晰、明确的线路与站点信息语音播报。</w:t>
      </w:r>
    </w:p>
    <w:p>
      <w:pPr>
        <w:pStyle w:val="16"/>
        <w:numPr>
          <w:ilvl w:val="0"/>
          <w:numId w:val="7"/>
        </w:numPr>
        <w:spacing w:before="156" w:beforeLines="50" w:line="360" w:lineRule="auto"/>
        <w:ind w:left="0" w:firstLine="420"/>
        <w:outlineLvl w:val="4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站点配置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具备条件的站点应配置适老化设施，设置明显的上下客标识与无障碍通道，增设防护栏分离</w:t>
      </w:r>
      <w:r>
        <w:rPr>
          <w:rFonts w:hint="eastAsia" w:ascii="宋体" w:hAnsi="宋体" w:eastAsia="宋体"/>
          <w:szCs w:val="21"/>
        </w:rPr>
        <w:t>人车</w:t>
      </w:r>
      <w:r>
        <w:rPr>
          <w:rFonts w:hint="eastAsia"/>
          <w:szCs w:val="21"/>
        </w:rPr>
        <w:t>。</w:t>
      </w:r>
    </w:p>
    <w:p>
      <w:pPr>
        <w:snapToGrid w:val="0"/>
        <w:spacing w:before="156" w:beforeLines="50" w:after="156" w:afterLines="50"/>
        <w:outlineLvl w:val="1"/>
        <w:rPr>
          <w:rFonts w:hint="eastAsia"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5.3.2 运营类指标</w:t>
      </w:r>
    </w:p>
    <w:p>
      <w:pPr>
        <w:pStyle w:val="16"/>
        <w:numPr>
          <w:ilvl w:val="0"/>
          <w:numId w:val="9"/>
        </w:numPr>
        <w:snapToGrid w:val="0"/>
        <w:spacing w:before="156" w:beforeLines="50" w:after="156" w:afterLines="50"/>
        <w:ind w:left="0" w:firstLine="0" w:firstLineChars="0"/>
        <w:outlineLvl w:val="3"/>
        <w:rPr>
          <w:rFonts w:hint="eastAsia"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首末班车正点率</w:t>
      </w:r>
    </w:p>
    <w:p>
      <w:pPr>
        <w:pStyle w:val="16"/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应达到100%。</w:t>
      </w:r>
    </w:p>
    <w:p>
      <w:pPr>
        <w:pStyle w:val="16"/>
        <w:numPr>
          <w:ilvl w:val="0"/>
          <w:numId w:val="9"/>
        </w:numPr>
        <w:snapToGrid w:val="0"/>
        <w:spacing w:before="156" w:beforeLines="50" w:after="156" w:afterLines="50"/>
        <w:ind w:left="0" w:firstLine="0" w:firstLineChars="0"/>
        <w:outlineLvl w:val="3"/>
        <w:rPr>
          <w:rFonts w:hint="eastAsia"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高峰班次正点率</w:t>
      </w:r>
    </w:p>
    <w:p>
      <w:pPr>
        <w:pStyle w:val="16"/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应≥70</w:t>
      </w:r>
      <w:r>
        <w:rPr>
          <w:rFonts w:ascii="Times New Roman" w:hAnsi="Times New Roman" w:eastAsia="宋体" w:cs="Times New Roman"/>
          <w:szCs w:val="21"/>
        </w:rPr>
        <w:t>%。</w:t>
      </w:r>
    </w:p>
    <w:p>
      <w:pPr>
        <w:pStyle w:val="16"/>
        <w:numPr>
          <w:ilvl w:val="0"/>
          <w:numId w:val="9"/>
        </w:numPr>
        <w:snapToGrid w:val="0"/>
        <w:spacing w:before="156" w:beforeLines="50" w:after="156" w:afterLines="50"/>
        <w:ind w:left="0" w:firstLine="0" w:firstLineChars="0"/>
        <w:outlineLvl w:val="3"/>
        <w:rPr>
          <w:rFonts w:hint="eastAsia"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运营时长</w:t>
      </w:r>
    </w:p>
    <w:p>
      <w:pPr>
        <w:pStyle w:val="16"/>
        <w:numPr>
          <w:ilvl w:val="0"/>
          <w:numId w:val="10"/>
        </w:numPr>
        <w:ind w:left="840" w:leftChars="200" w:hanging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不宜低于</w:t>
      </w:r>
      <w:r>
        <w:rPr>
          <w:rFonts w:ascii="Times New Roman" w:hAnsi="Times New Roman" w:eastAsia="宋体" w:cs="Times New Roman"/>
          <w:szCs w:val="21"/>
        </w:rPr>
        <w:t>8</w:t>
      </w:r>
      <w:r>
        <w:rPr>
          <w:rFonts w:hint="eastAsia" w:ascii="Times New Roman" w:hAnsi="Times New Roman" w:eastAsia="宋体" w:cs="Times New Roman"/>
          <w:szCs w:val="21"/>
        </w:rPr>
        <w:t>h。</w:t>
      </w:r>
    </w:p>
    <w:p>
      <w:pPr>
        <w:pStyle w:val="16"/>
        <w:numPr>
          <w:ilvl w:val="0"/>
          <w:numId w:val="10"/>
        </w:numPr>
        <w:ind w:left="420" w:leftChars="200" w:firstLine="0" w:firstLineChars="0"/>
        <w:rPr>
          <w:rFonts w:hint="eastAsia" w:ascii="黑体" w:hAnsi="黑体" w:eastAsia="黑体"/>
          <w:bCs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接驳轨道交通的线路，宜依据轨道交通收班时间，适度顺延10-30min。</w:t>
      </w:r>
    </w:p>
    <w:p>
      <w:pPr>
        <w:pStyle w:val="16"/>
        <w:numPr>
          <w:ilvl w:val="0"/>
          <w:numId w:val="9"/>
        </w:numPr>
        <w:snapToGrid w:val="0"/>
        <w:spacing w:before="156" w:beforeLines="50" w:after="156" w:afterLines="50"/>
        <w:ind w:left="0" w:firstLine="0" w:firstLineChars="0"/>
        <w:outlineLvl w:val="3"/>
        <w:rPr>
          <w:rFonts w:hint="eastAsia"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运营模式</w:t>
      </w:r>
    </w:p>
    <w:p>
      <w:pPr>
        <w:spacing w:before="156" w:beforeLines="50" w:after="156" w:afterLines="50"/>
        <w:ind w:firstLine="420" w:firstLineChars="200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a）定线定点运营模式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对客流量较大且特征相对稳定的线路，例如通勤线路、上下学线路等，宜采用定线定点运营模式，按固定班次及站点运营。</w:t>
      </w:r>
    </w:p>
    <w:p>
      <w:pPr>
        <w:spacing w:before="156" w:beforeLines="50" w:after="156" w:afterLines="50"/>
        <w:ind w:firstLine="420" w:firstLineChars="200"/>
        <w:rPr>
          <w:rFonts w:hint="eastAsia"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b) 响应式</w:t>
      </w:r>
      <w:r>
        <w:rPr>
          <w:rFonts w:hint="eastAsia" w:ascii="黑体" w:hAnsi="黑体" w:eastAsia="黑体"/>
          <w:szCs w:val="21"/>
        </w:rPr>
        <w:t>停靠</w:t>
      </w:r>
      <w:r>
        <w:rPr>
          <w:rFonts w:ascii="黑体" w:hAnsi="黑体" w:eastAsia="黑体"/>
          <w:szCs w:val="21"/>
        </w:rPr>
        <w:t>运营模式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对客流量波动较大，且乘客目的地较为统一（如轨道站点、大型商业中心等）的线路，可采用响应式停靠运营模式，乘客通过下车按钮响铃以示下车需求，驾驶员按乘客需求停靠</w:t>
      </w:r>
      <w:r>
        <w:rPr>
          <w:rFonts w:ascii="Times New Roman" w:hAnsi="Times New Roman" w:eastAsia="宋体" w:cs="Times New Roman"/>
          <w:szCs w:val="21"/>
        </w:rPr>
        <w:t>。</w:t>
      </w:r>
    </w:p>
    <w:p>
      <w:pPr>
        <w:spacing w:before="156" w:beforeLines="50" w:after="156" w:afterLines="50"/>
        <w:ind w:firstLine="420" w:firstLineChars="200"/>
        <w:rPr>
          <w:rFonts w:hint="eastAsia"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 xml:space="preserve">c) </w:t>
      </w:r>
      <w:r>
        <w:rPr>
          <w:rFonts w:hint="eastAsia" w:ascii="黑体" w:hAnsi="黑体" w:eastAsia="黑体"/>
          <w:szCs w:val="21"/>
        </w:rPr>
        <w:t>响应</w:t>
      </w:r>
      <w:r>
        <w:rPr>
          <w:rFonts w:ascii="黑体" w:hAnsi="黑体" w:eastAsia="黑体"/>
          <w:szCs w:val="21"/>
        </w:rPr>
        <w:t>式灵活运营模式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对于部分站点有明显稳定群集客流，且其他站点客流波动较大的线路，可采用响应式灵活运用模式，驾驶员根据虚拟站点动态需求适度偏离响应服务，若无需求则按既定线路运营</w:t>
      </w:r>
      <w:r>
        <w:rPr>
          <w:rFonts w:ascii="Times New Roman" w:hAnsi="Times New Roman" w:eastAsia="宋体" w:cs="Times New Roman"/>
          <w:szCs w:val="21"/>
        </w:rPr>
        <w:t>。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</w:p>
    <w:p>
      <w:pPr>
        <w:pStyle w:val="16"/>
        <w:numPr>
          <w:ilvl w:val="0"/>
          <w:numId w:val="9"/>
        </w:numPr>
        <w:snapToGrid w:val="0"/>
        <w:spacing w:before="156" w:beforeLines="50" w:after="156" w:afterLines="50"/>
        <w:ind w:left="0" w:firstLine="0" w:firstLineChars="0"/>
        <w:outlineLvl w:val="3"/>
        <w:rPr>
          <w:rFonts w:hint="eastAsia"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动态调整机制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应每3个月核算线路投诉数量与车公里人次数，线路平均单月运营类投诉数量超过3件或车公里人次数&lt;1时，应及时调整运营线路。</w:t>
      </w:r>
    </w:p>
    <w:p>
      <w:pPr>
        <w:pStyle w:val="16"/>
        <w:numPr>
          <w:ilvl w:val="0"/>
          <w:numId w:val="9"/>
        </w:numPr>
        <w:snapToGrid w:val="0"/>
        <w:spacing w:before="156" w:beforeLines="50" w:after="156" w:afterLines="50"/>
        <w:ind w:left="0" w:firstLine="0" w:firstLineChars="0"/>
        <w:outlineLvl w:val="3"/>
        <w:rPr>
          <w:rFonts w:hint="eastAsia"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路号规则</w:t>
      </w:r>
    </w:p>
    <w:p>
      <w:pPr>
        <w:pStyle w:val="16"/>
        <w:numPr>
          <w:ilvl w:val="0"/>
          <w:numId w:val="11"/>
        </w:numPr>
        <w:ind w:left="0"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使用3开头的四位数字，</w:t>
      </w:r>
      <w:r>
        <w:rPr>
          <w:rFonts w:hint="eastAsia" w:ascii="Times New Roman" w:hAnsi="Times New Roman" w:eastAsia="宋体" w:cs="Times New Roman"/>
          <w:szCs w:val="21"/>
        </w:rPr>
        <w:t>前2位数字可根据运营模式、行政区域等统一编号</w:t>
      </w:r>
      <w:r>
        <w:rPr>
          <w:rFonts w:ascii="Times New Roman" w:hAnsi="Times New Roman" w:eastAsia="宋体" w:cs="Times New Roman"/>
          <w:szCs w:val="21"/>
        </w:rPr>
        <w:t>。</w:t>
      </w:r>
    </w:p>
    <w:p>
      <w:pPr>
        <w:pStyle w:val="16"/>
        <w:numPr>
          <w:ilvl w:val="0"/>
          <w:numId w:val="11"/>
        </w:numPr>
        <w:ind w:left="0" w:firstLine="420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szCs w:val="21"/>
        </w:rPr>
        <w:t>定线定</w:t>
      </w:r>
      <w:r>
        <w:rPr>
          <w:rFonts w:hint="eastAsia" w:ascii="Times New Roman" w:hAnsi="Times New Roman" w:eastAsia="宋体" w:cs="Times New Roman"/>
          <w:szCs w:val="21"/>
        </w:rPr>
        <w:t>点</w:t>
      </w:r>
      <w:r>
        <w:rPr>
          <w:rFonts w:ascii="Times New Roman" w:hAnsi="Times New Roman" w:eastAsia="宋体" w:cs="Times New Roman"/>
          <w:szCs w:val="21"/>
        </w:rPr>
        <w:t>运营模式下，</w:t>
      </w:r>
      <w:r>
        <w:rPr>
          <w:rFonts w:hint="eastAsia" w:ascii="Times New Roman" w:hAnsi="Times New Roman" w:eastAsia="宋体" w:cs="Times New Roman"/>
          <w:szCs w:val="21"/>
        </w:rPr>
        <w:t>根据不同线路所属行政区域，使用3</w:t>
      </w:r>
      <w:r>
        <w:rPr>
          <w:rFonts w:ascii="Times New Roman" w:hAnsi="Times New Roman" w:eastAsia="宋体" w:cs="Times New Roman"/>
          <w:szCs w:val="21"/>
        </w:rPr>
        <w:t xml:space="preserve">1 </w:t>
      </w:r>
      <w:r>
        <w:rPr>
          <w:rFonts w:hint="eastAsia" w:ascii="Times New Roman" w:hAnsi="Times New Roman" w:eastAsia="宋体" w:cs="Times New Roman"/>
          <w:szCs w:val="21"/>
        </w:rPr>
        <w:t>/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3</w:t>
      </w:r>
      <w:r>
        <w:rPr>
          <w:rFonts w:ascii="Times New Roman" w:hAnsi="Times New Roman" w:eastAsia="宋体" w:cs="Times New Roman"/>
          <w:szCs w:val="21"/>
        </w:rPr>
        <w:t xml:space="preserve">2 </w:t>
      </w:r>
      <w:r>
        <w:rPr>
          <w:rFonts w:hint="eastAsia" w:ascii="Times New Roman" w:hAnsi="Times New Roman" w:eastAsia="宋体" w:cs="Times New Roman"/>
          <w:szCs w:val="21"/>
        </w:rPr>
        <w:t>/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3</w:t>
      </w:r>
      <w:r>
        <w:rPr>
          <w:rFonts w:ascii="Times New Roman" w:hAnsi="Times New Roman" w:eastAsia="宋体" w:cs="Times New Roman"/>
          <w:szCs w:val="21"/>
        </w:rPr>
        <w:t xml:space="preserve">3 </w:t>
      </w:r>
      <w:r>
        <w:rPr>
          <w:rFonts w:hint="eastAsia" w:ascii="Times New Roman" w:hAnsi="Times New Roman" w:eastAsia="宋体" w:cs="Times New Roman"/>
          <w:szCs w:val="21"/>
        </w:rPr>
        <w:t>/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3</w:t>
      </w:r>
      <w:r>
        <w:rPr>
          <w:rFonts w:ascii="Times New Roman" w:hAnsi="Times New Roman" w:eastAsia="宋体" w:cs="Times New Roman"/>
          <w:szCs w:val="21"/>
        </w:rPr>
        <w:t xml:space="preserve">4 </w:t>
      </w:r>
      <w:r>
        <w:rPr>
          <w:rFonts w:hint="eastAsia" w:ascii="Times New Roman" w:hAnsi="Times New Roman" w:eastAsia="宋体" w:cs="Times New Roman"/>
          <w:szCs w:val="21"/>
        </w:rPr>
        <w:t>/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3</w:t>
      </w:r>
      <w:r>
        <w:rPr>
          <w:rFonts w:ascii="Times New Roman" w:hAnsi="Times New Roman" w:eastAsia="宋体" w:cs="Times New Roman"/>
          <w:szCs w:val="21"/>
        </w:rPr>
        <w:t xml:space="preserve">5 </w:t>
      </w:r>
      <w:r>
        <w:rPr>
          <w:rFonts w:hint="eastAsia" w:ascii="Times New Roman" w:hAnsi="Times New Roman" w:eastAsia="宋体" w:cs="Times New Roman"/>
          <w:szCs w:val="21"/>
        </w:rPr>
        <w:t>/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3</w:t>
      </w:r>
      <w:r>
        <w:rPr>
          <w:rFonts w:ascii="Times New Roman" w:hAnsi="Times New Roman" w:eastAsia="宋体" w:cs="Times New Roman"/>
          <w:szCs w:val="21"/>
        </w:rPr>
        <w:t xml:space="preserve">6 </w:t>
      </w:r>
      <w:r>
        <w:rPr>
          <w:rFonts w:hint="eastAsia" w:ascii="Times New Roman" w:hAnsi="Times New Roman" w:eastAsia="宋体" w:cs="Times New Roman"/>
          <w:szCs w:val="21"/>
        </w:rPr>
        <w:t>/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3</w:t>
      </w:r>
      <w:r>
        <w:rPr>
          <w:rFonts w:ascii="Times New Roman" w:hAnsi="Times New Roman" w:eastAsia="宋体" w:cs="Times New Roman"/>
          <w:szCs w:val="21"/>
        </w:rPr>
        <w:t>8</w:t>
      </w:r>
      <w:r>
        <w:rPr>
          <w:rFonts w:hint="eastAsia" w:ascii="Times New Roman" w:hAnsi="Times New Roman" w:eastAsia="宋体" w:cs="Times New Roman"/>
          <w:szCs w:val="21"/>
        </w:rPr>
        <w:t>开头的路号；响应式停靠运营模式下，使用3</w:t>
      </w:r>
      <w:r>
        <w:rPr>
          <w:rFonts w:ascii="Times New Roman" w:hAnsi="Times New Roman" w:eastAsia="宋体" w:cs="Times New Roman"/>
          <w:szCs w:val="21"/>
        </w:rPr>
        <w:t>7</w:t>
      </w:r>
      <w:r>
        <w:rPr>
          <w:rFonts w:hint="eastAsia" w:ascii="Times New Roman" w:hAnsi="Times New Roman" w:eastAsia="宋体" w:cs="Times New Roman"/>
          <w:szCs w:val="21"/>
        </w:rPr>
        <w:t>开头的路号；</w:t>
      </w:r>
      <w:r>
        <w:rPr>
          <w:rFonts w:ascii="Times New Roman" w:hAnsi="Times New Roman" w:eastAsia="宋体" w:cs="Times New Roman"/>
          <w:szCs w:val="21"/>
        </w:rPr>
        <w:t>响应式灵活运营模式下，使用39开头的路号。</w:t>
      </w:r>
    </w:p>
    <w:p>
      <w:pPr>
        <w:snapToGrid w:val="0"/>
        <w:spacing w:before="156" w:beforeLines="50" w:after="156" w:afterLines="50"/>
        <w:outlineLvl w:val="1"/>
        <w:rPr>
          <w:rFonts w:hint="eastAsia"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5.3.3</w:t>
      </w:r>
      <w:r>
        <w:rPr>
          <w:rFonts w:ascii="黑体" w:hAnsi="黑体" w:eastAsia="黑体"/>
          <w:bCs/>
          <w:szCs w:val="21"/>
        </w:rPr>
        <w:t xml:space="preserve"> </w:t>
      </w:r>
      <w:r>
        <w:rPr>
          <w:rFonts w:hint="eastAsia" w:ascii="黑体" w:hAnsi="黑体" w:eastAsia="黑体"/>
          <w:bCs/>
          <w:szCs w:val="21"/>
        </w:rPr>
        <w:t>服务类指标</w:t>
      </w:r>
    </w:p>
    <w:p>
      <w:pPr>
        <w:pStyle w:val="16"/>
        <w:numPr>
          <w:ilvl w:val="0"/>
          <w:numId w:val="12"/>
        </w:numPr>
        <w:snapToGrid w:val="0"/>
        <w:spacing w:before="156" w:beforeLines="50" w:after="156" w:afterLines="50"/>
        <w:ind w:left="0" w:firstLine="0" w:firstLineChars="0"/>
        <w:outlineLvl w:val="3"/>
        <w:rPr>
          <w:rFonts w:hint="eastAsia"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乘客建议率</w:t>
      </w:r>
    </w:p>
    <w:p>
      <w:pPr>
        <w:ind w:firstLine="420" w:firstLineChars="20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应≤</w:t>
      </w:r>
      <w:r>
        <w:rPr>
          <w:rFonts w:ascii="Times New Roman" w:hAnsi="Times New Roman" w:eastAsia="宋体" w:cs="Times New Roman"/>
          <w:szCs w:val="21"/>
        </w:rPr>
        <w:t>8件/百万人次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pStyle w:val="16"/>
        <w:numPr>
          <w:ilvl w:val="0"/>
          <w:numId w:val="12"/>
        </w:numPr>
        <w:snapToGrid w:val="0"/>
        <w:spacing w:before="156" w:beforeLines="50" w:after="156" w:afterLines="50"/>
        <w:ind w:left="0" w:firstLine="0" w:firstLineChars="0"/>
        <w:outlineLvl w:val="3"/>
        <w:rPr>
          <w:rFonts w:hint="eastAsia"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乘客投诉率</w:t>
      </w:r>
    </w:p>
    <w:p>
      <w:pPr>
        <w:ind w:firstLine="420" w:firstLineChars="20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应≤</w:t>
      </w:r>
      <w:r>
        <w:rPr>
          <w:rFonts w:ascii="Times New Roman" w:hAnsi="Times New Roman" w:eastAsia="宋体" w:cs="Times New Roman"/>
          <w:szCs w:val="21"/>
        </w:rPr>
        <w:t>7.5件/百万人次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pStyle w:val="16"/>
        <w:numPr>
          <w:ilvl w:val="0"/>
          <w:numId w:val="12"/>
        </w:numPr>
        <w:snapToGrid w:val="0"/>
        <w:spacing w:before="156" w:beforeLines="50" w:after="156" w:afterLines="50"/>
        <w:ind w:left="0" w:firstLine="0" w:firstLineChars="0"/>
        <w:outlineLvl w:val="3"/>
        <w:rPr>
          <w:rFonts w:hint="eastAsia"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投诉按时回复率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应达到100%。</w:t>
      </w:r>
    </w:p>
    <w:p>
      <w:pPr>
        <w:pStyle w:val="16"/>
        <w:numPr>
          <w:ilvl w:val="0"/>
          <w:numId w:val="12"/>
        </w:numPr>
        <w:snapToGrid w:val="0"/>
        <w:spacing w:before="156" w:beforeLines="50" w:after="156" w:afterLines="50"/>
        <w:ind w:left="0" w:firstLine="0" w:firstLineChars="0"/>
        <w:outlineLvl w:val="3"/>
        <w:rPr>
          <w:rFonts w:hint="eastAsia"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投诉按时办结率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应达到100%。</w:t>
      </w:r>
    </w:p>
    <w:p>
      <w:pPr>
        <w:pStyle w:val="16"/>
        <w:numPr>
          <w:ilvl w:val="0"/>
          <w:numId w:val="12"/>
        </w:numPr>
        <w:snapToGrid w:val="0"/>
        <w:spacing w:before="156" w:beforeLines="50" w:after="156" w:afterLines="50"/>
        <w:ind w:left="0" w:firstLine="0" w:firstLineChars="0"/>
        <w:outlineLvl w:val="3"/>
        <w:rPr>
          <w:rFonts w:hint="eastAsia"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投诉回复满意率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bookmarkStart w:id="9" w:name="_Hlk175780704"/>
      <w:r>
        <w:rPr>
          <w:rFonts w:hint="eastAsia" w:ascii="Times New Roman" w:hAnsi="Times New Roman" w:eastAsia="宋体" w:cs="Times New Roman"/>
          <w:szCs w:val="21"/>
        </w:rPr>
        <w:t>应达到100%。</w:t>
      </w:r>
    </w:p>
    <w:bookmarkEnd w:id="9"/>
    <w:p>
      <w:pPr>
        <w:pStyle w:val="16"/>
        <w:numPr>
          <w:ilvl w:val="0"/>
          <w:numId w:val="12"/>
        </w:numPr>
        <w:snapToGrid w:val="0"/>
        <w:spacing w:before="156" w:beforeLines="50" w:after="156" w:afterLines="50"/>
        <w:ind w:left="0" w:firstLine="0" w:firstLineChars="0"/>
        <w:outlineLvl w:val="3"/>
        <w:rPr>
          <w:rFonts w:hint="eastAsia"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司乘人员服务规范</w:t>
      </w:r>
    </w:p>
    <w:p>
      <w:pPr>
        <w:pStyle w:val="16"/>
        <w:numPr>
          <w:ilvl w:val="0"/>
          <w:numId w:val="13"/>
        </w:numPr>
        <w:ind w:left="630" w:leftChars="200" w:hanging="210" w:hanging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驾驶员应熟识道路条件及日常路况，并规范驾驶行为。</w:t>
      </w:r>
    </w:p>
    <w:p>
      <w:pPr>
        <w:pStyle w:val="16"/>
        <w:numPr>
          <w:ilvl w:val="0"/>
          <w:numId w:val="13"/>
        </w:numPr>
        <w:ind w:left="0" w:firstLine="42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司乘人员应进行月度培训，除常规培训内容外，加强对特殊道路规范驾驶行为，突发情况应急处理，以及敬老爱老专项服务培训。</w:t>
      </w:r>
    </w:p>
    <w:p>
      <w:pPr>
        <w:pStyle w:val="16"/>
        <w:numPr>
          <w:ilvl w:val="0"/>
          <w:numId w:val="12"/>
        </w:numPr>
        <w:snapToGrid w:val="0"/>
        <w:spacing w:before="156" w:beforeLines="50" w:after="156" w:afterLines="50"/>
        <w:ind w:left="0" w:firstLine="0" w:firstLineChars="0"/>
        <w:outlineLvl w:val="3"/>
        <w:rPr>
          <w:rFonts w:hint="eastAsia"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车容车貌</w:t>
      </w:r>
    </w:p>
    <w:p>
      <w:pPr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响应式公交应有独特标识，并将完整标识用于车身、玻璃；简化标识用于站牌站点；图形标识用于按钮及更小的应用环境。</w:t>
      </w:r>
    </w:p>
    <w:p>
      <w:pPr>
        <w:snapToGrid w:val="0"/>
        <w:spacing w:before="156" w:beforeLines="50" w:after="156" w:afterLines="50"/>
        <w:outlineLvl w:val="1"/>
        <w:rPr>
          <w:rFonts w:hint="eastAsia"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5.3.4</w:t>
      </w:r>
      <w:r>
        <w:rPr>
          <w:rFonts w:ascii="黑体" w:hAnsi="黑体" w:eastAsia="黑体"/>
          <w:bCs/>
          <w:szCs w:val="21"/>
        </w:rPr>
        <w:t xml:space="preserve"> </w:t>
      </w:r>
      <w:r>
        <w:rPr>
          <w:rFonts w:hint="eastAsia" w:ascii="黑体" w:hAnsi="黑体" w:eastAsia="黑体"/>
          <w:bCs/>
          <w:szCs w:val="21"/>
        </w:rPr>
        <w:t>安全类指标</w:t>
      </w:r>
    </w:p>
    <w:p>
      <w:pPr>
        <w:pStyle w:val="16"/>
        <w:numPr>
          <w:ilvl w:val="0"/>
          <w:numId w:val="14"/>
        </w:numPr>
        <w:snapToGrid w:val="0"/>
        <w:spacing w:before="156" w:beforeLines="50" w:after="156" w:afterLines="50"/>
        <w:ind w:left="442" w:hanging="442" w:firstLineChars="0"/>
        <w:outlineLvl w:val="3"/>
        <w:rPr>
          <w:rFonts w:hint="eastAsia"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每月道路交通运输违法（章）率</w:t>
      </w:r>
    </w:p>
    <w:p>
      <w:pPr>
        <w:ind w:firstLine="420" w:firstLineChars="20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应≤0.01件/辆。</w:t>
      </w:r>
    </w:p>
    <w:p>
      <w:pPr>
        <w:pStyle w:val="16"/>
        <w:numPr>
          <w:ilvl w:val="0"/>
          <w:numId w:val="14"/>
        </w:numPr>
        <w:snapToGrid w:val="0"/>
        <w:spacing w:before="156" w:beforeLines="50" w:after="156" w:afterLines="50"/>
        <w:ind w:left="442" w:hanging="442" w:firstLineChars="0"/>
        <w:outlineLvl w:val="3"/>
        <w:rPr>
          <w:rFonts w:hint="eastAsia"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公共汽电车责任事故率</w:t>
      </w:r>
    </w:p>
    <w:p>
      <w:pPr>
        <w:ind w:firstLine="420" w:firstLineChars="20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应≤0.6件/百万公里。</w:t>
      </w:r>
    </w:p>
    <w:p>
      <w:pPr>
        <w:pStyle w:val="16"/>
        <w:numPr>
          <w:ilvl w:val="0"/>
          <w:numId w:val="14"/>
        </w:numPr>
        <w:snapToGrid w:val="0"/>
        <w:spacing w:before="156" w:beforeLines="50" w:after="156" w:afterLines="50"/>
        <w:ind w:left="442" w:hanging="442" w:firstLineChars="0"/>
        <w:outlineLvl w:val="3"/>
        <w:rPr>
          <w:rFonts w:hint="eastAsia"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车辆周检合格率</w:t>
      </w:r>
    </w:p>
    <w:p>
      <w:pPr>
        <w:ind w:firstLine="420" w:firstLineChars="20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应≥</w:t>
      </w:r>
      <w:r>
        <w:rPr>
          <w:rFonts w:ascii="Times New Roman" w:hAnsi="Times New Roman" w:eastAsia="宋体" w:cs="Times New Roman"/>
          <w:szCs w:val="21"/>
        </w:rPr>
        <w:t>98%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 w:cs="Times New Roman"/>
      </w:rPr>
    </w:pPr>
  </w:p>
  <w:p>
    <w:pPr>
      <w:pStyle w:val="7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99139764"/>
    </w:sdtPr>
    <w:sdtEndPr>
      <w:rPr>
        <w:rFonts w:ascii="Times New Roman" w:hAnsi="Times New Roman" w:cs="Times New Roman"/>
      </w:rPr>
    </w:sdtEndPr>
    <w:sdtContent>
      <w:p>
        <w:pPr>
          <w:pStyle w:val="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7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3496878"/>
    </w:sdtPr>
    <w:sdtEndPr>
      <w:rPr>
        <w:rFonts w:ascii="Times New Roman" w:hAnsi="Times New Roman" w:cs="Times New Roman"/>
      </w:rPr>
    </w:sdtEndPr>
    <w:sdtContent>
      <w:p>
        <w:pPr>
          <w:pStyle w:val="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7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6EF"/>
    <w:multiLevelType w:val="multilevel"/>
    <w:tmpl w:val="015126EF"/>
    <w:lvl w:ilvl="0" w:tentative="0">
      <w:start w:val="1"/>
      <w:numFmt w:val="lowerLetter"/>
      <w:suff w:val="space"/>
      <w:lvlText w:val="%1)"/>
      <w:lvlJc w:val="left"/>
      <w:pPr>
        <w:ind w:left="6239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6657" w:hanging="420"/>
      </w:pPr>
    </w:lvl>
    <w:lvl w:ilvl="2" w:tentative="0">
      <w:start w:val="1"/>
      <w:numFmt w:val="lowerRoman"/>
      <w:lvlText w:val="%3."/>
      <w:lvlJc w:val="right"/>
      <w:pPr>
        <w:ind w:left="7077" w:hanging="420"/>
      </w:pPr>
    </w:lvl>
    <w:lvl w:ilvl="3" w:tentative="0">
      <w:start w:val="1"/>
      <w:numFmt w:val="decimal"/>
      <w:lvlText w:val="%4."/>
      <w:lvlJc w:val="left"/>
      <w:pPr>
        <w:ind w:left="7497" w:hanging="420"/>
      </w:pPr>
    </w:lvl>
    <w:lvl w:ilvl="4" w:tentative="0">
      <w:start w:val="1"/>
      <w:numFmt w:val="lowerLetter"/>
      <w:lvlText w:val="%5)"/>
      <w:lvlJc w:val="left"/>
      <w:pPr>
        <w:ind w:left="7917" w:hanging="420"/>
      </w:pPr>
    </w:lvl>
    <w:lvl w:ilvl="5" w:tentative="0">
      <w:start w:val="1"/>
      <w:numFmt w:val="lowerRoman"/>
      <w:lvlText w:val="%6."/>
      <w:lvlJc w:val="right"/>
      <w:pPr>
        <w:ind w:left="8337" w:hanging="420"/>
      </w:pPr>
    </w:lvl>
    <w:lvl w:ilvl="6" w:tentative="0">
      <w:start w:val="1"/>
      <w:numFmt w:val="decimal"/>
      <w:lvlText w:val="%7."/>
      <w:lvlJc w:val="left"/>
      <w:pPr>
        <w:ind w:left="8757" w:hanging="420"/>
      </w:pPr>
    </w:lvl>
    <w:lvl w:ilvl="7" w:tentative="0">
      <w:start w:val="1"/>
      <w:numFmt w:val="lowerLetter"/>
      <w:lvlText w:val="%8)"/>
      <w:lvlJc w:val="left"/>
      <w:pPr>
        <w:ind w:left="9177" w:hanging="420"/>
      </w:pPr>
    </w:lvl>
    <w:lvl w:ilvl="8" w:tentative="0">
      <w:start w:val="1"/>
      <w:numFmt w:val="lowerRoman"/>
      <w:lvlText w:val="%9."/>
      <w:lvlJc w:val="right"/>
      <w:pPr>
        <w:ind w:left="9597" w:hanging="420"/>
      </w:pPr>
    </w:lvl>
  </w:abstractNum>
  <w:abstractNum w:abstractNumId="1">
    <w:nsid w:val="038E122B"/>
    <w:multiLevelType w:val="multilevel"/>
    <w:tmpl w:val="038E122B"/>
    <w:lvl w:ilvl="0" w:tentative="0">
      <w:start w:val="1"/>
      <w:numFmt w:val="lowerLetter"/>
      <w:suff w:val="space"/>
      <w:lvlText w:val="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F4667B0"/>
    <w:multiLevelType w:val="multilevel"/>
    <w:tmpl w:val="1F4667B0"/>
    <w:lvl w:ilvl="0" w:tentative="0">
      <w:start w:val="1"/>
      <w:numFmt w:val="decimal"/>
      <w:suff w:val="space"/>
      <w:lvlText w:val="5.3.1.7.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09D4C30"/>
    <w:multiLevelType w:val="multilevel"/>
    <w:tmpl w:val="209D4C30"/>
    <w:lvl w:ilvl="0" w:tentative="0">
      <w:start w:val="1"/>
      <w:numFmt w:val="lowerLetter"/>
      <w:suff w:val="space"/>
      <w:lvlText w:val="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0E47844"/>
    <w:multiLevelType w:val="multilevel"/>
    <w:tmpl w:val="20E47844"/>
    <w:lvl w:ilvl="0" w:tentative="0">
      <w:start w:val="1"/>
      <w:numFmt w:val="decimal"/>
      <w:lvlText w:val="5.%1"/>
      <w:lvlJc w:val="left"/>
      <w:pPr>
        <w:ind w:left="420" w:hanging="420"/>
      </w:pPr>
      <w:rPr>
        <w:rFonts w:hint="eastAsia" w:ascii="黑体" w:hAnsi="黑体" w:eastAsia="黑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4416DB4"/>
    <w:multiLevelType w:val="multilevel"/>
    <w:tmpl w:val="34416DB4"/>
    <w:lvl w:ilvl="0" w:tentative="0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3.%3"/>
      <w:lvlJc w:val="left"/>
      <w:pPr>
        <w:ind w:left="1260" w:hanging="420"/>
      </w:pPr>
      <w:rPr>
        <w:rFonts w:hint="eastAsia" w:ascii="黑体" w:hAnsi="黑体" w:eastAsia="黑体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EB590A"/>
    <w:multiLevelType w:val="multilevel"/>
    <w:tmpl w:val="38EB590A"/>
    <w:lvl w:ilvl="0" w:tentative="0">
      <w:start w:val="1"/>
      <w:numFmt w:val="decimal"/>
      <w:suff w:val="space"/>
      <w:lvlText w:val="5.3.3.%1"/>
      <w:lvlJc w:val="left"/>
      <w:pPr>
        <w:ind w:left="982" w:hanging="420"/>
      </w:pPr>
      <w:rPr>
        <w:rFonts w:hint="eastAsia" w:ascii="黑体" w:hAnsi="黑体" w:eastAsia="黑体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7">
    <w:nsid w:val="39717355"/>
    <w:multiLevelType w:val="multilevel"/>
    <w:tmpl w:val="39717355"/>
    <w:lvl w:ilvl="0" w:tentative="0">
      <w:start w:val="1"/>
      <w:numFmt w:val="decimal"/>
      <w:lvlText w:val="4.1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suff w:val="space"/>
      <w:lvlText w:val="5.3.1.%3"/>
      <w:lvlJc w:val="left"/>
      <w:pPr>
        <w:ind w:left="1260" w:hanging="420"/>
      </w:pPr>
      <w:rPr>
        <w:rFonts w:hint="eastAsia" w:ascii="黑体" w:hAnsi="黑体" w:eastAsia="黑体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DE36270"/>
    <w:multiLevelType w:val="multilevel"/>
    <w:tmpl w:val="3DE36270"/>
    <w:lvl w:ilvl="0" w:tentative="0">
      <w:start w:val="1"/>
      <w:numFmt w:val="decimal"/>
      <w:lvlText w:val="5.3.4.%1"/>
      <w:lvlJc w:val="left"/>
      <w:pPr>
        <w:ind w:left="440" w:hanging="440"/>
      </w:pPr>
      <w:rPr>
        <w:rFonts w:hint="eastAsia" w:ascii="黑体" w:hAnsi="黑体" w:eastAsia="黑体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6698115C"/>
    <w:multiLevelType w:val="multilevel"/>
    <w:tmpl w:val="6698115C"/>
    <w:lvl w:ilvl="0" w:tentative="0">
      <w:start w:val="1"/>
      <w:numFmt w:val="lowerLetter"/>
      <w:suff w:val="space"/>
      <w:lvlText w:val="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F126256"/>
    <w:multiLevelType w:val="multilevel"/>
    <w:tmpl w:val="6F126256"/>
    <w:lvl w:ilvl="0" w:tentative="0">
      <w:start w:val="1"/>
      <w:numFmt w:val="decimal"/>
      <w:lvlText w:val="4.%1"/>
      <w:lvlJc w:val="left"/>
      <w:pPr>
        <w:ind w:left="982" w:hanging="420"/>
      </w:pPr>
      <w:rPr>
        <w:rFonts w:hint="eastAsia" w:ascii="黑体" w:hAnsi="黑体" w:eastAsia="黑体"/>
        <w:sz w:val="21"/>
        <w:szCs w:val="18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11">
    <w:nsid w:val="787B496A"/>
    <w:multiLevelType w:val="multilevel"/>
    <w:tmpl w:val="787B496A"/>
    <w:lvl w:ilvl="0" w:tentative="0">
      <w:start w:val="1"/>
      <w:numFmt w:val="lowerLetter"/>
      <w:suff w:val="space"/>
      <w:lvlText w:val="%1)"/>
      <w:lvlJc w:val="left"/>
      <w:pPr>
        <w:ind w:left="98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7BA41D05"/>
    <w:multiLevelType w:val="multilevel"/>
    <w:tmpl w:val="7BA41D05"/>
    <w:lvl w:ilvl="0" w:tentative="0">
      <w:start w:val="1"/>
      <w:numFmt w:val="decimal"/>
      <w:suff w:val="space"/>
      <w:lvlText w:val="5.3.2.%1"/>
      <w:lvlJc w:val="left"/>
      <w:pPr>
        <w:ind w:left="982" w:hanging="420"/>
      </w:pPr>
      <w:rPr>
        <w:rFonts w:hint="eastAsia" w:ascii="黑体" w:hAnsi="黑体" w:eastAsia="黑体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13">
    <w:nsid w:val="7ED1767A"/>
    <w:multiLevelType w:val="multilevel"/>
    <w:tmpl w:val="7ED1767A"/>
    <w:lvl w:ilvl="0" w:tentative="0">
      <w:start w:val="1"/>
      <w:numFmt w:val="lowerLetter"/>
      <w:suff w:val="space"/>
      <w:lvlText w:val="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7"/>
  </w:num>
  <w:num w:numId="5">
    <w:abstractNumId w:val="13"/>
  </w:num>
  <w:num w:numId="6">
    <w:abstractNumId w:val="3"/>
  </w:num>
  <w:num w:numId="7">
    <w:abstractNumId w:val="2"/>
  </w:num>
  <w:num w:numId="8">
    <w:abstractNumId w:val="1"/>
  </w:num>
  <w:num w:numId="9">
    <w:abstractNumId w:val="12"/>
  </w:num>
  <w:num w:numId="10">
    <w:abstractNumId w:val="11"/>
  </w:num>
  <w:num w:numId="11">
    <w:abstractNumId w:val="0"/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2NLM0MLQ0MjY0MDBU0lEKTi0uzszPAykwMqkFAAXaJYQtAAAA"/>
    <w:docVar w:name="commondata" w:val="eyJoZGlkIjoiYjIyNzQxMTUxNzc1ZGUzZTM4NDQ0N2MzNzM3OTdmYzEifQ=="/>
  </w:docVars>
  <w:rsids>
    <w:rsidRoot w:val="002926A6"/>
    <w:rsid w:val="00001174"/>
    <w:rsid w:val="00004E5C"/>
    <w:rsid w:val="0001036A"/>
    <w:rsid w:val="000103AC"/>
    <w:rsid w:val="000134A3"/>
    <w:rsid w:val="00021D27"/>
    <w:rsid w:val="000332E4"/>
    <w:rsid w:val="00050406"/>
    <w:rsid w:val="000520B0"/>
    <w:rsid w:val="00052D2C"/>
    <w:rsid w:val="000536E0"/>
    <w:rsid w:val="00056CD7"/>
    <w:rsid w:val="00060545"/>
    <w:rsid w:val="00076BDD"/>
    <w:rsid w:val="000837C3"/>
    <w:rsid w:val="00084416"/>
    <w:rsid w:val="00091A1B"/>
    <w:rsid w:val="000920A2"/>
    <w:rsid w:val="000A1F63"/>
    <w:rsid w:val="000A6E3E"/>
    <w:rsid w:val="000B7183"/>
    <w:rsid w:val="000D2784"/>
    <w:rsid w:val="000D30CA"/>
    <w:rsid w:val="000E3D50"/>
    <w:rsid w:val="000E719A"/>
    <w:rsid w:val="000E7E12"/>
    <w:rsid w:val="000E7EA4"/>
    <w:rsid w:val="000F46CF"/>
    <w:rsid w:val="000F52B9"/>
    <w:rsid w:val="000F7B62"/>
    <w:rsid w:val="000F7DA2"/>
    <w:rsid w:val="00112922"/>
    <w:rsid w:val="00115021"/>
    <w:rsid w:val="00115F8B"/>
    <w:rsid w:val="00125AA9"/>
    <w:rsid w:val="0013477A"/>
    <w:rsid w:val="00135108"/>
    <w:rsid w:val="0013554C"/>
    <w:rsid w:val="001423E4"/>
    <w:rsid w:val="001459C8"/>
    <w:rsid w:val="0015703A"/>
    <w:rsid w:val="00162564"/>
    <w:rsid w:val="0016567C"/>
    <w:rsid w:val="00172B4A"/>
    <w:rsid w:val="001754A8"/>
    <w:rsid w:val="00180A81"/>
    <w:rsid w:val="00182513"/>
    <w:rsid w:val="00184B41"/>
    <w:rsid w:val="00185A54"/>
    <w:rsid w:val="001967B3"/>
    <w:rsid w:val="001A258F"/>
    <w:rsid w:val="001A2B18"/>
    <w:rsid w:val="001A7A59"/>
    <w:rsid w:val="001B15DD"/>
    <w:rsid w:val="001B637A"/>
    <w:rsid w:val="001B6EE0"/>
    <w:rsid w:val="001C1641"/>
    <w:rsid w:val="001C5E57"/>
    <w:rsid w:val="001D0E38"/>
    <w:rsid w:val="001D5A7D"/>
    <w:rsid w:val="001E1DB6"/>
    <w:rsid w:val="001E56DB"/>
    <w:rsid w:val="001F5450"/>
    <w:rsid w:val="001F5D2E"/>
    <w:rsid w:val="001F6962"/>
    <w:rsid w:val="00202674"/>
    <w:rsid w:val="002059E6"/>
    <w:rsid w:val="00206FF2"/>
    <w:rsid w:val="00214DCA"/>
    <w:rsid w:val="00217C40"/>
    <w:rsid w:val="00223008"/>
    <w:rsid w:val="00226869"/>
    <w:rsid w:val="00237591"/>
    <w:rsid w:val="002457A9"/>
    <w:rsid w:val="002553C4"/>
    <w:rsid w:val="002646DB"/>
    <w:rsid w:val="002728B0"/>
    <w:rsid w:val="00272FE0"/>
    <w:rsid w:val="002857EA"/>
    <w:rsid w:val="002870D3"/>
    <w:rsid w:val="002926A6"/>
    <w:rsid w:val="00293677"/>
    <w:rsid w:val="002A0CC8"/>
    <w:rsid w:val="002B0CBB"/>
    <w:rsid w:val="002B4107"/>
    <w:rsid w:val="002C0C5A"/>
    <w:rsid w:val="002C4726"/>
    <w:rsid w:val="002E6514"/>
    <w:rsid w:val="002E73F1"/>
    <w:rsid w:val="002E7B92"/>
    <w:rsid w:val="002F104D"/>
    <w:rsid w:val="002F12F3"/>
    <w:rsid w:val="002F2D8B"/>
    <w:rsid w:val="002F5E9B"/>
    <w:rsid w:val="0030066D"/>
    <w:rsid w:val="00304B20"/>
    <w:rsid w:val="00312270"/>
    <w:rsid w:val="003177D0"/>
    <w:rsid w:val="00320780"/>
    <w:rsid w:val="0032437C"/>
    <w:rsid w:val="0032704D"/>
    <w:rsid w:val="003272C9"/>
    <w:rsid w:val="003300E7"/>
    <w:rsid w:val="00331D52"/>
    <w:rsid w:val="00341E4C"/>
    <w:rsid w:val="00361619"/>
    <w:rsid w:val="00380077"/>
    <w:rsid w:val="003927CE"/>
    <w:rsid w:val="00393C58"/>
    <w:rsid w:val="00396436"/>
    <w:rsid w:val="003A163F"/>
    <w:rsid w:val="003A3F6A"/>
    <w:rsid w:val="003B38E7"/>
    <w:rsid w:val="003B3EB8"/>
    <w:rsid w:val="003C028A"/>
    <w:rsid w:val="003C61A3"/>
    <w:rsid w:val="003C6F34"/>
    <w:rsid w:val="003D064D"/>
    <w:rsid w:val="003E6007"/>
    <w:rsid w:val="003E7341"/>
    <w:rsid w:val="003F12CF"/>
    <w:rsid w:val="003F27A6"/>
    <w:rsid w:val="003F4A28"/>
    <w:rsid w:val="003F75EC"/>
    <w:rsid w:val="00403E68"/>
    <w:rsid w:val="00404BE7"/>
    <w:rsid w:val="0040647F"/>
    <w:rsid w:val="004065E0"/>
    <w:rsid w:val="0041264E"/>
    <w:rsid w:val="00415A10"/>
    <w:rsid w:val="00416FD8"/>
    <w:rsid w:val="00422846"/>
    <w:rsid w:val="00425A77"/>
    <w:rsid w:val="00430033"/>
    <w:rsid w:val="00430464"/>
    <w:rsid w:val="00437BCA"/>
    <w:rsid w:val="00444D35"/>
    <w:rsid w:val="00450C0C"/>
    <w:rsid w:val="00450CC0"/>
    <w:rsid w:val="00451FC7"/>
    <w:rsid w:val="00453458"/>
    <w:rsid w:val="00457BFF"/>
    <w:rsid w:val="00465066"/>
    <w:rsid w:val="0046658A"/>
    <w:rsid w:val="00472865"/>
    <w:rsid w:val="00476A59"/>
    <w:rsid w:val="00481DA4"/>
    <w:rsid w:val="00482695"/>
    <w:rsid w:val="00485782"/>
    <w:rsid w:val="004946F9"/>
    <w:rsid w:val="00495528"/>
    <w:rsid w:val="004A412C"/>
    <w:rsid w:val="004B6C06"/>
    <w:rsid w:val="004C3054"/>
    <w:rsid w:val="004C338E"/>
    <w:rsid w:val="004C3D55"/>
    <w:rsid w:val="004D3454"/>
    <w:rsid w:val="004D4C66"/>
    <w:rsid w:val="004E32BC"/>
    <w:rsid w:val="00501B21"/>
    <w:rsid w:val="00502F33"/>
    <w:rsid w:val="00525FA9"/>
    <w:rsid w:val="00534DCC"/>
    <w:rsid w:val="00534DE1"/>
    <w:rsid w:val="00542781"/>
    <w:rsid w:val="00543C9B"/>
    <w:rsid w:val="00546302"/>
    <w:rsid w:val="00554780"/>
    <w:rsid w:val="005752C0"/>
    <w:rsid w:val="005820D9"/>
    <w:rsid w:val="00587C9B"/>
    <w:rsid w:val="00593F1B"/>
    <w:rsid w:val="00596FB7"/>
    <w:rsid w:val="005A292E"/>
    <w:rsid w:val="005A366C"/>
    <w:rsid w:val="005A6E9D"/>
    <w:rsid w:val="005A6ED5"/>
    <w:rsid w:val="005B2A4C"/>
    <w:rsid w:val="005C4161"/>
    <w:rsid w:val="005D151B"/>
    <w:rsid w:val="005E1A5E"/>
    <w:rsid w:val="005E22CD"/>
    <w:rsid w:val="005E2353"/>
    <w:rsid w:val="005E7CD1"/>
    <w:rsid w:val="005F2ED2"/>
    <w:rsid w:val="005F5481"/>
    <w:rsid w:val="005F772E"/>
    <w:rsid w:val="00612D89"/>
    <w:rsid w:val="0062394B"/>
    <w:rsid w:val="006329AC"/>
    <w:rsid w:val="00640BAC"/>
    <w:rsid w:val="00646450"/>
    <w:rsid w:val="006508A7"/>
    <w:rsid w:val="0065118E"/>
    <w:rsid w:val="00654EFB"/>
    <w:rsid w:val="00655FB4"/>
    <w:rsid w:val="00662E47"/>
    <w:rsid w:val="00663CDE"/>
    <w:rsid w:val="00683D95"/>
    <w:rsid w:val="00687914"/>
    <w:rsid w:val="0069347A"/>
    <w:rsid w:val="006939E2"/>
    <w:rsid w:val="00695059"/>
    <w:rsid w:val="00695062"/>
    <w:rsid w:val="00695E3A"/>
    <w:rsid w:val="00695F61"/>
    <w:rsid w:val="006A0F27"/>
    <w:rsid w:val="006A5D67"/>
    <w:rsid w:val="006B1699"/>
    <w:rsid w:val="006B59CA"/>
    <w:rsid w:val="006B6EA7"/>
    <w:rsid w:val="006D42D0"/>
    <w:rsid w:val="006D6F9B"/>
    <w:rsid w:val="006E2046"/>
    <w:rsid w:val="006E3BED"/>
    <w:rsid w:val="007027D1"/>
    <w:rsid w:val="00702F1C"/>
    <w:rsid w:val="0070791E"/>
    <w:rsid w:val="00715427"/>
    <w:rsid w:val="007179BF"/>
    <w:rsid w:val="00724267"/>
    <w:rsid w:val="007334C9"/>
    <w:rsid w:val="00737BE3"/>
    <w:rsid w:val="00737FFB"/>
    <w:rsid w:val="00746384"/>
    <w:rsid w:val="007722A2"/>
    <w:rsid w:val="007825A6"/>
    <w:rsid w:val="00785F10"/>
    <w:rsid w:val="00795B1D"/>
    <w:rsid w:val="007A1FF6"/>
    <w:rsid w:val="007A3D67"/>
    <w:rsid w:val="007B1498"/>
    <w:rsid w:val="007C40A7"/>
    <w:rsid w:val="007C6006"/>
    <w:rsid w:val="007D178B"/>
    <w:rsid w:val="007D57CA"/>
    <w:rsid w:val="00807054"/>
    <w:rsid w:val="008104F3"/>
    <w:rsid w:val="0081054E"/>
    <w:rsid w:val="008109AF"/>
    <w:rsid w:val="008141A3"/>
    <w:rsid w:val="00825B3C"/>
    <w:rsid w:val="00825E11"/>
    <w:rsid w:val="0083392A"/>
    <w:rsid w:val="00837316"/>
    <w:rsid w:val="008443DF"/>
    <w:rsid w:val="008506D2"/>
    <w:rsid w:val="0085102D"/>
    <w:rsid w:val="00851DD6"/>
    <w:rsid w:val="008603AF"/>
    <w:rsid w:val="0086739A"/>
    <w:rsid w:val="0087206A"/>
    <w:rsid w:val="00886D4D"/>
    <w:rsid w:val="008905F7"/>
    <w:rsid w:val="008923DA"/>
    <w:rsid w:val="008C307A"/>
    <w:rsid w:val="008C3EA3"/>
    <w:rsid w:val="008C7F73"/>
    <w:rsid w:val="008D02DC"/>
    <w:rsid w:val="008D19BA"/>
    <w:rsid w:val="008E396D"/>
    <w:rsid w:val="008F1BAF"/>
    <w:rsid w:val="008F44DA"/>
    <w:rsid w:val="00903C69"/>
    <w:rsid w:val="00904D27"/>
    <w:rsid w:val="00907D06"/>
    <w:rsid w:val="009113D9"/>
    <w:rsid w:val="00911A45"/>
    <w:rsid w:val="00923A07"/>
    <w:rsid w:val="00925513"/>
    <w:rsid w:val="0094168C"/>
    <w:rsid w:val="00943B3D"/>
    <w:rsid w:val="00952299"/>
    <w:rsid w:val="009575A5"/>
    <w:rsid w:val="009608D6"/>
    <w:rsid w:val="0097111F"/>
    <w:rsid w:val="009712A8"/>
    <w:rsid w:val="00974A37"/>
    <w:rsid w:val="00981F5E"/>
    <w:rsid w:val="009821BF"/>
    <w:rsid w:val="00986F45"/>
    <w:rsid w:val="00990E33"/>
    <w:rsid w:val="0099423B"/>
    <w:rsid w:val="009961D6"/>
    <w:rsid w:val="00996780"/>
    <w:rsid w:val="009A162E"/>
    <w:rsid w:val="009A2AE6"/>
    <w:rsid w:val="009A4D11"/>
    <w:rsid w:val="009A636D"/>
    <w:rsid w:val="009B5D08"/>
    <w:rsid w:val="009C25AC"/>
    <w:rsid w:val="009E4487"/>
    <w:rsid w:val="009E6A27"/>
    <w:rsid w:val="009F25D6"/>
    <w:rsid w:val="009F3FEB"/>
    <w:rsid w:val="009F644A"/>
    <w:rsid w:val="00A016B5"/>
    <w:rsid w:val="00A16B3C"/>
    <w:rsid w:val="00A17132"/>
    <w:rsid w:val="00A21C28"/>
    <w:rsid w:val="00A22B07"/>
    <w:rsid w:val="00A32B93"/>
    <w:rsid w:val="00A36C89"/>
    <w:rsid w:val="00A47A1E"/>
    <w:rsid w:val="00A50E14"/>
    <w:rsid w:val="00A52510"/>
    <w:rsid w:val="00A53D71"/>
    <w:rsid w:val="00A6051A"/>
    <w:rsid w:val="00A628E3"/>
    <w:rsid w:val="00A62E38"/>
    <w:rsid w:val="00A65CE5"/>
    <w:rsid w:val="00A72E06"/>
    <w:rsid w:val="00A746BC"/>
    <w:rsid w:val="00A8227C"/>
    <w:rsid w:val="00A8491F"/>
    <w:rsid w:val="00A862EA"/>
    <w:rsid w:val="00AB490A"/>
    <w:rsid w:val="00AD1601"/>
    <w:rsid w:val="00AD34A9"/>
    <w:rsid w:val="00AD64F4"/>
    <w:rsid w:val="00AD75A7"/>
    <w:rsid w:val="00AE1C19"/>
    <w:rsid w:val="00AF17B6"/>
    <w:rsid w:val="00AF1949"/>
    <w:rsid w:val="00AF1C94"/>
    <w:rsid w:val="00AF2214"/>
    <w:rsid w:val="00B11141"/>
    <w:rsid w:val="00B13801"/>
    <w:rsid w:val="00B1772F"/>
    <w:rsid w:val="00B2148B"/>
    <w:rsid w:val="00B2367F"/>
    <w:rsid w:val="00B25FFB"/>
    <w:rsid w:val="00B3402D"/>
    <w:rsid w:val="00B3446F"/>
    <w:rsid w:val="00B37A19"/>
    <w:rsid w:val="00B466FC"/>
    <w:rsid w:val="00B527A2"/>
    <w:rsid w:val="00B53A32"/>
    <w:rsid w:val="00B57CC8"/>
    <w:rsid w:val="00B601B5"/>
    <w:rsid w:val="00B74132"/>
    <w:rsid w:val="00B7465A"/>
    <w:rsid w:val="00B74814"/>
    <w:rsid w:val="00B74C17"/>
    <w:rsid w:val="00B7743E"/>
    <w:rsid w:val="00B77F97"/>
    <w:rsid w:val="00B8025D"/>
    <w:rsid w:val="00B814B7"/>
    <w:rsid w:val="00B83F8A"/>
    <w:rsid w:val="00B84116"/>
    <w:rsid w:val="00B84460"/>
    <w:rsid w:val="00B866FE"/>
    <w:rsid w:val="00B91E11"/>
    <w:rsid w:val="00B933DD"/>
    <w:rsid w:val="00BA4775"/>
    <w:rsid w:val="00BB0E9B"/>
    <w:rsid w:val="00BB2136"/>
    <w:rsid w:val="00BB4172"/>
    <w:rsid w:val="00BC6578"/>
    <w:rsid w:val="00BE05BB"/>
    <w:rsid w:val="00BF46F6"/>
    <w:rsid w:val="00C04488"/>
    <w:rsid w:val="00C1109F"/>
    <w:rsid w:val="00C12B5A"/>
    <w:rsid w:val="00C15A13"/>
    <w:rsid w:val="00C20F2B"/>
    <w:rsid w:val="00C21970"/>
    <w:rsid w:val="00C25E4D"/>
    <w:rsid w:val="00C30264"/>
    <w:rsid w:val="00C41620"/>
    <w:rsid w:val="00C41692"/>
    <w:rsid w:val="00C42F73"/>
    <w:rsid w:val="00C441D3"/>
    <w:rsid w:val="00C52A6E"/>
    <w:rsid w:val="00C703A8"/>
    <w:rsid w:val="00C75773"/>
    <w:rsid w:val="00C90067"/>
    <w:rsid w:val="00C91BDA"/>
    <w:rsid w:val="00C97B9B"/>
    <w:rsid w:val="00CA27CC"/>
    <w:rsid w:val="00CB383D"/>
    <w:rsid w:val="00CB3DC1"/>
    <w:rsid w:val="00CB4599"/>
    <w:rsid w:val="00CB695F"/>
    <w:rsid w:val="00CC2608"/>
    <w:rsid w:val="00CC5AF3"/>
    <w:rsid w:val="00CC65A2"/>
    <w:rsid w:val="00CD27E3"/>
    <w:rsid w:val="00CD557D"/>
    <w:rsid w:val="00CE41C6"/>
    <w:rsid w:val="00CE492B"/>
    <w:rsid w:val="00CE611A"/>
    <w:rsid w:val="00D02460"/>
    <w:rsid w:val="00D14CA7"/>
    <w:rsid w:val="00D254E5"/>
    <w:rsid w:val="00D32DD0"/>
    <w:rsid w:val="00D47664"/>
    <w:rsid w:val="00D50214"/>
    <w:rsid w:val="00D55E5E"/>
    <w:rsid w:val="00D574B7"/>
    <w:rsid w:val="00D82143"/>
    <w:rsid w:val="00D834A4"/>
    <w:rsid w:val="00D90CEF"/>
    <w:rsid w:val="00D92214"/>
    <w:rsid w:val="00D95662"/>
    <w:rsid w:val="00DA42E1"/>
    <w:rsid w:val="00DA6D97"/>
    <w:rsid w:val="00DB177C"/>
    <w:rsid w:val="00DC170A"/>
    <w:rsid w:val="00DC4720"/>
    <w:rsid w:val="00DE21A6"/>
    <w:rsid w:val="00DF17FA"/>
    <w:rsid w:val="00E00AE1"/>
    <w:rsid w:val="00E00D22"/>
    <w:rsid w:val="00E0313F"/>
    <w:rsid w:val="00E0584D"/>
    <w:rsid w:val="00E12E42"/>
    <w:rsid w:val="00E17CA0"/>
    <w:rsid w:val="00E20ACC"/>
    <w:rsid w:val="00E247D7"/>
    <w:rsid w:val="00E252E0"/>
    <w:rsid w:val="00E34118"/>
    <w:rsid w:val="00E3522E"/>
    <w:rsid w:val="00E4526A"/>
    <w:rsid w:val="00E51514"/>
    <w:rsid w:val="00E55820"/>
    <w:rsid w:val="00E70F2C"/>
    <w:rsid w:val="00E76C82"/>
    <w:rsid w:val="00E91707"/>
    <w:rsid w:val="00E95F74"/>
    <w:rsid w:val="00E9790F"/>
    <w:rsid w:val="00EA4538"/>
    <w:rsid w:val="00EA6067"/>
    <w:rsid w:val="00EB23E9"/>
    <w:rsid w:val="00EC68E3"/>
    <w:rsid w:val="00ED0ABE"/>
    <w:rsid w:val="00EF02FA"/>
    <w:rsid w:val="00EF0E71"/>
    <w:rsid w:val="00EF24D4"/>
    <w:rsid w:val="00F012B4"/>
    <w:rsid w:val="00F0198F"/>
    <w:rsid w:val="00F0378A"/>
    <w:rsid w:val="00F05B9D"/>
    <w:rsid w:val="00F17E1F"/>
    <w:rsid w:val="00F20359"/>
    <w:rsid w:val="00F205F9"/>
    <w:rsid w:val="00F221EE"/>
    <w:rsid w:val="00F224CE"/>
    <w:rsid w:val="00F4429F"/>
    <w:rsid w:val="00F448C5"/>
    <w:rsid w:val="00F44FD6"/>
    <w:rsid w:val="00F4728F"/>
    <w:rsid w:val="00F524F1"/>
    <w:rsid w:val="00F57C32"/>
    <w:rsid w:val="00F734C5"/>
    <w:rsid w:val="00F744C0"/>
    <w:rsid w:val="00F75138"/>
    <w:rsid w:val="00F7778A"/>
    <w:rsid w:val="00F80FAE"/>
    <w:rsid w:val="00F81376"/>
    <w:rsid w:val="00F834FD"/>
    <w:rsid w:val="00F900F3"/>
    <w:rsid w:val="00F92DD1"/>
    <w:rsid w:val="00FB7CB7"/>
    <w:rsid w:val="00FC1962"/>
    <w:rsid w:val="00FD0285"/>
    <w:rsid w:val="00FD2764"/>
    <w:rsid w:val="00FE0014"/>
    <w:rsid w:val="00FF082B"/>
    <w:rsid w:val="00FF3434"/>
    <w:rsid w:val="00FF7096"/>
    <w:rsid w:val="01B34E22"/>
    <w:rsid w:val="07407CDF"/>
    <w:rsid w:val="078B667B"/>
    <w:rsid w:val="08164FD8"/>
    <w:rsid w:val="092350A1"/>
    <w:rsid w:val="127D3546"/>
    <w:rsid w:val="1404509C"/>
    <w:rsid w:val="1BA25DFD"/>
    <w:rsid w:val="1E63714F"/>
    <w:rsid w:val="20FA4264"/>
    <w:rsid w:val="22F97D63"/>
    <w:rsid w:val="28765DB6"/>
    <w:rsid w:val="2A2C5D54"/>
    <w:rsid w:val="2A4144C9"/>
    <w:rsid w:val="2F065CE2"/>
    <w:rsid w:val="305F7D9F"/>
    <w:rsid w:val="37684F61"/>
    <w:rsid w:val="39B27192"/>
    <w:rsid w:val="3C873D85"/>
    <w:rsid w:val="49F02DEA"/>
    <w:rsid w:val="50736AA9"/>
    <w:rsid w:val="53F65DDD"/>
    <w:rsid w:val="5CE556F2"/>
    <w:rsid w:val="618646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10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5"/>
    <w:unhideWhenUsed/>
    <w:uiPriority w:val="99"/>
    <w:rPr>
      <w:b/>
      <w:bCs/>
    </w:rPr>
  </w:style>
  <w:style w:type="paragraph" w:styleId="3">
    <w:name w:val="annotation text"/>
    <w:basedOn w:val="1"/>
    <w:link w:val="23"/>
    <w:unhideWhenUsed/>
    <w:qFormat/>
    <w:uiPriority w:val="99"/>
    <w:pPr>
      <w:jc w:val="left"/>
    </w:pPr>
  </w:style>
  <w:style w:type="paragraph" w:styleId="4">
    <w:name w:val="caption"/>
    <w:basedOn w:val="1"/>
    <w:next w:val="1"/>
    <w:unhideWhenUsed/>
    <w:qFormat/>
    <w:uiPriority w:val="35"/>
    <w:pPr>
      <w:spacing w:after="160" w:line="259" w:lineRule="auto"/>
    </w:pPr>
    <w:rPr>
      <w:rFonts w:eastAsia="黑体" w:asciiTheme="majorHAnsi" w:hAnsiTheme="majorHAnsi" w:cstheme="majorBidi"/>
      <w:sz w:val="20"/>
      <w:szCs w:val="20"/>
      <w14:ligatures w14:val="none"/>
    </w:rPr>
  </w:style>
  <w:style w:type="paragraph" w:styleId="5">
    <w:name w:val="Body Text"/>
    <w:basedOn w:val="1"/>
    <w:link w:val="20"/>
    <w:uiPriority w:val="0"/>
    <w:pPr>
      <w:snapToGrid w:val="0"/>
      <w:spacing w:line="300" w:lineRule="auto"/>
    </w:pPr>
    <w:rPr>
      <w:rFonts w:ascii="Times New Roman" w:hAnsi="Times New Roman" w:eastAsia="宋体" w:cs="Times New Roman"/>
      <w:sz w:val="24"/>
      <w:szCs w:val="20"/>
      <w14:ligatures w14:val="none"/>
    </w:rPr>
  </w:style>
  <w:style w:type="paragraph" w:styleId="6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right" w:leader="dot" w:pos="8296"/>
      </w:tabs>
      <w:spacing w:after="160" w:line="259" w:lineRule="auto"/>
    </w:pPr>
    <w:rPr>
      <w:rFonts w:ascii="等线" w:hAnsi="等线" w:eastAsia="等线" w:cs="宋体"/>
      <w14:ligatures w14:val="none"/>
    </w:rPr>
  </w:style>
  <w:style w:type="character" w:styleId="11">
    <w:name w:val="line number"/>
    <w:basedOn w:val="10"/>
    <w:unhideWhenUsed/>
    <w:qFormat/>
    <w:uiPriority w:val="99"/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unhideWhenUsed/>
    <w:uiPriority w:val="99"/>
    <w:rPr>
      <w:sz w:val="21"/>
      <w:szCs w:val="21"/>
    </w:rPr>
  </w:style>
  <w:style w:type="table" w:styleId="15">
    <w:name w:val="Table Grid"/>
    <w:basedOn w:val="14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">
    <w:name w:val="List Paragraph"/>
    <w:basedOn w:val="1"/>
    <w:link w:val="19"/>
    <w:qFormat/>
    <w:uiPriority w:val="34"/>
    <w:pPr>
      <w:ind w:firstLine="420" w:firstLineChars="200"/>
    </w:pPr>
  </w:style>
  <w:style w:type="character" w:customStyle="1" w:styleId="17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19">
    <w:name w:val="列表段落 字符"/>
    <w:basedOn w:val="10"/>
    <w:link w:val="16"/>
    <w:qFormat/>
    <w:uiPriority w:val="34"/>
  </w:style>
  <w:style w:type="character" w:customStyle="1" w:styleId="20">
    <w:name w:val="正文文本 字符"/>
    <w:basedOn w:val="10"/>
    <w:link w:val="5"/>
    <w:qFormat/>
    <w:uiPriority w:val="0"/>
    <w:rPr>
      <w:rFonts w:ascii="Times New Roman" w:hAnsi="Times New Roman" w:eastAsia="宋体" w:cs="Times New Roman"/>
      <w:sz w:val="24"/>
      <w:szCs w:val="20"/>
      <w14:ligatures w14:val="none"/>
    </w:rPr>
  </w:style>
  <w:style w:type="paragraph" w:customStyle="1" w:styleId="21">
    <w:name w:val="段"/>
    <w:link w:val="22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2">
    <w:name w:val="段 Char"/>
    <w:link w:val="21"/>
    <w:uiPriority w:val="0"/>
    <w:rPr>
      <w:rFonts w:ascii="宋体" w:hAnsi="Times New Roman" w:eastAsia="宋体" w:cs="Times New Roman"/>
      <w:kern w:val="0"/>
      <w:szCs w:val="20"/>
      <w14:ligatures w14:val="none"/>
    </w:rPr>
  </w:style>
  <w:style w:type="character" w:customStyle="1" w:styleId="23">
    <w:name w:val="批注文字 字符"/>
    <w:basedOn w:val="10"/>
    <w:link w:val="3"/>
    <w:qFormat/>
    <w:uiPriority w:val="99"/>
  </w:style>
  <w:style w:type="character" w:customStyle="1" w:styleId="24">
    <w:name w:val="批注框文本 字符"/>
    <w:basedOn w:val="10"/>
    <w:link w:val="6"/>
    <w:semiHidden/>
    <w:uiPriority w:val="99"/>
    <w:rPr>
      <w:sz w:val="18"/>
      <w:szCs w:val="18"/>
    </w:rPr>
  </w:style>
  <w:style w:type="character" w:customStyle="1" w:styleId="25">
    <w:name w:val="批注主题 字符"/>
    <w:basedOn w:val="23"/>
    <w:link w:val="2"/>
    <w:semiHidden/>
    <w:uiPriority w:val="99"/>
    <w:rPr>
      <w:b/>
      <w:bCs/>
    </w:rPr>
  </w:style>
  <w:style w:type="paragraph" w:customStyle="1" w:styleId="26">
    <w:name w:val="目次、标准名称标题"/>
    <w:basedOn w:val="1"/>
    <w:next w:val="1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14:ligatures w14:val="none"/>
    </w:rPr>
  </w:style>
  <w:style w:type="paragraph" w:customStyle="1" w:styleId="27">
    <w:name w:val="修订1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2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29">
    <w:name w:val="Placeholder Text"/>
    <w:basedOn w:val="10"/>
    <w:unhideWhenUsed/>
    <w:uiPriority w:val="99"/>
    <w:rPr>
      <w:color w:val="666666"/>
    </w:rPr>
  </w:style>
  <w:style w:type="character" w:customStyle="1" w:styleId="3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C6683C-BF0C-4D4A-AFA7-4B1C8B7E4A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2929</Words>
  <Characters>3521</Characters>
  <Lines>30</Lines>
  <Paragraphs>8</Paragraphs>
  <TotalTime>0</TotalTime>
  <ScaleCrop>false</ScaleCrop>
  <LinksUpToDate>false</LinksUpToDate>
  <CharactersWithSpaces>3684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2025-03-18T07:15:00Z</dcterms:created>
  <dc:creator>成东 张</dc:creator>
  <cp:lastModifiedBy>钟达</cp:lastModifiedBy>
  <cp:lastPrinted>2024-12-11T06:22:00Z</cp:lastPrinted>
  <dcterms:modified xsi:type="dcterms:W3CDTF">2025-03-18T09:34:09Z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d570f2e832c5fc3d5d6cdd2111a58a4c2a61f3a1e49538fc8a8937af21e31ad0</vt:lpwstr>
  </property>
  <property fmtid="{D5CDD505-2E9C-101B-9397-08002B2CF9AE}" pid="3" name="KSOProductBuildVer">
    <vt:lpwstr>2052-10.1.0.5803</vt:lpwstr>
  </property>
  <property fmtid="{D5CDD505-2E9C-101B-9397-08002B2CF9AE}" pid="4" name="ICV">
    <vt:lpwstr>A70D9D18085E49EB812C8F45667E9BBB_13</vt:lpwstr>
  </property>
  <property fmtid="{D5CDD505-2E9C-101B-9397-08002B2CF9AE}" pid="5" name="KSOTemplateDocerSaveRecord">
    <vt:lpwstr>eyJoZGlkIjoiMDViMjRiODdkNzIzZjhlNDNhYWEyYzYxZTI3MDlkZmQiLCJ1c2VySWQiOiIyODI5ODM1MjYifQ==</vt:lpwstr>
  </property>
</Properties>
</file>