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ind w:firstLine="1678"/>
        <w:jc w:val="right"/>
        <w:rPr>
          <w:rFonts w:eastAsia="黑体"/>
          <w:b/>
          <w:sz w:val="84"/>
          <w:szCs w:val="84"/>
        </w:rPr>
      </w:pPr>
      <w:bookmarkStart w:id="0" w:name="_Toc17551"/>
      <w:bookmarkStart w:id="1" w:name="_Toc371523827"/>
      <w:bookmarkStart w:id="2" w:name="_Toc28703"/>
      <w:bookmarkStart w:id="3" w:name="_Toc96"/>
      <w:bookmarkStart w:id="4" w:name="_Toc18707"/>
      <w:r>
        <w:rPr>
          <w:rFonts w:hint="eastAsia" w:eastAsia="黑体"/>
          <w:b/>
          <w:sz w:val="84"/>
          <w:szCs w:val="84"/>
        </w:rPr>
        <w:t>CQJTZ</w:t>
      </w:r>
    </w:p>
    <w:p>
      <w:pPr>
        <w:widowControl/>
        <w:spacing w:before="62" w:after="62" w:line="400" w:lineRule="exact"/>
        <w:jc w:val="center"/>
        <w:rPr>
          <w:rFonts w:hint="eastAsia" w:ascii="黑体" w:hAnsi="黑体" w:eastAsia="黑体"/>
          <w:sz w:val="28"/>
          <w:szCs w:val="28"/>
        </w:rPr>
      </w:pPr>
      <w:r>
        <w:rPr>
          <w:rFonts w:ascii="黑体" w:hAnsi="黑体" w:eastAsia="黑体"/>
          <w:sz w:val="28"/>
          <w:szCs w:val="28"/>
        </w:rPr>
        <w:t>重庆市交通</w:t>
      </w:r>
      <w:r>
        <w:rPr>
          <w:rFonts w:hint="eastAsia" w:ascii="黑体" w:hAnsi="黑体" w:eastAsia="黑体"/>
          <w:sz w:val="28"/>
          <w:szCs w:val="28"/>
        </w:rPr>
        <w:t>运输</w:t>
      </w:r>
      <w:r>
        <w:rPr>
          <w:rFonts w:ascii="黑体" w:hAnsi="黑体" w:eastAsia="黑体"/>
          <w:sz w:val="28"/>
          <w:szCs w:val="28"/>
        </w:rPr>
        <w:t>行业</w:t>
      </w:r>
      <w:r>
        <w:rPr>
          <w:rFonts w:hint="eastAsia" w:ascii="黑体" w:hAnsi="黑体" w:eastAsia="黑体"/>
          <w:sz w:val="28"/>
          <w:szCs w:val="28"/>
        </w:rPr>
        <w:t xml:space="preserve">推荐性标准 </w:t>
      </w:r>
      <w:r>
        <w:rPr>
          <w:rFonts w:ascii="黑体" w:hAnsi="黑体" w:eastAsia="黑体"/>
          <w:sz w:val="28"/>
          <w:szCs w:val="28"/>
        </w:rPr>
        <w:t xml:space="preserve"> </w:t>
      </w:r>
      <w:r>
        <w:rPr>
          <w:rFonts w:hint="eastAsia" w:ascii="黑体" w:hAnsi="黑体" w:eastAsia="黑体"/>
          <w:sz w:val="28"/>
          <w:szCs w:val="28"/>
        </w:rPr>
        <w:t xml:space="preserve"> </w:t>
      </w:r>
      <w:r>
        <w:rPr>
          <w:rFonts w:ascii="黑体" w:hAnsi="黑体" w:eastAsia="黑体"/>
          <w:sz w:val="28"/>
          <w:szCs w:val="28"/>
        </w:rPr>
        <w:t xml:space="preserve">               </w:t>
      </w:r>
      <w:r>
        <w:rPr>
          <w:rFonts w:hint="eastAsia" w:ascii="黑体" w:hAnsi="黑体" w:eastAsia="黑体"/>
          <w:sz w:val="28"/>
          <w:szCs w:val="28"/>
        </w:rPr>
        <w:t xml:space="preserve">   </w:t>
      </w:r>
      <w:r>
        <w:rPr>
          <w:rFonts w:eastAsia="黑体"/>
          <w:sz w:val="30"/>
          <w:szCs w:val="30"/>
        </w:rPr>
        <w:t xml:space="preserve"> </w:t>
      </w:r>
      <w:r>
        <w:rPr>
          <w:rFonts w:hint="eastAsia" w:eastAsia="黑体"/>
          <w:sz w:val="30"/>
          <w:szCs w:val="30"/>
        </w:rPr>
        <w:t>CQJTG/T XX-202</w:t>
      </w:r>
      <w:r>
        <w:rPr>
          <w:rFonts w:hint="eastAsia" w:eastAsia="黑体"/>
          <w:sz w:val="30"/>
          <w:szCs w:val="30"/>
          <w:lang w:val="en-US" w:eastAsia="zh-CN"/>
        </w:rPr>
        <w:t>5</w:t>
      </w:r>
      <w:bookmarkStart w:id="65" w:name="_GoBack"/>
      <w:bookmarkEnd w:id="65"/>
    </w:p>
    <w:p>
      <w:pPr>
        <w:spacing w:line="400" w:lineRule="exact"/>
        <w:jc w:val="center"/>
        <w:rPr>
          <w:sz w:val="28"/>
          <w:szCs w:val="28"/>
          <w:u w:val="thick"/>
        </w:rPr>
      </w:pPr>
      <w:r>
        <w:rPr>
          <w:sz w:val="28"/>
          <w:szCs w:val="28"/>
          <w:u w:val="thick"/>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26035</wp:posOffset>
                </wp:positionV>
                <wp:extent cx="5907405" cy="0"/>
                <wp:effectExtent l="0" t="0" r="0" b="0"/>
                <wp:wrapNone/>
                <wp:docPr id="1171277037" name="直接连接符 1171277037"/>
                <wp:cNvGraphicFramePr/>
                <a:graphic xmlns:a="http://schemas.openxmlformats.org/drawingml/2006/main">
                  <a:graphicData uri="http://schemas.microsoft.com/office/word/2010/wordprocessingShape">
                    <wps:wsp>
                      <wps:cNvCnPr>
                        <a:cxnSpLocks noChangeShapeType="1"/>
                      </wps:cNvCnPr>
                      <wps:spPr bwMode="auto">
                        <a:xfrm>
                          <a:off x="0" y="0"/>
                          <a:ext cx="5907405"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0.75pt;margin-top:2.05pt;height:0pt;width:465.15pt;z-index:251661312;mso-width-relative:page;mso-height-relative:page;" filled="f" stroked="t" coordsize="21600,21600" o:gfxdata="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O3z12NMAAAAGAQAADwAAAAAAAAABACAAAAAiAAAA&#10;ZHJzL2Rvd25yZXYueG1sUEsBAhQAFAAAAAgAh07iQBmwmbjTAQAAbwMAAA4AAAAAAAAAAQAgAAAA&#10;IgEAAGRycy9lMm9Eb2MueG1sUEsFBgAAAAAGAAYAWQEAAGcFAAAAAA==&#10;">
                <v:fill on="f" focussize="0,0"/>
                <v:stroke weight="1.5pt" color="#000000" joinstyle="round"/>
                <v:imagedata o:title=""/>
                <o:lock v:ext="edit" aspectratio="f"/>
              </v:line>
            </w:pict>
          </mc:Fallback>
        </mc:AlternateContent>
      </w:r>
    </w:p>
    <w:p>
      <w:pPr>
        <w:spacing w:line="400" w:lineRule="exact"/>
        <w:jc w:val="center"/>
        <w:rPr>
          <w:sz w:val="28"/>
          <w:szCs w:val="28"/>
          <w:u w:val="thick"/>
        </w:rPr>
      </w:pPr>
    </w:p>
    <w:p>
      <w:pPr>
        <w:spacing w:line="400" w:lineRule="exact"/>
        <w:jc w:val="center"/>
        <w:rPr>
          <w:sz w:val="28"/>
          <w:szCs w:val="28"/>
          <w:u w:val="thick"/>
        </w:rPr>
      </w:pPr>
    </w:p>
    <w:p>
      <w:pPr>
        <w:rPr>
          <w:rFonts w:hint="eastAsia" w:hAnsi="黑体"/>
          <w:bCs/>
          <w:spacing w:val="20"/>
          <w:sz w:val="52"/>
          <w:szCs w:val="52"/>
        </w:rPr>
      </w:pPr>
    </w:p>
    <w:p>
      <w:pPr>
        <w:jc w:val="center"/>
        <w:rPr>
          <w:rFonts w:hint="eastAsia" w:hAnsi="黑体"/>
          <w:bCs/>
          <w:spacing w:val="20"/>
          <w:sz w:val="52"/>
          <w:szCs w:val="52"/>
        </w:rPr>
      </w:pPr>
      <w:bookmarkStart w:id="5" w:name="_Hlk184234586"/>
      <w:r>
        <w:rPr>
          <w:rFonts w:hint="eastAsia" w:hAnsi="黑体"/>
          <w:bCs/>
          <w:spacing w:val="20"/>
          <w:sz w:val="52"/>
          <w:szCs w:val="52"/>
        </w:rPr>
        <w:t>高速公路沿线光伏发电应用技术规范</w:t>
      </w:r>
    </w:p>
    <w:bookmarkEnd w:id="5"/>
    <w:p>
      <w:pPr>
        <w:jc w:val="center"/>
        <w:rPr>
          <w:rFonts w:hint="eastAsia" w:ascii="黑体" w:hAnsi="黑体" w:eastAsia="黑体"/>
          <w:sz w:val="28"/>
          <w:szCs w:val="28"/>
        </w:rPr>
      </w:pPr>
      <w:r>
        <w:rPr>
          <w:rFonts w:hint="eastAsia" w:ascii="黑体" w:hAnsi="黑体" w:eastAsia="黑体"/>
          <w:sz w:val="28"/>
          <w:szCs w:val="28"/>
        </w:rPr>
        <w:t xml:space="preserve">Technical Specifications for the Application of Photovoltaic </w:t>
      </w:r>
    </w:p>
    <w:p>
      <w:pPr>
        <w:jc w:val="center"/>
        <w:rPr>
          <w:rFonts w:hint="eastAsia" w:ascii="黑体" w:hAnsi="黑体" w:eastAsia="黑体"/>
          <w:sz w:val="28"/>
          <w:szCs w:val="28"/>
        </w:rPr>
      </w:pPr>
      <w:r>
        <w:rPr>
          <w:rFonts w:hint="eastAsia" w:ascii="黑体" w:hAnsi="黑体" w:eastAsia="黑体"/>
          <w:sz w:val="28"/>
          <w:szCs w:val="28"/>
        </w:rPr>
        <w:t>Power Generation along Expressway</w:t>
      </w:r>
    </w:p>
    <w:p>
      <w:pPr>
        <w:jc w:val="center"/>
        <w:rPr>
          <w:sz w:val="32"/>
          <w:szCs w:val="32"/>
        </w:rPr>
      </w:pPr>
      <w:r>
        <w:rPr>
          <w:rFonts w:hint="eastAsia"/>
          <w:sz w:val="32"/>
          <w:szCs w:val="32"/>
        </w:rPr>
        <w:t>（报批稿）</w:t>
      </w:r>
    </w:p>
    <w:p>
      <w:pPr>
        <w:jc w:val="center"/>
        <w:rPr>
          <w:rFonts w:hint="eastAsia" w:ascii="黑体" w:hAnsi="黑体" w:eastAsia="黑体"/>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jc w:val="center"/>
        <w:rPr>
          <w:rFonts w:hint="eastAsia" w:ascii="黑体" w:hAnsi="黑体" w:eastAsia="黑体"/>
          <w:sz w:val="28"/>
          <w:szCs w:val="28"/>
        </w:rPr>
      </w:pPr>
    </w:p>
    <w:p>
      <w:pPr>
        <w:jc w:val="center"/>
        <w:rPr>
          <w:rFonts w:hint="eastAsia" w:ascii="黑体" w:hAnsi="黑体" w:eastAsia="黑体"/>
          <w:sz w:val="28"/>
          <w:szCs w:val="28"/>
        </w:rPr>
      </w:pPr>
    </w:p>
    <w:p>
      <w:pPr>
        <w:jc w:val="center"/>
        <w:rPr>
          <w:rFonts w:hint="eastAsia" w:ascii="黑体" w:hAnsi="黑体" w:eastAsia="黑体"/>
          <w:sz w:val="28"/>
          <w:szCs w:val="28"/>
        </w:rPr>
      </w:pPr>
    </w:p>
    <w:p>
      <w:pPr>
        <w:jc w:val="center"/>
        <w:rPr>
          <w:rFonts w:eastAsia="黑体"/>
          <w:sz w:val="32"/>
          <w:szCs w:val="32"/>
        </w:rPr>
      </w:pPr>
      <w:r>
        <w:rPr>
          <w:rFonts w:eastAsia="黑体"/>
          <w:b/>
          <w:bCs/>
          <w:sz w:val="32"/>
          <w:szCs w:val="32"/>
        </w:rPr>
        <w:t>202</w:t>
      </w:r>
      <w:r>
        <w:rPr>
          <w:rFonts w:hint="eastAsia" w:eastAsia="黑体"/>
          <w:b/>
          <w:bCs/>
          <w:sz w:val="32"/>
          <w:szCs w:val="32"/>
        </w:rPr>
        <w:t>*</w:t>
      </w:r>
      <w:r>
        <w:rPr>
          <w:rFonts w:eastAsia="黑体"/>
          <w:b/>
          <w:bCs/>
          <w:sz w:val="32"/>
          <w:szCs w:val="32"/>
        </w:rPr>
        <w:t>-</w:t>
      </w:r>
      <w:r>
        <w:rPr>
          <w:rFonts w:hint="eastAsia" w:eastAsia="黑体"/>
          <w:b/>
          <w:bCs/>
          <w:sz w:val="32"/>
          <w:szCs w:val="32"/>
        </w:rPr>
        <w:t>**</w:t>
      </w:r>
      <w:r>
        <w:rPr>
          <w:rFonts w:eastAsia="黑体"/>
          <w:b/>
          <w:bCs/>
          <w:sz w:val="32"/>
          <w:szCs w:val="32"/>
        </w:rPr>
        <w:t>-</w:t>
      </w:r>
      <w:r>
        <w:rPr>
          <w:rFonts w:hint="eastAsia" w:eastAsia="黑体"/>
          <w:b/>
          <w:bCs/>
          <w:sz w:val="32"/>
          <w:szCs w:val="32"/>
        </w:rPr>
        <w:t>**发布</w:t>
      </w:r>
      <w:r>
        <w:rPr>
          <w:rFonts w:eastAsia="黑体"/>
          <w:b/>
          <w:bCs/>
          <w:sz w:val="32"/>
          <w:szCs w:val="32"/>
        </w:rPr>
        <w:t xml:space="preserve">  </w:t>
      </w:r>
      <w:r>
        <w:rPr>
          <w:rFonts w:eastAsia="黑体"/>
          <w:sz w:val="32"/>
          <w:szCs w:val="32"/>
        </w:rPr>
        <w:t xml:space="preserve">          </w:t>
      </w:r>
      <w:r>
        <w:rPr>
          <w:rFonts w:hint="eastAsia" w:eastAsia="黑体"/>
          <w:sz w:val="32"/>
          <w:szCs w:val="32"/>
        </w:rPr>
        <w:t xml:space="preserve">  </w:t>
      </w:r>
      <w:r>
        <w:rPr>
          <w:rFonts w:eastAsia="黑体"/>
          <w:sz w:val="32"/>
          <w:szCs w:val="32"/>
        </w:rPr>
        <w:t xml:space="preserve">              </w:t>
      </w:r>
      <w:r>
        <w:rPr>
          <w:rFonts w:eastAsia="黑体"/>
          <w:b/>
          <w:bCs/>
          <w:sz w:val="32"/>
          <w:szCs w:val="32"/>
        </w:rPr>
        <w:t xml:space="preserve"> 202</w:t>
      </w:r>
      <w:r>
        <w:rPr>
          <w:rFonts w:hint="eastAsia" w:eastAsia="黑体"/>
          <w:b/>
          <w:bCs/>
          <w:sz w:val="32"/>
          <w:szCs w:val="32"/>
        </w:rPr>
        <w:t>*</w:t>
      </w:r>
      <w:r>
        <w:rPr>
          <w:rFonts w:eastAsia="黑体"/>
          <w:b/>
          <w:bCs/>
          <w:sz w:val="32"/>
          <w:szCs w:val="32"/>
        </w:rPr>
        <w:t>-</w:t>
      </w:r>
      <w:r>
        <w:rPr>
          <w:rFonts w:hint="eastAsia" w:eastAsia="黑体"/>
          <w:b/>
          <w:bCs/>
          <w:sz w:val="32"/>
          <w:szCs w:val="32"/>
        </w:rPr>
        <w:t>**</w:t>
      </w:r>
      <w:r>
        <w:rPr>
          <w:rFonts w:eastAsia="黑体"/>
          <w:b/>
          <w:bCs/>
          <w:sz w:val="32"/>
          <w:szCs w:val="32"/>
        </w:rPr>
        <w:t>-</w:t>
      </w:r>
      <w:r>
        <w:rPr>
          <w:rFonts w:hint="eastAsia" w:eastAsia="黑体"/>
          <w:b/>
          <w:bCs/>
          <w:sz w:val="32"/>
          <w:szCs w:val="32"/>
        </w:rPr>
        <w:t>**实施</w:t>
      </w:r>
    </w:p>
    <w:p>
      <w:pPr>
        <w:ind w:firstLine="420"/>
        <w:jc w:val="center"/>
        <w:rPr>
          <w:rFonts w:eastAsia="黑体"/>
          <w:sz w:val="28"/>
          <w:szCs w:val="28"/>
        </w:rPr>
      </w:pPr>
      <w:r>
        <w:rPr>
          <w:szCs w:val="21"/>
          <w:u w:val="thick"/>
        </w:rPr>
        <mc:AlternateContent>
          <mc:Choice Requires="wps">
            <w:drawing>
              <wp:anchor distT="0" distB="0" distL="114300" distR="114300" simplePos="0" relativeHeight="251662336" behindDoc="0" locked="0" layoutInCell="1" allowOverlap="1">
                <wp:simplePos x="0" y="0"/>
                <wp:positionH relativeFrom="column">
                  <wp:posOffset>-34290</wp:posOffset>
                </wp:positionH>
                <wp:positionV relativeFrom="paragraph">
                  <wp:posOffset>33655</wp:posOffset>
                </wp:positionV>
                <wp:extent cx="5907405" cy="0"/>
                <wp:effectExtent l="0" t="0" r="0" b="0"/>
                <wp:wrapNone/>
                <wp:docPr id="1"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907405" cy="0"/>
                        </a:xfrm>
                        <a:prstGeom prst="line">
                          <a:avLst/>
                        </a:prstGeom>
                        <a:noFill/>
                        <a:ln w="19050">
                          <a:solidFill>
                            <a:srgbClr val="000000"/>
                          </a:solidFill>
                          <a:round/>
                        </a:ln>
                      </wps:spPr>
                      <wps:bodyPr/>
                    </wps:wsp>
                  </a:graphicData>
                </a:graphic>
              </wp:anchor>
            </w:drawing>
          </mc:Choice>
          <mc:Fallback>
            <w:pict>
              <v:line id="直接连接符 2" o:spid="_x0000_s1026" o:spt="20" style="position:absolute;left:0pt;margin-left:-2.7pt;margin-top:2.65pt;height:0pt;width:465.15pt;z-index:251662336;mso-width-relative:page;mso-height-relative:page;" filled="f" stroked="t" coordsize="21600,21600" o:gfxdata="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P+wjrTAAAABgEAAA8AAAAAAAAAAQAgAAAAIgAAAGRycy9kb3ducmV2&#10;LnhtbFBLAQIUABQAAAAIAIdO4kCSecykyAEAAF0DAAAOAAAAAAAAAAEAIAAAACIBAABkcnMvZTJv&#10;RG9jLnhtbFBLBQYAAAAABgAGAFkBAABcBQAAAAA=&#10;">
                <v:fill on="f" focussize="0,0"/>
                <v:stroke weight="1.5pt" color="#000000" joinstyle="round"/>
                <v:imagedata o:title=""/>
                <o:lock v:ext="edit" aspectratio="f"/>
              </v:line>
            </w:pict>
          </mc:Fallback>
        </mc:AlternateConten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center" w:pos="4819"/>
          <w:tab w:val="left" w:pos="5040"/>
          <w:tab w:val="left" w:pos="5460"/>
          <w:tab w:val="left" w:pos="5880"/>
          <w:tab w:val="left" w:pos="6300"/>
          <w:tab w:val="left" w:pos="6720"/>
          <w:tab w:val="left" w:pos="7140"/>
          <w:tab w:val="right" w:pos="9638"/>
        </w:tabs>
        <w:jc w:val="left"/>
        <w:outlineLvl w:val="0"/>
        <w:rPr>
          <w:rFonts w:hint="eastAsia" w:ascii="黑体" w:hAnsi="黑体" w:eastAsia="黑体"/>
          <w:b/>
          <w:bCs/>
          <w:sz w:val="32"/>
          <w:szCs w:val="32"/>
        </w:rPr>
      </w:pPr>
      <w:r>
        <w:rPr>
          <w:rFonts w:hint="eastAsia" w:ascii="黑体" w:hAnsi="黑体" w:eastAsia="黑体"/>
          <w:b/>
          <w:bCs/>
          <w:sz w:val="32"/>
          <w:szCs w:val="32"/>
        </w:rPr>
        <w:tab/>
      </w:r>
      <w:r>
        <w:rPr>
          <w:rFonts w:hint="eastAsia" w:ascii="黑体" w:hAnsi="黑体" w:eastAsia="黑体"/>
          <w:b/>
          <w:bCs/>
          <w:sz w:val="32"/>
          <w:szCs w:val="32"/>
        </w:rPr>
        <w:tab/>
      </w:r>
      <w:r>
        <w:rPr>
          <w:rFonts w:hint="eastAsia" w:ascii="黑体" w:hAnsi="黑体" w:eastAsia="黑体"/>
          <w:b/>
          <w:bCs/>
          <w:sz w:val="32"/>
          <w:szCs w:val="32"/>
        </w:rPr>
        <w:tab/>
      </w:r>
      <w:r>
        <w:rPr>
          <w:rFonts w:hint="eastAsia" w:ascii="黑体" w:hAnsi="黑体" w:eastAsia="黑体"/>
          <w:b/>
          <w:bCs/>
          <w:sz w:val="32"/>
          <w:szCs w:val="32"/>
        </w:rPr>
        <w:tab/>
      </w:r>
      <w:r>
        <w:rPr>
          <w:rFonts w:hint="eastAsia" w:ascii="黑体" w:hAnsi="黑体" w:eastAsia="黑体"/>
          <w:b/>
          <w:bCs/>
          <w:sz w:val="32"/>
          <w:szCs w:val="32"/>
        </w:rPr>
        <w:tab/>
      </w:r>
      <w:r>
        <w:rPr>
          <w:rFonts w:hint="eastAsia" w:ascii="黑体" w:hAnsi="黑体" w:eastAsia="黑体"/>
          <w:b/>
          <w:bCs/>
          <w:sz w:val="32"/>
          <w:szCs w:val="32"/>
        </w:rPr>
        <w:tab/>
      </w:r>
      <w:r>
        <w:rPr>
          <w:rFonts w:hint="eastAsia" w:ascii="黑体" w:hAnsi="黑体" w:eastAsia="黑体"/>
          <w:b/>
          <w:bCs/>
          <w:sz w:val="32"/>
          <w:szCs w:val="32"/>
        </w:rPr>
        <w:tab/>
      </w:r>
      <w:r>
        <w:rPr>
          <w:rFonts w:hint="eastAsia" w:ascii="黑体" w:hAnsi="黑体" w:eastAsia="黑体"/>
          <w:b/>
          <w:bCs/>
          <w:sz w:val="32"/>
          <w:szCs w:val="32"/>
        </w:rPr>
        <w:tab/>
      </w:r>
      <w:r>
        <w:rPr>
          <w:rFonts w:hint="eastAsia" w:ascii="黑体" w:hAnsi="黑体" w:eastAsia="黑体"/>
          <w:b/>
          <w:bCs/>
          <w:sz w:val="32"/>
          <w:szCs w:val="32"/>
        </w:rPr>
        <w:t>重庆市交通运输委员会  发布</w:t>
      </w:r>
      <w:r>
        <w:rPr>
          <w:rFonts w:hint="eastAsia" w:ascii="黑体" w:hAnsi="黑体" w:eastAsia="黑体"/>
          <w:b/>
          <w:bCs/>
          <w:sz w:val="32"/>
          <w:szCs w:val="32"/>
        </w:rPr>
        <w:tab/>
      </w:r>
    </w:p>
    <w:p>
      <w:pPr>
        <w:tabs>
          <w:tab w:val="center" w:pos="4819"/>
          <w:tab w:val="right" w:pos="9638"/>
        </w:tabs>
        <w:jc w:val="left"/>
        <w:outlineLvl w:val="0"/>
        <w:rPr>
          <w:b/>
          <w:bCs/>
          <w:sz w:val="30"/>
          <w:szCs w:val="30"/>
        </w:rPr>
        <w:sectPr>
          <w:headerReference r:id="rId3" w:type="default"/>
          <w:footerReference r:id="rId4" w:type="default"/>
          <w:pgSz w:w="11906" w:h="16838"/>
          <w:pgMar w:top="1134" w:right="1134" w:bottom="1134" w:left="1134" w:header="851" w:footer="851" w:gutter="0"/>
          <w:pgNumType w:fmt="numberInDash" w:start="1"/>
          <w:cols w:space="720" w:num="1"/>
          <w:docGrid w:type="lines" w:linePitch="312" w:charSpace="0"/>
        </w:sectPr>
      </w:pPr>
      <w:r>
        <w:rPr>
          <w:b/>
          <w:bCs/>
          <w:sz w:val="30"/>
          <w:szCs w:val="30"/>
        </w:rPr>
        <w:tab/>
      </w:r>
    </w:p>
    <w:bookmarkEnd w:id="0"/>
    <w:p>
      <w:pPr>
        <w:pStyle w:val="11"/>
        <w:tabs>
          <w:tab w:val="right" w:leader="dot" w:pos="8306"/>
        </w:tabs>
        <w:spacing w:before="156" w:line="400" w:lineRule="exact"/>
        <w:ind w:firstLine="643"/>
        <w:jc w:val="center"/>
        <w:rPr>
          <w:rFonts w:hint="eastAsia" w:ascii="黑体" w:hAnsi="黑体" w:eastAsia="黑体"/>
          <w:b/>
          <w:sz w:val="32"/>
          <w:szCs w:val="30"/>
        </w:rPr>
      </w:pPr>
      <w:r>
        <w:rPr>
          <w:rFonts w:hint="eastAsia" w:ascii="黑体" w:hAnsi="黑体" w:eastAsia="黑体"/>
          <w:b/>
          <w:sz w:val="32"/>
          <w:szCs w:val="30"/>
        </w:rPr>
        <w:t>目  次</w:t>
      </w:r>
    </w:p>
    <w:p/>
    <w:p/>
    <w:p>
      <w:pPr>
        <w:pStyle w:val="11"/>
        <w:tabs>
          <w:tab w:val="right" w:leader="dot" w:pos="9638"/>
        </w:tabs>
        <w:spacing w:line="360" w:lineRule="auto"/>
      </w:pPr>
      <w:r>
        <w:rPr>
          <w:rFonts w:hint="eastAsia"/>
          <w:b/>
          <w:sz w:val="32"/>
          <w:szCs w:val="32"/>
        </w:rPr>
        <w:fldChar w:fldCharType="begin"/>
      </w:r>
      <w:r>
        <w:rPr>
          <w:rFonts w:hint="eastAsia"/>
          <w:b/>
          <w:sz w:val="32"/>
          <w:szCs w:val="32"/>
        </w:rPr>
        <w:instrText xml:space="preserve">TOC \o "1-1" \h \u </w:instrText>
      </w:r>
      <w:r>
        <w:rPr>
          <w:rFonts w:hint="eastAsia"/>
          <w:b/>
          <w:sz w:val="32"/>
          <w:szCs w:val="32"/>
        </w:rPr>
        <w:fldChar w:fldCharType="separate"/>
      </w:r>
      <w:r>
        <w:fldChar w:fldCharType="begin"/>
      </w:r>
      <w:r>
        <w:instrText xml:space="preserve"> HYPERLINK \l "_Toc13889" </w:instrText>
      </w:r>
      <w:r>
        <w:fldChar w:fldCharType="separate"/>
      </w:r>
      <w:r>
        <w:rPr>
          <w:rFonts w:ascii="黑体" w:hAnsi="黑体" w:eastAsia="黑体"/>
          <w:szCs w:val="32"/>
        </w:rPr>
        <w:t xml:space="preserve">1 </w:t>
      </w:r>
      <w:r>
        <w:rPr>
          <w:rFonts w:hint="eastAsia" w:ascii="黑体" w:hAnsi="黑体" w:eastAsia="黑体"/>
          <w:bCs/>
          <w:szCs w:val="32"/>
        </w:rPr>
        <w:t>范围</w:t>
      </w:r>
      <w:r>
        <w:tab/>
      </w:r>
      <w:r>
        <w:fldChar w:fldCharType="begin"/>
      </w:r>
      <w:r>
        <w:instrText xml:space="preserve"> PAGEREF _Toc13889 \h </w:instrText>
      </w:r>
      <w:r>
        <w:fldChar w:fldCharType="separate"/>
      </w:r>
      <w:r>
        <w:t>1</w:t>
      </w:r>
      <w:r>
        <w:fldChar w:fldCharType="end"/>
      </w:r>
      <w:r>
        <w:fldChar w:fldCharType="end"/>
      </w:r>
    </w:p>
    <w:p>
      <w:pPr>
        <w:pStyle w:val="11"/>
        <w:tabs>
          <w:tab w:val="right" w:leader="dot" w:pos="9638"/>
        </w:tabs>
        <w:spacing w:line="360" w:lineRule="auto"/>
      </w:pPr>
      <w:r>
        <w:fldChar w:fldCharType="begin"/>
      </w:r>
      <w:r>
        <w:instrText xml:space="preserve"> HYPERLINK \l "_Toc29166" </w:instrText>
      </w:r>
      <w:r>
        <w:fldChar w:fldCharType="separate"/>
      </w:r>
      <w:r>
        <w:rPr>
          <w:rFonts w:ascii="黑体" w:hAnsi="黑体" w:eastAsia="黑体"/>
          <w:szCs w:val="32"/>
        </w:rPr>
        <w:t xml:space="preserve">2 </w:t>
      </w:r>
      <w:r>
        <w:rPr>
          <w:rFonts w:hint="eastAsia" w:ascii="黑体" w:hAnsi="黑体" w:eastAsia="黑体"/>
          <w:bCs/>
          <w:szCs w:val="32"/>
        </w:rPr>
        <w:t>规范性引用文件</w:t>
      </w:r>
      <w:r>
        <w:tab/>
      </w:r>
      <w:r>
        <w:fldChar w:fldCharType="begin"/>
      </w:r>
      <w:r>
        <w:instrText xml:space="preserve"> PAGEREF _Toc29166 \h </w:instrText>
      </w:r>
      <w:r>
        <w:fldChar w:fldCharType="separate"/>
      </w:r>
      <w:r>
        <w:t>1</w:t>
      </w:r>
      <w:r>
        <w:fldChar w:fldCharType="end"/>
      </w:r>
      <w:r>
        <w:fldChar w:fldCharType="end"/>
      </w:r>
    </w:p>
    <w:p>
      <w:pPr>
        <w:pStyle w:val="11"/>
        <w:tabs>
          <w:tab w:val="right" w:leader="dot" w:pos="9638"/>
        </w:tabs>
        <w:spacing w:line="360" w:lineRule="auto"/>
      </w:pPr>
      <w:r>
        <w:fldChar w:fldCharType="begin"/>
      </w:r>
      <w:r>
        <w:instrText xml:space="preserve">HYPERLINK \l "_Toc31182"</w:instrText>
      </w:r>
      <w:r>
        <w:fldChar w:fldCharType="separate"/>
      </w:r>
      <w:r>
        <w:rPr>
          <w:rFonts w:ascii="黑体" w:hAnsi="黑体" w:eastAsia="黑体"/>
          <w:szCs w:val="32"/>
        </w:rPr>
        <w:t xml:space="preserve">3 </w:t>
      </w:r>
      <w:r>
        <w:rPr>
          <w:rFonts w:hint="eastAsia" w:ascii="黑体" w:hAnsi="黑体" w:eastAsia="黑体"/>
          <w:bCs/>
          <w:szCs w:val="32"/>
        </w:rPr>
        <w:t>术语和定义</w:t>
      </w:r>
      <w:r>
        <w:tab/>
      </w:r>
      <w:r>
        <w:fldChar w:fldCharType="begin"/>
      </w:r>
      <w:r>
        <w:instrText xml:space="preserve"> PAGEREF _Toc31182 \h </w:instrText>
      </w:r>
      <w:r>
        <w:fldChar w:fldCharType="separate"/>
      </w:r>
      <w:r>
        <w:t>2</w:t>
      </w:r>
      <w:r>
        <w:fldChar w:fldCharType="end"/>
      </w:r>
      <w:r>
        <w:fldChar w:fldCharType="end"/>
      </w:r>
    </w:p>
    <w:p>
      <w:pPr>
        <w:pStyle w:val="11"/>
        <w:tabs>
          <w:tab w:val="right" w:leader="dot" w:pos="9638"/>
        </w:tabs>
        <w:spacing w:line="360" w:lineRule="auto"/>
      </w:pPr>
      <w:r>
        <w:fldChar w:fldCharType="begin"/>
      </w:r>
      <w:r>
        <w:instrText xml:space="preserve"> HYPERLINK \l "_Toc24869" </w:instrText>
      </w:r>
      <w:r>
        <w:fldChar w:fldCharType="separate"/>
      </w:r>
      <w:r>
        <w:rPr>
          <w:rFonts w:ascii="黑体" w:hAnsi="黑体" w:eastAsia="黑体"/>
          <w:szCs w:val="32"/>
        </w:rPr>
        <w:t xml:space="preserve">4 </w:t>
      </w:r>
      <w:r>
        <w:rPr>
          <w:rFonts w:hint="eastAsia" w:ascii="黑体" w:hAnsi="黑体" w:eastAsia="黑体"/>
          <w:bCs/>
          <w:szCs w:val="32"/>
        </w:rPr>
        <w:t>基本规定</w:t>
      </w:r>
      <w:r>
        <w:tab/>
      </w:r>
      <w:r>
        <w:fldChar w:fldCharType="begin"/>
      </w:r>
      <w:r>
        <w:instrText xml:space="preserve"> PAGEREF _Toc24869 \h </w:instrText>
      </w:r>
      <w:r>
        <w:fldChar w:fldCharType="separate"/>
      </w:r>
      <w:r>
        <w:t>3</w:t>
      </w:r>
      <w:r>
        <w:fldChar w:fldCharType="end"/>
      </w:r>
      <w:r>
        <w:fldChar w:fldCharType="end"/>
      </w:r>
    </w:p>
    <w:p>
      <w:pPr>
        <w:pStyle w:val="11"/>
        <w:tabs>
          <w:tab w:val="right" w:leader="dot" w:pos="9638"/>
        </w:tabs>
        <w:spacing w:line="360" w:lineRule="auto"/>
      </w:pPr>
      <w:r>
        <w:fldChar w:fldCharType="begin"/>
      </w:r>
      <w:r>
        <w:instrText xml:space="preserve"> HYPERLINK \l "_Toc30259" </w:instrText>
      </w:r>
      <w:r>
        <w:fldChar w:fldCharType="separate"/>
      </w:r>
      <w:r>
        <w:rPr>
          <w:rFonts w:ascii="黑体" w:hAnsi="黑体" w:eastAsia="黑体"/>
          <w:szCs w:val="32"/>
        </w:rPr>
        <w:t xml:space="preserve">5 </w:t>
      </w:r>
      <w:r>
        <w:rPr>
          <w:rFonts w:hint="eastAsia" w:ascii="黑体" w:hAnsi="黑体" w:eastAsia="黑体"/>
          <w:bCs/>
          <w:szCs w:val="32"/>
        </w:rPr>
        <w:t>技术要求</w:t>
      </w:r>
      <w:r>
        <w:tab/>
      </w:r>
      <w:r>
        <w:fldChar w:fldCharType="begin"/>
      </w:r>
      <w:r>
        <w:instrText xml:space="preserve"> PAGEREF _Toc30259 \h </w:instrText>
      </w:r>
      <w:r>
        <w:fldChar w:fldCharType="separate"/>
      </w:r>
      <w:r>
        <w:t>4</w:t>
      </w:r>
      <w:r>
        <w:fldChar w:fldCharType="end"/>
      </w:r>
      <w:r>
        <w:fldChar w:fldCharType="end"/>
      </w:r>
    </w:p>
    <w:p>
      <w:pPr>
        <w:pStyle w:val="11"/>
        <w:tabs>
          <w:tab w:val="right" w:leader="dot" w:pos="9638"/>
        </w:tabs>
        <w:spacing w:line="360" w:lineRule="auto"/>
      </w:pPr>
      <w:r>
        <w:fldChar w:fldCharType="begin"/>
      </w:r>
      <w:r>
        <w:instrText xml:space="preserve"> HYPERLINK \l "_Toc13898" </w:instrText>
      </w:r>
      <w:r>
        <w:fldChar w:fldCharType="separate"/>
      </w:r>
      <w:r>
        <w:rPr>
          <w:rFonts w:ascii="黑体" w:hAnsi="黑体" w:eastAsia="黑体"/>
          <w:szCs w:val="32"/>
        </w:rPr>
        <w:t xml:space="preserve">6 </w:t>
      </w:r>
      <w:r>
        <w:rPr>
          <w:rFonts w:hint="eastAsia" w:ascii="黑体" w:hAnsi="黑体" w:eastAsia="黑体"/>
          <w:bCs/>
          <w:szCs w:val="32"/>
        </w:rPr>
        <w:t>设计要求</w:t>
      </w:r>
      <w:r>
        <w:tab/>
      </w:r>
      <w:r>
        <w:fldChar w:fldCharType="begin"/>
      </w:r>
      <w:r>
        <w:instrText xml:space="preserve"> PAGEREF _Toc13898 \h </w:instrText>
      </w:r>
      <w:r>
        <w:fldChar w:fldCharType="separate"/>
      </w:r>
      <w:r>
        <w:t>6</w:t>
      </w:r>
      <w:r>
        <w:fldChar w:fldCharType="end"/>
      </w:r>
      <w:r>
        <w:fldChar w:fldCharType="end"/>
      </w:r>
    </w:p>
    <w:p>
      <w:pPr>
        <w:pStyle w:val="11"/>
        <w:tabs>
          <w:tab w:val="right" w:leader="dot" w:pos="9638"/>
        </w:tabs>
        <w:spacing w:line="360" w:lineRule="auto"/>
      </w:pPr>
      <w:r>
        <w:fldChar w:fldCharType="begin"/>
      </w:r>
      <w:r>
        <w:instrText xml:space="preserve"> HYPERLINK \l "_Toc32018" </w:instrText>
      </w:r>
      <w:r>
        <w:fldChar w:fldCharType="separate"/>
      </w:r>
      <w:r>
        <w:rPr>
          <w:rFonts w:ascii="黑体" w:hAnsi="黑体" w:eastAsia="黑体"/>
          <w:szCs w:val="32"/>
        </w:rPr>
        <w:t xml:space="preserve">7 </w:t>
      </w:r>
      <w:r>
        <w:rPr>
          <w:rFonts w:hint="eastAsia" w:ascii="黑体" w:hAnsi="黑体" w:eastAsia="黑体"/>
          <w:bCs/>
          <w:szCs w:val="32"/>
        </w:rPr>
        <w:t>施工要求</w:t>
      </w:r>
      <w:r>
        <w:tab/>
      </w:r>
      <w:r>
        <w:fldChar w:fldCharType="begin"/>
      </w:r>
      <w:r>
        <w:instrText xml:space="preserve"> PAGEREF _Toc32018 \h </w:instrText>
      </w:r>
      <w:r>
        <w:fldChar w:fldCharType="separate"/>
      </w:r>
      <w:r>
        <w:t>8</w:t>
      </w:r>
      <w:r>
        <w:fldChar w:fldCharType="end"/>
      </w:r>
      <w:r>
        <w:fldChar w:fldCharType="end"/>
      </w:r>
    </w:p>
    <w:p>
      <w:pPr>
        <w:pStyle w:val="11"/>
        <w:tabs>
          <w:tab w:val="right" w:leader="dot" w:pos="9638"/>
        </w:tabs>
        <w:spacing w:line="360" w:lineRule="auto"/>
      </w:pPr>
      <w:r>
        <w:fldChar w:fldCharType="begin"/>
      </w:r>
      <w:r>
        <w:instrText xml:space="preserve"> HYPERLINK \l "_Toc3969" </w:instrText>
      </w:r>
      <w:r>
        <w:fldChar w:fldCharType="separate"/>
      </w:r>
      <w:r>
        <w:rPr>
          <w:rFonts w:ascii="黑体" w:hAnsi="黑体" w:eastAsia="黑体"/>
          <w:szCs w:val="32"/>
        </w:rPr>
        <w:t xml:space="preserve">8 </w:t>
      </w:r>
      <w:r>
        <w:rPr>
          <w:rFonts w:hint="eastAsia" w:ascii="黑体" w:hAnsi="黑体" w:eastAsia="黑体"/>
          <w:bCs/>
          <w:szCs w:val="32"/>
        </w:rPr>
        <w:t>维护要求</w:t>
      </w:r>
      <w:r>
        <w:tab/>
      </w:r>
      <w:r>
        <w:fldChar w:fldCharType="begin"/>
      </w:r>
      <w:r>
        <w:instrText xml:space="preserve"> PAGEREF _Toc3969 \h </w:instrText>
      </w:r>
      <w:r>
        <w:fldChar w:fldCharType="separate"/>
      </w:r>
      <w:r>
        <w:t>10</w:t>
      </w:r>
      <w:r>
        <w:fldChar w:fldCharType="end"/>
      </w:r>
      <w:r>
        <w:fldChar w:fldCharType="end"/>
      </w:r>
    </w:p>
    <w:p>
      <w:pPr>
        <w:pStyle w:val="11"/>
        <w:tabs>
          <w:tab w:val="right" w:leader="dot" w:pos="9638"/>
        </w:tabs>
        <w:spacing w:line="360" w:lineRule="auto"/>
        <w:rPr>
          <w:rFonts w:ascii="黑体" w:hAnsi="黑体" w:eastAsia="黑体"/>
          <w:szCs w:val="32"/>
        </w:rPr>
      </w:pPr>
      <w:r>
        <w:rPr>
          <w:rFonts w:hint="eastAsia" w:ascii="黑体" w:hAnsi="黑体" w:eastAsia="黑体"/>
          <w:szCs w:val="32"/>
        </w:rPr>
        <w:t>附录</w:t>
      </w:r>
      <w:r>
        <w:rPr>
          <w:rFonts w:ascii="黑体" w:hAnsi="黑体" w:eastAsia="黑体"/>
          <w:szCs w:val="32"/>
        </w:rPr>
        <w:t xml:space="preserve"> A</w:t>
      </w:r>
      <w:r>
        <w:rPr>
          <w:rFonts w:hint="eastAsia" w:ascii="Times New Roman" w:hAnsi="Times New Roman" w:eastAsia="宋体"/>
          <w:szCs w:val="22"/>
        </w:rPr>
        <w:tab/>
      </w:r>
      <w:r>
        <w:rPr>
          <w:rFonts w:hint="eastAsia" w:ascii="Times New Roman" w:hAnsi="Times New Roman" w:eastAsia="宋体"/>
          <w:szCs w:val="22"/>
        </w:rPr>
        <w:t>11</w:t>
      </w:r>
    </w:p>
    <w:p>
      <w:pPr>
        <w:spacing w:before="312" w:beforeLines="100" w:after="312" w:afterLines="100" w:line="360" w:lineRule="auto"/>
        <w:jc w:val="center"/>
        <w:rPr>
          <w:b/>
          <w:sz w:val="32"/>
          <w:szCs w:val="32"/>
        </w:rPr>
      </w:pPr>
      <w:r>
        <w:rPr>
          <w:rFonts w:hint="eastAsia"/>
          <w:szCs w:val="32"/>
        </w:rPr>
        <w:fldChar w:fldCharType="end"/>
      </w:r>
    </w:p>
    <w:p>
      <w:pPr>
        <w:spacing w:before="62" w:after="62"/>
        <w:ind w:firstLine="420" w:firstLineChars="200"/>
        <w:rPr>
          <w:rFonts w:hint="eastAsia" w:ascii="宋体" w:hAnsi="宋体"/>
          <w:iCs/>
          <w:szCs w:val="21"/>
        </w:rPr>
      </w:pPr>
    </w:p>
    <w:p>
      <w:pPr>
        <w:spacing w:before="62" w:after="62"/>
        <w:ind w:firstLine="2310" w:firstLineChars="1100"/>
        <w:rPr>
          <w:szCs w:val="24"/>
        </w:rPr>
      </w:pPr>
    </w:p>
    <w:p>
      <w:pPr>
        <w:spacing w:before="62" w:after="62"/>
        <w:ind w:firstLine="2310" w:firstLineChars="1100"/>
        <w:rPr>
          <w:szCs w:val="24"/>
        </w:rPr>
      </w:pPr>
    </w:p>
    <w:bookmarkEnd w:id="1"/>
    <w:bookmarkEnd w:id="2"/>
    <w:bookmarkEnd w:id="3"/>
    <w:bookmarkEnd w:id="4"/>
    <w:p>
      <w:pPr>
        <w:spacing w:before="312" w:beforeLines="100" w:after="312" w:afterLines="100"/>
        <w:jc w:val="center"/>
        <w:rPr>
          <w:b/>
          <w:sz w:val="32"/>
          <w:szCs w:val="32"/>
        </w:rPr>
      </w:pPr>
      <w:bookmarkStart w:id="6" w:name="_Toc2685"/>
      <w:bookmarkStart w:id="7" w:name="_Toc14856"/>
    </w:p>
    <w:p>
      <w:pPr>
        <w:spacing w:before="312" w:beforeLines="100" w:after="312" w:afterLines="100"/>
        <w:jc w:val="center"/>
        <w:rPr>
          <w:b/>
          <w:sz w:val="32"/>
          <w:szCs w:val="32"/>
        </w:rPr>
      </w:pPr>
    </w:p>
    <w:p>
      <w:pPr>
        <w:spacing w:before="312" w:beforeLines="100" w:after="312" w:afterLines="100"/>
        <w:jc w:val="center"/>
        <w:rPr>
          <w:b/>
          <w:sz w:val="32"/>
          <w:szCs w:val="32"/>
        </w:rPr>
      </w:pPr>
    </w:p>
    <w:p>
      <w:pPr>
        <w:spacing w:before="312" w:beforeLines="100" w:after="312" w:afterLines="100"/>
        <w:jc w:val="center"/>
        <w:rPr>
          <w:b/>
          <w:sz w:val="32"/>
          <w:szCs w:val="32"/>
        </w:rPr>
        <w:sectPr>
          <w:footerReference r:id="rId5" w:type="default"/>
          <w:pgSz w:w="11906" w:h="16838"/>
          <w:pgMar w:top="1134" w:right="1134" w:bottom="1134" w:left="1134" w:header="851" w:footer="851" w:gutter="0"/>
          <w:pgNumType w:fmt="numberInDash" w:start="1"/>
          <w:cols w:space="720" w:num="1"/>
          <w:docGrid w:type="lines" w:linePitch="312" w:charSpace="0"/>
        </w:sectPr>
      </w:pPr>
    </w:p>
    <w:bookmarkEnd w:id="6"/>
    <w:bookmarkEnd w:id="7"/>
    <w:p>
      <w:pPr>
        <w:ind w:firstLine="600"/>
        <w:jc w:val="center"/>
        <w:rPr>
          <w:rFonts w:hint="eastAsia" w:ascii="黑体" w:hAnsi="黑体" w:eastAsia="黑体"/>
          <w:sz w:val="32"/>
          <w:szCs w:val="30"/>
        </w:rPr>
      </w:pPr>
      <w:r>
        <w:rPr>
          <w:rFonts w:hint="eastAsia" w:ascii="黑体" w:hAnsi="黑体" w:eastAsia="黑体"/>
          <w:sz w:val="32"/>
          <w:szCs w:val="30"/>
        </w:rPr>
        <w:t>前</w:t>
      </w:r>
      <w:r>
        <w:rPr>
          <w:rFonts w:ascii="黑体" w:hAnsi="黑体" w:eastAsia="黑体"/>
          <w:sz w:val="32"/>
          <w:szCs w:val="30"/>
        </w:rPr>
        <w:t xml:space="preserve">  言</w:t>
      </w:r>
    </w:p>
    <w:p>
      <w:pPr>
        <w:spacing w:line="360" w:lineRule="auto"/>
        <w:ind w:firstLine="420" w:firstLineChars="200"/>
        <w:rPr>
          <w:iCs/>
          <w:szCs w:val="24"/>
        </w:rPr>
      </w:pPr>
      <w:r>
        <w:rPr>
          <w:rFonts w:hint="eastAsia"/>
          <w:iCs/>
          <w:szCs w:val="24"/>
        </w:rPr>
        <w:t>本文件按照GB</w:t>
      </w:r>
      <w:r>
        <w:rPr>
          <w:iCs/>
          <w:szCs w:val="24"/>
        </w:rPr>
        <w:t>/T 1.1-2020</w:t>
      </w:r>
      <w:r>
        <w:rPr>
          <w:rFonts w:hint="eastAsia"/>
          <w:iCs/>
          <w:szCs w:val="24"/>
        </w:rPr>
        <w:t>《标准工作导则 第1部分：标准文件的结构和起草规则》的规定起草。</w:t>
      </w:r>
    </w:p>
    <w:p>
      <w:pPr>
        <w:spacing w:line="360" w:lineRule="auto"/>
        <w:ind w:firstLine="420" w:firstLineChars="200"/>
        <w:rPr>
          <w:szCs w:val="24"/>
        </w:rPr>
      </w:pPr>
      <w:r>
        <w:rPr>
          <w:rFonts w:hint="eastAsia"/>
          <w:szCs w:val="24"/>
        </w:rPr>
        <w:t>本文件由重庆市交通运输委员会提出。</w:t>
      </w:r>
    </w:p>
    <w:p>
      <w:pPr>
        <w:spacing w:line="360" w:lineRule="auto"/>
        <w:ind w:firstLine="420" w:firstLineChars="200"/>
        <w:rPr>
          <w:szCs w:val="24"/>
        </w:rPr>
      </w:pPr>
      <w:r>
        <w:rPr>
          <w:rFonts w:hint="eastAsia"/>
          <w:szCs w:val="24"/>
        </w:rPr>
        <w:t>本文件由重庆市交通运输委员会归口。</w:t>
      </w:r>
    </w:p>
    <w:p>
      <w:pPr>
        <w:spacing w:line="360" w:lineRule="auto"/>
        <w:ind w:firstLine="420" w:firstLineChars="200"/>
        <w:rPr>
          <w:szCs w:val="24"/>
        </w:rPr>
      </w:pPr>
      <w:r>
        <w:rPr>
          <w:rFonts w:hint="eastAsia"/>
          <w:szCs w:val="24"/>
        </w:rPr>
        <w:t>请各有关单位在执行过程中，将发现的问题或建议函告招商局重庆交通科研设计院有限公司（地址：重庆市南岸区学府大道33号；邮编：400067；电话：18008377008，电子邮箱：shilingna@cmhk.com），以便修订时研用。</w:t>
      </w:r>
    </w:p>
    <w:p>
      <w:pPr>
        <w:spacing w:line="360" w:lineRule="auto"/>
        <w:ind w:firstLine="420" w:firstLineChars="200"/>
        <w:rPr>
          <w:szCs w:val="21"/>
        </w:rPr>
      </w:pPr>
      <w:r>
        <w:rPr>
          <w:rFonts w:hint="eastAsia"/>
          <w:szCs w:val="24"/>
        </w:rPr>
        <w:t>本文件起草单位：</w:t>
      </w:r>
      <w:r>
        <w:rPr>
          <w:bCs/>
          <w:szCs w:val="21"/>
        </w:rPr>
        <w:t>招商局重庆交通科研设计院有限公司</w:t>
      </w:r>
    </w:p>
    <w:p>
      <w:pPr>
        <w:spacing w:line="360" w:lineRule="auto"/>
        <w:ind w:left="1680" w:leftChars="800" w:firstLine="420" w:firstLineChars="200"/>
        <w:rPr>
          <w:szCs w:val="21"/>
        </w:rPr>
      </w:pPr>
      <w:r>
        <w:rPr>
          <w:rFonts w:hint="eastAsia"/>
          <w:bCs/>
          <w:szCs w:val="21"/>
        </w:rPr>
        <w:t>重庆高速公路集团有限公司</w:t>
      </w:r>
    </w:p>
    <w:p>
      <w:pPr>
        <w:spacing w:line="360" w:lineRule="auto"/>
        <w:ind w:left="1680" w:leftChars="800" w:firstLine="420" w:firstLineChars="200"/>
        <w:rPr>
          <w:szCs w:val="21"/>
        </w:rPr>
      </w:pPr>
      <w:r>
        <w:rPr>
          <w:rFonts w:hint="eastAsia"/>
          <w:bCs/>
          <w:szCs w:val="21"/>
        </w:rPr>
        <w:t>重庆高速工程顾问有限公司</w:t>
      </w:r>
    </w:p>
    <w:p>
      <w:pPr>
        <w:spacing w:line="360" w:lineRule="auto"/>
        <w:ind w:left="1680" w:leftChars="800" w:firstLine="420" w:firstLineChars="200"/>
        <w:rPr>
          <w:bCs/>
          <w:szCs w:val="21"/>
        </w:rPr>
      </w:pPr>
      <w:r>
        <w:rPr>
          <w:rFonts w:hint="eastAsia"/>
          <w:bCs/>
          <w:szCs w:val="21"/>
        </w:rPr>
        <w:t>重庆航运建设发展（集团）有限公司</w:t>
      </w:r>
    </w:p>
    <w:p>
      <w:pPr>
        <w:spacing w:line="360" w:lineRule="auto"/>
        <w:ind w:firstLine="420" w:firstLineChars="200"/>
        <w:rPr>
          <w:szCs w:val="21"/>
        </w:rPr>
      </w:pPr>
      <w:r>
        <w:rPr>
          <w:rFonts w:hint="eastAsia"/>
          <w:szCs w:val="24"/>
        </w:rPr>
        <w:t>本文件主要起草人：</w:t>
      </w:r>
      <w:r>
        <w:rPr>
          <w:rFonts w:hint="eastAsia"/>
          <w:szCs w:val="21"/>
        </w:rPr>
        <w:t xml:space="preserve">涂  耘 冯  畅 王浩欢  蒋俊彦 史玲娜  廖重臣 吴四飞 王天兴 吴金锁 石垚 </w:t>
      </w:r>
    </w:p>
    <w:p>
      <w:pPr>
        <w:spacing w:line="360" w:lineRule="auto"/>
        <w:ind w:firstLine="2310" w:firstLineChars="1100"/>
        <w:rPr>
          <w:bCs/>
          <w:szCs w:val="21"/>
        </w:rPr>
      </w:pPr>
      <w:r>
        <w:rPr>
          <w:rFonts w:hint="eastAsia"/>
          <w:szCs w:val="21"/>
        </w:rPr>
        <w:t>李茂华 谢宗桓</w:t>
      </w:r>
    </w:p>
    <w:p/>
    <w:p>
      <w:pPr>
        <w:pStyle w:val="27"/>
        <w:ind w:firstLine="482"/>
        <w:rPr>
          <w:b/>
          <w:sz w:val="24"/>
          <w:szCs w:val="24"/>
        </w:rPr>
        <w:sectPr>
          <w:pgSz w:w="11906" w:h="16838"/>
          <w:pgMar w:top="1134" w:right="1134" w:bottom="1134" w:left="1134" w:header="851" w:footer="851" w:gutter="0"/>
          <w:pgNumType w:fmt="numberInDash" w:start="1"/>
          <w:cols w:space="720" w:num="1"/>
          <w:docGrid w:type="lines" w:linePitch="312" w:charSpace="0"/>
        </w:sectPr>
      </w:pPr>
    </w:p>
    <w:p>
      <w:pPr>
        <w:pStyle w:val="28"/>
        <w:spacing w:beforeLines="20" w:afterLines="20" w:line="288" w:lineRule="auto"/>
      </w:pPr>
      <w:bookmarkStart w:id="8" w:name="_Hlk155943729"/>
      <w:r>
        <w:rPr>
          <w:rFonts w:hint="eastAsia"/>
        </w:rPr>
        <w:t>高速公路沿线光伏发电应用技术规范</w:t>
      </w:r>
    </w:p>
    <w:p>
      <w:pPr>
        <w:pStyle w:val="2"/>
        <w:numPr>
          <w:ilvl w:val="0"/>
          <w:numId w:val="1"/>
        </w:numPr>
        <w:spacing w:before="156" w:beforeLines="50" w:after="156" w:afterLines="50" w:line="240" w:lineRule="auto"/>
        <w:contextualSpacing/>
        <w:rPr>
          <w:rFonts w:hint="eastAsia" w:ascii="黑体" w:hAnsi="黑体" w:eastAsia="黑体"/>
          <w:b w:val="0"/>
          <w:bCs/>
          <w:sz w:val="21"/>
          <w:szCs w:val="32"/>
        </w:rPr>
      </w:pPr>
      <w:bookmarkStart w:id="9" w:name="_Toc17660"/>
      <w:bookmarkStart w:id="10" w:name="_Toc13889"/>
      <w:r>
        <w:rPr>
          <w:rFonts w:hint="eastAsia" w:ascii="黑体" w:hAnsi="黑体" w:eastAsia="黑体"/>
          <w:b w:val="0"/>
          <w:bCs/>
          <w:sz w:val="21"/>
          <w:szCs w:val="32"/>
        </w:rPr>
        <w:t>范围</w:t>
      </w:r>
      <w:bookmarkEnd w:id="9"/>
      <w:bookmarkEnd w:id="10"/>
    </w:p>
    <w:p>
      <w:pPr>
        <w:spacing w:before="62" w:beforeLines="20" w:after="62" w:afterLines="20" w:line="288" w:lineRule="auto"/>
        <w:ind w:firstLine="420"/>
      </w:pPr>
      <w:r>
        <w:rPr>
          <w:rFonts w:hint="eastAsia"/>
        </w:rPr>
        <w:t>本文件规定了高速公路沿线光伏发电应用的技术要求、设计要求、施工要求和维护要求。</w:t>
      </w:r>
    </w:p>
    <w:p>
      <w:pPr>
        <w:spacing w:before="62" w:beforeLines="20" w:after="62" w:afterLines="20" w:line="288" w:lineRule="auto"/>
        <w:ind w:firstLine="420"/>
      </w:pPr>
      <w:r>
        <w:rPr>
          <w:rFonts w:hint="eastAsia"/>
        </w:rPr>
        <w:t>本文件适用于高速公路沿线10kV及以下电压等级接入、单个并网点总装机容量不超过6MW的光伏发电工程建设。</w:t>
      </w:r>
    </w:p>
    <w:p>
      <w:pPr>
        <w:pStyle w:val="2"/>
        <w:numPr>
          <w:ilvl w:val="0"/>
          <w:numId w:val="1"/>
        </w:numPr>
        <w:spacing w:before="312" w:beforeLines="100" w:after="156" w:afterLines="50" w:line="240" w:lineRule="auto"/>
        <w:contextualSpacing/>
        <w:rPr>
          <w:rFonts w:hint="eastAsia" w:ascii="黑体" w:hAnsi="黑体" w:eastAsia="黑体"/>
          <w:b w:val="0"/>
          <w:bCs/>
          <w:sz w:val="21"/>
          <w:szCs w:val="32"/>
        </w:rPr>
      </w:pPr>
      <w:bookmarkStart w:id="11" w:name="_Toc29025"/>
      <w:bookmarkStart w:id="12" w:name="_Toc29166"/>
      <w:r>
        <w:rPr>
          <w:rFonts w:hint="eastAsia" w:ascii="黑体" w:hAnsi="黑体" w:eastAsia="黑体"/>
          <w:b w:val="0"/>
          <w:bCs/>
          <w:sz w:val="21"/>
          <w:szCs w:val="32"/>
        </w:rPr>
        <w:t>规范性引用文件</w:t>
      </w:r>
      <w:bookmarkEnd w:id="11"/>
      <w:bookmarkEnd w:id="12"/>
    </w:p>
    <w:p>
      <w:pPr>
        <w:spacing w:before="62" w:beforeLines="20" w:after="62" w:afterLines="20"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spacing w:before="62" w:beforeLines="20" w:after="62" w:afterLines="20" w:line="288" w:lineRule="auto"/>
        <w:ind w:firstLine="420"/>
      </w:pPr>
      <w:bookmarkStart w:id="13" w:name="OLE_LINK10"/>
      <w:r>
        <w:rPr>
          <w:rFonts w:hint="eastAsia"/>
        </w:rPr>
        <w:t>GB/T 700 碳素结构钢</w:t>
      </w:r>
    </w:p>
    <w:p>
      <w:pPr>
        <w:spacing w:before="62" w:beforeLines="20" w:after="62" w:afterLines="20" w:line="288" w:lineRule="auto"/>
        <w:ind w:firstLine="420"/>
      </w:pPr>
      <w:bookmarkStart w:id="14" w:name="OLE_LINK6"/>
      <w:r>
        <w:t>GB/T 29319</w:t>
      </w:r>
      <w:bookmarkEnd w:id="14"/>
      <w:r>
        <w:t xml:space="preserve"> </w:t>
      </w:r>
      <w:r>
        <w:rPr>
          <w:rFonts w:hint="eastAsia"/>
        </w:rPr>
        <w:t>光伏发电系统接入配电网技术规定</w:t>
      </w:r>
    </w:p>
    <w:p>
      <w:pPr>
        <w:spacing w:before="62" w:beforeLines="20" w:after="62" w:afterLines="20" w:line="288" w:lineRule="auto"/>
        <w:ind w:firstLine="420"/>
      </w:pPr>
      <w:r>
        <w:rPr>
          <w:rFonts w:hint="eastAsia"/>
        </w:rPr>
        <w:t>GB/T 32512 光伏发电站防雷技术要求</w:t>
      </w:r>
    </w:p>
    <w:p>
      <w:pPr>
        <w:spacing w:before="62" w:beforeLines="20" w:after="62" w:afterLines="20" w:line="288" w:lineRule="auto"/>
        <w:ind w:firstLine="420"/>
      </w:pPr>
      <w:r>
        <w:rPr>
          <w:rFonts w:hint="eastAsia"/>
        </w:rPr>
        <w:t>GB/T 37408 光伏发电并网逆变器技术要求</w:t>
      </w:r>
    </w:p>
    <w:p>
      <w:pPr>
        <w:spacing w:before="62" w:beforeLines="20" w:after="62" w:afterLines="20" w:line="288" w:lineRule="auto"/>
        <w:ind w:firstLine="420"/>
      </w:pPr>
      <w:r>
        <w:t>GB/T 38946</w:t>
      </w:r>
      <w:r>
        <w:rPr>
          <w:rFonts w:hint="eastAsia"/>
        </w:rPr>
        <w:t xml:space="preserve"> 分布式光伏发电系统集中运维技术规范</w:t>
      </w:r>
    </w:p>
    <w:p>
      <w:pPr>
        <w:spacing w:before="62" w:beforeLines="20" w:after="62" w:afterLines="20" w:line="288" w:lineRule="auto"/>
        <w:ind w:firstLine="420"/>
      </w:pPr>
      <w:r>
        <w:rPr>
          <w:rFonts w:hint="eastAsia"/>
        </w:rPr>
        <w:t>GB 50002 建筑模数协调统一标准</w:t>
      </w:r>
    </w:p>
    <w:p>
      <w:pPr>
        <w:spacing w:before="62" w:beforeLines="20" w:after="62" w:afterLines="20" w:line="288" w:lineRule="auto"/>
        <w:ind w:firstLine="420"/>
      </w:pPr>
      <w:r>
        <w:rPr>
          <w:rFonts w:hint="eastAsia"/>
        </w:rPr>
        <w:t>GB</w:t>
      </w:r>
      <w:r>
        <w:rPr>
          <w:rFonts w:hint="eastAsia"/>
          <w:b/>
        </w:rPr>
        <w:t xml:space="preserve"> </w:t>
      </w:r>
      <w:r>
        <w:rPr>
          <w:rFonts w:hint="eastAsia"/>
        </w:rPr>
        <w:t>50006厂房建筑模数协调标准</w:t>
      </w:r>
    </w:p>
    <w:p>
      <w:pPr>
        <w:spacing w:before="62" w:beforeLines="20" w:after="62" w:afterLines="20" w:line="288" w:lineRule="auto"/>
        <w:ind w:firstLine="420"/>
      </w:pPr>
      <w:r>
        <w:rPr>
          <w:rFonts w:hint="eastAsia"/>
        </w:rPr>
        <w:t>GB 50009 建筑结构荷载规范</w:t>
      </w:r>
    </w:p>
    <w:p>
      <w:pPr>
        <w:spacing w:before="62" w:beforeLines="20" w:after="62" w:afterLines="20" w:line="288" w:lineRule="auto"/>
        <w:ind w:firstLine="420"/>
      </w:pPr>
      <w:r>
        <w:rPr>
          <w:rFonts w:hint="eastAsia"/>
        </w:rPr>
        <w:t>GB 50217 电力工程电缆设计规范</w:t>
      </w:r>
    </w:p>
    <w:p>
      <w:pPr>
        <w:spacing w:before="62" w:beforeLines="20" w:after="62" w:afterLines="20" w:line="288" w:lineRule="auto"/>
        <w:ind w:firstLine="420"/>
      </w:pPr>
      <w:bookmarkStart w:id="15" w:name="OLE_LINK5"/>
      <w:r>
        <w:rPr>
          <w:rFonts w:hint="eastAsia"/>
        </w:rPr>
        <w:t>GB 50794 光伏发电站施工规范</w:t>
      </w:r>
    </w:p>
    <w:bookmarkEnd w:id="15"/>
    <w:p>
      <w:pPr>
        <w:spacing w:before="62" w:beforeLines="20" w:after="62" w:afterLines="20" w:line="288" w:lineRule="auto"/>
        <w:ind w:firstLine="420"/>
      </w:pPr>
      <w:r>
        <w:rPr>
          <w:rFonts w:hint="eastAsia"/>
        </w:rPr>
        <w:t>GB 50797 光伏发电站设计规范</w:t>
      </w:r>
    </w:p>
    <w:p>
      <w:pPr>
        <w:spacing w:before="62" w:beforeLines="20" w:after="62" w:afterLines="20" w:line="288" w:lineRule="auto"/>
        <w:ind w:firstLine="420"/>
      </w:pPr>
      <w:r>
        <w:rPr>
          <w:rFonts w:hint="eastAsia"/>
          <w:bCs/>
        </w:rPr>
        <w:t>JTG D 81 公路交通安全设施设计规范</w:t>
      </w:r>
    </w:p>
    <w:p>
      <w:pPr>
        <w:spacing w:before="62" w:beforeLines="20" w:after="62" w:afterLines="20" w:line="288" w:lineRule="auto"/>
        <w:ind w:firstLine="420"/>
      </w:pPr>
      <w:r>
        <w:rPr>
          <w:rFonts w:hint="eastAsia"/>
        </w:rPr>
        <w:t>JTG/T 3610 公路路基施工技术规范</w:t>
      </w:r>
    </w:p>
    <w:p>
      <w:pPr>
        <w:spacing w:before="62" w:beforeLines="20" w:after="62" w:afterLines="20" w:line="288" w:lineRule="auto"/>
        <w:ind w:firstLine="420"/>
      </w:pPr>
      <w:r>
        <w:rPr>
          <w:rFonts w:hint="eastAsia"/>
        </w:rPr>
        <w:t>NB/T 10320 光伏发电工程组件及支架安全质量评定标准</w:t>
      </w:r>
    </w:p>
    <w:p>
      <w:pPr>
        <w:spacing w:before="62" w:beforeLines="20" w:after="62" w:afterLines="20" w:line="288" w:lineRule="auto"/>
        <w:ind w:firstLine="420"/>
      </w:pPr>
      <w:r>
        <w:rPr>
          <w:rFonts w:hint="eastAsia"/>
        </w:rPr>
        <w:t>DB50/T 959 营运高速公路施工管理规定</w:t>
      </w:r>
    </w:p>
    <w:p>
      <w:pPr>
        <w:spacing w:before="62" w:beforeLines="20" w:after="62" w:afterLines="20" w:line="288" w:lineRule="auto"/>
        <w:ind w:firstLine="420"/>
      </w:pPr>
      <w:r>
        <w:rPr>
          <w:rFonts w:hint="eastAsia"/>
        </w:rPr>
        <w:t>渝交管养</w:t>
      </w:r>
      <w:r>
        <w:rPr>
          <w:rFonts w:hint="eastAsia" w:ascii="Times New Roman" w:hAnsi="Times New Roman"/>
        </w:rPr>
        <w:t>〔2024〕38号</w:t>
      </w:r>
      <w:r>
        <w:rPr>
          <w:rFonts w:hint="eastAsia"/>
        </w:rPr>
        <w:t xml:space="preserve"> 重庆市高速公路分布式光伏设置技术管理指导意见</w:t>
      </w:r>
    </w:p>
    <w:bookmarkEnd w:id="13"/>
    <w:p>
      <w:pPr>
        <w:widowControl/>
        <w:spacing w:before="0" w:beforeLines="-2147483648" w:after="0" w:afterLines="-2147483648" w:line="240" w:lineRule="auto"/>
        <w:ind w:firstLine="0"/>
        <w:jc w:val="left"/>
      </w:pPr>
      <w:r>
        <w:br w:type="page"/>
      </w:r>
    </w:p>
    <w:p>
      <w:pPr>
        <w:pStyle w:val="2"/>
        <w:numPr>
          <w:ilvl w:val="0"/>
          <w:numId w:val="1"/>
        </w:numPr>
        <w:spacing w:before="156" w:beforeLines="50" w:after="156" w:afterLines="50" w:line="240" w:lineRule="auto"/>
        <w:contextualSpacing/>
        <w:rPr>
          <w:rFonts w:hint="eastAsia" w:ascii="黑体" w:hAnsi="黑体" w:eastAsia="黑体"/>
          <w:b w:val="0"/>
          <w:bCs/>
          <w:sz w:val="21"/>
          <w:szCs w:val="32"/>
        </w:rPr>
      </w:pPr>
      <w:bookmarkStart w:id="16" w:name="_Toc32307"/>
      <w:bookmarkStart w:id="17" w:name="_Toc31182"/>
      <w:r>
        <w:rPr>
          <w:rFonts w:hint="eastAsia" w:ascii="黑体" w:hAnsi="黑体" w:eastAsia="黑体"/>
          <w:b w:val="0"/>
          <w:bCs/>
          <w:sz w:val="21"/>
          <w:szCs w:val="32"/>
        </w:rPr>
        <w:t>术语和定义</w:t>
      </w:r>
      <w:bookmarkEnd w:id="16"/>
      <w:bookmarkEnd w:id="17"/>
    </w:p>
    <w:p>
      <w:pPr>
        <w:spacing w:before="62" w:beforeLines="20" w:after="62" w:afterLines="20" w:line="288" w:lineRule="auto"/>
        <w:ind w:firstLine="420"/>
      </w:pPr>
      <w:r>
        <w:rPr>
          <w:rFonts w:hint="eastAsia"/>
        </w:rPr>
        <w:t>下列术语和定义适用于本文件。</w:t>
      </w:r>
    </w:p>
    <w:p>
      <w:pPr>
        <w:pStyle w:val="3"/>
        <w:spacing w:before="156" w:after="156"/>
        <w:rPr>
          <w:rFonts w:hint="eastAsia"/>
        </w:rPr>
      </w:pPr>
      <w:bookmarkStart w:id="18" w:name="_Toc20916"/>
    </w:p>
    <w:p>
      <w:pPr>
        <w:pStyle w:val="3"/>
        <w:numPr>
          <w:ilvl w:val="0"/>
          <w:numId w:val="0"/>
        </w:numPr>
        <w:spacing w:before="156" w:after="156"/>
        <w:ind w:firstLine="420" w:firstLineChars="200"/>
        <w:rPr>
          <w:rFonts w:hint="eastAsia"/>
          <w:highlight w:val="none"/>
          <w:lang w:eastAsia="zh-CN"/>
        </w:rPr>
      </w:pPr>
      <w:r>
        <w:rPr>
          <w:rFonts w:hint="eastAsia"/>
          <w:lang w:eastAsia="zh-Hans"/>
        </w:rPr>
        <w:t>消纳能力</w:t>
      </w:r>
      <w:r>
        <w:rPr>
          <w:rFonts w:hint="eastAsia"/>
          <w:lang w:eastAsia="zh-CN"/>
        </w:rPr>
        <w:t xml:space="preserve"> C</w:t>
      </w:r>
      <w:r>
        <w:rPr>
          <w:lang w:eastAsia="zh-CN"/>
        </w:rPr>
        <w:t>onsumption capacity</w:t>
      </w:r>
    </w:p>
    <w:p>
      <w:pPr>
        <w:spacing w:before="156" w:after="156"/>
        <w:ind w:firstLine="420" w:firstLineChars="200"/>
        <w:rPr>
          <w:rFonts w:hint="eastAsia"/>
        </w:rPr>
      </w:pPr>
      <w:r>
        <w:rPr>
          <w:rFonts w:hint="eastAsia"/>
        </w:rPr>
        <w:t>电网或用户接纳和使用新能源的电能大小。</w:t>
      </w:r>
    </w:p>
    <w:p>
      <w:pPr>
        <w:pStyle w:val="3"/>
        <w:spacing w:before="156" w:after="156"/>
        <w:rPr>
          <w:rFonts w:hint="eastAsia"/>
        </w:rPr>
      </w:pPr>
    </w:p>
    <w:p>
      <w:pPr>
        <w:pStyle w:val="3"/>
        <w:numPr>
          <w:ilvl w:val="0"/>
          <w:numId w:val="0"/>
        </w:numPr>
        <w:spacing w:before="156" w:after="156"/>
        <w:ind w:firstLine="420" w:firstLineChars="200"/>
        <w:rPr>
          <w:rFonts w:hint="eastAsia"/>
          <w:highlight w:val="none"/>
          <w:lang w:eastAsia="zh-CN"/>
        </w:rPr>
      </w:pPr>
      <w:bookmarkStart w:id="19" w:name="OLE_LINK7"/>
      <w:r>
        <w:rPr>
          <w:rFonts w:hint="eastAsia"/>
          <w:highlight w:val="none"/>
          <w:lang w:eastAsia="zh-Hans"/>
        </w:rPr>
        <w:t>光伏发电系统</w:t>
      </w:r>
      <w:r>
        <w:rPr>
          <w:rFonts w:hint="eastAsia"/>
          <w:lang w:eastAsia="zh-CN"/>
        </w:rPr>
        <w:t xml:space="preserve"> P</w:t>
      </w:r>
      <w:r>
        <w:rPr>
          <w:lang w:eastAsia="zh-CN"/>
        </w:rPr>
        <w:t>hotovoltaic power generation system</w:t>
      </w:r>
    </w:p>
    <w:bookmarkEnd w:id="19"/>
    <w:p>
      <w:pPr>
        <w:ind w:firstLine="420" w:firstLineChars="200"/>
      </w:pPr>
      <w:r>
        <w:t>通过光伏组件将太阳光转化为电能的系统，</w:t>
      </w:r>
      <w:r>
        <w:rPr>
          <w:rFonts w:hint="eastAsia"/>
        </w:rPr>
        <w:t>主要包括光伏组件、光伏支架、逆变器、储能设备、汇流箱及监控系统等。</w:t>
      </w:r>
    </w:p>
    <w:p>
      <w:pPr>
        <w:ind w:firstLine="420" w:firstLineChars="200"/>
      </w:pPr>
      <w:r>
        <w:rPr>
          <w:rFonts w:hint="eastAsia"/>
        </w:rPr>
        <w:t>[来源：GB/T 29319—2024,3.1]</w:t>
      </w:r>
      <w:bookmarkEnd w:id="18"/>
    </w:p>
    <w:p>
      <w:pPr>
        <w:pStyle w:val="3"/>
        <w:spacing w:before="156" w:after="156"/>
        <w:rPr>
          <w:rFonts w:hint="eastAsia"/>
          <w:lang w:eastAsia="zh-CN"/>
        </w:rPr>
      </w:pPr>
    </w:p>
    <w:p>
      <w:pPr>
        <w:pStyle w:val="3"/>
        <w:numPr>
          <w:ilvl w:val="0"/>
          <w:numId w:val="0"/>
        </w:numPr>
        <w:spacing w:before="156" w:after="156"/>
        <w:ind w:firstLine="420" w:firstLineChars="200"/>
        <w:rPr>
          <w:rFonts w:hint="eastAsia"/>
          <w:lang w:eastAsia="zh-CN"/>
        </w:rPr>
      </w:pPr>
      <w:r>
        <w:rPr>
          <w:rFonts w:hint="eastAsia"/>
          <w:lang w:eastAsia="zh-CN"/>
        </w:rPr>
        <w:t xml:space="preserve">最大功率点追踪  </w:t>
      </w:r>
      <w:r>
        <w:rPr>
          <w:lang w:eastAsia="zh-CN"/>
        </w:rPr>
        <w:t>Maximum power point tracking</w:t>
      </w:r>
    </w:p>
    <w:p>
      <w:pPr>
        <w:ind w:firstLine="435"/>
      </w:pPr>
      <w:r>
        <w:t>实时侦测</w:t>
      </w:r>
      <w:r>
        <w:rPr>
          <w:rFonts w:hint="eastAsia"/>
        </w:rPr>
        <w:t>光伏组件</w:t>
      </w:r>
      <w:r>
        <w:t>的发电电压，并追踪最高电压电流值，使系统以最大功率输出</w:t>
      </w:r>
      <w:r>
        <w:rPr>
          <w:rFonts w:hint="eastAsia"/>
        </w:rPr>
        <w:t>的过程。</w:t>
      </w:r>
    </w:p>
    <w:p>
      <w:pPr>
        <w:pStyle w:val="3"/>
        <w:spacing w:before="156" w:after="156"/>
        <w:rPr>
          <w:rFonts w:hint="eastAsia"/>
          <w:lang w:eastAsia="zh-CN"/>
        </w:rPr>
      </w:pPr>
      <w:bookmarkStart w:id="20" w:name="OLE_LINK12"/>
    </w:p>
    <w:p>
      <w:pPr>
        <w:pStyle w:val="3"/>
        <w:numPr>
          <w:ilvl w:val="0"/>
          <w:numId w:val="0"/>
        </w:numPr>
        <w:spacing w:before="156" w:after="156"/>
        <w:ind w:firstLine="420" w:firstLineChars="200"/>
      </w:pPr>
      <w:r>
        <w:rPr>
          <w:rFonts w:hint="eastAsia"/>
          <w:lang w:eastAsia="zh-CN"/>
        </w:rPr>
        <w:t>公共连接点 Point of common coupling</w:t>
      </w:r>
    </w:p>
    <w:p>
      <w:pPr>
        <w:ind w:firstLine="420"/>
      </w:pPr>
      <w:r>
        <w:rPr>
          <w:rFonts w:hint="eastAsia"/>
        </w:rPr>
        <w:t>光伏发电系统接入公共电网的连接处。</w:t>
      </w:r>
    </w:p>
    <w:p>
      <w:pPr>
        <w:ind w:firstLine="420"/>
      </w:pPr>
      <w:r>
        <w:rPr>
          <w:rFonts w:hint="eastAsia"/>
        </w:rPr>
        <w:t>[来源：</w:t>
      </w:r>
      <w:bookmarkStart w:id="21" w:name="OLE_LINK9"/>
      <w:r>
        <w:rPr>
          <w:rFonts w:hint="eastAsia"/>
        </w:rPr>
        <w:t>GB/T 29319</w:t>
      </w:r>
      <w:bookmarkEnd w:id="21"/>
      <w:r>
        <w:rPr>
          <w:rFonts w:hint="eastAsia"/>
        </w:rPr>
        <w:t>—2024,3.2]</w:t>
      </w:r>
    </w:p>
    <w:p>
      <w:pPr>
        <w:pStyle w:val="3"/>
        <w:spacing w:before="156" w:after="156"/>
        <w:rPr>
          <w:rFonts w:hint="eastAsia"/>
          <w:lang w:eastAsia="zh-CN"/>
        </w:rPr>
      </w:pPr>
    </w:p>
    <w:p>
      <w:pPr>
        <w:pStyle w:val="3"/>
        <w:numPr>
          <w:ilvl w:val="0"/>
          <w:numId w:val="0"/>
        </w:numPr>
        <w:spacing w:before="156" w:after="156"/>
        <w:ind w:firstLine="420" w:firstLineChars="200"/>
        <w:rPr>
          <w:rFonts w:hint="eastAsia"/>
          <w:lang w:eastAsia="zh-CN"/>
        </w:rPr>
      </w:pPr>
      <w:r>
        <w:rPr>
          <w:rFonts w:hint="eastAsia"/>
          <w:lang w:eastAsia="zh-CN"/>
        </w:rPr>
        <w:t>并网点 Point of connection</w:t>
      </w:r>
    </w:p>
    <w:p>
      <w:pPr>
        <w:pStyle w:val="26"/>
      </w:pPr>
      <w:r>
        <w:rPr>
          <w:rFonts w:hint="eastAsia"/>
        </w:rPr>
        <w:t>光伏发电系统的输出汇总点。</w:t>
      </w:r>
    </w:p>
    <w:p>
      <w:pPr>
        <w:pStyle w:val="26"/>
        <w:numPr>
          <w:ilvl w:val="0"/>
          <w:numId w:val="0"/>
        </w:numPr>
        <w:ind w:firstLine="420" w:firstLineChars="200"/>
      </w:pPr>
      <w:r>
        <w:rPr>
          <w:rFonts w:hint="eastAsia"/>
        </w:rPr>
        <w:t>[来源：GB/T 29319—2024,3.3]</w:t>
      </w:r>
    </w:p>
    <w:bookmarkEnd w:id="20"/>
    <w:p>
      <w:pPr>
        <w:pStyle w:val="2"/>
        <w:numPr>
          <w:ilvl w:val="0"/>
          <w:numId w:val="1"/>
        </w:numPr>
        <w:spacing w:before="156" w:beforeLines="50" w:after="156" w:afterLines="50" w:line="240" w:lineRule="auto"/>
        <w:contextualSpacing/>
        <w:rPr>
          <w:rFonts w:hint="eastAsia" w:ascii="黑体" w:hAnsi="黑体" w:eastAsia="黑体"/>
          <w:b w:val="0"/>
          <w:bCs/>
          <w:sz w:val="21"/>
          <w:szCs w:val="32"/>
        </w:rPr>
      </w:pPr>
      <w:bookmarkStart w:id="22" w:name="_Toc24869"/>
      <w:bookmarkStart w:id="23" w:name="_Toc4027"/>
      <w:r>
        <w:rPr>
          <w:rFonts w:hint="eastAsia" w:ascii="黑体" w:hAnsi="黑体" w:eastAsia="黑体"/>
          <w:b w:val="0"/>
          <w:bCs/>
          <w:sz w:val="21"/>
          <w:szCs w:val="32"/>
        </w:rPr>
        <w:br w:type="page"/>
      </w:r>
      <w:r>
        <w:rPr>
          <w:rFonts w:hint="eastAsia" w:ascii="黑体" w:hAnsi="黑体" w:eastAsia="黑体"/>
          <w:b w:val="0"/>
          <w:bCs/>
          <w:sz w:val="21"/>
          <w:szCs w:val="32"/>
        </w:rPr>
        <w:t>基本规定</w:t>
      </w:r>
      <w:bookmarkEnd w:id="22"/>
      <w:bookmarkEnd w:id="23"/>
    </w:p>
    <w:p>
      <w:pPr>
        <w:pStyle w:val="35"/>
        <w:numPr>
          <w:ilvl w:val="0"/>
          <w:numId w:val="0"/>
        </w:numPr>
        <w:spacing w:before="156" w:after="62"/>
        <w:contextualSpacing/>
      </w:pPr>
      <w:r>
        <w:rPr>
          <w:rFonts w:ascii="黑体" w:hAnsi="黑体" w:eastAsia="黑体"/>
          <w:bCs w:val="0"/>
        </w:rPr>
        <w:t>4.0.1</w:t>
      </w:r>
      <w:r>
        <w:rPr>
          <w:rFonts w:hint="eastAsia" w:ascii="黑体" w:hAnsi="黑体" w:eastAsia="黑体"/>
          <w:bCs w:val="0"/>
          <w:lang w:eastAsia="zh-CN"/>
        </w:rPr>
        <w:t xml:space="preserve">  </w:t>
      </w:r>
      <w:r>
        <w:rPr>
          <w:rFonts w:hint="eastAsia"/>
          <w:lang w:eastAsia="zh-CN"/>
        </w:rPr>
        <w:t>高速公路沿线光伏发电应综合考虑全线路网建设规划与沿线用电设施的消纳能力。</w:t>
      </w:r>
    </w:p>
    <w:p>
      <w:pPr>
        <w:pStyle w:val="35"/>
        <w:numPr>
          <w:ilvl w:val="0"/>
          <w:numId w:val="0"/>
        </w:numPr>
        <w:spacing w:before="156" w:after="62"/>
        <w:contextualSpacing/>
        <w:rPr>
          <w:lang w:eastAsia="zh-CN"/>
        </w:rPr>
      </w:pPr>
      <w:r>
        <w:rPr>
          <w:rFonts w:ascii="黑体" w:hAnsi="黑体" w:eastAsia="黑体"/>
          <w:bCs w:val="0"/>
        </w:rPr>
        <w:t>4.0.</w:t>
      </w:r>
      <w:r>
        <w:rPr>
          <w:rFonts w:hint="eastAsia" w:ascii="黑体" w:hAnsi="黑体" w:eastAsia="黑体"/>
          <w:bCs w:val="0"/>
          <w:lang w:eastAsia="zh-CN"/>
        </w:rPr>
        <w:t xml:space="preserve">2  </w:t>
      </w:r>
      <w:r>
        <w:rPr>
          <w:rFonts w:hint="eastAsia"/>
          <w:lang w:eastAsia="zh-CN"/>
        </w:rPr>
        <w:t>高速公路沿线光伏发电应结合周边用电需求，灵活采用“自发自用”、“余电上网”、“隔墙售电”等不同应用模式。</w:t>
      </w:r>
    </w:p>
    <w:p>
      <w:pPr>
        <w:pStyle w:val="35"/>
        <w:numPr>
          <w:ilvl w:val="0"/>
          <w:numId w:val="0"/>
        </w:numPr>
        <w:spacing w:before="156" w:after="62"/>
        <w:contextualSpacing/>
        <w:rPr>
          <w:lang w:eastAsia="zh-CN"/>
        </w:rPr>
      </w:pPr>
      <w:r>
        <w:rPr>
          <w:rFonts w:ascii="黑体" w:hAnsi="黑体" w:eastAsia="黑体"/>
          <w:lang w:eastAsia="zh-CN"/>
        </w:rPr>
        <w:t>4.0.</w:t>
      </w:r>
      <w:r>
        <w:rPr>
          <w:rFonts w:hint="eastAsia" w:ascii="黑体" w:hAnsi="黑体" w:eastAsia="黑体"/>
          <w:lang w:eastAsia="zh-CN"/>
        </w:rPr>
        <w:t xml:space="preserve">3  </w:t>
      </w:r>
      <w:r>
        <w:rPr>
          <w:rFonts w:hint="eastAsia"/>
        </w:rPr>
        <w:t>高速公路沿线光伏发电</w:t>
      </w:r>
      <w:r>
        <w:rPr>
          <w:rFonts w:hint="eastAsia"/>
          <w:lang w:eastAsia="zh-CN"/>
        </w:rPr>
        <w:t>应</w:t>
      </w:r>
      <w:r>
        <w:rPr>
          <w:rFonts w:hint="eastAsia"/>
        </w:rPr>
        <w:t>安全</w:t>
      </w:r>
      <w:r>
        <w:rPr>
          <w:rFonts w:hint="eastAsia"/>
          <w:lang w:eastAsia="zh-CN"/>
        </w:rPr>
        <w:t>、</w:t>
      </w:r>
      <w:r>
        <w:rPr>
          <w:rFonts w:hint="eastAsia"/>
        </w:rPr>
        <w:t>可靠，</w:t>
      </w:r>
      <w:r>
        <w:rPr>
          <w:rFonts w:hint="eastAsia"/>
          <w:lang w:eastAsia="zh-CN"/>
        </w:rPr>
        <w:t>鼓励使用绿色、环保、节能、低碳的材料与设施。</w:t>
      </w:r>
    </w:p>
    <w:p>
      <w:pPr>
        <w:pStyle w:val="38"/>
        <w:keepNext w:val="0"/>
        <w:keepLines w:val="0"/>
        <w:adjustRightInd w:val="0"/>
        <w:snapToGrid w:val="0"/>
        <w:spacing w:before="62" w:beforeLines="20" w:after="62" w:afterLines="20"/>
      </w:pPr>
      <w:r>
        <w:rPr>
          <w:rFonts w:ascii="黑体" w:hAnsi="黑体" w:eastAsia="黑体"/>
          <w:b w:val="0"/>
          <w:sz w:val="21"/>
        </w:rPr>
        <w:t>4.0.4</w:t>
      </w:r>
      <w:r>
        <w:rPr>
          <w:rFonts w:hint="eastAsia"/>
          <w:b w:val="0"/>
          <w:sz w:val="21"/>
        </w:rPr>
        <w:t xml:space="preserve">  公共连接点处的电网性能指标应满足GB/T 29319的要求。</w:t>
      </w:r>
    </w:p>
    <w:p>
      <w:pPr>
        <w:pStyle w:val="35"/>
        <w:numPr>
          <w:ilvl w:val="0"/>
          <w:numId w:val="0"/>
        </w:numPr>
        <w:spacing w:before="156" w:after="62"/>
        <w:contextualSpacing/>
        <w:rPr>
          <w:lang w:eastAsia="zh-CN"/>
        </w:rPr>
      </w:pPr>
      <w:r>
        <w:rPr>
          <w:rFonts w:ascii="黑体" w:hAnsi="黑体" w:eastAsia="黑体"/>
          <w:lang w:eastAsia="zh-CN"/>
        </w:rPr>
        <w:t>4.0.</w:t>
      </w:r>
      <w:r>
        <w:rPr>
          <w:rFonts w:hint="eastAsia" w:ascii="黑体" w:hAnsi="黑体" w:eastAsia="黑体"/>
          <w:lang w:eastAsia="zh-CN"/>
        </w:rPr>
        <w:t xml:space="preserve">5 </w:t>
      </w:r>
      <w:r>
        <w:rPr>
          <w:rFonts w:ascii="黑体" w:hAnsi="黑体" w:eastAsia="黑体"/>
          <w:lang w:eastAsia="zh-CN"/>
        </w:rPr>
        <w:t xml:space="preserve"> </w:t>
      </w:r>
      <w:r>
        <w:rPr>
          <w:rFonts w:hint="eastAsia" w:ascii="Times New Roman" w:hAnsi="Times New Roman" w:eastAsia="宋体"/>
          <w:lang w:eastAsia="zh-CN"/>
        </w:rPr>
        <w:t>在</w:t>
      </w:r>
      <w:r>
        <w:rPr>
          <w:rFonts w:hint="eastAsia"/>
          <w:lang w:eastAsia="zh-CN"/>
        </w:rPr>
        <w:t>高速公路建（构）筑物安装光伏发电系统，应满足建（构）筑结构及电气的安全性要求。</w:t>
      </w:r>
    </w:p>
    <w:p>
      <w:pPr>
        <w:pStyle w:val="35"/>
        <w:numPr>
          <w:ilvl w:val="0"/>
          <w:numId w:val="0"/>
        </w:numPr>
        <w:spacing w:before="156" w:after="62"/>
        <w:contextualSpacing/>
        <w:rPr>
          <w:lang w:eastAsia="zh-CN"/>
        </w:rPr>
      </w:pPr>
      <w:r>
        <w:rPr>
          <w:rFonts w:ascii="黑体" w:hAnsi="黑体" w:eastAsia="黑体"/>
          <w:bCs w:val="0"/>
        </w:rPr>
        <w:t>4.0.</w:t>
      </w:r>
      <w:r>
        <w:rPr>
          <w:rFonts w:hint="eastAsia" w:ascii="黑体" w:hAnsi="黑体" w:eastAsia="黑体"/>
          <w:bCs w:val="0"/>
          <w:lang w:eastAsia="zh-CN"/>
        </w:rPr>
        <w:t xml:space="preserve">6  </w:t>
      </w:r>
      <w:r>
        <w:rPr>
          <w:rFonts w:hint="eastAsia"/>
          <w:lang w:eastAsia="zh-CN"/>
        </w:rPr>
        <w:t>高速公路沿线光伏系统应定期进行检查维护，保障光伏组件的发电效率及设施设备的安全。</w:t>
      </w:r>
    </w:p>
    <w:p>
      <w:pPr>
        <w:pStyle w:val="35"/>
        <w:numPr>
          <w:ilvl w:val="0"/>
          <w:numId w:val="0"/>
        </w:numPr>
        <w:spacing w:before="156" w:after="62"/>
        <w:contextualSpacing/>
        <w:rPr>
          <w:rFonts w:ascii="黑体" w:hAnsi="黑体" w:eastAsia="黑体"/>
          <w:bCs w:val="0"/>
          <w:lang w:eastAsia="zh-Hans"/>
        </w:rPr>
      </w:pPr>
      <w:r>
        <w:rPr>
          <w:rFonts w:ascii="黑体" w:hAnsi="黑体" w:eastAsia="黑体"/>
          <w:bCs w:val="0"/>
        </w:rPr>
        <w:t xml:space="preserve">4.0.7 </w:t>
      </w:r>
      <w:r>
        <w:rPr>
          <w:rFonts w:hint="eastAsia" w:ascii="黑体" w:hAnsi="黑体" w:eastAsia="黑体"/>
          <w:lang w:eastAsia="zh-CN"/>
        </w:rPr>
        <w:t xml:space="preserve"> </w:t>
      </w:r>
      <w:r>
        <w:rPr>
          <w:rFonts w:hint="eastAsia"/>
          <w:lang w:eastAsia="zh-CN"/>
        </w:rPr>
        <w:t>高速公路沿线光伏系统建设应符合</w:t>
      </w:r>
      <w:r>
        <w:t>渝交管养〔2024〕38号</w:t>
      </w:r>
      <w:r>
        <w:rPr>
          <w:rFonts w:hint="eastAsia"/>
        </w:rPr>
        <w:t>文件的相关要求。</w:t>
      </w:r>
    </w:p>
    <w:p>
      <w:pPr>
        <w:pStyle w:val="35"/>
        <w:numPr>
          <w:ilvl w:val="0"/>
          <w:numId w:val="0"/>
        </w:numPr>
        <w:spacing w:before="156" w:after="62"/>
        <w:contextualSpacing/>
        <w:rPr>
          <w:b/>
          <w:bCs w:val="0"/>
        </w:rPr>
        <w:sectPr>
          <w:footerReference r:id="rId6" w:type="default"/>
          <w:pgSz w:w="11906" w:h="16838"/>
          <w:pgMar w:top="1440" w:right="1800" w:bottom="1440" w:left="1800" w:header="851" w:footer="992" w:gutter="0"/>
          <w:pgNumType w:start="1"/>
          <w:cols w:space="720" w:num="1"/>
          <w:docGrid w:type="lines" w:linePitch="312" w:charSpace="0"/>
        </w:sectPr>
      </w:pPr>
      <w:bookmarkStart w:id="24" w:name="_Hlk166157686"/>
    </w:p>
    <w:p>
      <w:pPr>
        <w:pStyle w:val="2"/>
        <w:numPr>
          <w:ilvl w:val="0"/>
          <w:numId w:val="1"/>
        </w:numPr>
        <w:spacing w:before="156" w:beforeLines="50" w:after="156" w:afterLines="50" w:line="240" w:lineRule="auto"/>
        <w:contextualSpacing/>
        <w:rPr>
          <w:rFonts w:hint="eastAsia" w:ascii="黑体" w:hAnsi="黑体" w:eastAsia="黑体"/>
          <w:b w:val="0"/>
          <w:bCs/>
          <w:sz w:val="21"/>
          <w:szCs w:val="32"/>
        </w:rPr>
      </w:pPr>
      <w:bookmarkStart w:id="25" w:name="_Toc2394"/>
      <w:bookmarkStart w:id="26" w:name="_Toc30259"/>
      <w:r>
        <w:rPr>
          <w:rFonts w:hint="eastAsia" w:ascii="黑体" w:hAnsi="黑体" w:eastAsia="黑体"/>
          <w:b w:val="0"/>
          <w:bCs/>
          <w:sz w:val="21"/>
          <w:szCs w:val="32"/>
        </w:rPr>
        <w:t>技术要求</w:t>
      </w:r>
      <w:bookmarkEnd w:id="25"/>
      <w:bookmarkEnd w:id="26"/>
    </w:p>
    <w:p>
      <w:pPr>
        <w:pStyle w:val="3"/>
        <w:spacing w:before="156" w:after="156"/>
        <w:rPr>
          <w:rFonts w:hint="eastAsia"/>
        </w:rPr>
      </w:pPr>
      <w:r>
        <w:rPr>
          <w:rFonts w:hint="eastAsia"/>
          <w:lang w:eastAsia="zh-CN"/>
        </w:rPr>
        <w:t>一般规定</w:t>
      </w:r>
    </w:p>
    <w:p>
      <w:pPr>
        <w:pStyle w:val="38"/>
        <w:keepNext w:val="0"/>
        <w:keepLines w:val="0"/>
        <w:numPr>
          <w:ilvl w:val="2"/>
          <w:numId w:val="1"/>
        </w:numPr>
        <w:adjustRightInd w:val="0"/>
        <w:snapToGrid w:val="0"/>
        <w:spacing w:before="62" w:beforeLines="20" w:after="62" w:afterLines="20"/>
        <w:rPr>
          <w:b w:val="0"/>
          <w:sz w:val="21"/>
        </w:rPr>
      </w:pPr>
      <w:r>
        <w:rPr>
          <w:rFonts w:hint="eastAsia"/>
          <w:b w:val="0"/>
          <w:sz w:val="21"/>
        </w:rPr>
        <w:t>光伏发电系统新技术在大规模推广应用前，应在高速公路特定环境试点。</w:t>
      </w:r>
    </w:p>
    <w:p>
      <w:pPr>
        <w:pStyle w:val="38"/>
        <w:keepNext w:val="0"/>
        <w:keepLines w:val="0"/>
        <w:numPr>
          <w:ilvl w:val="2"/>
          <w:numId w:val="1"/>
        </w:numPr>
        <w:adjustRightInd w:val="0"/>
        <w:snapToGrid w:val="0"/>
        <w:spacing w:before="62" w:beforeLines="20" w:after="62" w:afterLines="20"/>
        <w:rPr>
          <w:b w:val="0"/>
          <w:sz w:val="21"/>
        </w:rPr>
      </w:pPr>
      <w:r>
        <w:rPr>
          <w:rFonts w:hint="eastAsia"/>
          <w:b w:val="0"/>
          <w:sz w:val="21"/>
        </w:rPr>
        <w:t>应根据不同安装位置选择具备相应抗风、抗震或抗雪能力的光伏发电系统部件。</w:t>
      </w:r>
    </w:p>
    <w:p>
      <w:pPr>
        <w:pStyle w:val="38"/>
        <w:keepNext w:val="0"/>
        <w:keepLines w:val="0"/>
        <w:numPr>
          <w:ilvl w:val="2"/>
          <w:numId w:val="1"/>
        </w:numPr>
        <w:adjustRightInd w:val="0"/>
        <w:snapToGrid w:val="0"/>
        <w:spacing w:before="62" w:beforeLines="20" w:after="62" w:afterLines="20"/>
        <w:rPr>
          <w:b w:val="0"/>
          <w:sz w:val="21"/>
        </w:rPr>
      </w:pPr>
      <w:r>
        <w:rPr>
          <w:rFonts w:hint="eastAsia"/>
          <w:b w:val="0"/>
          <w:sz w:val="21"/>
        </w:rPr>
        <w:t>高速公路沿线光伏发电系统输出电力的电能质量应符合GB/T 29319的相关要求。</w:t>
      </w:r>
    </w:p>
    <w:bookmarkEnd w:id="24"/>
    <w:p>
      <w:pPr>
        <w:pStyle w:val="3"/>
        <w:spacing w:before="156" w:after="156"/>
        <w:rPr>
          <w:rFonts w:hint="eastAsia"/>
        </w:rPr>
      </w:pPr>
      <w:bookmarkStart w:id="27" w:name="_Toc19415"/>
      <w:r>
        <w:rPr>
          <w:rFonts w:hint="eastAsia"/>
          <w:lang w:eastAsia="zh-CN"/>
        </w:rPr>
        <w:t>光伏组件</w:t>
      </w:r>
      <w:bookmarkEnd w:id="27"/>
    </w:p>
    <w:p>
      <w:pPr>
        <w:pStyle w:val="38"/>
        <w:numPr>
          <w:ilvl w:val="2"/>
          <w:numId w:val="1"/>
        </w:numPr>
        <w:adjustRightInd w:val="0"/>
        <w:snapToGrid w:val="0"/>
        <w:spacing w:before="62" w:beforeLines="20" w:after="62" w:afterLines="20"/>
        <w:rPr>
          <w:b w:val="0"/>
          <w:sz w:val="21"/>
        </w:rPr>
      </w:pPr>
      <w:r>
        <w:rPr>
          <w:rFonts w:hint="eastAsia"/>
          <w:b w:val="0"/>
          <w:sz w:val="21"/>
        </w:rPr>
        <w:t>单晶硅组件效率宜不低于</w:t>
      </w:r>
      <w:r>
        <w:rPr>
          <w:b w:val="0"/>
          <w:sz w:val="21"/>
        </w:rPr>
        <w:t xml:space="preserve"> </w:t>
      </w:r>
      <w:r>
        <w:rPr>
          <w:rFonts w:hint="eastAsia"/>
          <w:b w:val="0"/>
          <w:sz w:val="21"/>
        </w:rPr>
        <w:t>23%，多晶硅及薄膜组件效率宜不低于19%。</w:t>
      </w:r>
    </w:p>
    <w:p>
      <w:pPr>
        <w:pStyle w:val="38"/>
        <w:keepNext w:val="0"/>
        <w:keepLines w:val="0"/>
        <w:numPr>
          <w:ilvl w:val="2"/>
          <w:numId w:val="1"/>
        </w:numPr>
        <w:adjustRightInd w:val="0"/>
        <w:snapToGrid w:val="0"/>
        <w:spacing w:before="62" w:beforeLines="20" w:after="62" w:afterLines="20"/>
        <w:rPr>
          <w:b w:val="0"/>
          <w:sz w:val="21"/>
        </w:rPr>
      </w:pPr>
      <w:bookmarkStart w:id="28" w:name="_Toc1359"/>
      <w:r>
        <w:rPr>
          <w:rFonts w:hint="eastAsia"/>
          <w:b w:val="0"/>
          <w:sz w:val="21"/>
        </w:rPr>
        <w:t>单晶硅、</w:t>
      </w:r>
      <w:bookmarkEnd w:id="28"/>
      <w:r>
        <w:rPr>
          <w:rFonts w:hint="eastAsia"/>
          <w:b w:val="0"/>
          <w:sz w:val="21"/>
        </w:rPr>
        <w:t>多晶硅和薄膜电池组件自项日投产运行之日起。一年内衰减率分别不应高于2.5%、3%和5%，之后每年衰减不应高于 0.7%。</w:t>
      </w:r>
    </w:p>
    <w:p>
      <w:pPr>
        <w:pStyle w:val="38"/>
        <w:keepNext w:val="0"/>
        <w:keepLines w:val="0"/>
        <w:numPr>
          <w:ilvl w:val="2"/>
          <w:numId w:val="1"/>
        </w:numPr>
        <w:adjustRightInd w:val="0"/>
        <w:snapToGrid w:val="0"/>
        <w:spacing w:before="62" w:beforeLines="20" w:after="62" w:afterLines="20"/>
        <w:rPr>
          <w:b w:val="0"/>
          <w:sz w:val="21"/>
        </w:rPr>
      </w:pPr>
      <w:r>
        <w:rPr>
          <w:rFonts w:hint="eastAsia"/>
          <w:b w:val="0"/>
          <w:sz w:val="21"/>
        </w:rPr>
        <w:t>透光率应不低于91.0%。</w:t>
      </w:r>
    </w:p>
    <w:p>
      <w:pPr>
        <w:pStyle w:val="38"/>
        <w:keepNext w:val="0"/>
        <w:keepLines w:val="0"/>
        <w:numPr>
          <w:ilvl w:val="2"/>
          <w:numId w:val="1"/>
        </w:numPr>
        <w:adjustRightInd w:val="0"/>
        <w:snapToGrid w:val="0"/>
        <w:spacing w:before="62" w:beforeLines="20" w:after="62" w:afterLines="20"/>
        <w:rPr>
          <w:b w:val="0"/>
          <w:sz w:val="21"/>
        </w:rPr>
      </w:pPr>
      <w:r>
        <w:rPr>
          <w:rFonts w:hint="eastAsia"/>
          <w:b w:val="0"/>
          <w:sz w:val="21"/>
        </w:rPr>
        <w:t>防护等级应不低于</w:t>
      </w:r>
      <w:r>
        <w:rPr>
          <w:b w:val="0"/>
          <w:sz w:val="21"/>
        </w:rPr>
        <w:t>IP66</w:t>
      </w:r>
      <w:r>
        <w:rPr>
          <w:rFonts w:hint="eastAsia"/>
          <w:b w:val="0"/>
          <w:sz w:val="21"/>
        </w:rPr>
        <w:t>。</w:t>
      </w:r>
    </w:p>
    <w:p>
      <w:pPr>
        <w:pStyle w:val="38"/>
        <w:keepNext w:val="0"/>
        <w:keepLines w:val="0"/>
        <w:numPr>
          <w:ilvl w:val="2"/>
          <w:numId w:val="1"/>
        </w:numPr>
        <w:adjustRightInd w:val="0"/>
        <w:snapToGrid w:val="0"/>
        <w:spacing w:before="62" w:beforeLines="20" w:after="62" w:afterLines="20"/>
        <w:rPr>
          <w:b w:val="0"/>
          <w:sz w:val="21"/>
        </w:rPr>
      </w:pPr>
      <w:r>
        <w:rPr>
          <w:rFonts w:hint="eastAsia"/>
          <w:b w:val="0"/>
          <w:sz w:val="21"/>
        </w:rPr>
        <w:t>宜采用晶硅组件，鼓励采用钙钛矿材料、多栅技术、半片技术等新型光伏组件及技术。</w:t>
      </w:r>
    </w:p>
    <w:p>
      <w:pPr>
        <w:pStyle w:val="3"/>
        <w:spacing w:before="156" w:after="156"/>
        <w:rPr>
          <w:rFonts w:hint="eastAsia"/>
          <w:lang w:eastAsia="zh-CN"/>
        </w:rPr>
      </w:pPr>
      <w:bookmarkStart w:id="29" w:name="_Toc10602"/>
      <w:r>
        <w:rPr>
          <w:rFonts w:hint="eastAsia"/>
          <w:lang w:eastAsia="zh-CN"/>
        </w:rPr>
        <w:t>光伏支架</w:t>
      </w:r>
      <w:bookmarkEnd w:id="29"/>
    </w:p>
    <w:p>
      <w:pPr>
        <w:pStyle w:val="38"/>
        <w:keepNext w:val="0"/>
        <w:keepLines w:val="0"/>
        <w:numPr>
          <w:ilvl w:val="2"/>
          <w:numId w:val="1"/>
        </w:numPr>
        <w:adjustRightInd w:val="0"/>
        <w:snapToGrid w:val="0"/>
        <w:spacing w:before="62" w:beforeLines="20" w:after="62" w:afterLines="20"/>
        <w:rPr>
          <w:b w:val="0"/>
          <w:sz w:val="21"/>
        </w:rPr>
      </w:pPr>
      <w:bookmarkStart w:id="30" w:name="_Toc160354445"/>
      <w:r>
        <w:rPr>
          <w:rFonts w:hint="eastAsia"/>
          <w:b w:val="0"/>
          <w:sz w:val="21"/>
        </w:rPr>
        <w:t>不同建设点位的光伏支架选择应满足</w:t>
      </w:r>
      <w:r>
        <w:rPr>
          <w:b w:val="0"/>
          <w:sz w:val="21"/>
          <w:highlight w:val="none"/>
        </w:rPr>
        <w:t>NB/T 10320</w:t>
      </w:r>
      <w:r>
        <w:rPr>
          <w:rFonts w:hint="eastAsia"/>
          <w:b w:val="0"/>
          <w:sz w:val="21"/>
        </w:rPr>
        <w:t>的相关规定。</w:t>
      </w:r>
    </w:p>
    <w:p>
      <w:pPr>
        <w:pStyle w:val="38"/>
        <w:keepNext w:val="0"/>
        <w:keepLines w:val="0"/>
        <w:numPr>
          <w:ilvl w:val="2"/>
          <w:numId w:val="1"/>
        </w:numPr>
        <w:adjustRightInd w:val="0"/>
        <w:snapToGrid w:val="0"/>
        <w:spacing w:before="62" w:beforeLines="20" w:after="62" w:afterLines="20"/>
        <w:rPr>
          <w:b w:val="0"/>
          <w:sz w:val="21"/>
        </w:rPr>
      </w:pPr>
      <w:r>
        <w:rPr>
          <w:rFonts w:hint="eastAsia"/>
          <w:b w:val="0"/>
          <w:sz w:val="21"/>
        </w:rPr>
        <w:t>屈服强度、断裂伸长率、冲击吸收功等力学性能应满足GB/T 700的相关规定。</w:t>
      </w:r>
    </w:p>
    <w:p>
      <w:pPr>
        <w:pStyle w:val="38"/>
        <w:keepNext w:val="0"/>
        <w:keepLines w:val="0"/>
        <w:numPr>
          <w:ilvl w:val="2"/>
          <w:numId w:val="1"/>
        </w:numPr>
        <w:adjustRightInd w:val="0"/>
        <w:snapToGrid w:val="0"/>
        <w:spacing w:before="62" w:beforeLines="20" w:after="62" w:afterLines="20"/>
        <w:rPr>
          <w:b w:val="0"/>
          <w:sz w:val="21"/>
        </w:rPr>
      </w:pPr>
      <w:bookmarkStart w:id="31" w:name="_Toc29465"/>
      <w:r>
        <w:rPr>
          <w:rFonts w:hint="eastAsia"/>
          <w:b w:val="0"/>
          <w:sz w:val="21"/>
        </w:rPr>
        <w:t>支架的风载荷、雪载荷和温度应力应按GB 50009中50年一遇的荷载数值取值。</w:t>
      </w:r>
    </w:p>
    <w:bookmarkEnd w:id="30"/>
    <w:bookmarkEnd w:id="31"/>
    <w:p>
      <w:pPr>
        <w:pStyle w:val="3"/>
        <w:spacing w:before="156" w:after="156"/>
        <w:rPr>
          <w:rFonts w:hint="eastAsia"/>
          <w:lang w:eastAsia="zh-CN"/>
        </w:rPr>
      </w:pPr>
      <w:bookmarkStart w:id="32" w:name="_Toc27373"/>
      <w:r>
        <w:rPr>
          <w:rFonts w:hint="eastAsia"/>
          <w:lang w:eastAsia="zh-CN"/>
        </w:rPr>
        <w:t>逆变器</w:t>
      </w:r>
      <w:bookmarkEnd w:id="32"/>
    </w:p>
    <w:p>
      <w:pPr>
        <w:pStyle w:val="38"/>
        <w:keepNext w:val="0"/>
        <w:keepLines w:val="0"/>
        <w:numPr>
          <w:ilvl w:val="2"/>
          <w:numId w:val="1"/>
        </w:numPr>
        <w:adjustRightInd w:val="0"/>
        <w:snapToGrid w:val="0"/>
        <w:spacing w:before="62" w:beforeLines="20" w:after="62" w:afterLines="20"/>
        <w:rPr>
          <w:b w:val="0"/>
          <w:sz w:val="21"/>
        </w:rPr>
      </w:pPr>
      <w:bookmarkStart w:id="33" w:name="OLE_LINK8"/>
      <w:bookmarkStart w:id="34" w:name="_Toc24025"/>
      <w:r>
        <w:rPr>
          <w:rFonts w:hint="eastAsia"/>
          <w:b w:val="0"/>
          <w:sz w:val="21"/>
        </w:rPr>
        <w:t>不含变压器的逆变器最大效率不低于95%，含变压器的逆变器最大效率应不低于94%。</w:t>
      </w:r>
    </w:p>
    <w:bookmarkEnd w:id="33"/>
    <w:bookmarkEnd w:id="34"/>
    <w:p>
      <w:pPr>
        <w:pStyle w:val="38"/>
        <w:keepNext w:val="0"/>
        <w:keepLines w:val="0"/>
        <w:numPr>
          <w:ilvl w:val="2"/>
          <w:numId w:val="1"/>
        </w:numPr>
        <w:adjustRightInd w:val="0"/>
        <w:snapToGrid w:val="0"/>
        <w:spacing w:before="62" w:beforeLines="20" w:after="62" w:afterLines="20"/>
        <w:rPr>
          <w:b w:val="0"/>
          <w:sz w:val="21"/>
          <w:highlight w:val="none"/>
        </w:rPr>
      </w:pPr>
      <w:r>
        <w:rPr>
          <w:rFonts w:hint="eastAsia"/>
          <w:b w:val="0"/>
          <w:sz w:val="21"/>
        </w:rPr>
        <w:t>正常工作电压条件下，逆变器应能连续输出电流，且应不超过标称最大连续输出电流的110%</w:t>
      </w:r>
    </w:p>
    <w:p>
      <w:pPr>
        <w:pStyle w:val="38"/>
        <w:keepNext w:val="0"/>
        <w:keepLines w:val="0"/>
        <w:numPr>
          <w:ilvl w:val="2"/>
          <w:numId w:val="1"/>
        </w:numPr>
        <w:adjustRightInd w:val="0"/>
        <w:snapToGrid w:val="0"/>
        <w:spacing w:before="62" w:beforeLines="20" w:after="62" w:afterLines="20"/>
        <w:rPr>
          <w:b w:val="0"/>
          <w:sz w:val="21"/>
        </w:rPr>
      </w:pPr>
      <w:r>
        <w:rPr>
          <w:rFonts w:hint="eastAsia"/>
          <w:b w:val="0"/>
          <w:sz w:val="21"/>
        </w:rPr>
        <w:t>正常工作电压条件下，逆变器应能连续输出标称的额定功率，且应不超过标称额定输出功率的110%</w:t>
      </w:r>
    </w:p>
    <w:p>
      <w:pPr>
        <w:pStyle w:val="38"/>
        <w:keepNext w:val="0"/>
        <w:keepLines w:val="0"/>
        <w:numPr>
          <w:ilvl w:val="2"/>
          <w:numId w:val="1"/>
        </w:numPr>
        <w:adjustRightInd w:val="0"/>
        <w:snapToGrid w:val="0"/>
        <w:spacing w:before="62" w:beforeLines="20" w:after="62" w:afterLines="20"/>
        <w:rPr>
          <w:b w:val="0"/>
          <w:sz w:val="21"/>
        </w:rPr>
      </w:pPr>
      <w:bookmarkStart w:id="35" w:name="_Toc11221"/>
      <w:r>
        <w:rPr>
          <w:rFonts w:hint="eastAsia"/>
          <w:b w:val="0"/>
          <w:sz w:val="21"/>
        </w:rPr>
        <w:t>动态无功能力</w:t>
      </w:r>
      <w:bookmarkStart w:id="36" w:name="_Toc3858"/>
      <w:bookmarkEnd w:id="35"/>
      <w:r>
        <w:rPr>
          <w:rFonts w:hint="eastAsia"/>
          <w:b w:val="0"/>
          <w:sz w:val="21"/>
        </w:rPr>
        <w:t>应</w:t>
      </w:r>
      <w:bookmarkEnd w:id="36"/>
      <w:r>
        <w:rPr>
          <w:rFonts w:hint="eastAsia"/>
          <w:b w:val="0"/>
          <w:sz w:val="21"/>
        </w:rPr>
        <w:t>满足GB/T 37408中的要求。</w:t>
      </w:r>
    </w:p>
    <w:p>
      <w:pPr>
        <w:pStyle w:val="38"/>
        <w:keepNext w:val="0"/>
        <w:keepLines w:val="0"/>
        <w:numPr>
          <w:ilvl w:val="2"/>
          <w:numId w:val="1"/>
        </w:numPr>
        <w:adjustRightInd w:val="0"/>
        <w:snapToGrid w:val="0"/>
        <w:spacing w:before="62" w:beforeLines="20" w:after="62" w:afterLines="20"/>
        <w:rPr>
          <w:b w:val="0"/>
          <w:sz w:val="21"/>
          <w:highlight w:val="none"/>
        </w:rPr>
      </w:pPr>
      <w:r>
        <w:rPr>
          <w:rFonts w:hint="eastAsia"/>
          <w:b w:val="0"/>
          <w:sz w:val="21"/>
        </w:rPr>
        <w:t>应具备电网故障保护、防反放电保护、极性反接保护、过载保护及直流过/欠压保护功能。</w:t>
      </w:r>
    </w:p>
    <w:p>
      <w:pPr>
        <w:pStyle w:val="3"/>
        <w:spacing w:before="156" w:after="156"/>
        <w:rPr>
          <w:rFonts w:hint="eastAsia"/>
          <w:lang w:eastAsia="zh-CN"/>
        </w:rPr>
      </w:pPr>
      <w:r>
        <w:rPr>
          <w:rFonts w:hint="eastAsia"/>
          <w:lang w:eastAsia="zh-CN"/>
        </w:rPr>
        <w:t>汇流箱</w:t>
      </w:r>
    </w:p>
    <w:p>
      <w:pPr>
        <w:pStyle w:val="38"/>
        <w:keepNext w:val="0"/>
        <w:keepLines w:val="0"/>
        <w:numPr>
          <w:ilvl w:val="2"/>
          <w:numId w:val="1"/>
        </w:numPr>
        <w:adjustRightInd w:val="0"/>
        <w:snapToGrid w:val="0"/>
        <w:spacing w:before="62" w:beforeLines="20" w:after="62" w:afterLines="20"/>
        <w:rPr>
          <w:b w:val="0"/>
          <w:sz w:val="21"/>
        </w:rPr>
      </w:pPr>
      <w:r>
        <w:rPr>
          <w:rFonts w:hint="eastAsia"/>
          <w:b w:val="0"/>
          <w:sz w:val="21"/>
        </w:rPr>
        <w:t>汇流箱工作的额定环境温度为</w:t>
      </w:r>
      <w:r>
        <w:rPr>
          <w:b w:val="0"/>
          <w:sz w:val="21"/>
        </w:rPr>
        <w:t>-25℃</w:t>
      </w:r>
      <w:r>
        <w:rPr>
          <w:rFonts w:hint="eastAsia"/>
          <w:b w:val="0"/>
          <w:sz w:val="21"/>
        </w:rPr>
        <w:t>~</w:t>
      </w:r>
      <w:r>
        <w:rPr>
          <w:b w:val="0"/>
          <w:sz w:val="21"/>
        </w:rPr>
        <w:t>+5</w:t>
      </w:r>
      <w:r>
        <w:rPr>
          <w:rFonts w:hint="eastAsia"/>
          <w:b w:val="0"/>
          <w:sz w:val="21"/>
        </w:rPr>
        <w:t>0</w:t>
      </w:r>
      <w:r>
        <w:rPr>
          <w:b w:val="0"/>
          <w:sz w:val="21"/>
        </w:rPr>
        <w:t>℃</w:t>
      </w:r>
      <w:r>
        <w:rPr>
          <w:rFonts w:hint="eastAsia"/>
          <w:b w:val="0"/>
          <w:sz w:val="21"/>
        </w:rPr>
        <w:t>，相对湿度为5%~95%，汇流箱内部不应凝露，也不应结冰。</w:t>
      </w:r>
    </w:p>
    <w:p>
      <w:pPr>
        <w:pStyle w:val="38"/>
        <w:keepNext w:val="0"/>
        <w:keepLines w:val="0"/>
        <w:numPr>
          <w:ilvl w:val="2"/>
          <w:numId w:val="1"/>
        </w:numPr>
        <w:adjustRightInd w:val="0"/>
        <w:snapToGrid w:val="0"/>
        <w:spacing w:before="62" w:beforeLines="20" w:after="62" w:afterLines="20"/>
        <w:rPr>
          <w:b w:val="0"/>
          <w:sz w:val="21"/>
        </w:rPr>
      </w:pPr>
      <w:r>
        <w:rPr>
          <w:rFonts w:hint="eastAsia"/>
          <w:b w:val="0"/>
          <w:sz w:val="21"/>
        </w:rPr>
        <w:t>每条电路对地标称为</w:t>
      </w:r>
      <w:r>
        <w:rPr>
          <w:b w:val="0"/>
          <w:sz w:val="21"/>
        </w:rPr>
        <w:t>500V</w:t>
      </w:r>
      <w:r>
        <w:rPr>
          <w:rFonts w:hint="eastAsia"/>
          <w:b w:val="0"/>
          <w:sz w:val="21"/>
        </w:rPr>
        <w:t>及以下的绝缘电阻在500V测试条件下应不小于</w:t>
      </w:r>
      <w:r>
        <w:rPr>
          <w:b w:val="0"/>
          <w:sz w:val="21"/>
        </w:rPr>
        <w:t>0.5MΩ</w:t>
      </w:r>
      <w:r>
        <w:rPr>
          <w:rFonts w:hint="eastAsia"/>
          <w:b w:val="0"/>
          <w:sz w:val="21"/>
        </w:rPr>
        <w:t>，对地标称电压为</w:t>
      </w:r>
      <w:r>
        <w:rPr>
          <w:b w:val="0"/>
          <w:sz w:val="21"/>
        </w:rPr>
        <w:t>500V</w:t>
      </w:r>
      <w:r>
        <w:rPr>
          <w:rFonts w:hint="eastAsia"/>
          <w:b w:val="0"/>
          <w:sz w:val="21"/>
        </w:rPr>
        <w:t>以上时绝缘电阻应在1000V测试条件下小于</w:t>
      </w:r>
      <w:r>
        <w:rPr>
          <w:b w:val="0"/>
          <w:sz w:val="21"/>
        </w:rPr>
        <w:t>1MΩ‌</w:t>
      </w:r>
      <w:r>
        <w:rPr>
          <w:rFonts w:hint="eastAsia"/>
          <w:b w:val="0"/>
          <w:sz w:val="21"/>
        </w:rPr>
        <w:t>。</w:t>
      </w:r>
    </w:p>
    <w:p>
      <w:pPr>
        <w:pStyle w:val="38"/>
        <w:keepNext w:val="0"/>
        <w:keepLines w:val="0"/>
        <w:numPr>
          <w:ilvl w:val="2"/>
          <w:numId w:val="1"/>
        </w:numPr>
        <w:adjustRightInd w:val="0"/>
        <w:snapToGrid w:val="0"/>
        <w:spacing w:before="62" w:beforeLines="20" w:after="62" w:afterLines="20"/>
        <w:rPr>
          <w:b w:val="0"/>
          <w:sz w:val="21"/>
        </w:rPr>
      </w:pPr>
      <w:r>
        <w:rPr>
          <w:rFonts w:hint="eastAsia"/>
          <w:b w:val="0"/>
          <w:sz w:val="21"/>
        </w:rPr>
        <w:t>汇流箱中的导电部件应有效接地。</w:t>
      </w:r>
    </w:p>
    <w:p>
      <w:pPr>
        <w:pStyle w:val="3"/>
        <w:spacing w:before="156" w:after="156"/>
        <w:rPr>
          <w:rFonts w:hint="eastAsia"/>
          <w:lang w:eastAsia="zh-CN"/>
        </w:rPr>
      </w:pPr>
      <w:bookmarkStart w:id="37" w:name="_Toc19661"/>
      <w:r>
        <w:rPr>
          <w:rFonts w:hint="eastAsia"/>
          <w:lang w:eastAsia="zh-CN"/>
        </w:rPr>
        <w:t>储能</w:t>
      </w:r>
      <w:bookmarkEnd w:id="37"/>
      <w:r>
        <w:rPr>
          <w:rFonts w:hint="eastAsia"/>
          <w:lang w:eastAsia="zh-CN"/>
        </w:rPr>
        <w:t>设备</w:t>
      </w:r>
    </w:p>
    <w:p>
      <w:pPr>
        <w:pStyle w:val="38"/>
        <w:numPr>
          <w:ilvl w:val="2"/>
          <w:numId w:val="1"/>
        </w:numPr>
        <w:adjustRightInd w:val="0"/>
        <w:snapToGrid w:val="0"/>
        <w:spacing w:before="62" w:beforeLines="20" w:after="62" w:afterLines="20"/>
        <w:rPr>
          <w:b w:val="0"/>
          <w:sz w:val="21"/>
        </w:rPr>
      </w:pPr>
      <w:bookmarkStart w:id="38" w:name="_Toc13018"/>
      <w:r>
        <w:rPr>
          <w:rFonts w:hint="eastAsia"/>
          <w:b w:val="0"/>
          <w:sz w:val="21"/>
        </w:rPr>
        <w:t>宜采用电化学储能方式，不应采用三元锂电池。</w:t>
      </w:r>
    </w:p>
    <w:p>
      <w:pPr>
        <w:pStyle w:val="38"/>
        <w:keepNext w:val="0"/>
        <w:numPr>
          <w:ilvl w:val="2"/>
          <w:numId w:val="1"/>
        </w:numPr>
        <w:adjustRightInd w:val="0"/>
        <w:snapToGrid w:val="0"/>
        <w:spacing w:before="62" w:beforeLines="20" w:after="62" w:afterLines="20"/>
        <w:rPr>
          <w:b w:val="0"/>
          <w:sz w:val="21"/>
        </w:rPr>
      </w:pPr>
      <w:r>
        <w:rPr>
          <w:rFonts w:hint="eastAsia"/>
          <w:b w:val="0"/>
          <w:sz w:val="21"/>
        </w:rPr>
        <w:t>充放电次数宜大于8000次。</w:t>
      </w:r>
    </w:p>
    <w:p>
      <w:pPr>
        <w:pStyle w:val="38"/>
        <w:keepNext w:val="0"/>
        <w:numPr>
          <w:ilvl w:val="2"/>
          <w:numId w:val="1"/>
        </w:numPr>
        <w:adjustRightInd w:val="0"/>
        <w:snapToGrid w:val="0"/>
        <w:spacing w:before="62" w:beforeLines="20" w:after="62" w:afterLines="20"/>
        <w:rPr>
          <w:b w:val="0"/>
          <w:sz w:val="21"/>
        </w:rPr>
      </w:pPr>
      <w:r>
        <w:rPr>
          <w:rFonts w:hint="eastAsia"/>
          <w:b w:val="0"/>
          <w:sz w:val="21"/>
        </w:rPr>
        <w:t>应能够在-20℃~50℃的环境温度下正常运行。</w:t>
      </w:r>
    </w:p>
    <w:bookmarkEnd w:id="38"/>
    <w:p>
      <w:pPr>
        <w:pStyle w:val="38"/>
        <w:keepNext w:val="0"/>
        <w:keepLines w:val="0"/>
        <w:numPr>
          <w:ilvl w:val="2"/>
          <w:numId w:val="1"/>
        </w:numPr>
        <w:adjustRightInd w:val="0"/>
        <w:snapToGrid w:val="0"/>
        <w:spacing w:before="62" w:beforeLines="20" w:after="62" w:afterLines="20"/>
        <w:rPr>
          <w:b w:val="0"/>
          <w:sz w:val="21"/>
        </w:rPr>
      </w:pPr>
      <w:bookmarkStart w:id="39" w:name="_Toc22956"/>
      <w:r>
        <w:rPr>
          <w:rFonts w:hint="eastAsia"/>
          <w:b w:val="0"/>
          <w:sz w:val="21"/>
        </w:rPr>
        <w:t>在并网情况下，可不配备储能设备。</w:t>
      </w:r>
      <w:bookmarkEnd w:id="39"/>
    </w:p>
    <w:p>
      <w:pPr>
        <w:pStyle w:val="3"/>
        <w:spacing w:before="156" w:after="156"/>
        <w:rPr>
          <w:rFonts w:hint="eastAsia"/>
        </w:rPr>
      </w:pPr>
      <w:bookmarkStart w:id="40" w:name="_Toc2234"/>
      <w:r>
        <w:rPr>
          <w:rFonts w:hint="eastAsia"/>
          <w:lang w:eastAsia="zh-CN"/>
        </w:rPr>
        <w:t>监控</w:t>
      </w:r>
      <w:bookmarkEnd w:id="40"/>
      <w:r>
        <w:rPr>
          <w:rFonts w:hint="eastAsia"/>
          <w:lang w:eastAsia="zh-CN"/>
        </w:rPr>
        <w:t>系统</w:t>
      </w:r>
    </w:p>
    <w:p>
      <w:pPr>
        <w:pStyle w:val="38"/>
        <w:keepNext w:val="0"/>
        <w:keepLines w:val="0"/>
        <w:numPr>
          <w:ilvl w:val="2"/>
          <w:numId w:val="1"/>
        </w:numPr>
        <w:adjustRightInd w:val="0"/>
        <w:snapToGrid w:val="0"/>
        <w:spacing w:before="62" w:beforeLines="20" w:after="62" w:afterLines="20"/>
        <w:rPr>
          <w:b w:val="0"/>
          <w:sz w:val="21"/>
        </w:rPr>
      </w:pPr>
      <w:bookmarkStart w:id="41" w:name="_Hlk184314084"/>
      <w:r>
        <w:rPr>
          <w:rFonts w:hint="eastAsia"/>
          <w:b w:val="0"/>
          <w:sz w:val="21"/>
        </w:rPr>
        <w:t>应能通过数据采集和处理，实现对光伏系统运行状态的监测；宜具备能量统计和管理功能。</w:t>
      </w:r>
    </w:p>
    <w:p>
      <w:pPr>
        <w:pStyle w:val="38"/>
        <w:keepNext w:val="0"/>
        <w:keepLines w:val="0"/>
        <w:numPr>
          <w:ilvl w:val="2"/>
          <w:numId w:val="1"/>
        </w:numPr>
        <w:adjustRightInd w:val="0"/>
        <w:snapToGrid w:val="0"/>
        <w:spacing w:before="62" w:beforeLines="20" w:after="62" w:afterLines="20"/>
        <w:rPr>
          <w:b w:val="0"/>
          <w:sz w:val="21"/>
        </w:rPr>
      </w:pPr>
      <w:r>
        <w:rPr>
          <w:rFonts w:hint="eastAsia"/>
          <w:b w:val="0"/>
          <w:sz w:val="21"/>
        </w:rPr>
        <w:t>光伏监控系统应满足以下要求：</w:t>
      </w:r>
    </w:p>
    <w:p>
      <w:pPr>
        <w:pStyle w:val="38"/>
        <w:keepNext w:val="0"/>
        <w:keepLines w:val="0"/>
        <w:adjustRightInd w:val="0"/>
        <w:snapToGrid w:val="0"/>
        <w:spacing w:before="62" w:beforeLines="20" w:after="62" w:afterLines="20"/>
        <w:ind w:firstLine="420" w:firstLineChars="200"/>
        <w:rPr>
          <w:b w:val="0"/>
          <w:sz w:val="21"/>
        </w:rPr>
      </w:pPr>
      <w:r>
        <w:rPr>
          <w:rFonts w:hint="eastAsia" w:ascii="黑体" w:hAnsi="黑体" w:eastAsia="黑体"/>
          <w:b w:val="0"/>
          <w:sz w:val="21"/>
        </w:rPr>
        <w:t xml:space="preserve">1 </w:t>
      </w:r>
      <w:r>
        <w:rPr>
          <w:rFonts w:hint="eastAsia"/>
          <w:b w:val="0"/>
          <w:sz w:val="21"/>
        </w:rPr>
        <w:t xml:space="preserve"> </w:t>
      </w:r>
      <w:r>
        <w:rPr>
          <w:b w:val="0"/>
          <w:sz w:val="21"/>
        </w:rPr>
        <w:t xml:space="preserve"> </w:t>
      </w:r>
      <w:r>
        <w:rPr>
          <w:rFonts w:hint="eastAsia"/>
          <w:b w:val="0"/>
          <w:sz w:val="21"/>
        </w:rPr>
        <w:t>应采集并网点的有功功率、无功功率、电压、电流、频率、电能质量等数据；</w:t>
      </w:r>
    </w:p>
    <w:p>
      <w:pPr>
        <w:pStyle w:val="38"/>
        <w:keepNext w:val="0"/>
        <w:keepLines w:val="0"/>
        <w:adjustRightInd w:val="0"/>
        <w:snapToGrid w:val="0"/>
        <w:spacing w:before="62" w:beforeLines="20" w:after="62" w:afterLines="20"/>
        <w:ind w:firstLine="420" w:firstLineChars="200"/>
        <w:rPr>
          <w:b w:val="0"/>
          <w:sz w:val="21"/>
        </w:rPr>
      </w:pPr>
      <w:r>
        <w:rPr>
          <w:rFonts w:ascii="黑体" w:hAnsi="黑体" w:eastAsia="黑体"/>
          <w:b w:val="0"/>
          <w:sz w:val="21"/>
          <w:highlight w:val="none"/>
        </w:rPr>
        <w:t>2</w:t>
      </w:r>
      <w:r>
        <w:rPr>
          <w:rFonts w:hint="eastAsia" w:ascii="黑体" w:hAnsi="黑体" w:eastAsia="黑体"/>
          <w:b w:val="0"/>
          <w:sz w:val="21"/>
        </w:rPr>
        <w:t xml:space="preserve">   </w:t>
      </w:r>
      <w:r>
        <w:rPr>
          <w:rFonts w:hint="eastAsia"/>
          <w:b w:val="0"/>
          <w:sz w:val="21"/>
          <w:highlight w:val="none"/>
        </w:rPr>
        <w:t>应采集</w:t>
      </w:r>
      <w:r>
        <w:rPr>
          <w:rFonts w:hint="eastAsia"/>
          <w:b w:val="0"/>
          <w:sz w:val="21"/>
        </w:rPr>
        <w:t>并网点断路器和隔离开关的位置信号等；</w:t>
      </w:r>
    </w:p>
    <w:p>
      <w:pPr>
        <w:pStyle w:val="38"/>
        <w:keepNext w:val="0"/>
        <w:keepLines w:val="0"/>
        <w:adjustRightInd w:val="0"/>
        <w:snapToGrid w:val="0"/>
        <w:spacing w:before="62" w:beforeLines="20" w:after="62" w:afterLines="20"/>
        <w:ind w:firstLine="420" w:firstLineChars="200"/>
        <w:rPr>
          <w:b w:val="0"/>
          <w:sz w:val="21"/>
        </w:rPr>
      </w:pPr>
      <w:r>
        <w:rPr>
          <w:rFonts w:ascii="黑体" w:hAnsi="黑体" w:eastAsia="黑体"/>
          <w:b w:val="0"/>
          <w:sz w:val="21"/>
        </w:rPr>
        <w:t>3</w:t>
      </w:r>
      <w:r>
        <w:rPr>
          <w:rFonts w:hint="eastAsia" w:ascii="黑体" w:hAnsi="黑体" w:eastAsia="黑体"/>
          <w:b w:val="0"/>
          <w:sz w:val="21"/>
        </w:rPr>
        <w:t xml:space="preserve">   </w:t>
      </w:r>
      <w:r>
        <w:rPr>
          <w:rFonts w:hint="eastAsia" w:ascii="Times New Roman" w:hAnsi="Times New Roman" w:eastAsia="宋体"/>
          <w:b w:val="0"/>
          <w:sz w:val="21"/>
        </w:rPr>
        <w:t>应采集光伏逆变器运行状态信号等；</w:t>
      </w:r>
    </w:p>
    <w:p>
      <w:pPr>
        <w:pStyle w:val="38"/>
        <w:keepNext w:val="0"/>
        <w:keepLines w:val="0"/>
        <w:adjustRightInd w:val="0"/>
        <w:snapToGrid w:val="0"/>
        <w:spacing w:before="62" w:beforeLines="20" w:after="62" w:afterLines="20"/>
        <w:ind w:firstLine="420" w:firstLineChars="200"/>
        <w:rPr>
          <w:rFonts w:ascii="黑体" w:hAnsi="黑体" w:eastAsia="黑体"/>
          <w:b w:val="0"/>
          <w:sz w:val="21"/>
        </w:rPr>
      </w:pPr>
      <w:r>
        <w:rPr>
          <w:rFonts w:ascii="黑体" w:hAnsi="黑体" w:eastAsia="黑体"/>
          <w:b w:val="0"/>
          <w:sz w:val="21"/>
        </w:rPr>
        <w:t>4</w:t>
      </w:r>
      <w:r>
        <w:rPr>
          <w:rFonts w:hint="eastAsia"/>
          <w:b w:val="0"/>
          <w:sz w:val="21"/>
        </w:rPr>
        <w:t xml:space="preserve">   支持数据源选择、自动计算周期等，支持按日、月、季、年或自定义时间段统计；</w:t>
      </w:r>
    </w:p>
    <w:p>
      <w:pPr>
        <w:pStyle w:val="38"/>
        <w:adjustRightInd w:val="0"/>
        <w:snapToGrid w:val="0"/>
        <w:spacing w:before="62" w:beforeLines="20" w:after="62" w:afterLines="20"/>
        <w:ind w:firstLine="420" w:firstLineChars="200"/>
        <w:rPr>
          <w:b w:val="0"/>
          <w:sz w:val="21"/>
        </w:rPr>
      </w:pPr>
      <w:r>
        <w:rPr>
          <w:rFonts w:hint="eastAsia" w:ascii="黑体" w:hAnsi="黑体" w:eastAsia="黑体"/>
          <w:b w:val="0"/>
          <w:sz w:val="21"/>
        </w:rPr>
        <w:t>5</w:t>
      </w:r>
      <w:r>
        <w:rPr>
          <w:rFonts w:hint="eastAsia"/>
          <w:b w:val="0"/>
          <w:sz w:val="21"/>
        </w:rPr>
        <w:t xml:space="preserve">   光伏发电系统应支持MODBUS、DL/T860、DL/T634.5104和DL/T634.5101等多种通信规约；</w:t>
      </w:r>
    </w:p>
    <w:p>
      <w:pPr>
        <w:pStyle w:val="38"/>
        <w:keepNext/>
        <w:keepLines/>
        <w:adjustRightInd w:val="0"/>
        <w:snapToGrid w:val="0"/>
        <w:spacing w:before="62" w:beforeLines="20" w:after="62" w:afterLines="20"/>
        <w:ind w:firstLine="420" w:firstLineChars="200"/>
        <w:rPr>
          <w:b w:val="0"/>
          <w:sz w:val="21"/>
        </w:rPr>
      </w:pPr>
      <w:r>
        <w:rPr>
          <w:rFonts w:ascii="黑体" w:hAnsi="黑体" w:eastAsia="黑体"/>
          <w:b w:val="0"/>
          <w:sz w:val="21"/>
        </w:rPr>
        <w:t>6</w:t>
      </w:r>
      <w:r>
        <w:rPr>
          <w:rFonts w:hint="eastAsia"/>
          <w:b w:val="0"/>
          <w:sz w:val="21"/>
        </w:rPr>
        <w:t xml:space="preserve">   数据存储时间应不少于3年。</w:t>
      </w:r>
    </w:p>
    <w:p>
      <w:pPr>
        <w:pStyle w:val="38"/>
        <w:keepNext w:val="0"/>
        <w:keepLines w:val="0"/>
        <w:numPr>
          <w:ilvl w:val="2"/>
          <w:numId w:val="0"/>
        </w:numPr>
        <w:adjustRightInd w:val="0"/>
        <w:snapToGrid w:val="0"/>
        <w:spacing w:before="62" w:beforeLines="20" w:after="62" w:afterLines="20"/>
        <w:rPr>
          <w:b/>
          <w:bCs w:val="0"/>
          <w:sz w:val="32"/>
          <w:highlight w:val="none"/>
        </w:rPr>
      </w:pPr>
    </w:p>
    <w:p>
      <w:pPr>
        <w:pStyle w:val="38"/>
        <w:keepNext w:val="0"/>
        <w:keepLines w:val="0"/>
        <w:adjustRightInd w:val="0"/>
        <w:snapToGrid w:val="0"/>
        <w:spacing w:before="62" w:beforeLines="20" w:after="62" w:afterLines="20"/>
        <w:rPr>
          <w:b w:val="0"/>
          <w:sz w:val="21"/>
        </w:rPr>
      </w:pPr>
    </w:p>
    <w:bookmarkEnd w:id="41"/>
    <w:p>
      <w:pPr>
        <w:pStyle w:val="2"/>
        <w:numPr>
          <w:ilvl w:val="0"/>
          <w:numId w:val="1"/>
        </w:numPr>
        <w:spacing w:before="156" w:beforeLines="50" w:after="156" w:afterLines="50" w:line="240" w:lineRule="auto"/>
        <w:contextualSpacing/>
        <w:rPr>
          <w:rFonts w:hint="eastAsia" w:ascii="黑体" w:hAnsi="黑体" w:eastAsia="黑体"/>
          <w:b w:val="0"/>
          <w:bCs/>
          <w:sz w:val="21"/>
          <w:szCs w:val="32"/>
        </w:rPr>
      </w:pPr>
      <w:bookmarkStart w:id="42" w:name="_Toc13898"/>
      <w:bookmarkStart w:id="43" w:name="_Toc5112"/>
      <w:r>
        <w:rPr>
          <w:rFonts w:hint="eastAsia" w:ascii="黑体" w:hAnsi="黑体" w:eastAsia="黑体"/>
          <w:b w:val="0"/>
          <w:bCs/>
          <w:sz w:val="21"/>
          <w:szCs w:val="32"/>
        </w:rPr>
        <w:br w:type="page"/>
      </w:r>
      <w:r>
        <w:rPr>
          <w:rFonts w:hint="eastAsia" w:ascii="黑体" w:hAnsi="黑体" w:eastAsia="黑体"/>
          <w:b w:val="0"/>
          <w:bCs/>
          <w:sz w:val="21"/>
          <w:szCs w:val="32"/>
        </w:rPr>
        <w:t>设计要求</w:t>
      </w:r>
      <w:bookmarkEnd w:id="42"/>
      <w:bookmarkEnd w:id="43"/>
    </w:p>
    <w:p>
      <w:pPr>
        <w:pStyle w:val="3"/>
        <w:spacing w:before="156" w:after="156"/>
        <w:rPr>
          <w:rFonts w:hint="eastAsia"/>
          <w:lang w:eastAsia="zh-CN"/>
        </w:rPr>
      </w:pPr>
      <w:bookmarkStart w:id="44" w:name="_Toc11536"/>
      <w:r>
        <w:rPr>
          <w:rFonts w:hint="eastAsia"/>
          <w:lang w:eastAsia="zh-CN"/>
        </w:rPr>
        <w:t>选址</w:t>
      </w:r>
      <w:bookmarkEnd w:id="44"/>
      <w:r>
        <w:rPr>
          <w:rFonts w:hint="eastAsia"/>
          <w:lang w:eastAsia="zh-CN"/>
        </w:rPr>
        <w:t>设计要求</w:t>
      </w:r>
    </w:p>
    <w:p>
      <w:pPr>
        <w:pStyle w:val="38"/>
        <w:keepNext w:val="0"/>
        <w:keepLines w:val="0"/>
        <w:numPr>
          <w:ilvl w:val="2"/>
          <w:numId w:val="1"/>
        </w:numPr>
        <w:adjustRightInd w:val="0"/>
        <w:snapToGrid w:val="0"/>
        <w:spacing w:before="62" w:beforeLines="20" w:after="62" w:afterLines="20"/>
        <w:rPr>
          <w:b w:val="0"/>
          <w:sz w:val="21"/>
        </w:rPr>
      </w:pPr>
      <w:bookmarkStart w:id="45" w:name="_Toc21385"/>
      <w:r>
        <w:rPr>
          <w:rFonts w:hint="eastAsia"/>
          <w:b w:val="0"/>
          <w:sz w:val="21"/>
        </w:rPr>
        <w:t>建设点位选址</w:t>
      </w:r>
      <w:r>
        <w:rPr>
          <w:rFonts w:hint="eastAsia"/>
          <w:b w:val="0"/>
          <w:sz w:val="21"/>
          <w:highlight w:val="none"/>
        </w:rPr>
        <w:t>应</w:t>
      </w:r>
      <w:r>
        <w:rPr>
          <w:rFonts w:hint="eastAsia"/>
          <w:b w:val="0"/>
          <w:sz w:val="21"/>
        </w:rPr>
        <w:t>符合</w:t>
      </w:r>
      <w:r>
        <w:rPr>
          <w:b w:val="0"/>
          <w:sz w:val="21"/>
          <w:highlight w:val="none"/>
        </w:rPr>
        <w:t>GB 50797</w:t>
      </w:r>
      <w:r>
        <w:rPr>
          <w:rFonts w:hint="eastAsia"/>
          <w:b w:val="0"/>
          <w:sz w:val="21"/>
          <w:highlight w:val="none"/>
        </w:rPr>
        <w:t>的要求。</w:t>
      </w:r>
    </w:p>
    <w:p>
      <w:pPr>
        <w:pStyle w:val="38"/>
        <w:keepNext w:val="0"/>
        <w:keepLines w:val="0"/>
        <w:numPr>
          <w:ilvl w:val="2"/>
          <w:numId w:val="1"/>
        </w:numPr>
        <w:adjustRightInd w:val="0"/>
        <w:snapToGrid w:val="0"/>
        <w:spacing w:before="62" w:beforeLines="20" w:after="62" w:afterLines="20"/>
        <w:rPr>
          <w:b w:val="0"/>
          <w:sz w:val="21"/>
        </w:rPr>
      </w:pPr>
      <w:bookmarkStart w:id="46" w:name="_Hlk184307393"/>
      <w:r>
        <w:rPr>
          <w:rFonts w:hint="eastAsia"/>
          <w:b w:val="0"/>
          <w:sz w:val="21"/>
        </w:rPr>
        <w:t>建设点位的选择应综合考虑日照条件、可用土地及地质稳定性、环境保持及水土保持要求。</w:t>
      </w:r>
    </w:p>
    <w:bookmarkEnd w:id="46"/>
    <w:p>
      <w:pPr>
        <w:pStyle w:val="38"/>
        <w:keepNext w:val="0"/>
        <w:keepLines w:val="0"/>
        <w:numPr>
          <w:ilvl w:val="2"/>
          <w:numId w:val="1"/>
        </w:numPr>
        <w:adjustRightInd w:val="0"/>
        <w:snapToGrid w:val="0"/>
        <w:spacing w:before="62" w:beforeLines="20" w:after="62" w:afterLines="20"/>
        <w:rPr>
          <w:b w:val="0"/>
          <w:sz w:val="21"/>
        </w:rPr>
      </w:pPr>
      <w:r>
        <w:rPr>
          <w:rFonts w:hint="eastAsia"/>
          <w:b w:val="0"/>
          <w:sz w:val="21"/>
        </w:rPr>
        <w:t>太阳光年平均辐射量宜不低于800 kWh/m</w:t>
      </w:r>
      <w:r>
        <w:rPr>
          <w:rFonts w:hint="eastAsia"/>
          <w:b w:val="0"/>
          <w:sz w:val="21"/>
          <w:vertAlign w:val="superscript"/>
        </w:rPr>
        <w:t>2</w:t>
      </w:r>
      <w:r>
        <w:rPr>
          <w:rFonts w:hint="eastAsia"/>
          <w:b w:val="0"/>
          <w:sz w:val="21"/>
        </w:rPr>
        <w:t>。</w:t>
      </w:r>
      <w:bookmarkEnd w:id="45"/>
    </w:p>
    <w:p>
      <w:pPr>
        <w:pStyle w:val="38"/>
        <w:keepNext w:val="0"/>
        <w:keepLines w:val="0"/>
        <w:numPr>
          <w:ilvl w:val="2"/>
          <w:numId w:val="1"/>
        </w:numPr>
        <w:adjustRightInd w:val="0"/>
        <w:snapToGrid w:val="0"/>
        <w:spacing w:before="62" w:beforeLines="20" w:after="62" w:afterLines="20"/>
        <w:rPr>
          <w:b w:val="0"/>
          <w:sz w:val="21"/>
        </w:rPr>
      </w:pPr>
      <w:r>
        <w:rPr>
          <w:rFonts w:hint="eastAsia"/>
          <w:b w:val="0"/>
          <w:sz w:val="21"/>
        </w:rPr>
        <w:t>应尽量靠近隧道、服务区、收费站等高速公路沿线用电负荷较大的区域。</w:t>
      </w:r>
    </w:p>
    <w:p>
      <w:pPr>
        <w:pStyle w:val="38"/>
        <w:keepNext w:val="0"/>
        <w:keepLines w:val="0"/>
        <w:numPr>
          <w:ilvl w:val="2"/>
          <w:numId w:val="1"/>
        </w:numPr>
        <w:adjustRightInd w:val="0"/>
        <w:snapToGrid w:val="0"/>
        <w:spacing w:before="62" w:beforeLines="20" w:after="62" w:afterLines="20"/>
        <w:rPr>
          <w:b w:val="0"/>
          <w:sz w:val="21"/>
        </w:rPr>
      </w:pPr>
      <w:bookmarkStart w:id="47" w:name="_Toc9907"/>
      <w:r>
        <w:rPr>
          <w:rFonts w:hint="eastAsia"/>
          <w:b w:val="0"/>
          <w:sz w:val="21"/>
        </w:rPr>
        <w:t>应避开危岩、泥石流、滑坡等不良地质地段及地质发震断裂带区；应避开空气经常受悬浮物严重污染的地区。</w:t>
      </w:r>
    </w:p>
    <w:bookmarkEnd w:id="47"/>
    <w:p>
      <w:pPr>
        <w:pStyle w:val="38"/>
        <w:keepNext w:val="0"/>
        <w:keepLines w:val="0"/>
        <w:numPr>
          <w:ilvl w:val="2"/>
          <w:numId w:val="1"/>
        </w:numPr>
        <w:adjustRightInd w:val="0"/>
        <w:snapToGrid w:val="0"/>
        <w:spacing w:before="62" w:beforeLines="20" w:after="62" w:afterLines="20"/>
        <w:rPr>
          <w:b w:val="0"/>
          <w:sz w:val="21"/>
        </w:rPr>
      </w:pPr>
      <w:bookmarkStart w:id="48" w:name="_Hlk181337521"/>
      <w:r>
        <w:rPr>
          <w:rFonts w:hint="eastAsia"/>
          <w:b w:val="0"/>
          <w:sz w:val="21"/>
        </w:rPr>
        <w:t>光伏组件宜设置在无阴影遮挡、无污染源(烟雾、粉尘)、无腐蚀性气体的场所。</w:t>
      </w:r>
    </w:p>
    <w:p>
      <w:pPr>
        <w:pStyle w:val="38"/>
        <w:keepNext w:val="0"/>
        <w:keepLines w:val="0"/>
        <w:numPr>
          <w:ilvl w:val="2"/>
          <w:numId w:val="1"/>
        </w:numPr>
        <w:adjustRightInd w:val="0"/>
        <w:snapToGrid w:val="0"/>
        <w:spacing w:before="62" w:beforeLines="20" w:after="62" w:afterLines="20"/>
        <w:rPr>
          <w:b/>
          <w:color w:val="0000FF"/>
          <w:sz w:val="32"/>
        </w:rPr>
      </w:pPr>
      <w:r>
        <w:rPr>
          <w:rFonts w:hint="eastAsia"/>
          <w:b w:val="0"/>
          <w:sz w:val="21"/>
        </w:rPr>
        <w:t>对于有局部瞬时强降雨的环境应增设排水工程。</w:t>
      </w:r>
    </w:p>
    <w:bookmarkEnd w:id="48"/>
    <w:p>
      <w:pPr>
        <w:pStyle w:val="3"/>
        <w:spacing w:before="156" w:after="156"/>
        <w:rPr>
          <w:rFonts w:hint="eastAsia"/>
          <w:lang w:eastAsia="zh-CN"/>
        </w:rPr>
      </w:pPr>
      <w:bookmarkStart w:id="49" w:name="_Toc4875"/>
      <w:r>
        <w:rPr>
          <w:rFonts w:hint="eastAsia"/>
          <w:lang w:eastAsia="zh-CN"/>
        </w:rPr>
        <w:t>系统设计</w:t>
      </w:r>
      <w:bookmarkEnd w:id="49"/>
      <w:r>
        <w:rPr>
          <w:rFonts w:hint="eastAsia"/>
          <w:lang w:eastAsia="zh-CN"/>
        </w:rPr>
        <w:t xml:space="preserve"> </w:t>
      </w:r>
    </w:p>
    <w:p>
      <w:pPr>
        <w:pStyle w:val="38"/>
        <w:keepNext w:val="0"/>
        <w:keepLines w:val="0"/>
        <w:numPr>
          <w:ilvl w:val="2"/>
          <w:numId w:val="1"/>
        </w:numPr>
        <w:adjustRightInd w:val="0"/>
        <w:snapToGrid w:val="0"/>
        <w:spacing w:before="62" w:beforeLines="20" w:after="62" w:afterLines="20"/>
        <w:rPr>
          <w:b w:val="0"/>
          <w:sz w:val="21"/>
        </w:rPr>
      </w:pPr>
      <w:r>
        <w:rPr>
          <w:rFonts w:hint="eastAsia"/>
          <w:b w:val="0"/>
          <w:sz w:val="21"/>
        </w:rPr>
        <w:t>光伏系统设计寿命应不低于25年。</w:t>
      </w:r>
    </w:p>
    <w:p>
      <w:pPr>
        <w:pStyle w:val="38"/>
        <w:keepNext w:val="0"/>
        <w:keepLines w:val="0"/>
        <w:numPr>
          <w:ilvl w:val="2"/>
          <w:numId w:val="1"/>
        </w:numPr>
        <w:adjustRightInd w:val="0"/>
        <w:snapToGrid w:val="0"/>
        <w:spacing w:before="62" w:beforeLines="20" w:after="62" w:afterLines="20"/>
        <w:rPr>
          <w:b w:val="0"/>
          <w:sz w:val="21"/>
        </w:rPr>
      </w:pPr>
      <w:r>
        <w:rPr>
          <w:rFonts w:hint="eastAsia"/>
          <w:b w:val="0"/>
          <w:sz w:val="21"/>
        </w:rPr>
        <w:t>光伏发电系统直流侧的设计电压应高于光伏组件串在当地昼间极端气温下的最大开路电压，系统中所采用的设备和材料的最高允许电压应不低于该设计电压。</w:t>
      </w:r>
    </w:p>
    <w:p>
      <w:pPr>
        <w:pStyle w:val="38"/>
        <w:keepNext w:val="0"/>
        <w:keepLines w:val="0"/>
        <w:numPr>
          <w:ilvl w:val="2"/>
          <w:numId w:val="1"/>
        </w:numPr>
        <w:adjustRightInd w:val="0"/>
        <w:snapToGrid w:val="0"/>
        <w:spacing w:before="62" w:beforeLines="20" w:after="62" w:afterLines="20"/>
      </w:pPr>
      <w:bookmarkStart w:id="50" w:name="_Hlk184305681"/>
      <w:r>
        <w:rPr>
          <w:rFonts w:hint="eastAsia"/>
          <w:b w:val="0"/>
          <w:sz w:val="21"/>
        </w:rPr>
        <w:t>应做好防雷与接地措施，接地电阻不超过</w:t>
      </w:r>
      <w:r>
        <w:rPr>
          <w:b w:val="0"/>
          <w:sz w:val="21"/>
          <w:highlight w:val="yellow"/>
        </w:rPr>
        <w:t>10</w:t>
      </w:r>
      <w:r>
        <w:rPr>
          <w:b w:val="0"/>
          <w:sz w:val="21"/>
        </w:rPr>
        <w:t>Ω</w:t>
      </w:r>
      <w:r>
        <w:rPr>
          <w:rFonts w:hint="eastAsia"/>
          <w:b w:val="0"/>
          <w:sz w:val="21"/>
        </w:rPr>
        <w:t>，防雷装置安装应符合GB/T 32512的要求。</w:t>
      </w:r>
    </w:p>
    <w:bookmarkEnd w:id="50"/>
    <w:p>
      <w:pPr>
        <w:pStyle w:val="38"/>
        <w:keepNext w:val="0"/>
        <w:keepLines w:val="0"/>
        <w:numPr>
          <w:ilvl w:val="2"/>
          <w:numId w:val="1"/>
        </w:numPr>
        <w:adjustRightInd w:val="0"/>
        <w:snapToGrid w:val="0"/>
        <w:spacing w:before="62" w:beforeLines="20" w:after="62" w:afterLines="20"/>
      </w:pPr>
      <w:r>
        <w:rPr>
          <w:rFonts w:hint="eastAsia"/>
          <w:b w:val="0"/>
          <w:sz w:val="21"/>
        </w:rPr>
        <w:t>应考虑边坡排水及耐冲刷需求，宜选择具备集中排水系统或易于进行排水改造的边坡进行工程建设。选择具备对于有局部瞬时强降雨的环境应增设额外排水工程。</w:t>
      </w:r>
    </w:p>
    <w:p>
      <w:pPr>
        <w:pStyle w:val="3"/>
        <w:spacing w:before="156" w:after="156"/>
        <w:rPr>
          <w:rFonts w:hint="eastAsia"/>
          <w:lang w:eastAsia="zh-CN"/>
        </w:rPr>
      </w:pPr>
      <w:r>
        <w:rPr>
          <w:rFonts w:hint="eastAsia"/>
          <w:lang w:eastAsia="zh-CN"/>
        </w:rPr>
        <w:t>光伏组件设计</w:t>
      </w:r>
    </w:p>
    <w:p>
      <w:pPr>
        <w:pStyle w:val="38"/>
        <w:keepNext w:val="0"/>
        <w:keepLines w:val="0"/>
        <w:numPr>
          <w:ilvl w:val="2"/>
          <w:numId w:val="1"/>
        </w:numPr>
        <w:adjustRightInd w:val="0"/>
        <w:snapToGrid w:val="0"/>
        <w:spacing w:before="62" w:beforeLines="20" w:after="62" w:afterLines="20"/>
        <w:rPr>
          <w:rFonts w:hint="eastAsia"/>
        </w:rPr>
      </w:pPr>
      <w:r>
        <w:rPr>
          <w:rFonts w:hint="eastAsia"/>
          <w:b w:val="0"/>
          <w:sz w:val="21"/>
        </w:rPr>
        <w:t>应按照最大效率接受日照资源的原则，合理设置光伏组件朝向。</w:t>
      </w:r>
    </w:p>
    <w:p>
      <w:pPr>
        <w:pStyle w:val="38"/>
        <w:keepNext w:val="0"/>
        <w:keepLines w:val="0"/>
        <w:numPr>
          <w:ilvl w:val="2"/>
          <w:numId w:val="1"/>
        </w:numPr>
        <w:adjustRightInd w:val="0"/>
        <w:snapToGrid w:val="0"/>
        <w:spacing w:before="62" w:beforeLines="20" w:after="62" w:afterLines="20"/>
        <w:rPr>
          <w:b/>
          <w:sz w:val="32"/>
        </w:rPr>
      </w:pPr>
      <w:r>
        <w:rPr>
          <w:rFonts w:hint="eastAsia"/>
          <w:b w:val="0"/>
          <w:sz w:val="21"/>
        </w:rPr>
        <w:t>应综合考虑建设用地，合理布设光伏组件。</w:t>
      </w:r>
    </w:p>
    <w:p>
      <w:pPr>
        <w:pStyle w:val="38"/>
        <w:keepNext w:val="0"/>
        <w:keepLines w:val="0"/>
        <w:numPr>
          <w:ilvl w:val="2"/>
          <w:numId w:val="1"/>
        </w:numPr>
        <w:adjustRightInd w:val="0"/>
        <w:snapToGrid w:val="0"/>
        <w:spacing w:before="62" w:beforeLines="20" w:after="62" w:afterLines="20"/>
        <w:rPr>
          <w:b w:val="0"/>
          <w:sz w:val="21"/>
        </w:rPr>
      </w:pPr>
      <w:r>
        <w:rPr>
          <w:rFonts w:hint="eastAsia"/>
          <w:b w:val="0"/>
          <w:sz w:val="21"/>
        </w:rPr>
        <w:t>同一个逆变器接入的光伏组件串的组件数量宜一致；同一组件串朝向和安装倾角宜一致。</w:t>
      </w:r>
    </w:p>
    <w:p>
      <w:pPr>
        <w:pStyle w:val="38"/>
        <w:keepNext w:val="0"/>
        <w:keepLines w:val="0"/>
        <w:numPr>
          <w:ilvl w:val="2"/>
          <w:numId w:val="1"/>
        </w:numPr>
        <w:adjustRightInd w:val="0"/>
        <w:snapToGrid w:val="0"/>
        <w:spacing w:before="62" w:beforeLines="20" w:after="62" w:afterLines="20"/>
        <w:rPr>
          <w:b w:val="0"/>
          <w:sz w:val="21"/>
        </w:rPr>
      </w:pPr>
      <w:r>
        <w:rPr>
          <w:rFonts w:hint="eastAsia"/>
          <w:b w:val="0"/>
          <w:sz w:val="21"/>
        </w:rPr>
        <w:t>边坡光伏组件宜南向安装。</w:t>
      </w:r>
    </w:p>
    <w:p>
      <w:pPr>
        <w:pStyle w:val="38"/>
        <w:keepNext w:val="0"/>
        <w:keepLines w:val="0"/>
        <w:numPr>
          <w:ilvl w:val="2"/>
          <w:numId w:val="1"/>
        </w:numPr>
        <w:adjustRightInd w:val="0"/>
        <w:snapToGrid w:val="0"/>
        <w:spacing w:before="62" w:beforeLines="20" w:after="62" w:afterLines="20"/>
        <w:rPr>
          <w:b w:val="0"/>
          <w:sz w:val="21"/>
        </w:rPr>
      </w:pPr>
      <w:r>
        <w:rPr>
          <w:rFonts w:hint="eastAsia"/>
          <w:b w:val="0"/>
          <w:sz w:val="21"/>
        </w:rPr>
        <w:t>坡屋面上光伏瓦设计应符合下列规定：</w:t>
      </w:r>
    </w:p>
    <w:p>
      <w:pPr>
        <w:pStyle w:val="38"/>
        <w:keepNext w:val="0"/>
        <w:keepLines w:val="0"/>
        <w:adjustRightInd w:val="0"/>
        <w:snapToGrid w:val="0"/>
        <w:spacing w:before="62" w:beforeLines="20" w:after="62" w:afterLines="20"/>
        <w:rPr>
          <w:b w:val="0"/>
          <w:sz w:val="21"/>
        </w:rPr>
      </w:pPr>
      <w:r>
        <w:rPr>
          <w:rFonts w:hint="eastAsia"/>
          <w:b w:val="0"/>
          <w:sz w:val="21"/>
        </w:rPr>
        <w:t xml:space="preserve">    </w:t>
      </w:r>
      <w:r>
        <w:rPr>
          <w:rFonts w:ascii="黑体" w:hAnsi="黑体" w:eastAsia="黑体"/>
          <w:b w:val="0"/>
          <w:sz w:val="21"/>
        </w:rPr>
        <w:t>1</w:t>
      </w:r>
      <w:r>
        <w:rPr>
          <w:rFonts w:hint="eastAsia"/>
          <w:b w:val="0"/>
          <w:sz w:val="21"/>
        </w:rPr>
        <w:t xml:space="preserve">   坡屋面的坡度宜与光伏瓦在该地区年发电量最多的安装角度相同；</w:t>
      </w:r>
    </w:p>
    <w:p>
      <w:pPr>
        <w:pStyle w:val="38"/>
        <w:keepNext w:val="0"/>
        <w:keepLines w:val="0"/>
        <w:adjustRightInd w:val="0"/>
        <w:snapToGrid w:val="0"/>
        <w:spacing w:before="62" w:beforeLines="20" w:after="62" w:afterLines="20"/>
        <w:ind w:firstLine="435"/>
        <w:rPr>
          <w:b w:val="0"/>
          <w:sz w:val="21"/>
        </w:rPr>
      </w:pPr>
      <w:r>
        <w:rPr>
          <w:rFonts w:ascii="黑体" w:hAnsi="黑体" w:eastAsia="黑体"/>
          <w:b w:val="0"/>
          <w:sz w:val="21"/>
        </w:rPr>
        <w:t>2</w:t>
      </w:r>
      <w:r>
        <w:rPr>
          <w:rFonts w:hint="eastAsia"/>
          <w:b w:val="0"/>
          <w:sz w:val="21"/>
        </w:rPr>
        <w:t xml:space="preserve">   光伏瓦宜采用平行于屋面、顺坡镶嵌或顺坡架空的安装方式；</w:t>
      </w:r>
    </w:p>
    <w:p>
      <w:pPr>
        <w:pStyle w:val="38"/>
        <w:keepNext w:val="0"/>
        <w:keepLines w:val="0"/>
        <w:numPr>
          <w:ilvl w:val="2"/>
          <w:numId w:val="0"/>
        </w:numPr>
        <w:adjustRightInd w:val="0"/>
        <w:snapToGrid w:val="0"/>
        <w:spacing w:before="62" w:beforeLines="20" w:after="62" w:afterLines="20"/>
        <w:ind w:firstLine="435"/>
        <w:rPr>
          <w:b w:val="0"/>
          <w:sz w:val="21"/>
        </w:rPr>
      </w:pPr>
      <w:r>
        <w:rPr>
          <w:rFonts w:ascii="黑体" w:hAnsi="黑体" w:eastAsia="黑体"/>
          <w:b w:val="0"/>
          <w:sz w:val="21"/>
        </w:rPr>
        <w:t>3</w:t>
      </w:r>
      <w:r>
        <w:rPr>
          <w:rFonts w:hint="eastAsia"/>
          <w:b w:val="0"/>
          <w:sz w:val="21"/>
        </w:rPr>
        <w:t xml:space="preserve">   光伏瓦宜与屋顶普通瓦模数相匹配，不应影响屋面正常的排水功能</w:t>
      </w:r>
    </w:p>
    <w:p>
      <w:pPr>
        <w:pStyle w:val="38"/>
        <w:keepNext w:val="0"/>
        <w:keepLines w:val="0"/>
        <w:numPr>
          <w:ilvl w:val="2"/>
          <w:numId w:val="1"/>
        </w:numPr>
        <w:adjustRightInd w:val="0"/>
        <w:snapToGrid w:val="0"/>
        <w:spacing w:before="62" w:beforeLines="20" w:after="62" w:afterLines="20"/>
        <w:rPr>
          <w:b/>
          <w:sz w:val="32"/>
        </w:rPr>
      </w:pPr>
      <w:r>
        <w:rPr>
          <w:rFonts w:hint="eastAsia"/>
          <w:b w:val="0"/>
          <w:sz w:val="21"/>
        </w:rPr>
        <w:t>建材型光伏组件应符合建筑模数协调要求，其模数与标称尺寸应符合GB 50002和 GB 50006的有关规定。</w:t>
      </w:r>
    </w:p>
    <w:p>
      <w:pPr>
        <w:pStyle w:val="3"/>
        <w:spacing w:before="156" w:after="156"/>
        <w:rPr>
          <w:rFonts w:hint="eastAsia"/>
          <w:lang w:eastAsia="zh-CN"/>
        </w:rPr>
      </w:pPr>
      <w:r>
        <w:rPr>
          <w:rFonts w:hint="eastAsia"/>
          <w:lang w:eastAsia="zh-CN"/>
        </w:rPr>
        <w:t xml:space="preserve"> 支架设计 </w:t>
      </w:r>
    </w:p>
    <w:p>
      <w:pPr>
        <w:pStyle w:val="38"/>
        <w:keepNext w:val="0"/>
        <w:keepLines w:val="0"/>
        <w:numPr>
          <w:ilvl w:val="2"/>
          <w:numId w:val="1"/>
        </w:numPr>
        <w:adjustRightInd w:val="0"/>
        <w:snapToGrid w:val="0"/>
        <w:spacing w:before="62" w:beforeLines="20" w:after="62" w:afterLines="20"/>
        <w:rPr>
          <w:b w:val="0"/>
          <w:sz w:val="21"/>
        </w:rPr>
      </w:pPr>
      <w:r>
        <w:rPr>
          <w:rFonts w:hint="eastAsia"/>
          <w:b w:val="0"/>
          <w:sz w:val="21"/>
        </w:rPr>
        <w:t>光伏支架应结合工程实际选用材料。</w:t>
      </w:r>
    </w:p>
    <w:p>
      <w:pPr>
        <w:pStyle w:val="38"/>
        <w:keepNext w:val="0"/>
        <w:keepLines w:val="0"/>
        <w:numPr>
          <w:ilvl w:val="2"/>
          <w:numId w:val="1"/>
        </w:numPr>
        <w:adjustRightInd w:val="0"/>
        <w:snapToGrid w:val="0"/>
        <w:spacing w:before="62" w:beforeLines="20" w:after="62" w:afterLines="20"/>
        <w:rPr>
          <w:b w:val="0"/>
          <w:sz w:val="21"/>
        </w:rPr>
      </w:pPr>
      <w:r>
        <w:rPr>
          <w:rFonts w:hint="eastAsia"/>
          <w:b w:val="0"/>
          <w:sz w:val="21"/>
        </w:rPr>
        <w:t>应根据组件布设点位具体条件，对支架基础做具体设计。</w:t>
      </w:r>
    </w:p>
    <w:p>
      <w:pPr>
        <w:pStyle w:val="38"/>
        <w:keepNext w:val="0"/>
        <w:keepLines w:val="0"/>
        <w:numPr>
          <w:ilvl w:val="2"/>
          <w:numId w:val="1"/>
        </w:numPr>
        <w:adjustRightInd w:val="0"/>
        <w:snapToGrid w:val="0"/>
        <w:spacing w:before="62" w:beforeLines="20" w:after="62" w:afterLines="20"/>
        <w:rPr>
          <w:b w:val="0"/>
          <w:sz w:val="21"/>
        </w:rPr>
      </w:pPr>
      <w:r>
        <w:rPr>
          <w:rFonts w:hint="eastAsia"/>
          <w:b w:val="0"/>
          <w:sz w:val="21"/>
        </w:rPr>
        <w:t>钢支架用于次梁的板厚不宜小于1.5mm，用于主梁和柱的板厚不宜小于2.5mm，当有可靠依据时板厚可取2mm。</w:t>
      </w:r>
    </w:p>
    <w:p>
      <w:pPr>
        <w:pStyle w:val="38"/>
        <w:keepNext w:val="0"/>
        <w:keepLines w:val="0"/>
        <w:numPr>
          <w:ilvl w:val="2"/>
          <w:numId w:val="1"/>
        </w:numPr>
        <w:adjustRightInd w:val="0"/>
        <w:snapToGrid w:val="0"/>
        <w:spacing w:before="62" w:beforeLines="20" w:after="62" w:afterLines="20"/>
        <w:rPr>
          <w:b w:val="0"/>
          <w:sz w:val="21"/>
        </w:rPr>
      </w:pPr>
      <w:r>
        <w:rPr>
          <w:rFonts w:hint="eastAsia"/>
          <w:b w:val="0"/>
          <w:sz w:val="21"/>
        </w:rPr>
        <w:t>采用柔性支架时，应结合地形进行结构设计，支架柱间跨度宜大于 5 m。</w:t>
      </w:r>
    </w:p>
    <w:p>
      <w:pPr>
        <w:pStyle w:val="38"/>
        <w:keepNext w:val="0"/>
        <w:keepLines w:val="0"/>
        <w:numPr>
          <w:ilvl w:val="2"/>
          <w:numId w:val="1"/>
        </w:numPr>
        <w:adjustRightInd w:val="0"/>
        <w:snapToGrid w:val="0"/>
        <w:spacing w:before="62" w:beforeLines="20" w:after="62" w:afterLines="20"/>
        <w:rPr>
          <w:b w:val="0"/>
          <w:sz w:val="21"/>
        </w:rPr>
      </w:pPr>
      <w:r>
        <w:rPr>
          <w:rFonts w:hint="eastAsia"/>
          <w:b w:val="0"/>
          <w:sz w:val="21"/>
        </w:rPr>
        <w:t>支架防腐层应均匀无破损，采用热浸镀锌时，支架镀锌层平均厚度应不小于6</w:t>
      </w:r>
      <w:r>
        <w:rPr>
          <w:b w:val="0"/>
          <w:sz w:val="21"/>
        </w:rPr>
        <w:t>5μm</w:t>
      </w:r>
      <w:r>
        <w:rPr>
          <w:rFonts w:hint="eastAsia"/>
          <w:b w:val="0"/>
          <w:sz w:val="21"/>
        </w:rPr>
        <w:t>，局部厚度应不小于55</w:t>
      </w:r>
      <w:r>
        <w:rPr>
          <w:b w:val="0"/>
          <w:sz w:val="21"/>
        </w:rPr>
        <w:t>μm 。</w:t>
      </w:r>
    </w:p>
    <w:p>
      <w:pPr>
        <w:pStyle w:val="3"/>
        <w:adjustRightInd w:val="0"/>
        <w:snapToGrid w:val="0"/>
        <w:spacing w:before="62" w:beforeLines="20" w:after="62" w:afterLines="20"/>
      </w:pPr>
      <w:r>
        <w:rPr>
          <w:rFonts w:hint="eastAsia"/>
          <w:lang w:eastAsia="zh-CN"/>
        </w:rPr>
        <w:t>其他</w:t>
      </w:r>
    </w:p>
    <w:p>
      <w:pPr>
        <w:pStyle w:val="38"/>
        <w:keepNext w:val="0"/>
        <w:keepLines w:val="0"/>
        <w:numPr>
          <w:ilvl w:val="2"/>
          <w:numId w:val="1"/>
        </w:numPr>
        <w:adjustRightInd w:val="0"/>
        <w:snapToGrid w:val="0"/>
        <w:spacing w:before="62" w:beforeLines="20" w:after="62" w:afterLines="20"/>
        <w:rPr>
          <w:b w:val="0"/>
          <w:sz w:val="21"/>
        </w:rPr>
      </w:pPr>
      <w:r>
        <w:rPr>
          <w:rFonts w:hint="eastAsia"/>
          <w:b w:val="0"/>
          <w:sz w:val="21"/>
        </w:rPr>
        <w:t>宜采用组串式逆变器，最大功率点追踪电压范围宜为200V-1200V。</w:t>
      </w:r>
    </w:p>
    <w:p>
      <w:pPr>
        <w:pStyle w:val="38"/>
        <w:keepNext w:val="0"/>
        <w:keepLines w:val="0"/>
        <w:numPr>
          <w:ilvl w:val="2"/>
          <w:numId w:val="1"/>
        </w:numPr>
        <w:adjustRightInd w:val="0"/>
        <w:snapToGrid w:val="0"/>
        <w:spacing w:before="62" w:beforeLines="20" w:after="62" w:afterLines="20"/>
        <w:rPr>
          <w:b/>
          <w:sz w:val="32"/>
        </w:rPr>
      </w:pPr>
      <w:r>
        <w:rPr>
          <w:rFonts w:hint="eastAsia"/>
          <w:b w:val="0"/>
          <w:sz w:val="21"/>
        </w:rPr>
        <w:t>自发自用模式下，储能设备容量宜参照附录A配置。</w:t>
      </w:r>
    </w:p>
    <w:p>
      <w:pPr>
        <w:pStyle w:val="38"/>
        <w:keepNext w:val="0"/>
        <w:keepLines w:val="0"/>
        <w:numPr>
          <w:ilvl w:val="2"/>
          <w:numId w:val="1"/>
        </w:numPr>
        <w:adjustRightInd w:val="0"/>
        <w:snapToGrid w:val="0"/>
        <w:spacing w:before="62" w:beforeLines="20" w:after="62" w:afterLines="20"/>
        <w:rPr>
          <w:b w:val="0"/>
          <w:sz w:val="21"/>
        </w:rPr>
      </w:pPr>
      <w:r>
        <w:rPr>
          <w:rFonts w:hint="eastAsia"/>
          <w:b w:val="0"/>
          <w:sz w:val="21"/>
        </w:rPr>
        <w:t>汇流箱安装位置应根据下列要求，经技术经济等因素综合分析和比较后确定：</w:t>
      </w:r>
    </w:p>
    <w:p>
      <w:pPr>
        <w:pStyle w:val="38"/>
        <w:keepNext w:val="0"/>
        <w:keepLines w:val="0"/>
        <w:adjustRightInd w:val="0"/>
        <w:snapToGrid w:val="0"/>
        <w:spacing w:before="62" w:beforeLines="20" w:after="62" w:afterLines="20"/>
        <w:ind w:firstLine="420" w:firstLineChars="200"/>
        <w:rPr>
          <w:b w:val="0"/>
          <w:sz w:val="21"/>
        </w:rPr>
      </w:pPr>
      <w:r>
        <w:rPr>
          <w:rFonts w:ascii="黑体" w:hAnsi="黑体" w:eastAsia="黑体"/>
          <w:b w:val="0"/>
          <w:sz w:val="21"/>
        </w:rPr>
        <w:t>1</w:t>
      </w:r>
      <w:r>
        <w:rPr>
          <w:rFonts w:hint="eastAsia"/>
          <w:b w:val="0"/>
          <w:sz w:val="21"/>
        </w:rPr>
        <w:t xml:space="preserve">   应方便进出线；</w:t>
      </w:r>
    </w:p>
    <w:p>
      <w:pPr>
        <w:pStyle w:val="38"/>
        <w:keepNext w:val="0"/>
        <w:keepLines w:val="0"/>
        <w:adjustRightInd w:val="0"/>
        <w:snapToGrid w:val="0"/>
        <w:spacing w:before="62" w:beforeLines="20" w:after="62" w:afterLines="20"/>
        <w:ind w:firstLine="420" w:firstLineChars="200"/>
        <w:rPr>
          <w:b w:val="0"/>
          <w:sz w:val="21"/>
        </w:rPr>
      </w:pPr>
      <w:r>
        <w:rPr>
          <w:rFonts w:ascii="黑体" w:hAnsi="黑体" w:eastAsia="黑体"/>
          <w:b w:val="0"/>
          <w:sz w:val="21"/>
        </w:rPr>
        <w:t>2</w:t>
      </w:r>
      <w:r>
        <w:rPr>
          <w:rFonts w:hint="eastAsia"/>
          <w:b w:val="0"/>
          <w:sz w:val="21"/>
        </w:rPr>
        <w:t xml:space="preserve">   不宜设在多尘或有腐蚀性物质的场所，当无法远离时，不应设在污染源盛行风向的下风侧，或应采取有效的防护措施；</w:t>
      </w:r>
    </w:p>
    <w:p>
      <w:pPr>
        <w:pStyle w:val="38"/>
        <w:keepNext w:val="0"/>
        <w:keepLines w:val="0"/>
        <w:numPr>
          <w:ilvl w:val="2"/>
          <w:numId w:val="0"/>
        </w:numPr>
        <w:adjustRightInd w:val="0"/>
        <w:snapToGrid w:val="0"/>
        <w:spacing w:before="62" w:beforeLines="20" w:after="62" w:afterLines="20"/>
        <w:ind w:firstLine="420" w:firstLineChars="200"/>
        <w:rPr>
          <w:b w:val="0"/>
          <w:sz w:val="21"/>
        </w:rPr>
      </w:pPr>
      <w:r>
        <w:rPr>
          <w:rFonts w:ascii="黑体" w:hAnsi="黑体" w:eastAsia="黑体"/>
          <w:b w:val="0"/>
          <w:sz w:val="21"/>
        </w:rPr>
        <w:t>3</w:t>
      </w:r>
      <w:r>
        <w:rPr>
          <w:rFonts w:hint="eastAsia"/>
          <w:b w:val="0"/>
          <w:sz w:val="21"/>
        </w:rPr>
        <w:t xml:space="preserve">   不应设在地势低洼和可能积水的场所。</w:t>
      </w:r>
    </w:p>
    <w:p>
      <w:pPr>
        <w:pStyle w:val="38"/>
        <w:keepNext/>
        <w:keepLines/>
        <w:numPr>
          <w:ilvl w:val="2"/>
          <w:numId w:val="1"/>
        </w:numPr>
        <w:adjustRightInd w:val="0"/>
        <w:snapToGrid w:val="0"/>
        <w:spacing w:before="62" w:beforeLines="20" w:after="62" w:afterLines="20"/>
        <w:rPr>
          <w:b/>
          <w:sz w:val="32"/>
        </w:rPr>
      </w:pPr>
      <w:r>
        <w:rPr>
          <w:rFonts w:hint="eastAsia"/>
          <w:b w:val="0"/>
          <w:sz w:val="21"/>
        </w:rPr>
        <w:t>光伏电缆选型应考虑载流量、热稳定、电压降、绝缘耐压、保护配合和供电方式等因素，并符合GB 50217相关技术要求。</w:t>
      </w:r>
    </w:p>
    <w:p>
      <w:pPr>
        <w:pStyle w:val="38"/>
        <w:keepNext w:val="0"/>
        <w:keepLines w:val="0"/>
        <w:numPr>
          <w:ilvl w:val="2"/>
          <w:numId w:val="1"/>
        </w:numPr>
        <w:adjustRightInd w:val="0"/>
        <w:snapToGrid w:val="0"/>
        <w:spacing w:before="62" w:beforeLines="20" w:after="62" w:afterLines="20"/>
        <w:rPr>
          <w:b w:val="0"/>
          <w:sz w:val="21"/>
        </w:rPr>
      </w:pPr>
      <w:r>
        <w:rPr>
          <w:rFonts w:hint="eastAsia"/>
          <w:b w:val="0"/>
          <w:sz w:val="21"/>
        </w:rPr>
        <w:t>在路侧及中央分隔带安装光伏系统时，交通安全设施应符合JTG D 81的要求。</w:t>
      </w:r>
    </w:p>
    <w:p>
      <w:pPr>
        <w:pStyle w:val="38"/>
        <w:keepNext w:val="0"/>
        <w:keepLines w:val="0"/>
        <w:numPr>
          <w:ilvl w:val="2"/>
          <w:numId w:val="1"/>
        </w:numPr>
        <w:adjustRightInd w:val="0"/>
        <w:snapToGrid w:val="0"/>
        <w:spacing w:before="62" w:beforeLines="20" w:after="62" w:afterLines="20"/>
        <w:rPr>
          <w:b w:val="0"/>
          <w:sz w:val="21"/>
        </w:rPr>
      </w:pPr>
      <w:r>
        <w:rPr>
          <w:rFonts w:hint="eastAsia"/>
          <w:b w:val="0"/>
          <w:sz w:val="21"/>
        </w:rPr>
        <w:t>光伏声屏障安装位置应满足道路、建筑限界、支柱的位置、接触网、回流线以及各种电力线安全距离的要求。</w:t>
      </w:r>
    </w:p>
    <w:p>
      <w:pPr>
        <w:pStyle w:val="2"/>
        <w:numPr>
          <w:ilvl w:val="0"/>
          <w:numId w:val="1"/>
        </w:numPr>
        <w:spacing w:before="156" w:beforeLines="50" w:after="156" w:afterLines="50" w:line="240" w:lineRule="auto"/>
        <w:contextualSpacing/>
        <w:rPr>
          <w:rFonts w:hint="eastAsia" w:ascii="黑体" w:hAnsi="黑体" w:eastAsia="黑体"/>
          <w:b w:val="0"/>
          <w:bCs/>
          <w:sz w:val="21"/>
          <w:szCs w:val="32"/>
        </w:rPr>
      </w:pPr>
      <w:bookmarkStart w:id="51" w:name="_Toc7138"/>
      <w:bookmarkStart w:id="52" w:name="_Toc32018"/>
      <w:r>
        <w:rPr>
          <w:rFonts w:hint="eastAsia" w:ascii="黑体" w:hAnsi="黑体" w:eastAsia="黑体"/>
          <w:b w:val="0"/>
          <w:bCs/>
          <w:sz w:val="21"/>
          <w:szCs w:val="32"/>
        </w:rPr>
        <w:br w:type="page"/>
      </w:r>
      <w:r>
        <w:rPr>
          <w:rFonts w:hint="eastAsia" w:ascii="黑体" w:hAnsi="黑体" w:eastAsia="黑体"/>
          <w:b w:val="0"/>
          <w:bCs/>
          <w:sz w:val="21"/>
          <w:szCs w:val="32"/>
        </w:rPr>
        <w:t>施工要求</w:t>
      </w:r>
      <w:bookmarkEnd w:id="51"/>
      <w:bookmarkEnd w:id="52"/>
    </w:p>
    <w:p>
      <w:pPr>
        <w:pStyle w:val="3"/>
        <w:spacing w:before="156" w:after="156"/>
        <w:rPr>
          <w:rFonts w:hint="eastAsia"/>
          <w:lang w:eastAsia="zh-CN"/>
        </w:rPr>
      </w:pPr>
      <w:bookmarkStart w:id="53" w:name="_Hlk184300949"/>
      <w:r>
        <w:rPr>
          <w:rFonts w:hint="eastAsia"/>
          <w:lang w:eastAsia="zh-CN"/>
        </w:rPr>
        <w:t>一般要求</w:t>
      </w:r>
    </w:p>
    <w:bookmarkEnd w:id="53"/>
    <w:p>
      <w:pPr>
        <w:pStyle w:val="26"/>
        <w:numPr>
          <w:ilvl w:val="2"/>
          <w:numId w:val="1"/>
        </w:numPr>
        <w:ind w:firstLineChars="0"/>
      </w:pPr>
      <w:bookmarkStart w:id="54" w:name="_Hlk184300958"/>
      <w:r>
        <w:rPr>
          <w:rFonts w:hint="eastAsia"/>
          <w:bCs/>
          <w:szCs w:val="32"/>
        </w:rPr>
        <w:t>应进行调查及现场核对，并根据设计、调查情况等编制施工组织设计。</w:t>
      </w:r>
    </w:p>
    <w:p>
      <w:pPr>
        <w:pStyle w:val="38"/>
        <w:keepNext w:val="0"/>
        <w:keepLines w:val="0"/>
        <w:numPr>
          <w:ilvl w:val="2"/>
          <w:numId w:val="1"/>
        </w:numPr>
        <w:adjustRightInd w:val="0"/>
        <w:snapToGrid w:val="0"/>
        <w:spacing w:before="62" w:beforeLines="20" w:after="62" w:afterLines="20"/>
        <w:rPr>
          <w:b w:val="0"/>
          <w:sz w:val="21"/>
        </w:rPr>
      </w:pPr>
      <w:r>
        <w:rPr>
          <w:rFonts w:hint="eastAsia"/>
          <w:b w:val="0"/>
          <w:sz w:val="21"/>
        </w:rPr>
        <w:t>营运高速公路上建设光伏发电系统，应按照</w:t>
      </w:r>
      <w:r>
        <w:rPr>
          <w:b w:val="0"/>
          <w:sz w:val="21"/>
        </w:rPr>
        <w:t xml:space="preserve">DB50/T </w:t>
      </w:r>
      <w:r>
        <w:rPr>
          <w:rFonts w:hint="eastAsia"/>
          <w:b w:val="0"/>
          <w:sz w:val="21"/>
        </w:rPr>
        <w:t>959进行交通组织。</w:t>
      </w:r>
    </w:p>
    <w:p>
      <w:pPr>
        <w:pStyle w:val="38"/>
        <w:keepNext w:val="0"/>
        <w:keepLines w:val="0"/>
        <w:numPr>
          <w:ilvl w:val="2"/>
          <w:numId w:val="1"/>
        </w:numPr>
        <w:adjustRightInd w:val="0"/>
        <w:snapToGrid w:val="0"/>
        <w:spacing w:before="62" w:beforeLines="20" w:after="62" w:afterLines="20"/>
        <w:rPr>
          <w:b w:val="0"/>
          <w:sz w:val="21"/>
        </w:rPr>
      </w:pPr>
      <w:r>
        <w:rPr>
          <w:rFonts w:hint="eastAsia"/>
          <w:b w:val="0"/>
          <w:sz w:val="21"/>
        </w:rPr>
        <w:t>光伏发电光伏系统施工时，应避免扰动建设点位的原有排水工程，对于排水工程有损坏的，应参照JTG/T 3610中的相关内容进行修复。</w:t>
      </w:r>
    </w:p>
    <w:p>
      <w:pPr>
        <w:pStyle w:val="3"/>
        <w:spacing w:before="156" w:after="156"/>
        <w:rPr>
          <w:rFonts w:hint="eastAsia"/>
          <w:lang w:eastAsia="zh-CN"/>
        </w:rPr>
      </w:pPr>
      <w:r>
        <w:rPr>
          <w:rFonts w:hint="eastAsia"/>
        </w:rPr>
        <w:t>光伏</w:t>
      </w:r>
      <w:bookmarkEnd w:id="54"/>
      <w:r>
        <w:rPr>
          <w:rFonts w:hint="eastAsia"/>
          <w:lang w:eastAsia="zh-CN"/>
        </w:rPr>
        <w:t>组件施工</w:t>
      </w:r>
    </w:p>
    <w:p>
      <w:pPr>
        <w:pStyle w:val="38"/>
        <w:keepNext w:val="0"/>
        <w:keepLines w:val="0"/>
        <w:numPr>
          <w:ilvl w:val="2"/>
          <w:numId w:val="1"/>
        </w:numPr>
        <w:adjustRightInd w:val="0"/>
        <w:snapToGrid w:val="0"/>
        <w:spacing w:before="62" w:beforeLines="20" w:after="62" w:afterLines="20"/>
        <w:rPr>
          <w:b w:val="0"/>
          <w:sz w:val="21"/>
        </w:rPr>
      </w:pPr>
      <w:r>
        <w:rPr>
          <w:rFonts w:hint="eastAsia"/>
          <w:b w:val="0"/>
          <w:sz w:val="21"/>
        </w:rPr>
        <w:t>施工应参照GB 50794的相关要求。</w:t>
      </w:r>
    </w:p>
    <w:p>
      <w:pPr>
        <w:pStyle w:val="38"/>
        <w:keepNext w:val="0"/>
        <w:keepLines w:val="0"/>
        <w:numPr>
          <w:ilvl w:val="2"/>
          <w:numId w:val="1"/>
        </w:numPr>
        <w:adjustRightInd w:val="0"/>
        <w:snapToGrid w:val="0"/>
        <w:spacing w:before="62" w:beforeLines="20" w:after="62" w:afterLines="20"/>
        <w:rPr>
          <w:b w:val="0"/>
          <w:sz w:val="21"/>
        </w:rPr>
      </w:pPr>
      <w:r>
        <w:rPr>
          <w:rFonts w:hint="eastAsia"/>
          <w:b w:val="0"/>
          <w:sz w:val="21"/>
        </w:rPr>
        <w:t>光伏组件的连线应禁止在雨中进行。</w:t>
      </w:r>
    </w:p>
    <w:p>
      <w:pPr>
        <w:pStyle w:val="38"/>
        <w:keepNext w:val="0"/>
        <w:keepLines w:val="0"/>
        <w:numPr>
          <w:ilvl w:val="2"/>
          <w:numId w:val="1"/>
        </w:numPr>
        <w:adjustRightInd w:val="0"/>
        <w:snapToGrid w:val="0"/>
        <w:spacing w:before="62" w:beforeLines="20" w:after="62" w:afterLines="20"/>
        <w:rPr>
          <w:b w:val="0"/>
          <w:sz w:val="21"/>
        </w:rPr>
      </w:pPr>
      <w:r>
        <w:rPr>
          <w:rFonts w:hint="eastAsia"/>
          <w:b w:val="0"/>
          <w:sz w:val="21"/>
        </w:rPr>
        <w:t>严禁触碰光伏组件串的金属带电部位。</w:t>
      </w:r>
    </w:p>
    <w:p>
      <w:pPr>
        <w:pStyle w:val="38"/>
        <w:keepNext w:val="0"/>
        <w:keepLines w:val="0"/>
        <w:numPr>
          <w:ilvl w:val="2"/>
          <w:numId w:val="1"/>
        </w:numPr>
        <w:adjustRightInd w:val="0"/>
        <w:snapToGrid w:val="0"/>
        <w:spacing w:before="62" w:beforeLines="20" w:after="62" w:afterLines="20"/>
        <w:rPr>
          <w:b w:val="0"/>
          <w:sz w:val="21"/>
        </w:rPr>
      </w:pPr>
      <w:r>
        <w:rPr>
          <w:rFonts w:hint="eastAsia"/>
          <w:b w:val="0"/>
          <w:sz w:val="21"/>
        </w:rPr>
        <w:t>安装倾斜角度偏差</w:t>
      </w:r>
      <w:r>
        <w:rPr>
          <w:rFonts w:hint="eastAsia"/>
          <w:b w:val="0"/>
          <w:sz w:val="21"/>
          <w:highlight w:val="none"/>
        </w:rPr>
        <w:t>应不超过±</w:t>
      </w:r>
      <w:r>
        <w:rPr>
          <w:b w:val="0"/>
          <w:sz w:val="21"/>
          <w:highlight w:val="none"/>
        </w:rPr>
        <w:t>1°</w:t>
      </w:r>
      <w:r>
        <w:rPr>
          <w:rFonts w:hint="eastAsia"/>
          <w:b w:val="0"/>
          <w:sz w:val="21"/>
        </w:rPr>
        <w:t>，相邻组件的边缘高差应不大于2mm，同组组件边缘高差应不大于5mm。</w:t>
      </w:r>
    </w:p>
    <w:p>
      <w:pPr>
        <w:pStyle w:val="38"/>
        <w:keepNext w:val="0"/>
        <w:keepLines w:val="0"/>
        <w:numPr>
          <w:ilvl w:val="2"/>
          <w:numId w:val="1"/>
        </w:numPr>
        <w:adjustRightInd w:val="0"/>
        <w:snapToGrid w:val="0"/>
        <w:spacing w:before="62" w:beforeLines="20" w:after="62" w:afterLines="20"/>
        <w:rPr>
          <w:b w:val="0"/>
          <w:sz w:val="21"/>
        </w:rPr>
      </w:pPr>
      <w:r>
        <w:rPr>
          <w:rFonts w:hint="eastAsia"/>
          <w:b w:val="0"/>
          <w:sz w:val="21"/>
        </w:rPr>
        <w:t>光伏组件的数量和间距应符合设计文件要求，应保证连接件牢固，连接处应搪锡。</w:t>
      </w:r>
    </w:p>
    <w:p>
      <w:pPr>
        <w:pStyle w:val="3"/>
        <w:spacing w:before="156" w:after="156"/>
        <w:rPr>
          <w:rFonts w:hint="eastAsia"/>
          <w:lang w:eastAsia="zh-CN"/>
        </w:rPr>
      </w:pPr>
      <w:r>
        <w:rPr>
          <w:rFonts w:hint="eastAsia"/>
          <w:lang w:eastAsia="zh-CN"/>
        </w:rPr>
        <w:t>支架施工</w:t>
      </w:r>
    </w:p>
    <w:p>
      <w:pPr>
        <w:pStyle w:val="38"/>
        <w:numPr>
          <w:ilvl w:val="2"/>
          <w:numId w:val="1"/>
        </w:numPr>
        <w:adjustRightInd w:val="0"/>
        <w:snapToGrid w:val="0"/>
        <w:spacing w:before="62" w:beforeLines="20" w:after="62" w:afterLines="20"/>
        <w:rPr>
          <w:b w:val="0"/>
          <w:sz w:val="21"/>
        </w:rPr>
      </w:pPr>
      <w:r>
        <w:rPr>
          <w:rFonts w:hint="eastAsia"/>
          <w:b w:val="0"/>
          <w:sz w:val="21"/>
        </w:rPr>
        <w:t>支架安装过程中不应强行敲打，不应气割扩孔；对热镀锌材质的支架，现场不应打孔。</w:t>
      </w:r>
    </w:p>
    <w:p>
      <w:pPr>
        <w:pStyle w:val="38"/>
        <w:numPr>
          <w:ilvl w:val="2"/>
          <w:numId w:val="1"/>
        </w:numPr>
        <w:adjustRightInd w:val="0"/>
        <w:snapToGrid w:val="0"/>
        <w:spacing w:before="62" w:beforeLines="20" w:after="62" w:afterLines="20"/>
        <w:rPr>
          <w:rFonts w:hint="eastAsia"/>
        </w:rPr>
      </w:pPr>
      <w:r>
        <w:rPr>
          <w:rFonts w:hint="eastAsia"/>
          <w:b w:val="0"/>
          <w:sz w:val="21"/>
        </w:rPr>
        <w:t>支架倾斜角度偏差度不应大于±1°</w:t>
      </w:r>
      <w:r>
        <w:rPr>
          <w:rFonts w:hint="eastAsia"/>
          <w:b w:val="0"/>
          <w:sz w:val="21"/>
          <w:highlight w:val="yellow"/>
        </w:rPr>
        <w:t>。</w:t>
      </w:r>
    </w:p>
    <w:p>
      <w:pPr>
        <w:pStyle w:val="38"/>
        <w:keepNext w:val="0"/>
        <w:keepLines w:val="0"/>
        <w:numPr>
          <w:ilvl w:val="2"/>
          <w:numId w:val="1"/>
        </w:numPr>
        <w:adjustRightInd w:val="0"/>
        <w:snapToGrid w:val="0"/>
        <w:spacing w:before="62" w:beforeLines="20" w:after="62" w:afterLines="20"/>
        <w:rPr>
          <w:b w:val="0"/>
          <w:sz w:val="21"/>
        </w:rPr>
      </w:pPr>
      <w:r>
        <w:rPr>
          <w:rFonts w:hint="eastAsia"/>
          <w:b w:val="0"/>
          <w:sz w:val="21"/>
        </w:rPr>
        <w:t>对暴露于组件阵列以外的支架、支架基础、钢结构棱角等实施安全防护措施。</w:t>
      </w:r>
    </w:p>
    <w:p>
      <w:pPr>
        <w:pStyle w:val="38"/>
        <w:numPr>
          <w:ilvl w:val="2"/>
          <w:numId w:val="1"/>
        </w:numPr>
        <w:adjustRightInd w:val="0"/>
        <w:snapToGrid w:val="0"/>
        <w:spacing w:before="62" w:beforeLines="20" w:after="62" w:afterLines="20"/>
        <w:rPr>
          <w:b w:val="0"/>
          <w:sz w:val="21"/>
        </w:rPr>
      </w:pPr>
      <w:r>
        <w:rPr>
          <w:rFonts w:hint="eastAsia"/>
          <w:b w:val="0"/>
          <w:sz w:val="21"/>
        </w:rPr>
        <w:t>采用现浇混凝土支架基础时，混凝土强度不低于设计强度的70%方可进行支架安装。</w:t>
      </w:r>
    </w:p>
    <w:p>
      <w:pPr>
        <w:pStyle w:val="38"/>
        <w:keepNext w:val="0"/>
        <w:keepLines w:val="0"/>
        <w:numPr>
          <w:ilvl w:val="2"/>
          <w:numId w:val="1"/>
        </w:numPr>
        <w:adjustRightInd w:val="0"/>
        <w:snapToGrid w:val="0"/>
        <w:spacing w:before="62" w:beforeLines="20" w:after="62" w:afterLines="20"/>
        <w:rPr>
          <w:b w:val="0"/>
          <w:sz w:val="21"/>
        </w:rPr>
      </w:pPr>
      <w:r>
        <w:rPr>
          <w:rFonts w:hint="eastAsia"/>
          <w:b w:val="0"/>
          <w:sz w:val="21"/>
        </w:rPr>
        <w:t>光伏支架立柱与支架基础应连接牢固，纵横两向排布于同一直线上。</w:t>
      </w:r>
    </w:p>
    <w:p>
      <w:pPr>
        <w:pStyle w:val="38"/>
        <w:keepNext w:val="0"/>
        <w:keepLines w:val="0"/>
        <w:numPr>
          <w:ilvl w:val="2"/>
          <w:numId w:val="1"/>
        </w:numPr>
        <w:adjustRightInd w:val="0"/>
        <w:snapToGrid w:val="0"/>
        <w:spacing w:before="62" w:beforeLines="20" w:after="62" w:afterLines="20"/>
        <w:rPr>
          <w:b/>
          <w:sz w:val="32"/>
        </w:rPr>
      </w:pPr>
      <w:r>
        <w:rPr>
          <w:rFonts w:hint="eastAsia"/>
          <w:b w:val="0"/>
          <w:sz w:val="21"/>
        </w:rPr>
        <w:t>支架安装施工宜采用螺栓连接方式，组件与支架之间螺栓的螺杆朝向地面。</w:t>
      </w:r>
    </w:p>
    <w:p>
      <w:pPr>
        <w:pStyle w:val="38"/>
        <w:keepNext w:val="0"/>
        <w:keepLines w:val="0"/>
        <w:numPr>
          <w:ilvl w:val="2"/>
          <w:numId w:val="1"/>
        </w:numPr>
        <w:adjustRightInd w:val="0"/>
        <w:snapToGrid w:val="0"/>
        <w:spacing w:before="62" w:beforeLines="20" w:after="62" w:afterLines="20"/>
        <w:rPr>
          <w:b w:val="0"/>
          <w:sz w:val="21"/>
        </w:rPr>
      </w:pPr>
      <w:r>
        <w:rPr>
          <w:rFonts w:hint="eastAsia"/>
          <w:b w:val="0"/>
          <w:sz w:val="21"/>
        </w:rPr>
        <w:t>光伏支架安装于边坡区域时，支架的安装高度宜与边坡线形协调，整体美观。</w:t>
      </w:r>
    </w:p>
    <w:p>
      <w:pPr>
        <w:pStyle w:val="3"/>
        <w:spacing w:before="156" w:after="156"/>
      </w:pPr>
      <w:bookmarkStart w:id="55" w:name="_Hlk184302126"/>
      <w:r>
        <w:rPr>
          <w:rFonts w:hint="eastAsia"/>
          <w:lang w:eastAsia="zh-CN"/>
        </w:rPr>
        <w:t xml:space="preserve"> 其他</w:t>
      </w:r>
      <w:r>
        <w:rPr>
          <w:rFonts w:hint="eastAsia"/>
          <w:color w:val="0000FF"/>
          <w:lang w:eastAsia="zh-CN"/>
        </w:rPr>
        <w:t>施工</w:t>
      </w:r>
    </w:p>
    <w:p>
      <w:pPr>
        <w:pStyle w:val="38"/>
        <w:keepNext w:val="0"/>
        <w:keepLines w:val="0"/>
        <w:numPr>
          <w:ilvl w:val="2"/>
          <w:numId w:val="1"/>
        </w:numPr>
        <w:adjustRightInd w:val="0"/>
        <w:snapToGrid w:val="0"/>
        <w:spacing w:before="62" w:beforeLines="20" w:after="62" w:afterLines="20"/>
        <w:rPr>
          <w:b w:val="0"/>
          <w:sz w:val="21"/>
        </w:rPr>
      </w:pPr>
      <w:r>
        <w:rPr>
          <w:rFonts w:hint="eastAsia"/>
          <w:b w:val="0"/>
          <w:sz w:val="21"/>
        </w:rPr>
        <w:t>应结合光伏组件排布、电缆用量、线损、箱式变压器布置方案、外线接入方案等确定逆变器安装位置，且不应对光伏组件形成光线遮挡。</w:t>
      </w:r>
    </w:p>
    <w:p>
      <w:pPr>
        <w:pStyle w:val="38"/>
        <w:keepNext w:val="0"/>
        <w:keepLines w:val="0"/>
        <w:numPr>
          <w:ilvl w:val="2"/>
          <w:numId w:val="1"/>
        </w:numPr>
        <w:adjustRightInd w:val="0"/>
        <w:snapToGrid w:val="0"/>
        <w:spacing w:before="62" w:beforeLines="20" w:after="62" w:afterLines="20"/>
        <w:rPr>
          <w:b w:val="0"/>
          <w:sz w:val="21"/>
        </w:rPr>
      </w:pPr>
      <w:r>
        <w:rPr>
          <w:rFonts w:hint="eastAsia"/>
          <w:b w:val="0"/>
          <w:sz w:val="21"/>
        </w:rPr>
        <w:t>逆变器采用独立基础安装时，基础外沿与排水沟净距宜不小于0.5 m。</w:t>
      </w:r>
    </w:p>
    <w:p>
      <w:pPr>
        <w:pStyle w:val="38"/>
        <w:keepNext w:val="0"/>
        <w:keepLines w:val="0"/>
        <w:numPr>
          <w:ilvl w:val="2"/>
          <w:numId w:val="1"/>
        </w:numPr>
        <w:adjustRightInd w:val="0"/>
        <w:snapToGrid w:val="0"/>
        <w:spacing w:before="62" w:beforeLines="20" w:after="62" w:afterLines="20"/>
        <w:rPr>
          <w:b w:val="0"/>
          <w:sz w:val="21"/>
        </w:rPr>
      </w:pPr>
      <w:r>
        <w:rPr>
          <w:rFonts w:hint="eastAsia"/>
          <w:b w:val="0"/>
          <w:sz w:val="21"/>
        </w:rPr>
        <w:t>逆变器采用壁挂式安装时，逆变器与地面的垂直距离应高于1 m。</w:t>
      </w:r>
    </w:p>
    <w:p>
      <w:pPr>
        <w:pStyle w:val="38"/>
        <w:keepNext w:val="0"/>
        <w:keepLines w:val="0"/>
        <w:numPr>
          <w:ilvl w:val="2"/>
          <w:numId w:val="1"/>
        </w:numPr>
        <w:adjustRightInd w:val="0"/>
        <w:snapToGrid w:val="0"/>
        <w:spacing w:before="62" w:beforeLines="20" w:after="62" w:afterLines="20"/>
      </w:pPr>
      <w:r>
        <w:rPr>
          <w:rFonts w:hint="eastAsia"/>
          <w:b w:val="0"/>
          <w:sz w:val="21"/>
        </w:rPr>
        <w:t>汇流箱安装的垂直偏差应小于1.5mm，并做好防腐措施。</w:t>
      </w:r>
    </w:p>
    <w:p>
      <w:pPr>
        <w:pStyle w:val="38"/>
        <w:keepNext w:val="0"/>
        <w:keepLines w:val="0"/>
        <w:numPr>
          <w:ilvl w:val="2"/>
          <w:numId w:val="1"/>
        </w:numPr>
        <w:adjustRightInd w:val="0"/>
        <w:snapToGrid w:val="0"/>
        <w:spacing w:before="62" w:beforeLines="20" w:after="62" w:afterLines="20"/>
        <w:rPr>
          <w:b w:val="0"/>
          <w:sz w:val="21"/>
        </w:rPr>
      </w:pPr>
      <w:r>
        <w:rPr>
          <w:rFonts w:hint="eastAsia"/>
          <w:b w:val="0"/>
          <w:sz w:val="21"/>
        </w:rPr>
        <w:t>电缆与公路交叉时，应采用非开挖方式敷设，套管埋深不低于0.7 m。</w:t>
      </w:r>
      <w:bookmarkEnd w:id="55"/>
    </w:p>
    <w:p>
      <w:pPr>
        <w:pStyle w:val="3"/>
        <w:adjustRightInd w:val="0"/>
        <w:snapToGrid w:val="0"/>
        <w:spacing w:before="156" w:after="156"/>
      </w:pPr>
      <w:r>
        <w:rPr>
          <w:rFonts w:hint="eastAsia"/>
          <w:lang w:eastAsia="zh-CN"/>
        </w:rPr>
        <w:t>调试与试运行</w:t>
      </w:r>
    </w:p>
    <w:p>
      <w:pPr>
        <w:pStyle w:val="38"/>
        <w:keepNext w:val="0"/>
        <w:keepLines w:val="0"/>
        <w:numPr>
          <w:ilvl w:val="2"/>
          <w:numId w:val="1"/>
        </w:numPr>
        <w:adjustRightInd w:val="0"/>
        <w:snapToGrid w:val="0"/>
        <w:spacing w:before="62" w:beforeLines="20" w:after="62" w:afterLines="20"/>
        <w:rPr>
          <w:b w:val="0"/>
          <w:sz w:val="21"/>
        </w:rPr>
      </w:pPr>
      <w:r>
        <w:rPr>
          <w:rFonts w:hint="eastAsia"/>
          <w:b w:val="0"/>
          <w:sz w:val="21"/>
        </w:rPr>
        <w:t>工程应用启动前，应进行光伏发电系统调试，检查光伏组件、逆变器及其他电气设备的工作状态是否正常。</w:t>
      </w:r>
    </w:p>
    <w:p>
      <w:pPr>
        <w:pStyle w:val="38"/>
        <w:keepNext w:val="0"/>
        <w:keepLines w:val="0"/>
        <w:numPr>
          <w:ilvl w:val="2"/>
          <w:numId w:val="1"/>
        </w:numPr>
        <w:adjustRightInd w:val="0"/>
        <w:snapToGrid w:val="0"/>
        <w:spacing w:before="62" w:beforeLines="20" w:after="62" w:afterLines="20"/>
        <w:rPr>
          <w:b w:val="0"/>
          <w:sz w:val="21"/>
        </w:rPr>
      </w:pPr>
      <w:r>
        <w:rPr>
          <w:rFonts w:hint="eastAsia"/>
          <w:b w:val="0"/>
          <w:sz w:val="21"/>
        </w:rPr>
        <w:t>光伏组件串测试前应具备下列条件：</w:t>
      </w:r>
    </w:p>
    <w:p>
      <w:pPr>
        <w:pStyle w:val="38"/>
        <w:keepNext w:val="0"/>
        <w:keepLines w:val="0"/>
        <w:numPr>
          <w:ilvl w:val="0"/>
          <w:numId w:val="4"/>
        </w:numPr>
        <w:adjustRightInd w:val="0"/>
        <w:snapToGrid w:val="0"/>
        <w:spacing w:before="62" w:beforeLines="20" w:after="62" w:afterLines="20"/>
        <w:rPr>
          <w:b w:val="0"/>
          <w:sz w:val="21"/>
        </w:rPr>
      </w:pPr>
      <w:r>
        <w:rPr>
          <w:rFonts w:hint="eastAsia"/>
          <w:b w:val="0"/>
          <w:sz w:val="21"/>
        </w:rPr>
        <w:t>宜在辐照度不低于700W/m</w:t>
      </w:r>
      <w:r>
        <w:rPr>
          <w:rFonts w:hint="eastAsia"/>
          <w:b w:val="0"/>
          <w:sz w:val="21"/>
          <w:vertAlign w:val="superscript"/>
        </w:rPr>
        <w:t>2</w:t>
      </w:r>
      <w:r>
        <w:rPr>
          <w:rFonts w:hint="eastAsia"/>
          <w:b w:val="0"/>
          <w:sz w:val="21"/>
        </w:rPr>
        <w:t>的条件下测试；</w:t>
      </w:r>
    </w:p>
    <w:p>
      <w:pPr>
        <w:pStyle w:val="38"/>
        <w:keepNext w:val="0"/>
        <w:keepLines w:val="0"/>
        <w:numPr>
          <w:ilvl w:val="0"/>
          <w:numId w:val="4"/>
        </w:numPr>
        <w:adjustRightInd w:val="0"/>
        <w:snapToGrid w:val="0"/>
        <w:spacing w:before="62" w:beforeLines="20" w:after="62" w:afterLines="20"/>
        <w:rPr>
          <w:b w:val="0"/>
          <w:sz w:val="21"/>
        </w:rPr>
      </w:pPr>
      <w:r>
        <w:rPr>
          <w:rFonts w:hint="eastAsia"/>
          <w:b w:val="0"/>
          <w:sz w:val="21"/>
        </w:rPr>
        <w:t>所有光伏组件应按照设计文件数量和型号组串并接引完毕；</w:t>
      </w:r>
    </w:p>
    <w:p>
      <w:pPr>
        <w:pStyle w:val="38"/>
        <w:keepNext w:val="0"/>
        <w:keepLines w:val="0"/>
        <w:numPr>
          <w:ilvl w:val="0"/>
          <w:numId w:val="4"/>
        </w:numPr>
        <w:adjustRightInd w:val="0"/>
        <w:snapToGrid w:val="0"/>
        <w:spacing w:before="62" w:beforeLines="20" w:after="62" w:afterLines="20"/>
        <w:rPr>
          <w:b w:val="0"/>
          <w:sz w:val="21"/>
        </w:rPr>
      </w:pPr>
      <w:r>
        <w:rPr>
          <w:rFonts w:hint="eastAsia"/>
          <w:b w:val="0"/>
          <w:sz w:val="21"/>
        </w:rPr>
        <w:t>汇流箱内的熔断器或开关应在断开位置；</w:t>
      </w:r>
    </w:p>
    <w:p>
      <w:pPr>
        <w:pStyle w:val="38"/>
        <w:keepNext w:val="0"/>
        <w:keepLines w:val="0"/>
        <w:numPr>
          <w:ilvl w:val="0"/>
          <w:numId w:val="4"/>
        </w:numPr>
        <w:adjustRightInd w:val="0"/>
        <w:snapToGrid w:val="0"/>
        <w:spacing w:before="62" w:beforeLines="20" w:after="62" w:afterLines="20"/>
        <w:rPr>
          <w:rFonts w:hint="eastAsia" w:ascii="黑体" w:hAnsi="黑体" w:eastAsia="黑体"/>
          <w:b w:val="0"/>
          <w:sz w:val="21"/>
        </w:rPr>
      </w:pPr>
      <w:r>
        <w:rPr>
          <w:rFonts w:hint="eastAsia"/>
          <w:b w:val="0"/>
          <w:sz w:val="21"/>
        </w:rPr>
        <w:t>汇流箱及内部防雷模块接地应牢固、可靠、且导通良好。</w:t>
      </w:r>
    </w:p>
    <w:p>
      <w:pPr>
        <w:pStyle w:val="38"/>
        <w:keepNext w:val="0"/>
        <w:keepLines w:val="0"/>
        <w:numPr>
          <w:ilvl w:val="2"/>
          <w:numId w:val="1"/>
        </w:numPr>
        <w:adjustRightInd w:val="0"/>
        <w:snapToGrid w:val="0"/>
        <w:spacing w:before="62" w:beforeLines="20" w:after="62" w:afterLines="20"/>
        <w:rPr>
          <w:b w:val="0"/>
          <w:sz w:val="21"/>
        </w:rPr>
      </w:pPr>
      <w:r>
        <w:rPr>
          <w:rFonts w:hint="eastAsia"/>
          <w:b w:val="0"/>
          <w:sz w:val="21"/>
        </w:rPr>
        <w:t>光伏组件串的检测应符合下列规定：</w:t>
      </w:r>
    </w:p>
    <w:p>
      <w:pPr>
        <w:pStyle w:val="38"/>
        <w:keepNext w:val="0"/>
        <w:keepLines w:val="0"/>
        <w:numPr>
          <w:ilvl w:val="0"/>
          <w:numId w:val="5"/>
        </w:numPr>
        <w:adjustRightInd w:val="0"/>
        <w:snapToGrid w:val="0"/>
        <w:spacing w:before="62" w:beforeLines="20" w:after="62" w:afterLines="20"/>
        <w:rPr>
          <w:b w:val="0"/>
          <w:sz w:val="21"/>
        </w:rPr>
      </w:pPr>
      <w:r>
        <w:rPr>
          <w:rFonts w:hint="eastAsia"/>
          <w:b w:val="0"/>
          <w:sz w:val="21"/>
        </w:rPr>
        <w:t>相同测试条件下的相同光伏组件串之间的开路电压偏差不应大于2%，但最大偏差不应超过5V。</w:t>
      </w:r>
    </w:p>
    <w:p>
      <w:pPr>
        <w:pStyle w:val="38"/>
        <w:numPr>
          <w:ilvl w:val="0"/>
          <w:numId w:val="5"/>
        </w:numPr>
        <w:adjustRightInd w:val="0"/>
        <w:snapToGrid w:val="0"/>
        <w:spacing w:before="62" w:beforeLines="20" w:after="62" w:afterLines="20"/>
        <w:rPr>
          <w:b w:val="0"/>
          <w:sz w:val="21"/>
        </w:rPr>
      </w:pPr>
      <w:r>
        <w:rPr>
          <w:rFonts w:hint="eastAsia"/>
          <w:b w:val="0"/>
          <w:sz w:val="21"/>
        </w:rPr>
        <w:t>在发电情况下应使用钳形万用表对汇流箱内光伏组件串的电流进行检测。相同测试条件下且辐照度不低于 700W/m时，相同光伏组件串之间的电流偏差不应大于 5%。</w:t>
      </w:r>
    </w:p>
    <w:p>
      <w:pPr>
        <w:pStyle w:val="38"/>
        <w:numPr>
          <w:ilvl w:val="0"/>
          <w:numId w:val="5"/>
        </w:numPr>
        <w:adjustRightInd w:val="0"/>
        <w:snapToGrid w:val="0"/>
        <w:spacing w:before="62" w:beforeLines="20" w:after="62" w:afterLines="20"/>
        <w:rPr>
          <w:b w:val="0"/>
          <w:sz w:val="21"/>
        </w:rPr>
      </w:pPr>
      <w:r>
        <w:rPr>
          <w:rFonts w:hint="eastAsia"/>
          <w:b w:val="0"/>
          <w:sz w:val="21"/>
        </w:rPr>
        <w:t>光伏组件串的电缆温度应无超常温等异常情况。</w:t>
      </w:r>
    </w:p>
    <w:p>
      <w:pPr>
        <w:pStyle w:val="38"/>
        <w:numPr>
          <w:ilvl w:val="2"/>
          <w:numId w:val="1"/>
        </w:numPr>
        <w:adjustRightInd w:val="0"/>
        <w:snapToGrid w:val="0"/>
        <w:spacing w:before="62" w:beforeLines="20" w:after="62" w:afterLines="20"/>
        <w:rPr>
          <w:b w:val="0"/>
          <w:sz w:val="21"/>
        </w:rPr>
      </w:pPr>
      <w:r>
        <w:rPr>
          <w:rFonts w:hint="eastAsia"/>
          <w:b w:val="0"/>
          <w:sz w:val="21"/>
        </w:rPr>
        <w:t>其余电气设备调试应参考GB 50794中的相关要求。</w:t>
      </w:r>
    </w:p>
    <w:p>
      <w:pPr>
        <w:pStyle w:val="38"/>
        <w:keepNext w:val="0"/>
        <w:keepLines w:val="0"/>
        <w:numPr>
          <w:ilvl w:val="2"/>
          <w:numId w:val="1"/>
        </w:numPr>
        <w:adjustRightInd w:val="0"/>
        <w:snapToGrid w:val="0"/>
        <w:spacing w:before="62" w:beforeLines="20" w:after="62" w:afterLines="20"/>
        <w:rPr>
          <w:b w:val="0"/>
          <w:sz w:val="21"/>
        </w:rPr>
      </w:pPr>
      <w:r>
        <w:rPr>
          <w:rFonts w:hint="eastAsia"/>
          <w:b w:val="0"/>
          <w:sz w:val="21"/>
        </w:rPr>
        <w:t>工程实施后应对交通安全设施、排水设施功能、结构稳定性、设备布置及运行、电气和线路安全性等进行必要检查。</w:t>
      </w:r>
    </w:p>
    <w:p/>
    <w:p>
      <w:pPr>
        <w:pStyle w:val="38"/>
        <w:keepNext w:val="0"/>
        <w:keepLines w:val="0"/>
        <w:adjustRightInd w:val="0"/>
        <w:snapToGrid w:val="0"/>
        <w:spacing w:before="62" w:beforeLines="20" w:after="62" w:afterLines="20"/>
        <w:rPr>
          <w:b w:val="0"/>
          <w:sz w:val="21"/>
        </w:rPr>
      </w:pPr>
    </w:p>
    <w:p>
      <w:pPr>
        <w:pStyle w:val="2"/>
        <w:numPr>
          <w:ilvl w:val="0"/>
          <w:numId w:val="1"/>
        </w:numPr>
        <w:spacing w:before="156" w:beforeLines="50" w:after="156" w:afterLines="50" w:line="240" w:lineRule="auto"/>
        <w:contextualSpacing/>
        <w:rPr>
          <w:rFonts w:hint="eastAsia" w:ascii="黑体" w:hAnsi="黑体" w:eastAsia="黑体"/>
          <w:b w:val="0"/>
          <w:bCs/>
          <w:sz w:val="21"/>
          <w:szCs w:val="32"/>
        </w:rPr>
      </w:pPr>
      <w:r>
        <w:rPr>
          <w:b w:val="0"/>
          <w:bCs/>
          <w:sz w:val="30"/>
          <w:szCs w:val="30"/>
        </w:rPr>
        <w:br w:type="page"/>
      </w:r>
      <w:bookmarkStart w:id="56" w:name="_Toc5105"/>
      <w:bookmarkStart w:id="57" w:name="_Toc3969"/>
      <w:r>
        <w:rPr>
          <w:rFonts w:hint="eastAsia" w:ascii="黑体" w:hAnsi="黑体" w:eastAsia="黑体"/>
          <w:b w:val="0"/>
          <w:bCs/>
          <w:sz w:val="21"/>
          <w:szCs w:val="32"/>
        </w:rPr>
        <w:t>维护要求</w:t>
      </w:r>
      <w:bookmarkEnd w:id="56"/>
      <w:bookmarkEnd w:id="57"/>
    </w:p>
    <w:p>
      <w:pPr>
        <w:pStyle w:val="3"/>
        <w:spacing w:before="156" w:after="156"/>
        <w:rPr>
          <w:rFonts w:hint="eastAsia"/>
        </w:rPr>
      </w:pPr>
      <w:r>
        <w:rPr>
          <w:rFonts w:hint="eastAsia"/>
        </w:rPr>
        <w:t>一般要求</w:t>
      </w:r>
    </w:p>
    <w:p>
      <w:pPr>
        <w:pStyle w:val="38"/>
        <w:keepNext w:val="0"/>
        <w:keepLines w:val="0"/>
        <w:numPr>
          <w:ilvl w:val="2"/>
          <w:numId w:val="1"/>
        </w:numPr>
        <w:adjustRightInd w:val="0"/>
        <w:snapToGrid w:val="0"/>
        <w:spacing w:before="62" w:beforeLines="20" w:after="62" w:afterLines="20"/>
      </w:pPr>
      <w:r>
        <w:rPr>
          <w:rFonts w:hint="eastAsia"/>
          <w:b w:val="0"/>
          <w:sz w:val="21"/>
        </w:rPr>
        <w:t>根据设计文件对光伏发电系统的功能、安装质量进行验收。</w:t>
      </w:r>
    </w:p>
    <w:p>
      <w:pPr>
        <w:pStyle w:val="38"/>
        <w:keepNext w:val="0"/>
        <w:keepLines w:val="0"/>
        <w:numPr>
          <w:ilvl w:val="2"/>
          <w:numId w:val="1"/>
        </w:numPr>
        <w:adjustRightInd w:val="0"/>
        <w:snapToGrid w:val="0"/>
        <w:spacing w:before="62" w:beforeLines="20" w:after="62" w:afterLines="20"/>
      </w:pPr>
      <w:bookmarkStart w:id="58" w:name="OLE_LINK11"/>
      <w:r>
        <w:rPr>
          <w:rFonts w:hint="eastAsia"/>
          <w:b w:val="0"/>
          <w:sz w:val="21"/>
        </w:rPr>
        <w:t>对相关产品资料进行收集，编制光伏发电系统维护手册。</w:t>
      </w:r>
    </w:p>
    <w:bookmarkEnd w:id="58"/>
    <w:p>
      <w:pPr>
        <w:pStyle w:val="3"/>
        <w:spacing w:before="156" w:after="156"/>
      </w:pPr>
      <w:r>
        <w:rPr>
          <w:rFonts w:hint="eastAsia"/>
        </w:rPr>
        <w:t>系统运维要求</w:t>
      </w:r>
    </w:p>
    <w:bookmarkEnd w:id="8"/>
    <w:p>
      <w:pPr>
        <w:pStyle w:val="38"/>
        <w:keepNext w:val="0"/>
        <w:keepLines w:val="0"/>
        <w:numPr>
          <w:ilvl w:val="2"/>
          <w:numId w:val="1"/>
        </w:numPr>
        <w:adjustRightInd w:val="0"/>
        <w:snapToGrid w:val="0"/>
        <w:spacing w:before="62" w:beforeLines="20" w:after="62" w:afterLines="20"/>
      </w:pPr>
      <w:bookmarkStart w:id="59" w:name="_Toc17974"/>
      <w:r>
        <w:rPr>
          <w:rFonts w:hint="eastAsia"/>
          <w:bCs w:val="0"/>
        </w:rPr>
        <w:t>应建立光伏运维管理相关制度</w:t>
      </w:r>
      <w:bookmarkEnd w:id="59"/>
      <w:r>
        <w:rPr>
          <w:rFonts w:hint="eastAsia"/>
          <w:b w:val="0"/>
          <w:sz w:val="21"/>
        </w:rPr>
        <w:t>，并参考</w:t>
      </w:r>
      <w:r>
        <w:rPr>
          <w:b w:val="0"/>
          <w:sz w:val="21"/>
        </w:rPr>
        <w:t>GB/T 38946</w:t>
      </w:r>
      <w:r>
        <w:rPr>
          <w:rFonts w:hint="eastAsia"/>
          <w:b w:val="0"/>
          <w:sz w:val="21"/>
        </w:rPr>
        <w:t>进行操作。</w:t>
      </w:r>
    </w:p>
    <w:p>
      <w:pPr>
        <w:pStyle w:val="38"/>
        <w:keepNext w:val="0"/>
        <w:keepLines w:val="0"/>
        <w:numPr>
          <w:ilvl w:val="2"/>
          <w:numId w:val="1"/>
        </w:numPr>
        <w:adjustRightInd w:val="0"/>
        <w:snapToGrid w:val="0"/>
        <w:spacing w:before="62" w:beforeLines="20" w:after="62" w:afterLines="20"/>
      </w:pPr>
      <w:r>
        <w:rPr>
          <w:rFonts w:hint="eastAsia"/>
          <w:b w:val="0"/>
          <w:sz w:val="21"/>
        </w:rPr>
        <w:t>高速公路沿线光伏系统宜按</w:t>
      </w:r>
      <w:r>
        <w:rPr>
          <w:b w:val="0"/>
          <w:sz w:val="21"/>
        </w:rPr>
        <w:t>1</w:t>
      </w:r>
      <w:r>
        <w:rPr>
          <w:rFonts w:hint="eastAsia"/>
          <w:b w:val="0"/>
          <w:sz w:val="21"/>
        </w:rPr>
        <w:t>次</w:t>
      </w:r>
      <w:r>
        <w:rPr>
          <w:b w:val="0"/>
          <w:sz w:val="21"/>
        </w:rPr>
        <w:t>/</w:t>
      </w:r>
      <w:r>
        <w:rPr>
          <w:rFonts w:hint="eastAsia"/>
          <w:b w:val="0"/>
          <w:sz w:val="21"/>
        </w:rPr>
        <w:t>季度频率维护巡检，维护时应避免污染光伏组件。</w:t>
      </w:r>
    </w:p>
    <w:p>
      <w:pPr>
        <w:pStyle w:val="38"/>
        <w:keepNext w:val="0"/>
        <w:keepLines w:val="0"/>
        <w:numPr>
          <w:ilvl w:val="2"/>
          <w:numId w:val="1"/>
        </w:numPr>
        <w:adjustRightInd w:val="0"/>
        <w:snapToGrid w:val="0"/>
        <w:spacing w:before="62" w:beforeLines="20" w:after="62" w:afterLines="20"/>
      </w:pPr>
      <w:bookmarkStart w:id="60" w:name="_Toc1306"/>
      <w:bookmarkStart w:id="61" w:name="_Toc14008"/>
      <w:r>
        <w:rPr>
          <w:rFonts w:hint="eastAsia"/>
          <w:b w:val="0"/>
          <w:sz w:val="21"/>
        </w:rPr>
        <w:t>系统出现故障时，应尽快完成初步修复，确保系统恢复运行。</w:t>
      </w:r>
      <w:bookmarkEnd w:id="60"/>
    </w:p>
    <w:bookmarkEnd w:id="61"/>
    <w:p>
      <w:pPr>
        <w:pStyle w:val="38"/>
        <w:keepNext w:val="0"/>
        <w:keepLines w:val="0"/>
        <w:numPr>
          <w:ilvl w:val="2"/>
          <w:numId w:val="1"/>
        </w:numPr>
        <w:adjustRightInd w:val="0"/>
        <w:snapToGrid w:val="0"/>
        <w:spacing w:before="62" w:beforeLines="20" w:after="62" w:afterLines="20"/>
      </w:pPr>
      <w:bookmarkStart w:id="62" w:name="_Toc27927"/>
      <w:bookmarkStart w:id="63" w:name="_Hlk179816696"/>
      <w:r>
        <w:rPr>
          <w:rFonts w:hint="eastAsia"/>
          <w:b w:val="0"/>
          <w:sz w:val="21"/>
        </w:rPr>
        <w:t>维护作业的记录文件应对光伏发电系统的状态信息、安全措施、校验工具、物料消耗、作业内容等进行准确、真实记录。</w:t>
      </w:r>
    </w:p>
    <w:bookmarkEnd w:id="62"/>
    <w:bookmarkEnd w:id="63"/>
    <w:p>
      <w:pPr>
        <w:widowControl/>
        <w:jc w:val="left"/>
        <w:rPr>
          <w:bCs/>
          <w:szCs w:val="32"/>
        </w:rPr>
      </w:pPr>
      <w:r>
        <w:br w:type="page"/>
      </w:r>
    </w:p>
    <w:p>
      <w:pPr>
        <w:pStyle w:val="2"/>
        <w:spacing w:before="156" w:beforeLines="50" w:after="156" w:afterLines="50" w:line="240" w:lineRule="auto"/>
        <w:contextualSpacing/>
        <w:jc w:val="center"/>
        <w:rPr>
          <w:rFonts w:hint="eastAsia" w:ascii="黑体" w:hAnsi="黑体" w:eastAsia="黑体"/>
          <w:b w:val="0"/>
          <w:bCs/>
          <w:sz w:val="21"/>
          <w:szCs w:val="32"/>
        </w:rPr>
      </w:pPr>
      <w:bookmarkStart w:id="64" w:name="_Hlk184299179"/>
      <w:r>
        <w:rPr>
          <w:rFonts w:hint="eastAsia" w:ascii="黑体" w:hAnsi="黑体" w:eastAsia="黑体"/>
          <w:b w:val="0"/>
          <w:bCs/>
          <w:sz w:val="21"/>
          <w:szCs w:val="32"/>
        </w:rPr>
        <w:t>附录</w:t>
      </w:r>
      <w:r>
        <w:rPr>
          <w:rFonts w:ascii="黑体" w:hAnsi="黑体" w:eastAsia="黑体"/>
          <w:b w:val="0"/>
          <w:bCs/>
          <w:sz w:val="21"/>
          <w:szCs w:val="32"/>
        </w:rPr>
        <w:t>A</w:t>
      </w:r>
    </w:p>
    <w:p>
      <w:pPr>
        <w:pStyle w:val="38"/>
        <w:keepNext w:val="0"/>
        <w:keepLines w:val="0"/>
        <w:numPr>
          <w:ilvl w:val="2"/>
          <w:numId w:val="0"/>
        </w:numPr>
        <w:adjustRightInd w:val="0"/>
        <w:snapToGrid w:val="0"/>
        <w:spacing w:before="62" w:beforeLines="20" w:after="62" w:afterLines="20"/>
      </w:pPr>
      <w:r>
        <w:rPr>
          <w:rFonts w:hint="eastAsia"/>
          <w:b w:val="0"/>
          <w:sz w:val="21"/>
        </w:rPr>
        <w:t>A.1 自发自用模式下，宜设置储能设备，储能电池容量应为</w:t>
      </w:r>
    </w:p>
    <w:p>
      <w:pPr>
        <w:ind w:left="3360" w:firstLine="420"/>
        <w:rPr>
          <w:highlight w:val="none"/>
        </w:rPr>
      </w:pPr>
      <w:r>
        <w:rPr>
          <w:sz w:val="24"/>
          <w:szCs w:val="24"/>
          <w:highlight w:val="none"/>
        </w:rPr>
        <w:tab/>
      </w:r>
      <w:r>
        <w:rPr>
          <w:sz w:val="24"/>
          <w:szCs w:val="24"/>
          <w:highlight w:val="none"/>
        </w:rPr>
        <w:tab/>
      </w:r>
      <w:r>
        <w:rPr>
          <w:sz w:val="24"/>
          <w:szCs w:val="24"/>
          <w:highlight w:val="none"/>
        </w:rPr>
        <w:tab/>
      </w:r>
      <w:r>
        <w:rPr>
          <w:sz w:val="24"/>
          <w:szCs w:val="24"/>
          <w:highlight w:val="none"/>
        </w:rPr>
        <w:tab/>
      </w:r>
      <w:r>
        <w:rPr>
          <w:sz w:val="24"/>
          <w:szCs w:val="24"/>
          <w:highlight w:val="none"/>
        </w:rPr>
        <w:tab/>
      </w:r>
      <w:r>
        <w:rPr>
          <w:sz w:val="24"/>
          <w:szCs w:val="24"/>
          <w:highlight w:val="none"/>
        </w:rPr>
        <w:t xml:space="preserve">       </w:t>
      </w:r>
      <w:r>
        <w:rPr>
          <w:sz w:val="24"/>
          <w:szCs w:val="24"/>
          <w:highlight w:val="none"/>
        </w:rPr>
        <w:tab/>
      </w:r>
      <w:r>
        <w:rPr>
          <w:rFonts w:hint="eastAsia"/>
          <w:highlight w:val="none"/>
        </w:rPr>
        <w:t>（</w:t>
      </w:r>
      <w:r>
        <w:rPr>
          <w:highlight w:val="none"/>
        </w:rPr>
        <w:t>1</w:t>
      </w:r>
      <w:r>
        <w:rPr>
          <w:rFonts w:hint="eastAsia"/>
          <w:highlight w:val="none"/>
        </w:rPr>
        <w:t>）</w:t>
      </w:r>
    </w:p>
    <w:p>
      <w:pPr>
        <w:ind w:firstLine="0" w:firstLineChars="0"/>
        <w:rPr>
          <w:highlight w:val="none"/>
        </w:rPr>
      </w:pPr>
      <w:r>
        <w:rPr>
          <w:rFonts w:hint="eastAsia"/>
          <w:highlight w:val="none"/>
        </w:rPr>
        <w:t>式中：——储能电池容量（</w:t>
      </w:r>
      <w:r>
        <w:rPr>
          <w:highlight w:val="none"/>
        </w:rPr>
        <w:t>kWh</w:t>
      </w:r>
      <w:r>
        <w:rPr>
          <w:rFonts w:hint="eastAsia"/>
          <w:highlight w:val="none"/>
        </w:rPr>
        <w:t>）；</w:t>
      </w:r>
    </w:p>
    <w:p>
      <w:pPr>
        <w:rPr>
          <w:highlight w:val="none"/>
        </w:rPr>
      </w:pPr>
      <w:r>
        <w:rPr>
          <w:highlight w:val="none"/>
        </w:rPr>
        <w:t xml:space="preserve">      </w:t>
      </w:r>
      <w:r>
        <w:rPr>
          <w:rFonts w:hint="eastAsia"/>
          <w:highlight w:val="none"/>
        </w:rPr>
        <w:t>——最长无日照期间的用电时数（</w:t>
      </w:r>
      <w:r>
        <w:rPr>
          <w:highlight w:val="none"/>
        </w:rPr>
        <w:t>h</w:t>
      </w:r>
      <w:r>
        <w:rPr>
          <w:rFonts w:hint="eastAsia"/>
          <w:highlight w:val="none"/>
        </w:rPr>
        <w:t>）；</w:t>
      </w:r>
    </w:p>
    <w:p>
      <w:pPr>
        <w:ind w:firstLine="420" w:firstLineChars="200"/>
        <w:rPr>
          <w:highlight w:val="none"/>
        </w:rPr>
      </w:pPr>
      <w:r>
        <w:rPr>
          <w:highlight w:val="none"/>
        </w:rPr>
        <w:t xml:space="preserve">  </w:t>
      </w:r>
      <w:r>
        <w:rPr>
          <w:rFonts w:hint="eastAsia"/>
          <w:highlight w:val="none"/>
        </w:rPr>
        <w:t>——储能电池放电效率的修正系数（通常取</w:t>
      </w:r>
      <w:r>
        <w:rPr>
          <w:highlight w:val="none"/>
        </w:rPr>
        <w:t>1.05</w:t>
      </w:r>
      <w:r>
        <w:rPr>
          <w:rFonts w:hint="eastAsia"/>
          <w:highlight w:val="none"/>
        </w:rPr>
        <w:t>）；</w:t>
      </w:r>
    </w:p>
    <w:p>
      <w:pPr>
        <w:rPr>
          <w:highlight w:val="none"/>
        </w:rPr>
      </w:pPr>
      <w:r>
        <w:rPr>
          <w:highlight w:val="none"/>
        </w:rPr>
        <w:t xml:space="preserve">      </w:t>
      </w:r>
      <w:r>
        <w:rPr>
          <w:rFonts w:hint="eastAsia"/>
          <w:highlight w:val="none"/>
        </w:rPr>
        <w:t>——平均负荷容量（</w:t>
      </w:r>
      <w:r>
        <w:rPr>
          <w:highlight w:val="none"/>
        </w:rPr>
        <w:t>kW</w:t>
      </w:r>
      <w:r>
        <w:rPr>
          <w:rFonts w:hint="eastAsia"/>
          <w:highlight w:val="none"/>
        </w:rPr>
        <w:t>）；</w:t>
      </w:r>
    </w:p>
    <w:p>
      <w:pPr>
        <w:ind w:firstLine="630" w:firstLineChars="300"/>
        <w:rPr>
          <w:highlight w:val="none"/>
        </w:rPr>
      </w:pPr>
      <w:r>
        <w:rPr>
          <w:rFonts w:hint="eastAsia"/>
          <w:highlight w:val="none"/>
        </w:rPr>
        <w:t>——储能电池的放电深度（</w:t>
      </w:r>
      <w:r>
        <w:rPr>
          <w:highlight w:val="none"/>
        </w:rPr>
        <w:t>0.5~0.8</w:t>
      </w:r>
      <w:r>
        <w:rPr>
          <w:rFonts w:hint="eastAsia"/>
          <w:highlight w:val="none"/>
        </w:rPr>
        <w:t>）；</w:t>
      </w:r>
    </w:p>
    <w:p>
      <w:pPr>
        <w:ind w:firstLine="420" w:firstLineChars="200"/>
        <w:rPr>
          <w:highlight w:val="none"/>
        </w:rPr>
      </w:pPr>
      <w:r>
        <w:rPr>
          <w:highlight w:val="none"/>
        </w:rPr>
        <w:t xml:space="preserve">  </w:t>
      </w:r>
      <w:r>
        <w:rPr>
          <w:rFonts w:hint="eastAsia"/>
          <w:highlight w:val="none"/>
        </w:rPr>
        <w:t>——包括逆变器等交流回路的损耗率（通常取</w:t>
      </w:r>
      <w:r>
        <w:rPr>
          <w:highlight w:val="none"/>
        </w:rPr>
        <w:t>0.7~0.8</w:t>
      </w:r>
      <w:r>
        <w:rPr>
          <w:rFonts w:hint="eastAsia"/>
          <w:highlight w:val="none"/>
        </w:rPr>
        <w:t>）。</w:t>
      </w:r>
    </w:p>
    <w:bookmarkEnd w:id="64"/>
    <w:p/>
    <w:sectPr>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7338061"/>
    </w:sdtPr>
    <w:sdtContent>
      <w:p>
        <w:pPr>
          <w:pStyle w:val="9"/>
          <w:spacing w:before="120" w:after="48"/>
          <w:jc w:val="center"/>
        </w:pPr>
        <w:r>
          <w:fldChar w:fldCharType="begin"/>
        </w:r>
        <w:r>
          <w:instrText xml:space="preserve">PAGE   \* MERGEFORMAT</w:instrText>
        </w:r>
        <w:r>
          <w:fldChar w:fldCharType="separate"/>
        </w:r>
        <w:r>
          <w:rPr>
            <w:lang w:val="zh-CN"/>
          </w:rPr>
          <w:t>2</w:t>
        </w:r>
        <w:r>
          <w:fldChar w:fldCharType="end"/>
        </w:r>
      </w:p>
    </w:sdtContent>
  </w:sdt>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4239962"/>
    </w:sdtPr>
    <w:sdtContent>
      <w:p>
        <w:pPr>
          <w:pStyle w:val="9"/>
          <w:spacing w:before="120" w:after="48"/>
          <w:jc w:val="center"/>
        </w:pPr>
        <w:r>
          <w:fldChar w:fldCharType="begin"/>
        </w:r>
        <w:r>
          <w:instrText xml:space="preserve">PAGE   \* MERGEFORMAT</w:instrText>
        </w:r>
        <w:r>
          <w:fldChar w:fldCharType="separate"/>
        </w:r>
        <w:r>
          <w:rPr>
            <w:lang w:val="zh-CN"/>
          </w:rPr>
          <w:t>2</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rPr>
        <w:rFonts w:hint="eastAsia" w:ascii="宋体" w:hAnsi="宋体" w:cs="宋体"/>
        <w:bCs/>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36126"/>
    <w:multiLevelType w:val="multilevel"/>
    <w:tmpl w:val="0A936126"/>
    <w:lvl w:ilvl="0" w:tentative="0">
      <w:start w:val="1"/>
      <w:numFmt w:val="decimal"/>
      <w:lvlText w:val="%1"/>
      <w:lvlJc w:val="left"/>
      <w:pPr>
        <w:ind w:left="840" w:hanging="420"/>
      </w:pPr>
      <w:rPr>
        <w:rFonts w:hint="default" w:ascii="黑体" w:hAnsi="黑体" w:eastAsia="黑体"/>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
    <w:nsid w:val="55D62803"/>
    <w:multiLevelType w:val="multilevel"/>
    <w:tmpl w:val="55D62803"/>
    <w:lvl w:ilvl="0" w:tentative="0">
      <w:start w:val="1"/>
      <w:numFmt w:val="decimal"/>
      <w:lvlText w:val="%1"/>
      <w:lvlJc w:val="left"/>
      <w:pPr>
        <w:ind w:left="0" w:firstLine="0"/>
      </w:pPr>
      <w:rPr>
        <w:rFonts w:hint="default" w:ascii="黑体" w:hAnsi="黑体" w:eastAsia="黑体"/>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decimal"/>
      <w:pStyle w:val="3"/>
      <w:lvlText w:val="%1.%2"/>
      <w:lvlJc w:val="left"/>
      <w:pPr>
        <w:ind w:left="0" w:firstLine="0"/>
      </w:pPr>
      <w:rPr>
        <w:rFonts w:hint="eastAsia" w:ascii="黑体" w:hAnsi="黑体" w:eastAsia="黑体"/>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2" w:tentative="0">
      <w:start w:val="1"/>
      <w:numFmt w:val="decimal"/>
      <w:lvlText w:val="%1.%2.%3"/>
      <w:lvlJc w:val="left"/>
      <w:pPr>
        <w:ind w:left="0" w:firstLine="0"/>
      </w:pPr>
      <w:rPr>
        <w:rFonts w:hint="eastAsia" w:ascii="黑体" w:hAnsi="黑体" w:eastAsia="黑体"/>
        <w:b w:val="0"/>
        <w:bCs w:val="0"/>
        <w:i w:val="0"/>
        <w:iCs w:val="0"/>
        <w:caps w:val="0"/>
        <w:smallCaps w:val="0"/>
        <w:strike w:val="0"/>
        <w:dstrike w:val="0"/>
        <w:vanish w:val="0"/>
        <w:color w:val="000000"/>
        <w:spacing w:val="0"/>
        <w:position w:val="0"/>
        <w:sz w:val="21"/>
        <w:szCs w:val="21"/>
        <w:u w:val="none"/>
        <w:vertAlign w:val="baseline"/>
        <w14:shadow w14:blurRad="0" w14:dist="0" w14:dir="0" w14:sx="0" w14:sy="0" w14:kx="0" w14:ky="0" w14:algn="none">
          <w14:srgbClr w14:val="000000"/>
        </w14:shadow>
      </w:rPr>
    </w:lvl>
    <w:lvl w:ilvl="3" w:tentative="0">
      <w:start w:val="1"/>
      <w:numFmt w:val="decimal"/>
      <w:isLgl/>
      <w:lvlText w:val="%1.%2.%3.%4"/>
      <w:lvlJc w:val="left"/>
      <w:pPr>
        <w:ind w:left="0" w:firstLine="0"/>
      </w:pPr>
      <w:rPr>
        <w:rFonts w:hint="eastAsia" w:ascii="黑体" w:hAnsi="黑体" w:eastAsia="黑体"/>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
    <w:nsid w:val="5B317E0E"/>
    <w:multiLevelType w:val="multilevel"/>
    <w:tmpl w:val="5B317E0E"/>
    <w:lvl w:ilvl="0" w:tentative="0">
      <w:start w:val="1"/>
      <w:numFmt w:val="none"/>
      <w:suff w:val="nothing"/>
      <w:lvlText w:val="%1"/>
      <w:lvlJc w:val="left"/>
      <w:pPr>
        <w:ind w:left="0" w:firstLine="0"/>
      </w:pPr>
      <w:rPr>
        <w:rFonts w:hint="eastAsia"/>
      </w:rPr>
    </w:lvl>
    <w:lvl w:ilvl="1" w:tentative="0">
      <w:start w:val="1"/>
      <w:numFmt w:val="decimal"/>
      <w:pStyle w:val="33"/>
      <w:suff w:val="space"/>
      <w:lvlText w:val="%1%2　"/>
      <w:lvlJc w:val="left"/>
      <w:pPr>
        <w:tabs>
          <w:tab w:val="left" w:pos="420"/>
        </w:tabs>
        <w:ind w:left="0" w:firstLine="0"/>
      </w:pPr>
      <w:rPr>
        <w:rFonts w:hint="default" w:ascii="黑体" w:eastAsia="黑体"/>
        <w:b w:val="0"/>
        <w:i w:val="0"/>
        <w:sz w:val="21"/>
      </w:rPr>
    </w:lvl>
    <w:lvl w:ilvl="2" w:tentative="0">
      <w:start w:val="1"/>
      <w:numFmt w:val="decimal"/>
      <w:suff w:val="nothing"/>
      <w:lvlText w:val="%1%2.%3　"/>
      <w:lvlJc w:val="left"/>
      <w:pPr>
        <w:tabs>
          <w:tab w:val="left" w:pos="420"/>
        </w:tabs>
        <w:ind w:left="284" w:firstLine="0"/>
      </w:pPr>
      <w:rPr>
        <w:rFonts w:hint="default"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lvlText w:val="%1%2.%3.%4　"/>
      <w:lvlJc w:val="left"/>
      <w:pPr>
        <w:tabs>
          <w:tab w:val="left" w:pos="420"/>
        </w:tabs>
        <w:ind w:left="0" w:firstLine="0"/>
      </w:pPr>
      <w:rPr>
        <w:rFonts w:hint="default"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6DBF04F4"/>
    <w:multiLevelType w:val="multilevel"/>
    <w:tmpl w:val="6DBF04F4"/>
    <w:lvl w:ilvl="0" w:tentative="0">
      <w:start w:val="1"/>
      <w:numFmt w:val="none"/>
      <w:pStyle w:val="34"/>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
    <w:nsid w:val="768C2E7E"/>
    <w:multiLevelType w:val="multilevel"/>
    <w:tmpl w:val="768C2E7E"/>
    <w:lvl w:ilvl="0" w:tentative="0">
      <w:start w:val="1"/>
      <w:numFmt w:val="decimal"/>
      <w:lvlText w:val="%1"/>
      <w:lvlJc w:val="left"/>
      <w:pPr>
        <w:ind w:left="840" w:hanging="42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3ZWU3NjRiZjQxYmIzODA5YzAwZDdiNDdlYzdjMDMifQ=="/>
  </w:docVars>
  <w:rsids>
    <w:rsidRoot w:val="0001012F"/>
    <w:rsid w:val="000067A0"/>
    <w:rsid w:val="0000680B"/>
    <w:rsid w:val="0001012F"/>
    <w:rsid w:val="00011EE8"/>
    <w:rsid w:val="000139CE"/>
    <w:rsid w:val="00013C66"/>
    <w:rsid w:val="00020C84"/>
    <w:rsid w:val="00024E55"/>
    <w:rsid w:val="000307A7"/>
    <w:rsid w:val="00037BE9"/>
    <w:rsid w:val="0004145A"/>
    <w:rsid w:val="00055C46"/>
    <w:rsid w:val="00062982"/>
    <w:rsid w:val="0006319D"/>
    <w:rsid w:val="0006556E"/>
    <w:rsid w:val="00074DC2"/>
    <w:rsid w:val="00076E12"/>
    <w:rsid w:val="00077A5B"/>
    <w:rsid w:val="000823E3"/>
    <w:rsid w:val="000846EB"/>
    <w:rsid w:val="0009348E"/>
    <w:rsid w:val="00095822"/>
    <w:rsid w:val="00097F31"/>
    <w:rsid w:val="000A34CB"/>
    <w:rsid w:val="000A5A28"/>
    <w:rsid w:val="000B15BD"/>
    <w:rsid w:val="000D204C"/>
    <w:rsid w:val="000D6A9A"/>
    <w:rsid w:val="000D6DC8"/>
    <w:rsid w:val="000E5A65"/>
    <w:rsid w:val="000F4B62"/>
    <w:rsid w:val="00102AEB"/>
    <w:rsid w:val="00106184"/>
    <w:rsid w:val="001175A2"/>
    <w:rsid w:val="00122EE7"/>
    <w:rsid w:val="0014250E"/>
    <w:rsid w:val="00143FAB"/>
    <w:rsid w:val="001476B3"/>
    <w:rsid w:val="0015390F"/>
    <w:rsid w:val="00175D50"/>
    <w:rsid w:val="00181CB1"/>
    <w:rsid w:val="0019524F"/>
    <w:rsid w:val="001A0F1B"/>
    <w:rsid w:val="001A1146"/>
    <w:rsid w:val="001A2DD4"/>
    <w:rsid w:val="001A5FBD"/>
    <w:rsid w:val="001A65A9"/>
    <w:rsid w:val="001A79B1"/>
    <w:rsid w:val="001B1EFE"/>
    <w:rsid w:val="001B214E"/>
    <w:rsid w:val="001C1BC5"/>
    <w:rsid w:val="001C3446"/>
    <w:rsid w:val="001C4335"/>
    <w:rsid w:val="001F6448"/>
    <w:rsid w:val="001F7777"/>
    <w:rsid w:val="00200773"/>
    <w:rsid w:val="00201167"/>
    <w:rsid w:val="002046D5"/>
    <w:rsid w:val="002179BD"/>
    <w:rsid w:val="00217F55"/>
    <w:rsid w:val="00220E62"/>
    <w:rsid w:val="002214E5"/>
    <w:rsid w:val="0024389B"/>
    <w:rsid w:val="00246A19"/>
    <w:rsid w:val="00255593"/>
    <w:rsid w:val="0025606E"/>
    <w:rsid w:val="00260AAD"/>
    <w:rsid w:val="0027049C"/>
    <w:rsid w:val="00276B57"/>
    <w:rsid w:val="00281704"/>
    <w:rsid w:val="00283964"/>
    <w:rsid w:val="00297A0D"/>
    <w:rsid w:val="002A3C73"/>
    <w:rsid w:val="002A7E2B"/>
    <w:rsid w:val="002C4077"/>
    <w:rsid w:val="002C61C3"/>
    <w:rsid w:val="002C7B99"/>
    <w:rsid w:val="002D575D"/>
    <w:rsid w:val="002E50B1"/>
    <w:rsid w:val="002F126B"/>
    <w:rsid w:val="002F3D94"/>
    <w:rsid w:val="00311082"/>
    <w:rsid w:val="00313E34"/>
    <w:rsid w:val="003213E1"/>
    <w:rsid w:val="003220DC"/>
    <w:rsid w:val="00324B5E"/>
    <w:rsid w:val="00332AD0"/>
    <w:rsid w:val="00334E09"/>
    <w:rsid w:val="00335D47"/>
    <w:rsid w:val="00341B45"/>
    <w:rsid w:val="00347DAB"/>
    <w:rsid w:val="0035584C"/>
    <w:rsid w:val="0035709F"/>
    <w:rsid w:val="00365B63"/>
    <w:rsid w:val="00374279"/>
    <w:rsid w:val="00377D73"/>
    <w:rsid w:val="00382300"/>
    <w:rsid w:val="00382642"/>
    <w:rsid w:val="00393C35"/>
    <w:rsid w:val="00394333"/>
    <w:rsid w:val="00395AB1"/>
    <w:rsid w:val="00396CFB"/>
    <w:rsid w:val="003A30BA"/>
    <w:rsid w:val="003B38EF"/>
    <w:rsid w:val="003B75F3"/>
    <w:rsid w:val="003C4827"/>
    <w:rsid w:val="003D20AA"/>
    <w:rsid w:val="003E3067"/>
    <w:rsid w:val="003E6EED"/>
    <w:rsid w:val="003E7E51"/>
    <w:rsid w:val="003F2905"/>
    <w:rsid w:val="003F41BA"/>
    <w:rsid w:val="00401252"/>
    <w:rsid w:val="004043E1"/>
    <w:rsid w:val="0040779A"/>
    <w:rsid w:val="00421B8E"/>
    <w:rsid w:val="00425326"/>
    <w:rsid w:val="00441FC0"/>
    <w:rsid w:val="00443B02"/>
    <w:rsid w:val="00445941"/>
    <w:rsid w:val="00462517"/>
    <w:rsid w:val="00462D38"/>
    <w:rsid w:val="004750A7"/>
    <w:rsid w:val="00480268"/>
    <w:rsid w:val="00497317"/>
    <w:rsid w:val="004A3760"/>
    <w:rsid w:val="004A3CFF"/>
    <w:rsid w:val="004A605F"/>
    <w:rsid w:val="004B05FB"/>
    <w:rsid w:val="004B3CC4"/>
    <w:rsid w:val="004C4375"/>
    <w:rsid w:val="004E290F"/>
    <w:rsid w:val="004E6375"/>
    <w:rsid w:val="004F38AD"/>
    <w:rsid w:val="005004C0"/>
    <w:rsid w:val="00502DE1"/>
    <w:rsid w:val="0050454D"/>
    <w:rsid w:val="00505BE9"/>
    <w:rsid w:val="00505C0C"/>
    <w:rsid w:val="005120E3"/>
    <w:rsid w:val="005159A1"/>
    <w:rsid w:val="005219D5"/>
    <w:rsid w:val="00522AA5"/>
    <w:rsid w:val="00523398"/>
    <w:rsid w:val="005244B2"/>
    <w:rsid w:val="005276F8"/>
    <w:rsid w:val="00530310"/>
    <w:rsid w:val="0053217F"/>
    <w:rsid w:val="0053735B"/>
    <w:rsid w:val="00542CDE"/>
    <w:rsid w:val="005518AA"/>
    <w:rsid w:val="00554024"/>
    <w:rsid w:val="005609BF"/>
    <w:rsid w:val="00561260"/>
    <w:rsid w:val="00564681"/>
    <w:rsid w:val="00566D0A"/>
    <w:rsid w:val="00567466"/>
    <w:rsid w:val="00576870"/>
    <w:rsid w:val="00577C7C"/>
    <w:rsid w:val="00585889"/>
    <w:rsid w:val="005978EE"/>
    <w:rsid w:val="005B3A5D"/>
    <w:rsid w:val="005D5DDF"/>
    <w:rsid w:val="005D677D"/>
    <w:rsid w:val="005E0BF4"/>
    <w:rsid w:val="005E2486"/>
    <w:rsid w:val="005E50C7"/>
    <w:rsid w:val="005F4846"/>
    <w:rsid w:val="005F4AE5"/>
    <w:rsid w:val="00604502"/>
    <w:rsid w:val="00604E9C"/>
    <w:rsid w:val="00605667"/>
    <w:rsid w:val="00611E1E"/>
    <w:rsid w:val="00617C88"/>
    <w:rsid w:val="006203D4"/>
    <w:rsid w:val="006440CF"/>
    <w:rsid w:val="00645CD5"/>
    <w:rsid w:val="006472D7"/>
    <w:rsid w:val="00661B03"/>
    <w:rsid w:val="00667AD5"/>
    <w:rsid w:val="0067697E"/>
    <w:rsid w:val="00677876"/>
    <w:rsid w:val="00685DAD"/>
    <w:rsid w:val="00686352"/>
    <w:rsid w:val="0069465B"/>
    <w:rsid w:val="00694D63"/>
    <w:rsid w:val="00695813"/>
    <w:rsid w:val="006A0DF0"/>
    <w:rsid w:val="006B54AA"/>
    <w:rsid w:val="006B6ED9"/>
    <w:rsid w:val="006D37B5"/>
    <w:rsid w:val="006D3DF2"/>
    <w:rsid w:val="006E387D"/>
    <w:rsid w:val="006E54FE"/>
    <w:rsid w:val="00736F30"/>
    <w:rsid w:val="00752F9B"/>
    <w:rsid w:val="00753227"/>
    <w:rsid w:val="007570A6"/>
    <w:rsid w:val="007613C5"/>
    <w:rsid w:val="00770F10"/>
    <w:rsid w:val="0077598F"/>
    <w:rsid w:val="00782F8B"/>
    <w:rsid w:val="0078744C"/>
    <w:rsid w:val="007945FB"/>
    <w:rsid w:val="007A015A"/>
    <w:rsid w:val="007B4DF9"/>
    <w:rsid w:val="007C15A3"/>
    <w:rsid w:val="007C4FC5"/>
    <w:rsid w:val="007D28F0"/>
    <w:rsid w:val="007D3368"/>
    <w:rsid w:val="007D41B2"/>
    <w:rsid w:val="007D44FF"/>
    <w:rsid w:val="007D639F"/>
    <w:rsid w:val="007E5BF1"/>
    <w:rsid w:val="007F2D33"/>
    <w:rsid w:val="007F5198"/>
    <w:rsid w:val="008072E0"/>
    <w:rsid w:val="008128D2"/>
    <w:rsid w:val="00821927"/>
    <w:rsid w:val="00851EFC"/>
    <w:rsid w:val="008539A8"/>
    <w:rsid w:val="008558D5"/>
    <w:rsid w:val="00855B3A"/>
    <w:rsid w:val="0086061A"/>
    <w:rsid w:val="008618C2"/>
    <w:rsid w:val="008636DA"/>
    <w:rsid w:val="00865A8B"/>
    <w:rsid w:val="00884682"/>
    <w:rsid w:val="008906A6"/>
    <w:rsid w:val="008A6767"/>
    <w:rsid w:val="008B378E"/>
    <w:rsid w:val="008B437A"/>
    <w:rsid w:val="008C1173"/>
    <w:rsid w:val="008C2B37"/>
    <w:rsid w:val="008C3417"/>
    <w:rsid w:val="008C53B2"/>
    <w:rsid w:val="008C5499"/>
    <w:rsid w:val="008C5F16"/>
    <w:rsid w:val="008D2C3A"/>
    <w:rsid w:val="008D4F76"/>
    <w:rsid w:val="008D7D64"/>
    <w:rsid w:val="008F170A"/>
    <w:rsid w:val="008F1B81"/>
    <w:rsid w:val="008F7355"/>
    <w:rsid w:val="00903829"/>
    <w:rsid w:val="00916C6C"/>
    <w:rsid w:val="00921901"/>
    <w:rsid w:val="009268A1"/>
    <w:rsid w:val="00942F53"/>
    <w:rsid w:val="009554CA"/>
    <w:rsid w:val="00964375"/>
    <w:rsid w:val="009651D5"/>
    <w:rsid w:val="00965BFE"/>
    <w:rsid w:val="00966E90"/>
    <w:rsid w:val="00987485"/>
    <w:rsid w:val="00991378"/>
    <w:rsid w:val="00991756"/>
    <w:rsid w:val="009921EA"/>
    <w:rsid w:val="009A0FAB"/>
    <w:rsid w:val="009B0332"/>
    <w:rsid w:val="009B4EE3"/>
    <w:rsid w:val="009C2CED"/>
    <w:rsid w:val="009C67C9"/>
    <w:rsid w:val="009D0C43"/>
    <w:rsid w:val="009D4729"/>
    <w:rsid w:val="009E03E5"/>
    <w:rsid w:val="009E0557"/>
    <w:rsid w:val="009E137C"/>
    <w:rsid w:val="009E1781"/>
    <w:rsid w:val="009E1984"/>
    <w:rsid w:val="009E26A4"/>
    <w:rsid w:val="009E4EA7"/>
    <w:rsid w:val="009F088D"/>
    <w:rsid w:val="009F512E"/>
    <w:rsid w:val="00A00A4D"/>
    <w:rsid w:val="00A1076F"/>
    <w:rsid w:val="00A37F80"/>
    <w:rsid w:val="00A40391"/>
    <w:rsid w:val="00A4286D"/>
    <w:rsid w:val="00A478C5"/>
    <w:rsid w:val="00A513BB"/>
    <w:rsid w:val="00A55532"/>
    <w:rsid w:val="00A56477"/>
    <w:rsid w:val="00A635C8"/>
    <w:rsid w:val="00A63B14"/>
    <w:rsid w:val="00A8343E"/>
    <w:rsid w:val="00A90214"/>
    <w:rsid w:val="00AA2F47"/>
    <w:rsid w:val="00AC30A2"/>
    <w:rsid w:val="00AC38CD"/>
    <w:rsid w:val="00AC67DF"/>
    <w:rsid w:val="00AC79BE"/>
    <w:rsid w:val="00AD1FDB"/>
    <w:rsid w:val="00AD52C0"/>
    <w:rsid w:val="00AD66FA"/>
    <w:rsid w:val="00AD75E2"/>
    <w:rsid w:val="00AD7F9D"/>
    <w:rsid w:val="00AE550D"/>
    <w:rsid w:val="00AF2D25"/>
    <w:rsid w:val="00AF478A"/>
    <w:rsid w:val="00AF6469"/>
    <w:rsid w:val="00B13DEB"/>
    <w:rsid w:val="00B173F8"/>
    <w:rsid w:val="00B2239E"/>
    <w:rsid w:val="00B31012"/>
    <w:rsid w:val="00B34FEF"/>
    <w:rsid w:val="00B36FF0"/>
    <w:rsid w:val="00B447AF"/>
    <w:rsid w:val="00B47C58"/>
    <w:rsid w:val="00B52582"/>
    <w:rsid w:val="00B5735F"/>
    <w:rsid w:val="00B600CB"/>
    <w:rsid w:val="00B633F9"/>
    <w:rsid w:val="00B66DA2"/>
    <w:rsid w:val="00B73B4F"/>
    <w:rsid w:val="00B76317"/>
    <w:rsid w:val="00B82F5E"/>
    <w:rsid w:val="00B87877"/>
    <w:rsid w:val="00B90F1D"/>
    <w:rsid w:val="00B97E42"/>
    <w:rsid w:val="00BA1989"/>
    <w:rsid w:val="00BA3853"/>
    <w:rsid w:val="00BB2298"/>
    <w:rsid w:val="00BC2A83"/>
    <w:rsid w:val="00BD14B1"/>
    <w:rsid w:val="00BD7805"/>
    <w:rsid w:val="00BE02F6"/>
    <w:rsid w:val="00BE5A95"/>
    <w:rsid w:val="00C041BB"/>
    <w:rsid w:val="00C07FD4"/>
    <w:rsid w:val="00C20E54"/>
    <w:rsid w:val="00C215B1"/>
    <w:rsid w:val="00C266EC"/>
    <w:rsid w:val="00C30749"/>
    <w:rsid w:val="00C33071"/>
    <w:rsid w:val="00C40245"/>
    <w:rsid w:val="00C44159"/>
    <w:rsid w:val="00C45DAD"/>
    <w:rsid w:val="00C5059B"/>
    <w:rsid w:val="00C5238F"/>
    <w:rsid w:val="00C5527E"/>
    <w:rsid w:val="00C565DC"/>
    <w:rsid w:val="00C579EB"/>
    <w:rsid w:val="00C62830"/>
    <w:rsid w:val="00C646F1"/>
    <w:rsid w:val="00C64976"/>
    <w:rsid w:val="00C64B50"/>
    <w:rsid w:val="00C70C93"/>
    <w:rsid w:val="00C77907"/>
    <w:rsid w:val="00C816E9"/>
    <w:rsid w:val="00C84221"/>
    <w:rsid w:val="00C93BA6"/>
    <w:rsid w:val="00CA3B13"/>
    <w:rsid w:val="00CA44B9"/>
    <w:rsid w:val="00CB69F4"/>
    <w:rsid w:val="00CB6A35"/>
    <w:rsid w:val="00CE049B"/>
    <w:rsid w:val="00CE1B06"/>
    <w:rsid w:val="00CE43ED"/>
    <w:rsid w:val="00CF21CE"/>
    <w:rsid w:val="00D002FF"/>
    <w:rsid w:val="00D02BEB"/>
    <w:rsid w:val="00D10FCB"/>
    <w:rsid w:val="00D22694"/>
    <w:rsid w:val="00D234A3"/>
    <w:rsid w:val="00D24F5B"/>
    <w:rsid w:val="00D349E4"/>
    <w:rsid w:val="00D4145F"/>
    <w:rsid w:val="00D52E4D"/>
    <w:rsid w:val="00D54156"/>
    <w:rsid w:val="00D607BE"/>
    <w:rsid w:val="00D61AD7"/>
    <w:rsid w:val="00D63B12"/>
    <w:rsid w:val="00D7028D"/>
    <w:rsid w:val="00D73647"/>
    <w:rsid w:val="00D811FB"/>
    <w:rsid w:val="00D83878"/>
    <w:rsid w:val="00D87188"/>
    <w:rsid w:val="00D90077"/>
    <w:rsid w:val="00DA2971"/>
    <w:rsid w:val="00DB1CF9"/>
    <w:rsid w:val="00DC1C2E"/>
    <w:rsid w:val="00DC2C8C"/>
    <w:rsid w:val="00DD2C98"/>
    <w:rsid w:val="00DE13F0"/>
    <w:rsid w:val="00DE34C6"/>
    <w:rsid w:val="00DE3B77"/>
    <w:rsid w:val="00DE3CE7"/>
    <w:rsid w:val="00DF25F9"/>
    <w:rsid w:val="00E109D5"/>
    <w:rsid w:val="00E32B93"/>
    <w:rsid w:val="00E34824"/>
    <w:rsid w:val="00E37C86"/>
    <w:rsid w:val="00E37E84"/>
    <w:rsid w:val="00E408D5"/>
    <w:rsid w:val="00E474B9"/>
    <w:rsid w:val="00E54562"/>
    <w:rsid w:val="00E555C7"/>
    <w:rsid w:val="00E61105"/>
    <w:rsid w:val="00E61A29"/>
    <w:rsid w:val="00E62F6F"/>
    <w:rsid w:val="00E7411C"/>
    <w:rsid w:val="00E751EF"/>
    <w:rsid w:val="00E77D08"/>
    <w:rsid w:val="00E86C7F"/>
    <w:rsid w:val="00E91D10"/>
    <w:rsid w:val="00E9327E"/>
    <w:rsid w:val="00E96C10"/>
    <w:rsid w:val="00EB19A4"/>
    <w:rsid w:val="00EB5BE0"/>
    <w:rsid w:val="00EC04FD"/>
    <w:rsid w:val="00EC4D49"/>
    <w:rsid w:val="00EC6CE3"/>
    <w:rsid w:val="00ED21EF"/>
    <w:rsid w:val="00EE3FED"/>
    <w:rsid w:val="00EE73D6"/>
    <w:rsid w:val="00EF2CFE"/>
    <w:rsid w:val="00F0068A"/>
    <w:rsid w:val="00F00F13"/>
    <w:rsid w:val="00F16851"/>
    <w:rsid w:val="00F21AE2"/>
    <w:rsid w:val="00F269F5"/>
    <w:rsid w:val="00F32769"/>
    <w:rsid w:val="00F34B7D"/>
    <w:rsid w:val="00F4316B"/>
    <w:rsid w:val="00F61C1E"/>
    <w:rsid w:val="00F6621E"/>
    <w:rsid w:val="00F727E7"/>
    <w:rsid w:val="00F81D49"/>
    <w:rsid w:val="00F83241"/>
    <w:rsid w:val="00F8464B"/>
    <w:rsid w:val="00F87CF4"/>
    <w:rsid w:val="00F97A72"/>
    <w:rsid w:val="00FC0CFC"/>
    <w:rsid w:val="00FC28EE"/>
    <w:rsid w:val="00FC4D2F"/>
    <w:rsid w:val="00FC55B0"/>
    <w:rsid w:val="00FC6B20"/>
    <w:rsid w:val="00FD0479"/>
    <w:rsid w:val="00FD0688"/>
    <w:rsid w:val="00FD2A4C"/>
    <w:rsid w:val="00FD30C7"/>
    <w:rsid w:val="00FD37B4"/>
    <w:rsid w:val="00FD487E"/>
    <w:rsid w:val="00FD5E68"/>
    <w:rsid w:val="00FE172E"/>
    <w:rsid w:val="00FE1DF2"/>
    <w:rsid w:val="00FE26E9"/>
    <w:rsid w:val="00FE38CE"/>
    <w:rsid w:val="00FE3A37"/>
    <w:rsid w:val="00FE578B"/>
    <w:rsid w:val="00FE7751"/>
    <w:rsid w:val="00FF25AC"/>
    <w:rsid w:val="01046B34"/>
    <w:rsid w:val="02721BE3"/>
    <w:rsid w:val="031A068D"/>
    <w:rsid w:val="05AA653C"/>
    <w:rsid w:val="07A86A6C"/>
    <w:rsid w:val="084E0457"/>
    <w:rsid w:val="08BA4CE8"/>
    <w:rsid w:val="0BCA2CA6"/>
    <w:rsid w:val="0ED555BE"/>
    <w:rsid w:val="0F2E249C"/>
    <w:rsid w:val="110F1949"/>
    <w:rsid w:val="11F03528"/>
    <w:rsid w:val="12150C65"/>
    <w:rsid w:val="13ED16AD"/>
    <w:rsid w:val="15127C5A"/>
    <w:rsid w:val="17773DA4"/>
    <w:rsid w:val="1C200EAE"/>
    <w:rsid w:val="1DA767F2"/>
    <w:rsid w:val="1EB678A8"/>
    <w:rsid w:val="21977E26"/>
    <w:rsid w:val="29CF2C5B"/>
    <w:rsid w:val="30986E0B"/>
    <w:rsid w:val="31DB03F3"/>
    <w:rsid w:val="339C74F5"/>
    <w:rsid w:val="35C434BC"/>
    <w:rsid w:val="369850F8"/>
    <w:rsid w:val="37F32BA0"/>
    <w:rsid w:val="3D510A70"/>
    <w:rsid w:val="421D2C9A"/>
    <w:rsid w:val="42A96C58"/>
    <w:rsid w:val="43244531"/>
    <w:rsid w:val="48BE1AC7"/>
    <w:rsid w:val="4E01301A"/>
    <w:rsid w:val="52D47D21"/>
    <w:rsid w:val="541A128B"/>
    <w:rsid w:val="56372AA1"/>
    <w:rsid w:val="57CA18D8"/>
    <w:rsid w:val="5B834000"/>
    <w:rsid w:val="63F90371"/>
    <w:rsid w:val="66FD376F"/>
    <w:rsid w:val="6C04051E"/>
    <w:rsid w:val="6C7D71F0"/>
    <w:rsid w:val="709D579F"/>
    <w:rsid w:val="73AD3F4B"/>
    <w:rsid w:val="77385E17"/>
    <w:rsid w:val="781F2B56"/>
    <w:rsid w:val="7903067E"/>
    <w:rsid w:val="79ED32F3"/>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semiHidden="0" w:name="endnote reference"/>
    <w:lsdException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qFormat/>
    <w:uiPriority w:val="99"/>
    <w:pPr>
      <w:numPr>
        <w:ilvl w:val="1"/>
        <w:numId w:val="1"/>
      </w:numPr>
      <w:spacing w:before="50" w:beforeLines="50" w:after="50" w:afterLines="50"/>
      <w:outlineLvl w:val="1"/>
    </w:pPr>
    <w:rPr>
      <w:rFonts w:ascii="黑体" w:hAnsi="黑体" w:eastAsia="黑体"/>
      <w:bCs/>
      <w:szCs w:val="32"/>
      <w:lang w:eastAsia="zh-Hans"/>
    </w:rPr>
  </w:style>
  <w:style w:type="paragraph" w:styleId="4">
    <w:name w:val="heading 3"/>
    <w:basedOn w:val="1"/>
    <w:next w:val="1"/>
    <w:link w:val="20"/>
    <w:qFormat/>
    <w:uiPriority w:val="9"/>
    <w:pPr>
      <w:keepNext/>
      <w:keepLines/>
      <w:spacing w:before="260" w:after="260" w:line="416" w:lineRule="auto"/>
      <w:outlineLvl w:val="2"/>
    </w:pPr>
    <w:rPr>
      <w:b/>
      <w:bCs/>
      <w:sz w:val="32"/>
      <w:szCs w:val="32"/>
    </w:rPr>
  </w:style>
  <w:style w:type="character" w:default="1" w:styleId="14">
    <w:name w:val="Default Paragraph Font"/>
    <w:unhideWhenUsed/>
    <w:uiPriority w:val="1"/>
  </w:style>
  <w:style w:type="table" w:default="1" w:styleId="18">
    <w:name w:val="Normal Table"/>
    <w:unhideWhenUsed/>
    <w:uiPriority w:val="99"/>
    <w:tblPr>
      <w:tblLayout w:type="fixed"/>
      <w:tblCellMar>
        <w:top w:w="0" w:type="dxa"/>
        <w:left w:w="108" w:type="dxa"/>
        <w:bottom w:w="0" w:type="dxa"/>
        <w:right w:w="108" w:type="dxa"/>
      </w:tblCellMar>
    </w:tblPr>
  </w:style>
  <w:style w:type="paragraph" w:styleId="5">
    <w:name w:val="annotation text"/>
    <w:basedOn w:val="1"/>
    <w:link w:val="21"/>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Date"/>
    <w:basedOn w:val="1"/>
    <w:next w:val="1"/>
    <w:link w:val="22"/>
    <w:unhideWhenUsed/>
    <w:uiPriority w:val="99"/>
    <w:pPr>
      <w:ind w:left="100" w:leftChars="2500"/>
    </w:pPr>
  </w:style>
  <w:style w:type="paragraph" w:styleId="8">
    <w:name w:val="endnote text"/>
    <w:basedOn w:val="1"/>
    <w:link w:val="23"/>
    <w:unhideWhenUsed/>
    <w:uiPriority w:val="99"/>
    <w:pPr>
      <w:snapToGrid w:val="0"/>
      <w:jc w:val="left"/>
    </w:pPr>
  </w:style>
  <w:style w:type="paragraph" w:styleId="9">
    <w:name w:val="footer"/>
    <w:basedOn w:val="1"/>
    <w:link w:val="24"/>
    <w:unhideWhenUsed/>
    <w:uiPriority w:val="99"/>
    <w:pPr>
      <w:tabs>
        <w:tab w:val="center" w:pos="4153"/>
        <w:tab w:val="right" w:pos="8306"/>
      </w:tabs>
      <w:snapToGrid w:val="0"/>
      <w:jc w:val="left"/>
    </w:pPr>
    <w:rPr>
      <w:sz w:val="18"/>
      <w:szCs w:val="18"/>
    </w:rPr>
  </w:style>
  <w:style w:type="paragraph" w:styleId="10">
    <w:name w:val="header"/>
    <w:basedOn w:val="1"/>
    <w:link w:val="25"/>
    <w:unhideWhenUsed/>
    <w:uiPriority w:val="99"/>
    <w:pP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uiPriority w:val="39"/>
    <w:pPr>
      <w:ind w:left="420" w:leftChars="200"/>
    </w:pPr>
  </w:style>
  <w:style w:type="paragraph" w:styleId="13">
    <w:name w:val="Normal (Web)"/>
    <w:basedOn w:val="1"/>
    <w:unhideWhenUsed/>
    <w:uiPriority w:val="99"/>
    <w:pPr>
      <w:spacing w:before="100" w:beforeAutospacing="1" w:after="100" w:afterAutospacing="1"/>
      <w:jc w:val="left"/>
    </w:pPr>
    <w:rPr>
      <w:kern w:val="0"/>
      <w:sz w:val="24"/>
    </w:rPr>
  </w:style>
  <w:style w:type="character" w:styleId="15">
    <w:name w:val="endnote reference"/>
    <w:unhideWhenUsed/>
    <w:uiPriority w:val="99"/>
    <w:rPr>
      <w:vertAlign w:val="superscript"/>
    </w:rPr>
  </w:style>
  <w:style w:type="character" w:styleId="16">
    <w:name w:val="Hyperlink"/>
    <w:unhideWhenUsed/>
    <w:uiPriority w:val="99"/>
    <w:rPr>
      <w:color w:val="0000FF"/>
      <w:u w:val="single"/>
    </w:rPr>
  </w:style>
  <w:style w:type="character" w:styleId="17">
    <w:name w:val="annotation reference"/>
    <w:unhideWhenUsed/>
    <w:uiPriority w:val="99"/>
    <w:rPr>
      <w:sz w:val="21"/>
      <w:szCs w:val="21"/>
    </w:rPr>
  </w:style>
  <w:style w:type="table" w:styleId="19">
    <w:name w:val="Table Grid"/>
    <w:basedOn w:val="1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blStylePr w:type="firstRow">
      <w:tblPr>
        <w:tblLayout w:type="fixed"/>
      </w:tblPr>
      <w:tcPr>
        <w:tcBorders>
          <w:top w:val="single" w:color="auto" w:sz="6" w:space="0"/>
          <w:left w:val="single" w:color="auto" w:sz="2" w:space="0"/>
          <w:bottom w:val="nil"/>
          <w:right w:val="nil"/>
          <w:insideH w:val="nil"/>
          <w:insideV w:val="single" w:sz="2" w:space="0"/>
          <w:tl2br w:val="nil"/>
          <w:tr2bl w:val="nil"/>
        </w:tcBorders>
        <w:shd w:val="solid" w:color="E7F5E1" w:fill="auto"/>
      </w:tcPr>
    </w:tblStylePr>
  </w:style>
  <w:style w:type="character" w:customStyle="1" w:styleId="20">
    <w:name w:val="标题 3 字符"/>
    <w:link w:val="4"/>
    <w:semiHidden/>
    <w:uiPriority w:val="9"/>
    <w:rPr>
      <w:b/>
      <w:bCs/>
      <w:kern w:val="2"/>
      <w:sz w:val="32"/>
      <w:szCs w:val="32"/>
    </w:rPr>
  </w:style>
  <w:style w:type="character" w:customStyle="1" w:styleId="21">
    <w:name w:val="批注文字 字符"/>
    <w:link w:val="5"/>
    <w:qFormat/>
    <w:uiPriority w:val="99"/>
    <w:rPr>
      <w:kern w:val="2"/>
      <w:sz w:val="21"/>
      <w:szCs w:val="22"/>
    </w:rPr>
  </w:style>
  <w:style w:type="character" w:customStyle="1" w:styleId="22">
    <w:name w:val="日期 字符"/>
    <w:link w:val="7"/>
    <w:semiHidden/>
    <w:qFormat/>
    <w:uiPriority w:val="99"/>
    <w:rPr>
      <w:kern w:val="2"/>
      <w:sz w:val="21"/>
      <w:szCs w:val="22"/>
    </w:rPr>
  </w:style>
  <w:style w:type="character" w:customStyle="1" w:styleId="23">
    <w:name w:val="尾注文本 字符"/>
    <w:link w:val="8"/>
    <w:semiHidden/>
    <w:uiPriority w:val="99"/>
    <w:rPr>
      <w:kern w:val="2"/>
      <w:sz w:val="21"/>
      <w:szCs w:val="22"/>
    </w:rPr>
  </w:style>
  <w:style w:type="character" w:customStyle="1" w:styleId="24">
    <w:name w:val="页脚 字符"/>
    <w:link w:val="9"/>
    <w:uiPriority w:val="99"/>
    <w:rPr>
      <w:sz w:val="18"/>
      <w:szCs w:val="18"/>
    </w:rPr>
  </w:style>
  <w:style w:type="character" w:customStyle="1" w:styleId="25">
    <w:name w:val="页眉 字符"/>
    <w:link w:val="10"/>
    <w:uiPriority w:val="99"/>
    <w:rPr>
      <w:sz w:val="18"/>
      <w:szCs w:val="18"/>
    </w:rPr>
  </w:style>
  <w:style w:type="paragraph" w:customStyle="1" w:styleId="26">
    <w:name w:val="List Paragraph"/>
    <w:basedOn w:val="1"/>
    <w:qFormat/>
    <w:uiPriority w:val="99"/>
    <w:pPr>
      <w:ind w:firstLine="420" w:firstLineChars="200"/>
    </w:pPr>
  </w:style>
  <w:style w:type="paragraph" w:customStyle="1" w:styleId="27">
    <w:name w:val="文本"/>
    <w:basedOn w:val="1"/>
    <w:qFormat/>
    <w:uiPriority w:val="0"/>
    <w:pPr>
      <w:spacing w:line="360" w:lineRule="auto"/>
      <w:ind w:firstLine="200" w:firstLineChars="200"/>
    </w:pPr>
    <w:rPr>
      <w:rFonts w:ascii="Calibri" w:hAnsi="Calibri"/>
      <w:szCs w:val="20"/>
    </w:rPr>
  </w:style>
  <w:style w:type="paragraph" w:customStyle="1" w:styleId="28">
    <w:name w:val="文内规范标题"/>
    <w:basedOn w:val="1"/>
    <w:qFormat/>
    <w:uiPriority w:val="0"/>
    <w:pPr>
      <w:spacing w:before="62" w:after="62"/>
      <w:jc w:val="center"/>
    </w:pPr>
    <w:rPr>
      <w:rFonts w:eastAsia="黑体"/>
      <w:sz w:val="32"/>
    </w:rPr>
  </w:style>
  <w:style w:type="paragraph" w:customStyle="1" w:styleId="29">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0">
    <w:name w:val="标准文件_术语条一"/>
    <w:basedOn w:val="31"/>
    <w:next w:val="29"/>
    <w:qFormat/>
    <w:uiPriority w:val="0"/>
    <w:pPr>
      <w:tabs>
        <w:tab w:val="left" w:pos="420"/>
      </w:tabs>
    </w:pPr>
  </w:style>
  <w:style w:type="paragraph" w:customStyle="1" w:styleId="31">
    <w:name w:val="标准文件_一级无标题"/>
    <w:basedOn w:val="32"/>
    <w:qFormat/>
    <w:uiPriority w:val="0"/>
    <w:pPr>
      <w:tabs>
        <w:tab w:val="left" w:pos="420"/>
      </w:tabs>
      <w:spacing w:before="0" w:beforeLines="0" w:after="0" w:afterLines="0"/>
      <w:outlineLvl w:val="9"/>
    </w:pPr>
    <w:rPr>
      <w:rFonts w:ascii="宋体" w:eastAsia="宋体"/>
    </w:rPr>
  </w:style>
  <w:style w:type="paragraph" w:customStyle="1" w:styleId="32">
    <w:name w:val="标准文件_一级条标题"/>
    <w:basedOn w:val="33"/>
    <w:next w:val="29"/>
    <w:uiPriority w:val="0"/>
    <w:pPr>
      <w:numPr>
        <w:ilvl w:val="0"/>
        <w:numId w:val="0"/>
      </w:numPr>
      <w:tabs>
        <w:tab w:val="left" w:pos="420"/>
      </w:tabs>
      <w:spacing w:before="50" w:beforeLines="50" w:after="50" w:afterLines="50"/>
      <w:ind w:left="284"/>
      <w:outlineLvl w:val="1"/>
    </w:pPr>
  </w:style>
  <w:style w:type="paragraph" w:customStyle="1" w:styleId="33">
    <w:name w:val="标准文件_章标题"/>
    <w:next w:val="29"/>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34">
    <w:name w:val="标准文件_注："/>
    <w:next w:val="29"/>
    <w:qFormat/>
    <w:uiPriority w:val="0"/>
    <w:pPr>
      <w:widowControl w:val="0"/>
      <w:numPr>
        <w:ilvl w:val="0"/>
        <w:numId w:val="3"/>
      </w:numPr>
      <w:autoSpaceDE w:val="0"/>
      <w:autoSpaceDN w:val="0"/>
      <w:jc w:val="both"/>
    </w:pPr>
    <w:rPr>
      <w:rFonts w:ascii="宋体" w:hAnsi="Times New Roman" w:eastAsia="宋体" w:cs="Times New Roman"/>
      <w:sz w:val="18"/>
      <w:szCs w:val="18"/>
      <w:lang w:val="en-US" w:eastAsia="zh-CN" w:bidi="ar-SA"/>
    </w:rPr>
  </w:style>
  <w:style w:type="paragraph" w:customStyle="1" w:styleId="35">
    <w:name w:val="内容2"/>
    <w:basedOn w:val="3"/>
    <w:qFormat/>
    <w:uiPriority w:val="0"/>
    <w:pPr>
      <w:spacing w:after="20" w:afterLines="20"/>
    </w:pPr>
    <w:rPr>
      <w:rFonts w:ascii="Times New Roman" w:hAnsi="Times New Roman" w:eastAsia="宋体"/>
    </w:rPr>
  </w:style>
  <w:style w:type="paragraph" w:customStyle="1" w:styleId="36">
    <w:name w:val="标准文件_二级无标题"/>
    <w:basedOn w:val="37"/>
    <w:qFormat/>
    <w:uiPriority w:val="0"/>
    <w:pPr>
      <w:tabs>
        <w:tab w:val="left" w:pos="0"/>
        <w:tab w:val="left" w:pos="420"/>
      </w:tabs>
      <w:spacing w:before="0" w:beforeLines="0" w:after="0" w:afterLines="0"/>
      <w:outlineLvl w:val="9"/>
    </w:pPr>
    <w:rPr>
      <w:rFonts w:ascii="宋体" w:eastAsia="宋体"/>
    </w:rPr>
  </w:style>
  <w:style w:type="paragraph" w:customStyle="1" w:styleId="37">
    <w:name w:val="标准文件_二级条标题"/>
    <w:next w:val="29"/>
    <w:qFormat/>
    <w:uiPriority w:val="0"/>
    <w:pPr>
      <w:widowControl w:val="0"/>
      <w:tabs>
        <w:tab w:val="left" w:pos="0"/>
        <w:tab w:val="left" w:pos="420"/>
      </w:tabs>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38">
    <w:name w:val="内容3"/>
    <w:basedOn w:val="4"/>
    <w:qFormat/>
    <w:uiPriority w:val="0"/>
    <w:pPr>
      <w:spacing w:before="20" w:after="20" w:line="240" w:lineRule="auto"/>
    </w:pPr>
  </w:style>
  <w:style w:type="character" w:customStyle="1" w:styleId="39">
    <w:name w:val="未处理的提及1"/>
    <w:unhideWhenUsed/>
    <w:uiPriority w:val="99"/>
    <w:rPr>
      <w:color w:val="605E5C"/>
      <w:shd w:val="clear" w:color="auto" w:fill="E1DFDD"/>
    </w:rPr>
  </w:style>
  <w:style w:type="paragraph" w:customStyle="1" w:styleId="40">
    <w:name w:val="修订1"/>
    <w:hidden/>
    <w:unhideWhenUsed/>
    <w:qFormat/>
    <w:uiPriority w:val="99"/>
    <w:rPr>
      <w:rFonts w:ascii="Times New Roman" w:hAnsi="Times New Roman" w:eastAsia="宋体" w:cs="Times New Roman"/>
      <w:kern w:val="2"/>
      <w:sz w:val="21"/>
      <w:szCs w:val="22"/>
      <w:lang w:val="en-US" w:eastAsia="zh-CN" w:bidi="ar-SA"/>
    </w:rPr>
  </w:style>
  <w:style w:type="character" w:customStyle="1" w:styleId="41">
    <w:name w:val="Placeholder Text"/>
    <w:basedOn w:val="14"/>
    <w:unhideWhenUsed/>
    <w:qFormat/>
    <w:uiPriority w:val="99"/>
    <w:rPr>
      <w:color w:val="666666"/>
    </w:rPr>
  </w:style>
  <w:style w:type="paragraph" w:customStyle="1" w:styleId="42">
    <w:name w:val="修订2"/>
    <w:hidden/>
    <w:unhideWhenUsed/>
    <w:qFormat/>
    <w:uiPriority w:val="99"/>
    <w:rPr>
      <w:rFonts w:ascii="Times New Roman" w:hAnsi="Times New Roman" w:eastAsia="宋体" w:cs="Times New Roman"/>
      <w:kern w:val="2"/>
      <w:sz w:val="21"/>
      <w:szCs w:val="22"/>
      <w:lang w:val="en-US" w:eastAsia="zh-CN" w:bidi="ar-SA"/>
    </w:rPr>
  </w:style>
  <w:style w:type="paragraph" w:customStyle="1" w:styleId="43">
    <w:name w:val="Revision"/>
    <w:hidden/>
    <w:unhideWhenUsed/>
    <w:uiPriority w:val="99"/>
    <w:rPr>
      <w:rFonts w:ascii="Times New Roman" w:hAnsi="Times New Roman" w:eastAsia="宋体" w:cs="Times New Roman"/>
      <w:kern w:val="2"/>
      <w:sz w:val="21"/>
      <w:szCs w:val="22"/>
      <w:lang w:val="en-US" w:eastAsia="zh-CN" w:bidi="ar-SA"/>
    </w:rPr>
  </w:style>
  <w:style w:type="character" w:customStyle="1" w:styleId="44">
    <w:name w:val="Unresolved Mention"/>
    <w:basedOn w:val="14"/>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F9EF3A-617F-478E-9AD9-C50AD392882F}">
  <ds:schemaRefs/>
</ds:datastoreItem>
</file>

<file path=docProps/app.xml><?xml version="1.0" encoding="utf-8"?>
<Properties xmlns="http://schemas.openxmlformats.org/officeDocument/2006/extended-properties" xmlns:vt="http://schemas.openxmlformats.org/officeDocument/2006/docPropsVTypes">
  <Template>Normal</Template>
  <Pages>15</Pages>
  <Words>2483</Words>
  <Characters>14158</Characters>
  <Lines>117</Lines>
  <Paragraphs>33</Paragraphs>
  <TotalTime>0</TotalTime>
  <ScaleCrop>false</ScaleCrop>
  <LinksUpToDate>false</LinksUpToDate>
  <CharactersWithSpaces>16608</CharactersWithSpaces>
  <Application>WPS Office_10.1.0.5803_F1E327BC-269C-435d-A152-05C5408002CA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2024-12-08T14:24:00Z</dcterms:created>
  <dc:creator>王浩欢</dc:creator>
  <cp:lastModifiedBy>钟达</cp:lastModifiedBy>
  <cp:lastPrinted>2024-12-11T01:44:00Z</cp:lastPrinted>
  <dcterms:modified xsi:type="dcterms:W3CDTF">2025-01-06T08:16:06Z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2052-10.1.0.5803</vt:lpwstr>
  </property>
  <property fmtid="{D5CDD505-2E9C-101B-9397-08002B2CF9AE}" pid="3" name="ICV">
    <vt:lpwstr>0CF6D8E0C108496BA49E563B2D7FE31E</vt:lpwstr>
  </property>
</Properties>
</file>