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pPr>
        <w:jc w:val="center"/>
        <w:rPr>
          <w:rFonts w:hint="eastAsia" w:ascii="宋体" w:hAnsi="宋体"/>
          <w:color w:val="auto"/>
          <w:sz w:val="84"/>
          <w:szCs w:val="84"/>
          <w:highlight w:val="none"/>
        </w:rPr>
      </w:pPr>
    </w:p>
    <w:p>
      <w:pPr>
        <w:spacing w:line="1600" w:lineRule="exact"/>
        <w:jc w:val="center"/>
        <w:outlineLvl w:val="0"/>
        <w:rPr>
          <w:rFonts w:hint="eastAsia" w:ascii="方正黑体_GBK" w:hAnsi="宋体" w:eastAsia="方正黑体_GBK"/>
          <w:color w:val="auto"/>
          <w:sz w:val="72"/>
          <w:szCs w:val="72"/>
          <w:highlight w:val="none"/>
        </w:rPr>
      </w:pPr>
      <w:r>
        <w:rPr>
          <w:rFonts w:hint="eastAsia" w:ascii="方正黑体_GBK" w:hAnsi="宋体" w:eastAsia="方正黑体_GBK"/>
          <w:color w:val="auto"/>
          <w:sz w:val="72"/>
          <w:szCs w:val="72"/>
          <w:highlight w:val="none"/>
        </w:rPr>
        <w:t>限额以下磋商评分采购文件</w:t>
      </w: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13</w:t>
      </w:r>
    </w:p>
    <w:p>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：乌江处2024年职工培训</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pPr>
        <w:spacing w:line="500" w:lineRule="exact"/>
        <w:outlineLvl w:val="0"/>
        <w:rPr>
          <w:rFonts w:hint="eastAsia" w:ascii="方正小标宋_GBK" w:eastAsia="方正小标宋_GBK"/>
          <w:color w:val="auto"/>
          <w:sz w:val="36"/>
          <w:szCs w:val="36"/>
          <w:highlight w:val="none"/>
        </w:rPr>
      </w:pPr>
    </w:p>
    <w:p>
      <w:pPr>
        <w:spacing w:line="500" w:lineRule="exact"/>
        <w:outlineLvl w:val="0"/>
        <w:rPr>
          <w:rFonts w:hint="eastAsia" w:ascii="方正小标宋_GBK" w:eastAsia="方正小标宋_GBK"/>
          <w:color w:val="auto"/>
          <w:sz w:val="36"/>
          <w:szCs w:val="36"/>
          <w:highlight w:val="none"/>
        </w:rPr>
      </w:pPr>
    </w:p>
    <w:p>
      <w:pPr>
        <w:spacing w:line="720" w:lineRule="exact"/>
        <w:jc w:val="center"/>
        <w:outlineLvl w:val="0"/>
        <w:rPr>
          <w:rFonts w:ascii="方正黑体_GBK" w:hAnsi="宋体" w:eastAsia="方正黑体_GBK"/>
          <w:color w:val="auto"/>
          <w:sz w:val="48"/>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十一</w:t>
      </w:r>
      <w:r>
        <w:rPr>
          <w:rFonts w:hint="eastAsia" w:ascii="方正小标宋_GBK" w:hAnsi="宋体" w:eastAsia="方正小标宋_GBK"/>
          <w:color w:val="auto"/>
          <w:sz w:val="36"/>
          <w:szCs w:val="36"/>
          <w:highlight w:val="none"/>
        </w:rPr>
        <w:t>月</w:t>
      </w:r>
    </w:p>
    <w:p>
      <w:pPr>
        <w:pStyle w:val="3"/>
        <w:spacing w:line="360" w:lineRule="auto"/>
        <w:jc w:val="center"/>
        <w:rPr>
          <w:rFonts w:hint="eastAsia" w:ascii="方正小标宋_GBK" w:hAnsi="宋体" w:eastAsia="方正小标宋_GBK"/>
          <w:b w:val="0"/>
          <w:color w:val="auto"/>
          <w:szCs w:val="30"/>
          <w:highlight w:val="none"/>
        </w:rPr>
      </w:pPr>
      <w:bookmarkStart w:id="0" w:name="_Toc12789052"/>
      <w:bookmarkStart w:id="1" w:name="_Toc106030870"/>
      <w:bookmarkStart w:id="2" w:name="_Toc11641050"/>
      <w:bookmarkStart w:id="3" w:name="_Toc76462316"/>
      <w:r>
        <w:rPr>
          <w:rFonts w:hint="eastAsia" w:ascii="方正小标宋_GBK" w:hAnsi="宋体" w:eastAsia="方正小标宋_GBK"/>
          <w:b w:val="0"/>
          <w:color w:val="auto"/>
          <w:sz w:val="36"/>
          <w:szCs w:val="30"/>
          <w:highlight w:val="none"/>
        </w:rPr>
        <w:t>第一篇  采购邀请书</w:t>
      </w:r>
      <w:bookmarkEnd w:id="0"/>
      <w:bookmarkEnd w:id="1"/>
      <w:bookmarkEnd w:id="2"/>
      <w:bookmarkEnd w:id="3"/>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乌江处2024年职工培训</w:t>
      </w:r>
      <w:r>
        <w:rPr>
          <w:rFonts w:hint="eastAsia" w:ascii="方正仿宋_GBK" w:hAnsi="宋体" w:eastAsia="方正仿宋_GBK"/>
          <w:color w:val="auto"/>
          <w:sz w:val="24"/>
          <w:szCs w:val="24"/>
          <w:highlight w:val="none"/>
        </w:rPr>
        <w:t>进行限额以下磋商评分采购。欢迎有资格的供应商前来参与竞争。</w:t>
      </w:r>
    </w:p>
    <w:p>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4" w:name="_Toc106030871"/>
      <w:bookmarkStart w:id="5" w:name="_Toc317775175"/>
      <w:bookmarkStart w:id="6" w:name="_Toc76462317"/>
      <w:bookmarkStart w:id="7" w:name="_Toc313893526"/>
      <w:r>
        <w:rPr>
          <w:rFonts w:hint="eastAsia" w:ascii="方正仿宋_GBK" w:hAnsi="宋体" w:eastAsia="方正仿宋_GBK"/>
          <w:color w:val="auto"/>
          <w:sz w:val="24"/>
          <w:highlight w:val="none"/>
        </w:rPr>
        <w:t>一、限额以下磋商评分内容</w:t>
      </w:r>
      <w:bookmarkEnd w:id="4"/>
      <w:bookmarkEnd w:id="5"/>
      <w:bookmarkEnd w:id="6"/>
      <w:bookmarkEnd w:id="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1701"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最高限价（万元）</w:t>
            </w:r>
          </w:p>
        </w:tc>
        <w:tc>
          <w:tcPr>
            <w:tcW w:w="2410"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highlight w:val="none"/>
              </w:rPr>
            </w:pPr>
            <w:bookmarkStart w:id="8" w:name="_Hlk344477914"/>
            <w:r>
              <w:rPr>
                <w:rFonts w:hint="eastAsia" w:ascii="方正仿宋_GBK" w:hAnsi="宋体" w:eastAsia="方正仿宋_GBK" w:cs="宋体"/>
                <w:color w:val="auto"/>
                <w:kern w:val="0"/>
                <w:sz w:val="21"/>
                <w:szCs w:val="24"/>
                <w:highlight w:val="none"/>
                <w:lang w:eastAsia="zh-CN"/>
              </w:rPr>
              <w:t>乌江处2024年职工培训</w:t>
            </w:r>
          </w:p>
        </w:tc>
        <w:tc>
          <w:tcPr>
            <w:tcW w:w="1701" w:type="dxa"/>
            <w:tcBorders>
              <w:top w:val="single" w:color="auto" w:sz="4" w:space="0"/>
              <w:left w:val="single" w:color="auto" w:sz="4" w:space="0"/>
              <w:right w:val="single" w:color="auto" w:sz="4" w:space="0"/>
            </w:tcBorders>
            <w:noWrap w:val="0"/>
            <w:vAlign w:val="center"/>
          </w:tcPr>
          <w:p>
            <w:pPr>
              <w:widowControl/>
              <w:jc w:val="center"/>
              <w:rPr>
                <w:rFonts w:hint="default" w:ascii="方正仿宋_GBK" w:hAnsi="宋体" w:eastAsia="方正仿宋_GBK" w:cs="宋体"/>
                <w:color w:val="auto"/>
                <w:kern w:val="0"/>
                <w:sz w:val="21"/>
                <w:szCs w:val="24"/>
                <w:highlight w:val="none"/>
                <w:lang w:val="en-US"/>
              </w:rPr>
            </w:pPr>
            <w:r>
              <w:rPr>
                <w:rFonts w:hint="eastAsia" w:ascii="方正仿宋_GBK" w:hAnsi="宋体" w:eastAsia="方正仿宋_GBK" w:cs="宋体"/>
                <w:color w:val="auto"/>
                <w:kern w:val="0"/>
                <w:sz w:val="21"/>
                <w:szCs w:val="24"/>
                <w:highlight w:val="none"/>
                <w:lang w:val="en-US" w:eastAsia="zh-CN"/>
              </w:rPr>
              <w:t>13.56</w:t>
            </w:r>
          </w:p>
        </w:tc>
        <w:tc>
          <w:tcPr>
            <w:tcW w:w="241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highlight w:val="none"/>
                <w:lang w:val="en-US" w:eastAsia="zh-CN"/>
              </w:rPr>
            </w:pPr>
            <w:r>
              <w:rPr>
                <w:rFonts w:hint="eastAsia" w:ascii="方正仿宋_GBK" w:hAnsi="宋体" w:eastAsia="方正仿宋_GBK" w:cs="宋体"/>
                <w:color w:val="auto"/>
                <w:kern w:val="0"/>
                <w:sz w:val="21"/>
                <w:szCs w:val="24"/>
                <w:highlight w:val="none"/>
                <w:lang w:val="en-US" w:eastAsia="zh-CN"/>
              </w:rPr>
              <w:t>1</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b/>
                <w:color w:val="auto"/>
                <w:sz w:val="21"/>
                <w:szCs w:val="21"/>
                <w:highlight w:val="none"/>
              </w:rPr>
            </w:pPr>
          </w:p>
        </w:tc>
      </w:tr>
      <w:bookmarkEnd w:id="8"/>
    </w:tbl>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9" w:name="_Toc106030872"/>
      <w:bookmarkStart w:id="10" w:name="_Toc76462318"/>
      <w:bookmarkStart w:id="11" w:name="_Toc373860293"/>
      <w:bookmarkStart w:id="12" w:name="_Toc317775178"/>
      <w:r>
        <w:rPr>
          <w:rFonts w:hint="eastAsia" w:ascii="方正仿宋_GBK" w:hAnsi="宋体" w:eastAsia="方正仿宋_GBK"/>
          <w:color w:val="auto"/>
          <w:sz w:val="24"/>
          <w:highlight w:val="none"/>
        </w:rPr>
        <w:t>二、资金来源</w:t>
      </w:r>
      <w:bookmarkEnd w:id="9"/>
      <w:bookmarkEnd w:id="10"/>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财政预算资金，预算金额为</w:t>
      </w:r>
      <w:r>
        <w:rPr>
          <w:rFonts w:hint="eastAsia" w:ascii="方正仿宋_GBK" w:hAnsi="仿宋" w:eastAsia="方正仿宋_GBK"/>
          <w:color w:val="auto"/>
          <w:sz w:val="24"/>
          <w:szCs w:val="24"/>
          <w:highlight w:val="none"/>
          <w:lang w:val="en-US" w:eastAsia="zh-CN"/>
        </w:rPr>
        <w:t xml:space="preserve"> 13.56</w:t>
      </w:r>
      <w:r>
        <w:rPr>
          <w:rFonts w:hint="eastAsia" w:ascii="方正仿宋_GBK" w:hAnsi="仿宋" w:eastAsia="方正仿宋_GBK"/>
          <w:color w:val="auto"/>
          <w:sz w:val="24"/>
          <w:szCs w:val="24"/>
          <w:highlight w:val="none"/>
        </w:rPr>
        <w:t>万元</w:t>
      </w:r>
      <w:r>
        <w:rPr>
          <w:rFonts w:hint="eastAsia" w:ascii="方正仿宋_GBK" w:hAnsi="宋体" w:eastAsia="方正仿宋_GBK"/>
          <w:color w:val="auto"/>
          <w:sz w:val="24"/>
          <w:szCs w:val="24"/>
          <w:highlight w:val="none"/>
        </w:rPr>
        <w:t>。</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 w:name="_Toc76462319"/>
      <w:bookmarkStart w:id="14" w:name="_Toc106030873"/>
      <w:r>
        <w:rPr>
          <w:rFonts w:hint="eastAsia" w:ascii="方正仿宋_GBK" w:hAnsi="宋体" w:eastAsia="方正仿宋_GBK"/>
          <w:color w:val="auto"/>
          <w:sz w:val="24"/>
          <w:highlight w:val="none"/>
        </w:rPr>
        <w:t>三、供应商资格条件</w:t>
      </w:r>
      <w:bookmarkEnd w:id="13"/>
      <w:bookmarkEnd w:id="14"/>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val="en-US" w:eastAsia="zh-CN"/>
        </w:rPr>
        <w:t>无。</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 w:name="_Toc106030874"/>
      <w:bookmarkStart w:id="16" w:name="_Toc76462320"/>
      <w:r>
        <w:rPr>
          <w:rFonts w:hint="eastAsia" w:ascii="方正仿宋_GBK" w:hAnsi="宋体" w:eastAsia="方正仿宋_GBK"/>
          <w:color w:val="auto"/>
          <w:sz w:val="24"/>
          <w:highlight w:val="none"/>
        </w:rPr>
        <w:t>四、限额以下磋商评分有关说明</w:t>
      </w:r>
      <w:bookmarkEnd w:id="11"/>
      <w:bookmarkEnd w:id="15"/>
      <w:bookmarkEnd w:id="16"/>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（一）凡有意参加竞争的供应商，请在重庆市交通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（https://jtj.cq.gov.cn）上下载本项目采购文件以及图纸、澄清等限额以下磋商评分前公布的所有项目资料，无论供应商下载或领取与否，均视为已知晓所有限额以下磋商评分实质性要求内容。</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（二）限额以下磋商评分公告期限：</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11</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18 </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11</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20</w:t>
      </w:r>
      <w:r>
        <w:rPr>
          <w:rFonts w:hint="eastAsia" w:ascii="方正仿宋_GBK" w:hAnsi="宋体" w:eastAsia="方正仿宋_GBK" w:cs="Times New Roman"/>
          <w:color w:val="auto"/>
          <w:sz w:val="24"/>
          <w:szCs w:val="24"/>
          <w:highlight w:val="none"/>
        </w:rPr>
        <w:t>日17:30）</w:t>
      </w:r>
      <w:r>
        <w:rPr>
          <w:rFonts w:hint="eastAsia" w:ascii="方正仿宋_GBK" w:hAnsi="宋体" w:eastAsia="方正仿宋_GBK"/>
          <w:color w:val="auto"/>
          <w:sz w:val="24"/>
          <w:szCs w:val="24"/>
          <w:highlight w:val="none"/>
        </w:rPr>
        <w:t>。</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rPr>
        <w:t>报名方式：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11</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21</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14:00</w:t>
      </w:r>
      <w:r>
        <w:rPr>
          <w:rFonts w:hint="eastAsia" w:ascii="方正仿宋_GBK" w:hAnsi="宋体" w:eastAsia="方正仿宋_GBK"/>
          <w:color w:val="auto"/>
          <w:sz w:val="24"/>
          <w:szCs w:val="24"/>
          <w:highlight w:val="none"/>
        </w:rPr>
        <w:t>时至</w:t>
      </w:r>
      <w:r>
        <w:rPr>
          <w:rFonts w:hint="eastAsia" w:ascii="方正仿宋_GBK" w:hAnsi="宋体" w:eastAsia="方正仿宋_GBK"/>
          <w:color w:val="auto"/>
          <w:sz w:val="24"/>
          <w:szCs w:val="24"/>
          <w:highlight w:val="none"/>
          <w:lang w:val="en-US" w:eastAsia="zh-CN"/>
        </w:rPr>
        <w:t>14:30</w:t>
      </w:r>
      <w:r>
        <w:rPr>
          <w:rFonts w:hint="eastAsia" w:ascii="方正仿宋_GBK" w:hAnsi="宋体" w:eastAsia="方正仿宋_GBK"/>
          <w:color w:val="auto"/>
          <w:sz w:val="24"/>
          <w:szCs w:val="24"/>
          <w:highlight w:val="none"/>
        </w:rPr>
        <w:t>时</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11</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21</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14:30</w:t>
      </w:r>
      <w:r>
        <w:rPr>
          <w:rFonts w:hint="eastAsia" w:ascii="方正仿宋_GBK" w:hAnsi="宋体" w:eastAsia="方正仿宋_GBK"/>
          <w:color w:val="auto"/>
          <w:sz w:val="24"/>
          <w:szCs w:val="24"/>
          <w:highlight w:val="none"/>
        </w:rPr>
        <w:t>时</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7" w:name="_Toc373860294"/>
      <w:bookmarkStart w:id="18" w:name="_Toc106030875"/>
      <w:bookmarkStart w:id="19" w:name="_Toc76462321"/>
      <w:r>
        <w:rPr>
          <w:rFonts w:hint="eastAsia" w:ascii="方正仿宋_GBK" w:hAnsi="宋体" w:eastAsia="方正仿宋_GBK"/>
          <w:color w:val="auto"/>
          <w:sz w:val="24"/>
          <w:highlight w:val="none"/>
        </w:rPr>
        <w:t>五、</w:t>
      </w:r>
      <w:bookmarkEnd w:id="12"/>
      <w:bookmarkEnd w:id="17"/>
      <w:bookmarkEnd w:id="18"/>
      <w:bookmarkEnd w:id="19"/>
      <w:bookmarkStart w:id="20" w:name="_Toc76462322"/>
      <w:bookmarkStart w:id="21" w:name="_Toc106030876"/>
      <w:bookmarkStart w:id="22" w:name="_Toc480466699"/>
      <w:r>
        <w:rPr>
          <w:rFonts w:hint="eastAsia" w:ascii="方正仿宋_GBK" w:hAnsi="宋体" w:eastAsia="方正仿宋_GBK"/>
          <w:color w:val="auto"/>
          <w:sz w:val="24"/>
          <w:highlight w:val="none"/>
        </w:rPr>
        <w:t>其它有关规定</w:t>
      </w:r>
      <w:bookmarkEnd w:id="20"/>
      <w:bookmarkEnd w:id="21"/>
      <w:bookmarkEnd w:id="22"/>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bookmarkStart w:id="23" w:name="_Toc480466700"/>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pPr>
        <w:snapToGrid w:val="0"/>
        <w:spacing w:line="400" w:lineRule="exact"/>
        <w:ind w:firstLine="360" w:firstLineChars="15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End w:id="23"/>
    </w:p>
    <w:p>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、联系方式</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焦</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023-72300403</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七、项目其他说明</w:t>
      </w:r>
    </w:p>
    <w:p>
      <w:pPr>
        <w:snapToGrid w:val="0"/>
        <w:spacing w:line="40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的</w:t>
      </w:r>
      <w:r>
        <w:rPr>
          <w:rFonts w:hint="eastAsia" w:ascii="宋体" w:hAnsi="宋体"/>
          <w:b w:val="0"/>
          <w:bCs/>
          <w:color w:val="auto"/>
          <w:sz w:val="24"/>
          <w:szCs w:val="24"/>
          <w:highlight w:val="none"/>
          <w:lang w:val="zh-CN"/>
        </w:rPr>
        <w:t>法定代表人或</w:t>
      </w:r>
      <w:r>
        <w:rPr>
          <w:rFonts w:hint="eastAsia" w:ascii="宋体" w:hAnsi="宋体"/>
          <w:b w:val="0"/>
          <w:bCs/>
          <w:color w:val="auto"/>
          <w:sz w:val="24"/>
          <w:szCs w:val="24"/>
          <w:highlight w:val="none"/>
        </w:rPr>
        <w:t>授权代理人</w:t>
      </w:r>
      <w:r>
        <w:rPr>
          <w:rFonts w:hint="eastAsia" w:ascii="宋体" w:hAnsi="宋体"/>
          <w:b w:val="0"/>
          <w:bCs/>
          <w:color w:val="auto"/>
          <w:sz w:val="24"/>
          <w:szCs w:val="24"/>
          <w:highlight w:val="none"/>
          <w:lang w:val="zh-CN"/>
        </w:rPr>
        <w:t>必须按时参加本竞争性磋商会议。</w:t>
      </w:r>
    </w:p>
    <w:p>
      <w:pPr>
        <w:snapToGrid w:val="0"/>
        <w:spacing w:line="40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的法定代表人参加</w:t>
      </w:r>
      <w:r>
        <w:rPr>
          <w:rFonts w:hint="eastAsia" w:ascii="宋体" w:hAnsi="宋体"/>
          <w:b w:val="0"/>
          <w:bCs/>
          <w:color w:val="auto"/>
          <w:sz w:val="24"/>
          <w:szCs w:val="24"/>
          <w:highlight w:val="none"/>
          <w:lang w:eastAsia="zh-CN"/>
        </w:rPr>
        <w:t>竞争性磋商</w:t>
      </w:r>
      <w:r>
        <w:rPr>
          <w:rFonts w:hint="eastAsia" w:ascii="宋体" w:hAnsi="宋体"/>
          <w:b w:val="0"/>
          <w:bCs/>
          <w:color w:val="auto"/>
          <w:sz w:val="24"/>
          <w:szCs w:val="24"/>
          <w:highlight w:val="none"/>
        </w:rPr>
        <w:t>会议的，应当随身携带本人身份证（原件），法定代表人身份证明书（原件）；</w:t>
      </w:r>
    </w:p>
    <w:p>
      <w:pPr>
        <w:snapToGrid w:val="0"/>
        <w:spacing w:line="40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的授权代理人参加</w:t>
      </w:r>
      <w:r>
        <w:rPr>
          <w:rFonts w:hint="eastAsia" w:ascii="宋体" w:hAnsi="宋体"/>
          <w:b w:val="0"/>
          <w:bCs/>
          <w:color w:val="auto"/>
          <w:sz w:val="24"/>
          <w:szCs w:val="24"/>
          <w:highlight w:val="none"/>
          <w:lang w:eastAsia="zh-CN"/>
        </w:rPr>
        <w:t>竞争性磋商</w:t>
      </w:r>
      <w:r>
        <w:rPr>
          <w:rFonts w:hint="eastAsia" w:ascii="宋体" w:hAnsi="宋体"/>
          <w:b w:val="0"/>
          <w:bCs/>
          <w:color w:val="auto"/>
          <w:sz w:val="24"/>
          <w:szCs w:val="24"/>
          <w:highlight w:val="none"/>
        </w:rPr>
        <w:t>会议的，除随身携带法定代表人身份证明书（原件）外，还应当随身携带法定代表人授权委托书(原件)、投标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为其交纳的社保证明材料以及本人身份证（原件），否则不予参加</w:t>
      </w:r>
      <w:r>
        <w:rPr>
          <w:rFonts w:hint="eastAsia" w:ascii="宋体" w:hAnsi="宋体"/>
          <w:b w:val="0"/>
          <w:bCs/>
          <w:color w:val="auto"/>
          <w:sz w:val="24"/>
          <w:szCs w:val="24"/>
          <w:highlight w:val="none"/>
          <w:lang w:eastAsia="zh-CN"/>
        </w:rPr>
        <w:t>竞争性磋商</w:t>
      </w:r>
      <w:r>
        <w:rPr>
          <w:rFonts w:hint="eastAsia" w:ascii="宋体" w:hAnsi="宋体"/>
          <w:b w:val="0"/>
          <w:bCs/>
          <w:color w:val="auto"/>
          <w:sz w:val="24"/>
          <w:szCs w:val="24"/>
          <w:highlight w:val="none"/>
        </w:rPr>
        <w:t>会，其递交的投标文件将被退还给投标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w:t>
      </w:r>
    </w:p>
    <w:p>
      <w:pPr>
        <w:snapToGrid w:val="0"/>
        <w:spacing w:line="400" w:lineRule="exact"/>
        <w:ind w:firstLine="480" w:firstLineChars="200"/>
        <w:rPr>
          <w:rFonts w:hint="eastAsia" w:ascii="宋体" w:hAnsi="宋体" w:eastAsia="宋体"/>
          <w:b w:val="0"/>
          <w:bCs/>
          <w:color w:val="auto"/>
          <w:sz w:val="24"/>
          <w:szCs w:val="24"/>
          <w:highlight w:val="none"/>
          <w:lang w:eastAsia="zh-CN"/>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964" w:footer="992" w:gutter="0"/>
          <w:pgNumType w:fmt="numberInDash"/>
          <w:cols w:space="720" w:num="1"/>
          <w:docGrid w:linePitch="312" w:charSpace="0"/>
        </w:sectPr>
      </w:pPr>
      <w:r>
        <w:rPr>
          <w:rFonts w:hint="eastAsia" w:ascii="宋体" w:hAnsi="宋体"/>
          <w:b w:val="0"/>
          <w:bCs/>
          <w:color w:val="auto"/>
          <w:sz w:val="24"/>
          <w:szCs w:val="24"/>
          <w:highlight w:val="none"/>
        </w:rPr>
        <w:t>注：《法定代表人身份证明书》及《法定代表人授权委托书》原件须按要求装入投标文件，也要随身携带壹份以供监督人员核实身份</w:t>
      </w:r>
      <w:r>
        <w:rPr>
          <w:rFonts w:hint="eastAsia" w:ascii="宋体" w:hAnsi="宋体"/>
          <w:b w:val="0"/>
          <w:bCs/>
          <w:color w:val="auto"/>
          <w:sz w:val="24"/>
          <w:szCs w:val="24"/>
          <w:highlight w:val="none"/>
          <w:lang w:eastAsia="zh-CN"/>
        </w:rPr>
        <w:t>，社保缴纳期限：</w:t>
      </w:r>
      <w:r>
        <w:rPr>
          <w:rFonts w:hint="eastAsia" w:ascii="宋体" w:hAnsi="宋体"/>
          <w:b w:val="0"/>
          <w:bCs/>
          <w:color w:val="auto"/>
          <w:sz w:val="24"/>
          <w:szCs w:val="24"/>
          <w:highlight w:val="none"/>
          <w:lang w:val="en-US" w:eastAsia="zh-CN"/>
        </w:rPr>
        <w:t>2024年8月-2024年10月。</w:t>
      </w:r>
    </w:p>
    <w:p>
      <w:pPr>
        <w:pStyle w:val="3"/>
        <w:spacing w:before="0" w:after="0" w:line="360" w:lineRule="auto"/>
        <w:jc w:val="center"/>
        <w:rPr>
          <w:rFonts w:hint="eastAsia" w:ascii="方正小标宋_GBK" w:hAnsi="宋体" w:eastAsia="方正小标宋_GBK"/>
          <w:b w:val="0"/>
          <w:color w:val="auto"/>
          <w:sz w:val="30"/>
          <w:szCs w:val="30"/>
          <w:highlight w:val="none"/>
        </w:rPr>
      </w:pPr>
      <w:bookmarkStart w:id="24" w:name="_Toc106030878"/>
      <w:bookmarkStart w:id="25" w:name="_Toc76462324"/>
      <w:r>
        <w:rPr>
          <w:rFonts w:hint="eastAsia" w:ascii="方正小标宋_GBK" w:hAnsi="宋体" w:eastAsia="方正小标宋_GBK"/>
          <w:b w:val="0"/>
          <w:color w:val="auto"/>
          <w:sz w:val="36"/>
          <w:szCs w:val="30"/>
          <w:highlight w:val="none"/>
        </w:rPr>
        <w:t>第二篇  项目服务需求</w:t>
      </w:r>
      <w:bookmarkEnd w:id="24"/>
      <w:bookmarkEnd w:id="25"/>
    </w:p>
    <w:p>
      <w:pPr>
        <w:pStyle w:val="3"/>
        <w:adjustRightInd w:val="0"/>
        <w:snapToGrid w:val="0"/>
        <w:spacing w:before="0" w:after="0" w:line="400" w:lineRule="exact"/>
        <w:rPr>
          <w:rFonts w:hint="eastAsia" w:ascii="方正仿宋_GBK" w:hAnsi="宋体" w:eastAsia="方正仿宋_GBK"/>
          <w:color w:val="auto"/>
          <w:sz w:val="24"/>
          <w:highlight w:val="none"/>
        </w:rPr>
      </w:pPr>
      <w:bookmarkStart w:id="26" w:name="_Toc106030879"/>
      <w:bookmarkStart w:id="27" w:name="_Toc76462325"/>
      <w:bookmarkStart w:id="28" w:name="_Toc12789058"/>
      <w:r>
        <w:rPr>
          <w:rFonts w:hint="eastAsia" w:ascii="方正仿宋_GBK" w:hAnsi="宋体" w:eastAsia="方正仿宋_GBK"/>
          <w:color w:val="auto"/>
          <w:sz w:val="24"/>
          <w:highlight w:val="none"/>
        </w:rPr>
        <w:t>一、项目基本概况介绍</w:t>
      </w:r>
      <w:bookmarkEnd w:id="26"/>
      <w:bookmarkEnd w:id="2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2203"/>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753"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包号及名称</w:t>
            </w:r>
          </w:p>
        </w:tc>
        <w:tc>
          <w:tcPr>
            <w:tcW w:w="2203"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数量/单位</w:t>
            </w:r>
          </w:p>
        </w:tc>
        <w:tc>
          <w:tcPr>
            <w:tcW w:w="2436"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753"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乌江处2024年职工培训</w:t>
            </w:r>
          </w:p>
        </w:tc>
        <w:tc>
          <w:tcPr>
            <w:tcW w:w="2203"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1批</w:t>
            </w:r>
          </w:p>
        </w:tc>
        <w:tc>
          <w:tcPr>
            <w:tcW w:w="2436" w:type="dxa"/>
            <w:tcBorders>
              <w:top w:val="single" w:color="auto" w:sz="4" w:space="0"/>
              <w:left w:val="single" w:color="auto" w:sz="4" w:space="0"/>
              <w:right w:val="single" w:color="auto" w:sz="4" w:space="0"/>
            </w:tcBorders>
            <w:noWrap w:val="0"/>
            <w:vAlign w:val="center"/>
          </w:tcPr>
          <w:p>
            <w:pPr>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p>
        </w:tc>
      </w:tr>
    </w:tbl>
    <w:p>
      <w:pPr>
        <w:pStyle w:val="3"/>
        <w:adjustRightInd w:val="0"/>
        <w:snapToGrid w:val="0"/>
        <w:spacing w:before="0" w:after="0" w:line="400" w:lineRule="exact"/>
        <w:ind w:firstLine="482" w:firstLineChars="200"/>
        <w:rPr>
          <w:rFonts w:hint="eastAsia" w:ascii="方正仿宋_GBK" w:hAnsi="宋体" w:eastAsia="方正仿宋_GBK" w:cs="Times New Roman"/>
          <w:color w:val="auto"/>
          <w:sz w:val="24"/>
          <w:highlight w:val="none"/>
          <w:lang w:val="en-US" w:eastAsia="zh-CN"/>
        </w:rPr>
      </w:pPr>
    </w:p>
    <w:p>
      <w:pPr>
        <w:pStyle w:val="3"/>
        <w:adjustRightInd w:val="0"/>
        <w:snapToGrid w:val="0"/>
        <w:spacing w:before="0" w:after="0" w:line="400" w:lineRule="exact"/>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二、</w:t>
      </w:r>
      <w:bookmarkStart w:id="29" w:name="_Toc106030880"/>
      <w:r>
        <w:rPr>
          <w:rFonts w:hint="eastAsia" w:ascii="方正仿宋_GBK" w:hAnsi="宋体" w:eastAsia="方正仿宋_GBK" w:cs="Times New Roman"/>
          <w:color w:val="auto"/>
          <w:sz w:val="24"/>
          <w:highlight w:val="none"/>
          <w:lang w:val="en-US" w:eastAsia="zh-CN"/>
        </w:rPr>
        <w:t>服务范围、要求及标准</w:t>
      </w:r>
      <w:bookmarkEnd w:id="29"/>
    </w:p>
    <w:p>
      <w:pPr>
        <w:spacing w:line="560" w:lineRule="exact"/>
        <w:ind w:firstLine="560" w:firstLineChars="200"/>
        <w:rPr>
          <w:rFonts w:hint="eastAsia" w:ascii="仿宋_GB2312" w:hAnsi="宋体" w:eastAsia="仿宋_GB2312"/>
          <w:color w:val="auto"/>
          <w:sz w:val="28"/>
          <w:szCs w:val="28"/>
          <w:highlight w:val="none"/>
        </w:rPr>
      </w:pPr>
      <w:bookmarkStart w:id="30" w:name="_Toc106030881"/>
      <w:bookmarkStart w:id="31" w:name="_Toc76462326"/>
      <w:bookmarkStart w:id="32" w:name="_Toc344475116"/>
      <w:bookmarkStart w:id="33" w:name="_Toc313536013"/>
      <w:r>
        <w:rPr>
          <w:rFonts w:hint="eastAsia" w:ascii="仿宋_GB2312" w:hAnsi="宋体" w:eastAsia="仿宋_GB2312"/>
          <w:color w:val="auto"/>
          <w:sz w:val="28"/>
          <w:szCs w:val="28"/>
          <w:highlight w:val="none"/>
          <w:lang w:val="en-US" w:eastAsia="zh-CN"/>
        </w:rPr>
        <w:t>2.1</w:t>
      </w:r>
      <w:r>
        <w:rPr>
          <w:rFonts w:hint="eastAsia" w:ascii="仿宋_GB2312" w:hAnsi="宋体" w:eastAsia="仿宋_GB2312"/>
          <w:color w:val="auto"/>
          <w:sz w:val="28"/>
          <w:szCs w:val="28"/>
          <w:highlight w:val="none"/>
        </w:rPr>
        <w:t>培训班级及人数</w:t>
      </w:r>
    </w:p>
    <w:p>
      <w:pPr>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乌江处</w:t>
      </w:r>
      <w:r>
        <w:rPr>
          <w:rFonts w:hint="eastAsia" w:ascii="仿宋_GB2312" w:hAnsi="宋体" w:eastAsia="仿宋_GB2312"/>
          <w:color w:val="auto"/>
          <w:sz w:val="28"/>
          <w:szCs w:val="28"/>
          <w:highlight w:val="none"/>
          <w:lang w:val="en-US" w:eastAsia="zh-CN"/>
        </w:rPr>
        <w:t>113名在编干部职工</w:t>
      </w:r>
      <w:r>
        <w:rPr>
          <w:rFonts w:hint="eastAsia" w:ascii="仿宋_GB2312" w:hAnsi="宋体" w:eastAsia="仿宋_GB2312"/>
          <w:color w:val="auto"/>
          <w:sz w:val="28"/>
          <w:szCs w:val="28"/>
          <w:highlight w:val="none"/>
        </w:rPr>
        <w:t>。</w:t>
      </w:r>
    </w:p>
    <w:p>
      <w:pPr>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2.2</w:t>
      </w:r>
      <w:r>
        <w:rPr>
          <w:rFonts w:hint="eastAsia" w:ascii="仿宋_GB2312" w:hAnsi="宋体" w:eastAsia="仿宋_GB2312"/>
          <w:color w:val="auto"/>
          <w:sz w:val="28"/>
          <w:szCs w:val="28"/>
          <w:highlight w:val="none"/>
        </w:rPr>
        <w:t>培训目标</w:t>
      </w:r>
    </w:p>
    <w:p>
      <w:pPr>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深入学习党的二十届三中全会精神；</w:t>
      </w:r>
      <w:r>
        <w:rPr>
          <w:rFonts w:hint="eastAsia" w:ascii="仿宋_GB2312" w:hAnsi="宋体" w:eastAsia="仿宋_GB2312"/>
          <w:color w:val="auto"/>
          <w:sz w:val="28"/>
          <w:szCs w:val="28"/>
          <w:highlight w:val="none"/>
        </w:rPr>
        <w:t>提高全处干部职工的安</w:t>
      </w:r>
      <w:r>
        <w:rPr>
          <w:rFonts w:hint="eastAsia" w:ascii="仿宋_GB2312" w:hAnsi="宋体" w:eastAsia="仿宋_GB2312"/>
          <w:color w:val="auto"/>
          <w:sz w:val="28"/>
          <w:szCs w:val="28"/>
          <w:highlight w:val="none"/>
          <w:lang w:eastAsia="zh-CN"/>
        </w:rPr>
        <w:t>全</w:t>
      </w:r>
      <w:r>
        <w:rPr>
          <w:rFonts w:hint="eastAsia" w:ascii="仿宋_GB2312" w:hAnsi="宋体" w:eastAsia="仿宋_GB2312"/>
          <w:color w:val="auto"/>
          <w:sz w:val="28"/>
          <w:szCs w:val="28"/>
          <w:highlight w:val="none"/>
        </w:rPr>
        <w:t>生产意识</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安全基本技能</w:t>
      </w:r>
      <w:r>
        <w:rPr>
          <w:rFonts w:hint="eastAsia" w:ascii="仿宋_GB2312" w:hAnsi="宋体" w:eastAsia="仿宋_GB2312"/>
          <w:color w:val="auto"/>
          <w:sz w:val="28"/>
          <w:szCs w:val="28"/>
          <w:highlight w:val="none"/>
          <w:lang w:eastAsia="zh-CN"/>
        </w:rPr>
        <w:t>及法律意识</w:t>
      </w:r>
      <w:r>
        <w:rPr>
          <w:rFonts w:hint="eastAsia" w:ascii="仿宋_GB2312" w:hAnsi="宋体" w:eastAsia="仿宋_GB2312"/>
          <w:color w:val="auto"/>
          <w:sz w:val="28"/>
          <w:szCs w:val="28"/>
          <w:highlight w:val="none"/>
        </w:rPr>
        <w:t>，促进全处的正规化、标准化建设</w:t>
      </w:r>
      <w:r>
        <w:rPr>
          <w:rFonts w:hint="eastAsia" w:ascii="仿宋_GB2312" w:hAnsi="宋体" w:eastAsia="仿宋_GB2312"/>
          <w:color w:val="auto"/>
          <w:sz w:val="28"/>
          <w:szCs w:val="28"/>
          <w:highlight w:val="none"/>
          <w:lang w:eastAsia="zh-CN"/>
        </w:rPr>
        <w:t>。</w:t>
      </w:r>
    </w:p>
    <w:p>
      <w:pPr>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2.3</w:t>
      </w:r>
      <w:r>
        <w:rPr>
          <w:rFonts w:hint="eastAsia" w:ascii="仿宋_GB2312" w:hAnsi="宋体" w:eastAsia="仿宋_GB2312"/>
          <w:color w:val="auto"/>
          <w:sz w:val="28"/>
          <w:szCs w:val="28"/>
          <w:highlight w:val="none"/>
        </w:rPr>
        <w:t>培训形式</w:t>
      </w:r>
    </w:p>
    <w:p>
      <w:pPr>
        <w:spacing w:line="560" w:lineRule="exact"/>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线下集中培训（每批次3天）。</w:t>
      </w:r>
    </w:p>
    <w:p>
      <w:pPr>
        <w:spacing w:line="560" w:lineRule="exact"/>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2.4培训内容</w:t>
      </w:r>
    </w:p>
    <w:p>
      <w:pPr>
        <w:spacing w:line="560" w:lineRule="exact"/>
        <w:ind w:firstLine="560" w:firstLineChars="200"/>
        <w:rPr>
          <w:rFonts w:hint="eastAsia" w:ascii="仿宋_GB2312" w:hAnsi="宋体" w:eastAsia="仿宋_GB2312" w:cs="Times New Roman"/>
          <w:color w:val="auto"/>
          <w:sz w:val="28"/>
          <w:szCs w:val="28"/>
          <w:highlight w:val="none"/>
          <w:lang w:val="en-US" w:eastAsia="zh-CN"/>
        </w:rPr>
      </w:pPr>
      <w:r>
        <w:rPr>
          <w:rFonts w:hint="default" w:ascii="仿宋_GB2312" w:hAnsi="宋体" w:eastAsia="仿宋_GB2312" w:cs="Times New Roman"/>
          <w:color w:val="auto"/>
          <w:sz w:val="28"/>
          <w:szCs w:val="28"/>
          <w:highlight w:val="none"/>
          <w:lang w:val="en-US" w:eastAsia="zh-CN"/>
        </w:rPr>
        <w:t>二十大、</w:t>
      </w:r>
      <w:r>
        <w:rPr>
          <w:rFonts w:hint="eastAsia" w:ascii="仿宋_GB2312" w:hAnsi="宋体" w:eastAsia="仿宋_GB2312" w:cs="Times New Roman"/>
          <w:color w:val="auto"/>
          <w:sz w:val="28"/>
          <w:szCs w:val="28"/>
          <w:highlight w:val="none"/>
          <w:lang w:val="en-US" w:eastAsia="zh-CN"/>
        </w:rPr>
        <w:t>党的</w:t>
      </w:r>
      <w:r>
        <w:rPr>
          <w:rFonts w:hint="default" w:ascii="仿宋_GB2312" w:hAnsi="宋体" w:eastAsia="仿宋_GB2312" w:cs="Times New Roman"/>
          <w:color w:val="auto"/>
          <w:sz w:val="28"/>
          <w:szCs w:val="28"/>
          <w:highlight w:val="none"/>
          <w:lang w:val="en-US" w:eastAsia="zh-CN"/>
        </w:rPr>
        <w:t>二十届三中全会精神</w:t>
      </w:r>
      <w:r>
        <w:rPr>
          <w:rFonts w:hint="eastAsia" w:ascii="仿宋_GB2312" w:hAnsi="宋体" w:eastAsia="仿宋_GB2312" w:cs="Times New Roman"/>
          <w:color w:val="auto"/>
          <w:sz w:val="28"/>
          <w:szCs w:val="28"/>
          <w:highlight w:val="none"/>
          <w:lang w:val="en-US" w:eastAsia="zh-CN"/>
        </w:rPr>
        <w:t>；船舶管理、消防条例及生产台账；事业单位人事管理规定、事业单位处分条例，民间借贷的危害，八小时以外的管理。</w:t>
      </w:r>
    </w:p>
    <w:p>
      <w:pPr>
        <w:spacing w:line="560" w:lineRule="exact"/>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2.5课程计划</w:t>
      </w:r>
    </w:p>
    <w:p>
      <w:pPr>
        <w:spacing w:line="560" w:lineRule="exact"/>
        <w:ind w:firstLine="560" w:firstLineChars="200"/>
        <w:rPr>
          <w:rFonts w:hint="eastAsia" w:ascii="仿宋_GB2312" w:hAnsi="宋体" w:eastAsia="仿宋_GB2312"/>
          <w:bCs/>
          <w:color w:val="auto"/>
          <w:sz w:val="28"/>
          <w:szCs w:val="28"/>
          <w:highlight w:val="none"/>
        </w:rPr>
      </w:pPr>
      <w:r>
        <w:rPr>
          <w:rFonts w:hint="default" w:ascii="仿宋_GB2312" w:hAnsi="宋体" w:eastAsia="仿宋_GB2312" w:cs="Times New Roman"/>
          <w:color w:val="auto"/>
          <w:sz w:val="28"/>
          <w:szCs w:val="28"/>
          <w:highlight w:val="none"/>
          <w:lang w:val="en-US" w:eastAsia="zh-CN"/>
        </w:rPr>
        <w:t>二十大、</w:t>
      </w:r>
      <w:r>
        <w:rPr>
          <w:rFonts w:hint="eastAsia" w:ascii="仿宋_GB2312" w:hAnsi="宋体" w:eastAsia="仿宋_GB2312" w:cs="Times New Roman"/>
          <w:color w:val="auto"/>
          <w:sz w:val="28"/>
          <w:szCs w:val="28"/>
          <w:highlight w:val="none"/>
          <w:lang w:val="en-US" w:eastAsia="zh-CN"/>
        </w:rPr>
        <w:t>党的</w:t>
      </w:r>
      <w:bookmarkStart w:id="150" w:name="_GoBack"/>
      <w:bookmarkEnd w:id="150"/>
      <w:r>
        <w:rPr>
          <w:rFonts w:hint="default" w:ascii="仿宋_GB2312" w:hAnsi="宋体" w:eastAsia="仿宋_GB2312" w:cs="Times New Roman"/>
          <w:color w:val="auto"/>
          <w:sz w:val="28"/>
          <w:szCs w:val="28"/>
          <w:highlight w:val="none"/>
          <w:lang w:val="en-US" w:eastAsia="zh-CN"/>
        </w:rPr>
        <w:t>二十届三中全会精神</w:t>
      </w:r>
      <w:r>
        <w:rPr>
          <w:rFonts w:hint="eastAsia" w:ascii="仿宋_GB2312" w:hAnsi="宋体" w:eastAsia="仿宋_GB2312" w:cs="Times New Roman"/>
          <w:color w:val="auto"/>
          <w:sz w:val="28"/>
          <w:szCs w:val="28"/>
          <w:highlight w:val="none"/>
          <w:lang w:val="en-US" w:eastAsia="zh-CN"/>
        </w:rPr>
        <w:t>两个课时；船舶管理两个课时；消防条例及生产台账两个课时；事业单位处分条例及八小时以外的管理两个课时；民间借贷的危害一个课时。</w:t>
      </w:r>
      <w:r>
        <w:rPr>
          <w:rFonts w:hint="eastAsia"/>
          <w:color w:val="auto"/>
          <w:sz w:val="30"/>
          <w:szCs w:val="30"/>
          <w:highlight w:val="none"/>
        </w:rPr>
        <w:t xml:space="preserve"> </w:t>
      </w:r>
    </w:p>
    <w:p>
      <w:pPr>
        <w:spacing w:line="560" w:lineRule="exact"/>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2</w:t>
      </w:r>
      <w:r>
        <w:rPr>
          <w:rFonts w:hint="eastAsia"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lang w:val="en-US" w:eastAsia="zh-CN"/>
        </w:rPr>
        <w:t>6</w:t>
      </w:r>
      <w:r>
        <w:rPr>
          <w:rFonts w:hint="eastAsia" w:ascii="仿宋_GB2312" w:hAnsi="宋体" w:eastAsia="仿宋_GB2312"/>
          <w:bCs/>
          <w:color w:val="auto"/>
          <w:sz w:val="28"/>
          <w:szCs w:val="28"/>
          <w:highlight w:val="none"/>
        </w:rPr>
        <w:t>场地要求</w:t>
      </w:r>
    </w:p>
    <w:p>
      <w:pPr>
        <w:spacing w:line="560" w:lineRule="exact"/>
        <w:ind w:firstLine="560" w:firstLineChars="200"/>
        <w:rPr>
          <w:rFonts w:hint="eastAsia" w:ascii="仿宋_GB2312" w:hAnsi="宋体" w:eastAsia="仿宋_GB2312"/>
          <w:bCs/>
          <w:color w:val="auto"/>
          <w:sz w:val="28"/>
          <w:szCs w:val="28"/>
          <w:highlight w:val="none"/>
          <w:lang w:eastAsia="zh-CN"/>
        </w:rPr>
      </w:pPr>
      <w:r>
        <w:rPr>
          <w:rFonts w:hint="eastAsia" w:ascii="仿宋_GB2312" w:hAnsi="宋体" w:eastAsia="仿宋_GB2312"/>
          <w:bCs/>
          <w:color w:val="auto"/>
          <w:sz w:val="28"/>
          <w:szCs w:val="28"/>
          <w:highlight w:val="none"/>
        </w:rPr>
        <w:t>培训场所地点交通方便，可停车；培训场所安静，适合学习；培训设施设备齐全、完好；有专职的音响师配合服务；培训场所有茶水、饮品供应；有专职的服务人员配合服务；有自有食宿地或食宿地在培训场地附近，步行3分钟以内，提供免费早餐；政府指定或专门承接机关单位培训服务的优先考虑</w:t>
      </w:r>
      <w:r>
        <w:rPr>
          <w:rFonts w:hint="eastAsia" w:ascii="仿宋_GB2312" w:hAnsi="宋体" w:eastAsia="仿宋_GB2312"/>
          <w:bCs/>
          <w:color w:val="auto"/>
          <w:sz w:val="28"/>
          <w:szCs w:val="28"/>
          <w:highlight w:val="none"/>
          <w:lang w:eastAsia="zh-CN"/>
        </w:rPr>
        <w:t>。</w:t>
      </w:r>
    </w:p>
    <w:p>
      <w:pPr>
        <w:spacing w:line="560" w:lineRule="exact"/>
        <w:ind w:firstLine="560" w:firstLineChars="200"/>
        <w:rPr>
          <w:rFonts w:hint="eastAsia" w:ascii="仿宋_GB2312" w:hAnsi="宋体" w:eastAsia="仿宋_GB2312"/>
          <w:bCs/>
          <w:color w:val="auto"/>
          <w:sz w:val="28"/>
          <w:szCs w:val="28"/>
          <w:highlight w:val="none"/>
          <w:lang w:eastAsia="zh-CN"/>
        </w:rPr>
      </w:pPr>
      <w:r>
        <w:rPr>
          <w:rFonts w:hint="eastAsia" w:ascii="仿宋_GB2312" w:hAnsi="宋体" w:eastAsia="仿宋_GB2312"/>
          <w:bCs/>
          <w:color w:val="auto"/>
          <w:sz w:val="28"/>
          <w:szCs w:val="28"/>
          <w:highlight w:val="none"/>
          <w:lang w:val="en-US" w:eastAsia="zh-CN"/>
        </w:rPr>
        <w:t>2.7</w:t>
      </w:r>
      <w:r>
        <w:rPr>
          <w:rFonts w:hint="eastAsia" w:ascii="仿宋_GB2312" w:hAnsi="宋体" w:eastAsia="仿宋_GB2312"/>
          <w:bCs/>
          <w:color w:val="auto"/>
          <w:sz w:val="28"/>
          <w:szCs w:val="28"/>
          <w:highlight w:val="none"/>
          <w:lang w:eastAsia="zh-CN"/>
        </w:rPr>
        <w:t>食宿要求</w:t>
      </w:r>
    </w:p>
    <w:p>
      <w:pPr>
        <w:spacing w:line="560" w:lineRule="exact"/>
        <w:ind w:firstLine="560" w:firstLineChars="200"/>
        <w:rPr>
          <w:rFonts w:hint="eastAsia" w:ascii="仿宋_GB2312" w:hAnsi="宋体" w:eastAsia="仿宋_GB2312"/>
          <w:bCs/>
          <w:color w:val="auto"/>
          <w:sz w:val="28"/>
          <w:szCs w:val="28"/>
          <w:highlight w:val="none"/>
          <w:lang w:eastAsia="zh-CN"/>
        </w:rPr>
      </w:pPr>
      <w:r>
        <w:rPr>
          <w:rFonts w:hint="eastAsia" w:ascii="仿宋_GB2312" w:hAnsi="宋体" w:eastAsia="仿宋_GB2312"/>
          <w:bCs/>
          <w:color w:val="auto"/>
          <w:sz w:val="28"/>
          <w:szCs w:val="28"/>
          <w:highlight w:val="none"/>
          <w:lang w:eastAsia="zh-CN"/>
        </w:rPr>
        <w:t>培训人员统一食宿，实行全封闭管理；住宿条件为标准间，两人一间；用餐方式为自助，标准为5晕5素。</w:t>
      </w:r>
    </w:p>
    <w:p>
      <w:pPr>
        <w:spacing w:line="560" w:lineRule="exact"/>
        <w:ind w:firstLine="560" w:firstLineChars="200"/>
        <w:rPr>
          <w:rFonts w:hint="eastAsia" w:ascii="仿宋_GB2312" w:hAnsi="宋体" w:eastAsia="仿宋_GB2312"/>
          <w:bCs/>
          <w:color w:val="auto"/>
          <w:sz w:val="28"/>
          <w:szCs w:val="28"/>
          <w:highlight w:val="none"/>
          <w:lang w:eastAsia="zh-CN"/>
        </w:rPr>
      </w:pPr>
      <w:r>
        <w:rPr>
          <w:rFonts w:hint="eastAsia" w:ascii="仿宋_GB2312" w:hAnsi="宋体" w:eastAsia="仿宋_GB2312"/>
          <w:bCs/>
          <w:color w:val="auto"/>
          <w:sz w:val="28"/>
          <w:szCs w:val="28"/>
          <w:highlight w:val="none"/>
          <w:lang w:val="en-US" w:eastAsia="zh-CN"/>
        </w:rPr>
        <w:t>2.8</w:t>
      </w:r>
      <w:r>
        <w:rPr>
          <w:rFonts w:hint="eastAsia" w:ascii="仿宋_GB2312" w:hAnsi="宋体" w:eastAsia="仿宋_GB2312"/>
          <w:bCs/>
          <w:color w:val="auto"/>
          <w:sz w:val="28"/>
          <w:szCs w:val="28"/>
          <w:highlight w:val="none"/>
          <w:lang w:eastAsia="zh-CN"/>
        </w:rPr>
        <w:t>安全要求</w:t>
      </w:r>
    </w:p>
    <w:p>
      <w:pPr>
        <w:spacing w:line="560" w:lineRule="exact"/>
        <w:ind w:firstLine="560" w:firstLineChars="200"/>
        <w:rPr>
          <w:rFonts w:hint="eastAsia" w:ascii="仿宋_GB2312" w:hAnsi="宋体" w:eastAsia="仿宋_GB2312"/>
          <w:bCs/>
          <w:color w:val="auto"/>
          <w:sz w:val="28"/>
          <w:szCs w:val="28"/>
          <w:highlight w:val="none"/>
          <w:lang w:eastAsia="zh-CN"/>
        </w:rPr>
      </w:pPr>
      <w:r>
        <w:rPr>
          <w:rFonts w:hint="eastAsia" w:ascii="仿宋_GB2312" w:hAnsi="宋体" w:eastAsia="仿宋_GB2312"/>
          <w:bCs/>
          <w:color w:val="auto"/>
          <w:sz w:val="28"/>
          <w:szCs w:val="28"/>
          <w:highlight w:val="none"/>
          <w:lang w:eastAsia="zh-CN"/>
        </w:rPr>
        <w:t>培训期间加强培训人员的管理，防止发生安全事故；为所有参加培训人员购买人身意外伤害保险。</w:t>
      </w:r>
    </w:p>
    <w:p>
      <w:pPr>
        <w:spacing w:line="560" w:lineRule="exact"/>
        <w:ind w:firstLine="560" w:firstLineChars="200"/>
        <w:rPr>
          <w:rFonts w:hint="default"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2.9其它要求</w:t>
      </w:r>
    </w:p>
    <w:p>
      <w:pPr>
        <w:spacing w:line="560" w:lineRule="exact"/>
        <w:ind w:firstLine="560" w:firstLineChars="200"/>
        <w:rPr>
          <w:rFonts w:hint="eastAsia" w:ascii="仿宋_GB2312" w:hAnsi="宋体" w:eastAsia="仿宋_GB2312"/>
          <w:bCs/>
          <w:color w:val="auto"/>
          <w:sz w:val="28"/>
          <w:szCs w:val="28"/>
          <w:highlight w:val="none"/>
          <w:lang w:eastAsia="zh-CN"/>
        </w:rPr>
      </w:pPr>
      <w:r>
        <w:rPr>
          <w:rFonts w:hint="eastAsia" w:ascii="仿宋_GB2312" w:hAnsi="宋体" w:eastAsia="仿宋_GB2312"/>
          <w:bCs/>
          <w:color w:val="auto"/>
          <w:sz w:val="28"/>
          <w:szCs w:val="28"/>
          <w:highlight w:val="none"/>
          <w:lang w:val="en-US" w:eastAsia="zh-CN"/>
        </w:rPr>
        <w:t>2.9.1</w:t>
      </w:r>
      <w:r>
        <w:rPr>
          <w:rFonts w:hint="eastAsia" w:ascii="仿宋_GB2312" w:hAnsi="宋体" w:eastAsia="仿宋_GB2312"/>
          <w:bCs/>
          <w:color w:val="auto"/>
          <w:sz w:val="28"/>
          <w:szCs w:val="28"/>
          <w:highlight w:val="none"/>
          <w:lang w:eastAsia="zh-CN"/>
        </w:rPr>
        <w:t>中标培训机构在培训前要制定培训计划、工作方案，做好专家联系接待、场地安排、培训管理、结业证书制作发放等工作，训后完成项目总结及资料整理等工作。</w:t>
      </w:r>
    </w:p>
    <w:p>
      <w:p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2.9.2</w:t>
      </w:r>
      <w:r>
        <w:rPr>
          <w:rFonts w:hint="eastAsia" w:ascii="仿宋_GB2312" w:hAnsi="宋体" w:eastAsia="仿宋_GB2312"/>
          <w:bCs/>
          <w:color w:val="auto"/>
          <w:sz w:val="28"/>
          <w:szCs w:val="28"/>
          <w:highlight w:val="none"/>
          <w:lang w:eastAsia="zh-CN"/>
        </w:rPr>
        <w:t>培训期间做好医疗、卫生、安全等预案，保障培训顺利实施。</w:t>
      </w:r>
    </w:p>
    <w:bookmarkEnd w:id="30"/>
    <w:bookmarkEnd w:id="31"/>
    <w:bookmarkEnd w:id="32"/>
    <w:bookmarkEnd w:id="33"/>
    <w:p>
      <w:pPr>
        <w:rPr>
          <w:rFonts w:hint="eastAsia" w:ascii="方正小标宋_GBK" w:hAnsi="宋体" w:eastAsia="方正小标宋_GBK"/>
          <w:b w:val="0"/>
          <w:color w:val="auto"/>
          <w:sz w:val="36"/>
          <w:szCs w:val="30"/>
          <w:highlight w:val="none"/>
        </w:rPr>
      </w:pPr>
      <w:bookmarkStart w:id="34" w:name="_Toc76462327"/>
      <w:bookmarkStart w:id="35" w:name="_Toc106030882"/>
      <w:r>
        <w:rPr>
          <w:rFonts w:hint="eastAsia" w:ascii="方正小标宋_GBK" w:hAnsi="宋体" w:eastAsia="方正小标宋_GBK"/>
          <w:b w:val="0"/>
          <w:color w:val="auto"/>
          <w:sz w:val="36"/>
          <w:szCs w:val="30"/>
          <w:highlight w:val="none"/>
        </w:rPr>
        <w:br w:type="page"/>
      </w:r>
    </w:p>
    <w:p>
      <w:pPr>
        <w:pStyle w:val="3"/>
        <w:spacing w:before="0" w:after="0" w:line="360" w:lineRule="auto"/>
        <w:jc w:val="center"/>
        <w:rPr>
          <w:rFonts w:hint="eastAsia" w:ascii="方正小标宋_GBK" w:hAnsi="宋体" w:eastAsia="方正小标宋_GBK"/>
          <w:b w:val="0"/>
          <w:color w:val="auto"/>
          <w:sz w:val="36"/>
          <w:szCs w:val="30"/>
          <w:highlight w:val="none"/>
        </w:rPr>
      </w:pPr>
      <w:r>
        <w:rPr>
          <w:rFonts w:hint="eastAsia" w:ascii="方正小标宋_GBK" w:hAnsi="宋体" w:eastAsia="方正小标宋_GBK"/>
          <w:b w:val="0"/>
          <w:color w:val="auto"/>
          <w:sz w:val="36"/>
          <w:szCs w:val="30"/>
          <w:highlight w:val="none"/>
        </w:rPr>
        <w:t xml:space="preserve">第三篇  </w:t>
      </w:r>
      <w:bookmarkEnd w:id="28"/>
      <w:r>
        <w:rPr>
          <w:rFonts w:hint="eastAsia" w:ascii="方正小标宋_GBK" w:hAnsi="宋体" w:eastAsia="方正小标宋_GBK"/>
          <w:b w:val="0"/>
          <w:color w:val="auto"/>
          <w:sz w:val="36"/>
          <w:szCs w:val="30"/>
          <w:highlight w:val="none"/>
        </w:rPr>
        <w:t>项目商务需求</w:t>
      </w:r>
      <w:bookmarkEnd w:id="34"/>
      <w:bookmarkEnd w:id="35"/>
    </w:p>
    <w:p>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36" w:name="_Toc106030883"/>
      <w:bookmarkStart w:id="37" w:name="_Toc344475120"/>
      <w:bookmarkStart w:id="38" w:name="_Toc76462328"/>
      <w:r>
        <w:rPr>
          <w:rFonts w:hint="eastAsia" w:ascii="方正仿宋_GBK" w:hAnsi="宋体" w:eastAsia="方正仿宋_GBK"/>
          <w:color w:val="auto"/>
          <w:sz w:val="24"/>
          <w:highlight w:val="none"/>
        </w:rPr>
        <w:t>一、</w:t>
      </w:r>
      <w:bookmarkEnd w:id="36"/>
      <w:bookmarkEnd w:id="37"/>
      <w:bookmarkEnd w:id="38"/>
      <w:r>
        <w:rPr>
          <w:rFonts w:hint="eastAsia" w:ascii="方正仿宋_GBK" w:hAnsi="宋体" w:eastAsia="方正仿宋_GBK"/>
          <w:color w:val="auto"/>
          <w:sz w:val="24"/>
          <w:highlight w:val="none"/>
        </w:rPr>
        <w:t>服务期、地点</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highlight w:val="none"/>
        </w:rPr>
        <w:t>服务期</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2024年12月10日前完成</w:t>
      </w:r>
      <w:r>
        <w:rPr>
          <w:rFonts w:hint="eastAsia" w:ascii="方正仿宋_GBK" w:hAnsi="宋体" w:eastAsia="方正仿宋_GBK"/>
          <w:color w:val="auto"/>
          <w:sz w:val="24"/>
          <w:szCs w:val="24"/>
          <w:highlight w:val="none"/>
        </w:rPr>
        <w:t>。</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（二）服务地点：</w:t>
      </w:r>
      <w:r>
        <w:rPr>
          <w:rFonts w:hint="eastAsia" w:ascii="方正仿宋_GBK" w:hAnsi="宋体" w:eastAsia="方正仿宋_GBK"/>
          <w:color w:val="auto"/>
          <w:sz w:val="24"/>
          <w:szCs w:val="24"/>
          <w:highlight w:val="none"/>
          <w:lang w:eastAsia="zh-CN"/>
        </w:rPr>
        <w:t>涪陵区内</w:t>
      </w:r>
      <w:r>
        <w:rPr>
          <w:rFonts w:hint="eastAsia" w:ascii="方正仿宋_GBK" w:hAnsi="宋体" w:eastAsia="方正仿宋_GBK"/>
          <w:color w:val="auto"/>
          <w:sz w:val="24"/>
          <w:szCs w:val="24"/>
          <w:highlight w:val="none"/>
          <w:lang w:val="en-US" w:eastAsia="zh-CN"/>
        </w:rPr>
        <w:t>。</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39" w:name="_Toc344475121"/>
      <w:bookmarkStart w:id="40" w:name="_Toc106030884"/>
      <w:bookmarkStart w:id="41" w:name="_Toc76462329"/>
      <w:r>
        <w:rPr>
          <w:rFonts w:hint="eastAsia" w:ascii="方正仿宋_GBK" w:hAnsi="宋体" w:eastAsia="方正仿宋_GBK"/>
          <w:color w:val="auto"/>
          <w:sz w:val="24"/>
          <w:highlight w:val="none"/>
        </w:rPr>
        <w:t>二、</w:t>
      </w:r>
      <w:bookmarkEnd w:id="39"/>
      <w:r>
        <w:rPr>
          <w:rFonts w:hint="eastAsia" w:ascii="方正仿宋_GBK" w:hAnsi="宋体" w:eastAsia="方正仿宋_GBK"/>
          <w:color w:val="auto"/>
          <w:sz w:val="24"/>
          <w:highlight w:val="none"/>
        </w:rPr>
        <w:t>报价要求</w:t>
      </w:r>
      <w:bookmarkEnd w:id="40"/>
      <w:bookmarkEnd w:id="41"/>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报价包括完成本项目所需的专家授课费、专家食宿交通费、网络研修学习费、实践研修费、学员考核费、培训场地费、工作人员费及其他培训所有费用。因成交供应商自身原因造成漏报、少报皆由其自行承担责任，采购人不再补偿。</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42" w:name="_Toc76462330"/>
      <w:bookmarkStart w:id="43" w:name="_Toc106030885"/>
      <w:bookmarkStart w:id="44" w:name="_Toc344475122"/>
      <w:r>
        <w:rPr>
          <w:rFonts w:hint="eastAsia" w:ascii="方正仿宋_GBK" w:hAnsi="宋体" w:eastAsia="方正仿宋_GBK"/>
          <w:color w:val="auto"/>
          <w:sz w:val="24"/>
          <w:highlight w:val="none"/>
        </w:rPr>
        <w:t>三、付款方式</w:t>
      </w:r>
      <w:bookmarkEnd w:id="42"/>
      <w:bookmarkEnd w:id="43"/>
      <w:bookmarkEnd w:id="44"/>
    </w:p>
    <w:p>
      <w:pPr>
        <w:pStyle w:val="3"/>
        <w:adjustRightInd w:val="0"/>
        <w:snapToGrid w:val="0"/>
        <w:spacing w:before="0" w:after="0" w:line="400" w:lineRule="exact"/>
        <w:ind w:firstLine="480" w:firstLineChars="200"/>
        <w:rPr>
          <w:rFonts w:hint="eastAsia"/>
          <w:color w:val="auto"/>
          <w:highlight w:val="none"/>
          <w:lang w:eastAsia="zh-CN"/>
        </w:rPr>
      </w:pPr>
      <w:bookmarkStart w:id="45" w:name="_Toc65660346"/>
      <w:bookmarkStart w:id="46" w:name="_Toc24751"/>
      <w:bookmarkStart w:id="47" w:name="_Toc7228"/>
      <w:bookmarkStart w:id="48" w:name="_Toc106034637"/>
      <w:r>
        <w:rPr>
          <w:rFonts w:hint="eastAsia" w:ascii="方正仿宋_GBK" w:hAnsi="宋体" w:eastAsia="方正仿宋_GBK"/>
          <w:b w:val="0"/>
          <w:bCs/>
          <w:color w:val="auto"/>
          <w:sz w:val="24"/>
          <w:highlight w:val="none"/>
          <w:lang w:eastAsia="zh-CN"/>
        </w:rPr>
        <w:t>培训项目结束</w:t>
      </w:r>
      <w:r>
        <w:rPr>
          <w:rFonts w:hint="eastAsia" w:ascii="方正仿宋_GBK" w:hAnsi="宋体" w:eastAsia="方正仿宋_GBK"/>
          <w:b w:val="0"/>
          <w:bCs/>
          <w:color w:val="auto"/>
          <w:sz w:val="24"/>
          <w:highlight w:val="none"/>
          <w:lang w:val="en-US" w:eastAsia="zh-CN"/>
        </w:rPr>
        <w:t>并</w:t>
      </w:r>
      <w:r>
        <w:rPr>
          <w:rFonts w:hint="eastAsia" w:ascii="方正仿宋_GBK" w:hAnsi="宋体" w:eastAsia="方正仿宋_GBK"/>
          <w:b w:val="0"/>
          <w:bCs/>
          <w:color w:val="auto"/>
          <w:sz w:val="24"/>
          <w:highlight w:val="none"/>
          <w:lang w:eastAsia="zh-CN"/>
        </w:rPr>
        <w:t>验收合格后，乙方提供正式发票，甲方于10个工作日内一次付清所有费用。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四</w:t>
      </w:r>
      <w:r>
        <w:rPr>
          <w:rFonts w:hint="eastAsia" w:ascii="方正仿宋_GBK" w:hAnsi="宋体" w:eastAsia="方正仿宋_GBK"/>
          <w:color w:val="auto"/>
          <w:sz w:val="24"/>
          <w:highlight w:val="none"/>
        </w:rPr>
        <w:t>、知识产权</w:t>
      </w:r>
      <w:bookmarkEnd w:id="45"/>
      <w:bookmarkEnd w:id="46"/>
      <w:bookmarkEnd w:id="47"/>
      <w:bookmarkEnd w:id="48"/>
    </w:p>
    <w:p>
      <w:pPr>
        <w:snapToGrid w:val="0"/>
        <w:spacing w:line="400" w:lineRule="exact"/>
        <w:ind w:firstLine="54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本项目知识产权归采购人所有。</w:t>
      </w:r>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rPr>
          <w:rFonts w:hint="eastAsia" w:ascii="方正仿宋_GBK" w:hAnsi="宋体" w:eastAsia="方正仿宋_GBK" w:cs="Times New Roman"/>
          <w:b/>
          <w:bCs w:val="0"/>
          <w:color w:val="auto"/>
          <w:sz w:val="24"/>
          <w:highlight w:val="none"/>
          <w:lang w:val="en-US" w:eastAsia="zh-CN"/>
        </w:rPr>
      </w:pPr>
      <w:bookmarkStart w:id="49" w:name="_Toc18104"/>
      <w:bookmarkStart w:id="50" w:name="_Toc25707"/>
      <w:bookmarkStart w:id="51" w:name="_Toc19427"/>
      <w:bookmarkStart w:id="52" w:name="_Toc947"/>
      <w:bookmarkStart w:id="53" w:name="_Toc108013105"/>
      <w:bookmarkStart w:id="54" w:name="_Toc31910"/>
      <w:bookmarkStart w:id="55" w:name="_Toc2954"/>
      <w:bookmarkStart w:id="56" w:name="_Toc466546918"/>
      <w:bookmarkStart w:id="57" w:name="_Toc65660348"/>
      <w:bookmarkStart w:id="58" w:name="_Toc21248"/>
      <w:bookmarkStart w:id="59" w:name="_Toc106034788"/>
      <w:bookmarkStart w:id="60" w:name="_Toc23902"/>
      <w:bookmarkStart w:id="61" w:name="_Toc31659"/>
      <w:r>
        <w:rPr>
          <w:rFonts w:hint="eastAsia" w:ascii="方正仿宋_GBK" w:hAnsi="宋体" w:eastAsia="方正仿宋_GBK" w:cs="Times New Roman"/>
          <w:b/>
          <w:bCs w:val="0"/>
          <w:color w:val="auto"/>
          <w:sz w:val="24"/>
          <w:highlight w:val="none"/>
          <w:lang w:val="en-US" w:eastAsia="zh-CN"/>
        </w:rPr>
        <w:t>五、履约担保</w:t>
      </w:r>
    </w:p>
    <w:p>
      <w:pPr>
        <w:pStyle w:val="3"/>
        <w:adjustRightInd w:val="0"/>
        <w:snapToGrid w:val="0"/>
        <w:spacing w:before="0" w:after="0" w:line="400" w:lineRule="exact"/>
        <w:ind w:firstLine="480" w:firstLineChars="200"/>
        <w:rPr>
          <w:rFonts w:hint="eastAsia" w:ascii="方正仿宋_GBK" w:hAnsi="宋体" w:eastAsia="方正仿宋_GBK" w:cs="Times New Roman"/>
          <w:b w:val="0"/>
          <w:bCs/>
          <w:color w:val="auto"/>
          <w:sz w:val="24"/>
          <w:highlight w:val="none"/>
          <w:lang w:val="en-US" w:eastAsia="zh-CN"/>
        </w:rPr>
      </w:pPr>
      <w:r>
        <w:rPr>
          <w:rFonts w:hint="eastAsia" w:ascii="方正仿宋_GBK" w:hAnsi="宋体" w:eastAsia="方正仿宋_GBK" w:cs="Times New Roman"/>
          <w:b w:val="0"/>
          <w:bCs/>
          <w:color w:val="auto"/>
          <w:sz w:val="24"/>
          <w:highlight w:val="none"/>
          <w:lang w:val="en-US" w:eastAsia="zh-CN"/>
        </w:rPr>
        <w:t>履约担保形式：转账或者保函。</w:t>
      </w:r>
    </w:p>
    <w:p>
      <w:pPr>
        <w:pStyle w:val="3"/>
        <w:adjustRightInd w:val="0"/>
        <w:snapToGrid w:val="0"/>
        <w:spacing w:before="0" w:after="0" w:line="400" w:lineRule="exact"/>
        <w:ind w:firstLine="480" w:firstLineChars="200"/>
        <w:rPr>
          <w:rFonts w:hint="eastAsia" w:ascii="方正仿宋_GBK" w:hAnsi="宋体" w:eastAsia="方正仿宋_GBK" w:cs="Times New Roman"/>
          <w:b w:val="0"/>
          <w:bCs/>
          <w:color w:val="auto"/>
          <w:sz w:val="24"/>
          <w:highlight w:val="none"/>
          <w:lang w:val="en-US" w:eastAsia="zh-CN"/>
        </w:rPr>
      </w:pPr>
      <w:r>
        <w:rPr>
          <w:rFonts w:hint="eastAsia" w:ascii="方正仿宋_GBK" w:hAnsi="宋体" w:eastAsia="方正仿宋_GBK" w:cs="Times New Roman"/>
          <w:b w:val="0"/>
          <w:bCs/>
          <w:color w:val="auto"/>
          <w:sz w:val="24"/>
          <w:highlight w:val="none"/>
          <w:lang w:val="en-US" w:eastAsia="zh-CN"/>
        </w:rPr>
        <w:t>金额：合同金额的10%。</w:t>
      </w:r>
    </w:p>
    <w:p>
      <w:pPr>
        <w:pStyle w:val="3"/>
        <w:adjustRightInd w:val="0"/>
        <w:snapToGrid w:val="0"/>
        <w:spacing w:before="0" w:after="0" w:line="400" w:lineRule="exact"/>
        <w:ind w:firstLine="480" w:firstLineChars="200"/>
        <w:rPr>
          <w:rFonts w:hint="eastAsia" w:ascii="方正仿宋_GBK" w:hAnsi="宋体" w:eastAsia="方正仿宋_GBK" w:cs="Times New Roman"/>
          <w:b w:val="0"/>
          <w:bCs/>
          <w:color w:val="auto"/>
          <w:sz w:val="24"/>
          <w:highlight w:val="none"/>
          <w:lang w:eastAsia="zh-CN"/>
        </w:rPr>
      </w:pPr>
      <w:r>
        <w:rPr>
          <w:rFonts w:hint="eastAsia" w:ascii="方正仿宋_GBK" w:hAnsi="宋体" w:eastAsia="方正仿宋_GBK" w:cs="Times New Roman"/>
          <w:b w:val="0"/>
          <w:bCs/>
          <w:color w:val="auto"/>
          <w:sz w:val="24"/>
          <w:highlight w:val="none"/>
          <w:lang w:val="en-US" w:eastAsia="zh-CN"/>
        </w:rPr>
        <w:t>提交方式：成交供应商应在收到中标通知书后10个工作日内，按成交金额的10%向采购人提交履约保证金或者提交履约保函。</w:t>
      </w:r>
    </w:p>
    <w:p>
      <w:pPr>
        <w:pStyle w:val="3"/>
        <w:adjustRightInd w:val="0"/>
        <w:snapToGrid w:val="0"/>
        <w:spacing w:before="0" w:after="0" w:line="400" w:lineRule="exact"/>
        <w:ind w:firstLine="480" w:firstLineChars="200"/>
        <w:rPr>
          <w:rFonts w:hint="eastAsia" w:ascii="方正仿宋_GBK" w:hAnsi="宋体" w:eastAsia="方正仿宋_GBK" w:cs="Times New Roman"/>
          <w:b w:val="0"/>
          <w:bCs/>
          <w:color w:val="auto"/>
          <w:sz w:val="24"/>
          <w:highlight w:val="none"/>
          <w:lang w:eastAsia="zh-CN"/>
        </w:rPr>
      </w:pPr>
      <w:r>
        <w:rPr>
          <w:rFonts w:hint="eastAsia" w:ascii="方正仿宋_GBK" w:hAnsi="宋体" w:eastAsia="方正仿宋_GBK" w:cs="Times New Roman"/>
          <w:b w:val="0"/>
          <w:bCs/>
          <w:color w:val="auto"/>
          <w:sz w:val="24"/>
          <w:highlight w:val="none"/>
          <w:lang w:val="en-US" w:eastAsia="zh-CN"/>
        </w:rPr>
        <w:t>退还方式：项目验收合格后10个工作日内一次性无息退还。</w:t>
      </w:r>
    </w:p>
    <w:p>
      <w:pPr>
        <w:pStyle w:val="3"/>
        <w:adjustRightInd w:val="0"/>
        <w:snapToGrid w:val="0"/>
        <w:spacing w:before="0" w:after="0" w:line="400" w:lineRule="exact"/>
        <w:ind w:firstLine="482" w:firstLineChars="200"/>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六</w:t>
      </w:r>
      <w:r>
        <w:rPr>
          <w:rFonts w:hint="eastAsia" w:ascii="方正仿宋_GBK" w:hAnsi="方正仿宋_GBK" w:eastAsia="方正仿宋_GBK" w:cs="方正仿宋_GBK"/>
          <w:color w:val="auto"/>
          <w:sz w:val="24"/>
          <w:highlight w:val="none"/>
        </w:rPr>
        <w:t>、项目风险管控</w:t>
      </w:r>
      <w:bookmarkEnd w:id="49"/>
      <w:bookmarkEnd w:id="50"/>
      <w:bookmarkEnd w:id="51"/>
      <w:bookmarkEnd w:id="52"/>
      <w:bookmarkEnd w:id="53"/>
      <w:bookmarkEnd w:id="54"/>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62"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55"/>
      <w:bookmarkEnd w:id="56"/>
      <w:bookmarkEnd w:id="62"/>
    </w:p>
    <w:p>
      <w:pPr>
        <w:pStyle w:val="3"/>
        <w:adjustRightInd w:val="0"/>
        <w:snapToGrid w:val="0"/>
        <w:spacing w:before="0" w:after="0" w:line="400" w:lineRule="exact"/>
        <w:ind w:firstLine="482" w:firstLineChars="200"/>
        <w:rPr>
          <w:rFonts w:hint="eastAsia" w:ascii="方正仿宋_GBK" w:hAnsi="方正仿宋_GBK" w:eastAsia="方正仿宋_GBK" w:cs="方正仿宋_GBK"/>
          <w:color w:val="auto"/>
          <w:sz w:val="24"/>
          <w:highlight w:val="none"/>
          <w:lang w:eastAsia="zh-CN"/>
        </w:rPr>
      </w:pPr>
      <w:r>
        <w:rPr>
          <w:rFonts w:hint="eastAsia" w:ascii="方正仿宋_GBK" w:hAnsi="宋体" w:eastAsia="方正仿宋_GBK"/>
          <w:color w:val="auto"/>
          <w:sz w:val="24"/>
          <w:highlight w:val="none"/>
          <w:lang w:eastAsia="zh-CN"/>
        </w:rPr>
        <w:t>七、</w:t>
      </w:r>
      <w:r>
        <w:rPr>
          <w:rFonts w:hint="eastAsia" w:ascii="方正仿宋_GBK" w:hAnsi="方正仿宋_GBK" w:eastAsia="方正仿宋_GBK" w:cs="方正仿宋_GBK"/>
          <w:color w:val="auto"/>
          <w:sz w:val="24"/>
          <w:highlight w:val="none"/>
        </w:rPr>
        <w:t>违约责任</w:t>
      </w:r>
    </w:p>
    <w:p>
      <w:pPr>
        <w:pStyle w:val="3"/>
        <w:adjustRightInd w:val="0"/>
        <w:snapToGrid w:val="0"/>
        <w:spacing w:before="0" w:after="0" w:line="40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w:t>
      </w:r>
      <w:r>
        <w:rPr>
          <w:rFonts w:hint="eastAsia" w:ascii="宋体" w:hAnsi="宋体" w:eastAsia="宋体" w:cs="宋体"/>
          <w:b w:val="0"/>
          <w:bCs/>
          <w:color w:val="auto"/>
          <w:sz w:val="24"/>
          <w:highlight w:val="none"/>
          <w:lang w:val="en-US" w:eastAsia="zh-CN"/>
        </w:rPr>
        <w:t>由于成交供应商原因导致项目超出约定服务期的，每迟交一天,按1000元/日扣除成交供应商违约金，累计违约金上限为签约合同价的10%，逾期满【30】日的，采购人有权解除合同，成交供应商应赔偿给采购人造成的损失，并自行承担相关费用。</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eastAsia="zh-CN"/>
        </w:rPr>
      </w:pPr>
      <w:r>
        <w:rPr>
          <w:rFonts w:hint="eastAsia" w:ascii="宋体" w:hAnsi="宋体" w:eastAsia="宋体" w:cs="宋体"/>
          <w:b w:val="0"/>
          <w:bCs/>
          <w:color w:val="auto"/>
          <w:sz w:val="24"/>
          <w:highlight w:val="none"/>
          <w:lang w:eastAsia="zh-CN"/>
        </w:rPr>
        <w:t>2、</w:t>
      </w:r>
      <w:r>
        <w:rPr>
          <w:rFonts w:hint="eastAsia" w:ascii="宋体" w:hAnsi="宋体" w:eastAsia="宋体" w:cs="宋体"/>
          <w:b w:val="0"/>
          <w:bCs/>
          <w:color w:val="auto"/>
          <w:sz w:val="24"/>
          <w:highlight w:val="none"/>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r>
        <w:rPr>
          <w:rFonts w:hint="eastAsia" w:ascii="方正仿宋_GBK" w:hAnsi="宋体" w:eastAsia="方正仿宋_GBK"/>
          <w:b w:val="0"/>
          <w:bCs/>
          <w:color w:val="auto"/>
          <w:sz w:val="24"/>
          <w:highlight w:val="none"/>
          <w:lang w:eastAsia="zh-CN"/>
        </w:rPr>
        <w:t>。</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eastAsia="zh-CN"/>
        </w:rPr>
        <w:t>八、合同争议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九</w:t>
      </w:r>
      <w:r>
        <w:rPr>
          <w:rFonts w:hint="eastAsia" w:ascii="方正仿宋_GBK" w:hAnsi="宋体" w:eastAsia="方正仿宋_GBK"/>
          <w:color w:val="auto"/>
          <w:sz w:val="24"/>
          <w:highlight w:val="none"/>
        </w:rPr>
        <w:t>、其他</w:t>
      </w:r>
      <w:bookmarkEnd w:id="57"/>
      <w:bookmarkEnd w:id="58"/>
      <w:bookmarkEnd w:id="59"/>
      <w:bookmarkEnd w:id="60"/>
      <w:bookmarkEnd w:id="61"/>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其他未尽事宜由供需双方在采购合同中详细约定。</w:t>
      </w:r>
    </w:p>
    <w:p>
      <w:pPr>
        <w:pStyle w:val="44"/>
        <w:ind w:left="0" w:leftChars="0" w:firstLine="480" w:firstLineChars="200"/>
        <w:jc w:val="left"/>
        <w:rPr>
          <w:rFonts w:hint="eastAsia" w:ascii="方正仿宋_GBK" w:hAnsi="方正仿宋_GBK" w:eastAsia="方正仿宋_GBK" w:cs="方正仿宋_GBK"/>
          <w:color w:val="auto"/>
          <w:kern w:val="2"/>
          <w:sz w:val="24"/>
          <w:szCs w:val="24"/>
          <w:highlight w:val="none"/>
          <w:lang w:val="en-US" w:eastAsia="zh-CN" w:bidi="ar-SA"/>
        </w:rPr>
        <w:sectPr>
          <w:headerReference r:id="rId15" w:type="default"/>
          <w:footerReference r:id="rId16" w:type="default"/>
          <w:footerReference r:id="rId17"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color w:val="auto"/>
          <w:kern w:val="2"/>
          <w:sz w:val="24"/>
          <w:szCs w:val="24"/>
          <w:highlight w:val="none"/>
          <w:lang w:val="en-US" w:eastAsia="zh-CN" w:bidi="ar-SA"/>
        </w:rPr>
        <w:t>注：以上要求均为实质性要求。</w:t>
      </w:r>
    </w:p>
    <w:p>
      <w:pPr>
        <w:pStyle w:val="3"/>
        <w:pageBreakBefore/>
        <w:spacing w:before="0" w:after="0" w:line="360" w:lineRule="auto"/>
        <w:jc w:val="both"/>
        <w:rPr>
          <w:rFonts w:hint="eastAsia" w:ascii="方正小标宋_GBK" w:hAnsi="宋体" w:eastAsia="方正小标宋_GBK"/>
          <w:b w:val="0"/>
          <w:color w:val="auto"/>
          <w:sz w:val="36"/>
          <w:szCs w:val="30"/>
          <w:highlight w:val="none"/>
        </w:rPr>
      </w:pPr>
      <w:bookmarkStart w:id="63" w:name="_Toc76462332"/>
      <w:bookmarkStart w:id="64" w:name="_Toc106030887"/>
      <w:r>
        <w:rPr>
          <w:rFonts w:hint="eastAsia" w:ascii="方正小标宋_GBK" w:hAnsi="宋体" w:eastAsia="方正小标宋_GBK"/>
          <w:b w:val="0"/>
          <w:color w:val="auto"/>
          <w:sz w:val="36"/>
          <w:szCs w:val="30"/>
          <w:highlight w:val="none"/>
        </w:rPr>
        <w:t xml:space="preserve">第四篇  </w:t>
      </w:r>
      <w:r>
        <w:rPr>
          <w:rFonts w:hint="eastAsia" w:ascii="方正小标宋_GBK" w:hAnsi="宋体" w:eastAsia="方正小标宋_GBK"/>
          <w:b w:val="0"/>
          <w:color w:val="auto"/>
          <w:sz w:val="36"/>
          <w:szCs w:val="30"/>
          <w:highlight w:val="none"/>
          <w:lang w:eastAsia="zh-CN"/>
        </w:rPr>
        <w:t>评分</w:t>
      </w:r>
      <w:r>
        <w:rPr>
          <w:rFonts w:hint="eastAsia" w:ascii="方正小标宋_GBK" w:hAnsi="宋体" w:eastAsia="方正小标宋_GBK"/>
          <w:b w:val="0"/>
          <w:color w:val="auto"/>
          <w:sz w:val="36"/>
          <w:szCs w:val="30"/>
          <w:highlight w:val="none"/>
        </w:rPr>
        <w:t>程序及方法、评审标准、无效响应和</w:t>
      </w:r>
      <w:r>
        <w:rPr>
          <w:rFonts w:hint="eastAsia" w:ascii="方正小标宋_GBK" w:eastAsia="方正小标宋_GBK"/>
          <w:b w:val="0"/>
          <w:color w:val="auto"/>
          <w:sz w:val="36"/>
          <w:szCs w:val="36"/>
          <w:highlight w:val="none"/>
        </w:rPr>
        <w:t>采购终止</w:t>
      </w:r>
      <w:bookmarkEnd w:id="63"/>
      <w:bookmarkEnd w:id="64"/>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65" w:name="_Toc106030888"/>
      <w:bookmarkStart w:id="66" w:name="_Toc76462333"/>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评分</w:t>
      </w:r>
      <w:r>
        <w:rPr>
          <w:rFonts w:hint="eastAsia" w:ascii="方正仿宋_GBK" w:hAnsi="宋体" w:eastAsia="方正仿宋_GBK"/>
          <w:color w:val="auto"/>
          <w:sz w:val="24"/>
          <w:highlight w:val="none"/>
        </w:rPr>
        <w:t>程序及方法</w:t>
      </w:r>
      <w:bookmarkEnd w:id="65"/>
      <w:bookmarkEnd w:id="66"/>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（一）评分按采购文件规定的时间和地点进行，供应商须有法定代表人（或其授权代表）或自然人参加并签到。限额以下磋商评分以抽签的形式确定磋商顺序，由本项目评审小组分别与各供应商进行磋商。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s="宋体"/>
          <w:color w:val="auto"/>
          <w:kern w:val="0"/>
          <w:sz w:val="24"/>
          <w:szCs w:val="24"/>
          <w:highlight w:val="none"/>
        </w:rPr>
        <w:t>资格性审查。依据法律法规和采购文件的规定，对响应文件中的资格证明、等进行审查，以确定供应商是否具备磋商资格。资格性审查资料表如下：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3118"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84"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3118"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84" w:type="dxa"/>
            <w:vMerge w:val="restart"/>
            <w:noWrap w:val="0"/>
            <w:vAlign w:val="center"/>
          </w:tcPr>
          <w:p>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3118"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4984"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3118"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4984"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3118"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4984" w:type="dxa"/>
            <w:vMerge w:val="continue"/>
            <w:noWrap w:val="0"/>
            <w:vAlign w:val="center"/>
          </w:tcPr>
          <w:p>
            <w:pPr>
              <w:rPr>
                <w:rFonts w:hint="eastAsia" w:ascii="方正仿宋_GBK" w:hAnsi="仿宋" w:eastAsia="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3118"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4984" w:type="dxa"/>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3118"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4984"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以联合体形式参与评分的，共同联合协议中应确定主办方（主体），</w:t>
      </w:r>
      <w:r>
        <w:rPr>
          <w:rFonts w:hint="eastAsia" w:ascii="方正仿宋_GBK" w:hAnsi="宋体" w:eastAsia="方正仿宋_GBK"/>
          <w:color w:val="auto"/>
          <w:sz w:val="24"/>
          <w:highlight w:val="none"/>
        </w:rPr>
        <w:t>代表联合体进行磋商和澄清。</w:t>
      </w:r>
      <w:r>
        <w:rPr>
          <w:rFonts w:hint="eastAsia" w:ascii="方正仿宋_GBK" w:hAnsi="宋体" w:eastAsia="方正仿宋_GBK" w:cs="宋体"/>
          <w:color w:val="auto"/>
          <w:kern w:val="0"/>
          <w:sz w:val="24"/>
          <w:szCs w:val="24"/>
          <w:highlight w:val="none"/>
        </w:rPr>
        <w:t>联合体各方均应满足供应商资格要求（详见“第一篇”）。</w:t>
      </w:r>
    </w:p>
    <w:p>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2.符合性审查。依据采购文件的规定，从响应文件的有效性、完整性和对采购文件的响应程度进行审查，以确定是否对采购文件的实质性要求作出响应。</w:t>
      </w:r>
      <w:r>
        <w:rPr>
          <w:rFonts w:hint="eastAsia" w:ascii="方正仿宋_GBK" w:eastAsia="方正仿宋_GBK"/>
          <w:color w:val="auto"/>
          <w:kern w:val="0"/>
          <w:sz w:val="24"/>
          <w:szCs w:val="24"/>
          <w:highlight w:val="none"/>
        </w:rPr>
        <w:t>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540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按限额以下磋商评分文件“第七篇响应文件编制要求”要求签署或盖章。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1560" w:type="dxa"/>
            <w:vMerge w:val="continue"/>
            <w:noWrap w:val="0"/>
            <w:vAlign w:val="center"/>
          </w:tcPr>
          <w:p>
            <w:pPr>
              <w:rPr>
                <w:rFonts w:hint="eastAsia" w:ascii="方正仿宋_GBK" w:hAnsi="宋体" w:eastAsia="方正仿宋_GBK" w:cs="宋体"/>
                <w:color w:val="auto"/>
                <w:kern w:val="0"/>
                <w:sz w:val="21"/>
                <w:szCs w:val="21"/>
                <w:highlight w:val="none"/>
              </w:rPr>
            </w:pPr>
          </w:p>
        </w:tc>
        <w:tc>
          <w:tcPr>
            <w:tcW w:w="1984"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1560" w:type="dxa"/>
            <w:vMerge w:val="continue"/>
            <w:noWrap w:val="0"/>
            <w:vAlign w:val="center"/>
          </w:tcPr>
          <w:p>
            <w:pPr>
              <w:rPr>
                <w:rFonts w:hint="eastAsia" w:ascii="方正仿宋_GBK" w:hAnsi="宋体" w:eastAsia="方正仿宋_GBK" w:cs="宋体"/>
                <w:color w:val="auto"/>
                <w:kern w:val="0"/>
                <w:sz w:val="21"/>
                <w:szCs w:val="21"/>
                <w:highlight w:val="none"/>
              </w:rPr>
            </w:pPr>
          </w:p>
        </w:tc>
        <w:tc>
          <w:tcPr>
            <w:tcW w:w="198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每个包只能有一个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1560" w:type="dxa"/>
            <w:vMerge w:val="continue"/>
            <w:noWrap w:val="0"/>
            <w:vAlign w:val="center"/>
          </w:tcPr>
          <w:p>
            <w:pPr>
              <w:rPr>
                <w:rFonts w:hint="eastAsia" w:ascii="方正仿宋_GBK" w:hAnsi="宋体" w:eastAsia="方正仿宋_GBK" w:cs="宋体"/>
                <w:color w:val="auto"/>
                <w:kern w:val="0"/>
                <w:sz w:val="21"/>
                <w:szCs w:val="21"/>
                <w:highlight w:val="none"/>
              </w:rPr>
            </w:pPr>
          </w:p>
        </w:tc>
        <w:tc>
          <w:tcPr>
            <w:tcW w:w="198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rPr>
              <w:t>竞采购</w:t>
            </w:r>
            <w:r>
              <w:rPr>
                <w:rFonts w:hint="eastAsia" w:ascii="方正仿宋_GBK" w:hAnsi="宋体" w:eastAsia="方正仿宋_GBK" w:cs="仿宋_GB2312"/>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rPr>
              <w:t>响应程度审查</w:t>
            </w:r>
          </w:p>
        </w:tc>
        <w:tc>
          <w:tcPr>
            <w:tcW w:w="198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实质性响应</w:t>
            </w:r>
          </w:p>
        </w:tc>
        <w:tc>
          <w:tcPr>
            <w:tcW w:w="5409" w:type="dxa"/>
            <w:noWrap w:val="0"/>
            <w:vAlign w:val="center"/>
          </w:tcPr>
          <w:p>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1560" w:type="dxa"/>
            <w:vMerge w:val="continue"/>
            <w:noWrap w:val="0"/>
            <w:vAlign w:val="center"/>
          </w:tcPr>
          <w:p>
            <w:pPr>
              <w:rPr>
                <w:rFonts w:hint="eastAsia" w:ascii="方正仿宋_GBK" w:hAnsi="宋体" w:eastAsia="方正仿宋_GBK" w:cs="仿宋_GB2312"/>
                <w:color w:val="auto"/>
                <w:sz w:val="21"/>
                <w:szCs w:val="21"/>
                <w:highlight w:val="none"/>
                <w:lang w:val="zh-CN"/>
              </w:rPr>
            </w:pPr>
          </w:p>
        </w:tc>
        <w:tc>
          <w:tcPr>
            <w:tcW w:w="198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响应文件有效期</w:t>
            </w:r>
          </w:p>
        </w:tc>
        <w:tc>
          <w:tcPr>
            <w:tcW w:w="540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（五）在评审过程中磋商的任何一方不得向他人透露与磋商有关的服务资料、价格或其他信息。</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（七）供应商在磋商时作出的所有书面承诺须由法定代表人（或其授权代表）或自然人（供应商为自然人）签署。</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color w:val="auto"/>
          <w:sz w:val="24"/>
          <w:szCs w:val="24"/>
          <w:highlight w:val="none"/>
        </w:rPr>
        <w:t>已提交响应文件</w:t>
      </w:r>
      <w:r>
        <w:rPr>
          <w:rFonts w:hint="eastAsia" w:ascii="方正仿宋_GBK" w:hAnsi="宋体" w:eastAsia="方正仿宋_GBK"/>
          <w:color w:val="auto"/>
          <w:sz w:val="24"/>
          <w:szCs w:val="24"/>
          <w:highlight w:val="none"/>
        </w:rPr>
        <w:t>但未在规定时间内进行最后报价</w:t>
      </w:r>
      <w:r>
        <w:rPr>
          <w:rFonts w:ascii="方正仿宋_GBK" w:hAnsi="宋体" w:eastAsia="方正仿宋_GBK"/>
          <w:color w:val="auto"/>
          <w:sz w:val="24"/>
          <w:szCs w:val="24"/>
          <w:highlight w:val="none"/>
        </w:rPr>
        <w:t>的供应商，</w:t>
      </w:r>
      <w:r>
        <w:rPr>
          <w:rFonts w:hint="eastAsia" w:ascii="方正仿宋_GBK" w:hAnsi="宋体" w:eastAsia="方正仿宋_GBK"/>
          <w:color w:val="auto"/>
          <w:sz w:val="24"/>
          <w:szCs w:val="24"/>
          <w:highlight w:val="none"/>
        </w:rPr>
        <w:t>视为放弃最后报价，以供应商响应文件中的报价为准。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（九）评审小组采用综合评分法对提交最后报价的供应商的响应文件和最后报价（含有效书面承诺）进行综合评分。</w:t>
      </w:r>
      <w:r>
        <w:rPr>
          <w:rFonts w:hint="eastAsia" w:ascii="方正仿宋_GBK" w:hAnsi="宋体" w:eastAsia="方正仿宋_GBK" w:cs="宋体"/>
          <w:color w:val="auto"/>
          <w:kern w:val="0"/>
          <w:sz w:val="24"/>
          <w:szCs w:val="24"/>
          <w:highlight w:val="none"/>
        </w:rPr>
        <w:t>综合评分法，是指响应</w:t>
      </w:r>
      <w:r>
        <w:rPr>
          <w:rFonts w:ascii="方正仿宋_GBK" w:hAnsi="宋体" w:eastAsia="方正仿宋_GBK" w:cs="宋体"/>
          <w:color w:val="auto"/>
          <w:kern w:val="0"/>
          <w:sz w:val="24"/>
          <w:szCs w:val="24"/>
          <w:highlight w:val="none"/>
        </w:rPr>
        <w:t>文件满足</w:t>
      </w:r>
      <w:r>
        <w:rPr>
          <w:rFonts w:hint="eastAsia" w:ascii="方正仿宋_GBK" w:hAnsi="宋体" w:eastAsia="方正仿宋_GBK" w:cs="宋体"/>
          <w:color w:val="auto"/>
          <w:kern w:val="0"/>
          <w:sz w:val="24"/>
          <w:szCs w:val="24"/>
          <w:highlight w:val="none"/>
        </w:rPr>
        <w:t>竞采购</w:t>
      </w:r>
      <w:r>
        <w:rPr>
          <w:rFonts w:ascii="方正仿宋_GBK" w:hAnsi="宋体" w:eastAsia="方正仿宋_GBK" w:cs="宋体"/>
          <w:color w:val="auto"/>
          <w:kern w:val="0"/>
          <w:sz w:val="24"/>
          <w:szCs w:val="24"/>
          <w:highlight w:val="none"/>
        </w:rPr>
        <w:t>文件全部实质性要求且按照评审因素的量化指标评审得分最高的供应商为</w:t>
      </w:r>
      <w:r>
        <w:rPr>
          <w:rFonts w:hint="eastAsia" w:ascii="方正仿宋_GBK" w:hAnsi="宋体" w:eastAsia="方正仿宋_GBK" w:cs="宋体"/>
          <w:color w:val="auto"/>
          <w:kern w:val="0"/>
          <w:sz w:val="24"/>
          <w:szCs w:val="24"/>
          <w:highlight w:val="none"/>
        </w:rPr>
        <w:t>成交</w:t>
      </w:r>
      <w:r>
        <w:rPr>
          <w:rFonts w:ascii="方正仿宋_GBK" w:hAnsi="宋体" w:eastAsia="方正仿宋_GBK" w:cs="宋体"/>
          <w:color w:val="auto"/>
          <w:kern w:val="0"/>
          <w:sz w:val="24"/>
          <w:szCs w:val="24"/>
          <w:highlight w:val="none"/>
        </w:rPr>
        <w:t>候选</w:t>
      </w:r>
      <w:r>
        <w:rPr>
          <w:rFonts w:hint="eastAsia" w:ascii="方正仿宋_GBK" w:hAnsi="宋体" w:eastAsia="方正仿宋_GBK" w:cs="宋体"/>
          <w:color w:val="auto"/>
          <w:kern w:val="0"/>
          <w:sz w:val="24"/>
          <w:szCs w:val="24"/>
          <w:highlight w:val="none"/>
        </w:rPr>
        <w:t>供应商</w:t>
      </w:r>
      <w:r>
        <w:rPr>
          <w:rFonts w:ascii="方正仿宋_GBK" w:hAnsi="宋体" w:eastAsia="方正仿宋_GBK" w:cs="宋体"/>
          <w:color w:val="auto"/>
          <w:kern w:val="0"/>
          <w:sz w:val="24"/>
          <w:szCs w:val="24"/>
          <w:highlight w:val="none"/>
        </w:rPr>
        <w:t>的</w:t>
      </w:r>
      <w:r>
        <w:rPr>
          <w:rFonts w:hint="eastAsia" w:ascii="方正仿宋_GBK" w:hAnsi="宋体" w:eastAsia="方正仿宋_GBK" w:cs="宋体"/>
          <w:color w:val="auto"/>
          <w:kern w:val="0"/>
          <w:sz w:val="24"/>
          <w:szCs w:val="24"/>
          <w:highlight w:val="none"/>
        </w:rPr>
        <w:t>评审</w:t>
      </w:r>
      <w:r>
        <w:rPr>
          <w:rFonts w:ascii="方正仿宋_GBK" w:hAnsi="宋体" w:eastAsia="方正仿宋_GBK" w:cs="宋体"/>
          <w:color w:val="auto"/>
          <w:kern w:val="0"/>
          <w:sz w:val="24"/>
          <w:szCs w:val="24"/>
          <w:highlight w:val="none"/>
        </w:rPr>
        <w:t>方法</w:t>
      </w:r>
      <w:r>
        <w:rPr>
          <w:rFonts w:hint="eastAsia" w:ascii="方正仿宋_GBK" w:hAnsi="宋体" w:eastAsia="方正仿宋_GBK" w:cs="宋体"/>
          <w:color w:val="auto"/>
          <w:kern w:val="0"/>
          <w:sz w:val="24"/>
          <w:szCs w:val="24"/>
          <w:highlight w:val="none"/>
        </w:rPr>
        <w:t>。供应商总得分为价格、服务、商务等评定因素分别按照相应权重值计算分项得分后相加，满分为100分</w:t>
      </w:r>
      <w:r>
        <w:rPr>
          <w:rFonts w:hint="eastAsia" w:ascii="方正仿宋_GBK" w:hAnsi="宋体" w:eastAsia="方正仿宋_GBK"/>
          <w:color w:val="auto"/>
          <w:sz w:val="24"/>
          <w:szCs w:val="24"/>
          <w:highlight w:val="none"/>
        </w:rPr>
        <w:t>。</w:t>
      </w:r>
    </w:p>
    <w:p>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color w:val="auto"/>
          <w:sz w:val="24"/>
          <w:szCs w:val="24"/>
          <w:highlight w:val="none"/>
        </w:rPr>
        <w:t>（十）评审小组各成员独立对每个有效响应（通过资格性审查、</w:t>
      </w:r>
      <w:r>
        <w:rPr>
          <w:rFonts w:hint="eastAsia" w:ascii="方正仿宋_GBK" w:hAnsi="宋体" w:eastAsia="方正仿宋_GBK" w:cs="宋体"/>
          <w:color w:val="auto"/>
          <w:kern w:val="0"/>
          <w:sz w:val="24"/>
          <w:szCs w:val="24"/>
          <w:highlight w:val="none"/>
        </w:rPr>
        <w:t>符合性审查的供应商</w:t>
      </w:r>
      <w:r>
        <w:rPr>
          <w:rFonts w:hint="eastAsia" w:ascii="方正仿宋_GBK" w:hAnsi="宋体" w:eastAsia="方正仿宋_GBK"/>
          <w:color w:val="auto"/>
          <w:sz w:val="24"/>
          <w:szCs w:val="24"/>
          <w:highlight w:val="none"/>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color w:val="auto"/>
          <w:sz w:val="24"/>
          <w:szCs w:val="24"/>
          <w:highlight w:val="none"/>
          <w:lang w:eastAsia="zh-CN"/>
        </w:rPr>
        <w:t>服务</w:t>
      </w:r>
      <w:r>
        <w:rPr>
          <w:rFonts w:hint="eastAsia" w:ascii="方正仿宋_GBK" w:hAnsi="宋体" w:eastAsia="方正仿宋_GBK"/>
          <w:b/>
          <w:color w:val="auto"/>
          <w:sz w:val="24"/>
          <w:szCs w:val="24"/>
          <w:highlight w:val="none"/>
        </w:rPr>
        <w:t>部分</w:t>
      </w:r>
      <w:r>
        <w:rPr>
          <w:rFonts w:ascii="方正仿宋_GBK" w:hAnsi="宋体" w:eastAsia="方正仿宋_GBK"/>
          <w:b/>
          <w:color w:val="auto"/>
          <w:sz w:val="24"/>
          <w:szCs w:val="24"/>
          <w:highlight w:val="none"/>
        </w:rPr>
        <w:t>得分为</w:t>
      </w:r>
      <w:r>
        <w:rPr>
          <w:rFonts w:hint="eastAsia" w:ascii="方正仿宋_GBK" w:hAnsi="宋体" w:eastAsia="方正仿宋_GBK"/>
          <w:b/>
          <w:color w:val="auto"/>
          <w:sz w:val="24"/>
          <w:szCs w:val="24"/>
          <w:highlight w:val="none"/>
        </w:rPr>
        <w:t>0分</w:t>
      </w:r>
      <w:r>
        <w:rPr>
          <w:rFonts w:ascii="方正仿宋_GBK" w:hAnsi="宋体" w:eastAsia="方正仿宋_GBK"/>
          <w:b/>
          <w:color w:val="auto"/>
          <w:sz w:val="24"/>
          <w:szCs w:val="24"/>
          <w:highlight w:val="none"/>
        </w:rPr>
        <w:t>的</w:t>
      </w:r>
      <w:r>
        <w:rPr>
          <w:rFonts w:hint="eastAsia" w:ascii="方正仿宋_GBK" w:hAnsi="宋体" w:eastAsia="方正仿宋_GBK"/>
          <w:b/>
          <w:color w:val="auto"/>
          <w:sz w:val="24"/>
          <w:szCs w:val="24"/>
          <w:highlight w:val="none"/>
        </w:rPr>
        <w:t>供应商不得推荐</w:t>
      </w:r>
      <w:r>
        <w:rPr>
          <w:rFonts w:ascii="方正仿宋_GBK" w:hAnsi="宋体" w:eastAsia="方正仿宋_GBK"/>
          <w:b/>
          <w:color w:val="auto"/>
          <w:sz w:val="24"/>
          <w:szCs w:val="24"/>
          <w:highlight w:val="none"/>
        </w:rPr>
        <w:t>成为</w:t>
      </w:r>
      <w:r>
        <w:rPr>
          <w:rFonts w:hint="eastAsia" w:ascii="方正仿宋_GBK" w:hAnsi="宋体" w:eastAsia="方正仿宋_GBK"/>
          <w:b/>
          <w:color w:val="auto"/>
          <w:sz w:val="24"/>
          <w:szCs w:val="24"/>
          <w:highlight w:val="none"/>
        </w:rPr>
        <w:t>成交候选供应商</w:t>
      </w:r>
      <w:r>
        <w:rPr>
          <w:rFonts w:ascii="方正仿宋_GBK" w:hAnsi="宋体" w:eastAsia="方正仿宋_GBK"/>
          <w:b/>
          <w:color w:val="auto"/>
          <w:sz w:val="24"/>
          <w:szCs w:val="24"/>
          <w:highlight w:val="none"/>
        </w:rPr>
        <w:t>。</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67" w:name="_Toc76462334"/>
      <w:bookmarkStart w:id="68" w:name="_Toc106030889"/>
      <w:r>
        <w:rPr>
          <w:rFonts w:hint="eastAsia" w:ascii="方正仿宋_GBK" w:hAnsi="宋体" w:eastAsia="方正仿宋_GBK"/>
          <w:color w:val="auto"/>
          <w:sz w:val="24"/>
          <w:highlight w:val="none"/>
        </w:rPr>
        <w:t>二、</w:t>
      </w:r>
      <w:bookmarkStart w:id="69" w:name="_Toc102227320"/>
      <w:bookmarkStart w:id="70" w:name="_Toc342913394"/>
      <w:r>
        <w:rPr>
          <w:rFonts w:hint="eastAsia" w:ascii="方正仿宋_GBK" w:hAnsi="宋体" w:eastAsia="方正仿宋_GBK"/>
          <w:color w:val="auto"/>
          <w:sz w:val="24"/>
          <w:highlight w:val="none"/>
        </w:rPr>
        <w:t>评审标准</w:t>
      </w:r>
      <w:bookmarkEnd w:id="67"/>
      <w:bookmarkEnd w:id="68"/>
    </w:p>
    <w:tbl>
      <w:tblPr>
        <w:tblStyle w:val="58"/>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42"/>
        <w:gridCol w:w="799"/>
        <w:gridCol w:w="450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b/>
                <w:color w:val="auto"/>
                <w:sz w:val="21"/>
                <w:szCs w:val="21"/>
                <w:highlight w:val="none"/>
              </w:rPr>
            </w:pPr>
            <w:bookmarkStart w:id="71" w:name="_Toc106030890"/>
            <w:bookmarkStart w:id="72" w:name="_Toc76462335"/>
            <w:r>
              <w:rPr>
                <w:rFonts w:hint="eastAsia" w:ascii="宋体" w:hAnsi="宋体" w:eastAsia="宋体" w:cs="宋体"/>
                <w:b/>
                <w:color w:val="auto"/>
                <w:sz w:val="21"/>
                <w:szCs w:val="21"/>
                <w:highlight w:val="none"/>
              </w:rPr>
              <w:t>序号</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505"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146" w:type="dxa"/>
            <w:tcBorders>
              <w:top w:val="single" w:color="auto" w:sz="4" w:space="0"/>
              <w:left w:val="single" w:color="auto" w:sz="4" w:space="0"/>
              <w:bottom w:val="single" w:color="auto" w:sz="4" w:space="0"/>
              <w:right w:val="single" w:color="auto" w:sz="4" w:space="0"/>
            </w:tcBorders>
            <w:noWrap w:val="0"/>
            <w:vAlign w:val="center"/>
          </w:tcPr>
          <w:p>
            <w:pPr>
              <w:pStyle w:val="236"/>
              <w:spacing w:before="0" w:after="0"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w:t>
            </w:r>
          </w:p>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4505"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满足资格性、符合性要求且报价最低的供应商的价格为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基准价，其价格分为满分。其他供应商的价格分统一按照下列公式计算：</w:t>
            </w:r>
          </w:p>
          <w:p>
            <w:pPr>
              <w:spacing w:after="0"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报价）×价格权值×100</w:t>
            </w:r>
          </w:p>
        </w:tc>
        <w:tc>
          <w:tcPr>
            <w:tcW w:w="2146"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left="-3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6" w:type="dxa"/>
            <w:tcBorders>
              <w:top w:val="single" w:color="auto" w:sz="4" w:space="0"/>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2" w:type="dxa"/>
            <w:tcBorders>
              <w:top w:val="single" w:color="auto" w:sz="4" w:space="0"/>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部分</w:t>
            </w:r>
          </w:p>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w:t>
            </w:r>
          </w:p>
        </w:tc>
        <w:tc>
          <w:tcPr>
            <w:tcW w:w="799" w:type="dxa"/>
            <w:tcBorders>
              <w:top w:val="single" w:color="auto" w:sz="4" w:space="0"/>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lang w:val="en-US" w:eastAsia="zh-CN"/>
              </w:rPr>
            </w:pPr>
            <w:bookmarkStart w:id="73" w:name="OLE_LINK6"/>
            <w:r>
              <w:rPr>
                <w:rFonts w:hint="eastAsia" w:ascii="宋体" w:hAnsi="宋体" w:eastAsia="宋体" w:cs="宋体"/>
                <w:color w:val="auto"/>
                <w:sz w:val="21"/>
                <w:szCs w:val="21"/>
                <w:highlight w:val="none"/>
                <w:lang w:val="en-US" w:eastAsia="zh-CN"/>
              </w:rPr>
              <w:t>实施方案（45）</w:t>
            </w:r>
            <w:bookmarkEnd w:id="73"/>
          </w:p>
        </w:tc>
        <w:tc>
          <w:tcPr>
            <w:tcW w:w="4505" w:type="dxa"/>
            <w:tcBorders>
              <w:top w:val="single" w:color="auto" w:sz="4" w:space="0"/>
              <w:left w:val="single" w:color="auto" w:sz="4" w:space="0"/>
              <w:right w:val="single" w:color="auto" w:sz="4" w:space="0"/>
            </w:tcBorders>
            <w:noWrap w:val="0"/>
            <w:vAlign w:val="center"/>
          </w:tcPr>
          <w:p>
            <w:pPr>
              <w:spacing w:after="0" w:line="276" w:lineRule="auto"/>
              <w:ind w:firstLine="420" w:firstLineChars="200"/>
              <w:rPr>
                <w:rFonts w:hint="eastAsia" w:ascii="宋体" w:hAnsi="宋体" w:eastAsia="宋体" w:cs="宋体"/>
                <w:color w:val="auto"/>
                <w:sz w:val="21"/>
                <w:szCs w:val="21"/>
                <w:highlight w:val="none"/>
              </w:rPr>
            </w:pPr>
            <w:bookmarkStart w:id="74" w:name="OLE_LINK4"/>
            <w:r>
              <w:rPr>
                <w:rFonts w:hint="eastAsia" w:ascii="宋体" w:hAnsi="宋体" w:eastAsia="宋体" w:cs="宋体"/>
                <w:color w:val="auto"/>
                <w:sz w:val="21"/>
                <w:szCs w:val="21"/>
                <w:highlight w:val="none"/>
              </w:rPr>
              <w:t>评审专家根据本项目投标人提供的方案，从各项技术要求、功能要求，完成方案设计，培训方案完整合理、思路清晰，目标与内容适切、能够准确理解用户需求和培训内容，提供详细的方案，此项共45分。</w:t>
            </w:r>
            <w:bookmarkEnd w:id="74"/>
          </w:p>
          <w:p>
            <w:pPr>
              <w:spacing w:after="0"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1.方案覆盖全面，阐述详尽、条例清晰，实操性强，对项目需求非常了解，目标与内容适切，得45分；</w:t>
            </w:r>
          </w:p>
          <w:p>
            <w:pPr>
              <w:spacing w:after="0"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2.方案覆盖各项要求，条例不够清晰，对项目需求了解不够，实操性不够，得36分；</w:t>
            </w:r>
          </w:p>
          <w:p>
            <w:pPr>
              <w:spacing w:after="0" w:line="276"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3.方案完整性合理性不够、对项目需求不明，缺乏可操作性，得27分</w:t>
            </w:r>
            <w:r>
              <w:rPr>
                <w:rFonts w:hint="eastAsia" w:ascii="宋体" w:hAnsi="宋体" w:eastAsia="宋体" w:cs="宋体"/>
                <w:color w:val="auto"/>
                <w:sz w:val="21"/>
                <w:szCs w:val="21"/>
                <w:highlight w:val="none"/>
                <w:lang w:eastAsia="zh-CN"/>
              </w:rPr>
              <w:t>；</w:t>
            </w:r>
          </w:p>
          <w:p>
            <w:pPr>
              <w:spacing w:after="0"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4.方案完全不符合要求，不具备可操作性，得0分。</w:t>
            </w:r>
          </w:p>
        </w:tc>
        <w:tc>
          <w:tcPr>
            <w:tcW w:w="2146" w:type="dxa"/>
            <w:tcBorders>
              <w:top w:val="single" w:color="auto" w:sz="4" w:space="0"/>
              <w:left w:val="single" w:color="auto" w:sz="4" w:space="0"/>
              <w:right w:val="single" w:color="auto" w:sz="4" w:space="0"/>
            </w:tcBorders>
            <w:noWrap w:val="0"/>
            <w:vAlign w:val="center"/>
          </w:tcPr>
          <w:p>
            <w:pPr>
              <w:spacing w:after="0" w:line="276" w:lineRule="auto"/>
              <w:ind w:left="-38"/>
              <w:rPr>
                <w:rFonts w:hint="eastAsia" w:ascii="宋体" w:hAnsi="宋体" w:eastAsia="宋体" w:cs="宋体"/>
                <w:color w:val="auto"/>
                <w:sz w:val="21"/>
                <w:szCs w:val="21"/>
                <w:highlight w:val="none"/>
                <w:lang w:eastAsia="zh-CN"/>
              </w:rPr>
            </w:pPr>
            <w:bookmarkStart w:id="75" w:name="OLE_LINK5"/>
            <w:r>
              <w:rPr>
                <w:rFonts w:hint="eastAsia" w:ascii="宋体" w:hAnsi="宋体" w:eastAsia="宋体" w:cs="宋体"/>
                <w:color w:val="auto"/>
                <w:sz w:val="21"/>
                <w:szCs w:val="21"/>
                <w:highlight w:val="none"/>
                <w:lang w:eastAsia="zh-CN"/>
              </w:rPr>
              <w:t>磋商小组成员根据响应供应商针对本项目提供的培训方案内容的全面性、合理性、针对性的优劣程度独立评分</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6" w:type="dxa"/>
            <w:vMerge w:val="restart"/>
            <w:tcBorders>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2" w:type="dxa"/>
            <w:vMerge w:val="restart"/>
            <w:tcBorders>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pPr>
              <w:spacing w:after="0" w:line="276"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w:t>
            </w:r>
          </w:p>
        </w:tc>
        <w:tc>
          <w:tcPr>
            <w:tcW w:w="799" w:type="dxa"/>
            <w:tcBorders>
              <w:top w:val="single" w:color="auto" w:sz="4" w:space="0"/>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lang w:val="en-US" w:eastAsia="zh-CN"/>
              </w:rPr>
            </w:pPr>
            <w:bookmarkStart w:id="76" w:name="OLE_LINK7"/>
            <w:r>
              <w:rPr>
                <w:rFonts w:hint="eastAsia" w:ascii="宋体" w:hAnsi="宋体" w:eastAsia="宋体" w:cs="宋体"/>
                <w:color w:val="auto"/>
                <w:sz w:val="21"/>
                <w:szCs w:val="21"/>
                <w:highlight w:val="none"/>
                <w:lang w:val="en-US" w:eastAsia="zh-CN"/>
              </w:rPr>
              <w:t>培训师资（5）</w:t>
            </w:r>
            <w:bookmarkEnd w:id="76"/>
          </w:p>
        </w:tc>
        <w:tc>
          <w:tcPr>
            <w:tcW w:w="4505" w:type="dxa"/>
            <w:tcBorders>
              <w:top w:val="single" w:color="auto" w:sz="4" w:space="0"/>
              <w:left w:val="single" w:color="auto" w:sz="4" w:space="0"/>
              <w:right w:val="single" w:color="auto" w:sz="4" w:space="0"/>
            </w:tcBorders>
            <w:noWrap w:val="0"/>
            <w:vAlign w:val="center"/>
          </w:tcPr>
          <w:p>
            <w:pPr>
              <w:spacing w:after="0" w:line="276"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拟投入本项目的培训团队人员具有高级及以上技术职称每人得1分，总分不超过5分，没有的不得分。</w:t>
            </w:r>
          </w:p>
        </w:tc>
        <w:tc>
          <w:tcPr>
            <w:tcW w:w="2146" w:type="dxa"/>
            <w:tcBorders>
              <w:top w:val="single" w:color="auto" w:sz="4" w:space="0"/>
              <w:left w:val="single" w:color="auto" w:sz="4" w:space="0"/>
              <w:right w:val="single" w:color="auto" w:sz="4" w:space="0"/>
            </w:tcBorders>
            <w:noWrap w:val="0"/>
            <w:vAlign w:val="center"/>
          </w:tcPr>
          <w:p>
            <w:pPr>
              <w:spacing w:after="0" w:line="276" w:lineRule="auto"/>
              <w:rPr>
                <w:rFonts w:hint="eastAsia" w:ascii="宋体" w:hAnsi="宋体" w:eastAsia="宋体" w:cs="宋体"/>
                <w:color w:val="auto"/>
                <w:sz w:val="21"/>
                <w:szCs w:val="21"/>
                <w:highlight w:val="none"/>
                <w:lang w:val="en-US" w:eastAsia="zh-CN"/>
              </w:rPr>
            </w:pPr>
            <w:bookmarkStart w:id="77" w:name="OLE_LINK9"/>
            <w:r>
              <w:rPr>
                <w:rFonts w:hint="eastAsia" w:ascii="宋体" w:hAnsi="宋体" w:eastAsia="宋体" w:cs="宋体"/>
                <w:color w:val="auto"/>
                <w:sz w:val="21"/>
                <w:szCs w:val="21"/>
                <w:highlight w:val="none"/>
                <w:lang w:val="en-US" w:eastAsia="zh-CN"/>
              </w:rPr>
              <w:t>提供授课专家职称证书复印件加盖响应供应商公章。</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6" w:type="dxa"/>
            <w:vMerge w:val="continue"/>
            <w:tcBorders>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p>
        </w:tc>
        <w:tc>
          <w:tcPr>
            <w:tcW w:w="1042" w:type="dxa"/>
            <w:vMerge w:val="continue"/>
            <w:tcBorders>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28" w:firstLineChars="0"/>
              <w:jc w:val="center"/>
              <w:rPr>
                <w:rFonts w:hint="eastAsia" w:ascii="宋体" w:hAnsi="宋体" w:eastAsia="宋体" w:cs="宋体"/>
                <w:color w:val="auto"/>
                <w:kern w:val="2"/>
                <w:sz w:val="21"/>
                <w:szCs w:val="21"/>
                <w:highlight w:val="none"/>
                <w:lang w:val="en-US" w:eastAsia="zh-CN" w:bidi="ar-SA"/>
              </w:rPr>
            </w:pPr>
            <w:bookmarkStart w:id="78" w:name="OLE_LINK10"/>
            <w:r>
              <w:rPr>
                <w:rFonts w:hint="eastAsia" w:ascii="宋体" w:hAnsi="宋体" w:eastAsia="宋体" w:cs="宋体"/>
                <w:color w:val="auto"/>
                <w:kern w:val="2"/>
                <w:sz w:val="21"/>
                <w:szCs w:val="21"/>
                <w:highlight w:val="none"/>
                <w:lang w:val="en-US" w:eastAsia="zh-CN" w:bidi="ar-SA"/>
              </w:rPr>
              <w:t>人员配置（10）</w:t>
            </w:r>
            <w:bookmarkEnd w:id="78"/>
          </w:p>
        </w:tc>
        <w:tc>
          <w:tcPr>
            <w:tcW w:w="4505"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投标人拟投入本项目服务团队每1名驻点人员得2分，总分不超过10分。</w:t>
            </w:r>
          </w:p>
        </w:tc>
        <w:tc>
          <w:tcPr>
            <w:tcW w:w="2146" w:type="dxa"/>
            <w:tcBorders>
              <w:top w:val="single" w:color="auto" w:sz="4" w:space="0"/>
              <w:left w:val="single" w:color="auto" w:sz="4" w:space="0"/>
              <w:right w:val="single" w:color="auto" w:sz="4" w:space="0"/>
            </w:tcBorders>
            <w:noWrap w:val="0"/>
            <w:vAlign w:val="center"/>
          </w:tcPr>
          <w:p>
            <w:pPr>
              <w:spacing w:after="0" w:line="276" w:lineRule="auto"/>
              <w:ind w:left="-38" w:leftChars="0"/>
              <w:rPr>
                <w:rFonts w:hint="eastAsia" w:ascii="宋体" w:hAnsi="宋体" w:eastAsia="宋体" w:cs="宋体"/>
                <w:color w:val="auto"/>
                <w:kern w:val="2"/>
                <w:sz w:val="21"/>
                <w:szCs w:val="21"/>
                <w:highlight w:val="none"/>
                <w:lang w:val="en-US" w:eastAsia="zh-CN" w:bidi="ar-SA"/>
              </w:rPr>
            </w:pPr>
            <w:bookmarkStart w:id="79" w:name="OLE_LINK12"/>
            <w:r>
              <w:rPr>
                <w:rFonts w:hint="eastAsia" w:ascii="宋体" w:hAnsi="宋体" w:eastAsia="宋体" w:cs="宋体"/>
                <w:color w:val="auto"/>
                <w:kern w:val="2"/>
                <w:sz w:val="21"/>
                <w:szCs w:val="21"/>
                <w:highlight w:val="none"/>
                <w:lang w:val="en-US" w:eastAsia="zh-CN" w:bidi="ar-SA"/>
              </w:rPr>
              <w:t>需提供相关人员名单和承诺书并加盖公章。</w:t>
            </w:r>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6" w:type="dxa"/>
            <w:vMerge w:val="continue"/>
            <w:tcBorders>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p>
        </w:tc>
        <w:tc>
          <w:tcPr>
            <w:tcW w:w="1042" w:type="dxa"/>
            <w:vMerge w:val="continue"/>
            <w:tcBorders>
              <w:left w:val="single" w:color="auto" w:sz="4" w:space="0"/>
              <w:right w:val="single" w:color="auto" w:sz="4" w:space="0"/>
            </w:tcBorders>
            <w:noWrap w:val="0"/>
            <w:vAlign w:val="center"/>
          </w:tcPr>
          <w:p>
            <w:pPr>
              <w:spacing w:after="0" w:line="276" w:lineRule="auto"/>
              <w:ind w:firstLine="28"/>
              <w:jc w:val="center"/>
              <w:rPr>
                <w:rFonts w:hint="eastAsia" w:ascii="宋体" w:hAnsi="宋体" w:eastAsia="宋体" w:cs="宋体"/>
                <w:color w:val="auto"/>
                <w:sz w:val="21"/>
                <w:szCs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ind w:firstLine="28"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bookmarkStart w:id="80" w:name="OLE_LINK13"/>
            <w:r>
              <w:rPr>
                <w:rFonts w:hint="eastAsia" w:ascii="宋体" w:hAnsi="宋体" w:eastAsia="宋体" w:cs="宋体"/>
                <w:color w:val="auto"/>
                <w:sz w:val="21"/>
                <w:szCs w:val="21"/>
                <w:highlight w:val="none"/>
                <w:lang w:val="en-US" w:eastAsia="zh-CN"/>
              </w:rPr>
              <w:t>培训业绩</w:t>
            </w:r>
            <w:bookmarkEnd w:id="80"/>
          </w:p>
          <w:p>
            <w:pPr>
              <w:spacing w:after="0" w:line="276" w:lineRule="auto"/>
              <w:ind w:firstLine="28"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4505"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rPr>
                <w:rFonts w:hint="eastAsia" w:ascii="宋体" w:hAnsi="宋体" w:eastAsia="宋体" w:cs="宋体"/>
                <w:color w:val="auto"/>
                <w:kern w:val="2"/>
                <w:sz w:val="21"/>
                <w:szCs w:val="21"/>
                <w:highlight w:val="none"/>
                <w:lang w:val="en-US" w:eastAsia="zh-CN" w:bidi="ar-SA"/>
              </w:rPr>
            </w:pPr>
            <w:bookmarkStart w:id="81" w:name="OLE_LINK14"/>
            <w:r>
              <w:rPr>
                <w:rFonts w:hint="eastAsia" w:ascii="宋体" w:hAnsi="宋体" w:eastAsia="宋体" w:cs="宋体"/>
                <w:color w:val="auto"/>
                <w:kern w:val="2"/>
                <w:sz w:val="21"/>
                <w:szCs w:val="21"/>
                <w:highlight w:val="none"/>
                <w:lang w:val="en-US" w:eastAsia="zh-CN" w:bidi="ar-SA"/>
              </w:rPr>
              <w:t>投标人提供2019年以来承担过区（县）级及以上行政或事业单位集中培训类似项目业绩。（提供1条得2分，最高10分）</w:t>
            </w:r>
            <w:bookmarkEnd w:id="81"/>
          </w:p>
        </w:tc>
        <w:tc>
          <w:tcPr>
            <w:tcW w:w="2146" w:type="dxa"/>
            <w:tcBorders>
              <w:left w:val="single" w:color="auto" w:sz="4" w:space="0"/>
              <w:bottom w:val="single" w:color="auto" w:sz="4" w:space="0"/>
              <w:right w:val="single" w:color="auto" w:sz="4" w:space="0"/>
            </w:tcBorders>
            <w:noWrap w:val="0"/>
            <w:vAlign w:val="center"/>
          </w:tcPr>
          <w:p>
            <w:pPr>
              <w:spacing w:after="0" w:line="276" w:lineRule="auto"/>
              <w:ind w:left="-38"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证明材料为项目中标通知书或培训合同复印件加盖响应供应商公章，不提供不得分。</w:t>
            </w:r>
          </w:p>
        </w:tc>
      </w:tr>
    </w:tbl>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三、无效响应</w:t>
      </w:r>
      <w:bookmarkEnd w:id="71"/>
      <w:bookmarkEnd w:id="72"/>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供应商发生以下条款情况之一者，视为无效响应，其响应文件将被拒绝：</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（二）供应商的法定代表人（或其授权代表）或自然人未参加磋商；</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（三）供应商所提交的响应文件不按“第七篇响应文件编制要求”要求签署或盖章；</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（四）供应商的最后报价超过采购预算或最高限价的；</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（五）法定代表人为同一个人的两个及两个以上法人，母公司、全资子公司及其控股公司，在同一包采购中同时参与竞争；</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（六）单位负责人为同一人或者存在直接控股、管理关系的不同供应商，参加同一合同项下的政府采购活动的；</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ascii="方正仿宋_GBK" w:hAnsi="宋体" w:eastAsia="方正仿宋_GBK"/>
          <w:color w:val="auto"/>
          <w:sz w:val="24"/>
          <w:szCs w:val="24"/>
          <w:highlight w:val="none"/>
        </w:rPr>
        <w:t>为采购项目提供整体设计、规范编制或者项目管理、监理、检测等服务的供应商，再参加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（八）供应商限额以下磋商评分有效期不满足采购文件要求的；</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（九）供应商响应文件内容有与国家现行法律法规相违背的内容，或附有采购人无法接受的条件；</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（十）法律、法规和采购文件规定的其他无效情形。</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82" w:name="_Toc106030891"/>
      <w:bookmarkStart w:id="83" w:name="_Toc76462336"/>
      <w:r>
        <w:rPr>
          <w:rFonts w:hint="eastAsia" w:ascii="方正仿宋_GBK" w:hAnsi="宋体" w:eastAsia="方正仿宋_GBK"/>
          <w:color w:val="auto"/>
          <w:sz w:val="24"/>
          <w:highlight w:val="none"/>
        </w:rPr>
        <w:t>四、</w:t>
      </w:r>
      <w:bookmarkEnd w:id="69"/>
      <w:bookmarkEnd w:id="70"/>
      <w:r>
        <w:rPr>
          <w:rFonts w:hint="eastAsia" w:ascii="方正仿宋_GBK" w:hAnsi="宋体" w:eastAsia="方正仿宋_GBK"/>
          <w:color w:val="auto"/>
          <w:sz w:val="24"/>
          <w:highlight w:val="none"/>
        </w:rPr>
        <w:t>采购终止</w:t>
      </w:r>
      <w:bookmarkEnd w:id="82"/>
      <w:bookmarkEnd w:id="83"/>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出现下列情形之一的，采购人或者采购代理机构应当终止采购活动，发布项目终止公告并说明原因，重新开展采购活动：</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（一）因情况变化，不再符合规定的限额以下磋商评分采购方式适用情形的；</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pacing w:line="400" w:lineRule="exact"/>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pPr>
        <w:pStyle w:val="3"/>
        <w:pageBreakBefore/>
        <w:spacing w:before="0" w:after="0" w:line="360" w:lineRule="auto"/>
        <w:jc w:val="center"/>
        <w:rPr>
          <w:rFonts w:hint="eastAsia" w:ascii="方正小标宋_GBK" w:hAnsi="宋体" w:eastAsia="方正小标宋_GBK"/>
          <w:b w:val="0"/>
          <w:bCs/>
          <w:color w:val="auto"/>
          <w:sz w:val="36"/>
          <w:szCs w:val="30"/>
          <w:highlight w:val="none"/>
        </w:rPr>
      </w:pPr>
      <w:bookmarkStart w:id="84" w:name="_Toc102227313"/>
      <w:bookmarkStart w:id="85" w:name="_Toc76462337"/>
      <w:bookmarkStart w:id="86" w:name="_Toc106030892"/>
      <w:r>
        <w:rPr>
          <w:rFonts w:hint="eastAsia" w:ascii="方正小标宋_GBK" w:hAnsi="宋体" w:eastAsia="方正小标宋_GBK"/>
          <w:b w:val="0"/>
          <w:bCs/>
          <w:color w:val="auto"/>
          <w:sz w:val="36"/>
          <w:szCs w:val="30"/>
          <w:highlight w:val="none"/>
        </w:rPr>
        <w:t>第五篇  供应商须知</w:t>
      </w:r>
      <w:bookmarkEnd w:id="84"/>
      <w:bookmarkEnd w:id="85"/>
      <w:bookmarkEnd w:id="86"/>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87" w:name="_Toc76462338"/>
      <w:bookmarkStart w:id="88" w:name="_Toc106030893"/>
      <w:bookmarkStart w:id="8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限额以下磋商评分</w:t>
      </w:r>
      <w:r>
        <w:rPr>
          <w:rFonts w:hint="eastAsia" w:ascii="方正仿宋_GBK" w:hAnsi="宋体" w:eastAsia="方正仿宋_GBK"/>
          <w:color w:val="auto"/>
          <w:sz w:val="24"/>
          <w:highlight w:val="none"/>
        </w:rPr>
        <w:t>费用</w:t>
      </w:r>
      <w:bookmarkEnd w:id="87"/>
      <w:bookmarkEnd w:id="88"/>
      <w:bookmarkEnd w:id="89"/>
    </w:p>
    <w:p>
      <w:pPr>
        <w:pStyle w:val="141"/>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参与竞争的供应商应承担其编制响应文件与递交响应文件所涉及的一切费用，不论结果如何，采购人和采购代理机构在任何情况下无义务也无责任承担这些费用。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90" w:name="_Toc76462339"/>
      <w:bookmarkStart w:id="91" w:name="_Toc106030894"/>
      <w:bookmarkStart w:id="92" w:name="_Toc342913391"/>
      <w:r>
        <w:rPr>
          <w:rFonts w:hint="eastAsia" w:ascii="方正仿宋_GBK" w:hAnsi="宋体" w:eastAsia="方正仿宋_GBK"/>
          <w:color w:val="auto"/>
          <w:sz w:val="24"/>
          <w:highlight w:val="none"/>
        </w:rPr>
        <w:t>二、限额以下磋商评分文件</w:t>
      </w:r>
      <w:bookmarkEnd w:id="90"/>
      <w:bookmarkEnd w:id="91"/>
      <w:bookmarkEnd w:id="92"/>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color w:val="auto"/>
          <w:sz w:val="24"/>
          <w:szCs w:val="24"/>
          <w:highlight w:val="none"/>
        </w:rPr>
        <w:t>、</w:t>
      </w:r>
      <w:r>
        <w:rPr>
          <w:rFonts w:hint="eastAsia" w:ascii="方正仿宋_GBK" w:hAnsi="宋体" w:eastAsia="方正仿宋_GBK"/>
          <w:color w:val="auto"/>
          <w:sz w:val="24"/>
          <w:szCs w:val="24"/>
          <w:highlight w:val="none"/>
        </w:rPr>
        <w:t>响应文件编制要求七部分组成。</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（三）限额以下磋商评分文件的解释</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93" w:name="_Toc318159780"/>
      <w:bookmarkStart w:id="94" w:name="_Toc318159349"/>
      <w:bookmarkStart w:id="95" w:name="_Toc318159160"/>
      <w:bookmarkStart w:id="96" w:name="_Toc318166429"/>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（四）本限额以下磋商评分文件中，评审小组根据与供应商进行磋商可能实质性变动的内容为限额以下磋商评分文件第二、三、六篇全部内容。</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（五）评审的依据为限额以下磋商评分文件和响应文件（含有效的书面承诺）。评审小组判断响应文件对限额以下磋商评分文件的响应，仅基于响应文件本身而不靠外部证据。</w:t>
      </w:r>
    </w:p>
    <w:bookmarkEnd w:id="93"/>
    <w:bookmarkEnd w:id="94"/>
    <w:bookmarkEnd w:id="95"/>
    <w:bookmarkEnd w:id="96"/>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97" w:name="_Toc106030895"/>
      <w:bookmarkStart w:id="98" w:name="_Toc179714297"/>
      <w:bookmarkStart w:id="99" w:name="_Toc102227318"/>
      <w:bookmarkStart w:id="100" w:name="_Toc342913392"/>
      <w:bookmarkStart w:id="101" w:name="_Toc76462340"/>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限额以下磋商评分</w:t>
      </w:r>
      <w:r>
        <w:rPr>
          <w:rFonts w:hint="eastAsia" w:ascii="方正仿宋_GBK" w:hAnsi="宋体" w:eastAsia="方正仿宋_GBK"/>
          <w:color w:val="auto"/>
          <w:sz w:val="24"/>
          <w:highlight w:val="none"/>
        </w:rPr>
        <w:t>要求</w:t>
      </w:r>
      <w:bookmarkEnd w:id="97"/>
      <w:bookmarkEnd w:id="98"/>
      <w:bookmarkEnd w:id="99"/>
      <w:bookmarkEnd w:id="100"/>
      <w:bookmarkEnd w:id="101"/>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2.响应文件组成</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（二）联合体</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1.两个以上供应商可以组成一个联合体，以一个供应商的身份共同参与竞争。</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2.以联合体形式参加竞争的，联合体各方均应满足</w:t>
      </w:r>
      <w:r>
        <w:rPr>
          <w:rFonts w:hint="eastAsia" w:ascii="方正仿宋_GBK" w:eastAsia="方正仿宋_GBK"/>
          <w:color w:val="auto"/>
          <w:sz w:val="24"/>
          <w:szCs w:val="24"/>
          <w:highlight w:val="none"/>
        </w:rPr>
        <w:t>供应商资格条件</w:t>
      </w:r>
      <w:r>
        <w:rPr>
          <w:rFonts w:hint="eastAsia" w:ascii="方正仿宋_GBK" w:hAnsi="宋体" w:eastAsia="方正仿宋_GBK"/>
          <w:color w:val="auto"/>
          <w:sz w:val="24"/>
          <w:szCs w:val="24"/>
          <w:highlight w:val="none"/>
        </w:rPr>
        <w:t>（详见“第一篇”）</w:t>
      </w:r>
      <w:r>
        <w:rPr>
          <w:rFonts w:ascii="方正仿宋_GBK" w:hAnsi="宋体" w:eastAsia="方正仿宋_GBK"/>
          <w:color w:val="auto"/>
          <w:sz w:val="24"/>
          <w:highlight w:val="none"/>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w:t>
      </w:r>
      <w:r>
        <w:rPr>
          <w:rFonts w:ascii="方正仿宋_GBK" w:hAnsi="宋体" w:eastAsia="方正仿宋_GBK"/>
          <w:color w:val="auto"/>
          <w:sz w:val="24"/>
          <w:highlight w:val="none"/>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5.联合体业绩计算，按照共同联合协议分工认定。</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w:t>
      </w:r>
      <w:r>
        <w:rPr>
          <w:rFonts w:ascii="方正仿宋_GBK" w:hAnsi="宋体" w:eastAsia="方正仿宋_GBK"/>
          <w:color w:val="auto"/>
          <w:sz w:val="24"/>
          <w:szCs w:val="24"/>
          <w:highlight w:val="none"/>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color w:val="auto"/>
          <w:sz w:val="24"/>
          <w:szCs w:val="24"/>
          <w:highlight w:val="none"/>
        </w:rPr>
        <w:t>，将</w:t>
      </w:r>
      <w:r>
        <w:rPr>
          <w:rFonts w:ascii="方正仿宋_GBK" w:hAnsi="宋体" w:eastAsia="方正仿宋_GBK"/>
          <w:color w:val="auto"/>
          <w:sz w:val="24"/>
          <w:szCs w:val="24"/>
          <w:highlight w:val="none"/>
        </w:rPr>
        <w:t>拒绝</w:t>
      </w:r>
      <w:r>
        <w:rPr>
          <w:rFonts w:hint="eastAsia" w:ascii="方正仿宋_GBK" w:hAnsi="宋体" w:eastAsia="方正仿宋_GBK"/>
          <w:color w:val="auto"/>
          <w:sz w:val="24"/>
          <w:szCs w:val="24"/>
          <w:highlight w:val="none"/>
        </w:rPr>
        <w:t>该联合体</w:t>
      </w:r>
      <w:r>
        <w:rPr>
          <w:rFonts w:ascii="方正仿宋_GBK" w:hAnsi="宋体" w:eastAsia="方正仿宋_GBK"/>
          <w:color w:val="auto"/>
          <w:sz w:val="24"/>
          <w:szCs w:val="24"/>
          <w:highlight w:val="none"/>
        </w:rPr>
        <w:t>参与政府采购活动。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（三）限额以下磋商评分有效期：响应文件及有关承诺文件有效期为提交响应文件截止时间起90天。</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（四）修正错误</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（五）提交响应文件的份数和签署</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响应文件按采购文件“第七篇响应文件编制要求”要求签署或盖章。</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（六）响应文件的递交</w:t>
      </w:r>
    </w:p>
    <w:p>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响应文件的正本、副本均应密封送达限额以下磋商评分地点，应在封套上注明限额以下磋商评分项目名称、供应商名称。若正本、副本分别进行密封的，还应在封套上注明“正本”、“副本”字样。</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（七）供应商参与人员</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各个供应商应当派1-2名代表参与磋商，至少1人应为法定代表人（或其授权代表）或自然人（供应商为自然人）。</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2" w:name="_Toc76462341"/>
      <w:bookmarkStart w:id="103" w:name="_Toc106030896"/>
      <w:r>
        <w:rPr>
          <w:rFonts w:hint="eastAsia" w:ascii="方正仿宋_GBK" w:hAnsi="宋体" w:eastAsia="方正仿宋_GBK"/>
          <w:color w:val="auto"/>
          <w:sz w:val="24"/>
          <w:highlight w:val="none"/>
        </w:rPr>
        <w:t>四、成交供应商的确认和变更</w:t>
      </w:r>
      <w:bookmarkEnd w:id="102"/>
      <w:bookmarkEnd w:id="103"/>
    </w:p>
    <w:p>
      <w:pPr>
        <w:snapToGrid w:val="0"/>
        <w:spacing w:line="400" w:lineRule="exact"/>
        <w:ind w:firstLine="480" w:firstLineChars="20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（一）成交供应商的确认</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采购结果</w:t>
      </w:r>
      <w:r>
        <w:rPr>
          <w:rFonts w:ascii="方正仿宋_GBK" w:hAnsi="宋体" w:eastAsia="方正仿宋_GBK"/>
          <w:color w:val="auto"/>
          <w:sz w:val="24"/>
          <w:szCs w:val="24"/>
          <w:highlight w:val="none"/>
        </w:rPr>
        <w:t>应当在评审结束后</w:t>
      </w:r>
      <w:r>
        <w:rPr>
          <w:rFonts w:hint="eastAsia" w:ascii="方正仿宋_GBK" w:hAnsi="宋体" w:eastAsia="方正仿宋_GBK"/>
          <w:color w:val="auto"/>
          <w:sz w:val="24"/>
          <w:szCs w:val="24"/>
          <w:highlight w:val="none"/>
        </w:rPr>
        <w:t>5</w:t>
      </w:r>
      <w:r>
        <w:rPr>
          <w:rFonts w:ascii="方正仿宋_GBK" w:hAnsi="宋体" w:eastAsia="方正仿宋_GBK"/>
          <w:color w:val="auto"/>
          <w:sz w:val="24"/>
          <w:szCs w:val="24"/>
          <w:highlight w:val="none"/>
        </w:rPr>
        <w:t>个工作日内</w:t>
      </w:r>
      <w:r>
        <w:rPr>
          <w:rFonts w:hint="eastAsia" w:ascii="方正仿宋_GBK" w:hAnsi="宋体" w:eastAsia="方正仿宋_GBK"/>
          <w:color w:val="auto"/>
          <w:sz w:val="24"/>
          <w:szCs w:val="24"/>
          <w:highlight w:val="none"/>
        </w:rPr>
        <w:t>发布</w:t>
      </w:r>
      <w:r>
        <w:rPr>
          <w:rFonts w:ascii="方正仿宋_GBK" w:hAnsi="宋体" w:eastAsia="方正仿宋_GBK"/>
          <w:color w:val="auto"/>
          <w:sz w:val="24"/>
          <w:szCs w:val="24"/>
          <w:highlight w:val="none"/>
        </w:rPr>
        <w:t>。采购人应当</w:t>
      </w:r>
      <w:r>
        <w:rPr>
          <w:rFonts w:hint="eastAsia" w:ascii="方正仿宋_GBK" w:hAnsi="宋体" w:eastAsia="方正仿宋_GBK"/>
          <w:color w:val="auto"/>
          <w:sz w:val="24"/>
          <w:szCs w:val="24"/>
          <w:highlight w:val="none"/>
        </w:rPr>
        <w:t>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eastAsia="方正仿宋_GBK"/>
          <w:color w:val="auto"/>
          <w:sz w:val="24"/>
          <w:highlight w:val="none"/>
        </w:rPr>
        <w:t>成交供应商拒绝与采购人签订合同的，采购人可以按照评审意见推荐的成交候选供应商顺序，确定排名下一位的候选人为成交供应商，也可以重新开展政府采购活动。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4" w:name="_Toc76462342"/>
      <w:bookmarkStart w:id="105" w:name="_Toc106030897"/>
      <w:bookmarkStart w:id="106" w:name="_Toc342913395"/>
      <w:bookmarkStart w:id="107" w:name="_Toc102227321"/>
      <w:r>
        <w:rPr>
          <w:rFonts w:hint="eastAsia" w:ascii="方正仿宋_GBK" w:hAnsi="宋体" w:eastAsia="方正仿宋_GBK"/>
          <w:color w:val="auto"/>
          <w:sz w:val="24"/>
          <w:highlight w:val="none"/>
        </w:rPr>
        <w:t>五、成交通知</w:t>
      </w:r>
      <w:bookmarkEnd w:id="104"/>
      <w:bookmarkEnd w:id="105"/>
      <w:bookmarkEnd w:id="106"/>
      <w:bookmarkEnd w:id="107"/>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（https://jtj.cq.gov.cn）上发布成交结果公告。</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（三）成交结果公告将作为签订合同的依据。</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8" w:name="_Toc106030898"/>
      <w:bookmarkStart w:id="109" w:name="_Toc76462343"/>
      <w:r>
        <w:rPr>
          <w:rFonts w:hint="eastAsia" w:ascii="方正仿宋_GBK" w:hAnsi="宋体" w:eastAsia="方正仿宋_GBK"/>
          <w:color w:val="auto"/>
          <w:sz w:val="24"/>
          <w:highlight w:val="none"/>
        </w:rPr>
        <w:t>六、关于质疑和投诉</w:t>
      </w:r>
      <w:bookmarkEnd w:id="108"/>
      <w:bookmarkEnd w:id="109"/>
    </w:p>
    <w:p>
      <w:pPr>
        <w:spacing w:line="400" w:lineRule="exact"/>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（一）质疑</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供应商认为采购文件、采购过程和成交结果使自己的权益收到伤害的，可向采购人或采购代理机构以书面形式提出质疑。</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提出质疑的应当是参与所质疑项目采购活动的供应商。 </w:t>
      </w:r>
    </w:p>
    <w:p>
      <w:pPr>
        <w:spacing w:line="400" w:lineRule="exact"/>
        <w:ind w:right="12" w:firstLine="480"/>
        <w:outlineLvl w:val="2"/>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1.2.2质疑项目的名称、项目号以及采购执行编号；</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0" w:name="_Toc102227322"/>
      <w:bookmarkStart w:id="111" w:name="_Toc76462346"/>
      <w:bookmarkStart w:id="112" w:name="_Toc106030901"/>
      <w:bookmarkStart w:id="113" w:name="_Toc342913396"/>
      <w:bookmarkStart w:id="114" w:name="_Toc12789059"/>
      <w:bookmarkStart w:id="115" w:name="_Toc11641055"/>
      <w:r>
        <w:rPr>
          <w:rFonts w:hint="eastAsia" w:ascii="方正仿宋_GBK" w:hAnsi="宋体" w:eastAsia="方正仿宋_GBK"/>
          <w:color w:val="auto"/>
          <w:sz w:val="24"/>
          <w:highlight w:val="none"/>
          <w:lang w:eastAsia="zh-CN"/>
        </w:rPr>
        <w:t>七</w:t>
      </w:r>
      <w:r>
        <w:rPr>
          <w:rFonts w:hint="eastAsia" w:ascii="方正仿宋_GBK" w:hAnsi="宋体" w:eastAsia="方正仿宋_GBK"/>
          <w:color w:val="auto"/>
          <w:sz w:val="24"/>
          <w:highlight w:val="none"/>
        </w:rPr>
        <w:t>、签订</w:t>
      </w:r>
      <w:bookmarkEnd w:id="110"/>
      <w:r>
        <w:rPr>
          <w:rFonts w:hint="eastAsia" w:ascii="方正仿宋_GBK" w:hAnsi="宋体" w:eastAsia="方正仿宋_GBK"/>
          <w:color w:val="auto"/>
          <w:sz w:val="24"/>
          <w:highlight w:val="none"/>
        </w:rPr>
        <w:t>合同</w:t>
      </w:r>
      <w:bookmarkEnd w:id="111"/>
      <w:bookmarkEnd w:id="112"/>
      <w:bookmarkEnd w:id="113"/>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6" w:name="_Toc106030902"/>
      <w:r>
        <w:rPr>
          <w:rFonts w:hint="eastAsia" w:ascii="方正仿宋_GBK" w:hAnsi="宋体" w:eastAsia="方正仿宋_GBK"/>
          <w:color w:val="auto"/>
          <w:sz w:val="24"/>
          <w:highlight w:val="none"/>
          <w:lang w:eastAsia="zh-CN"/>
        </w:rPr>
        <w:t>八</w:t>
      </w:r>
      <w:r>
        <w:rPr>
          <w:rFonts w:hint="eastAsia" w:ascii="方正仿宋_GBK" w:hAnsi="宋体" w:eastAsia="方正仿宋_GBK"/>
          <w:color w:val="auto"/>
          <w:sz w:val="24"/>
          <w:highlight w:val="none"/>
        </w:rPr>
        <w:t>、项目验收</w:t>
      </w:r>
      <w:bookmarkEnd w:id="116"/>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合同执行完毕，采购人或采购代理机构原则上应在7个工作日内组织履约情况验收，不得无故拖延或附加额外条件。</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7" w:name="_Toc106030899"/>
      <w:bookmarkStart w:id="118" w:name="_Toc76462344"/>
      <w:r>
        <w:rPr>
          <w:rFonts w:hint="eastAsia" w:ascii="方正仿宋_GBK" w:hAnsi="宋体" w:eastAsia="方正仿宋_GBK"/>
          <w:color w:val="auto"/>
          <w:sz w:val="24"/>
          <w:highlight w:val="none"/>
          <w:lang w:eastAsia="zh-CN"/>
        </w:rPr>
        <w:t>九</w:t>
      </w:r>
      <w:r>
        <w:rPr>
          <w:rFonts w:hint="eastAsia" w:ascii="方正仿宋_GBK" w:hAnsi="宋体" w:eastAsia="方正仿宋_GBK"/>
          <w:color w:val="auto"/>
          <w:sz w:val="24"/>
          <w:highlight w:val="none"/>
        </w:rPr>
        <w:t>、采购代理服务费</w:t>
      </w:r>
      <w:bookmarkEnd w:id="117"/>
      <w:bookmarkEnd w:id="118"/>
    </w:p>
    <w:p>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pPr>
        <w:pStyle w:val="3"/>
        <w:spacing w:before="0" w:after="0" w:line="360" w:lineRule="auto"/>
        <w:jc w:val="center"/>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119" w:name="_Toc76462348"/>
      <w:bookmarkStart w:id="120" w:name="_Toc106030904"/>
      <w:r>
        <w:rPr>
          <w:rFonts w:hint="eastAsia" w:ascii="方正小标宋_GBK" w:hAnsi="宋体" w:eastAsia="方正小标宋_GBK"/>
          <w:b w:val="0"/>
          <w:color w:val="auto"/>
          <w:sz w:val="36"/>
          <w:szCs w:val="30"/>
          <w:highlight w:val="none"/>
        </w:rPr>
        <w:t xml:space="preserve">第六篇  </w:t>
      </w:r>
      <w:bookmarkEnd w:id="114"/>
      <w:bookmarkEnd w:id="115"/>
      <w:r>
        <w:rPr>
          <w:rFonts w:hint="eastAsia" w:ascii="方正小标宋_GBK" w:hAnsi="宋体" w:eastAsia="方正小标宋_GBK"/>
          <w:b w:val="0"/>
          <w:color w:val="auto"/>
          <w:sz w:val="36"/>
          <w:szCs w:val="30"/>
          <w:highlight w:val="none"/>
        </w:rPr>
        <w:t>政府采购合同</w:t>
      </w:r>
      <w:bookmarkEnd w:id="119"/>
      <w:bookmarkEnd w:id="120"/>
    </w:p>
    <w:p>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pPr>
        <w:spacing w:line="500" w:lineRule="exact"/>
        <w:jc w:val="center"/>
        <w:outlineLvl w:val="1"/>
        <w:rPr>
          <w:rFonts w:hint="eastAsia" w:ascii="方正仿宋_GBK" w:eastAsia="方正仿宋_GBK"/>
          <w:b/>
          <w:color w:val="auto"/>
          <w:sz w:val="44"/>
          <w:highlight w:val="none"/>
        </w:rPr>
      </w:pP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7" w:hRule="atLeast"/>
        </w:trPr>
        <w:tc>
          <w:tcPr>
            <w:tcW w:w="9613" w:type="dxa"/>
            <w:gridSpan w:val="7"/>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pP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pPr>
              <w:spacing w:line="240" w:lineRule="atLeast"/>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pPr>
              <w:spacing w:line="240" w:lineRule="atLeast"/>
              <w:rPr>
                <w:rFonts w:hint="eastAsia" w:ascii="方正仿宋_GBK" w:eastAsia="方正仿宋_GBK"/>
                <w:color w:val="auto"/>
                <w:sz w:val="21"/>
                <w:szCs w:val="21"/>
                <w:highlight w:val="none"/>
              </w:rPr>
            </w:pPr>
          </w:p>
          <w:p>
            <w:pPr>
              <w:spacing w:line="240" w:lineRule="atLeast"/>
              <w:rPr>
                <w:rFonts w:hint="eastAsia" w:ascii="方正仿宋_GBK" w:eastAsia="方正仿宋_GBK"/>
                <w:color w:val="auto"/>
                <w:sz w:val="21"/>
                <w:szCs w:val="21"/>
                <w:highlight w:val="none"/>
              </w:rPr>
            </w:pPr>
          </w:p>
        </w:tc>
      </w:tr>
    </w:tbl>
    <w:p>
      <w:pPr>
        <w:rPr>
          <w:rFonts w:hint="eastAsia" w:ascii="方正仿宋_GBK" w:eastAsia="方正仿宋_GBK"/>
          <w:color w:val="auto"/>
          <w:sz w:val="21"/>
          <w:szCs w:val="21"/>
          <w:highlight w:val="none"/>
        </w:rPr>
        <w:sectPr>
          <w:footerReference r:id="rId18" w:type="default"/>
          <w:footerReference r:id="rId19" w:type="even"/>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pPr>
        <w:pStyle w:val="3"/>
        <w:spacing w:before="0" w:after="0" w:line="240" w:lineRule="auto"/>
        <w:jc w:val="center"/>
        <w:rPr>
          <w:rFonts w:hint="eastAsia" w:ascii="方正小标宋_GBK" w:hAnsi="宋体" w:eastAsia="方正小标宋_GBK"/>
          <w:b w:val="0"/>
          <w:color w:val="auto"/>
          <w:sz w:val="36"/>
          <w:szCs w:val="30"/>
          <w:highlight w:val="none"/>
        </w:rPr>
      </w:pPr>
      <w:bookmarkStart w:id="121" w:name="_Hlt41879464"/>
      <w:bookmarkEnd w:id="121"/>
      <w:bookmarkStart w:id="122" w:name="_Toc76462349"/>
      <w:bookmarkStart w:id="123" w:name="_Toc106030905"/>
      <w:r>
        <w:rPr>
          <w:rFonts w:hint="eastAsia" w:ascii="方正小标宋_GBK" w:hAnsi="宋体" w:eastAsia="方正小标宋_GBK"/>
          <w:b w:val="0"/>
          <w:color w:val="auto"/>
          <w:sz w:val="36"/>
          <w:szCs w:val="30"/>
          <w:highlight w:val="none"/>
        </w:rPr>
        <w:t>第七篇  响应文件编制要求</w:t>
      </w:r>
      <w:bookmarkEnd w:id="122"/>
      <w:bookmarkEnd w:id="123"/>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一、经济部分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（二）明细报价表（格式自定）</w:t>
      </w:r>
    </w:p>
    <w:p>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服务部分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服务</w:t>
      </w:r>
      <w:r>
        <w:rPr>
          <w:rFonts w:hint="eastAsia" w:ascii="方正仿宋_GBK" w:hAnsi="宋体" w:eastAsia="方正仿宋_GBK"/>
          <w:color w:val="auto"/>
          <w:sz w:val="24"/>
          <w:szCs w:val="24"/>
          <w:highlight w:val="none"/>
        </w:rPr>
        <w:t>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服务方案</w:t>
      </w:r>
      <w:r>
        <w:rPr>
          <w:rFonts w:hint="eastAsia" w:ascii="方正仿宋_GBK" w:hAnsi="宋体" w:eastAsia="方正仿宋_GBK"/>
          <w:color w:val="auto"/>
          <w:sz w:val="24"/>
          <w:szCs w:val="24"/>
          <w:highlight w:val="none"/>
        </w:rPr>
        <w:t>（格式自定）</w:t>
      </w:r>
    </w:p>
    <w:p>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三、商务</w:t>
      </w:r>
      <w:r>
        <w:rPr>
          <w:rFonts w:hint="eastAsia" w:ascii="方正仿宋_GBK" w:hAnsi="宋体" w:eastAsia="方正仿宋_GBK"/>
          <w:color w:val="auto"/>
          <w:sz w:val="24"/>
          <w:szCs w:val="24"/>
          <w:highlight w:val="none"/>
          <w:lang w:eastAsia="zh-CN"/>
        </w:rPr>
        <w:t>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（一）商务响应偏离表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（二）商务部分评审证明材料（如果有）</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）其它优惠服务承诺（格式自定）</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四、资格条件及其他</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五、其他资料</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4" w:name="_Toc76462350"/>
      <w:bookmarkStart w:id="125" w:name="_Toc106030906"/>
      <w:bookmarkStart w:id="126" w:name="_Toc313888360"/>
      <w:bookmarkStart w:id="127" w:name="_Toc313008356"/>
      <w:bookmarkStart w:id="128" w:name="_Toc342913419"/>
      <w:bookmarkStart w:id="129" w:name="_Toc12789073"/>
      <w:bookmarkStart w:id="130" w:name="_Toc283382454"/>
      <w:r>
        <w:rPr>
          <w:rFonts w:hint="eastAsia" w:ascii="方正仿宋_GBK" w:hAnsi="宋体" w:eastAsia="方正仿宋_GBK"/>
          <w:color w:val="auto"/>
          <w:sz w:val="24"/>
          <w:highlight w:val="none"/>
        </w:rPr>
        <w:t>一、经济部分</w:t>
      </w:r>
      <w:bookmarkEnd w:id="124"/>
      <w:bookmarkEnd w:id="125"/>
      <w:bookmarkEnd w:id="126"/>
      <w:bookmarkEnd w:id="127"/>
      <w:bookmarkEnd w:id="128"/>
    </w:p>
    <w:bookmarkEnd w:id="129"/>
    <w:bookmarkEnd w:id="130"/>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jc w:val="center"/>
        <w:rPr>
          <w:rFonts w:hint="eastAsia" w:ascii="方正仿宋_GBK" w:eastAsia="方正仿宋_GBK"/>
          <w:b/>
          <w:color w:val="auto"/>
          <w:szCs w:val="28"/>
          <w:highlight w:val="none"/>
        </w:rPr>
      </w:pPr>
      <w:r>
        <w:rPr>
          <w:rFonts w:hint="eastAsia" w:ascii="方正仿宋_GBK" w:eastAsia="方正仿宋_GBK"/>
          <w:b/>
          <w:color w:val="auto"/>
          <w:szCs w:val="28"/>
          <w:highlight w:val="none"/>
        </w:rPr>
        <w:t>报价函</w:t>
      </w:r>
    </w:p>
    <w:p>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我方收到____________________________（项目名称）的限额以下磋商评分文件，经详细研究，决定参加该项目的竞争。</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1.愿意按照限额以下磋商评分文件中的一切要求，提供本项目的服务，初始报价为人民币大写：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元。以我公司最后报价为准。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3.我方承诺：本次限额以下磋商评分的有效期为提交响应文件截止时间起90天。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4.我方完全理解和接受贵方限额以下磋商评分文件的一切规定和要求及评审办法。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5.在整个限额以下磋商评分过程中，我方若有违规行为，接受按照《中华人民共和国政府采购法》和《限额以下磋商评分文件》之规定给予惩罚。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7.如果我方成为成交供应商，保证在接到成交通知书后，向采购代理机构</w:t>
      </w:r>
      <w:r>
        <w:rPr>
          <w:rFonts w:hint="eastAsia" w:ascii="方正仿宋_GBK" w:hAnsi="宋体" w:eastAsia="方正仿宋_GBK"/>
          <w:color w:val="auto"/>
          <w:sz w:val="24"/>
          <w:highlight w:val="none"/>
        </w:rPr>
        <w:t>缴纳</w:t>
      </w:r>
      <w:r>
        <w:rPr>
          <w:rFonts w:hint="eastAsia" w:ascii="方正仿宋_GBK" w:hAnsi="宋体" w:eastAsia="方正仿宋_GBK"/>
          <w:color w:val="auto"/>
          <w:sz w:val="24"/>
          <w:szCs w:val="24"/>
          <w:highlight w:val="none"/>
        </w:rPr>
        <w:t>采购文件规定的采购代理服务费。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pPr>
        <w:tabs>
          <w:tab w:val="left" w:pos="2895"/>
        </w:tabs>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（二）明细报价表（格式自定）</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1" w:name="_Toc313008357"/>
      <w:bookmarkStart w:id="132" w:name="_Toc76462351"/>
      <w:bookmarkStart w:id="133" w:name="_Toc106030907"/>
      <w:bookmarkStart w:id="134" w:name="_Toc342913420"/>
      <w:bookmarkStart w:id="135" w:name="_Toc313888361"/>
      <w:r>
        <w:rPr>
          <w:rFonts w:hint="eastAsia" w:ascii="方正仿宋_GBK" w:hAnsi="宋体" w:eastAsia="方正仿宋_GBK"/>
          <w:color w:val="auto"/>
          <w:sz w:val="24"/>
          <w:highlight w:val="none"/>
        </w:rPr>
        <w:t>二、服务部分</w:t>
      </w:r>
      <w:bookmarkEnd w:id="131"/>
      <w:bookmarkEnd w:id="132"/>
      <w:bookmarkEnd w:id="133"/>
      <w:bookmarkEnd w:id="134"/>
      <w:bookmarkEnd w:id="135"/>
    </w:p>
    <w:p>
      <w:pPr>
        <w:tabs>
          <w:tab w:val="left" w:pos="6300"/>
        </w:tabs>
        <w:snapToGrid w:val="0"/>
        <w:spacing w:line="400" w:lineRule="exact"/>
        <w:ind w:firstLine="480" w:firstLineChars="200"/>
        <w:rPr>
          <w:rFonts w:hint="eastAsia" w:ascii="方正仿宋_GBK" w:hAnsi="宋体" w:eastAsia="方正仿宋_GBK"/>
          <w:color w:val="auto"/>
          <w:szCs w:val="24"/>
          <w:highlight w:val="none"/>
        </w:rPr>
      </w:pPr>
      <w:r>
        <w:rPr>
          <w:rFonts w:hint="eastAsia" w:ascii="方正仿宋_GBK" w:hAnsi="宋体" w:eastAsia="方正仿宋_GBK"/>
          <w:color w:val="auto"/>
          <w:sz w:val="24"/>
          <w:szCs w:val="24"/>
          <w:highlight w:val="none"/>
        </w:rPr>
        <w:t xml:space="preserve">（一）服务响应偏离表                                </w:t>
      </w:r>
    </w:p>
    <w:p>
      <w:pPr>
        <w:spacing w:line="400" w:lineRule="exact"/>
        <w:ind w:firstLine="480" w:firstLineChars="200"/>
        <w:rPr>
          <w:rFonts w:hint="eastAsia" w:ascii="方正仿宋_GBK" w:hAnsi="宋体" w:eastAsia="方正仿宋_GBK"/>
          <w:color w:val="auto"/>
          <w:sz w:val="24"/>
          <w:szCs w:val="24"/>
          <w:highlight w:val="none"/>
        </w:rPr>
      </w:pP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序号</w:t>
            </w: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采购需求</w:t>
            </w: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响应情况</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outlineLvl w:val="0"/>
              <w:rPr>
                <w:rFonts w:hint="eastAsia" w:ascii="方正仿宋_GBK" w:hAnsi="宋体" w:eastAsia="方正仿宋_GBK"/>
                <w:color w:val="auto"/>
                <w:sz w:val="21"/>
                <w:szCs w:val="21"/>
                <w:highlight w:val="none"/>
                <w:lang w:eastAsia="zh-CN"/>
              </w:rPr>
            </w:pPr>
            <w:r>
              <w:rPr>
                <w:rFonts w:hint="eastAsia" w:ascii="方正仿宋_GBK" w:hAnsi="仿宋" w:eastAsia="方正仿宋_GBK"/>
                <w:color w:val="auto"/>
                <w:sz w:val="21"/>
                <w:szCs w:val="21"/>
                <w:highlight w:val="none"/>
                <w:lang w:val="en-US" w:eastAsia="zh-CN"/>
              </w:rPr>
              <w:t xml:space="preserve"> </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项目服务需求”中所列条款进行比较和响应；</w:t>
      </w:r>
    </w:p>
    <w:p>
      <w:pPr>
        <w:snapToGrid w:val="0"/>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p>
    <w:p>
      <w:pPr>
        <w:tabs>
          <w:tab w:val="left" w:pos="6300"/>
        </w:tabs>
        <w:snapToGrid w:val="0"/>
        <w:spacing w:line="400" w:lineRule="exact"/>
        <w:ind w:firstLine="560" w:firstLineChars="200"/>
        <w:rPr>
          <w:rFonts w:hint="eastAsia" w:ascii="方正仿宋_GBK" w:hAnsi="宋体" w:eastAsia="方正仿宋_GBK"/>
          <w:color w:val="auto"/>
          <w:szCs w:val="24"/>
          <w:highlight w:val="none"/>
        </w:rPr>
      </w:pPr>
      <w:r>
        <w:rPr>
          <w:rFonts w:ascii="方正仿宋_GBK" w:hAnsi="宋体" w:eastAsia="方正仿宋_GBK"/>
          <w:color w:val="auto"/>
          <w:szCs w:val="24"/>
          <w:highlight w:val="none"/>
        </w:rPr>
        <w:br w:type="page"/>
      </w: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服务方案</w:t>
      </w:r>
      <w:r>
        <w:rPr>
          <w:rFonts w:hint="eastAsia" w:ascii="方正仿宋_GBK" w:hAnsi="宋体" w:eastAsia="方正仿宋_GBK"/>
          <w:color w:val="auto"/>
          <w:sz w:val="24"/>
          <w:szCs w:val="24"/>
          <w:highlight w:val="none"/>
        </w:rPr>
        <w:t>（格式自定）</w:t>
      </w:r>
    </w:p>
    <w:p>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136" w:name="_Toc313008358"/>
      <w:bookmarkStart w:id="137" w:name="_Toc342913421"/>
      <w:bookmarkStart w:id="138" w:name="_Toc106030908"/>
      <w:bookmarkStart w:id="139" w:name="_Toc76462352"/>
      <w:bookmarkStart w:id="140" w:name="_Toc313888362"/>
      <w:r>
        <w:rPr>
          <w:rFonts w:hint="eastAsia" w:ascii="方正仿宋_GBK" w:hAnsi="宋体" w:eastAsia="方正仿宋_GBK"/>
          <w:color w:val="auto"/>
          <w:sz w:val="24"/>
          <w:highlight w:val="none"/>
        </w:rPr>
        <w:t>三、商务部分</w:t>
      </w:r>
      <w:bookmarkEnd w:id="136"/>
      <w:bookmarkEnd w:id="137"/>
      <w:bookmarkEnd w:id="138"/>
      <w:bookmarkEnd w:id="139"/>
      <w:bookmarkEnd w:id="140"/>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（一）商务响应偏离表                           </w:t>
      </w:r>
    </w:p>
    <w:p>
      <w:pPr>
        <w:snapToGrid w:val="0"/>
        <w:spacing w:line="400" w:lineRule="exact"/>
        <w:ind w:firstLine="480" w:firstLineChars="200"/>
        <w:rPr>
          <w:rFonts w:hint="eastAsia" w:ascii="方正仿宋_GBK" w:hAnsi="宋体" w:eastAsia="方正仿宋_GBK"/>
          <w:color w:val="auto"/>
          <w:sz w:val="24"/>
          <w:szCs w:val="24"/>
          <w:highlight w:val="none"/>
        </w:rPr>
      </w:pP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snapToGrid w:val="0"/>
              <w:spacing w:line="360" w:lineRule="auto"/>
              <w:ind w:firstLine="465"/>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序号</w:t>
            </w: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项目商务需求</w:t>
            </w: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响应情况</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pPr>
              <w:tabs>
                <w:tab w:val="left" w:pos="6300"/>
              </w:tabs>
              <w:snapToGrid w:val="0"/>
              <w:spacing w:line="360" w:lineRule="auto"/>
              <w:outlineLvl w:val="0"/>
              <w:rPr>
                <w:rFonts w:hint="eastAsia" w:ascii="方正仿宋_GBK" w:hAnsi="宋体" w:eastAsia="方正仿宋_GBK"/>
                <w:color w:val="auto"/>
                <w:sz w:val="21"/>
                <w:szCs w:val="24"/>
                <w:highlight w:val="none"/>
                <w:lang w:eastAsia="zh-CN"/>
              </w:rPr>
            </w:pPr>
            <w:r>
              <w:rPr>
                <w:rFonts w:hint="eastAsia" w:ascii="方正仿宋_GBK" w:hAnsi="仿宋" w:eastAsia="方正仿宋_GBK"/>
                <w:color w:val="auto"/>
                <w:sz w:val="21"/>
                <w:szCs w:val="21"/>
                <w:highlight w:val="none"/>
                <w:lang w:val="en-US" w:eastAsia="zh-CN"/>
              </w:rPr>
              <w:t xml:space="preserve"> </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bl>
    <w:p>
      <w:pPr>
        <w:snapToGrid w:val="0"/>
        <w:spacing w:line="360" w:lineRule="auto"/>
        <w:ind w:firstLine="465"/>
        <w:rPr>
          <w:rFonts w:hint="eastAsia" w:ascii="方正仿宋_GBK" w:hAnsi="宋体" w:eastAsia="方正仿宋_GBK"/>
          <w:color w:val="auto"/>
          <w:sz w:val="24"/>
          <w:szCs w:val="24"/>
          <w:highlight w:val="none"/>
        </w:rPr>
      </w:pPr>
    </w:p>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pPr>
        <w:snapToGrid w:val="0"/>
        <w:spacing w:line="400" w:lineRule="exact"/>
        <w:ind w:firstLine="480" w:firstLineChars="200"/>
        <w:rPr>
          <w:rFonts w:hint="eastAsia" w:ascii="方正仿宋_GBK" w:eastAsia="方正仿宋_GBK"/>
          <w:b/>
          <w:color w:val="auto"/>
          <w:highlight w:val="none"/>
        </w:rPr>
        <w:sectPr>
          <w:headerReference r:id="rId20"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highlight w:val="none"/>
        </w:rPr>
        <w:t>2.本表可扩展。</w:t>
      </w:r>
    </w:p>
    <w:p>
      <w:pPr>
        <w:snapToGrid w:val="0"/>
        <w:spacing w:line="400" w:lineRule="exact"/>
        <w:ind w:firstLine="480" w:firstLineChars="200"/>
        <w:rPr>
          <w:rFonts w:hint="eastAsia" w:ascii="方正仿宋_GBK" w:hAnsi="宋体" w:eastAsia="方正仿宋_GBK"/>
          <w:color w:val="auto"/>
          <w:sz w:val="24"/>
          <w:szCs w:val="24"/>
          <w:highlight w:val="none"/>
        </w:rPr>
      </w:pPr>
      <w:bookmarkStart w:id="141" w:name="_Toc283382459"/>
      <w:r>
        <w:rPr>
          <w:rFonts w:hint="eastAsia" w:ascii="方正仿宋_GBK" w:hAnsi="宋体" w:eastAsia="方正仿宋_GBK"/>
          <w:color w:val="auto"/>
          <w:sz w:val="24"/>
          <w:szCs w:val="24"/>
          <w:highlight w:val="none"/>
        </w:rPr>
        <w:t>（二）商务部分评审证明材料（如果有）</w:t>
      </w:r>
    </w:p>
    <w:p>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）其它优惠承诺（格式自定）</w:t>
      </w:r>
    </w:p>
    <w:p>
      <w:pPr>
        <w:snapToGrid w:val="0"/>
        <w:spacing w:line="400" w:lineRule="exact"/>
        <w:ind w:firstLine="480" w:firstLineChars="200"/>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End w:id="141"/>
      <w:bookmarkStart w:id="142" w:name="_Toc313008359"/>
      <w:bookmarkStart w:id="143" w:name="_Toc106030909"/>
      <w:bookmarkStart w:id="144" w:name="_Toc342913422"/>
      <w:bookmarkStart w:id="145" w:name="_Toc76462353"/>
      <w:bookmarkStart w:id="146" w:name="_Toc313888363"/>
      <w:r>
        <w:rPr>
          <w:rFonts w:hint="eastAsia" w:ascii="方正仿宋_GBK" w:hAnsi="宋体" w:eastAsia="方正仿宋_GBK"/>
          <w:color w:val="auto"/>
          <w:sz w:val="24"/>
          <w:highlight w:val="none"/>
        </w:rPr>
        <w:t>四、资格条件</w:t>
      </w:r>
      <w:bookmarkEnd w:id="142"/>
      <w:bookmarkEnd w:id="143"/>
      <w:bookmarkEnd w:id="144"/>
      <w:bookmarkEnd w:id="145"/>
      <w:bookmarkEnd w:id="146"/>
    </w:p>
    <w:p>
      <w:pPr>
        <w:tabs>
          <w:tab w:val="left" w:pos="6300"/>
        </w:tabs>
        <w:snapToGrid w:val="0"/>
        <w:spacing w:line="400" w:lineRule="exact"/>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snapToGrid w:val="0"/>
        <w:spacing w:line="400" w:lineRule="exact"/>
        <w:ind w:firstLine="560" w:firstLineChars="200"/>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（采购代理机构名称）：</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snapToGrid w:val="0"/>
        <w:spacing w:line="400" w:lineRule="exact"/>
        <w:ind w:firstLine="560" w:firstLineChars="200"/>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w:t>
      </w:r>
      <w:r>
        <w:rPr>
          <w:rFonts w:hint="eastAsia" w:ascii="方正仿宋_GBK" w:hAnsi="仿宋" w:eastAsia="方正仿宋_GBK"/>
          <w:color w:val="auto"/>
          <w:sz w:val="24"/>
          <w:highlight w:val="none"/>
          <w:lang w:eastAsia="zh-CN"/>
        </w:rPr>
        <w:t>提供</w:t>
      </w:r>
      <w:r>
        <w:rPr>
          <w:rFonts w:hint="eastAsia" w:ascii="方正仿宋_GBK" w:hAnsi="宋体" w:eastAsia="方正仿宋_GBK"/>
          <w:color w:val="auto"/>
          <w:sz w:val="24"/>
          <w:highlight w:val="none"/>
        </w:rPr>
        <w:t>被授权人</w:t>
      </w:r>
      <w:r>
        <w:rPr>
          <w:rFonts w:hint="eastAsia" w:ascii="方正仿宋_GBK" w:hAnsi="仿宋" w:eastAsia="方正仿宋_GBK"/>
          <w:color w:val="auto"/>
          <w:sz w:val="24"/>
          <w:highlight w:val="none"/>
          <w:lang w:eastAsia="zh-CN"/>
        </w:rPr>
        <w:t>社保证明文件</w:t>
      </w:r>
      <w:r>
        <w:rPr>
          <w:rFonts w:hint="eastAsia" w:ascii="方正仿宋_GBK" w:hAnsi="仿宋" w:eastAsia="方正仿宋_GBK"/>
          <w:color w:val="auto"/>
          <w:sz w:val="24"/>
          <w:highlight w:val="none"/>
        </w:rPr>
        <w:t>。</w:t>
      </w:r>
    </w:p>
    <w:p>
      <w:pPr>
        <w:tabs>
          <w:tab w:val="left" w:pos="6300"/>
        </w:tabs>
        <w:snapToGrid w:val="0"/>
        <w:spacing w:line="500" w:lineRule="exact"/>
        <w:ind w:firstLine="570"/>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pPr>
        <w:tabs>
          <w:tab w:val="left" w:pos="6300"/>
        </w:tabs>
        <w:snapToGrid w:val="0"/>
        <w:spacing w:line="500" w:lineRule="exact"/>
        <w:ind w:firstLine="7920" w:firstLineChars="33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pPr>
        <w:snapToGrid w:val="0"/>
        <w:spacing w:line="400" w:lineRule="exact"/>
        <w:ind w:firstLine="560" w:firstLineChars="200"/>
        <w:rPr>
          <w:rFonts w:hint="eastAsia" w:ascii="方正仿宋_GBK" w:hAnsi="宋体" w:eastAsia="方正仿宋_GBK"/>
          <w:color w:val="auto"/>
          <w:sz w:val="24"/>
          <w:szCs w:val="24"/>
          <w:highlight w:val="none"/>
          <w:lang w:eastAsia="zh-CN"/>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（五）特定资格条件证明文件</w:t>
      </w:r>
      <w:r>
        <w:rPr>
          <w:rFonts w:hint="eastAsia" w:ascii="方正仿宋_GBK" w:hAnsi="宋体" w:eastAsia="方正仿宋_GBK"/>
          <w:color w:val="auto"/>
          <w:sz w:val="24"/>
          <w:szCs w:val="24"/>
          <w:highlight w:val="none"/>
          <w:lang w:eastAsia="zh-CN"/>
        </w:rPr>
        <w:t>（如有）</w:t>
      </w:r>
    </w:p>
    <w:p>
      <w:pPr>
        <w:tabs>
          <w:tab w:val="left" w:pos="6300"/>
        </w:tabs>
        <w:snapToGrid w:val="0"/>
        <w:spacing w:line="400" w:lineRule="exact"/>
        <w:ind w:firstLine="480" w:firstLineChars="200"/>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560" w:firstLineChars="200"/>
        <w:rPr>
          <w:rFonts w:hint="eastAsia" w:ascii="方正仿宋_GBK" w:hAnsi="宋体" w:eastAsia="方正仿宋_GBK"/>
          <w:color w:val="auto"/>
          <w:sz w:val="24"/>
          <w:highlight w:val="none"/>
        </w:rPr>
      </w:pPr>
      <w:bookmarkStart w:id="147" w:name="_Toc14422"/>
      <w:r>
        <w:rPr>
          <w:rFonts w:ascii="方正仿宋_GBK" w:hAnsi="宋体" w:eastAsia="方正仿宋_GBK"/>
          <w:b w:val="0"/>
          <w:color w:val="auto"/>
          <w:sz w:val="28"/>
          <w:highlight w:val="none"/>
        </w:rPr>
        <w:br w:type="page"/>
      </w:r>
      <w:bookmarkStart w:id="148" w:name="_Toc106030910"/>
      <w:bookmarkStart w:id="149" w:name="_Toc76462354"/>
      <w:r>
        <w:rPr>
          <w:rFonts w:hint="eastAsia" w:ascii="方正仿宋_GBK" w:hAnsi="宋体" w:eastAsia="方正仿宋_GBK"/>
          <w:color w:val="auto"/>
          <w:sz w:val="24"/>
          <w:highlight w:val="none"/>
        </w:rPr>
        <w:t>五、其他资料</w:t>
      </w:r>
      <w:bookmarkEnd w:id="147"/>
      <w:bookmarkEnd w:id="148"/>
      <w:bookmarkEnd w:id="149"/>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 xml:space="preserve">）其他与项目有关的资料（自附） </w:t>
      </w:r>
    </w:p>
    <w:p>
      <w:pPr>
        <w:spacing w:line="360" w:lineRule="auto"/>
        <w:ind w:firstLine="480" w:firstLineChars="200"/>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rPr>
          <w:rFonts w:hint="eastAsia" w:ascii="方正仿宋_GBK" w:hAnsi="宋体" w:eastAsia="方正仿宋_GBK"/>
          <w:color w:val="auto"/>
          <w:sz w:val="24"/>
          <w:szCs w:val="24"/>
          <w:highlight w:val="none"/>
        </w:rPr>
      </w:pPr>
    </w:p>
    <w:p>
      <w:pPr>
        <w:spacing w:line="360" w:lineRule="auto"/>
        <w:ind w:firstLine="480" w:firstLineChars="200"/>
        <w:jc w:val="center"/>
        <w:outlineLvl w:val="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（结束）</w:t>
      </w:r>
    </w:p>
    <w:p>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附件：重庆华大工程管理有限公司采购文件发售登记表</w:t>
      </w:r>
    </w:p>
    <w:p>
      <w:pPr>
        <w:jc w:val="left"/>
        <w:rPr>
          <w:rFonts w:ascii="宋体" w:hAnsi="宋体" w:cs="宋体"/>
          <w:b/>
          <w:bCs/>
          <w:color w:val="auto"/>
          <w:spacing w:val="40"/>
          <w:sz w:val="32"/>
          <w:szCs w:val="32"/>
          <w:highlight w:val="none"/>
        </w:rPr>
      </w:pPr>
    </w:p>
    <w:tbl>
      <w:tblPr>
        <w:tblStyle w:val="58"/>
        <w:tblW w:w="88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730"/>
        <w:gridCol w:w="1150"/>
        <w:gridCol w:w="44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7296"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7296"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7296" w:type="dxa"/>
            <w:gridSpan w:val="3"/>
            <w:noWrap w:val="0"/>
            <w:vAlign w:val="bottom"/>
          </w:tcPr>
          <w:p>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730" w:type="dxa"/>
            <w:noWrap w:val="0"/>
            <w:vAlign w:val="center"/>
          </w:tcPr>
          <w:p>
            <w:pPr>
              <w:jc w:val="left"/>
              <w:rPr>
                <w:rFonts w:ascii="宋体" w:hAnsi="宋体" w:cs="宋体"/>
                <w:color w:val="auto"/>
                <w:sz w:val="30"/>
                <w:szCs w:val="30"/>
                <w:highlight w:val="none"/>
              </w:rPr>
            </w:pPr>
          </w:p>
        </w:tc>
        <w:tc>
          <w:tcPr>
            <w:tcW w:w="1150"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4416"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730" w:type="dxa"/>
            <w:noWrap w:val="0"/>
            <w:vAlign w:val="center"/>
          </w:tcPr>
          <w:p>
            <w:pPr>
              <w:jc w:val="left"/>
              <w:rPr>
                <w:rFonts w:ascii="宋体" w:hAnsi="宋体" w:cs="宋体"/>
                <w:color w:val="auto"/>
                <w:sz w:val="30"/>
                <w:szCs w:val="30"/>
                <w:highlight w:val="none"/>
              </w:rPr>
            </w:pPr>
          </w:p>
        </w:tc>
        <w:tc>
          <w:tcPr>
            <w:tcW w:w="1150"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4416"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7296"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7296"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899" w:type="dxa"/>
            <w:gridSpan w:val="4"/>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pPr>
        <w:spacing w:line="360" w:lineRule="auto"/>
        <w:ind w:firstLine="480" w:firstLineChars="200"/>
        <w:jc w:val="center"/>
        <w:outlineLvl w:val="0"/>
        <w:rPr>
          <w:rFonts w:hint="eastAsia" w:ascii="方正仿宋_GBK" w:hAnsi="宋体" w:eastAsia="方正仿宋_GBK"/>
          <w:color w:val="auto"/>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- 28 -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multilevel"/>
    <w:tmpl w:val="00000010"/>
    <w:lvl w:ilvl="0" w:tentative="0">
      <w:start w:val="1"/>
      <w:numFmt w:val="bullet"/>
      <w:pStyle w:val="14"/>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173"/>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6">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1F5B12D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201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1E3D"/>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469"/>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45C08"/>
    <w:rsid w:val="00254CD4"/>
    <w:rsid w:val="00254E1A"/>
    <w:rsid w:val="00262555"/>
    <w:rsid w:val="002643C1"/>
    <w:rsid w:val="00265203"/>
    <w:rsid w:val="0026790A"/>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1859"/>
    <w:rsid w:val="002C2507"/>
    <w:rsid w:val="002C2E6E"/>
    <w:rsid w:val="002C3A3D"/>
    <w:rsid w:val="002C7927"/>
    <w:rsid w:val="002D0D19"/>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4D74"/>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C7A90"/>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41EB"/>
    <w:rsid w:val="00566A85"/>
    <w:rsid w:val="00570C78"/>
    <w:rsid w:val="00573AE3"/>
    <w:rsid w:val="00581EF9"/>
    <w:rsid w:val="00583690"/>
    <w:rsid w:val="005902D9"/>
    <w:rsid w:val="0059075F"/>
    <w:rsid w:val="00596AB7"/>
    <w:rsid w:val="005A1B5C"/>
    <w:rsid w:val="005A1EA7"/>
    <w:rsid w:val="005A479F"/>
    <w:rsid w:val="005A6A12"/>
    <w:rsid w:val="005B0724"/>
    <w:rsid w:val="005B1E46"/>
    <w:rsid w:val="005B5AA4"/>
    <w:rsid w:val="005C3F4B"/>
    <w:rsid w:val="005C42AC"/>
    <w:rsid w:val="005C4F84"/>
    <w:rsid w:val="005C588F"/>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376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2079"/>
    <w:rsid w:val="006C5FC1"/>
    <w:rsid w:val="006D44E1"/>
    <w:rsid w:val="006D51DC"/>
    <w:rsid w:val="006D5BB8"/>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327"/>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76989"/>
    <w:rsid w:val="00780577"/>
    <w:rsid w:val="00781AD3"/>
    <w:rsid w:val="00781BFB"/>
    <w:rsid w:val="00786FA7"/>
    <w:rsid w:val="0079177C"/>
    <w:rsid w:val="00794382"/>
    <w:rsid w:val="007959AC"/>
    <w:rsid w:val="00796323"/>
    <w:rsid w:val="007A20E0"/>
    <w:rsid w:val="007A60FA"/>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37546"/>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96EF5"/>
    <w:rsid w:val="008A0CEE"/>
    <w:rsid w:val="008A19AF"/>
    <w:rsid w:val="008A20FB"/>
    <w:rsid w:val="008A4D88"/>
    <w:rsid w:val="008C1B22"/>
    <w:rsid w:val="008C4C84"/>
    <w:rsid w:val="008C510F"/>
    <w:rsid w:val="008D067F"/>
    <w:rsid w:val="008D3283"/>
    <w:rsid w:val="008D56F3"/>
    <w:rsid w:val="008D5BBB"/>
    <w:rsid w:val="008E437B"/>
    <w:rsid w:val="008E4D3F"/>
    <w:rsid w:val="008E66B8"/>
    <w:rsid w:val="008F0A2E"/>
    <w:rsid w:val="008F1988"/>
    <w:rsid w:val="008F2B05"/>
    <w:rsid w:val="008F5E76"/>
    <w:rsid w:val="008F6252"/>
    <w:rsid w:val="008F76DB"/>
    <w:rsid w:val="009023F3"/>
    <w:rsid w:val="0090383C"/>
    <w:rsid w:val="00905D85"/>
    <w:rsid w:val="00912132"/>
    <w:rsid w:val="0091346B"/>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54CF7"/>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97855"/>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3FF0"/>
    <w:rsid w:val="00A37A20"/>
    <w:rsid w:val="00A445DC"/>
    <w:rsid w:val="00A44BEA"/>
    <w:rsid w:val="00A47C22"/>
    <w:rsid w:val="00A50E79"/>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4543"/>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0B4D"/>
    <w:rsid w:val="00AD1C54"/>
    <w:rsid w:val="00AE1920"/>
    <w:rsid w:val="00AE76F8"/>
    <w:rsid w:val="00AF01B3"/>
    <w:rsid w:val="00AF0F13"/>
    <w:rsid w:val="00AF6887"/>
    <w:rsid w:val="00AF7992"/>
    <w:rsid w:val="00AF7CDD"/>
    <w:rsid w:val="00B00AB3"/>
    <w:rsid w:val="00B14C52"/>
    <w:rsid w:val="00B200AA"/>
    <w:rsid w:val="00B203A9"/>
    <w:rsid w:val="00B229A5"/>
    <w:rsid w:val="00B23F48"/>
    <w:rsid w:val="00B2488E"/>
    <w:rsid w:val="00B25EB3"/>
    <w:rsid w:val="00B42056"/>
    <w:rsid w:val="00B478C3"/>
    <w:rsid w:val="00B52715"/>
    <w:rsid w:val="00B52D2A"/>
    <w:rsid w:val="00B61348"/>
    <w:rsid w:val="00B6263F"/>
    <w:rsid w:val="00B67114"/>
    <w:rsid w:val="00B678C7"/>
    <w:rsid w:val="00B70368"/>
    <w:rsid w:val="00B7097C"/>
    <w:rsid w:val="00B72BCC"/>
    <w:rsid w:val="00B75449"/>
    <w:rsid w:val="00B81284"/>
    <w:rsid w:val="00B835F1"/>
    <w:rsid w:val="00B86DA1"/>
    <w:rsid w:val="00B87401"/>
    <w:rsid w:val="00B96B1E"/>
    <w:rsid w:val="00BA1937"/>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551A"/>
    <w:rsid w:val="00BF6DA8"/>
    <w:rsid w:val="00C00289"/>
    <w:rsid w:val="00C1090C"/>
    <w:rsid w:val="00C201FC"/>
    <w:rsid w:val="00C240C8"/>
    <w:rsid w:val="00C249AF"/>
    <w:rsid w:val="00C26513"/>
    <w:rsid w:val="00C328C9"/>
    <w:rsid w:val="00C339ED"/>
    <w:rsid w:val="00C3416C"/>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3F8"/>
    <w:rsid w:val="00DA086B"/>
    <w:rsid w:val="00DA1D7A"/>
    <w:rsid w:val="00DA5DD7"/>
    <w:rsid w:val="00DA5E0A"/>
    <w:rsid w:val="00DA6834"/>
    <w:rsid w:val="00DA7145"/>
    <w:rsid w:val="00DA78D8"/>
    <w:rsid w:val="00DA7E05"/>
    <w:rsid w:val="00DB012E"/>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26F65"/>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80AFB"/>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EA4F28"/>
    <w:rsid w:val="147A5E14"/>
    <w:rsid w:val="17A1211B"/>
    <w:rsid w:val="18791365"/>
    <w:rsid w:val="18ED7A84"/>
    <w:rsid w:val="1C3B5CE8"/>
    <w:rsid w:val="1F5B12D7"/>
    <w:rsid w:val="21864056"/>
    <w:rsid w:val="2217305E"/>
    <w:rsid w:val="22D13EAF"/>
    <w:rsid w:val="23977F25"/>
    <w:rsid w:val="2AA01F44"/>
    <w:rsid w:val="3A5054DE"/>
    <w:rsid w:val="3EF60000"/>
    <w:rsid w:val="406334F2"/>
    <w:rsid w:val="452C7897"/>
    <w:rsid w:val="497B7CB3"/>
    <w:rsid w:val="4A914445"/>
    <w:rsid w:val="4B160F0E"/>
    <w:rsid w:val="4B2D12E0"/>
    <w:rsid w:val="4BEB6B31"/>
    <w:rsid w:val="4DD36371"/>
    <w:rsid w:val="52D92ACB"/>
    <w:rsid w:val="53B4776F"/>
    <w:rsid w:val="54C82BAB"/>
    <w:rsid w:val="59AB7D23"/>
    <w:rsid w:val="5AE87C89"/>
    <w:rsid w:val="5CA67F0E"/>
    <w:rsid w:val="5E224037"/>
    <w:rsid w:val="6B5E3BF4"/>
    <w:rsid w:val="6BEF01CC"/>
    <w:rsid w:val="6FE969BF"/>
    <w:rsid w:val="731C5293"/>
    <w:rsid w:val="74D70DF7"/>
    <w:rsid w:val="7710276D"/>
    <w:rsid w:val="789F3DA6"/>
    <w:rsid w:val="78A52377"/>
    <w:rsid w:val="7B5B7497"/>
    <w:rsid w:val="7BE169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1200" w:leftChars="1200" w:firstLine="0"/>
    </w:pPr>
    <w:rPr>
      <w:rFonts w:ascii="Times New Roman" w:hAnsi="Times New Roman" w:eastAsia="宋体" w:cs="Times New Roman"/>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6"/>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77"/>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9">
    <w:name w:val="标题 2 Char"/>
    <w:link w:val="3"/>
    <w:qFormat/>
    <w:uiPriority w:val="0"/>
    <w:rPr>
      <w:rFonts w:ascii="Arial" w:hAnsi="Arial" w:eastAsia="黑体"/>
      <w:b/>
      <w:kern w:val="2"/>
      <w:sz w:val="32"/>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19"/>
    <w:qFormat/>
    <w:uiPriority w:val="0"/>
    <w:rPr>
      <w:sz w:val="24"/>
    </w:rPr>
  </w:style>
  <w:style w:type="character" w:customStyle="1" w:styleId="72">
    <w:name w:val="正文文本缩进 Char"/>
    <w:link w:val="23"/>
    <w:qFormat/>
    <w:uiPriority w:val="0"/>
    <w:rPr>
      <w:kern w:val="2"/>
      <w:sz w:val="44"/>
    </w:rPr>
  </w:style>
  <w:style w:type="character" w:customStyle="1" w:styleId="73">
    <w:name w:val="日期 Char"/>
    <w:link w:val="32"/>
    <w:qFormat/>
    <w:uiPriority w:val="0"/>
    <w:rPr>
      <w:kern w:val="2"/>
      <w:sz w:val="28"/>
    </w:rPr>
  </w:style>
  <w:style w:type="character" w:customStyle="1" w:styleId="74">
    <w:name w:val="正文文本缩进 2 Char"/>
    <w:link w:val="33"/>
    <w:qFormat/>
    <w:uiPriority w:val="0"/>
    <w:rPr>
      <w:kern w:val="2"/>
      <w:sz w:val="28"/>
    </w:rPr>
  </w:style>
  <w:style w:type="character" w:customStyle="1" w:styleId="75">
    <w:name w:val="脚注文本 Char"/>
    <w:link w:val="40"/>
    <w:qFormat/>
    <w:uiPriority w:val="0"/>
    <w:rPr>
      <w:kern w:val="2"/>
      <w:sz w:val="18"/>
    </w:rPr>
  </w:style>
  <w:style w:type="character" w:customStyle="1" w:styleId="76">
    <w:name w:val="批注主题 Char"/>
    <w:link w:val="55"/>
    <w:qFormat/>
    <w:uiPriority w:val="0"/>
  </w:style>
  <w:style w:type="character" w:customStyle="1" w:styleId="77">
    <w:name w:val="正文首行缩进 2 Char"/>
    <w:link w:val="57"/>
    <w:qFormat/>
    <w:uiPriority w:val="0"/>
  </w:style>
  <w:style w:type="character" w:customStyle="1" w:styleId="78">
    <w:name w:val="v151"/>
    <w:qFormat/>
    <w:uiPriority w:val="0"/>
    <w:rPr>
      <w:sz w:val="18"/>
    </w:rPr>
  </w:style>
  <w:style w:type="character" w:customStyle="1" w:styleId="79">
    <w:name w:val=" Char Char7"/>
    <w:qFormat/>
    <w:uiPriority w:val="0"/>
    <w:rPr>
      <w:rFonts w:ascii="宋体" w:hAnsi="宋体" w:eastAsia="宋体"/>
      <w:kern w:val="2"/>
      <w:sz w:val="28"/>
    </w:rPr>
  </w:style>
  <w:style w:type="character" w:customStyle="1" w:styleId="80">
    <w:name w:val="小 Char"/>
    <w:qFormat/>
    <w:uiPriority w:val="0"/>
    <w:rPr>
      <w:rFonts w:ascii="宋体" w:hAnsi="Courier New" w:eastAsia="宋体"/>
      <w:kern w:val="2"/>
      <w:sz w:val="21"/>
      <w:lang w:val="en-US" w:eastAsia="zh-CN" w:bidi="ar-SA"/>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content-white1"/>
    <w:qFormat/>
    <w:uiPriority w:val="0"/>
    <w:rPr>
      <w:rFonts w:ascii="_x000B__x000C_" w:hAnsi="_x000B__x000C_"/>
      <w:color w:val="auto"/>
      <w:sz w:val="18"/>
      <w:u w:val="none"/>
    </w:rPr>
  </w:style>
  <w:style w:type="character" w:customStyle="1" w:styleId="84">
    <w:name w:val="正文 + 三号 Char"/>
    <w:qFormat/>
    <w:uiPriority w:val="0"/>
    <w:rPr>
      <w:rFonts w:eastAsia="宋体"/>
      <w:kern w:val="2"/>
      <w:sz w:val="21"/>
      <w:lang w:val="en-US" w:eastAsia="zh-CN"/>
    </w:rPr>
  </w:style>
  <w:style w:type="character" w:customStyle="1" w:styleId="85">
    <w:name w:val="H2 Char"/>
    <w:qFormat/>
    <w:uiPriority w:val="0"/>
    <w:rPr>
      <w:rFonts w:ascii="Arial" w:hAnsi="Arial" w:eastAsia="宋体"/>
      <w:kern w:val="2"/>
      <w:sz w:val="28"/>
      <w:lang w:val="en-US" w:eastAsia="zh-CN"/>
    </w:rPr>
  </w:style>
  <w:style w:type="character" w:customStyle="1" w:styleId="86">
    <w:name w:val=" Char Char3"/>
    <w:qFormat/>
    <w:uiPriority w:val="0"/>
    <w:rPr>
      <w:rFonts w:eastAsia="宋体"/>
      <w:kern w:val="2"/>
      <w:sz w:val="18"/>
      <w:lang w:val="en-US" w:eastAsia="zh-CN"/>
    </w:rPr>
  </w:style>
  <w:style w:type="character" w:customStyle="1" w:styleId="87">
    <w:name w:val=" Char Char4"/>
    <w:qFormat/>
    <w:uiPriority w:val="0"/>
    <w:rPr>
      <w:rFonts w:eastAsia="宋体"/>
      <w:b/>
      <w:kern w:val="2"/>
      <w:sz w:val="21"/>
      <w:lang w:val="en-US" w:eastAsia="zh-CN"/>
    </w:rPr>
  </w:style>
  <w:style w:type="character" w:customStyle="1" w:styleId="88">
    <w:name w:val="Table Text Char1 Char"/>
    <w:qFormat/>
    <w:uiPriority w:val="0"/>
    <w:rPr>
      <w:rFonts w:ascii="Arial" w:hAnsi="Arial"/>
      <w:kern w:val="2"/>
      <w:sz w:val="18"/>
      <w:lang w:val="en-US" w:eastAsia="zh-CN" w:bidi="ar-SA"/>
    </w:rPr>
  </w:style>
  <w:style w:type="character" w:customStyle="1" w:styleId="89">
    <w:name w:val=" Char Char5"/>
    <w:qFormat/>
    <w:uiPriority w:val="0"/>
    <w:rPr>
      <w:rFonts w:ascii="Arial" w:hAnsi="Arial" w:eastAsia="宋体"/>
      <w:b/>
      <w:smallCaps/>
      <w:kern w:val="28"/>
      <w:sz w:val="36"/>
      <w:lang w:val="en-US" w:eastAsia="en-US"/>
    </w:rPr>
  </w:style>
  <w:style w:type="character" w:customStyle="1" w:styleId="90">
    <w:name w:val=" Char Char"/>
    <w:qFormat/>
    <w:uiPriority w:val="0"/>
    <w:rPr>
      <w:rFonts w:ascii="宋体" w:hAnsi="宋体" w:eastAsia="宋体"/>
      <w:kern w:val="2"/>
      <w:sz w:val="24"/>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 Char Char2"/>
    <w:qFormat/>
    <w:uiPriority w:val="0"/>
    <w:rPr>
      <w:rFonts w:eastAsia="宋体"/>
      <w:kern w:val="2"/>
      <w:sz w:val="18"/>
      <w:lang w:val="en-US" w:eastAsia="zh-CN"/>
    </w:rPr>
  </w:style>
  <w:style w:type="character" w:customStyle="1" w:styleId="97">
    <w:name w:val="标书正文:  0.74 厘米 Char1"/>
    <w:qFormat/>
    <w:uiPriority w:val="0"/>
    <w:rPr>
      <w:rFonts w:eastAsia="宋体"/>
      <w:kern w:val="2"/>
      <w:sz w:val="24"/>
      <w:lang w:val="en-US" w:eastAsia="zh-CN"/>
    </w:rPr>
  </w:style>
  <w:style w:type="character" w:customStyle="1" w:styleId="98">
    <w:name w:val="样式 宋体"/>
    <w:qFormat/>
    <w:uiPriority w:val="0"/>
    <w:rPr>
      <w:rFonts w:ascii="宋体" w:hAnsi="宋体" w:eastAsia="宋体"/>
      <w:sz w:val="28"/>
    </w:rPr>
  </w:style>
  <w:style w:type="character" w:customStyle="1" w:styleId="99">
    <w:name w:val="未命名11"/>
    <w:qFormat/>
    <w:uiPriority w:val="0"/>
    <w:rPr>
      <w:color w:val="77FFFF"/>
      <w:sz w:val="24"/>
    </w:rPr>
  </w:style>
  <w:style w:type="character" w:customStyle="1" w:styleId="100">
    <w:name w:val="crowed11"/>
    <w:qFormat/>
    <w:uiPriority w:val="0"/>
    <w:rPr>
      <w:rFonts w:hint="default" w:ascii="_x000B__x000C_" w:hAnsi="_x000B__x000C_"/>
      <w:sz w:val="24"/>
    </w:rPr>
  </w:style>
  <w:style w:type="character" w:customStyle="1" w:styleId="101">
    <w:name w:val=" Char Char6"/>
    <w:qFormat/>
    <w:uiPriority w:val="0"/>
    <w:rPr>
      <w:rFonts w:ascii="仿宋_GB2312" w:eastAsia="仿宋_GB2312"/>
      <w:kern w:val="2"/>
      <w:sz w:val="32"/>
    </w:rPr>
  </w:style>
  <w:style w:type="character" w:customStyle="1" w:styleId="102">
    <w:name w:val="title_emph1"/>
    <w:qFormat/>
    <w:uiPriority w:val="0"/>
    <w:rPr>
      <w:rFonts w:hint="default" w:ascii="Arial" w:hAnsi="Arial"/>
      <w:b/>
      <w:sz w:val="20"/>
    </w:rPr>
  </w:style>
  <w:style w:type="character" w:customStyle="1" w:styleId="103">
    <w:name w:val="font1"/>
    <w:qFormat/>
    <w:uiPriority w:val="0"/>
    <w:rPr>
      <w:color w:val="000000"/>
      <w:sz w:val="18"/>
    </w:rPr>
  </w:style>
  <w:style w:type="character" w:customStyle="1" w:styleId="104">
    <w:name w:val=" Char Char11"/>
    <w:qFormat/>
    <w:uiPriority w:val="0"/>
    <w:rPr>
      <w:rFonts w:ascii="宋体"/>
      <w:kern w:val="2"/>
      <w:sz w:val="28"/>
    </w:rPr>
  </w:style>
  <w:style w:type="character" w:customStyle="1" w:styleId="105">
    <w:name w:val="top-det1"/>
    <w:qFormat/>
    <w:uiPriority w:val="0"/>
    <w:rPr>
      <w:b/>
      <w:color w:val="000000"/>
    </w:rPr>
  </w:style>
  <w:style w:type="paragraph" w:customStyle="1" w:styleId="106">
    <w:name w:val="二级列表"/>
    <w:basedOn w:val="107"/>
    <w:next w:val="107"/>
    <w:qFormat/>
    <w:uiPriority w:val="0"/>
    <w:pPr>
      <w:tabs>
        <w:tab w:val="left" w:pos="2120"/>
      </w:tabs>
      <w:ind w:firstLine="0" w:firstLineChars="0"/>
    </w:pPr>
    <w:rPr>
      <w:b/>
    </w:rPr>
  </w:style>
  <w:style w:type="paragraph" w:customStyle="1" w:styleId="107">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8">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9">
    <w:name w:val="文本1"/>
    <w:basedOn w:val="1"/>
    <w:qFormat/>
    <w:uiPriority w:val="0"/>
    <w:pPr>
      <w:adjustRightInd w:val="0"/>
      <w:spacing w:line="312" w:lineRule="atLeast"/>
      <w:jc w:val="center"/>
      <w:textAlignment w:val="baseline"/>
    </w:pPr>
    <w:rPr>
      <w:kern w:val="0"/>
      <w:sz w:val="18"/>
    </w:rPr>
  </w:style>
  <w:style w:type="paragraph" w:customStyle="1" w:styleId="110">
    <w:name w:val="Title - Revision"/>
    <w:basedOn w:val="54"/>
    <w:qFormat/>
    <w:uiPriority w:val="0"/>
    <w:pPr>
      <w:spacing w:before="720" w:beforeLines="0" w:beforeAutospacing="0"/>
    </w:p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3">
    <w:name w:val="二级条标题"/>
    <w:basedOn w:val="114"/>
    <w:next w:val="68"/>
    <w:qFormat/>
    <w:uiPriority w:val="0"/>
    <w:pPr>
      <w:ind w:left="840"/>
      <w:outlineLvl w:val="3"/>
    </w:pPr>
  </w:style>
  <w:style w:type="paragraph" w:customStyle="1" w:styleId="114">
    <w:name w:val="一级条标题"/>
    <w:basedOn w:val="115"/>
    <w:next w:val="68"/>
    <w:qFormat/>
    <w:uiPriority w:val="0"/>
    <w:pPr>
      <w:numPr>
        <w:ilvl w:val="1"/>
        <w:numId w:val="0"/>
      </w:numPr>
      <w:spacing w:before="0" w:beforeLines="0" w:beforeAutospacing="0" w:after="0" w:afterLines="0" w:afterAutospacing="0"/>
      <w:ind w:left="525"/>
      <w:outlineLvl w:val="2"/>
    </w:pPr>
    <w:rPr>
      <w:sz w:val="21"/>
    </w:rPr>
  </w:style>
  <w:style w:type="paragraph" w:customStyle="1" w:styleId="115">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5">
    <w:name w:val=" Char Char14 Char Char"/>
    <w:basedOn w:val="1"/>
    <w:qFormat/>
    <w:uiPriority w:val="0"/>
    <w:rPr>
      <w:sz w:val="21"/>
      <w:szCs w:val="24"/>
    </w:rPr>
  </w:style>
  <w:style w:type="paragraph" w:customStyle="1" w:styleId="1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7">
    <w:name w:val=" Char2 Char Char Char Char Char Char"/>
    <w:basedOn w:val="1"/>
    <w:qFormat/>
    <w:uiPriority w:val="0"/>
    <w:rPr>
      <w:rFonts w:ascii="仿宋_GB2312"/>
      <w:b/>
      <w:sz w:val="30"/>
    </w:rPr>
  </w:style>
  <w:style w:type="paragraph" w:customStyle="1" w:styleId="128">
    <w:name w:val="_Style 127"/>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 Char Char Char Char Char Char Char"/>
    <w:basedOn w:val="1"/>
    <w:qFormat/>
    <w:uiPriority w:val="0"/>
    <w:rPr>
      <w:rFonts w:ascii="Tahoma" w:hAnsi="Tahoma"/>
      <w:sz w:val="24"/>
    </w:rPr>
  </w:style>
  <w:style w:type="paragraph" w:customStyle="1" w:styleId="138">
    <w:name w:val="样式2"/>
    <w:basedOn w:val="5"/>
    <w:qFormat/>
    <w:uiPriority w:val="0"/>
    <w:pPr>
      <w:numPr>
        <w:ilvl w:val="0"/>
        <w:numId w:val="7"/>
      </w:numPr>
      <w:spacing w:before="560" w:beforeLines="0" w:line="400" w:lineRule="exact"/>
      <w:jc w:val="center"/>
      <w:outlineLvl w:val="0"/>
    </w:pPr>
    <w:rPr>
      <w:b w:val="0"/>
      <w:sz w:val="44"/>
    </w:rPr>
  </w:style>
  <w:style w:type="paragraph" w:customStyle="1" w:styleId="139">
    <w:name w:val="内容标题"/>
    <w:basedOn w:val="17"/>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1">
    <w:name w:val="1"/>
    <w:basedOn w:val="1"/>
    <w:next w:val="30"/>
    <w:qFormat/>
    <w:uiPriority w:val="0"/>
    <w:rPr>
      <w:rFonts w:ascii="宋体" w:hAnsi="Courier New"/>
      <w:sz w:val="21"/>
    </w:rPr>
  </w:style>
  <w:style w:type="paragraph" w:customStyle="1" w:styleId="14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Char Char Char Char Char Char Char"/>
    <w:basedOn w:val="17"/>
    <w:qFormat/>
    <w:uiPriority w:val="0"/>
    <w:rPr>
      <w:rFonts w:ascii="宋体" w:hAnsi="Tahoma"/>
    </w:rPr>
  </w:style>
  <w:style w:type="paragraph" w:customStyle="1" w:styleId="145">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5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6">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8">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4"/>
    <w:next w:val="1"/>
    <w:qFormat/>
    <w:uiPriority w:val="0"/>
    <w:pPr>
      <w:spacing w:before="240" w:beforeLines="0" w:beforeAutospacing="0" w:after="720" w:afterLines="0" w:afterAutospacing="0"/>
    </w:pPr>
    <w:rPr>
      <w:sz w:val="28"/>
    </w:rPr>
  </w:style>
  <w:style w:type="paragraph" w:customStyle="1" w:styleId="16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4"/>
    <w:qFormat/>
    <w:uiPriority w:val="0"/>
    <w:pPr>
      <w:numPr>
        <w:ilvl w:val="2"/>
        <w:numId w:val="2"/>
      </w:numPr>
      <w:tabs>
        <w:tab w:val="left" w:pos="709"/>
        <w:tab w:val="left" w:pos="1620"/>
        <w:tab w:val="clear" w:pos="2444"/>
      </w:tabs>
      <w:spacing w:line="413" w:lineRule="auto"/>
    </w:pPr>
  </w:style>
  <w:style w:type="paragraph" w:customStyle="1" w:styleId="174">
    <w:name w:val="样式4"/>
    <w:basedOn w:val="5"/>
    <w:qFormat/>
    <w:uiPriority w:val="0"/>
    <w:pPr>
      <w:adjustRightInd w:val="0"/>
      <w:snapToGrid w:val="0"/>
    </w:pPr>
  </w:style>
  <w:style w:type="paragraph" w:customStyle="1" w:styleId="175">
    <w:name w:val="摘要"/>
    <w:basedOn w:val="1"/>
    <w:next w:val="3"/>
    <w:qFormat/>
    <w:uiPriority w:val="0"/>
    <w:pPr>
      <w:spacing w:line="360" w:lineRule="auto"/>
    </w:pPr>
    <w:rPr>
      <w:rFonts w:eastAsia="黑体"/>
      <w:sz w:val="20"/>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5"/>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 Char1 Char Char Char"/>
    <w:basedOn w:val="1"/>
    <w:qFormat/>
    <w:uiPriority w:val="0"/>
    <w:rPr>
      <w:rFonts w:ascii="Tahoma" w:hAnsi="Tahoma"/>
      <w:sz w:val="24"/>
    </w:rPr>
  </w:style>
  <w:style w:type="paragraph" w:customStyle="1" w:styleId="185">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9">
    <w:name w:val=" 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qFormat/>
    <w:uiPriority w:val="0"/>
    <w:rPr>
      <w:rFonts w:ascii="Tahoma" w:hAnsi="Tahoma"/>
      <w:sz w:val="24"/>
    </w:rPr>
  </w:style>
  <w:style w:type="paragraph" w:customStyle="1" w:styleId="19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6">
    <w:name w:val="正文表格"/>
    <w:basedOn w:val="1"/>
    <w:qFormat/>
    <w:uiPriority w:val="0"/>
    <w:pPr>
      <w:adjustRightInd w:val="0"/>
      <w:spacing w:before="40" w:beforeLines="0" w:beforeAutospacing="0" w:after="40" w:afterLines="0" w:afterAutospacing="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0"/>
    <w:qFormat/>
    <w:uiPriority w:val="0"/>
    <w:pPr>
      <w:adjustRightInd w:val="0"/>
    </w:pPr>
    <w:rPr>
      <w:color w:val="000000"/>
      <w:lang w:val="en-GB"/>
    </w:rPr>
  </w:style>
  <w:style w:type="paragraph" w:customStyle="1" w:styleId="209">
    <w:name w:val="Body Text Indent 2"/>
    <w:basedOn w:val="1"/>
    <w:qFormat/>
    <w:uiPriority w:val="0"/>
    <w:pPr>
      <w:adjustRightInd w:val="0"/>
      <w:spacing w:before="120" w:beforeLines="0" w:beforeAutospacing="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qFormat/>
    <w:uiPriority w:val="0"/>
    <w:pPr>
      <w:spacing w:after="120" w:afterLines="0" w:afterAutospacing="0" w:line="360" w:lineRule="auto"/>
      <w:ind w:firstLine="200" w:firstLineChars="200"/>
    </w:pPr>
    <w:rPr>
      <w:sz w:val="24"/>
    </w:rPr>
  </w:style>
  <w:style w:type="paragraph" w:customStyle="1" w:styleId="224">
    <w:name w:val=" Char"/>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 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 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37">
    <w:name w:val="无"/>
    <w:qFormat/>
    <w:uiPriority w:val="0"/>
  </w:style>
  <w:style w:type="character" w:customStyle="1" w:styleId="238">
    <w:name w:val="font21"/>
    <w:basedOn w:val="6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4&#24180;&#25307;&#26631;&#39033;&#30446;\&#28074;&#38517;&#21306;\&#37325;&#24198;&#24066;&#20044;&#27743;&#33322;&#36947;&#31649;&#29702;&#22788;\WJ2024009%20%202024&#24180;&#32844;&#24037;&#21171;&#20445;&#26381;&#37319;&#36141;\&#37325;&#24198;&#24066;&#20044;&#27743;&#33322;&#36947;&#31649;&#29702;&#22788;&#20851;&#20110;2024&#24180;&#32844;&#24037;&#21171;&#20445;&#26381;&#37319;&#36141;&#38480;&#39069;&#20197;&#19979;&#30923;&#21830;&#35780;&#20998;&#37319;&#36141;&#25991;&#20214;(1)(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重庆市乌江航道管理处关于2024年职工劳保服采购限额以下磋商评分采购文件(1)(5).docx</Template>
  <Manager>罗成</Manager>
  <Pages>32</Pages>
  <Words>11011</Words>
  <Characters>11513</Characters>
  <Lines>89</Lines>
  <Paragraphs>25</Paragraphs>
  <TotalTime>4</TotalTime>
  <ScaleCrop>false</ScaleCrop>
  <LinksUpToDate>false</LinksUpToDate>
  <CharactersWithSpaces>11830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2024-11-13T08:05:00Z</dcterms:created>
  <dc:creator>剪夏罗</dc:creator>
  <cp:lastModifiedBy>jtj</cp:lastModifiedBy>
  <dcterms:modified xsi:type="dcterms:W3CDTF">2024-11-21T09:54:22Z</dcterms:modified>
  <dc:title>竞争性谈判文件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71DCC2DB7C564293A382F1D076F79A6E_11</vt:lpwstr>
  </property>
</Properties>
</file>