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10228">
      <w:pPr>
        <w:keepNext w:val="0"/>
        <w:keepLines w:val="0"/>
        <w:pageBreakBefore w:val="0"/>
        <w:widowControl w:val="0"/>
        <w:kinsoku/>
        <w:wordWrap/>
        <w:overflowPunct/>
        <w:topLinePunct w:val="0"/>
        <w:autoSpaceDE/>
        <w:autoSpaceDN/>
        <w:bidi w:val="0"/>
        <w:spacing w:line="600" w:lineRule="exact"/>
        <w:ind w:right="0"/>
        <w:textAlignment w:val="auto"/>
        <w:rPr>
          <w:rFonts w:hint="eastAsia" w:eastAsia="仿宋_GB2312"/>
          <w:sz w:val="32"/>
        </w:rPr>
      </w:pPr>
    </w:p>
    <w:p w14:paraId="1EC2D297">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sz w:val="28"/>
        </w:rPr>
      </w:pPr>
    </w:p>
    <w:p w14:paraId="6CD899B0">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hAnsi="方正小标宋_GBK" w:eastAsia="方正小标宋_GBK" w:cs="方正小标宋_GBK"/>
          <w:color w:val="000000"/>
          <w:sz w:val="44"/>
          <w:szCs w:val="44"/>
        </w:rPr>
        <w:t>重庆市交通运输委员会关于</w:t>
      </w:r>
    </w:p>
    <w:p w14:paraId="7A3FA506">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hAnsi="方正小标宋_GBK" w:eastAsia="方正小标宋_GBK" w:cs="方正小标宋_GBK"/>
          <w:color w:val="000000"/>
          <w:sz w:val="44"/>
          <w:szCs w:val="44"/>
        </w:rPr>
        <w:t>印发《重庆市地方铁路工程设计</w:t>
      </w:r>
    </w:p>
    <w:p w14:paraId="6784B5D7">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s="方正小标宋_GBK"/>
          <w:color w:val="000000"/>
          <w:sz w:val="44"/>
          <w:szCs w:val="44"/>
        </w:rPr>
      </w:pPr>
      <w:r>
        <w:rPr>
          <w:rFonts w:hint="eastAsia" w:hAnsi="方正小标宋_GBK" w:eastAsia="方正小标宋_GBK" w:cs="方正小标宋_GBK"/>
          <w:color w:val="000000"/>
          <w:sz w:val="44"/>
          <w:szCs w:val="44"/>
        </w:rPr>
        <w:t>变更管理办法》的通知</w:t>
      </w:r>
    </w:p>
    <w:p w14:paraId="6074B796">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仿宋_GBK" w:cs="方正仿宋_GBK"/>
          <w:color w:val="000000"/>
          <w:sz w:val="32"/>
          <w:szCs w:val="32"/>
        </w:rPr>
      </w:pPr>
      <w:r>
        <w:rPr>
          <w:rFonts w:hint="eastAsia" w:eastAsia="方正仿宋_GBK"/>
          <w:color w:val="000000"/>
          <w:sz w:val="32"/>
        </w:rPr>
        <w:t>渝交</w:t>
      </w:r>
      <w:r>
        <w:rPr>
          <w:rFonts w:hint="eastAsia" w:eastAsia="方正仿宋_GBK" w:cs="方正小标宋_GBK"/>
          <w:color w:val="000000"/>
          <w:sz w:val="32"/>
          <w:szCs w:val="44"/>
        </w:rPr>
        <w:t>规</w:t>
      </w:r>
      <w:r>
        <w:rPr>
          <w:rFonts w:hint="eastAsia" w:eastAsia="方正仿宋_GBK" w:cs="方正仿宋_GBK"/>
          <w:color w:val="000000"/>
          <w:sz w:val="32"/>
          <w:szCs w:val="32"/>
        </w:rPr>
        <w:t>〔2025〕5</w:t>
      </w:r>
      <w:r>
        <w:rPr>
          <w:rFonts w:hint="eastAsia" w:eastAsia="方正仿宋_GBK"/>
          <w:color w:val="000000"/>
          <w:sz w:val="32"/>
        </w:rPr>
        <w:t>号</w:t>
      </w:r>
    </w:p>
    <w:p w14:paraId="3F383B2E">
      <w:pPr>
        <w:keepNext w:val="0"/>
        <w:keepLines w:val="0"/>
        <w:pageBreakBefore w:val="0"/>
        <w:widowControl w:val="0"/>
        <w:kinsoku/>
        <w:wordWrap/>
        <w:overflowPunct/>
        <w:topLinePunct w:val="0"/>
        <w:autoSpaceDE/>
        <w:autoSpaceDN/>
        <w:bidi w:val="0"/>
        <w:spacing w:line="600" w:lineRule="exact"/>
        <w:ind w:right="0"/>
        <w:jc w:val="left"/>
        <w:textAlignment w:val="auto"/>
        <w:rPr>
          <w:rFonts w:hint="eastAsia" w:eastAsia="方正仿宋_GBK" w:cs="方正仿宋_GBK"/>
          <w:color w:val="000000"/>
          <w:sz w:val="32"/>
          <w:szCs w:val="32"/>
        </w:rPr>
      </w:pPr>
    </w:p>
    <w:p w14:paraId="6EDF7336">
      <w:pPr>
        <w:keepNext w:val="0"/>
        <w:keepLines w:val="0"/>
        <w:pageBreakBefore w:val="0"/>
        <w:widowControl w:val="0"/>
        <w:tabs>
          <w:tab w:val="left" w:pos="7655"/>
        </w:tabs>
        <w:kinsoku/>
        <w:wordWrap/>
        <w:overflowPunct/>
        <w:topLinePunct w:val="0"/>
        <w:autoSpaceDE/>
        <w:autoSpaceDN/>
        <w:bidi w:val="0"/>
        <w:spacing w:line="600" w:lineRule="exact"/>
        <w:ind w:right="0"/>
        <w:textAlignment w:val="auto"/>
        <w:rPr>
          <w:rFonts w:hint="eastAsia" w:eastAsia="方正仿宋_GBK" w:cs="方正仿宋_GBK"/>
          <w:color w:val="000000"/>
          <w:sz w:val="32"/>
          <w:szCs w:val="32"/>
        </w:rPr>
      </w:pPr>
      <w:r>
        <w:rPr>
          <w:rFonts w:hint="eastAsia" w:eastAsia="方正仿宋_GBK" w:cs="方正仿宋_GBK"/>
          <w:color w:val="000000"/>
          <w:sz w:val="32"/>
          <w:szCs w:val="32"/>
        </w:rPr>
        <w:t>各区县（自治县）、两江新区、万盛经开区、重庆高新区交通运输主管部门，市交通执法总队，各地方铁路工程建设单位，有关单位：</w:t>
      </w:r>
    </w:p>
    <w:p w14:paraId="4F4A8486">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eastAsia="方正仿宋_GBK" w:cs="方正仿宋_GBK"/>
          <w:color w:val="000000"/>
          <w:sz w:val="32"/>
          <w:szCs w:val="32"/>
        </w:rPr>
      </w:pPr>
      <w:r>
        <w:rPr>
          <w:rFonts w:hint="eastAsia" w:eastAsia="方正仿宋_GBK" w:cs="方正仿宋_GBK"/>
          <w:color w:val="000000"/>
          <w:sz w:val="32"/>
          <w:szCs w:val="32"/>
        </w:rPr>
        <w:t>《重庆市地方铁路工程设计变更管理办法》已经我委2025年第1次主任办公会议审议通过，现印发你们，请遵照执行。</w:t>
      </w:r>
    </w:p>
    <w:p w14:paraId="2B392C2F">
      <w:pPr>
        <w:keepNext w:val="0"/>
        <w:keepLines w:val="0"/>
        <w:pageBreakBefore w:val="0"/>
        <w:widowControl w:val="0"/>
        <w:kinsoku/>
        <w:wordWrap/>
        <w:overflowPunct/>
        <w:topLinePunct w:val="0"/>
        <w:autoSpaceDE/>
        <w:autoSpaceDN/>
        <w:bidi w:val="0"/>
        <w:spacing w:line="600" w:lineRule="exact"/>
        <w:ind w:right="0"/>
        <w:jc w:val="left"/>
        <w:textAlignment w:val="auto"/>
        <w:rPr>
          <w:rFonts w:hint="eastAsia" w:eastAsia="方正仿宋_GBK" w:cs="方正仿宋_GBK"/>
          <w:color w:val="000000"/>
          <w:sz w:val="32"/>
          <w:szCs w:val="32"/>
        </w:rPr>
      </w:pPr>
    </w:p>
    <w:p w14:paraId="1A3A51A2">
      <w:pPr>
        <w:keepNext w:val="0"/>
        <w:keepLines w:val="0"/>
        <w:pageBreakBefore w:val="0"/>
        <w:widowControl w:val="0"/>
        <w:kinsoku/>
        <w:wordWrap w:val="0"/>
        <w:overflowPunct/>
        <w:topLinePunct w:val="0"/>
        <w:autoSpaceDE/>
        <w:autoSpaceDN/>
        <w:bidi w:val="0"/>
        <w:spacing w:line="600" w:lineRule="exact"/>
        <w:ind w:right="0"/>
        <w:jc w:val="right"/>
        <w:textAlignment w:val="auto"/>
        <w:rPr>
          <w:rFonts w:hint="default" w:eastAsia="方正仿宋_GBK" w:cs="方正仿宋_GBK"/>
          <w:color w:val="000000"/>
          <w:sz w:val="32"/>
          <w:szCs w:val="32"/>
          <w:lang w:val="en-US" w:eastAsia="zh-CN"/>
        </w:rPr>
      </w:pPr>
      <w:r>
        <w:rPr>
          <w:rFonts w:hint="eastAsia" w:eastAsia="方正仿宋_GBK" w:cs="方正仿宋_GBK"/>
          <w:color w:val="000000"/>
          <w:sz w:val="32"/>
          <w:szCs w:val="32"/>
        </w:rPr>
        <w:t>重庆市交通运输委员会</w:t>
      </w:r>
      <w:r>
        <w:rPr>
          <w:rFonts w:hint="eastAsia" w:eastAsia="方正仿宋_GBK" w:cs="方正仿宋_GBK"/>
          <w:color w:val="000000"/>
          <w:sz w:val="32"/>
          <w:szCs w:val="32"/>
          <w:lang w:val="en-US" w:eastAsia="zh-CN"/>
        </w:rPr>
        <w:t xml:space="preserve">   </w:t>
      </w:r>
    </w:p>
    <w:p w14:paraId="1FCEABEA">
      <w:pPr>
        <w:keepNext w:val="0"/>
        <w:keepLines w:val="0"/>
        <w:pageBreakBefore w:val="0"/>
        <w:widowControl w:val="0"/>
        <w:kinsoku/>
        <w:wordWrap/>
        <w:overflowPunct/>
        <w:topLinePunct w:val="0"/>
        <w:autoSpaceDE/>
        <w:autoSpaceDN/>
        <w:bidi w:val="0"/>
        <w:spacing w:line="600" w:lineRule="exact"/>
        <w:ind w:right="0" w:firstLine="5600" w:firstLineChars="1750"/>
        <w:jc w:val="left"/>
        <w:textAlignment w:val="auto"/>
        <w:rPr>
          <w:rFonts w:hint="eastAsia" w:eastAsia="方正仿宋_GBK" w:cs="方正仿宋_GBK"/>
          <w:color w:val="000000"/>
          <w:sz w:val="32"/>
          <w:szCs w:val="32"/>
        </w:rPr>
      </w:pPr>
      <w:r>
        <w:rPr>
          <w:rFonts w:hint="eastAsia" w:eastAsia="方正仿宋_GBK" w:cs="方正仿宋_GBK"/>
          <w:color w:val="000000"/>
          <w:sz w:val="32"/>
          <w:szCs w:val="32"/>
        </w:rPr>
        <w:t>2025年2月11日</w:t>
      </w:r>
    </w:p>
    <w:p w14:paraId="41504D28">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b/>
          <w:bCs/>
          <w:color w:val="000000"/>
          <w:sz w:val="44"/>
          <w:szCs w:val="44"/>
        </w:rPr>
      </w:pPr>
      <w:r>
        <w:rPr>
          <w:rFonts w:hint="eastAsia" w:eastAsia="方正小标宋_GBK"/>
          <w:b/>
          <w:bCs/>
          <w:color w:val="000000"/>
          <w:sz w:val="44"/>
          <w:szCs w:val="44"/>
        </w:rPr>
        <w:br w:type="page"/>
      </w:r>
    </w:p>
    <w:p w14:paraId="39E56E67">
      <w:pPr>
        <w:keepNext w:val="0"/>
        <w:keepLines w:val="0"/>
        <w:pageBreakBefore w:val="0"/>
        <w:widowControl w:val="0"/>
        <w:kinsoku/>
        <w:wordWrap/>
        <w:overflowPunct/>
        <w:topLinePunct w:val="0"/>
        <w:autoSpaceDE/>
        <w:autoSpaceDN/>
        <w:bidi w:val="0"/>
        <w:spacing w:line="600" w:lineRule="exact"/>
        <w:ind w:right="0"/>
        <w:jc w:val="center"/>
        <w:textAlignment w:val="auto"/>
        <w:rPr>
          <w:rFonts w:hint="eastAsia" w:eastAsia="方正小标宋_GBK"/>
          <w:color w:val="000000"/>
          <w:sz w:val="44"/>
          <w:szCs w:val="44"/>
        </w:rPr>
      </w:pPr>
    </w:p>
    <w:p w14:paraId="10AADCAB">
      <w:pPr>
        <w:keepNext w:val="0"/>
        <w:keepLines w:val="0"/>
        <w:pageBreakBefore w:val="0"/>
        <w:widowControl w:val="0"/>
        <w:kinsoku/>
        <w:wordWrap/>
        <w:overflowPunct/>
        <w:topLinePunct w:val="0"/>
        <w:autoSpaceDE/>
        <w:autoSpaceDN/>
        <w:bidi w:val="0"/>
        <w:spacing w:line="600" w:lineRule="exact"/>
        <w:ind w:right="0"/>
        <w:jc w:val="center"/>
        <w:textAlignment w:val="auto"/>
        <w:rPr>
          <w:rFonts w:eastAsia="方正小标宋_GBK"/>
          <w:color w:val="000000"/>
          <w:sz w:val="44"/>
          <w:szCs w:val="44"/>
        </w:rPr>
      </w:pPr>
      <w:r>
        <w:rPr>
          <w:rFonts w:hint="eastAsia" w:eastAsia="方正小标宋_GBK"/>
          <w:color w:val="000000"/>
          <w:sz w:val="44"/>
          <w:szCs w:val="44"/>
        </w:rPr>
        <w:t>重庆市地方铁路工程设计变更管理办法</w:t>
      </w:r>
    </w:p>
    <w:p w14:paraId="3064D70A">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eastAsia="黑体"/>
          <w:b/>
          <w:bCs/>
          <w:color w:val="000000"/>
          <w:sz w:val="32"/>
          <w:szCs w:val="32"/>
        </w:rPr>
      </w:pPr>
    </w:p>
    <w:p w14:paraId="09AD316D">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hAnsi="方正黑体_GBK" w:eastAsia="方正黑体_GBK" w:cs="方正黑体_GBK"/>
          <w:color w:val="000000"/>
          <w:sz w:val="32"/>
          <w:szCs w:val="32"/>
        </w:rPr>
        <w:t>第一章</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总</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则</w:t>
      </w:r>
    </w:p>
    <w:p w14:paraId="0368CCFA">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黑体"/>
          <w:b/>
          <w:bCs/>
          <w:color w:val="000000"/>
          <w:sz w:val="36"/>
          <w:szCs w:val="36"/>
        </w:rPr>
      </w:pPr>
    </w:p>
    <w:p w14:paraId="15F140A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hAnsi="方正楷体_GBK" w:eastAsia="方正黑体_GBK" w:cs="方正楷体_GBK"/>
          <w:color w:val="000000"/>
          <w:kern w:val="0"/>
          <w:sz w:val="32"/>
          <w:szCs w:val="32"/>
        </w:rPr>
        <w:t>第一条</w:t>
      </w:r>
      <w:r>
        <w:rPr>
          <w:rFonts w:hint="eastAsia" w:eastAsia="方正仿宋_GBK"/>
          <w:color w:val="000000"/>
          <w:kern w:val="0"/>
          <w:sz w:val="32"/>
          <w:szCs w:val="32"/>
        </w:rPr>
        <w:t xml:space="preserve">  为了规范我市地方铁路工程设计变更管理，保障工程质量和施工安全，合理控制工程投资，依据《中华人民共和国铁路法》《建设工程勘察设计管理条例》《铁路建设工程勘察设计管理办法》《铁路建设项目变更设计管理办法》等规定，制定本办法。</w:t>
      </w:r>
    </w:p>
    <w:p w14:paraId="52A1CEA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第二条</w:t>
      </w:r>
      <w:r>
        <w:rPr>
          <w:rFonts w:hint="eastAsia" w:eastAsia="方正仿宋_GBK"/>
          <w:color w:val="000000"/>
          <w:kern w:val="0"/>
          <w:sz w:val="32"/>
          <w:szCs w:val="32"/>
        </w:rPr>
        <w:t xml:space="preserve">  本办法适用于完成市交通运输主管部门施工图设计文件审查备案的新建、改扩建地方铁路（含专用铁路、铁路专用线）工程项目的设计变更活动。</w:t>
      </w:r>
    </w:p>
    <w:p w14:paraId="7BEDAD0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仿宋_GBK"/>
          <w:color w:val="000000"/>
          <w:kern w:val="0"/>
          <w:sz w:val="32"/>
          <w:szCs w:val="32"/>
        </w:rPr>
        <w:t>本办法所称设计变更，是指地方铁路工程项目施工图审核合格后至工程初步验收合格后半年以内对设计文件进行修改和完善等活动。</w:t>
      </w:r>
    </w:p>
    <w:p w14:paraId="743AC56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hAnsi="方正楷体_GBK" w:eastAsia="方正黑体_GBK" w:cs="方正楷体_GBK"/>
          <w:color w:val="000000"/>
          <w:kern w:val="0"/>
          <w:sz w:val="32"/>
          <w:szCs w:val="32"/>
        </w:rPr>
        <w:t>第三条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地方铁路工程项目设计变更管理应当遵循“先批准、后实施，先设计、后施工”的原则，以优化、完善原设计为前提，坚持科学合理、实事求是，在确保工程安全、质量、使用功能和利于环保、运营的同时，严格按照国家和市有关规定程序进行设计变更，任何单位和个人不得违规进行设计变更。</w:t>
      </w:r>
    </w:p>
    <w:p w14:paraId="7519FD9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hAnsi="方正楷体_GBK" w:eastAsia="方正黑体_GBK" w:cs="方正楷体_GBK"/>
          <w:color w:val="000000"/>
          <w:kern w:val="0"/>
          <w:sz w:val="32"/>
          <w:szCs w:val="32"/>
        </w:rPr>
        <w:t>第四条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市交通运输主管部门负责地方铁路工程项目设计变更的监督管理工作。</w:t>
      </w:r>
    </w:p>
    <w:p w14:paraId="6843ED7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仿宋_GBK"/>
          <w:color w:val="000000"/>
          <w:kern w:val="0"/>
          <w:sz w:val="32"/>
          <w:szCs w:val="32"/>
          <w:lang w:val="en"/>
        </w:rPr>
        <w:t>建设单位（或代建单位，以下同）应当加强项目设计变更实施管理，对项目设计变更管理负主体责任。</w:t>
      </w:r>
    </w:p>
    <w:p w14:paraId="09EC965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lang w:val="en"/>
        </w:rPr>
      </w:pPr>
      <w:r>
        <w:rPr>
          <w:rFonts w:hint="eastAsia" w:eastAsia="方正仿宋_GBK"/>
          <w:color w:val="000000"/>
          <w:kern w:val="0"/>
          <w:sz w:val="32"/>
          <w:szCs w:val="32"/>
          <w:lang w:val="en"/>
        </w:rPr>
        <w:t>委托代建铁路项目应当在代建协议（合同）中约定设计变更管理职责划分。</w:t>
      </w:r>
    </w:p>
    <w:p w14:paraId="7CC6C29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eastAsia="方正仿宋_GBK"/>
          <w:color w:val="000000"/>
          <w:kern w:val="0"/>
          <w:sz w:val="32"/>
          <w:szCs w:val="32"/>
          <w:lang w:val="en"/>
        </w:rPr>
        <w:t>勘察设计单位应当提高设计质量，切实减少设计变更。项目各参建单位应当加强配合，共同做好设计变更工作，确保建设项目顺利推进。</w:t>
      </w:r>
    </w:p>
    <w:p w14:paraId="7C986C9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lang w:val="en"/>
        </w:rPr>
      </w:pPr>
      <w:r>
        <w:rPr>
          <w:rFonts w:hint="eastAsia" w:hAnsi="方正楷体_GBK" w:eastAsia="方正黑体_GBK" w:cs="方正楷体_GBK"/>
          <w:color w:val="000000"/>
          <w:kern w:val="0"/>
          <w:sz w:val="32"/>
          <w:szCs w:val="32"/>
        </w:rPr>
        <w:t>第五条</w:t>
      </w:r>
      <w:r>
        <w:rPr>
          <w:rFonts w:hint="eastAsia" w:eastAsia="方正仿宋_GBK"/>
          <w:color w:val="000000"/>
          <w:kern w:val="0"/>
          <w:sz w:val="32"/>
          <w:szCs w:val="32"/>
        </w:rPr>
        <w:t xml:space="preserve">  </w:t>
      </w:r>
      <w:r>
        <w:rPr>
          <w:rFonts w:hint="eastAsia" w:eastAsia="方正仿宋_GBK"/>
          <w:color w:val="000000"/>
          <w:kern w:val="0"/>
          <w:sz w:val="32"/>
          <w:szCs w:val="32"/>
          <w:lang w:val="en"/>
        </w:rPr>
        <w:t>地方铁路</w:t>
      </w:r>
      <w:r>
        <w:rPr>
          <w:rFonts w:hint="eastAsia" w:eastAsia="方正仿宋_GBK"/>
          <w:color w:val="000000"/>
          <w:kern w:val="0"/>
          <w:sz w:val="32"/>
          <w:szCs w:val="32"/>
        </w:rPr>
        <w:t>工程</w:t>
      </w:r>
      <w:r>
        <w:rPr>
          <w:rFonts w:hint="eastAsia" w:eastAsia="方正仿宋_GBK"/>
          <w:color w:val="000000"/>
          <w:kern w:val="0"/>
          <w:sz w:val="32"/>
          <w:szCs w:val="32"/>
          <w:lang w:val="en"/>
        </w:rPr>
        <w:t>项目设计变更按照《铁路建设项目变更设计管理办法》规定原则划分为Ⅰ类和Ⅱ类。任何单位和个人不得以任何理由肢解设计变更规避审批（核），亦不得合并设计变更报批。</w:t>
      </w:r>
    </w:p>
    <w:p w14:paraId="531CC3E2">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lang w:val="en"/>
        </w:rPr>
      </w:pPr>
    </w:p>
    <w:p w14:paraId="778C9610">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hAnsi="方正黑体_GBK" w:eastAsia="方正黑体_GBK" w:cs="方正黑体_GBK"/>
          <w:color w:val="000000"/>
          <w:sz w:val="32"/>
          <w:szCs w:val="32"/>
        </w:rPr>
        <w:t>第二章</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设计变更程序</w:t>
      </w:r>
    </w:p>
    <w:p w14:paraId="3E54141F">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52DE40C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第六条</w:t>
      </w:r>
      <w:r>
        <w:rPr>
          <w:rFonts w:hint="eastAsia" w:eastAsia="方正仿宋_GBK"/>
          <w:color w:val="000000"/>
          <w:kern w:val="0"/>
          <w:sz w:val="32"/>
          <w:szCs w:val="32"/>
        </w:rPr>
        <w:t xml:space="preserve">  地方铁路工程项目发生Ⅰ类设计变更的，建设单位按规定组织相关单位完成提出设计变更建议、会审设计变更方案、编制设计变更文件、初审设计变更文件等程序后，及时上报市交通运输主管部门审批。</w:t>
      </w:r>
    </w:p>
    <w:p w14:paraId="354ADD5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地方铁路工程项目发生Ⅱ类设计变更的，由建设单位按规定组织相关单位完成提出设计变更建议、进行现场核实、确定设计变更方案等工作流程。</w:t>
      </w:r>
    </w:p>
    <w:p w14:paraId="4763B7A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工程设计方案和范围均未发生变化，仅调整设计工程量的，由建设单位按照合同约定处理。</w:t>
      </w:r>
    </w:p>
    <w:p w14:paraId="7CEE97E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第七条</w:t>
      </w:r>
      <w:r>
        <w:rPr>
          <w:rFonts w:hint="eastAsia" w:eastAsia="方正仿宋_GBK"/>
          <w:color w:val="000000"/>
          <w:kern w:val="0"/>
          <w:sz w:val="32"/>
          <w:szCs w:val="32"/>
        </w:rPr>
        <w:t xml:space="preserve">  Ⅰ类设计变更报送市交通运输主管部门审批时，建设单位需提供以下文件：</w:t>
      </w:r>
    </w:p>
    <w:p w14:paraId="43C7C42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（一）设计变更文件申报表（格式详见附件D）。</w:t>
      </w:r>
    </w:p>
    <w:p w14:paraId="781F0EA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二）建设单位的审核意见。包括项目基本情况，设计变更理由，合理性论证意见，设计变更建议（格式详见附件A）的落实情况，变更前（新增工程除外）、后设计方案及预算审核情况、费用列支建议等。因涉及相关单位责任的变更工程，应当同时明确责任单位。</w:t>
      </w:r>
    </w:p>
    <w:p w14:paraId="2B2A837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（三）原设计单位的书面意见（变更设计单位发生变化的）。</w:t>
      </w:r>
    </w:p>
    <w:p w14:paraId="7A4E6CB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四）设计变更文件，包括：编制说明和设计图表。编制说明包括工程概况，变更的主要理由（说明变更的必要性和变更后设计方案的可行性）和内容；原设计方案和变更后设计方案，变更前、后工程量及变更预算费用对比情况。</w:t>
      </w:r>
    </w:p>
    <w:p w14:paraId="39B05A5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（五）审查论证的相关会议纪要（格式详见附件B）或专家咨询意见（如有）等。</w:t>
      </w:r>
    </w:p>
    <w:p w14:paraId="63003A7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第八条</w:t>
      </w:r>
      <w:r>
        <w:rPr>
          <w:rFonts w:hint="eastAsia" w:eastAsia="方正仿宋_GBK"/>
          <w:color w:val="000000"/>
          <w:kern w:val="0"/>
          <w:sz w:val="32"/>
          <w:szCs w:val="32"/>
        </w:rPr>
        <w:t xml:space="preserve">  市交通运输主管部门收到Ⅰ类设计变更审批申请后，对符合审批条件的，一般在30个工作日内完成批复；需要补充资料的部分，应当及时向建设单位提出补充要求，并在资料补充后20个工作日内完成批复。必要时，可组织现场检验、检测，可委托第三方或邀请专家对设计变更进行评估或评审论证，所需时间不计算在上述期限内。</w:t>
      </w:r>
    </w:p>
    <w:p w14:paraId="265E344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第九条</w:t>
      </w:r>
      <w:r>
        <w:rPr>
          <w:rFonts w:hint="eastAsia" w:eastAsia="方正仿宋_GBK"/>
          <w:color w:val="000000"/>
          <w:kern w:val="0"/>
          <w:sz w:val="32"/>
          <w:szCs w:val="32"/>
        </w:rPr>
        <w:t xml:space="preserve">  建设单位应当根据Ⅰ类设计变更审批意见或确定的Ⅱ类设计变更方案，及时组织相关单位完善施工图设计并组织对施工图进行审核，将审核合格的施工图随同《设计变更通知单》（格式详见附件C）送达施工、监理等单位。需完善相关合同手续的，建设单位应当与相关单位及时办理。</w:t>
      </w:r>
    </w:p>
    <w:p w14:paraId="03B0A59F">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第十条</w:t>
      </w:r>
      <w:r>
        <w:rPr>
          <w:rFonts w:hint="eastAsia" w:eastAsia="方正仿宋_GBK"/>
          <w:color w:val="000000"/>
          <w:kern w:val="0"/>
          <w:sz w:val="32"/>
          <w:szCs w:val="32"/>
        </w:rPr>
        <w:t xml:space="preserve">  对于设计规范要求采用动态设计的地方铁路工程，建设单位与勘察设计单位应当就动态设计范围和内容进行明确，可参照Ⅱ类设计变更办理。</w:t>
      </w:r>
    </w:p>
    <w:p w14:paraId="6AE3AE2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前款所称动态设计是指受建设条件限制，难以在勘察设计阶段完全准确掌握地质情况，按照有关设计规范要求，需在施工过程中动态查明地质情况，并对施工图设计进行补充、修改或完善的设计方法。</w:t>
      </w:r>
    </w:p>
    <w:p w14:paraId="58513C1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第十一条</w:t>
      </w:r>
      <w:r>
        <w:rPr>
          <w:rFonts w:hint="eastAsia" w:eastAsia="方正仿宋_GBK"/>
          <w:color w:val="000000"/>
          <w:kern w:val="0"/>
          <w:sz w:val="32"/>
          <w:szCs w:val="32"/>
        </w:rPr>
        <w:t xml:space="preserve">  因无法预见或不可抗力导致的突发事件或其他特殊情况，影响工程安全质量，需要立即实施工程设计变更的，建设单位可以组织相关单位先进行紧急处理，属于Ⅰ类设计变更的，24小时内向市交通运输主管部门书面报告。应急情况解除后，建设单位应当及时按规定履行设计变更报批程序，并提供影像等支撑资料。</w:t>
      </w:r>
    </w:p>
    <w:p w14:paraId="313DAE9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第十二条</w:t>
      </w:r>
      <w:r>
        <w:rPr>
          <w:rFonts w:hint="eastAsia" w:eastAsia="方正仿宋_GBK"/>
          <w:color w:val="000000"/>
          <w:kern w:val="0"/>
          <w:sz w:val="32"/>
          <w:szCs w:val="32"/>
        </w:rPr>
        <w:t xml:space="preserve">  地方铁路工程施工图审核前需要对初步设计审批的重大内容进行调整（包括施工图总预算超出初步设计批复总概算的情形）时，应当参照Ⅰ类设计变更程序报市交通运输主管部门；由区县政府或运营接管单位等提出并经建设单位同意的新增工程，可参照Ⅰ、Ⅱ类设计变更办理。</w:t>
      </w:r>
    </w:p>
    <w:p w14:paraId="1B754E84">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4F24947C">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hAnsi="方正黑体_GBK" w:eastAsia="方正黑体_GBK" w:cs="方正黑体_GBK"/>
          <w:color w:val="000000"/>
          <w:sz w:val="32"/>
          <w:szCs w:val="32"/>
        </w:rPr>
        <w:t>第三章</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设计变更费用</w:t>
      </w:r>
    </w:p>
    <w:p w14:paraId="15AEC86B">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s="方正仿宋_GBK"/>
          <w:color w:val="000000"/>
          <w:sz w:val="36"/>
          <w:szCs w:val="36"/>
        </w:rPr>
      </w:pPr>
    </w:p>
    <w:p w14:paraId="41043F4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第十三条</w:t>
      </w:r>
      <w:r>
        <w:rPr>
          <w:rFonts w:hint="eastAsia" w:eastAsia="方正仿宋_GBK"/>
          <w:color w:val="000000"/>
          <w:kern w:val="0"/>
          <w:sz w:val="32"/>
          <w:szCs w:val="32"/>
        </w:rPr>
        <w:t xml:space="preserve">  本办法所指的设计变更费用，是指在地方铁路工程实施过程中，由于设计变更引起工程造价调整的费用。</w:t>
      </w:r>
    </w:p>
    <w:p w14:paraId="7CBB0DB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第十四条</w:t>
      </w:r>
      <w:r>
        <w:rPr>
          <w:rFonts w:hint="eastAsia" w:eastAsia="方正仿宋_GBK"/>
          <w:color w:val="000000"/>
          <w:kern w:val="0"/>
          <w:sz w:val="32"/>
          <w:szCs w:val="32"/>
        </w:rPr>
        <w:t xml:space="preserve">  设计变更应当严格按照国家、铁路行业和市级有关规定、相关造价标准以及合同约定编制设计变更费用，费用界面清晰、完整，计费准确，确保设计变更费用的合理性和准确性。</w:t>
      </w:r>
    </w:p>
    <w:p w14:paraId="48484BD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第十五条</w:t>
      </w:r>
      <w:r>
        <w:rPr>
          <w:rFonts w:hint="eastAsia" w:eastAsia="方正仿宋_GBK"/>
          <w:color w:val="000000"/>
          <w:kern w:val="0"/>
          <w:sz w:val="32"/>
          <w:szCs w:val="32"/>
        </w:rPr>
        <w:t xml:space="preserve">  Ⅰ类设计变更费用应当采用初步设计批复的概算编制原则（涉及新增其他专业工程的，从其行业编制规定），报市交通运输主管部门审批后执行。建设单位自行审核的Ⅱ类设计变更，费用按照施工承包合同约定、初步设计批复的概算编制原则和其管理制度进行编制，并由其按规定组织审定后执行。</w:t>
      </w:r>
    </w:p>
    <w:p w14:paraId="41B2DBE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第十六条</w:t>
      </w:r>
      <w:r>
        <w:rPr>
          <w:rFonts w:hint="eastAsia" w:eastAsia="方正仿宋_GBK"/>
          <w:color w:val="000000"/>
          <w:kern w:val="0"/>
          <w:sz w:val="32"/>
          <w:szCs w:val="32"/>
        </w:rPr>
        <w:t xml:space="preserve">  建设单位应当与勘察设计、施工、监理等相关参建单位在合同中明确设计变更相关费用的处理原则。</w:t>
      </w:r>
    </w:p>
    <w:p w14:paraId="2B08F9C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因责任原因引起的设计变更，应当按照合同约定和责任划分由相关责任单位承担相应费用。</w:t>
      </w:r>
    </w:p>
    <w:p w14:paraId="564AC1A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非责任原因引起的设计变更，属于不可抗力的，按合同约定处理；属于风险包干范围的，按风险包干相关规定处理。</w:t>
      </w:r>
    </w:p>
    <w:p w14:paraId="0DBB445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Ⅱ类设计变更不另计取勘察设计费。</w:t>
      </w:r>
    </w:p>
    <w:p w14:paraId="14F32CF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hAnsi="方正楷体_GBK" w:eastAsia="方正黑体_GBK" w:cs="方正楷体_GBK"/>
          <w:color w:val="000000"/>
          <w:kern w:val="0"/>
          <w:sz w:val="32"/>
          <w:szCs w:val="32"/>
        </w:rPr>
        <w:t>第十七条</w:t>
      </w:r>
      <w:r>
        <w:rPr>
          <w:rFonts w:hint="eastAsia" w:eastAsia="方正仿宋_GBK"/>
          <w:color w:val="000000"/>
          <w:kern w:val="0"/>
          <w:sz w:val="32"/>
          <w:szCs w:val="32"/>
        </w:rPr>
        <w:t xml:space="preserve">  Ⅰ类设计变更费用，按使用招标结余费用、基本预备费、调整项目总概算顺序列支，以批复意见为准；调整合同价的Ⅱ类设计变更费用由建设单位先在暂列金额（如有）中列支，暂列金额未列或不足时，按招标结余费用、基本预备费顺序列支；不调整合同价的Ⅱ类设计变更费用在总包风险费中列支。</w:t>
      </w:r>
    </w:p>
    <w:p w14:paraId="575949A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第十八条</w:t>
      </w:r>
      <w:r>
        <w:rPr>
          <w:rFonts w:hint="eastAsia" w:eastAsia="方正仿宋_GBK"/>
          <w:color w:val="000000"/>
          <w:kern w:val="0"/>
          <w:sz w:val="32"/>
          <w:szCs w:val="32"/>
        </w:rPr>
        <w:t xml:space="preserve">  除应急处治工程或另有明确规定之外，设计变更未经审批，不得实施。未经批准的设计变更费用，不得进行验工计价。</w:t>
      </w:r>
    </w:p>
    <w:p w14:paraId="13F02A5E">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09B121EA">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hAnsi="方正黑体_GBK" w:eastAsia="方正黑体_GBK" w:cs="方正黑体_GBK"/>
          <w:color w:val="000000"/>
          <w:sz w:val="32"/>
          <w:szCs w:val="32"/>
        </w:rPr>
        <w:t>第四章</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设计变更管理</w:t>
      </w:r>
    </w:p>
    <w:p w14:paraId="03886DDA">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091C1BF8">
      <w:pPr>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第十九条</w:t>
      </w:r>
      <w:r>
        <w:rPr>
          <w:rFonts w:hint="eastAsia" w:eastAsia="方正仿宋_GBK"/>
          <w:color w:val="000000"/>
          <w:kern w:val="0"/>
          <w:sz w:val="32"/>
          <w:szCs w:val="32"/>
        </w:rPr>
        <w:t xml:space="preserve">  市交通运输主管部门应当加强设计变更监督管理统筹实施工作；市交通运输综合执法机构具体负责设计变更执法检查，对检查过程中发现的违规情况应当依法处理。</w:t>
      </w:r>
    </w:p>
    <w:p w14:paraId="46F72E2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第二十条</w:t>
      </w:r>
      <w:r>
        <w:rPr>
          <w:rFonts w:hint="eastAsia" w:eastAsia="方正仿宋_GBK"/>
          <w:color w:val="000000"/>
          <w:kern w:val="0"/>
          <w:sz w:val="32"/>
          <w:szCs w:val="32"/>
        </w:rPr>
        <w:t xml:space="preserve">  建设单位履行设计变更管理主体职责，主要包括：</w:t>
      </w:r>
    </w:p>
    <w:p w14:paraId="4FC93271">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（一）加强设计变更管控，落实设计变更工作的组织管理，建立设计变更管理制度，明确内部管理程序、工作标准、岗位及人员职责。</w:t>
      </w:r>
    </w:p>
    <w:p w14:paraId="5A463DF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（二）做好设计变更文件的审核和质量评价；建立设计变更管理台账，按档案管理有关规定做好设计变更资料归档工作。</w:t>
      </w:r>
    </w:p>
    <w:p w14:paraId="7DB776A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eastAsia="方正仿宋_GBK"/>
          <w:color w:val="000000"/>
          <w:kern w:val="0"/>
          <w:sz w:val="32"/>
          <w:szCs w:val="32"/>
        </w:rPr>
        <w:t>（三）定期对Ⅱ类设计变更及费用列支情况进行统计、分析，每年度报市交通运输主管部门。</w:t>
      </w:r>
    </w:p>
    <w:p w14:paraId="5204605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hAnsi="方正楷体_GBK" w:eastAsia="方正黑体_GBK" w:cs="方正楷体_GBK"/>
          <w:color w:val="000000"/>
          <w:kern w:val="0"/>
          <w:sz w:val="32"/>
          <w:szCs w:val="32"/>
        </w:rPr>
        <w:t>第二十一条</w:t>
      </w:r>
      <w:r>
        <w:rPr>
          <w:rFonts w:hint="eastAsia" w:eastAsia="方正仿宋_GBK"/>
          <w:color w:val="000000"/>
          <w:kern w:val="0"/>
          <w:sz w:val="32"/>
          <w:szCs w:val="32"/>
        </w:rPr>
        <w:t xml:space="preserve">  勘察设计单位应当完善内部勘察设计及设计变更管理制度，按照合同约定和有关规定履行设计变更相关义务，不得弄虚作假。</w:t>
      </w:r>
    </w:p>
    <w:p w14:paraId="19B37FA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eastAsia="方正仿宋_GBK"/>
          <w:color w:val="000000"/>
          <w:kern w:val="0"/>
          <w:sz w:val="32"/>
          <w:szCs w:val="32"/>
        </w:rPr>
      </w:pPr>
      <w:r>
        <w:rPr>
          <w:rFonts w:hint="eastAsia" w:hAnsi="方正楷体_GBK" w:eastAsia="方正黑体_GBK" w:cs="方正楷体_GBK"/>
          <w:color w:val="000000"/>
          <w:kern w:val="0"/>
          <w:sz w:val="32"/>
          <w:szCs w:val="32"/>
        </w:rPr>
        <w:t>第二十二条</w:t>
      </w:r>
      <w:r>
        <w:rPr>
          <w:rFonts w:hint="eastAsia" w:eastAsia="方正仿宋_GBK"/>
          <w:color w:val="000000"/>
          <w:kern w:val="0"/>
          <w:sz w:val="32"/>
          <w:szCs w:val="32"/>
        </w:rPr>
        <w:t xml:space="preserve">  施工单位应当做好设计变更施工图现场核对和施工过程中地质资料确认工作，发现问题应当及时向监理单位和建设单位提出；积极参与设计变更方案研究，严格按照设计变更施工图组织施工，未经审批不得擅自施工。</w:t>
      </w:r>
    </w:p>
    <w:p w14:paraId="4F9A88D6">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hAnsi="方正楷体_GBK" w:eastAsia="方正黑体_GBK" w:cs="方正楷体_GBK"/>
          <w:color w:val="000000"/>
          <w:kern w:val="0"/>
          <w:sz w:val="32"/>
          <w:szCs w:val="32"/>
        </w:rPr>
        <w:t>第二十三条</w:t>
      </w:r>
      <w:r>
        <w:rPr>
          <w:rFonts w:hint="eastAsia" w:eastAsia="方正仿宋_GBK"/>
          <w:color w:val="000000"/>
          <w:kern w:val="0"/>
          <w:sz w:val="32"/>
          <w:szCs w:val="32"/>
        </w:rPr>
        <w:t xml:space="preserve">  监理单位应当严格按照合同约定和监理规范履行设计变更相关监理责任，认真核对设计文件，及时将发现的勘察设计问题以及施工单位提出的问题通知勘察设计和建设单位；积极参与设计变更方案研究，按照设计变更施工图实施监理，未经审批不得擅自同意变更施工。</w:t>
      </w:r>
    </w:p>
    <w:p w14:paraId="2999C42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hAnsi="方正楷体_GBK" w:eastAsia="方正黑体_GBK" w:cs="方正楷体_GBK"/>
          <w:color w:val="000000"/>
          <w:kern w:val="0"/>
          <w:sz w:val="32"/>
          <w:szCs w:val="32"/>
        </w:rPr>
        <w:t>第二十四条</w:t>
      </w:r>
      <w:r>
        <w:rPr>
          <w:rFonts w:hint="eastAsia" w:eastAsia="方正仿宋_GBK"/>
          <w:color w:val="000000"/>
          <w:kern w:val="0"/>
          <w:sz w:val="32"/>
          <w:szCs w:val="32"/>
        </w:rPr>
        <w:t xml:space="preserve">  任何单位和个人均有权对设计变更违规行为向市交通运输主管部门进行举报或投诉。</w:t>
      </w:r>
    </w:p>
    <w:p w14:paraId="674B15E8">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第二十五条</w:t>
      </w:r>
      <w:r>
        <w:rPr>
          <w:rFonts w:hint="eastAsia" w:eastAsia="方正仿宋_GBK"/>
          <w:color w:val="000000"/>
          <w:kern w:val="0"/>
          <w:sz w:val="32"/>
          <w:szCs w:val="32"/>
        </w:rPr>
        <w:t xml:space="preserve">  在地方铁路工程项目设计变更工作中发生违法违规行为的单位、个人，依据国家、铁路行业和市级有关规定追究责任。</w:t>
      </w:r>
    </w:p>
    <w:p w14:paraId="7D4C40A0">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olor w:val="000000"/>
          <w:kern w:val="0"/>
          <w:sz w:val="32"/>
          <w:szCs w:val="32"/>
        </w:rPr>
      </w:pPr>
    </w:p>
    <w:p w14:paraId="001A2AAA">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eastAsia="方正黑体_GBK" w:cs="方正黑体_GBK"/>
          <w:color w:val="000000"/>
          <w:sz w:val="32"/>
          <w:szCs w:val="32"/>
        </w:rPr>
      </w:pPr>
      <w:r>
        <w:rPr>
          <w:rFonts w:hint="eastAsia" w:hAnsi="方正黑体_GBK" w:eastAsia="方正黑体_GBK" w:cs="方正黑体_GBK"/>
          <w:color w:val="000000"/>
          <w:sz w:val="32"/>
          <w:szCs w:val="32"/>
        </w:rPr>
        <w:t>第五章</w:t>
      </w:r>
      <w:r>
        <w:rPr>
          <w:rFonts w:hint="eastAsia" w:eastAsia="方正黑体_GBK" w:cs="方正黑体_GBK"/>
          <w:color w:val="000000"/>
          <w:sz w:val="32"/>
          <w:szCs w:val="32"/>
        </w:rPr>
        <w:t xml:space="preserve">  </w:t>
      </w:r>
      <w:r>
        <w:rPr>
          <w:rFonts w:hint="eastAsia" w:hAnsi="方正黑体_GBK" w:eastAsia="方正黑体_GBK" w:cs="方正黑体_GBK"/>
          <w:color w:val="000000"/>
          <w:sz w:val="32"/>
          <w:szCs w:val="32"/>
        </w:rPr>
        <w:t>附</w:t>
      </w:r>
      <w:r>
        <w:rPr>
          <w:rFonts w:hint="eastAsia" w:hAnsi="方正黑体_GBK" w:eastAsia="方正黑体_GBK" w:cs="方正黑体_GBK"/>
          <w:color w:val="000000"/>
          <w:sz w:val="32"/>
          <w:szCs w:val="32"/>
          <w:lang w:val="en-US" w:eastAsia="zh-CN"/>
        </w:rPr>
        <w:t xml:space="preserve">  </w:t>
      </w:r>
      <w:r>
        <w:rPr>
          <w:rFonts w:hint="eastAsia" w:hAnsi="方正黑体_GBK" w:eastAsia="方正黑体_GBK" w:cs="方正黑体_GBK"/>
          <w:color w:val="000000"/>
          <w:sz w:val="32"/>
          <w:szCs w:val="32"/>
        </w:rPr>
        <w:t>则</w:t>
      </w:r>
    </w:p>
    <w:p w14:paraId="634702E1">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eastAsia="方正仿宋_GBK" w:cs="方正仿宋_GBK"/>
          <w:color w:val="000000"/>
          <w:kern w:val="0"/>
          <w:sz w:val="32"/>
          <w:szCs w:val="32"/>
        </w:rPr>
      </w:pPr>
    </w:p>
    <w:p w14:paraId="40387F9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hAnsi="方正楷体_GBK" w:eastAsia="方正黑体_GBK" w:cs="方正楷体_GBK"/>
          <w:color w:val="000000"/>
          <w:kern w:val="0"/>
          <w:sz w:val="32"/>
          <w:szCs w:val="32"/>
        </w:rPr>
        <w:t>第二十六条</w:t>
      </w:r>
      <w:r>
        <w:rPr>
          <w:rFonts w:hint="eastAsia" w:eastAsia="方正仿宋_GBK"/>
          <w:color w:val="000000"/>
          <w:kern w:val="0"/>
          <w:sz w:val="32"/>
          <w:szCs w:val="32"/>
        </w:rPr>
        <w:t xml:space="preserve">  实行总价包干的总承包工程，设计变更程序及审查按照本办法规定执行，设计变更费用按照合同约定办理。</w:t>
      </w:r>
    </w:p>
    <w:p w14:paraId="643CC5E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textAlignment w:val="auto"/>
        <w:rPr>
          <w:rFonts w:hint="eastAsia" w:eastAsia="方正仿宋_GBK"/>
          <w:i/>
          <w:iCs/>
          <w:color w:val="000000"/>
          <w:kern w:val="0"/>
          <w:sz w:val="32"/>
          <w:szCs w:val="32"/>
        </w:rPr>
      </w:pPr>
      <w:r>
        <w:rPr>
          <w:rFonts w:hint="eastAsia" w:hAnsi="方正楷体_GBK" w:eastAsia="方正黑体_GBK" w:cs="方正楷体_GBK"/>
          <w:color w:val="000000"/>
          <w:kern w:val="0"/>
          <w:sz w:val="32"/>
          <w:szCs w:val="32"/>
        </w:rPr>
        <w:t>第二十七条</w:t>
      </w:r>
      <w:r>
        <w:rPr>
          <w:rFonts w:hint="eastAsia" w:eastAsia="方正仿宋_GBK"/>
          <w:color w:val="000000"/>
          <w:kern w:val="0"/>
          <w:sz w:val="32"/>
          <w:szCs w:val="32"/>
        </w:rPr>
        <w:t xml:space="preserve">  本办法由市交通运输主管部门负责解释。</w:t>
      </w:r>
    </w:p>
    <w:p w14:paraId="4079E81D">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eastAsia="方正仿宋_GBK"/>
          <w:color w:val="000000"/>
          <w:kern w:val="0"/>
          <w:sz w:val="32"/>
          <w:szCs w:val="32"/>
        </w:rPr>
      </w:pPr>
      <w:r>
        <w:rPr>
          <w:rFonts w:hint="eastAsia" w:hAnsi="方正楷体_GBK" w:eastAsia="方正黑体_GBK" w:cs="方正楷体_GBK"/>
          <w:color w:val="000000"/>
          <w:kern w:val="0"/>
          <w:sz w:val="32"/>
          <w:szCs w:val="32"/>
        </w:rPr>
        <w:t>第二十八条</w:t>
      </w:r>
      <w:r>
        <w:rPr>
          <w:rFonts w:hint="eastAsia" w:eastAsia="方正仿宋_GBK"/>
          <w:color w:val="000000"/>
          <w:kern w:val="0"/>
          <w:sz w:val="32"/>
          <w:szCs w:val="32"/>
        </w:rPr>
        <w:t xml:space="preserve">  本办法自2025年4月1日起施行。</w:t>
      </w:r>
    </w:p>
    <w:p w14:paraId="24FB7999">
      <w:pPr>
        <w:rPr>
          <w:rFonts w:hint="eastAsia" w:eastAsia="方正仿宋_GBK"/>
          <w:color w:val="000000"/>
          <w:kern w:val="0"/>
          <w:sz w:val="32"/>
          <w:szCs w:val="32"/>
        </w:rPr>
      </w:pPr>
      <w:r>
        <w:rPr>
          <w:rFonts w:hint="eastAsia" w:eastAsia="方正仿宋_GBK"/>
          <w:color w:val="000000"/>
          <w:kern w:val="0"/>
          <w:sz w:val="32"/>
          <w:szCs w:val="32"/>
        </w:rPr>
        <w:br w:type="page"/>
      </w:r>
    </w:p>
    <w:p w14:paraId="16008E74">
      <w:pPr>
        <w:outlineLvl w:val="1"/>
        <w:rPr>
          <w:rFonts w:eastAsia="方正黑体_GBK"/>
          <w:bCs/>
          <w:sz w:val="32"/>
          <w:szCs w:val="28"/>
        </w:rPr>
      </w:pPr>
      <w:r>
        <w:rPr>
          <w:rFonts w:hint="eastAsia" w:eastAsia="方正黑体_GBK"/>
          <w:bCs/>
          <w:sz w:val="32"/>
          <w:szCs w:val="28"/>
        </w:rPr>
        <w:t>附件A</w:t>
      </w:r>
    </w:p>
    <w:p w14:paraId="5C8677D1">
      <w:pPr>
        <w:spacing w:line="560" w:lineRule="exact"/>
        <w:jc w:val="center"/>
        <w:outlineLvl w:val="1"/>
        <w:rPr>
          <w:rFonts w:hint="eastAsia" w:eastAsia="方正小标宋_GBK"/>
          <w:sz w:val="44"/>
          <w:szCs w:val="44"/>
        </w:rPr>
      </w:pPr>
    </w:p>
    <w:p w14:paraId="5F1726AB">
      <w:pPr>
        <w:spacing w:line="560" w:lineRule="exact"/>
        <w:jc w:val="center"/>
        <w:outlineLvl w:val="1"/>
        <w:rPr>
          <w:rFonts w:eastAsia="方正小标宋_GBK"/>
          <w:sz w:val="44"/>
          <w:szCs w:val="44"/>
        </w:rPr>
      </w:pPr>
      <w:r>
        <w:rPr>
          <w:rFonts w:hint="eastAsia" w:eastAsia="方正小标宋_GBK"/>
          <w:sz w:val="44"/>
          <w:szCs w:val="44"/>
        </w:rPr>
        <w:t>设计变更建议表</w:t>
      </w:r>
    </w:p>
    <w:p w14:paraId="4D55B72D">
      <w:pPr>
        <w:spacing w:line="560" w:lineRule="exact"/>
        <w:jc w:val="center"/>
        <w:outlineLvl w:val="1"/>
        <w:rPr>
          <w:rFonts w:hint="eastAsia" w:eastAsia="方正小标宋_GBK"/>
          <w:sz w:val="44"/>
          <w:szCs w:val="44"/>
        </w:rPr>
      </w:pPr>
    </w:p>
    <w:p w14:paraId="3F328EA0">
      <w:pPr>
        <w:pStyle w:val="12"/>
        <w:spacing w:before="213"/>
        <w:ind w:left="103"/>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 xml:space="preserve">上报单位： </w:t>
      </w:r>
      <w:r>
        <w:rPr>
          <w:rFonts w:ascii="Times New Roman" w:hAnsi="Times New Roman" w:eastAsia="方正仿宋_GBK"/>
          <w:sz w:val="24"/>
          <w:szCs w:val="24"/>
          <w:lang w:eastAsia="zh-CN"/>
        </w:rPr>
        <w:t xml:space="preserve">                 </w:t>
      </w:r>
      <w:r>
        <w:rPr>
          <w:rFonts w:hint="eastAsia" w:ascii="Times New Roman" w:hAnsi="Times New Roman" w:eastAsia="方正仿宋_GBK"/>
          <w:sz w:val="24"/>
          <w:szCs w:val="24"/>
          <w:lang w:eastAsia="zh-CN"/>
        </w:rPr>
        <w:t xml:space="preserve">联系人： </w:t>
      </w:r>
      <w:r>
        <w:rPr>
          <w:rFonts w:ascii="Times New Roman" w:hAnsi="Times New Roman" w:eastAsia="方正仿宋_GBK"/>
          <w:sz w:val="24"/>
          <w:szCs w:val="24"/>
          <w:lang w:eastAsia="zh-CN"/>
        </w:rPr>
        <w:t xml:space="preserve">                 </w:t>
      </w:r>
      <w:r>
        <w:rPr>
          <w:rFonts w:hint="eastAsia" w:ascii="Times New Roman" w:hAnsi="Times New Roman" w:eastAsia="方正仿宋_GBK"/>
          <w:sz w:val="24"/>
          <w:szCs w:val="24"/>
          <w:lang w:eastAsia="zh-CN"/>
        </w:rPr>
        <w:t>联系电话：</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4"/>
        <w:gridCol w:w="1153"/>
        <w:gridCol w:w="1218"/>
        <w:gridCol w:w="1435"/>
        <w:gridCol w:w="4295"/>
      </w:tblGrid>
      <w:tr w14:paraId="00BB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jc w:val="center"/>
        </w:trPr>
        <w:tc>
          <w:tcPr>
            <w:tcW w:w="1077" w:type="pct"/>
            <w:gridSpan w:val="2"/>
            <w:noWrap w:val="0"/>
            <w:vAlign w:val="center"/>
          </w:tcPr>
          <w:p w14:paraId="57803727">
            <w:pPr>
              <w:pStyle w:val="12"/>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工程名称</w:t>
            </w:r>
          </w:p>
        </w:tc>
        <w:tc>
          <w:tcPr>
            <w:tcW w:w="3923" w:type="pct"/>
            <w:gridSpan w:val="3"/>
            <w:noWrap w:val="0"/>
            <w:vAlign w:val="top"/>
          </w:tcPr>
          <w:p w14:paraId="2E4C3968">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r>
      <w:tr w14:paraId="7C99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1077" w:type="pct"/>
            <w:gridSpan w:val="2"/>
            <w:noWrap w:val="0"/>
            <w:vAlign w:val="center"/>
          </w:tcPr>
          <w:p w14:paraId="0C45516D">
            <w:pPr>
              <w:pStyle w:val="12"/>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建设单位</w:t>
            </w:r>
          </w:p>
        </w:tc>
        <w:tc>
          <w:tcPr>
            <w:tcW w:w="1498" w:type="pct"/>
            <w:gridSpan w:val="2"/>
            <w:noWrap w:val="0"/>
            <w:vAlign w:val="top"/>
          </w:tcPr>
          <w:p w14:paraId="1E20EF1B">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2424" w:type="pct"/>
            <w:noWrap w:val="0"/>
            <w:vAlign w:val="top"/>
          </w:tcPr>
          <w:p w14:paraId="38B05B1E">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设计单位</w:t>
            </w:r>
          </w:p>
        </w:tc>
      </w:tr>
      <w:tr w14:paraId="3AA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1077" w:type="pct"/>
            <w:gridSpan w:val="2"/>
            <w:noWrap w:val="0"/>
            <w:vAlign w:val="center"/>
          </w:tcPr>
          <w:p w14:paraId="1735C713">
            <w:pPr>
              <w:pStyle w:val="12"/>
              <w:keepNext w:val="0"/>
              <w:keepLines w:val="0"/>
              <w:pageBreakBefore w:val="0"/>
              <w:widowControl w:val="0"/>
              <w:kinsoku/>
              <w:wordWrap/>
              <w:overflowPunct/>
              <w:topLinePunct w:val="0"/>
              <w:autoSpaceDE/>
              <w:autoSpaceDN/>
              <w:bidi w:val="0"/>
              <w:adjustRightInd/>
              <w:snapToGrid/>
              <w:ind w:left="0" w:right="0"/>
              <w:jc w:val="both"/>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文件标题</w:t>
            </w:r>
          </w:p>
        </w:tc>
        <w:tc>
          <w:tcPr>
            <w:tcW w:w="3923" w:type="pct"/>
            <w:gridSpan w:val="3"/>
            <w:noWrap w:val="0"/>
            <w:vAlign w:val="top"/>
          </w:tcPr>
          <w:p w14:paraId="341BF642">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（例：关于 XXX 铁路工程 XX 设计变更的建议）</w:t>
            </w:r>
          </w:p>
        </w:tc>
      </w:tr>
      <w:tr w14:paraId="6A42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426" w:type="pct"/>
            <w:vMerge w:val="restart"/>
            <w:noWrap w:val="0"/>
            <w:vAlign w:val="center"/>
          </w:tcPr>
          <w:p w14:paraId="2B78ED8A">
            <w:pPr>
              <w:pStyle w:val="12"/>
              <w:keepNext w:val="0"/>
              <w:keepLines w:val="0"/>
              <w:pageBreakBefore w:val="0"/>
              <w:widowControl w:val="0"/>
              <w:kinsoku/>
              <w:wordWrap/>
              <w:overflowPunct/>
              <w:topLinePunct w:val="0"/>
              <w:autoSpaceDE/>
              <w:autoSpaceDN/>
              <w:bidi w:val="0"/>
              <w:adjustRightInd/>
              <w:snapToGrid/>
              <w:spacing w:line="319" w:lineRule="auto"/>
              <w:ind w:left="0" w:right="0"/>
              <w:jc w:val="center"/>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基本 情况</w:t>
            </w:r>
          </w:p>
        </w:tc>
        <w:tc>
          <w:tcPr>
            <w:tcW w:w="1339" w:type="pct"/>
            <w:gridSpan w:val="2"/>
            <w:noWrap w:val="0"/>
            <w:vAlign w:val="top"/>
          </w:tcPr>
          <w:p w14:paraId="5C75D353">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原设计方案</w:t>
            </w:r>
          </w:p>
        </w:tc>
        <w:tc>
          <w:tcPr>
            <w:tcW w:w="3236" w:type="pct"/>
            <w:gridSpan w:val="2"/>
            <w:noWrap w:val="0"/>
            <w:vAlign w:val="top"/>
          </w:tcPr>
          <w:p w14:paraId="666D7715">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r>
      <w:tr w14:paraId="73A5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426" w:type="pct"/>
            <w:vMerge w:val="continue"/>
            <w:noWrap w:val="0"/>
            <w:vAlign w:val="top"/>
          </w:tcPr>
          <w:p w14:paraId="7B68004E">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1339" w:type="pct"/>
            <w:gridSpan w:val="2"/>
            <w:noWrap w:val="0"/>
            <w:vAlign w:val="top"/>
          </w:tcPr>
          <w:p w14:paraId="10048570">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变更原因及依据</w:t>
            </w:r>
          </w:p>
        </w:tc>
        <w:tc>
          <w:tcPr>
            <w:tcW w:w="3236" w:type="pct"/>
            <w:gridSpan w:val="2"/>
            <w:noWrap w:val="0"/>
            <w:vAlign w:val="top"/>
          </w:tcPr>
          <w:p w14:paraId="09168977">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bookmarkStart w:id="0" w:name="_GoBack"/>
            <w:bookmarkEnd w:id="0"/>
          </w:p>
        </w:tc>
      </w:tr>
      <w:tr w14:paraId="3435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exact"/>
          <w:jc w:val="center"/>
        </w:trPr>
        <w:tc>
          <w:tcPr>
            <w:tcW w:w="426" w:type="pct"/>
            <w:vMerge w:val="continue"/>
            <w:noWrap w:val="0"/>
            <w:vAlign w:val="top"/>
          </w:tcPr>
          <w:p w14:paraId="781B2552">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1339" w:type="pct"/>
            <w:gridSpan w:val="2"/>
            <w:noWrap w:val="0"/>
            <w:vAlign w:val="top"/>
          </w:tcPr>
          <w:p w14:paraId="08C4FD8D">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变更申请方案</w:t>
            </w:r>
          </w:p>
        </w:tc>
        <w:tc>
          <w:tcPr>
            <w:tcW w:w="3236" w:type="pct"/>
            <w:gridSpan w:val="2"/>
            <w:noWrap w:val="0"/>
            <w:vAlign w:val="top"/>
          </w:tcPr>
          <w:p w14:paraId="1FDB1380">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r>
      <w:tr w14:paraId="2CCA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426" w:type="pct"/>
            <w:vMerge w:val="continue"/>
            <w:noWrap w:val="0"/>
            <w:vAlign w:val="top"/>
          </w:tcPr>
          <w:p w14:paraId="406132D1">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1339" w:type="pct"/>
            <w:gridSpan w:val="2"/>
            <w:noWrap w:val="0"/>
            <w:vAlign w:val="top"/>
          </w:tcPr>
          <w:p w14:paraId="230FC248">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变更审查论证单位</w:t>
            </w:r>
          </w:p>
        </w:tc>
        <w:tc>
          <w:tcPr>
            <w:tcW w:w="3236" w:type="pct"/>
            <w:gridSpan w:val="2"/>
            <w:noWrap w:val="0"/>
            <w:vAlign w:val="top"/>
          </w:tcPr>
          <w:p w14:paraId="30EAFA33">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r>
      <w:tr w14:paraId="6922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exact"/>
          <w:jc w:val="center"/>
        </w:trPr>
        <w:tc>
          <w:tcPr>
            <w:tcW w:w="426" w:type="pct"/>
            <w:vMerge w:val="continue"/>
            <w:noWrap w:val="0"/>
            <w:vAlign w:val="top"/>
          </w:tcPr>
          <w:p w14:paraId="169BD3B5">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1339" w:type="pct"/>
            <w:gridSpan w:val="2"/>
            <w:noWrap w:val="0"/>
            <w:vAlign w:val="top"/>
          </w:tcPr>
          <w:p w14:paraId="52DDF2A8">
            <w:pPr>
              <w:pStyle w:val="1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imes New Roman" w:hAnsi="Times New Roman" w:eastAsia="方正仿宋_GBK"/>
                <w:sz w:val="24"/>
                <w:szCs w:val="24"/>
                <w:lang w:eastAsia="zh-CN"/>
              </w:rPr>
            </w:pPr>
            <w:r>
              <w:rPr>
                <w:rFonts w:ascii="Times New Roman" w:hAnsi="Times New Roman" w:eastAsia="方正仿宋_GBK"/>
                <w:sz w:val="24"/>
                <w:szCs w:val="24"/>
                <w:lang w:eastAsia="zh-CN"/>
              </w:rPr>
              <w:t>设计变更类别及情形</w:t>
            </w:r>
          </w:p>
        </w:tc>
        <w:tc>
          <w:tcPr>
            <w:tcW w:w="3236" w:type="pct"/>
            <w:gridSpan w:val="2"/>
            <w:noWrap w:val="0"/>
            <w:vAlign w:val="top"/>
          </w:tcPr>
          <w:p w14:paraId="24A9642A">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p>
          <w:p w14:paraId="7505ED66">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p>
        </w:tc>
      </w:tr>
      <w:tr w14:paraId="4BFE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jc w:val="center"/>
        </w:trPr>
        <w:tc>
          <w:tcPr>
            <w:tcW w:w="426" w:type="pct"/>
            <w:vMerge w:val="continue"/>
            <w:noWrap w:val="0"/>
            <w:vAlign w:val="top"/>
          </w:tcPr>
          <w:p w14:paraId="788995F5">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c>
          <w:tcPr>
            <w:tcW w:w="1339" w:type="pct"/>
            <w:gridSpan w:val="2"/>
            <w:noWrap w:val="0"/>
            <w:vAlign w:val="top"/>
          </w:tcPr>
          <w:p w14:paraId="14AE4DDB">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预计费用增减情况</w:t>
            </w:r>
          </w:p>
        </w:tc>
        <w:tc>
          <w:tcPr>
            <w:tcW w:w="3236" w:type="pct"/>
            <w:gridSpan w:val="2"/>
            <w:noWrap w:val="0"/>
            <w:vAlign w:val="top"/>
          </w:tcPr>
          <w:p w14:paraId="7DA17643">
            <w:pPr>
              <w:keepNext w:val="0"/>
              <w:keepLines w:val="0"/>
              <w:pageBreakBefore w:val="0"/>
              <w:widowControl w:val="0"/>
              <w:kinsoku/>
              <w:wordWrap/>
              <w:overflowPunct/>
              <w:topLinePunct w:val="0"/>
              <w:autoSpaceDE/>
              <w:autoSpaceDN/>
              <w:bidi w:val="0"/>
              <w:adjustRightInd/>
              <w:snapToGrid/>
              <w:ind w:left="0" w:right="0"/>
              <w:textAlignment w:val="auto"/>
              <w:rPr>
                <w:rFonts w:eastAsia="方正仿宋_GBK"/>
                <w:kern w:val="0"/>
                <w:sz w:val="24"/>
                <w:szCs w:val="24"/>
              </w:rPr>
            </w:pPr>
          </w:p>
        </w:tc>
      </w:tr>
      <w:tr w14:paraId="6360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exact"/>
          <w:jc w:val="center"/>
        </w:trPr>
        <w:tc>
          <w:tcPr>
            <w:tcW w:w="1764" w:type="pct"/>
            <w:gridSpan w:val="3"/>
            <w:noWrap w:val="0"/>
            <w:vAlign w:val="center"/>
          </w:tcPr>
          <w:p w14:paraId="66FBC41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附件资料目录</w:t>
            </w:r>
          </w:p>
        </w:tc>
        <w:tc>
          <w:tcPr>
            <w:tcW w:w="3236" w:type="pct"/>
            <w:gridSpan w:val="2"/>
            <w:noWrap w:val="0"/>
            <w:vAlign w:val="top"/>
          </w:tcPr>
          <w:p w14:paraId="37A63016">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p>
          <w:p w14:paraId="520FF9E0">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p>
          <w:p w14:paraId="289E019D">
            <w:pPr>
              <w:pStyle w:val="12"/>
              <w:keepNext w:val="0"/>
              <w:keepLines w:val="0"/>
              <w:pageBreakBefore w:val="0"/>
              <w:widowControl w:val="0"/>
              <w:kinsoku/>
              <w:wordWrap/>
              <w:overflowPunct/>
              <w:topLinePunct w:val="0"/>
              <w:autoSpaceDE/>
              <w:autoSpaceDN/>
              <w:bidi w:val="0"/>
              <w:adjustRightInd/>
              <w:snapToGrid/>
              <w:ind w:left="0" w:right="0"/>
              <w:textAlignment w:val="auto"/>
              <w:rPr>
                <w:rFonts w:ascii="Times New Roman" w:hAnsi="Times New Roman" w:eastAsia="方正仿宋_GBK"/>
                <w:sz w:val="24"/>
                <w:szCs w:val="24"/>
                <w:lang w:eastAsia="zh-CN"/>
              </w:rPr>
            </w:pPr>
            <w:r>
              <w:rPr>
                <w:rFonts w:ascii="Times New Roman" w:hAnsi="Times New Roman" w:eastAsia="方正仿宋_GBK"/>
                <w:sz w:val="24"/>
                <w:szCs w:val="24"/>
                <w:lang w:eastAsia="zh-CN"/>
              </w:rPr>
              <w:t>（如：审查意见、会议纪要、专家咨询意见（如有）等）</w:t>
            </w:r>
          </w:p>
        </w:tc>
      </w:tr>
    </w:tbl>
    <w:p w14:paraId="15359AB6">
      <w:pPr>
        <w:rPr>
          <w:rFonts w:hint="eastAsia"/>
        </w:rPr>
      </w:pPr>
      <w:r>
        <w:rPr>
          <w:rFonts w:hint="eastAsia"/>
        </w:rPr>
        <w:br w:type="page"/>
      </w:r>
    </w:p>
    <w:p w14:paraId="6F637C61">
      <w:pPr>
        <w:outlineLvl w:val="1"/>
        <w:rPr>
          <w:rFonts w:hint="eastAsia" w:eastAsia="方正黑体_GBK"/>
          <w:bCs/>
          <w:sz w:val="32"/>
          <w:szCs w:val="28"/>
        </w:rPr>
      </w:pPr>
      <w:r>
        <w:rPr>
          <w:rFonts w:hint="eastAsia" w:eastAsia="方正黑体_GBK"/>
          <w:bCs/>
          <w:sz w:val="32"/>
          <w:szCs w:val="28"/>
        </w:rPr>
        <w:t>附件B</w:t>
      </w:r>
    </w:p>
    <w:p w14:paraId="1B435A45">
      <w:pPr>
        <w:spacing w:line="520" w:lineRule="exact"/>
        <w:jc w:val="center"/>
        <w:outlineLvl w:val="1"/>
        <w:rPr>
          <w:rFonts w:hint="eastAsia" w:eastAsia="方正小标宋_GBK"/>
          <w:sz w:val="44"/>
          <w:szCs w:val="44"/>
        </w:rPr>
      </w:pPr>
    </w:p>
    <w:p w14:paraId="2601E47D">
      <w:pPr>
        <w:spacing w:line="520" w:lineRule="exact"/>
        <w:jc w:val="center"/>
        <w:outlineLvl w:val="1"/>
        <w:rPr>
          <w:rFonts w:hint="eastAsia" w:eastAsia="方正小标宋_GBK"/>
          <w:sz w:val="44"/>
          <w:szCs w:val="44"/>
        </w:rPr>
      </w:pPr>
      <w:r>
        <w:rPr>
          <w:rFonts w:hint="eastAsia" w:eastAsia="方正小标宋_GBK"/>
          <w:sz w:val="44"/>
          <w:szCs w:val="44"/>
        </w:rPr>
        <w:t>设计变更会议纪要</w:t>
      </w:r>
    </w:p>
    <w:p w14:paraId="251D6231">
      <w:pPr>
        <w:spacing w:line="520" w:lineRule="exact"/>
        <w:jc w:val="center"/>
        <w:outlineLvl w:val="1"/>
        <w:rPr>
          <w:rFonts w:eastAsia="方正小标宋_GBK"/>
          <w:sz w:val="44"/>
          <w:szCs w:val="44"/>
        </w:rPr>
      </w:pPr>
    </w:p>
    <w:p w14:paraId="7E23F90A">
      <w:pPr>
        <w:adjustRightInd w:val="0"/>
        <w:snapToGrid w:val="0"/>
        <w:spacing w:line="520" w:lineRule="exact"/>
        <w:rPr>
          <w:rFonts w:eastAsia="方正仿宋_GBK"/>
          <w:kern w:val="0"/>
          <w:sz w:val="32"/>
          <w:szCs w:val="32"/>
        </w:rPr>
      </w:pPr>
      <w:r>
        <w:rPr>
          <w:rFonts w:hint="eastAsia" w:eastAsia="方正仿宋_GBK"/>
          <w:kern w:val="0"/>
          <w:sz w:val="32"/>
          <w:szCs w:val="32"/>
        </w:rPr>
        <w:t>编号：</w:t>
      </w:r>
    </w:p>
    <w:p w14:paraId="52F369A4">
      <w:pPr>
        <w:adjustRightInd w:val="0"/>
        <w:snapToGrid w:val="0"/>
        <w:spacing w:line="520" w:lineRule="exact"/>
        <w:rPr>
          <w:rFonts w:hint="eastAsia" w:eastAsia="方正仿宋_GBK"/>
          <w:kern w:val="0"/>
          <w:sz w:val="32"/>
          <w:szCs w:val="32"/>
        </w:rPr>
      </w:pPr>
      <w:r>
        <w:rPr>
          <w:rFonts w:hint="eastAsia" w:eastAsia="方正仿宋_GBK"/>
          <w:kern w:val="0"/>
          <w:sz w:val="32"/>
          <w:szCs w:val="32"/>
        </w:rPr>
        <w:t>项目名称：</w:t>
      </w:r>
    </w:p>
    <w:p w14:paraId="0389473E">
      <w:pPr>
        <w:spacing w:line="520" w:lineRule="exact"/>
        <w:ind w:firstLine="640" w:firstLineChars="200"/>
        <w:rPr>
          <w:rFonts w:hint="eastAsia" w:eastAsia="方正仿宋_GBK"/>
          <w:sz w:val="32"/>
          <w:szCs w:val="32"/>
        </w:rPr>
      </w:pPr>
      <w:r>
        <w:rPr>
          <w:rFonts w:hint="eastAsia" w:eastAsia="方正仿宋_GBK"/>
          <w:sz w:val="32"/>
          <w:szCs w:val="32"/>
        </w:rPr>
        <w:t xml:space="preserve">二○××年××月××日，由建设单位主持，勘察设计单位、施工单位、监理单位参加，对××标段（某具体工点或项目）进行了现场勘查，对设计变更原因、处理方案进行了研究，经会审形成纪要如下： </w:t>
      </w:r>
    </w:p>
    <w:p w14:paraId="3AB0C8E7">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1．工点名称</w:t>
      </w:r>
    </w:p>
    <w:p w14:paraId="46F27BBF">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2．原设计情况</w:t>
      </w:r>
    </w:p>
    <w:p w14:paraId="48C7CCD6">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3．设计变更原因（应在此条中明确责任单位及责任比重， 对有争议的，应记录各方意见）</w:t>
      </w:r>
    </w:p>
    <w:p w14:paraId="02737B16">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4．设计变更类别</w:t>
      </w:r>
    </w:p>
    <w:p w14:paraId="6B9F8E36">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5．设计变更责任及责任单位</w:t>
      </w:r>
    </w:p>
    <w:p w14:paraId="3DFDD8A6">
      <w:pPr>
        <w:adjustRightInd w:val="0"/>
        <w:snapToGrid w:val="0"/>
        <w:spacing w:line="520" w:lineRule="exact"/>
        <w:ind w:firstLine="640" w:firstLineChars="200"/>
        <w:rPr>
          <w:rFonts w:hint="eastAsia" w:eastAsia="方正仿宋_GBK"/>
          <w:kern w:val="0"/>
          <w:sz w:val="32"/>
          <w:szCs w:val="32"/>
        </w:rPr>
      </w:pPr>
      <w:r>
        <w:rPr>
          <w:rFonts w:hint="eastAsia" w:eastAsia="方正仿宋_GBK"/>
          <w:kern w:val="0"/>
          <w:sz w:val="32"/>
          <w:szCs w:val="32"/>
        </w:rPr>
        <w:t>6．处理方案（主要工程措施及技术参数）</w:t>
      </w:r>
    </w:p>
    <w:p w14:paraId="014E46B0">
      <w:pPr>
        <w:adjustRightInd w:val="0"/>
        <w:snapToGrid w:val="0"/>
        <w:spacing w:line="520" w:lineRule="exact"/>
        <w:ind w:firstLine="640" w:firstLineChars="200"/>
        <w:rPr>
          <w:rFonts w:eastAsia="方正仿宋_GBK"/>
          <w:kern w:val="0"/>
          <w:sz w:val="32"/>
          <w:szCs w:val="32"/>
        </w:rPr>
      </w:pPr>
      <w:r>
        <w:rPr>
          <w:rFonts w:hint="eastAsia" w:eastAsia="方正仿宋_GBK"/>
          <w:kern w:val="0"/>
          <w:sz w:val="32"/>
          <w:szCs w:val="32"/>
        </w:rPr>
        <w:t>……</w:t>
      </w:r>
    </w:p>
    <w:p w14:paraId="16AC6296">
      <w:pPr>
        <w:adjustRightInd w:val="0"/>
        <w:snapToGrid w:val="0"/>
        <w:spacing w:line="520" w:lineRule="exact"/>
        <w:jc w:val="left"/>
        <w:rPr>
          <w:rFonts w:eastAsia="方正仿宋_GBK"/>
          <w:kern w:val="0"/>
          <w:sz w:val="32"/>
          <w:szCs w:val="32"/>
        </w:rPr>
      </w:pPr>
      <w:r>
        <w:rPr>
          <w:rFonts w:hint="eastAsia" w:eastAsia="方正仿宋_GBK"/>
          <w:kern w:val="0"/>
          <w:sz w:val="32"/>
          <w:szCs w:val="32"/>
        </w:rPr>
        <w:t xml:space="preserve">参加会审人员： </w:t>
      </w:r>
    </w:p>
    <w:p w14:paraId="4B393BDD">
      <w:pPr>
        <w:adjustRightInd w:val="0"/>
        <w:snapToGrid w:val="0"/>
        <w:spacing w:line="520" w:lineRule="exact"/>
        <w:jc w:val="left"/>
        <w:rPr>
          <w:rFonts w:eastAsia="方正仿宋_GBK"/>
          <w:kern w:val="0"/>
          <w:sz w:val="32"/>
          <w:szCs w:val="32"/>
        </w:rPr>
      </w:pPr>
      <w:r>
        <w:rPr>
          <w:rFonts w:hint="eastAsia" w:eastAsia="方正仿宋_GBK"/>
          <w:kern w:val="0"/>
          <w:sz w:val="32"/>
          <w:szCs w:val="32"/>
        </w:rPr>
        <w:t>建设单位人员：主持人：（签名）</w:t>
      </w:r>
    </w:p>
    <w:p w14:paraId="1A735CA5">
      <w:pPr>
        <w:adjustRightInd w:val="0"/>
        <w:snapToGrid w:val="0"/>
        <w:spacing w:line="520" w:lineRule="exact"/>
        <w:ind w:firstLine="2240" w:firstLineChars="700"/>
        <w:jc w:val="left"/>
        <w:rPr>
          <w:rFonts w:eastAsia="方正仿宋_GBK"/>
          <w:kern w:val="0"/>
          <w:sz w:val="32"/>
          <w:szCs w:val="32"/>
        </w:rPr>
      </w:pPr>
      <w:r>
        <w:rPr>
          <w:rFonts w:hint="eastAsia" w:eastAsia="方正仿宋_GBK"/>
          <w:kern w:val="0"/>
          <w:sz w:val="32"/>
          <w:szCs w:val="32"/>
        </w:rPr>
        <w:t>其他人员：（签名）</w:t>
      </w:r>
    </w:p>
    <w:p w14:paraId="1925DF23">
      <w:pPr>
        <w:adjustRightInd w:val="0"/>
        <w:snapToGrid w:val="0"/>
        <w:spacing w:line="520" w:lineRule="exact"/>
        <w:jc w:val="left"/>
        <w:rPr>
          <w:rFonts w:eastAsia="方正仿宋_GBK"/>
          <w:kern w:val="0"/>
          <w:sz w:val="32"/>
          <w:szCs w:val="32"/>
        </w:rPr>
      </w:pPr>
      <w:r>
        <w:rPr>
          <w:rFonts w:hint="eastAsia" w:eastAsia="方正仿宋_GBK"/>
          <w:kern w:val="0"/>
          <w:sz w:val="32"/>
          <w:szCs w:val="32"/>
        </w:rPr>
        <w:t>勘察设计单位人员：（签名）</w:t>
      </w:r>
    </w:p>
    <w:p w14:paraId="52B85546">
      <w:pPr>
        <w:adjustRightInd w:val="0"/>
        <w:snapToGrid w:val="0"/>
        <w:spacing w:line="520" w:lineRule="exact"/>
        <w:jc w:val="left"/>
        <w:rPr>
          <w:rFonts w:eastAsia="方正仿宋_GBK"/>
          <w:kern w:val="0"/>
          <w:sz w:val="32"/>
          <w:szCs w:val="32"/>
        </w:rPr>
      </w:pPr>
      <w:r>
        <w:rPr>
          <w:rFonts w:hint="eastAsia" w:eastAsia="方正仿宋_GBK"/>
          <w:kern w:val="0"/>
          <w:sz w:val="32"/>
          <w:szCs w:val="32"/>
        </w:rPr>
        <w:t>施工单位人员：（签名）</w:t>
      </w:r>
    </w:p>
    <w:p w14:paraId="596EB883">
      <w:pPr>
        <w:adjustRightInd w:val="0"/>
        <w:snapToGrid w:val="0"/>
        <w:spacing w:line="520" w:lineRule="exact"/>
        <w:jc w:val="left"/>
        <w:rPr>
          <w:rFonts w:hint="eastAsia" w:eastAsia="方正仿宋_GBK"/>
          <w:kern w:val="0"/>
          <w:sz w:val="32"/>
          <w:szCs w:val="32"/>
        </w:rPr>
      </w:pPr>
      <w:r>
        <w:rPr>
          <w:rFonts w:hint="eastAsia" w:eastAsia="方正仿宋_GBK"/>
          <w:kern w:val="0"/>
          <w:sz w:val="32"/>
          <w:szCs w:val="32"/>
        </w:rPr>
        <w:t>监理单位人员：（签名）</w:t>
      </w:r>
    </w:p>
    <w:p w14:paraId="0D65A103">
      <w:pPr>
        <w:spacing w:line="594" w:lineRule="exact"/>
        <w:rPr>
          <w:rFonts w:hint="eastAsia" w:eastAsia="方正黑体_GBK"/>
          <w:bCs/>
          <w:sz w:val="32"/>
          <w:szCs w:val="28"/>
        </w:rPr>
      </w:pPr>
      <w:r>
        <w:rPr>
          <w:rFonts w:hint="eastAsia" w:eastAsia="方正黑体_GBK"/>
          <w:bCs/>
          <w:sz w:val="32"/>
          <w:szCs w:val="28"/>
        </w:rPr>
        <w:t>附件C</w:t>
      </w:r>
    </w:p>
    <w:p w14:paraId="34E376CD">
      <w:pPr>
        <w:outlineLvl w:val="1"/>
        <w:rPr>
          <w:rFonts w:eastAsia="方正黑体_GBK"/>
          <w:bCs/>
          <w:sz w:val="32"/>
          <w:szCs w:val="28"/>
        </w:rPr>
      </w:pPr>
    </w:p>
    <w:p w14:paraId="1CCC08F5">
      <w:pPr>
        <w:spacing w:line="594" w:lineRule="exact"/>
        <w:jc w:val="center"/>
        <w:outlineLvl w:val="1"/>
        <w:rPr>
          <w:rFonts w:hint="eastAsia" w:eastAsia="方正小标宋_GBK"/>
          <w:sz w:val="44"/>
          <w:szCs w:val="44"/>
        </w:rPr>
      </w:pPr>
      <w:r>
        <w:rPr>
          <w:rFonts w:hint="eastAsia" w:eastAsia="方正小标宋_GBK"/>
          <w:sz w:val="44"/>
          <w:szCs w:val="44"/>
        </w:rPr>
        <w:t>设计变更通知单</w:t>
      </w:r>
    </w:p>
    <w:p w14:paraId="7C0F54CD">
      <w:pPr>
        <w:spacing w:line="594" w:lineRule="exact"/>
        <w:jc w:val="center"/>
        <w:outlineLvl w:val="1"/>
        <w:rPr>
          <w:rFonts w:eastAsia="方正小标宋_GBK"/>
          <w:sz w:val="44"/>
          <w:szCs w:val="44"/>
        </w:rPr>
      </w:pPr>
    </w:p>
    <w:p w14:paraId="1E3FA51D">
      <w:pPr>
        <w:tabs>
          <w:tab w:val="left" w:pos="1435"/>
        </w:tabs>
        <w:spacing w:line="594" w:lineRule="exact"/>
        <w:rPr>
          <w:rFonts w:hint="eastAsia" w:eastAsia="方正仿宋_GBK"/>
          <w:kern w:val="0"/>
          <w:sz w:val="32"/>
          <w:szCs w:val="32"/>
        </w:rPr>
      </w:pPr>
      <w:r>
        <w:rPr>
          <w:rFonts w:hint="eastAsia" w:eastAsia="方正仿宋_GBK"/>
          <w:kern w:val="0"/>
          <w:sz w:val="32"/>
          <w:szCs w:val="32"/>
        </w:rPr>
        <w:t>编号：</w:t>
      </w:r>
      <w:r>
        <w:rPr>
          <w:rFonts w:eastAsia="方正仿宋_GBK"/>
          <w:kern w:val="0"/>
          <w:sz w:val="32"/>
          <w:szCs w:val="32"/>
          <w:u w:val="single"/>
        </w:rPr>
        <w:tab/>
      </w:r>
      <w:r>
        <w:rPr>
          <w:rFonts w:eastAsia="方正仿宋_GBK"/>
          <w:kern w:val="0"/>
          <w:sz w:val="32"/>
          <w:szCs w:val="32"/>
        </w:rPr>
        <w:t>线</w:t>
      </w:r>
      <w:r>
        <w:rPr>
          <w:rFonts w:eastAsia="方正仿宋_GBK"/>
          <w:kern w:val="0"/>
          <w:sz w:val="32"/>
          <w:szCs w:val="32"/>
          <w:u w:val="single"/>
        </w:rPr>
        <w:t xml:space="preserve"> </w:t>
      </w:r>
      <w:r>
        <w:rPr>
          <w:rFonts w:eastAsia="方正仿宋_GBK"/>
          <w:kern w:val="0"/>
          <w:sz w:val="32"/>
          <w:szCs w:val="32"/>
          <w:u w:val="single"/>
        </w:rPr>
        <w:tab/>
      </w:r>
      <w:r>
        <w:rPr>
          <w:rFonts w:eastAsia="方正仿宋_GBK"/>
          <w:kern w:val="0"/>
          <w:sz w:val="32"/>
          <w:szCs w:val="32"/>
          <w:u w:val="single"/>
        </w:rPr>
        <w:t xml:space="preserve"> </w:t>
      </w:r>
      <w:r>
        <w:rPr>
          <w:rFonts w:eastAsia="方正仿宋_GBK"/>
          <w:kern w:val="0"/>
          <w:sz w:val="32"/>
          <w:szCs w:val="32"/>
        </w:rPr>
        <w:t>标</w:t>
      </w:r>
      <w:r>
        <w:rPr>
          <w:rFonts w:eastAsia="方正仿宋_GBK"/>
          <w:kern w:val="0"/>
          <w:sz w:val="32"/>
          <w:szCs w:val="32"/>
          <w:u w:val="single"/>
        </w:rPr>
        <w:t xml:space="preserve"> </w:t>
      </w:r>
      <w:r>
        <w:rPr>
          <w:rFonts w:eastAsia="方正仿宋_GBK"/>
          <w:kern w:val="0"/>
          <w:sz w:val="32"/>
          <w:szCs w:val="32"/>
          <w:u w:val="single"/>
        </w:rPr>
        <w:tab/>
      </w:r>
      <w:r>
        <w:rPr>
          <w:rFonts w:eastAsia="方正仿宋_GBK"/>
          <w:kern w:val="0"/>
          <w:sz w:val="32"/>
          <w:szCs w:val="32"/>
          <w:u w:val="single"/>
        </w:rPr>
        <w:t xml:space="preserve"> </w:t>
      </w:r>
      <w:r>
        <w:rPr>
          <w:rFonts w:eastAsia="方正仿宋_GBK"/>
          <w:kern w:val="0"/>
          <w:sz w:val="32"/>
          <w:szCs w:val="32"/>
        </w:rPr>
        <w:t>变</w:t>
      </w:r>
      <w:r>
        <w:rPr>
          <w:rFonts w:eastAsia="方正仿宋_GBK"/>
          <w:kern w:val="0"/>
          <w:sz w:val="32"/>
          <w:szCs w:val="32"/>
          <w:u w:val="single"/>
        </w:rPr>
        <w:t xml:space="preserve"> </w:t>
      </w:r>
      <w:r>
        <w:rPr>
          <w:rFonts w:eastAsia="方正仿宋_GBK"/>
          <w:kern w:val="0"/>
          <w:sz w:val="32"/>
          <w:szCs w:val="32"/>
          <w:u w:val="single"/>
        </w:rPr>
        <w:tab/>
      </w:r>
      <w:r>
        <w:rPr>
          <w:rFonts w:eastAsia="方正仿宋_GBK"/>
          <w:kern w:val="0"/>
          <w:sz w:val="32"/>
          <w:szCs w:val="32"/>
          <w:u w:val="single"/>
        </w:rPr>
        <w:t xml:space="preserve"> </w:t>
      </w:r>
      <w:r>
        <w:rPr>
          <w:rFonts w:eastAsia="方正仿宋_GBK"/>
          <w:kern w:val="0"/>
          <w:sz w:val="32"/>
          <w:szCs w:val="32"/>
        </w:rPr>
        <w:t>号</w:t>
      </w:r>
    </w:p>
    <w:tbl>
      <w:tblPr>
        <w:tblStyle w:val="7"/>
        <w:tblW w:w="5000" w:type="pct"/>
        <w:tblInd w:w="-5" w:type="dxa"/>
        <w:tblLayout w:type="autofit"/>
        <w:tblCellMar>
          <w:top w:w="0" w:type="dxa"/>
          <w:left w:w="0" w:type="dxa"/>
          <w:bottom w:w="0" w:type="dxa"/>
          <w:right w:w="0" w:type="dxa"/>
        </w:tblCellMar>
      </w:tblPr>
      <w:tblGrid>
        <w:gridCol w:w="8855"/>
      </w:tblGrid>
      <w:tr w14:paraId="7DA6B45D">
        <w:tblPrEx>
          <w:tblCellMar>
            <w:top w:w="0" w:type="dxa"/>
            <w:left w:w="0" w:type="dxa"/>
            <w:bottom w:w="0" w:type="dxa"/>
            <w:right w:w="0" w:type="dxa"/>
          </w:tblCellMar>
        </w:tblPrEx>
        <w:trPr>
          <w:trHeight w:val="3382" w:hRule="exact"/>
        </w:trPr>
        <w:tc>
          <w:tcPr>
            <w:tcW w:w="5000" w:type="pct"/>
            <w:tcBorders>
              <w:top w:val="single" w:color="000000" w:sz="4" w:space="0"/>
              <w:left w:val="single" w:color="000000" w:sz="4" w:space="0"/>
              <w:bottom w:val="single" w:color="000000" w:sz="4" w:space="0"/>
              <w:right w:val="single" w:color="000000" w:sz="4" w:space="0"/>
            </w:tcBorders>
            <w:noWrap w:val="0"/>
            <w:vAlign w:val="top"/>
          </w:tcPr>
          <w:p w14:paraId="66F653DE">
            <w:pPr>
              <w:pStyle w:val="12"/>
              <w:tabs>
                <w:tab w:val="left" w:pos="3498"/>
              </w:tabs>
              <w:spacing w:line="400" w:lineRule="exact"/>
              <w:ind w:left="103"/>
              <w:jc w:val="both"/>
              <w:rPr>
                <w:rFonts w:ascii="Times New Roman" w:hAnsi="Times New Roman" w:eastAsia="方正仿宋_GBK"/>
                <w:sz w:val="24"/>
                <w:szCs w:val="24"/>
                <w:lang w:eastAsia="zh-CN"/>
              </w:rPr>
            </w:pPr>
            <w:r>
              <w:rPr>
                <w:rFonts w:ascii="Times New Roman" w:hAnsi="Times New Roman" w:eastAsia="方正仿宋_GBK"/>
                <w:sz w:val="24"/>
                <w:szCs w:val="24"/>
                <w:lang w:eastAsia="zh-CN"/>
              </w:rPr>
              <w:t>致</w:t>
            </w:r>
            <w:r>
              <w:rPr>
                <w:rFonts w:ascii="Times New Roman" w:hAnsi="Times New Roman" w:eastAsia="方正仿宋_GBK"/>
                <w:sz w:val="32"/>
                <w:szCs w:val="32"/>
                <w:u w:val="single"/>
                <w:lang w:eastAsia="zh-CN"/>
              </w:rPr>
              <w:tab/>
            </w:r>
            <w:r>
              <w:rPr>
                <w:rFonts w:ascii="Times New Roman" w:hAnsi="Times New Roman" w:eastAsia="方正仿宋_GBK"/>
                <w:sz w:val="24"/>
                <w:szCs w:val="24"/>
                <w:lang w:eastAsia="zh-CN"/>
              </w:rPr>
              <w:t>：</w:t>
            </w:r>
          </w:p>
          <w:p w14:paraId="62DDDC80">
            <w:pPr>
              <w:pStyle w:val="12"/>
              <w:tabs>
                <w:tab w:val="left" w:pos="5539"/>
              </w:tabs>
              <w:spacing w:line="400" w:lineRule="exact"/>
              <w:ind w:left="647"/>
              <w:jc w:val="both"/>
              <w:rPr>
                <w:rFonts w:ascii="Times New Roman" w:hAnsi="Times New Roman" w:eastAsia="方正仿宋_GBK"/>
                <w:sz w:val="24"/>
                <w:szCs w:val="24"/>
                <w:lang w:eastAsia="zh-CN"/>
              </w:rPr>
            </w:pPr>
            <w:r>
              <w:rPr>
                <w:rFonts w:ascii="Times New Roman" w:hAnsi="Times New Roman" w:eastAsia="方正仿宋_GBK"/>
                <w:sz w:val="24"/>
                <w:szCs w:val="24"/>
                <w:lang w:eastAsia="zh-CN"/>
              </w:rPr>
              <w:t>根据《设计变更建议书》（编号：</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）和《设计变更会审纪要》</w:t>
            </w:r>
          </w:p>
          <w:p w14:paraId="65C6EFFD">
            <w:pPr>
              <w:pStyle w:val="12"/>
              <w:tabs>
                <w:tab w:val="left" w:pos="5539"/>
              </w:tabs>
              <w:spacing w:line="400" w:lineRule="exact"/>
              <w:jc w:val="both"/>
              <w:rPr>
                <w:rFonts w:ascii="Times New Roman" w:hAnsi="Times New Roman" w:eastAsia="方正仿宋_GBK"/>
                <w:sz w:val="24"/>
                <w:szCs w:val="24"/>
                <w:lang w:eastAsia="zh-CN"/>
              </w:rPr>
            </w:pPr>
            <w:r>
              <w:rPr>
                <w:rFonts w:ascii="Times New Roman" w:hAnsi="Times New Roman" w:eastAsia="方正仿宋_GBK"/>
                <w:sz w:val="24"/>
                <w:szCs w:val="24"/>
                <w:lang w:eastAsia="zh-CN"/>
              </w:rPr>
              <w:t>（编号：          ），建设单位委托</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对</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 xml:space="preserve">             进行了设计变更，业已通过了            审查批准（审核），请依据本通知组织施工。本变更属于   类变更设计。</w:t>
            </w:r>
          </w:p>
          <w:p w14:paraId="6F60F30F">
            <w:pPr>
              <w:pStyle w:val="12"/>
              <w:spacing w:line="400" w:lineRule="exact"/>
              <w:rPr>
                <w:rFonts w:ascii="Times New Roman" w:hAnsi="Times New Roman" w:eastAsia="方正仿宋_GBK"/>
                <w:sz w:val="24"/>
                <w:szCs w:val="24"/>
                <w:lang w:eastAsia="zh-CN"/>
              </w:rPr>
            </w:pPr>
          </w:p>
          <w:p w14:paraId="0161EB61">
            <w:pPr>
              <w:pStyle w:val="12"/>
              <w:spacing w:line="400" w:lineRule="exact"/>
              <w:ind w:left="5207"/>
              <w:rPr>
                <w:rFonts w:ascii="Times New Roman" w:hAnsi="Times New Roman" w:eastAsia="方正仿宋_GBK"/>
                <w:sz w:val="24"/>
                <w:szCs w:val="24"/>
                <w:lang w:eastAsia="zh-CN"/>
              </w:rPr>
            </w:pPr>
            <w:r>
              <w:rPr>
                <w:rFonts w:ascii="Times New Roman" w:hAnsi="Times New Roman" w:eastAsia="方正仿宋_GBK"/>
                <w:sz w:val="24"/>
                <w:szCs w:val="24"/>
                <w:lang w:eastAsia="zh-CN"/>
              </w:rPr>
              <w:t>签发单位：</w:t>
            </w:r>
          </w:p>
          <w:p w14:paraId="1B757BED">
            <w:pPr>
              <w:pStyle w:val="12"/>
              <w:tabs>
                <w:tab w:val="left" w:pos="6839"/>
                <w:tab w:val="left" w:pos="7500"/>
                <w:tab w:val="left" w:pos="8040"/>
              </w:tabs>
              <w:spacing w:line="400" w:lineRule="exact"/>
              <w:ind w:left="5207"/>
              <w:rPr>
                <w:rFonts w:hint="eastAsia" w:ascii="Times New Roman" w:hAnsi="Times New Roman" w:eastAsia="方正仿宋_GBK"/>
                <w:sz w:val="24"/>
                <w:szCs w:val="24"/>
                <w:lang w:eastAsia="zh-CN"/>
              </w:rPr>
            </w:pPr>
            <w:r>
              <w:rPr>
                <w:rFonts w:ascii="Times New Roman" w:hAnsi="Times New Roman" w:eastAsia="方正仿宋_GBK"/>
                <w:sz w:val="24"/>
                <w:szCs w:val="24"/>
                <w:lang w:eastAsia="zh-CN"/>
              </w:rPr>
              <w:t>签发人：</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年</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月</w:t>
            </w:r>
            <w:r>
              <w:rPr>
                <w:rFonts w:ascii="Times New Roman" w:hAnsi="Times New Roman" w:eastAsia="方正仿宋_GBK"/>
                <w:sz w:val="24"/>
                <w:szCs w:val="24"/>
                <w:lang w:eastAsia="zh-CN"/>
              </w:rPr>
              <w:tab/>
            </w:r>
            <w:r>
              <w:rPr>
                <w:rFonts w:ascii="Times New Roman" w:hAnsi="Times New Roman" w:eastAsia="方正仿宋_GBK"/>
                <w:sz w:val="24"/>
                <w:szCs w:val="24"/>
                <w:lang w:eastAsia="zh-CN"/>
              </w:rPr>
              <w:t>日</w:t>
            </w:r>
          </w:p>
        </w:tc>
      </w:tr>
      <w:tr w14:paraId="60BCD046">
        <w:tblPrEx>
          <w:tblCellMar>
            <w:top w:w="0" w:type="dxa"/>
            <w:left w:w="0" w:type="dxa"/>
            <w:bottom w:w="0" w:type="dxa"/>
            <w:right w:w="0" w:type="dxa"/>
          </w:tblCellMar>
        </w:tblPrEx>
        <w:trPr>
          <w:trHeight w:val="1690" w:hRule="exact"/>
        </w:trPr>
        <w:tc>
          <w:tcPr>
            <w:tcW w:w="5000" w:type="pct"/>
            <w:tcBorders>
              <w:top w:val="single" w:color="000000" w:sz="4" w:space="0"/>
              <w:left w:val="single" w:color="000000" w:sz="4" w:space="0"/>
              <w:bottom w:val="single" w:color="000000" w:sz="4" w:space="0"/>
              <w:right w:val="single" w:color="000000" w:sz="4" w:space="0"/>
            </w:tcBorders>
            <w:noWrap w:val="0"/>
            <w:vAlign w:val="top"/>
          </w:tcPr>
          <w:p w14:paraId="0AF309A6">
            <w:pPr>
              <w:pStyle w:val="12"/>
              <w:spacing w:before="62"/>
              <w:ind w:left="103"/>
              <w:rPr>
                <w:rFonts w:ascii="Times New Roman" w:hAnsi="Times New Roman" w:eastAsia="方正仿宋_GBK"/>
                <w:sz w:val="24"/>
                <w:szCs w:val="24"/>
                <w:lang w:eastAsia="zh-CN"/>
              </w:rPr>
            </w:pPr>
            <w:r>
              <w:rPr>
                <w:rFonts w:ascii="Times New Roman" w:hAnsi="Times New Roman" w:eastAsia="方正仿宋_GBK"/>
                <w:sz w:val="24"/>
                <w:szCs w:val="24"/>
                <w:lang w:eastAsia="zh-CN"/>
              </w:rPr>
              <w:t>设计变更内容：</w:t>
            </w:r>
          </w:p>
        </w:tc>
      </w:tr>
      <w:tr w14:paraId="04331D84">
        <w:tblPrEx>
          <w:tblCellMar>
            <w:top w:w="0" w:type="dxa"/>
            <w:left w:w="0" w:type="dxa"/>
            <w:bottom w:w="0" w:type="dxa"/>
            <w:right w:w="0" w:type="dxa"/>
          </w:tblCellMar>
        </w:tblPrEx>
        <w:trPr>
          <w:trHeight w:val="1130" w:hRule="exact"/>
        </w:trPr>
        <w:tc>
          <w:tcPr>
            <w:tcW w:w="5000" w:type="pct"/>
            <w:tcBorders>
              <w:top w:val="single" w:color="000000" w:sz="4" w:space="0"/>
              <w:left w:val="single" w:color="000000" w:sz="4" w:space="0"/>
              <w:bottom w:val="single" w:color="000000" w:sz="4" w:space="0"/>
              <w:right w:val="single" w:color="000000" w:sz="4" w:space="0"/>
            </w:tcBorders>
            <w:noWrap w:val="0"/>
            <w:vAlign w:val="top"/>
          </w:tcPr>
          <w:p w14:paraId="06EA8AA7">
            <w:pPr>
              <w:pStyle w:val="12"/>
              <w:spacing w:before="62"/>
              <w:ind w:left="103"/>
              <w:rPr>
                <w:rFonts w:ascii="Times New Roman" w:hAnsi="Times New Roman" w:eastAsia="方正仿宋_GBK"/>
                <w:sz w:val="24"/>
                <w:szCs w:val="24"/>
                <w:lang w:eastAsia="zh-CN"/>
              </w:rPr>
            </w:pPr>
            <w:r>
              <w:rPr>
                <w:rFonts w:ascii="Times New Roman" w:hAnsi="Times New Roman" w:eastAsia="方正仿宋_GBK"/>
                <w:sz w:val="24"/>
                <w:szCs w:val="24"/>
                <w:lang w:eastAsia="zh-CN"/>
              </w:rPr>
              <w:t>设计变更图目录：</w:t>
            </w:r>
          </w:p>
        </w:tc>
      </w:tr>
      <w:tr w14:paraId="69E5D380">
        <w:tblPrEx>
          <w:tblCellMar>
            <w:top w:w="0" w:type="dxa"/>
            <w:left w:w="0" w:type="dxa"/>
            <w:bottom w:w="0" w:type="dxa"/>
            <w:right w:w="0" w:type="dxa"/>
          </w:tblCellMar>
        </w:tblPrEx>
        <w:trPr>
          <w:trHeight w:val="1130" w:hRule="exact"/>
        </w:trPr>
        <w:tc>
          <w:tcPr>
            <w:tcW w:w="5000" w:type="pct"/>
            <w:tcBorders>
              <w:top w:val="single" w:color="000000" w:sz="4" w:space="0"/>
              <w:left w:val="single" w:color="000000" w:sz="4" w:space="0"/>
              <w:bottom w:val="single" w:color="000000" w:sz="4" w:space="0"/>
              <w:right w:val="single" w:color="000000" w:sz="4" w:space="0"/>
            </w:tcBorders>
            <w:noWrap w:val="0"/>
            <w:vAlign w:val="top"/>
          </w:tcPr>
          <w:p w14:paraId="6E9FB619">
            <w:pPr>
              <w:pStyle w:val="12"/>
              <w:spacing w:before="62"/>
              <w:ind w:left="103"/>
              <w:rPr>
                <w:rFonts w:ascii="Times New Roman" w:hAnsi="Times New Roman" w:eastAsia="方正仿宋_GBK"/>
                <w:sz w:val="24"/>
                <w:szCs w:val="24"/>
                <w:lang w:eastAsia="zh-CN"/>
              </w:rPr>
            </w:pPr>
            <w:r>
              <w:rPr>
                <w:rFonts w:ascii="Times New Roman" w:hAnsi="Times New Roman" w:eastAsia="方正仿宋_GBK"/>
                <w:sz w:val="24"/>
                <w:szCs w:val="24"/>
                <w:lang w:eastAsia="zh-CN"/>
              </w:rPr>
              <w:t>作废图纸目录：</w:t>
            </w:r>
          </w:p>
        </w:tc>
      </w:tr>
      <w:tr w14:paraId="73A92B7E">
        <w:tblPrEx>
          <w:tblCellMar>
            <w:top w:w="0" w:type="dxa"/>
            <w:left w:w="0" w:type="dxa"/>
            <w:bottom w:w="0" w:type="dxa"/>
            <w:right w:w="0" w:type="dxa"/>
          </w:tblCellMar>
        </w:tblPrEx>
        <w:trPr>
          <w:trHeight w:val="1130" w:hRule="exact"/>
        </w:trPr>
        <w:tc>
          <w:tcPr>
            <w:tcW w:w="5000" w:type="pct"/>
            <w:tcBorders>
              <w:top w:val="single" w:color="000000" w:sz="4" w:space="0"/>
              <w:left w:val="single" w:color="000000" w:sz="4" w:space="0"/>
              <w:bottom w:val="single" w:color="000000" w:sz="4" w:space="0"/>
              <w:right w:val="single" w:color="000000" w:sz="4" w:space="0"/>
            </w:tcBorders>
            <w:noWrap w:val="0"/>
            <w:vAlign w:val="top"/>
          </w:tcPr>
          <w:p w14:paraId="25F6760B">
            <w:pPr>
              <w:pStyle w:val="12"/>
              <w:spacing w:before="62"/>
              <w:ind w:left="103"/>
              <w:rPr>
                <w:rFonts w:ascii="Times New Roman" w:hAnsi="Times New Roman" w:eastAsia="方正仿宋_GBK"/>
                <w:sz w:val="24"/>
                <w:szCs w:val="24"/>
                <w:lang w:eastAsia="zh-CN"/>
              </w:rPr>
            </w:pPr>
            <w:r>
              <w:rPr>
                <w:rFonts w:ascii="Times New Roman" w:hAnsi="Times New Roman" w:eastAsia="方正仿宋_GBK"/>
                <w:sz w:val="24"/>
                <w:szCs w:val="24"/>
                <w:lang w:eastAsia="zh-CN"/>
              </w:rPr>
              <w:t>备注：</w:t>
            </w:r>
          </w:p>
        </w:tc>
      </w:tr>
    </w:tbl>
    <w:p w14:paraId="2C356999">
      <w:pPr>
        <w:rPr>
          <w:rFonts w:hint="eastAsia" w:eastAsia="方正仿宋_GBK"/>
          <w:kern w:val="0"/>
          <w:sz w:val="32"/>
          <w:szCs w:val="32"/>
          <w:lang w:eastAsia="zh-CN"/>
        </w:rPr>
      </w:pPr>
      <w:r>
        <w:rPr>
          <w:rFonts w:hint="eastAsia" w:eastAsia="方正仿宋_GBK"/>
          <w:kern w:val="0"/>
          <w:sz w:val="32"/>
          <w:szCs w:val="32"/>
        </w:rPr>
        <w:t>说明：设计变更通知单主送施工单位，抄送勘察设计、监理单位</w:t>
      </w:r>
      <w:r>
        <w:rPr>
          <w:rFonts w:hint="eastAsia" w:eastAsia="方正仿宋_GBK"/>
          <w:kern w:val="0"/>
          <w:sz w:val="32"/>
          <w:szCs w:val="32"/>
          <w:lang w:eastAsia="zh-CN"/>
        </w:rPr>
        <w:t>。</w:t>
      </w:r>
    </w:p>
    <w:p w14:paraId="583DB58A">
      <w:pPr>
        <w:rPr>
          <w:rFonts w:hint="eastAsia" w:eastAsia="方正仿宋_GBK"/>
          <w:kern w:val="0"/>
          <w:sz w:val="32"/>
          <w:szCs w:val="32"/>
          <w:lang w:eastAsia="zh-CN"/>
        </w:rPr>
      </w:pPr>
      <w:r>
        <w:rPr>
          <w:rFonts w:hint="eastAsia" w:eastAsia="方正仿宋_GBK"/>
          <w:kern w:val="0"/>
          <w:sz w:val="32"/>
          <w:szCs w:val="32"/>
          <w:lang w:eastAsia="zh-CN"/>
        </w:rPr>
        <w:br w:type="page"/>
      </w:r>
    </w:p>
    <w:p w14:paraId="40A338CD">
      <w:pPr>
        <w:outlineLvl w:val="1"/>
        <w:rPr>
          <w:rFonts w:hint="eastAsia" w:eastAsia="方正黑体_GBK"/>
          <w:bCs/>
          <w:sz w:val="32"/>
          <w:szCs w:val="28"/>
        </w:rPr>
      </w:pPr>
      <w:r>
        <w:rPr>
          <w:rFonts w:hint="eastAsia" w:eastAsia="方正黑体_GBK"/>
          <w:bCs/>
          <w:sz w:val="32"/>
          <w:szCs w:val="28"/>
        </w:rPr>
        <w:t>附件D</w:t>
      </w:r>
    </w:p>
    <w:p w14:paraId="47AE0ED4">
      <w:pPr>
        <w:outlineLvl w:val="1"/>
        <w:rPr>
          <w:rFonts w:eastAsia="方正黑体_GBK"/>
          <w:bCs/>
          <w:sz w:val="32"/>
          <w:szCs w:val="28"/>
        </w:rPr>
      </w:pPr>
    </w:p>
    <w:p w14:paraId="6BF30AC4">
      <w:pPr>
        <w:spacing w:line="594" w:lineRule="exact"/>
        <w:jc w:val="center"/>
        <w:outlineLvl w:val="1"/>
        <w:rPr>
          <w:rFonts w:hint="eastAsia" w:eastAsia="方正小标宋_GBK"/>
          <w:sz w:val="44"/>
          <w:szCs w:val="44"/>
        </w:rPr>
      </w:pPr>
      <w:r>
        <w:rPr>
          <w:rFonts w:hint="eastAsia" w:eastAsia="方正小标宋_GBK"/>
          <w:sz w:val="44"/>
          <w:szCs w:val="44"/>
        </w:rPr>
        <w:t>设计变更文件申报表</w:t>
      </w:r>
    </w:p>
    <w:p w14:paraId="49C2B0CE">
      <w:pPr>
        <w:pStyle w:val="12"/>
        <w:spacing w:before="62"/>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项目名称：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290"/>
        <w:gridCol w:w="299"/>
        <w:gridCol w:w="842"/>
        <w:gridCol w:w="1214"/>
        <w:gridCol w:w="949"/>
        <w:gridCol w:w="1133"/>
        <w:gridCol w:w="954"/>
        <w:gridCol w:w="657"/>
      </w:tblGrid>
      <w:tr w14:paraId="0EFE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noWrap w:val="0"/>
            <w:vAlign w:val="center"/>
          </w:tcPr>
          <w:p w14:paraId="60A6D0F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变更名称</w:t>
            </w:r>
          </w:p>
        </w:tc>
        <w:tc>
          <w:tcPr>
            <w:tcW w:w="4047" w:type="pct"/>
            <w:gridSpan w:val="8"/>
            <w:noWrap w:val="0"/>
            <w:vAlign w:val="center"/>
          </w:tcPr>
          <w:p w14:paraId="6247252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0E0C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noWrap w:val="0"/>
            <w:vAlign w:val="center"/>
          </w:tcPr>
          <w:p w14:paraId="7430055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变更原因</w:t>
            </w:r>
          </w:p>
        </w:tc>
        <w:tc>
          <w:tcPr>
            <w:tcW w:w="4047" w:type="pct"/>
            <w:gridSpan w:val="8"/>
            <w:noWrap w:val="0"/>
            <w:vAlign w:val="center"/>
          </w:tcPr>
          <w:p w14:paraId="496E68D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138C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noWrap w:val="0"/>
            <w:vAlign w:val="center"/>
          </w:tcPr>
          <w:p w14:paraId="03599F9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变更前方案</w:t>
            </w:r>
          </w:p>
        </w:tc>
        <w:tc>
          <w:tcPr>
            <w:tcW w:w="4047" w:type="pct"/>
            <w:gridSpan w:val="8"/>
            <w:noWrap w:val="0"/>
            <w:vAlign w:val="center"/>
          </w:tcPr>
          <w:p w14:paraId="10F652C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5B5A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noWrap w:val="0"/>
            <w:vAlign w:val="center"/>
          </w:tcPr>
          <w:p w14:paraId="14E5623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变更后方案</w:t>
            </w:r>
          </w:p>
        </w:tc>
        <w:tc>
          <w:tcPr>
            <w:tcW w:w="4047" w:type="pct"/>
            <w:gridSpan w:val="8"/>
            <w:noWrap w:val="0"/>
            <w:vAlign w:val="center"/>
          </w:tcPr>
          <w:p w14:paraId="72BA952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262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noWrap w:val="0"/>
            <w:vAlign w:val="center"/>
          </w:tcPr>
          <w:p w14:paraId="334F9FA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变更类别及情形</w:t>
            </w:r>
          </w:p>
        </w:tc>
        <w:tc>
          <w:tcPr>
            <w:tcW w:w="2020" w:type="pct"/>
            <w:gridSpan w:val="4"/>
            <w:noWrap w:val="0"/>
            <w:vAlign w:val="center"/>
          </w:tcPr>
          <w:p w14:paraId="456312D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153" w:type="pct"/>
            <w:gridSpan w:val="2"/>
            <w:noWrap w:val="0"/>
            <w:vAlign w:val="center"/>
          </w:tcPr>
          <w:p w14:paraId="00F5C54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变更情形编码：</w:t>
            </w:r>
          </w:p>
        </w:tc>
        <w:tc>
          <w:tcPr>
            <w:tcW w:w="874" w:type="pct"/>
            <w:gridSpan w:val="2"/>
            <w:noWrap w:val="0"/>
            <w:vAlign w:val="center"/>
          </w:tcPr>
          <w:p w14:paraId="7D5306F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0A4C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restart"/>
            <w:noWrap w:val="0"/>
            <w:vAlign w:val="center"/>
          </w:tcPr>
          <w:p w14:paraId="0F7633A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hint="eastAsia" w:ascii="Times New Roman" w:hAnsi="Times New Roman" w:eastAsia="方正仿宋_GBK"/>
                <w:snapToGrid w:val="0"/>
                <w:sz w:val="24"/>
                <w:szCs w:val="24"/>
                <w:lang w:eastAsia="zh-CN"/>
              </w:rPr>
            </w:pPr>
            <w:r>
              <w:rPr>
                <w:rFonts w:hint="eastAsia" w:ascii="Times New Roman" w:hAnsi="Times New Roman" w:eastAsia="方正仿宋_GBK"/>
                <w:snapToGrid w:val="0"/>
                <w:sz w:val="24"/>
                <w:szCs w:val="24"/>
                <w:lang w:eastAsia="zh-CN"/>
              </w:rPr>
              <w:t>编审单位及</w:t>
            </w:r>
          </w:p>
          <w:p w14:paraId="55D072E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hint="eastAsia" w:ascii="Times New Roman" w:hAnsi="Times New Roman" w:eastAsia="方正仿宋_GBK"/>
                <w:snapToGrid w:val="0"/>
                <w:sz w:val="24"/>
                <w:szCs w:val="24"/>
                <w:lang w:eastAsia="zh-CN"/>
              </w:rPr>
              <w:t>人员</w:t>
            </w:r>
          </w:p>
        </w:tc>
        <w:tc>
          <w:tcPr>
            <w:tcW w:w="881" w:type="pct"/>
            <w:gridSpan w:val="2"/>
            <w:noWrap w:val="0"/>
            <w:vAlign w:val="center"/>
          </w:tcPr>
          <w:p w14:paraId="1A7F828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hint="eastAsia" w:ascii="Times New Roman" w:hAnsi="Times New Roman" w:eastAsia="方正仿宋_GBK"/>
                <w:snapToGrid w:val="0"/>
                <w:sz w:val="24"/>
                <w:szCs w:val="24"/>
                <w:lang w:eastAsia="zh-CN"/>
              </w:rPr>
            </w:pPr>
          </w:p>
        </w:tc>
        <w:tc>
          <w:tcPr>
            <w:tcW w:w="1139" w:type="pct"/>
            <w:gridSpan w:val="2"/>
            <w:noWrap w:val="0"/>
            <w:vAlign w:val="center"/>
          </w:tcPr>
          <w:p w14:paraId="24DE303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单位名称</w:t>
            </w:r>
          </w:p>
        </w:tc>
        <w:tc>
          <w:tcPr>
            <w:tcW w:w="1153" w:type="pct"/>
            <w:gridSpan w:val="2"/>
            <w:noWrap w:val="0"/>
            <w:vAlign w:val="center"/>
          </w:tcPr>
          <w:p w14:paraId="5899BF0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联系人</w:t>
            </w:r>
          </w:p>
        </w:tc>
        <w:tc>
          <w:tcPr>
            <w:tcW w:w="874" w:type="pct"/>
            <w:gridSpan w:val="2"/>
            <w:noWrap w:val="0"/>
            <w:vAlign w:val="center"/>
          </w:tcPr>
          <w:p w14:paraId="79B3491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联系电话</w:t>
            </w:r>
          </w:p>
        </w:tc>
      </w:tr>
      <w:tr w14:paraId="4A65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17E86F9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noWrap w:val="0"/>
            <w:vAlign w:val="center"/>
          </w:tcPr>
          <w:p w14:paraId="3F33100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编制</w:t>
            </w:r>
          </w:p>
        </w:tc>
        <w:tc>
          <w:tcPr>
            <w:tcW w:w="1139" w:type="pct"/>
            <w:gridSpan w:val="2"/>
            <w:noWrap w:val="0"/>
            <w:vAlign w:val="center"/>
          </w:tcPr>
          <w:p w14:paraId="22E9871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153" w:type="pct"/>
            <w:gridSpan w:val="2"/>
            <w:noWrap w:val="0"/>
            <w:vAlign w:val="center"/>
          </w:tcPr>
          <w:p w14:paraId="7FE4CE9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74" w:type="pct"/>
            <w:gridSpan w:val="2"/>
            <w:noWrap w:val="0"/>
            <w:vAlign w:val="center"/>
          </w:tcPr>
          <w:p w14:paraId="31B268A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16D1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512501C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noWrap w:val="0"/>
            <w:vAlign w:val="center"/>
          </w:tcPr>
          <w:p w14:paraId="07654AC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审核</w:t>
            </w:r>
          </w:p>
        </w:tc>
        <w:tc>
          <w:tcPr>
            <w:tcW w:w="1139" w:type="pct"/>
            <w:gridSpan w:val="2"/>
            <w:noWrap w:val="0"/>
            <w:vAlign w:val="center"/>
          </w:tcPr>
          <w:p w14:paraId="3BADFE2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153" w:type="pct"/>
            <w:gridSpan w:val="2"/>
            <w:noWrap w:val="0"/>
            <w:vAlign w:val="center"/>
          </w:tcPr>
          <w:p w14:paraId="2F7E828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74" w:type="pct"/>
            <w:gridSpan w:val="2"/>
            <w:noWrap w:val="0"/>
            <w:vAlign w:val="center"/>
          </w:tcPr>
          <w:p w14:paraId="3EF2935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1B6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3" w:type="pct"/>
            <w:vMerge w:val="restart"/>
            <w:noWrap w:val="0"/>
            <w:vAlign w:val="center"/>
          </w:tcPr>
          <w:p w14:paraId="71EEDB6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hint="eastAsia"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变更预算</w:t>
            </w:r>
          </w:p>
          <w:p w14:paraId="3BC9C49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情况</w:t>
            </w:r>
          </w:p>
        </w:tc>
        <w:tc>
          <w:tcPr>
            <w:tcW w:w="881" w:type="pct"/>
            <w:gridSpan w:val="2"/>
            <w:vMerge w:val="restart"/>
            <w:noWrap w:val="0"/>
            <w:vAlign w:val="center"/>
          </w:tcPr>
          <w:p w14:paraId="2F52782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设计变更预算</w:t>
            </w:r>
          </w:p>
        </w:tc>
        <w:tc>
          <w:tcPr>
            <w:tcW w:w="1139" w:type="pct"/>
            <w:gridSpan w:val="2"/>
            <w:noWrap w:val="0"/>
            <w:vAlign w:val="center"/>
          </w:tcPr>
          <w:p w14:paraId="16F84B2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hint="eastAsia" w:ascii="Times New Roman" w:hAnsi="Times New Roman" w:eastAsia="方正仿宋_GBK"/>
                <w:snapToGrid w:val="0"/>
                <w:sz w:val="24"/>
                <w:szCs w:val="24"/>
                <w:lang w:eastAsia="zh-CN"/>
              </w:rPr>
              <w:t>编制</w:t>
            </w:r>
            <w:r>
              <w:rPr>
                <w:rFonts w:ascii="Times New Roman" w:hAnsi="Times New Roman" w:eastAsia="方正仿宋_GBK"/>
                <w:snapToGrid w:val="0"/>
                <w:sz w:val="24"/>
                <w:szCs w:val="24"/>
                <w:lang w:eastAsia="zh-CN"/>
              </w:rPr>
              <w:t>(</w:t>
            </w:r>
            <w:r>
              <w:rPr>
                <w:rFonts w:hint="eastAsia" w:ascii="Times New Roman" w:hAnsi="Times New Roman" w:eastAsia="方正仿宋_GBK"/>
                <w:snapToGrid w:val="0"/>
                <w:sz w:val="24"/>
                <w:szCs w:val="24"/>
                <w:lang w:eastAsia="zh-CN"/>
              </w:rPr>
              <w:t>元</w:t>
            </w:r>
            <w:r>
              <w:rPr>
                <w:rFonts w:ascii="Times New Roman" w:hAnsi="Times New Roman" w:eastAsia="方正仿宋_GBK"/>
                <w:snapToGrid w:val="0"/>
                <w:sz w:val="24"/>
                <w:szCs w:val="24"/>
                <w:lang w:eastAsia="zh-CN"/>
              </w:rPr>
              <w:t>)</w:t>
            </w:r>
            <w:r>
              <w:rPr>
                <w:rFonts w:ascii="Times New Roman" w:hAnsi="Times New Roman" w:eastAsia="方正仿宋_GBK"/>
                <w:snapToGrid w:val="0"/>
                <w:sz w:val="24"/>
                <w:szCs w:val="24"/>
                <w:lang w:eastAsia="zh-CN"/>
              </w:rPr>
              <w:br w:type="textWrapping"/>
            </w:r>
            <w:r>
              <w:rPr>
                <w:rFonts w:ascii="Times New Roman" w:hAnsi="Times New Roman" w:eastAsia="方正仿宋_GBK"/>
                <w:snapToGrid w:val="0"/>
                <w:sz w:val="24"/>
                <w:szCs w:val="24"/>
                <w:lang w:eastAsia="zh-CN"/>
              </w:rPr>
              <w:t>(1)</w:t>
            </w:r>
          </w:p>
        </w:tc>
        <w:tc>
          <w:tcPr>
            <w:tcW w:w="1153" w:type="pct"/>
            <w:gridSpan w:val="2"/>
            <w:noWrap w:val="0"/>
            <w:vAlign w:val="center"/>
          </w:tcPr>
          <w:p w14:paraId="1B0524E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建</w:t>
            </w:r>
            <w:r>
              <w:rPr>
                <w:rFonts w:ascii="Times New Roman" w:hAnsi="Times New Roman" w:eastAsia="方正仿宋_GBK"/>
                <w:snapToGrid w:val="0"/>
                <w:spacing w:val="-20"/>
                <w:sz w:val="24"/>
                <w:szCs w:val="24"/>
                <w:lang w:eastAsia="zh-CN"/>
              </w:rPr>
              <w:t>设管理单位意见</w:t>
            </w:r>
            <w:r>
              <w:rPr>
                <w:rFonts w:ascii="Times New Roman" w:hAnsi="Times New Roman" w:eastAsia="方正仿宋_GBK"/>
                <w:snapToGrid w:val="0"/>
                <w:spacing w:val="-20"/>
                <w:sz w:val="24"/>
                <w:szCs w:val="24"/>
                <w:lang w:eastAsia="zh-CN"/>
              </w:rPr>
              <w:br w:type="textWrapping"/>
            </w:r>
            <w:r>
              <w:rPr>
                <w:rFonts w:ascii="Times New Roman" w:hAnsi="Times New Roman" w:eastAsia="方正仿宋_GBK"/>
                <w:snapToGrid w:val="0"/>
                <w:sz w:val="24"/>
                <w:szCs w:val="24"/>
                <w:lang w:eastAsia="zh-CN"/>
              </w:rPr>
              <w:t>(元)(2)</w:t>
            </w:r>
          </w:p>
        </w:tc>
        <w:tc>
          <w:tcPr>
            <w:tcW w:w="874" w:type="pct"/>
            <w:gridSpan w:val="2"/>
            <w:noWrap w:val="0"/>
            <w:vAlign w:val="center"/>
          </w:tcPr>
          <w:p w14:paraId="7B293DE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增减(元)</w:t>
            </w:r>
            <w:r>
              <w:rPr>
                <w:rFonts w:ascii="Times New Roman" w:hAnsi="Times New Roman" w:eastAsia="方正仿宋_GBK"/>
                <w:snapToGrid w:val="0"/>
                <w:sz w:val="24"/>
                <w:szCs w:val="24"/>
                <w:lang w:eastAsia="zh-CN"/>
              </w:rPr>
              <w:br w:type="textWrapping"/>
            </w:r>
            <w:r>
              <w:rPr>
                <w:rFonts w:ascii="Times New Roman" w:hAnsi="Times New Roman" w:eastAsia="方正仿宋_GBK"/>
                <w:snapToGrid w:val="0"/>
                <w:sz w:val="24"/>
                <w:szCs w:val="24"/>
                <w:lang w:eastAsia="zh-CN"/>
              </w:rPr>
              <w:t>(3)=(2)-(1)</w:t>
            </w:r>
          </w:p>
        </w:tc>
      </w:tr>
      <w:tr w14:paraId="62C3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4D47082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vMerge w:val="continue"/>
            <w:noWrap w:val="0"/>
            <w:vAlign w:val="center"/>
          </w:tcPr>
          <w:p w14:paraId="5AA1C50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467" w:type="pct"/>
            <w:noWrap w:val="0"/>
            <w:vAlign w:val="center"/>
          </w:tcPr>
          <w:p w14:paraId="62B2955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总费用</w:t>
            </w:r>
          </w:p>
        </w:tc>
        <w:tc>
          <w:tcPr>
            <w:tcW w:w="672" w:type="pct"/>
            <w:noWrap w:val="0"/>
            <w:vAlign w:val="center"/>
          </w:tcPr>
          <w:p w14:paraId="073E502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静态投资</w:t>
            </w:r>
          </w:p>
        </w:tc>
        <w:tc>
          <w:tcPr>
            <w:tcW w:w="526" w:type="pct"/>
            <w:noWrap w:val="0"/>
            <w:vAlign w:val="center"/>
          </w:tcPr>
          <w:p w14:paraId="461962D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总费用</w:t>
            </w:r>
          </w:p>
        </w:tc>
        <w:tc>
          <w:tcPr>
            <w:tcW w:w="627" w:type="pct"/>
            <w:noWrap w:val="0"/>
            <w:vAlign w:val="center"/>
          </w:tcPr>
          <w:p w14:paraId="762678A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静态投资</w:t>
            </w:r>
          </w:p>
        </w:tc>
        <w:tc>
          <w:tcPr>
            <w:tcW w:w="528" w:type="pct"/>
            <w:noWrap w:val="0"/>
            <w:vAlign w:val="center"/>
          </w:tcPr>
          <w:p w14:paraId="7A9CD0A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总费用</w:t>
            </w:r>
          </w:p>
        </w:tc>
        <w:tc>
          <w:tcPr>
            <w:tcW w:w="346" w:type="pct"/>
            <w:noWrap w:val="0"/>
            <w:vAlign w:val="center"/>
          </w:tcPr>
          <w:p w14:paraId="0677910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比例%</w:t>
            </w:r>
          </w:p>
        </w:tc>
      </w:tr>
      <w:tr w14:paraId="31CF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76AB242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noWrap w:val="0"/>
            <w:vAlign w:val="center"/>
          </w:tcPr>
          <w:p w14:paraId="6BC0B66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变更前预算</w:t>
            </w:r>
          </w:p>
        </w:tc>
        <w:tc>
          <w:tcPr>
            <w:tcW w:w="467" w:type="pct"/>
            <w:noWrap w:val="0"/>
            <w:vAlign w:val="center"/>
          </w:tcPr>
          <w:p w14:paraId="36B6512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72" w:type="pct"/>
            <w:noWrap w:val="0"/>
            <w:vAlign w:val="center"/>
          </w:tcPr>
          <w:p w14:paraId="7D391C7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6" w:type="pct"/>
            <w:noWrap w:val="0"/>
            <w:vAlign w:val="center"/>
          </w:tcPr>
          <w:p w14:paraId="4D98F6C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6429D94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14CF2B2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2101344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4E73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1C1ED23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noWrap w:val="0"/>
            <w:vAlign w:val="center"/>
          </w:tcPr>
          <w:p w14:paraId="01BE0F5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变更后预算</w:t>
            </w:r>
          </w:p>
        </w:tc>
        <w:tc>
          <w:tcPr>
            <w:tcW w:w="467" w:type="pct"/>
            <w:noWrap w:val="0"/>
            <w:vAlign w:val="center"/>
          </w:tcPr>
          <w:p w14:paraId="6715BAC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72" w:type="pct"/>
            <w:noWrap w:val="0"/>
            <w:vAlign w:val="center"/>
          </w:tcPr>
          <w:p w14:paraId="1FB80B6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6" w:type="pct"/>
            <w:noWrap w:val="0"/>
            <w:vAlign w:val="center"/>
          </w:tcPr>
          <w:p w14:paraId="45FFEE0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66128B2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2D6424B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7803617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3BF1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2238D7D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881" w:type="pct"/>
            <w:gridSpan w:val="2"/>
            <w:noWrap w:val="0"/>
            <w:vAlign w:val="center"/>
          </w:tcPr>
          <w:p w14:paraId="7D93B8F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w:t>
            </w:r>
            <w:r>
              <w:rPr>
                <w:rFonts w:ascii="Times New Roman" w:hAnsi="Times New Roman" w:eastAsia="方正仿宋_GBK"/>
                <w:snapToGrid w:val="0"/>
                <w:spacing w:val="-20"/>
                <w:sz w:val="24"/>
                <w:szCs w:val="24"/>
                <w:lang w:eastAsia="zh-CN"/>
              </w:rPr>
              <w:t>更增减预算</w:t>
            </w:r>
          </w:p>
        </w:tc>
        <w:tc>
          <w:tcPr>
            <w:tcW w:w="467" w:type="pct"/>
            <w:noWrap w:val="0"/>
            <w:vAlign w:val="center"/>
          </w:tcPr>
          <w:p w14:paraId="3954782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72" w:type="pct"/>
            <w:noWrap w:val="0"/>
            <w:vAlign w:val="center"/>
          </w:tcPr>
          <w:p w14:paraId="2FFDFBA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6" w:type="pct"/>
            <w:noWrap w:val="0"/>
            <w:vAlign w:val="center"/>
          </w:tcPr>
          <w:p w14:paraId="331093E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2A41C6B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3993C10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5FD9BAE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3561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restart"/>
            <w:noWrap w:val="0"/>
            <w:vAlign w:val="center"/>
          </w:tcPr>
          <w:p w14:paraId="4C60857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hint="eastAsia"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设计变更</w:t>
            </w:r>
          </w:p>
          <w:p w14:paraId="6A3D9EF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文件</w:t>
            </w:r>
          </w:p>
        </w:tc>
        <w:tc>
          <w:tcPr>
            <w:tcW w:w="2020" w:type="pct"/>
            <w:gridSpan w:val="4"/>
            <w:vMerge w:val="restart"/>
            <w:noWrap w:val="0"/>
            <w:vAlign w:val="center"/>
          </w:tcPr>
          <w:p w14:paraId="7E92B76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文件名称</w:t>
            </w:r>
          </w:p>
        </w:tc>
        <w:tc>
          <w:tcPr>
            <w:tcW w:w="1153" w:type="pct"/>
            <w:gridSpan w:val="2"/>
            <w:noWrap w:val="0"/>
            <w:vAlign w:val="center"/>
          </w:tcPr>
          <w:p w14:paraId="1A4B023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纸质版</w:t>
            </w:r>
          </w:p>
        </w:tc>
        <w:tc>
          <w:tcPr>
            <w:tcW w:w="874" w:type="pct"/>
            <w:gridSpan w:val="2"/>
            <w:noWrap w:val="0"/>
            <w:vAlign w:val="center"/>
          </w:tcPr>
          <w:p w14:paraId="638D31F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电子版</w:t>
            </w:r>
          </w:p>
        </w:tc>
      </w:tr>
      <w:tr w14:paraId="4C2C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pct"/>
            <w:vMerge w:val="continue"/>
            <w:noWrap w:val="0"/>
            <w:vAlign w:val="center"/>
          </w:tcPr>
          <w:p w14:paraId="354C641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2020" w:type="pct"/>
            <w:gridSpan w:val="4"/>
            <w:vMerge w:val="continue"/>
            <w:noWrap w:val="0"/>
            <w:vAlign w:val="center"/>
          </w:tcPr>
          <w:p w14:paraId="3936A44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6" w:type="pct"/>
            <w:noWrap w:val="0"/>
            <w:vAlign w:val="center"/>
          </w:tcPr>
          <w:p w14:paraId="63E1D7F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有(√)</w:t>
            </w:r>
            <w:r>
              <w:rPr>
                <w:rFonts w:ascii="Times New Roman" w:hAnsi="Times New Roman" w:eastAsia="方正仿宋_GBK"/>
                <w:snapToGrid w:val="0"/>
                <w:sz w:val="24"/>
                <w:szCs w:val="24"/>
                <w:lang w:eastAsia="zh-CN"/>
              </w:rPr>
              <w:br w:type="textWrapping"/>
            </w:r>
            <w:r>
              <w:rPr>
                <w:rFonts w:ascii="Times New Roman" w:hAnsi="Times New Roman" w:eastAsia="方正仿宋_GBK"/>
                <w:snapToGrid w:val="0"/>
                <w:sz w:val="24"/>
                <w:szCs w:val="24"/>
                <w:lang w:eastAsia="zh-CN"/>
              </w:rPr>
              <w:t>无(×)</w:t>
            </w:r>
          </w:p>
        </w:tc>
        <w:tc>
          <w:tcPr>
            <w:tcW w:w="627" w:type="pct"/>
            <w:noWrap w:val="0"/>
            <w:vAlign w:val="center"/>
          </w:tcPr>
          <w:p w14:paraId="4402EE6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份数</w:t>
            </w:r>
          </w:p>
        </w:tc>
        <w:tc>
          <w:tcPr>
            <w:tcW w:w="528" w:type="pct"/>
            <w:noWrap w:val="0"/>
            <w:vAlign w:val="center"/>
          </w:tcPr>
          <w:p w14:paraId="6258331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有(√)</w:t>
            </w:r>
            <w:r>
              <w:rPr>
                <w:rFonts w:ascii="Times New Roman" w:hAnsi="Times New Roman" w:eastAsia="方正仿宋_GBK"/>
                <w:snapToGrid w:val="0"/>
                <w:sz w:val="24"/>
                <w:szCs w:val="24"/>
                <w:lang w:eastAsia="zh-CN"/>
              </w:rPr>
              <w:br w:type="textWrapping"/>
            </w:r>
            <w:r>
              <w:rPr>
                <w:rFonts w:ascii="Times New Roman" w:hAnsi="Times New Roman" w:eastAsia="方正仿宋_GBK"/>
                <w:snapToGrid w:val="0"/>
                <w:sz w:val="24"/>
                <w:szCs w:val="24"/>
                <w:lang w:eastAsia="zh-CN"/>
              </w:rPr>
              <w:t>无(×)</w:t>
            </w:r>
          </w:p>
        </w:tc>
        <w:tc>
          <w:tcPr>
            <w:tcW w:w="346" w:type="pct"/>
            <w:noWrap w:val="0"/>
            <w:vAlign w:val="center"/>
          </w:tcPr>
          <w:p w14:paraId="746E656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份数</w:t>
            </w:r>
          </w:p>
        </w:tc>
      </w:tr>
      <w:tr w14:paraId="7931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761811A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2020" w:type="pct"/>
            <w:gridSpan w:val="4"/>
            <w:noWrap w:val="0"/>
            <w:vAlign w:val="center"/>
          </w:tcPr>
          <w:p w14:paraId="0987FB23">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1.</w:t>
            </w:r>
            <w:r>
              <w:rPr>
                <w:rFonts w:hint="eastAsia" w:ascii="Times New Roman" w:hAnsi="Times New Roman" w:eastAsia="方正仿宋_GBK"/>
                <w:snapToGrid w:val="0"/>
                <w:sz w:val="24"/>
                <w:szCs w:val="24"/>
                <w:lang w:eastAsia="zh-CN"/>
              </w:rPr>
              <w:t>设计变更建议表</w:t>
            </w:r>
            <w:r>
              <w:rPr>
                <w:rFonts w:ascii="Times New Roman" w:hAnsi="Times New Roman" w:eastAsia="方正仿宋_GBK"/>
                <w:snapToGrid w:val="0"/>
                <w:sz w:val="24"/>
                <w:szCs w:val="24"/>
                <w:lang w:eastAsia="zh-CN"/>
              </w:rPr>
              <w:t>(</w:t>
            </w:r>
            <w:r>
              <w:rPr>
                <w:rFonts w:hint="eastAsia" w:ascii="Times New Roman" w:hAnsi="Times New Roman" w:eastAsia="方正仿宋_GBK"/>
                <w:snapToGrid w:val="0"/>
                <w:sz w:val="24"/>
                <w:szCs w:val="24"/>
                <w:lang w:eastAsia="zh-CN"/>
              </w:rPr>
              <w:t>附件A</w:t>
            </w:r>
            <w:r>
              <w:rPr>
                <w:rFonts w:ascii="Times New Roman" w:hAnsi="Times New Roman" w:eastAsia="方正仿宋_GBK"/>
                <w:snapToGrid w:val="0"/>
                <w:sz w:val="24"/>
                <w:szCs w:val="24"/>
                <w:lang w:eastAsia="zh-CN"/>
              </w:rPr>
              <w:t>)</w:t>
            </w:r>
          </w:p>
        </w:tc>
        <w:tc>
          <w:tcPr>
            <w:tcW w:w="526" w:type="pct"/>
            <w:noWrap w:val="0"/>
            <w:vAlign w:val="center"/>
          </w:tcPr>
          <w:p w14:paraId="74D61F1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6AC20EF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21BABB6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7AC7BA1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68AB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5191051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2020" w:type="pct"/>
            <w:gridSpan w:val="4"/>
            <w:noWrap w:val="0"/>
            <w:vAlign w:val="center"/>
          </w:tcPr>
          <w:p w14:paraId="59375675">
            <w:pPr>
              <w:pStyle w:val="12"/>
              <w:keepNext w:val="0"/>
              <w:keepLines w:val="0"/>
              <w:pageBreakBefore w:val="0"/>
              <w:widowControl w:val="0"/>
              <w:kinsoku/>
              <w:wordWrap/>
              <w:overflowPunct/>
              <w:topLinePunct w:val="0"/>
              <w:autoSpaceDE/>
              <w:autoSpaceDN/>
              <w:bidi w:val="0"/>
              <w:adjustRightInd/>
              <w:snapToGrid w:val="0"/>
              <w:ind w:left="0" w:hanging="240" w:hangingChars="10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2.初步设计批复文件和施工图设计文件</w:t>
            </w:r>
          </w:p>
        </w:tc>
        <w:tc>
          <w:tcPr>
            <w:tcW w:w="526" w:type="pct"/>
            <w:noWrap w:val="0"/>
            <w:vAlign w:val="center"/>
          </w:tcPr>
          <w:p w14:paraId="5818155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4A7D865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08AAB7C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2DC2938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498F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2E2E438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2020" w:type="pct"/>
            <w:gridSpan w:val="4"/>
            <w:noWrap w:val="0"/>
            <w:vAlign w:val="center"/>
          </w:tcPr>
          <w:p w14:paraId="2414A4BC">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3.变更建议上报确认文件</w:t>
            </w:r>
          </w:p>
        </w:tc>
        <w:tc>
          <w:tcPr>
            <w:tcW w:w="526" w:type="pct"/>
            <w:noWrap w:val="0"/>
            <w:vAlign w:val="center"/>
          </w:tcPr>
          <w:p w14:paraId="76B060B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7BEE834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2C5C545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6693186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7857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7BB82DB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restart"/>
            <w:noWrap w:val="0"/>
            <w:vAlign w:val="center"/>
          </w:tcPr>
          <w:p w14:paraId="50179DDD">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4.</w:t>
            </w:r>
            <w:r>
              <w:rPr>
                <w:rFonts w:hint="eastAsia" w:ascii="Times New Roman" w:hAnsi="Times New Roman" w:eastAsia="方正仿宋_GBK"/>
                <w:snapToGrid w:val="0"/>
                <w:sz w:val="24"/>
                <w:szCs w:val="24"/>
                <w:lang w:eastAsia="zh-CN"/>
              </w:rPr>
              <w:t>经会审后的变更设计方案图纸</w:t>
            </w:r>
          </w:p>
        </w:tc>
        <w:tc>
          <w:tcPr>
            <w:tcW w:w="1306" w:type="pct"/>
            <w:gridSpan w:val="3"/>
            <w:noWrap w:val="0"/>
            <w:vAlign w:val="center"/>
          </w:tcPr>
          <w:p w14:paraId="717705B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会议纪要或</w:t>
            </w:r>
          </w:p>
          <w:p w14:paraId="74E0194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专家咨询意见</w:t>
            </w:r>
          </w:p>
        </w:tc>
        <w:tc>
          <w:tcPr>
            <w:tcW w:w="526" w:type="pct"/>
            <w:noWrap w:val="0"/>
            <w:vAlign w:val="center"/>
          </w:tcPr>
          <w:p w14:paraId="3BBDCFA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4067AF0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08D9E3A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3ECCE3E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2FEC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4E3FEAB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330CE17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306" w:type="pct"/>
            <w:gridSpan w:val="3"/>
            <w:noWrap w:val="0"/>
            <w:vAlign w:val="center"/>
          </w:tcPr>
          <w:p w14:paraId="61964F4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变更前图纸</w:t>
            </w:r>
          </w:p>
          <w:p w14:paraId="72C5AFA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(含工程数量表)</w:t>
            </w:r>
          </w:p>
        </w:tc>
        <w:tc>
          <w:tcPr>
            <w:tcW w:w="526" w:type="pct"/>
            <w:noWrap w:val="0"/>
            <w:vAlign w:val="center"/>
          </w:tcPr>
          <w:p w14:paraId="25353EC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4D2BF36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41C4986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1E00CE1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1419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6BE240D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0E3577F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306" w:type="pct"/>
            <w:gridSpan w:val="3"/>
            <w:noWrap w:val="0"/>
            <w:vAlign w:val="center"/>
          </w:tcPr>
          <w:p w14:paraId="037E2A4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变更后图纸</w:t>
            </w:r>
          </w:p>
          <w:p w14:paraId="247033D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(含工程数量表)</w:t>
            </w:r>
          </w:p>
        </w:tc>
        <w:tc>
          <w:tcPr>
            <w:tcW w:w="526" w:type="pct"/>
            <w:noWrap w:val="0"/>
            <w:vAlign w:val="center"/>
          </w:tcPr>
          <w:p w14:paraId="5B672A5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0860121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4A757C0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7A74681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3935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781A3F9A">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2020" w:type="pct"/>
            <w:gridSpan w:val="4"/>
            <w:noWrap w:val="0"/>
            <w:vAlign w:val="center"/>
          </w:tcPr>
          <w:p w14:paraId="4B63EBF1">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5.项目建设管理单位的正式确认意见</w:t>
            </w:r>
          </w:p>
        </w:tc>
        <w:tc>
          <w:tcPr>
            <w:tcW w:w="526" w:type="pct"/>
            <w:noWrap w:val="0"/>
            <w:vAlign w:val="center"/>
          </w:tcPr>
          <w:p w14:paraId="2466961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12DC5B8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5F584BA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6FB1974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1145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pct"/>
            <w:vMerge w:val="continue"/>
            <w:noWrap w:val="0"/>
            <w:vAlign w:val="center"/>
          </w:tcPr>
          <w:p w14:paraId="1B8B8A9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restart"/>
            <w:noWrap w:val="0"/>
            <w:vAlign w:val="center"/>
          </w:tcPr>
          <w:p w14:paraId="64C8C1FF">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6.</w:t>
            </w:r>
            <w:r>
              <w:rPr>
                <w:rFonts w:ascii="Times New Roman" w:hAnsi="Times New Roman" w:eastAsia="方正仿宋_GBK"/>
                <w:snapToGrid w:val="0"/>
                <w:spacing w:val="-20"/>
                <w:sz w:val="24"/>
                <w:szCs w:val="24"/>
                <w:lang w:eastAsia="zh-CN"/>
              </w:rPr>
              <w:t>审核文件</w:t>
            </w:r>
          </w:p>
        </w:tc>
        <w:tc>
          <w:tcPr>
            <w:tcW w:w="634" w:type="pct"/>
            <w:gridSpan w:val="2"/>
            <w:vMerge w:val="restart"/>
            <w:noWrap w:val="0"/>
            <w:vAlign w:val="center"/>
          </w:tcPr>
          <w:p w14:paraId="2A29758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设计变更预算文件(含变更净</w:t>
            </w:r>
            <w:r>
              <w:rPr>
                <w:rFonts w:ascii="Times New Roman" w:hAnsi="Times New Roman" w:eastAsia="方正仿宋_GBK"/>
                <w:snapToGrid w:val="0"/>
                <w:sz w:val="24"/>
                <w:szCs w:val="24"/>
                <w:lang w:eastAsia="zh-CN"/>
              </w:rPr>
              <w:br w:type="textWrapping"/>
            </w:r>
            <w:r>
              <w:rPr>
                <w:rFonts w:ascii="Times New Roman" w:hAnsi="Times New Roman" w:eastAsia="方正仿宋_GBK"/>
                <w:snapToGrid w:val="0"/>
                <w:sz w:val="24"/>
                <w:szCs w:val="24"/>
                <w:lang w:eastAsia="zh-CN"/>
              </w:rPr>
              <w:t>增(减)预算、变更前后预算)</w:t>
            </w:r>
          </w:p>
        </w:tc>
        <w:tc>
          <w:tcPr>
            <w:tcW w:w="672" w:type="pct"/>
            <w:noWrap w:val="0"/>
            <w:vAlign w:val="center"/>
          </w:tcPr>
          <w:p w14:paraId="356E7FF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变更净增(减)预算</w:t>
            </w:r>
          </w:p>
        </w:tc>
        <w:tc>
          <w:tcPr>
            <w:tcW w:w="526" w:type="pct"/>
            <w:noWrap w:val="0"/>
            <w:vAlign w:val="center"/>
          </w:tcPr>
          <w:p w14:paraId="7D24C63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3BB7820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6B0E52D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432B84C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2CE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pct"/>
            <w:vMerge w:val="continue"/>
            <w:noWrap w:val="0"/>
            <w:vAlign w:val="center"/>
          </w:tcPr>
          <w:p w14:paraId="27A82E1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008FC84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34" w:type="pct"/>
            <w:gridSpan w:val="2"/>
            <w:vMerge w:val="continue"/>
            <w:noWrap w:val="0"/>
            <w:vAlign w:val="center"/>
          </w:tcPr>
          <w:p w14:paraId="00EB89F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72" w:type="pct"/>
            <w:noWrap w:val="0"/>
            <w:vAlign w:val="center"/>
          </w:tcPr>
          <w:p w14:paraId="3093488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数据文件(预算软件)</w:t>
            </w:r>
          </w:p>
        </w:tc>
        <w:tc>
          <w:tcPr>
            <w:tcW w:w="526" w:type="pct"/>
            <w:noWrap w:val="0"/>
            <w:vAlign w:val="center"/>
          </w:tcPr>
          <w:p w14:paraId="49A9898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7981517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1529642E">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4FD3F1E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7886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23B4E90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1E7D1A09">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34" w:type="pct"/>
            <w:gridSpan w:val="2"/>
            <w:vMerge w:val="restart"/>
            <w:noWrap w:val="0"/>
            <w:vAlign w:val="center"/>
          </w:tcPr>
          <w:p w14:paraId="2659E50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编审对比文件</w:t>
            </w:r>
          </w:p>
        </w:tc>
        <w:tc>
          <w:tcPr>
            <w:tcW w:w="672" w:type="pct"/>
            <w:noWrap w:val="0"/>
            <w:vAlign w:val="center"/>
          </w:tcPr>
          <w:p w14:paraId="7D35FFE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审核意见</w:t>
            </w:r>
          </w:p>
        </w:tc>
        <w:tc>
          <w:tcPr>
            <w:tcW w:w="526" w:type="pct"/>
            <w:noWrap w:val="0"/>
            <w:vAlign w:val="center"/>
          </w:tcPr>
          <w:p w14:paraId="47C8A02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6EF68E0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7C49B75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7330083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24C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414465E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49909B01">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34" w:type="pct"/>
            <w:gridSpan w:val="2"/>
            <w:vMerge w:val="continue"/>
            <w:noWrap w:val="0"/>
            <w:vAlign w:val="center"/>
          </w:tcPr>
          <w:p w14:paraId="06752E9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72" w:type="pct"/>
            <w:noWrap w:val="0"/>
            <w:vAlign w:val="center"/>
          </w:tcPr>
          <w:p w14:paraId="53C66F2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审核附表</w:t>
            </w:r>
          </w:p>
        </w:tc>
        <w:tc>
          <w:tcPr>
            <w:tcW w:w="526" w:type="pct"/>
            <w:noWrap w:val="0"/>
            <w:vAlign w:val="center"/>
          </w:tcPr>
          <w:p w14:paraId="3775CF0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2FDE184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31479617">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7D10E7C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6FA7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0F54041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28BC26D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306" w:type="pct"/>
            <w:gridSpan w:val="3"/>
            <w:noWrap w:val="0"/>
            <w:vAlign w:val="center"/>
          </w:tcPr>
          <w:p w14:paraId="16AF539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辅助资料</w:t>
            </w:r>
          </w:p>
        </w:tc>
        <w:tc>
          <w:tcPr>
            <w:tcW w:w="526" w:type="pct"/>
            <w:noWrap w:val="0"/>
            <w:vAlign w:val="center"/>
          </w:tcPr>
          <w:p w14:paraId="55299BC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50AF994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760FCC8F">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1295568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4FFE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pct"/>
            <w:vMerge w:val="continue"/>
            <w:noWrap w:val="0"/>
            <w:vAlign w:val="center"/>
          </w:tcPr>
          <w:p w14:paraId="3C57F0A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noWrap w:val="0"/>
            <w:vAlign w:val="center"/>
          </w:tcPr>
          <w:p w14:paraId="2CD97035">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7.设计变更前预算</w:t>
            </w:r>
          </w:p>
        </w:tc>
        <w:tc>
          <w:tcPr>
            <w:tcW w:w="1306" w:type="pct"/>
            <w:gridSpan w:val="3"/>
            <w:noWrap w:val="0"/>
            <w:vAlign w:val="center"/>
          </w:tcPr>
          <w:p w14:paraId="2E873592">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数据文件(预算软件)</w:t>
            </w:r>
          </w:p>
        </w:tc>
        <w:tc>
          <w:tcPr>
            <w:tcW w:w="526" w:type="pct"/>
            <w:noWrap w:val="0"/>
            <w:vAlign w:val="center"/>
          </w:tcPr>
          <w:p w14:paraId="3E165725">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3110203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7861676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4B21E2E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3856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5802133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restart"/>
            <w:noWrap w:val="0"/>
            <w:vAlign w:val="center"/>
          </w:tcPr>
          <w:p w14:paraId="22ED0C7C">
            <w:pPr>
              <w:pStyle w:val="12"/>
              <w:keepNext w:val="0"/>
              <w:keepLines w:val="0"/>
              <w:pageBreakBefore w:val="0"/>
              <w:widowControl w:val="0"/>
              <w:kinsoku/>
              <w:wordWrap/>
              <w:overflowPunct/>
              <w:topLinePunct w:val="0"/>
              <w:autoSpaceDE/>
              <w:autoSpaceDN/>
              <w:bidi w:val="0"/>
              <w:adjustRightInd/>
              <w:snapToGrid w:val="0"/>
              <w:ind w:left="0"/>
              <w:jc w:val="both"/>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8.其他</w:t>
            </w:r>
          </w:p>
        </w:tc>
        <w:tc>
          <w:tcPr>
            <w:tcW w:w="1306" w:type="pct"/>
            <w:gridSpan w:val="3"/>
            <w:noWrap w:val="0"/>
            <w:vAlign w:val="center"/>
          </w:tcPr>
          <w:p w14:paraId="4B778A9C">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r>
              <w:rPr>
                <w:rFonts w:ascii="Times New Roman" w:hAnsi="Times New Roman" w:eastAsia="方正仿宋_GBK"/>
                <w:snapToGrid w:val="0"/>
                <w:sz w:val="24"/>
                <w:szCs w:val="24"/>
                <w:lang w:eastAsia="zh-CN"/>
              </w:rPr>
              <w:t>合同文件</w:t>
            </w:r>
          </w:p>
        </w:tc>
        <w:tc>
          <w:tcPr>
            <w:tcW w:w="526" w:type="pct"/>
            <w:noWrap w:val="0"/>
            <w:vAlign w:val="center"/>
          </w:tcPr>
          <w:p w14:paraId="2C00A5CB">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00546FD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6FFDE36D">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343905A6">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r w14:paraId="3FAD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53" w:type="pct"/>
            <w:vMerge w:val="continue"/>
            <w:noWrap w:val="0"/>
            <w:vAlign w:val="center"/>
          </w:tcPr>
          <w:p w14:paraId="5B3E71A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714" w:type="pct"/>
            <w:vMerge w:val="continue"/>
            <w:noWrap w:val="0"/>
            <w:vAlign w:val="center"/>
          </w:tcPr>
          <w:p w14:paraId="0797DF2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1306" w:type="pct"/>
            <w:gridSpan w:val="3"/>
            <w:noWrap w:val="0"/>
            <w:vAlign w:val="center"/>
          </w:tcPr>
          <w:p w14:paraId="5C14141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6" w:type="pct"/>
            <w:noWrap w:val="0"/>
            <w:vAlign w:val="center"/>
          </w:tcPr>
          <w:p w14:paraId="0F6C04A8">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627" w:type="pct"/>
            <w:noWrap w:val="0"/>
            <w:vAlign w:val="center"/>
          </w:tcPr>
          <w:p w14:paraId="4C25F120">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528" w:type="pct"/>
            <w:noWrap w:val="0"/>
            <w:vAlign w:val="center"/>
          </w:tcPr>
          <w:p w14:paraId="0DDF42D4">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c>
          <w:tcPr>
            <w:tcW w:w="346" w:type="pct"/>
            <w:noWrap w:val="0"/>
            <w:vAlign w:val="center"/>
          </w:tcPr>
          <w:p w14:paraId="5C0C91C3">
            <w:pPr>
              <w:pStyle w:val="12"/>
              <w:keepNext w:val="0"/>
              <w:keepLines w:val="0"/>
              <w:pageBreakBefore w:val="0"/>
              <w:widowControl w:val="0"/>
              <w:kinsoku/>
              <w:wordWrap/>
              <w:overflowPunct/>
              <w:topLinePunct w:val="0"/>
              <w:autoSpaceDE/>
              <w:autoSpaceDN/>
              <w:bidi w:val="0"/>
              <w:adjustRightInd/>
              <w:snapToGrid w:val="0"/>
              <w:ind w:left="0"/>
              <w:jc w:val="center"/>
              <w:textAlignment w:val="auto"/>
              <w:rPr>
                <w:rFonts w:ascii="Times New Roman" w:hAnsi="Times New Roman" w:eastAsia="方正仿宋_GBK"/>
                <w:snapToGrid w:val="0"/>
                <w:sz w:val="24"/>
                <w:szCs w:val="24"/>
                <w:lang w:eastAsia="zh-CN"/>
              </w:rPr>
            </w:pPr>
          </w:p>
        </w:tc>
      </w:tr>
    </w:tbl>
    <w:p w14:paraId="087B0824">
      <w:pPr>
        <w:adjustRightInd w:val="0"/>
        <w:snapToGrid w:val="0"/>
        <w:spacing w:line="576" w:lineRule="exact"/>
        <w:ind w:firstLine="627" w:firstLineChars="196"/>
        <w:rPr>
          <w:rFonts w:hint="eastAsia" w:eastAsia="方正仿宋_GBK"/>
          <w:color w:val="000000"/>
          <w:kern w:val="0"/>
          <w:sz w:val="32"/>
          <w:szCs w:val="32"/>
        </w:rPr>
      </w:pPr>
    </w:p>
    <w:p w14:paraId="760F0417">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DCEF">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E78D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BE78D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7E988E4">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59A3A3CB">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8768">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2910B23"/>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584FF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character" w:styleId="10">
    <w:name w:val="page number"/>
    <w:basedOn w:val="8"/>
    <w:uiPriority w:val="0"/>
  </w:style>
  <w:style w:type="paragraph" w:customStyle="1" w:styleId="11">
    <w:name w:val="p0"/>
    <w:basedOn w:val="1"/>
    <w:autoRedefine/>
    <w:qFormat/>
    <w:uiPriority w:val="0"/>
    <w:pPr>
      <w:widowControl/>
    </w:pPr>
    <w:rPr>
      <w:rFonts w:ascii="Calibri" w:hAnsi="Calibri" w:eastAsia="宋体" w:cs="宋体"/>
      <w:kern w:val="0"/>
      <w:szCs w:val="32"/>
    </w:rPr>
  </w:style>
  <w:style w:type="paragraph" w:customStyle="1" w:styleId="12">
    <w:name w:val="Table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821</Words>
  <Characters>831</Characters>
  <Lines>0</Lines>
  <Paragraphs>0</Paragraphs>
  <TotalTime>15</TotalTime>
  <ScaleCrop>false</ScaleCrop>
  <LinksUpToDate>false</LinksUpToDate>
  <CharactersWithSpaces>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2025-02-27T08:52:58Z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